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0C75D" w14:textId="77777777" w:rsidR="002B10CC" w:rsidRPr="008B52F1" w:rsidRDefault="00852FB1" w:rsidP="007A7DC1">
      <w:pPr>
        <w:spacing w:line="276" w:lineRule="auto"/>
        <w:ind w:firstLine="284"/>
        <w:jc w:val="center"/>
        <w:rPr>
          <w:rFonts w:ascii="Garamond" w:hAnsi="Garamond"/>
          <w:b/>
          <w:sz w:val="36"/>
          <w:szCs w:val="36"/>
        </w:rPr>
      </w:pPr>
      <w:bookmarkStart w:id="0" w:name="_GoBack"/>
      <w:r w:rsidRPr="008B52F1">
        <w:rPr>
          <w:rFonts w:ascii="Garamond" w:hAnsi="Garamond"/>
          <w:b/>
          <w:sz w:val="36"/>
          <w:szCs w:val="36"/>
        </w:rPr>
        <w:t>La revoca:</w:t>
      </w:r>
    </w:p>
    <w:p w14:paraId="4ECD0B08" w14:textId="08CDF4FC" w:rsidR="002D7EC2" w:rsidRPr="008B52F1" w:rsidRDefault="00873B08" w:rsidP="007A7DC1">
      <w:pPr>
        <w:spacing w:line="276" w:lineRule="auto"/>
        <w:ind w:firstLine="284"/>
        <w:jc w:val="center"/>
        <w:rPr>
          <w:rFonts w:ascii="Garamond" w:hAnsi="Garamond"/>
          <w:b/>
          <w:sz w:val="36"/>
          <w:szCs w:val="36"/>
        </w:rPr>
      </w:pPr>
      <w:r w:rsidRPr="008B52F1">
        <w:rPr>
          <w:rFonts w:ascii="Garamond" w:hAnsi="Garamond"/>
          <w:b/>
          <w:sz w:val="36"/>
          <w:szCs w:val="36"/>
        </w:rPr>
        <w:t>p</w:t>
      </w:r>
      <w:r w:rsidR="00852FB1" w:rsidRPr="008B52F1">
        <w:rPr>
          <w:rFonts w:ascii="Garamond" w:hAnsi="Garamond"/>
          <w:b/>
          <w:sz w:val="36"/>
          <w:szCs w:val="36"/>
        </w:rPr>
        <w:t>rofili di un potere di amministrazione attiva</w:t>
      </w:r>
    </w:p>
    <w:bookmarkEnd w:id="0"/>
    <w:p w14:paraId="0CA2D618" w14:textId="77777777" w:rsidR="002D7EC2" w:rsidRPr="00852FB1" w:rsidRDefault="002D7EC2" w:rsidP="007A7DC1">
      <w:pPr>
        <w:spacing w:line="276" w:lineRule="auto"/>
        <w:ind w:firstLine="284"/>
        <w:jc w:val="center"/>
        <w:rPr>
          <w:rFonts w:ascii="Garamond" w:hAnsi="Garamond"/>
          <w:sz w:val="20"/>
          <w:szCs w:val="22"/>
        </w:rPr>
      </w:pPr>
    </w:p>
    <w:p w14:paraId="5DFC192E" w14:textId="2A4C7B02" w:rsidR="00436718" w:rsidRPr="00D11941" w:rsidRDefault="002D7EC2" w:rsidP="00D11941">
      <w:pPr>
        <w:spacing w:line="276" w:lineRule="auto"/>
        <w:ind w:firstLine="284"/>
        <w:jc w:val="both"/>
        <w:rPr>
          <w:rFonts w:ascii="Garamond" w:hAnsi="Garamond"/>
          <w:i/>
          <w:sz w:val="20"/>
          <w:szCs w:val="22"/>
        </w:rPr>
      </w:pPr>
      <w:r w:rsidRPr="00261023">
        <w:rPr>
          <w:rFonts w:ascii="Garamond" w:hAnsi="Garamond"/>
          <w:sz w:val="20"/>
          <w:szCs w:val="22"/>
        </w:rPr>
        <w:t xml:space="preserve">Sommario: </w:t>
      </w:r>
      <w:r w:rsidRPr="00852FB1">
        <w:rPr>
          <w:rFonts w:ascii="Garamond" w:hAnsi="Garamond"/>
          <w:sz w:val="20"/>
          <w:szCs w:val="22"/>
        </w:rPr>
        <w:t xml:space="preserve">1. </w:t>
      </w:r>
      <w:r w:rsidR="0071284A" w:rsidRPr="00852FB1">
        <w:rPr>
          <w:rFonts w:ascii="Garamond" w:hAnsi="Garamond"/>
          <w:sz w:val="20"/>
          <w:szCs w:val="22"/>
        </w:rPr>
        <w:t xml:space="preserve">In premessa: alle radici di una scelta tematica. – 2. </w:t>
      </w:r>
      <w:r w:rsidR="002A43F6" w:rsidRPr="00852FB1">
        <w:rPr>
          <w:rFonts w:ascii="Garamond" w:hAnsi="Garamond"/>
          <w:sz w:val="20"/>
          <w:szCs w:val="22"/>
        </w:rPr>
        <w:t xml:space="preserve">La revoca del provvedimento: lineamenti </w:t>
      </w:r>
      <w:r w:rsidR="002A43F6" w:rsidRPr="00D11941">
        <w:rPr>
          <w:rFonts w:ascii="Garamond" w:hAnsi="Garamond"/>
          <w:sz w:val="20"/>
          <w:szCs w:val="22"/>
        </w:rPr>
        <w:t>di un potere</w:t>
      </w:r>
      <w:r w:rsidR="00DC097E" w:rsidRPr="00D11941">
        <w:rPr>
          <w:rFonts w:ascii="Garamond" w:hAnsi="Garamond"/>
          <w:sz w:val="20"/>
          <w:szCs w:val="22"/>
        </w:rPr>
        <w:t xml:space="preserve"> nell’alveo dell’autotutela</w:t>
      </w:r>
      <w:r w:rsidRPr="00D11941">
        <w:rPr>
          <w:rFonts w:ascii="Garamond" w:hAnsi="Garamond"/>
          <w:sz w:val="20"/>
          <w:szCs w:val="22"/>
        </w:rPr>
        <w:t xml:space="preserve">. – </w:t>
      </w:r>
      <w:r w:rsidR="00D11941" w:rsidRPr="00D11941">
        <w:rPr>
          <w:rFonts w:ascii="Garamond" w:hAnsi="Garamond"/>
          <w:sz w:val="20"/>
          <w:szCs w:val="22"/>
        </w:rPr>
        <w:t xml:space="preserve">3. La revoca: indici di amministrazione attiva. – </w:t>
      </w:r>
      <w:r w:rsidR="00436718" w:rsidRPr="00852FB1">
        <w:rPr>
          <w:rFonts w:ascii="Garamond" w:hAnsi="Garamond"/>
          <w:sz w:val="20"/>
          <w:szCs w:val="22"/>
        </w:rPr>
        <w:t xml:space="preserve">4. Ridefinizioni normative dei presupposti della revoca: l’intervento del 2014. – 5. Altri aspetti della revoca: le garanzie procedimentali. – 5.1. </w:t>
      </w:r>
      <w:r w:rsidR="00436718" w:rsidRPr="004051B7">
        <w:rPr>
          <w:rFonts w:ascii="Garamond" w:hAnsi="Garamond"/>
          <w:i/>
          <w:sz w:val="20"/>
          <w:szCs w:val="22"/>
        </w:rPr>
        <w:t>Segue</w:t>
      </w:r>
      <w:r w:rsidR="00436718" w:rsidRPr="00852FB1">
        <w:rPr>
          <w:rFonts w:ascii="Garamond" w:hAnsi="Garamond"/>
          <w:sz w:val="20"/>
          <w:szCs w:val="22"/>
        </w:rPr>
        <w:t>: l’indennizzo e la responsabilità. – 6. La revoca su istanza di parte: profili di doverosità ancora inespressi.</w:t>
      </w:r>
      <w:r w:rsidR="00E90098">
        <w:rPr>
          <w:rFonts w:ascii="Garamond" w:hAnsi="Garamond"/>
          <w:sz w:val="20"/>
          <w:szCs w:val="22"/>
        </w:rPr>
        <w:t xml:space="preserve"> – 7. Dall’autotutela all’amministrazione attiva: metamorfosi di un potere.</w:t>
      </w:r>
    </w:p>
    <w:p w14:paraId="2B5ED7F9" w14:textId="77777777" w:rsidR="002D7EC2" w:rsidRPr="00852FB1" w:rsidRDefault="002D7EC2" w:rsidP="007A7DC1">
      <w:pPr>
        <w:spacing w:line="276" w:lineRule="auto"/>
        <w:ind w:firstLine="284"/>
        <w:jc w:val="both"/>
        <w:rPr>
          <w:rFonts w:ascii="Garamond" w:hAnsi="Garamond"/>
          <w:sz w:val="20"/>
          <w:szCs w:val="22"/>
        </w:rPr>
      </w:pPr>
    </w:p>
    <w:p w14:paraId="70903243" w14:textId="77777777" w:rsidR="00436718" w:rsidRPr="00436718" w:rsidRDefault="00436718" w:rsidP="007A7DC1">
      <w:pPr>
        <w:spacing w:line="276" w:lineRule="auto"/>
        <w:ind w:firstLine="284"/>
        <w:jc w:val="both"/>
        <w:rPr>
          <w:rFonts w:ascii="Garamond" w:hAnsi="Garamond"/>
          <w:szCs w:val="22"/>
        </w:rPr>
      </w:pPr>
    </w:p>
    <w:p w14:paraId="66E52721" w14:textId="77777777" w:rsidR="002D7EC2" w:rsidRDefault="00B01C32" w:rsidP="007A7DC1">
      <w:pPr>
        <w:spacing w:line="276" w:lineRule="auto"/>
        <w:ind w:firstLine="284"/>
        <w:jc w:val="both"/>
        <w:rPr>
          <w:rFonts w:ascii="Garamond" w:hAnsi="Garamond"/>
          <w:szCs w:val="22"/>
        </w:rPr>
      </w:pPr>
      <w:r>
        <w:rPr>
          <w:rFonts w:ascii="Garamond" w:hAnsi="Garamond"/>
          <w:szCs w:val="22"/>
        </w:rPr>
        <w:t xml:space="preserve">1. </w:t>
      </w:r>
      <w:r w:rsidR="0071284A">
        <w:rPr>
          <w:rFonts w:ascii="Garamond" w:hAnsi="Garamond"/>
          <w:i/>
          <w:szCs w:val="22"/>
        </w:rPr>
        <w:t>In premessa: alle radici di una scelta tematica</w:t>
      </w:r>
      <w:r w:rsidR="00C06EC6">
        <w:rPr>
          <w:rFonts w:ascii="Garamond" w:hAnsi="Garamond"/>
          <w:i/>
          <w:szCs w:val="22"/>
        </w:rPr>
        <w:t>.</w:t>
      </w:r>
    </w:p>
    <w:p w14:paraId="410EEAE7" w14:textId="77777777" w:rsidR="004269E0" w:rsidRDefault="004269E0" w:rsidP="00A22272">
      <w:pPr>
        <w:spacing w:line="276" w:lineRule="auto"/>
        <w:ind w:firstLine="284"/>
        <w:jc w:val="both"/>
        <w:rPr>
          <w:rFonts w:ascii="Garamond" w:hAnsi="Garamond"/>
          <w:szCs w:val="22"/>
        </w:rPr>
      </w:pPr>
      <w:r w:rsidRPr="004269E0">
        <w:rPr>
          <w:rFonts w:ascii="Garamond" w:hAnsi="Garamond"/>
          <w:szCs w:val="22"/>
        </w:rPr>
        <w:t xml:space="preserve">Questo contributo – pubblicato sulla Rivista </w:t>
      </w:r>
      <w:r w:rsidRPr="004269E0">
        <w:rPr>
          <w:rFonts w:ascii="Garamond" w:hAnsi="Garamond"/>
          <w:i/>
          <w:szCs w:val="22"/>
        </w:rPr>
        <w:t>Nuove Autonomie</w:t>
      </w:r>
      <w:r w:rsidRPr="004269E0">
        <w:rPr>
          <w:rFonts w:ascii="Garamond" w:hAnsi="Garamond"/>
          <w:szCs w:val="22"/>
        </w:rPr>
        <w:t xml:space="preserve">, n. 3/2021 – è destinato agli </w:t>
      </w:r>
      <w:r w:rsidRPr="004269E0">
        <w:rPr>
          <w:rFonts w:ascii="Garamond" w:hAnsi="Garamond"/>
          <w:i/>
          <w:szCs w:val="22"/>
        </w:rPr>
        <w:t xml:space="preserve">Scritti in onore di Maria </w:t>
      </w:r>
      <w:proofErr w:type="spellStart"/>
      <w:r w:rsidRPr="004269E0">
        <w:rPr>
          <w:rFonts w:ascii="Garamond" w:hAnsi="Garamond"/>
          <w:i/>
          <w:szCs w:val="22"/>
        </w:rPr>
        <w:t>Immordino</w:t>
      </w:r>
      <w:proofErr w:type="spellEnd"/>
      <w:r w:rsidRPr="004269E0">
        <w:rPr>
          <w:rFonts w:ascii="Garamond" w:hAnsi="Garamond"/>
          <w:szCs w:val="22"/>
        </w:rPr>
        <w:t xml:space="preserve"> e costituisce l’evoluzione di una mia prima riflessione sul tema della revoca, originata proprio dagli studi di Maria </w:t>
      </w:r>
      <w:proofErr w:type="spellStart"/>
      <w:r w:rsidRPr="004269E0">
        <w:rPr>
          <w:rFonts w:ascii="Garamond" w:hAnsi="Garamond"/>
          <w:szCs w:val="22"/>
        </w:rPr>
        <w:t>Immordino</w:t>
      </w:r>
      <w:proofErr w:type="spellEnd"/>
      <w:r w:rsidRPr="004269E0">
        <w:rPr>
          <w:rFonts w:ascii="Garamond" w:hAnsi="Garamond"/>
          <w:szCs w:val="22"/>
        </w:rPr>
        <w:t>, donna sensibile e studiosa profonda. A lei, così determinante nel mio percorso di formazione, desidero esprimere la mia gratitudine più alta.</w:t>
      </w:r>
    </w:p>
    <w:p w14:paraId="001B0152" w14:textId="62619362" w:rsidR="00340EBF" w:rsidRDefault="004269E0" w:rsidP="00A22272">
      <w:pPr>
        <w:spacing w:line="276" w:lineRule="auto"/>
        <w:ind w:firstLine="284"/>
        <w:jc w:val="both"/>
        <w:rPr>
          <w:rFonts w:ascii="Garamond" w:hAnsi="Garamond"/>
          <w:szCs w:val="22"/>
        </w:rPr>
      </w:pPr>
      <w:r>
        <w:rPr>
          <w:rFonts w:ascii="Garamond" w:hAnsi="Garamond"/>
          <w:szCs w:val="22"/>
        </w:rPr>
        <w:t>Invero, l</w:t>
      </w:r>
      <w:r w:rsidR="007F2DD5">
        <w:rPr>
          <w:rFonts w:ascii="Garamond" w:hAnsi="Garamond"/>
          <w:szCs w:val="22"/>
        </w:rPr>
        <w:t>’attività</w:t>
      </w:r>
      <w:r w:rsidR="00305622">
        <w:rPr>
          <w:rFonts w:ascii="Garamond" w:hAnsi="Garamond"/>
          <w:szCs w:val="22"/>
        </w:rPr>
        <w:t xml:space="preserve"> di</w:t>
      </w:r>
      <w:r w:rsidR="007F2DD5">
        <w:rPr>
          <w:rFonts w:ascii="Garamond" w:hAnsi="Garamond"/>
          <w:szCs w:val="22"/>
        </w:rPr>
        <w:t xml:space="preserve"> ricerca </w:t>
      </w:r>
      <w:r w:rsidR="00325C47">
        <w:rPr>
          <w:rFonts w:ascii="Garamond" w:hAnsi="Garamond"/>
          <w:szCs w:val="22"/>
        </w:rPr>
        <w:t>di Maria</w:t>
      </w:r>
      <w:r w:rsidR="00305622">
        <w:rPr>
          <w:rFonts w:ascii="Garamond" w:hAnsi="Garamond"/>
          <w:szCs w:val="22"/>
        </w:rPr>
        <w:t xml:space="preserve"> </w:t>
      </w:r>
      <w:proofErr w:type="spellStart"/>
      <w:r w:rsidR="00305622">
        <w:rPr>
          <w:rFonts w:ascii="Garamond" w:hAnsi="Garamond"/>
          <w:szCs w:val="22"/>
        </w:rPr>
        <w:t>Immordino</w:t>
      </w:r>
      <w:proofErr w:type="spellEnd"/>
      <w:r w:rsidR="00A22272">
        <w:rPr>
          <w:rFonts w:ascii="Garamond" w:hAnsi="Garamond"/>
          <w:szCs w:val="22"/>
        </w:rPr>
        <w:t xml:space="preserve"> si segnala per una significativa attenzione al tema della </w:t>
      </w:r>
      <w:r w:rsidR="00305622">
        <w:rPr>
          <w:rFonts w:ascii="Garamond" w:hAnsi="Garamond"/>
          <w:szCs w:val="22"/>
        </w:rPr>
        <w:t>revoca del provvedimento amministrativo</w:t>
      </w:r>
      <w:r w:rsidR="00A22272">
        <w:rPr>
          <w:rFonts w:ascii="Garamond" w:hAnsi="Garamond"/>
          <w:szCs w:val="22"/>
        </w:rPr>
        <w:t>, studiato sia sotto il profilo sostanziale sia sotto quello procedimentale</w:t>
      </w:r>
      <w:r w:rsidR="00A22272">
        <w:rPr>
          <w:rStyle w:val="Rimandonotaapidipagina"/>
          <w:rFonts w:ascii="Garamond" w:hAnsi="Garamond"/>
          <w:szCs w:val="22"/>
        </w:rPr>
        <w:footnoteReference w:id="1"/>
      </w:r>
      <w:r w:rsidR="00A22272">
        <w:rPr>
          <w:rFonts w:ascii="Garamond" w:hAnsi="Garamond"/>
          <w:szCs w:val="22"/>
        </w:rPr>
        <w:t xml:space="preserve"> già prima della sua fissazione normativa.</w:t>
      </w:r>
      <w:r w:rsidR="00305622">
        <w:rPr>
          <w:rFonts w:ascii="Garamond" w:hAnsi="Garamond"/>
          <w:szCs w:val="22"/>
        </w:rPr>
        <w:t xml:space="preserve"> </w:t>
      </w:r>
      <w:r w:rsidR="00A22272">
        <w:rPr>
          <w:rFonts w:ascii="Garamond" w:hAnsi="Garamond"/>
          <w:szCs w:val="22"/>
        </w:rPr>
        <w:t>Q</w:t>
      </w:r>
      <w:r w:rsidR="007F2DD5">
        <w:rPr>
          <w:rFonts w:ascii="Garamond" w:hAnsi="Garamond"/>
          <w:szCs w:val="22"/>
        </w:rPr>
        <w:t xml:space="preserve">uesti </w:t>
      </w:r>
      <w:r w:rsidR="007F2DD5">
        <w:rPr>
          <w:rFonts w:ascii="Garamond" w:hAnsi="Garamond"/>
          <w:i/>
          <w:szCs w:val="22"/>
        </w:rPr>
        <w:t xml:space="preserve">Scritti </w:t>
      </w:r>
      <w:r w:rsidR="007F2DD5">
        <w:rPr>
          <w:rFonts w:ascii="Garamond" w:hAnsi="Garamond"/>
          <w:szCs w:val="22"/>
        </w:rPr>
        <w:t>costituiscono</w:t>
      </w:r>
      <w:r w:rsidR="00A22272">
        <w:rPr>
          <w:rFonts w:ascii="Garamond" w:hAnsi="Garamond"/>
          <w:szCs w:val="22"/>
        </w:rPr>
        <w:t xml:space="preserve"> oggi </w:t>
      </w:r>
      <w:r w:rsidR="007F2DD5">
        <w:rPr>
          <w:rFonts w:ascii="Garamond" w:hAnsi="Garamond"/>
          <w:szCs w:val="22"/>
        </w:rPr>
        <w:t xml:space="preserve">l’occasione per </w:t>
      </w:r>
      <w:r w:rsidR="00A22272">
        <w:rPr>
          <w:rFonts w:ascii="Garamond" w:hAnsi="Garamond"/>
          <w:szCs w:val="22"/>
        </w:rPr>
        <w:t xml:space="preserve">riflettere sull’evoluzione di questo istituto, che pare distanziarsi sempre più dall’alveo dell’autotutela </w:t>
      </w:r>
      <w:r w:rsidR="001F40A9">
        <w:rPr>
          <w:rFonts w:ascii="Garamond" w:hAnsi="Garamond"/>
          <w:szCs w:val="22"/>
        </w:rPr>
        <w:t xml:space="preserve">– </w:t>
      </w:r>
      <w:r w:rsidR="00A22272">
        <w:rPr>
          <w:rFonts w:ascii="Garamond" w:hAnsi="Garamond"/>
          <w:szCs w:val="22"/>
        </w:rPr>
        <w:t>nel quale è stato tradizionalmente collocato</w:t>
      </w:r>
      <w:r w:rsidR="001F40A9">
        <w:rPr>
          <w:rFonts w:ascii="Garamond" w:hAnsi="Garamond"/>
          <w:szCs w:val="22"/>
        </w:rPr>
        <w:t xml:space="preserve"> –</w:t>
      </w:r>
      <w:r w:rsidR="00A22272">
        <w:rPr>
          <w:rFonts w:ascii="Garamond" w:hAnsi="Garamond"/>
          <w:szCs w:val="22"/>
        </w:rPr>
        <w:t xml:space="preserve"> e assumere, al contempo, le fattezze di un </w:t>
      </w:r>
      <w:r w:rsidR="007B4F8D">
        <w:rPr>
          <w:rFonts w:ascii="Garamond" w:hAnsi="Garamond"/>
          <w:szCs w:val="22"/>
        </w:rPr>
        <w:t>potere d</w:t>
      </w:r>
      <w:r w:rsidR="00A22272">
        <w:rPr>
          <w:rFonts w:ascii="Garamond" w:hAnsi="Garamond"/>
          <w:szCs w:val="22"/>
        </w:rPr>
        <w:t>’</w:t>
      </w:r>
      <w:r w:rsidR="007B4F8D">
        <w:rPr>
          <w:rFonts w:ascii="Garamond" w:hAnsi="Garamond"/>
          <w:szCs w:val="22"/>
        </w:rPr>
        <w:t>amministrazione attiva.</w:t>
      </w:r>
    </w:p>
    <w:p w14:paraId="270E6295" w14:textId="77777777" w:rsidR="0071284A" w:rsidRDefault="00340EBF" w:rsidP="007A7DC1">
      <w:pPr>
        <w:spacing w:line="276" w:lineRule="auto"/>
        <w:ind w:firstLine="284"/>
        <w:jc w:val="both"/>
        <w:rPr>
          <w:rFonts w:ascii="Garamond" w:hAnsi="Garamond"/>
          <w:szCs w:val="22"/>
        </w:rPr>
      </w:pPr>
      <w:r>
        <w:rPr>
          <w:rFonts w:ascii="Garamond" w:hAnsi="Garamond"/>
          <w:szCs w:val="22"/>
        </w:rPr>
        <w:t>Il potere di revoca, invero,</w:t>
      </w:r>
      <w:r w:rsidR="0071284A">
        <w:rPr>
          <w:rFonts w:ascii="Garamond" w:hAnsi="Garamond"/>
          <w:szCs w:val="22"/>
        </w:rPr>
        <w:t xml:space="preserve"> è stato oggetto per decenni di dissidi dottrinali e giurisprudenziali che ne hanno, volta per volta, messo in discussione plurimi aspetti: la natura, la funzione, il fondamento, </w:t>
      </w:r>
      <w:r>
        <w:rPr>
          <w:rFonts w:ascii="Garamond" w:hAnsi="Garamond"/>
          <w:szCs w:val="22"/>
        </w:rPr>
        <w:t xml:space="preserve">il </w:t>
      </w:r>
      <w:r w:rsidR="0071284A">
        <w:rPr>
          <w:rFonts w:ascii="Garamond" w:hAnsi="Garamond"/>
          <w:szCs w:val="22"/>
        </w:rPr>
        <w:t>bilanciamento degli interessi</w:t>
      </w:r>
      <w:r>
        <w:rPr>
          <w:rFonts w:ascii="Garamond" w:hAnsi="Garamond"/>
          <w:szCs w:val="22"/>
        </w:rPr>
        <w:t xml:space="preserve"> da operare obbligatoriamente per la </w:t>
      </w:r>
      <w:proofErr w:type="spellStart"/>
      <w:r>
        <w:rPr>
          <w:rFonts w:ascii="Garamond" w:hAnsi="Garamond"/>
          <w:szCs w:val="22"/>
        </w:rPr>
        <w:t>p.A.</w:t>
      </w:r>
      <w:proofErr w:type="spellEnd"/>
      <w:r w:rsidR="0071284A">
        <w:rPr>
          <w:rFonts w:ascii="Garamond" w:hAnsi="Garamond"/>
          <w:szCs w:val="22"/>
        </w:rPr>
        <w:t xml:space="preserve">, </w:t>
      </w:r>
      <w:r>
        <w:rPr>
          <w:rFonts w:ascii="Garamond" w:hAnsi="Garamond"/>
          <w:szCs w:val="22"/>
        </w:rPr>
        <w:t>l</w:t>
      </w:r>
      <w:r w:rsidR="00E54AD6">
        <w:rPr>
          <w:rFonts w:ascii="Garamond" w:hAnsi="Garamond"/>
          <w:szCs w:val="22"/>
        </w:rPr>
        <w:t>’</w:t>
      </w:r>
      <w:r w:rsidR="0071284A">
        <w:rPr>
          <w:rFonts w:ascii="Garamond" w:hAnsi="Garamond"/>
          <w:szCs w:val="22"/>
        </w:rPr>
        <w:t>affidamento del privato</w:t>
      </w:r>
      <w:r>
        <w:rPr>
          <w:rFonts w:ascii="Garamond" w:hAnsi="Garamond"/>
          <w:szCs w:val="22"/>
        </w:rPr>
        <w:t xml:space="preserve"> che lo subisce</w:t>
      </w:r>
      <w:r w:rsidR="0071284A">
        <w:rPr>
          <w:rFonts w:ascii="Garamond" w:hAnsi="Garamond"/>
          <w:szCs w:val="22"/>
        </w:rPr>
        <w:t>,</w:t>
      </w:r>
      <w:r>
        <w:rPr>
          <w:rFonts w:ascii="Garamond" w:hAnsi="Garamond"/>
          <w:szCs w:val="22"/>
        </w:rPr>
        <w:t xml:space="preserve"> gli adempimenti procedimentali, l’obbligo di motiva</w:t>
      </w:r>
      <w:r w:rsidR="00022B04">
        <w:rPr>
          <w:rFonts w:ascii="Garamond" w:hAnsi="Garamond"/>
          <w:szCs w:val="22"/>
        </w:rPr>
        <w:t>zione</w:t>
      </w:r>
      <w:r>
        <w:rPr>
          <w:rFonts w:ascii="Garamond" w:hAnsi="Garamond"/>
          <w:szCs w:val="22"/>
        </w:rPr>
        <w:t>,</w:t>
      </w:r>
      <w:r w:rsidR="0071284A">
        <w:rPr>
          <w:rFonts w:ascii="Garamond" w:hAnsi="Garamond"/>
          <w:szCs w:val="22"/>
        </w:rPr>
        <w:t xml:space="preserve"> </w:t>
      </w:r>
      <w:r>
        <w:rPr>
          <w:rFonts w:ascii="Garamond" w:hAnsi="Garamond"/>
          <w:szCs w:val="22"/>
        </w:rPr>
        <w:t xml:space="preserve">la eventuale </w:t>
      </w:r>
      <w:r w:rsidR="0071284A">
        <w:rPr>
          <w:rFonts w:ascii="Garamond" w:hAnsi="Garamond"/>
          <w:szCs w:val="22"/>
        </w:rPr>
        <w:t xml:space="preserve">doverosità del </w:t>
      </w:r>
      <w:r>
        <w:rPr>
          <w:rFonts w:ascii="Garamond" w:hAnsi="Garamond"/>
          <w:szCs w:val="22"/>
        </w:rPr>
        <w:t xml:space="preserve">suo esercizio </w:t>
      </w:r>
      <w:r w:rsidR="0071284A">
        <w:rPr>
          <w:rFonts w:ascii="Garamond" w:hAnsi="Garamond"/>
          <w:szCs w:val="22"/>
        </w:rPr>
        <w:t>su istanza</w:t>
      </w:r>
      <w:r>
        <w:rPr>
          <w:rFonts w:ascii="Garamond" w:hAnsi="Garamond"/>
          <w:szCs w:val="22"/>
        </w:rPr>
        <w:t xml:space="preserve"> di parte</w:t>
      </w:r>
      <w:r w:rsidR="0071284A">
        <w:rPr>
          <w:rFonts w:ascii="Garamond" w:hAnsi="Garamond"/>
          <w:szCs w:val="22"/>
        </w:rPr>
        <w:t xml:space="preserve">, </w:t>
      </w:r>
      <w:r>
        <w:rPr>
          <w:rFonts w:ascii="Garamond" w:hAnsi="Garamond"/>
          <w:szCs w:val="22"/>
        </w:rPr>
        <w:t>la quantificazione dell’</w:t>
      </w:r>
      <w:r w:rsidR="0071284A">
        <w:rPr>
          <w:rFonts w:ascii="Garamond" w:hAnsi="Garamond"/>
          <w:szCs w:val="22"/>
        </w:rPr>
        <w:t xml:space="preserve">indennizzo a compensazione dei sacrifici imposti, </w:t>
      </w:r>
      <w:r w:rsidR="0071284A">
        <w:rPr>
          <w:rFonts w:ascii="Garamond" w:hAnsi="Garamond"/>
          <w:i/>
          <w:szCs w:val="22"/>
        </w:rPr>
        <w:t>etc.</w:t>
      </w:r>
    </w:p>
    <w:p w14:paraId="6DE8C605" w14:textId="77777777" w:rsidR="0071284A" w:rsidRDefault="00EC18B5" w:rsidP="007A7DC1">
      <w:pPr>
        <w:spacing w:line="276" w:lineRule="auto"/>
        <w:ind w:firstLine="284"/>
        <w:jc w:val="both"/>
        <w:rPr>
          <w:rFonts w:ascii="Garamond" w:hAnsi="Garamond"/>
          <w:szCs w:val="22"/>
        </w:rPr>
      </w:pPr>
      <w:r>
        <w:rPr>
          <w:rFonts w:ascii="Garamond" w:hAnsi="Garamond"/>
          <w:szCs w:val="22"/>
        </w:rPr>
        <w:t xml:space="preserve">Dissidi che sono stati </w:t>
      </w:r>
      <w:r w:rsidR="00C81665">
        <w:rPr>
          <w:rFonts w:ascii="Garamond" w:hAnsi="Garamond"/>
          <w:szCs w:val="22"/>
        </w:rPr>
        <w:t xml:space="preserve">in </w:t>
      </w:r>
      <w:r w:rsidR="00C06677">
        <w:rPr>
          <w:rFonts w:ascii="Garamond" w:hAnsi="Garamond"/>
          <w:szCs w:val="22"/>
        </w:rPr>
        <w:t xml:space="preserve">larga </w:t>
      </w:r>
      <w:r w:rsidR="00C81665">
        <w:rPr>
          <w:rFonts w:ascii="Garamond" w:hAnsi="Garamond"/>
          <w:szCs w:val="22"/>
        </w:rPr>
        <w:t xml:space="preserve">parte </w:t>
      </w:r>
      <w:r>
        <w:rPr>
          <w:rFonts w:ascii="Garamond" w:hAnsi="Garamond"/>
          <w:szCs w:val="22"/>
        </w:rPr>
        <w:t xml:space="preserve">poi sopiti, dopo un lungo </w:t>
      </w:r>
      <w:r>
        <w:rPr>
          <w:rFonts w:ascii="Garamond" w:hAnsi="Garamond"/>
          <w:i/>
          <w:szCs w:val="22"/>
        </w:rPr>
        <w:t>excursus</w:t>
      </w:r>
      <w:r>
        <w:rPr>
          <w:rFonts w:ascii="Garamond" w:hAnsi="Garamond"/>
          <w:szCs w:val="22"/>
        </w:rPr>
        <w:t xml:space="preserve"> giurisprudenziale, nel 2005, quando la legge n. 15 </w:t>
      </w:r>
      <w:r w:rsidR="00E378CF">
        <w:rPr>
          <w:rFonts w:ascii="Garamond" w:hAnsi="Garamond"/>
          <w:szCs w:val="22"/>
        </w:rPr>
        <w:t xml:space="preserve">integrò </w:t>
      </w:r>
      <w:r>
        <w:rPr>
          <w:rFonts w:ascii="Garamond" w:hAnsi="Garamond"/>
          <w:szCs w:val="22"/>
        </w:rPr>
        <w:t xml:space="preserve">la legge generale sul procedimento amministrativo </w:t>
      </w:r>
      <w:r w:rsidR="00E378CF">
        <w:rPr>
          <w:rFonts w:ascii="Garamond" w:hAnsi="Garamond"/>
          <w:szCs w:val="22"/>
        </w:rPr>
        <w:t xml:space="preserve">con </w:t>
      </w:r>
      <w:r>
        <w:rPr>
          <w:rFonts w:ascii="Garamond" w:hAnsi="Garamond"/>
          <w:szCs w:val="22"/>
        </w:rPr>
        <w:t>l’art. 21-</w:t>
      </w:r>
      <w:r>
        <w:rPr>
          <w:rFonts w:ascii="Garamond" w:hAnsi="Garamond"/>
          <w:i/>
          <w:szCs w:val="22"/>
        </w:rPr>
        <w:t>quinquies</w:t>
      </w:r>
      <w:r>
        <w:rPr>
          <w:rFonts w:ascii="Garamond" w:hAnsi="Garamond"/>
          <w:szCs w:val="22"/>
        </w:rPr>
        <w:t>, rubricato – appunto – «Revoca del provvedimento amministrativo».</w:t>
      </w:r>
    </w:p>
    <w:p w14:paraId="16019884" w14:textId="10C90EDF" w:rsidR="006F7B1F" w:rsidRPr="00250E6F" w:rsidRDefault="007A7DC1" w:rsidP="007A7DC1">
      <w:pPr>
        <w:spacing w:line="276" w:lineRule="auto"/>
        <w:ind w:firstLine="284"/>
        <w:jc w:val="both"/>
        <w:rPr>
          <w:rFonts w:ascii="Garamond" w:hAnsi="Garamond"/>
          <w:szCs w:val="22"/>
        </w:rPr>
      </w:pPr>
      <w:r>
        <w:rPr>
          <w:rFonts w:ascii="Garamond" w:hAnsi="Garamond"/>
          <w:szCs w:val="22"/>
        </w:rPr>
        <w:t>Ora, n</w:t>
      </w:r>
      <w:r w:rsidR="00E616B7">
        <w:rPr>
          <w:rFonts w:ascii="Garamond" w:hAnsi="Garamond"/>
          <w:szCs w:val="22"/>
        </w:rPr>
        <w:t>ella temperie attuale</w:t>
      </w:r>
      <w:r w:rsidR="006750D4">
        <w:rPr>
          <w:rFonts w:ascii="Garamond" w:hAnsi="Garamond"/>
          <w:szCs w:val="22"/>
        </w:rPr>
        <w:t xml:space="preserve"> –</w:t>
      </w:r>
      <w:r w:rsidR="00E616B7">
        <w:rPr>
          <w:rFonts w:ascii="Garamond" w:hAnsi="Garamond"/>
          <w:szCs w:val="22"/>
        </w:rPr>
        <w:t xml:space="preserve"> nella quale si fa discorso </w:t>
      </w:r>
      <w:r w:rsidR="00961B66">
        <w:rPr>
          <w:rFonts w:ascii="Garamond" w:hAnsi="Garamond"/>
          <w:szCs w:val="22"/>
        </w:rPr>
        <w:t>su</w:t>
      </w:r>
      <w:r w:rsidR="00E616B7">
        <w:rPr>
          <w:rFonts w:ascii="Garamond" w:hAnsi="Garamond"/>
          <w:szCs w:val="22"/>
        </w:rPr>
        <w:t xml:space="preserve">lla tutela dell’affidamento del soggetto privato </w:t>
      </w:r>
      <w:r w:rsidR="00E616B7" w:rsidRPr="00250E6F">
        <w:rPr>
          <w:rFonts w:ascii="Garamond" w:hAnsi="Garamond"/>
          <w:szCs w:val="22"/>
        </w:rPr>
        <w:t>nei confronti dell’Amministrazione quando questa eserciti il potere di autotutela nell</w:t>
      </w:r>
      <w:r w:rsidR="00AF64A4" w:rsidRPr="00250E6F">
        <w:rPr>
          <w:rFonts w:ascii="Garamond" w:hAnsi="Garamond"/>
          <w:szCs w:val="22"/>
        </w:rPr>
        <w:t>a</w:t>
      </w:r>
      <w:r w:rsidR="00E616B7" w:rsidRPr="00250E6F">
        <w:rPr>
          <w:rFonts w:ascii="Garamond" w:hAnsi="Garamond"/>
          <w:szCs w:val="22"/>
        </w:rPr>
        <w:t xml:space="preserve"> form</w:t>
      </w:r>
      <w:r w:rsidR="00AF64A4" w:rsidRPr="00250E6F">
        <w:rPr>
          <w:rFonts w:ascii="Garamond" w:hAnsi="Garamond"/>
          <w:szCs w:val="22"/>
        </w:rPr>
        <w:t>a</w:t>
      </w:r>
      <w:r w:rsidR="00E616B7" w:rsidRPr="00250E6F">
        <w:rPr>
          <w:rFonts w:ascii="Garamond" w:hAnsi="Garamond"/>
          <w:szCs w:val="22"/>
        </w:rPr>
        <w:t xml:space="preserve"> dell’annullamento d’ufficio</w:t>
      </w:r>
      <w:r w:rsidR="00E616B7" w:rsidRPr="00250E6F">
        <w:rPr>
          <w:rStyle w:val="Rimandonotaapidipagina"/>
          <w:rFonts w:ascii="Garamond" w:hAnsi="Garamond"/>
          <w:szCs w:val="22"/>
        </w:rPr>
        <w:footnoteReference w:id="2"/>
      </w:r>
      <w:r w:rsidR="006750D4" w:rsidRPr="00250E6F">
        <w:rPr>
          <w:rFonts w:ascii="Garamond" w:hAnsi="Garamond"/>
          <w:szCs w:val="22"/>
        </w:rPr>
        <w:t xml:space="preserve"> – la revoca parrebbe essere ormai </w:t>
      </w:r>
      <w:r w:rsidR="006750D4" w:rsidRPr="00250E6F">
        <w:rPr>
          <w:rFonts w:ascii="Garamond" w:hAnsi="Garamond"/>
          <w:szCs w:val="22"/>
        </w:rPr>
        <w:lastRenderedPageBreak/>
        <w:t>sedimentata nel consentire</w:t>
      </w:r>
      <w:r w:rsidR="00CC6BF9" w:rsidRPr="00250E6F">
        <w:rPr>
          <w:rFonts w:ascii="Garamond" w:hAnsi="Garamond"/>
          <w:szCs w:val="22"/>
        </w:rPr>
        <w:t xml:space="preserve"> </w:t>
      </w:r>
      <w:r w:rsidR="006750D4" w:rsidRPr="00250E6F">
        <w:rPr>
          <w:rFonts w:ascii="Garamond" w:hAnsi="Garamond"/>
          <w:szCs w:val="22"/>
        </w:rPr>
        <w:t>all’Amministrazione di “ritirare”</w:t>
      </w:r>
      <w:r w:rsidR="001F7E8D" w:rsidRPr="00250E6F">
        <w:rPr>
          <w:rStyle w:val="Rimandonotaapidipagina"/>
          <w:rFonts w:ascii="Garamond" w:hAnsi="Garamond"/>
          <w:szCs w:val="22"/>
        </w:rPr>
        <w:footnoteReference w:id="3"/>
      </w:r>
      <w:r w:rsidR="006750D4" w:rsidRPr="00250E6F">
        <w:rPr>
          <w:rFonts w:ascii="Garamond" w:hAnsi="Garamond"/>
          <w:szCs w:val="22"/>
        </w:rPr>
        <w:t xml:space="preserve"> un proprio provvedimento per ragioni di opportunità, compensando l’eventuale sacrificio del privato che sia investito degli effetti di questa decisione con una riparazione patrimoniale di tipo indennitario.</w:t>
      </w:r>
    </w:p>
    <w:p w14:paraId="5644CC9B" w14:textId="0C4C3684" w:rsidR="00380727" w:rsidRPr="00250E6F" w:rsidRDefault="00D937D2" w:rsidP="007A7DC1">
      <w:pPr>
        <w:spacing w:line="276" w:lineRule="auto"/>
        <w:ind w:firstLine="284"/>
        <w:jc w:val="both"/>
        <w:rPr>
          <w:rFonts w:ascii="Garamond" w:hAnsi="Garamond"/>
          <w:szCs w:val="22"/>
        </w:rPr>
      </w:pPr>
      <w:r w:rsidRPr="00250E6F">
        <w:rPr>
          <w:rFonts w:ascii="Garamond" w:hAnsi="Garamond"/>
          <w:szCs w:val="22"/>
        </w:rPr>
        <w:t xml:space="preserve">Mentre cioè, </w:t>
      </w:r>
      <w:r w:rsidR="002077F2" w:rsidRPr="00250E6F">
        <w:rPr>
          <w:rFonts w:ascii="Garamond" w:hAnsi="Garamond"/>
          <w:szCs w:val="22"/>
        </w:rPr>
        <w:t>in linea di principio,</w:t>
      </w:r>
      <w:r w:rsidRPr="00250E6F">
        <w:rPr>
          <w:rFonts w:ascii="Garamond" w:hAnsi="Garamond"/>
          <w:szCs w:val="22"/>
        </w:rPr>
        <w:t xml:space="preserve"> la </w:t>
      </w:r>
      <w:proofErr w:type="spellStart"/>
      <w:r w:rsidRPr="00250E6F">
        <w:rPr>
          <w:rFonts w:ascii="Garamond" w:hAnsi="Garamond"/>
          <w:szCs w:val="22"/>
        </w:rPr>
        <w:t>p.A.</w:t>
      </w:r>
      <w:proofErr w:type="spellEnd"/>
      <w:r w:rsidRPr="00250E6F">
        <w:rPr>
          <w:rFonts w:ascii="Garamond" w:hAnsi="Garamond"/>
          <w:szCs w:val="22"/>
        </w:rPr>
        <w:t xml:space="preserve"> può </w:t>
      </w:r>
      <w:r w:rsidRPr="00250E6F">
        <w:rPr>
          <w:rFonts w:ascii="Garamond" w:hAnsi="Garamond"/>
          <w:i/>
          <w:szCs w:val="22"/>
        </w:rPr>
        <w:t>prima</w:t>
      </w:r>
      <w:r w:rsidRPr="00250E6F">
        <w:rPr>
          <w:rFonts w:ascii="Garamond" w:hAnsi="Garamond"/>
          <w:szCs w:val="22"/>
        </w:rPr>
        <w:t xml:space="preserve"> </w:t>
      </w:r>
      <w:r w:rsidR="00FA3E2A" w:rsidRPr="00250E6F">
        <w:rPr>
          <w:rFonts w:ascii="Garamond" w:hAnsi="Garamond"/>
          <w:szCs w:val="22"/>
        </w:rPr>
        <w:t>attribuire</w:t>
      </w:r>
      <w:r w:rsidRPr="00250E6F">
        <w:rPr>
          <w:rFonts w:ascii="Garamond" w:hAnsi="Garamond"/>
          <w:szCs w:val="22"/>
        </w:rPr>
        <w:t xml:space="preserve"> un vantaggio </w:t>
      </w:r>
      <w:r w:rsidR="002077F2" w:rsidRPr="00250E6F">
        <w:rPr>
          <w:rFonts w:ascii="Garamond" w:hAnsi="Garamond"/>
          <w:szCs w:val="22"/>
        </w:rPr>
        <w:t xml:space="preserve">al privato </w:t>
      </w:r>
      <w:r w:rsidRPr="00250E6F">
        <w:rPr>
          <w:rFonts w:ascii="Garamond" w:hAnsi="Garamond"/>
          <w:szCs w:val="22"/>
        </w:rPr>
        <w:t xml:space="preserve">e </w:t>
      </w:r>
      <w:r w:rsidRPr="00250E6F">
        <w:rPr>
          <w:rFonts w:ascii="Garamond" w:hAnsi="Garamond"/>
          <w:i/>
          <w:szCs w:val="22"/>
        </w:rPr>
        <w:t>poi</w:t>
      </w:r>
      <w:r w:rsidRPr="00250E6F">
        <w:rPr>
          <w:rFonts w:ascii="Garamond" w:hAnsi="Garamond"/>
          <w:szCs w:val="22"/>
        </w:rPr>
        <w:t xml:space="preserve"> ritirarlo</w:t>
      </w:r>
      <w:r w:rsidR="00380727" w:rsidRPr="00250E6F">
        <w:rPr>
          <w:rFonts w:ascii="Garamond" w:hAnsi="Garamond"/>
          <w:szCs w:val="22"/>
        </w:rPr>
        <w:t xml:space="preserve">, le forme di potere a ciò deputate – </w:t>
      </w:r>
      <w:r w:rsidR="00380727" w:rsidRPr="00250E6F">
        <w:rPr>
          <w:rFonts w:ascii="Garamond" w:hAnsi="Garamond"/>
          <w:i/>
          <w:szCs w:val="22"/>
        </w:rPr>
        <w:t>id est</w:t>
      </w:r>
      <w:r w:rsidR="00380727" w:rsidRPr="00250E6F">
        <w:rPr>
          <w:rFonts w:ascii="Garamond" w:hAnsi="Garamond"/>
          <w:szCs w:val="22"/>
        </w:rPr>
        <w:t xml:space="preserve"> l’annullamento d’ufficio e la revoca – </w:t>
      </w:r>
      <w:r w:rsidR="006D5301" w:rsidRPr="00250E6F">
        <w:rPr>
          <w:rFonts w:ascii="Garamond" w:hAnsi="Garamond"/>
          <w:szCs w:val="22"/>
        </w:rPr>
        <w:t>pur conservando profili parzialmente sovrapponibili</w:t>
      </w:r>
      <w:r w:rsidR="00380727" w:rsidRPr="00250E6F">
        <w:rPr>
          <w:rFonts w:ascii="Garamond" w:hAnsi="Garamond"/>
          <w:szCs w:val="22"/>
        </w:rPr>
        <w:t>, stanno subendo destini</w:t>
      </w:r>
      <w:r w:rsidR="006D5301" w:rsidRPr="00250E6F">
        <w:rPr>
          <w:rFonts w:ascii="Garamond" w:hAnsi="Garamond"/>
          <w:szCs w:val="22"/>
        </w:rPr>
        <w:t xml:space="preserve"> diversi</w:t>
      </w:r>
      <w:r w:rsidR="00380727" w:rsidRPr="00250E6F">
        <w:rPr>
          <w:rFonts w:ascii="Garamond" w:hAnsi="Garamond"/>
          <w:szCs w:val="22"/>
        </w:rPr>
        <w:t xml:space="preserve">: nello specifico, l’annullamento d’ufficio nella sua veste di presidio della legalità sta perdendo i tratti dello strumento d’amministrazione attiva e si sta progressivamente avvicinando alla </w:t>
      </w:r>
      <w:proofErr w:type="spellStart"/>
      <w:r w:rsidR="00380727" w:rsidRPr="00250E6F">
        <w:rPr>
          <w:rFonts w:ascii="Garamond" w:hAnsi="Garamond"/>
          <w:szCs w:val="22"/>
        </w:rPr>
        <w:t>giustizialità</w:t>
      </w:r>
      <w:proofErr w:type="spellEnd"/>
      <w:r w:rsidR="00380727" w:rsidRPr="00250E6F">
        <w:rPr>
          <w:rStyle w:val="Rimandonotaapidipagina"/>
          <w:rFonts w:ascii="Garamond" w:hAnsi="Garamond"/>
          <w:szCs w:val="22"/>
        </w:rPr>
        <w:footnoteReference w:id="4"/>
      </w:r>
      <w:r w:rsidR="00380727" w:rsidRPr="00250E6F">
        <w:rPr>
          <w:rFonts w:ascii="Garamond" w:hAnsi="Garamond"/>
          <w:szCs w:val="22"/>
        </w:rPr>
        <w:t>; la revoca, viceversa, assume sempre più i tratti di un provvedimento espressivo della buona amministrazione</w:t>
      </w:r>
      <w:r w:rsidR="003D24E2" w:rsidRPr="00250E6F">
        <w:rPr>
          <w:rStyle w:val="Rimandonotaapidipagina"/>
          <w:rFonts w:ascii="Garamond" w:hAnsi="Garamond"/>
          <w:szCs w:val="22"/>
        </w:rPr>
        <w:footnoteReference w:id="5"/>
      </w:r>
      <w:r w:rsidR="00380727" w:rsidRPr="00250E6F">
        <w:rPr>
          <w:rFonts w:ascii="Garamond" w:hAnsi="Garamond"/>
          <w:szCs w:val="22"/>
        </w:rPr>
        <w:t xml:space="preserve"> e dell’attenta </w:t>
      </w:r>
      <w:r w:rsidR="00172CD1" w:rsidRPr="00250E6F">
        <w:rPr>
          <w:rFonts w:ascii="Garamond" w:hAnsi="Garamond"/>
          <w:szCs w:val="22"/>
        </w:rPr>
        <w:t xml:space="preserve">capacità valutativa di una </w:t>
      </w:r>
      <w:proofErr w:type="spellStart"/>
      <w:r w:rsidR="00172CD1" w:rsidRPr="00250E6F">
        <w:rPr>
          <w:rFonts w:ascii="Garamond" w:hAnsi="Garamond"/>
          <w:szCs w:val="22"/>
        </w:rPr>
        <w:t>p.A.</w:t>
      </w:r>
      <w:proofErr w:type="spellEnd"/>
      <w:r w:rsidR="00172CD1" w:rsidRPr="00250E6F">
        <w:rPr>
          <w:rFonts w:ascii="Garamond" w:hAnsi="Garamond"/>
          <w:szCs w:val="22"/>
        </w:rPr>
        <w:t xml:space="preserve"> che contempera interessi anche </w:t>
      </w:r>
      <w:r w:rsidR="00172CD1" w:rsidRPr="00250E6F">
        <w:rPr>
          <w:rFonts w:ascii="Garamond" w:hAnsi="Garamond"/>
          <w:i/>
          <w:szCs w:val="22"/>
        </w:rPr>
        <w:t>dopo</w:t>
      </w:r>
      <w:r w:rsidR="00172CD1" w:rsidRPr="00250E6F">
        <w:rPr>
          <w:rFonts w:ascii="Garamond" w:hAnsi="Garamond"/>
          <w:szCs w:val="22"/>
        </w:rPr>
        <w:t xml:space="preserve"> l’adozione di un provvedimento e</w:t>
      </w:r>
      <w:r w:rsidR="001E176D" w:rsidRPr="00250E6F">
        <w:rPr>
          <w:rFonts w:ascii="Garamond" w:hAnsi="Garamond"/>
          <w:szCs w:val="22"/>
        </w:rPr>
        <w:t xml:space="preserve">d esercita </w:t>
      </w:r>
      <w:r w:rsidR="00172CD1" w:rsidRPr="00250E6F">
        <w:rPr>
          <w:rFonts w:ascii="Garamond" w:hAnsi="Garamond"/>
          <w:szCs w:val="22"/>
        </w:rPr>
        <w:t xml:space="preserve">il suo potere </w:t>
      </w:r>
      <w:r w:rsidR="001E176D" w:rsidRPr="00250E6F">
        <w:rPr>
          <w:rFonts w:ascii="Garamond" w:hAnsi="Garamond"/>
          <w:szCs w:val="22"/>
        </w:rPr>
        <w:t>funzionalizzato</w:t>
      </w:r>
      <w:r w:rsidR="00172CD1" w:rsidRPr="00250E6F">
        <w:rPr>
          <w:rFonts w:ascii="Garamond" w:hAnsi="Garamond"/>
          <w:szCs w:val="22"/>
        </w:rPr>
        <w:t xml:space="preserve"> per adeguarne il contenuto in occorrenza di sopravvenienze.</w:t>
      </w:r>
    </w:p>
    <w:p w14:paraId="62D40D97" w14:textId="613B596E" w:rsidR="00A53554" w:rsidRPr="00250E6F" w:rsidRDefault="00A53554" w:rsidP="007A7DC1">
      <w:pPr>
        <w:spacing w:line="276" w:lineRule="auto"/>
        <w:ind w:firstLine="284"/>
        <w:jc w:val="both"/>
        <w:rPr>
          <w:rFonts w:ascii="Garamond" w:hAnsi="Garamond"/>
          <w:szCs w:val="22"/>
        </w:rPr>
      </w:pPr>
      <w:r w:rsidRPr="00250E6F">
        <w:rPr>
          <w:rFonts w:ascii="Garamond" w:hAnsi="Garamond"/>
          <w:szCs w:val="22"/>
        </w:rPr>
        <w:t>Si sta cioè realizzando – ne sono conferma il dato normativo e la giurisprudenza amministrativa</w:t>
      </w:r>
      <w:r w:rsidR="00136180" w:rsidRPr="00250E6F">
        <w:rPr>
          <w:rFonts w:ascii="Garamond" w:hAnsi="Garamond"/>
          <w:szCs w:val="22"/>
        </w:rPr>
        <w:t xml:space="preserve"> che saranno di seguito esaminati</w:t>
      </w:r>
      <w:r w:rsidRPr="00250E6F">
        <w:rPr>
          <w:rFonts w:ascii="Garamond" w:hAnsi="Garamond"/>
          <w:szCs w:val="22"/>
        </w:rPr>
        <w:t xml:space="preserve"> – quanto già </w:t>
      </w:r>
      <w:r w:rsidR="009318CF" w:rsidRPr="00250E6F">
        <w:rPr>
          <w:rFonts w:ascii="Garamond" w:hAnsi="Garamond"/>
          <w:szCs w:val="22"/>
        </w:rPr>
        <w:t>qualche anno addietro</w:t>
      </w:r>
      <w:r w:rsidR="00CC3A63" w:rsidRPr="00250E6F">
        <w:rPr>
          <w:rFonts w:ascii="Garamond" w:hAnsi="Garamond"/>
          <w:szCs w:val="22"/>
        </w:rPr>
        <w:t>, ancor prima della cristallizzazione del dato normativo e a ridosso dell’emanazione della l. n. 241/’90,</w:t>
      </w:r>
      <w:r w:rsidRPr="00250E6F">
        <w:rPr>
          <w:rFonts w:ascii="Garamond" w:hAnsi="Garamond"/>
          <w:szCs w:val="22"/>
        </w:rPr>
        <w:t xml:space="preserve"> è stato intuito e sistematizzato da quella dottrina che ha ricondotto </w:t>
      </w:r>
      <w:r w:rsidR="000C3C49" w:rsidRPr="00250E6F">
        <w:rPr>
          <w:rFonts w:ascii="Garamond" w:hAnsi="Garamond"/>
          <w:szCs w:val="22"/>
        </w:rPr>
        <w:t>i</w:t>
      </w:r>
      <w:r w:rsidRPr="00250E6F">
        <w:rPr>
          <w:rFonts w:ascii="Garamond" w:hAnsi="Garamond"/>
          <w:szCs w:val="22"/>
        </w:rPr>
        <w:t xml:space="preserve">l potere di </w:t>
      </w:r>
      <w:r w:rsidRPr="00250E6F">
        <w:rPr>
          <w:rFonts w:ascii="Garamond" w:hAnsi="Garamond"/>
          <w:szCs w:val="22"/>
        </w:rPr>
        <w:lastRenderedPageBreak/>
        <w:t>revoca all’ambito dell’amministrazione attiva</w:t>
      </w:r>
      <w:r w:rsidR="00CC3A63" w:rsidRPr="00250E6F">
        <w:rPr>
          <w:rStyle w:val="Rimandonotaapidipagina"/>
          <w:rFonts w:ascii="Garamond" w:hAnsi="Garamond"/>
          <w:szCs w:val="22"/>
        </w:rPr>
        <w:footnoteReference w:id="6"/>
      </w:r>
      <w:r w:rsidR="00CC3A63" w:rsidRPr="00250E6F">
        <w:rPr>
          <w:rFonts w:ascii="Garamond" w:hAnsi="Garamond"/>
          <w:szCs w:val="22"/>
        </w:rPr>
        <w:t xml:space="preserve">, riconoscendovi l’immanenza della funzione di tutela dell’interesse pubblico della quale la </w:t>
      </w:r>
      <w:proofErr w:type="spellStart"/>
      <w:r w:rsidR="00CC3A63" w:rsidRPr="00250E6F">
        <w:rPr>
          <w:rFonts w:ascii="Garamond" w:hAnsi="Garamond"/>
          <w:szCs w:val="22"/>
        </w:rPr>
        <w:t>p.A.</w:t>
      </w:r>
      <w:proofErr w:type="spellEnd"/>
      <w:r w:rsidR="00CC3A63" w:rsidRPr="00250E6F">
        <w:rPr>
          <w:rFonts w:ascii="Garamond" w:hAnsi="Garamond"/>
          <w:szCs w:val="22"/>
        </w:rPr>
        <w:t xml:space="preserve"> è istituzionalmente investita</w:t>
      </w:r>
      <w:r w:rsidR="00CC3A63" w:rsidRPr="00250E6F">
        <w:rPr>
          <w:rStyle w:val="Rimandonotaapidipagina"/>
          <w:rFonts w:ascii="Garamond" w:hAnsi="Garamond"/>
          <w:szCs w:val="22"/>
        </w:rPr>
        <w:footnoteReference w:id="7"/>
      </w:r>
      <w:r w:rsidRPr="00250E6F">
        <w:rPr>
          <w:rFonts w:ascii="Garamond" w:hAnsi="Garamond"/>
          <w:szCs w:val="22"/>
        </w:rPr>
        <w:t>.</w:t>
      </w:r>
    </w:p>
    <w:p w14:paraId="286A292E" w14:textId="1E3B0A80" w:rsidR="00542317" w:rsidRPr="00250E6F" w:rsidRDefault="006B4E28" w:rsidP="007A7DC1">
      <w:pPr>
        <w:spacing w:line="276" w:lineRule="auto"/>
        <w:ind w:firstLine="284"/>
        <w:jc w:val="both"/>
        <w:rPr>
          <w:rFonts w:ascii="Garamond" w:hAnsi="Garamond"/>
          <w:szCs w:val="22"/>
        </w:rPr>
      </w:pPr>
      <w:r w:rsidRPr="00250E6F">
        <w:rPr>
          <w:rFonts w:ascii="Garamond" w:hAnsi="Garamond"/>
          <w:szCs w:val="22"/>
        </w:rPr>
        <w:t>Sicché l</w:t>
      </w:r>
      <w:r w:rsidR="00542317" w:rsidRPr="00250E6F">
        <w:rPr>
          <w:rFonts w:ascii="Garamond" w:hAnsi="Garamond"/>
          <w:szCs w:val="22"/>
        </w:rPr>
        <w:t xml:space="preserve">e pagine seguenti saranno dedicate a </w:t>
      </w:r>
      <w:r w:rsidRPr="00250E6F">
        <w:rPr>
          <w:rFonts w:ascii="Garamond" w:hAnsi="Garamond"/>
          <w:szCs w:val="22"/>
        </w:rPr>
        <w:t xml:space="preserve">osservare, pur dando conto dei profili che indiscutibilmente accomunano i due istituti, la loro progressiva divaricazione, </w:t>
      </w:r>
      <w:r w:rsidR="00542317" w:rsidRPr="00250E6F">
        <w:rPr>
          <w:rFonts w:ascii="Garamond" w:hAnsi="Garamond"/>
          <w:szCs w:val="22"/>
        </w:rPr>
        <w:t xml:space="preserve">che sta </w:t>
      </w:r>
      <w:r w:rsidR="00240C9F" w:rsidRPr="00250E6F">
        <w:rPr>
          <w:rFonts w:ascii="Garamond" w:hAnsi="Garamond"/>
          <w:szCs w:val="22"/>
        </w:rPr>
        <w:t>traghettando</w:t>
      </w:r>
      <w:r w:rsidR="00542317" w:rsidRPr="00250E6F">
        <w:rPr>
          <w:rFonts w:ascii="Garamond" w:hAnsi="Garamond"/>
          <w:szCs w:val="22"/>
        </w:rPr>
        <w:t xml:space="preserve"> </w:t>
      </w:r>
      <w:r w:rsidR="000E5304" w:rsidRPr="00250E6F">
        <w:rPr>
          <w:rFonts w:ascii="Garamond" w:hAnsi="Garamond"/>
          <w:szCs w:val="22"/>
        </w:rPr>
        <w:t xml:space="preserve">ormai senza dubbio </w:t>
      </w:r>
      <w:r w:rsidR="00542317" w:rsidRPr="00250E6F">
        <w:rPr>
          <w:rFonts w:ascii="Garamond" w:hAnsi="Garamond"/>
          <w:szCs w:val="22"/>
        </w:rPr>
        <w:t xml:space="preserve">la revoca </w:t>
      </w:r>
      <w:r w:rsidR="00240C9F" w:rsidRPr="00250E6F">
        <w:rPr>
          <w:rFonts w:ascii="Garamond" w:hAnsi="Garamond"/>
          <w:szCs w:val="22"/>
        </w:rPr>
        <w:t>da</w:t>
      </w:r>
      <w:r w:rsidR="00542317" w:rsidRPr="00250E6F">
        <w:rPr>
          <w:rFonts w:ascii="Garamond" w:hAnsi="Garamond"/>
          <w:szCs w:val="22"/>
        </w:rPr>
        <w:t xml:space="preserve">lla sponda del potere di </w:t>
      </w:r>
      <w:r w:rsidR="00240C9F" w:rsidRPr="00250E6F">
        <w:rPr>
          <w:rFonts w:ascii="Garamond" w:hAnsi="Garamond"/>
          <w:szCs w:val="22"/>
        </w:rPr>
        <w:t>autotutela a quell</w:t>
      </w:r>
      <w:r w:rsidR="00EE5E66" w:rsidRPr="00250E6F">
        <w:rPr>
          <w:rFonts w:ascii="Garamond" w:hAnsi="Garamond"/>
          <w:szCs w:val="22"/>
        </w:rPr>
        <w:t>a</w:t>
      </w:r>
      <w:r w:rsidR="00240C9F" w:rsidRPr="00250E6F">
        <w:rPr>
          <w:rFonts w:ascii="Garamond" w:hAnsi="Garamond"/>
          <w:szCs w:val="22"/>
        </w:rPr>
        <w:t xml:space="preserve"> di </w:t>
      </w:r>
      <w:r w:rsidR="00542317" w:rsidRPr="00250E6F">
        <w:rPr>
          <w:rFonts w:ascii="Garamond" w:hAnsi="Garamond"/>
          <w:szCs w:val="22"/>
        </w:rPr>
        <w:t>amministrazione attiva.</w:t>
      </w:r>
    </w:p>
    <w:p w14:paraId="0BBA9F82" w14:textId="77777777" w:rsidR="0071284A" w:rsidRPr="00250E6F" w:rsidRDefault="0071284A" w:rsidP="007A7DC1">
      <w:pPr>
        <w:spacing w:line="276" w:lineRule="auto"/>
        <w:ind w:firstLine="284"/>
        <w:jc w:val="both"/>
        <w:rPr>
          <w:rFonts w:ascii="Garamond" w:hAnsi="Garamond"/>
          <w:szCs w:val="22"/>
        </w:rPr>
      </w:pPr>
    </w:p>
    <w:p w14:paraId="1185F0E2" w14:textId="77777777" w:rsidR="007D2CD9" w:rsidRPr="00250E6F" w:rsidRDefault="002A43F6" w:rsidP="007A7DC1">
      <w:pPr>
        <w:spacing w:line="276" w:lineRule="auto"/>
        <w:ind w:firstLine="284"/>
        <w:jc w:val="both"/>
        <w:rPr>
          <w:rFonts w:ascii="Garamond" w:hAnsi="Garamond"/>
          <w:i/>
          <w:sz w:val="21"/>
          <w:szCs w:val="22"/>
        </w:rPr>
      </w:pPr>
      <w:r w:rsidRPr="00250E6F">
        <w:rPr>
          <w:rFonts w:ascii="Garamond" w:hAnsi="Garamond"/>
          <w:szCs w:val="22"/>
        </w:rPr>
        <w:t>2</w:t>
      </w:r>
      <w:r w:rsidR="007D2CD9" w:rsidRPr="00250E6F">
        <w:rPr>
          <w:rFonts w:ascii="Garamond" w:hAnsi="Garamond"/>
          <w:szCs w:val="22"/>
        </w:rPr>
        <w:t>.</w:t>
      </w:r>
      <w:r w:rsidR="007D2CD9" w:rsidRPr="00250E6F">
        <w:rPr>
          <w:rFonts w:ascii="Garamond" w:hAnsi="Garamond"/>
          <w:i/>
          <w:szCs w:val="22"/>
        </w:rPr>
        <w:t xml:space="preserve"> </w:t>
      </w:r>
      <w:r w:rsidRPr="00250E6F">
        <w:rPr>
          <w:rFonts w:ascii="Garamond" w:hAnsi="Garamond"/>
          <w:i/>
          <w:szCs w:val="22"/>
        </w:rPr>
        <w:t>La revoca del provvedimento: lineamenti di un potere</w:t>
      </w:r>
      <w:r w:rsidR="00DC097E" w:rsidRPr="00250E6F">
        <w:rPr>
          <w:rFonts w:ascii="Garamond" w:hAnsi="Garamond"/>
          <w:i/>
          <w:szCs w:val="22"/>
        </w:rPr>
        <w:t xml:space="preserve"> nell’alveo dell’autotutela</w:t>
      </w:r>
      <w:r w:rsidR="00436718" w:rsidRPr="00250E6F">
        <w:rPr>
          <w:rFonts w:ascii="Garamond" w:hAnsi="Garamond"/>
          <w:i/>
          <w:szCs w:val="22"/>
        </w:rPr>
        <w:t>.</w:t>
      </w:r>
    </w:p>
    <w:p w14:paraId="5A76B97C" w14:textId="77777777" w:rsidR="007D2CD9" w:rsidRPr="00250E6F" w:rsidRDefault="00C90BDF" w:rsidP="007A7DC1">
      <w:pPr>
        <w:spacing w:line="276" w:lineRule="auto"/>
        <w:ind w:firstLine="284"/>
        <w:jc w:val="both"/>
        <w:rPr>
          <w:rFonts w:ascii="Garamond" w:hAnsi="Garamond"/>
          <w:szCs w:val="22"/>
        </w:rPr>
      </w:pPr>
      <w:r w:rsidRPr="00250E6F">
        <w:rPr>
          <w:rFonts w:ascii="Garamond" w:hAnsi="Garamond"/>
          <w:szCs w:val="22"/>
        </w:rPr>
        <w:t xml:space="preserve">S’è detto </w:t>
      </w:r>
      <w:r w:rsidR="00F37811" w:rsidRPr="00250E6F">
        <w:rPr>
          <w:rFonts w:ascii="Garamond" w:hAnsi="Garamond"/>
          <w:szCs w:val="22"/>
        </w:rPr>
        <w:t>in apertura</w:t>
      </w:r>
      <w:r w:rsidRPr="00250E6F">
        <w:rPr>
          <w:rFonts w:ascii="Garamond" w:hAnsi="Garamond"/>
          <w:szCs w:val="22"/>
        </w:rPr>
        <w:t xml:space="preserve"> che </w:t>
      </w:r>
      <w:r w:rsidR="005427F0" w:rsidRPr="00250E6F">
        <w:rPr>
          <w:rFonts w:ascii="Garamond" w:hAnsi="Garamond"/>
          <w:szCs w:val="22"/>
        </w:rPr>
        <w:t xml:space="preserve">la revoca </w:t>
      </w:r>
      <w:r w:rsidR="006B4C53" w:rsidRPr="00250E6F">
        <w:rPr>
          <w:rFonts w:ascii="Garamond" w:hAnsi="Garamond"/>
          <w:szCs w:val="22"/>
        </w:rPr>
        <w:t xml:space="preserve">condivide con l’annullamento d’ufficio l’aspetto concernente la possibilità per la </w:t>
      </w:r>
      <w:proofErr w:type="spellStart"/>
      <w:r w:rsidR="006B4C53" w:rsidRPr="00250E6F">
        <w:rPr>
          <w:rFonts w:ascii="Garamond" w:hAnsi="Garamond"/>
          <w:szCs w:val="22"/>
        </w:rPr>
        <w:t>p.A.</w:t>
      </w:r>
      <w:proofErr w:type="spellEnd"/>
      <w:r w:rsidR="006B4C53" w:rsidRPr="00250E6F">
        <w:rPr>
          <w:rFonts w:ascii="Garamond" w:hAnsi="Garamond"/>
          <w:szCs w:val="22"/>
        </w:rPr>
        <w:t xml:space="preserve"> di adottare un provvedimento ampliativo e poi, in un secondo momento, ritirarlo. </w:t>
      </w:r>
      <w:r w:rsidR="009A55DE" w:rsidRPr="00250E6F">
        <w:rPr>
          <w:rFonts w:ascii="Garamond" w:hAnsi="Garamond"/>
          <w:szCs w:val="22"/>
        </w:rPr>
        <w:t>È plausibile che l</w:t>
      </w:r>
      <w:r w:rsidR="005427F0" w:rsidRPr="00250E6F">
        <w:rPr>
          <w:rFonts w:ascii="Garamond" w:hAnsi="Garamond"/>
          <w:szCs w:val="22"/>
        </w:rPr>
        <w:t xml:space="preserve">a </w:t>
      </w:r>
      <w:r w:rsidR="006B4C53" w:rsidRPr="00250E6F">
        <w:rPr>
          <w:rFonts w:ascii="Garamond" w:hAnsi="Garamond"/>
          <w:szCs w:val="22"/>
        </w:rPr>
        <w:t>peculiare</w:t>
      </w:r>
      <w:r w:rsidR="005427F0" w:rsidRPr="00250E6F">
        <w:rPr>
          <w:rFonts w:ascii="Garamond" w:hAnsi="Garamond"/>
          <w:szCs w:val="22"/>
        </w:rPr>
        <w:t xml:space="preserve"> collocazione sistematica </w:t>
      </w:r>
      <w:r w:rsidR="006B4C53" w:rsidRPr="00250E6F">
        <w:rPr>
          <w:rFonts w:ascii="Garamond" w:hAnsi="Garamond"/>
          <w:szCs w:val="22"/>
        </w:rPr>
        <w:t xml:space="preserve">di questo istituto </w:t>
      </w:r>
      <w:r w:rsidR="005427F0" w:rsidRPr="00250E6F">
        <w:rPr>
          <w:rFonts w:ascii="Garamond" w:hAnsi="Garamond"/>
          <w:szCs w:val="22"/>
        </w:rPr>
        <w:t xml:space="preserve">all’interno della legge sul </w:t>
      </w:r>
      <w:r w:rsidR="003B4A6F" w:rsidRPr="00250E6F">
        <w:rPr>
          <w:rFonts w:ascii="Garamond" w:hAnsi="Garamond"/>
          <w:szCs w:val="22"/>
        </w:rPr>
        <w:t>procedimento</w:t>
      </w:r>
      <w:r w:rsidR="005427F0" w:rsidRPr="00250E6F">
        <w:rPr>
          <w:rFonts w:ascii="Garamond" w:hAnsi="Garamond"/>
          <w:szCs w:val="22"/>
        </w:rPr>
        <w:t xml:space="preserve"> amministrativo</w:t>
      </w:r>
      <w:r w:rsidR="005427F0" w:rsidRPr="00250E6F">
        <w:rPr>
          <w:rStyle w:val="Rimandonotaapidipagina"/>
          <w:rFonts w:ascii="Garamond" w:hAnsi="Garamond"/>
          <w:szCs w:val="22"/>
        </w:rPr>
        <w:footnoteReference w:id="8"/>
      </w:r>
      <w:r w:rsidR="009A55DE" w:rsidRPr="00250E6F">
        <w:rPr>
          <w:rFonts w:ascii="Garamond" w:hAnsi="Garamond"/>
          <w:szCs w:val="22"/>
        </w:rPr>
        <w:t xml:space="preserve"> sia peraltro conseguenza de</w:t>
      </w:r>
      <w:r w:rsidR="007D2CD9" w:rsidRPr="00250E6F">
        <w:rPr>
          <w:rFonts w:ascii="Garamond" w:hAnsi="Garamond"/>
          <w:szCs w:val="22"/>
        </w:rPr>
        <w:t>l</w:t>
      </w:r>
      <w:r w:rsidR="009A55DE" w:rsidRPr="00250E6F">
        <w:rPr>
          <w:rFonts w:ascii="Garamond" w:hAnsi="Garamond"/>
          <w:szCs w:val="22"/>
        </w:rPr>
        <w:t xml:space="preserve"> sedimentato</w:t>
      </w:r>
      <w:r w:rsidR="007D2CD9" w:rsidRPr="00250E6F">
        <w:rPr>
          <w:rFonts w:ascii="Garamond" w:hAnsi="Garamond"/>
          <w:szCs w:val="22"/>
        </w:rPr>
        <w:t xml:space="preserve"> pensiero giuridico </w:t>
      </w:r>
      <w:r w:rsidR="009A55DE" w:rsidRPr="00250E6F">
        <w:rPr>
          <w:rFonts w:ascii="Garamond" w:hAnsi="Garamond"/>
          <w:szCs w:val="22"/>
        </w:rPr>
        <w:t>risalente agli</w:t>
      </w:r>
      <w:r w:rsidR="007D2CD9" w:rsidRPr="00250E6F">
        <w:rPr>
          <w:rFonts w:ascii="Garamond" w:hAnsi="Garamond"/>
          <w:szCs w:val="22"/>
        </w:rPr>
        <w:t xml:space="preserve"> anni ’50</w:t>
      </w:r>
      <w:r w:rsidR="007D2CD9" w:rsidRPr="00250E6F">
        <w:rPr>
          <w:rStyle w:val="Rimandonotaapidipagina"/>
          <w:rFonts w:ascii="Garamond" w:hAnsi="Garamond"/>
          <w:szCs w:val="22"/>
        </w:rPr>
        <w:footnoteReference w:id="9"/>
      </w:r>
      <w:r w:rsidR="009A55DE" w:rsidRPr="00250E6F">
        <w:rPr>
          <w:rFonts w:ascii="Garamond" w:hAnsi="Garamond"/>
          <w:szCs w:val="22"/>
        </w:rPr>
        <w:t>, il quale</w:t>
      </w:r>
      <w:r w:rsidR="007D2CD9" w:rsidRPr="00250E6F">
        <w:rPr>
          <w:rFonts w:ascii="Garamond" w:hAnsi="Garamond"/>
          <w:szCs w:val="22"/>
        </w:rPr>
        <w:t xml:space="preserve"> </w:t>
      </w:r>
      <w:r w:rsidR="009A55DE" w:rsidRPr="00250E6F">
        <w:rPr>
          <w:rFonts w:ascii="Garamond" w:hAnsi="Garamond"/>
          <w:szCs w:val="22"/>
        </w:rPr>
        <w:t>ha</w:t>
      </w:r>
      <w:r w:rsidR="006B4C53" w:rsidRPr="00250E6F">
        <w:rPr>
          <w:rFonts w:ascii="Garamond" w:hAnsi="Garamond"/>
          <w:szCs w:val="22"/>
        </w:rPr>
        <w:t xml:space="preserve"> inquadrato il potere </w:t>
      </w:r>
      <w:r w:rsidR="006B4C53" w:rsidRPr="00250E6F">
        <w:rPr>
          <w:rFonts w:ascii="Garamond" w:hAnsi="Garamond"/>
          <w:szCs w:val="22"/>
        </w:rPr>
        <w:lastRenderedPageBreak/>
        <w:t xml:space="preserve">revocatorio come manifestazione dell’autotutela amministrativa: </w:t>
      </w:r>
      <w:r w:rsidR="007D2CD9" w:rsidRPr="00250E6F">
        <w:rPr>
          <w:rFonts w:ascii="Garamond" w:hAnsi="Garamond"/>
          <w:szCs w:val="22"/>
        </w:rPr>
        <w:t>la giurisprudenza</w:t>
      </w:r>
      <w:r w:rsidR="007D2CD9" w:rsidRPr="00250E6F">
        <w:rPr>
          <w:rStyle w:val="Rimandonotaapidipagina"/>
          <w:rFonts w:ascii="Garamond" w:hAnsi="Garamond"/>
          <w:szCs w:val="22"/>
        </w:rPr>
        <w:footnoteReference w:id="10"/>
      </w:r>
      <w:r w:rsidR="007D2CD9" w:rsidRPr="00250E6F">
        <w:rPr>
          <w:rFonts w:ascii="Garamond" w:hAnsi="Garamond"/>
          <w:szCs w:val="22"/>
        </w:rPr>
        <w:t xml:space="preserve"> e la dottrina</w:t>
      </w:r>
      <w:r w:rsidR="007D2CD9" w:rsidRPr="00250E6F">
        <w:rPr>
          <w:rStyle w:val="Rimandonotaapidipagina"/>
          <w:rFonts w:ascii="Garamond" w:hAnsi="Garamond"/>
          <w:szCs w:val="22"/>
        </w:rPr>
        <w:footnoteReference w:id="11"/>
      </w:r>
      <w:r w:rsidR="006B4C53" w:rsidRPr="00250E6F">
        <w:rPr>
          <w:rFonts w:ascii="Garamond" w:hAnsi="Garamond"/>
          <w:szCs w:val="22"/>
        </w:rPr>
        <w:t xml:space="preserve"> seguenti hanno non di rado confermato questa impostazione</w:t>
      </w:r>
      <w:r w:rsidR="007D2CD9" w:rsidRPr="00250E6F">
        <w:rPr>
          <w:rFonts w:ascii="Garamond" w:hAnsi="Garamond"/>
          <w:szCs w:val="22"/>
        </w:rPr>
        <w:t>.</w:t>
      </w:r>
    </w:p>
    <w:p w14:paraId="17B6AA68" w14:textId="77777777" w:rsidR="00A57731" w:rsidRPr="00250E6F" w:rsidRDefault="00FD74C6" w:rsidP="00B3638F">
      <w:pPr>
        <w:spacing w:line="276" w:lineRule="auto"/>
        <w:ind w:firstLine="284"/>
        <w:jc w:val="both"/>
        <w:rPr>
          <w:rFonts w:ascii="Garamond" w:hAnsi="Garamond"/>
          <w:szCs w:val="22"/>
        </w:rPr>
      </w:pPr>
      <w:r w:rsidRPr="00250E6F">
        <w:rPr>
          <w:rFonts w:ascii="Garamond" w:hAnsi="Garamond"/>
          <w:szCs w:val="22"/>
        </w:rPr>
        <w:t xml:space="preserve">Sono espressione di questa lettura, per esempio, </w:t>
      </w:r>
      <w:r w:rsidR="005A4A5A" w:rsidRPr="00250E6F">
        <w:rPr>
          <w:rFonts w:ascii="Garamond" w:hAnsi="Garamond"/>
          <w:szCs w:val="22"/>
        </w:rPr>
        <w:t>le</w:t>
      </w:r>
      <w:r w:rsidRPr="00250E6F">
        <w:rPr>
          <w:rFonts w:ascii="Garamond" w:hAnsi="Garamond"/>
          <w:szCs w:val="22"/>
        </w:rPr>
        <w:t xml:space="preserve"> pronunce che assimilano revoca e annullamento d’ufficio </w:t>
      </w:r>
      <w:r w:rsidR="006A1515" w:rsidRPr="00250E6F">
        <w:rPr>
          <w:rFonts w:ascii="Garamond" w:hAnsi="Garamond"/>
          <w:szCs w:val="22"/>
        </w:rPr>
        <w:t>quanto al</w:t>
      </w:r>
      <w:r w:rsidRPr="00250E6F">
        <w:rPr>
          <w:rFonts w:ascii="Garamond" w:hAnsi="Garamond"/>
          <w:szCs w:val="22"/>
        </w:rPr>
        <w:t xml:space="preserve">la posizione rivestita dal soggetto privato nei confronti del potere: è d’interesse legittimo la situazione giuridica di chi </w:t>
      </w:r>
      <w:r w:rsidR="00BF294D" w:rsidRPr="00250E6F">
        <w:rPr>
          <w:rFonts w:ascii="Garamond" w:hAnsi="Garamond"/>
          <w:szCs w:val="22"/>
        </w:rPr>
        <w:t>venga</w:t>
      </w:r>
      <w:r w:rsidRPr="00250E6F">
        <w:rPr>
          <w:rFonts w:ascii="Garamond" w:hAnsi="Garamond"/>
          <w:szCs w:val="22"/>
        </w:rPr>
        <w:t xml:space="preserve"> </w:t>
      </w:r>
      <w:r w:rsidR="00C255C0" w:rsidRPr="00250E6F">
        <w:rPr>
          <w:rFonts w:ascii="Garamond" w:hAnsi="Garamond"/>
          <w:szCs w:val="22"/>
        </w:rPr>
        <w:t>privato di</w:t>
      </w:r>
      <w:r w:rsidR="00915357" w:rsidRPr="00250E6F">
        <w:rPr>
          <w:rFonts w:ascii="Garamond" w:hAnsi="Garamond"/>
          <w:szCs w:val="22"/>
        </w:rPr>
        <w:t xml:space="preserve"> </w:t>
      </w:r>
      <w:r w:rsidRPr="00250E6F">
        <w:rPr>
          <w:rFonts w:ascii="Garamond" w:hAnsi="Garamond"/>
          <w:szCs w:val="22"/>
        </w:rPr>
        <w:t>un finanziamento</w:t>
      </w:r>
      <w:r w:rsidR="0046160D" w:rsidRPr="00250E6F">
        <w:rPr>
          <w:rFonts w:ascii="Garamond" w:hAnsi="Garamond"/>
          <w:szCs w:val="22"/>
        </w:rPr>
        <w:t>,</w:t>
      </w:r>
      <w:r w:rsidRPr="00250E6F">
        <w:rPr>
          <w:rFonts w:ascii="Garamond" w:hAnsi="Garamond"/>
          <w:szCs w:val="22"/>
        </w:rPr>
        <w:t xml:space="preserve"> </w:t>
      </w:r>
      <w:r w:rsidR="00915357" w:rsidRPr="00250E6F">
        <w:rPr>
          <w:rFonts w:ascii="Garamond" w:hAnsi="Garamond"/>
          <w:szCs w:val="22"/>
        </w:rPr>
        <w:t>già attribuito</w:t>
      </w:r>
      <w:r w:rsidR="0046160D" w:rsidRPr="00250E6F">
        <w:rPr>
          <w:rFonts w:ascii="Garamond" w:hAnsi="Garamond"/>
          <w:szCs w:val="22"/>
        </w:rPr>
        <w:t>gli,</w:t>
      </w:r>
      <w:r w:rsidR="00ED0650" w:rsidRPr="00250E6F">
        <w:rPr>
          <w:rFonts w:ascii="Garamond" w:hAnsi="Garamond"/>
          <w:szCs w:val="22"/>
        </w:rPr>
        <w:t xml:space="preserve"> a seguito di atto di autotutela</w:t>
      </w:r>
      <w:r w:rsidR="00750788" w:rsidRPr="00250E6F">
        <w:rPr>
          <w:rFonts w:ascii="Garamond" w:hAnsi="Garamond"/>
          <w:szCs w:val="22"/>
        </w:rPr>
        <w:t xml:space="preserve">, qual </w:t>
      </w:r>
      <w:r w:rsidR="003F1D68" w:rsidRPr="00250E6F">
        <w:rPr>
          <w:rFonts w:ascii="Garamond" w:hAnsi="Garamond"/>
          <w:szCs w:val="22"/>
        </w:rPr>
        <w:t xml:space="preserve">che </w:t>
      </w:r>
      <w:r w:rsidR="00750788" w:rsidRPr="00250E6F">
        <w:rPr>
          <w:rFonts w:ascii="Garamond" w:hAnsi="Garamond"/>
          <w:szCs w:val="22"/>
        </w:rPr>
        <w:t>ess</w:t>
      </w:r>
      <w:r w:rsidR="00ED0650" w:rsidRPr="00250E6F">
        <w:rPr>
          <w:rFonts w:ascii="Garamond" w:hAnsi="Garamond"/>
          <w:szCs w:val="22"/>
        </w:rPr>
        <w:t>o</w:t>
      </w:r>
      <w:r w:rsidR="00750788" w:rsidRPr="00250E6F">
        <w:rPr>
          <w:rFonts w:ascii="Garamond" w:hAnsi="Garamond"/>
          <w:szCs w:val="22"/>
        </w:rPr>
        <w:t xml:space="preserve"> sia (revoca o annullamento d’ufficio)</w:t>
      </w:r>
      <w:r w:rsidRPr="00250E6F">
        <w:rPr>
          <w:rStyle w:val="Rimandonotaapidipagina"/>
          <w:rFonts w:ascii="Garamond" w:hAnsi="Garamond"/>
          <w:szCs w:val="22"/>
        </w:rPr>
        <w:footnoteReference w:id="12"/>
      </w:r>
      <w:r w:rsidRPr="00250E6F">
        <w:rPr>
          <w:rFonts w:ascii="Garamond" w:hAnsi="Garamond"/>
          <w:szCs w:val="22"/>
        </w:rPr>
        <w:t>.</w:t>
      </w:r>
      <w:r w:rsidR="001800EE" w:rsidRPr="00250E6F">
        <w:rPr>
          <w:rFonts w:ascii="Garamond" w:hAnsi="Garamond"/>
          <w:szCs w:val="22"/>
        </w:rPr>
        <w:t xml:space="preserve"> </w:t>
      </w:r>
      <w:r w:rsidR="00B12FB6" w:rsidRPr="00250E6F">
        <w:rPr>
          <w:rFonts w:ascii="Garamond" w:hAnsi="Garamond"/>
          <w:szCs w:val="22"/>
        </w:rPr>
        <w:t xml:space="preserve">Oppure ancora, si pensi alla giurisprudenza circa la responsabilità precontrattuale </w:t>
      </w:r>
      <w:r w:rsidR="00B12FB6" w:rsidRPr="00250E6F">
        <w:rPr>
          <w:rFonts w:ascii="Garamond" w:hAnsi="Garamond"/>
          <w:szCs w:val="22"/>
        </w:rPr>
        <w:lastRenderedPageBreak/>
        <w:t xml:space="preserve">della </w:t>
      </w:r>
      <w:proofErr w:type="spellStart"/>
      <w:r w:rsidR="00B12FB6" w:rsidRPr="00250E6F">
        <w:rPr>
          <w:rFonts w:ascii="Garamond" w:hAnsi="Garamond"/>
          <w:szCs w:val="22"/>
        </w:rPr>
        <w:t>p.A.</w:t>
      </w:r>
      <w:proofErr w:type="spellEnd"/>
      <w:r w:rsidR="00B12FB6" w:rsidRPr="00250E6F">
        <w:rPr>
          <w:rFonts w:ascii="Garamond" w:hAnsi="Garamond"/>
          <w:szCs w:val="22"/>
        </w:rPr>
        <w:t xml:space="preserve"> </w:t>
      </w:r>
      <w:r w:rsidR="00B12FB6" w:rsidRPr="00250E6F">
        <w:rPr>
          <w:rFonts w:ascii="Garamond" w:hAnsi="Garamond"/>
          <w:i/>
          <w:szCs w:val="22"/>
        </w:rPr>
        <w:t>ex</w:t>
      </w:r>
      <w:r w:rsidR="00B12FB6" w:rsidRPr="00250E6F">
        <w:rPr>
          <w:rFonts w:ascii="Garamond" w:hAnsi="Garamond"/>
          <w:szCs w:val="22"/>
        </w:rPr>
        <w:t xml:space="preserve"> art. 1337 c.c. laddove essa </w:t>
      </w:r>
      <w:r w:rsidR="00A57731" w:rsidRPr="00250E6F">
        <w:rPr>
          <w:rFonts w:ascii="Garamond" w:hAnsi="Garamond"/>
          <w:szCs w:val="22"/>
        </w:rPr>
        <w:t xml:space="preserve">adotti, nell’ambito di procedure a evidenza pubblica, atti di revoca o annullamento d’ufficio: anche in questo caso le pronunce accomunano </w:t>
      </w:r>
      <w:r w:rsidR="00A57731" w:rsidRPr="00250E6F">
        <w:rPr>
          <w:rFonts w:ascii="Garamond" w:hAnsi="Garamond"/>
          <w:i/>
          <w:szCs w:val="22"/>
        </w:rPr>
        <w:t>sub</w:t>
      </w:r>
      <w:r w:rsidR="00750788" w:rsidRPr="00250E6F">
        <w:rPr>
          <w:rFonts w:ascii="Garamond" w:hAnsi="Garamond"/>
          <w:i/>
          <w:szCs w:val="22"/>
        </w:rPr>
        <w:t xml:space="preserve"> specie</w:t>
      </w:r>
      <w:r w:rsidR="00A57731" w:rsidRPr="00250E6F">
        <w:rPr>
          <w:rFonts w:ascii="Garamond" w:hAnsi="Garamond"/>
          <w:szCs w:val="22"/>
        </w:rPr>
        <w:t xml:space="preserve"> </w:t>
      </w:r>
      <w:r w:rsidR="00750788" w:rsidRPr="00250E6F">
        <w:rPr>
          <w:rFonts w:ascii="Garamond" w:hAnsi="Garamond"/>
          <w:szCs w:val="22"/>
        </w:rPr>
        <w:t xml:space="preserve">di </w:t>
      </w:r>
      <w:r w:rsidR="00A57731" w:rsidRPr="00250E6F">
        <w:rPr>
          <w:rFonts w:ascii="Garamond" w:hAnsi="Garamond"/>
          <w:szCs w:val="22"/>
        </w:rPr>
        <w:t>autotutela pubblicistica entrambi i poteri</w:t>
      </w:r>
      <w:r w:rsidR="00A57731" w:rsidRPr="00250E6F">
        <w:rPr>
          <w:rStyle w:val="Rimandonotaapidipagina"/>
          <w:rFonts w:ascii="Garamond" w:hAnsi="Garamond"/>
          <w:szCs w:val="22"/>
        </w:rPr>
        <w:footnoteReference w:id="13"/>
      </w:r>
      <w:r w:rsidR="00A57731" w:rsidRPr="00250E6F">
        <w:rPr>
          <w:rFonts w:ascii="Garamond" w:hAnsi="Garamond"/>
          <w:szCs w:val="22"/>
        </w:rPr>
        <w:t>.</w:t>
      </w:r>
      <w:r w:rsidR="00B3638F" w:rsidRPr="00250E6F">
        <w:rPr>
          <w:rFonts w:ascii="Garamond" w:hAnsi="Garamond"/>
          <w:szCs w:val="22"/>
        </w:rPr>
        <w:t xml:space="preserve"> </w:t>
      </w:r>
      <w:r w:rsidR="00A57731" w:rsidRPr="00250E6F">
        <w:rPr>
          <w:rFonts w:ascii="Garamond" w:hAnsi="Garamond"/>
          <w:szCs w:val="22"/>
        </w:rPr>
        <w:t>Si segnala per una posizione abbastanza curiosa, invece, una certa giurisprudenza in materia di gare d’appalto: per la quale la revoca potrebbe essere espressione del potere di autotutel</w:t>
      </w:r>
      <w:r w:rsidR="00B55621" w:rsidRPr="00250E6F">
        <w:rPr>
          <w:rFonts w:ascii="Garamond" w:hAnsi="Garamond"/>
          <w:szCs w:val="22"/>
        </w:rPr>
        <w:t xml:space="preserve">a solo ove </w:t>
      </w:r>
      <w:r w:rsidR="000720DD" w:rsidRPr="00250E6F">
        <w:rPr>
          <w:rFonts w:ascii="Garamond" w:hAnsi="Garamond"/>
          <w:szCs w:val="22"/>
        </w:rPr>
        <w:t>il ritiro di un atto comporti il bilanciamento con posizioni giuridiche ormai acquisite e consolidate; viceversa, rientrerebbe nel più generale potere di amministrazione attiva laddove essa costituisca ritiro “puro” senza incidenza su posizioni giuridiche dei privati</w:t>
      </w:r>
      <w:r w:rsidR="000720DD" w:rsidRPr="00250E6F">
        <w:rPr>
          <w:rStyle w:val="Rimandonotaapidipagina"/>
          <w:rFonts w:ascii="Garamond" w:hAnsi="Garamond"/>
          <w:szCs w:val="22"/>
        </w:rPr>
        <w:footnoteReference w:id="14"/>
      </w:r>
      <w:r w:rsidR="000720DD" w:rsidRPr="00250E6F">
        <w:rPr>
          <w:rFonts w:ascii="Garamond" w:hAnsi="Garamond"/>
          <w:szCs w:val="22"/>
        </w:rPr>
        <w:t>.</w:t>
      </w:r>
    </w:p>
    <w:p w14:paraId="55B421E2" w14:textId="77777777" w:rsidR="00761106" w:rsidRPr="00250E6F" w:rsidRDefault="008879DF" w:rsidP="007A7DC1">
      <w:pPr>
        <w:spacing w:line="276" w:lineRule="auto"/>
        <w:ind w:firstLine="284"/>
        <w:jc w:val="both"/>
        <w:rPr>
          <w:rFonts w:ascii="Garamond" w:hAnsi="Garamond"/>
          <w:szCs w:val="22"/>
        </w:rPr>
      </w:pPr>
      <w:r w:rsidRPr="00250E6F">
        <w:rPr>
          <w:rFonts w:ascii="Garamond" w:hAnsi="Garamond"/>
          <w:szCs w:val="22"/>
        </w:rPr>
        <w:t>L’inquadramento della revoca nell’autotutela decisoria</w:t>
      </w:r>
      <w:r w:rsidR="004B5741" w:rsidRPr="00250E6F">
        <w:rPr>
          <w:rStyle w:val="Rimandonotaapidipagina"/>
          <w:rFonts w:ascii="Garamond" w:hAnsi="Garamond"/>
          <w:szCs w:val="22"/>
        </w:rPr>
        <w:footnoteReference w:id="15"/>
      </w:r>
      <w:r w:rsidR="004B5741" w:rsidRPr="00250E6F">
        <w:rPr>
          <w:rFonts w:ascii="Garamond" w:hAnsi="Garamond"/>
          <w:szCs w:val="22"/>
        </w:rPr>
        <w:t xml:space="preserve"> tentava di giustificare il potere dell’Amministrazione d’intervenire su propri provvedimenti – risolvendo così conflitti attuali o potenziali con altri interessi in relazione a quei medesimi provvedimenti – senza l’intervento del Giudice: il che la rendeva assimilabile a un potere para-giurisdizionale. L’elemento centrale della ricostruzione stava proprio nel conflitto tra interessi, risolvibile </w:t>
      </w:r>
      <w:r w:rsidR="0084109F" w:rsidRPr="00250E6F">
        <w:rPr>
          <w:rFonts w:ascii="Garamond" w:hAnsi="Garamond"/>
          <w:szCs w:val="22"/>
        </w:rPr>
        <w:t>dal</w:t>
      </w:r>
      <w:r w:rsidR="004B5741" w:rsidRPr="00250E6F">
        <w:rPr>
          <w:rFonts w:ascii="Garamond" w:hAnsi="Garamond"/>
          <w:szCs w:val="22"/>
        </w:rPr>
        <w:t>l’autorità amministrativa senza ricorrere a quella giurisdizionale. Non diversamente da quanto si afferma nell’ambito dell’annullamento d’ufficio: e cioè che l’Amministrazione – diversamente da tutti gli altri soggetti dell’ordinamento, per i quali vige un divieto penale</w:t>
      </w:r>
      <w:r w:rsidR="003544B0" w:rsidRPr="00250E6F">
        <w:rPr>
          <w:rStyle w:val="Rimandonotaapidipagina"/>
          <w:rFonts w:ascii="Garamond" w:hAnsi="Garamond"/>
          <w:szCs w:val="22"/>
        </w:rPr>
        <w:footnoteReference w:id="16"/>
      </w:r>
      <w:r w:rsidR="004B5741" w:rsidRPr="00250E6F">
        <w:rPr>
          <w:rFonts w:ascii="Garamond" w:hAnsi="Garamond"/>
          <w:szCs w:val="22"/>
        </w:rPr>
        <w:t xml:space="preserve"> – può “farsi giustizia</w:t>
      </w:r>
      <w:r w:rsidR="007E1F66" w:rsidRPr="00250E6F">
        <w:rPr>
          <w:rFonts w:ascii="Garamond" w:hAnsi="Garamond"/>
          <w:szCs w:val="22"/>
        </w:rPr>
        <w:t xml:space="preserve"> da sé</w:t>
      </w:r>
      <w:r w:rsidR="004B5741" w:rsidRPr="00250E6F">
        <w:rPr>
          <w:rFonts w:ascii="Garamond" w:hAnsi="Garamond"/>
          <w:szCs w:val="22"/>
        </w:rPr>
        <w:t>”.</w:t>
      </w:r>
    </w:p>
    <w:p w14:paraId="7A84CD97" w14:textId="77777777" w:rsidR="004B5741" w:rsidRPr="00250E6F" w:rsidRDefault="00DC097E" w:rsidP="007A7DC1">
      <w:pPr>
        <w:spacing w:line="276" w:lineRule="auto"/>
        <w:ind w:firstLine="284"/>
        <w:jc w:val="both"/>
        <w:rPr>
          <w:rFonts w:ascii="Garamond" w:hAnsi="Garamond"/>
          <w:szCs w:val="22"/>
        </w:rPr>
      </w:pPr>
      <w:r w:rsidRPr="00250E6F">
        <w:rPr>
          <w:rFonts w:ascii="Garamond" w:hAnsi="Garamond"/>
          <w:szCs w:val="22"/>
        </w:rPr>
        <w:lastRenderedPageBreak/>
        <w:t xml:space="preserve">In realtà, però, più che il profilo d’atto di autotutela, nella revoca pare emergerne un altro. Che nulla ha a che vedere con </w:t>
      </w:r>
      <w:r w:rsidR="0040775D" w:rsidRPr="00250E6F">
        <w:rPr>
          <w:rFonts w:ascii="Garamond" w:hAnsi="Garamond"/>
          <w:szCs w:val="22"/>
        </w:rPr>
        <w:t>l’attività giustiziale</w:t>
      </w:r>
      <w:r w:rsidRPr="00250E6F">
        <w:rPr>
          <w:rFonts w:ascii="Garamond" w:hAnsi="Garamond"/>
          <w:szCs w:val="22"/>
        </w:rPr>
        <w:t xml:space="preserve">: bensì con una valutazione sorvegliata circa l’opportunità dei propri atti, tale da consentire alla stessa </w:t>
      </w:r>
      <w:proofErr w:type="spellStart"/>
      <w:r w:rsidRPr="00250E6F">
        <w:rPr>
          <w:rFonts w:ascii="Garamond" w:hAnsi="Garamond"/>
          <w:szCs w:val="22"/>
        </w:rPr>
        <w:t>p.A.</w:t>
      </w:r>
      <w:proofErr w:type="spellEnd"/>
      <w:r w:rsidRPr="00250E6F">
        <w:rPr>
          <w:rFonts w:ascii="Garamond" w:hAnsi="Garamond"/>
          <w:szCs w:val="22"/>
        </w:rPr>
        <w:t xml:space="preserve"> – stante l’unilateralità del suo potere – d’intervenire ed eliminarne gli effetti, alla ricorrenza di determinati presupposti. Come a dire che con la revoca la </w:t>
      </w:r>
      <w:proofErr w:type="spellStart"/>
      <w:r w:rsidRPr="00250E6F">
        <w:rPr>
          <w:rFonts w:ascii="Garamond" w:hAnsi="Garamond"/>
          <w:szCs w:val="22"/>
        </w:rPr>
        <w:t>p.A.</w:t>
      </w:r>
      <w:proofErr w:type="spellEnd"/>
      <w:r w:rsidRPr="00250E6F">
        <w:rPr>
          <w:rFonts w:ascii="Garamond" w:hAnsi="Garamond"/>
          <w:szCs w:val="22"/>
        </w:rPr>
        <w:t xml:space="preserve"> non si </w:t>
      </w:r>
      <w:r w:rsidR="00DD23F8" w:rsidRPr="00250E6F">
        <w:rPr>
          <w:rFonts w:ascii="Garamond" w:hAnsi="Garamond"/>
          <w:szCs w:val="22"/>
        </w:rPr>
        <w:t>“</w:t>
      </w:r>
      <w:r w:rsidRPr="00250E6F">
        <w:rPr>
          <w:rFonts w:ascii="Garamond" w:hAnsi="Garamond"/>
          <w:szCs w:val="22"/>
        </w:rPr>
        <w:t>auto-tutela</w:t>
      </w:r>
      <w:r w:rsidR="00DD23F8" w:rsidRPr="00250E6F">
        <w:rPr>
          <w:rFonts w:ascii="Garamond" w:hAnsi="Garamond"/>
          <w:szCs w:val="22"/>
        </w:rPr>
        <w:t>”</w:t>
      </w:r>
      <w:r w:rsidRPr="00250E6F">
        <w:rPr>
          <w:rFonts w:ascii="Garamond" w:hAnsi="Garamond"/>
          <w:szCs w:val="22"/>
        </w:rPr>
        <w:t xml:space="preserve">: semplicemente veglia sugli interessi pubblici perseguiti </w:t>
      </w:r>
      <w:r w:rsidR="00606186" w:rsidRPr="00250E6F">
        <w:rPr>
          <w:rFonts w:ascii="Garamond" w:hAnsi="Garamond"/>
          <w:szCs w:val="22"/>
        </w:rPr>
        <w:t>in origine</w:t>
      </w:r>
      <w:r w:rsidRPr="00250E6F">
        <w:rPr>
          <w:rFonts w:ascii="Garamond" w:hAnsi="Garamond"/>
          <w:szCs w:val="22"/>
        </w:rPr>
        <w:t xml:space="preserve"> e, se questi mutano o richiedono un diverso intervento, interrompe gli effetti </w:t>
      </w:r>
      <w:r w:rsidR="00606186" w:rsidRPr="00250E6F">
        <w:rPr>
          <w:rFonts w:ascii="Garamond" w:hAnsi="Garamond"/>
          <w:szCs w:val="22"/>
        </w:rPr>
        <w:t>del provvedimento che li amministra</w:t>
      </w:r>
      <w:r w:rsidRPr="00250E6F">
        <w:rPr>
          <w:rFonts w:ascii="Garamond" w:hAnsi="Garamond"/>
          <w:szCs w:val="22"/>
        </w:rPr>
        <w:t>.</w:t>
      </w:r>
    </w:p>
    <w:p w14:paraId="53D008AC" w14:textId="77777777" w:rsidR="007612E6" w:rsidRPr="00250E6F" w:rsidRDefault="007612E6" w:rsidP="007A7DC1">
      <w:pPr>
        <w:spacing w:line="276" w:lineRule="auto"/>
        <w:ind w:firstLine="284"/>
        <w:jc w:val="both"/>
        <w:rPr>
          <w:rFonts w:ascii="Garamond" w:hAnsi="Garamond"/>
          <w:szCs w:val="22"/>
        </w:rPr>
      </w:pPr>
    </w:p>
    <w:p w14:paraId="6EE9A132" w14:textId="1CD4B4E1" w:rsidR="00DC097E" w:rsidRPr="00250E6F" w:rsidRDefault="00DC097E" w:rsidP="007A7DC1">
      <w:pPr>
        <w:spacing w:line="276" w:lineRule="auto"/>
        <w:ind w:firstLine="284"/>
        <w:jc w:val="both"/>
        <w:rPr>
          <w:rFonts w:ascii="Garamond" w:hAnsi="Garamond"/>
          <w:i/>
          <w:szCs w:val="22"/>
        </w:rPr>
      </w:pPr>
      <w:r w:rsidRPr="00250E6F">
        <w:rPr>
          <w:rFonts w:ascii="Garamond" w:hAnsi="Garamond"/>
          <w:szCs w:val="22"/>
        </w:rPr>
        <w:t xml:space="preserve">3. </w:t>
      </w:r>
      <w:r w:rsidRPr="00250E6F">
        <w:rPr>
          <w:rFonts w:ascii="Garamond" w:hAnsi="Garamond"/>
          <w:i/>
          <w:szCs w:val="22"/>
        </w:rPr>
        <w:t>La revoca</w:t>
      </w:r>
      <w:r w:rsidR="00D11941" w:rsidRPr="00250E6F">
        <w:rPr>
          <w:rFonts w:ascii="Garamond" w:hAnsi="Garamond"/>
          <w:i/>
          <w:szCs w:val="22"/>
        </w:rPr>
        <w:t xml:space="preserve">: indici </w:t>
      </w:r>
      <w:r w:rsidRPr="00250E6F">
        <w:rPr>
          <w:rFonts w:ascii="Garamond" w:hAnsi="Garamond"/>
          <w:i/>
          <w:szCs w:val="22"/>
        </w:rPr>
        <w:t>di amministrazione attiva.</w:t>
      </w:r>
    </w:p>
    <w:p w14:paraId="13D9FEE4" w14:textId="77777777" w:rsidR="00587DA3" w:rsidRPr="00250E6F" w:rsidRDefault="00DC097E" w:rsidP="007A7DC1">
      <w:pPr>
        <w:spacing w:line="276" w:lineRule="auto"/>
        <w:ind w:firstLine="284"/>
        <w:jc w:val="both"/>
        <w:rPr>
          <w:rFonts w:ascii="Garamond" w:hAnsi="Garamond"/>
          <w:szCs w:val="22"/>
        </w:rPr>
      </w:pPr>
      <w:r w:rsidRPr="00250E6F">
        <w:rPr>
          <w:rFonts w:ascii="Garamond" w:hAnsi="Garamond"/>
          <w:szCs w:val="22"/>
        </w:rPr>
        <w:t>Pertanto</w:t>
      </w:r>
      <w:r w:rsidR="007D2CD9" w:rsidRPr="00250E6F">
        <w:rPr>
          <w:rFonts w:ascii="Garamond" w:hAnsi="Garamond"/>
          <w:szCs w:val="22"/>
        </w:rPr>
        <w:t xml:space="preserve">, i caratteri della revoca </w:t>
      </w:r>
      <w:r w:rsidR="00A54BEE" w:rsidRPr="00250E6F">
        <w:rPr>
          <w:rFonts w:ascii="Garamond" w:hAnsi="Garamond"/>
          <w:szCs w:val="22"/>
        </w:rPr>
        <w:t xml:space="preserve">seguono una direttrice che </w:t>
      </w:r>
      <w:r w:rsidR="00587DA3" w:rsidRPr="00250E6F">
        <w:rPr>
          <w:rFonts w:ascii="Garamond" w:hAnsi="Garamond"/>
          <w:szCs w:val="22"/>
        </w:rPr>
        <w:t>porta</w:t>
      </w:r>
      <w:r w:rsidR="00A54BEE" w:rsidRPr="00250E6F">
        <w:rPr>
          <w:rFonts w:ascii="Garamond" w:hAnsi="Garamond"/>
          <w:szCs w:val="22"/>
        </w:rPr>
        <w:t xml:space="preserve"> a una</w:t>
      </w:r>
      <w:r w:rsidR="007D2CD9" w:rsidRPr="00250E6F">
        <w:rPr>
          <w:rFonts w:ascii="Garamond" w:hAnsi="Garamond"/>
          <w:szCs w:val="22"/>
        </w:rPr>
        <w:t xml:space="preserve"> </w:t>
      </w:r>
      <w:r w:rsidR="00D951DE" w:rsidRPr="00250E6F">
        <w:rPr>
          <w:rFonts w:ascii="Garamond" w:hAnsi="Garamond"/>
          <w:szCs w:val="22"/>
        </w:rPr>
        <w:t xml:space="preserve">loro </w:t>
      </w:r>
      <w:r w:rsidR="00A54BEE" w:rsidRPr="00250E6F">
        <w:rPr>
          <w:rFonts w:ascii="Garamond" w:hAnsi="Garamond"/>
          <w:szCs w:val="22"/>
        </w:rPr>
        <w:t xml:space="preserve">progressiva distinzione rispetto </w:t>
      </w:r>
      <w:r w:rsidR="007D2CD9" w:rsidRPr="00250E6F">
        <w:rPr>
          <w:rFonts w:ascii="Garamond" w:hAnsi="Garamond"/>
          <w:szCs w:val="22"/>
        </w:rPr>
        <w:t>a</w:t>
      </w:r>
      <w:r w:rsidRPr="00250E6F">
        <w:rPr>
          <w:rFonts w:ascii="Garamond" w:hAnsi="Garamond"/>
          <w:szCs w:val="22"/>
        </w:rPr>
        <w:t xml:space="preserve"> quelli de</w:t>
      </w:r>
      <w:r w:rsidR="007D2CD9" w:rsidRPr="00250E6F">
        <w:rPr>
          <w:rFonts w:ascii="Garamond" w:hAnsi="Garamond"/>
          <w:szCs w:val="22"/>
        </w:rPr>
        <w:t>ll’annullamento d’ufficio</w:t>
      </w:r>
      <w:r w:rsidRPr="00250E6F">
        <w:rPr>
          <w:rFonts w:ascii="Garamond" w:hAnsi="Garamond"/>
          <w:szCs w:val="22"/>
        </w:rPr>
        <w:t xml:space="preserve">. Mentre </w:t>
      </w:r>
      <w:r w:rsidR="007D2CD9" w:rsidRPr="00250E6F">
        <w:rPr>
          <w:rFonts w:ascii="Garamond" w:hAnsi="Garamond"/>
          <w:szCs w:val="22"/>
        </w:rPr>
        <w:t xml:space="preserve">la riconduzione </w:t>
      </w:r>
      <w:r w:rsidRPr="00250E6F">
        <w:rPr>
          <w:rFonts w:ascii="Garamond" w:hAnsi="Garamond"/>
          <w:szCs w:val="22"/>
        </w:rPr>
        <w:t>di questo potere</w:t>
      </w:r>
      <w:r w:rsidR="007D2CD9" w:rsidRPr="00250E6F">
        <w:rPr>
          <w:rFonts w:ascii="Garamond" w:hAnsi="Garamond"/>
          <w:szCs w:val="22"/>
        </w:rPr>
        <w:t xml:space="preserve"> nell’autotutela </w:t>
      </w:r>
      <w:r w:rsidRPr="00250E6F">
        <w:rPr>
          <w:rFonts w:ascii="Garamond" w:hAnsi="Garamond"/>
          <w:szCs w:val="22"/>
        </w:rPr>
        <w:t xml:space="preserve">pare naturale </w:t>
      </w:r>
      <w:r w:rsidRPr="00250E6F">
        <w:rPr>
          <w:rFonts w:ascii="Garamond" w:hAnsi="Garamond"/>
          <w:i/>
          <w:szCs w:val="22"/>
        </w:rPr>
        <w:t>ex</w:t>
      </w:r>
      <w:r w:rsidRPr="00250E6F">
        <w:rPr>
          <w:rFonts w:ascii="Garamond" w:hAnsi="Garamond"/>
          <w:szCs w:val="22"/>
        </w:rPr>
        <w:t xml:space="preserve"> art. 21-</w:t>
      </w:r>
      <w:r w:rsidRPr="00250E6F">
        <w:rPr>
          <w:rFonts w:ascii="Garamond" w:hAnsi="Garamond"/>
          <w:i/>
          <w:szCs w:val="22"/>
        </w:rPr>
        <w:t>nonies</w:t>
      </w:r>
      <w:r w:rsidRPr="00250E6F">
        <w:rPr>
          <w:rFonts w:ascii="Garamond" w:hAnsi="Garamond"/>
          <w:szCs w:val="22"/>
        </w:rPr>
        <w:t xml:space="preserve">, questo medesimo espediente </w:t>
      </w:r>
      <w:r w:rsidR="007D2CD9" w:rsidRPr="00250E6F">
        <w:rPr>
          <w:rFonts w:ascii="Garamond" w:hAnsi="Garamond"/>
          <w:szCs w:val="22"/>
        </w:rPr>
        <w:t>risulta dissonante per la revoca: dove l’Amministrazione tutela</w:t>
      </w:r>
      <w:r w:rsidR="00E62CD0" w:rsidRPr="00250E6F">
        <w:rPr>
          <w:rFonts w:ascii="Garamond" w:hAnsi="Garamond"/>
          <w:szCs w:val="22"/>
        </w:rPr>
        <w:t xml:space="preserve"> non solo </w:t>
      </w:r>
      <w:r w:rsidR="004A1B99" w:rsidRPr="00250E6F">
        <w:rPr>
          <w:rFonts w:ascii="Garamond" w:hAnsi="Garamond"/>
          <w:szCs w:val="22"/>
        </w:rPr>
        <w:t>l’interesse</w:t>
      </w:r>
      <w:r w:rsidR="00E62CD0" w:rsidRPr="00250E6F">
        <w:rPr>
          <w:rFonts w:ascii="Garamond" w:hAnsi="Garamond"/>
          <w:szCs w:val="22"/>
        </w:rPr>
        <w:t xml:space="preserve"> p</w:t>
      </w:r>
      <w:r w:rsidR="004A1B99" w:rsidRPr="00250E6F">
        <w:rPr>
          <w:rFonts w:ascii="Garamond" w:hAnsi="Garamond"/>
          <w:szCs w:val="22"/>
        </w:rPr>
        <w:t xml:space="preserve">ubblico curato dal provvedimento primigenio laddove esso non sia più opportuno, </w:t>
      </w:r>
      <w:r w:rsidR="00E62CD0" w:rsidRPr="00250E6F">
        <w:rPr>
          <w:rFonts w:ascii="Garamond" w:hAnsi="Garamond"/>
          <w:szCs w:val="22"/>
        </w:rPr>
        <w:t>ma</w:t>
      </w:r>
      <w:r w:rsidR="004A1B99" w:rsidRPr="00250E6F">
        <w:rPr>
          <w:rFonts w:ascii="Garamond" w:hAnsi="Garamond"/>
          <w:szCs w:val="22"/>
        </w:rPr>
        <w:t xml:space="preserve"> </w:t>
      </w:r>
      <w:r w:rsidR="004A1B99" w:rsidRPr="00250E6F">
        <w:rPr>
          <w:rFonts w:ascii="Garamond" w:hAnsi="Garamond"/>
          <w:i/>
          <w:szCs w:val="22"/>
        </w:rPr>
        <w:t>anche</w:t>
      </w:r>
      <w:r w:rsidR="004A1B99" w:rsidRPr="00250E6F">
        <w:rPr>
          <w:rFonts w:ascii="Garamond" w:hAnsi="Garamond"/>
          <w:szCs w:val="22"/>
        </w:rPr>
        <w:t xml:space="preserve"> eventuali interessi pubblici sopravvenuti, il cui perseguimento richiede che il primo atto sia privato della sua efficacia</w:t>
      </w:r>
      <w:r w:rsidR="007D2CD9" w:rsidRPr="00250E6F">
        <w:rPr>
          <w:rFonts w:ascii="Garamond" w:hAnsi="Garamond"/>
          <w:szCs w:val="22"/>
        </w:rPr>
        <w:t>.</w:t>
      </w:r>
    </w:p>
    <w:p w14:paraId="2D1430E5" w14:textId="77777777" w:rsidR="007D2CD9" w:rsidRPr="00250E6F" w:rsidRDefault="00587DA3" w:rsidP="007A7DC1">
      <w:pPr>
        <w:spacing w:line="276" w:lineRule="auto"/>
        <w:ind w:firstLine="284"/>
        <w:jc w:val="both"/>
        <w:rPr>
          <w:rFonts w:ascii="Garamond" w:hAnsi="Garamond"/>
          <w:szCs w:val="22"/>
        </w:rPr>
      </w:pPr>
      <w:r w:rsidRPr="00250E6F">
        <w:rPr>
          <w:rFonts w:ascii="Garamond" w:hAnsi="Garamond"/>
          <w:szCs w:val="22"/>
        </w:rPr>
        <w:t xml:space="preserve">Si obietterà che la protezione dell’interesse pubblico è comune all’esercizio di tutti i poteri della </w:t>
      </w:r>
      <w:proofErr w:type="spellStart"/>
      <w:r w:rsidRPr="00250E6F">
        <w:rPr>
          <w:rFonts w:ascii="Garamond" w:hAnsi="Garamond"/>
          <w:szCs w:val="22"/>
        </w:rPr>
        <w:t>p.A.</w:t>
      </w:r>
      <w:proofErr w:type="spellEnd"/>
      <w:r w:rsidRPr="00250E6F">
        <w:rPr>
          <w:rFonts w:ascii="Garamond" w:hAnsi="Garamond"/>
          <w:szCs w:val="22"/>
        </w:rPr>
        <w:t>, e dunque anche a quello d’annullamento officioso: che pertanto, in questo, non si distinguerebbe dalla revoca tanto da individuarne una funzione differente. In realtà, più che nell’interesse pubblico perseguito, revoca e annullamento d’ufficio trovano la reale origine della loro distinzione nel fatto che soltanto la prima può intervenire su provvedimenti legittimi; viceversa, l’annullamento officioso reca tra i presupposti l’illegittimità dell’atto primigenio, così necessitando di una serie di cautele che, invece, nella revoca non hanno cittadinanza.</w:t>
      </w:r>
      <w:r w:rsidR="004D4E5E" w:rsidRPr="00250E6F">
        <w:rPr>
          <w:rFonts w:ascii="Garamond" w:hAnsi="Garamond"/>
          <w:szCs w:val="22"/>
        </w:rPr>
        <w:t xml:space="preserve"> È dunque l’eliminazione dell’atto </w:t>
      </w:r>
      <w:r w:rsidR="004D4E5E" w:rsidRPr="00250E6F">
        <w:rPr>
          <w:rFonts w:ascii="Garamond" w:hAnsi="Garamond"/>
          <w:i/>
          <w:szCs w:val="22"/>
        </w:rPr>
        <w:t xml:space="preserve">contra </w:t>
      </w:r>
      <w:proofErr w:type="spellStart"/>
      <w:r w:rsidR="004D4E5E" w:rsidRPr="00250E6F">
        <w:rPr>
          <w:rFonts w:ascii="Garamond" w:hAnsi="Garamond"/>
          <w:i/>
          <w:szCs w:val="22"/>
        </w:rPr>
        <w:t>jus</w:t>
      </w:r>
      <w:proofErr w:type="spellEnd"/>
      <w:r w:rsidR="004D4E5E" w:rsidRPr="00250E6F">
        <w:rPr>
          <w:rFonts w:ascii="Garamond" w:hAnsi="Garamond"/>
          <w:szCs w:val="22"/>
        </w:rPr>
        <w:t xml:space="preserve">, a caratterizzare il potere </w:t>
      </w:r>
      <w:r w:rsidR="004D4E5E" w:rsidRPr="00250E6F">
        <w:rPr>
          <w:rFonts w:ascii="Garamond" w:hAnsi="Garamond"/>
          <w:i/>
          <w:szCs w:val="22"/>
        </w:rPr>
        <w:t>ex</w:t>
      </w:r>
      <w:r w:rsidR="004D4E5E" w:rsidRPr="00250E6F">
        <w:rPr>
          <w:rFonts w:ascii="Garamond" w:hAnsi="Garamond"/>
          <w:szCs w:val="22"/>
        </w:rPr>
        <w:t xml:space="preserve"> art. 21-</w:t>
      </w:r>
      <w:r w:rsidR="004D4E5E" w:rsidRPr="00250E6F">
        <w:rPr>
          <w:rFonts w:ascii="Garamond" w:hAnsi="Garamond"/>
          <w:i/>
          <w:szCs w:val="22"/>
        </w:rPr>
        <w:t>nonies</w:t>
      </w:r>
      <w:r w:rsidR="004D4E5E" w:rsidRPr="00250E6F">
        <w:rPr>
          <w:rFonts w:ascii="Garamond" w:hAnsi="Garamond"/>
          <w:szCs w:val="22"/>
        </w:rPr>
        <w:t>, così evidenziandone caratteristiche giustiziali che la revoca non pare avere.</w:t>
      </w:r>
    </w:p>
    <w:p w14:paraId="7AA48047" w14:textId="77777777" w:rsidR="007D2CD9" w:rsidRPr="00250E6F" w:rsidRDefault="007D2CD9" w:rsidP="007A7DC1">
      <w:pPr>
        <w:spacing w:line="276" w:lineRule="auto"/>
        <w:ind w:firstLine="284"/>
        <w:jc w:val="both"/>
        <w:rPr>
          <w:rFonts w:ascii="Garamond" w:hAnsi="Garamond"/>
          <w:szCs w:val="22"/>
        </w:rPr>
      </w:pPr>
      <w:r w:rsidRPr="00250E6F">
        <w:rPr>
          <w:rFonts w:ascii="Garamond" w:hAnsi="Garamond"/>
          <w:szCs w:val="22"/>
        </w:rPr>
        <w:t>Pertanto, in contrapposizione alla dottrina che – in ossequio alla ricostruzione di Benvenuti (e del legislatore italiano del 2005) – ha configurato la revoca come potere riconducibile all’autotutela</w:t>
      </w:r>
      <w:r w:rsidRPr="00250E6F">
        <w:rPr>
          <w:rStyle w:val="Rimandonotaapidipagina"/>
          <w:rFonts w:ascii="Garamond" w:hAnsi="Garamond"/>
          <w:szCs w:val="22"/>
        </w:rPr>
        <w:footnoteReference w:id="17"/>
      </w:r>
      <w:r w:rsidRPr="00250E6F">
        <w:rPr>
          <w:rFonts w:ascii="Garamond" w:hAnsi="Garamond"/>
          <w:szCs w:val="22"/>
        </w:rPr>
        <w:t xml:space="preserve">, si sono registrati orientamenti che hanno tentato di elaborare </w:t>
      </w:r>
      <w:r w:rsidRPr="00250E6F">
        <w:rPr>
          <w:rFonts w:ascii="Garamond" w:hAnsi="Garamond"/>
          <w:szCs w:val="22"/>
        </w:rPr>
        <w:lastRenderedPageBreak/>
        <w:t>letture alternative: per esempio, quale “</w:t>
      </w:r>
      <w:proofErr w:type="spellStart"/>
      <w:r w:rsidRPr="00250E6F">
        <w:rPr>
          <w:rFonts w:ascii="Garamond" w:hAnsi="Garamond"/>
          <w:szCs w:val="22"/>
        </w:rPr>
        <w:t>riesercizio</w:t>
      </w:r>
      <w:proofErr w:type="spellEnd"/>
      <w:r w:rsidRPr="00250E6F">
        <w:rPr>
          <w:rFonts w:ascii="Garamond" w:hAnsi="Garamond"/>
          <w:szCs w:val="22"/>
        </w:rPr>
        <w:t>” dello stesso potere di amministrazione attiva</w:t>
      </w:r>
      <w:r w:rsidRPr="00250E6F">
        <w:rPr>
          <w:rStyle w:val="Rimandonotaapidipagina"/>
          <w:rFonts w:ascii="Garamond" w:hAnsi="Garamond"/>
          <w:szCs w:val="22"/>
        </w:rPr>
        <w:footnoteReference w:id="18"/>
      </w:r>
      <w:r w:rsidRPr="00250E6F">
        <w:rPr>
          <w:rFonts w:ascii="Garamond" w:hAnsi="Garamond"/>
          <w:szCs w:val="22"/>
        </w:rPr>
        <w:t xml:space="preserve">. </w:t>
      </w:r>
    </w:p>
    <w:p w14:paraId="13DA21C0" w14:textId="77777777" w:rsidR="007D2CD9" w:rsidRPr="00250E6F" w:rsidRDefault="007D2CD9" w:rsidP="007A7DC1">
      <w:pPr>
        <w:spacing w:line="276" w:lineRule="auto"/>
        <w:ind w:firstLine="284"/>
        <w:jc w:val="both"/>
        <w:rPr>
          <w:rFonts w:ascii="Garamond" w:hAnsi="Garamond"/>
          <w:szCs w:val="22"/>
        </w:rPr>
      </w:pPr>
      <w:r w:rsidRPr="00250E6F">
        <w:rPr>
          <w:rFonts w:ascii="Garamond" w:hAnsi="Garamond"/>
          <w:szCs w:val="22"/>
        </w:rPr>
        <w:t xml:space="preserve">La ricerca di un fondamento diverso dal </w:t>
      </w:r>
      <w:proofErr w:type="spellStart"/>
      <w:r w:rsidRPr="00250E6F">
        <w:rPr>
          <w:rFonts w:ascii="Garamond" w:hAnsi="Garamond"/>
          <w:i/>
          <w:szCs w:val="22"/>
        </w:rPr>
        <w:t>privilegium</w:t>
      </w:r>
      <w:proofErr w:type="spellEnd"/>
      <w:r w:rsidRPr="00250E6F">
        <w:rPr>
          <w:rFonts w:ascii="Garamond" w:hAnsi="Garamond"/>
          <w:i/>
          <w:szCs w:val="22"/>
        </w:rPr>
        <w:t xml:space="preserve"> </w:t>
      </w:r>
      <w:proofErr w:type="spellStart"/>
      <w:r w:rsidRPr="00250E6F">
        <w:rPr>
          <w:rFonts w:ascii="Garamond" w:hAnsi="Garamond"/>
          <w:i/>
          <w:szCs w:val="22"/>
        </w:rPr>
        <w:t>principis</w:t>
      </w:r>
      <w:proofErr w:type="spellEnd"/>
      <w:r w:rsidRPr="00250E6F">
        <w:rPr>
          <w:rFonts w:ascii="Garamond" w:hAnsi="Garamond"/>
          <w:szCs w:val="22"/>
        </w:rPr>
        <w:t xml:space="preserve"> </w:t>
      </w:r>
      <w:r w:rsidR="00327634" w:rsidRPr="00250E6F">
        <w:rPr>
          <w:rFonts w:ascii="Garamond" w:hAnsi="Garamond"/>
          <w:szCs w:val="22"/>
        </w:rPr>
        <w:t>conduce</w:t>
      </w:r>
      <w:r w:rsidRPr="00250E6F">
        <w:rPr>
          <w:rFonts w:ascii="Garamond" w:hAnsi="Garamond"/>
          <w:szCs w:val="22"/>
        </w:rPr>
        <w:t xml:space="preserve"> dunque all’inquadramento della revoca quale provvedimento di amministrazione attiva, sempre orientato a perseguire l’interesse pubblico del momento: «di conseguenza, l’ambito del potere e i limiti all’esercizio dello stesso sono i medesimi, così come l’interesse pubblico affidato; ciò implica che l’Amministrazione abbia ancora la potestà di agire, e la disponibilità degli effetti»</w:t>
      </w:r>
      <w:r w:rsidRPr="00250E6F">
        <w:rPr>
          <w:rStyle w:val="Rimandonotaapidipagina"/>
          <w:rFonts w:ascii="Garamond" w:hAnsi="Garamond"/>
          <w:szCs w:val="22"/>
        </w:rPr>
        <w:footnoteReference w:id="19"/>
      </w:r>
      <w:r w:rsidRPr="00250E6F">
        <w:rPr>
          <w:rFonts w:ascii="Garamond" w:hAnsi="Garamond"/>
          <w:szCs w:val="22"/>
        </w:rPr>
        <w:t xml:space="preserve">. </w:t>
      </w:r>
    </w:p>
    <w:p w14:paraId="324D8344" w14:textId="77777777" w:rsidR="007D2CD9" w:rsidRPr="00250E6F" w:rsidRDefault="007D2CD9" w:rsidP="007A7DC1">
      <w:pPr>
        <w:spacing w:line="276" w:lineRule="auto"/>
        <w:ind w:firstLine="284"/>
        <w:jc w:val="both"/>
        <w:rPr>
          <w:rFonts w:ascii="Garamond" w:hAnsi="Garamond"/>
          <w:szCs w:val="22"/>
        </w:rPr>
      </w:pPr>
      <w:r w:rsidRPr="00250E6F">
        <w:rPr>
          <w:rFonts w:ascii="Garamond" w:hAnsi="Garamond"/>
          <w:szCs w:val="22"/>
        </w:rPr>
        <w:t>Questa lettura è comune a due orientamenti dottrinali</w:t>
      </w:r>
      <w:r w:rsidRPr="00250E6F">
        <w:rPr>
          <w:rStyle w:val="Rimandonotaapidipagina"/>
          <w:rFonts w:ascii="Garamond" w:hAnsi="Garamond"/>
          <w:szCs w:val="22"/>
        </w:rPr>
        <w:footnoteReference w:id="20"/>
      </w:r>
      <w:r w:rsidRPr="00250E6F">
        <w:rPr>
          <w:rFonts w:ascii="Garamond" w:hAnsi="Garamond"/>
          <w:szCs w:val="22"/>
        </w:rPr>
        <w:t xml:space="preserve">, i quali concordano sul dato negativo, cioè sull’estraneità della revoca rispetto al perimetro del potere di autotutela. </w:t>
      </w:r>
    </w:p>
    <w:p w14:paraId="62B18A3D" w14:textId="77777777" w:rsidR="007D2CD9" w:rsidRPr="00250E6F" w:rsidRDefault="007D2CD9" w:rsidP="007A7DC1">
      <w:pPr>
        <w:spacing w:line="276" w:lineRule="auto"/>
        <w:ind w:firstLine="284"/>
        <w:jc w:val="both"/>
        <w:rPr>
          <w:rFonts w:ascii="Garamond" w:hAnsi="Garamond"/>
          <w:szCs w:val="22"/>
        </w:rPr>
      </w:pPr>
      <w:r w:rsidRPr="00250E6F">
        <w:rPr>
          <w:rFonts w:ascii="Garamond" w:hAnsi="Garamond"/>
          <w:szCs w:val="22"/>
        </w:rPr>
        <w:t>Le due tesi non collimano, invece, sul fondamento di questo potere</w:t>
      </w:r>
      <w:r w:rsidRPr="00250E6F">
        <w:rPr>
          <w:rStyle w:val="Rimandonotaapidipagina"/>
          <w:rFonts w:ascii="Garamond" w:hAnsi="Garamond"/>
          <w:szCs w:val="22"/>
        </w:rPr>
        <w:footnoteReference w:id="21"/>
      </w:r>
      <w:r w:rsidRPr="00250E6F">
        <w:rPr>
          <w:rFonts w:ascii="Garamond" w:hAnsi="Garamond"/>
          <w:szCs w:val="22"/>
        </w:rPr>
        <w:t>, derivante ora dall’intrinseca, generale funzionalizzazione dell’azione amministrativa</w:t>
      </w:r>
      <w:r w:rsidRPr="00250E6F">
        <w:rPr>
          <w:rStyle w:val="Rimandonotaapidipagina"/>
          <w:rFonts w:ascii="Garamond" w:hAnsi="Garamond"/>
          <w:szCs w:val="22"/>
        </w:rPr>
        <w:footnoteReference w:id="22"/>
      </w:r>
      <w:r w:rsidRPr="00250E6F">
        <w:rPr>
          <w:rFonts w:ascii="Garamond" w:hAnsi="Garamond"/>
          <w:szCs w:val="22"/>
        </w:rPr>
        <w:t>, dunque dal principio di “efficacia”, inteso quale «adeguatezza costante del contenuto dell’atto rispetto all’interesse pubblico in concreto perseguito»</w:t>
      </w:r>
      <w:r w:rsidRPr="00250E6F">
        <w:rPr>
          <w:rStyle w:val="Rimandonotaapidipagina"/>
          <w:rFonts w:ascii="Garamond" w:hAnsi="Garamond"/>
          <w:szCs w:val="22"/>
        </w:rPr>
        <w:footnoteReference w:id="23"/>
      </w:r>
      <w:r w:rsidRPr="00250E6F">
        <w:rPr>
          <w:rFonts w:ascii="Garamond" w:hAnsi="Garamond"/>
          <w:szCs w:val="22"/>
        </w:rPr>
        <w:t>; ora in una mera facoltà, non diversa da quella privatistica di ritirare un atto unilaterale</w:t>
      </w:r>
      <w:r w:rsidRPr="00250E6F">
        <w:rPr>
          <w:rStyle w:val="Rimandonotaapidipagina"/>
          <w:rFonts w:ascii="Garamond" w:hAnsi="Garamond"/>
          <w:szCs w:val="22"/>
        </w:rPr>
        <w:footnoteReference w:id="24"/>
      </w:r>
      <w:r w:rsidRPr="00250E6F">
        <w:rPr>
          <w:rFonts w:ascii="Garamond" w:hAnsi="Garamond"/>
          <w:szCs w:val="22"/>
        </w:rPr>
        <w:t>: per cui l’inserimento della revoca tra i poteri di autotutela sarebbe allora il frutto di un «errore prospettico della scienza giuridica»</w:t>
      </w:r>
      <w:r w:rsidRPr="00250E6F">
        <w:rPr>
          <w:rStyle w:val="Rimandonotaapidipagina"/>
          <w:rFonts w:ascii="Garamond" w:hAnsi="Garamond"/>
          <w:szCs w:val="22"/>
        </w:rPr>
        <w:footnoteReference w:id="25"/>
      </w:r>
      <w:r w:rsidRPr="00250E6F">
        <w:rPr>
          <w:rFonts w:ascii="Garamond" w:hAnsi="Garamond"/>
          <w:szCs w:val="22"/>
        </w:rPr>
        <w:t>, la quale avrebbe costruito il provvedimento senza prendere le mosse dalla teoria generale dell’atto unilaterale. Sicché la revoca – in questo secondo orientamento – semplicemente impedisce che un atto continui a produrre effetti giuridici, prescindendo dalla presenza di profili patologici</w:t>
      </w:r>
      <w:r w:rsidRPr="00250E6F">
        <w:rPr>
          <w:rStyle w:val="Rimandonotaapidipagina"/>
          <w:rFonts w:ascii="Garamond" w:hAnsi="Garamond"/>
          <w:szCs w:val="22"/>
        </w:rPr>
        <w:footnoteReference w:id="26"/>
      </w:r>
      <w:r w:rsidRPr="00250E6F">
        <w:rPr>
          <w:rFonts w:ascii="Garamond" w:hAnsi="Garamond"/>
          <w:szCs w:val="22"/>
        </w:rPr>
        <w:t>.</w:t>
      </w:r>
    </w:p>
    <w:p w14:paraId="50112B63" w14:textId="77777777" w:rsidR="008E7A9F" w:rsidRPr="00250E6F" w:rsidRDefault="00625317" w:rsidP="007A7DC1">
      <w:pPr>
        <w:spacing w:line="276" w:lineRule="auto"/>
        <w:ind w:firstLine="284"/>
        <w:jc w:val="both"/>
        <w:rPr>
          <w:rFonts w:ascii="Garamond" w:hAnsi="Garamond"/>
          <w:szCs w:val="22"/>
        </w:rPr>
      </w:pPr>
      <w:r w:rsidRPr="00250E6F">
        <w:rPr>
          <w:rFonts w:ascii="Garamond" w:hAnsi="Garamond"/>
          <w:szCs w:val="22"/>
        </w:rPr>
        <w:lastRenderedPageBreak/>
        <w:t xml:space="preserve">Non v’è dubbio che queste due differenti letture comportino altrettali precipitati: ove si aderisse all’idea che la revoca </w:t>
      </w:r>
      <w:r w:rsidR="002C06E3" w:rsidRPr="00250E6F">
        <w:rPr>
          <w:rFonts w:ascii="Garamond" w:hAnsi="Garamond"/>
          <w:szCs w:val="22"/>
        </w:rPr>
        <w:t xml:space="preserve">si identifichi sostanzialmente con un potere </w:t>
      </w:r>
      <w:r w:rsidR="00712923" w:rsidRPr="00250E6F">
        <w:rPr>
          <w:rFonts w:ascii="Garamond" w:hAnsi="Garamond"/>
          <w:szCs w:val="22"/>
        </w:rPr>
        <w:t>modificativo</w:t>
      </w:r>
      <w:r w:rsidR="008E7A9F" w:rsidRPr="00250E6F">
        <w:rPr>
          <w:rStyle w:val="Rimandonotaapidipagina"/>
          <w:rFonts w:ascii="Garamond" w:hAnsi="Garamond"/>
          <w:szCs w:val="22"/>
        </w:rPr>
        <w:footnoteReference w:id="27"/>
      </w:r>
      <w:r w:rsidR="002C06E3" w:rsidRPr="00250E6F">
        <w:rPr>
          <w:rFonts w:ascii="Garamond" w:hAnsi="Garamond"/>
          <w:szCs w:val="22"/>
        </w:rPr>
        <w:t xml:space="preserve"> di una prima decisione amministrativa, il suo fondamento si rinverrebbe nel potere che aveva generato quella medesima decisione</w:t>
      </w:r>
      <w:r w:rsidR="008E7A9F" w:rsidRPr="00250E6F">
        <w:rPr>
          <w:rFonts w:ascii="Garamond" w:hAnsi="Garamond"/>
          <w:szCs w:val="22"/>
        </w:rPr>
        <w:t>; viceversa, ove si optasse per la seconda opzione interpretativa, svincolando quel potere da quello di amministrazione attiva, bisognerebbe individuarne un fondamento autonomo</w:t>
      </w:r>
      <w:r w:rsidR="008E7A9F" w:rsidRPr="00250E6F">
        <w:rPr>
          <w:rStyle w:val="Rimandonotaapidipagina"/>
          <w:rFonts w:ascii="Garamond" w:hAnsi="Garamond"/>
          <w:szCs w:val="22"/>
        </w:rPr>
        <w:footnoteReference w:id="28"/>
      </w:r>
      <w:r w:rsidR="002C06E3" w:rsidRPr="00250E6F">
        <w:rPr>
          <w:rFonts w:ascii="Garamond" w:hAnsi="Garamond"/>
          <w:szCs w:val="22"/>
        </w:rPr>
        <w:t>.</w:t>
      </w:r>
    </w:p>
    <w:p w14:paraId="3DBA5E04" w14:textId="77777777" w:rsidR="00A314B8" w:rsidRPr="00250E6F" w:rsidRDefault="008E7A9F" w:rsidP="007A7DC1">
      <w:pPr>
        <w:spacing w:line="276" w:lineRule="auto"/>
        <w:ind w:firstLine="284"/>
        <w:jc w:val="both"/>
        <w:rPr>
          <w:rFonts w:ascii="Garamond" w:hAnsi="Garamond"/>
          <w:szCs w:val="22"/>
        </w:rPr>
      </w:pPr>
      <w:r w:rsidRPr="00250E6F">
        <w:rPr>
          <w:rFonts w:ascii="Garamond" w:hAnsi="Garamond"/>
          <w:szCs w:val="22"/>
        </w:rPr>
        <w:t>In realtà, diversi fattori, non solo di teoria giuridica ma anche puramente di spunto normativo, convergono verso la prima ipotesi.</w:t>
      </w:r>
    </w:p>
    <w:p w14:paraId="31B58C41" w14:textId="77777777" w:rsidR="00A314B8" w:rsidRPr="00250E6F" w:rsidRDefault="008E7A9F" w:rsidP="007A7DC1">
      <w:pPr>
        <w:spacing w:line="276" w:lineRule="auto"/>
        <w:ind w:firstLine="284"/>
        <w:jc w:val="both"/>
        <w:rPr>
          <w:rFonts w:ascii="Garamond" w:hAnsi="Garamond"/>
          <w:szCs w:val="22"/>
        </w:rPr>
      </w:pPr>
      <w:r w:rsidRPr="00250E6F">
        <w:rPr>
          <w:rFonts w:ascii="Garamond" w:hAnsi="Garamond"/>
          <w:szCs w:val="22"/>
        </w:rPr>
        <w:t xml:space="preserve">Si guardi per esempio </w:t>
      </w:r>
      <w:r w:rsidR="00A314B8" w:rsidRPr="00250E6F">
        <w:rPr>
          <w:rFonts w:ascii="Garamond" w:hAnsi="Garamond"/>
          <w:szCs w:val="22"/>
        </w:rPr>
        <w:t>a una delle più recenti riforme organiche dell’attività amministrativa</w:t>
      </w:r>
      <w:r w:rsidRPr="00250E6F">
        <w:rPr>
          <w:rFonts w:ascii="Garamond" w:hAnsi="Garamond"/>
          <w:szCs w:val="22"/>
        </w:rPr>
        <w:t>: l</w:t>
      </w:r>
      <w:r w:rsidR="007D2CD9" w:rsidRPr="00250E6F">
        <w:rPr>
          <w:rFonts w:ascii="Garamond" w:hAnsi="Garamond"/>
          <w:szCs w:val="22"/>
        </w:rPr>
        <w:t xml:space="preserve">a collocazione della revoca nell’ambito dell’amministrazione attiva e la sua contestuale esclusione dal campo dell’autotutela </w:t>
      </w:r>
      <w:r w:rsidRPr="00250E6F">
        <w:rPr>
          <w:rFonts w:ascii="Garamond" w:hAnsi="Garamond"/>
          <w:szCs w:val="22"/>
        </w:rPr>
        <w:t>sembra in effetti proprio</w:t>
      </w:r>
      <w:r w:rsidR="00C14892" w:rsidRPr="00250E6F">
        <w:rPr>
          <w:rFonts w:ascii="Garamond" w:hAnsi="Garamond"/>
          <w:szCs w:val="22"/>
        </w:rPr>
        <w:t xml:space="preserve"> giustificata</w:t>
      </w:r>
      <w:r w:rsidR="007D2CD9" w:rsidRPr="00250E6F">
        <w:rPr>
          <w:rStyle w:val="Rimandonotaapidipagina"/>
          <w:rFonts w:ascii="Garamond" w:hAnsi="Garamond"/>
          <w:szCs w:val="22"/>
        </w:rPr>
        <w:footnoteReference w:id="29"/>
      </w:r>
      <w:r w:rsidR="00203C11" w:rsidRPr="00250E6F">
        <w:rPr>
          <w:rFonts w:ascii="Garamond" w:hAnsi="Garamond"/>
          <w:szCs w:val="22"/>
        </w:rPr>
        <w:t xml:space="preserve"> anche</w:t>
      </w:r>
      <w:r w:rsidR="007D2CD9" w:rsidRPr="00250E6F">
        <w:rPr>
          <w:rFonts w:ascii="Garamond" w:hAnsi="Garamond"/>
          <w:szCs w:val="22"/>
        </w:rPr>
        <w:t xml:space="preserve"> </w:t>
      </w:r>
      <w:r w:rsidR="00C14892" w:rsidRPr="00250E6F">
        <w:rPr>
          <w:rFonts w:ascii="Garamond" w:hAnsi="Garamond"/>
          <w:szCs w:val="22"/>
        </w:rPr>
        <w:t>dal</w:t>
      </w:r>
      <w:r w:rsidR="007D2CD9" w:rsidRPr="00250E6F">
        <w:rPr>
          <w:rFonts w:ascii="Garamond" w:hAnsi="Garamond"/>
          <w:szCs w:val="22"/>
        </w:rPr>
        <w:t xml:space="preserve">la portata dell’art. 6 della l. n. 124 del 2015, </w:t>
      </w:r>
      <w:r w:rsidR="00203C11" w:rsidRPr="00250E6F">
        <w:rPr>
          <w:rFonts w:ascii="Garamond" w:hAnsi="Garamond"/>
          <w:szCs w:val="22"/>
        </w:rPr>
        <w:t>c.d. Riforma Madia</w:t>
      </w:r>
      <w:r w:rsidRPr="00250E6F">
        <w:rPr>
          <w:rFonts w:ascii="Garamond" w:hAnsi="Garamond"/>
          <w:szCs w:val="22"/>
        </w:rPr>
        <w:t xml:space="preserve"> (rubricato</w:t>
      </w:r>
      <w:r w:rsidR="00A314B8" w:rsidRPr="00250E6F">
        <w:rPr>
          <w:rFonts w:ascii="Garamond" w:hAnsi="Garamond"/>
          <w:szCs w:val="22"/>
        </w:rPr>
        <w:t xml:space="preserve"> appunto</w:t>
      </w:r>
      <w:r w:rsidRPr="00250E6F">
        <w:rPr>
          <w:rFonts w:ascii="Garamond" w:hAnsi="Garamond"/>
          <w:szCs w:val="22"/>
        </w:rPr>
        <w:t xml:space="preserve"> «</w:t>
      </w:r>
      <w:r w:rsidRPr="00250E6F">
        <w:rPr>
          <w:rFonts w:ascii="Garamond" w:hAnsi="Garamond"/>
          <w:i/>
          <w:szCs w:val="22"/>
        </w:rPr>
        <w:t>Autotutela</w:t>
      </w:r>
      <w:r w:rsidR="004F0552" w:rsidRPr="00250E6F">
        <w:rPr>
          <w:rFonts w:ascii="Garamond" w:hAnsi="Garamond"/>
          <w:i/>
          <w:szCs w:val="22"/>
        </w:rPr>
        <w:t xml:space="preserve"> amministrativa</w:t>
      </w:r>
      <w:r w:rsidRPr="00250E6F">
        <w:rPr>
          <w:rFonts w:ascii="Garamond" w:hAnsi="Garamond"/>
          <w:szCs w:val="22"/>
        </w:rPr>
        <w:t>»)</w:t>
      </w:r>
      <w:r w:rsidR="00203C11" w:rsidRPr="00250E6F">
        <w:rPr>
          <w:rFonts w:ascii="Garamond" w:hAnsi="Garamond"/>
          <w:szCs w:val="22"/>
        </w:rPr>
        <w:t xml:space="preserve">, </w:t>
      </w:r>
      <w:r w:rsidR="007D2CD9" w:rsidRPr="00250E6F">
        <w:rPr>
          <w:rFonts w:ascii="Garamond" w:hAnsi="Garamond"/>
          <w:szCs w:val="22"/>
        </w:rPr>
        <w:t xml:space="preserve">che non </w:t>
      </w:r>
      <w:r w:rsidRPr="00250E6F">
        <w:rPr>
          <w:rFonts w:ascii="Garamond" w:hAnsi="Garamond"/>
          <w:szCs w:val="22"/>
        </w:rPr>
        <w:t>ha incluso</w:t>
      </w:r>
      <w:r w:rsidR="007D2CD9" w:rsidRPr="00250E6F">
        <w:rPr>
          <w:rFonts w:ascii="Garamond" w:hAnsi="Garamond"/>
          <w:szCs w:val="22"/>
        </w:rPr>
        <w:t xml:space="preserve"> nel suo ambito di applicazione la revoca, ma si </w:t>
      </w:r>
      <w:r w:rsidRPr="00250E6F">
        <w:rPr>
          <w:rFonts w:ascii="Garamond" w:hAnsi="Garamond"/>
          <w:szCs w:val="22"/>
        </w:rPr>
        <w:t>è limitata</w:t>
      </w:r>
      <w:r w:rsidR="007D2CD9" w:rsidRPr="00250E6F">
        <w:rPr>
          <w:rFonts w:ascii="Garamond" w:hAnsi="Garamond"/>
          <w:szCs w:val="22"/>
        </w:rPr>
        <w:t xml:space="preserve"> a disciplinare l’annullamento d’ufficio e la sospensione (e i loro legami con istituti affini).</w:t>
      </w:r>
    </w:p>
    <w:p w14:paraId="1CD27A6C" w14:textId="77777777" w:rsidR="00C14892" w:rsidRPr="00250E6F" w:rsidRDefault="00C14892" w:rsidP="007A7DC1">
      <w:pPr>
        <w:spacing w:line="276" w:lineRule="auto"/>
        <w:ind w:firstLine="284"/>
        <w:jc w:val="both"/>
        <w:rPr>
          <w:rFonts w:ascii="Garamond" w:hAnsi="Garamond"/>
          <w:szCs w:val="22"/>
        </w:rPr>
      </w:pPr>
      <w:r w:rsidRPr="00250E6F">
        <w:rPr>
          <w:rFonts w:ascii="Garamond" w:hAnsi="Garamond"/>
          <w:szCs w:val="22"/>
        </w:rPr>
        <w:t xml:space="preserve">Ciò implica una cosa, della quale la giurisprudenza è pienamente consapevole: la revoca risponde – ancor più che l’annullamento d’ufficio, che ha sempre più lineamenti giustiziali tali da limitarlo fortemente e ancorarlo a presupposti progressivamente più rigidi – a un generale potere di amministrazione attiva. L’Amministrazione pensa e ripensa all’interesse pubblico da curare, si adegua ad esso </w:t>
      </w:r>
      <w:r w:rsidR="00EE16EB" w:rsidRPr="00250E6F">
        <w:rPr>
          <w:rFonts w:ascii="Garamond" w:hAnsi="Garamond"/>
          <w:szCs w:val="22"/>
        </w:rPr>
        <w:t xml:space="preserve">nel tempo, rispondendo al principio di efficacia inteso </w:t>
      </w:r>
      <w:r w:rsidR="00EE16EB" w:rsidRPr="00250E6F">
        <w:rPr>
          <w:rFonts w:ascii="Garamond" w:hAnsi="Garamond"/>
          <w:i/>
          <w:szCs w:val="22"/>
        </w:rPr>
        <w:t>non</w:t>
      </w:r>
      <w:r w:rsidR="00EE16EB" w:rsidRPr="00250E6F">
        <w:rPr>
          <w:rFonts w:ascii="Garamond" w:hAnsi="Garamond"/>
          <w:szCs w:val="22"/>
        </w:rPr>
        <w:t xml:space="preserve"> come pura produzione di effetti </w:t>
      </w:r>
      <w:r w:rsidR="004D78E4" w:rsidRPr="00250E6F">
        <w:rPr>
          <w:rFonts w:ascii="Garamond" w:hAnsi="Garamond"/>
          <w:szCs w:val="22"/>
        </w:rPr>
        <w:t xml:space="preserve">da parte </w:t>
      </w:r>
      <w:r w:rsidR="00EE16EB" w:rsidRPr="00250E6F">
        <w:rPr>
          <w:rFonts w:ascii="Garamond" w:hAnsi="Garamond"/>
          <w:szCs w:val="22"/>
        </w:rPr>
        <w:t>del provvedimento, ma come criterio che impone l’adeguatezza rispetto all’obiettivo pubblico al quale quel provvedimento mira</w:t>
      </w:r>
      <w:r w:rsidR="00FD3BDE" w:rsidRPr="00250E6F">
        <w:rPr>
          <w:rStyle w:val="Rimandonotaapidipagina"/>
          <w:rFonts w:ascii="Garamond" w:hAnsi="Garamond"/>
          <w:szCs w:val="22"/>
        </w:rPr>
        <w:footnoteReference w:id="30"/>
      </w:r>
      <w:r w:rsidR="00EE16EB" w:rsidRPr="00250E6F">
        <w:rPr>
          <w:rFonts w:ascii="Garamond" w:hAnsi="Garamond"/>
          <w:szCs w:val="22"/>
        </w:rPr>
        <w:t>.</w:t>
      </w:r>
    </w:p>
    <w:p w14:paraId="51AF4EC9" w14:textId="77777777" w:rsidR="00FD3BDE" w:rsidRPr="00250E6F" w:rsidRDefault="00E12FAE" w:rsidP="007A7DC1">
      <w:pPr>
        <w:spacing w:line="276" w:lineRule="auto"/>
        <w:ind w:firstLine="284"/>
        <w:jc w:val="both"/>
        <w:rPr>
          <w:rFonts w:ascii="Garamond" w:hAnsi="Garamond"/>
          <w:szCs w:val="22"/>
        </w:rPr>
      </w:pPr>
      <w:r w:rsidRPr="00250E6F">
        <w:rPr>
          <w:rFonts w:ascii="Garamond" w:hAnsi="Garamond"/>
          <w:szCs w:val="22"/>
        </w:rPr>
        <w:lastRenderedPageBreak/>
        <w:t xml:space="preserve">Nondimeno, le due </w:t>
      </w:r>
      <w:proofErr w:type="spellStart"/>
      <w:r w:rsidRPr="00250E6F">
        <w:rPr>
          <w:rFonts w:ascii="Garamond" w:hAnsi="Garamond"/>
          <w:i/>
          <w:szCs w:val="22"/>
        </w:rPr>
        <w:t>figurae</w:t>
      </w:r>
      <w:proofErr w:type="spellEnd"/>
      <w:r w:rsidRPr="00250E6F">
        <w:rPr>
          <w:rFonts w:ascii="Garamond" w:hAnsi="Garamond"/>
          <w:szCs w:val="22"/>
        </w:rPr>
        <w:t xml:space="preserve"> sono perfettamente sovrapponibili quanto al dato normativo concernente la competenza: è lo stesso organo che ha emanato l’atto, ovvero altro organo previsto dalla legge, a poterlo revocare o annullare officiosamente</w:t>
      </w:r>
      <w:r w:rsidRPr="00250E6F">
        <w:rPr>
          <w:rStyle w:val="Rimandonotaapidipagina"/>
          <w:rFonts w:ascii="Garamond" w:hAnsi="Garamond"/>
          <w:szCs w:val="22"/>
        </w:rPr>
        <w:footnoteReference w:id="31"/>
      </w:r>
      <w:r w:rsidRPr="00250E6F">
        <w:rPr>
          <w:rFonts w:ascii="Garamond" w:hAnsi="Garamond"/>
          <w:szCs w:val="22"/>
        </w:rPr>
        <w:t xml:space="preserve">. </w:t>
      </w:r>
      <w:r w:rsidR="00D83BCA" w:rsidRPr="00250E6F">
        <w:rPr>
          <w:rFonts w:ascii="Garamond" w:hAnsi="Garamond"/>
          <w:szCs w:val="22"/>
        </w:rPr>
        <w:t>Il che costituisce ulteriore conferma del fatto che l’interesse pubblico perseguito è pur sempre quello primigenio</w:t>
      </w:r>
      <w:r w:rsidR="00627B2D" w:rsidRPr="00250E6F">
        <w:rPr>
          <w:rStyle w:val="Rimandonotaapidipagina"/>
          <w:rFonts w:ascii="Garamond" w:hAnsi="Garamond"/>
          <w:szCs w:val="22"/>
        </w:rPr>
        <w:footnoteReference w:id="32"/>
      </w:r>
      <w:r w:rsidR="00D83BCA" w:rsidRPr="00250E6F">
        <w:rPr>
          <w:rFonts w:ascii="Garamond" w:hAnsi="Garamond"/>
          <w:szCs w:val="22"/>
        </w:rPr>
        <w:t xml:space="preserve">, restando ancorata la competenza all’organo che aveva adottato il primo atto. </w:t>
      </w:r>
      <w:r w:rsidR="00627B2D" w:rsidRPr="00250E6F">
        <w:rPr>
          <w:rFonts w:ascii="Garamond" w:hAnsi="Garamond"/>
          <w:szCs w:val="22"/>
        </w:rPr>
        <w:t>Sicché, anche la revoca – come l’annullamento d’ufficio – dev’essere motivata con accortezza.</w:t>
      </w:r>
      <w:r w:rsidR="006979F2" w:rsidRPr="00250E6F">
        <w:rPr>
          <w:rFonts w:ascii="Garamond" w:hAnsi="Garamond"/>
          <w:szCs w:val="22"/>
        </w:rPr>
        <w:t xml:space="preserve"> Prendendo a prestito le parole del Giudice amministrativo, «non è sufficiente, per legittimare la revoca, un ripensamento tardivo e generico circa la convenienza dell’emanazione dell’atto originario; le ragioni addotte a sostegno della revoca devono rivelare la consistenza e l’intensità dell</w:t>
      </w:r>
      <w:r w:rsidR="002B5CBC" w:rsidRPr="00250E6F">
        <w:rPr>
          <w:rFonts w:ascii="Garamond" w:hAnsi="Garamond"/>
          <w:szCs w:val="22"/>
        </w:rPr>
        <w:t>’</w:t>
      </w:r>
      <w:r w:rsidR="006979F2" w:rsidRPr="00250E6F">
        <w:rPr>
          <w:rFonts w:ascii="Garamond" w:hAnsi="Garamond"/>
          <w:szCs w:val="22"/>
        </w:rPr>
        <w:t>interesse pubblico che si intende perseguire con il ritiro dell’atto originario; la motivazione della revoca deve esplicitare non solo i contenuti della nuova valutazione dell’interesse pubblico, ma anche la prevalenza di tale interesse pubblico su quello del privato che aveva ricevuto vantaggi dal provvedimento originario a lui favorevole»</w:t>
      </w:r>
      <w:r w:rsidR="006979F2" w:rsidRPr="00250E6F">
        <w:rPr>
          <w:rStyle w:val="Rimandonotaapidipagina"/>
          <w:rFonts w:ascii="Garamond" w:hAnsi="Garamond"/>
          <w:szCs w:val="22"/>
        </w:rPr>
        <w:footnoteReference w:id="33"/>
      </w:r>
      <w:r w:rsidR="006979F2" w:rsidRPr="00250E6F">
        <w:rPr>
          <w:rFonts w:ascii="Garamond" w:hAnsi="Garamond"/>
          <w:szCs w:val="22"/>
        </w:rPr>
        <w:t>.</w:t>
      </w:r>
      <w:r w:rsidR="006D1423" w:rsidRPr="00250E6F">
        <w:rPr>
          <w:rFonts w:ascii="Garamond" w:hAnsi="Garamond"/>
          <w:szCs w:val="22"/>
        </w:rPr>
        <w:t xml:space="preserve"> </w:t>
      </w:r>
    </w:p>
    <w:p w14:paraId="4D6E4EC8" w14:textId="77777777" w:rsidR="00627B2D" w:rsidRPr="00250E6F" w:rsidRDefault="00627B2D" w:rsidP="007A7DC1">
      <w:pPr>
        <w:spacing w:line="276" w:lineRule="auto"/>
        <w:ind w:firstLine="284"/>
        <w:jc w:val="both"/>
        <w:rPr>
          <w:rFonts w:ascii="Garamond" w:hAnsi="Garamond"/>
          <w:szCs w:val="22"/>
        </w:rPr>
      </w:pPr>
    </w:p>
    <w:p w14:paraId="1BD13FBA" w14:textId="77777777" w:rsidR="00C14892" w:rsidRPr="00250E6F" w:rsidRDefault="007D0093" w:rsidP="007A7DC1">
      <w:pPr>
        <w:spacing w:line="276" w:lineRule="auto"/>
        <w:ind w:firstLine="284"/>
        <w:jc w:val="both"/>
        <w:rPr>
          <w:rFonts w:ascii="Garamond" w:hAnsi="Garamond"/>
          <w:i/>
          <w:szCs w:val="22"/>
        </w:rPr>
      </w:pPr>
      <w:r w:rsidRPr="00250E6F">
        <w:rPr>
          <w:rFonts w:ascii="Garamond" w:hAnsi="Garamond"/>
          <w:szCs w:val="22"/>
        </w:rPr>
        <w:t xml:space="preserve">4. </w:t>
      </w:r>
      <w:r w:rsidRPr="00250E6F">
        <w:rPr>
          <w:rFonts w:ascii="Garamond" w:hAnsi="Garamond"/>
          <w:i/>
          <w:szCs w:val="22"/>
        </w:rPr>
        <w:t>Ridefinizioni normative</w:t>
      </w:r>
      <w:r w:rsidR="004400C9" w:rsidRPr="00250E6F">
        <w:rPr>
          <w:rFonts w:ascii="Garamond" w:hAnsi="Garamond"/>
          <w:i/>
          <w:szCs w:val="22"/>
        </w:rPr>
        <w:t xml:space="preserve"> dei presupposti della revoca</w:t>
      </w:r>
      <w:r w:rsidRPr="00250E6F">
        <w:rPr>
          <w:rFonts w:ascii="Garamond" w:hAnsi="Garamond"/>
          <w:i/>
          <w:szCs w:val="22"/>
        </w:rPr>
        <w:t>: l’intervento del 201</w:t>
      </w:r>
      <w:r w:rsidR="00F07E59" w:rsidRPr="00250E6F">
        <w:rPr>
          <w:rFonts w:ascii="Garamond" w:hAnsi="Garamond"/>
          <w:i/>
          <w:szCs w:val="22"/>
        </w:rPr>
        <w:t>4</w:t>
      </w:r>
      <w:r w:rsidRPr="00250E6F">
        <w:rPr>
          <w:rFonts w:ascii="Garamond" w:hAnsi="Garamond"/>
          <w:i/>
          <w:szCs w:val="22"/>
        </w:rPr>
        <w:t>.</w:t>
      </w:r>
    </w:p>
    <w:p w14:paraId="458679B8" w14:textId="77777777" w:rsidR="007D0093" w:rsidRPr="00250E6F" w:rsidRDefault="007D0093" w:rsidP="007A7DC1">
      <w:pPr>
        <w:spacing w:line="276" w:lineRule="auto"/>
        <w:ind w:firstLine="284"/>
        <w:jc w:val="both"/>
        <w:rPr>
          <w:rFonts w:ascii="Garamond" w:hAnsi="Garamond"/>
          <w:szCs w:val="22"/>
        </w:rPr>
      </w:pPr>
      <w:r w:rsidRPr="00250E6F">
        <w:rPr>
          <w:rFonts w:ascii="Garamond" w:hAnsi="Garamond"/>
          <w:szCs w:val="22"/>
        </w:rPr>
        <w:t>Il differente destino che subiscono revoca e annullamento d’ufficio è peraltro reso evidente dal fatto che, ancor oggi, il potere di cui all’art. 21-</w:t>
      </w:r>
      <w:r w:rsidRPr="00250E6F">
        <w:rPr>
          <w:rFonts w:ascii="Garamond" w:hAnsi="Garamond"/>
          <w:i/>
          <w:szCs w:val="22"/>
        </w:rPr>
        <w:t>nonies</w:t>
      </w:r>
      <w:r w:rsidRPr="00250E6F">
        <w:rPr>
          <w:rFonts w:ascii="Garamond" w:hAnsi="Garamond"/>
          <w:szCs w:val="22"/>
        </w:rPr>
        <w:t xml:space="preserve"> è oggetto di tormentate riforme che ne limitano sempre più l’esercizio, rendendolo per presupposti e tempi d’esercizio ormai quasi pari al potere giurisdizionale</w:t>
      </w:r>
      <w:r w:rsidR="007002AA" w:rsidRPr="00250E6F">
        <w:rPr>
          <w:rFonts w:ascii="Garamond" w:hAnsi="Garamond"/>
          <w:szCs w:val="22"/>
        </w:rPr>
        <w:t xml:space="preserve">: </w:t>
      </w:r>
      <w:r w:rsidR="00160F20" w:rsidRPr="00250E6F">
        <w:rPr>
          <w:rFonts w:ascii="Garamond" w:hAnsi="Garamond"/>
          <w:szCs w:val="22"/>
        </w:rPr>
        <w:t>basti pensare agli interventi governativi circa i procedimenti emergenziali legati all’emergenza sanitaria Covid-19</w:t>
      </w:r>
      <w:r w:rsidR="00160F20" w:rsidRPr="00250E6F">
        <w:rPr>
          <w:rStyle w:val="Rimandonotaapidipagina"/>
          <w:rFonts w:ascii="Garamond" w:hAnsi="Garamond"/>
          <w:szCs w:val="22"/>
        </w:rPr>
        <w:footnoteReference w:id="34"/>
      </w:r>
      <w:r w:rsidR="003D062D" w:rsidRPr="00250E6F">
        <w:rPr>
          <w:rFonts w:ascii="Garamond" w:hAnsi="Garamond"/>
          <w:szCs w:val="22"/>
        </w:rPr>
        <w:t xml:space="preserve"> nonché – anzi, </w:t>
      </w:r>
      <w:r w:rsidR="003D062D" w:rsidRPr="00250E6F">
        <w:rPr>
          <w:rFonts w:ascii="Garamond" w:hAnsi="Garamond"/>
          <w:szCs w:val="22"/>
        </w:rPr>
        <w:lastRenderedPageBreak/>
        <w:t>soprattutto</w:t>
      </w:r>
      <w:r w:rsidR="009B32D7" w:rsidRPr="00250E6F">
        <w:rPr>
          <w:rFonts w:ascii="Garamond" w:hAnsi="Garamond"/>
          <w:szCs w:val="22"/>
        </w:rPr>
        <w:t xml:space="preserve"> – </w:t>
      </w:r>
      <w:r w:rsidR="007559BA" w:rsidRPr="00250E6F">
        <w:rPr>
          <w:rFonts w:ascii="Garamond" w:hAnsi="Garamond"/>
          <w:szCs w:val="22"/>
        </w:rPr>
        <w:t>alla recentissima modifica di semplificazione intervenuta proprio sul testo dell’art. 21-</w:t>
      </w:r>
      <w:r w:rsidR="007559BA" w:rsidRPr="00250E6F">
        <w:rPr>
          <w:rFonts w:ascii="Garamond" w:hAnsi="Garamond"/>
          <w:i/>
          <w:szCs w:val="22"/>
        </w:rPr>
        <w:t>nonies</w:t>
      </w:r>
      <w:r w:rsidR="007559BA" w:rsidRPr="00250E6F">
        <w:rPr>
          <w:rFonts w:ascii="Garamond" w:hAnsi="Garamond"/>
          <w:szCs w:val="22"/>
        </w:rPr>
        <w:t xml:space="preserve"> che riduce da diciotto a dodici mesi il termine generale massimo per l’esercizio del potere di annullamento d’ufficio</w:t>
      </w:r>
      <w:r w:rsidRPr="00250E6F">
        <w:rPr>
          <w:rFonts w:ascii="Garamond" w:hAnsi="Garamond"/>
          <w:szCs w:val="22"/>
        </w:rPr>
        <w:t xml:space="preserve">. </w:t>
      </w:r>
    </w:p>
    <w:p w14:paraId="52F855B2" w14:textId="77777777" w:rsidR="007D2CD9" w:rsidRPr="00250E6F" w:rsidRDefault="007D0093" w:rsidP="007A7DC1">
      <w:pPr>
        <w:spacing w:line="276" w:lineRule="auto"/>
        <w:ind w:firstLine="284"/>
        <w:jc w:val="both"/>
        <w:rPr>
          <w:rFonts w:ascii="Garamond" w:hAnsi="Garamond"/>
          <w:szCs w:val="22"/>
        </w:rPr>
      </w:pPr>
      <w:r w:rsidRPr="00250E6F">
        <w:rPr>
          <w:rFonts w:ascii="Garamond" w:hAnsi="Garamond"/>
          <w:szCs w:val="22"/>
        </w:rPr>
        <w:t xml:space="preserve">Viceversa, la revoca </w:t>
      </w:r>
      <w:r w:rsidR="00F07E59" w:rsidRPr="00250E6F">
        <w:rPr>
          <w:rFonts w:ascii="Garamond" w:hAnsi="Garamond"/>
          <w:szCs w:val="22"/>
        </w:rPr>
        <w:t xml:space="preserve">ha visto l’ultimo intervento sostanziale nel 2014, col </w:t>
      </w:r>
      <w:proofErr w:type="spellStart"/>
      <w:r w:rsidR="00F07E59" w:rsidRPr="00250E6F">
        <w:rPr>
          <w:rFonts w:ascii="Garamond" w:hAnsi="Garamond"/>
          <w:szCs w:val="22"/>
        </w:rPr>
        <w:t>d.l.</w:t>
      </w:r>
      <w:proofErr w:type="spellEnd"/>
      <w:r w:rsidR="00F07E59" w:rsidRPr="00250E6F">
        <w:rPr>
          <w:rFonts w:ascii="Garamond" w:hAnsi="Garamond"/>
          <w:szCs w:val="22"/>
        </w:rPr>
        <w:t xml:space="preserve"> n. 133 </w:t>
      </w:r>
      <w:proofErr w:type="spellStart"/>
      <w:r w:rsidR="00F07E59" w:rsidRPr="00250E6F">
        <w:rPr>
          <w:rFonts w:ascii="Garamond" w:hAnsi="Garamond"/>
          <w:szCs w:val="22"/>
        </w:rPr>
        <w:t>conv</w:t>
      </w:r>
      <w:proofErr w:type="spellEnd"/>
      <w:r w:rsidR="00F07E59" w:rsidRPr="00250E6F">
        <w:rPr>
          <w:rFonts w:ascii="Garamond" w:hAnsi="Garamond"/>
          <w:szCs w:val="22"/>
        </w:rPr>
        <w:t xml:space="preserve">. in l. 164: intervento che, peraltro, ha condiviso </w:t>
      </w:r>
      <w:r w:rsidR="007D2CD9" w:rsidRPr="00250E6F">
        <w:rPr>
          <w:rFonts w:ascii="Garamond" w:hAnsi="Garamond"/>
          <w:szCs w:val="22"/>
        </w:rPr>
        <w:t>con la riforma del 2015 l’intento di fondo di garantire al privato la stabilità dei provvedimenti ampliativi</w:t>
      </w:r>
      <w:r w:rsidR="00F07E59" w:rsidRPr="00250E6F">
        <w:rPr>
          <w:rFonts w:ascii="Garamond" w:hAnsi="Garamond"/>
          <w:szCs w:val="22"/>
        </w:rPr>
        <w:t>, restringendo leggermente</w:t>
      </w:r>
      <w:r w:rsidR="00A3454D" w:rsidRPr="00250E6F">
        <w:rPr>
          <w:rStyle w:val="Rimandonotaapidipagina"/>
          <w:rFonts w:ascii="Garamond" w:hAnsi="Garamond"/>
          <w:szCs w:val="22"/>
        </w:rPr>
        <w:footnoteReference w:id="35"/>
      </w:r>
      <w:r w:rsidR="00F07E59" w:rsidRPr="00250E6F">
        <w:rPr>
          <w:rFonts w:ascii="Garamond" w:hAnsi="Garamond"/>
          <w:szCs w:val="22"/>
        </w:rPr>
        <w:t xml:space="preserve"> </w:t>
      </w:r>
      <w:r w:rsidR="007D2CD9" w:rsidRPr="00250E6F">
        <w:rPr>
          <w:rFonts w:ascii="Garamond" w:hAnsi="Garamond"/>
          <w:szCs w:val="22"/>
        </w:rPr>
        <w:t>i presupposti del potere di revoca</w:t>
      </w:r>
      <w:r w:rsidR="00F07E59" w:rsidRPr="00250E6F">
        <w:rPr>
          <w:rFonts w:ascii="Garamond" w:hAnsi="Garamond"/>
          <w:szCs w:val="22"/>
        </w:rPr>
        <w:t xml:space="preserve"> ma mantenendo inalterata la sua </w:t>
      </w:r>
      <w:r w:rsidR="00480E49" w:rsidRPr="00250E6F">
        <w:rPr>
          <w:rFonts w:ascii="Garamond" w:hAnsi="Garamond"/>
          <w:szCs w:val="22"/>
        </w:rPr>
        <w:t xml:space="preserve">illimitata </w:t>
      </w:r>
      <w:r w:rsidR="00EF5510" w:rsidRPr="00250E6F">
        <w:rPr>
          <w:rFonts w:ascii="Garamond" w:hAnsi="Garamond"/>
          <w:szCs w:val="22"/>
        </w:rPr>
        <w:t>applicabilità</w:t>
      </w:r>
      <w:r w:rsidR="00F07E59" w:rsidRPr="00250E6F">
        <w:rPr>
          <w:rFonts w:ascii="Garamond" w:hAnsi="Garamond"/>
          <w:szCs w:val="22"/>
        </w:rPr>
        <w:t xml:space="preserve"> nel tempo</w:t>
      </w:r>
      <w:r w:rsidR="007D2CD9" w:rsidRPr="00250E6F">
        <w:rPr>
          <w:rFonts w:ascii="Garamond" w:hAnsi="Garamond"/>
          <w:szCs w:val="22"/>
        </w:rPr>
        <w:t>.</w:t>
      </w:r>
    </w:p>
    <w:p w14:paraId="1BFC5CF1" w14:textId="77777777" w:rsidR="00480E49" w:rsidRPr="00250E6F" w:rsidRDefault="00000D76" w:rsidP="007A7DC1">
      <w:pPr>
        <w:spacing w:line="276" w:lineRule="auto"/>
        <w:ind w:firstLine="284"/>
        <w:jc w:val="both"/>
        <w:rPr>
          <w:rFonts w:ascii="Garamond" w:hAnsi="Garamond"/>
          <w:szCs w:val="22"/>
        </w:rPr>
      </w:pPr>
      <w:r w:rsidRPr="00250E6F">
        <w:rPr>
          <w:rFonts w:ascii="Garamond" w:hAnsi="Garamond"/>
          <w:szCs w:val="22"/>
        </w:rPr>
        <w:t xml:space="preserve">Da allora la disposizione è rimasta intatta. Solo col </w:t>
      </w:r>
      <w:proofErr w:type="spellStart"/>
      <w:r w:rsidRPr="00250E6F">
        <w:rPr>
          <w:rFonts w:ascii="Garamond" w:hAnsi="Garamond"/>
          <w:szCs w:val="22"/>
        </w:rPr>
        <w:t>d.l.</w:t>
      </w:r>
      <w:proofErr w:type="spellEnd"/>
      <w:r w:rsidRPr="00250E6F">
        <w:rPr>
          <w:rFonts w:ascii="Garamond" w:hAnsi="Garamond"/>
          <w:szCs w:val="22"/>
        </w:rPr>
        <w:t xml:space="preserve"> n. 34/2020, il c.d. decreto Rilancio, nell’ottica di favorire gli investimenti per rimettere in circolazione l’economia a seguito della crisi </w:t>
      </w:r>
      <w:r w:rsidR="009E4124" w:rsidRPr="00250E6F">
        <w:rPr>
          <w:rFonts w:ascii="Garamond" w:hAnsi="Garamond"/>
          <w:szCs w:val="22"/>
        </w:rPr>
        <w:t>pandemica</w:t>
      </w:r>
      <w:r w:rsidRPr="00250E6F">
        <w:rPr>
          <w:rFonts w:ascii="Garamond" w:hAnsi="Garamond"/>
          <w:szCs w:val="22"/>
        </w:rPr>
        <w:t>, è stato previsto che i provvedimenti aventi per oggetto l’erogazione di benefici economici comunque denominati, indennità, prestazioni previdenziali e assistenziali, erogazioni, contributi, sovvenzioni, finanziamenti, prestiti, agevolazioni e sospensioni, legati all’emergenza sanitaria Covid-19 sono revocabili solo per «</w:t>
      </w:r>
      <w:r w:rsidRPr="00250E6F">
        <w:rPr>
          <w:rFonts w:ascii="Garamond" w:hAnsi="Garamond"/>
          <w:i/>
          <w:szCs w:val="22"/>
        </w:rPr>
        <w:t>eccezionali</w:t>
      </w:r>
      <w:r w:rsidRPr="00250E6F">
        <w:rPr>
          <w:rFonts w:ascii="Garamond" w:hAnsi="Garamond"/>
          <w:szCs w:val="22"/>
        </w:rPr>
        <w:t xml:space="preserve"> ragioni d’interesse pubblico sopravvenute»</w:t>
      </w:r>
      <w:r w:rsidRPr="00250E6F">
        <w:rPr>
          <w:rStyle w:val="Rimandonotaapidipagina"/>
          <w:rFonts w:ascii="Garamond" w:hAnsi="Garamond"/>
          <w:szCs w:val="22"/>
        </w:rPr>
        <w:footnoteReference w:id="36"/>
      </w:r>
      <w:r w:rsidRPr="00250E6F">
        <w:rPr>
          <w:rFonts w:ascii="Garamond" w:hAnsi="Garamond"/>
          <w:szCs w:val="22"/>
        </w:rPr>
        <w:t>.</w:t>
      </w:r>
      <w:r w:rsidR="00030513" w:rsidRPr="00250E6F">
        <w:rPr>
          <w:rFonts w:ascii="Garamond" w:hAnsi="Garamond"/>
          <w:szCs w:val="22"/>
        </w:rPr>
        <w:t xml:space="preserve"> In altre parole, anche i provvedimenti adottati nella temperie </w:t>
      </w:r>
      <w:r w:rsidR="009E4124" w:rsidRPr="00250E6F">
        <w:rPr>
          <w:rFonts w:ascii="Garamond" w:hAnsi="Garamond"/>
          <w:szCs w:val="22"/>
        </w:rPr>
        <w:t>emergenziale</w:t>
      </w:r>
      <w:r w:rsidR="00030513" w:rsidRPr="00250E6F">
        <w:rPr>
          <w:rFonts w:ascii="Garamond" w:hAnsi="Garamond"/>
          <w:szCs w:val="22"/>
        </w:rPr>
        <w:t xml:space="preserve"> sono astrattamente revocabili: nessuna limitazione temporale, ma solo l’imposizione di un </w:t>
      </w:r>
      <w:r w:rsidR="003567AB" w:rsidRPr="00250E6F">
        <w:rPr>
          <w:rFonts w:ascii="Garamond" w:hAnsi="Garamond"/>
          <w:szCs w:val="22"/>
        </w:rPr>
        <w:t>pervasivo</w:t>
      </w:r>
      <w:r w:rsidR="00030513" w:rsidRPr="00250E6F">
        <w:rPr>
          <w:rFonts w:ascii="Garamond" w:hAnsi="Garamond"/>
          <w:szCs w:val="22"/>
        </w:rPr>
        <w:t xml:space="preserve"> obbligo motivazionale </w:t>
      </w:r>
      <w:r w:rsidR="003567AB" w:rsidRPr="00250E6F">
        <w:rPr>
          <w:rFonts w:ascii="Garamond" w:hAnsi="Garamond"/>
          <w:szCs w:val="22"/>
        </w:rPr>
        <w:t xml:space="preserve">da parte </w:t>
      </w:r>
      <w:r w:rsidR="00030513" w:rsidRPr="00250E6F">
        <w:rPr>
          <w:rFonts w:ascii="Garamond" w:hAnsi="Garamond"/>
          <w:szCs w:val="22"/>
        </w:rPr>
        <w:t xml:space="preserve">della </w:t>
      </w:r>
      <w:proofErr w:type="spellStart"/>
      <w:r w:rsidR="00030513" w:rsidRPr="00250E6F">
        <w:rPr>
          <w:rFonts w:ascii="Garamond" w:hAnsi="Garamond"/>
          <w:szCs w:val="22"/>
        </w:rPr>
        <w:t>p.A.</w:t>
      </w:r>
      <w:proofErr w:type="spellEnd"/>
      <w:r w:rsidR="00030513" w:rsidRPr="00250E6F">
        <w:rPr>
          <w:rFonts w:ascii="Garamond" w:hAnsi="Garamond"/>
          <w:szCs w:val="22"/>
        </w:rPr>
        <w:t xml:space="preserve"> che intenda revocarli, sulla scorta di «eccezionali» </w:t>
      </w:r>
      <w:proofErr w:type="gramStart"/>
      <w:r w:rsidR="00030513" w:rsidRPr="00250E6F">
        <w:rPr>
          <w:rFonts w:ascii="Garamond" w:hAnsi="Garamond"/>
          <w:szCs w:val="22"/>
        </w:rPr>
        <w:t>e «</w:t>
      </w:r>
      <w:proofErr w:type="gramEnd"/>
      <w:r w:rsidR="00030513" w:rsidRPr="00250E6F">
        <w:rPr>
          <w:rFonts w:ascii="Garamond" w:hAnsi="Garamond"/>
          <w:szCs w:val="22"/>
        </w:rPr>
        <w:t>sopravvenute» ragioni d’interesse pubblico.</w:t>
      </w:r>
    </w:p>
    <w:p w14:paraId="3B8643C5" w14:textId="77777777" w:rsidR="00C53026" w:rsidRPr="00250E6F" w:rsidRDefault="007D2CD9" w:rsidP="007A7DC1">
      <w:pPr>
        <w:spacing w:line="276" w:lineRule="auto"/>
        <w:ind w:firstLine="284"/>
        <w:jc w:val="both"/>
        <w:rPr>
          <w:rFonts w:ascii="Garamond" w:hAnsi="Garamond"/>
          <w:szCs w:val="22"/>
        </w:rPr>
      </w:pPr>
      <w:r w:rsidRPr="00250E6F">
        <w:rPr>
          <w:rFonts w:ascii="Garamond" w:hAnsi="Garamond"/>
          <w:szCs w:val="22"/>
        </w:rPr>
        <w:lastRenderedPageBreak/>
        <w:t>Nonostante gli aperti dissensi della dottrina</w:t>
      </w:r>
      <w:r w:rsidRPr="00250E6F">
        <w:rPr>
          <w:rStyle w:val="Rimandonotaapidipagina"/>
          <w:rFonts w:ascii="Garamond" w:hAnsi="Garamond"/>
          <w:szCs w:val="22"/>
        </w:rPr>
        <w:footnoteReference w:id="37"/>
      </w:r>
      <w:r w:rsidRPr="00250E6F">
        <w:rPr>
          <w:rFonts w:ascii="Garamond" w:hAnsi="Garamond"/>
          <w:szCs w:val="22"/>
        </w:rPr>
        <w:t xml:space="preserve">, il legislatore del </w:t>
      </w:r>
      <w:r w:rsidR="003567AB" w:rsidRPr="00250E6F">
        <w:rPr>
          <w:rFonts w:ascii="Garamond" w:hAnsi="Garamond"/>
          <w:szCs w:val="22"/>
        </w:rPr>
        <w:t>2014</w:t>
      </w:r>
      <w:r w:rsidRPr="00250E6F">
        <w:rPr>
          <w:rFonts w:ascii="Garamond" w:hAnsi="Garamond"/>
          <w:szCs w:val="22"/>
        </w:rPr>
        <w:t xml:space="preserve"> ha </w:t>
      </w:r>
      <w:r w:rsidR="003567AB" w:rsidRPr="00250E6F">
        <w:rPr>
          <w:rFonts w:ascii="Garamond" w:hAnsi="Garamond"/>
          <w:szCs w:val="22"/>
        </w:rPr>
        <w:t>tenuto ferma</w:t>
      </w:r>
      <w:r w:rsidRPr="00250E6F">
        <w:rPr>
          <w:rFonts w:ascii="Garamond" w:hAnsi="Garamond"/>
          <w:szCs w:val="22"/>
        </w:rPr>
        <w:t xml:space="preserve"> la controversa figura della revoca</w:t>
      </w:r>
      <w:r w:rsidR="003567AB" w:rsidRPr="00250E6F">
        <w:rPr>
          <w:rFonts w:ascii="Garamond" w:hAnsi="Garamond"/>
          <w:szCs w:val="22"/>
        </w:rPr>
        <w:t xml:space="preserve"> c.d.</w:t>
      </w:r>
      <w:r w:rsidRPr="00250E6F">
        <w:rPr>
          <w:rFonts w:ascii="Garamond" w:hAnsi="Garamond"/>
          <w:szCs w:val="22"/>
        </w:rPr>
        <w:t xml:space="preserve"> </w:t>
      </w:r>
      <w:proofErr w:type="spellStart"/>
      <w:r w:rsidRPr="00250E6F">
        <w:rPr>
          <w:rFonts w:ascii="Garamond" w:hAnsi="Garamond"/>
          <w:i/>
          <w:szCs w:val="22"/>
        </w:rPr>
        <w:t>ius</w:t>
      </w:r>
      <w:proofErr w:type="spellEnd"/>
      <w:r w:rsidRPr="00250E6F">
        <w:rPr>
          <w:rFonts w:ascii="Garamond" w:hAnsi="Garamond"/>
          <w:i/>
          <w:szCs w:val="22"/>
        </w:rPr>
        <w:t xml:space="preserve"> </w:t>
      </w:r>
      <w:proofErr w:type="spellStart"/>
      <w:r w:rsidRPr="00250E6F">
        <w:rPr>
          <w:rFonts w:ascii="Garamond" w:hAnsi="Garamond"/>
          <w:i/>
          <w:szCs w:val="22"/>
        </w:rPr>
        <w:t>poenitendi</w:t>
      </w:r>
      <w:proofErr w:type="spellEnd"/>
      <w:r w:rsidRPr="00250E6F">
        <w:rPr>
          <w:rStyle w:val="Rimandonotaapidipagina"/>
          <w:rFonts w:ascii="Garamond" w:hAnsi="Garamond"/>
          <w:szCs w:val="22"/>
        </w:rPr>
        <w:footnoteReference w:id="38"/>
      </w:r>
      <w:r w:rsidRPr="00250E6F">
        <w:rPr>
          <w:rFonts w:ascii="Garamond" w:hAnsi="Garamond"/>
          <w:szCs w:val="22"/>
        </w:rPr>
        <w:t xml:space="preserve">, </w:t>
      </w:r>
      <w:r w:rsidR="003567AB" w:rsidRPr="00250E6F">
        <w:rPr>
          <w:rFonts w:ascii="Garamond" w:hAnsi="Garamond"/>
          <w:szCs w:val="22"/>
        </w:rPr>
        <w:t>escludendo dalla sua applicazione</w:t>
      </w:r>
      <w:r w:rsidRPr="00250E6F">
        <w:rPr>
          <w:rFonts w:ascii="Garamond" w:hAnsi="Garamond"/>
          <w:szCs w:val="22"/>
        </w:rPr>
        <w:t xml:space="preserve"> i «provvedimenti </w:t>
      </w:r>
      <w:proofErr w:type="spellStart"/>
      <w:r w:rsidRPr="00250E6F">
        <w:rPr>
          <w:rFonts w:ascii="Garamond" w:hAnsi="Garamond"/>
          <w:szCs w:val="22"/>
        </w:rPr>
        <w:t>autorizzatori</w:t>
      </w:r>
      <w:proofErr w:type="spellEnd"/>
      <w:r w:rsidRPr="00250E6F">
        <w:rPr>
          <w:rFonts w:ascii="Garamond" w:hAnsi="Garamond"/>
          <w:szCs w:val="22"/>
        </w:rPr>
        <w:t xml:space="preserve"> e attributivi di vantaggi economici», che dunque non sono più soggetti al mero ripensamento dell’Amministrazione</w:t>
      </w:r>
      <w:r w:rsidR="00C53026" w:rsidRPr="00250E6F">
        <w:rPr>
          <w:rFonts w:ascii="Garamond" w:hAnsi="Garamond"/>
          <w:szCs w:val="22"/>
        </w:rPr>
        <w:t>.</w:t>
      </w:r>
    </w:p>
    <w:p w14:paraId="28E2BB94" w14:textId="77777777" w:rsidR="00C53026" w:rsidRPr="00250E6F" w:rsidRDefault="00C53026" w:rsidP="007A7DC1">
      <w:pPr>
        <w:spacing w:line="276" w:lineRule="auto"/>
        <w:ind w:firstLine="284"/>
        <w:jc w:val="both"/>
        <w:rPr>
          <w:rFonts w:ascii="Garamond" w:hAnsi="Garamond"/>
          <w:szCs w:val="22"/>
        </w:rPr>
      </w:pPr>
      <w:r w:rsidRPr="00250E6F">
        <w:rPr>
          <w:rFonts w:ascii="Garamond" w:hAnsi="Garamond"/>
          <w:szCs w:val="22"/>
        </w:rPr>
        <w:t xml:space="preserve">È altresì vero che, nonostante questa sottrazione al potere di revoca sia mossa dalla necessità di rendere più stabili i provvedimenti attributivi di questi vantaggi, l’effetto dell’applicazione giurisprudenziale di questa clausola non pare variare più di tanto i termini della questione circa l’ammissibilità della revoca penitenziale nei confronti degli atti il cui effetto è di attribuire vantaggi economici ai propri destinatari: l’esclusione dallo </w:t>
      </w:r>
      <w:proofErr w:type="spellStart"/>
      <w:r w:rsidRPr="00250E6F">
        <w:rPr>
          <w:rFonts w:ascii="Garamond" w:hAnsi="Garamond"/>
          <w:i/>
          <w:szCs w:val="22"/>
        </w:rPr>
        <w:t>ius</w:t>
      </w:r>
      <w:proofErr w:type="spellEnd"/>
      <w:r w:rsidRPr="00250E6F">
        <w:rPr>
          <w:rFonts w:ascii="Garamond" w:hAnsi="Garamond"/>
          <w:i/>
          <w:szCs w:val="22"/>
        </w:rPr>
        <w:t xml:space="preserve"> </w:t>
      </w:r>
      <w:proofErr w:type="spellStart"/>
      <w:r w:rsidRPr="00250E6F">
        <w:rPr>
          <w:rFonts w:ascii="Garamond" w:hAnsi="Garamond"/>
          <w:i/>
          <w:szCs w:val="22"/>
        </w:rPr>
        <w:t>poenitendi</w:t>
      </w:r>
      <w:proofErr w:type="spellEnd"/>
      <w:r w:rsidRPr="00250E6F">
        <w:rPr>
          <w:rFonts w:ascii="Garamond" w:hAnsi="Garamond"/>
          <w:szCs w:val="22"/>
        </w:rPr>
        <w:t xml:space="preserve"> è infatti concepita solo per quei provvedimenti che attribuiscano vantaggi con una certa stabilità o “definitività” </w:t>
      </w:r>
      <w:r w:rsidRPr="00250E6F">
        <w:rPr>
          <w:rFonts w:ascii="Garamond" w:hAnsi="Garamond"/>
          <w:i/>
          <w:szCs w:val="22"/>
        </w:rPr>
        <w:t>ex se</w:t>
      </w:r>
      <w:r w:rsidRPr="00250E6F">
        <w:rPr>
          <w:rFonts w:ascii="Garamond" w:hAnsi="Garamond"/>
          <w:szCs w:val="22"/>
        </w:rPr>
        <w:t>, per esempio aggiudicazioni definitive di gara.</w:t>
      </w:r>
    </w:p>
    <w:p w14:paraId="1D42DC88" w14:textId="77777777" w:rsidR="003B0ACA" w:rsidRPr="00250E6F" w:rsidRDefault="007F750D" w:rsidP="007A7DC1">
      <w:pPr>
        <w:spacing w:line="276" w:lineRule="auto"/>
        <w:ind w:firstLine="284"/>
        <w:jc w:val="both"/>
        <w:rPr>
          <w:rFonts w:ascii="Garamond" w:hAnsi="Garamond"/>
          <w:szCs w:val="22"/>
        </w:rPr>
      </w:pPr>
      <w:r w:rsidRPr="00250E6F">
        <w:rPr>
          <w:rFonts w:ascii="Garamond" w:hAnsi="Garamond"/>
          <w:szCs w:val="22"/>
        </w:rPr>
        <w:t xml:space="preserve">Il legislatore del 2014 ha – in coerenza con l’intento di conferire stabilità alle decisioni – limitato altresì la revoca per sopravvenienze di fatto </w:t>
      </w:r>
      <w:r w:rsidR="007D2CD9" w:rsidRPr="00250E6F">
        <w:rPr>
          <w:rFonts w:ascii="Garamond" w:hAnsi="Garamond"/>
          <w:szCs w:val="22"/>
        </w:rPr>
        <w:t xml:space="preserve">– per tutti i provvedimenti – a quelle </w:t>
      </w:r>
      <w:r w:rsidRPr="00250E6F">
        <w:rPr>
          <w:rFonts w:ascii="Garamond" w:hAnsi="Garamond"/>
          <w:szCs w:val="22"/>
        </w:rPr>
        <w:t xml:space="preserve">ipotesi </w:t>
      </w:r>
      <w:r w:rsidR="007D2CD9" w:rsidRPr="00250E6F">
        <w:rPr>
          <w:rFonts w:ascii="Garamond" w:hAnsi="Garamond"/>
          <w:szCs w:val="22"/>
        </w:rPr>
        <w:t>«non prevedibili al momento dell’emanazione del provvedimento»</w:t>
      </w:r>
      <w:r w:rsidR="003B0ACA" w:rsidRPr="00250E6F">
        <w:rPr>
          <w:rFonts w:ascii="Garamond" w:hAnsi="Garamond"/>
          <w:szCs w:val="22"/>
        </w:rPr>
        <w:t xml:space="preserve">: fattispecie di </w:t>
      </w:r>
      <w:r w:rsidR="003B0ACA" w:rsidRPr="00250E6F">
        <w:rPr>
          <w:rFonts w:ascii="Garamond" w:hAnsi="Garamond"/>
          <w:szCs w:val="22"/>
        </w:rPr>
        <w:lastRenderedPageBreak/>
        <w:t xml:space="preserve">difficile enucleazione, </w:t>
      </w:r>
      <w:r w:rsidR="00117D82" w:rsidRPr="00250E6F">
        <w:rPr>
          <w:rFonts w:ascii="Garamond" w:hAnsi="Garamond"/>
          <w:szCs w:val="22"/>
        </w:rPr>
        <w:t xml:space="preserve">rimessa alla valutazione prudente della </w:t>
      </w:r>
      <w:proofErr w:type="spellStart"/>
      <w:r w:rsidR="00117D82" w:rsidRPr="00250E6F">
        <w:rPr>
          <w:rFonts w:ascii="Garamond" w:hAnsi="Garamond"/>
          <w:szCs w:val="22"/>
        </w:rPr>
        <w:t>p.A.</w:t>
      </w:r>
      <w:proofErr w:type="spellEnd"/>
      <w:r w:rsidR="00117D82" w:rsidRPr="00250E6F">
        <w:rPr>
          <w:rFonts w:ascii="Garamond" w:hAnsi="Garamond"/>
          <w:szCs w:val="22"/>
        </w:rPr>
        <w:t xml:space="preserve"> e poi (eventualmente) del Giudice, </w:t>
      </w:r>
      <w:r w:rsidR="003B0ACA" w:rsidRPr="00250E6F">
        <w:rPr>
          <w:rFonts w:ascii="Garamond" w:hAnsi="Garamond"/>
          <w:szCs w:val="22"/>
        </w:rPr>
        <w:t>nella quale si riscontra</w:t>
      </w:r>
      <w:r w:rsidR="00117D82" w:rsidRPr="00250E6F">
        <w:rPr>
          <w:rFonts w:ascii="Garamond" w:hAnsi="Garamond"/>
          <w:szCs w:val="22"/>
        </w:rPr>
        <w:t xml:space="preserve"> peraltro</w:t>
      </w:r>
      <w:r w:rsidR="003B0ACA" w:rsidRPr="00250E6F">
        <w:rPr>
          <w:rFonts w:ascii="Garamond" w:hAnsi="Garamond"/>
          <w:szCs w:val="22"/>
        </w:rPr>
        <w:t xml:space="preserve"> giurisprudenza in casistica assai puntuale</w:t>
      </w:r>
      <w:r w:rsidR="003B0ACA" w:rsidRPr="00250E6F">
        <w:rPr>
          <w:rStyle w:val="Rimandonotaapidipagina"/>
          <w:rFonts w:ascii="Garamond" w:hAnsi="Garamond"/>
          <w:szCs w:val="22"/>
        </w:rPr>
        <w:footnoteReference w:id="39"/>
      </w:r>
      <w:r w:rsidR="003B0ACA" w:rsidRPr="00250E6F">
        <w:rPr>
          <w:rFonts w:ascii="Garamond" w:hAnsi="Garamond"/>
          <w:szCs w:val="22"/>
        </w:rPr>
        <w:t>.</w:t>
      </w:r>
    </w:p>
    <w:p w14:paraId="291316FD" w14:textId="77777777" w:rsidR="007D2CD9" w:rsidRPr="00250E6F" w:rsidRDefault="00117D82" w:rsidP="007A7DC1">
      <w:pPr>
        <w:spacing w:line="276" w:lineRule="auto"/>
        <w:ind w:firstLine="284"/>
        <w:jc w:val="both"/>
        <w:rPr>
          <w:rFonts w:ascii="Garamond" w:hAnsi="Garamond"/>
          <w:szCs w:val="22"/>
        </w:rPr>
      </w:pPr>
      <w:r w:rsidRPr="00250E6F">
        <w:rPr>
          <w:rFonts w:ascii="Garamond" w:hAnsi="Garamond"/>
          <w:szCs w:val="22"/>
        </w:rPr>
        <w:t xml:space="preserve">Infine, la revoca </w:t>
      </w:r>
      <w:r w:rsidR="003355B2" w:rsidRPr="00250E6F">
        <w:rPr>
          <w:rFonts w:ascii="Garamond" w:hAnsi="Garamond"/>
          <w:szCs w:val="22"/>
        </w:rPr>
        <w:t>è ancora possibile (per tutti i provvedimenti) per</w:t>
      </w:r>
      <w:r w:rsidR="007D2CD9" w:rsidRPr="00250E6F">
        <w:rPr>
          <w:rFonts w:ascii="Garamond" w:hAnsi="Garamond"/>
          <w:szCs w:val="22"/>
        </w:rPr>
        <w:t xml:space="preserve"> «sopravvenuti motivi di pubblico interesse», ancora di difficile distinzione dalle sopravvenienze di fatto</w:t>
      </w:r>
      <w:r w:rsidR="007D2CD9" w:rsidRPr="00250E6F">
        <w:rPr>
          <w:rStyle w:val="Rimandonotaapidipagina"/>
          <w:rFonts w:ascii="Garamond" w:hAnsi="Garamond"/>
          <w:szCs w:val="22"/>
        </w:rPr>
        <w:footnoteReference w:id="40"/>
      </w:r>
      <w:r w:rsidR="007D2CD9" w:rsidRPr="00250E6F">
        <w:rPr>
          <w:rFonts w:ascii="Garamond" w:hAnsi="Garamond"/>
          <w:szCs w:val="22"/>
        </w:rPr>
        <w:t>, seppure solo queste ultime siano oggi sottoposte alla condizione dell’imprevedibilità</w:t>
      </w:r>
      <w:r w:rsidR="007D2CD9" w:rsidRPr="00250E6F">
        <w:rPr>
          <w:rStyle w:val="Rimandonotaapidipagina"/>
          <w:rFonts w:ascii="Garamond" w:hAnsi="Garamond"/>
          <w:szCs w:val="22"/>
        </w:rPr>
        <w:footnoteReference w:id="41"/>
      </w:r>
      <w:r w:rsidR="007D2CD9" w:rsidRPr="00250E6F">
        <w:rPr>
          <w:rFonts w:ascii="Garamond" w:hAnsi="Garamond"/>
          <w:szCs w:val="22"/>
        </w:rPr>
        <w:t>.</w:t>
      </w:r>
    </w:p>
    <w:p w14:paraId="5C65A99F" w14:textId="77777777" w:rsidR="00D64853" w:rsidRPr="00250E6F" w:rsidRDefault="00D64853" w:rsidP="007A7DC1">
      <w:pPr>
        <w:spacing w:line="276" w:lineRule="auto"/>
        <w:ind w:firstLine="284"/>
        <w:jc w:val="both"/>
        <w:rPr>
          <w:rFonts w:ascii="Garamond" w:hAnsi="Garamond"/>
          <w:szCs w:val="22"/>
        </w:rPr>
      </w:pPr>
    </w:p>
    <w:p w14:paraId="43291E11" w14:textId="77777777" w:rsidR="003904CB" w:rsidRPr="00250E6F" w:rsidRDefault="00436718" w:rsidP="007A7DC1">
      <w:pPr>
        <w:spacing w:line="276" w:lineRule="auto"/>
        <w:ind w:firstLine="284"/>
        <w:jc w:val="both"/>
        <w:rPr>
          <w:rFonts w:ascii="Garamond" w:hAnsi="Garamond"/>
          <w:i/>
          <w:szCs w:val="22"/>
        </w:rPr>
      </w:pPr>
      <w:r w:rsidRPr="00250E6F">
        <w:rPr>
          <w:rFonts w:ascii="Garamond" w:hAnsi="Garamond"/>
          <w:szCs w:val="22"/>
        </w:rPr>
        <w:t>5</w:t>
      </w:r>
      <w:r w:rsidR="003904CB" w:rsidRPr="00250E6F">
        <w:rPr>
          <w:rFonts w:ascii="Garamond" w:hAnsi="Garamond"/>
          <w:szCs w:val="22"/>
        </w:rPr>
        <w:t>.</w:t>
      </w:r>
      <w:r w:rsidR="003904CB" w:rsidRPr="00250E6F">
        <w:rPr>
          <w:rFonts w:ascii="Garamond" w:hAnsi="Garamond"/>
          <w:i/>
          <w:szCs w:val="22"/>
        </w:rPr>
        <w:t xml:space="preserve"> Altri aspetti della revoca: </w:t>
      </w:r>
      <w:r w:rsidR="005D3B7C" w:rsidRPr="00250E6F">
        <w:rPr>
          <w:rFonts w:ascii="Garamond" w:hAnsi="Garamond"/>
          <w:i/>
          <w:szCs w:val="22"/>
        </w:rPr>
        <w:t>le garanzie procedimentali</w:t>
      </w:r>
      <w:r w:rsidR="00B07350" w:rsidRPr="00250E6F">
        <w:rPr>
          <w:rFonts w:ascii="Garamond" w:hAnsi="Garamond"/>
          <w:i/>
          <w:szCs w:val="22"/>
        </w:rPr>
        <w:t>.</w:t>
      </w:r>
    </w:p>
    <w:p w14:paraId="1B733BD5" w14:textId="77777777" w:rsidR="00915BB1" w:rsidRPr="00250E6F" w:rsidRDefault="007D2CD9" w:rsidP="007A7DC1">
      <w:pPr>
        <w:spacing w:line="276" w:lineRule="auto"/>
        <w:ind w:firstLine="284"/>
        <w:jc w:val="both"/>
        <w:rPr>
          <w:rFonts w:ascii="Garamond" w:hAnsi="Garamond"/>
          <w:szCs w:val="22"/>
        </w:rPr>
      </w:pPr>
      <w:r w:rsidRPr="00250E6F">
        <w:rPr>
          <w:rFonts w:ascii="Garamond" w:hAnsi="Garamond"/>
          <w:szCs w:val="22"/>
        </w:rPr>
        <w:t>N</w:t>
      </w:r>
      <w:r w:rsidR="00076FC2" w:rsidRPr="00250E6F">
        <w:rPr>
          <w:rFonts w:ascii="Garamond" w:hAnsi="Garamond"/>
          <w:szCs w:val="22"/>
        </w:rPr>
        <w:t xml:space="preserve">on v’è alcuna </w:t>
      </w:r>
      <w:r w:rsidRPr="00250E6F">
        <w:rPr>
          <w:rFonts w:ascii="Garamond" w:hAnsi="Garamond"/>
          <w:szCs w:val="22"/>
        </w:rPr>
        <w:t xml:space="preserve">disposizione specifica sul procedimento </w:t>
      </w:r>
      <w:r w:rsidR="00E9442C" w:rsidRPr="00250E6F">
        <w:rPr>
          <w:rFonts w:ascii="Garamond" w:hAnsi="Garamond"/>
          <w:szCs w:val="22"/>
        </w:rPr>
        <w:t>per revocare</w:t>
      </w:r>
      <w:r w:rsidRPr="00250E6F">
        <w:rPr>
          <w:rFonts w:ascii="Garamond" w:hAnsi="Garamond"/>
          <w:szCs w:val="22"/>
        </w:rPr>
        <w:t xml:space="preserve">, ma è ormai dato consolidato in giurisprudenza che al destinatario siano riservate tutte le garanzie </w:t>
      </w:r>
      <w:r w:rsidRPr="00250E6F">
        <w:rPr>
          <w:rFonts w:ascii="Garamond" w:hAnsi="Garamond"/>
          <w:szCs w:val="22"/>
        </w:rPr>
        <w:lastRenderedPageBreak/>
        <w:t>partecipative</w:t>
      </w:r>
      <w:r w:rsidRPr="00250E6F">
        <w:rPr>
          <w:rStyle w:val="Rimandonotaapidipagina"/>
          <w:rFonts w:ascii="Garamond" w:hAnsi="Garamond"/>
          <w:szCs w:val="22"/>
        </w:rPr>
        <w:footnoteReference w:id="42"/>
      </w:r>
      <w:r w:rsidRPr="00250E6F">
        <w:rPr>
          <w:rFonts w:ascii="Garamond" w:hAnsi="Garamond"/>
          <w:szCs w:val="22"/>
        </w:rPr>
        <w:t>, in quanto titolare di un affidamento legittimo (poiché non è in discussione la legittimità di un provvedimento).</w:t>
      </w:r>
    </w:p>
    <w:p w14:paraId="2ECB2310" w14:textId="77777777" w:rsidR="00915BB1" w:rsidRPr="00250E6F" w:rsidRDefault="00915BB1" w:rsidP="007A7DC1">
      <w:pPr>
        <w:spacing w:line="276" w:lineRule="auto"/>
        <w:ind w:firstLine="284"/>
        <w:jc w:val="both"/>
        <w:rPr>
          <w:rFonts w:ascii="Garamond" w:hAnsi="Garamond"/>
          <w:szCs w:val="22"/>
        </w:rPr>
      </w:pPr>
      <w:r w:rsidRPr="00250E6F">
        <w:rPr>
          <w:rFonts w:ascii="Garamond" w:hAnsi="Garamond"/>
          <w:szCs w:val="22"/>
        </w:rPr>
        <w:t xml:space="preserve">Si colloca in posizione </w:t>
      </w:r>
      <w:r w:rsidR="002828F3" w:rsidRPr="00250E6F">
        <w:rPr>
          <w:rFonts w:ascii="Garamond" w:hAnsi="Garamond"/>
          <w:szCs w:val="22"/>
        </w:rPr>
        <w:t xml:space="preserve">apparentemente </w:t>
      </w:r>
      <w:r w:rsidRPr="00250E6F">
        <w:rPr>
          <w:rFonts w:ascii="Garamond" w:hAnsi="Garamond"/>
          <w:szCs w:val="22"/>
        </w:rPr>
        <w:t xml:space="preserve">distonica da questa lettura l’orientamento giurisprudenziale che afferma la non </w:t>
      </w:r>
      <w:proofErr w:type="spellStart"/>
      <w:r w:rsidRPr="00250E6F">
        <w:rPr>
          <w:rFonts w:ascii="Garamond" w:hAnsi="Garamond"/>
          <w:szCs w:val="22"/>
        </w:rPr>
        <w:t>necessarietà</w:t>
      </w:r>
      <w:proofErr w:type="spellEnd"/>
      <w:r w:rsidRPr="00250E6F">
        <w:rPr>
          <w:rFonts w:ascii="Garamond" w:hAnsi="Garamond"/>
          <w:szCs w:val="22"/>
        </w:rPr>
        <w:t xml:space="preserve"> della comunicazione di avvio allorché l’Amministrazione revochi l’aggiudicazione provvisoria della gara, a cagione della sua intrinseca – appunto – provvisorietà e inattitudine a radicare l’affidamento nell’aggiudicatario. Per questo filone pretorio, richiamato anche più sopra, </w:t>
      </w:r>
      <w:r w:rsidR="00F23931" w:rsidRPr="00250E6F">
        <w:rPr>
          <w:rFonts w:ascii="Garamond" w:hAnsi="Garamond"/>
          <w:szCs w:val="22"/>
        </w:rPr>
        <w:t xml:space="preserve">quell’atto </w:t>
      </w:r>
      <w:r w:rsidRPr="00250E6F">
        <w:rPr>
          <w:rFonts w:ascii="Garamond" w:hAnsi="Garamond"/>
          <w:szCs w:val="22"/>
        </w:rPr>
        <w:t>amministrativo non è in grado di conferire diritti</w:t>
      </w:r>
      <w:r w:rsidR="00F23931" w:rsidRPr="00250E6F">
        <w:rPr>
          <w:rFonts w:ascii="Garamond" w:hAnsi="Garamond"/>
          <w:szCs w:val="22"/>
        </w:rPr>
        <w:t>, pertanto la sua revoca</w:t>
      </w:r>
      <w:r w:rsidRPr="00250E6F">
        <w:rPr>
          <w:rFonts w:ascii="Garamond" w:hAnsi="Garamond"/>
          <w:szCs w:val="22"/>
        </w:rPr>
        <w:t xml:space="preserve"> non è qualificabile come vera e propria autotutela, poiché non v’è necessità di contemperare l’interesse della </w:t>
      </w:r>
      <w:proofErr w:type="spellStart"/>
      <w:r w:rsidRPr="00250E6F">
        <w:rPr>
          <w:rFonts w:ascii="Garamond" w:hAnsi="Garamond"/>
          <w:szCs w:val="22"/>
        </w:rPr>
        <w:t>p.A.</w:t>
      </w:r>
      <w:proofErr w:type="spellEnd"/>
      <w:r w:rsidRPr="00250E6F">
        <w:rPr>
          <w:rFonts w:ascii="Garamond" w:hAnsi="Garamond"/>
          <w:szCs w:val="22"/>
        </w:rPr>
        <w:t xml:space="preserve"> a interrompere l’efficacia di quell’atto e l’interesse – contrario – del suo eventuale beneficiario</w:t>
      </w:r>
      <w:r w:rsidR="00BD3E76" w:rsidRPr="00250E6F">
        <w:rPr>
          <w:rFonts w:ascii="Garamond" w:hAnsi="Garamond"/>
          <w:szCs w:val="22"/>
        </w:rPr>
        <w:t xml:space="preserve"> a conservarla</w:t>
      </w:r>
      <w:r w:rsidRPr="00250E6F">
        <w:rPr>
          <w:rFonts w:ascii="Garamond" w:hAnsi="Garamond"/>
          <w:szCs w:val="22"/>
        </w:rPr>
        <w:t xml:space="preserve">, poiché in realtà un beneficiario ancora non c’è. </w:t>
      </w:r>
      <w:r w:rsidR="00520306" w:rsidRPr="00250E6F">
        <w:rPr>
          <w:rFonts w:ascii="Garamond" w:hAnsi="Garamond"/>
          <w:szCs w:val="22"/>
        </w:rPr>
        <w:t xml:space="preserve">Fino a che non vi sia un’aggiudicazione definitiva della procedura a evidenza pubblica, il rapporto tra la stazione appaltante e i concorrenti è ancora molto fluido e dinamico, non ci sono posizioni cristallizzate né diritti acquisiti, ma solo aspettative. Perciò la </w:t>
      </w:r>
      <w:proofErr w:type="spellStart"/>
      <w:r w:rsidR="00520306" w:rsidRPr="00250E6F">
        <w:rPr>
          <w:rFonts w:ascii="Garamond" w:hAnsi="Garamond"/>
          <w:szCs w:val="22"/>
        </w:rPr>
        <w:t>p.A.</w:t>
      </w:r>
      <w:proofErr w:type="spellEnd"/>
      <w:r w:rsidR="00520306" w:rsidRPr="00250E6F">
        <w:rPr>
          <w:rFonts w:ascii="Garamond" w:hAnsi="Garamond"/>
          <w:szCs w:val="22"/>
        </w:rPr>
        <w:t xml:space="preserve"> può esercitare la sua piena discrezionalità nel revocare gli atti di gara (compresa l’aggiudicazione provvisoria) senza curarsi di avvisare le imprese concorrenti dell’avvio del procedimento di revoca</w:t>
      </w:r>
      <w:r w:rsidR="00F25B44" w:rsidRPr="00250E6F">
        <w:rPr>
          <w:rStyle w:val="Rimandonotaapidipagina"/>
          <w:rFonts w:ascii="Garamond" w:hAnsi="Garamond"/>
          <w:szCs w:val="22"/>
        </w:rPr>
        <w:footnoteReference w:id="43"/>
      </w:r>
      <w:r w:rsidR="00520306" w:rsidRPr="00250E6F">
        <w:rPr>
          <w:rFonts w:ascii="Garamond" w:hAnsi="Garamond"/>
          <w:szCs w:val="22"/>
        </w:rPr>
        <w:t>.</w:t>
      </w:r>
    </w:p>
    <w:p w14:paraId="420CD7A2" w14:textId="77777777" w:rsidR="002828F3" w:rsidRPr="00250E6F" w:rsidRDefault="002828F3" w:rsidP="007A7DC1">
      <w:pPr>
        <w:spacing w:line="276" w:lineRule="auto"/>
        <w:ind w:firstLine="284"/>
        <w:jc w:val="both"/>
        <w:rPr>
          <w:rFonts w:ascii="Garamond" w:hAnsi="Garamond"/>
          <w:szCs w:val="22"/>
        </w:rPr>
      </w:pPr>
      <w:r w:rsidRPr="00250E6F">
        <w:rPr>
          <w:rFonts w:ascii="Garamond" w:hAnsi="Garamond"/>
          <w:szCs w:val="22"/>
        </w:rPr>
        <w:lastRenderedPageBreak/>
        <w:t xml:space="preserve">In realtà, l’orientamento appena riferito è fuorviante: poiché qualifica come «revoca» il mero ritiro di un atto </w:t>
      </w:r>
      <w:proofErr w:type="spellStart"/>
      <w:r w:rsidRPr="00250E6F">
        <w:rPr>
          <w:rFonts w:ascii="Garamond" w:hAnsi="Garamond"/>
          <w:szCs w:val="22"/>
        </w:rPr>
        <w:t>endoprocedimentale</w:t>
      </w:r>
      <w:proofErr w:type="spellEnd"/>
      <w:r w:rsidRPr="00250E6F">
        <w:rPr>
          <w:rFonts w:ascii="Garamond" w:hAnsi="Garamond"/>
          <w:szCs w:val="22"/>
        </w:rPr>
        <w:t xml:space="preserve"> (l’aggiudicazione provvisoria</w:t>
      </w:r>
      <w:r w:rsidRPr="00250E6F">
        <w:rPr>
          <w:rStyle w:val="Rimandonotaapidipagina"/>
          <w:rFonts w:ascii="Garamond" w:hAnsi="Garamond"/>
          <w:szCs w:val="22"/>
        </w:rPr>
        <w:footnoteReference w:id="44"/>
      </w:r>
      <w:r w:rsidRPr="00250E6F">
        <w:rPr>
          <w:rFonts w:ascii="Garamond" w:hAnsi="Garamond"/>
          <w:szCs w:val="22"/>
        </w:rPr>
        <w:t>), laddove invece la revoca investe provvedimenti, dunque gli atti conclusivi del procedimento, idonei a stabilizzare le posizioni giuridiche oggetto della valutazione amministrativa.</w:t>
      </w:r>
    </w:p>
    <w:p w14:paraId="01B92BE3" w14:textId="77777777" w:rsidR="00CB1A23" w:rsidRPr="00250E6F" w:rsidRDefault="002828F3" w:rsidP="00CB1A23">
      <w:pPr>
        <w:spacing w:line="276" w:lineRule="auto"/>
        <w:ind w:firstLine="284"/>
        <w:jc w:val="both"/>
        <w:rPr>
          <w:rFonts w:ascii="Garamond" w:hAnsi="Garamond"/>
          <w:szCs w:val="22"/>
        </w:rPr>
      </w:pPr>
      <w:r w:rsidRPr="00250E6F">
        <w:rPr>
          <w:rFonts w:ascii="Garamond" w:hAnsi="Garamond"/>
          <w:szCs w:val="22"/>
        </w:rPr>
        <w:t xml:space="preserve">Sicché è comprensibile </w:t>
      </w:r>
      <w:r w:rsidR="005310D7" w:rsidRPr="00250E6F">
        <w:rPr>
          <w:rFonts w:ascii="Garamond" w:hAnsi="Garamond"/>
          <w:szCs w:val="22"/>
        </w:rPr>
        <w:t xml:space="preserve">la carenza di garanzie procedimentali e la giustificata omissione dell’avviso di avvio del procedimento. </w:t>
      </w:r>
      <w:r w:rsidR="002C2F2F" w:rsidRPr="00250E6F">
        <w:rPr>
          <w:rFonts w:ascii="Garamond" w:hAnsi="Garamond"/>
          <w:szCs w:val="22"/>
        </w:rPr>
        <w:t>Non</w:t>
      </w:r>
      <w:r w:rsidR="005310D7" w:rsidRPr="00250E6F">
        <w:rPr>
          <w:rFonts w:ascii="Garamond" w:hAnsi="Garamond"/>
          <w:szCs w:val="22"/>
        </w:rPr>
        <w:t>dimeno, emerge il tema</w:t>
      </w:r>
      <w:r w:rsidR="002C2F2F" w:rsidRPr="00250E6F">
        <w:rPr>
          <w:rFonts w:ascii="Garamond" w:hAnsi="Garamond"/>
          <w:szCs w:val="22"/>
        </w:rPr>
        <w:t xml:space="preserve"> </w:t>
      </w:r>
      <w:r w:rsidR="005310D7" w:rsidRPr="00250E6F">
        <w:rPr>
          <w:rFonts w:ascii="Garamond" w:hAnsi="Garamond"/>
          <w:szCs w:val="22"/>
        </w:rPr>
        <w:t xml:space="preserve">della possibile </w:t>
      </w:r>
      <w:r w:rsidR="002C2F2F" w:rsidRPr="00250E6F">
        <w:rPr>
          <w:rFonts w:ascii="Garamond" w:hAnsi="Garamond"/>
          <w:szCs w:val="22"/>
        </w:rPr>
        <w:t>lesione dei diritti partecipativi de</w:t>
      </w:r>
      <w:r w:rsidR="00BD3E76" w:rsidRPr="00250E6F">
        <w:rPr>
          <w:rFonts w:ascii="Garamond" w:hAnsi="Garamond"/>
          <w:szCs w:val="22"/>
        </w:rPr>
        <w:t>gli operatori economici che partecipano alle procedure a evidenza pubblica</w:t>
      </w:r>
      <w:r w:rsidR="002C2F2F" w:rsidRPr="00250E6F">
        <w:rPr>
          <w:rStyle w:val="Rimandonotaapidipagina"/>
          <w:rFonts w:ascii="Garamond" w:hAnsi="Garamond"/>
          <w:szCs w:val="22"/>
        </w:rPr>
        <w:footnoteReference w:id="45"/>
      </w:r>
      <w:r w:rsidR="002C2F2F" w:rsidRPr="00250E6F">
        <w:rPr>
          <w:rFonts w:ascii="Garamond" w:hAnsi="Garamond"/>
          <w:szCs w:val="22"/>
        </w:rPr>
        <w:t xml:space="preserve">: tanto che – indipendentemente dalla legittimità della revoca – il comportamento della </w:t>
      </w:r>
      <w:proofErr w:type="spellStart"/>
      <w:r w:rsidR="002C2F2F" w:rsidRPr="00250E6F">
        <w:rPr>
          <w:rFonts w:ascii="Garamond" w:hAnsi="Garamond"/>
          <w:szCs w:val="22"/>
        </w:rPr>
        <w:t>p.A.</w:t>
      </w:r>
      <w:proofErr w:type="spellEnd"/>
      <w:r w:rsidR="005310D7" w:rsidRPr="00250E6F">
        <w:rPr>
          <w:rFonts w:ascii="Garamond" w:hAnsi="Garamond"/>
          <w:szCs w:val="22"/>
        </w:rPr>
        <w:t xml:space="preserve">, come si vedrà </w:t>
      </w:r>
      <w:r w:rsidR="005310D7" w:rsidRPr="00250E6F">
        <w:rPr>
          <w:rFonts w:ascii="Garamond" w:hAnsi="Garamond"/>
          <w:i/>
          <w:szCs w:val="22"/>
        </w:rPr>
        <w:t>infra</w:t>
      </w:r>
      <w:r w:rsidR="005310D7" w:rsidRPr="00250E6F">
        <w:rPr>
          <w:rFonts w:ascii="Garamond" w:hAnsi="Garamond"/>
          <w:szCs w:val="22"/>
        </w:rPr>
        <w:t>,</w:t>
      </w:r>
      <w:r w:rsidR="002C2F2F" w:rsidRPr="00250E6F">
        <w:rPr>
          <w:rFonts w:ascii="Garamond" w:hAnsi="Garamond"/>
          <w:szCs w:val="22"/>
        </w:rPr>
        <w:t xml:space="preserve"> è comunque suscettibile di affermazione di responsabilità</w:t>
      </w:r>
      <w:r w:rsidR="005310D7" w:rsidRPr="00250E6F">
        <w:rPr>
          <w:rFonts w:ascii="Garamond" w:hAnsi="Garamond"/>
          <w:szCs w:val="22"/>
        </w:rPr>
        <w:t xml:space="preserve"> precontrattuale da comportamento</w:t>
      </w:r>
      <w:r w:rsidR="002C2F2F" w:rsidRPr="00250E6F">
        <w:rPr>
          <w:rFonts w:ascii="Garamond" w:hAnsi="Garamond"/>
          <w:szCs w:val="22"/>
        </w:rPr>
        <w:t>.</w:t>
      </w:r>
    </w:p>
    <w:p w14:paraId="37D54243" w14:textId="77777777" w:rsidR="00CA5142" w:rsidRPr="00250E6F" w:rsidRDefault="00CB1A23" w:rsidP="00CB1A23">
      <w:pPr>
        <w:spacing w:line="276" w:lineRule="auto"/>
        <w:ind w:firstLine="284"/>
        <w:jc w:val="both"/>
        <w:rPr>
          <w:rFonts w:ascii="Garamond" w:hAnsi="Garamond"/>
          <w:szCs w:val="22"/>
        </w:rPr>
      </w:pPr>
      <w:r w:rsidRPr="00250E6F">
        <w:rPr>
          <w:rFonts w:ascii="Garamond" w:hAnsi="Garamond"/>
          <w:szCs w:val="22"/>
        </w:rPr>
        <w:t>È stato molto discusso il rilievo del</w:t>
      </w:r>
      <w:r w:rsidR="007D2CD9" w:rsidRPr="00250E6F">
        <w:rPr>
          <w:rFonts w:ascii="Garamond" w:hAnsi="Garamond"/>
          <w:szCs w:val="22"/>
        </w:rPr>
        <w:t>l’invalidità formale della revoca non preceduta dal contraddittorio con il privato e del correttivo di cui all’art. 21-</w:t>
      </w:r>
      <w:r w:rsidR="007D2CD9" w:rsidRPr="00250E6F">
        <w:rPr>
          <w:rFonts w:ascii="Garamond" w:hAnsi="Garamond"/>
          <w:i/>
          <w:szCs w:val="22"/>
        </w:rPr>
        <w:t>octies</w:t>
      </w:r>
      <w:r w:rsidR="007D2CD9" w:rsidRPr="00250E6F">
        <w:rPr>
          <w:rFonts w:ascii="Garamond" w:hAnsi="Garamond"/>
          <w:szCs w:val="22"/>
        </w:rPr>
        <w:t>, comma 2, ma la dottrina più attenta</w:t>
      </w:r>
      <w:r w:rsidRPr="00250E6F">
        <w:rPr>
          <w:rStyle w:val="Rimandonotaapidipagina"/>
          <w:rFonts w:ascii="Garamond" w:hAnsi="Garamond"/>
          <w:szCs w:val="22"/>
        </w:rPr>
        <w:footnoteReference w:id="46"/>
      </w:r>
      <w:r w:rsidR="007D2CD9" w:rsidRPr="00250E6F">
        <w:rPr>
          <w:rFonts w:ascii="Garamond" w:hAnsi="Garamond"/>
          <w:szCs w:val="22"/>
        </w:rPr>
        <w:t xml:space="preserve"> e la giurisprudenza maggioritaria non ritengono </w:t>
      </w:r>
      <w:r w:rsidR="005310D7" w:rsidRPr="00250E6F">
        <w:rPr>
          <w:rFonts w:ascii="Garamond" w:hAnsi="Garamond"/>
          <w:szCs w:val="22"/>
        </w:rPr>
        <w:t xml:space="preserve">ormai </w:t>
      </w:r>
      <w:r w:rsidR="007D2CD9" w:rsidRPr="00250E6F">
        <w:rPr>
          <w:rFonts w:ascii="Garamond" w:hAnsi="Garamond"/>
          <w:szCs w:val="22"/>
        </w:rPr>
        <w:t>applicabile, per le ragioni anzidette, l’</w:t>
      </w:r>
      <w:proofErr w:type="spellStart"/>
      <w:r w:rsidR="007D2CD9" w:rsidRPr="00250E6F">
        <w:rPr>
          <w:rFonts w:ascii="Garamond" w:hAnsi="Garamond"/>
          <w:szCs w:val="22"/>
        </w:rPr>
        <w:t>inannullabilità</w:t>
      </w:r>
      <w:proofErr w:type="spellEnd"/>
      <w:r w:rsidR="007D2CD9" w:rsidRPr="00250E6F">
        <w:rPr>
          <w:rFonts w:ascii="Garamond" w:hAnsi="Garamond"/>
          <w:szCs w:val="22"/>
        </w:rPr>
        <w:t xml:space="preserve"> per vizi formali</w:t>
      </w:r>
      <w:r w:rsidR="007D2CD9" w:rsidRPr="00250E6F">
        <w:rPr>
          <w:rStyle w:val="Rimandonotaapidipagina"/>
          <w:rFonts w:ascii="Garamond" w:hAnsi="Garamond"/>
          <w:szCs w:val="22"/>
        </w:rPr>
        <w:footnoteReference w:id="47"/>
      </w:r>
      <w:r w:rsidR="007D2CD9" w:rsidRPr="00250E6F">
        <w:rPr>
          <w:rFonts w:ascii="Garamond" w:hAnsi="Garamond"/>
          <w:szCs w:val="22"/>
        </w:rPr>
        <w:t>.</w:t>
      </w:r>
    </w:p>
    <w:p w14:paraId="0B5BD0EC" w14:textId="77777777" w:rsidR="007D2CD9" w:rsidRPr="00250E6F" w:rsidRDefault="00E8074B" w:rsidP="007A7DC1">
      <w:pPr>
        <w:spacing w:line="276" w:lineRule="auto"/>
        <w:ind w:firstLine="284"/>
        <w:jc w:val="both"/>
        <w:rPr>
          <w:rFonts w:ascii="Garamond" w:hAnsi="Garamond"/>
          <w:szCs w:val="22"/>
        </w:rPr>
      </w:pPr>
      <w:r w:rsidRPr="00250E6F">
        <w:rPr>
          <w:rFonts w:ascii="Garamond" w:hAnsi="Garamond"/>
          <w:szCs w:val="22"/>
        </w:rPr>
        <w:t xml:space="preserve">Ciò in quanto </w:t>
      </w:r>
      <w:r w:rsidR="005E6440" w:rsidRPr="00250E6F">
        <w:rPr>
          <w:rFonts w:ascii="Garamond" w:hAnsi="Garamond"/>
          <w:szCs w:val="22"/>
        </w:rPr>
        <w:t xml:space="preserve">– anzitutto – </w:t>
      </w:r>
      <w:r w:rsidRPr="00250E6F">
        <w:rPr>
          <w:rFonts w:ascii="Garamond" w:hAnsi="Garamond"/>
          <w:szCs w:val="22"/>
        </w:rPr>
        <w:t>l’</w:t>
      </w:r>
      <w:r w:rsidR="005E6440" w:rsidRPr="00250E6F">
        <w:rPr>
          <w:rFonts w:ascii="Garamond" w:hAnsi="Garamond"/>
          <w:szCs w:val="22"/>
        </w:rPr>
        <w:t>applicazione dell’</w:t>
      </w:r>
      <w:r w:rsidRPr="00250E6F">
        <w:rPr>
          <w:rFonts w:ascii="Garamond" w:hAnsi="Garamond"/>
          <w:szCs w:val="22"/>
        </w:rPr>
        <w:t>art. 21-</w:t>
      </w:r>
      <w:r w:rsidRPr="00250E6F">
        <w:rPr>
          <w:rFonts w:ascii="Garamond" w:hAnsi="Garamond"/>
          <w:i/>
          <w:szCs w:val="22"/>
        </w:rPr>
        <w:t>octies</w:t>
      </w:r>
      <w:r w:rsidRPr="00250E6F">
        <w:rPr>
          <w:rFonts w:ascii="Garamond" w:hAnsi="Garamond"/>
          <w:szCs w:val="22"/>
        </w:rPr>
        <w:t>, nella parte qui considerata, risulta essere praticamente limitat</w:t>
      </w:r>
      <w:r w:rsidR="005E6440" w:rsidRPr="00250E6F">
        <w:rPr>
          <w:rFonts w:ascii="Garamond" w:hAnsi="Garamond"/>
          <w:szCs w:val="22"/>
        </w:rPr>
        <w:t>a</w:t>
      </w:r>
      <w:r w:rsidRPr="00250E6F">
        <w:rPr>
          <w:rFonts w:ascii="Garamond" w:hAnsi="Garamond"/>
          <w:szCs w:val="22"/>
        </w:rPr>
        <w:t xml:space="preserve"> al solo mancato avviso di avvio del procedimento</w:t>
      </w:r>
      <w:r w:rsidRPr="00250E6F">
        <w:rPr>
          <w:rStyle w:val="Rimandonotaapidipagina"/>
          <w:rFonts w:ascii="Garamond" w:hAnsi="Garamond"/>
          <w:szCs w:val="22"/>
        </w:rPr>
        <w:footnoteReference w:id="48"/>
      </w:r>
      <w:r w:rsidRPr="00250E6F">
        <w:rPr>
          <w:rFonts w:ascii="Garamond" w:hAnsi="Garamond"/>
          <w:szCs w:val="22"/>
        </w:rPr>
        <w:t xml:space="preserve">, </w:t>
      </w:r>
      <w:r w:rsidR="005E6440" w:rsidRPr="00250E6F">
        <w:rPr>
          <w:rFonts w:ascii="Garamond" w:hAnsi="Garamond"/>
          <w:szCs w:val="22"/>
        </w:rPr>
        <w:t>peraltro</w:t>
      </w:r>
      <w:r w:rsidRPr="00250E6F">
        <w:rPr>
          <w:rFonts w:ascii="Garamond" w:hAnsi="Garamond"/>
          <w:szCs w:val="22"/>
        </w:rPr>
        <w:t xml:space="preserve"> sempre laddove a questa mancanza possa supplirsi con una totale assenza di discrezionalità in capo alla </w:t>
      </w:r>
      <w:proofErr w:type="spellStart"/>
      <w:r w:rsidRPr="00250E6F">
        <w:rPr>
          <w:rFonts w:ascii="Garamond" w:hAnsi="Garamond"/>
          <w:szCs w:val="22"/>
        </w:rPr>
        <w:t>p.A.</w:t>
      </w:r>
      <w:proofErr w:type="spellEnd"/>
      <w:r w:rsidRPr="00250E6F">
        <w:rPr>
          <w:rFonts w:ascii="Garamond" w:hAnsi="Garamond"/>
          <w:szCs w:val="22"/>
        </w:rPr>
        <w:t xml:space="preserve"> decidente (per definizione invece presentissima nei provvedimenti di revoca, ampiamente discrezionali) oppure – nel caso di provvedimenti di diniego su procedimenti a istanza di parte – con il preavviso </w:t>
      </w:r>
      <w:r w:rsidRPr="00250E6F">
        <w:rPr>
          <w:rFonts w:ascii="Garamond" w:hAnsi="Garamond"/>
          <w:i/>
          <w:szCs w:val="22"/>
        </w:rPr>
        <w:t>ex</w:t>
      </w:r>
      <w:r w:rsidRPr="00250E6F">
        <w:rPr>
          <w:rFonts w:ascii="Garamond" w:hAnsi="Garamond"/>
          <w:szCs w:val="22"/>
        </w:rPr>
        <w:t xml:space="preserve"> art. 10-</w:t>
      </w:r>
      <w:r w:rsidRPr="00250E6F">
        <w:rPr>
          <w:rFonts w:ascii="Garamond" w:hAnsi="Garamond"/>
          <w:i/>
          <w:szCs w:val="22"/>
        </w:rPr>
        <w:t>bis</w:t>
      </w:r>
      <w:r w:rsidR="005E6440" w:rsidRPr="00250E6F">
        <w:rPr>
          <w:rStyle w:val="Rimandonotaapidipagina"/>
          <w:rFonts w:ascii="Garamond" w:hAnsi="Garamond"/>
          <w:szCs w:val="22"/>
        </w:rPr>
        <w:footnoteReference w:id="49"/>
      </w:r>
      <w:r w:rsidRPr="00250E6F">
        <w:rPr>
          <w:rFonts w:ascii="Garamond" w:hAnsi="Garamond"/>
          <w:szCs w:val="22"/>
        </w:rPr>
        <w:t>.</w:t>
      </w:r>
      <w:r w:rsidR="00686D43" w:rsidRPr="00250E6F">
        <w:rPr>
          <w:rFonts w:ascii="Garamond" w:hAnsi="Garamond"/>
          <w:szCs w:val="22"/>
        </w:rPr>
        <w:t xml:space="preserve"> </w:t>
      </w:r>
    </w:p>
    <w:p w14:paraId="5C6AAA46" w14:textId="77777777" w:rsidR="00CA5142" w:rsidRPr="00250E6F" w:rsidRDefault="00CA5142" w:rsidP="007A7DC1">
      <w:pPr>
        <w:spacing w:line="276" w:lineRule="auto"/>
        <w:ind w:firstLine="284"/>
        <w:jc w:val="both"/>
        <w:rPr>
          <w:rFonts w:ascii="Garamond" w:hAnsi="Garamond"/>
          <w:szCs w:val="22"/>
        </w:rPr>
      </w:pPr>
      <w:r w:rsidRPr="00250E6F">
        <w:rPr>
          <w:rFonts w:ascii="Garamond" w:hAnsi="Garamond"/>
          <w:szCs w:val="22"/>
        </w:rPr>
        <w:lastRenderedPageBreak/>
        <w:t xml:space="preserve">In secondo luogo, </w:t>
      </w:r>
      <w:r w:rsidR="006862C1" w:rsidRPr="00250E6F">
        <w:rPr>
          <w:rFonts w:ascii="Garamond" w:hAnsi="Garamond"/>
          <w:szCs w:val="22"/>
        </w:rPr>
        <w:t xml:space="preserve">è opportuno precisare che le garanzie procedimentali </w:t>
      </w:r>
      <w:r w:rsidR="00810557" w:rsidRPr="00250E6F">
        <w:rPr>
          <w:rFonts w:ascii="Garamond" w:hAnsi="Garamond"/>
          <w:szCs w:val="22"/>
        </w:rPr>
        <w:t xml:space="preserve">che assistono l’esercizio della revoca sono limitate – secondo la giurisprudenza – alle ipotesi nelle quali effettivamente debba farsi luogo a un’interruzione degli effetti di un provvedimento che abbia </w:t>
      </w:r>
      <w:r w:rsidR="00810557" w:rsidRPr="00250E6F">
        <w:rPr>
          <w:rFonts w:ascii="Garamond" w:hAnsi="Garamond"/>
          <w:i/>
          <w:szCs w:val="22"/>
        </w:rPr>
        <w:t>definito</w:t>
      </w:r>
      <w:r w:rsidR="00810557" w:rsidRPr="00250E6F">
        <w:rPr>
          <w:rFonts w:ascii="Garamond" w:hAnsi="Garamond"/>
          <w:szCs w:val="22"/>
        </w:rPr>
        <w:t xml:space="preserve"> le posizioni nel procedimento, cristallizzatesi</w:t>
      </w:r>
      <w:r w:rsidR="00B01AB6" w:rsidRPr="00250E6F">
        <w:rPr>
          <w:rFonts w:ascii="Garamond" w:hAnsi="Garamond"/>
          <w:szCs w:val="22"/>
        </w:rPr>
        <w:t xml:space="preserve"> dopo la decisione della </w:t>
      </w:r>
      <w:proofErr w:type="spellStart"/>
      <w:r w:rsidR="00B01AB6" w:rsidRPr="00250E6F">
        <w:rPr>
          <w:rFonts w:ascii="Garamond" w:hAnsi="Garamond"/>
          <w:szCs w:val="22"/>
        </w:rPr>
        <w:t>p.A.</w:t>
      </w:r>
      <w:proofErr w:type="spellEnd"/>
      <w:r w:rsidR="00B75DC8" w:rsidRPr="00250E6F">
        <w:rPr>
          <w:rStyle w:val="Rimandonotaapidipagina"/>
          <w:rFonts w:ascii="Garamond" w:hAnsi="Garamond"/>
          <w:szCs w:val="22"/>
        </w:rPr>
        <w:footnoteReference w:id="50"/>
      </w:r>
      <w:r w:rsidR="00810557" w:rsidRPr="00250E6F">
        <w:rPr>
          <w:rFonts w:ascii="Garamond" w:hAnsi="Garamond"/>
          <w:szCs w:val="22"/>
        </w:rPr>
        <w:t xml:space="preserve">. La partecipazione, il contraddittorio, il confronto, sono insomma indefettibili </w:t>
      </w:r>
      <w:r w:rsidR="003D2E4D" w:rsidRPr="00250E6F">
        <w:rPr>
          <w:rFonts w:ascii="Garamond" w:hAnsi="Garamond"/>
          <w:szCs w:val="22"/>
        </w:rPr>
        <w:t xml:space="preserve">solo </w:t>
      </w:r>
      <w:r w:rsidR="00810557" w:rsidRPr="00250E6F">
        <w:rPr>
          <w:rFonts w:ascii="Garamond" w:hAnsi="Garamond"/>
          <w:szCs w:val="22"/>
        </w:rPr>
        <w:t xml:space="preserve">laddove il provvedimento revocando manifesti una certa </w:t>
      </w:r>
      <w:r w:rsidR="00810557" w:rsidRPr="00250E6F">
        <w:rPr>
          <w:rFonts w:ascii="Garamond" w:hAnsi="Garamond"/>
          <w:i/>
          <w:szCs w:val="22"/>
        </w:rPr>
        <w:t>resistenza</w:t>
      </w:r>
      <w:r w:rsidR="00D95B28" w:rsidRPr="00250E6F">
        <w:rPr>
          <w:rStyle w:val="Rimandonotaapidipagina"/>
          <w:rFonts w:ascii="Garamond" w:hAnsi="Garamond"/>
          <w:szCs w:val="22"/>
        </w:rPr>
        <w:footnoteReference w:id="51"/>
      </w:r>
      <w:r w:rsidR="00810557" w:rsidRPr="00250E6F">
        <w:rPr>
          <w:rFonts w:ascii="Garamond" w:hAnsi="Garamond"/>
          <w:szCs w:val="22"/>
        </w:rPr>
        <w:t xml:space="preserve"> ai </w:t>
      </w:r>
      <w:r w:rsidR="00B01AB6" w:rsidRPr="00250E6F">
        <w:rPr>
          <w:rFonts w:ascii="Garamond" w:hAnsi="Garamond"/>
          <w:szCs w:val="22"/>
        </w:rPr>
        <w:t>nuovi</w:t>
      </w:r>
      <w:r w:rsidR="00810557" w:rsidRPr="00250E6F">
        <w:rPr>
          <w:rFonts w:ascii="Garamond" w:hAnsi="Garamond"/>
          <w:szCs w:val="22"/>
        </w:rPr>
        <w:t xml:space="preserve"> ripensamenti o alle sopravvenienze normative e di fatto</w:t>
      </w:r>
      <w:r w:rsidR="00D95250" w:rsidRPr="00250E6F">
        <w:rPr>
          <w:rFonts w:ascii="Garamond" w:hAnsi="Garamond"/>
          <w:szCs w:val="22"/>
        </w:rPr>
        <w:t>: questa caratteristica è data dalla capacità del provvedimento di generare posizioni soggettive differenziate e qualificate, diverse da una mera aspettativa di risultato</w:t>
      </w:r>
      <w:r w:rsidR="00D95250" w:rsidRPr="00250E6F">
        <w:rPr>
          <w:rStyle w:val="Rimandonotaapidipagina"/>
          <w:rFonts w:ascii="Garamond" w:hAnsi="Garamond"/>
          <w:szCs w:val="22"/>
        </w:rPr>
        <w:footnoteReference w:id="52"/>
      </w:r>
      <w:r w:rsidR="00810557" w:rsidRPr="00250E6F">
        <w:rPr>
          <w:rFonts w:ascii="Garamond" w:hAnsi="Garamond"/>
          <w:szCs w:val="22"/>
        </w:rPr>
        <w:t>.</w:t>
      </w:r>
    </w:p>
    <w:p w14:paraId="031336A5" w14:textId="77777777" w:rsidR="003E60F4" w:rsidRPr="00250E6F" w:rsidRDefault="003E60F4" w:rsidP="007A7DC1">
      <w:pPr>
        <w:spacing w:line="276" w:lineRule="auto"/>
        <w:ind w:firstLine="284"/>
        <w:jc w:val="both"/>
        <w:rPr>
          <w:rFonts w:ascii="Garamond" w:hAnsi="Garamond"/>
          <w:szCs w:val="22"/>
        </w:rPr>
      </w:pPr>
    </w:p>
    <w:p w14:paraId="13240B0C" w14:textId="77777777" w:rsidR="003E60F4" w:rsidRPr="00250E6F" w:rsidRDefault="00436718" w:rsidP="007A7DC1">
      <w:pPr>
        <w:spacing w:line="276" w:lineRule="auto"/>
        <w:ind w:firstLine="284"/>
        <w:jc w:val="both"/>
        <w:rPr>
          <w:rFonts w:ascii="Garamond" w:hAnsi="Garamond"/>
          <w:i/>
          <w:szCs w:val="22"/>
        </w:rPr>
      </w:pPr>
      <w:r w:rsidRPr="00250E6F">
        <w:rPr>
          <w:rFonts w:ascii="Garamond" w:hAnsi="Garamond"/>
          <w:szCs w:val="22"/>
        </w:rPr>
        <w:t>5</w:t>
      </w:r>
      <w:r w:rsidR="003E60F4" w:rsidRPr="00250E6F">
        <w:rPr>
          <w:rFonts w:ascii="Garamond" w:hAnsi="Garamond"/>
          <w:szCs w:val="22"/>
        </w:rPr>
        <w:t>.1.</w:t>
      </w:r>
      <w:r w:rsidR="003E60F4" w:rsidRPr="00250E6F">
        <w:rPr>
          <w:rFonts w:ascii="Garamond" w:hAnsi="Garamond"/>
          <w:i/>
          <w:szCs w:val="22"/>
        </w:rPr>
        <w:t xml:space="preserve"> Segue: l’indennizzo e la responsabilità.</w:t>
      </w:r>
    </w:p>
    <w:p w14:paraId="68C87A31" w14:textId="701DA702" w:rsidR="007E51F7" w:rsidRPr="00250E6F" w:rsidRDefault="00FB1186" w:rsidP="007A7DC1">
      <w:pPr>
        <w:spacing w:line="276" w:lineRule="auto"/>
        <w:ind w:firstLine="284"/>
        <w:jc w:val="both"/>
        <w:rPr>
          <w:rFonts w:ascii="Garamond" w:hAnsi="Garamond"/>
          <w:szCs w:val="22"/>
        </w:rPr>
      </w:pPr>
      <w:r w:rsidRPr="00250E6F">
        <w:rPr>
          <w:rFonts w:ascii="Garamond" w:hAnsi="Garamond"/>
          <w:szCs w:val="22"/>
        </w:rPr>
        <w:t xml:space="preserve">Volendo qui prescindere dalle questioni concernenti il suo fondamento e i suoi presupposti applicativi, v’è che, comunque, </w:t>
      </w:r>
      <w:r w:rsidR="00596D60" w:rsidRPr="00250E6F">
        <w:rPr>
          <w:rFonts w:ascii="Garamond" w:hAnsi="Garamond"/>
          <w:szCs w:val="22"/>
        </w:rPr>
        <w:t xml:space="preserve">la revoca </w:t>
      </w:r>
      <w:r w:rsidRPr="00250E6F">
        <w:rPr>
          <w:rFonts w:ascii="Garamond" w:hAnsi="Garamond"/>
          <w:szCs w:val="22"/>
        </w:rPr>
        <w:t xml:space="preserve">interrompe </w:t>
      </w:r>
      <w:r w:rsidR="007E51F7" w:rsidRPr="00250E6F">
        <w:rPr>
          <w:rFonts w:ascii="Garamond" w:hAnsi="Garamond"/>
          <w:szCs w:val="22"/>
        </w:rPr>
        <w:t xml:space="preserve">l’esplicazione degli effetti del provvedimento primigenio </w:t>
      </w:r>
      <w:r w:rsidR="007E51F7" w:rsidRPr="00250E6F">
        <w:rPr>
          <w:rFonts w:ascii="Garamond" w:hAnsi="Garamond"/>
          <w:i/>
          <w:szCs w:val="22"/>
        </w:rPr>
        <w:t>pro futuro</w:t>
      </w:r>
      <w:r w:rsidR="007E51F7" w:rsidRPr="00250E6F">
        <w:rPr>
          <w:rFonts w:ascii="Garamond" w:hAnsi="Garamond"/>
          <w:szCs w:val="22"/>
        </w:rPr>
        <w:t xml:space="preserve">, </w:t>
      </w:r>
      <w:r w:rsidRPr="00250E6F">
        <w:rPr>
          <w:rFonts w:ascii="Garamond" w:hAnsi="Garamond"/>
          <w:szCs w:val="22"/>
        </w:rPr>
        <w:t xml:space="preserve">sicché </w:t>
      </w:r>
      <w:r w:rsidR="007E51F7" w:rsidRPr="00250E6F">
        <w:rPr>
          <w:rFonts w:ascii="Garamond" w:hAnsi="Garamond"/>
          <w:szCs w:val="22"/>
        </w:rPr>
        <w:t xml:space="preserve">è indubbio che uno dei gangli fondamentali sui quali si attestano le controversie concernenti l’esercizio di questo potere </w:t>
      </w:r>
      <w:r w:rsidR="00117FB4" w:rsidRPr="00250E6F">
        <w:rPr>
          <w:rFonts w:ascii="Garamond" w:hAnsi="Garamond"/>
          <w:szCs w:val="22"/>
        </w:rPr>
        <w:t xml:space="preserve">(laddove esercitato </w:t>
      </w:r>
      <w:r w:rsidR="007E51F7" w:rsidRPr="00250E6F">
        <w:rPr>
          <w:rFonts w:ascii="Garamond" w:hAnsi="Garamond"/>
          <w:szCs w:val="22"/>
        </w:rPr>
        <w:t>nei confronti dei provvedimenti che spiegano effetti favorevoli e ampliativi</w:t>
      </w:r>
      <w:r w:rsidR="00117FB4" w:rsidRPr="00250E6F">
        <w:rPr>
          <w:rFonts w:ascii="Garamond" w:hAnsi="Garamond"/>
          <w:szCs w:val="22"/>
        </w:rPr>
        <w:t>)</w:t>
      </w:r>
      <w:r w:rsidR="007E51F7" w:rsidRPr="00250E6F">
        <w:rPr>
          <w:rFonts w:ascii="Garamond" w:hAnsi="Garamond"/>
          <w:szCs w:val="22"/>
        </w:rPr>
        <w:t xml:space="preserve"> sia il conflitto tra il potere stesso e l’interesse contrario </w:t>
      </w:r>
      <w:r w:rsidR="00AD22B0" w:rsidRPr="00250E6F">
        <w:rPr>
          <w:rFonts w:ascii="Garamond" w:hAnsi="Garamond"/>
          <w:szCs w:val="22"/>
        </w:rPr>
        <w:t xml:space="preserve">del beneficiario </w:t>
      </w:r>
      <w:r w:rsidR="007E51F7" w:rsidRPr="00250E6F">
        <w:rPr>
          <w:rFonts w:ascii="Garamond" w:hAnsi="Garamond"/>
          <w:szCs w:val="22"/>
        </w:rPr>
        <w:t>a conservare i vantaggi conseguiti d</w:t>
      </w:r>
      <w:r w:rsidR="00AD22B0" w:rsidRPr="00250E6F">
        <w:rPr>
          <w:rFonts w:ascii="Garamond" w:hAnsi="Garamond"/>
          <w:szCs w:val="22"/>
        </w:rPr>
        <w:t>a</w:t>
      </w:r>
      <w:r w:rsidR="007E51F7" w:rsidRPr="00250E6F">
        <w:rPr>
          <w:rFonts w:ascii="Garamond" w:hAnsi="Garamond"/>
          <w:szCs w:val="22"/>
        </w:rPr>
        <w:t>l provvedimento revocando.</w:t>
      </w:r>
    </w:p>
    <w:p w14:paraId="6E04886F" w14:textId="61E62CF9" w:rsidR="0047492A" w:rsidRPr="00250E6F" w:rsidRDefault="0047492A" w:rsidP="007A7DC1">
      <w:pPr>
        <w:spacing w:line="276" w:lineRule="auto"/>
        <w:ind w:firstLine="284"/>
        <w:jc w:val="both"/>
        <w:rPr>
          <w:rFonts w:ascii="Garamond" w:hAnsi="Garamond"/>
          <w:szCs w:val="22"/>
        </w:rPr>
      </w:pPr>
      <w:r w:rsidRPr="00250E6F">
        <w:rPr>
          <w:rFonts w:ascii="Garamond" w:hAnsi="Garamond"/>
          <w:szCs w:val="22"/>
        </w:rPr>
        <w:t xml:space="preserve">Questo </w:t>
      </w:r>
      <w:r w:rsidR="00FB1186" w:rsidRPr="00250E6F">
        <w:rPr>
          <w:rFonts w:ascii="Garamond" w:hAnsi="Garamond"/>
          <w:szCs w:val="22"/>
        </w:rPr>
        <w:t>contrasto</w:t>
      </w:r>
      <w:r w:rsidRPr="00250E6F">
        <w:rPr>
          <w:rFonts w:ascii="Garamond" w:hAnsi="Garamond"/>
          <w:szCs w:val="22"/>
        </w:rPr>
        <w:t xml:space="preserve">, ferma restando la discrezionalità dell’Amministrazione nel revocare o meno il proprio provvedimento, è gestito normativamente </w:t>
      </w:r>
      <w:proofErr w:type="gramStart"/>
      <w:r w:rsidRPr="00250E6F">
        <w:rPr>
          <w:rFonts w:ascii="Garamond" w:hAnsi="Garamond"/>
          <w:szCs w:val="22"/>
        </w:rPr>
        <w:t>e</w:t>
      </w:r>
      <w:proofErr w:type="gramEnd"/>
      <w:r w:rsidRPr="00250E6F">
        <w:rPr>
          <w:rFonts w:ascii="Garamond" w:hAnsi="Garamond"/>
          <w:szCs w:val="22"/>
        </w:rPr>
        <w:t xml:space="preserve"> per via pretoria tramite l’approntamento di una serie di garanzie per il privato: dall’individuazione dei presupposti per l’esercizio del potere, alle garanzie procedimentali obbligatorie per la </w:t>
      </w:r>
      <w:proofErr w:type="spellStart"/>
      <w:r w:rsidRPr="00250E6F">
        <w:rPr>
          <w:rFonts w:ascii="Garamond" w:hAnsi="Garamond"/>
          <w:szCs w:val="22"/>
        </w:rPr>
        <w:t>p.A.</w:t>
      </w:r>
      <w:proofErr w:type="spellEnd"/>
      <w:r w:rsidRPr="00250E6F">
        <w:rPr>
          <w:rFonts w:ascii="Garamond" w:hAnsi="Garamond"/>
          <w:szCs w:val="22"/>
        </w:rPr>
        <w:t xml:space="preserve"> che voglia procedervi, fino alla riparazione patrimoniale del danno subito per la revoca.</w:t>
      </w:r>
      <w:r w:rsidR="0025218A" w:rsidRPr="00250E6F">
        <w:rPr>
          <w:rFonts w:ascii="Garamond" w:hAnsi="Garamond"/>
          <w:szCs w:val="22"/>
        </w:rPr>
        <w:t xml:space="preserve"> A queste accortezze</w:t>
      </w:r>
      <w:r w:rsidR="00E52817" w:rsidRPr="00250E6F">
        <w:rPr>
          <w:rFonts w:ascii="Garamond" w:hAnsi="Garamond"/>
          <w:szCs w:val="22"/>
        </w:rPr>
        <w:t xml:space="preserve"> – </w:t>
      </w:r>
      <w:r w:rsidR="0025218A" w:rsidRPr="00250E6F">
        <w:rPr>
          <w:rFonts w:ascii="Garamond" w:hAnsi="Garamond"/>
          <w:szCs w:val="22"/>
        </w:rPr>
        <w:t>l’ultima delle quali non è esente da alcuni profili ancora sfuocati</w:t>
      </w:r>
      <w:r w:rsidR="00D54F28" w:rsidRPr="00250E6F">
        <w:rPr>
          <w:rStyle w:val="Rimandonotaapidipagina"/>
          <w:rFonts w:ascii="Garamond" w:hAnsi="Garamond"/>
          <w:szCs w:val="22"/>
        </w:rPr>
        <w:footnoteReference w:id="53"/>
      </w:r>
      <w:r w:rsidR="00E52817" w:rsidRPr="00250E6F">
        <w:rPr>
          <w:rFonts w:ascii="Garamond" w:hAnsi="Garamond"/>
          <w:szCs w:val="22"/>
        </w:rPr>
        <w:t xml:space="preserve"> –</w:t>
      </w:r>
      <w:r w:rsidR="0025218A" w:rsidRPr="00250E6F">
        <w:rPr>
          <w:rFonts w:ascii="Garamond" w:hAnsi="Garamond"/>
          <w:szCs w:val="22"/>
        </w:rPr>
        <w:t xml:space="preserve"> se ne aggiunge un’altra, di tenore più generale e che non concerne solo la revoca ma </w:t>
      </w:r>
      <w:r w:rsidR="00ED48F7" w:rsidRPr="00250E6F">
        <w:rPr>
          <w:rFonts w:ascii="Garamond" w:hAnsi="Garamond"/>
          <w:szCs w:val="22"/>
        </w:rPr>
        <w:t xml:space="preserve">piuttosto </w:t>
      </w:r>
      <w:r w:rsidR="0025218A" w:rsidRPr="00250E6F">
        <w:rPr>
          <w:rFonts w:ascii="Garamond" w:hAnsi="Garamond"/>
          <w:szCs w:val="22"/>
        </w:rPr>
        <w:t xml:space="preserve">l’agire </w:t>
      </w:r>
      <w:proofErr w:type="spellStart"/>
      <w:r w:rsidR="0025218A" w:rsidRPr="00250E6F">
        <w:rPr>
          <w:rFonts w:ascii="Garamond" w:hAnsi="Garamond"/>
          <w:szCs w:val="22"/>
        </w:rPr>
        <w:t>provvedimentale</w:t>
      </w:r>
      <w:proofErr w:type="spellEnd"/>
      <w:r w:rsidR="0025218A" w:rsidRPr="00250E6F">
        <w:rPr>
          <w:rFonts w:ascii="Garamond" w:hAnsi="Garamond"/>
          <w:szCs w:val="22"/>
        </w:rPr>
        <w:t xml:space="preserve"> della </w:t>
      </w:r>
      <w:proofErr w:type="spellStart"/>
      <w:r w:rsidR="0025218A" w:rsidRPr="00250E6F">
        <w:rPr>
          <w:rFonts w:ascii="Garamond" w:hAnsi="Garamond"/>
          <w:szCs w:val="22"/>
        </w:rPr>
        <w:t>p.A.</w:t>
      </w:r>
      <w:proofErr w:type="spellEnd"/>
      <w:r w:rsidR="0025218A" w:rsidRPr="00250E6F">
        <w:rPr>
          <w:rFonts w:ascii="Garamond" w:hAnsi="Garamond"/>
          <w:szCs w:val="22"/>
        </w:rPr>
        <w:t xml:space="preserve">, ovvero l’affermazione </w:t>
      </w:r>
      <w:r w:rsidR="00E60F8D" w:rsidRPr="00250E6F">
        <w:rPr>
          <w:rFonts w:ascii="Garamond" w:hAnsi="Garamond"/>
          <w:szCs w:val="22"/>
        </w:rPr>
        <w:t>della responsabilità dell’Amministrazione</w:t>
      </w:r>
      <w:r w:rsidR="0025218A" w:rsidRPr="00250E6F">
        <w:rPr>
          <w:rFonts w:ascii="Garamond" w:hAnsi="Garamond"/>
          <w:szCs w:val="22"/>
        </w:rPr>
        <w:t>.</w:t>
      </w:r>
    </w:p>
    <w:p w14:paraId="3EF2F3F9" w14:textId="754E41D4" w:rsidR="00E60F8D" w:rsidRPr="00250E6F" w:rsidRDefault="00E60F8D" w:rsidP="00E60F8D">
      <w:pPr>
        <w:spacing w:line="276" w:lineRule="auto"/>
        <w:ind w:firstLine="284"/>
        <w:jc w:val="both"/>
        <w:rPr>
          <w:rFonts w:ascii="Garamond" w:hAnsi="Garamond"/>
          <w:szCs w:val="22"/>
        </w:rPr>
      </w:pPr>
      <w:r w:rsidRPr="00250E6F">
        <w:rPr>
          <w:rFonts w:ascii="Garamond" w:hAnsi="Garamond"/>
          <w:szCs w:val="22"/>
        </w:rPr>
        <w:t>Concentriamoci dunque anzitutto sull’indennizzo quale strumento di tutela patrimoniale del privato</w:t>
      </w:r>
      <w:r w:rsidR="00281770" w:rsidRPr="00250E6F">
        <w:rPr>
          <w:rStyle w:val="Rimandonotaapidipagina"/>
          <w:rFonts w:ascii="Garamond" w:hAnsi="Garamond"/>
          <w:szCs w:val="22"/>
        </w:rPr>
        <w:footnoteReference w:id="54"/>
      </w:r>
      <w:r w:rsidRPr="00250E6F">
        <w:rPr>
          <w:rFonts w:ascii="Garamond" w:hAnsi="Garamond"/>
          <w:szCs w:val="22"/>
        </w:rPr>
        <w:t>.</w:t>
      </w:r>
    </w:p>
    <w:p w14:paraId="098675CC" w14:textId="77777777" w:rsidR="00953DBC" w:rsidRPr="00250E6F" w:rsidRDefault="00E60F8D" w:rsidP="007A7DC1">
      <w:pPr>
        <w:spacing w:line="276" w:lineRule="auto"/>
        <w:ind w:firstLine="284"/>
        <w:jc w:val="both"/>
        <w:rPr>
          <w:rFonts w:ascii="Garamond" w:hAnsi="Garamond"/>
          <w:szCs w:val="22"/>
        </w:rPr>
      </w:pPr>
      <w:r w:rsidRPr="00250E6F">
        <w:rPr>
          <w:rFonts w:ascii="Garamond" w:hAnsi="Garamond"/>
          <w:szCs w:val="22"/>
        </w:rPr>
        <w:t>Per prendere ancora a prestito le parole della giurisprudenza</w:t>
      </w:r>
      <w:r w:rsidR="00953DBC" w:rsidRPr="00250E6F">
        <w:rPr>
          <w:rFonts w:ascii="Garamond" w:hAnsi="Garamond"/>
          <w:szCs w:val="22"/>
        </w:rPr>
        <w:t>, «di fronte ad un atto espressivo di apprezzamenti di carattere ampiamente discrezionale, riconducibile a una diversa valutazione del medesimo interesse pubblico che aveva originariamente indotto l’</w:t>
      </w:r>
      <w:r w:rsidRPr="00250E6F">
        <w:rPr>
          <w:rFonts w:ascii="Garamond" w:hAnsi="Garamond"/>
          <w:szCs w:val="22"/>
        </w:rPr>
        <w:t>A</w:t>
      </w:r>
      <w:r w:rsidR="00953DBC" w:rsidRPr="00250E6F">
        <w:rPr>
          <w:rFonts w:ascii="Garamond" w:hAnsi="Garamond"/>
          <w:szCs w:val="22"/>
        </w:rPr>
        <w:t>mministrazione ad emettere l’atto poi ritirato, qualsiasi affidamento privato è destinato a soccombere, tanto è vero che l’art. 21-</w:t>
      </w:r>
      <w:r w:rsidR="00953DBC" w:rsidRPr="00250E6F">
        <w:rPr>
          <w:rFonts w:ascii="Garamond" w:hAnsi="Garamond"/>
          <w:i/>
          <w:szCs w:val="22"/>
        </w:rPr>
        <w:t>quinquies</w:t>
      </w:r>
      <w:r w:rsidR="00953DBC" w:rsidRPr="00250E6F">
        <w:rPr>
          <w:rFonts w:ascii="Garamond" w:hAnsi="Garamond"/>
          <w:szCs w:val="22"/>
        </w:rPr>
        <w:t xml:space="preserve"> </w:t>
      </w:r>
      <w:r w:rsidRPr="00250E6F">
        <w:rPr>
          <w:rFonts w:ascii="Garamond" w:hAnsi="Garamond"/>
          <w:szCs w:val="22"/>
        </w:rPr>
        <w:t xml:space="preserve">[…] </w:t>
      </w:r>
      <w:r w:rsidR="00953DBC" w:rsidRPr="00250E6F">
        <w:rPr>
          <w:rFonts w:ascii="Garamond" w:hAnsi="Garamond"/>
          <w:szCs w:val="22"/>
        </w:rPr>
        <w:t>non attribuisce ad esso alcun rilievo impeditivo all’esercizio del relativo potere, diversamente da quanto previsto per l’annullamento d’ufficio dal successivo art. 21-</w:t>
      </w:r>
      <w:r w:rsidR="00953DBC" w:rsidRPr="00250E6F">
        <w:rPr>
          <w:rFonts w:ascii="Garamond" w:hAnsi="Garamond"/>
          <w:i/>
          <w:szCs w:val="22"/>
        </w:rPr>
        <w:t>nonies</w:t>
      </w:r>
      <w:r w:rsidR="00953DBC" w:rsidRPr="00250E6F">
        <w:rPr>
          <w:rFonts w:ascii="Garamond" w:hAnsi="Garamond"/>
          <w:szCs w:val="22"/>
        </w:rPr>
        <w:t>. La prima delle norme della legge generale sul procedimento amministrativo ora citato tutela, infatti, il contrapposto interesse destinato unicamente sul piano patrimoniale, attraverso l’indennizzo e dunque mediante un ristoro pecuniario conseguente ad un atto lecito ma pregiudizievole per i contrapposti interessi privati»</w:t>
      </w:r>
      <w:r w:rsidR="001F3099" w:rsidRPr="00250E6F">
        <w:rPr>
          <w:rStyle w:val="Rimandonotaapidipagina"/>
          <w:rFonts w:ascii="Garamond" w:hAnsi="Garamond"/>
          <w:szCs w:val="22"/>
        </w:rPr>
        <w:footnoteReference w:id="55"/>
      </w:r>
      <w:r w:rsidR="00953DBC" w:rsidRPr="00250E6F">
        <w:rPr>
          <w:rFonts w:ascii="Garamond" w:hAnsi="Garamond"/>
          <w:szCs w:val="22"/>
        </w:rPr>
        <w:t>.</w:t>
      </w:r>
    </w:p>
    <w:p w14:paraId="0661BA87" w14:textId="77777777" w:rsidR="007D2CD9" w:rsidRPr="00250E6F" w:rsidRDefault="00E60F8D" w:rsidP="007A7DC1">
      <w:pPr>
        <w:spacing w:line="276" w:lineRule="auto"/>
        <w:ind w:firstLine="284"/>
        <w:jc w:val="both"/>
        <w:rPr>
          <w:rFonts w:ascii="Garamond" w:hAnsi="Garamond"/>
          <w:szCs w:val="22"/>
        </w:rPr>
      </w:pPr>
      <w:r w:rsidRPr="00250E6F">
        <w:rPr>
          <w:rFonts w:ascii="Garamond" w:hAnsi="Garamond"/>
          <w:szCs w:val="22"/>
        </w:rPr>
        <w:lastRenderedPageBreak/>
        <w:t xml:space="preserve">Sul punto si osserva che, come noto, </w:t>
      </w:r>
      <w:r w:rsidR="00AD22B0" w:rsidRPr="00250E6F">
        <w:rPr>
          <w:rFonts w:ascii="Garamond" w:hAnsi="Garamond"/>
          <w:szCs w:val="22"/>
        </w:rPr>
        <w:t>i</w:t>
      </w:r>
      <w:r w:rsidR="00592C63" w:rsidRPr="00250E6F">
        <w:rPr>
          <w:rFonts w:ascii="Garamond" w:hAnsi="Garamond"/>
          <w:szCs w:val="22"/>
        </w:rPr>
        <w:t>l legislatore del 20</w:t>
      </w:r>
      <w:r w:rsidR="007D2CD9" w:rsidRPr="00250E6F">
        <w:rPr>
          <w:rFonts w:ascii="Garamond" w:hAnsi="Garamond"/>
          <w:szCs w:val="22"/>
        </w:rPr>
        <w:t xml:space="preserve">14 ha </w:t>
      </w:r>
      <w:r w:rsidR="00AD22B0" w:rsidRPr="00250E6F">
        <w:rPr>
          <w:rFonts w:ascii="Garamond" w:hAnsi="Garamond"/>
          <w:szCs w:val="22"/>
        </w:rPr>
        <w:t xml:space="preserve">ristretto </w:t>
      </w:r>
      <w:r w:rsidR="007D2CD9" w:rsidRPr="00250E6F">
        <w:rPr>
          <w:rFonts w:ascii="Garamond" w:hAnsi="Garamond"/>
          <w:szCs w:val="22"/>
        </w:rPr>
        <w:t>l’ambito operativo della revoca al fine di garantire un certo grado di sicurezza e stabilità agli investimenti economici e finanziari sul territorio, fermo comunque il diritto all’indennizzo</w:t>
      </w:r>
      <w:r w:rsidR="007D2CD9" w:rsidRPr="00250E6F">
        <w:rPr>
          <w:rStyle w:val="Rimandonotaapidipagina"/>
          <w:rFonts w:ascii="Garamond" w:hAnsi="Garamond"/>
          <w:szCs w:val="22"/>
        </w:rPr>
        <w:footnoteReference w:id="56"/>
      </w:r>
      <w:r w:rsidR="007D2CD9" w:rsidRPr="00250E6F">
        <w:rPr>
          <w:rFonts w:ascii="Garamond" w:hAnsi="Garamond"/>
          <w:szCs w:val="22"/>
        </w:rPr>
        <w:t>, cioè alla compensazione economica del pregiudizio: la cui quantificazione è regolata solo per l’ipotesi di revoca di atti a efficacia durevole o istantanea incidenti su accordi negoziali, limitandone l’ammontare al solo danno emergente</w:t>
      </w:r>
      <w:r w:rsidR="007D2CD9" w:rsidRPr="00250E6F">
        <w:rPr>
          <w:rStyle w:val="Rimandonotaapidipagina"/>
          <w:rFonts w:ascii="Garamond" w:hAnsi="Garamond"/>
          <w:szCs w:val="22"/>
        </w:rPr>
        <w:footnoteReference w:id="57"/>
      </w:r>
      <w:r w:rsidR="007D2CD9" w:rsidRPr="00250E6F">
        <w:rPr>
          <w:rFonts w:ascii="Garamond" w:hAnsi="Garamond"/>
          <w:szCs w:val="22"/>
        </w:rPr>
        <w:t>.</w:t>
      </w:r>
    </w:p>
    <w:p w14:paraId="6E3D6EFC" w14:textId="77777777" w:rsidR="00610E03" w:rsidRPr="00250E6F" w:rsidRDefault="007D2CD9" w:rsidP="007A7DC1">
      <w:pPr>
        <w:spacing w:line="276" w:lineRule="auto"/>
        <w:ind w:firstLine="284"/>
        <w:jc w:val="both"/>
        <w:rPr>
          <w:rFonts w:ascii="Garamond" w:hAnsi="Garamond"/>
          <w:szCs w:val="22"/>
        </w:rPr>
      </w:pPr>
      <w:r w:rsidRPr="00250E6F">
        <w:rPr>
          <w:rFonts w:ascii="Garamond" w:hAnsi="Garamond"/>
          <w:szCs w:val="22"/>
        </w:rPr>
        <w:t xml:space="preserve">Si tratta di una previsione che – seppure relativa ad atti incidenti su rapporti bilaterali – è </w:t>
      </w:r>
      <w:r w:rsidR="00A950C3" w:rsidRPr="00250E6F">
        <w:rPr>
          <w:rFonts w:ascii="Garamond" w:hAnsi="Garamond"/>
          <w:szCs w:val="22"/>
        </w:rPr>
        <w:t>stata ampiamente generalizzata</w:t>
      </w:r>
      <w:r w:rsidRPr="00250E6F">
        <w:rPr>
          <w:rStyle w:val="Rimandonotaapidipagina"/>
          <w:rFonts w:ascii="Garamond" w:hAnsi="Garamond"/>
          <w:szCs w:val="22"/>
        </w:rPr>
        <w:footnoteReference w:id="58"/>
      </w:r>
      <w:r w:rsidR="00610E03" w:rsidRPr="00250E6F">
        <w:rPr>
          <w:rFonts w:ascii="Garamond" w:hAnsi="Garamond"/>
          <w:szCs w:val="22"/>
        </w:rPr>
        <w:t>, costituendo così un obbligo normativo d’indennizzo per tutte le ipotesi di revoca, limitato al danno emergente lamentato dal privato</w:t>
      </w:r>
      <w:r w:rsidRPr="00250E6F">
        <w:rPr>
          <w:rFonts w:ascii="Garamond" w:hAnsi="Garamond"/>
          <w:szCs w:val="22"/>
        </w:rPr>
        <w:t>.</w:t>
      </w:r>
    </w:p>
    <w:p w14:paraId="45D79E40" w14:textId="77777777" w:rsidR="007D2CD9" w:rsidRPr="00250E6F" w:rsidRDefault="007D2CD9" w:rsidP="007A7DC1">
      <w:pPr>
        <w:spacing w:line="276" w:lineRule="auto"/>
        <w:ind w:firstLine="284"/>
        <w:jc w:val="both"/>
        <w:rPr>
          <w:rFonts w:ascii="Garamond" w:hAnsi="Garamond"/>
          <w:szCs w:val="22"/>
        </w:rPr>
      </w:pPr>
      <w:r w:rsidRPr="00250E6F">
        <w:rPr>
          <w:rFonts w:ascii="Garamond" w:hAnsi="Garamond"/>
          <w:szCs w:val="22"/>
        </w:rPr>
        <w:t xml:space="preserve">Tuttavia essa, come noto, </w:t>
      </w:r>
      <w:r w:rsidR="00A950C3" w:rsidRPr="00250E6F">
        <w:rPr>
          <w:rFonts w:ascii="Garamond" w:hAnsi="Garamond"/>
          <w:szCs w:val="22"/>
        </w:rPr>
        <w:t>ha prestato</w:t>
      </w:r>
      <w:r w:rsidRPr="00250E6F">
        <w:rPr>
          <w:rFonts w:ascii="Garamond" w:hAnsi="Garamond"/>
          <w:szCs w:val="22"/>
        </w:rPr>
        <w:t xml:space="preserve"> il fianco a rilievi critici sotto un duplice profilo: per un verso, il riferimento agli atti a efficacia istantanea (che hanno quindi già esaurito i loro effetti) sfuma eccessivamente il confine tra revoca e annullamento d’ufficio</w:t>
      </w:r>
      <w:r w:rsidRPr="00250E6F">
        <w:rPr>
          <w:rStyle w:val="Rimandonotaapidipagina"/>
          <w:rFonts w:ascii="Garamond" w:hAnsi="Garamond"/>
          <w:szCs w:val="22"/>
        </w:rPr>
        <w:footnoteReference w:id="59"/>
      </w:r>
      <w:r w:rsidRPr="00250E6F">
        <w:rPr>
          <w:rFonts w:ascii="Garamond" w:hAnsi="Garamond"/>
          <w:szCs w:val="22"/>
        </w:rPr>
        <w:t>; per l’altro, la delimitazione dell’indennizzo al parametro della buona fede (</w:t>
      </w:r>
      <w:r w:rsidRPr="00250E6F">
        <w:rPr>
          <w:rFonts w:ascii="Garamond" w:hAnsi="Garamond"/>
          <w:i/>
          <w:szCs w:val="22"/>
        </w:rPr>
        <w:t>sub specie</w:t>
      </w:r>
      <w:r w:rsidRPr="00250E6F">
        <w:rPr>
          <w:rFonts w:ascii="Garamond" w:hAnsi="Garamond"/>
          <w:szCs w:val="22"/>
        </w:rPr>
        <w:t xml:space="preserve"> di conoscenza e/o </w:t>
      </w:r>
      <w:r w:rsidRPr="00250E6F">
        <w:rPr>
          <w:rFonts w:ascii="Garamond" w:hAnsi="Garamond"/>
          <w:szCs w:val="22"/>
        </w:rPr>
        <w:lastRenderedPageBreak/>
        <w:t>conoscibilità della contrarietà dell’atto all’interesse pubblico, o anche di concorso nell’erronea valutazione della sua compatibilità con esso) rischia di provocare un’inversione di ruoli tra privato e Amministrazione</w:t>
      </w:r>
      <w:r w:rsidRPr="00250E6F">
        <w:rPr>
          <w:rStyle w:val="Rimandonotaapidipagina"/>
          <w:rFonts w:ascii="Garamond" w:hAnsi="Garamond"/>
          <w:szCs w:val="22"/>
        </w:rPr>
        <w:footnoteReference w:id="60"/>
      </w:r>
      <w:r w:rsidRPr="00250E6F">
        <w:rPr>
          <w:rFonts w:ascii="Garamond" w:hAnsi="Garamond"/>
          <w:szCs w:val="22"/>
        </w:rPr>
        <w:t xml:space="preserve">. </w:t>
      </w:r>
    </w:p>
    <w:p w14:paraId="7BDEDBE2" w14:textId="77777777" w:rsidR="007D2CD9" w:rsidRPr="00250E6F" w:rsidRDefault="007D2CD9" w:rsidP="007A7DC1">
      <w:pPr>
        <w:spacing w:line="276" w:lineRule="auto"/>
        <w:ind w:firstLine="284"/>
        <w:jc w:val="both"/>
        <w:rPr>
          <w:rFonts w:ascii="Garamond" w:hAnsi="Garamond"/>
          <w:szCs w:val="22"/>
        </w:rPr>
      </w:pPr>
      <w:r w:rsidRPr="00250E6F">
        <w:rPr>
          <w:rFonts w:ascii="Garamond" w:hAnsi="Garamond"/>
          <w:szCs w:val="22"/>
        </w:rPr>
        <w:t>È stato così affermato che, per il tramite della quantificazione dell’indennizzo, la buona fede costituisce “misura di legittimità” dell’affidamento riposto nel provvedimento</w:t>
      </w:r>
      <w:r w:rsidRPr="00250E6F">
        <w:rPr>
          <w:rStyle w:val="Rimandonotaapidipagina"/>
          <w:rFonts w:ascii="Garamond" w:hAnsi="Garamond"/>
          <w:szCs w:val="22"/>
        </w:rPr>
        <w:footnoteReference w:id="61"/>
      </w:r>
      <w:r w:rsidRPr="00250E6F">
        <w:rPr>
          <w:rFonts w:ascii="Garamond" w:hAnsi="Garamond"/>
          <w:szCs w:val="22"/>
        </w:rPr>
        <w:t xml:space="preserve">. È evidente, comunque, che lo sforzo del legislatore del 2014 è stato quello di rispondere alle istanze dei privati di maggiore certezza e stabilità, tentando così di adeguarsi anche a quegli </w:t>
      </w:r>
      <w:r w:rsidR="00610E03" w:rsidRPr="00250E6F">
        <w:rPr>
          <w:rFonts w:ascii="Garamond" w:hAnsi="Garamond"/>
          <w:szCs w:val="22"/>
        </w:rPr>
        <w:t xml:space="preserve">influssi del diritto UE </w:t>
      </w:r>
      <w:r w:rsidRPr="00250E6F">
        <w:rPr>
          <w:rFonts w:ascii="Garamond" w:hAnsi="Garamond"/>
          <w:szCs w:val="22"/>
        </w:rPr>
        <w:t xml:space="preserve">che – </w:t>
      </w:r>
      <w:r w:rsidR="00610E03" w:rsidRPr="00250E6F">
        <w:rPr>
          <w:rFonts w:ascii="Garamond" w:hAnsi="Garamond"/>
          <w:szCs w:val="22"/>
        </w:rPr>
        <w:t>in qualche misura</w:t>
      </w:r>
      <w:r w:rsidRPr="00250E6F">
        <w:rPr>
          <w:rFonts w:ascii="Garamond" w:hAnsi="Garamond"/>
          <w:szCs w:val="22"/>
        </w:rPr>
        <w:t xml:space="preserve"> – annettono alla tutela dell’affidamento un particolare rilievo nell’esercizio dei poteri di secondo grado, addirittura escludendo in linea di principio che possa essere ritirato un provvedimento legittimo che abbia anche concesso diritti al suo destinatario</w:t>
      </w:r>
      <w:r w:rsidR="00931FBC" w:rsidRPr="00250E6F">
        <w:rPr>
          <w:rStyle w:val="Rimandonotaapidipagina"/>
          <w:rFonts w:ascii="Garamond" w:hAnsi="Garamond"/>
          <w:szCs w:val="22"/>
        </w:rPr>
        <w:footnoteReference w:id="62"/>
      </w:r>
      <w:r w:rsidRPr="00250E6F">
        <w:rPr>
          <w:rFonts w:ascii="Garamond" w:hAnsi="Garamond"/>
          <w:szCs w:val="22"/>
        </w:rPr>
        <w:t>.</w:t>
      </w:r>
    </w:p>
    <w:p w14:paraId="2FA656C0" w14:textId="77777777" w:rsidR="00A950C3" w:rsidRPr="00250E6F" w:rsidRDefault="006F3FE0" w:rsidP="007A7DC1">
      <w:pPr>
        <w:spacing w:line="276" w:lineRule="auto"/>
        <w:ind w:firstLine="284"/>
        <w:jc w:val="both"/>
        <w:rPr>
          <w:rFonts w:ascii="Garamond" w:hAnsi="Garamond"/>
          <w:szCs w:val="22"/>
        </w:rPr>
      </w:pPr>
      <w:r w:rsidRPr="00250E6F">
        <w:rPr>
          <w:rFonts w:ascii="Garamond" w:hAnsi="Garamond"/>
          <w:szCs w:val="22"/>
        </w:rPr>
        <w:t xml:space="preserve">Non può non rilevarsi, tuttavia, un’applicazione </w:t>
      </w:r>
      <w:r w:rsidR="00525AC0" w:rsidRPr="00250E6F">
        <w:rPr>
          <w:rFonts w:ascii="Garamond" w:hAnsi="Garamond"/>
          <w:szCs w:val="22"/>
        </w:rPr>
        <w:t xml:space="preserve">giurisprudenziale </w:t>
      </w:r>
      <w:r w:rsidRPr="00250E6F">
        <w:rPr>
          <w:rFonts w:ascii="Garamond" w:hAnsi="Garamond"/>
          <w:szCs w:val="22"/>
        </w:rPr>
        <w:t xml:space="preserve">estremamente limitata del criterio di conoscibilità – addirittura da parte di terzi – dalla originaria </w:t>
      </w:r>
      <w:r w:rsidRPr="00250E6F">
        <w:rPr>
          <w:rFonts w:ascii="Garamond" w:hAnsi="Garamond"/>
          <w:i/>
          <w:szCs w:val="22"/>
        </w:rPr>
        <w:t>inopportunità</w:t>
      </w:r>
      <w:r w:rsidRPr="00250E6F">
        <w:rPr>
          <w:rFonts w:ascii="Garamond" w:hAnsi="Garamond"/>
          <w:szCs w:val="22"/>
        </w:rPr>
        <w:t xml:space="preserve"> del provvedimento: esso, nella fallibile opinione di chi scrive, richiede l’esplicazione di un giudizio controfattuale </w:t>
      </w:r>
      <w:r w:rsidR="00B04037" w:rsidRPr="00250E6F">
        <w:rPr>
          <w:rFonts w:ascii="Garamond" w:hAnsi="Garamond"/>
          <w:szCs w:val="22"/>
        </w:rPr>
        <w:t xml:space="preserve">che </w:t>
      </w:r>
      <w:r w:rsidRPr="00250E6F">
        <w:rPr>
          <w:rFonts w:ascii="Garamond" w:hAnsi="Garamond"/>
          <w:szCs w:val="22"/>
        </w:rPr>
        <w:t xml:space="preserve">francamente </w:t>
      </w:r>
      <w:r w:rsidR="00B04037" w:rsidRPr="00250E6F">
        <w:rPr>
          <w:rFonts w:ascii="Garamond" w:hAnsi="Garamond"/>
          <w:szCs w:val="22"/>
        </w:rPr>
        <w:t xml:space="preserve">nulla </w:t>
      </w:r>
      <w:r w:rsidR="00C04EBA" w:rsidRPr="00250E6F">
        <w:rPr>
          <w:rFonts w:ascii="Garamond" w:hAnsi="Garamond"/>
          <w:szCs w:val="22"/>
        </w:rPr>
        <w:t>apporta</w:t>
      </w:r>
      <w:r w:rsidR="00B04037" w:rsidRPr="00250E6F">
        <w:rPr>
          <w:rFonts w:ascii="Garamond" w:hAnsi="Garamond"/>
          <w:szCs w:val="22"/>
        </w:rPr>
        <w:t xml:space="preserve"> </w:t>
      </w:r>
      <w:r w:rsidRPr="00250E6F">
        <w:rPr>
          <w:rFonts w:ascii="Garamond" w:hAnsi="Garamond"/>
          <w:szCs w:val="22"/>
        </w:rPr>
        <w:t xml:space="preserve">alla reale </w:t>
      </w:r>
      <w:r w:rsidR="00D30FF9" w:rsidRPr="00250E6F">
        <w:rPr>
          <w:rFonts w:ascii="Garamond" w:hAnsi="Garamond"/>
          <w:szCs w:val="22"/>
        </w:rPr>
        <w:t>“</w:t>
      </w:r>
      <w:r w:rsidRPr="00250E6F">
        <w:rPr>
          <w:rFonts w:ascii="Garamond" w:hAnsi="Garamond"/>
          <w:szCs w:val="22"/>
        </w:rPr>
        <w:t>misura</w:t>
      </w:r>
      <w:r w:rsidR="00F72A4C" w:rsidRPr="00250E6F">
        <w:rPr>
          <w:rFonts w:ascii="Garamond" w:hAnsi="Garamond"/>
          <w:szCs w:val="22"/>
        </w:rPr>
        <w:t>zione</w:t>
      </w:r>
      <w:r w:rsidR="00D30FF9" w:rsidRPr="00250E6F">
        <w:rPr>
          <w:rFonts w:ascii="Garamond" w:hAnsi="Garamond"/>
          <w:szCs w:val="22"/>
        </w:rPr>
        <w:t>”</w:t>
      </w:r>
      <w:r w:rsidRPr="00250E6F">
        <w:rPr>
          <w:rFonts w:ascii="Garamond" w:hAnsi="Garamond"/>
          <w:szCs w:val="22"/>
        </w:rPr>
        <w:t xml:space="preserve"> del legittimo affidamento</w:t>
      </w:r>
      <w:r w:rsidR="0002511A" w:rsidRPr="00250E6F">
        <w:rPr>
          <w:rStyle w:val="Rimandonotaapidipagina"/>
          <w:rFonts w:ascii="Garamond" w:hAnsi="Garamond"/>
          <w:szCs w:val="22"/>
        </w:rPr>
        <w:footnoteReference w:id="63"/>
      </w:r>
      <w:r w:rsidRPr="00250E6F">
        <w:rPr>
          <w:rFonts w:ascii="Garamond" w:hAnsi="Garamond"/>
          <w:szCs w:val="22"/>
        </w:rPr>
        <w:t xml:space="preserve">. Questo sia nel caso più eclatante, nel quale il destinatario della revoca potrebbe </w:t>
      </w:r>
      <w:r w:rsidR="00FF7EF0" w:rsidRPr="00250E6F">
        <w:rPr>
          <w:rFonts w:ascii="Garamond" w:hAnsi="Garamond"/>
          <w:szCs w:val="22"/>
        </w:rPr>
        <w:t>subire</w:t>
      </w:r>
      <w:r w:rsidRPr="00250E6F">
        <w:rPr>
          <w:rFonts w:ascii="Garamond" w:hAnsi="Garamond"/>
          <w:szCs w:val="22"/>
        </w:rPr>
        <w:t xml:space="preserve"> una decurtazione dell’indennizzo </w:t>
      </w:r>
      <w:proofErr w:type="spellStart"/>
      <w:r w:rsidRPr="00250E6F">
        <w:rPr>
          <w:rFonts w:ascii="Garamond" w:hAnsi="Garamond"/>
          <w:szCs w:val="22"/>
        </w:rPr>
        <w:t>spettantegli</w:t>
      </w:r>
      <w:proofErr w:type="spellEnd"/>
      <w:r w:rsidRPr="00250E6F">
        <w:rPr>
          <w:rFonts w:ascii="Garamond" w:hAnsi="Garamond"/>
          <w:szCs w:val="22"/>
        </w:rPr>
        <w:t xml:space="preserve"> ove </w:t>
      </w:r>
      <w:r w:rsidRPr="00250E6F">
        <w:rPr>
          <w:rFonts w:ascii="Garamond" w:hAnsi="Garamond"/>
          <w:i/>
          <w:szCs w:val="22"/>
        </w:rPr>
        <w:t>un terzo</w:t>
      </w:r>
      <w:r w:rsidRPr="00250E6F">
        <w:rPr>
          <w:rFonts w:ascii="Garamond" w:hAnsi="Garamond"/>
          <w:szCs w:val="22"/>
        </w:rPr>
        <w:t xml:space="preserve"> potesse conoscere (secondo </w:t>
      </w:r>
      <w:r w:rsidR="008C09FF" w:rsidRPr="00250E6F">
        <w:rPr>
          <w:rFonts w:ascii="Garamond" w:hAnsi="Garamond"/>
          <w:szCs w:val="22"/>
        </w:rPr>
        <w:t>quel</w:t>
      </w:r>
      <w:r w:rsidRPr="00250E6F">
        <w:rPr>
          <w:rFonts w:ascii="Garamond" w:hAnsi="Garamond"/>
          <w:szCs w:val="22"/>
        </w:rPr>
        <w:t xml:space="preserve"> giudizio controfattuale) della</w:t>
      </w:r>
      <w:r w:rsidR="00610E03" w:rsidRPr="00250E6F">
        <w:rPr>
          <w:rFonts w:ascii="Garamond" w:hAnsi="Garamond"/>
          <w:szCs w:val="22"/>
        </w:rPr>
        <w:t xml:space="preserve"> originaria</w:t>
      </w:r>
      <w:r w:rsidRPr="00250E6F">
        <w:rPr>
          <w:rFonts w:ascii="Garamond" w:hAnsi="Garamond"/>
          <w:szCs w:val="22"/>
        </w:rPr>
        <w:t xml:space="preserve"> </w:t>
      </w:r>
      <w:r w:rsidRPr="00250E6F">
        <w:rPr>
          <w:rFonts w:ascii="Garamond" w:hAnsi="Garamond"/>
          <w:i/>
          <w:szCs w:val="22"/>
        </w:rPr>
        <w:t>inopportunità</w:t>
      </w:r>
      <w:r w:rsidRPr="00250E6F">
        <w:rPr>
          <w:rFonts w:ascii="Garamond" w:hAnsi="Garamond"/>
          <w:szCs w:val="22"/>
        </w:rPr>
        <w:t xml:space="preserve"> del provvedimento revocato; sia nel caso in cui la conoscibilità sia riferita al medesimo destinatario della revoca</w:t>
      </w:r>
      <w:r w:rsidR="009E4161" w:rsidRPr="00250E6F">
        <w:rPr>
          <w:rFonts w:ascii="Garamond" w:hAnsi="Garamond"/>
          <w:szCs w:val="22"/>
        </w:rPr>
        <w:t xml:space="preserve">, poiché questo </w:t>
      </w:r>
      <w:r w:rsidR="009E4161" w:rsidRPr="00250E6F">
        <w:rPr>
          <w:rFonts w:ascii="Garamond" w:hAnsi="Garamond"/>
          <w:szCs w:val="22"/>
        </w:rPr>
        <w:lastRenderedPageBreak/>
        <w:t>criterio nulla ha a che vedere con il presupposto principale della revoca, ovvero la legittimità di un atto, seppur non ritenuto opportuno e soddisfacente l’interesse pubblico</w:t>
      </w:r>
      <w:r w:rsidR="00B12396" w:rsidRPr="00250E6F">
        <w:rPr>
          <w:rStyle w:val="Rimandonotaapidipagina"/>
          <w:rFonts w:ascii="Garamond" w:hAnsi="Garamond"/>
          <w:szCs w:val="22"/>
        </w:rPr>
        <w:footnoteReference w:id="64"/>
      </w:r>
      <w:r w:rsidR="009E4161" w:rsidRPr="00250E6F">
        <w:rPr>
          <w:rFonts w:ascii="Garamond" w:hAnsi="Garamond"/>
          <w:szCs w:val="22"/>
        </w:rPr>
        <w:t>.</w:t>
      </w:r>
    </w:p>
    <w:p w14:paraId="1B5AE216" w14:textId="77777777" w:rsidR="006D7D2A" w:rsidRPr="00250E6F" w:rsidRDefault="00692BA2" w:rsidP="007A7DC1">
      <w:pPr>
        <w:spacing w:line="276" w:lineRule="auto"/>
        <w:ind w:firstLine="284"/>
        <w:jc w:val="both"/>
        <w:rPr>
          <w:rFonts w:ascii="Garamond" w:hAnsi="Garamond"/>
          <w:szCs w:val="22"/>
        </w:rPr>
      </w:pPr>
      <w:r w:rsidRPr="00250E6F">
        <w:rPr>
          <w:rFonts w:ascii="Garamond" w:hAnsi="Garamond"/>
          <w:szCs w:val="22"/>
        </w:rPr>
        <w:t>Ad ogni modo, i</w:t>
      </w:r>
      <w:r w:rsidR="006D7D2A" w:rsidRPr="00250E6F">
        <w:rPr>
          <w:rFonts w:ascii="Garamond" w:hAnsi="Garamond"/>
          <w:szCs w:val="22"/>
        </w:rPr>
        <w:t xml:space="preserve"> dubbi interpretativi concernenti la disposizione ora esaminata </w:t>
      </w:r>
      <w:r w:rsidR="00112BEA" w:rsidRPr="00250E6F">
        <w:rPr>
          <w:rFonts w:ascii="Garamond" w:hAnsi="Garamond"/>
          <w:szCs w:val="22"/>
        </w:rPr>
        <w:t xml:space="preserve">non </w:t>
      </w:r>
      <w:r w:rsidR="006D7D2A" w:rsidRPr="00250E6F">
        <w:rPr>
          <w:rFonts w:ascii="Garamond" w:hAnsi="Garamond"/>
          <w:szCs w:val="22"/>
        </w:rPr>
        <w:t xml:space="preserve">hanno </w:t>
      </w:r>
      <w:r w:rsidR="00112BEA" w:rsidRPr="00250E6F">
        <w:rPr>
          <w:rFonts w:ascii="Garamond" w:hAnsi="Garamond"/>
          <w:szCs w:val="22"/>
        </w:rPr>
        <w:t>impedito</w:t>
      </w:r>
      <w:r w:rsidRPr="00250E6F">
        <w:rPr>
          <w:rFonts w:ascii="Garamond" w:hAnsi="Garamond"/>
          <w:szCs w:val="22"/>
        </w:rPr>
        <w:t xml:space="preserve"> </w:t>
      </w:r>
      <w:r w:rsidR="006D7D2A" w:rsidRPr="00250E6F">
        <w:rPr>
          <w:rFonts w:ascii="Garamond" w:hAnsi="Garamond"/>
          <w:szCs w:val="22"/>
        </w:rPr>
        <w:t xml:space="preserve">di conferire un rilievo trasversale al </w:t>
      </w:r>
      <w:r w:rsidR="006D7D2A" w:rsidRPr="00250E6F">
        <w:rPr>
          <w:rFonts w:ascii="Garamond" w:hAnsi="Garamond"/>
          <w:i/>
          <w:szCs w:val="22"/>
        </w:rPr>
        <w:t>quantum</w:t>
      </w:r>
      <w:r w:rsidR="006D7D2A" w:rsidRPr="00250E6F">
        <w:rPr>
          <w:rFonts w:ascii="Garamond" w:hAnsi="Garamond"/>
          <w:szCs w:val="22"/>
        </w:rPr>
        <w:t xml:space="preserve"> indennitario nel caso di revoca </w:t>
      </w:r>
      <w:r w:rsidR="006D7D2A" w:rsidRPr="00250E6F">
        <w:rPr>
          <w:rFonts w:ascii="Garamond" w:hAnsi="Garamond"/>
          <w:i/>
          <w:szCs w:val="22"/>
        </w:rPr>
        <w:t>ex</w:t>
      </w:r>
      <w:r w:rsidR="006D7D2A" w:rsidRPr="00250E6F">
        <w:rPr>
          <w:rFonts w:ascii="Garamond" w:hAnsi="Garamond"/>
          <w:szCs w:val="22"/>
        </w:rPr>
        <w:t xml:space="preserve"> co. 1 dell’art. 21-</w:t>
      </w:r>
      <w:r w:rsidR="006D7D2A" w:rsidRPr="00250E6F">
        <w:rPr>
          <w:rFonts w:ascii="Garamond" w:hAnsi="Garamond"/>
          <w:i/>
          <w:szCs w:val="22"/>
        </w:rPr>
        <w:t>quinquies</w:t>
      </w:r>
      <w:r w:rsidR="006D7D2A" w:rsidRPr="00250E6F">
        <w:rPr>
          <w:rFonts w:ascii="Garamond" w:hAnsi="Garamond"/>
          <w:szCs w:val="22"/>
        </w:rPr>
        <w:t xml:space="preserve">, ovvero non necessariamente incidente su rapporti negoziali: </w:t>
      </w:r>
      <w:r w:rsidR="00E02868" w:rsidRPr="00250E6F">
        <w:rPr>
          <w:rFonts w:ascii="Garamond" w:hAnsi="Garamond"/>
          <w:szCs w:val="22"/>
        </w:rPr>
        <w:t xml:space="preserve">si tratta </w:t>
      </w:r>
      <w:r w:rsidR="00217966" w:rsidRPr="00250E6F">
        <w:rPr>
          <w:rFonts w:ascii="Garamond" w:hAnsi="Garamond"/>
          <w:szCs w:val="22"/>
        </w:rPr>
        <w:t xml:space="preserve">pur </w:t>
      </w:r>
      <w:r w:rsidR="00E02868" w:rsidRPr="00250E6F">
        <w:rPr>
          <w:rFonts w:ascii="Garamond" w:hAnsi="Garamond"/>
          <w:szCs w:val="22"/>
        </w:rPr>
        <w:t>sempre di una liquidazione che ha l’obiettivo di ristoro patrimoniale di un pregiudizio</w:t>
      </w:r>
      <w:r w:rsidR="00E02868" w:rsidRPr="00250E6F">
        <w:rPr>
          <w:rStyle w:val="Rimandonotaapidipagina"/>
          <w:rFonts w:ascii="Garamond" w:hAnsi="Garamond"/>
          <w:szCs w:val="22"/>
        </w:rPr>
        <w:footnoteReference w:id="65"/>
      </w:r>
      <w:r w:rsidR="00E02868" w:rsidRPr="00250E6F">
        <w:rPr>
          <w:rFonts w:ascii="Garamond" w:hAnsi="Garamond"/>
          <w:szCs w:val="22"/>
        </w:rPr>
        <w:t xml:space="preserve"> </w:t>
      </w:r>
      <w:r w:rsidR="00217966" w:rsidRPr="00250E6F">
        <w:rPr>
          <w:rFonts w:ascii="Garamond" w:hAnsi="Garamond"/>
          <w:szCs w:val="22"/>
        </w:rPr>
        <w:t>procurato al privato da un’attività lecita</w:t>
      </w:r>
      <w:r w:rsidR="00217966" w:rsidRPr="00250E6F">
        <w:rPr>
          <w:rStyle w:val="Rimandonotaapidipagina"/>
          <w:rFonts w:ascii="Garamond" w:hAnsi="Garamond"/>
          <w:szCs w:val="22"/>
        </w:rPr>
        <w:footnoteReference w:id="66"/>
      </w:r>
      <w:r w:rsidR="00217966" w:rsidRPr="00250E6F">
        <w:rPr>
          <w:rFonts w:ascii="Garamond" w:hAnsi="Garamond"/>
          <w:szCs w:val="22"/>
        </w:rPr>
        <w:t xml:space="preserve">, </w:t>
      </w:r>
      <w:r w:rsidR="00425F4B" w:rsidRPr="00250E6F">
        <w:rPr>
          <w:rFonts w:ascii="Garamond" w:hAnsi="Garamond"/>
          <w:szCs w:val="22"/>
        </w:rPr>
        <w:t>il cui ammontare è pari al c.d. danno emergente</w:t>
      </w:r>
      <w:r w:rsidR="00425F4B" w:rsidRPr="00250E6F">
        <w:rPr>
          <w:rStyle w:val="Rimandonotaapidipagina"/>
          <w:rFonts w:ascii="Garamond" w:hAnsi="Garamond"/>
          <w:szCs w:val="22"/>
        </w:rPr>
        <w:footnoteReference w:id="67"/>
      </w:r>
      <w:r w:rsidR="00425F4B" w:rsidRPr="00250E6F">
        <w:rPr>
          <w:rFonts w:ascii="Garamond" w:hAnsi="Garamond"/>
          <w:szCs w:val="22"/>
        </w:rPr>
        <w:t>.</w:t>
      </w:r>
    </w:p>
    <w:p w14:paraId="08A033C5" w14:textId="77777777" w:rsidR="00425F4B" w:rsidRPr="00250E6F" w:rsidRDefault="00425F4B" w:rsidP="007A7DC1">
      <w:pPr>
        <w:spacing w:line="276" w:lineRule="auto"/>
        <w:ind w:firstLine="284"/>
        <w:jc w:val="both"/>
        <w:rPr>
          <w:rFonts w:ascii="Garamond" w:hAnsi="Garamond"/>
          <w:szCs w:val="22"/>
        </w:rPr>
      </w:pPr>
      <w:r w:rsidRPr="00250E6F">
        <w:rPr>
          <w:rFonts w:ascii="Garamond" w:hAnsi="Garamond"/>
          <w:szCs w:val="22"/>
        </w:rPr>
        <w:t xml:space="preserve">Quanto, nella specie, a quest’ultimo aspetto, val la pena di sottolineare quanto ampiamente sostenuto da consolidata giurisprudenza, che distingue il risarcimento dall’indennizzo non solo nel </w:t>
      </w:r>
      <w:r w:rsidRPr="00250E6F">
        <w:rPr>
          <w:rFonts w:ascii="Garamond" w:hAnsi="Garamond"/>
          <w:i/>
          <w:szCs w:val="22"/>
        </w:rPr>
        <w:t>quantum</w:t>
      </w:r>
      <w:r w:rsidRPr="00250E6F">
        <w:rPr>
          <w:rFonts w:ascii="Garamond" w:hAnsi="Garamond"/>
          <w:szCs w:val="22"/>
        </w:rPr>
        <w:t xml:space="preserve">, ma anche nel fondamento – danno ingiusto il primo, danno da attività lecita il secondo – e nelle conseguenti domande processuali di riparazione delle quali investire il Giudice amministrativo. </w:t>
      </w:r>
      <w:r w:rsidR="00CA448A" w:rsidRPr="00250E6F">
        <w:rPr>
          <w:rFonts w:ascii="Garamond" w:hAnsi="Garamond"/>
          <w:szCs w:val="22"/>
        </w:rPr>
        <w:t xml:space="preserve">E così, laddove il privato instauri un giudizio vòlto a ottenere l’indennizzo da revoca, la </w:t>
      </w:r>
      <w:r w:rsidR="00CA448A" w:rsidRPr="00250E6F">
        <w:rPr>
          <w:rFonts w:ascii="Garamond" w:hAnsi="Garamond"/>
          <w:i/>
          <w:szCs w:val="22"/>
        </w:rPr>
        <w:t xml:space="preserve">causa </w:t>
      </w:r>
      <w:proofErr w:type="spellStart"/>
      <w:r w:rsidR="00CA448A" w:rsidRPr="00250E6F">
        <w:rPr>
          <w:rFonts w:ascii="Garamond" w:hAnsi="Garamond"/>
          <w:i/>
          <w:szCs w:val="22"/>
        </w:rPr>
        <w:t>petendi</w:t>
      </w:r>
      <w:proofErr w:type="spellEnd"/>
      <w:r w:rsidR="00CA448A" w:rsidRPr="00250E6F">
        <w:rPr>
          <w:rFonts w:ascii="Garamond" w:hAnsi="Garamond"/>
          <w:szCs w:val="22"/>
        </w:rPr>
        <w:t xml:space="preserve"> dovrà essere ravvisata, nel più generale sistema della responsabilità da fatto lecito, «nella legittimità dell’atto adottato dall’Amministrazione, ovvero nella liceità della condotta da questa tenuta e che ha causato il pregiudizio, cui consegue, </w:t>
      </w:r>
      <w:r w:rsidR="00CA448A" w:rsidRPr="00250E6F">
        <w:rPr>
          <w:rFonts w:ascii="Garamond" w:hAnsi="Garamond"/>
          <w:i/>
          <w:szCs w:val="22"/>
        </w:rPr>
        <w:t>per ragioni di giustizia distributiva e di parziale traslazione dell’impatto pregiudizievole, un incompleto ristoro</w:t>
      </w:r>
      <w:r w:rsidR="00CA448A" w:rsidRPr="00250E6F">
        <w:rPr>
          <w:rFonts w:ascii="Garamond" w:hAnsi="Garamond"/>
          <w:szCs w:val="22"/>
        </w:rPr>
        <w:t xml:space="preserve"> contemplato di volta in volta dal legislatore». Viceversa, nel giudizio risarcitorio, «essa consiste nel fatto o nell’atto produttivo del danno ingiusto, cui consegue un generalizzato obbligo di integrale ripristino dello </w:t>
      </w:r>
      <w:r w:rsidR="00CA448A" w:rsidRPr="00250E6F">
        <w:rPr>
          <w:rFonts w:ascii="Garamond" w:hAnsi="Garamond"/>
          <w:i/>
          <w:szCs w:val="22"/>
        </w:rPr>
        <w:t>status quo ante</w:t>
      </w:r>
      <w:r w:rsidR="00CA448A" w:rsidRPr="00250E6F">
        <w:rPr>
          <w:rFonts w:ascii="Garamond" w:hAnsi="Garamond"/>
          <w:szCs w:val="22"/>
        </w:rPr>
        <w:t xml:space="preserve"> in forma specifica o per equivalente monetario, che tenga indenne il danneggiato dell’intero spettro di pregiudizi subiti». Quanto, poi, al </w:t>
      </w:r>
      <w:proofErr w:type="spellStart"/>
      <w:r w:rsidR="00CA448A" w:rsidRPr="00250E6F">
        <w:rPr>
          <w:rFonts w:ascii="Garamond" w:hAnsi="Garamond"/>
          <w:i/>
          <w:szCs w:val="22"/>
        </w:rPr>
        <w:t>petitum</w:t>
      </w:r>
      <w:proofErr w:type="spellEnd"/>
      <w:r w:rsidR="00CA448A" w:rsidRPr="00250E6F">
        <w:rPr>
          <w:rFonts w:ascii="Garamond" w:hAnsi="Garamond"/>
          <w:szCs w:val="22"/>
        </w:rPr>
        <w:t xml:space="preserve"> nel giudizio per responsabilità da atti legittimi o comportamenti leciti</w:t>
      </w:r>
      <w:r w:rsidR="00617868" w:rsidRPr="00250E6F">
        <w:rPr>
          <w:rStyle w:val="Rimandonotaapidipagina"/>
          <w:rFonts w:ascii="Garamond" w:hAnsi="Garamond"/>
          <w:szCs w:val="22"/>
        </w:rPr>
        <w:footnoteReference w:id="68"/>
      </w:r>
      <w:r w:rsidR="00CA448A" w:rsidRPr="00250E6F">
        <w:rPr>
          <w:rFonts w:ascii="Garamond" w:hAnsi="Garamond"/>
          <w:szCs w:val="22"/>
        </w:rPr>
        <w:t xml:space="preserve">, «esso è limitato al pregiudizio immediatamente subito ed è quindi limitato al c.d. danno emergente», mentre nel giudizio risarcitorio «esso si estende – fermi, </w:t>
      </w:r>
      <w:r w:rsidR="00CA448A" w:rsidRPr="00250E6F">
        <w:rPr>
          <w:rFonts w:ascii="Garamond" w:hAnsi="Garamond"/>
          <w:szCs w:val="22"/>
        </w:rPr>
        <w:lastRenderedPageBreak/>
        <w:t>ovviamente, i necessari presupposti probatori – a tutto il pregiudizio (danno emergente e lucro cessante), conseguente all’illegittima violazione della sfera giuridico-patrimoniale del soggetto leso»</w:t>
      </w:r>
      <w:r w:rsidR="00CA448A" w:rsidRPr="00250E6F">
        <w:rPr>
          <w:rStyle w:val="Rimandonotaapidipagina"/>
          <w:rFonts w:ascii="Garamond" w:hAnsi="Garamond"/>
          <w:szCs w:val="22"/>
        </w:rPr>
        <w:footnoteReference w:id="69"/>
      </w:r>
      <w:r w:rsidR="00CA448A" w:rsidRPr="00250E6F">
        <w:rPr>
          <w:rFonts w:ascii="Garamond" w:hAnsi="Garamond"/>
          <w:szCs w:val="22"/>
        </w:rPr>
        <w:t>.</w:t>
      </w:r>
    </w:p>
    <w:p w14:paraId="04EED4E0" w14:textId="77777777" w:rsidR="003F1B4A" w:rsidRPr="00250E6F" w:rsidRDefault="00056AA1" w:rsidP="007A7DC1">
      <w:pPr>
        <w:spacing w:line="276" w:lineRule="auto"/>
        <w:ind w:firstLine="284"/>
        <w:jc w:val="both"/>
        <w:rPr>
          <w:rFonts w:ascii="Garamond" w:hAnsi="Garamond"/>
          <w:szCs w:val="22"/>
        </w:rPr>
      </w:pPr>
      <w:r w:rsidRPr="00250E6F">
        <w:rPr>
          <w:rFonts w:ascii="Garamond" w:hAnsi="Garamond"/>
          <w:szCs w:val="22"/>
        </w:rPr>
        <w:t xml:space="preserve">Quindi, mentre l’indennizzo prescinde da una eventuale responsabilità della </w:t>
      </w:r>
      <w:proofErr w:type="spellStart"/>
      <w:r w:rsidRPr="00250E6F">
        <w:rPr>
          <w:rFonts w:ascii="Garamond" w:hAnsi="Garamond"/>
          <w:szCs w:val="22"/>
        </w:rPr>
        <w:t>p.A.</w:t>
      </w:r>
      <w:proofErr w:type="spellEnd"/>
      <w:r w:rsidRPr="00250E6F">
        <w:rPr>
          <w:rFonts w:ascii="Garamond" w:hAnsi="Garamond"/>
          <w:szCs w:val="22"/>
        </w:rPr>
        <w:t xml:space="preserve"> nell’adozione dell’atto di revoca e risponde a esigenze di giustizia distributiva, tali da traslare almeno </w:t>
      </w:r>
      <w:r w:rsidRPr="00250E6F">
        <w:rPr>
          <w:rFonts w:ascii="Garamond" w:hAnsi="Garamond"/>
          <w:i/>
          <w:szCs w:val="22"/>
        </w:rPr>
        <w:t>parzialmente</w:t>
      </w:r>
      <w:r w:rsidRPr="00250E6F">
        <w:rPr>
          <w:rFonts w:ascii="Garamond" w:hAnsi="Garamond"/>
          <w:szCs w:val="22"/>
        </w:rPr>
        <w:t xml:space="preserve"> l’impatto pregiudizievole suddividendolo tra il privato e la medesima </w:t>
      </w:r>
      <w:proofErr w:type="spellStart"/>
      <w:r w:rsidRPr="00250E6F">
        <w:rPr>
          <w:rFonts w:ascii="Garamond" w:hAnsi="Garamond"/>
          <w:szCs w:val="22"/>
        </w:rPr>
        <w:t>p.A.</w:t>
      </w:r>
      <w:proofErr w:type="spellEnd"/>
      <w:r w:rsidRPr="00250E6F">
        <w:rPr>
          <w:rFonts w:ascii="Garamond" w:hAnsi="Garamond"/>
          <w:szCs w:val="22"/>
        </w:rPr>
        <w:t xml:space="preserve">, il risarcimento del danno – che, a differenza del primo, è volto a ristorare </w:t>
      </w:r>
      <w:r w:rsidR="00FA327E" w:rsidRPr="00250E6F">
        <w:rPr>
          <w:rFonts w:ascii="Garamond" w:hAnsi="Garamond"/>
          <w:i/>
          <w:szCs w:val="22"/>
        </w:rPr>
        <w:t xml:space="preserve">totalmente </w:t>
      </w:r>
      <w:r w:rsidRPr="00250E6F">
        <w:rPr>
          <w:rFonts w:ascii="Garamond" w:hAnsi="Garamond"/>
          <w:szCs w:val="22"/>
        </w:rPr>
        <w:t>il privato – si accompagna necessariamente a un giudizio di responsabilità.</w:t>
      </w:r>
    </w:p>
    <w:p w14:paraId="596953B7" w14:textId="77777777" w:rsidR="00D90A19" w:rsidRPr="00250E6F" w:rsidRDefault="00D90A19" w:rsidP="007A7DC1">
      <w:pPr>
        <w:spacing w:line="276" w:lineRule="auto"/>
        <w:ind w:firstLine="284"/>
        <w:jc w:val="both"/>
        <w:rPr>
          <w:rFonts w:ascii="Garamond" w:hAnsi="Garamond"/>
          <w:szCs w:val="22"/>
        </w:rPr>
      </w:pPr>
      <w:r w:rsidRPr="00250E6F">
        <w:rPr>
          <w:rFonts w:ascii="Garamond" w:hAnsi="Garamond"/>
          <w:szCs w:val="22"/>
        </w:rPr>
        <w:t>L</w:t>
      </w:r>
      <w:r w:rsidR="00AB03FD" w:rsidRPr="00250E6F">
        <w:rPr>
          <w:rFonts w:ascii="Garamond" w:hAnsi="Garamond"/>
          <w:szCs w:val="22"/>
        </w:rPr>
        <w:t>’</w:t>
      </w:r>
      <w:r w:rsidRPr="00250E6F">
        <w:rPr>
          <w:rFonts w:ascii="Garamond" w:hAnsi="Garamond"/>
          <w:szCs w:val="22"/>
        </w:rPr>
        <w:t xml:space="preserve">obbligo di indennizzo gravante sulla </w:t>
      </w:r>
      <w:proofErr w:type="spellStart"/>
      <w:r w:rsidR="00AB03FD" w:rsidRPr="00250E6F">
        <w:rPr>
          <w:rFonts w:ascii="Garamond" w:hAnsi="Garamond"/>
          <w:szCs w:val="22"/>
        </w:rPr>
        <w:t>p.</w:t>
      </w:r>
      <w:r w:rsidRPr="00250E6F">
        <w:rPr>
          <w:rFonts w:ascii="Garamond" w:hAnsi="Garamond"/>
          <w:szCs w:val="22"/>
        </w:rPr>
        <w:t>A</w:t>
      </w:r>
      <w:r w:rsidR="00AB03FD" w:rsidRPr="00250E6F">
        <w:rPr>
          <w:rFonts w:ascii="Garamond" w:hAnsi="Garamond"/>
          <w:szCs w:val="22"/>
        </w:rPr>
        <w:t>.</w:t>
      </w:r>
      <w:proofErr w:type="spellEnd"/>
      <w:r w:rsidR="00AB03FD" w:rsidRPr="00250E6F">
        <w:rPr>
          <w:rFonts w:ascii="Garamond" w:hAnsi="Garamond"/>
          <w:szCs w:val="22"/>
        </w:rPr>
        <w:t xml:space="preserve"> </w:t>
      </w:r>
      <w:r w:rsidRPr="00250E6F">
        <w:rPr>
          <w:rFonts w:ascii="Garamond" w:hAnsi="Garamond"/>
          <w:szCs w:val="22"/>
        </w:rPr>
        <w:t>non presuppone elementi di responsabilità della stessa, ma si fonda su valori puramente equitativi considerati dal legislatore, onde consentire il giusto bilanciamento tra il perseguimento dell</w:t>
      </w:r>
      <w:r w:rsidR="00AB03FD" w:rsidRPr="00250E6F">
        <w:rPr>
          <w:rFonts w:ascii="Garamond" w:hAnsi="Garamond"/>
          <w:szCs w:val="22"/>
        </w:rPr>
        <w:t>’</w:t>
      </w:r>
      <w:r w:rsidRPr="00250E6F">
        <w:rPr>
          <w:rFonts w:ascii="Garamond" w:hAnsi="Garamond"/>
          <w:szCs w:val="22"/>
        </w:rPr>
        <w:t>interesse pubblico attuale da parte dell</w:t>
      </w:r>
      <w:r w:rsidR="00AB03FD" w:rsidRPr="00250E6F">
        <w:rPr>
          <w:rFonts w:ascii="Garamond" w:hAnsi="Garamond"/>
          <w:szCs w:val="22"/>
        </w:rPr>
        <w:t>’</w:t>
      </w:r>
      <w:r w:rsidRPr="00250E6F">
        <w:rPr>
          <w:rFonts w:ascii="Garamond" w:hAnsi="Garamond"/>
          <w:szCs w:val="22"/>
        </w:rPr>
        <w:t>amministrazione e la sfera patrimoniale del</w:t>
      </w:r>
      <w:r w:rsidR="00AB03FD" w:rsidRPr="00250E6F">
        <w:rPr>
          <w:rFonts w:ascii="Garamond" w:hAnsi="Garamond"/>
          <w:szCs w:val="22"/>
        </w:rPr>
        <w:t>l’incolpevole</w:t>
      </w:r>
      <w:r w:rsidRPr="00250E6F">
        <w:rPr>
          <w:rFonts w:ascii="Garamond" w:hAnsi="Garamond"/>
          <w:szCs w:val="22"/>
        </w:rPr>
        <w:t xml:space="preserve"> destinatario dell</w:t>
      </w:r>
      <w:r w:rsidR="00AB03FD" w:rsidRPr="00250E6F">
        <w:rPr>
          <w:rFonts w:ascii="Garamond" w:hAnsi="Garamond"/>
          <w:szCs w:val="22"/>
        </w:rPr>
        <w:t>’</w:t>
      </w:r>
      <w:r w:rsidRPr="00250E6F">
        <w:rPr>
          <w:rFonts w:ascii="Garamond" w:hAnsi="Garamond"/>
          <w:szCs w:val="22"/>
        </w:rPr>
        <w:t xml:space="preserve">atto di revoca, </w:t>
      </w:r>
      <w:r w:rsidR="00AB03FD" w:rsidRPr="00250E6F">
        <w:rPr>
          <w:rFonts w:ascii="Garamond" w:hAnsi="Garamond"/>
          <w:szCs w:val="22"/>
        </w:rPr>
        <w:t>al quale</w:t>
      </w:r>
      <w:r w:rsidRPr="00250E6F">
        <w:rPr>
          <w:rFonts w:ascii="Garamond" w:hAnsi="Garamond"/>
          <w:szCs w:val="22"/>
        </w:rPr>
        <w:t xml:space="preserve"> non possono essere addossati integralmente i conseguenti sacrifici</w:t>
      </w:r>
      <w:r w:rsidR="00AB03FD" w:rsidRPr="00250E6F">
        <w:rPr>
          <w:rStyle w:val="Rimandonotaapidipagina"/>
          <w:rFonts w:ascii="Garamond" w:hAnsi="Garamond"/>
          <w:szCs w:val="22"/>
        </w:rPr>
        <w:footnoteReference w:id="70"/>
      </w:r>
      <w:r w:rsidRPr="00250E6F">
        <w:rPr>
          <w:rFonts w:ascii="Garamond" w:hAnsi="Garamond"/>
          <w:szCs w:val="22"/>
        </w:rPr>
        <w:t>.</w:t>
      </w:r>
    </w:p>
    <w:p w14:paraId="38BD721E" w14:textId="77777777" w:rsidR="00D1334B" w:rsidRPr="00250E6F" w:rsidRDefault="00D1334B" w:rsidP="007A7DC1">
      <w:pPr>
        <w:spacing w:line="276" w:lineRule="auto"/>
        <w:ind w:firstLine="284"/>
        <w:jc w:val="both"/>
        <w:rPr>
          <w:rFonts w:ascii="Garamond" w:hAnsi="Garamond"/>
          <w:szCs w:val="22"/>
        </w:rPr>
      </w:pPr>
      <w:r w:rsidRPr="00250E6F">
        <w:rPr>
          <w:rFonts w:ascii="Garamond" w:hAnsi="Garamond"/>
          <w:szCs w:val="22"/>
        </w:rPr>
        <w:t xml:space="preserve">Ma, come detto in apertura di questo paragrafo, a fronte dell’esercizio del potere di revoca non si esclude l’affermazione di responsabilità della </w:t>
      </w:r>
      <w:proofErr w:type="spellStart"/>
      <w:r w:rsidRPr="00250E6F">
        <w:rPr>
          <w:rFonts w:ascii="Garamond" w:hAnsi="Garamond"/>
          <w:szCs w:val="22"/>
        </w:rPr>
        <w:t>p.A.</w:t>
      </w:r>
      <w:proofErr w:type="spellEnd"/>
    </w:p>
    <w:p w14:paraId="56CFAC2F" w14:textId="77777777" w:rsidR="00D90A19" w:rsidRPr="00250E6F" w:rsidRDefault="00D1334B" w:rsidP="007A7DC1">
      <w:pPr>
        <w:spacing w:line="276" w:lineRule="auto"/>
        <w:ind w:firstLine="284"/>
        <w:jc w:val="both"/>
        <w:rPr>
          <w:rFonts w:ascii="Garamond" w:hAnsi="Garamond"/>
          <w:szCs w:val="22"/>
        </w:rPr>
      </w:pPr>
      <w:r w:rsidRPr="00250E6F">
        <w:rPr>
          <w:rFonts w:ascii="Garamond" w:hAnsi="Garamond"/>
          <w:szCs w:val="22"/>
        </w:rPr>
        <w:t xml:space="preserve">Ciò implica che </w:t>
      </w:r>
      <w:r w:rsidR="00973E57" w:rsidRPr="00250E6F">
        <w:rPr>
          <w:rFonts w:ascii="Garamond" w:hAnsi="Garamond"/>
          <w:szCs w:val="22"/>
        </w:rPr>
        <w:t xml:space="preserve">questa suddivisione apparentemente netta tra indennizzo e risarcimento può subire qualche sfocatura laddove </w:t>
      </w:r>
      <w:r w:rsidR="003C651B" w:rsidRPr="00250E6F">
        <w:rPr>
          <w:rFonts w:ascii="Garamond" w:hAnsi="Garamond"/>
          <w:szCs w:val="22"/>
        </w:rPr>
        <w:t xml:space="preserve">la si osservi dall’angolo visuale della </w:t>
      </w:r>
      <w:r w:rsidR="00973E57" w:rsidRPr="00250E6F">
        <w:rPr>
          <w:rFonts w:ascii="Garamond" w:hAnsi="Garamond"/>
          <w:szCs w:val="22"/>
        </w:rPr>
        <w:t>responsabilità</w:t>
      </w:r>
      <w:r w:rsidR="005D6B6D" w:rsidRPr="00250E6F">
        <w:rPr>
          <w:rFonts w:ascii="Garamond" w:hAnsi="Garamond"/>
          <w:szCs w:val="22"/>
        </w:rPr>
        <w:t xml:space="preserve"> dell’Amministrazione</w:t>
      </w:r>
      <w:r w:rsidR="00973E57" w:rsidRPr="00250E6F">
        <w:rPr>
          <w:rFonts w:ascii="Garamond" w:hAnsi="Garamond"/>
          <w:szCs w:val="22"/>
        </w:rPr>
        <w:t>.</w:t>
      </w:r>
      <w:r w:rsidR="004B7F02" w:rsidRPr="00250E6F">
        <w:rPr>
          <w:rFonts w:ascii="Garamond" w:hAnsi="Garamond"/>
          <w:szCs w:val="22"/>
        </w:rPr>
        <w:t xml:space="preserve"> Sino a questo momento si è stati portati a pensare che possa esser esperit</w:t>
      </w:r>
      <w:r w:rsidR="007E26F5" w:rsidRPr="00250E6F">
        <w:rPr>
          <w:rFonts w:ascii="Garamond" w:hAnsi="Garamond"/>
          <w:szCs w:val="22"/>
        </w:rPr>
        <w:t>o</w:t>
      </w:r>
      <w:r w:rsidR="004B7F02" w:rsidRPr="00250E6F">
        <w:rPr>
          <w:rFonts w:ascii="Garamond" w:hAnsi="Garamond"/>
          <w:szCs w:val="22"/>
        </w:rPr>
        <w:t xml:space="preserve"> con successo nei confronti della “</w:t>
      </w:r>
      <w:proofErr w:type="spellStart"/>
      <w:r w:rsidR="004B7F02" w:rsidRPr="00250E6F">
        <w:rPr>
          <w:rFonts w:ascii="Garamond" w:hAnsi="Garamond"/>
          <w:szCs w:val="22"/>
        </w:rPr>
        <w:t>p.A.</w:t>
      </w:r>
      <w:proofErr w:type="spellEnd"/>
      <w:r w:rsidR="004B7F02" w:rsidRPr="00250E6F">
        <w:rPr>
          <w:rFonts w:ascii="Garamond" w:hAnsi="Garamond"/>
          <w:szCs w:val="22"/>
        </w:rPr>
        <w:t xml:space="preserve"> che revoca” un giudizio di responsabilità soltanto laddove essa adotti un atto di revoca illegittimo: si ricadrà, in questo caso, nella più ampia responsabilità da provvedimento </w:t>
      </w:r>
      <w:r w:rsidR="00420730" w:rsidRPr="00250E6F">
        <w:rPr>
          <w:rFonts w:ascii="Garamond" w:hAnsi="Garamond"/>
          <w:i/>
          <w:szCs w:val="22"/>
        </w:rPr>
        <w:t xml:space="preserve">contra </w:t>
      </w:r>
      <w:proofErr w:type="spellStart"/>
      <w:r w:rsidR="00420730" w:rsidRPr="00250E6F">
        <w:rPr>
          <w:rFonts w:ascii="Garamond" w:hAnsi="Garamond"/>
          <w:i/>
          <w:szCs w:val="22"/>
        </w:rPr>
        <w:t>jus</w:t>
      </w:r>
      <w:proofErr w:type="spellEnd"/>
      <w:r w:rsidR="004B7F02" w:rsidRPr="00250E6F">
        <w:rPr>
          <w:rFonts w:ascii="Garamond" w:hAnsi="Garamond"/>
          <w:szCs w:val="22"/>
        </w:rPr>
        <w:t xml:space="preserve"> </w:t>
      </w:r>
      <w:r w:rsidR="007E26F5" w:rsidRPr="00250E6F">
        <w:rPr>
          <w:rFonts w:ascii="Garamond" w:hAnsi="Garamond"/>
          <w:szCs w:val="22"/>
        </w:rPr>
        <w:t>ai sensi dell’</w:t>
      </w:r>
      <w:r w:rsidR="004B7F02" w:rsidRPr="00250E6F">
        <w:rPr>
          <w:rFonts w:ascii="Garamond" w:hAnsi="Garamond"/>
          <w:szCs w:val="22"/>
        </w:rPr>
        <w:t>art. 2043 c.c.</w:t>
      </w:r>
      <w:r w:rsidR="004B7F02" w:rsidRPr="00250E6F">
        <w:rPr>
          <w:rStyle w:val="Rimandonotaapidipagina"/>
          <w:rFonts w:ascii="Garamond" w:hAnsi="Garamond"/>
          <w:szCs w:val="22"/>
        </w:rPr>
        <w:footnoteReference w:id="71"/>
      </w:r>
      <w:r w:rsidR="00420730" w:rsidRPr="00250E6F">
        <w:rPr>
          <w:rFonts w:ascii="Garamond" w:hAnsi="Garamond"/>
          <w:szCs w:val="22"/>
        </w:rPr>
        <w:t>.</w:t>
      </w:r>
      <w:r w:rsidR="00A5420B" w:rsidRPr="00250E6F">
        <w:rPr>
          <w:rFonts w:ascii="Garamond" w:hAnsi="Garamond"/>
          <w:szCs w:val="22"/>
        </w:rPr>
        <w:t xml:space="preserve"> Viceversa, tendenzialmente, potrebbe escludersi un giudizio di responsabilità dell’Amministrazione laddove essa revochi legittimamente un proprio provvedimento: sarà sufficiente in quel caso la liquidazione dell’indennizzo.</w:t>
      </w:r>
    </w:p>
    <w:p w14:paraId="780D6542" w14:textId="77777777" w:rsidR="00A5420B" w:rsidRPr="00250E6F" w:rsidRDefault="00A5420B" w:rsidP="007A7DC1">
      <w:pPr>
        <w:spacing w:line="276" w:lineRule="auto"/>
        <w:ind w:firstLine="284"/>
        <w:jc w:val="both"/>
        <w:rPr>
          <w:rFonts w:ascii="Garamond" w:hAnsi="Garamond"/>
          <w:szCs w:val="22"/>
        </w:rPr>
      </w:pPr>
      <w:r w:rsidRPr="00250E6F">
        <w:rPr>
          <w:rFonts w:ascii="Garamond" w:hAnsi="Garamond"/>
          <w:szCs w:val="22"/>
        </w:rPr>
        <w:t xml:space="preserve">In realtà, la casistica concernente le procedure a evidenza pubblica testimonia che la legittimità della revoca degli atti di gara può accompagnarsi anche a un giudizio di </w:t>
      </w:r>
      <w:r w:rsidRPr="00250E6F">
        <w:rPr>
          <w:rFonts w:ascii="Garamond" w:hAnsi="Garamond"/>
          <w:szCs w:val="22"/>
        </w:rPr>
        <w:lastRenderedPageBreak/>
        <w:t xml:space="preserve">responsabilità della </w:t>
      </w:r>
      <w:proofErr w:type="spellStart"/>
      <w:r w:rsidRPr="00250E6F">
        <w:rPr>
          <w:rFonts w:ascii="Garamond" w:hAnsi="Garamond"/>
          <w:szCs w:val="22"/>
        </w:rPr>
        <w:t>p.A.</w:t>
      </w:r>
      <w:proofErr w:type="spellEnd"/>
      <w:r w:rsidRPr="00250E6F">
        <w:rPr>
          <w:rFonts w:ascii="Garamond" w:hAnsi="Garamond"/>
          <w:szCs w:val="22"/>
        </w:rPr>
        <w:t xml:space="preserve">: legittimità dell’atto e liceità del comportamento viaggiano su </w:t>
      </w:r>
      <w:r w:rsidR="00AC5E63" w:rsidRPr="00250E6F">
        <w:rPr>
          <w:rFonts w:ascii="Garamond" w:hAnsi="Garamond"/>
          <w:szCs w:val="22"/>
        </w:rPr>
        <w:t>binari</w:t>
      </w:r>
      <w:r w:rsidRPr="00250E6F">
        <w:rPr>
          <w:rFonts w:ascii="Garamond" w:hAnsi="Garamond"/>
          <w:szCs w:val="22"/>
        </w:rPr>
        <w:t xml:space="preserve"> differenti.</w:t>
      </w:r>
    </w:p>
    <w:p w14:paraId="34F27B2E" w14:textId="77777777" w:rsidR="00ED6B8E" w:rsidRPr="00250E6F" w:rsidRDefault="00210790" w:rsidP="007A7DC1">
      <w:pPr>
        <w:spacing w:line="276" w:lineRule="auto"/>
        <w:ind w:firstLine="284"/>
        <w:jc w:val="both"/>
        <w:rPr>
          <w:rFonts w:ascii="Garamond" w:hAnsi="Garamond"/>
          <w:szCs w:val="22"/>
        </w:rPr>
      </w:pPr>
      <w:r w:rsidRPr="00250E6F">
        <w:rPr>
          <w:rFonts w:ascii="Garamond" w:hAnsi="Garamond"/>
          <w:szCs w:val="22"/>
        </w:rPr>
        <w:t>È stato efficacemente osservato che</w:t>
      </w:r>
      <w:r w:rsidR="008D1563" w:rsidRPr="00250E6F">
        <w:rPr>
          <w:rFonts w:ascii="Garamond" w:hAnsi="Garamond"/>
          <w:szCs w:val="22"/>
        </w:rPr>
        <w:t>, nonostante la legittimità della revoca, può emergere una lesione del</w:t>
      </w:r>
      <w:r w:rsidR="00D1334B" w:rsidRPr="00250E6F">
        <w:rPr>
          <w:rFonts w:ascii="Garamond" w:hAnsi="Garamond"/>
          <w:szCs w:val="22"/>
        </w:rPr>
        <w:t>l’</w:t>
      </w:r>
      <w:r w:rsidR="008D1563" w:rsidRPr="00250E6F">
        <w:rPr>
          <w:rFonts w:ascii="Garamond" w:hAnsi="Garamond"/>
          <w:szCs w:val="22"/>
        </w:rPr>
        <w:t>affidamento del privato degna di autonoma tutela risarcitoria: accade quando quella revoca si è resa inevitabile a causa di negligenze dell’Amministrazione nella gestione della procedura, che sfociano in una responsabilità precontrattuale per violazione dell’obbligo di buona fede e correttezza nella “trattativa” (</w:t>
      </w:r>
      <w:r w:rsidR="008D1563" w:rsidRPr="00250E6F">
        <w:rPr>
          <w:rFonts w:ascii="Garamond" w:hAnsi="Garamond"/>
          <w:i/>
          <w:szCs w:val="22"/>
        </w:rPr>
        <w:t>id est</w:t>
      </w:r>
      <w:r w:rsidR="008D1563" w:rsidRPr="00250E6F">
        <w:rPr>
          <w:rFonts w:ascii="Garamond" w:hAnsi="Garamond"/>
          <w:szCs w:val="22"/>
        </w:rPr>
        <w:t>, nella gara)</w:t>
      </w:r>
      <w:r w:rsidR="008D1563" w:rsidRPr="00250E6F">
        <w:rPr>
          <w:rStyle w:val="Rimandonotaapidipagina"/>
          <w:rFonts w:ascii="Garamond" w:hAnsi="Garamond"/>
          <w:szCs w:val="22"/>
        </w:rPr>
        <w:footnoteReference w:id="72"/>
      </w:r>
      <w:r w:rsidR="008D1563" w:rsidRPr="00250E6F">
        <w:rPr>
          <w:rFonts w:ascii="Garamond" w:hAnsi="Garamond"/>
          <w:szCs w:val="22"/>
        </w:rPr>
        <w:t>.</w:t>
      </w:r>
      <w:r w:rsidR="00ED6B8E" w:rsidRPr="00250E6F">
        <w:rPr>
          <w:rFonts w:ascii="Garamond" w:hAnsi="Garamond"/>
          <w:szCs w:val="22"/>
        </w:rPr>
        <w:t xml:space="preserve"> In questo caso non si parla più di responsabilità da provvedimento illegittimo, bensì di “responsabilità da comportamento”: ravvisabile nelle scorrettezze nelle quali l’Amministrazione sia incorsa nelle procedure di gara.</w:t>
      </w:r>
    </w:p>
    <w:p w14:paraId="556C6442" w14:textId="77777777" w:rsidR="00126334" w:rsidRPr="00250E6F" w:rsidRDefault="00BD5025" w:rsidP="007A7DC1">
      <w:pPr>
        <w:spacing w:line="276" w:lineRule="auto"/>
        <w:ind w:firstLine="284"/>
        <w:jc w:val="both"/>
        <w:rPr>
          <w:rFonts w:ascii="Garamond" w:hAnsi="Garamond"/>
          <w:szCs w:val="22"/>
        </w:rPr>
      </w:pPr>
      <w:r w:rsidRPr="00250E6F">
        <w:rPr>
          <w:rFonts w:ascii="Garamond" w:hAnsi="Garamond"/>
          <w:szCs w:val="22"/>
        </w:rPr>
        <w:t xml:space="preserve">Per usare le parole della giurisprudenza, grava anche sulla </w:t>
      </w:r>
      <w:proofErr w:type="spellStart"/>
      <w:r w:rsidRPr="00250E6F">
        <w:rPr>
          <w:rFonts w:ascii="Garamond" w:hAnsi="Garamond"/>
          <w:szCs w:val="22"/>
        </w:rPr>
        <w:t>p.A.</w:t>
      </w:r>
      <w:proofErr w:type="spellEnd"/>
      <w:r w:rsidRPr="00250E6F">
        <w:rPr>
          <w:rFonts w:ascii="Garamond" w:hAnsi="Garamond"/>
          <w:szCs w:val="22"/>
        </w:rPr>
        <w:t xml:space="preserve"> </w:t>
      </w:r>
      <w:r w:rsidR="00126334" w:rsidRPr="00250E6F">
        <w:rPr>
          <w:rFonts w:ascii="Garamond" w:hAnsi="Garamond"/>
          <w:szCs w:val="22"/>
        </w:rPr>
        <w:t xml:space="preserve">l’obbligo </w:t>
      </w:r>
      <w:r w:rsidRPr="00250E6F">
        <w:rPr>
          <w:rFonts w:ascii="Garamond" w:hAnsi="Garamond"/>
          <w:i/>
          <w:szCs w:val="22"/>
        </w:rPr>
        <w:t xml:space="preserve">ex </w:t>
      </w:r>
      <w:r w:rsidR="00126334" w:rsidRPr="00250E6F">
        <w:rPr>
          <w:rFonts w:ascii="Garamond" w:hAnsi="Garamond"/>
          <w:szCs w:val="22"/>
        </w:rPr>
        <w:t>art. 1337 c.c. di comportarsi secondo buona fede durante lo svolgimento delle trattative, ossia di rispettare i doveri di lealt</w:t>
      </w:r>
      <w:r w:rsidRPr="00250E6F">
        <w:rPr>
          <w:rFonts w:ascii="Garamond" w:hAnsi="Garamond"/>
          <w:szCs w:val="22"/>
        </w:rPr>
        <w:t xml:space="preserve">à </w:t>
      </w:r>
      <w:r w:rsidR="00126334" w:rsidRPr="00250E6F">
        <w:rPr>
          <w:rFonts w:ascii="Garamond" w:hAnsi="Garamond"/>
          <w:szCs w:val="22"/>
        </w:rPr>
        <w:t>e di correttezza e di porre in essere comportamenti che salvaguardino l</w:t>
      </w:r>
      <w:r w:rsidRPr="00250E6F">
        <w:rPr>
          <w:rFonts w:ascii="Garamond" w:hAnsi="Garamond"/>
          <w:szCs w:val="22"/>
        </w:rPr>
        <w:t>’</w:t>
      </w:r>
      <w:r w:rsidR="00126334" w:rsidRPr="00250E6F">
        <w:rPr>
          <w:rFonts w:ascii="Garamond" w:hAnsi="Garamond"/>
          <w:szCs w:val="22"/>
        </w:rPr>
        <w:t xml:space="preserve">affidamento della controparte in modo da non </w:t>
      </w:r>
      <w:r w:rsidR="00126334" w:rsidRPr="00250E6F">
        <w:rPr>
          <w:rFonts w:ascii="Garamond" w:hAnsi="Garamond"/>
          <w:i/>
          <w:szCs w:val="22"/>
        </w:rPr>
        <w:t>sorprendere</w:t>
      </w:r>
      <w:r w:rsidR="00126334" w:rsidRPr="00250E6F">
        <w:rPr>
          <w:rFonts w:ascii="Garamond" w:hAnsi="Garamond"/>
          <w:szCs w:val="22"/>
        </w:rPr>
        <w:t xml:space="preserve"> la sua fiducia sulla conclusione del contratto</w:t>
      </w:r>
      <w:r w:rsidRPr="00250E6F">
        <w:rPr>
          <w:rStyle w:val="Rimandonotaapidipagina"/>
          <w:rFonts w:ascii="Garamond" w:hAnsi="Garamond"/>
          <w:szCs w:val="22"/>
        </w:rPr>
        <w:footnoteReference w:id="73"/>
      </w:r>
      <w:r w:rsidR="00811C6F" w:rsidRPr="00250E6F">
        <w:rPr>
          <w:rFonts w:ascii="Garamond" w:hAnsi="Garamond"/>
          <w:szCs w:val="22"/>
        </w:rPr>
        <w:t>, la quale dev’essere fondata su tre elementi: uno oggettivo, consistente nella chiarezza e univocità del vantaggio ottenuto dal privato; uno soggettivo, concernente nel genuino convincimento del privato ad aver titolo a quel vantaggio; infine, uno cronologico, consistente nel decorso di un lasso di tempo sufficiente a consolidare quel convincimento.</w:t>
      </w:r>
    </w:p>
    <w:p w14:paraId="3A4F1BEE" w14:textId="77777777" w:rsidR="00811C6F" w:rsidRPr="00250E6F" w:rsidRDefault="00811C6F" w:rsidP="007A7DC1">
      <w:pPr>
        <w:spacing w:line="276" w:lineRule="auto"/>
        <w:ind w:firstLine="284"/>
        <w:jc w:val="both"/>
        <w:rPr>
          <w:rFonts w:ascii="Garamond" w:hAnsi="Garamond"/>
          <w:szCs w:val="22"/>
        </w:rPr>
      </w:pPr>
      <w:r w:rsidRPr="00250E6F">
        <w:rPr>
          <w:rFonts w:ascii="Garamond" w:hAnsi="Garamond"/>
          <w:szCs w:val="22"/>
        </w:rPr>
        <w:t xml:space="preserve">Sicché il giudizio circa la responsabilità della </w:t>
      </w:r>
      <w:proofErr w:type="spellStart"/>
      <w:r w:rsidRPr="00250E6F">
        <w:rPr>
          <w:rFonts w:ascii="Garamond" w:hAnsi="Garamond"/>
          <w:szCs w:val="22"/>
        </w:rPr>
        <w:t>p.A.</w:t>
      </w:r>
      <w:proofErr w:type="spellEnd"/>
      <w:r w:rsidRPr="00250E6F">
        <w:rPr>
          <w:rFonts w:ascii="Garamond" w:hAnsi="Garamond"/>
          <w:szCs w:val="22"/>
        </w:rPr>
        <w:t xml:space="preserve"> passa al vaglio questi tre elementi, al ricorrere dei quali la revoca – seppur legittima – si tradurrà nell’esito finale di un complessivo comportamento contrario ai canoni di correttezza e buona fede nelle trattative contrattuali, comportando titolo per il risarcimento del danno.</w:t>
      </w:r>
    </w:p>
    <w:p w14:paraId="07EF5F24" w14:textId="77777777" w:rsidR="00811C6F" w:rsidRPr="00250E6F" w:rsidRDefault="00811C6F" w:rsidP="007A7DC1">
      <w:pPr>
        <w:spacing w:line="276" w:lineRule="auto"/>
        <w:ind w:firstLine="284"/>
        <w:jc w:val="both"/>
        <w:rPr>
          <w:rFonts w:ascii="Garamond" w:hAnsi="Garamond"/>
          <w:szCs w:val="22"/>
        </w:rPr>
      </w:pPr>
      <w:r w:rsidRPr="00250E6F">
        <w:rPr>
          <w:rFonts w:ascii="Garamond" w:hAnsi="Garamond"/>
          <w:szCs w:val="22"/>
        </w:rPr>
        <w:t xml:space="preserve">Qualora, invece, anche uno solo di questi tre elementi non emerga nella fattispecie </w:t>
      </w:r>
      <w:r w:rsidRPr="00250E6F">
        <w:rPr>
          <w:rFonts w:ascii="Garamond" w:hAnsi="Garamond"/>
          <w:i/>
          <w:szCs w:val="22"/>
        </w:rPr>
        <w:t xml:space="preserve">sub </w:t>
      </w:r>
      <w:proofErr w:type="spellStart"/>
      <w:r w:rsidRPr="00250E6F">
        <w:rPr>
          <w:rFonts w:ascii="Garamond" w:hAnsi="Garamond"/>
          <w:i/>
          <w:szCs w:val="22"/>
        </w:rPr>
        <w:t>iudice</w:t>
      </w:r>
      <w:proofErr w:type="spellEnd"/>
      <w:r w:rsidRPr="00250E6F">
        <w:rPr>
          <w:rFonts w:ascii="Garamond" w:hAnsi="Garamond"/>
          <w:szCs w:val="22"/>
        </w:rPr>
        <w:t>, l’Amministrazione non dovrà risarcire l’intero pregiudizio subito dalle imprese partecipanti alla gara a titolo di risarcimento del danno, ma esclusivamente indennizzarle – avendo esercitato una revoca legittima</w:t>
      </w:r>
      <w:r w:rsidR="00514F0C" w:rsidRPr="00250E6F">
        <w:rPr>
          <w:rFonts w:ascii="Garamond" w:hAnsi="Garamond"/>
          <w:szCs w:val="22"/>
        </w:rPr>
        <w:t xml:space="preserve"> – nel </w:t>
      </w:r>
      <w:r w:rsidR="00514F0C" w:rsidRPr="00250E6F">
        <w:rPr>
          <w:rFonts w:ascii="Garamond" w:hAnsi="Garamond"/>
          <w:i/>
          <w:szCs w:val="22"/>
        </w:rPr>
        <w:t>quantum</w:t>
      </w:r>
      <w:r w:rsidR="00514F0C" w:rsidRPr="00250E6F">
        <w:rPr>
          <w:rFonts w:ascii="Garamond" w:hAnsi="Garamond"/>
          <w:szCs w:val="22"/>
        </w:rPr>
        <w:t xml:space="preserve"> ritenuto generalmente corrispondente alle sole spese sopportate per la partecipazione alla gara</w:t>
      </w:r>
      <w:r w:rsidR="00514F0C" w:rsidRPr="00250E6F">
        <w:rPr>
          <w:rStyle w:val="Rimandonotaapidipagina"/>
          <w:rFonts w:ascii="Garamond" w:hAnsi="Garamond"/>
          <w:szCs w:val="22"/>
        </w:rPr>
        <w:footnoteReference w:id="74"/>
      </w:r>
      <w:r w:rsidR="00514F0C" w:rsidRPr="00250E6F">
        <w:rPr>
          <w:rFonts w:ascii="Garamond" w:hAnsi="Garamond"/>
          <w:szCs w:val="22"/>
        </w:rPr>
        <w:t>.</w:t>
      </w:r>
    </w:p>
    <w:p w14:paraId="0521AE37" w14:textId="77777777" w:rsidR="008D1563" w:rsidRPr="00250E6F" w:rsidRDefault="008D1563" w:rsidP="007A7DC1">
      <w:pPr>
        <w:spacing w:line="276" w:lineRule="auto"/>
        <w:ind w:firstLine="284"/>
        <w:jc w:val="both"/>
        <w:rPr>
          <w:rFonts w:ascii="Garamond" w:hAnsi="Garamond"/>
          <w:szCs w:val="22"/>
        </w:rPr>
      </w:pPr>
    </w:p>
    <w:p w14:paraId="7825280D" w14:textId="77777777" w:rsidR="00F07E59" w:rsidRPr="00250E6F" w:rsidRDefault="00436718" w:rsidP="007A7DC1">
      <w:pPr>
        <w:spacing w:line="276" w:lineRule="auto"/>
        <w:ind w:firstLine="284"/>
        <w:jc w:val="both"/>
        <w:rPr>
          <w:rFonts w:ascii="Garamond" w:hAnsi="Garamond"/>
          <w:i/>
          <w:szCs w:val="22"/>
        </w:rPr>
      </w:pPr>
      <w:r w:rsidRPr="00250E6F">
        <w:rPr>
          <w:rFonts w:ascii="Garamond" w:hAnsi="Garamond"/>
          <w:szCs w:val="22"/>
        </w:rPr>
        <w:lastRenderedPageBreak/>
        <w:t>6</w:t>
      </w:r>
      <w:r w:rsidR="00261C60" w:rsidRPr="00250E6F">
        <w:rPr>
          <w:rFonts w:ascii="Garamond" w:hAnsi="Garamond"/>
          <w:szCs w:val="22"/>
        </w:rPr>
        <w:t xml:space="preserve">. </w:t>
      </w:r>
      <w:r w:rsidR="00261C60" w:rsidRPr="00250E6F">
        <w:rPr>
          <w:rFonts w:ascii="Garamond" w:hAnsi="Garamond"/>
          <w:i/>
          <w:szCs w:val="22"/>
        </w:rPr>
        <w:t>La revoca su istanza di parte: profili di doverosità ancora inespressi.</w:t>
      </w:r>
    </w:p>
    <w:p w14:paraId="447E8424" w14:textId="77777777" w:rsidR="003B6A22" w:rsidRPr="00250E6F" w:rsidRDefault="003B6A22" w:rsidP="007A7DC1">
      <w:pPr>
        <w:spacing w:line="276" w:lineRule="auto"/>
        <w:ind w:firstLine="284"/>
        <w:jc w:val="both"/>
        <w:rPr>
          <w:rFonts w:ascii="Garamond" w:hAnsi="Garamond"/>
          <w:szCs w:val="22"/>
        </w:rPr>
      </w:pPr>
      <w:r w:rsidRPr="00250E6F">
        <w:rPr>
          <w:rFonts w:ascii="Garamond" w:hAnsi="Garamond"/>
          <w:szCs w:val="22"/>
        </w:rPr>
        <w:t xml:space="preserve">La </w:t>
      </w:r>
      <w:proofErr w:type="spellStart"/>
      <w:r w:rsidRPr="00250E6F">
        <w:rPr>
          <w:rFonts w:ascii="Garamond" w:hAnsi="Garamond"/>
          <w:szCs w:val="22"/>
        </w:rPr>
        <w:t>suestesa</w:t>
      </w:r>
      <w:proofErr w:type="spellEnd"/>
      <w:r w:rsidRPr="00250E6F">
        <w:rPr>
          <w:rFonts w:ascii="Garamond" w:hAnsi="Garamond"/>
          <w:szCs w:val="22"/>
        </w:rPr>
        <w:t xml:space="preserve"> riflessione sulla revoca suscita ultimi </w:t>
      </w:r>
      <w:r w:rsidRPr="00250E6F">
        <w:rPr>
          <w:rFonts w:ascii="Garamond" w:hAnsi="Garamond"/>
          <w:i/>
          <w:szCs w:val="22"/>
        </w:rPr>
        <w:t xml:space="preserve">input </w:t>
      </w:r>
      <w:r w:rsidRPr="00250E6F">
        <w:rPr>
          <w:rFonts w:ascii="Garamond" w:hAnsi="Garamond"/>
          <w:szCs w:val="22"/>
        </w:rPr>
        <w:t>circa la doverosità del suo esercizio su istanza.</w:t>
      </w:r>
    </w:p>
    <w:p w14:paraId="44A03803" w14:textId="77777777" w:rsidR="007D2CD9" w:rsidRPr="00250E6F" w:rsidRDefault="003B6A22" w:rsidP="007A7DC1">
      <w:pPr>
        <w:spacing w:line="276" w:lineRule="auto"/>
        <w:ind w:firstLine="284"/>
        <w:jc w:val="both"/>
        <w:rPr>
          <w:rFonts w:ascii="Garamond" w:hAnsi="Garamond"/>
          <w:szCs w:val="22"/>
        </w:rPr>
      </w:pPr>
      <w:r w:rsidRPr="00250E6F">
        <w:rPr>
          <w:rFonts w:ascii="Garamond" w:hAnsi="Garamond"/>
          <w:szCs w:val="22"/>
        </w:rPr>
        <w:t>In un precedente contributo</w:t>
      </w:r>
      <w:r w:rsidRPr="00250E6F">
        <w:rPr>
          <w:rStyle w:val="Rimandonotaapidipagina"/>
          <w:rFonts w:ascii="Garamond" w:hAnsi="Garamond"/>
          <w:szCs w:val="22"/>
        </w:rPr>
        <w:footnoteReference w:id="75"/>
      </w:r>
      <w:r w:rsidRPr="00250E6F">
        <w:rPr>
          <w:rFonts w:ascii="Garamond" w:hAnsi="Garamond"/>
          <w:szCs w:val="22"/>
        </w:rPr>
        <w:t xml:space="preserve"> </w:t>
      </w:r>
      <w:r w:rsidR="00195964" w:rsidRPr="00250E6F">
        <w:rPr>
          <w:rFonts w:ascii="Garamond" w:hAnsi="Garamond"/>
          <w:szCs w:val="22"/>
        </w:rPr>
        <w:t>si è ritenuto che la revoca incontrasse difficoltà a esser qualificata (anche) come provvedimento a istanza di parte in ragione del principio di efficacia (intesa quale efficacia sociale del provvedimento amministrativo): p</w:t>
      </w:r>
      <w:r w:rsidR="007D2CD9" w:rsidRPr="00250E6F">
        <w:rPr>
          <w:rFonts w:ascii="Garamond" w:hAnsi="Garamond"/>
          <w:szCs w:val="22"/>
        </w:rPr>
        <w:t>oich</w:t>
      </w:r>
      <w:r w:rsidR="00195964" w:rsidRPr="00250E6F">
        <w:rPr>
          <w:rFonts w:ascii="Garamond" w:hAnsi="Garamond"/>
          <w:szCs w:val="22"/>
        </w:rPr>
        <w:t>é</w:t>
      </w:r>
      <w:r w:rsidR="007D2CD9" w:rsidRPr="00250E6F">
        <w:rPr>
          <w:rFonts w:ascii="Garamond" w:hAnsi="Garamond"/>
          <w:szCs w:val="22"/>
        </w:rPr>
        <w:t xml:space="preserve"> </w:t>
      </w:r>
      <w:r w:rsidR="00195964" w:rsidRPr="00250E6F">
        <w:rPr>
          <w:rFonts w:ascii="Garamond" w:hAnsi="Garamond"/>
          <w:szCs w:val="22"/>
        </w:rPr>
        <w:t xml:space="preserve">si fa ricondurre </w:t>
      </w:r>
      <w:r w:rsidR="007D2CD9" w:rsidRPr="00250E6F">
        <w:rPr>
          <w:rFonts w:ascii="Garamond" w:hAnsi="Garamond"/>
          <w:szCs w:val="22"/>
        </w:rPr>
        <w:t xml:space="preserve">la cessazione degli effetti di un provvedimento non più opportuno né satisfattivo del pubblico interesse nell’alveo del potere funzionalizzato della </w:t>
      </w:r>
      <w:proofErr w:type="spellStart"/>
      <w:r w:rsidR="007D2CD9" w:rsidRPr="00250E6F">
        <w:rPr>
          <w:rFonts w:ascii="Garamond" w:hAnsi="Garamond"/>
          <w:szCs w:val="22"/>
        </w:rPr>
        <w:t>p.A.</w:t>
      </w:r>
      <w:proofErr w:type="spellEnd"/>
      <w:r w:rsidR="007D2CD9" w:rsidRPr="00250E6F">
        <w:rPr>
          <w:rStyle w:val="Rimandonotaapidipagina"/>
          <w:rFonts w:ascii="Garamond" w:hAnsi="Garamond"/>
          <w:szCs w:val="22"/>
        </w:rPr>
        <w:footnoteReference w:id="76"/>
      </w:r>
      <w:r w:rsidR="007D2CD9" w:rsidRPr="00250E6F">
        <w:rPr>
          <w:rFonts w:ascii="Garamond" w:hAnsi="Garamond"/>
          <w:szCs w:val="22"/>
        </w:rPr>
        <w:t xml:space="preserve">, l’orientamento maggioritario – e consolidato in giurisprudenza – è </w:t>
      </w:r>
      <w:r w:rsidR="00195964" w:rsidRPr="00250E6F">
        <w:rPr>
          <w:rFonts w:ascii="Garamond" w:hAnsi="Garamond"/>
          <w:szCs w:val="22"/>
        </w:rPr>
        <w:t>infatti favorevole a</w:t>
      </w:r>
      <w:r w:rsidR="007D2CD9" w:rsidRPr="00250E6F">
        <w:rPr>
          <w:rFonts w:ascii="Garamond" w:hAnsi="Garamond"/>
          <w:szCs w:val="22"/>
        </w:rPr>
        <w:t>l mantenimento di una dimensione discrezionale della revoca</w:t>
      </w:r>
      <w:r w:rsidR="00E03947" w:rsidRPr="00250E6F">
        <w:rPr>
          <w:rFonts w:ascii="Garamond" w:hAnsi="Garamond"/>
          <w:szCs w:val="22"/>
        </w:rPr>
        <w:t xml:space="preserve"> anche </w:t>
      </w:r>
      <w:proofErr w:type="spellStart"/>
      <w:r w:rsidR="00E03947" w:rsidRPr="00250E6F">
        <w:rPr>
          <w:rFonts w:ascii="Garamond" w:hAnsi="Garamond"/>
          <w:szCs w:val="22"/>
        </w:rPr>
        <w:t>nell’</w:t>
      </w:r>
      <w:r w:rsidR="00E03947" w:rsidRPr="00250E6F">
        <w:rPr>
          <w:rFonts w:ascii="Garamond" w:hAnsi="Garamond"/>
          <w:i/>
          <w:szCs w:val="22"/>
        </w:rPr>
        <w:t>an</w:t>
      </w:r>
      <w:proofErr w:type="spellEnd"/>
      <w:r w:rsidR="007D2CD9" w:rsidRPr="00250E6F">
        <w:rPr>
          <w:rFonts w:ascii="Garamond" w:hAnsi="Garamond"/>
          <w:szCs w:val="22"/>
        </w:rPr>
        <w:t xml:space="preserve">, dunque non coercibile </w:t>
      </w:r>
      <w:r w:rsidR="00195964" w:rsidRPr="00250E6F">
        <w:rPr>
          <w:rFonts w:ascii="Garamond" w:hAnsi="Garamond"/>
          <w:szCs w:val="22"/>
        </w:rPr>
        <w:t xml:space="preserve">né dal privato né </w:t>
      </w:r>
      <w:r w:rsidR="007D2CD9" w:rsidRPr="00250E6F">
        <w:rPr>
          <w:rFonts w:ascii="Garamond" w:hAnsi="Garamond"/>
          <w:szCs w:val="22"/>
        </w:rPr>
        <w:t xml:space="preserve">dal </w:t>
      </w:r>
      <w:r w:rsidR="00195964" w:rsidRPr="00250E6F">
        <w:rPr>
          <w:rFonts w:ascii="Garamond" w:hAnsi="Garamond"/>
          <w:szCs w:val="22"/>
        </w:rPr>
        <w:t>G</w:t>
      </w:r>
      <w:r w:rsidR="007D2CD9" w:rsidRPr="00250E6F">
        <w:rPr>
          <w:rFonts w:ascii="Garamond" w:hAnsi="Garamond"/>
          <w:szCs w:val="22"/>
        </w:rPr>
        <w:t xml:space="preserve">iudice amministrativo. </w:t>
      </w:r>
    </w:p>
    <w:p w14:paraId="5191AA3F" w14:textId="77777777" w:rsidR="007D2CD9" w:rsidRPr="00250E6F" w:rsidRDefault="00416AB5" w:rsidP="007A7DC1">
      <w:pPr>
        <w:spacing w:line="276" w:lineRule="auto"/>
        <w:ind w:firstLine="284"/>
        <w:jc w:val="both"/>
        <w:rPr>
          <w:rFonts w:ascii="Garamond" w:hAnsi="Garamond"/>
          <w:szCs w:val="22"/>
        </w:rPr>
      </w:pPr>
      <w:r w:rsidRPr="00250E6F">
        <w:rPr>
          <w:rFonts w:ascii="Garamond" w:hAnsi="Garamond"/>
          <w:szCs w:val="22"/>
        </w:rPr>
        <w:t xml:space="preserve">Più </w:t>
      </w:r>
      <w:proofErr w:type="spellStart"/>
      <w:r w:rsidRPr="00250E6F">
        <w:rPr>
          <w:rFonts w:ascii="Garamond" w:hAnsi="Garamond"/>
          <w:szCs w:val="22"/>
        </w:rPr>
        <w:t>condivisibilmente</w:t>
      </w:r>
      <w:proofErr w:type="spellEnd"/>
      <w:r w:rsidR="00195964" w:rsidRPr="00250E6F">
        <w:rPr>
          <w:rFonts w:ascii="Garamond" w:hAnsi="Garamond"/>
          <w:szCs w:val="22"/>
        </w:rPr>
        <w:t xml:space="preserve">, </w:t>
      </w:r>
      <w:r w:rsidRPr="00250E6F">
        <w:rPr>
          <w:rFonts w:ascii="Garamond" w:hAnsi="Garamond"/>
          <w:szCs w:val="22"/>
        </w:rPr>
        <w:t>un’attenta dottrina</w:t>
      </w:r>
      <w:r w:rsidR="007665D8" w:rsidRPr="00250E6F">
        <w:rPr>
          <w:rFonts w:ascii="Garamond" w:hAnsi="Garamond"/>
          <w:szCs w:val="22"/>
        </w:rPr>
        <w:t xml:space="preserve"> ha indicato</w:t>
      </w:r>
      <w:r w:rsidR="007D2CD9" w:rsidRPr="00250E6F">
        <w:rPr>
          <w:rStyle w:val="Rimandonotaapidipagina"/>
          <w:rFonts w:ascii="Garamond" w:hAnsi="Garamond"/>
          <w:szCs w:val="22"/>
        </w:rPr>
        <w:footnoteReference w:id="77"/>
      </w:r>
      <w:r w:rsidR="007D2CD9" w:rsidRPr="00250E6F">
        <w:rPr>
          <w:rFonts w:ascii="Garamond" w:hAnsi="Garamond"/>
          <w:szCs w:val="22"/>
        </w:rPr>
        <w:t xml:space="preserve"> – contrariamente a</w:t>
      </w:r>
      <w:r w:rsidR="007665D8" w:rsidRPr="00250E6F">
        <w:rPr>
          <w:rFonts w:ascii="Garamond" w:hAnsi="Garamond"/>
          <w:szCs w:val="22"/>
        </w:rPr>
        <w:t xml:space="preserve"> quell’i</w:t>
      </w:r>
      <w:r w:rsidR="007D2CD9" w:rsidRPr="00250E6F">
        <w:rPr>
          <w:rFonts w:ascii="Garamond" w:hAnsi="Garamond"/>
          <w:szCs w:val="22"/>
        </w:rPr>
        <w:t>ndirizzo maggioritario</w:t>
      </w:r>
      <w:r w:rsidR="007665D8" w:rsidRPr="00250E6F">
        <w:rPr>
          <w:rFonts w:ascii="Garamond" w:hAnsi="Garamond"/>
          <w:szCs w:val="22"/>
        </w:rPr>
        <w:t xml:space="preserve"> </w:t>
      </w:r>
      <w:r w:rsidR="007D2CD9" w:rsidRPr="00250E6F">
        <w:rPr>
          <w:rFonts w:ascii="Garamond" w:hAnsi="Garamond"/>
          <w:szCs w:val="22"/>
        </w:rPr>
        <w:t xml:space="preserve">– nella l. n. 241/’90 </w:t>
      </w:r>
      <w:r w:rsidR="007665D8" w:rsidRPr="00250E6F">
        <w:rPr>
          <w:rFonts w:ascii="Garamond" w:hAnsi="Garamond"/>
          <w:szCs w:val="22"/>
        </w:rPr>
        <w:t xml:space="preserve">una lettura alternativa e più tridimensionale del principio di efficacia: in ossequio al quale, </w:t>
      </w:r>
      <w:r w:rsidR="007D2CD9" w:rsidRPr="00250E6F">
        <w:rPr>
          <w:rFonts w:ascii="Garamond" w:hAnsi="Garamond"/>
          <w:szCs w:val="22"/>
        </w:rPr>
        <w:t xml:space="preserve">nel momento in cui il provvedimento cessa di avere efficacia, nel senso che cessa di essere satisfattivo per l’interesse pubblico, l’Amministrazione </w:t>
      </w:r>
      <w:r w:rsidR="007D2CD9" w:rsidRPr="00250E6F">
        <w:rPr>
          <w:rFonts w:ascii="Garamond" w:hAnsi="Garamond"/>
          <w:i/>
          <w:szCs w:val="22"/>
        </w:rPr>
        <w:t xml:space="preserve">deve </w:t>
      </w:r>
      <w:r w:rsidR="007D2CD9" w:rsidRPr="00250E6F">
        <w:rPr>
          <w:rFonts w:ascii="Garamond" w:hAnsi="Garamond"/>
          <w:szCs w:val="22"/>
        </w:rPr>
        <w:t xml:space="preserve">esercitare il suo potere di revoca normativamente sancito, pur se a precise e garantistiche condizioni procedimentali e tenendo conto del legittimo affidamento degli interessati. Questa </w:t>
      </w:r>
      <w:r w:rsidR="007665D8" w:rsidRPr="00250E6F">
        <w:rPr>
          <w:rFonts w:ascii="Garamond" w:hAnsi="Garamond"/>
          <w:szCs w:val="22"/>
        </w:rPr>
        <w:t>lettura</w:t>
      </w:r>
      <w:r w:rsidR="007D2CD9" w:rsidRPr="00250E6F">
        <w:rPr>
          <w:rFonts w:ascii="Garamond" w:hAnsi="Garamond"/>
          <w:szCs w:val="22"/>
        </w:rPr>
        <w:t xml:space="preserve"> trae spunto anche dai recenti studi</w:t>
      </w:r>
      <w:r w:rsidR="007D2CD9" w:rsidRPr="00250E6F">
        <w:rPr>
          <w:rStyle w:val="Rimandonotaapidipagina"/>
          <w:rFonts w:ascii="Garamond" w:hAnsi="Garamond"/>
          <w:szCs w:val="22"/>
        </w:rPr>
        <w:footnoteReference w:id="78"/>
      </w:r>
      <w:r w:rsidR="007D2CD9" w:rsidRPr="00250E6F">
        <w:rPr>
          <w:rFonts w:ascii="Garamond" w:hAnsi="Garamond"/>
          <w:szCs w:val="22"/>
        </w:rPr>
        <w:t xml:space="preserve"> che affermano – più in generale – la doverosità della funzione amministrativa.</w:t>
      </w:r>
    </w:p>
    <w:p w14:paraId="5C3D26F3" w14:textId="77777777" w:rsidR="007D2CD9" w:rsidRPr="00250E6F" w:rsidRDefault="007D2CD9" w:rsidP="007A7DC1">
      <w:pPr>
        <w:spacing w:line="276" w:lineRule="auto"/>
        <w:ind w:firstLine="284"/>
        <w:jc w:val="both"/>
        <w:rPr>
          <w:rFonts w:ascii="Garamond" w:hAnsi="Garamond"/>
          <w:szCs w:val="22"/>
        </w:rPr>
      </w:pPr>
      <w:r w:rsidRPr="00250E6F">
        <w:rPr>
          <w:rFonts w:ascii="Garamond" w:hAnsi="Garamond"/>
          <w:szCs w:val="22"/>
        </w:rPr>
        <w:t xml:space="preserve">Il principio di efficacia giustificherebbe anche la doverosità della revoca su istanza di parte: è centrale in questa lettura il ruolo collaborativo del privato, la cui istanza di riesame farebbe sorgere l’obbligo per l’Amministrazione di aprire il relativo procedimento. Secondo questa lettura, l’istanza di revoca porta all’attenzione della </w:t>
      </w:r>
      <w:proofErr w:type="spellStart"/>
      <w:r w:rsidRPr="00250E6F">
        <w:rPr>
          <w:rFonts w:ascii="Garamond" w:hAnsi="Garamond"/>
          <w:szCs w:val="22"/>
        </w:rPr>
        <w:t>p.A.</w:t>
      </w:r>
      <w:proofErr w:type="spellEnd"/>
      <w:r w:rsidRPr="00250E6F">
        <w:rPr>
          <w:rFonts w:ascii="Garamond" w:hAnsi="Garamond"/>
          <w:szCs w:val="22"/>
        </w:rPr>
        <w:t xml:space="preserve"> il fatto che il provvedimento potrebbe non rispondere più all’interesse pubblico per il quale era stato emanato: l’eventuale accoglimento dell’istanza costituirebbe, pertanto, l’amministrazione di quell’interesse da parte della </w:t>
      </w:r>
      <w:proofErr w:type="spellStart"/>
      <w:r w:rsidRPr="00250E6F">
        <w:rPr>
          <w:rFonts w:ascii="Garamond" w:hAnsi="Garamond"/>
          <w:szCs w:val="22"/>
        </w:rPr>
        <w:t>p.A.</w:t>
      </w:r>
      <w:proofErr w:type="spellEnd"/>
      <w:r w:rsidRPr="00250E6F">
        <w:rPr>
          <w:rFonts w:ascii="Garamond" w:hAnsi="Garamond"/>
          <w:szCs w:val="22"/>
        </w:rPr>
        <w:t xml:space="preserve"> </w:t>
      </w:r>
      <w:r w:rsidRPr="00250E6F">
        <w:rPr>
          <w:rFonts w:ascii="Garamond" w:hAnsi="Garamond"/>
          <w:i/>
          <w:szCs w:val="22"/>
        </w:rPr>
        <w:t>insieme</w:t>
      </w:r>
      <w:r w:rsidRPr="00250E6F">
        <w:rPr>
          <w:rFonts w:ascii="Garamond" w:hAnsi="Garamond"/>
          <w:szCs w:val="22"/>
        </w:rPr>
        <w:t xml:space="preserve"> col privato</w:t>
      </w:r>
      <w:r w:rsidRPr="00250E6F">
        <w:rPr>
          <w:rStyle w:val="Rimandonotaapidipagina"/>
          <w:rFonts w:ascii="Garamond" w:hAnsi="Garamond"/>
          <w:szCs w:val="22"/>
        </w:rPr>
        <w:footnoteReference w:id="79"/>
      </w:r>
      <w:r w:rsidRPr="00250E6F">
        <w:rPr>
          <w:rFonts w:ascii="Garamond" w:hAnsi="Garamond"/>
          <w:szCs w:val="22"/>
        </w:rPr>
        <w:t>.</w:t>
      </w:r>
    </w:p>
    <w:p w14:paraId="310C1FFB" w14:textId="77777777" w:rsidR="007D2CD9" w:rsidRPr="00250E6F" w:rsidRDefault="007D2CD9" w:rsidP="007A7DC1">
      <w:pPr>
        <w:spacing w:line="276" w:lineRule="auto"/>
        <w:ind w:firstLine="284"/>
        <w:jc w:val="both"/>
        <w:rPr>
          <w:rFonts w:ascii="Garamond" w:hAnsi="Garamond"/>
          <w:szCs w:val="22"/>
        </w:rPr>
      </w:pPr>
      <w:r w:rsidRPr="00250E6F">
        <w:rPr>
          <w:rFonts w:ascii="Garamond" w:hAnsi="Garamond"/>
          <w:szCs w:val="22"/>
        </w:rPr>
        <w:lastRenderedPageBreak/>
        <w:t>Le norme che consentono questa lettura si trovano al di fuori dell’art. 21-</w:t>
      </w:r>
      <w:r w:rsidRPr="00250E6F">
        <w:rPr>
          <w:rFonts w:ascii="Garamond" w:hAnsi="Garamond"/>
          <w:i/>
          <w:szCs w:val="22"/>
        </w:rPr>
        <w:t>quinquies</w:t>
      </w:r>
      <w:r w:rsidRPr="00250E6F">
        <w:rPr>
          <w:rFonts w:ascii="Garamond" w:hAnsi="Garamond"/>
          <w:szCs w:val="22"/>
        </w:rPr>
        <w:t>: in ispecie nell’art. 2, comma 1, l. n. 241 del 1990, come modificato dalla l. n. 192/2012</w:t>
      </w:r>
      <w:r w:rsidRPr="00250E6F">
        <w:rPr>
          <w:rStyle w:val="Rimandonotaapidipagina"/>
          <w:rFonts w:ascii="Garamond" w:hAnsi="Garamond"/>
          <w:szCs w:val="22"/>
        </w:rPr>
        <w:footnoteReference w:id="80"/>
      </w:r>
      <w:r w:rsidRPr="00250E6F">
        <w:rPr>
          <w:rFonts w:ascii="Garamond" w:hAnsi="Garamond"/>
          <w:szCs w:val="22"/>
        </w:rPr>
        <w:t>, laddove si prevede l’obbligo di provvedere espressamente anche nel caso di istanze infondate o inammissibili, sia pure con una decisione “in rito”, pertanto non sarebbe più ammissibile l’inerzia o il silenzio dinanzi a istanze di autotutela, che ormai possono considerarsi solo denunce o segnalazioni</w:t>
      </w:r>
      <w:r w:rsidRPr="00250E6F">
        <w:rPr>
          <w:rStyle w:val="Rimandonotaapidipagina"/>
          <w:rFonts w:ascii="Garamond" w:hAnsi="Garamond"/>
          <w:szCs w:val="22"/>
        </w:rPr>
        <w:footnoteReference w:id="81"/>
      </w:r>
      <w:r w:rsidRPr="00250E6F">
        <w:rPr>
          <w:rFonts w:ascii="Garamond" w:hAnsi="Garamond"/>
          <w:szCs w:val="22"/>
        </w:rPr>
        <w:t xml:space="preserve">; ma soprattutto nella disposizione processuale di cui all’art. 30, comma 3, secondo inciso, </w:t>
      </w:r>
      <w:proofErr w:type="spellStart"/>
      <w:r w:rsidRPr="00250E6F">
        <w:rPr>
          <w:rFonts w:ascii="Garamond" w:hAnsi="Garamond"/>
          <w:szCs w:val="22"/>
        </w:rPr>
        <w:t>c.p.a</w:t>
      </w:r>
      <w:proofErr w:type="spellEnd"/>
      <w:r w:rsidRPr="00250E6F">
        <w:rPr>
          <w:rFonts w:ascii="Garamond" w:hAnsi="Garamond"/>
          <w:szCs w:val="22"/>
        </w:rPr>
        <w:t>., in forza della quale il giudice amministrativo, nel determinare il risarcimento, valuta tutte le circostanze di fatto e il «comportamento complessivo delle parti» ed «esclude il risarcimento dei danni che si sarebbero potuti evitare usando l’ordinaria diligenza, anche attraverso l’esperimento degli strumenti di tutela previsti»: nella parola «tutela», lo stesso Consiglio di Stato</w:t>
      </w:r>
      <w:r w:rsidRPr="00250E6F">
        <w:rPr>
          <w:rStyle w:val="Rimandonotaapidipagina"/>
          <w:rFonts w:ascii="Garamond" w:hAnsi="Garamond"/>
          <w:szCs w:val="22"/>
        </w:rPr>
        <w:footnoteReference w:id="82"/>
      </w:r>
      <w:r w:rsidRPr="00250E6F">
        <w:rPr>
          <w:rFonts w:ascii="Garamond" w:hAnsi="Garamond"/>
          <w:szCs w:val="22"/>
        </w:rPr>
        <w:t xml:space="preserve"> ha incluso anche gli strumenti extraprocessuali, quali – </w:t>
      </w:r>
      <w:r w:rsidR="007665D8" w:rsidRPr="00250E6F">
        <w:rPr>
          <w:rFonts w:ascii="Garamond" w:hAnsi="Garamond"/>
          <w:szCs w:val="22"/>
        </w:rPr>
        <w:t>per esempio</w:t>
      </w:r>
      <w:r w:rsidRPr="00250E6F">
        <w:rPr>
          <w:rFonts w:ascii="Garamond" w:hAnsi="Garamond"/>
          <w:szCs w:val="22"/>
        </w:rPr>
        <w:t xml:space="preserve"> – le istanze di autotutela</w:t>
      </w:r>
      <w:r w:rsidR="007665D8" w:rsidRPr="00250E6F">
        <w:rPr>
          <w:rFonts w:ascii="Garamond" w:hAnsi="Garamond"/>
          <w:szCs w:val="22"/>
        </w:rPr>
        <w:t xml:space="preserve"> o comunque di riesame del provvedimento</w:t>
      </w:r>
      <w:r w:rsidRPr="00250E6F">
        <w:rPr>
          <w:rFonts w:ascii="Garamond" w:hAnsi="Garamond"/>
          <w:szCs w:val="22"/>
        </w:rPr>
        <w:t xml:space="preserve">, e da questo si deve trarre il necessario corollario per cui, anche laddove il </w:t>
      </w:r>
      <w:r w:rsidRPr="00250E6F">
        <w:rPr>
          <w:rFonts w:ascii="Garamond" w:hAnsi="Garamond"/>
          <w:szCs w:val="22"/>
        </w:rPr>
        <w:lastRenderedPageBreak/>
        <w:t>provvedimento sia divenuto inoppugnabile</w:t>
      </w:r>
      <w:r w:rsidRPr="00250E6F">
        <w:rPr>
          <w:rStyle w:val="Rimandonotaapidipagina"/>
          <w:rFonts w:ascii="Garamond" w:hAnsi="Garamond"/>
          <w:szCs w:val="22"/>
        </w:rPr>
        <w:footnoteReference w:id="83"/>
      </w:r>
      <w:r w:rsidRPr="00250E6F">
        <w:rPr>
          <w:rFonts w:ascii="Garamond" w:hAnsi="Garamond"/>
          <w:szCs w:val="22"/>
        </w:rPr>
        <w:t xml:space="preserve">, il privato può formulare istanza di </w:t>
      </w:r>
      <w:r w:rsidR="007665D8" w:rsidRPr="00250E6F">
        <w:rPr>
          <w:rFonts w:ascii="Garamond" w:hAnsi="Garamond"/>
          <w:szCs w:val="22"/>
        </w:rPr>
        <w:t>annullamento o revoca</w:t>
      </w:r>
      <w:r w:rsidRPr="00250E6F">
        <w:rPr>
          <w:rFonts w:ascii="Garamond" w:hAnsi="Garamond"/>
          <w:szCs w:val="22"/>
        </w:rPr>
        <w:t xml:space="preserve"> all’Amministrazione, che dovrebbe pertanto aprire il relativo procedimento e provvedere – se del caso, anche in senso negativo – poiché questa è circostanza valutabile dal giudice relativamente al «comportamento complessivo delle parti», cioè </w:t>
      </w:r>
      <w:r w:rsidRPr="00250E6F">
        <w:rPr>
          <w:rFonts w:ascii="Garamond" w:hAnsi="Garamond"/>
          <w:i/>
          <w:szCs w:val="22"/>
        </w:rPr>
        <w:t>sia</w:t>
      </w:r>
      <w:r w:rsidRPr="00250E6F">
        <w:rPr>
          <w:rFonts w:ascii="Garamond" w:hAnsi="Garamond"/>
          <w:szCs w:val="22"/>
        </w:rPr>
        <w:t xml:space="preserve"> del privato danneggiato-creditore, </w:t>
      </w:r>
      <w:r w:rsidRPr="00250E6F">
        <w:rPr>
          <w:rFonts w:ascii="Garamond" w:hAnsi="Garamond"/>
          <w:i/>
          <w:szCs w:val="22"/>
        </w:rPr>
        <w:t>sia</w:t>
      </w:r>
      <w:r w:rsidRPr="00250E6F">
        <w:rPr>
          <w:rFonts w:ascii="Garamond" w:hAnsi="Garamond"/>
          <w:szCs w:val="22"/>
        </w:rPr>
        <w:t xml:space="preserve"> della </w:t>
      </w:r>
      <w:proofErr w:type="spellStart"/>
      <w:r w:rsidRPr="00250E6F">
        <w:rPr>
          <w:rFonts w:ascii="Garamond" w:hAnsi="Garamond"/>
          <w:szCs w:val="22"/>
        </w:rPr>
        <w:t>p.A.</w:t>
      </w:r>
      <w:proofErr w:type="spellEnd"/>
      <w:r w:rsidRPr="00250E6F">
        <w:rPr>
          <w:rFonts w:ascii="Garamond" w:hAnsi="Garamond"/>
          <w:szCs w:val="22"/>
        </w:rPr>
        <w:t xml:space="preserve"> danneggiante-debitrice.</w:t>
      </w:r>
    </w:p>
    <w:p w14:paraId="3933A2A5" w14:textId="77777777" w:rsidR="00F07E59" w:rsidRPr="00250E6F" w:rsidRDefault="007665D8" w:rsidP="007A7DC1">
      <w:pPr>
        <w:spacing w:line="276" w:lineRule="auto"/>
        <w:ind w:firstLine="284"/>
        <w:jc w:val="both"/>
        <w:rPr>
          <w:rFonts w:ascii="Garamond" w:hAnsi="Garamond"/>
          <w:szCs w:val="22"/>
        </w:rPr>
      </w:pPr>
      <w:r w:rsidRPr="00250E6F">
        <w:rPr>
          <w:rFonts w:ascii="Garamond" w:hAnsi="Garamond"/>
          <w:szCs w:val="22"/>
        </w:rPr>
        <w:t xml:space="preserve">Questa lettura </w:t>
      </w:r>
      <w:r w:rsidR="00464314" w:rsidRPr="00250E6F">
        <w:rPr>
          <w:rFonts w:ascii="Garamond" w:hAnsi="Garamond"/>
          <w:szCs w:val="22"/>
        </w:rPr>
        <w:t xml:space="preserve">riceverebbe ancora più sostegno ove si esaltassero i profili di amministrazione attiva che – a differenza di quanto accade nell’annullamento d’ufficio – emergono dalla revoca. Mentre qualificare questo potere come di autotutela incontrerebbe il consolidato orientamento per il quale </w:t>
      </w:r>
      <w:r w:rsidR="008E22B2" w:rsidRPr="00250E6F">
        <w:rPr>
          <w:rFonts w:ascii="Garamond" w:hAnsi="Garamond"/>
          <w:szCs w:val="22"/>
        </w:rPr>
        <w:t>quel potere</w:t>
      </w:r>
      <w:r w:rsidR="00464314" w:rsidRPr="00250E6F">
        <w:rPr>
          <w:rFonts w:ascii="Garamond" w:hAnsi="Garamond"/>
          <w:szCs w:val="22"/>
        </w:rPr>
        <w:t xml:space="preserve"> </w:t>
      </w:r>
      <w:r w:rsidR="008E22B2" w:rsidRPr="00250E6F">
        <w:rPr>
          <w:rFonts w:ascii="Garamond" w:hAnsi="Garamond"/>
          <w:szCs w:val="22"/>
        </w:rPr>
        <w:t>è</w:t>
      </w:r>
      <w:r w:rsidR="00464314" w:rsidRPr="00250E6F">
        <w:rPr>
          <w:rFonts w:ascii="Garamond" w:hAnsi="Garamond"/>
          <w:szCs w:val="22"/>
        </w:rPr>
        <w:t xml:space="preserve"> incoercibil</w:t>
      </w:r>
      <w:r w:rsidR="008E22B2" w:rsidRPr="00250E6F">
        <w:rPr>
          <w:rFonts w:ascii="Garamond" w:hAnsi="Garamond"/>
          <w:szCs w:val="22"/>
        </w:rPr>
        <w:t>e</w:t>
      </w:r>
      <w:r w:rsidR="00464314" w:rsidRPr="00250E6F">
        <w:rPr>
          <w:rFonts w:ascii="Garamond" w:hAnsi="Garamond"/>
          <w:szCs w:val="22"/>
        </w:rPr>
        <w:t xml:space="preserve"> e dunque il silenzio della </w:t>
      </w:r>
      <w:proofErr w:type="spellStart"/>
      <w:r w:rsidR="00464314" w:rsidRPr="00250E6F">
        <w:rPr>
          <w:rFonts w:ascii="Garamond" w:hAnsi="Garamond"/>
          <w:szCs w:val="22"/>
        </w:rPr>
        <w:t>p.A.</w:t>
      </w:r>
      <w:proofErr w:type="spellEnd"/>
      <w:r w:rsidR="00464314" w:rsidRPr="00250E6F">
        <w:rPr>
          <w:rFonts w:ascii="Garamond" w:hAnsi="Garamond"/>
          <w:szCs w:val="22"/>
        </w:rPr>
        <w:t xml:space="preserve"> a fronte di istanze </w:t>
      </w:r>
      <w:r w:rsidR="008E22B2" w:rsidRPr="00250E6F">
        <w:rPr>
          <w:rFonts w:ascii="Garamond" w:hAnsi="Garamond"/>
          <w:szCs w:val="22"/>
        </w:rPr>
        <w:t xml:space="preserve">a ciò preposte </w:t>
      </w:r>
      <w:r w:rsidR="00464314" w:rsidRPr="00250E6F">
        <w:rPr>
          <w:rFonts w:ascii="Garamond" w:hAnsi="Garamond"/>
          <w:szCs w:val="22"/>
        </w:rPr>
        <w:t xml:space="preserve">non è impugnabile quale inadempimento </w:t>
      </w:r>
      <w:r w:rsidR="00464314" w:rsidRPr="00250E6F">
        <w:rPr>
          <w:rFonts w:ascii="Garamond" w:hAnsi="Garamond"/>
          <w:i/>
          <w:szCs w:val="22"/>
        </w:rPr>
        <w:t>ex</w:t>
      </w:r>
      <w:r w:rsidR="00464314" w:rsidRPr="00250E6F">
        <w:rPr>
          <w:rFonts w:ascii="Garamond" w:hAnsi="Garamond"/>
          <w:szCs w:val="22"/>
        </w:rPr>
        <w:t xml:space="preserve"> art. 117 </w:t>
      </w:r>
      <w:proofErr w:type="spellStart"/>
      <w:r w:rsidR="00464314" w:rsidRPr="00250E6F">
        <w:rPr>
          <w:rFonts w:ascii="Garamond" w:hAnsi="Garamond"/>
          <w:szCs w:val="22"/>
        </w:rPr>
        <w:t>c.p.a</w:t>
      </w:r>
      <w:proofErr w:type="spellEnd"/>
      <w:r w:rsidR="00464314" w:rsidRPr="00250E6F">
        <w:rPr>
          <w:rFonts w:ascii="Garamond" w:hAnsi="Garamond"/>
          <w:szCs w:val="22"/>
        </w:rPr>
        <w:t xml:space="preserve">., viceversa leggerlo sotto il prisma dei poteri </w:t>
      </w:r>
      <w:proofErr w:type="spellStart"/>
      <w:r w:rsidR="00464314" w:rsidRPr="00250E6F">
        <w:rPr>
          <w:rFonts w:ascii="Garamond" w:hAnsi="Garamond"/>
          <w:szCs w:val="22"/>
        </w:rPr>
        <w:t>primigenii</w:t>
      </w:r>
      <w:proofErr w:type="spellEnd"/>
      <w:r w:rsidR="00464314" w:rsidRPr="00250E6F">
        <w:rPr>
          <w:rFonts w:ascii="Garamond" w:hAnsi="Garamond"/>
          <w:szCs w:val="22"/>
        </w:rPr>
        <w:t xml:space="preserve"> d’intervento e d’amministrazione attiva renderebbe la revoca un atto amministrativo dall’effetto tipizzato, adottabile tanto d’ufficio quanto su istanza di parte.</w:t>
      </w:r>
    </w:p>
    <w:p w14:paraId="0CF37234" w14:textId="77777777" w:rsidR="00464314" w:rsidRPr="00250E6F" w:rsidRDefault="00464314" w:rsidP="007A7DC1">
      <w:pPr>
        <w:spacing w:line="276" w:lineRule="auto"/>
        <w:ind w:firstLine="284"/>
        <w:jc w:val="both"/>
        <w:rPr>
          <w:rFonts w:ascii="Garamond" w:hAnsi="Garamond"/>
          <w:szCs w:val="22"/>
        </w:rPr>
      </w:pPr>
      <w:r w:rsidRPr="00250E6F">
        <w:rPr>
          <w:rFonts w:ascii="Garamond" w:hAnsi="Garamond"/>
          <w:szCs w:val="22"/>
        </w:rPr>
        <w:t>Vero è che, secondo l’accorta ricostruzione di una dottrina</w:t>
      </w:r>
      <w:r w:rsidR="00BC2930" w:rsidRPr="00250E6F">
        <w:rPr>
          <w:rStyle w:val="Rimandonotaapidipagina"/>
          <w:rFonts w:ascii="Garamond" w:hAnsi="Garamond"/>
          <w:szCs w:val="22"/>
        </w:rPr>
        <w:footnoteReference w:id="84"/>
      </w:r>
      <w:r w:rsidRPr="00250E6F">
        <w:rPr>
          <w:rFonts w:ascii="Garamond" w:hAnsi="Garamond"/>
          <w:szCs w:val="22"/>
        </w:rPr>
        <w:t xml:space="preserve">, l’istanza giuridicamente tipizzata e generativa dell’obbligo di provvedere è solo quella che si pone quale </w:t>
      </w:r>
      <w:r w:rsidRPr="00250E6F">
        <w:rPr>
          <w:rFonts w:ascii="Garamond" w:hAnsi="Garamond"/>
          <w:i/>
          <w:szCs w:val="22"/>
        </w:rPr>
        <w:t>condicio sine qua non</w:t>
      </w:r>
      <w:r w:rsidRPr="00250E6F">
        <w:rPr>
          <w:rFonts w:ascii="Garamond" w:hAnsi="Garamond"/>
          <w:szCs w:val="22"/>
        </w:rPr>
        <w:t xml:space="preserve"> del provvedimento amministrativo: in altre parole, sarebbe qualificabile come silenzio inadempimento solo quello serbato dalla </w:t>
      </w:r>
      <w:proofErr w:type="spellStart"/>
      <w:r w:rsidRPr="00250E6F">
        <w:rPr>
          <w:rFonts w:ascii="Garamond" w:hAnsi="Garamond"/>
          <w:szCs w:val="22"/>
        </w:rPr>
        <w:t>p.A.</w:t>
      </w:r>
      <w:proofErr w:type="spellEnd"/>
      <w:r w:rsidRPr="00250E6F">
        <w:rPr>
          <w:rFonts w:ascii="Garamond" w:hAnsi="Garamond"/>
          <w:szCs w:val="22"/>
        </w:rPr>
        <w:t xml:space="preserve"> su istanze senza le quali, comunque, il provvedimento richiesto non potrebbe essere adottato d’ufficio.</w:t>
      </w:r>
    </w:p>
    <w:p w14:paraId="7270FBB2" w14:textId="77777777" w:rsidR="00464314" w:rsidRPr="00250E6F" w:rsidRDefault="00D66038" w:rsidP="007A7DC1">
      <w:pPr>
        <w:spacing w:line="276" w:lineRule="auto"/>
        <w:ind w:firstLine="284"/>
        <w:jc w:val="both"/>
        <w:rPr>
          <w:rFonts w:ascii="Garamond" w:hAnsi="Garamond"/>
          <w:szCs w:val="22"/>
        </w:rPr>
      </w:pPr>
      <w:r w:rsidRPr="00250E6F">
        <w:rPr>
          <w:rFonts w:ascii="Garamond" w:hAnsi="Garamond"/>
          <w:szCs w:val="22"/>
        </w:rPr>
        <w:t>È altresì vero, però, che l’istanza di revoca di un provvedimento – pur non rientrante nello schema ora detto – si pone come sollecitazione all’esercizio di una funzione amministrativa, meritando, nella civiltà della conversazione, un riscontro, coperto dal già citato art. 2, l. n. 241/’90, che può compendiarsi – semmai – anche in un diniego in forma semplificata. Come tale, impugnabile dinanzi al Giudice amministrativo.</w:t>
      </w:r>
      <w:r w:rsidR="007B614C" w:rsidRPr="00250E6F">
        <w:rPr>
          <w:rFonts w:ascii="Garamond" w:hAnsi="Garamond"/>
          <w:szCs w:val="22"/>
        </w:rPr>
        <w:t xml:space="preserve"> Ne deriverebbe una più forte tutela </w:t>
      </w:r>
      <w:r w:rsidR="007B614C" w:rsidRPr="00250E6F">
        <w:rPr>
          <w:rFonts w:ascii="Garamond" w:hAnsi="Garamond"/>
          <w:i/>
          <w:szCs w:val="22"/>
        </w:rPr>
        <w:t>sia</w:t>
      </w:r>
      <w:r w:rsidR="007B614C" w:rsidRPr="00250E6F">
        <w:rPr>
          <w:rFonts w:ascii="Garamond" w:hAnsi="Garamond"/>
          <w:szCs w:val="22"/>
        </w:rPr>
        <w:t xml:space="preserve"> del privato, </w:t>
      </w:r>
      <w:r w:rsidR="007B614C" w:rsidRPr="00250E6F">
        <w:rPr>
          <w:rFonts w:ascii="Garamond" w:hAnsi="Garamond"/>
          <w:i/>
          <w:szCs w:val="22"/>
        </w:rPr>
        <w:t>sia</w:t>
      </w:r>
      <w:r w:rsidR="007B614C" w:rsidRPr="00250E6F">
        <w:rPr>
          <w:rFonts w:ascii="Garamond" w:hAnsi="Garamond"/>
          <w:szCs w:val="22"/>
        </w:rPr>
        <w:t xml:space="preserve"> dell’interesse pubblico, nel cui nome il principio di efficacia sorregge proprio il potere di revoca.</w:t>
      </w:r>
    </w:p>
    <w:p w14:paraId="7374CE74" w14:textId="77777777" w:rsidR="00F07E59" w:rsidRPr="00250E6F" w:rsidRDefault="00F07E59" w:rsidP="007A7DC1">
      <w:pPr>
        <w:spacing w:line="276" w:lineRule="auto"/>
        <w:ind w:firstLine="284"/>
        <w:jc w:val="both"/>
        <w:rPr>
          <w:rFonts w:ascii="Garamond" w:hAnsi="Garamond"/>
        </w:rPr>
      </w:pPr>
    </w:p>
    <w:p w14:paraId="63211C78" w14:textId="77777777" w:rsidR="00756100" w:rsidRPr="00250E6F" w:rsidRDefault="00756100" w:rsidP="00756100">
      <w:pPr>
        <w:spacing w:line="276" w:lineRule="auto"/>
        <w:ind w:firstLine="284"/>
        <w:jc w:val="both"/>
        <w:rPr>
          <w:rFonts w:ascii="Garamond" w:hAnsi="Garamond"/>
          <w:i/>
        </w:rPr>
      </w:pPr>
      <w:r w:rsidRPr="00250E6F">
        <w:rPr>
          <w:rFonts w:ascii="Garamond" w:hAnsi="Garamond"/>
        </w:rPr>
        <w:t xml:space="preserve">7. </w:t>
      </w:r>
      <w:r w:rsidRPr="00250E6F">
        <w:rPr>
          <w:rFonts w:ascii="Garamond" w:hAnsi="Garamond"/>
          <w:i/>
        </w:rPr>
        <w:t>Dall’autotutela all’amministrazione attiva: metamorfosi di un potere.</w:t>
      </w:r>
    </w:p>
    <w:p w14:paraId="084E09D4" w14:textId="77777777" w:rsidR="00F07E59" w:rsidRPr="00250E6F" w:rsidRDefault="00BB54FE" w:rsidP="007A7DC1">
      <w:pPr>
        <w:spacing w:line="276" w:lineRule="auto"/>
        <w:ind w:firstLine="284"/>
        <w:jc w:val="both"/>
        <w:rPr>
          <w:rFonts w:ascii="Garamond" w:hAnsi="Garamond"/>
        </w:rPr>
      </w:pPr>
      <w:r w:rsidRPr="00250E6F">
        <w:rPr>
          <w:rFonts w:ascii="Garamond" w:hAnsi="Garamond"/>
        </w:rPr>
        <w:t xml:space="preserve">L’analisi fin qui compiuta conduce a </w:t>
      </w:r>
      <w:proofErr w:type="gramStart"/>
      <w:r w:rsidRPr="00250E6F">
        <w:rPr>
          <w:rFonts w:ascii="Garamond" w:hAnsi="Garamond"/>
        </w:rPr>
        <w:t>un riflessione</w:t>
      </w:r>
      <w:proofErr w:type="gramEnd"/>
      <w:r w:rsidRPr="00250E6F">
        <w:rPr>
          <w:rFonts w:ascii="Garamond" w:hAnsi="Garamond"/>
        </w:rPr>
        <w:t xml:space="preserve"> conclusiva.</w:t>
      </w:r>
    </w:p>
    <w:p w14:paraId="34DBC283" w14:textId="77777777" w:rsidR="00BB54FE" w:rsidRPr="00250E6F" w:rsidRDefault="00DB3D1D" w:rsidP="007A7DC1">
      <w:pPr>
        <w:spacing w:line="276" w:lineRule="auto"/>
        <w:ind w:firstLine="284"/>
        <w:jc w:val="both"/>
        <w:rPr>
          <w:rFonts w:ascii="Garamond" w:hAnsi="Garamond"/>
        </w:rPr>
      </w:pPr>
      <w:r w:rsidRPr="00250E6F">
        <w:rPr>
          <w:rFonts w:ascii="Garamond" w:hAnsi="Garamond"/>
        </w:rPr>
        <w:t xml:space="preserve">Ogni aspetto della revoca esaminato ha tratti applicativi che, sebbene a volte possano apparire </w:t>
      </w:r>
      <w:r w:rsidR="002541B9" w:rsidRPr="00250E6F">
        <w:rPr>
          <w:rFonts w:ascii="Garamond" w:hAnsi="Garamond"/>
        </w:rPr>
        <w:t>fluidificati</w:t>
      </w:r>
      <w:r w:rsidRPr="00250E6F">
        <w:rPr>
          <w:rFonts w:ascii="Garamond" w:hAnsi="Garamond"/>
        </w:rPr>
        <w:t xml:space="preserve"> nella logica del caso per caso, sono tuttavia sufficientemente </w:t>
      </w:r>
      <w:r w:rsidR="003A7DD4" w:rsidRPr="00250E6F">
        <w:rPr>
          <w:rFonts w:ascii="Garamond" w:hAnsi="Garamond"/>
        </w:rPr>
        <w:t>definiti</w:t>
      </w:r>
      <w:r w:rsidR="00B20057" w:rsidRPr="00250E6F">
        <w:rPr>
          <w:rFonts w:ascii="Garamond" w:hAnsi="Garamond"/>
        </w:rPr>
        <w:t>.</w:t>
      </w:r>
    </w:p>
    <w:p w14:paraId="6DC1F3C7" w14:textId="77777777" w:rsidR="00B20057" w:rsidRPr="00250E6F" w:rsidRDefault="00DB3D1D" w:rsidP="007A7DC1">
      <w:pPr>
        <w:spacing w:line="276" w:lineRule="auto"/>
        <w:ind w:firstLine="284"/>
        <w:jc w:val="both"/>
        <w:rPr>
          <w:rFonts w:ascii="Garamond" w:hAnsi="Garamond"/>
        </w:rPr>
      </w:pPr>
      <w:r w:rsidRPr="00250E6F">
        <w:rPr>
          <w:rFonts w:ascii="Garamond" w:hAnsi="Garamond"/>
        </w:rPr>
        <w:t xml:space="preserve">Ha dei presupposti schematicamente legati alle sopravvenienze che rendano inopportuno – </w:t>
      </w:r>
      <w:proofErr w:type="spellStart"/>
      <w:r w:rsidRPr="00250E6F">
        <w:rPr>
          <w:rFonts w:ascii="Garamond" w:hAnsi="Garamond"/>
          <w:i/>
        </w:rPr>
        <w:t>rectius</w:t>
      </w:r>
      <w:proofErr w:type="spellEnd"/>
      <w:r w:rsidRPr="00250E6F">
        <w:rPr>
          <w:rFonts w:ascii="Garamond" w:hAnsi="Garamond"/>
        </w:rPr>
        <w:t>,</w:t>
      </w:r>
      <w:r w:rsidRPr="00250E6F">
        <w:rPr>
          <w:rFonts w:ascii="Garamond" w:hAnsi="Garamond"/>
          <w:i/>
        </w:rPr>
        <w:t xml:space="preserve"> </w:t>
      </w:r>
      <w:r w:rsidRPr="00250E6F">
        <w:rPr>
          <w:rFonts w:ascii="Garamond" w:hAnsi="Garamond"/>
        </w:rPr>
        <w:t>socialmente “inefficace” – il prosieguo degli effetti del provvedimento primigenio, logicamente e normativamente “a efficacia durevole”</w:t>
      </w:r>
      <w:r w:rsidR="00B20057" w:rsidRPr="00250E6F">
        <w:rPr>
          <w:rFonts w:ascii="Garamond" w:hAnsi="Garamond"/>
        </w:rPr>
        <w:t xml:space="preserve">. </w:t>
      </w:r>
    </w:p>
    <w:p w14:paraId="44B2117A" w14:textId="77777777" w:rsidR="00DB3D1D" w:rsidRPr="00250E6F" w:rsidRDefault="00B20057" w:rsidP="007A7DC1">
      <w:pPr>
        <w:spacing w:line="276" w:lineRule="auto"/>
        <w:ind w:firstLine="284"/>
        <w:jc w:val="both"/>
        <w:rPr>
          <w:rFonts w:ascii="Garamond" w:hAnsi="Garamond"/>
        </w:rPr>
      </w:pPr>
      <w:r w:rsidRPr="00250E6F">
        <w:rPr>
          <w:rFonts w:ascii="Garamond" w:hAnsi="Garamond"/>
        </w:rPr>
        <w:lastRenderedPageBreak/>
        <w:t>Si è visto che è un potere dotato di effetto tipico, sanzionato anche nella norma che lo disciplina: la revoca interrompe l’efficacia del provvedimento amministrativo sul quale incide.</w:t>
      </w:r>
    </w:p>
    <w:p w14:paraId="7E555CA5" w14:textId="77777777" w:rsidR="00DB3D1D" w:rsidRPr="00250E6F" w:rsidRDefault="00DB3D1D" w:rsidP="007A7DC1">
      <w:pPr>
        <w:spacing w:line="276" w:lineRule="auto"/>
        <w:ind w:firstLine="284"/>
        <w:jc w:val="both"/>
        <w:rPr>
          <w:rFonts w:ascii="Garamond" w:hAnsi="Garamond"/>
        </w:rPr>
      </w:pPr>
      <w:r w:rsidRPr="00250E6F">
        <w:rPr>
          <w:rFonts w:ascii="Garamond" w:hAnsi="Garamond"/>
        </w:rPr>
        <w:t>È un potere discrezionale, che si lega ad accorgimenti procedimentali</w:t>
      </w:r>
      <w:r w:rsidR="002541B9" w:rsidRPr="00250E6F">
        <w:rPr>
          <w:rFonts w:ascii="Garamond" w:hAnsi="Garamond"/>
        </w:rPr>
        <w:t xml:space="preserve"> noti</w:t>
      </w:r>
      <w:r w:rsidRPr="00250E6F">
        <w:rPr>
          <w:rFonts w:ascii="Garamond" w:hAnsi="Garamond"/>
        </w:rPr>
        <w:t xml:space="preserve">: l’avviso di avvio del procedimento, </w:t>
      </w:r>
      <w:r w:rsidR="00B20057" w:rsidRPr="00250E6F">
        <w:rPr>
          <w:rFonts w:ascii="Garamond" w:hAnsi="Garamond"/>
        </w:rPr>
        <w:t xml:space="preserve">la partecipazione e </w:t>
      </w:r>
      <w:r w:rsidRPr="00250E6F">
        <w:rPr>
          <w:rFonts w:ascii="Garamond" w:hAnsi="Garamond"/>
        </w:rPr>
        <w:t>il contraddittorio, la motivazione argomentata e approfondita del provvedimento conclusivo.</w:t>
      </w:r>
    </w:p>
    <w:p w14:paraId="2BD0124A" w14:textId="77777777" w:rsidR="00B9508D" w:rsidRPr="00250E6F" w:rsidRDefault="00B20057" w:rsidP="007A7DC1">
      <w:pPr>
        <w:spacing w:line="276" w:lineRule="auto"/>
        <w:ind w:firstLine="284"/>
        <w:jc w:val="both"/>
        <w:rPr>
          <w:rFonts w:ascii="Garamond" w:hAnsi="Garamond"/>
        </w:rPr>
      </w:pPr>
      <w:r w:rsidRPr="00250E6F">
        <w:rPr>
          <w:rFonts w:ascii="Garamond" w:hAnsi="Garamond"/>
        </w:rPr>
        <w:t>L’art. 21-</w:t>
      </w:r>
      <w:r w:rsidRPr="00250E6F">
        <w:rPr>
          <w:rFonts w:ascii="Garamond" w:hAnsi="Garamond"/>
          <w:i/>
        </w:rPr>
        <w:t xml:space="preserve">quinquies </w:t>
      </w:r>
      <w:r w:rsidR="004036E4" w:rsidRPr="00250E6F">
        <w:rPr>
          <w:rFonts w:ascii="Garamond" w:hAnsi="Garamond"/>
        </w:rPr>
        <w:t xml:space="preserve">prevede espressamente che il suo esercizio comporta la liquidazione di un indennizzo (semmai decurtabile al ricorrere di alcune condizioni, pure quelle normativamente </w:t>
      </w:r>
      <w:r w:rsidR="00285C60" w:rsidRPr="00250E6F">
        <w:rPr>
          <w:rFonts w:ascii="Garamond" w:hAnsi="Garamond"/>
        </w:rPr>
        <w:t>determinate</w:t>
      </w:r>
      <w:r w:rsidR="004036E4" w:rsidRPr="00250E6F">
        <w:rPr>
          <w:rFonts w:ascii="Garamond" w:hAnsi="Garamond"/>
        </w:rPr>
        <w:t>) parametrato al danno emergente eventualmente subìto dal destinatario della revoca.</w:t>
      </w:r>
    </w:p>
    <w:p w14:paraId="685A6D88" w14:textId="77777777" w:rsidR="004036E4" w:rsidRPr="00250E6F" w:rsidRDefault="005A23C4" w:rsidP="007A7DC1">
      <w:pPr>
        <w:spacing w:line="276" w:lineRule="auto"/>
        <w:ind w:firstLine="284"/>
        <w:jc w:val="both"/>
        <w:rPr>
          <w:rFonts w:ascii="Garamond" w:hAnsi="Garamond"/>
        </w:rPr>
      </w:pPr>
      <w:r w:rsidRPr="00250E6F">
        <w:rPr>
          <w:rFonts w:ascii="Garamond" w:hAnsi="Garamond"/>
        </w:rPr>
        <w:t xml:space="preserve">Il profilo della responsabilità della </w:t>
      </w:r>
      <w:proofErr w:type="spellStart"/>
      <w:r w:rsidRPr="00250E6F">
        <w:rPr>
          <w:rFonts w:ascii="Garamond" w:hAnsi="Garamond"/>
        </w:rPr>
        <w:t>p.A.</w:t>
      </w:r>
      <w:proofErr w:type="spellEnd"/>
      <w:r w:rsidRPr="00250E6F">
        <w:rPr>
          <w:rFonts w:ascii="Garamond" w:hAnsi="Garamond"/>
        </w:rPr>
        <w:t xml:space="preserve"> nell’esercizio del potere di revoca è altresì pacificamente esplorato dalla giurisprudenza: se l’Amministrazione adotta una revoca illegittima, </w:t>
      </w:r>
      <w:r w:rsidR="004E1AB8" w:rsidRPr="00250E6F">
        <w:rPr>
          <w:rFonts w:ascii="Garamond" w:hAnsi="Garamond"/>
        </w:rPr>
        <w:t xml:space="preserve">essa </w:t>
      </w:r>
      <w:r w:rsidRPr="00250E6F">
        <w:rPr>
          <w:rFonts w:ascii="Garamond" w:hAnsi="Garamond"/>
        </w:rPr>
        <w:t xml:space="preserve">potrà essere oggetto d’un giudizio di responsabilità </w:t>
      </w:r>
      <w:proofErr w:type="spellStart"/>
      <w:r w:rsidRPr="00250E6F">
        <w:rPr>
          <w:rFonts w:ascii="Garamond" w:hAnsi="Garamond"/>
        </w:rPr>
        <w:t>provvedimentale</w:t>
      </w:r>
      <w:proofErr w:type="spellEnd"/>
      <w:r w:rsidRPr="00250E6F">
        <w:rPr>
          <w:rFonts w:ascii="Garamond" w:hAnsi="Garamond"/>
        </w:rPr>
        <w:t xml:space="preserve"> </w:t>
      </w:r>
      <w:r w:rsidRPr="00250E6F">
        <w:rPr>
          <w:rFonts w:ascii="Garamond" w:hAnsi="Garamond"/>
          <w:i/>
        </w:rPr>
        <w:t>ex</w:t>
      </w:r>
      <w:r w:rsidRPr="00250E6F">
        <w:rPr>
          <w:rFonts w:ascii="Garamond" w:hAnsi="Garamond"/>
        </w:rPr>
        <w:t xml:space="preserve"> art. 2043 c.c.; qualora invece adotti una revoca legittima, tendenzialmente essa andrà esente da responsabilità, salve </w:t>
      </w:r>
      <w:r w:rsidR="001A5EE2" w:rsidRPr="00250E6F">
        <w:rPr>
          <w:rFonts w:ascii="Garamond" w:hAnsi="Garamond"/>
        </w:rPr>
        <w:t xml:space="preserve">le </w:t>
      </w:r>
      <w:r w:rsidRPr="00250E6F">
        <w:rPr>
          <w:rFonts w:ascii="Garamond" w:hAnsi="Garamond"/>
        </w:rPr>
        <w:t xml:space="preserve">ipotesi nelle quali il privato dimostri che quella revoca si è resa necessaria per comportamenti negligenti e scorretti </w:t>
      </w:r>
      <w:r w:rsidR="00B04AE8" w:rsidRPr="00250E6F">
        <w:rPr>
          <w:rFonts w:ascii="Garamond" w:hAnsi="Garamond"/>
        </w:rPr>
        <w:t xml:space="preserve">della stessa </w:t>
      </w:r>
      <w:proofErr w:type="spellStart"/>
      <w:r w:rsidR="00B04AE8" w:rsidRPr="00250E6F">
        <w:rPr>
          <w:rFonts w:ascii="Garamond" w:hAnsi="Garamond"/>
        </w:rPr>
        <w:t>p.A.</w:t>
      </w:r>
      <w:proofErr w:type="spellEnd"/>
      <w:r w:rsidR="00B04AE8" w:rsidRPr="00250E6F">
        <w:rPr>
          <w:rFonts w:ascii="Garamond" w:hAnsi="Garamond"/>
        </w:rPr>
        <w:t xml:space="preserve"> </w:t>
      </w:r>
      <w:r w:rsidRPr="00250E6F">
        <w:rPr>
          <w:rFonts w:ascii="Garamond" w:hAnsi="Garamond"/>
        </w:rPr>
        <w:t xml:space="preserve">(tipicamente nelle </w:t>
      </w:r>
      <w:r w:rsidR="0029530E" w:rsidRPr="00250E6F">
        <w:rPr>
          <w:rFonts w:ascii="Garamond" w:hAnsi="Garamond"/>
        </w:rPr>
        <w:t>procedure a evidenza pubblica)</w:t>
      </w:r>
      <w:r w:rsidR="00B04AE8" w:rsidRPr="00250E6F">
        <w:rPr>
          <w:rFonts w:ascii="Garamond" w:hAnsi="Garamond"/>
        </w:rPr>
        <w:t xml:space="preserve">, così passibile di </w:t>
      </w:r>
      <w:r w:rsidR="00A334F6" w:rsidRPr="00250E6F">
        <w:rPr>
          <w:rFonts w:ascii="Garamond" w:hAnsi="Garamond"/>
        </w:rPr>
        <w:t xml:space="preserve">responsabilità precontrattuale </w:t>
      </w:r>
      <w:r w:rsidR="00A334F6" w:rsidRPr="00250E6F">
        <w:rPr>
          <w:rFonts w:ascii="Garamond" w:hAnsi="Garamond"/>
          <w:i/>
        </w:rPr>
        <w:t>ex</w:t>
      </w:r>
      <w:r w:rsidR="00B04AE8" w:rsidRPr="00250E6F">
        <w:rPr>
          <w:rFonts w:ascii="Garamond" w:hAnsi="Garamond"/>
        </w:rPr>
        <w:t xml:space="preserve"> </w:t>
      </w:r>
      <w:r w:rsidR="00A334F6" w:rsidRPr="00250E6F">
        <w:rPr>
          <w:rFonts w:ascii="Garamond" w:hAnsi="Garamond"/>
        </w:rPr>
        <w:t>art. 1337 c.c.</w:t>
      </w:r>
    </w:p>
    <w:p w14:paraId="6444D979" w14:textId="50C23C1D" w:rsidR="005D73A4" w:rsidRPr="00250E6F" w:rsidRDefault="005D73A4" w:rsidP="009F2075">
      <w:pPr>
        <w:spacing w:line="276" w:lineRule="auto"/>
        <w:ind w:firstLine="284"/>
        <w:jc w:val="both"/>
        <w:rPr>
          <w:rFonts w:ascii="Garamond" w:hAnsi="Garamond"/>
        </w:rPr>
      </w:pPr>
      <w:r w:rsidRPr="00250E6F">
        <w:rPr>
          <w:rFonts w:ascii="Garamond" w:hAnsi="Garamond"/>
        </w:rPr>
        <w:t>Come espresso in apertura di questo contributo, le ricostruzioni dottrinali che, dapprima sulla scorta del solo dato giurisprudenziale</w:t>
      </w:r>
      <w:r w:rsidRPr="00250E6F">
        <w:rPr>
          <w:rStyle w:val="Rimandonotaapidipagina"/>
          <w:rFonts w:ascii="Garamond" w:hAnsi="Garamond"/>
        </w:rPr>
        <w:footnoteReference w:id="85"/>
      </w:r>
      <w:r w:rsidRPr="00250E6F">
        <w:rPr>
          <w:rFonts w:ascii="Garamond" w:hAnsi="Garamond"/>
        </w:rPr>
        <w:t xml:space="preserve">, poi in osservazione </w:t>
      </w:r>
      <w:r w:rsidR="00314DDE" w:rsidRPr="00250E6F">
        <w:rPr>
          <w:rFonts w:ascii="Garamond" w:hAnsi="Garamond"/>
        </w:rPr>
        <w:t xml:space="preserve">anche </w:t>
      </w:r>
      <w:r w:rsidRPr="00250E6F">
        <w:rPr>
          <w:rFonts w:ascii="Garamond" w:hAnsi="Garamond"/>
        </w:rPr>
        <w:t xml:space="preserve">delle progressive metamorfosi </w:t>
      </w:r>
      <w:r w:rsidR="00314DDE" w:rsidRPr="00250E6F">
        <w:rPr>
          <w:rFonts w:ascii="Garamond" w:hAnsi="Garamond"/>
        </w:rPr>
        <w:t>del</w:t>
      </w:r>
      <w:r w:rsidRPr="00250E6F">
        <w:rPr>
          <w:rFonts w:ascii="Garamond" w:hAnsi="Garamond"/>
        </w:rPr>
        <w:t xml:space="preserve"> diritto positivo</w:t>
      </w:r>
      <w:r w:rsidRPr="00250E6F">
        <w:rPr>
          <w:rStyle w:val="Rimandonotaapidipagina"/>
          <w:rFonts w:ascii="Garamond" w:hAnsi="Garamond"/>
        </w:rPr>
        <w:footnoteReference w:id="86"/>
      </w:r>
      <w:r w:rsidRPr="00250E6F">
        <w:rPr>
          <w:rFonts w:ascii="Garamond" w:hAnsi="Garamond"/>
        </w:rPr>
        <w:t xml:space="preserve">, hanno </w:t>
      </w:r>
      <w:r w:rsidR="00314DDE" w:rsidRPr="00250E6F">
        <w:rPr>
          <w:rFonts w:ascii="Garamond" w:hAnsi="Garamond"/>
        </w:rPr>
        <w:t>delineato</w:t>
      </w:r>
      <w:r w:rsidRPr="00250E6F">
        <w:rPr>
          <w:rFonts w:ascii="Garamond" w:hAnsi="Garamond"/>
        </w:rPr>
        <w:t xml:space="preserve"> la revoca quale potere di amministrazione attiva,</w:t>
      </w:r>
      <w:r w:rsidR="005A1C87" w:rsidRPr="00250E6F">
        <w:rPr>
          <w:rFonts w:ascii="Garamond" w:hAnsi="Garamond"/>
        </w:rPr>
        <w:t xml:space="preserve"> ricevono piena conferma</w:t>
      </w:r>
      <w:r w:rsidRPr="00250E6F">
        <w:rPr>
          <w:rFonts w:ascii="Garamond" w:hAnsi="Garamond"/>
        </w:rPr>
        <w:t>.</w:t>
      </w:r>
    </w:p>
    <w:p w14:paraId="7028F3A3" w14:textId="68B3F776" w:rsidR="00B503AA" w:rsidRPr="00250E6F" w:rsidRDefault="00B503AA" w:rsidP="009F2075">
      <w:pPr>
        <w:spacing w:line="276" w:lineRule="auto"/>
        <w:ind w:firstLine="284"/>
        <w:jc w:val="both"/>
        <w:rPr>
          <w:rFonts w:ascii="Garamond" w:hAnsi="Garamond"/>
        </w:rPr>
      </w:pPr>
      <w:r w:rsidRPr="00250E6F">
        <w:rPr>
          <w:rFonts w:ascii="Garamond" w:hAnsi="Garamond"/>
        </w:rPr>
        <w:t xml:space="preserve">A ben vedere, </w:t>
      </w:r>
      <w:r w:rsidR="005A1C87" w:rsidRPr="00250E6F">
        <w:rPr>
          <w:rFonts w:ascii="Garamond" w:hAnsi="Garamond"/>
        </w:rPr>
        <w:t>infatti, la revoca non pare poggiare affatto</w:t>
      </w:r>
      <w:r w:rsidRPr="00250E6F">
        <w:rPr>
          <w:rFonts w:ascii="Garamond" w:hAnsi="Garamond"/>
        </w:rPr>
        <w:t xml:space="preserve"> </w:t>
      </w:r>
      <w:r w:rsidR="005A1C87" w:rsidRPr="00250E6F">
        <w:rPr>
          <w:rFonts w:ascii="Garamond" w:hAnsi="Garamond"/>
        </w:rPr>
        <w:t>su</w:t>
      </w:r>
      <w:r w:rsidR="002541B9" w:rsidRPr="00250E6F">
        <w:rPr>
          <w:rFonts w:ascii="Garamond" w:hAnsi="Garamond"/>
        </w:rPr>
        <w:t>l</w:t>
      </w:r>
      <w:r w:rsidR="005A1C87" w:rsidRPr="00250E6F">
        <w:rPr>
          <w:rFonts w:ascii="Garamond" w:hAnsi="Garamond"/>
        </w:rPr>
        <w:t xml:space="preserve"> terreno dell’</w:t>
      </w:r>
      <w:r w:rsidR="002541B9" w:rsidRPr="00250E6F">
        <w:rPr>
          <w:rFonts w:ascii="Garamond" w:hAnsi="Garamond"/>
        </w:rPr>
        <w:t>“auto-tutela”</w:t>
      </w:r>
      <w:r w:rsidRPr="00250E6F">
        <w:rPr>
          <w:rFonts w:ascii="Garamond" w:hAnsi="Garamond"/>
        </w:rPr>
        <w:t xml:space="preserve">. </w:t>
      </w:r>
      <w:r w:rsidR="005A1C87" w:rsidRPr="00250E6F">
        <w:rPr>
          <w:rFonts w:ascii="Garamond" w:hAnsi="Garamond"/>
        </w:rPr>
        <w:t>Rispetto all’annullamento d’ufficio, è</w:t>
      </w:r>
      <w:r w:rsidRPr="00250E6F">
        <w:rPr>
          <w:rFonts w:ascii="Garamond" w:hAnsi="Garamond"/>
        </w:rPr>
        <w:t xml:space="preserve"> proprio il profilo della “</w:t>
      </w:r>
      <w:proofErr w:type="spellStart"/>
      <w:r w:rsidRPr="00250E6F">
        <w:rPr>
          <w:rFonts w:ascii="Garamond" w:hAnsi="Garamond"/>
        </w:rPr>
        <w:t>giustizialità</w:t>
      </w:r>
      <w:proofErr w:type="spellEnd"/>
      <w:r w:rsidRPr="00250E6F">
        <w:rPr>
          <w:rFonts w:ascii="Garamond" w:hAnsi="Garamond"/>
        </w:rPr>
        <w:t>”, a essere in ombra, e a lasciare il posto, invece, all’amministrazione attiva</w:t>
      </w:r>
      <w:r w:rsidR="002541B9" w:rsidRPr="00250E6F">
        <w:rPr>
          <w:rFonts w:ascii="Garamond" w:hAnsi="Garamond"/>
        </w:rPr>
        <w:t>: poiché non è in discussione la legittimità del provvedimento revocando</w:t>
      </w:r>
      <w:r w:rsidRPr="00250E6F">
        <w:rPr>
          <w:rFonts w:ascii="Garamond" w:hAnsi="Garamond"/>
        </w:rPr>
        <w:t xml:space="preserve">. L’Amministrazione revoca un provvedimento, </w:t>
      </w:r>
      <w:r w:rsidR="002541B9" w:rsidRPr="00250E6F">
        <w:rPr>
          <w:rFonts w:ascii="Garamond" w:hAnsi="Garamond"/>
        </w:rPr>
        <w:t>adottandone un altro</w:t>
      </w:r>
      <w:r w:rsidRPr="00250E6F">
        <w:rPr>
          <w:rFonts w:ascii="Garamond" w:hAnsi="Garamond"/>
        </w:rPr>
        <w:t xml:space="preserve">, perché semplicemente ne ha il potere: e si tratta del potere </w:t>
      </w:r>
      <w:r w:rsidR="002541B9" w:rsidRPr="00250E6F">
        <w:rPr>
          <w:rFonts w:ascii="Garamond" w:hAnsi="Garamond"/>
        </w:rPr>
        <w:t xml:space="preserve">funzionalizzato </w:t>
      </w:r>
      <w:r w:rsidRPr="00250E6F">
        <w:rPr>
          <w:rFonts w:ascii="Garamond" w:hAnsi="Garamond"/>
        </w:rPr>
        <w:t xml:space="preserve">alla </w:t>
      </w:r>
      <w:proofErr w:type="spellStart"/>
      <w:r w:rsidRPr="00250E6F">
        <w:rPr>
          <w:rFonts w:ascii="Garamond" w:hAnsi="Garamond"/>
          <w:i/>
        </w:rPr>
        <w:t>administratio</w:t>
      </w:r>
      <w:proofErr w:type="spellEnd"/>
      <w:r w:rsidRPr="00250E6F">
        <w:rPr>
          <w:rFonts w:ascii="Garamond" w:hAnsi="Garamond"/>
        </w:rPr>
        <w:t xml:space="preserve"> dell’interesse pubblico </w:t>
      </w:r>
      <w:r w:rsidR="002541B9" w:rsidRPr="00250E6F">
        <w:rPr>
          <w:rFonts w:ascii="Garamond" w:hAnsi="Garamond"/>
        </w:rPr>
        <w:t xml:space="preserve">– originario o sopravvenuto – </w:t>
      </w:r>
      <w:r w:rsidRPr="00250E6F">
        <w:rPr>
          <w:rFonts w:ascii="Garamond" w:hAnsi="Garamond"/>
        </w:rPr>
        <w:t xml:space="preserve">che necessita di cura costante. Ed è un potere al quale la stessa </w:t>
      </w:r>
      <w:proofErr w:type="spellStart"/>
      <w:r w:rsidRPr="00250E6F">
        <w:rPr>
          <w:rFonts w:ascii="Garamond" w:hAnsi="Garamond"/>
        </w:rPr>
        <w:t>p.A.</w:t>
      </w:r>
      <w:proofErr w:type="spellEnd"/>
      <w:r w:rsidRPr="00250E6F">
        <w:rPr>
          <w:rFonts w:ascii="Garamond" w:hAnsi="Garamond"/>
        </w:rPr>
        <w:t xml:space="preserve"> non può sottrarsi, laddove quell’interesse sia oggetto di un provvedimento a efficacia durevole, che ne condiziona l’equilibrio con </w:t>
      </w:r>
      <w:r w:rsidR="002541B9" w:rsidRPr="00250E6F">
        <w:rPr>
          <w:rFonts w:ascii="Garamond" w:hAnsi="Garamond"/>
        </w:rPr>
        <w:t xml:space="preserve">nuovi </w:t>
      </w:r>
      <w:r w:rsidRPr="00250E6F">
        <w:rPr>
          <w:rFonts w:ascii="Garamond" w:hAnsi="Garamond"/>
        </w:rPr>
        <w:t xml:space="preserve">interessi. Il “monitoraggio” dell’equilibrio nel tempo consente all’Amministrazione, dunque, di revocare il primo atto, ove </w:t>
      </w:r>
      <w:r w:rsidR="002541B9" w:rsidRPr="00250E6F">
        <w:rPr>
          <w:rFonts w:ascii="Garamond" w:hAnsi="Garamond"/>
        </w:rPr>
        <w:t>quell’armonia</w:t>
      </w:r>
      <w:r w:rsidRPr="00250E6F">
        <w:rPr>
          <w:rFonts w:ascii="Garamond" w:hAnsi="Garamond"/>
        </w:rPr>
        <w:t xml:space="preserve"> subisca – a causa di sopravvenienze – un’alterazione.</w:t>
      </w:r>
      <w:r w:rsidR="009F2075" w:rsidRPr="00250E6F">
        <w:rPr>
          <w:rFonts w:ascii="Garamond" w:hAnsi="Garamond"/>
        </w:rPr>
        <w:t xml:space="preserve"> </w:t>
      </w:r>
      <w:r w:rsidR="00C832FB" w:rsidRPr="00250E6F">
        <w:rPr>
          <w:rFonts w:ascii="Garamond" w:hAnsi="Garamond"/>
        </w:rPr>
        <w:t>Ciò che hanno fatto prima la giurisprudenza e poi il legislatore è</w:t>
      </w:r>
      <w:r w:rsidR="009F2075" w:rsidRPr="00250E6F">
        <w:rPr>
          <w:rFonts w:ascii="Garamond" w:hAnsi="Garamond"/>
        </w:rPr>
        <w:t>, puramente, dettare le regole d’intervento, assorbendo nella disciplina anche l’affidamento del privato.</w:t>
      </w:r>
    </w:p>
    <w:p w14:paraId="6E17B05E" w14:textId="65C4EECE" w:rsidR="009F2075" w:rsidRPr="00250E6F" w:rsidRDefault="006F5CC6" w:rsidP="009F2075">
      <w:pPr>
        <w:spacing w:line="276" w:lineRule="auto"/>
        <w:ind w:firstLine="284"/>
        <w:jc w:val="both"/>
        <w:rPr>
          <w:rFonts w:ascii="Garamond" w:hAnsi="Garamond"/>
        </w:rPr>
      </w:pPr>
      <w:r w:rsidRPr="00250E6F">
        <w:rPr>
          <w:rFonts w:ascii="Garamond" w:hAnsi="Garamond"/>
        </w:rPr>
        <w:t xml:space="preserve">Non emergono, dunque, </w:t>
      </w:r>
      <w:r w:rsidR="003A4FDF" w:rsidRPr="00250E6F">
        <w:rPr>
          <w:rFonts w:ascii="Garamond" w:hAnsi="Garamond"/>
        </w:rPr>
        <w:t>le conflittualità invece presenti nell</w:t>
      </w:r>
      <w:r w:rsidR="00997349" w:rsidRPr="00250E6F">
        <w:rPr>
          <w:rFonts w:ascii="Garamond" w:hAnsi="Garamond"/>
        </w:rPr>
        <w:t xml:space="preserve">’applicazione dell’annullamento officioso: il quale, </w:t>
      </w:r>
      <w:r w:rsidR="00DF32C7" w:rsidRPr="00250E6F">
        <w:rPr>
          <w:rFonts w:ascii="Garamond" w:hAnsi="Garamond"/>
        </w:rPr>
        <w:t>contando</w:t>
      </w:r>
      <w:r w:rsidR="00997349" w:rsidRPr="00250E6F">
        <w:rPr>
          <w:rFonts w:ascii="Garamond" w:hAnsi="Garamond"/>
        </w:rPr>
        <w:t xml:space="preserve"> </w:t>
      </w:r>
      <w:r w:rsidR="005F6248" w:rsidRPr="00250E6F">
        <w:rPr>
          <w:rFonts w:ascii="Garamond" w:hAnsi="Garamond"/>
        </w:rPr>
        <w:t xml:space="preserve">tra i </w:t>
      </w:r>
      <w:r w:rsidR="00DF32C7" w:rsidRPr="00250E6F">
        <w:rPr>
          <w:rFonts w:ascii="Garamond" w:hAnsi="Garamond"/>
        </w:rPr>
        <w:t xml:space="preserve">propri </w:t>
      </w:r>
      <w:r w:rsidR="005F6248" w:rsidRPr="00250E6F">
        <w:rPr>
          <w:rFonts w:ascii="Garamond" w:hAnsi="Garamond"/>
        </w:rPr>
        <w:t>presupposti</w:t>
      </w:r>
      <w:r w:rsidR="00997349" w:rsidRPr="00250E6F">
        <w:rPr>
          <w:rFonts w:ascii="Garamond" w:hAnsi="Garamond"/>
        </w:rPr>
        <w:t xml:space="preserve"> d’attivazione </w:t>
      </w:r>
      <w:r w:rsidR="00DF32C7" w:rsidRPr="00250E6F">
        <w:rPr>
          <w:rFonts w:ascii="Garamond" w:hAnsi="Garamond"/>
        </w:rPr>
        <w:t xml:space="preserve">– oltre </w:t>
      </w:r>
      <w:r w:rsidR="00DF32C7" w:rsidRPr="00250E6F">
        <w:rPr>
          <w:rFonts w:ascii="Garamond" w:hAnsi="Garamond"/>
        </w:rPr>
        <w:lastRenderedPageBreak/>
        <w:t xml:space="preserve">all’interesse pubblico, anche – </w:t>
      </w:r>
      <w:r w:rsidR="00997349" w:rsidRPr="00250E6F">
        <w:rPr>
          <w:rFonts w:ascii="Garamond" w:hAnsi="Garamond"/>
        </w:rPr>
        <w:t xml:space="preserve">l’illegittimità del provvedimento primigenio, incontra faticosi tornanti evolutivi </w:t>
      </w:r>
      <w:r w:rsidR="00AE25B4" w:rsidRPr="00250E6F">
        <w:rPr>
          <w:rFonts w:ascii="Garamond" w:hAnsi="Garamond"/>
        </w:rPr>
        <w:t>che ne stanno spingendo sempre più la natura verso il fronte di potere d’autotutela giustiziale, come tale vicino alla medesima potestà del Giudice amministrativo.</w:t>
      </w:r>
    </w:p>
    <w:p w14:paraId="25229489" w14:textId="1C2CB6E7" w:rsidR="00D85760" w:rsidRPr="00250E6F" w:rsidRDefault="005A1C87" w:rsidP="009F2075">
      <w:pPr>
        <w:spacing w:line="276" w:lineRule="auto"/>
        <w:ind w:firstLine="284"/>
        <w:jc w:val="both"/>
        <w:rPr>
          <w:rFonts w:ascii="Garamond" w:hAnsi="Garamond"/>
        </w:rPr>
      </w:pPr>
      <w:r w:rsidRPr="00250E6F">
        <w:rPr>
          <w:rFonts w:ascii="Garamond" w:hAnsi="Garamond"/>
        </w:rPr>
        <w:t>D’altra parte, pur nella consapevolezza che lo stesso annullamento d’ufficio – essendo vòlto al conseguimento di un interesse pubblico – possa esser qualificato come potere d’amministrazione attiva</w:t>
      </w:r>
      <w:r w:rsidR="00F01740" w:rsidRPr="00250E6F">
        <w:rPr>
          <w:rStyle w:val="Rimandonotaapidipagina"/>
          <w:rFonts w:ascii="Garamond" w:hAnsi="Garamond"/>
        </w:rPr>
        <w:footnoteReference w:id="87"/>
      </w:r>
      <w:r w:rsidRPr="00250E6F">
        <w:rPr>
          <w:rFonts w:ascii="Garamond" w:hAnsi="Garamond"/>
        </w:rPr>
        <w:t xml:space="preserve">, non si può ignorare il suo dato differenziante rispetto alla revoca: la violazione del paradigma normativo di riferimento da parte dell’Amministrazione nel provvedimento primigenio. </w:t>
      </w:r>
      <w:r w:rsidR="00D85760" w:rsidRPr="00250E6F">
        <w:rPr>
          <w:rFonts w:ascii="Garamond" w:hAnsi="Garamond"/>
        </w:rPr>
        <w:t xml:space="preserve">È solo questa violazione, nell’ambito del rapporto tra privato e </w:t>
      </w:r>
      <w:proofErr w:type="spellStart"/>
      <w:r w:rsidR="00D85760" w:rsidRPr="00250E6F">
        <w:rPr>
          <w:rFonts w:ascii="Garamond" w:hAnsi="Garamond"/>
        </w:rPr>
        <w:t>p.A.</w:t>
      </w:r>
      <w:proofErr w:type="spellEnd"/>
      <w:r w:rsidR="00D85760" w:rsidRPr="00250E6F">
        <w:rPr>
          <w:rFonts w:ascii="Garamond" w:hAnsi="Garamond"/>
        </w:rPr>
        <w:t xml:space="preserve">, a consentire l’accesso al Giudice amministrativo traducendosi in un motivo di ricorso per </w:t>
      </w:r>
      <w:r w:rsidR="00433A00" w:rsidRPr="00250E6F">
        <w:rPr>
          <w:rFonts w:ascii="Garamond" w:hAnsi="Garamond"/>
        </w:rPr>
        <w:t xml:space="preserve">ottenere </w:t>
      </w:r>
      <w:r w:rsidR="00D85760" w:rsidRPr="00250E6F">
        <w:rPr>
          <w:rFonts w:ascii="Garamond" w:hAnsi="Garamond"/>
        </w:rPr>
        <w:t xml:space="preserve">tutela </w:t>
      </w:r>
      <w:proofErr w:type="spellStart"/>
      <w:r w:rsidR="00D85760" w:rsidRPr="00250E6F">
        <w:rPr>
          <w:rFonts w:ascii="Garamond" w:hAnsi="Garamond"/>
        </w:rPr>
        <w:t>caducatoria</w:t>
      </w:r>
      <w:proofErr w:type="spellEnd"/>
      <w:r w:rsidR="00D85760" w:rsidRPr="00250E6F">
        <w:rPr>
          <w:rFonts w:ascii="Garamond" w:hAnsi="Garamond"/>
        </w:rPr>
        <w:t>:</w:t>
      </w:r>
      <w:r w:rsidRPr="00250E6F">
        <w:rPr>
          <w:rFonts w:ascii="Garamond" w:hAnsi="Garamond"/>
        </w:rPr>
        <w:t xml:space="preserve"> </w:t>
      </w:r>
      <w:r w:rsidR="00D85760" w:rsidRPr="00250E6F">
        <w:rPr>
          <w:rFonts w:ascii="Garamond" w:hAnsi="Garamond"/>
        </w:rPr>
        <w:t xml:space="preserve">viceversa, </w:t>
      </w:r>
      <w:r w:rsidRPr="00250E6F">
        <w:rPr>
          <w:rFonts w:ascii="Garamond" w:hAnsi="Garamond"/>
        </w:rPr>
        <w:t xml:space="preserve">le ragioni di sopravvenienza d’interesse pubblico che si </w:t>
      </w:r>
      <w:r w:rsidR="00D85760" w:rsidRPr="00250E6F">
        <w:rPr>
          <w:rFonts w:ascii="Garamond" w:hAnsi="Garamond"/>
        </w:rPr>
        <w:t>man</w:t>
      </w:r>
      <w:r w:rsidRPr="00250E6F">
        <w:rPr>
          <w:rFonts w:ascii="Garamond" w:hAnsi="Garamond"/>
        </w:rPr>
        <w:t xml:space="preserve">tengano in un alveo di “valutazione di opportunità” </w:t>
      </w:r>
      <w:r w:rsidR="00D85760" w:rsidRPr="00250E6F">
        <w:rPr>
          <w:rFonts w:ascii="Garamond" w:hAnsi="Garamond"/>
        </w:rPr>
        <w:t xml:space="preserve">– </w:t>
      </w:r>
      <w:r w:rsidRPr="00250E6F">
        <w:rPr>
          <w:rFonts w:ascii="Garamond" w:hAnsi="Garamond"/>
        </w:rPr>
        <w:t>e non sconfinino nell’illegittimità</w:t>
      </w:r>
      <w:r w:rsidR="00D85760" w:rsidRPr="00250E6F">
        <w:rPr>
          <w:rFonts w:ascii="Garamond" w:hAnsi="Garamond"/>
        </w:rPr>
        <w:t xml:space="preserve"> –</w:t>
      </w:r>
      <w:r w:rsidRPr="00250E6F">
        <w:rPr>
          <w:rFonts w:ascii="Garamond" w:hAnsi="Garamond"/>
        </w:rPr>
        <w:t xml:space="preserve"> </w:t>
      </w:r>
      <w:r w:rsidR="00D85760" w:rsidRPr="00250E6F">
        <w:rPr>
          <w:rFonts w:ascii="Garamond" w:hAnsi="Garamond"/>
        </w:rPr>
        <w:t xml:space="preserve">del provvedimento di primo grado </w:t>
      </w:r>
      <w:r w:rsidRPr="00250E6F">
        <w:rPr>
          <w:rFonts w:ascii="Garamond" w:hAnsi="Garamond"/>
        </w:rPr>
        <w:t xml:space="preserve">non </w:t>
      </w:r>
      <w:r w:rsidR="00D85760" w:rsidRPr="00250E6F">
        <w:rPr>
          <w:rFonts w:ascii="Garamond" w:hAnsi="Garamond"/>
        </w:rPr>
        <w:t>determinano alcun diritto al ricorso</w:t>
      </w:r>
      <w:r w:rsidRPr="00250E6F">
        <w:rPr>
          <w:rFonts w:ascii="Garamond" w:hAnsi="Garamond"/>
        </w:rPr>
        <w:t>.</w:t>
      </w:r>
    </w:p>
    <w:p w14:paraId="7984D5CB" w14:textId="77777777" w:rsidR="00D85760" w:rsidRPr="00250E6F" w:rsidRDefault="00D85760" w:rsidP="009F2075">
      <w:pPr>
        <w:spacing w:line="276" w:lineRule="auto"/>
        <w:ind w:firstLine="284"/>
        <w:jc w:val="both"/>
        <w:rPr>
          <w:rFonts w:ascii="Garamond" w:hAnsi="Garamond"/>
        </w:rPr>
      </w:pPr>
      <w:r w:rsidRPr="00250E6F">
        <w:rPr>
          <w:rFonts w:ascii="Garamond" w:hAnsi="Garamond"/>
        </w:rPr>
        <w:t xml:space="preserve">Sicché, è solo nel primo caso, che l’Amministrazione può esercitare – senza mediazione del potere giurisdizionale – un potere </w:t>
      </w:r>
      <w:proofErr w:type="spellStart"/>
      <w:r w:rsidRPr="00250E6F">
        <w:rPr>
          <w:rFonts w:ascii="Garamond" w:hAnsi="Garamond"/>
        </w:rPr>
        <w:t>caducatorio</w:t>
      </w:r>
      <w:proofErr w:type="spellEnd"/>
      <w:r w:rsidRPr="00250E6F">
        <w:rPr>
          <w:rFonts w:ascii="Garamond" w:hAnsi="Garamond"/>
        </w:rPr>
        <w:t xml:space="preserve"> per ripristinare la legalità violata: sebbene questa finalità d’affermazione del diritto non sia di per sé sufficiente a legittimare l’esercizio di quel potere, essendo necessario che esso sia comunque sorretto da uno specifico interesse pubblico, altrimenti venendo meno la sua natura amministrativa – e non giurisdizionale.</w:t>
      </w:r>
    </w:p>
    <w:p w14:paraId="4F0A4288" w14:textId="7AC575D8" w:rsidR="005A1C87" w:rsidRPr="00250E6F" w:rsidRDefault="00D85760" w:rsidP="009F2075">
      <w:pPr>
        <w:spacing w:line="276" w:lineRule="auto"/>
        <w:ind w:firstLine="284"/>
        <w:jc w:val="both"/>
        <w:rPr>
          <w:rFonts w:ascii="Garamond" w:hAnsi="Garamond"/>
        </w:rPr>
      </w:pPr>
      <w:r w:rsidRPr="00250E6F">
        <w:rPr>
          <w:rFonts w:ascii="Garamond" w:hAnsi="Garamond"/>
        </w:rPr>
        <w:t xml:space="preserve">Questo rende l’annullamento d’ufficio inalveabile nell’autotutela: lo conferma altresì l’assenza di una qualunque previsione d’indennizzo per il privato, il quale – semmai </w:t>
      </w:r>
      <w:r w:rsidR="00F10C44" w:rsidRPr="00250E6F">
        <w:rPr>
          <w:rFonts w:ascii="Garamond" w:hAnsi="Garamond"/>
        </w:rPr>
        <w:t>avesse</w:t>
      </w:r>
      <w:r w:rsidRPr="00250E6F">
        <w:rPr>
          <w:rFonts w:ascii="Garamond" w:hAnsi="Garamond"/>
        </w:rPr>
        <w:t xml:space="preserve"> goduto d’un qualche beneficio illegittimamente – dovrà, al contrario, ove necessario, attivarsi per ripristinare lo </w:t>
      </w:r>
      <w:r w:rsidRPr="00250E6F">
        <w:rPr>
          <w:rFonts w:ascii="Garamond" w:hAnsi="Garamond"/>
          <w:i/>
        </w:rPr>
        <w:t>status quo</w:t>
      </w:r>
      <w:r w:rsidR="00F10C44" w:rsidRPr="00250E6F">
        <w:rPr>
          <w:rFonts w:ascii="Garamond" w:hAnsi="Garamond"/>
          <w:i/>
        </w:rPr>
        <w:t xml:space="preserve"> ante</w:t>
      </w:r>
      <w:r w:rsidR="00F10C44" w:rsidRPr="00250E6F">
        <w:rPr>
          <w:rFonts w:ascii="Garamond" w:hAnsi="Garamond"/>
        </w:rPr>
        <w:t>.</w:t>
      </w:r>
    </w:p>
    <w:p w14:paraId="1DD6059B" w14:textId="3D32F412" w:rsidR="00AE25B4" w:rsidRDefault="00E641D8" w:rsidP="00433A00">
      <w:pPr>
        <w:spacing w:line="276" w:lineRule="auto"/>
        <w:ind w:firstLine="284"/>
        <w:jc w:val="both"/>
        <w:rPr>
          <w:rFonts w:ascii="Garamond" w:hAnsi="Garamond"/>
        </w:rPr>
      </w:pPr>
      <w:r w:rsidRPr="00250E6F">
        <w:rPr>
          <w:rFonts w:ascii="Garamond" w:hAnsi="Garamond"/>
        </w:rPr>
        <w:t>Viceversa, in questo susseguirsi di luci e ombre, il potere di revoca – complice anche una certa “quietudine” del legislatore e della giurisprudenza – presta il proprio volto alle esigenze di pura amministrazione attiva</w:t>
      </w:r>
      <w:r w:rsidR="00433A00" w:rsidRPr="00250E6F">
        <w:rPr>
          <w:rFonts w:ascii="Garamond" w:hAnsi="Garamond"/>
        </w:rPr>
        <w:t xml:space="preserve">: la chiave di volta </w:t>
      </w:r>
      <w:r w:rsidR="009C47EF" w:rsidRPr="00250E6F">
        <w:rPr>
          <w:rFonts w:ascii="Garamond" w:hAnsi="Garamond"/>
        </w:rPr>
        <w:t xml:space="preserve">sta, come detto sopra, </w:t>
      </w:r>
      <w:r w:rsidR="00433A00" w:rsidRPr="00250E6F">
        <w:rPr>
          <w:rFonts w:ascii="Garamond" w:hAnsi="Garamond"/>
        </w:rPr>
        <w:t>nel principio di efficacia</w:t>
      </w:r>
      <w:r w:rsidR="009C47EF" w:rsidRPr="00250E6F">
        <w:rPr>
          <w:rStyle w:val="Rimandonotaapidipagina"/>
          <w:rFonts w:ascii="Garamond" w:hAnsi="Garamond"/>
        </w:rPr>
        <w:footnoteReference w:id="88"/>
      </w:r>
      <w:r w:rsidRPr="00250E6F">
        <w:rPr>
          <w:rFonts w:ascii="Garamond" w:hAnsi="Garamond"/>
        </w:rPr>
        <w:t xml:space="preserve">, </w:t>
      </w:r>
      <w:r w:rsidR="009C47EF" w:rsidRPr="00250E6F">
        <w:rPr>
          <w:rFonts w:ascii="Garamond" w:hAnsi="Garamond"/>
        </w:rPr>
        <w:t xml:space="preserve">che legittima l’Amministrazione – se non addirittura la obbliga – a vegliare sulla esecuzione dei provvedimenti durevoli, i quali – ove sopravvenissero nuovi interessi pubblici che richiedono d’esser soddisfatti – </w:t>
      </w:r>
      <w:r w:rsidR="005D2CB6" w:rsidRPr="00250E6F">
        <w:rPr>
          <w:rFonts w:ascii="Garamond" w:hAnsi="Garamond"/>
        </w:rPr>
        <w:t>potrebbero legittimamente subire una interruzione della loro efficacia in ossequio al buon andamento dell’Amministrazione. L’</w:t>
      </w:r>
      <w:r w:rsidRPr="00250E6F">
        <w:rPr>
          <w:rFonts w:ascii="Garamond" w:hAnsi="Garamond"/>
        </w:rPr>
        <w:t xml:space="preserve">inquadramento </w:t>
      </w:r>
      <w:r w:rsidR="005D2CB6" w:rsidRPr="00250E6F">
        <w:rPr>
          <w:rFonts w:ascii="Garamond" w:hAnsi="Garamond"/>
        </w:rPr>
        <w:t xml:space="preserve">della revoca </w:t>
      </w:r>
      <w:r w:rsidRPr="00250E6F">
        <w:rPr>
          <w:rFonts w:ascii="Garamond" w:hAnsi="Garamond"/>
        </w:rPr>
        <w:t xml:space="preserve">nel potere di autotutela </w:t>
      </w:r>
      <w:r w:rsidR="005D2CB6" w:rsidRPr="00250E6F">
        <w:rPr>
          <w:rFonts w:ascii="Garamond" w:hAnsi="Garamond"/>
        </w:rPr>
        <w:t>ri</w:t>
      </w:r>
      <w:r w:rsidRPr="00250E6F">
        <w:rPr>
          <w:rFonts w:ascii="Garamond" w:hAnsi="Garamond"/>
        </w:rPr>
        <w:t>suona</w:t>
      </w:r>
      <w:r w:rsidR="005D2CB6" w:rsidRPr="00250E6F">
        <w:rPr>
          <w:rFonts w:ascii="Garamond" w:hAnsi="Garamond"/>
        </w:rPr>
        <w:t>, insomma,</w:t>
      </w:r>
      <w:r w:rsidRPr="00250E6F">
        <w:rPr>
          <w:rFonts w:ascii="Garamond" w:hAnsi="Garamond"/>
        </w:rPr>
        <w:t xml:space="preserve"> sempre più come un’eco lontana.</w:t>
      </w:r>
    </w:p>
    <w:p w14:paraId="73F7A547" w14:textId="217E0700" w:rsidR="000407C3" w:rsidRDefault="000407C3" w:rsidP="00250E6F">
      <w:pPr>
        <w:rPr>
          <w:rFonts w:ascii="Garamond" w:hAnsi="Garamond"/>
        </w:rPr>
      </w:pPr>
    </w:p>
    <w:p w14:paraId="46B13A4A" w14:textId="77777777" w:rsidR="008B52F1" w:rsidRPr="008B52F1" w:rsidRDefault="008B52F1" w:rsidP="008B52F1">
      <w:pPr>
        <w:spacing w:line="276" w:lineRule="auto"/>
        <w:ind w:firstLine="284"/>
        <w:jc w:val="right"/>
        <w:rPr>
          <w:rFonts w:ascii="Garamond" w:hAnsi="Garamond"/>
          <w:b/>
          <w:sz w:val="28"/>
          <w:szCs w:val="28"/>
        </w:rPr>
      </w:pPr>
      <w:r w:rsidRPr="008B52F1">
        <w:rPr>
          <w:rFonts w:ascii="Garamond" w:hAnsi="Garamond"/>
          <w:b/>
          <w:sz w:val="28"/>
          <w:szCs w:val="28"/>
        </w:rPr>
        <w:t>Clara Napolitano</w:t>
      </w:r>
    </w:p>
    <w:p w14:paraId="7ADF46B7" w14:textId="2BA99560" w:rsidR="008B52F1" w:rsidRDefault="008B52F1" w:rsidP="008B52F1">
      <w:pPr>
        <w:jc w:val="right"/>
        <w:rPr>
          <w:rFonts w:ascii="Calibri" w:hAnsi="Calibri" w:cs="Calibri"/>
          <w:color w:val="201F1E"/>
          <w:sz w:val="22"/>
          <w:szCs w:val="22"/>
          <w:shd w:val="clear" w:color="auto" w:fill="FFFFFF"/>
        </w:rPr>
      </w:pPr>
      <w:r>
        <w:rPr>
          <w:rFonts w:ascii="Calibri" w:hAnsi="Calibri" w:cs="Calibri"/>
          <w:color w:val="201F1E"/>
          <w:sz w:val="22"/>
          <w:szCs w:val="22"/>
          <w:shd w:val="clear" w:color="auto" w:fill="FFFFFF"/>
        </w:rPr>
        <w:t> ricercatrice dell’Università del Salento</w:t>
      </w:r>
    </w:p>
    <w:p w14:paraId="23D454BA" w14:textId="1ED455F4" w:rsidR="008B52F1" w:rsidRPr="00250E6F" w:rsidRDefault="008B52F1" w:rsidP="008B52F1">
      <w:pPr>
        <w:jc w:val="right"/>
        <w:rPr>
          <w:rFonts w:ascii="Garamond" w:hAnsi="Garamond"/>
        </w:rPr>
      </w:pPr>
      <w:r>
        <w:rPr>
          <w:rFonts w:ascii="Calibri" w:hAnsi="Calibri" w:cs="Calibri"/>
          <w:color w:val="201F1E"/>
          <w:sz w:val="22"/>
          <w:szCs w:val="22"/>
          <w:shd w:val="clear" w:color="auto" w:fill="FFFFFF"/>
        </w:rPr>
        <w:t>pubblicato il 13 aprile 2022</w:t>
      </w:r>
    </w:p>
    <w:p w14:paraId="4E4866FF" w14:textId="77777777" w:rsidR="008B52F1" w:rsidRPr="00250E6F" w:rsidRDefault="008B52F1">
      <w:pPr>
        <w:jc w:val="right"/>
        <w:rPr>
          <w:rFonts w:ascii="Garamond" w:hAnsi="Garamond"/>
        </w:rPr>
      </w:pPr>
    </w:p>
    <w:sectPr w:rsidR="008B52F1" w:rsidRPr="00250E6F" w:rsidSect="000F7FA6">
      <w:footerReference w:type="even" r:id="rId6"/>
      <w:footerReference w:type="default" r:id="rId7"/>
      <w:pgSz w:w="11900" w:h="16840"/>
      <w:pgMar w:top="2299" w:right="1693" w:bottom="2088" w:left="170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E1E83" w14:textId="77777777" w:rsidR="00542C56" w:rsidRDefault="00542C56" w:rsidP="007D2CD9">
      <w:r>
        <w:separator/>
      </w:r>
    </w:p>
  </w:endnote>
  <w:endnote w:type="continuationSeparator" w:id="0">
    <w:p w14:paraId="309CCDFF" w14:textId="77777777" w:rsidR="00542C56" w:rsidRDefault="00542C56" w:rsidP="007D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StempelGaramond">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802215874"/>
      <w:docPartObj>
        <w:docPartGallery w:val="Page Numbers (Bottom of Page)"/>
        <w:docPartUnique/>
      </w:docPartObj>
    </w:sdtPr>
    <w:sdtEndPr>
      <w:rPr>
        <w:rStyle w:val="Numeropagina"/>
      </w:rPr>
    </w:sdtEndPr>
    <w:sdtContent>
      <w:p w14:paraId="60F00AA5" w14:textId="77777777" w:rsidR="007E1CB9" w:rsidRDefault="007E1CB9" w:rsidP="007D0093">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3D54630" w14:textId="77777777" w:rsidR="007E1CB9" w:rsidRDefault="007E1CB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135097149"/>
      <w:docPartObj>
        <w:docPartGallery w:val="Page Numbers (Bottom of Page)"/>
        <w:docPartUnique/>
      </w:docPartObj>
    </w:sdtPr>
    <w:sdtEndPr>
      <w:rPr>
        <w:rStyle w:val="Numeropagina"/>
      </w:rPr>
    </w:sdtEndPr>
    <w:sdtContent>
      <w:p w14:paraId="0F65050A" w14:textId="424F49F2" w:rsidR="007E1CB9" w:rsidRDefault="007E1CB9" w:rsidP="007D0093">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8B52F1">
          <w:rPr>
            <w:rStyle w:val="Numeropagina"/>
            <w:noProof/>
          </w:rPr>
          <w:t>21</w:t>
        </w:r>
        <w:r>
          <w:rPr>
            <w:rStyle w:val="Numeropagina"/>
          </w:rPr>
          <w:fldChar w:fldCharType="end"/>
        </w:r>
      </w:p>
    </w:sdtContent>
  </w:sdt>
  <w:p w14:paraId="317F04C9" w14:textId="77777777" w:rsidR="007E1CB9" w:rsidRDefault="007E1CB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E9111" w14:textId="77777777" w:rsidR="00542C56" w:rsidRDefault="00542C56" w:rsidP="007D2CD9">
      <w:r>
        <w:separator/>
      </w:r>
    </w:p>
  </w:footnote>
  <w:footnote w:type="continuationSeparator" w:id="0">
    <w:p w14:paraId="48B0629F" w14:textId="77777777" w:rsidR="00542C56" w:rsidRDefault="00542C56" w:rsidP="007D2CD9">
      <w:r>
        <w:continuationSeparator/>
      </w:r>
    </w:p>
  </w:footnote>
  <w:footnote w:id="1">
    <w:p w14:paraId="10DB3FB3" w14:textId="6EB87499" w:rsidR="00D362E1" w:rsidRPr="00250E6F" w:rsidRDefault="00A22272" w:rsidP="006466AC">
      <w:pPr>
        <w:spacing w:line="276" w:lineRule="auto"/>
        <w:ind w:firstLine="284"/>
        <w:jc w:val="both"/>
        <w:rPr>
          <w:rFonts w:ascii="Garamond" w:hAnsi="Garamond"/>
          <w:sz w:val="20"/>
          <w:szCs w:val="22"/>
        </w:rPr>
      </w:pPr>
      <w:r w:rsidRPr="00250E6F">
        <w:rPr>
          <w:rFonts w:ascii="Garamond" w:hAnsi="Garamond"/>
          <w:sz w:val="20"/>
          <w:szCs w:val="22"/>
          <w:vertAlign w:val="superscript"/>
        </w:rPr>
        <w:footnoteRef/>
      </w:r>
      <w:r w:rsidRPr="00250E6F">
        <w:rPr>
          <w:rFonts w:ascii="Garamond" w:hAnsi="Garamond"/>
          <w:sz w:val="20"/>
          <w:szCs w:val="22"/>
        </w:rPr>
        <w:t xml:space="preserve"> Il riferimento è a </w:t>
      </w:r>
      <w:r w:rsidRPr="00250E6F">
        <w:rPr>
          <w:rFonts w:ascii="Garamond" w:hAnsi="Garamond"/>
          <w:smallCaps/>
          <w:sz w:val="20"/>
          <w:szCs w:val="22"/>
        </w:rPr>
        <w:t xml:space="preserve">M. </w:t>
      </w:r>
      <w:proofErr w:type="spellStart"/>
      <w:r w:rsidRPr="00250E6F">
        <w:rPr>
          <w:rFonts w:ascii="Garamond" w:hAnsi="Garamond"/>
          <w:smallCaps/>
          <w:sz w:val="20"/>
          <w:szCs w:val="22"/>
        </w:rPr>
        <w:t>Immordino</w:t>
      </w:r>
      <w:proofErr w:type="spellEnd"/>
      <w:r w:rsidRPr="00250E6F">
        <w:rPr>
          <w:rFonts w:ascii="Garamond" w:hAnsi="Garamond"/>
          <w:sz w:val="20"/>
          <w:szCs w:val="22"/>
        </w:rPr>
        <w:t xml:space="preserve">, </w:t>
      </w:r>
      <w:r w:rsidRPr="00250E6F">
        <w:rPr>
          <w:rFonts w:ascii="Garamond" w:hAnsi="Garamond"/>
          <w:i/>
          <w:sz w:val="20"/>
          <w:szCs w:val="22"/>
        </w:rPr>
        <w:t>Revoca degli atti amministrativi e tutela dell’affidamento</w:t>
      </w:r>
      <w:r w:rsidRPr="00250E6F">
        <w:rPr>
          <w:rFonts w:ascii="Garamond" w:hAnsi="Garamond"/>
          <w:sz w:val="20"/>
          <w:szCs w:val="22"/>
        </w:rPr>
        <w:t xml:space="preserve">, Torino, 1999; </w:t>
      </w:r>
      <w:r w:rsidRPr="00250E6F">
        <w:rPr>
          <w:rFonts w:ascii="Garamond" w:hAnsi="Garamond"/>
          <w:smallCaps/>
          <w:sz w:val="20"/>
          <w:szCs w:val="22"/>
        </w:rPr>
        <w:t xml:space="preserve">Id. </w:t>
      </w:r>
      <w:r w:rsidRPr="00250E6F">
        <w:rPr>
          <w:rFonts w:ascii="Garamond" w:hAnsi="Garamond"/>
          <w:sz w:val="20"/>
          <w:szCs w:val="22"/>
        </w:rPr>
        <w:t xml:space="preserve">e </w:t>
      </w:r>
      <w:r w:rsidRPr="00250E6F">
        <w:rPr>
          <w:rFonts w:ascii="Garamond" w:hAnsi="Garamond"/>
          <w:smallCaps/>
          <w:sz w:val="20"/>
          <w:szCs w:val="22"/>
        </w:rPr>
        <w:t xml:space="preserve">A. </w:t>
      </w:r>
      <w:proofErr w:type="spellStart"/>
      <w:r w:rsidRPr="00250E6F">
        <w:rPr>
          <w:rFonts w:ascii="Garamond" w:hAnsi="Garamond"/>
          <w:smallCaps/>
          <w:sz w:val="20"/>
          <w:szCs w:val="22"/>
        </w:rPr>
        <w:t>Contieri</w:t>
      </w:r>
      <w:proofErr w:type="spellEnd"/>
      <w:r w:rsidRPr="00250E6F">
        <w:rPr>
          <w:rFonts w:ascii="Garamond" w:hAnsi="Garamond"/>
          <w:sz w:val="20"/>
          <w:szCs w:val="22"/>
        </w:rPr>
        <w:t xml:space="preserve">, </w:t>
      </w:r>
      <w:r w:rsidRPr="00250E6F">
        <w:rPr>
          <w:rFonts w:ascii="Garamond" w:hAnsi="Garamond"/>
          <w:i/>
          <w:sz w:val="20"/>
          <w:szCs w:val="22"/>
        </w:rPr>
        <w:t>L’omessa comunicazione di avvio del procedimento di revoca</w:t>
      </w:r>
      <w:r w:rsidRPr="00250E6F">
        <w:rPr>
          <w:rFonts w:ascii="Garamond" w:hAnsi="Garamond"/>
          <w:sz w:val="20"/>
          <w:szCs w:val="22"/>
        </w:rPr>
        <w:t xml:space="preserve">, in </w:t>
      </w:r>
      <w:r w:rsidRPr="00250E6F">
        <w:rPr>
          <w:rFonts w:ascii="Garamond" w:hAnsi="Garamond"/>
          <w:i/>
          <w:sz w:val="20"/>
          <w:szCs w:val="22"/>
        </w:rPr>
        <w:t xml:space="preserve">Foro </w:t>
      </w:r>
      <w:proofErr w:type="spellStart"/>
      <w:r w:rsidRPr="00250E6F">
        <w:rPr>
          <w:rFonts w:ascii="Garamond" w:hAnsi="Garamond"/>
          <w:i/>
          <w:sz w:val="20"/>
          <w:szCs w:val="22"/>
        </w:rPr>
        <w:t>amm</w:t>
      </w:r>
      <w:proofErr w:type="spellEnd"/>
      <w:r w:rsidRPr="00250E6F">
        <w:rPr>
          <w:rFonts w:ascii="Garamond" w:hAnsi="Garamond"/>
          <w:i/>
          <w:sz w:val="20"/>
          <w:szCs w:val="22"/>
        </w:rPr>
        <w:t>. Tar</w:t>
      </w:r>
      <w:r w:rsidRPr="00250E6F">
        <w:rPr>
          <w:rFonts w:ascii="Garamond" w:hAnsi="Garamond"/>
          <w:sz w:val="20"/>
          <w:szCs w:val="22"/>
        </w:rPr>
        <w:t xml:space="preserve">, n. 7-8/2006, pp. 2783 ss.; </w:t>
      </w:r>
      <w:r w:rsidRPr="00250E6F">
        <w:rPr>
          <w:rFonts w:ascii="Garamond" w:hAnsi="Garamond"/>
          <w:smallCaps/>
          <w:sz w:val="20"/>
          <w:szCs w:val="22"/>
        </w:rPr>
        <w:t>Id.</w:t>
      </w:r>
      <w:r w:rsidRPr="00250E6F">
        <w:rPr>
          <w:rFonts w:ascii="Garamond" w:hAnsi="Garamond"/>
          <w:sz w:val="20"/>
          <w:szCs w:val="22"/>
        </w:rPr>
        <w:t xml:space="preserve">, </w:t>
      </w:r>
      <w:r w:rsidRPr="00250E6F">
        <w:rPr>
          <w:rFonts w:ascii="Garamond" w:hAnsi="Garamond"/>
          <w:i/>
          <w:iCs/>
          <w:sz w:val="20"/>
          <w:szCs w:val="22"/>
        </w:rPr>
        <w:t>I provvedimenti amministrativi di secondo grado</w:t>
      </w:r>
      <w:r w:rsidRPr="00250E6F">
        <w:rPr>
          <w:rFonts w:ascii="Garamond" w:hAnsi="Garamond"/>
          <w:sz w:val="20"/>
          <w:szCs w:val="22"/>
        </w:rPr>
        <w:t xml:space="preserve">, in </w:t>
      </w:r>
      <w:r w:rsidRPr="00250E6F">
        <w:rPr>
          <w:rFonts w:ascii="Garamond" w:hAnsi="Garamond"/>
          <w:smallCaps/>
          <w:sz w:val="20"/>
          <w:szCs w:val="22"/>
        </w:rPr>
        <w:t xml:space="preserve">F.G. </w:t>
      </w:r>
      <w:proofErr w:type="spellStart"/>
      <w:r w:rsidRPr="00250E6F">
        <w:rPr>
          <w:rFonts w:ascii="Garamond" w:hAnsi="Garamond"/>
          <w:smallCaps/>
          <w:sz w:val="20"/>
          <w:szCs w:val="22"/>
        </w:rPr>
        <w:t>Scoca</w:t>
      </w:r>
      <w:proofErr w:type="spellEnd"/>
      <w:r w:rsidRPr="00250E6F">
        <w:rPr>
          <w:rFonts w:ascii="Garamond" w:hAnsi="Garamond"/>
          <w:sz w:val="20"/>
          <w:szCs w:val="22"/>
        </w:rPr>
        <w:t xml:space="preserve"> (a cura di), </w:t>
      </w:r>
      <w:r w:rsidRPr="00250E6F">
        <w:rPr>
          <w:rFonts w:ascii="Garamond" w:hAnsi="Garamond"/>
          <w:i/>
          <w:iCs/>
          <w:sz w:val="20"/>
          <w:szCs w:val="22"/>
        </w:rPr>
        <w:t>Diritto amministrativo</w:t>
      </w:r>
      <w:r w:rsidRPr="00250E6F">
        <w:rPr>
          <w:rFonts w:ascii="Garamond" w:hAnsi="Garamond"/>
          <w:sz w:val="20"/>
          <w:szCs w:val="22"/>
        </w:rPr>
        <w:t xml:space="preserve">, Torino, 2014; </w:t>
      </w:r>
      <w:r w:rsidRPr="00250E6F">
        <w:rPr>
          <w:rFonts w:ascii="Garamond" w:hAnsi="Garamond"/>
          <w:smallCaps/>
          <w:sz w:val="20"/>
          <w:szCs w:val="22"/>
        </w:rPr>
        <w:t>Id.</w:t>
      </w:r>
      <w:r w:rsidRPr="00250E6F">
        <w:rPr>
          <w:rFonts w:ascii="Garamond" w:hAnsi="Garamond"/>
          <w:sz w:val="20"/>
          <w:szCs w:val="22"/>
        </w:rPr>
        <w:t xml:space="preserve">, </w:t>
      </w:r>
      <w:r w:rsidRPr="00250E6F">
        <w:rPr>
          <w:rFonts w:ascii="Garamond" w:hAnsi="Garamond"/>
          <w:i/>
          <w:sz w:val="20"/>
          <w:szCs w:val="22"/>
        </w:rPr>
        <w:t>Il potere amministrativo di revoca</w:t>
      </w:r>
      <w:r w:rsidRPr="00250E6F">
        <w:rPr>
          <w:rFonts w:ascii="Garamond" w:hAnsi="Garamond"/>
          <w:sz w:val="20"/>
          <w:szCs w:val="22"/>
        </w:rPr>
        <w:t xml:space="preserve">, in </w:t>
      </w:r>
      <w:r w:rsidRPr="00250E6F">
        <w:rPr>
          <w:rFonts w:ascii="Garamond" w:hAnsi="Garamond"/>
          <w:i/>
          <w:sz w:val="20"/>
          <w:szCs w:val="22"/>
        </w:rPr>
        <w:t>Federalismi.it</w:t>
      </w:r>
      <w:r w:rsidRPr="00250E6F">
        <w:rPr>
          <w:rFonts w:ascii="Garamond" w:hAnsi="Garamond"/>
          <w:sz w:val="20"/>
          <w:szCs w:val="22"/>
        </w:rPr>
        <w:t>, n. 7/2017.</w:t>
      </w:r>
    </w:p>
  </w:footnote>
  <w:footnote w:id="2">
    <w:p w14:paraId="462760BD" w14:textId="1134B11B" w:rsidR="007E1CB9" w:rsidRPr="00250E6F" w:rsidRDefault="007E1CB9" w:rsidP="001B1589">
      <w:pPr>
        <w:spacing w:line="276" w:lineRule="auto"/>
        <w:ind w:firstLine="284"/>
        <w:jc w:val="both"/>
        <w:rPr>
          <w:rFonts w:ascii="Garamond" w:hAnsi="Garamond"/>
          <w:sz w:val="20"/>
          <w:szCs w:val="22"/>
        </w:rPr>
      </w:pPr>
      <w:r w:rsidRPr="00250E6F">
        <w:rPr>
          <w:rFonts w:ascii="Garamond" w:hAnsi="Garamond"/>
          <w:sz w:val="20"/>
          <w:szCs w:val="22"/>
          <w:vertAlign w:val="superscript"/>
        </w:rPr>
        <w:footnoteRef/>
      </w:r>
      <w:r w:rsidRPr="00250E6F">
        <w:rPr>
          <w:rFonts w:ascii="Garamond" w:hAnsi="Garamond"/>
          <w:sz w:val="20"/>
          <w:szCs w:val="22"/>
        </w:rPr>
        <w:t xml:space="preserve"> Più ampiamente, la </w:t>
      </w:r>
      <w:r w:rsidRPr="00250E6F">
        <w:rPr>
          <w:rFonts w:ascii="Garamond" w:hAnsi="Garamond"/>
          <w:i/>
          <w:sz w:val="20"/>
          <w:szCs w:val="22"/>
        </w:rPr>
        <w:t>querelle</w:t>
      </w:r>
      <w:r w:rsidRPr="00250E6F">
        <w:rPr>
          <w:rFonts w:ascii="Garamond" w:hAnsi="Garamond"/>
          <w:sz w:val="20"/>
          <w:szCs w:val="22"/>
        </w:rPr>
        <w:t xml:space="preserve"> investe i rapporti tra privato e pubblica Amministrazione quando questa annulli d’ufficio un proprio provvedimento illegittimo ampliativo – o quando, per essa, lo faccia il Giudice amministrativo – e il privato – che ne era stato beneficiario – si ritrovi con una lesione patrimoniale dettata dall’aver confidato nella (legittimità o quantomeno nella) stabilità di quel provvedimento nel tempo, tanto da indirizzarlo in scelte economiche (investimenti, </w:t>
      </w:r>
      <w:r w:rsidRPr="00250E6F">
        <w:rPr>
          <w:rFonts w:ascii="Garamond" w:hAnsi="Garamond"/>
          <w:i/>
          <w:sz w:val="20"/>
          <w:szCs w:val="22"/>
        </w:rPr>
        <w:t>etc.</w:t>
      </w:r>
      <w:r w:rsidRPr="00250E6F">
        <w:rPr>
          <w:rFonts w:ascii="Garamond" w:hAnsi="Garamond"/>
          <w:sz w:val="20"/>
          <w:szCs w:val="22"/>
        </w:rPr>
        <w:t xml:space="preserve">) </w:t>
      </w:r>
      <w:r w:rsidR="007A7DC1" w:rsidRPr="00250E6F">
        <w:rPr>
          <w:rFonts w:ascii="Garamond" w:hAnsi="Garamond"/>
          <w:sz w:val="20"/>
          <w:szCs w:val="22"/>
        </w:rPr>
        <w:t>pregiudicate dall’annullamento stesso</w:t>
      </w:r>
      <w:r w:rsidRPr="00250E6F">
        <w:rPr>
          <w:rFonts w:ascii="Garamond" w:hAnsi="Garamond"/>
          <w:sz w:val="20"/>
          <w:szCs w:val="22"/>
        </w:rPr>
        <w:t>.</w:t>
      </w:r>
      <w:r w:rsidR="007A7DC1" w:rsidRPr="00250E6F">
        <w:rPr>
          <w:rFonts w:ascii="Garamond" w:hAnsi="Garamond"/>
          <w:sz w:val="20"/>
          <w:szCs w:val="22"/>
        </w:rPr>
        <w:t xml:space="preserve"> Imprescindibile il riferimento a </w:t>
      </w:r>
      <w:r w:rsidR="007A7DC1" w:rsidRPr="00250E6F">
        <w:rPr>
          <w:rFonts w:ascii="Garamond" w:hAnsi="Garamond"/>
          <w:smallCaps/>
          <w:sz w:val="20"/>
          <w:szCs w:val="22"/>
        </w:rPr>
        <w:t xml:space="preserve">F. </w:t>
      </w:r>
      <w:proofErr w:type="spellStart"/>
      <w:r w:rsidR="007A7DC1" w:rsidRPr="00250E6F">
        <w:rPr>
          <w:rFonts w:ascii="Garamond" w:hAnsi="Garamond"/>
          <w:smallCaps/>
          <w:sz w:val="20"/>
          <w:szCs w:val="22"/>
        </w:rPr>
        <w:t>Merusi</w:t>
      </w:r>
      <w:proofErr w:type="spellEnd"/>
      <w:r w:rsidR="007A7DC1" w:rsidRPr="00250E6F">
        <w:rPr>
          <w:rFonts w:ascii="Garamond" w:hAnsi="Garamond"/>
          <w:sz w:val="20"/>
          <w:szCs w:val="22"/>
        </w:rPr>
        <w:t xml:space="preserve">, </w:t>
      </w:r>
      <w:r w:rsidR="007A7DC1" w:rsidRPr="00250E6F">
        <w:rPr>
          <w:rFonts w:ascii="Garamond" w:hAnsi="Garamond"/>
          <w:i/>
          <w:iCs/>
          <w:sz w:val="20"/>
          <w:szCs w:val="22"/>
        </w:rPr>
        <w:t>Affidamento e buona fede nel diritto pubblico</w:t>
      </w:r>
      <w:r w:rsidR="007A7DC1" w:rsidRPr="00250E6F">
        <w:rPr>
          <w:rFonts w:ascii="Garamond" w:hAnsi="Garamond"/>
          <w:sz w:val="20"/>
          <w:szCs w:val="22"/>
        </w:rPr>
        <w:t xml:space="preserve">, Milano, 1970; </w:t>
      </w:r>
      <w:r w:rsidR="007A7DC1" w:rsidRPr="00250E6F">
        <w:rPr>
          <w:rFonts w:ascii="Garamond" w:hAnsi="Garamond"/>
          <w:smallCaps/>
          <w:sz w:val="20"/>
          <w:szCs w:val="22"/>
        </w:rPr>
        <w:t>Id.</w:t>
      </w:r>
      <w:r w:rsidR="007A7DC1" w:rsidRPr="00250E6F">
        <w:rPr>
          <w:rFonts w:ascii="Garamond" w:hAnsi="Garamond"/>
          <w:sz w:val="20"/>
          <w:szCs w:val="22"/>
        </w:rPr>
        <w:t xml:space="preserve">, </w:t>
      </w:r>
      <w:r w:rsidR="007A7DC1" w:rsidRPr="00250E6F">
        <w:rPr>
          <w:rFonts w:ascii="Garamond" w:hAnsi="Garamond"/>
          <w:i/>
          <w:iCs/>
          <w:sz w:val="20"/>
          <w:szCs w:val="22"/>
        </w:rPr>
        <w:t>Buona fede e affidamento nel diritto pubblico. Dagli anni trenta all’alternanza</w:t>
      </w:r>
      <w:r w:rsidR="007A7DC1" w:rsidRPr="00250E6F">
        <w:rPr>
          <w:rFonts w:ascii="Garamond" w:hAnsi="Garamond"/>
          <w:sz w:val="20"/>
          <w:szCs w:val="22"/>
        </w:rPr>
        <w:t>, Milano, 2001</w:t>
      </w:r>
      <w:r w:rsidR="00FC7375" w:rsidRPr="00250E6F">
        <w:rPr>
          <w:rFonts w:ascii="Garamond" w:hAnsi="Garamond"/>
          <w:sz w:val="20"/>
          <w:szCs w:val="22"/>
        </w:rPr>
        <w:t xml:space="preserve">. Gli studi sull’affidamento sono poi affrontati di recente anche da A. </w:t>
      </w:r>
      <w:r w:rsidR="00FC7375" w:rsidRPr="00250E6F">
        <w:rPr>
          <w:rFonts w:ascii="Garamond" w:hAnsi="Garamond"/>
          <w:smallCaps/>
          <w:sz w:val="20"/>
          <w:szCs w:val="22"/>
        </w:rPr>
        <w:t>Gigli</w:t>
      </w:r>
      <w:r w:rsidR="00FC7375" w:rsidRPr="00250E6F">
        <w:rPr>
          <w:rFonts w:ascii="Garamond" w:hAnsi="Garamond"/>
          <w:sz w:val="20"/>
          <w:szCs w:val="22"/>
        </w:rPr>
        <w:t xml:space="preserve">, </w:t>
      </w:r>
      <w:r w:rsidR="00FC7375" w:rsidRPr="00250E6F">
        <w:rPr>
          <w:rFonts w:ascii="Garamond" w:hAnsi="Garamond"/>
          <w:i/>
          <w:iCs/>
          <w:sz w:val="20"/>
          <w:szCs w:val="22"/>
        </w:rPr>
        <w:t>Nuove prospettive di tutela del legittimo affidamento nei confronti del potere amministrativo</w:t>
      </w:r>
      <w:r w:rsidR="00FC7375" w:rsidRPr="00250E6F">
        <w:rPr>
          <w:rFonts w:ascii="Garamond" w:hAnsi="Garamond"/>
          <w:sz w:val="20"/>
          <w:szCs w:val="22"/>
        </w:rPr>
        <w:t>, Napoli, 2016</w:t>
      </w:r>
      <w:r w:rsidR="009D7A79" w:rsidRPr="00250E6F">
        <w:rPr>
          <w:rFonts w:ascii="Garamond" w:hAnsi="Garamond"/>
          <w:sz w:val="20"/>
          <w:szCs w:val="22"/>
        </w:rPr>
        <w:t xml:space="preserve">. Segnatamente sulle interferenze tra potere di autotutela e legittimo affidamento v. i recenti lavori di </w:t>
      </w:r>
      <w:r w:rsidR="009D7A79" w:rsidRPr="00250E6F">
        <w:rPr>
          <w:rFonts w:ascii="Garamond" w:hAnsi="Garamond"/>
          <w:smallCaps/>
          <w:sz w:val="20"/>
          <w:szCs w:val="22"/>
        </w:rPr>
        <w:t>M. Allena</w:t>
      </w:r>
      <w:r w:rsidR="009D7A79" w:rsidRPr="00250E6F">
        <w:rPr>
          <w:rFonts w:ascii="Garamond" w:hAnsi="Garamond"/>
          <w:sz w:val="20"/>
          <w:szCs w:val="22"/>
        </w:rPr>
        <w:t xml:space="preserve">, </w:t>
      </w:r>
      <w:r w:rsidR="009D7A79" w:rsidRPr="00250E6F">
        <w:rPr>
          <w:rFonts w:ascii="Garamond" w:hAnsi="Garamond"/>
          <w:i/>
          <w:sz w:val="20"/>
          <w:szCs w:val="22"/>
        </w:rPr>
        <w:t>L’annullamento d’ufficio. Dall’autotutela alla tutela</w:t>
      </w:r>
      <w:r w:rsidR="009D7A79" w:rsidRPr="00250E6F">
        <w:rPr>
          <w:rFonts w:ascii="Garamond" w:hAnsi="Garamond"/>
          <w:sz w:val="20"/>
          <w:szCs w:val="22"/>
        </w:rPr>
        <w:t xml:space="preserve">, Napoli, 2017, e – in prospettiva più ampia sul potere amministrativo, tra cui anche quello d’autotutela – </w:t>
      </w:r>
      <w:r w:rsidR="009D7A79" w:rsidRPr="00250E6F">
        <w:rPr>
          <w:rFonts w:ascii="Garamond" w:hAnsi="Garamond"/>
          <w:smallCaps/>
          <w:sz w:val="20"/>
          <w:szCs w:val="22"/>
        </w:rPr>
        <w:t xml:space="preserve">M. </w:t>
      </w:r>
      <w:proofErr w:type="spellStart"/>
      <w:r w:rsidR="009D7A79" w:rsidRPr="00250E6F">
        <w:rPr>
          <w:rFonts w:ascii="Garamond" w:hAnsi="Garamond"/>
          <w:smallCaps/>
          <w:sz w:val="20"/>
          <w:szCs w:val="22"/>
        </w:rPr>
        <w:t>Trimarchi</w:t>
      </w:r>
      <w:proofErr w:type="spellEnd"/>
      <w:r w:rsidR="009D7A79" w:rsidRPr="00250E6F">
        <w:rPr>
          <w:rFonts w:ascii="Garamond" w:hAnsi="Garamond"/>
          <w:sz w:val="20"/>
          <w:szCs w:val="22"/>
        </w:rPr>
        <w:t xml:space="preserve">, </w:t>
      </w:r>
      <w:r w:rsidR="009D7A79" w:rsidRPr="00250E6F">
        <w:rPr>
          <w:rFonts w:ascii="Garamond" w:hAnsi="Garamond"/>
          <w:i/>
          <w:sz w:val="20"/>
          <w:szCs w:val="22"/>
        </w:rPr>
        <w:t>L’inesauribilità del potere amministrativo</w:t>
      </w:r>
      <w:r w:rsidR="009D7A79" w:rsidRPr="00250E6F">
        <w:rPr>
          <w:rFonts w:ascii="Garamond" w:hAnsi="Garamond"/>
          <w:sz w:val="20"/>
          <w:szCs w:val="22"/>
        </w:rPr>
        <w:t xml:space="preserve">, Napoli, 2018. È </w:t>
      </w:r>
      <w:r w:rsidR="00AF64A4" w:rsidRPr="00250E6F">
        <w:rPr>
          <w:rFonts w:ascii="Garamond" w:hAnsi="Garamond"/>
          <w:sz w:val="20"/>
          <w:szCs w:val="22"/>
        </w:rPr>
        <w:t>stata oggetto proprio di una recente sentenza dell’Adunanza p</w:t>
      </w:r>
      <w:r w:rsidR="009D7A79" w:rsidRPr="00250E6F">
        <w:rPr>
          <w:rFonts w:ascii="Garamond" w:hAnsi="Garamond"/>
          <w:sz w:val="20"/>
          <w:szCs w:val="22"/>
        </w:rPr>
        <w:t>lenaria</w:t>
      </w:r>
      <w:r w:rsidR="00AF64A4" w:rsidRPr="00250E6F">
        <w:rPr>
          <w:rFonts w:ascii="Garamond" w:hAnsi="Garamond"/>
          <w:sz w:val="20"/>
          <w:szCs w:val="22"/>
        </w:rPr>
        <w:t xml:space="preserve"> – 29 novembre 2021, n. 20 – </w:t>
      </w:r>
      <w:r w:rsidR="009D7A79" w:rsidRPr="00250E6F">
        <w:rPr>
          <w:rFonts w:ascii="Garamond" w:hAnsi="Garamond"/>
          <w:sz w:val="20"/>
          <w:szCs w:val="22"/>
        </w:rPr>
        <w:t xml:space="preserve">la questione </w:t>
      </w:r>
      <w:r w:rsidR="0061795D" w:rsidRPr="00250E6F">
        <w:rPr>
          <w:rFonts w:ascii="Garamond" w:hAnsi="Garamond"/>
          <w:sz w:val="20"/>
          <w:szCs w:val="22"/>
        </w:rPr>
        <w:t xml:space="preserve">– che investe profili </w:t>
      </w:r>
      <w:r w:rsidR="009D7A79" w:rsidRPr="00250E6F">
        <w:rPr>
          <w:rFonts w:ascii="Garamond" w:hAnsi="Garamond"/>
          <w:sz w:val="20"/>
          <w:szCs w:val="22"/>
        </w:rPr>
        <w:t>sia di giurisdizione</w:t>
      </w:r>
      <w:r w:rsidR="0061795D" w:rsidRPr="00250E6F">
        <w:rPr>
          <w:rFonts w:ascii="Garamond" w:hAnsi="Garamond"/>
          <w:sz w:val="20"/>
          <w:szCs w:val="22"/>
        </w:rPr>
        <w:t>,</w:t>
      </w:r>
      <w:r w:rsidR="009D7A79" w:rsidRPr="00250E6F">
        <w:rPr>
          <w:rFonts w:ascii="Garamond" w:hAnsi="Garamond"/>
          <w:sz w:val="20"/>
          <w:szCs w:val="22"/>
        </w:rPr>
        <w:t xml:space="preserve"> sia di merito </w:t>
      </w:r>
      <w:r w:rsidR="0061795D" w:rsidRPr="00250E6F">
        <w:rPr>
          <w:rFonts w:ascii="Garamond" w:hAnsi="Garamond"/>
          <w:sz w:val="20"/>
          <w:szCs w:val="22"/>
        </w:rPr>
        <w:t xml:space="preserve">– </w:t>
      </w:r>
      <w:r w:rsidR="009D7A79" w:rsidRPr="00250E6F">
        <w:rPr>
          <w:rFonts w:ascii="Garamond" w:hAnsi="Garamond"/>
          <w:sz w:val="20"/>
          <w:szCs w:val="22"/>
        </w:rPr>
        <w:t>circa la configurazione e la tutela del legittimo affidamento in caso d’</w:t>
      </w:r>
      <w:r w:rsidR="00AF64A4" w:rsidRPr="00250E6F">
        <w:rPr>
          <w:rFonts w:ascii="Garamond" w:hAnsi="Garamond"/>
          <w:sz w:val="20"/>
          <w:szCs w:val="22"/>
        </w:rPr>
        <w:t>annullamento del provvedimento amministrativo favorevole</w:t>
      </w:r>
      <w:r w:rsidR="009D7A79" w:rsidRPr="00250E6F">
        <w:rPr>
          <w:rFonts w:ascii="Garamond" w:hAnsi="Garamond"/>
          <w:sz w:val="20"/>
          <w:szCs w:val="22"/>
        </w:rPr>
        <w:t xml:space="preserve">. </w:t>
      </w:r>
      <w:r w:rsidR="00AF64A4" w:rsidRPr="00250E6F">
        <w:rPr>
          <w:rFonts w:ascii="Garamond" w:hAnsi="Garamond"/>
          <w:sz w:val="20"/>
          <w:szCs w:val="22"/>
        </w:rPr>
        <w:t xml:space="preserve">La sentenza è stata originata dall’ordinanza </w:t>
      </w:r>
      <w:proofErr w:type="spellStart"/>
      <w:r w:rsidR="001B1589" w:rsidRPr="00250E6F">
        <w:rPr>
          <w:rFonts w:ascii="Garamond" w:hAnsi="Garamond"/>
          <w:sz w:val="20"/>
          <w:szCs w:val="22"/>
        </w:rPr>
        <w:t>Cons</w:t>
      </w:r>
      <w:proofErr w:type="spellEnd"/>
      <w:r w:rsidR="001B1589" w:rsidRPr="00250E6F">
        <w:rPr>
          <w:rFonts w:ascii="Garamond" w:hAnsi="Garamond"/>
          <w:sz w:val="20"/>
          <w:szCs w:val="22"/>
        </w:rPr>
        <w:t>. Stato, I</w:t>
      </w:r>
      <w:r w:rsidR="00AF64A4" w:rsidRPr="00250E6F">
        <w:rPr>
          <w:rFonts w:ascii="Garamond" w:hAnsi="Garamond"/>
          <w:sz w:val="20"/>
          <w:szCs w:val="22"/>
        </w:rPr>
        <w:t>V</w:t>
      </w:r>
      <w:r w:rsidR="001B1589" w:rsidRPr="00250E6F">
        <w:rPr>
          <w:rFonts w:ascii="Garamond" w:hAnsi="Garamond"/>
          <w:sz w:val="20"/>
          <w:szCs w:val="22"/>
        </w:rPr>
        <w:t xml:space="preserve">, </w:t>
      </w:r>
      <w:proofErr w:type="spellStart"/>
      <w:r w:rsidR="001B1589" w:rsidRPr="00250E6F">
        <w:rPr>
          <w:rFonts w:ascii="Garamond" w:hAnsi="Garamond"/>
          <w:sz w:val="20"/>
          <w:szCs w:val="22"/>
        </w:rPr>
        <w:t>ord</w:t>
      </w:r>
      <w:proofErr w:type="spellEnd"/>
      <w:r w:rsidR="001B1589" w:rsidRPr="00250E6F">
        <w:rPr>
          <w:rFonts w:ascii="Garamond" w:hAnsi="Garamond"/>
          <w:sz w:val="20"/>
          <w:szCs w:val="22"/>
        </w:rPr>
        <w:t xml:space="preserve">. </w:t>
      </w:r>
      <w:r w:rsidR="00AF64A4" w:rsidRPr="00250E6F">
        <w:rPr>
          <w:rFonts w:ascii="Garamond" w:hAnsi="Garamond"/>
          <w:sz w:val="20"/>
          <w:szCs w:val="22"/>
        </w:rPr>
        <w:t>11 maggio 2021, n. 3701</w:t>
      </w:r>
      <w:r w:rsidR="00985ABD" w:rsidRPr="00250E6F">
        <w:rPr>
          <w:rFonts w:ascii="Garamond" w:hAnsi="Garamond"/>
          <w:sz w:val="20"/>
          <w:szCs w:val="22"/>
        </w:rPr>
        <w:t>, che rileva</w:t>
      </w:r>
      <w:r w:rsidR="00AF64A4" w:rsidRPr="00250E6F">
        <w:rPr>
          <w:rFonts w:ascii="Garamond" w:hAnsi="Garamond"/>
          <w:sz w:val="20"/>
          <w:szCs w:val="22"/>
        </w:rPr>
        <w:t>va</w:t>
      </w:r>
      <w:r w:rsidR="00985ABD" w:rsidRPr="00250E6F">
        <w:rPr>
          <w:rFonts w:ascii="Garamond" w:hAnsi="Garamond"/>
          <w:sz w:val="20"/>
          <w:szCs w:val="22"/>
        </w:rPr>
        <w:t xml:space="preserve"> le criticità insite nell’orientamento ormai consolidato inaugurato con le note ordinanze gemelle della Cassazione del 201</w:t>
      </w:r>
      <w:r w:rsidR="00CD16D9" w:rsidRPr="00250E6F">
        <w:rPr>
          <w:rFonts w:ascii="Garamond" w:hAnsi="Garamond"/>
          <w:sz w:val="20"/>
          <w:szCs w:val="22"/>
        </w:rPr>
        <w:t>1</w:t>
      </w:r>
      <w:r w:rsidR="00CD7C43" w:rsidRPr="00250E6F">
        <w:rPr>
          <w:rFonts w:ascii="Garamond" w:hAnsi="Garamond"/>
          <w:sz w:val="20"/>
          <w:szCs w:val="22"/>
        </w:rPr>
        <w:t>.</w:t>
      </w:r>
    </w:p>
  </w:footnote>
  <w:footnote w:id="3">
    <w:p w14:paraId="6FB6FAAA" w14:textId="77777777" w:rsidR="001F7E8D" w:rsidRPr="00250E6F" w:rsidRDefault="001F7E8D" w:rsidP="001F7E8D">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Qui la nozione di ritiro è intesa in senso </w:t>
      </w:r>
      <w:proofErr w:type="spellStart"/>
      <w:r w:rsidRPr="00250E6F">
        <w:rPr>
          <w:rFonts w:ascii="Garamond" w:hAnsi="Garamond"/>
          <w:sz w:val="20"/>
          <w:szCs w:val="18"/>
        </w:rPr>
        <w:t>atecnico</w:t>
      </w:r>
      <w:proofErr w:type="spellEnd"/>
      <w:r w:rsidRPr="00250E6F">
        <w:rPr>
          <w:rFonts w:ascii="Garamond" w:hAnsi="Garamond"/>
          <w:sz w:val="20"/>
          <w:szCs w:val="18"/>
        </w:rPr>
        <w:t xml:space="preserve">: più che altro quale impossibilità per il privato di usufruire di quel vantaggio primigenio, o perché il provvedimento è stato rimosso </w:t>
      </w:r>
      <w:r w:rsidR="008A0243" w:rsidRPr="00250E6F">
        <w:rPr>
          <w:rFonts w:ascii="Garamond" w:hAnsi="Garamond"/>
          <w:sz w:val="20"/>
          <w:szCs w:val="18"/>
        </w:rPr>
        <w:t xml:space="preserve">con efficacia </w:t>
      </w:r>
      <w:r w:rsidR="008A0243" w:rsidRPr="00250E6F">
        <w:rPr>
          <w:rFonts w:ascii="Garamond" w:hAnsi="Garamond"/>
          <w:i/>
          <w:sz w:val="20"/>
          <w:szCs w:val="18"/>
        </w:rPr>
        <w:t xml:space="preserve">ex </w:t>
      </w:r>
      <w:proofErr w:type="spellStart"/>
      <w:r w:rsidR="008A0243" w:rsidRPr="00250E6F">
        <w:rPr>
          <w:rFonts w:ascii="Garamond" w:hAnsi="Garamond"/>
          <w:i/>
          <w:sz w:val="20"/>
          <w:szCs w:val="18"/>
        </w:rPr>
        <w:t>tunc</w:t>
      </w:r>
      <w:proofErr w:type="spellEnd"/>
      <w:r w:rsidR="008A0243" w:rsidRPr="00250E6F">
        <w:rPr>
          <w:rFonts w:ascii="Garamond" w:hAnsi="Garamond"/>
          <w:sz w:val="20"/>
          <w:szCs w:val="18"/>
        </w:rPr>
        <w:t xml:space="preserve">, tramite annullamento d’ufficio, oppure </w:t>
      </w:r>
      <w:r w:rsidR="008A0243" w:rsidRPr="00250E6F">
        <w:rPr>
          <w:rFonts w:ascii="Garamond" w:hAnsi="Garamond"/>
          <w:i/>
          <w:sz w:val="20"/>
          <w:szCs w:val="18"/>
        </w:rPr>
        <w:t xml:space="preserve">ex </w:t>
      </w:r>
      <w:proofErr w:type="spellStart"/>
      <w:r w:rsidR="008A0243" w:rsidRPr="00250E6F">
        <w:rPr>
          <w:rFonts w:ascii="Garamond" w:hAnsi="Garamond"/>
          <w:i/>
          <w:sz w:val="20"/>
          <w:szCs w:val="18"/>
        </w:rPr>
        <w:t>nunc</w:t>
      </w:r>
      <w:proofErr w:type="spellEnd"/>
      <w:r w:rsidR="008A0243" w:rsidRPr="00250E6F">
        <w:rPr>
          <w:rFonts w:ascii="Garamond" w:hAnsi="Garamond"/>
          <w:sz w:val="20"/>
          <w:szCs w:val="18"/>
        </w:rPr>
        <w:t xml:space="preserve"> tramite, appunto, la revoca</w:t>
      </w:r>
      <w:r w:rsidRPr="00250E6F">
        <w:rPr>
          <w:rFonts w:ascii="Garamond" w:hAnsi="Garamond"/>
          <w:sz w:val="20"/>
          <w:szCs w:val="18"/>
        </w:rPr>
        <w:t>.</w:t>
      </w:r>
    </w:p>
  </w:footnote>
  <w:footnote w:id="4">
    <w:p w14:paraId="59BB3AF3"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w:t>
      </w:r>
      <w:r w:rsidR="003D24E2" w:rsidRPr="00250E6F">
        <w:rPr>
          <w:rFonts w:ascii="Garamond" w:hAnsi="Garamond"/>
          <w:sz w:val="20"/>
          <w:szCs w:val="18"/>
        </w:rPr>
        <w:t>Basti pensare, per esempio, ai t</w:t>
      </w:r>
      <w:r w:rsidRPr="00250E6F">
        <w:rPr>
          <w:rFonts w:ascii="Garamond" w:hAnsi="Garamond"/>
          <w:sz w:val="20"/>
          <w:szCs w:val="18"/>
        </w:rPr>
        <w:t>ermini d’operatività sempre più rigorosi – oggi, 12 mesi</w:t>
      </w:r>
      <w:r w:rsidR="003D24E2" w:rsidRPr="00250E6F">
        <w:rPr>
          <w:rFonts w:ascii="Garamond" w:hAnsi="Garamond"/>
          <w:sz w:val="20"/>
          <w:szCs w:val="18"/>
        </w:rPr>
        <w:t xml:space="preserve"> dall’adozione del provvedimento </w:t>
      </w:r>
      <w:r w:rsidR="003D24E2" w:rsidRPr="00250E6F">
        <w:rPr>
          <w:rFonts w:ascii="Garamond" w:hAnsi="Garamond"/>
          <w:i/>
          <w:sz w:val="20"/>
          <w:szCs w:val="18"/>
        </w:rPr>
        <w:t xml:space="preserve">contra </w:t>
      </w:r>
      <w:proofErr w:type="spellStart"/>
      <w:r w:rsidR="003D24E2" w:rsidRPr="00250E6F">
        <w:rPr>
          <w:rFonts w:ascii="Garamond" w:hAnsi="Garamond"/>
          <w:i/>
          <w:sz w:val="20"/>
          <w:szCs w:val="18"/>
        </w:rPr>
        <w:t>legem</w:t>
      </w:r>
      <w:proofErr w:type="spellEnd"/>
      <w:r w:rsidRPr="00250E6F">
        <w:rPr>
          <w:rFonts w:ascii="Garamond" w:hAnsi="Garamond"/>
          <w:sz w:val="20"/>
          <w:szCs w:val="18"/>
        </w:rPr>
        <w:t xml:space="preserve"> – con successivo consolidamento dell’atto illegittimo in caso di mancato esercizio di quel potere; </w:t>
      </w:r>
      <w:r w:rsidR="003D24E2" w:rsidRPr="00250E6F">
        <w:rPr>
          <w:rFonts w:ascii="Garamond" w:hAnsi="Garamond"/>
          <w:sz w:val="20"/>
          <w:szCs w:val="18"/>
        </w:rPr>
        <w:t>resta poi indiscussa</w:t>
      </w:r>
      <w:r w:rsidRPr="00250E6F">
        <w:rPr>
          <w:rFonts w:ascii="Garamond" w:hAnsi="Garamond"/>
          <w:sz w:val="20"/>
          <w:szCs w:val="18"/>
        </w:rPr>
        <w:t xml:space="preserve"> </w:t>
      </w:r>
      <w:r w:rsidR="003D24E2" w:rsidRPr="00250E6F">
        <w:rPr>
          <w:rFonts w:ascii="Garamond" w:hAnsi="Garamond"/>
          <w:sz w:val="20"/>
          <w:szCs w:val="18"/>
        </w:rPr>
        <w:t xml:space="preserve">l’assenza </w:t>
      </w:r>
      <w:r w:rsidRPr="00250E6F">
        <w:rPr>
          <w:rFonts w:ascii="Garamond" w:hAnsi="Garamond"/>
          <w:sz w:val="20"/>
          <w:szCs w:val="18"/>
        </w:rPr>
        <w:t>di tutela indennitaria per chi lo subisca.</w:t>
      </w:r>
    </w:p>
  </w:footnote>
  <w:footnote w:id="5">
    <w:p w14:paraId="7ED16B64" w14:textId="77777777" w:rsidR="003D24E2" w:rsidRPr="00250E6F" w:rsidRDefault="003D24E2" w:rsidP="00B63C0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w:t>
      </w:r>
      <w:r w:rsidR="005E7109" w:rsidRPr="00250E6F">
        <w:rPr>
          <w:rFonts w:ascii="Garamond" w:hAnsi="Garamond"/>
          <w:sz w:val="20"/>
          <w:szCs w:val="18"/>
        </w:rPr>
        <w:t>Proprio</w:t>
      </w:r>
      <w:r w:rsidRPr="00250E6F">
        <w:rPr>
          <w:rFonts w:ascii="Garamond" w:hAnsi="Garamond"/>
          <w:sz w:val="20"/>
          <w:szCs w:val="18"/>
        </w:rPr>
        <w:t xml:space="preserve"> in relazione al termine d’esercizio, il provvedimento è sempre revocabile: </w:t>
      </w:r>
      <w:r w:rsidR="00B63C01" w:rsidRPr="00250E6F">
        <w:rPr>
          <w:rFonts w:ascii="Garamond" w:hAnsi="Garamond"/>
          <w:sz w:val="20"/>
          <w:szCs w:val="18"/>
        </w:rPr>
        <w:t>nei lavori parlamentari per la l. n. 15/’05 era stato prospettato un termine di due anni, che per</w:t>
      </w:r>
      <w:r w:rsidR="00BD6EE2" w:rsidRPr="00250E6F">
        <w:rPr>
          <w:rFonts w:ascii="Garamond" w:hAnsi="Garamond"/>
          <w:sz w:val="20"/>
          <w:szCs w:val="18"/>
        </w:rPr>
        <w:t>ò</w:t>
      </w:r>
      <w:r w:rsidR="00B63C01" w:rsidRPr="00250E6F">
        <w:rPr>
          <w:rFonts w:ascii="Garamond" w:hAnsi="Garamond"/>
          <w:sz w:val="20"/>
          <w:szCs w:val="18"/>
        </w:rPr>
        <w:t xml:space="preserve"> non ha mai trovato sanzione legislativa, essendo impossibile prevedere limiti temporali all’insorgenza di sopravvenienze.</w:t>
      </w:r>
    </w:p>
  </w:footnote>
  <w:footnote w:id="6">
    <w:p w14:paraId="5A3E894A" w14:textId="1050787B" w:rsidR="00CC3A63" w:rsidRPr="00250E6F" w:rsidRDefault="00CC3A63" w:rsidP="005638D5">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w:t>
      </w:r>
      <w:r w:rsidRPr="00250E6F">
        <w:rPr>
          <w:rFonts w:ascii="Garamond" w:hAnsi="Garamond"/>
          <w:smallCaps/>
          <w:sz w:val="20"/>
          <w:szCs w:val="18"/>
        </w:rPr>
        <w:t xml:space="preserve">A. </w:t>
      </w:r>
      <w:proofErr w:type="spellStart"/>
      <w:r w:rsidRPr="00250E6F">
        <w:rPr>
          <w:rFonts w:ascii="Garamond" w:hAnsi="Garamond"/>
          <w:smallCaps/>
          <w:sz w:val="20"/>
          <w:szCs w:val="18"/>
        </w:rPr>
        <w:t>Contieri</w:t>
      </w:r>
      <w:proofErr w:type="spellEnd"/>
      <w:r w:rsidRPr="00250E6F">
        <w:rPr>
          <w:rFonts w:ascii="Garamond" w:hAnsi="Garamond"/>
          <w:sz w:val="20"/>
          <w:szCs w:val="18"/>
        </w:rPr>
        <w:t xml:space="preserve">, </w:t>
      </w:r>
      <w:r w:rsidRPr="00250E6F">
        <w:rPr>
          <w:rFonts w:ascii="Garamond" w:hAnsi="Garamond"/>
          <w:i/>
          <w:sz w:val="20"/>
          <w:szCs w:val="18"/>
        </w:rPr>
        <w:t>Il riesame del provvedimento amministrativo. I Annullamento e revoca tra posizioni “favorevoli” e interessi sopravvenuti</w:t>
      </w:r>
      <w:r w:rsidRPr="00250E6F">
        <w:rPr>
          <w:rFonts w:ascii="Garamond" w:hAnsi="Garamond"/>
          <w:sz w:val="20"/>
          <w:szCs w:val="18"/>
        </w:rPr>
        <w:t xml:space="preserve">, Napoli, 1991; </w:t>
      </w:r>
      <w:r w:rsidRPr="00250E6F">
        <w:rPr>
          <w:rFonts w:ascii="Garamond" w:hAnsi="Garamond"/>
          <w:smallCaps/>
          <w:sz w:val="20"/>
          <w:szCs w:val="18"/>
        </w:rPr>
        <w:t xml:space="preserve">M. </w:t>
      </w:r>
      <w:proofErr w:type="spellStart"/>
      <w:r w:rsidRPr="00250E6F">
        <w:rPr>
          <w:rFonts w:ascii="Garamond" w:hAnsi="Garamond"/>
          <w:smallCaps/>
          <w:sz w:val="20"/>
          <w:szCs w:val="18"/>
        </w:rPr>
        <w:t>Immordino</w:t>
      </w:r>
      <w:proofErr w:type="spellEnd"/>
      <w:r w:rsidRPr="00250E6F">
        <w:rPr>
          <w:rFonts w:ascii="Garamond" w:hAnsi="Garamond"/>
          <w:sz w:val="20"/>
          <w:szCs w:val="18"/>
        </w:rPr>
        <w:t xml:space="preserve">, </w:t>
      </w:r>
      <w:r w:rsidRPr="00250E6F">
        <w:rPr>
          <w:rFonts w:ascii="Garamond" w:hAnsi="Garamond"/>
          <w:i/>
          <w:sz w:val="20"/>
          <w:szCs w:val="18"/>
        </w:rPr>
        <w:t>Revoca degli atti amministrativi</w:t>
      </w:r>
      <w:r w:rsidRPr="00250E6F">
        <w:rPr>
          <w:rFonts w:ascii="Garamond" w:hAnsi="Garamond"/>
          <w:sz w:val="20"/>
          <w:szCs w:val="18"/>
        </w:rPr>
        <w:t xml:space="preserve">, </w:t>
      </w:r>
      <w:r w:rsidR="00CC0092" w:rsidRPr="00250E6F">
        <w:rPr>
          <w:rFonts w:ascii="Garamond" w:hAnsi="Garamond"/>
          <w:sz w:val="20"/>
          <w:szCs w:val="18"/>
        </w:rPr>
        <w:t>cit</w:t>
      </w:r>
      <w:r w:rsidRPr="00250E6F">
        <w:rPr>
          <w:rFonts w:ascii="Garamond" w:hAnsi="Garamond"/>
          <w:sz w:val="20"/>
          <w:szCs w:val="18"/>
        </w:rPr>
        <w:t>.</w:t>
      </w:r>
      <w:r w:rsidR="005638D5" w:rsidRPr="00250E6F">
        <w:rPr>
          <w:rFonts w:ascii="Garamond" w:hAnsi="Garamond"/>
          <w:sz w:val="20"/>
          <w:szCs w:val="18"/>
        </w:rPr>
        <w:t xml:space="preserve"> Della stessa opinione, qualche anno dopo, </w:t>
      </w:r>
      <w:r w:rsidR="005638D5" w:rsidRPr="00250E6F">
        <w:rPr>
          <w:rFonts w:ascii="Garamond" w:hAnsi="Garamond"/>
          <w:smallCaps/>
          <w:sz w:val="20"/>
          <w:szCs w:val="18"/>
        </w:rPr>
        <w:t>B.G. Mattarella</w:t>
      </w:r>
      <w:r w:rsidR="005638D5" w:rsidRPr="00250E6F">
        <w:rPr>
          <w:rFonts w:ascii="Garamond" w:hAnsi="Garamond"/>
          <w:sz w:val="20"/>
          <w:szCs w:val="18"/>
        </w:rPr>
        <w:t xml:space="preserve">, </w:t>
      </w:r>
      <w:r w:rsidR="005638D5" w:rsidRPr="00250E6F">
        <w:rPr>
          <w:rFonts w:ascii="Garamond" w:hAnsi="Garamond"/>
          <w:i/>
          <w:iCs/>
          <w:sz w:val="20"/>
          <w:szCs w:val="18"/>
        </w:rPr>
        <w:t>Autotutela amministrativa e principio di legalità</w:t>
      </w:r>
      <w:r w:rsidR="005638D5" w:rsidRPr="00250E6F">
        <w:rPr>
          <w:rFonts w:ascii="Garamond" w:hAnsi="Garamond"/>
          <w:iCs/>
          <w:sz w:val="20"/>
          <w:szCs w:val="18"/>
        </w:rPr>
        <w:t>, i</w:t>
      </w:r>
      <w:r w:rsidR="005638D5" w:rsidRPr="00250E6F">
        <w:rPr>
          <w:rFonts w:ascii="Garamond" w:hAnsi="Garamond"/>
          <w:sz w:val="20"/>
          <w:szCs w:val="18"/>
        </w:rPr>
        <w:t xml:space="preserve">n </w:t>
      </w:r>
      <w:proofErr w:type="spellStart"/>
      <w:r w:rsidR="005638D5" w:rsidRPr="00250E6F">
        <w:rPr>
          <w:rFonts w:ascii="Garamond" w:hAnsi="Garamond"/>
          <w:i/>
          <w:iCs/>
          <w:sz w:val="20"/>
          <w:szCs w:val="18"/>
        </w:rPr>
        <w:t>Riv</w:t>
      </w:r>
      <w:proofErr w:type="spellEnd"/>
      <w:r w:rsidR="005638D5" w:rsidRPr="00250E6F">
        <w:rPr>
          <w:rFonts w:ascii="Garamond" w:hAnsi="Garamond"/>
          <w:i/>
          <w:iCs/>
          <w:sz w:val="20"/>
          <w:szCs w:val="18"/>
        </w:rPr>
        <w:t xml:space="preserve">. </w:t>
      </w:r>
      <w:proofErr w:type="spellStart"/>
      <w:r w:rsidR="005638D5" w:rsidRPr="00250E6F">
        <w:rPr>
          <w:rFonts w:ascii="Garamond" w:hAnsi="Garamond"/>
          <w:i/>
          <w:iCs/>
          <w:sz w:val="20"/>
          <w:szCs w:val="18"/>
        </w:rPr>
        <w:t>it</w:t>
      </w:r>
      <w:proofErr w:type="spellEnd"/>
      <w:r w:rsidR="005638D5" w:rsidRPr="00250E6F">
        <w:rPr>
          <w:rFonts w:ascii="Garamond" w:hAnsi="Garamond"/>
          <w:i/>
          <w:iCs/>
          <w:sz w:val="20"/>
          <w:szCs w:val="18"/>
        </w:rPr>
        <w:t xml:space="preserve">. dir. </w:t>
      </w:r>
      <w:proofErr w:type="spellStart"/>
      <w:r w:rsidR="005638D5" w:rsidRPr="00250E6F">
        <w:rPr>
          <w:rFonts w:ascii="Garamond" w:hAnsi="Garamond"/>
          <w:i/>
          <w:iCs/>
          <w:sz w:val="20"/>
          <w:szCs w:val="18"/>
        </w:rPr>
        <w:t>pubbl</w:t>
      </w:r>
      <w:proofErr w:type="spellEnd"/>
      <w:r w:rsidR="005638D5" w:rsidRPr="00250E6F">
        <w:rPr>
          <w:rFonts w:ascii="Garamond" w:hAnsi="Garamond"/>
          <w:i/>
          <w:iCs/>
          <w:sz w:val="20"/>
          <w:szCs w:val="18"/>
        </w:rPr>
        <w:t xml:space="preserve">. </w:t>
      </w:r>
      <w:proofErr w:type="spellStart"/>
      <w:r w:rsidR="005638D5" w:rsidRPr="00250E6F">
        <w:rPr>
          <w:rFonts w:ascii="Garamond" w:hAnsi="Garamond"/>
          <w:i/>
          <w:iCs/>
          <w:sz w:val="20"/>
          <w:szCs w:val="18"/>
        </w:rPr>
        <w:t>com</w:t>
      </w:r>
      <w:proofErr w:type="spellEnd"/>
      <w:r w:rsidR="005638D5" w:rsidRPr="00250E6F">
        <w:rPr>
          <w:rFonts w:ascii="Garamond" w:hAnsi="Garamond"/>
          <w:i/>
          <w:iCs/>
          <w:sz w:val="20"/>
          <w:szCs w:val="18"/>
        </w:rPr>
        <w:t>.</w:t>
      </w:r>
      <w:r w:rsidR="005638D5" w:rsidRPr="00250E6F">
        <w:rPr>
          <w:rFonts w:ascii="Garamond" w:hAnsi="Garamond"/>
          <w:iCs/>
          <w:sz w:val="20"/>
          <w:szCs w:val="18"/>
        </w:rPr>
        <w:t xml:space="preserve">, </w:t>
      </w:r>
      <w:r w:rsidR="005638D5" w:rsidRPr="00250E6F">
        <w:rPr>
          <w:rFonts w:ascii="Garamond" w:hAnsi="Garamond"/>
          <w:sz w:val="20"/>
          <w:szCs w:val="18"/>
        </w:rPr>
        <w:t>2007, pp. 1223 ss.</w:t>
      </w:r>
      <w:r w:rsidR="00830943" w:rsidRPr="00250E6F">
        <w:rPr>
          <w:rFonts w:ascii="Garamond" w:hAnsi="Garamond"/>
          <w:sz w:val="20"/>
          <w:szCs w:val="18"/>
        </w:rPr>
        <w:t>, per il quale</w:t>
      </w:r>
      <w:r w:rsidR="00FA2991" w:rsidRPr="00250E6F">
        <w:rPr>
          <w:rFonts w:ascii="Garamond" w:hAnsi="Garamond"/>
          <w:sz w:val="20"/>
          <w:szCs w:val="18"/>
        </w:rPr>
        <w:t xml:space="preserve">, stante la doppia (inscindibile) anima dell’autotutela amministrativa quale potere doveroso vòlto al rispetto della legge </w:t>
      </w:r>
      <w:r w:rsidR="00FA2991" w:rsidRPr="00250E6F">
        <w:rPr>
          <w:rFonts w:ascii="Garamond" w:hAnsi="Garamond"/>
          <w:i/>
          <w:sz w:val="20"/>
          <w:szCs w:val="18"/>
        </w:rPr>
        <w:t>e</w:t>
      </w:r>
      <w:r w:rsidR="00FA2991" w:rsidRPr="00250E6F">
        <w:rPr>
          <w:rFonts w:ascii="Garamond" w:hAnsi="Garamond"/>
          <w:sz w:val="20"/>
          <w:szCs w:val="18"/>
        </w:rPr>
        <w:t xml:space="preserve"> alla tutela di un interesse pubblico, «l’istituto della revoca vi viene incluso abbastanza abusivamente», difettando della prima finalità.</w:t>
      </w:r>
    </w:p>
  </w:footnote>
  <w:footnote w:id="7">
    <w:p w14:paraId="3CE2C16E" w14:textId="281D9D80" w:rsidR="00CC3A63" w:rsidRPr="00250E6F" w:rsidRDefault="00CC3A63" w:rsidP="008A5420">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w:t>
      </w:r>
      <w:r w:rsidR="008A5420" w:rsidRPr="00250E6F">
        <w:rPr>
          <w:rFonts w:ascii="Garamond" w:hAnsi="Garamond"/>
          <w:sz w:val="20"/>
          <w:szCs w:val="18"/>
        </w:rPr>
        <w:t xml:space="preserve">Cfr. </w:t>
      </w:r>
      <w:r w:rsidRPr="00250E6F">
        <w:rPr>
          <w:rFonts w:ascii="Garamond" w:hAnsi="Garamond"/>
          <w:smallCaps/>
          <w:sz w:val="20"/>
          <w:szCs w:val="18"/>
        </w:rPr>
        <w:t>G. Corso</w:t>
      </w:r>
      <w:r w:rsidRPr="00250E6F">
        <w:rPr>
          <w:rFonts w:ascii="Garamond" w:hAnsi="Garamond"/>
          <w:sz w:val="20"/>
          <w:szCs w:val="18"/>
        </w:rPr>
        <w:t xml:space="preserve">, </w:t>
      </w:r>
      <w:r w:rsidR="008A5420" w:rsidRPr="00250E6F">
        <w:rPr>
          <w:rFonts w:ascii="Garamond" w:hAnsi="Garamond"/>
          <w:i/>
          <w:sz w:val="20"/>
          <w:szCs w:val="18"/>
        </w:rPr>
        <w:t>Attività amministrativa</w:t>
      </w:r>
      <w:r w:rsidR="008A5420" w:rsidRPr="00250E6F">
        <w:rPr>
          <w:rFonts w:ascii="Garamond" w:hAnsi="Garamond"/>
          <w:sz w:val="20"/>
          <w:szCs w:val="18"/>
        </w:rPr>
        <w:t xml:space="preserve">, in </w:t>
      </w:r>
      <w:r w:rsidR="008A5420" w:rsidRPr="00250E6F">
        <w:rPr>
          <w:rFonts w:ascii="Garamond" w:hAnsi="Garamond"/>
          <w:i/>
          <w:sz w:val="20"/>
          <w:szCs w:val="18"/>
        </w:rPr>
        <w:t>Treccani.it</w:t>
      </w:r>
      <w:r w:rsidR="008A5420" w:rsidRPr="00250E6F">
        <w:rPr>
          <w:rFonts w:ascii="Garamond" w:hAnsi="Garamond"/>
          <w:sz w:val="20"/>
          <w:szCs w:val="18"/>
        </w:rPr>
        <w:t>, 2014, il quale riunisce sotto l’egida dell’attività amministrativa funzionalizzata al conseguimento dell’interesse pubblico anche quella vòlta all’emanazione di provvedimenti di revoca, intesi quali limitativi della sfera giuridica dei privati. In questa classificazione, il Maestro affianca alla revoca anche l’annullamento d’ufficio, la cui natura di potere d’autotutela, inevitabilmente, scolora.</w:t>
      </w:r>
    </w:p>
  </w:footnote>
  <w:footnote w:id="8">
    <w:p w14:paraId="4311E9D8"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Nello stesso Capo che disciplina l’annullamento d’ufficio (art. 21-</w:t>
      </w:r>
      <w:r w:rsidRPr="00250E6F">
        <w:rPr>
          <w:rFonts w:ascii="Garamond" w:hAnsi="Garamond"/>
          <w:i/>
          <w:sz w:val="20"/>
          <w:szCs w:val="18"/>
        </w:rPr>
        <w:t>nonies</w:t>
      </w:r>
      <w:r w:rsidRPr="00250E6F">
        <w:rPr>
          <w:rFonts w:ascii="Garamond" w:hAnsi="Garamond"/>
          <w:sz w:val="20"/>
          <w:szCs w:val="18"/>
        </w:rPr>
        <w:t>).</w:t>
      </w:r>
    </w:p>
  </w:footnote>
  <w:footnote w:id="9">
    <w:p w14:paraId="2144C987"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w:t>
      </w:r>
      <w:r w:rsidRPr="00250E6F">
        <w:rPr>
          <w:rFonts w:ascii="Garamond" w:hAnsi="Garamond"/>
          <w:smallCaps/>
          <w:sz w:val="20"/>
          <w:szCs w:val="18"/>
        </w:rPr>
        <w:t>F. Benvenuti</w:t>
      </w:r>
      <w:r w:rsidRPr="00250E6F">
        <w:rPr>
          <w:rFonts w:ascii="Garamond" w:hAnsi="Garamond"/>
          <w:sz w:val="20"/>
          <w:szCs w:val="18"/>
        </w:rPr>
        <w:t xml:space="preserve">, voce </w:t>
      </w:r>
      <w:r w:rsidRPr="00250E6F">
        <w:rPr>
          <w:rFonts w:ascii="Garamond" w:hAnsi="Garamond"/>
          <w:i/>
          <w:sz w:val="20"/>
          <w:szCs w:val="18"/>
        </w:rPr>
        <w:t>Autotutela (diritto amministrativo)</w:t>
      </w:r>
      <w:r w:rsidRPr="00250E6F">
        <w:rPr>
          <w:rFonts w:ascii="Garamond" w:hAnsi="Garamond"/>
          <w:sz w:val="20"/>
          <w:szCs w:val="18"/>
        </w:rPr>
        <w:t xml:space="preserve">, in </w:t>
      </w:r>
      <w:proofErr w:type="spellStart"/>
      <w:r w:rsidRPr="00250E6F">
        <w:rPr>
          <w:rFonts w:ascii="Garamond" w:hAnsi="Garamond"/>
          <w:i/>
          <w:sz w:val="20"/>
          <w:szCs w:val="18"/>
        </w:rPr>
        <w:t>Enc</w:t>
      </w:r>
      <w:proofErr w:type="spellEnd"/>
      <w:r w:rsidRPr="00250E6F">
        <w:rPr>
          <w:rFonts w:ascii="Garamond" w:hAnsi="Garamond"/>
          <w:i/>
          <w:sz w:val="20"/>
          <w:szCs w:val="18"/>
        </w:rPr>
        <w:t>. dir.</w:t>
      </w:r>
      <w:r w:rsidRPr="00250E6F">
        <w:rPr>
          <w:rFonts w:ascii="Garamond" w:hAnsi="Garamond"/>
          <w:sz w:val="20"/>
          <w:szCs w:val="18"/>
        </w:rPr>
        <w:t xml:space="preserve">, IV, 1959, p. 537 ss.; </w:t>
      </w:r>
      <w:r w:rsidR="009A55DE" w:rsidRPr="00250E6F">
        <w:rPr>
          <w:rFonts w:ascii="Garamond" w:hAnsi="Garamond"/>
          <w:smallCaps/>
          <w:sz w:val="20"/>
          <w:szCs w:val="18"/>
        </w:rPr>
        <w:t>S. Romano</w:t>
      </w:r>
      <w:r w:rsidRPr="00250E6F">
        <w:rPr>
          <w:rFonts w:ascii="Garamond" w:hAnsi="Garamond"/>
          <w:sz w:val="20"/>
          <w:szCs w:val="18"/>
        </w:rPr>
        <w:t xml:space="preserve">, </w:t>
      </w:r>
      <w:r w:rsidRPr="00250E6F">
        <w:rPr>
          <w:rFonts w:ascii="Garamond" w:hAnsi="Garamond"/>
          <w:i/>
          <w:sz w:val="20"/>
          <w:szCs w:val="18"/>
        </w:rPr>
        <w:t>Annullamento degli atti amministrativi</w:t>
      </w:r>
      <w:r w:rsidRPr="00250E6F">
        <w:rPr>
          <w:rFonts w:ascii="Garamond" w:hAnsi="Garamond"/>
          <w:sz w:val="20"/>
          <w:szCs w:val="18"/>
        </w:rPr>
        <w:t xml:space="preserve">, in </w:t>
      </w:r>
      <w:proofErr w:type="spellStart"/>
      <w:r w:rsidRPr="00250E6F">
        <w:rPr>
          <w:rFonts w:ascii="Garamond" w:hAnsi="Garamond"/>
          <w:i/>
          <w:sz w:val="20"/>
          <w:szCs w:val="18"/>
        </w:rPr>
        <w:t>Nuov</w:t>
      </w:r>
      <w:proofErr w:type="spellEnd"/>
      <w:r w:rsidRPr="00250E6F">
        <w:rPr>
          <w:rFonts w:ascii="Garamond" w:hAnsi="Garamond"/>
          <w:i/>
          <w:sz w:val="20"/>
          <w:szCs w:val="18"/>
        </w:rPr>
        <w:t xml:space="preserve">. </w:t>
      </w:r>
      <w:proofErr w:type="spellStart"/>
      <w:r w:rsidRPr="00250E6F">
        <w:rPr>
          <w:rFonts w:ascii="Garamond" w:hAnsi="Garamond"/>
          <w:i/>
          <w:sz w:val="20"/>
          <w:szCs w:val="18"/>
        </w:rPr>
        <w:t>dig</w:t>
      </w:r>
      <w:proofErr w:type="spellEnd"/>
      <w:r w:rsidRPr="00250E6F">
        <w:rPr>
          <w:rFonts w:ascii="Garamond" w:hAnsi="Garamond"/>
          <w:i/>
          <w:sz w:val="20"/>
          <w:szCs w:val="18"/>
        </w:rPr>
        <w:t xml:space="preserve">. </w:t>
      </w:r>
      <w:proofErr w:type="spellStart"/>
      <w:r w:rsidRPr="00250E6F">
        <w:rPr>
          <w:rFonts w:ascii="Garamond" w:hAnsi="Garamond"/>
          <w:i/>
          <w:sz w:val="20"/>
          <w:szCs w:val="18"/>
        </w:rPr>
        <w:t>it</w:t>
      </w:r>
      <w:proofErr w:type="spellEnd"/>
      <w:r w:rsidRPr="00250E6F">
        <w:rPr>
          <w:rFonts w:ascii="Garamond" w:hAnsi="Garamond"/>
          <w:i/>
          <w:sz w:val="20"/>
          <w:szCs w:val="18"/>
        </w:rPr>
        <w:t>.</w:t>
      </w:r>
      <w:r w:rsidRPr="00250E6F">
        <w:rPr>
          <w:rFonts w:ascii="Garamond" w:hAnsi="Garamond"/>
          <w:sz w:val="20"/>
          <w:szCs w:val="18"/>
        </w:rPr>
        <w:t>, I, Torino, 1957, p. 642 ss.,</w:t>
      </w:r>
      <w:r w:rsidR="009A55DE" w:rsidRPr="00250E6F">
        <w:rPr>
          <w:rFonts w:ascii="Garamond" w:hAnsi="Garamond"/>
          <w:sz w:val="20"/>
          <w:szCs w:val="18"/>
        </w:rPr>
        <w:t xml:space="preserve"> poi riedito e aggiornato in </w:t>
      </w:r>
      <w:r w:rsidR="009A55DE" w:rsidRPr="00250E6F">
        <w:rPr>
          <w:rFonts w:ascii="Garamond" w:hAnsi="Garamond"/>
          <w:smallCaps/>
          <w:sz w:val="20"/>
          <w:szCs w:val="18"/>
        </w:rPr>
        <w:t>Id.</w:t>
      </w:r>
      <w:r w:rsidR="009A55DE" w:rsidRPr="00250E6F">
        <w:rPr>
          <w:rFonts w:ascii="Garamond" w:hAnsi="Garamond"/>
          <w:sz w:val="20"/>
          <w:szCs w:val="18"/>
        </w:rPr>
        <w:t xml:space="preserve">, </w:t>
      </w:r>
      <w:r w:rsidR="009A55DE" w:rsidRPr="00250E6F">
        <w:rPr>
          <w:rFonts w:ascii="Garamond" w:hAnsi="Garamond"/>
          <w:i/>
          <w:sz w:val="20"/>
          <w:szCs w:val="18"/>
        </w:rPr>
        <w:t>Annullamento (teoria dell’) nel diritto amministrativo</w:t>
      </w:r>
      <w:r w:rsidR="009A55DE" w:rsidRPr="00250E6F">
        <w:rPr>
          <w:rFonts w:ascii="Garamond" w:hAnsi="Garamond"/>
          <w:sz w:val="20"/>
          <w:szCs w:val="18"/>
        </w:rPr>
        <w:t xml:space="preserve">, in </w:t>
      </w:r>
      <w:r w:rsidR="009A55DE" w:rsidRPr="00250E6F">
        <w:rPr>
          <w:rFonts w:ascii="Garamond" w:hAnsi="Garamond"/>
          <w:i/>
          <w:sz w:val="20"/>
          <w:szCs w:val="18"/>
        </w:rPr>
        <w:t>Scritti minori</w:t>
      </w:r>
      <w:r w:rsidR="009A55DE" w:rsidRPr="00250E6F">
        <w:rPr>
          <w:rFonts w:ascii="Garamond" w:hAnsi="Garamond"/>
          <w:sz w:val="20"/>
          <w:szCs w:val="18"/>
        </w:rPr>
        <w:t>, Milano, 1990, p. 390 ss.;</w:t>
      </w:r>
      <w:r w:rsidRPr="00250E6F">
        <w:rPr>
          <w:rFonts w:ascii="Garamond" w:hAnsi="Garamond"/>
          <w:sz w:val="20"/>
          <w:szCs w:val="18"/>
        </w:rPr>
        <w:t xml:space="preserve"> </w:t>
      </w:r>
      <w:r w:rsidR="009A55DE" w:rsidRPr="00250E6F">
        <w:rPr>
          <w:rFonts w:ascii="Garamond" w:hAnsi="Garamond"/>
          <w:sz w:val="20"/>
          <w:szCs w:val="18"/>
        </w:rPr>
        <w:t xml:space="preserve">nell’opera del 1957 </w:t>
      </w:r>
      <w:r w:rsidRPr="00250E6F">
        <w:rPr>
          <w:rFonts w:ascii="Garamond" w:hAnsi="Garamond"/>
          <w:sz w:val="20"/>
          <w:szCs w:val="18"/>
        </w:rPr>
        <w:t xml:space="preserve">il Maestro traccia </w:t>
      </w:r>
      <w:r w:rsidR="00E4321B" w:rsidRPr="00250E6F">
        <w:rPr>
          <w:rFonts w:ascii="Garamond" w:hAnsi="Garamond"/>
          <w:sz w:val="20"/>
          <w:szCs w:val="18"/>
        </w:rPr>
        <w:t xml:space="preserve">– sempre nel solco dell’autotutela – </w:t>
      </w:r>
      <w:r w:rsidRPr="00250E6F">
        <w:rPr>
          <w:rFonts w:ascii="Garamond" w:hAnsi="Garamond"/>
          <w:sz w:val="20"/>
          <w:szCs w:val="18"/>
        </w:rPr>
        <w:t>una distinzione tra annullamento d’ufficio e revoca in relazione ai presupposti d’esercizio dei relativi poteri e, soprattutto, quanto alla misura della loro discrezionalità: più ampia nella revoca, che ha ad oggetto provvedimenti legittimi seppur inopportuni a giudizio dell’Amministrazione; più limitata nell’annullamento d’ufficio, essendo sempre legata all’illegittimità del provvedimento di primo grado.</w:t>
      </w:r>
    </w:p>
  </w:footnote>
  <w:footnote w:id="10">
    <w:p w14:paraId="66F41383"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w:t>
      </w:r>
      <w:r w:rsidRPr="00250E6F">
        <w:rPr>
          <w:rFonts w:ascii="Garamond" w:hAnsi="Garamond"/>
          <w:i/>
          <w:sz w:val="20"/>
          <w:szCs w:val="18"/>
        </w:rPr>
        <w:t xml:space="preserve">Ex </w:t>
      </w:r>
      <w:proofErr w:type="spellStart"/>
      <w:r w:rsidRPr="00250E6F">
        <w:rPr>
          <w:rFonts w:ascii="Garamond" w:hAnsi="Garamond"/>
          <w:i/>
          <w:sz w:val="20"/>
          <w:szCs w:val="18"/>
        </w:rPr>
        <w:t>multis</w:t>
      </w:r>
      <w:proofErr w:type="spellEnd"/>
      <w:r w:rsidRPr="00250E6F">
        <w:rPr>
          <w:rFonts w:ascii="Garamond" w:hAnsi="Garamond"/>
          <w:sz w:val="20"/>
          <w:szCs w:val="18"/>
        </w:rPr>
        <w:t xml:space="preserve">, e solo a titolo puramente esemplificativo, </w:t>
      </w:r>
      <w:r w:rsidR="001D5BEE" w:rsidRPr="00250E6F">
        <w:rPr>
          <w:rFonts w:ascii="Garamond" w:hAnsi="Garamond"/>
          <w:sz w:val="20"/>
          <w:szCs w:val="18"/>
        </w:rPr>
        <w:t>Tar</w:t>
      </w:r>
      <w:r w:rsidRPr="00250E6F">
        <w:rPr>
          <w:rFonts w:ascii="Garamond" w:hAnsi="Garamond"/>
          <w:sz w:val="20"/>
          <w:szCs w:val="18"/>
        </w:rPr>
        <w:t xml:space="preserve"> Trento, I, 1 marzo 2021, n. 28: «La revoca si configura come lo strumento dell’autotutela decisoria preordinato alla rimozione, con efficacia </w:t>
      </w:r>
      <w:r w:rsidRPr="00250E6F">
        <w:rPr>
          <w:rFonts w:ascii="Garamond" w:hAnsi="Garamond"/>
          <w:i/>
          <w:sz w:val="20"/>
          <w:szCs w:val="18"/>
        </w:rPr>
        <w:t xml:space="preserve">ex </w:t>
      </w:r>
      <w:proofErr w:type="spellStart"/>
      <w:r w:rsidRPr="00250E6F">
        <w:rPr>
          <w:rFonts w:ascii="Garamond" w:hAnsi="Garamond"/>
          <w:i/>
          <w:sz w:val="20"/>
          <w:szCs w:val="18"/>
        </w:rPr>
        <w:t>nunc</w:t>
      </w:r>
      <w:proofErr w:type="spellEnd"/>
      <w:r w:rsidRPr="00250E6F">
        <w:rPr>
          <w:rFonts w:ascii="Garamond" w:hAnsi="Garamond"/>
          <w:sz w:val="20"/>
          <w:szCs w:val="18"/>
        </w:rPr>
        <w:t xml:space="preserve"> (e, quindi, non retroattiva) di un atto ad efficacia durevole, in esito ad una nuova e diversa valutazione dell’interesse pubblico alla conservazione della sua efficacia. I presupposti del valido esercizio dello </w:t>
      </w:r>
      <w:proofErr w:type="spellStart"/>
      <w:r w:rsidRPr="00250E6F">
        <w:rPr>
          <w:rFonts w:ascii="Garamond" w:hAnsi="Garamond"/>
          <w:i/>
          <w:sz w:val="20"/>
          <w:szCs w:val="18"/>
        </w:rPr>
        <w:t>ius</w:t>
      </w:r>
      <w:proofErr w:type="spellEnd"/>
      <w:r w:rsidRPr="00250E6F">
        <w:rPr>
          <w:rFonts w:ascii="Garamond" w:hAnsi="Garamond"/>
          <w:i/>
          <w:sz w:val="20"/>
          <w:szCs w:val="18"/>
        </w:rPr>
        <w:t xml:space="preserve"> </w:t>
      </w:r>
      <w:proofErr w:type="spellStart"/>
      <w:r w:rsidRPr="00250E6F">
        <w:rPr>
          <w:rFonts w:ascii="Garamond" w:hAnsi="Garamond"/>
          <w:i/>
          <w:sz w:val="20"/>
          <w:szCs w:val="18"/>
        </w:rPr>
        <w:t>poenitendi</w:t>
      </w:r>
      <w:proofErr w:type="spellEnd"/>
      <w:r w:rsidRPr="00250E6F">
        <w:rPr>
          <w:rFonts w:ascii="Garamond" w:hAnsi="Garamond"/>
          <w:sz w:val="20"/>
          <w:szCs w:val="18"/>
        </w:rPr>
        <w:t xml:space="preserve"> sono definiti dall’art. 21-</w:t>
      </w:r>
      <w:r w:rsidRPr="00250E6F">
        <w:rPr>
          <w:rFonts w:ascii="Garamond" w:hAnsi="Garamond"/>
          <w:i/>
          <w:sz w:val="20"/>
          <w:szCs w:val="18"/>
        </w:rPr>
        <w:t>quinquies</w:t>
      </w:r>
      <w:r w:rsidRPr="00250E6F">
        <w:rPr>
          <w:rFonts w:ascii="Garamond" w:hAnsi="Garamond"/>
          <w:sz w:val="20"/>
          <w:szCs w:val="18"/>
        </w:rPr>
        <w:t>, l. n. 241/1990, con formule lessicali generiche e consistono nella sopravvivenza di motivi di interesse pubblico, nel mutamento della situazione di fatto (imprevedibile al momento dell’adozione del provvedimento) e in una rinnovata (e diversa) valutazione dell’interesse pubblico originario. Appare evidente che il potere di revoca è connotato da un’ampia e forse eccessiva discrezionalità, dal momento che, a differenza del potere di annullamento d’ufficio che postula l’illegittimità dell’atto rimosso d’ufficio, quello di revoca esige solo una valutazione di opportunità, seppure ancorata alle condizioni legittimanti dettagliate all’art. 21-</w:t>
      </w:r>
      <w:r w:rsidRPr="00250E6F">
        <w:rPr>
          <w:rFonts w:ascii="Garamond" w:hAnsi="Garamond"/>
          <w:i/>
          <w:sz w:val="20"/>
          <w:szCs w:val="18"/>
        </w:rPr>
        <w:t>quinquies</w:t>
      </w:r>
      <w:r w:rsidRPr="00250E6F">
        <w:rPr>
          <w:rFonts w:ascii="Garamond" w:hAnsi="Garamond"/>
          <w:sz w:val="20"/>
          <w:szCs w:val="18"/>
        </w:rPr>
        <w:t>, sicché il valido esercizio dello stesso resta, comunque, rimesso a un apprezzamento ampiamente discrezionale dell’Amministrazione procedente, rispetto al quale l’istanza del privato assume solo una valenza sollecitatoria».</w:t>
      </w:r>
    </w:p>
  </w:footnote>
  <w:footnote w:id="11">
    <w:p w14:paraId="3C9D6FC4"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La bibliografia è sterminata. Tra i tanti, per i profili generali, v. </w:t>
      </w:r>
      <w:r w:rsidRPr="00250E6F">
        <w:rPr>
          <w:rFonts w:ascii="Garamond" w:hAnsi="Garamond"/>
          <w:smallCaps/>
          <w:sz w:val="20"/>
          <w:szCs w:val="18"/>
        </w:rPr>
        <w:t>E. Ferrari</w:t>
      </w:r>
      <w:r w:rsidRPr="00250E6F">
        <w:rPr>
          <w:rFonts w:ascii="Garamond" w:hAnsi="Garamond"/>
          <w:sz w:val="20"/>
          <w:szCs w:val="18"/>
        </w:rPr>
        <w:t xml:space="preserve">, </w:t>
      </w:r>
      <w:r w:rsidRPr="00250E6F">
        <w:rPr>
          <w:rFonts w:ascii="Garamond" w:hAnsi="Garamond"/>
          <w:i/>
          <w:sz w:val="20"/>
          <w:szCs w:val="18"/>
        </w:rPr>
        <w:t>Revoca nel diritto amministrativo</w:t>
      </w:r>
      <w:r w:rsidRPr="00250E6F">
        <w:rPr>
          <w:rFonts w:ascii="Garamond" w:hAnsi="Garamond"/>
          <w:sz w:val="20"/>
          <w:szCs w:val="18"/>
        </w:rPr>
        <w:t xml:space="preserve">, in </w:t>
      </w:r>
      <w:proofErr w:type="spellStart"/>
      <w:r w:rsidRPr="00250E6F">
        <w:rPr>
          <w:rFonts w:ascii="Garamond" w:hAnsi="Garamond"/>
          <w:i/>
          <w:sz w:val="20"/>
          <w:szCs w:val="18"/>
        </w:rPr>
        <w:t>Dig</w:t>
      </w:r>
      <w:proofErr w:type="spellEnd"/>
      <w:r w:rsidRPr="00250E6F">
        <w:rPr>
          <w:rFonts w:ascii="Garamond" w:hAnsi="Garamond"/>
          <w:i/>
          <w:sz w:val="20"/>
          <w:szCs w:val="18"/>
        </w:rPr>
        <w:t xml:space="preserve">. disc. </w:t>
      </w:r>
      <w:proofErr w:type="spellStart"/>
      <w:r w:rsidRPr="00250E6F">
        <w:rPr>
          <w:rFonts w:ascii="Garamond" w:hAnsi="Garamond"/>
          <w:i/>
          <w:sz w:val="20"/>
          <w:szCs w:val="18"/>
        </w:rPr>
        <w:t>pubbl</w:t>
      </w:r>
      <w:proofErr w:type="spellEnd"/>
      <w:r w:rsidRPr="00250E6F">
        <w:rPr>
          <w:rFonts w:ascii="Garamond" w:hAnsi="Garamond"/>
          <w:i/>
          <w:sz w:val="20"/>
          <w:szCs w:val="18"/>
        </w:rPr>
        <w:t>.</w:t>
      </w:r>
      <w:r w:rsidRPr="00250E6F">
        <w:rPr>
          <w:rFonts w:ascii="Garamond" w:hAnsi="Garamond"/>
          <w:sz w:val="20"/>
          <w:szCs w:val="18"/>
        </w:rPr>
        <w:t>, XIII, Torino, 1997, p. 333 ss.;</w:t>
      </w:r>
      <w:r w:rsidRPr="00250E6F">
        <w:rPr>
          <w:rFonts w:ascii="Garamond" w:hAnsi="Garamond"/>
          <w:smallCaps/>
          <w:sz w:val="20"/>
          <w:szCs w:val="18"/>
        </w:rPr>
        <w:t xml:space="preserve"> G. Ligugnana</w:t>
      </w:r>
      <w:r w:rsidRPr="00250E6F">
        <w:rPr>
          <w:rFonts w:ascii="Garamond" w:hAnsi="Garamond"/>
          <w:sz w:val="20"/>
          <w:szCs w:val="18"/>
        </w:rPr>
        <w:t xml:space="preserve">, </w:t>
      </w:r>
      <w:r w:rsidRPr="00250E6F">
        <w:rPr>
          <w:rFonts w:ascii="Garamond" w:hAnsi="Garamond"/>
          <w:i/>
          <w:sz w:val="20"/>
          <w:szCs w:val="18"/>
        </w:rPr>
        <w:t>Profili evolutivi dell’autotutela amministrativa</w:t>
      </w:r>
      <w:r w:rsidRPr="00250E6F">
        <w:rPr>
          <w:rFonts w:ascii="Garamond" w:hAnsi="Garamond"/>
          <w:sz w:val="20"/>
          <w:szCs w:val="18"/>
        </w:rPr>
        <w:t xml:space="preserve">, Padova, 2004, esamina le origini e l’evoluzione della revoca e dell’annullamento d’ufficio, senza tacere i profili di sovrapposizione tra i due istituti. V. anche </w:t>
      </w:r>
      <w:r w:rsidRPr="00250E6F">
        <w:rPr>
          <w:rFonts w:ascii="Garamond" w:hAnsi="Garamond"/>
          <w:smallCaps/>
          <w:sz w:val="20"/>
          <w:szCs w:val="18"/>
        </w:rPr>
        <w:t xml:space="preserve">M. </w:t>
      </w:r>
      <w:proofErr w:type="spellStart"/>
      <w:r w:rsidRPr="00250E6F">
        <w:rPr>
          <w:rFonts w:ascii="Garamond" w:hAnsi="Garamond"/>
          <w:smallCaps/>
          <w:sz w:val="20"/>
          <w:szCs w:val="18"/>
        </w:rPr>
        <w:t>Sinisi</w:t>
      </w:r>
      <w:proofErr w:type="spellEnd"/>
      <w:r w:rsidRPr="00250E6F">
        <w:rPr>
          <w:rFonts w:ascii="Garamond" w:hAnsi="Garamond"/>
          <w:sz w:val="20"/>
          <w:szCs w:val="18"/>
        </w:rPr>
        <w:t xml:space="preserve">, </w:t>
      </w:r>
      <w:r w:rsidRPr="00250E6F">
        <w:rPr>
          <w:rFonts w:ascii="Garamond" w:hAnsi="Garamond"/>
          <w:i/>
          <w:iCs/>
          <w:sz w:val="20"/>
          <w:szCs w:val="18"/>
        </w:rPr>
        <w:t xml:space="preserve">Il potere di autotutela </w:t>
      </w:r>
      <w:proofErr w:type="spellStart"/>
      <w:r w:rsidRPr="00250E6F">
        <w:rPr>
          <w:rFonts w:ascii="Garamond" w:hAnsi="Garamond"/>
          <w:i/>
          <w:iCs/>
          <w:sz w:val="20"/>
          <w:szCs w:val="18"/>
        </w:rPr>
        <w:t>caducatoria</w:t>
      </w:r>
      <w:proofErr w:type="spellEnd"/>
      <w:r w:rsidRPr="00250E6F">
        <w:rPr>
          <w:rFonts w:ascii="Garamond" w:hAnsi="Garamond"/>
          <w:sz w:val="20"/>
          <w:szCs w:val="18"/>
        </w:rPr>
        <w:t xml:space="preserve">, in </w:t>
      </w:r>
      <w:r w:rsidRPr="00250E6F">
        <w:rPr>
          <w:rFonts w:ascii="Garamond" w:hAnsi="Garamond"/>
          <w:smallCaps/>
          <w:sz w:val="20"/>
          <w:szCs w:val="18"/>
        </w:rPr>
        <w:t xml:space="preserve">M.A. </w:t>
      </w:r>
      <w:proofErr w:type="spellStart"/>
      <w:r w:rsidRPr="00250E6F">
        <w:rPr>
          <w:rFonts w:ascii="Garamond" w:hAnsi="Garamond"/>
          <w:smallCaps/>
          <w:sz w:val="20"/>
          <w:szCs w:val="18"/>
        </w:rPr>
        <w:t>Sandulli</w:t>
      </w:r>
      <w:proofErr w:type="spellEnd"/>
      <w:r w:rsidRPr="00250E6F">
        <w:rPr>
          <w:rFonts w:ascii="Garamond" w:hAnsi="Garamond"/>
          <w:sz w:val="20"/>
          <w:szCs w:val="18"/>
        </w:rPr>
        <w:t xml:space="preserve"> (a cura di), </w:t>
      </w:r>
      <w:r w:rsidRPr="00250E6F">
        <w:rPr>
          <w:rFonts w:ascii="Garamond" w:hAnsi="Garamond"/>
          <w:i/>
          <w:iCs/>
          <w:sz w:val="20"/>
          <w:szCs w:val="18"/>
        </w:rPr>
        <w:t>Principi e regole dell’azione amministrativa</w:t>
      </w:r>
      <w:r w:rsidRPr="00250E6F">
        <w:rPr>
          <w:rFonts w:ascii="Garamond" w:hAnsi="Garamond"/>
          <w:sz w:val="20"/>
          <w:szCs w:val="18"/>
        </w:rPr>
        <w:t>, Milano, 2015, p. 333 ss., la quale riconduce tanto l’art. 21-</w:t>
      </w:r>
      <w:r w:rsidRPr="00250E6F">
        <w:rPr>
          <w:rFonts w:ascii="Garamond" w:hAnsi="Garamond"/>
          <w:i/>
          <w:sz w:val="20"/>
          <w:szCs w:val="18"/>
        </w:rPr>
        <w:t>quinquies</w:t>
      </w:r>
      <w:r w:rsidRPr="00250E6F">
        <w:rPr>
          <w:rFonts w:ascii="Garamond" w:hAnsi="Garamond"/>
          <w:sz w:val="20"/>
          <w:szCs w:val="18"/>
        </w:rPr>
        <w:t xml:space="preserve"> quanto il 21-</w:t>
      </w:r>
      <w:r w:rsidRPr="00250E6F">
        <w:rPr>
          <w:rFonts w:ascii="Garamond" w:hAnsi="Garamond"/>
          <w:i/>
          <w:sz w:val="20"/>
          <w:szCs w:val="18"/>
        </w:rPr>
        <w:t>nonies</w:t>
      </w:r>
      <w:r w:rsidRPr="00250E6F">
        <w:rPr>
          <w:rFonts w:ascii="Garamond" w:hAnsi="Garamond"/>
          <w:sz w:val="20"/>
          <w:szCs w:val="18"/>
        </w:rPr>
        <w:t xml:space="preserve"> al potere </w:t>
      </w:r>
      <w:proofErr w:type="spellStart"/>
      <w:r w:rsidRPr="00250E6F">
        <w:rPr>
          <w:rFonts w:ascii="Garamond" w:hAnsi="Garamond"/>
          <w:sz w:val="20"/>
          <w:szCs w:val="18"/>
        </w:rPr>
        <w:t>cassatorio</w:t>
      </w:r>
      <w:proofErr w:type="spellEnd"/>
      <w:r w:rsidRPr="00250E6F">
        <w:rPr>
          <w:rFonts w:ascii="Garamond" w:hAnsi="Garamond"/>
          <w:sz w:val="20"/>
          <w:szCs w:val="18"/>
        </w:rPr>
        <w:t xml:space="preserve">, così riunendo entrambi gli istituti nella cornice dell’autotutela; </w:t>
      </w:r>
      <w:r w:rsidR="00106B82" w:rsidRPr="00250E6F">
        <w:rPr>
          <w:rFonts w:ascii="Garamond" w:hAnsi="Garamond"/>
          <w:sz w:val="20"/>
          <w:szCs w:val="18"/>
        </w:rPr>
        <w:t>a</w:t>
      </w:r>
      <w:r w:rsidRPr="00250E6F">
        <w:rPr>
          <w:rFonts w:ascii="Garamond" w:hAnsi="Garamond"/>
          <w:sz w:val="20"/>
          <w:szCs w:val="18"/>
        </w:rPr>
        <w:t xml:space="preserve">ncora, </w:t>
      </w:r>
      <w:r w:rsidR="002419AC" w:rsidRPr="00250E6F">
        <w:rPr>
          <w:rFonts w:ascii="Garamond" w:hAnsi="Garamond"/>
          <w:sz w:val="20"/>
          <w:szCs w:val="18"/>
        </w:rPr>
        <w:t xml:space="preserve">di recente, </w:t>
      </w:r>
      <w:r w:rsidRPr="00250E6F">
        <w:rPr>
          <w:rFonts w:ascii="Garamond" w:hAnsi="Garamond"/>
          <w:smallCaps/>
          <w:sz w:val="20"/>
          <w:szCs w:val="18"/>
        </w:rPr>
        <w:t xml:space="preserve">A. </w:t>
      </w:r>
      <w:proofErr w:type="spellStart"/>
      <w:r w:rsidRPr="00250E6F">
        <w:rPr>
          <w:rFonts w:ascii="Garamond" w:hAnsi="Garamond"/>
          <w:smallCaps/>
          <w:sz w:val="20"/>
          <w:szCs w:val="18"/>
        </w:rPr>
        <w:t>Gualdani</w:t>
      </w:r>
      <w:proofErr w:type="spellEnd"/>
      <w:r w:rsidRPr="00250E6F">
        <w:rPr>
          <w:rFonts w:ascii="Garamond" w:hAnsi="Garamond"/>
          <w:sz w:val="20"/>
          <w:szCs w:val="18"/>
        </w:rPr>
        <w:t xml:space="preserve">, </w:t>
      </w:r>
      <w:r w:rsidRPr="00250E6F">
        <w:rPr>
          <w:rFonts w:ascii="Garamond" w:hAnsi="Garamond"/>
          <w:i/>
          <w:sz w:val="20"/>
          <w:szCs w:val="18"/>
        </w:rPr>
        <w:t>Verso una nuova unitarietà della revoca e dell’annullamento d’ufficio</w:t>
      </w:r>
      <w:r w:rsidRPr="00250E6F">
        <w:rPr>
          <w:rFonts w:ascii="Garamond" w:hAnsi="Garamond"/>
          <w:sz w:val="20"/>
          <w:szCs w:val="18"/>
        </w:rPr>
        <w:t>, Torino, 2016, la quale pure accomuna i due istituti nell’autotutela.</w:t>
      </w:r>
    </w:p>
  </w:footnote>
  <w:footnote w:id="12">
    <w:p w14:paraId="4870C5BD" w14:textId="77777777" w:rsidR="00CC0092"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w:t>
      </w:r>
      <w:r w:rsidR="00CA0BC0" w:rsidRPr="00250E6F">
        <w:rPr>
          <w:rFonts w:ascii="Garamond" w:hAnsi="Garamond"/>
          <w:sz w:val="20"/>
          <w:szCs w:val="18"/>
        </w:rPr>
        <w:t>Tar</w:t>
      </w:r>
      <w:r w:rsidRPr="00250E6F">
        <w:rPr>
          <w:rFonts w:ascii="Garamond" w:hAnsi="Garamond"/>
          <w:sz w:val="20"/>
          <w:szCs w:val="18"/>
        </w:rPr>
        <w:t xml:space="preserve"> Piemonte, II, 2 agosto 2021, n. 806: «La controversia promossa per ottenere l’annullamento del provvedimento di revoca di un finanziamento pubblico concerne una posizione di diritto soggettivo (ed è pertanto devoluta alla giurisdizione del giudice ordinario) tutte le volte in cui l’amministrazione abbia inteso far valere la decadenza del beneficiario dal contributo in ragione della mancata osservanza, da parte sua, di obblighi al cui adempimento la legge o il provvedimento condizionano l’erogazione, mentre riguarda una posizione di interesse legittimo (con conseguente devoluzione al giudice amministrativo) allorché la mancata erogazione del finanziamento, pur oggetto di specifico provvedimento di attribuzione, sia dipesa dall’esercizio di poteri di autotutela dell’amministrazione, la quale abbia inteso annullare il provvedimento stesso per vizi di legittimità o revocarlo per contrasto originario con l’interesse pubblico». Si tratta del noto tema della distinzione tra autotutela pubblicistica e privatistica della </w:t>
      </w:r>
      <w:proofErr w:type="spellStart"/>
      <w:r w:rsidRPr="00250E6F">
        <w:rPr>
          <w:rFonts w:ascii="Garamond" w:hAnsi="Garamond"/>
          <w:sz w:val="20"/>
          <w:szCs w:val="18"/>
        </w:rPr>
        <w:t>p.A.</w:t>
      </w:r>
      <w:proofErr w:type="spellEnd"/>
      <w:r w:rsidRPr="00250E6F">
        <w:rPr>
          <w:rFonts w:ascii="Garamond" w:hAnsi="Garamond"/>
          <w:sz w:val="20"/>
          <w:szCs w:val="18"/>
        </w:rPr>
        <w:t xml:space="preserve">: la revoca di contributi e finanziamenti derivante dall’inadempimento del privato a obblighi che ne condizionano l’erogazione è espressione di questo secondo potere, comportando la devoluzione della controversia al Giudice ordinario (cfr. </w:t>
      </w:r>
      <w:r w:rsidRPr="00250E6F">
        <w:rPr>
          <w:rFonts w:ascii="Garamond" w:hAnsi="Garamond"/>
          <w:i/>
          <w:sz w:val="20"/>
          <w:szCs w:val="18"/>
        </w:rPr>
        <w:t xml:space="preserve">ex </w:t>
      </w:r>
      <w:proofErr w:type="spellStart"/>
      <w:r w:rsidRPr="00250E6F">
        <w:rPr>
          <w:rFonts w:ascii="Garamond" w:hAnsi="Garamond"/>
          <w:i/>
          <w:sz w:val="20"/>
          <w:szCs w:val="18"/>
        </w:rPr>
        <w:t>multis</w:t>
      </w:r>
      <w:proofErr w:type="spellEnd"/>
      <w:r w:rsidRPr="00250E6F">
        <w:rPr>
          <w:rFonts w:ascii="Garamond" w:hAnsi="Garamond"/>
          <w:sz w:val="20"/>
          <w:szCs w:val="18"/>
        </w:rPr>
        <w:t xml:space="preserve"> TAR Lazio, Roma, I, 2 luglio 2021, n. 7838). Viceversa, per questa giurisprudenza è espressione dell’autotutela pubblicistica «il riesame della legittimità o dell’opportunità dell’iniziale provvedimento di attribuzione del contributo».</w:t>
      </w:r>
    </w:p>
    <w:p w14:paraId="7ED5909C" w14:textId="7D5BDE6C" w:rsidR="007E1CB9" w:rsidRPr="00250E6F" w:rsidRDefault="00FC2C04"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rPr>
        <w:t xml:space="preserve">Peraltro, è ormai pacifico che questa espressione dell’autotutela privatistica, pur qualificata dalla giurisprudenza come «revoca», in realtà sia una decadenza o una sanzione all’inadempimento degli obblighi che sorgono dal finanziamento: </w:t>
      </w:r>
      <w:proofErr w:type="spellStart"/>
      <w:r w:rsidRPr="00250E6F">
        <w:rPr>
          <w:rFonts w:ascii="Garamond" w:hAnsi="Garamond"/>
          <w:sz w:val="20"/>
          <w:szCs w:val="18"/>
        </w:rPr>
        <w:t>condivisibilmente</w:t>
      </w:r>
      <w:proofErr w:type="spellEnd"/>
      <w:r w:rsidRPr="00250E6F">
        <w:rPr>
          <w:rFonts w:ascii="Garamond" w:hAnsi="Garamond"/>
          <w:sz w:val="20"/>
          <w:szCs w:val="18"/>
        </w:rPr>
        <w:t xml:space="preserve">, per </w:t>
      </w:r>
      <w:r w:rsidRPr="00250E6F">
        <w:rPr>
          <w:rFonts w:ascii="Garamond" w:hAnsi="Garamond"/>
          <w:smallCaps/>
          <w:sz w:val="20"/>
          <w:szCs w:val="18"/>
        </w:rPr>
        <w:t xml:space="preserve">M. </w:t>
      </w:r>
      <w:proofErr w:type="spellStart"/>
      <w:r w:rsidRPr="00250E6F">
        <w:rPr>
          <w:rFonts w:ascii="Garamond" w:hAnsi="Garamond"/>
          <w:smallCaps/>
          <w:sz w:val="20"/>
          <w:szCs w:val="18"/>
        </w:rPr>
        <w:t>Immordino</w:t>
      </w:r>
      <w:proofErr w:type="spellEnd"/>
      <w:r w:rsidRPr="00250E6F">
        <w:rPr>
          <w:rFonts w:ascii="Garamond" w:hAnsi="Garamond"/>
          <w:smallCaps/>
          <w:sz w:val="20"/>
          <w:szCs w:val="18"/>
        </w:rPr>
        <w:t xml:space="preserve">, A. </w:t>
      </w:r>
      <w:proofErr w:type="spellStart"/>
      <w:r w:rsidRPr="00250E6F">
        <w:rPr>
          <w:rFonts w:ascii="Garamond" w:hAnsi="Garamond"/>
          <w:smallCaps/>
          <w:sz w:val="20"/>
          <w:szCs w:val="18"/>
        </w:rPr>
        <w:t>Contieri</w:t>
      </w:r>
      <w:proofErr w:type="spellEnd"/>
      <w:r w:rsidRPr="00250E6F">
        <w:rPr>
          <w:rFonts w:ascii="Garamond" w:hAnsi="Garamond"/>
          <w:sz w:val="20"/>
          <w:szCs w:val="18"/>
        </w:rPr>
        <w:t xml:space="preserve">, </w:t>
      </w:r>
      <w:r w:rsidRPr="00250E6F">
        <w:rPr>
          <w:rFonts w:ascii="Garamond" w:hAnsi="Garamond"/>
          <w:i/>
          <w:sz w:val="20"/>
          <w:szCs w:val="18"/>
        </w:rPr>
        <w:t>L’omessa comunicazione di avvio</w:t>
      </w:r>
      <w:r w:rsidRPr="00250E6F">
        <w:rPr>
          <w:rFonts w:ascii="Garamond" w:hAnsi="Garamond"/>
          <w:sz w:val="20"/>
          <w:szCs w:val="18"/>
        </w:rPr>
        <w:t>, cit., si tratta di una «revoca impropria».</w:t>
      </w:r>
    </w:p>
  </w:footnote>
  <w:footnote w:id="13">
    <w:p w14:paraId="6219ABC7" w14:textId="13FF5E3A"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w:t>
      </w:r>
      <w:r w:rsidR="000D7D10" w:rsidRPr="00250E6F">
        <w:rPr>
          <w:rFonts w:ascii="Garamond" w:hAnsi="Garamond"/>
          <w:sz w:val="20"/>
          <w:szCs w:val="18"/>
        </w:rPr>
        <w:t>Tar</w:t>
      </w:r>
      <w:r w:rsidRPr="00250E6F">
        <w:rPr>
          <w:rFonts w:ascii="Garamond" w:hAnsi="Garamond"/>
          <w:sz w:val="20"/>
          <w:szCs w:val="18"/>
        </w:rPr>
        <w:t xml:space="preserve"> Lombardia, Milano, IV, 28 giugno 2021, n. 1582: «la responsabilità precontrattuale prescinde dall’eventuale legittimità del provvedimento di autotutela (annullamento d’ufficio o revoca)».</w:t>
      </w:r>
    </w:p>
  </w:footnote>
  <w:footnote w:id="14">
    <w:p w14:paraId="0DDFDBEB"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w:t>
      </w:r>
      <w:proofErr w:type="spellStart"/>
      <w:r w:rsidRPr="00250E6F">
        <w:rPr>
          <w:rFonts w:ascii="Garamond" w:hAnsi="Garamond"/>
          <w:sz w:val="20"/>
          <w:szCs w:val="18"/>
        </w:rPr>
        <w:t>Cons</w:t>
      </w:r>
      <w:proofErr w:type="spellEnd"/>
      <w:r w:rsidRPr="00250E6F">
        <w:rPr>
          <w:rFonts w:ascii="Garamond" w:hAnsi="Garamond"/>
          <w:sz w:val="20"/>
          <w:szCs w:val="18"/>
        </w:rPr>
        <w:t xml:space="preserve">. Stato, III, 31 marzo 2021, n. 2707: «La natura giuridica di atto generale del bando e di atto </w:t>
      </w:r>
      <w:proofErr w:type="spellStart"/>
      <w:r w:rsidRPr="00250E6F">
        <w:rPr>
          <w:rFonts w:ascii="Garamond" w:hAnsi="Garamond"/>
          <w:sz w:val="20"/>
          <w:szCs w:val="18"/>
        </w:rPr>
        <w:t>endoprocedimentale</w:t>
      </w:r>
      <w:proofErr w:type="spellEnd"/>
      <w:r w:rsidRPr="00250E6F">
        <w:rPr>
          <w:rFonts w:ascii="Garamond" w:hAnsi="Garamond"/>
          <w:sz w:val="20"/>
          <w:szCs w:val="18"/>
        </w:rPr>
        <w:t xml:space="preserve"> della aggiudicazione provvisoria (ora, proposta di aggiudicazione) non consentono di applicare la disciplina dettata dagli artt. 21-</w:t>
      </w:r>
      <w:r w:rsidRPr="00250E6F">
        <w:rPr>
          <w:rFonts w:ascii="Garamond" w:hAnsi="Garamond"/>
          <w:i/>
          <w:sz w:val="20"/>
          <w:szCs w:val="18"/>
        </w:rPr>
        <w:t>quinquies</w:t>
      </w:r>
      <w:r w:rsidRPr="00250E6F">
        <w:rPr>
          <w:rFonts w:ascii="Garamond" w:hAnsi="Garamond"/>
          <w:sz w:val="20"/>
          <w:szCs w:val="18"/>
        </w:rPr>
        <w:t xml:space="preserve"> e 21-</w:t>
      </w:r>
      <w:r w:rsidRPr="00250E6F">
        <w:rPr>
          <w:rFonts w:ascii="Garamond" w:hAnsi="Garamond"/>
          <w:i/>
          <w:sz w:val="20"/>
          <w:szCs w:val="18"/>
        </w:rPr>
        <w:t>nonies</w:t>
      </w:r>
      <w:r w:rsidRPr="00250E6F">
        <w:rPr>
          <w:rFonts w:ascii="Garamond" w:hAnsi="Garamond"/>
          <w:sz w:val="20"/>
          <w:szCs w:val="18"/>
        </w:rPr>
        <w:t>, l. n. 241 del 1990 in tema di revoca e annullamento d’ufficio (</w:t>
      </w:r>
      <w:proofErr w:type="spellStart"/>
      <w:r w:rsidRPr="00250E6F">
        <w:rPr>
          <w:rFonts w:ascii="Garamond" w:hAnsi="Garamond"/>
          <w:sz w:val="20"/>
          <w:szCs w:val="18"/>
        </w:rPr>
        <w:t>Cons</w:t>
      </w:r>
      <w:proofErr w:type="spellEnd"/>
      <w:r w:rsidRPr="00250E6F">
        <w:rPr>
          <w:rFonts w:ascii="Garamond" w:hAnsi="Garamond"/>
          <w:sz w:val="20"/>
          <w:szCs w:val="18"/>
        </w:rPr>
        <w:t xml:space="preserve">. St., sez. V, 20 agosto 2013, n. 4183): la revoca dell’aggiudicazione provvisoria (ovvero, la sua mancata conferma), al pari della revoca della </w:t>
      </w:r>
      <w:proofErr w:type="spellStart"/>
      <w:r w:rsidRPr="00250E6F">
        <w:rPr>
          <w:rFonts w:ascii="Garamond" w:hAnsi="Garamond"/>
          <w:i/>
          <w:sz w:val="20"/>
          <w:szCs w:val="18"/>
        </w:rPr>
        <w:t>lex</w:t>
      </w:r>
      <w:proofErr w:type="spellEnd"/>
      <w:r w:rsidRPr="00250E6F">
        <w:rPr>
          <w:rFonts w:ascii="Garamond" w:hAnsi="Garamond"/>
          <w:i/>
          <w:sz w:val="20"/>
          <w:szCs w:val="18"/>
        </w:rPr>
        <w:t xml:space="preserve"> </w:t>
      </w:r>
      <w:proofErr w:type="spellStart"/>
      <w:r w:rsidRPr="00250E6F">
        <w:rPr>
          <w:rFonts w:ascii="Garamond" w:hAnsi="Garamond"/>
          <w:i/>
          <w:sz w:val="20"/>
          <w:szCs w:val="18"/>
        </w:rPr>
        <w:t>specialis</w:t>
      </w:r>
      <w:proofErr w:type="spellEnd"/>
      <w:r w:rsidRPr="00250E6F">
        <w:rPr>
          <w:rFonts w:ascii="Garamond" w:hAnsi="Garamond"/>
          <w:sz w:val="20"/>
          <w:szCs w:val="18"/>
        </w:rPr>
        <w:t xml:space="preserve"> che ne è a monte non è, difatti, qualificabile alla stregua di un esercizio del potere di autotutela, sì da richiedere un raffronto tra l’interesse pubblico e quello privato sacrificato, non essendo prospettabile alcun affidamento del destinatario (</w:t>
      </w:r>
      <w:proofErr w:type="spellStart"/>
      <w:r w:rsidRPr="00250E6F">
        <w:rPr>
          <w:rFonts w:ascii="Garamond" w:hAnsi="Garamond"/>
          <w:sz w:val="20"/>
          <w:szCs w:val="18"/>
        </w:rPr>
        <w:t>Cons</w:t>
      </w:r>
      <w:proofErr w:type="spellEnd"/>
      <w:r w:rsidRPr="00250E6F">
        <w:rPr>
          <w:rFonts w:ascii="Garamond" w:hAnsi="Garamond"/>
          <w:sz w:val="20"/>
          <w:szCs w:val="18"/>
        </w:rPr>
        <w:t>. St., sez. V, 20 aprile 2012, n. 2338)».</w:t>
      </w:r>
    </w:p>
  </w:footnote>
  <w:footnote w:id="15">
    <w:p w14:paraId="60048C0E" w14:textId="77777777" w:rsidR="007E1CB9" w:rsidRPr="00250E6F" w:rsidRDefault="007E1CB9" w:rsidP="00DD23F8">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w:t>
      </w:r>
      <w:r w:rsidRPr="00250E6F">
        <w:rPr>
          <w:rFonts w:ascii="Garamond" w:hAnsi="Garamond"/>
          <w:smallCaps/>
          <w:sz w:val="20"/>
          <w:szCs w:val="18"/>
        </w:rPr>
        <w:t>F. Benvenuti</w:t>
      </w:r>
      <w:r w:rsidRPr="00250E6F">
        <w:rPr>
          <w:rFonts w:ascii="Garamond" w:hAnsi="Garamond"/>
          <w:sz w:val="20"/>
          <w:szCs w:val="18"/>
        </w:rPr>
        <w:t xml:space="preserve">, </w:t>
      </w:r>
      <w:r w:rsidRPr="00250E6F">
        <w:rPr>
          <w:rFonts w:ascii="Garamond" w:hAnsi="Garamond"/>
          <w:i/>
          <w:sz w:val="20"/>
          <w:szCs w:val="18"/>
        </w:rPr>
        <w:t>Autotutela</w:t>
      </w:r>
      <w:r w:rsidRPr="00250E6F">
        <w:rPr>
          <w:rFonts w:ascii="Garamond" w:hAnsi="Garamond"/>
          <w:sz w:val="20"/>
          <w:szCs w:val="18"/>
        </w:rPr>
        <w:t xml:space="preserve"> (voce), </w:t>
      </w:r>
      <w:r w:rsidR="00DD23F8" w:rsidRPr="00250E6F">
        <w:rPr>
          <w:rFonts w:ascii="Garamond" w:hAnsi="Garamond"/>
          <w:sz w:val="20"/>
          <w:szCs w:val="18"/>
        </w:rPr>
        <w:t xml:space="preserve">cit. </w:t>
      </w:r>
      <w:r w:rsidRPr="00250E6F">
        <w:rPr>
          <w:rFonts w:ascii="Garamond" w:hAnsi="Garamond"/>
          <w:sz w:val="20"/>
          <w:szCs w:val="18"/>
        </w:rPr>
        <w:t xml:space="preserve">Peraltro si deve a </w:t>
      </w:r>
      <w:r w:rsidRPr="00250E6F">
        <w:rPr>
          <w:rFonts w:ascii="Garamond" w:hAnsi="Garamond"/>
          <w:smallCaps/>
          <w:sz w:val="20"/>
          <w:szCs w:val="18"/>
        </w:rPr>
        <w:t xml:space="preserve">M. </w:t>
      </w:r>
      <w:proofErr w:type="spellStart"/>
      <w:r w:rsidRPr="00250E6F">
        <w:rPr>
          <w:rFonts w:ascii="Garamond" w:hAnsi="Garamond"/>
          <w:smallCaps/>
          <w:sz w:val="20"/>
          <w:szCs w:val="18"/>
        </w:rPr>
        <w:t>Immordino</w:t>
      </w:r>
      <w:proofErr w:type="spellEnd"/>
      <w:r w:rsidRPr="00250E6F">
        <w:rPr>
          <w:rFonts w:ascii="Garamond" w:hAnsi="Garamond"/>
          <w:sz w:val="20"/>
          <w:szCs w:val="18"/>
        </w:rPr>
        <w:t xml:space="preserve">, </w:t>
      </w:r>
      <w:r w:rsidRPr="00250E6F">
        <w:rPr>
          <w:rFonts w:ascii="Garamond" w:hAnsi="Garamond"/>
          <w:i/>
          <w:sz w:val="20"/>
          <w:szCs w:val="18"/>
        </w:rPr>
        <w:t>Il potere amministrativo di revoca</w:t>
      </w:r>
      <w:r w:rsidRPr="00250E6F">
        <w:rPr>
          <w:rFonts w:ascii="Garamond" w:hAnsi="Garamond"/>
          <w:sz w:val="20"/>
          <w:szCs w:val="18"/>
        </w:rPr>
        <w:t xml:space="preserve">, cit., l’efficace sinossi delle diverse ricostruzioni dottrinali che, prima della codificazione del 2005, fondavano quel potere su diversi elementi: «Sono note le soluzioni al riguardo prospettate, da quelle che ne rinvenivano la giustificazione nella “imperatività” del provvedimento, del quale la revocabilità costituiva un predicato (L. Rescigno; M. S. Giannini), a quelle che, configurandolo come potere di carattere generale, ne rinvenivano il fondamento normativo in principi generali dell’ordinamento. Prospettiva che riconduceva la revoca alla “consuetudine”, come conseguenza del principio “gerarchico” (L. Raggi); all’“analogia” (F. Cammeo); ad un principio generale che esigerebbe per “l’ amministrazione la più ampia libertà di agire” (G. </w:t>
      </w:r>
      <w:proofErr w:type="spellStart"/>
      <w:r w:rsidRPr="00250E6F">
        <w:rPr>
          <w:rFonts w:ascii="Garamond" w:hAnsi="Garamond"/>
          <w:sz w:val="20"/>
          <w:szCs w:val="18"/>
        </w:rPr>
        <w:t>Codacci</w:t>
      </w:r>
      <w:proofErr w:type="spellEnd"/>
      <w:r w:rsidRPr="00250E6F">
        <w:rPr>
          <w:rFonts w:ascii="Garamond" w:hAnsi="Garamond"/>
          <w:sz w:val="20"/>
          <w:szCs w:val="18"/>
        </w:rPr>
        <w:t xml:space="preserve"> Pisanelli); al principio di “autocorrezione” degli atti amministrativi (G. </w:t>
      </w:r>
      <w:proofErr w:type="spellStart"/>
      <w:r w:rsidRPr="00250E6F">
        <w:rPr>
          <w:rFonts w:ascii="Garamond" w:hAnsi="Garamond"/>
          <w:sz w:val="20"/>
          <w:szCs w:val="18"/>
        </w:rPr>
        <w:t>Codacci</w:t>
      </w:r>
      <w:proofErr w:type="spellEnd"/>
      <w:r w:rsidRPr="00250E6F">
        <w:rPr>
          <w:rFonts w:ascii="Garamond" w:hAnsi="Garamond"/>
          <w:sz w:val="20"/>
          <w:szCs w:val="18"/>
        </w:rPr>
        <w:t xml:space="preserve"> Pisanelli); al principio del </w:t>
      </w:r>
      <w:proofErr w:type="spellStart"/>
      <w:r w:rsidRPr="00250E6F">
        <w:rPr>
          <w:rFonts w:ascii="Garamond" w:hAnsi="Garamond"/>
          <w:i/>
          <w:sz w:val="20"/>
          <w:szCs w:val="18"/>
        </w:rPr>
        <w:t>contrarius</w:t>
      </w:r>
      <w:proofErr w:type="spellEnd"/>
      <w:r w:rsidRPr="00250E6F">
        <w:rPr>
          <w:rFonts w:ascii="Garamond" w:hAnsi="Garamond"/>
          <w:i/>
          <w:sz w:val="20"/>
          <w:szCs w:val="18"/>
        </w:rPr>
        <w:t xml:space="preserve"> </w:t>
      </w:r>
      <w:proofErr w:type="spellStart"/>
      <w:r w:rsidRPr="00250E6F">
        <w:rPr>
          <w:rFonts w:ascii="Garamond" w:hAnsi="Garamond"/>
          <w:i/>
          <w:sz w:val="20"/>
          <w:szCs w:val="18"/>
        </w:rPr>
        <w:t>actus</w:t>
      </w:r>
      <w:proofErr w:type="spellEnd"/>
      <w:r w:rsidRPr="00250E6F">
        <w:rPr>
          <w:rFonts w:ascii="Garamond" w:hAnsi="Garamond"/>
          <w:sz w:val="20"/>
          <w:szCs w:val="18"/>
        </w:rPr>
        <w:t xml:space="preserve"> (R. Resta); ad un principio generale di revocabilità ricavabile oltre che dalla prassi consolidata, amministrativa e giurisprudenziale, da alcune norme di leggi (M. D’Alberti; V. </w:t>
      </w:r>
      <w:proofErr w:type="spellStart"/>
      <w:r w:rsidRPr="00250E6F">
        <w:rPr>
          <w:rFonts w:ascii="Garamond" w:hAnsi="Garamond"/>
          <w:sz w:val="20"/>
          <w:szCs w:val="18"/>
        </w:rPr>
        <w:t>Cerulli</w:t>
      </w:r>
      <w:proofErr w:type="spellEnd"/>
      <w:r w:rsidRPr="00250E6F">
        <w:rPr>
          <w:rFonts w:ascii="Garamond" w:hAnsi="Garamond"/>
          <w:sz w:val="20"/>
          <w:szCs w:val="18"/>
        </w:rPr>
        <w:t xml:space="preserve"> Irelli); al principio generale dell’ “autotutela”», p. 4. </w:t>
      </w:r>
    </w:p>
  </w:footnote>
  <w:footnote w:id="16">
    <w:p w14:paraId="297DCC14"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Art. 392 c.p. (Esercizio arbitrario delle proprie ragioni): «Per la sussistenza del reato di esercizio arbitrario delle proprie ragioni, è necessario che il soggetto agente agisca nella ragionevole opinione della legittimità della sua pretesa, ovvero ad autotutela di un suo diritto suscettibile di costituire oggetto di una contestazione giudiziale, anche se detto diritto non sia realmente esistente. La pretesa arbitrariamente attuata dal soggetto agente deve corrispondere all’oggetto della tutela apprestata in concreto dall’ordinamento giuridico, e non mirare a ottenere un qualsiasi </w:t>
      </w:r>
      <w:r w:rsidRPr="00250E6F">
        <w:rPr>
          <w:rFonts w:ascii="Garamond" w:hAnsi="Garamond"/>
          <w:i/>
          <w:sz w:val="20"/>
          <w:szCs w:val="18"/>
        </w:rPr>
        <w:t xml:space="preserve">quid </w:t>
      </w:r>
      <w:proofErr w:type="spellStart"/>
      <w:r w:rsidRPr="00250E6F">
        <w:rPr>
          <w:rFonts w:ascii="Garamond" w:hAnsi="Garamond"/>
          <w:i/>
          <w:sz w:val="20"/>
          <w:szCs w:val="18"/>
        </w:rPr>
        <w:t>pluris</w:t>
      </w:r>
      <w:proofErr w:type="spellEnd"/>
      <w:r w:rsidRPr="00250E6F">
        <w:rPr>
          <w:rFonts w:ascii="Garamond" w:hAnsi="Garamond"/>
          <w:sz w:val="20"/>
          <w:szCs w:val="18"/>
        </w:rPr>
        <w:t xml:space="preserve">, atteso che ciò che caratterizza il reato </w:t>
      </w:r>
      <w:r w:rsidRPr="00250E6F">
        <w:rPr>
          <w:rFonts w:ascii="Garamond" w:hAnsi="Garamond"/>
          <w:i/>
          <w:sz w:val="20"/>
          <w:szCs w:val="18"/>
        </w:rPr>
        <w:t>de quo</w:t>
      </w:r>
      <w:r w:rsidRPr="00250E6F">
        <w:rPr>
          <w:rFonts w:ascii="Garamond" w:hAnsi="Garamond"/>
          <w:sz w:val="20"/>
          <w:szCs w:val="18"/>
        </w:rPr>
        <w:t xml:space="preserve"> è la sostituzione, operata dal soggetto agente, dello strumento di tutela pubblico con quello privato. In altri termini, occorre che sussista la possibilità in astratto per l’agente di adire il giudice per ottenere quello che si è illegittimamente preteso in concreto mediante l’uso della violenza» (cfr. Corte </w:t>
      </w:r>
      <w:proofErr w:type="spellStart"/>
      <w:r w:rsidRPr="00250E6F">
        <w:rPr>
          <w:rFonts w:ascii="Garamond" w:hAnsi="Garamond"/>
          <w:sz w:val="20"/>
          <w:szCs w:val="18"/>
        </w:rPr>
        <w:t>app</w:t>
      </w:r>
      <w:proofErr w:type="spellEnd"/>
      <w:r w:rsidRPr="00250E6F">
        <w:rPr>
          <w:rFonts w:ascii="Garamond" w:hAnsi="Garamond"/>
          <w:sz w:val="20"/>
          <w:szCs w:val="18"/>
        </w:rPr>
        <w:t>. Napoli, III, 16 aprile 2021, n. 3443).</w:t>
      </w:r>
    </w:p>
  </w:footnote>
  <w:footnote w:id="17">
    <w:p w14:paraId="5A0AF0AF"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w:t>
      </w:r>
      <w:r w:rsidRPr="00250E6F">
        <w:rPr>
          <w:rFonts w:ascii="Garamond" w:hAnsi="Garamond"/>
          <w:smallCaps/>
          <w:sz w:val="20"/>
          <w:szCs w:val="18"/>
        </w:rPr>
        <w:t>B. Cavallo</w:t>
      </w:r>
      <w:r w:rsidRPr="00250E6F">
        <w:rPr>
          <w:rFonts w:ascii="Garamond" w:hAnsi="Garamond"/>
          <w:sz w:val="20"/>
          <w:szCs w:val="18"/>
        </w:rPr>
        <w:t xml:space="preserve">, </w:t>
      </w:r>
      <w:r w:rsidRPr="00250E6F">
        <w:rPr>
          <w:rFonts w:ascii="Garamond" w:hAnsi="Garamond"/>
          <w:i/>
          <w:sz w:val="20"/>
          <w:szCs w:val="18"/>
        </w:rPr>
        <w:t>Provvedimenti e atti amministrativi</w:t>
      </w:r>
      <w:r w:rsidRPr="00250E6F">
        <w:rPr>
          <w:rFonts w:ascii="Garamond" w:hAnsi="Garamond"/>
          <w:sz w:val="20"/>
          <w:szCs w:val="18"/>
        </w:rPr>
        <w:t xml:space="preserve">, in </w:t>
      </w:r>
      <w:r w:rsidRPr="00250E6F">
        <w:rPr>
          <w:rFonts w:ascii="Garamond" w:hAnsi="Garamond"/>
          <w:smallCaps/>
          <w:sz w:val="20"/>
          <w:szCs w:val="18"/>
        </w:rPr>
        <w:t xml:space="preserve">G. Santaniello </w:t>
      </w:r>
      <w:r w:rsidRPr="00250E6F">
        <w:rPr>
          <w:rFonts w:ascii="Garamond" w:hAnsi="Garamond"/>
          <w:sz w:val="20"/>
          <w:szCs w:val="18"/>
        </w:rPr>
        <w:t xml:space="preserve">(a cura di), </w:t>
      </w:r>
      <w:r w:rsidRPr="00250E6F">
        <w:rPr>
          <w:rFonts w:ascii="Garamond" w:hAnsi="Garamond"/>
          <w:i/>
          <w:sz w:val="20"/>
          <w:szCs w:val="18"/>
        </w:rPr>
        <w:t>Trattato di diritto amministrativo</w:t>
      </w:r>
      <w:r w:rsidRPr="00250E6F">
        <w:rPr>
          <w:rFonts w:ascii="Garamond" w:hAnsi="Garamond"/>
          <w:sz w:val="20"/>
          <w:szCs w:val="18"/>
        </w:rPr>
        <w:t xml:space="preserve">, Padova, 1993, p. 375. V. </w:t>
      </w:r>
      <w:r w:rsidR="00B5608A" w:rsidRPr="00250E6F">
        <w:rPr>
          <w:rFonts w:ascii="Garamond" w:hAnsi="Garamond"/>
          <w:sz w:val="20"/>
          <w:szCs w:val="18"/>
        </w:rPr>
        <w:t xml:space="preserve">sul punto </w:t>
      </w:r>
      <w:r w:rsidRPr="00250E6F">
        <w:rPr>
          <w:rFonts w:ascii="Garamond" w:hAnsi="Garamond"/>
          <w:sz w:val="20"/>
          <w:szCs w:val="18"/>
        </w:rPr>
        <w:t xml:space="preserve">anche </w:t>
      </w:r>
      <w:r w:rsidRPr="00250E6F">
        <w:rPr>
          <w:rFonts w:ascii="Garamond" w:hAnsi="Garamond"/>
          <w:smallCaps/>
          <w:sz w:val="20"/>
          <w:szCs w:val="18"/>
        </w:rPr>
        <w:t xml:space="preserve">E. </w:t>
      </w:r>
      <w:proofErr w:type="spellStart"/>
      <w:r w:rsidRPr="00250E6F">
        <w:rPr>
          <w:rFonts w:ascii="Garamond" w:hAnsi="Garamond"/>
          <w:smallCaps/>
          <w:sz w:val="20"/>
          <w:szCs w:val="18"/>
        </w:rPr>
        <w:t>Follieri</w:t>
      </w:r>
      <w:proofErr w:type="spellEnd"/>
      <w:r w:rsidRPr="00250E6F">
        <w:rPr>
          <w:rFonts w:ascii="Garamond" w:hAnsi="Garamond"/>
          <w:sz w:val="20"/>
          <w:szCs w:val="18"/>
        </w:rPr>
        <w:t xml:space="preserve">, </w:t>
      </w:r>
      <w:r w:rsidRPr="00250E6F">
        <w:rPr>
          <w:rFonts w:ascii="Garamond" w:hAnsi="Garamond"/>
          <w:i/>
          <w:sz w:val="20"/>
          <w:szCs w:val="18"/>
        </w:rPr>
        <w:t>Il rapporto amministrativo giuridico dinamico</w:t>
      </w:r>
      <w:r w:rsidRPr="00250E6F">
        <w:rPr>
          <w:rFonts w:ascii="Garamond" w:hAnsi="Garamond"/>
          <w:sz w:val="20"/>
          <w:szCs w:val="18"/>
        </w:rPr>
        <w:t xml:space="preserve">, </w:t>
      </w:r>
      <w:r w:rsidR="00865E21" w:rsidRPr="00250E6F">
        <w:rPr>
          <w:rFonts w:ascii="Garamond" w:hAnsi="Garamond"/>
          <w:sz w:val="20"/>
          <w:szCs w:val="18"/>
        </w:rPr>
        <w:t xml:space="preserve">in </w:t>
      </w:r>
      <w:r w:rsidR="00865E21" w:rsidRPr="00250E6F">
        <w:rPr>
          <w:rFonts w:ascii="Garamond" w:hAnsi="Garamond"/>
          <w:i/>
          <w:sz w:val="20"/>
          <w:szCs w:val="18"/>
        </w:rPr>
        <w:t>Giustamm</w:t>
      </w:r>
      <w:r w:rsidRPr="00250E6F">
        <w:rPr>
          <w:rFonts w:ascii="Garamond" w:hAnsi="Garamond"/>
          <w:i/>
          <w:sz w:val="20"/>
          <w:szCs w:val="18"/>
        </w:rPr>
        <w:t>.</w:t>
      </w:r>
      <w:r w:rsidR="00865E21" w:rsidRPr="00250E6F">
        <w:rPr>
          <w:rFonts w:ascii="Garamond" w:hAnsi="Garamond"/>
          <w:i/>
          <w:sz w:val="20"/>
          <w:szCs w:val="18"/>
        </w:rPr>
        <w:t>it</w:t>
      </w:r>
      <w:r w:rsidR="00865E21" w:rsidRPr="00250E6F">
        <w:rPr>
          <w:rFonts w:ascii="Garamond" w:hAnsi="Garamond"/>
          <w:sz w:val="20"/>
          <w:szCs w:val="18"/>
        </w:rPr>
        <w:t>, n. 12/2017</w:t>
      </w:r>
      <w:r w:rsidRPr="00250E6F">
        <w:rPr>
          <w:rFonts w:ascii="Garamond" w:hAnsi="Garamond"/>
          <w:sz w:val="20"/>
          <w:szCs w:val="18"/>
        </w:rPr>
        <w:t xml:space="preserve">, per il quale revoca </w:t>
      </w:r>
      <w:r w:rsidR="00CC3499" w:rsidRPr="00250E6F">
        <w:rPr>
          <w:rFonts w:ascii="Garamond" w:hAnsi="Garamond"/>
          <w:sz w:val="20"/>
          <w:szCs w:val="18"/>
        </w:rPr>
        <w:t>e</w:t>
      </w:r>
      <w:r w:rsidRPr="00250E6F">
        <w:rPr>
          <w:rFonts w:ascii="Garamond" w:hAnsi="Garamond"/>
          <w:sz w:val="20"/>
          <w:szCs w:val="18"/>
        </w:rPr>
        <w:t xml:space="preserve"> autoannullamento </w:t>
      </w:r>
      <w:r w:rsidR="00CC3499" w:rsidRPr="00250E6F">
        <w:rPr>
          <w:rFonts w:ascii="Garamond" w:hAnsi="Garamond"/>
          <w:sz w:val="20"/>
          <w:szCs w:val="18"/>
        </w:rPr>
        <w:t xml:space="preserve">sono atti d’autotutela in grado di </w:t>
      </w:r>
      <w:r w:rsidRPr="00250E6F">
        <w:rPr>
          <w:rFonts w:ascii="Garamond" w:hAnsi="Garamond"/>
          <w:sz w:val="20"/>
          <w:szCs w:val="18"/>
        </w:rPr>
        <w:t>ridiscute</w:t>
      </w:r>
      <w:r w:rsidR="00CC3499" w:rsidRPr="00250E6F">
        <w:rPr>
          <w:rFonts w:ascii="Garamond" w:hAnsi="Garamond"/>
          <w:sz w:val="20"/>
          <w:szCs w:val="18"/>
        </w:rPr>
        <w:t>re</w:t>
      </w:r>
      <w:r w:rsidRPr="00250E6F">
        <w:rPr>
          <w:rFonts w:ascii="Garamond" w:hAnsi="Garamond"/>
          <w:sz w:val="20"/>
          <w:szCs w:val="18"/>
        </w:rPr>
        <w:t xml:space="preserve"> il rapporto amministrativo cristallizzato nel provvedimento: quell’assetto d’interessi – ormai statico – torna a essere dinamico per trovare nuova sistematizzazione.</w:t>
      </w:r>
    </w:p>
  </w:footnote>
  <w:footnote w:id="18">
    <w:p w14:paraId="70C0461C"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w:t>
      </w:r>
      <w:r w:rsidRPr="00250E6F">
        <w:rPr>
          <w:rFonts w:ascii="Garamond" w:hAnsi="Garamond"/>
          <w:smallCaps/>
          <w:sz w:val="20"/>
          <w:szCs w:val="18"/>
        </w:rPr>
        <w:t>R. Alessi</w:t>
      </w:r>
      <w:r w:rsidRPr="00250E6F">
        <w:rPr>
          <w:rFonts w:ascii="Garamond" w:hAnsi="Garamond"/>
          <w:sz w:val="20"/>
          <w:szCs w:val="18"/>
        </w:rPr>
        <w:t xml:space="preserve">, </w:t>
      </w:r>
      <w:r w:rsidRPr="00250E6F">
        <w:rPr>
          <w:rFonts w:ascii="Garamond" w:hAnsi="Garamond"/>
          <w:i/>
          <w:sz w:val="20"/>
          <w:szCs w:val="18"/>
        </w:rPr>
        <w:t>La revoca degli atti amministrativi</w:t>
      </w:r>
      <w:r w:rsidRPr="00250E6F">
        <w:rPr>
          <w:rFonts w:ascii="Garamond" w:hAnsi="Garamond"/>
          <w:sz w:val="20"/>
          <w:szCs w:val="18"/>
        </w:rPr>
        <w:t xml:space="preserve">, Milano, 1956, p. 11; </w:t>
      </w:r>
      <w:r w:rsidRPr="00250E6F">
        <w:rPr>
          <w:rFonts w:ascii="Garamond" w:hAnsi="Garamond"/>
          <w:smallCaps/>
          <w:sz w:val="20"/>
          <w:szCs w:val="18"/>
        </w:rPr>
        <w:t xml:space="preserve">G. </w:t>
      </w:r>
      <w:proofErr w:type="spellStart"/>
      <w:r w:rsidRPr="00250E6F">
        <w:rPr>
          <w:rFonts w:ascii="Garamond" w:hAnsi="Garamond"/>
          <w:smallCaps/>
          <w:sz w:val="20"/>
          <w:szCs w:val="18"/>
        </w:rPr>
        <w:t>Codacci</w:t>
      </w:r>
      <w:proofErr w:type="spellEnd"/>
      <w:r w:rsidRPr="00250E6F">
        <w:rPr>
          <w:rFonts w:ascii="Garamond" w:hAnsi="Garamond"/>
          <w:smallCaps/>
          <w:sz w:val="20"/>
          <w:szCs w:val="18"/>
        </w:rPr>
        <w:t xml:space="preserve"> Pisanelli</w:t>
      </w:r>
      <w:r w:rsidRPr="00250E6F">
        <w:rPr>
          <w:rFonts w:ascii="Garamond" w:hAnsi="Garamond"/>
          <w:sz w:val="20"/>
          <w:szCs w:val="18"/>
        </w:rPr>
        <w:t xml:space="preserve">, </w:t>
      </w:r>
      <w:r w:rsidRPr="00250E6F">
        <w:rPr>
          <w:rFonts w:ascii="Garamond" w:hAnsi="Garamond"/>
          <w:i/>
          <w:sz w:val="20"/>
          <w:szCs w:val="18"/>
        </w:rPr>
        <w:t>L’annullamento</w:t>
      </w:r>
      <w:r w:rsidRPr="00250E6F">
        <w:rPr>
          <w:rFonts w:ascii="Garamond" w:hAnsi="Garamond"/>
          <w:sz w:val="20"/>
          <w:szCs w:val="18"/>
        </w:rPr>
        <w:t xml:space="preserve">, cit., 134; </w:t>
      </w:r>
      <w:r w:rsidRPr="00250E6F">
        <w:rPr>
          <w:rFonts w:ascii="Garamond" w:hAnsi="Garamond"/>
          <w:smallCaps/>
          <w:sz w:val="20"/>
          <w:szCs w:val="18"/>
        </w:rPr>
        <w:t xml:space="preserve">E. </w:t>
      </w:r>
      <w:proofErr w:type="spellStart"/>
      <w:r w:rsidRPr="00250E6F">
        <w:rPr>
          <w:rFonts w:ascii="Garamond" w:hAnsi="Garamond"/>
          <w:smallCaps/>
          <w:sz w:val="20"/>
          <w:szCs w:val="18"/>
        </w:rPr>
        <w:t>Cannada</w:t>
      </w:r>
      <w:proofErr w:type="spellEnd"/>
      <w:r w:rsidRPr="00250E6F">
        <w:rPr>
          <w:rFonts w:ascii="Garamond" w:hAnsi="Garamond"/>
          <w:smallCaps/>
          <w:sz w:val="20"/>
          <w:szCs w:val="18"/>
        </w:rPr>
        <w:t xml:space="preserve"> Bartoli</w:t>
      </w:r>
      <w:r w:rsidRPr="00250E6F">
        <w:rPr>
          <w:rFonts w:ascii="Garamond" w:hAnsi="Garamond"/>
          <w:sz w:val="20"/>
          <w:szCs w:val="18"/>
        </w:rPr>
        <w:t xml:space="preserve">, voce </w:t>
      </w:r>
      <w:r w:rsidRPr="00250E6F">
        <w:rPr>
          <w:rFonts w:ascii="Garamond" w:hAnsi="Garamond"/>
          <w:i/>
          <w:sz w:val="20"/>
          <w:szCs w:val="18"/>
        </w:rPr>
        <w:t>Annullabilità ed annullamento nel diritto amministrativo</w:t>
      </w:r>
      <w:r w:rsidRPr="00250E6F">
        <w:rPr>
          <w:rFonts w:ascii="Garamond" w:hAnsi="Garamond"/>
          <w:sz w:val="20"/>
          <w:szCs w:val="18"/>
        </w:rPr>
        <w:t xml:space="preserve">, in </w:t>
      </w:r>
      <w:proofErr w:type="spellStart"/>
      <w:r w:rsidRPr="00250E6F">
        <w:rPr>
          <w:rFonts w:ascii="Garamond" w:hAnsi="Garamond"/>
          <w:i/>
          <w:sz w:val="20"/>
          <w:szCs w:val="18"/>
        </w:rPr>
        <w:t>Enc</w:t>
      </w:r>
      <w:proofErr w:type="spellEnd"/>
      <w:r w:rsidRPr="00250E6F">
        <w:rPr>
          <w:rFonts w:ascii="Garamond" w:hAnsi="Garamond"/>
          <w:i/>
          <w:sz w:val="20"/>
          <w:szCs w:val="18"/>
        </w:rPr>
        <w:t>. dir.</w:t>
      </w:r>
      <w:r w:rsidRPr="00250E6F">
        <w:rPr>
          <w:rFonts w:ascii="Garamond" w:hAnsi="Garamond"/>
          <w:sz w:val="20"/>
          <w:szCs w:val="18"/>
        </w:rPr>
        <w:t>, II, Milano, 1958, p. 491</w:t>
      </w:r>
      <w:r w:rsidR="00327634" w:rsidRPr="00250E6F">
        <w:rPr>
          <w:rFonts w:ascii="Garamond" w:hAnsi="Garamond"/>
          <w:sz w:val="20"/>
          <w:szCs w:val="18"/>
        </w:rPr>
        <w:t>.</w:t>
      </w:r>
    </w:p>
  </w:footnote>
  <w:footnote w:id="19">
    <w:p w14:paraId="1B4E8687"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w:t>
      </w:r>
      <w:r w:rsidRPr="00250E6F">
        <w:rPr>
          <w:rFonts w:ascii="Garamond" w:hAnsi="Garamond"/>
          <w:smallCaps/>
          <w:sz w:val="20"/>
          <w:szCs w:val="18"/>
        </w:rPr>
        <w:t>F. Costantino</w:t>
      </w:r>
      <w:r w:rsidRPr="00250E6F">
        <w:rPr>
          <w:rFonts w:ascii="Garamond" w:hAnsi="Garamond"/>
          <w:sz w:val="20"/>
          <w:szCs w:val="18"/>
        </w:rPr>
        <w:t xml:space="preserve">, </w:t>
      </w:r>
      <w:r w:rsidRPr="00250E6F">
        <w:rPr>
          <w:rFonts w:ascii="Garamond" w:hAnsi="Garamond"/>
          <w:i/>
          <w:sz w:val="20"/>
          <w:szCs w:val="18"/>
        </w:rPr>
        <w:t>La revoca del provvedimento</w:t>
      </w:r>
      <w:r w:rsidRPr="00250E6F">
        <w:rPr>
          <w:rFonts w:ascii="Garamond" w:hAnsi="Garamond"/>
          <w:sz w:val="20"/>
          <w:szCs w:val="18"/>
        </w:rPr>
        <w:t xml:space="preserve">, in </w:t>
      </w:r>
      <w:r w:rsidRPr="00250E6F">
        <w:rPr>
          <w:rFonts w:ascii="Garamond" w:hAnsi="Garamond"/>
          <w:smallCaps/>
          <w:sz w:val="20"/>
          <w:szCs w:val="18"/>
        </w:rPr>
        <w:t xml:space="preserve">A. Romano </w:t>
      </w:r>
      <w:r w:rsidRPr="00250E6F">
        <w:rPr>
          <w:rFonts w:ascii="Garamond" w:hAnsi="Garamond"/>
          <w:sz w:val="20"/>
          <w:szCs w:val="18"/>
        </w:rPr>
        <w:t xml:space="preserve">(a cura di), </w:t>
      </w:r>
      <w:r w:rsidRPr="00250E6F">
        <w:rPr>
          <w:rFonts w:ascii="Garamond" w:hAnsi="Garamond"/>
          <w:i/>
          <w:sz w:val="20"/>
          <w:szCs w:val="18"/>
        </w:rPr>
        <w:t>L’azione amministrativa</w:t>
      </w:r>
      <w:r w:rsidRPr="00250E6F">
        <w:rPr>
          <w:rFonts w:ascii="Garamond" w:hAnsi="Garamond"/>
          <w:sz w:val="20"/>
          <w:szCs w:val="18"/>
        </w:rPr>
        <w:t>, Torino, 2016, p. 758.</w:t>
      </w:r>
    </w:p>
  </w:footnote>
  <w:footnote w:id="20">
    <w:p w14:paraId="2E8BA151" w14:textId="1D8C3C9C" w:rsidR="007E1CB9" w:rsidRPr="00250E6F" w:rsidRDefault="007E1CB9" w:rsidP="00D2296A">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w:t>
      </w:r>
      <w:r w:rsidR="00781CE2" w:rsidRPr="00250E6F">
        <w:rPr>
          <w:rFonts w:ascii="Garamond" w:hAnsi="Garamond"/>
          <w:sz w:val="20"/>
          <w:szCs w:val="18"/>
        </w:rPr>
        <w:t xml:space="preserve">I cui Autori di riferimento possono rinvenirsi </w:t>
      </w:r>
      <w:r w:rsidR="00C72C65" w:rsidRPr="00250E6F">
        <w:rPr>
          <w:rFonts w:ascii="Garamond" w:hAnsi="Garamond"/>
          <w:sz w:val="20"/>
          <w:szCs w:val="18"/>
        </w:rPr>
        <w:t>in</w:t>
      </w:r>
      <w:r w:rsidRPr="00250E6F">
        <w:rPr>
          <w:rFonts w:ascii="Garamond" w:hAnsi="Garamond"/>
          <w:sz w:val="20"/>
          <w:szCs w:val="18"/>
        </w:rPr>
        <w:t xml:space="preserve"> </w:t>
      </w:r>
      <w:r w:rsidRPr="00250E6F">
        <w:rPr>
          <w:rFonts w:ascii="Garamond" w:hAnsi="Garamond"/>
          <w:smallCaps/>
          <w:sz w:val="20"/>
          <w:szCs w:val="18"/>
        </w:rPr>
        <w:t xml:space="preserve">M. </w:t>
      </w:r>
      <w:proofErr w:type="spellStart"/>
      <w:r w:rsidRPr="00250E6F">
        <w:rPr>
          <w:rFonts w:ascii="Garamond" w:hAnsi="Garamond"/>
          <w:smallCaps/>
          <w:sz w:val="20"/>
          <w:szCs w:val="18"/>
        </w:rPr>
        <w:t>Immordino</w:t>
      </w:r>
      <w:proofErr w:type="spellEnd"/>
      <w:r w:rsidRPr="00250E6F">
        <w:rPr>
          <w:rFonts w:ascii="Garamond" w:hAnsi="Garamond"/>
          <w:sz w:val="20"/>
          <w:szCs w:val="18"/>
        </w:rPr>
        <w:t xml:space="preserve">, </w:t>
      </w:r>
      <w:r w:rsidRPr="00250E6F">
        <w:rPr>
          <w:rFonts w:ascii="Garamond" w:hAnsi="Garamond"/>
          <w:i/>
          <w:sz w:val="20"/>
          <w:szCs w:val="18"/>
        </w:rPr>
        <w:t>Il potere amministrativo di revoca</w:t>
      </w:r>
      <w:r w:rsidRPr="00250E6F">
        <w:rPr>
          <w:rFonts w:ascii="Garamond" w:hAnsi="Garamond"/>
          <w:sz w:val="20"/>
          <w:szCs w:val="18"/>
        </w:rPr>
        <w:t xml:space="preserve">, cit., e </w:t>
      </w:r>
      <w:r w:rsidRPr="00250E6F">
        <w:rPr>
          <w:rFonts w:ascii="Garamond" w:hAnsi="Garamond"/>
          <w:smallCaps/>
          <w:sz w:val="20"/>
          <w:szCs w:val="18"/>
        </w:rPr>
        <w:t>B.G. Mattarella</w:t>
      </w:r>
      <w:r w:rsidRPr="00250E6F">
        <w:rPr>
          <w:rFonts w:ascii="Garamond" w:hAnsi="Garamond"/>
          <w:sz w:val="20"/>
          <w:szCs w:val="18"/>
        </w:rPr>
        <w:t xml:space="preserve">, </w:t>
      </w:r>
      <w:r w:rsidR="005D2CB6" w:rsidRPr="00250E6F">
        <w:rPr>
          <w:rFonts w:ascii="Garamond" w:hAnsi="Garamond"/>
          <w:i/>
          <w:sz w:val="20"/>
          <w:szCs w:val="18"/>
        </w:rPr>
        <w:t>Autotutela amministrativa e principio di legalità</w:t>
      </w:r>
      <w:r w:rsidR="00C72C65" w:rsidRPr="00250E6F">
        <w:rPr>
          <w:rFonts w:ascii="Garamond" w:hAnsi="Garamond"/>
          <w:sz w:val="20"/>
          <w:szCs w:val="18"/>
        </w:rPr>
        <w:t>, cit.</w:t>
      </w:r>
    </w:p>
  </w:footnote>
  <w:footnote w:id="21">
    <w:p w14:paraId="3DB863B6"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Per </w:t>
      </w:r>
      <w:r w:rsidRPr="00250E6F">
        <w:rPr>
          <w:rFonts w:ascii="Garamond" w:hAnsi="Garamond"/>
          <w:smallCaps/>
          <w:sz w:val="20"/>
          <w:szCs w:val="18"/>
        </w:rPr>
        <w:t xml:space="preserve">V. </w:t>
      </w:r>
      <w:proofErr w:type="spellStart"/>
      <w:r w:rsidRPr="00250E6F">
        <w:rPr>
          <w:rFonts w:ascii="Garamond" w:hAnsi="Garamond"/>
          <w:smallCaps/>
          <w:sz w:val="20"/>
          <w:szCs w:val="18"/>
        </w:rPr>
        <w:t>Domenichelli</w:t>
      </w:r>
      <w:proofErr w:type="spellEnd"/>
      <w:r w:rsidRPr="00250E6F">
        <w:rPr>
          <w:rFonts w:ascii="Garamond" w:hAnsi="Garamond"/>
          <w:sz w:val="20"/>
          <w:szCs w:val="18"/>
        </w:rPr>
        <w:t xml:space="preserve">, </w:t>
      </w:r>
      <w:r w:rsidRPr="00250E6F">
        <w:rPr>
          <w:rFonts w:ascii="Garamond" w:hAnsi="Garamond"/>
          <w:i/>
          <w:sz w:val="20"/>
          <w:szCs w:val="18"/>
        </w:rPr>
        <w:t>La revoca del provvedimento, commento all’art. 21-</w:t>
      </w:r>
      <w:r w:rsidRPr="00250E6F">
        <w:rPr>
          <w:rFonts w:ascii="Garamond" w:hAnsi="Garamond"/>
          <w:sz w:val="20"/>
          <w:szCs w:val="18"/>
        </w:rPr>
        <w:t>quinquies</w:t>
      </w:r>
      <w:r w:rsidRPr="00250E6F">
        <w:rPr>
          <w:rFonts w:ascii="Garamond" w:hAnsi="Garamond"/>
          <w:i/>
          <w:sz w:val="20"/>
          <w:szCs w:val="18"/>
        </w:rPr>
        <w:t xml:space="preserve"> della l. n. 241/’90</w:t>
      </w:r>
      <w:r w:rsidRPr="00250E6F">
        <w:rPr>
          <w:rFonts w:ascii="Garamond" w:hAnsi="Garamond"/>
          <w:sz w:val="20"/>
          <w:szCs w:val="18"/>
        </w:rPr>
        <w:t xml:space="preserve">, in </w:t>
      </w:r>
      <w:r w:rsidRPr="00250E6F">
        <w:rPr>
          <w:rFonts w:ascii="Garamond" w:hAnsi="Garamond"/>
          <w:smallCaps/>
          <w:sz w:val="20"/>
          <w:szCs w:val="18"/>
        </w:rPr>
        <w:t xml:space="preserve">M.A. </w:t>
      </w:r>
      <w:proofErr w:type="spellStart"/>
      <w:r w:rsidRPr="00250E6F">
        <w:rPr>
          <w:rFonts w:ascii="Garamond" w:hAnsi="Garamond"/>
          <w:smallCaps/>
          <w:sz w:val="20"/>
          <w:szCs w:val="18"/>
        </w:rPr>
        <w:t>Sandulli</w:t>
      </w:r>
      <w:proofErr w:type="spellEnd"/>
      <w:r w:rsidRPr="00250E6F">
        <w:rPr>
          <w:rFonts w:ascii="Garamond" w:hAnsi="Garamond"/>
          <w:sz w:val="20"/>
          <w:szCs w:val="18"/>
        </w:rPr>
        <w:t xml:space="preserve"> (a cura di), </w:t>
      </w:r>
      <w:r w:rsidRPr="00250E6F">
        <w:rPr>
          <w:rFonts w:ascii="Garamond" w:hAnsi="Garamond"/>
          <w:i/>
          <w:sz w:val="20"/>
          <w:szCs w:val="18"/>
        </w:rPr>
        <w:t>Codice dell’azione amministrativa</w:t>
      </w:r>
      <w:r w:rsidRPr="00250E6F">
        <w:rPr>
          <w:rFonts w:ascii="Garamond" w:hAnsi="Garamond"/>
          <w:sz w:val="20"/>
          <w:szCs w:val="18"/>
        </w:rPr>
        <w:t>, Milano, 2011, p. 878, invece, «forse le due tesi non sono veramente inconciliabili, se si considera che la discussione penetra nella complessa costruzione dell’amministrazione, titolare di poteri funzionalizzati alla tutela dell’interesse pubblico, cui deve perciò far sempre corrispondere le proprie scelte, ma insieme capace di emendarsi autonomamente senza la coazione esterna del giudice».</w:t>
      </w:r>
    </w:p>
  </w:footnote>
  <w:footnote w:id="22">
    <w:p w14:paraId="65D61B4D"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w:t>
      </w:r>
      <w:r w:rsidRPr="00250E6F">
        <w:rPr>
          <w:rFonts w:ascii="Garamond" w:hAnsi="Garamond"/>
          <w:smallCaps/>
          <w:sz w:val="20"/>
          <w:szCs w:val="18"/>
        </w:rPr>
        <w:t xml:space="preserve">M. </w:t>
      </w:r>
      <w:proofErr w:type="spellStart"/>
      <w:r w:rsidRPr="00250E6F">
        <w:rPr>
          <w:rFonts w:ascii="Garamond" w:hAnsi="Garamond"/>
          <w:smallCaps/>
          <w:sz w:val="20"/>
          <w:szCs w:val="18"/>
        </w:rPr>
        <w:t>Immordino</w:t>
      </w:r>
      <w:proofErr w:type="spellEnd"/>
      <w:r w:rsidRPr="00250E6F">
        <w:rPr>
          <w:rFonts w:ascii="Garamond" w:hAnsi="Garamond"/>
          <w:sz w:val="20"/>
          <w:szCs w:val="18"/>
        </w:rPr>
        <w:t xml:space="preserve">, </w:t>
      </w:r>
      <w:r w:rsidRPr="00250E6F">
        <w:rPr>
          <w:rFonts w:ascii="Garamond" w:hAnsi="Garamond"/>
          <w:i/>
          <w:sz w:val="20"/>
          <w:szCs w:val="18"/>
        </w:rPr>
        <w:t>Il potere amministrativo di revoca</w:t>
      </w:r>
      <w:r w:rsidRPr="00250E6F">
        <w:rPr>
          <w:rFonts w:ascii="Garamond" w:hAnsi="Garamond"/>
          <w:sz w:val="20"/>
          <w:szCs w:val="18"/>
        </w:rPr>
        <w:t xml:space="preserve">, cit., fonda la revoca sul principio di efficacia del provvedimento: la revoca è pertanto «uno strumento capace di garantire in ogni tempo la funzionalità dell’azione amministrativa», p. 6. </w:t>
      </w:r>
    </w:p>
  </w:footnote>
  <w:footnote w:id="23">
    <w:p w14:paraId="61E23F2C"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w:t>
      </w:r>
      <w:r w:rsidRPr="00250E6F">
        <w:rPr>
          <w:rFonts w:ascii="Garamond" w:hAnsi="Garamond"/>
          <w:smallCaps/>
          <w:sz w:val="20"/>
          <w:szCs w:val="18"/>
        </w:rPr>
        <w:t xml:space="preserve">M. </w:t>
      </w:r>
      <w:proofErr w:type="spellStart"/>
      <w:r w:rsidRPr="00250E6F">
        <w:rPr>
          <w:rFonts w:ascii="Garamond" w:hAnsi="Garamond"/>
          <w:smallCaps/>
          <w:sz w:val="20"/>
          <w:szCs w:val="18"/>
        </w:rPr>
        <w:t>Immordino</w:t>
      </w:r>
      <w:proofErr w:type="spellEnd"/>
      <w:r w:rsidRPr="00250E6F">
        <w:rPr>
          <w:rFonts w:ascii="Garamond" w:hAnsi="Garamond"/>
          <w:sz w:val="20"/>
          <w:szCs w:val="18"/>
        </w:rPr>
        <w:t xml:space="preserve">, </w:t>
      </w:r>
      <w:r w:rsidRPr="00250E6F">
        <w:rPr>
          <w:rFonts w:ascii="Garamond" w:hAnsi="Garamond"/>
          <w:i/>
          <w:sz w:val="20"/>
          <w:szCs w:val="18"/>
        </w:rPr>
        <w:t>Il potere amministrativo di revoca</w:t>
      </w:r>
      <w:r w:rsidRPr="00250E6F">
        <w:rPr>
          <w:rFonts w:ascii="Garamond" w:hAnsi="Garamond"/>
          <w:sz w:val="20"/>
          <w:szCs w:val="18"/>
        </w:rPr>
        <w:t>, cit., p. 6.</w:t>
      </w:r>
    </w:p>
  </w:footnote>
  <w:footnote w:id="24">
    <w:p w14:paraId="3F9E71E5" w14:textId="158A0A11"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w:t>
      </w:r>
      <w:r w:rsidRPr="00250E6F">
        <w:rPr>
          <w:rFonts w:ascii="Garamond" w:hAnsi="Garamond"/>
          <w:smallCaps/>
          <w:sz w:val="20"/>
          <w:szCs w:val="18"/>
        </w:rPr>
        <w:t>B.G. Mattarella</w:t>
      </w:r>
      <w:r w:rsidRPr="00250E6F">
        <w:rPr>
          <w:rFonts w:ascii="Garamond" w:hAnsi="Garamond"/>
          <w:sz w:val="20"/>
          <w:szCs w:val="18"/>
        </w:rPr>
        <w:t xml:space="preserve">, </w:t>
      </w:r>
      <w:r w:rsidR="005D2CB6" w:rsidRPr="00250E6F">
        <w:rPr>
          <w:rFonts w:ascii="Garamond" w:hAnsi="Garamond"/>
          <w:i/>
          <w:sz w:val="20"/>
          <w:szCs w:val="18"/>
        </w:rPr>
        <w:t>Autotutela amministrativa e principio di legalità</w:t>
      </w:r>
      <w:r w:rsidRPr="00250E6F">
        <w:rPr>
          <w:rFonts w:ascii="Garamond" w:hAnsi="Garamond"/>
          <w:sz w:val="20"/>
          <w:szCs w:val="18"/>
        </w:rPr>
        <w:t>, cit.</w:t>
      </w:r>
    </w:p>
  </w:footnote>
  <w:footnote w:id="25">
    <w:p w14:paraId="3C844225" w14:textId="7A57093C"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Sempre </w:t>
      </w:r>
      <w:r w:rsidRPr="00250E6F">
        <w:rPr>
          <w:rFonts w:ascii="Garamond" w:hAnsi="Garamond"/>
          <w:smallCaps/>
          <w:sz w:val="20"/>
          <w:szCs w:val="18"/>
        </w:rPr>
        <w:t>B.G. Mattarella</w:t>
      </w:r>
      <w:r w:rsidRPr="00250E6F">
        <w:rPr>
          <w:rFonts w:ascii="Garamond" w:hAnsi="Garamond"/>
          <w:sz w:val="20"/>
          <w:szCs w:val="18"/>
        </w:rPr>
        <w:t xml:space="preserve">, </w:t>
      </w:r>
      <w:r w:rsidR="005D2CB6" w:rsidRPr="00250E6F">
        <w:rPr>
          <w:rFonts w:ascii="Garamond" w:hAnsi="Garamond"/>
          <w:i/>
          <w:sz w:val="20"/>
          <w:szCs w:val="18"/>
        </w:rPr>
        <w:t>Autotutela amministrativa e principio di legalità</w:t>
      </w:r>
      <w:r w:rsidRPr="00250E6F">
        <w:rPr>
          <w:rFonts w:ascii="Garamond" w:hAnsi="Garamond"/>
          <w:sz w:val="20"/>
          <w:szCs w:val="18"/>
        </w:rPr>
        <w:t>, cit.: «La scienza giuridica, all’inizio del Novecento, costruì la teoria dell’atto amministrativo sulla falsariga di quella del contratto, atto bilaterale e non unilaterale. Incorse, quindi, in un errore di prospettiva: invece di assimilare la revocabilità dell’atto amministrativo alla revocabilità dell’atto unilaterale privato, la contrappose all’irrevocabilità dell’adesione al contratto. Ciò che era normale sembrò così un privilegio».</w:t>
      </w:r>
    </w:p>
  </w:footnote>
  <w:footnote w:id="26">
    <w:p w14:paraId="38EA6B1F"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w:t>
      </w:r>
      <w:r w:rsidRPr="00250E6F">
        <w:rPr>
          <w:rFonts w:ascii="Garamond" w:hAnsi="Garamond"/>
          <w:smallCaps/>
          <w:sz w:val="20"/>
          <w:szCs w:val="18"/>
        </w:rPr>
        <w:t>B.G. Mattarella</w:t>
      </w:r>
      <w:r w:rsidRPr="00250E6F">
        <w:rPr>
          <w:rFonts w:ascii="Garamond" w:hAnsi="Garamond"/>
          <w:sz w:val="20"/>
          <w:szCs w:val="18"/>
        </w:rPr>
        <w:t xml:space="preserve">, </w:t>
      </w:r>
      <w:r w:rsidRPr="00250E6F">
        <w:rPr>
          <w:rFonts w:ascii="Garamond" w:hAnsi="Garamond"/>
          <w:i/>
          <w:sz w:val="20"/>
          <w:szCs w:val="18"/>
        </w:rPr>
        <w:t>Il provvedimento</w:t>
      </w:r>
      <w:r w:rsidRPr="00250E6F">
        <w:rPr>
          <w:rFonts w:ascii="Garamond" w:hAnsi="Garamond"/>
          <w:sz w:val="20"/>
          <w:szCs w:val="18"/>
        </w:rPr>
        <w:t>, cit., p. 954.</w:t>
      </w:r>
    </w:p>
  </w:footnote>
  <w:footnote w:id="27">
    <w:p w14:paraId="141C4A66"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La modificazione del provvedimento avverrebbe in senso esclusivamente abrogativo dei suoi effetti, dunque tipizzato. La qualificazione del potere di abrogazione dei provvedimenti ne rende peraltro necessaria l’individuazione del fondamento normativo: i lontani echi di Santi Romano e Massimo Severo Giannini lasciano oggi il passo a una ricostruzione del potere di modificazione quale combinazione tra revoca e </w:t>
      </w:r>
      <w:proofErr w:type="spellStart"/>
      <w:r w:rsidRPr="00250E6F">
        <w:rPr>
          <w:rFonts w:ascii="Garamond" w:hAnsi="Garamond"/>
          <w:sz w:val="20"/>
          <w:szCs w:val="18"/>
        </w:rPr>
        <w:t>riesercizio</w:t>
      </w:r>
      <w:proofErr w:type="spellEnd"/>
      <w:r w:rsidRPr="00250E6F">
        <w:rPr>
          <w:rFonts w:ascii="Garamond" w:hAnsi="Garamond"/>
          <w:sz w:val="20"/>
          <w:szCs w:val="18"/>
        </w:rPr>
        <w:t xml:space="preserve"> del potere. Si veda in proposito la lettura che offre </w:t>
      </w:r>
      <w:r w:rsidRPr="00250E6F">
        <w:rPr>
          <w:rFonts w:ascii="Garamond" w:hAnsi="Garamond"/>
          <w:smallCaps/>
          <w:sz w:val="20"/>
          <w:szCs w:val="18"/>
        </w:rPr>
        <w:t>N. Berti</w:t>
      </w:r>
      <w:r w:rsidRPr="00250E6F">
        <w:rPr>
          <w:rFonts w:ascii="Garamond" w:hAnsi="Garamond"/>
          <w:sz w:val="20"/>
          <w:szCs w:val="18"/>
        </w:rPr>
        <w:t xml:space="preserve">, </w:t>
      </w:r>
      <w:r w:rsidRPr="00250E6F">
        <w:rPr>
          <w:rFonts w:ascii="Garamond" w:hAnsi="Garamond"/>
          <w:i/>
          <w:sz w:val="20"/>
          <w:szCs w:val="18"/>
        </w:rPr>
        <w:t>Le decisioni di modifica tra revoca e abrogazione del provvedimento amministrativo</w:t>
      </w:r>
      <w:r w:rsidRPr="00250E6F">
        <w:rPr>
          <w:rFonts w:ascii="Garamond" w:hAnsi="Garamond"/>
          <w:sz w:val="20"/>
          <w:szCs w:val="18"/>
        </w:rPr>
        <w:t xml:space="preserve">, pp. 429 ss., in </w:t>
      </w:r>
      <w:r w:rsidRPr="00250E6F">
        <w:rPr>
          <w:rFonts w:ascii="Garamond" w:hAnsi="Garamond"/>
          <w:smallCaps/>
          <w:sz w:val="20"/>
          <w:szCs w:val="18"/>
        </w:rPr>
        <w:t xml:space="preserve">R. </w:t>
      </w:r>
      <w:proofErr w:type="spellStart"/>
      <w:r w:rsidRPr="00250E6F">
        <w:rPr>
          <w:rFonts w:ascii="Garamond" w:hAnsi="Garamond"/>
          <w:smallCaps/>
          <w:sz w:val="20"/>
          <w:szCs w:val="18"/>
        </w:rPr>
        <w:t>Ursi</w:t>
      </w:r>
      <w:proofErr w:type="spellEnd"/>
      <w:r w:rsidRPr="00250E6F">
        <w:rPr>
          <w:rFonts w:ascii="Garamond" w:hAnsi="Garamond"/>
          <w:smallCaps/>
          <w:sz w:val="20"/>
          <w:szCs w:val="18"/>
        </w:rPr>
        <w:t>, M. Renna</w:t>
      </w:r>
      <w:r w:rsidRPr="00250E6F">
        <w:rPr>
          <w:rFonts w:ascii="Garamond" w:hAnsi="Garamond"/>
          <w:sz w:val="20"/>
          <w:szCs w:val="18"/>
        </w:rPr>
        <w:t xml:space="preserve"> (a cura di), </w:t>
      </w:r>
      <w:r w:rsidRPr="00250E6F">
        <w:rPr>
          <w:rFonts w:ascii="Garamond" w:hAnsi="Garamond"/>
          <w:i/>
          <w:sz w:val="20"/>
          <w:szCs w:val="18"/>
        </w:rPr>
        <w:t>La decisione amministrativa</w:t>
      </w:r>
      <w:r w:rsidRPr="00250E6F">
        <w:rPr>
          <w:rFonts w:ascii="Garamond" w:hAnsi="Garamond"/>
          <w:sz w:val="20"/>
          <w:szCs w:val="18"/>
        </w:rPr>
        <w:t>, Napoli, 2021. Il quale peraltro attentamente segnala una giurisprudenza piuttosto diffusa che accomuna la modificazione dei provvedimenti alla revoca quanto agli effetti – almeno – parziali: sicché la modificazione del contenuto dispositivo di un atto coinciderebbe con una sua revoca parziale, affiancata da un’addizione. Ne deriva l’applicabilità, nei presupposti e negli effetti, dell’art. 21-</w:t>
      </w:r>
      <w:r w:rsidRPr="00250E6F">
        <w:rPr>
          <w:rFonts w:ascii="Garamond" w:hAnsi="Garamond"/>
          <w:i/>
          <w:sz w:val="20"/>
          <w:szCs w:val="18"/>
        </w:rPr>
        <w:t>quinquies</w:t>
      </w:r>
      <w:r w:rsidRPr="00250E6F">
        <w:rPr>
          <w:rFonts w:ascii="Garamond" w:hAnsi="Garamond"/>
          <w:sz w:val="20"/>
          <w:szCs w:val="18"/>
        </w:rPr>
        <w:t xml:space="preserve">. Cfr. </w:t>
      </w:r>
      <w:proofErr w:type="spellStart"/>
      <w:r w:rsidRPr="00250E6F">
        <w:rPr>
          <w:rFonts w:ascii="Garamond" w:hAnsi="Garamond"/>
          <w:sz w:val="20"/>
          <w:szCs w:val="18"/>
        </w:rPr>
        <w:t>Cons</w:t>
      </w:r>
      <w:proofErr w:type="spellEnd"/>
      <w:r w:rsidRPr="00250E6F">
        <w:rPr>
          <w:rFonts w:ascii="Garamond" w:hAnsi="Garamond"/>
          <w:sz w:val="20"/>
          <w:szCs w:val="18"/>
        </w:rPr>
        <w:t>. Stato, Sez. II, 14 marzo 2020, n. 1837, in nt. 35 del saggio citato, p. 440.</w:t>
      </w:r>
    </w:p>
  </w:footnote>
  <w:footnote w:id="28">
    <w:p w14:paraId="1C5EDF22" w14:textId="7487B6B5"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In questo senso v. lo studio fondamentale di </w:t>
      </w:r>
      <w:r w:rsidRPr="00250E6F">
        <w:rPr>
          <w:rFonts w:ascii="Garamond" w:hAnsi="Garamond"/>
          <w:smallCaps/>
          <w:sz w:val="20"/>
          <w:szCs w:val="18"/>
        </w:rPr>
        <w:t xml:space="preserve">M. </w:t>
      </w:r>
      <w:proofErr w:type="spellStart"/>
      <w:r w:rsidRPr="00250E6F">
        <w:rPr>
          <w:rFonts w:ascii="Garamond" w:hAnsi="Garamond"/>
          <w:smallCaps/>
          <w:sz w:val="20"/>
          <w:szCs w:val="18"/>
        </w:rPr>
        <w:t>Immordino</w:t>
      </w:r>
      <w:proofErr w:type="spellEnd"/>
      <w:r w:rsidRPr="00250E6F">
        <w:rPr>
          <w:rFonts w:ascii="Garamond" w:hAnsi="Garamond"/>
          <w:sz w:val="20"/>
          <w:szCs w:val="18"/>
        </w:rPr>
        <w:t xml:space="preserve">, </w:t>
      </w:r>
      <w:r w:rsidRPr="00250E6F">
        <w:rPr>
          <w:rFonts w:ascii="Garamond" w:hAnsi="Garamond"/>
          <w:i/>
          <w:sz w:val="20"/>
          <w:szCs w:val="18"/>
        </w:rPr>
        <w:t>Revoca degli atti amministrativi</w:t>
      </w:r>
      <w:r w:rsidR="00BE4D52" w:rsidRPr="00250E6F">
        <w:rPr>
          <w:rFonts w:ascii="Garamond" w:hAnsi="Garamond"/>
          <w:sz w:val="20"/>
          <w:szCs w:val="18"/>
        </w:rPr>
        <w:t xml:space="preserve">, cit., </w:t>
      </w:r>
      <w:r w:rsidRPr="00250E6F">
        <w:rPr>
          <w:rFonts w:ascii="Garamond" w:hAnsi="Garamond"/>
          <w:sz w:val="20"/>
          <w:szCs w:val="18"/>
        </w:rPr>
        <w:t>pp. 86 ss.</w:t>
      </w:r>
    </w:p>
  </w:footnote>
  <w:footnote w:id="29">
    <w:p w14:paraId="7EA2D80A"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w:t>
      </w:r>
      <w:r w:rsidRPr="00250E6F">
        <w:rPr>
          <w:rFonts w:ascii="Garamond" w:hAnsi="Garamond"/>
          <w:smallCaps/>
          <w:sz w:val="20"/>
          <w:szCs w:val="18"/>
        </w:rPr>
        <w:t xml:space="preserve">M. </w:t>
      </w:r>
      <w:proofErr w:type="spellStart"/>
      <w:r w:rsidRPr="00250E6F">
        <w:rPr>
          <w:rFonts w:ascii="Garamond" w:hAnsi="Garamond"/>
          <w:smallCaps/>
          <w:sz w:val="20"/>
          <w:szCs w:val="18"/>
        </w:rPr>
        <w:t>Immordino</w:t>
      </w:r>
      <w:proofErr w:type="spellEnd"/>
      <w:r w:rsidRPr="00250E6F">
        <w:rPr>
          <w:rFonts w:ascii="Garamond" w:hAnsi="Garamond"/>
          <w:sz w:val="20"/>
          <w:szCs w:val="18"/>
        </w:rPr>
        <w:t xml:space="preserve">, </w:t>
      </w:r>
      <w:r w:rsidRPr="00250E6F">
        <w:rPr>
          <w:rFonts w:ascii="Garamond" w:hAnsi="Garamond"/>
          <w:i/>
          <w:sz w:val="20"/>
          <w:szCs w:val="18"/>
        </w:rPr>
        <w:t>Il potere amministrativo di revoca</w:t>
      </w:r>
      <w:r w:rsidRPr="00250E6F">
        <w:rPr>
          <w:rFonts w:ascii="Garamond" w:hAnsi="Garamond"/>
          <w:sz w:val="20"/>
          <w:szCs w:val="18"/>
        </w:rPr>
        <w:t xml:space="preserve">, cit. V’è da dirsi, tuttavia, che il </w:t>
      </w:r>
      <w:proofErr w:type="spellStart"/>
      <w:r w:rsidRPr="00250E6F">
        <w:rPr>
          <w:rFonts w:ascii="Garamond" w:hAnsi="Garamond"/>
          <w:sz w:val="20"/>
          <w:szCs w:val="18"/>
        </w:rPr>
        <w:t>d.l.</w:t>
      </w:r>
      <w:proofErr w:type="spellEnd"/>
      <w:r w:rsidRPr="00250E6F">
        <w:rPr>
          <w:rFonts w:ascii="Garamond" w:hAnsi="Garamond"/>
          <w:sz w:val="20"/>
          <w:szCs w:val="18"/>
        </w:rPr>
        <w:t xml:space="preserve"> n. 133/’14 – che ha preceduto la l. n. 124 del 2015 – ha operato modifiche in tema di autotutela tanto sull’art. 21-</w:t>
      </w:r>
      <w:r w:rsidRPr="00250E6F">
        <w:rPr>
          <w:rFonts w:ascii="Garamond" w:hAnsi="Garamond"/>
          <w:i/>
          <w:sz w:val="20"/>
          <w:szCs w:val="18"/>
        </w:rPr>
        <w:t>quinquies</w:t>
      </w:r>
      <w:r w:rsidRPr="00250E6F">
        <w:rPr>
          <w:rFonts w:ascii="Garamond" w:hAnsi="Garamond"/>
          <w:sz w:val="20"/>
          <w:szCs w:val="18"/>
        </w:rPr>
        <w:t xml:space="preserve"> quanto sull’art. 21-</w:t>
      </w:r>
      <w:r w:rsidRPr="00250E6F">
        <w:rPr>
          <w:rFonts w:ascii="Garamond" w:hAnsi="Garamond"/>
          <w:i/>
          <w:sz w:val="20"/>
          <w:szCs w:val="18"/>
        </w:rPr>
        <w:t>nonies</w:t>
      </w:r>
      <w:r w:rsidRPr="00250E6F">
        <w:rPr>
          <w:rFonts w:ascii="Garamond" w:hAnsi="Garamond"/>
          <w:sz w:val="20"/>
          <w:szCs w:val="18"/>
        </w:rPr>
        <w:t>: pertanto, la scelta di quest’ultima riforma di non toccare la revoca potrebbe trovare la sua giustificazione non in esigenze sistematiche di differenziare la revoca e l’annullamento d’ufficio quanto al loro fondamento, quanto piuttosto – più semplicemente – nella semplice attenzione preferenziale al tema ancora problematico dell’annullamento d’ufficio e delle sue interazioni con gli altri istituti quali la conferenza di servizi, il silenzio assenso, la SCIA.</w:t>
      </w:r>
    </w:p>
  </w:footnote>
  <w:footnote w:id="30">
    <w:p w14:paraId="4846FCC8"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V. in proposito </w:t>
      </w:r>
      <w:r w:rsidRPr="00250E6F">
        <w:rPr>
          <w:rFonts w:ascii="Garamond" w:hAnsi="Garamond"/>
          <w:smallCaps/>
          <w:sz w:val="20"/>
          <w:szCs w:val="18"/>
        </w:rPr>
        <w:t>A. Massera</w:t>
      </w:r>
      <w:r w:rsidRPr="00250E6F">
        <w:rPr>
          <w:rFonts w:ascii="Garamond" w:hAnsi="Garamond"/>
          <w:sz w:val="20"/>
          <w:szCs w:val="18"/>
        </w:rPr>
        <w:t xml:space="preserve">, </w:t>
      </w:r>
      <w:r w:rsidRPr="00250E6F">
        <w:rPr>
          <w:rFonts w:ascii="Garamond" w:hAnsi="Garamond"/>
          <w:i/>
          <w:sz w:val="20"/>
          <w:szCs w:val="18"/>
        </w:rPr>
        <w:t>I criteri di economicità, efficacia, efficienza</w:t>
      </w:r>
      <w:r w:rsidRPr="00250E6F">
        <w:rPr>
          <w:rFonts w:ascii="Garamond" w:hAnsi="Garamond"/>
          <w:sz w:val="20"/>
          <w:szCs w:val="18"/>
        </w:rPr>
        <w:t xml:space="preserve">, in </w:t>
      </w:r>
      <w:r w:rsidRPr="00250E6F">
        <w:rPr>
          <w:rFonts w:ascii="Garamond" w:hAnsi="Garamond"/>
          <w:smallCaps/>
          <w:sz w:val="20"/>
          <w:szCs w:val="18"/>
        </w:rPr>
        <w:t xml:space="preserve">M.A. </w:t>
      </w:r>
      <w:proofErr w:type="spellStart"/>
      <w:r w:rsidRPr="00250E6F">
        <w:rPr>
          <w:rFonts w:ascii="Garamond" w:hAnsi="Garamond"/>
          <w:smallCaps/>
          <w:sz w:val="20"/>
          <w:szCs w:val="18"/>
        </w:rPr>
        <w:t>Sandulli</w:t>
      </w:r>
      <w:proofErr w:type="spellEnd"/>
      <w:r w:rsidRPr="00250E6F">
        <w:rPr>
          <w:rFonts w:ascii="Garamond" w:hAnsi="Garamond"/>
          <w:smallCaps/>
          <w:sz w:val="20"/>
          <w:szCs w:val="18"/>
        </w:rPr>
        <w:t xml:space="preserve"> </w:t>
      </w:r>
      <w:r w:rsidRPr="00250E6F">
        <w:rPr>
          <w:rFonts w:ascii="Garamond" w:hAnsi="Garamond"/>
          <w:sz w:val="20"/>
          <w:szCs w:val="18"/>
        </w:rPr>
        <w:t xml:space="preserve">(a cura di), </w:t>
      </w:r>
      <w:r w:rsidRPr="00250E6F">
        <w:rPr>
          <w:rFonts w:ascii="Garamond" w:hAnsi="Garamond"/>
          <w:i/>
          <w:sz w:val="20"/>
          <w:szCs w:val="18"/>
        </w:rPr>
        <w:t>Codice dell’azione amministrativa</w:t>
      </w:r>
      <w:r w:rsidRPr="00250E6F">
        <w:rPr>
          <w:rFonts w:ascii="Garamond" w:hAnsi="Garamond"/>
          <w:sz w:val="20"/>
          <w:szCs w:val="18"/>
        </w:rPr>
        <w:t>, Milano, 2011, pp. 24 ss., in particolare p. 30: «l’efficacia (efficacia sociale) misura la relazione tra obiettivi e risultati, imponendo la congruità tra i prodotti dell’azione e i fini stabiliti, in termini di interessi e bisogni soddisfatti».</w:t>
      </w:r>
    </w:p>
  </w:footnote>
  <w:footnote w:id="31">
    <w:p w14:paraId="665C55F4" w14:textId="77777777" w:rsidR="00E12FAE" w:rsidRPr="00250E6F" w:rsidRDefault="00E12FAE" w:rsidP="00E12FAE">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Sia consentito sul punto il rinvio a </w:t>
      </w:r>
      <w:r w:rsidRPr="00250E6F">
        <w:rPr>
          <w:rFonts w:ascii="Garamond" w:hAnsi="Garamond"/>
          <w:smallCaps/>
          <w:sz w:val="20"/>
          <w:szCs w:val="18"/>
        </w:rPr>
        <w:t>C. Napolitano</w:t>
      </w:r>
      <w:r w:rsidRPr="00250E6F">
        <w:rPr>
          <w:rFonts w:ascii="Garamond" w:hAnsi="Garamond"/>
          <w:sz w:val="20"/>
          <w:szCs w:val="18"/>
        </w:rPr>
        <w:t xml:space="preserve">, </w:t>
      </w:r>
      <w:r w:rsidRPr="00250E6F">
        <w:rPr>
          <w:rFonts w:ascii="Garamond" w:hAnsi="Garamond"/>
          <w:i/>
          <w:sz w:val="20"/>
          <w:szCs w:val="18"/>
        </w:rPr>
        <w:t>Profili organizzativi dell’autotutela</w:t>
      </w:r>
      <w:r w:rsidRPr="00250E6F">
        <w:rPr>
          <w:rFonts w:ascii="Garamond" w:hAnsi="Garamond"/>
          <w:sz w:val="20"/>
          <w:szCs w:val="18"/>
        </w:rPr>
        <w:t xml:space="preserve">, in </w:t>
      </w:r>
      <w:r w:rsidRPr="00250E6F">
        <w:rPr>
          <w:rFonts w:ascii="Garamond" w:hAnsi="Garamond"/>
          <w:i/>
          <w:sz w:val="20"/>
          <w:szCs w:val="18"/>
        </w:rPr>
        <w:t>P.A. Persona e Amministrazione</w:t>
      </w:r>
      <w:r w:rsidRPr="00250E6F">
        <w:rPr>
          <w:rFonts w:ascii="Garamond" w:hAnsi="Garamond"/>
          <w:sz w:val="20"/>
          <w:szCs w:val="18"/>
        </w:rPr>
        <w:t>, n. 1/2019, pp. 241 ss.</w:t>
      </w:r>
    </w:p>
  </w:footnote>
  <w:footnote w:id="32">
    <w:p w14:paraId="7F5A4E8C" w14:textId="77777777" w:rsidR="00627B2D" w:rsidRPr="00250E6F" w:rsidRDefault="00627B2D" w:rsidP="00627B2D">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E che, dunque, l’elemento distintivo dei due istituti sta nella (il-)legittimità del provvedimento originario.</w:t>
      </w:r>
    </w:p>
    <w:p w14:paraId="46845A0E" w14:textId="77777777" w:rsidR="00627B2D" w:rsidRPr="00250E6F" w:rsidRDefault="00627B2D" w:rsidP="00627B2D">
      <w:pPr>
        <w:pStyle w:val="Testonotaapidipagina"/>
        <w:spacing w:line="276" w:lineRule="auto"/>
        <w:ind w:firstLine="284"/>
        <w:jc w:val="both"/>
        <w:rPr>
          <w:rFonts w:ascii="Garamond" w:hAnsi="Garamond"/>
          <w:sz w:val="20"/>
          <w:szCs w:val="18"/>
        </w:rPr>
      </w:pPr>
      <w:r w:rsidRPr="00250E6F">
        <w:rPr>
          <w:rFonts w:ascii="Garamond" w:hAnsi="Garamond"/>
          <w:sz w:val="20"/>
          <w:szCs w:val="18"/>
        </w:rPr>
        <w:t>Il fatto che questo sia contrario al paradigma normativo costituisce per l’annullamento officioso la ragione della sua funzionalizzazione tendenzialmente giustiziale, più che d’amministrazione attiva.</w:t>
      </w:r>
    </w:p>
    <w:p w14:paraId="5E7F950A" w14:textId="77777777" w:rsidR="00627B2D" w:rsidRPr="00250E6F" w:rsidRDefault="00627B2D" w:rsidP="00627B2D">
      <w:pPr>
        <w:pStyle w:val="Testonotaapidipagina"/>
        <w:spacing w:line="276" w:lineRule="auto"/>
        <w:ind w:firstLine="284"/>
        <w:jc w:val="both"/>
        <w:rPr>
          <w:rFonts w:ascii="Garamond" w:hAnsi="Garamond"/>
          <w:sz w:val="20"/>
          <w:szCs w:val="18"/>
        </w:rPr>
      </w:pPr>
      <w:r w:rsidRPr="00250E6F">
        <w:rPr>
          <w:rFonts w:ascii="Garamond" w:hAnsi="Garamond"/>
          <w:sz w:val="20"/>
          <w:szCs w:val="18"/>
        </w:rPr>
        <w:t xml:space="preserve">Al contrario, poiché l’Amministrazione può esercitare il potere di revoca su un atto legittimo (anzi, </w:t>
      </w:r>
      <w:r w:rsidRPr="00250E6F">
        <w:rPr>
          <w:rFonts w:ascii="Garamond" w:hAnsi="Garamond"/>
          <w:i/>
          <w:sz w:val="20"/>
          <w:szCs w:val="18"/>
        </w:rPr>
        <w:t>proprio perché</w:t>
      </w:r>
      <w:r w:rsidRPr="00250E6F">
        <w:rPr>
          <w:rFonts w:ascii="Garamond" w:hAnsi="Garamond"/>
          <w:sz w:val="20"/>
          <w:szCs w:val="18"/>
        </w:rPr>
        <w:t xml:space="preserve"> tale) al fine di amministrare interessi sopravvenuti rispetto a quelli già precedentemente bilanciati, può parlarsi – o forse è opportuno che si parli – di un potere d’amministrazione attiva.</w:t>
      </w:r>
    </w:p>
  </w:footnote>
  <w:footnote w:id="33">
    <w:p w14:paraId="5F85852F"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Cfr. </w:t>
      </w:r>
      <w:proofErr w:type="spellStart"/>
      <w:r w:rsidRPr="00250E6F">
        <w:rPr>
          <w:rFonts w:ascii="Garamond" w:hAnsi="Garamond"/>
          <w:sz w:val="20"/>
          <w:szCs w:val="18"/>
        </w:rPr>
        <w:t>Cons</w:t>
      </w:r>
      <w:proofErr w:type="spellEnd"/>
      <w:r w:rsidRPr="00250E6F">
        <w:rPr>
          <w:rFonts w:ascii="Garamond" w:hAnsi="Garamond"/>
          <w:sz w:val="20"/>
          <w:szCs w:val="18"/>
        </w:rPr>
        <w:t>. Stato, II, 14 marzo 2020, n. 1837.</w:t>
      </w:r>
    </w:p>
    <w:p w14:paraId="20535323"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rPr>
        <w:t xml:space="preserve">Cfr. anche </w:t>
      </w:r>
      <w:r w:rsidR="004D78E4" w:rsidRPr="00250E6F">
        <w:rPr>
          <w:rFonts w:ascii="Garamond" w:hAnsi="Garamond"/>
          <w:sz w:val="20"/>
          <w:szCs w:val="18"/>
        </w:rPr>
        <w:t>Tar</w:t>
      </w:r>
      <w:r w:rsidRPr="00250E6F">
        <w:rPr>
          <w:rFonts w:ascii="Garamond" w:hAnsi="Garamond"/>
          <w:sz w:val="20"/>
          <w:szCs w:val="18"/>
        </w:rPr>
        <w:t xml:space="preserve"> Palermo, I, 17 luglio 2018, n. 1629, il quale – pur configurando la revoca come potere di autotutela – sancisce l’ampia discrezionalità dell’atto</w:t>
      </w:r>
      <w:r w:rsidR="004D78E4" w:rsidRPr="00250E6F">
        <w:rPr>
          <w:rFonts w:ascii="Garamond" w:hAnsi="Garamond"/>
          <w:sz w:val="20"/>
          <w:szCs w:val="18"/>
        </w:rPr>
        <w:t xml:space="preserve"> e dunque l’obbligo di approfondita e puntuale motivazione</w:t>
      </w:r>
      <w:r w:rsidRPr="00250E6F">
        <w:rPr>
          <w:rFonts w:ascii="Garamond" w:hAnsi="Garamond"/>
          <w:sz w:val="20"/>
          <w:szCs w:val="18"/>
        </w:rPr>
        <w:t>: «A differenza del potere di annullamento d’ufficio, che postula l’illegittimità dell’atto rimosso d’ufficio, quello di revoca esige, infatti, solo una valutazione di opportunità, seppur ancorata alle condizioni legittimanti dettagliate all’art. 21-</w:t>
      </w:r>
      <w:r w:rsidRPr="00250E6F">
        <w:rPr>
          <w:rFonts w:ascii="Garamond" w:hAnsi="Garamond"/>
          <w:i/>
          <w:sz w:val="20"/>
          <w:szCs w:val="18"/>
        </w:rPr>
        <w:t>quinquies</w:t>
      </w:r>
      <w:r w:rsidRPr="00250E6F">
        <w:rPr>
          <w:rFonts w:ascii="Garamond" w:hAnsi="Garamond"/>
          <w:sz w:val="20"/>
          <w:szCs w:val="18"/>
        </w:rPr>
        <w:t xml:space="preserve"> della legge n. 241 del 1990 (e che, nondimeno, sono descritte con clausole di ampia latitudine semantica), sicché il valido esercizio dello stesso resta, comunque, rimesso a un apprezzamento ampiamente discrezionale dell’Amministrazione procedente».</w:t>
      </w:r>
    </w:p>
  </w:footnote>
  <w:footnote w:id="34">
    <w:p w14:paraId="37A9313E"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Ci si riferisce ai «procedimenti avviati su istanza di parte, che hanno ad oggetto l’erogazione di benefici economici comunque denominati, indennità, prestazioni previdenziali e assistenziali, erogazioni, contributi, sovvenzioni, finanziamenti, prestiti, agevolazioni e sospensioni, da parte di pubbliche amministrazioni, in relazione all’emergenza COVID-19», per i quali – in ossequio all’art. 246, co. 1, </w:t>
      </w:r>
      <w:proofErr w:type="spellStart"/>
      <w:r w:rsidRPr="00250E6F">
        <w:rPr>
          <w:rFonts w:ascii="Garamond" w:hAnsi="Garamond"/>
          <w:sz w:val="20"/>
          <w:szCs w:val="18"/>
        </w:rPr>
        <w:t>lett</w:t>
      </w:r>
      <w:proofErr w:type="spellEnd"/>
      <w:r w:rsidRPr="00250E6F">
        <w:rPr>
          <w:rFonts w:ascii="Garamond" w:hAnsi="Garamond"/>
          <w:sz w:val="20"/>
          <w:szCs w:val="18"/>
        </w:rPr>
        <w:t xml:space="preserve">. </w:t>
      </w:r>
      <w:r w:rsidRPr="00250E6F">
        <w:rPr>
          <w:rFonts w:ascii="Garamond" w:hAnsi="Garamond"/>
          <w:i/>
          <w:sz w:val="20"/>
          <w:szCs w:val="18"/>
        </w:rPr>
        <w:t>a</w:t>
      </w:r>
      <w:r w:rsidRPr="00250E6F">
        <w:rPr>
          <w:rFonts w:ascii="Garamond" w:hAnsi="Garamond"/>
          <w:sz w:val="20"/>
          <w:szCs w:val="18"/>
        </w:rPr>
        <w:t xml:space="preserve">), </w:t>
      </w:r>
      <w:r w:rsidRPr="00250E6F">
        <w:rPr>
          <w:rFonts w:ascii="Garamond" w:hAnsi="Garamond"/>
          <w:i/>
          <w:sz w:val="20"/>
          <w:szCs w:val="18"/>
        </w:rPr>
        <w:t>b</w:t>
      </w:r>
      <w:r w:rsidRPr="00250E6F">
        <w:rPr>
          <w:rFonts w:ascii="Garamond" w:hAnsi="Garamond"/>
          <w:sz w:val="20"/>
          <w:szCs w:val="18"/>
        </w:rPr>
        <w:t xml:space="preserve">), </w:t>
      </w:r>
      <w:r w:rsidRPr="00250E6F">
        <w:rPr>
          <w:rFonts w:ascii="Garamond" w:hAnsi="Garamond"/>
          <w:i/>
          <w:sz w:val="20"/>
          <w:szCs w:val="18"/>
        </w:rPr>
        <w:t>c</w:t>
      </w:r>
      <w:r w:rsidRPr="00250E6F">
        <w:rPr>
          <w:rFonts w:ascii="Garamond" w:hAnsi="Garamond"/>
          <w:sz w:val="20"/>
          <w:szCs w:val="18"/>
        </w:rPr>
        <w:t xml:space="preserve">), </w:t>
      </w:r>
      <w:proofErr w:type="spellStart"/>
      <w:r w:rsidRPr="00250E6F">
        <w:rPr>
          <w:rFonts w:ascii="Garamond" w:hAnsi="Garamond"/>
          <w:sz w:val="20"/>
          <w:szCs w:val="18"/>
        </w:rPr>
        <w:t>d.l.</w:t>
      </w:r>
      <w:proofErr w:type="spellEnd"/>
      <w:r w:rsidRPr="00250E6F">
        <w:rPr>
          <w:rFonts w:ascii="Garamond" w:hAnsi="Garamond"/>
          <w:sz w:val="20"/>
          <w:szCs w:val="18"/>
        </w:rPr>
        <w:t xml:space="preserve"> 19 maggio 2020, n. 34 (c.d. Decreto Rilancio) – valgono le seguenti previsioni:</w:t>
      </w:r>
      <w:r w:rsidRPr="00250E6F">
        <w:rPr>
          <w:rFonts w:ascii="Garamond" w:hAnsi="Garamond"/>
          <w:sz w:val="20"/>
          <w:szCs w:val="18"/>
        </w:rPr>
        <w:tab/>
      </w:r>
      <w:r w:rsidRPr="00250E6F">
        <w:rPr>
          <w:rFonts w:ascii="Garamond" w:hAnsi="Garamond"/>
          <w:sz w:val="20"/>
          <w:szCs w:val="18"/>
        </w:rPr>
        <w:br/>
        <w:t>- le autocertificazioni sostituiscono a tutti gli effetti ogni documentazione comprovante tutti i requisiti soggettivi e oggettivi richiesti dalla normativa di riferimento;</w:t>
      </w:r>
      <w:r w:rsidRPr="00250E6F">
        <w:rPr>
          <w:rFonts w:ascii="Garamond" w:hAnsi="Garamond"/>
          <w:sz w:val="20"/>
          <w:szCs w:val="18"/>
        </w:rPr>
        <w:tab/>
      </w:r>
      <w:r w:rsidRPr="00250E6F">
        <w:rPr>
          <w:rFonts w:ascii="Garamond" w:hAnsi="Garamond"/>
          <w:sz w:val="20"/>
          <w:szCs w:val="18"/>
        </w:rPr>
        <w:br/>
        <w:t xml:space="preserve">- i provvedimenti amministrativi conclusivi illegittimi possono essere annullati d’ufficio entro il termine di soli </w:t>
      </w:r>
      <w:r w:rsidRPr="00250E6F">
        <w:rPr>
          <w:rFonts w:ascii="Garamond" w:hAnsi="Garamond"/>
          <w:i/>
          <w:sz w:val="20"/>
          <w:szCs w:val="18"/>
        </w:rPr>
        <w:t>tre mesi</w:t>
      </w:r>
      <w:r w:rsidRPr="00250E6F">
        <w:rPr>
          <w:rFonts w:ascii="Garamond" w:hAnsi="Garamond"/>
          <w:sz w:val="20"/>
          <w:szCs w:val="18"/>
        </w:rPr>
        <w:t xml:space="preserve"> dalla loro adozione, salva l’ipotesi di autocertificazioni false o mendaci;</w:t>
      </w:r>
      <w:r w:rsidRPr="00250E6F">
        <w:rPr>
          <w:rFonts w:ascii="Garamond" w:hAnsi="Garamond"/>
          <w:sz w:val="20"/>
          <w:szCs w:val="18"/>
        </w:rPr>
        <w:tab/>
      </w:r>
      <w:r w:rsidRPr="00250E6F">
        <w:rPr>
          <w:rFonts w:ascii="Garamond" w:hAnsi="Garamond"/>
          <w:sz w:val="20"/>
          <w:szCs w:val="18"/>
        </w:rPr>
        <w:br/>
        <w:t xml:space="preserve">- il medesimo termine di </w:t>
      </w:r>
      <w:r w:rsidRPr="00250E6F">
        <w:rPr>
          <w:rFonts w:ascii="Garamond" w:hAnsi="Garamond"/>
          <w:i/>
          <w:sz w:val="20"/>
          <w:szCs w:val="18"/>
        </w:rPr>
        <w:t>tre mesi</w:t>
      </w:r>
      <w:r w:rsidRPr="00250E6F">
        <w:rPr>
          <w:rFonts w:ascii="Garamond" w:hAnsi="Garamond"/>
          <w:sz w:val="20"/>
          <w:szCs w:val="18"/>
        </w:rPr>
        <w:t xml:space="preserve"> vale per l’esercizio dei poteri inibitori in autotutela nel caso di SCIA illegittima per le attività in relazione all’emergenza Covid-19 iniziate su segnalazione certificata di cui all’art. 19, l. n. 241/1990.</w:t>
      </w:r>
    </w:p>
  </w:footnote>
  <w:footnote w:id="35">
    <w:p w14:paraId="70D2F4F5"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Sempre </w:t>
      </w:r>
      <w:r w:rsidR="0026693C" w:rsidRPr="00250E6F">
        <w:rPr>
          <w:rFonts w:ascii="Garamond" w:hAnsi="Garamond"/>
          <w:sz w:val="20"/>
          <w:szCs w:val="18"/>
        </w:rPr>
        <w:t>Tar</w:t>
      </w:r>
      <w:r w:rsidRPr="00250E6F">
        <w:rPr>
          <w:rFonts w:ascii="Garamond" w:hAnsi="Garamond"/>
          <w:sz w:val="20"/>
          <w:szCs w:val="18"/>
        </w:rPr>
        <w:t xml:space="preserve"> Palermo, I, n. 1629/2018: «Ancorché l’innovazione del 2014 abbia inteso accrescere la tutela del privato da un arbitrario e sproporzionato esercizio del potere di autotutela in questione (per mezzo dell'esclusione dei titoli abilitativi o attributivi di vantaggi economici dal catalogo di quelli revocabili in esito a una rinnovata valutazione dell’interesse pubblico originario), il potere di revoca resta connotato da un’ampia (e, forse, eccessiva) discrezionalità». Per la giurisprudenza, peraltro, i presupposti per il valido esercizio dello </w:t>
      </w:r>
      <w:proofErr w:type="spellStart"/>
      <w:r w:rsidRPr="00250E6F">
        <w:rPr>
          <w:rFonts w:ascii="Garamond" w:hAnsi="Garamond"/>
          <w:i/>
          <w:sz w:val="20"/>
          <w:szCs w:val="18"/>
        </w:rPr>
        <w:t>jus</w:t>
      </w:r>
      <w:proofErr w:type="spellEnd"/>
      <w:r w:rsidRPr="00250E6F">
        <w:rPr>
          <w:rFonts w:ascii="Garamond" w:hAnsi="Garamond"/>
          <w:i/>
          <w:sz w:val="20"/>
          <w:szCs w:val="18"/>
        </w:rPr>
        <w:t xml:space="preserve"> </w:t>
      </w:r>
      <w:proofErr w:type="spellStart"/>
      <w:r w:rsidRPr="00250E6F">
        <w:rPr>
          <w:rFonts w:ascii="Garamond" w:hAnsi="Garamond"/>
          <w:i/>
          <w:sz w:val="20"/>
          <w:szCs w:val="18"/>
        </w:rPr>
        <w:t>poenitendi</w:t>
      </w:r>
      <w:proofErr w:type="spellEnd"/>
      <w:r w:rsidRPr="00250E6F">
        <w:rPr>
          <w:rFonts w:ascii="Garamond" w:hAnsi="Garamond"/>
          <w:sz w:val="20"/>
          <w:szCs w:val="18"/>
        </w:rPr>
        <w:t xml:space="preserve"> dopo la riforma del 2014 sono rimasti definiti «con formule lessicali (volutamente) generiche» (cfr. </w:t>
      </w:r>
      <w:r w:rsidR="0026693C" w:rsidRPr="00250E6F">
        <w:rPr>
          <w:rFonts w:ascii="Garamond" w:hAnsi="Garamond"/>
          <w:sz w:val="20"/>
          <w:szCs w:val="18"/>
        </w:rPr>
        <w:t>Tar</w:t>
      </w:r>
      <w:r w:rsidRPr="00250E6F">
        <w:rPr>
          <w:rFonts w:ascii="Garamond" w:hAnsi="Garamond"/>
          <w:sz w:val="20"/>
          <w:szCs w:val="18"/>
        </w:rPr>
        <w:t xml:space="preserve"> Trento, I, 3 gennaio 2018, n. 2).</w:t>
      </w:r>
    </w:p>
  </w:footnote>
  <w:footnote w:id="36">
    <w:p w14:paraId="680C483F" w14:textId="77777777" w:rsidR="007E1CB9" w:rsidRPr="00250E6F" w:rsidRDefault="007E1CB9" w:rsidP="007A7DC1">
      <w:pPr>
        <w:pStyle w:val="Testonotaapidipagina"/>
        <w:spacing w:line="276" w:lineRule="auto"/>
        <w:ind w:firstLine="284"/>
        <w:jc w:val="both"/>
        <w:rPr>
          <w:rFonts w:ascii="Garamond" w:hAnsi="Garamond"/>
          <w:sz w:val="20"/>
          <w:szCs w:val="18"/>
          <w:lang w:val="en-US"/>
        </w:rPr>
      </w:pPr>
      <w:r w:rsidRPr="00250E6F">
        <w:rPr>
          <w:rFonts w:ascii="Garamond" w:hAnsi="Garamond"/>
          <w:sz w:val="20"/>
          <w:szCs w:val="18"/>
          <w:vertAlign w:val="superscript"/>
        </w:rPr>
        <w:footnoteRef/>
      </w:r>
      <w:r w:rsidRPr="00250E6F">
        <w:rPr>
          <w:rFonts w:ascii="Garamond" w:hAnsi="Garamond"/>
          <w:sz w:val="20"/>
          <w:szCs w:val="18"/>
          <w:lang w:val="en-US"/>
        </w:rPr>
        <w:t xml:space="preserve"> Art. 264, co. 1, </w:t>
      </w:r>
      <w:proofErr w:type="spellStart"/>
      <w:proofErr w:type="gramStart"/>
      <w:r w:rsidRPr="00250E6F">
        <w:rPr>
          <w:rFonts w:ascii="Garamond" w:hAnsi="Garamond"/>
          <w:sz w:val="20"/>
          <w:szCs w:val="18"/>
          <w:lang w:val="en-US"/>
        </w:rPr>
        <w:t>lett</w:t>
      </w:r>
      <w:proofErr w:type="spellEnd"/>
      <w:proofErr w:type="gramEnd"/>
      <w:r w:rsidRPr="00250E6F">
        <w:rPr>
          <w:rFonts w:ascii="Garamond" w:hAnsi="Garamond"/>
          <w:sz w:val="20"/>
          <w:szCs w:val="18"/>
          <w:lang w:val="en-US"/>
        </w:rPr>
        <w:t xml:space="preserve">. </w:t>
      </w:r>
      <w:r w:rsidRPr="00250E6F">
        <w:rPr>
          <w:rFonts w:ascii="Garamond" w:hAnsi="Garamond"/>
          <w:i/>
          <w:sz w:val="20"/>
          <w:szCs w:val="18"/>
          <w:lang w:val="en-US"/>
        </w:rPr>
        <w:t>d</w:t>
      </w:r>
      <w:r w:rsidRPr="00250E6F">
        <w:rPr>
          <w:rFonts w:ascii="Garamond" w:hAnsi="Garamond"/>
          <w:sz w:val="20"/>
          <w:szCs w:val="18"/>
          <w:lang w:val="en-US"/>
        </w:rPr>
        <w:t xml:space="preserve">), </w:t>
      </w:r>
      <w:proofErr w:type="spellStart"/>
      <w:r w:rsidRPr="00250E6F">
        <w:rPr>
          <w:rFonts w:ascii="Garamond" w:hAnsi="Garamond"/>
          <w:sz w:val="20"/>
          <w:szCs w:val="18"/>
          <w:lang w:val="en-US"/>
        </w:rPr>
        <w:t>d.l</w:t>
      </w:r>
      <w:proofErr w:type="spellEnd"/>
      <w:r w:rsidRPr="00250E6F">
        <w:rPr>
          <w:rFonts w:ascii="Garamond" w:hAnsi="Garamond"/>
          <w:sz w:val="20"/>
          <w:szCs w:val="18"/>
          <w:lang w:val="en-US"/>
        </w:rPr>
        <w:t>. n. 34/2020, cit.</w:t>
      </w:r>
    </w:p>
  </w:footnote>
  <w:footnote w:id="37">
    <w:p w14:paraId="3A3C92CC"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w:t>
      </w:r>
      <w:r w:rsidRPr="00250E6F">
        <w:rPr>
          <w:rFonts w:ascii="Garamond" w:hAnsi="Garamond"/>
          <w:smallCaps/>
          <w:sz w:val="20"/>
          <w:szCs w:val="18"/>
        </w:rPr>
        <w:t xml:space="preserve">M. </w:t>
      </w:r>
      <w:proofErr w:type="spellStart"/>
      <w:r w:rsidRPr="00250E6F">
        <w:rPr>
          <w:rFonts w:ascii="Garamond" w:hAnsi="Garamond"/>
          <w:smallCaps/>
          <w:sz w:val="20"/>
          <w:szCs w:val="18"/>
        </w:rPr>
        <w:t>Immordino</w:t>
      </w:r>
      <w:proofErr w:type="spellEnd"/>
      <w:r w:rsidRPr="00250E6F">
        <w:rPr>
          <w:rFonts w:ascii="Garamond" w:hAnsi="Garamond"/>
          <w:sz w:val="20"/>
          <w:szCs w:val="18"/>
        </w:rPr>
        <w:t xml:space="preserve">, </w:t>
      </w:r>
      <w:r w:rsidRPr="00250E6F">
        <w:rPr>
          <w:rFonts w:ascii="Garamond" w:hAnsi="Garamond"/>
          <w:i/>
          <w:sz w:val="20"/>
          <w:szCs w:val="18"/>
        </w:rPr>
        <w:t>Il potere amministrativo di revoca</w:t>
      </w:r>
      <w:r w:rsidRPr="00250E6F">
        <w:rPr>
          <w:rFonts w:ascii="Garamond" w:hAnsi="Garamond"/>
          <w:sz w:val="20"/>
          <w:szCs w:val="18"/>
        </w:rPr>
        <w:t xml:space="preserve">, cit., rammenta le opinioni dottrinali sulla revoca-ripensamento: «ammessa […] solo da una parte della dottrina, ma con grande cautela, in caso, cioè, di atti non ancora efficaci (M.S. Giannini), o dietro indennizzo (R. Alessi), o se espressamente prevista dalla legge (S. Romano), ma per lo più avversata, tra gli altri dal Maestro che oggi ricordiamo [A.M. </w:t>
      </w:r>
      <w:proofErr w:type="spellStart"/>
      <w:r w:rsidRPr="00250E6F">
        <w:rPr>
          <w:rFonts w:ascii="Garamond" w:hAnsi="Garamond"/>
          <w:sz w:val="20"/>
          <w:szCs w:val="18"/>
        </w:rPr>
        <w:t>Sandulli</w:t>
      </w:r>
      <w:proofErr w:type="spellEnd"/>
      <w:r w:rsidRPr="00250E6F">
        <w:rPr>
          <w:rFonts w:ascii="Garamond" w:hAnsi="Garamond"/>
          <w:sz w:val="20"/>
          <w:szCs w:val="18"/>
        </w:rPr>
        <w:t xml:space="preserve">, </w:t>
      </w:r>
      <w:proofErr w:type="spellStart"/>
      <w:r w:rsidRPr="00250E6F">
        <w:rPr>
          <w:rFonts w:ascii="Garamond" w:hAnsi="Garamond"/>
          <w:sz w:val="20"/>
          <w:szCs w:val="18"/>
        </w:rPr>
        <w:t>n.d.r.</w:t>
      </w:r>
      <w:proofErr w:type="spellEnd"/>
      <w:r w:rsidRPr="00250E6F">
        <w:rPr>
          <w:rFonts w:ascii="Garamond" w:hAnsi="Garamond"/>
          <w:sz w:val="20"/>
          <w:szCs w:val="18"/>
        </w:rPr>
        <w:t xml:space="preserve">], risolvendosi in una revoca </w:t>
      </w:r>
      <w:r w:rsidRPr="00250E6F">
        <w:rPr>
          <w:rFonts w:ascii="Garamond" w:hAnsi="Garamond"/>
          <w:i/>
          <w:sz w:val="20"/>
          <w:szCs w:val="18"/>
        </w:rPr>
        <w:t xml:space="preserve">ad </w:t>
      </w:r>
      <w:proofErr w:type="spellStart"/>
      <w:r w:rsidRPr="00250E6F">
        <w:rPr>
          <w:rFonts w:ascii="Garamond" w:hAnsi="Garamond"/>
          <w:i/>
          <w:sz w:val="20"/>
          <w:szCs w:val="18"/>
        </w:rPr>
        <w:t>nutum</w:t>
      </w:r>
      <w:proofErr w:type="spellEnd"/>
      <w:r w:rsidRPr="00250E6F">
        <w:rPr>
          <w:rFonts w:ascii="Garamond" w:hAnsi="Garamond"/>
          <w:sz w:val="20"/>
          <w:szCs w:val="18"/>
        </w:rPr>
        <w:t>, foriera di un possibile esercizio arbitrario del potere amministrativo, “grave ferita” […] all’affidamento nella certezza e stabilità delle situazioni giuridiche soggettive nate o rese esercitabili dall’atto revocando, ed in contrasto non soltanto con i postulati di uno Stato di diritto», p. 9.</w:t>
      </w:r>
    </w:p>
  </w:footnote>
  <w:footnote w:id="38">
    <w:p w14:paraId="40D863E4"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w:t>
      </w:r>
      <w:r w:rsidRPr="00250E6F">
        <w:rPr>
          <w:rFonts w:ascii="Garamond" w:hAnsi="Garamond"/>
          <w:smallCaps/>
          <w:sz w:val="20"/>
          <w:szCs w:val="18"/>
        </w:rPr>
        <w:t xml:space="preserve">M. </w:t>
      </w:r>
      <w:proofErr w:type="spellStart"/>
      <w:r w:rsidRPr="00250E6F">
        <w:rPr>
          <w:rFonts w:ascii="Garamond" w:hAnsi="Garamond"/>
          <w:smallCaps/>
          <w:sz w:val="20"/>
          <w:szCs w:val="18"/>
        </w:rPr>
        <w:t>Sinisi</w:t>
      </w:r>
      <w:proofErr w:type="spellEnd"/>
      <w:r w:rsidRPr="00250E6F">
        <w:rPr>
          <w:rFonts w:ascii="Garamond" w:hAnsi="Garamond"/>
          <w:sz w:val="20"/>
          <w:szCs w:val="18"/>
        </w:rPr>
        <w:t xml:space="preserve">, </w:t>
      </w:r>
      <w:r w:rsidRPr="00250E6F">
        <w:rPr>
          <w:rFonts w:ascii="Garamond" w:hAnsi="Garamond"/>
          <w:i/>
          <w:sz w:val="20"/>
          <w:szCs w:val="18"/>
        </w:rPr>
        <w:t xml:space="preserve">Il potere di autotutela </w:t>
      </w:r>
      <w:proofErr w:type="spellStart"/>
      <w:r w:rsidRPr="00250E6F">
        <w:rPr>
          <w:rFonts w:ascii="Garamond" w:hAnsi="Garamond"/>
          <w:i/>
          <w:sz w:val="20"/>
          <w:szCs w:val="18"/>
        </w:rPr>
        <w:t>caducatoria</w:t>
      </w:r>
      <w:proofErr w:type="spellEnd"/>
      <w:r w:rsidRPr="00250E6F">
        <w:rPr>
          <w:rFonts w:ascii="Garamond" w:hAnsi="Garamond"/>
          <w:sz w:val="20"/>
          <w:szCs w:val="18"/>
        </w:rPr>
        <w:t xml:space="preserve">, cit., distingue tra il ripensamento dovuto a un rinnovato apprezzamento d’interessi che, anche ove ben ponderati in primo grado, abbiano poi modificato la propria consistenza, e il riesame strettamente inteso, di fatti che non si sono modificati nel tempo, lasciando in questo caso un’applicazione più restrittiva della norma. La revoca-ripensamento – che per </w:t>
      </w:r>
      <w:r w:rsidRPr="00250E6F">
        <w:rPr>
          <w:rFonts w:ascii="Garamond" w:hAnsi="Garamond"/>
          <w:smallCaps/>
          <w:sz w:val="20"/>
          <w:szCs w:val="18"/>
        </w:rPr>
        <w:t xml:space="preserve">M. </w:t>
      </w:r>
      <w:proofErr w:type="spellStart"/>
      <w:r w:rsidRPr="00250E6F">
        <w:rPr>
          <w:rFonts w:ascii="Garamond" w:hAnsi="Garamond"/>
          <w:smallCaps/>
          <w:sz w:val="20"/>
          <w:szCs w:val="18"/>
        </w:rPr>
        <w:t>Immordino</w:t>
      </w:r>
      <w:proofErr w:type="spellEnd"/>
      <w:r w:rsidRPr="00250E6F">
        <w:rPr>
          <w:rFonts w:ascii="Garamond" w:hAnsi="Garamond"/>
          <w:sz w:val="20"/>
          <w:szCs w:val="18"/>
        </w:rPr>
        <w:t xml:space="preserve">, </w:t>
      </w:r>
      <w:r w:rsidRPr="00250E6F">
        <w:rPr>
          <w:rFonts w:ascii="Garamond" w:hAnsi="Garamond"/>
          <w:i/>
          <w:sz w:val="20"/>
          <w:szCs w:val="18"/>
        </w:rPr>
        <w:t>Il potere amministrativo di revoca</w:t>
      </w:r>
      <w:r w:rsidRPr="00250E6F">
        <w:rPr>
          <w:rFonts w:ascii="Garamond" w:hAnsi="Garamond"/>
          <w:sz w:val="20"/>
          <w:szCs w:val="18"/>
        </w:rPr>
        <w:t xml:space="preserve">, cit., costituisce la rappresentazione più forte della dialettica autorità-libertà, cfr. p. 6 – deve insomma, specialmente nell’ipotesi di esercizio dello </w:t>
      </w:r>
      <w:proofErr w:type="spellStart"/>
      <w:r w:rsidRPr="00250E6F">
        <w:rPr>
          <w:rFonts w:ascii="Garamond" w:hAnsi="Garamond"/>
          <w:i/>
          <w:sz w:val="20"/>
          <w:szCs w:val="18"/>
        </w:rPr>
        <w:t>jus</w:t>
      </w:r>
      <w:proofErr w:type="spellEnd"/>
      <w:r w:rsidRPr="00250E6F">
        <w:rPr>
          <w:rFonts w:ascii="Garamond" w:hAnsi="Garamond"/>
          <w:i/>
          <w:sz w:val="20"/>
          <w:szCs w:val="18"/>
        </w:rPr>
        <w:t xml:space="preserve"> </w:t>
      </w:r>
      <w:proofErr w:type="spellStart"/>
      <w:r w:rsidRPr="00250E6F">
        <w:rPr>
          <w:rFonts w:ascii="Garamond" w:hAnsi="Garamond"/>
          <w:i/>
          <w:sz w:val="20"/>
          <w:szCs w:val="18"/>
        </w:rPr>
        <w:t>poenitendi</w:t>
      </w:r>
      <w:proofErr w:type="spellEnd"/>
      <w:r w:rsidRPr="00250E6F">
        <w:rPr>
          <w:rFonts w:ascii="Garamond" w:hAnsi="Garamond"/>
          <w:sz w:val="20"/>
          <w:szCs w:val="18"/>
        </w:rPr>
        <w:t>, bilanciare la flessibilità e la dinamicità del potere, da un lato, e la legittima pretesa dei privati alla stabilità della decisione amministrativa, laddove essa non sia illegittima o viziata. Peraltro, nel caso della revoca ripensamento si presenta il problema della revoca per vizi originari di merito del provvedimento: un’ipotesi che contribuisce a renderne labile il confine con l’annullamento d’ufficio, specialmente dopo l’intervento – nel 2005 – del comma 1-</w:t>
      </w:r>
      <w:r w:rsidRPr="00250E6F">
        <w:rPr>
          <w:rFonts w:ascii="Garamond" w:hAnsi="Garamond"/>
          <w:i/>
          <w:sz w:val="20"/>
          <w:szCs w:val="18"/>
        </w:rPr>
        <w:t>bis</w:t>
      </w:r>
      <w:r w:rsidRPr="00250E6F">
        <w:rPr>
          <w:rFonts w:ascii="Garamond" w:hAnsi="Garamond"/>
          <w:sz w:val="20"/>
          <w:szCs w:val="18"/>
        </w:rPr>
        <w:t xml:space="preserve"> che consente in pratica una revoca retroattiva (sugli atti a efficacia istantanea) e dell’accentuazione, nell’art. 21-</w:t>
      </w:r>
      <w:r w:rsidRPr="00250E6F">
        <w:rPr>
          <w:rFonts w:ascii="Garamond" w:hAnsi="Garamond"/>
          <w:i/>
          <w:sz w:val="20"/>
          <w:szCs w:val="18"/>
        </w:rPr>
        <w:t>nonies</w:t>
      </w:r>
      <w:r w:rsidRPr="00250E6F">
        <w:rPr>
          <w:rFonts w:ascii="Garamond" w:hAnsi="Garamond"/>
          <w:sz w:val="20"/>
          <w:szCs w:val="18"/>
        </w:rPr>
        <w:t xml:space="preserve">, della dimensione discrezionale e funzionale dell’annullamento laddove si richiede l’attualità di un interesse pubblico a esercitare quel potere. </w:t>
      </w:r>
      <w:r w:rsidRPr="00250E6F">
        <w:rPr>
          <w:rFonts w:ascii="Garamond" w:hAnsi="Garamond"/>
          <w:smallCaps/>
          <w:sz w:val="20"/>
          <w:szCs w:val="18"/>
        </w:rPr>
        <w:t>F. Costantino</w:t>
      </w:r>
      <w:r w:rsidRPr="00250E6F">
        <w:rPr>
          <w:rFonts w:ascii="Garamond" w:hAnsi="Garamond"/>
          <w:sz w:val="20"/>
          <w:szCs w:val="18"/>
        </w:rPr>
        <w:t xml:space="preserve">, </w:t>
      </w:r>
      <w:r w:rsidRPr="00250E6F">
        <w:rPr>
          <w:rFonts w:ascii="Garamond" w:hAnsi="Garamond"/>
          <w:i/>
          <w:sz w:val="20"/>
          <w:szCs w:val="18"/>
        </w:rPr>
        <w:t>La revoca del provvedimento</w:t>
      </w:r>
      <w:r w:rsidRPr="00250E6F">
        <w:rPr>
          <w:rFonts w:ascii="Garamond" w:hAnsi="Garamond"/>
          <w:sz w:val="20"/>
          <w:szCs w:val="18"/>
        </w:rPr>
        <w:t xml:space="preserve">, cit., p. 789, afferma che in origine gli atti viziati nel merito erano suscettibili di annullamento, ma per evitare arbitrii dell’Amministrazione si sono vincolati fortemente i presupposti e gli effetti di quel potere, tanto da ricondurlo, in realtà, alla revoca. In proposito, </w:t>
      </w:r>
      <w:r w:rsidRPr="00250E6F">
        <w:rPr>
          <w:rFonts w:ascii="Garamond" w:hAnsi="Garamond"/>
          <w:smallCaps/>
          <w:sz w:val="20"/>
          <w:szCs w:val="18"/>
        </w:rPr>
        <w:t>S. Romano</w:t>
      </w:r>
      <w:r w:rsidRPr="00250E6F">
        <w:rPr>
          <w:rFonts w:ascii="Garamond" w:hAnsi="Garamond"/>
          <w:sz w:val="20"/>
          <w:szCs w:val="18"/>
        </w:rPr>
        <w:t xml:space="preserve">, </w:t>
      </w:r>
      <w:r w:rsidRPr="00250E6F">
        <w:rPr>
          <w:rFonts w:ascii="Garamond" w:hAnsi="Garamond"/>
          <w:i/>
          <w:sz w:val="20"/>
          <w:szCs w:val="18"/>
        </w:rPr>
        <w:t>Annullamento (teoria dell’) nel diritto amministrativo</w:t>
      </w:r>
      <w:r w:rsidRPr="00250E6F">
        <w:rPr>
          <w:rFonts w:ascii="Garamond" w:hAnsi="Garamond"/>
          <w:sz w:val="20"/>
          <w:szCs w:val="18"/>
        </w:rPr>
        <w:t xml:space="preserve">, cit., insegna che ai fini della distinzione tra annullamento e revoca non sarebbe essenziale discriminare tra </w:t>
      </w:r>
      <w:proofErr w:type="spellStart"/>
      <w:r w:rsidRPr="00250E6F">
        <w:rPr>
          <w:rFonts w:ascii="Garamond" w:hAnsi="Garamond"/>
          <w:sz w:val="20"/>
          <w:szCs w:val="18"/>
        </w:rPr>
        <w:t>originarietà</w:t>
      </w:r>
      <w:proofErr w:type="spellEnd"/>
      <w:r w:rsidRPr="00250E6F">
        <w:rPr>
          <w:rFonts w:ascii="Garamond" w:hAnsi="Garamond"/>
          <w:sz w:val="20"/>
          <w:szCs w:val="18"/>
        </w:rPr>
        <w:t xml:space="preserve"> o meno del vizio del provvedimento: secondo il Maestro non si può aderire alla tesi per cui a causa di un vizio originario un atto si annulla, mentre lo si revoca quando, al momento della sua emanazione, esso sia valido, per poi divenire inopportuno. «Questa opinione appare praticamente esatta nella maggior parte dei casi, ma si rivela difettosa quando si pensa che l’invalidità di un atto può non essere originaria, ma posteriore alla sua formazione: siffatta invalidazione successiva, che è, generalmente e sin dal diritto romano, ammessa per i negozi privati, sembra che debba altresì ammettersi per gli atti amministrativi e non solo per ragioni di legittimità, ma anche di merito», cit. p. 390.</w:t>
      </w:r>
    </w:p>
  </w:footnote>
  <w:footnote w:id="39">
    <w:p w14:paraId="487CFC1E"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Per esempio in materia di revoca di misure restrittive sanitarie a seguito di nuove analisi: «Legittimamente la Asl procede alla revoca (e non all’annullamento) di precedenti misure restrittive ad efficacia durevole (nella specie, il blocco della movimentazione dei volatili in entrata e in uscita dal capannone di un’azienda avicola) laddove i risultati di un primo campionamento siano state contraddetti dal successivo campionamento eccezionale di conferma per sospetto di risultati errati (c.d. falso positivo); ciò costituisce, infatti, proprio un mutamento della situazione di fatto non prevedibile al momento dell</w:t>
      </w:r>
      <w:r w:rsidR="007B3ABD" w:rsidRPr="00250E6F">
        <w:rPr>
          <w:rFonts w:ascii="Garamond" w:hAnsi="Garamond"/>
          <w:sz w:val="20"/>
          <w:szCs w:val="18"/>
        </w:rPr>
        <w:t>’</w:t>
      </w:r>
      <w:r w:rsidRPr="00250E6F">
        <w:rPr>
          <w:rFonts w:ascii="Garamond" w:hAnsi="Garamond"/>
          <w:sz w:val="20"/>
          <w:szCs w:val="18"/>
        </w:rPr>
        <w:t>adozione del provvedimento, in assenza di elementi che inducano a ritenere che il primo campionamento fosse stato eseguito in violazione della normativa tecnica di settore» (</w:t>
      </w:r>
      <w:r w:rsidR="00A82846" w:rsidRPr="00250E6F">
        <w:rPr>
          <w:rFonts w:ascii="Garamond" w:hAnsi="Garamond"/>
          <w:sz w:val="20"/>
          <w:szCs w:val="18"/>
        </w:rPr>
        <w:t>Tar</w:t>
      </w:r>
      <w:r w:rsidRPr="00250E6F">
        <w:rPr>
          <w:rFonts w:ascii="Garamond" w:hAnsi="Garamond"/>
          <w:sz w:val="20"/>
          <w:szCs w:val="18"/>
        </w:rPr>
        <w:t xml:space="preserve"> Lazio, Latina, I, 26 aprile 2019, n. 346).</w:t>
      </w:r>
    </w:p>
  </w:footnote>
  <w:footnote w:id="40">
    <w:p w14:paraId="7DE0E003"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Difficile ipotizzare una sopravvenienza che non si correli al sorgere di un nuovo interesse pubblico: d’altra parte, è proprio la giuridica rilevanza dell’evento sopravvenuto, che spinge l’Amministrazione a riconsiderare il provvedimento e, se del caso, a revocarlo. Per la considerazione unitaria dei due presupposti, </w:t>
      </w:r>
      <w:r w:rsidRPr="00250E6F">
        <w:rPr>
          <w:rFonts w:ascii="Garamond" w:hAnsi="Garamond"/>
          <w:smallCaps/>
          <w:sz w:val="20"/>
          <w:szCs w:val="18"/>
        </w:rPr>
        <w:t xml:space="preserve">M. </w:t>
      </w:r>
      <w:proofErr w:type="spellStart"/>
      <w:r w:rsidRPr="00250E6F">
        <w:rPr>
          <w:rFonts w:ascii="Garamond" w:hAnsi="Garamond"/>
          <w:smallCaps/>
          <w:sz w:val="20"/>
          <w:szCs w:val="18"/>
        </w:rPr>
        <w:t>Immordino</w:t>
      </w:r>
      <w:proofErr w:type="spellEnd"/>
      <w:r w:rsidRPr="00250E6F">
        <w:rPr>
          <w:rFonts w:ascii="Garamond" w:hAnsi="Garamond"/>
          <w:sz w:val="20"/>
          <w:szCs w:val="18"/>
        </w:rPr>
        <w:t xml:space="preserve">, </w:t>
      </w:r>
      <w:r w:rsidRPr="00250E6F">
        <w:rPr>
          <w:rFonts w:ascii="Garamond" w:hAnsi="Garamond"/>
          <w:i/>
          <w:sz w:val="20"/>
          <w:szCs w:val="18"/>
        </w:rPr>
        <w:t>Il potere amministrativo di revoca</w:t>
      </w:r>
      <w:r w:rsidRPr="00250E6F">
        <w:rPr>
          <w:rFonts w:ascii="Garamond" w:hAnsi="Garamond"/>
          <w:sz w:val="20"/>
          <w:szCs w:val="18"/>
        </w:rPr>
        <w:t xml:space="preserve">, cit.; invece, secondo </w:t>
      </w:r>
      <w:r w:rsidRPr="00250E6F">
        <w:rPr>
          <w:rFonts w:ascii="Garamond" w:hAnsi="Garamond"/>
          <w:smallCaps/>
          <w:sz w:val="20"/>
          <w:szCs w:val="18"/>
        </w:rPr>
        <w:t xml:space="preserve">G. </w:t>
      </w:r>
      <w:proofErr w:type="spellStart"/>
      <w:r w:rsidRPr="00250E6F">
        <w:rPr>
          <w:rFonts w:ascii="Garamond" w:hAnsi="Garamond"/>
          <w:smallCaps/>
          <w:sz w:val="20"/>
          <w:szCs w:val="18"/>
        </w:rPr>
        <w:t>Falcon</w:t>
      </w:r>
      <w:proofErr w:type="spellEnd"/>
      <w:r w:rsidRPr="00250E6F">
        <w:rPr>
          <w:rFonts w:ascii="Garamond" w:hAnsi="Garamond"/>
          <w:sz w:val="20"/>
          <w:szCs w:val="18"/>
        </w:rPr>
        <w:t xml:space="preserve">, </w:t>
      </w:r>
      <w:r w:rsidRPr="00250E6F">
        <w:rPr>
          <w:rFonts w:ascii="Garamond" w:hAnsi="Garamond"/>
          <w:i/>
          <w:sz w:val="20"/>
          <w:szCs w:val="18"/>
        </w:rPr>
        <w:t>Lezioni di diritto amministrativo, I (L’attività)</w:t>
      </w:r>
      <w:r w:rsidRPr="00250E6F">
        <w:rPr>
          <w:rFonts w:ascii="Garamond" w:hAnsi="Garamond"/>
          <w:sz w:val="20"/>
          <w:szCs w:val="18"/>
        </w:rPr>
        <w:t xml:space="preserve">, Padova, 2009, la revoca per mutamento della situazione di fatto non sembra diversa dalla revoca per sopravvenuti motivi di pubblico interesse, dato che il mutamento dei fatti non può non condurre a una nuova valutazione degli interessi in gioco. I due presupposti sarebbero, in realtà, le due facce della stessa medaglia. M. </w:t>
      </w:r>
      <w:r w:rsidRPr="00250E6F">
        <w:rPr>
          <w:rFonts w:ascii="Garamond" w:hAnsi="Garamond"/>
          <w:smallCaps/>
          <w:sz w:val="20"/>
          <w:szCs w:val="18"/>
        </w:rPr>
        <w:t>D’Alberti</w:t>
      </w:r>
      <w:r w:rsidRPr="00250E6F">
        <w:rPr>
          <w:rFonts w:ascii="Garamond" w:hAnsi="Garamond"/>
          <w:sz w:val="20"/>
          <w:szCs w:val="18"/>
        </w:rPr>
        <w:t xml:space="preserve">, </w:t>
      </w:r>
      <w:r w:rsidRPr="00250E6F">
        <w:rPr>
          <w:rFonts w:ascii="Garamond" w:hAnsi="Garamond"/>
          <w:i/>
          <w:sz w:val="20"/>
          <w:szCs w:val="18"/>
        </w:rPr>
        <w:t>Lezioni di diritto amministrativo</w:t>
      </w:r>
      <w:r w:rsidRPr="00250E6F">
        <w:rPr>
          <w:rFonts w:ascii="Garamond" w:hAnsi="Garamond"/>
          <w:sz w:val="20"/>
          <w:szCs w:val="18"/>
        </w:rPr>
        <w:t>, Torino, 2012, p. 251, sostiene invece che «i sopravvenuti motivi di pubblico interesse» abbiano la loro autonomia rispetto al «mutamento della situazione di fatto»; e l’intervento legislativo dello Sblocca Italia, vertendo su uno solo di questi due presupposti, ne sarebbe l’indiretta conferma.</w:t>
      </w:r>
    </w:p>
    <w:p w14:paraId="36FEE07B" w14:textId="77777777" w:rsidR="007E1CB9" w:rsidRPr="00250E6F" w:rsidRDefault="007E1CB9" w:rsidP="007A7DC1">
      <w:pPr>
        <w:pStyle w:val="Testonotaapidipagina"/>
        <w:spacing w:line="276" w:lineRule="auto"/>
        <w:jc w:val="both"/>
        <w:rPr>
          <w:rFonts w:ascii="Garamond" w:hAnsi="Garamond"/>
          <w:sz w:val="20"/>
          <w:szCs w:val="18"/>
        </w:rPr>
      </w:pPr>
      <w:r w:rsidRPr="00250E6F">
        <w:rPr>
          <w:rFonts w:ascii="Garamond" w:hAnsi="Garamond"/>
          <w:sz w:val="20"/>
          <w:szCs w:val="18"/>
        </w:rPr>
        <w:t xml:space="preserve">Non v’è tuttavia chi non veda la difficile distinzione tra questi due presupposti, non di rado considerati unitariamente (e ritenuti fungibili) dalla giurisprudenza. V. per esempio </w:t>
      </w:r>
      <w:r w:rsidR="002C4BFB" w:rsidRPr="00250E6F">
        <w:rPr>
          <w:rFonts w:ascii="Garamond" w:hAnsi="Garamond"/>
          <w:sz w:val="20"/>
          <w:szCs w:val="18"/>
        </w:rPr>
        <w:t>Tar</w:t>
      </w:r>
      <w:r w:rsidRPr="00250E6F">
        <w:rPr>
          <w:rFonts w:ascii="Garamond" w:hAnsi="Garamond"/>
          <w:sz w:val="20"/>
          <w:szCs w:val="18"/>
        </w:rPr>
        <w:t xml:space="preserve"> Lazio, Roma, III, 16 maggio 2016, n. 5733: «Il provvedimento di revoca di una gara di appalto per la fornitura di bollini farmaceutici destinati ad essere applicati sulle confezioni di specialità medicinali, adottato in ragione della necessità di incrementare la quota di produzione interna da parte dell’IPZS, ancorché si tratti di una circostanza prevedibile al momento dell’indizione della gara, è conforme ai requisiti prescritti dall’art. 21-</w:t>
      </w:r>
      <w:r w:rsidRPr="00250E6F">
        <w:rPr>
          <w:rFonts w:ascii="Garamond" w:hAnsi="Garamond"/>
          <w:i/>
          <w:sz w:val="20"/>
          <w:szCs w:val="18"/>
        </w:rPr>
        <w:t>quinquies</w:t>
      </w:r>
      <w:r w:rsidRPr="00250E6F">
        <w:rPr>
          <w:rFonts w:ascii="Garamond" w:hAnsi="Garamond"/>
          <w:sz w:val="20"/>
          <w:szCs w:val="18"/>
        </w:rPr>
        <w:t xml:space="preserve"> della l. 241/1990, potendo l’Amministrazione agire in autotutela altresì in dipendenza di sopravvenuti motivi di interesse pubblico ovvero sulla base di una rivalutazione di esso a condizioni di fatto immutate». Come a dire che, ove la revoca non sia legittima </w:t>
      </w:r>
      <w:r w:rsidR="00041E79" w:rsidRPr="00250E6F">
        <w:rPr>
          <w:rFonts w:ascii="Garamond" w:hAnsi="Garamond"/>
          <w:sz w:val="20"/>
          <w:szCs w:val="18"/>
        </w:rPr>
        <w:t>in relazione a</w:t>
      </w:r>
      <w:r w:rsidRPr="00250E6F">
        <w:rPr>
          <w:rFonts w:ascii="Garamond" w:hAnsi="Garamond"/>
          <w:sz w:val="20"/>
          <w:szCs w:val="18"/>
        </w:rPr>
        <w:t xml:space="preserve"> uno dei tre presupposti di legge, si può sempre vagliare la sua legittimità alla luce degli altri due, ove possano ritenersi comunque configurabili.</w:t>
      </w:r>
    </w:p>
  </w:footnote>
  <w:footnote w:id="41">
    <w:p w14:paraId="6AF69F3B"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Sicché, è stato detto, la revoca per il verificarsi di una sopravvenienza in origine prevedibile – ma non prevista – è illegittima, tramutandosi in un vizio di eccesso di potere per travisamento dei fatti e carenza d’istruttoria: è probabile, però, che in questo caso, al fine di configurare un’oggettiva «sopravvenienza non prevedibile» diventi necessario sondare l’aspetto soggettivo dell’</w:t>
      </w:r>
      <w:r w:rsidRPr="00250E6F">
        <w:rPr>
          <w:rFonts w:ascii="Garamond" w:hAnsi="Garamond"/>
          <w:i/>
          <w:sz w:val="20"/>
          <w:szCs w:val="18"/>
        </w:rPr>
        <w:t>animus</w:t>
      </w:r>
      <w:r w:rsidRPr="00250E6F">
        <w:rPr>
          <w:rFonts w:ascii="Garamond" w:hAnsi="Garamond"/>
          <w:sz w:val="20"/>
          <w:szCs w:val="18"/>
        </w:rPr>
        <w:t xml:space="preserve"> del funzionario e della sua buona fede, escludendone profili di dolo o colpa. Cfr. in proposito </w:t>
      </w:r>
      <w:r w:rsidRPr="00250E6F">
        <w:rPr>
          <w:rFonts w:ascii="Garamond" w:hAnsi="Garamond"/>
          <w:smallCaps/>
          <w:sz w:val="20"/>
          <w:szCs w:val="18"/>
        </w:rPr>
        <w:t xml:space="preserve">A. </w:t>
      </w:r>
      <w:proofErr w:type="spellStart"/>
      <w:r w:rsidRPr="00250E6F">
        <w:rPr>
          <w:rFonts w:ascii="Garamond" w:hAnsi="Garamond"/>
          <w:smallCaps/>
          <w:sz w:val="20"/>
          <w:szCs w:val="18"/>
        </w:rPr>
        <w:t>Contieri</w:t>
      </w:r>
      <w:proofErr w:type="spellEnd"/>
      <w:r w:rsidRPr="00250E6F">
        <w:rPr>
          <w:rFonts w:ascii="Garamond" w:hAnsi="Garamond"/>
          <w:sz w:val="20"/>
          <w:szCs w:val="18"/>
        </w:rPr>
        <w:t xml:space="preserve">, </w:t>
      </w:r>
      <w:r w:rsidRPr="00250E6F">
        <w:rPr>
          <w:rFonts w:ascii="Garamond" w:hAnsi="Garamond"/>
          <w:i/>
          <w:sz w:val="20"/>
          <w:szCs w:val="18"/>
        </w:rPr>
        <w:t>I provvedimenti di secondo grado</w:t>
      </w:r>
      <w:r w:rsidRPr="00250E6F">
        <w:rPr>
          <w:rFonts w:ascii="Garamond" w:hAnsi="Garamond"/>
          <w:sz w:val="20"/>
          <w:szCs w:val="18"/>
        </w:rPr>
        <w:t xml:space="preserve">, in </w:t>
      </w:r>
      <w:r w:rsidRPr="00250E6F">
        <w:rPr>
          <w:rFonts w:ascii="Garamond" w:hAnsi="Garamond"/>
          <w:smallCaps/>
          <w:sz w:val="20"/>
          <w:szCs w:val="18"/>
        </w:rPr>
        <w:t xml:space="preserve">S. Cognetti, A. </w:t>
      </w:r>
      <w:proofErr w:type="spellStart"/>
      <w:r w:rsidRPr="00250E6F">
        <w:rPr>
          <w:rFonts w:ascii="Garamond" w:hAnsi="Garamond"/>
          <w:smallCaps/>
          <w:sz w:val="20"/>
          <w:szCs w:val="18"/>
        </w:rPr>
        <w:t>Contieri</w:t>
      </w:r>
      <w:proofErr w:type="spellEnd"/>
      <w:r w:rsidRPr="00250E6F">
        <w:rPr>
          <w:rFonts w:ascii="Garamond" w:hAnsi="Garamond"/>
          <w:smallCaps/>
          <w:sz w:val="20"/>
          <w:szCs w:val="18"/>
        </w:rPr>
        <w:t xml:space="preserve">, S. Licciardello, F. </w:t>
      </w:r>
      <w:proofErr w:type="spellStart"/>
      <w:r w:rsidRPr="00250E6F">
        <w:rPr>
          <w:rFonts w:ascii="Garamond" w:hAnsi="Garamond"/>
          <w:smallCaps/>
          <w:sz w:val="20"/>
          <w:szCs w:val="18"/>
        </w:rPr>
        <w:t>Manganaro</w:t>
      </w:r>
      <w:proofErr w:type="spellEnd"/>
      <w:r w:rsidRPr="00250E6F">
        <w:rPr>
          <w:rFonts w:ascii="Garamond" w:hAnsi="Garamond"/>
          <w:smallCaps/>
          <w:sz w:val="20"/>
          <w:szCs w:val="18"/>
        </w:rPr>
        <w:t xml:space="preserve">, S. </w:t>
      </w:r>
      <w:proofErr w:type="spellStart"/>
      <w:r w:rsidRPr="00250E6F">
        <w:rPr>
          <w:rFonts w:ascii="Garamond" w:hAnsi="Garamond"/>
          <w:smallCaps/>
          <w:sz w:val="20"/>
          <w:szCs w:val="18"/>
        </w:rPr>
        <w:t>Perongini</w:t>
      </w:r>
      <w:proofErr w:type="spellEnd"/>
      <w:r w:rsidRPr="00250E6F">
        <w:rPr>
          <w:rFonts w:ascii="Garamond" w:hAnsi="Garamond"/>
          <w:smallCaps/>
          <w:sz w:val="20"/>
          <w:szCs w:val="18"/>
        </w:rPr>
        <w:t xml:space="preserve"> </w:t>
      </w:r>
      <w:r w:rsidRPr="00250E6F">
        <w:rPr>
          <w:rFonts w:ascii="Garamond" w:hAnsi="Garamond"/>
          <w:sz w:val="20"/>
          <w:szCs w:val="18"/>
        </w:rPr>
        <w:t>e</w:t>
      </w:r>
      <w:r w:rsidRPr="00250E6F">
        <w:rPr>
          <w:rFonts w:ascii="Garamond" w:hAnsi="Garamond"/>
          <w:smallCaps/>
          <w:sz w:val="20"/>
          <w:szCs w:val="18"/>
        </w:rPr>
        <w:t xml:space="preserve"> F. </w:t>
      </w:r>
      <w:proofErr w:type="spellStart"/>
      <w:r w:rsidRPr="00250E6F">
        <w:rPr>
          <w:rFonts w:ascii="Garamond" w:hAnsi="Garamond"/>
          <w:smallCaps/>
          <w:sz w:val="20"/>
          <w:szCs w:val="18"/>
        </w:rPr>
        <w:t>Saitta</w:t>
      </w:r>
      <w:proofErr w:type="spellEnd"/>
      <w:r w:rsidRPr="00250E6F">
        <w:rPr>
          <w:rFonts w:ascii="Garamond" w:hAnsi="Garamond"/>
          <w:sz w:val="20"/>
          <w:szCs w:val="18"/>
        </w:rPr>
        <w:t xml:space="preserve"> (a cura di), </w:t>
      </w:r>
      <w:r w:rsidRPr="00250E6F">
        <w:rPr>
          <w:rFonts w:ascii="Garamond" w:hAnsi="Garamond"/>
          <w:i/>
          <w:sz w:val="20"/>
          <w:szCs w:val="18"/>
        </w:rPr>
        <w:t>Percorsi di diritto amministrativo</w:t>
      </w:r>
      <w:r w:rsidRPr="00250E6F">
        <w:rPr>
          <w:rFonts w:ascii="Garamond" w:hAnsi="Garamond"/>
          <w:sz w:val="20"/>
          <w:szCs w:val="18"/>
        </w:rPr>
        <w:t>, Torino, 2014, p. 454.</w:t>
      </w:r>
    </w:p>
  </w:footnote>
  <w:footnote w:id="42">
    <w:p w14:paraId="12477E64"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Prima di tutto, la comunicazione di avvio del procedimento. </w:t>
      </w:r>
      <w:r w:rsidRPr="00250E6F">
        <w:rPr>
          <w:rFonts w:ascii="Garamond" w:hAnsi="Garamond"/>
          <w:i/>
          <w:sz w:val="20"/>
          <w:szCs w:val="18"/>
        </w:rPr>
        <w:t xml:space="preserve">Ex </w:t>
      </w:r>
      <w:proofErr w:type="spellStart"/>
      <w:r w:rsidRPr="00250E6F">
        <w:rPr>
          <w:rFonts w:ascii="Garamond" w:hAnsi="Garamond"/>
          <w:i/>
          <w:sz w:val="20"/>
          <w:szCs w:val="18"/>
        </w:rPr>
        <w:t>multis</w:t>
      </w:r>
      <w:proofErr w:type="spellEnd"/>
      <w:r w:rsidRPr="00250E6F">
        <w:rPr>
          <w:rFonts w:ascii="Garamond" w:hAnsi="Garamond"/>
          <w:sz w:val="20"/>
          <w:szCs w:val="18"/>
        </w:rPr>
        <w:t>, Tar Friuli-Venezia Giulia, Trieste, I, 25 settembre 2014, n. 463: «Ogni atto di ordinario esercizio di pubblici poteri resta subordinato al rispetto delle regole generali che informano i rapporti tra Amministrazioni e amministrati. In particolare, è necessario comunicare l’avvio del procedimento, consentire all’interessato e a eventuali cointeressati e controinteressati di parteciparvi, dimostrare la sussistenza dei presupposti che, ai sensi degli artt. 19 e 21-</w:t>
      </w:r>
      <w:r w:rsidRPr="00250E6F">
        <w:rPr>
          <w:rFonts w:ascii="Garamond" w:hAnsi="Garamond"/>
          <w:i/>
          <w:sz w:val="20"/>
          <w:szCs w:val="18"/>
        </w:rPr>
        <w:t>quinquies</w:t>
      </w:r>
      <w:r w:rsidRPr="00250E6F">
        <w:rPr>
          <w:rFonts w:ascii="Garamond" w:hAnsi="Garamond"/>
          <w:sz w:val="20"/>
          <w:szCs w:val="18"/>
        </w:rPr>
        <w:t xml:space="preserve"> e 21-</w:t>
      </w:r>
      <w:r w:rsidRPr="00250E6F">
        <w:rPr>
          <w:rFonts w:ascii="Garamond" w:hAnsi="Garamond"/>
          <w:i/>
          <w:sz w:val="20"/>
          <w:szCs w:val="18"/>
        </w:rPr>
        <w:t>nonies</w:t>
      </w:r>
      <w:r w:rsidRPr="00250E6F">
        <w:rPr>
          <w:rFonts w:ascii="Garamond" w:hAnsi="Garamond"/>
          <w:sz w:val="20"/>
          <w:szCs w:val="18"/>
        </w:rPr>
        <w:t xml:space="preserve">, l. n. 241 del 1990 ne consentono l’esercizio, ivi compreso il rispetto del tempo ragionevole per porre in essere il provvedimento di secondo grado e la comparazione dell’interesse pubblico con l’aspettativa del privato, infine motivare in ordine alle ragioni di fatto che ne giustificano l’adozione». </w:t>
      </w:r>
    </w:p>
  </w:footnote>
  <w:footnote w:id="43">
    <w:p w14:paraId="5BC881CB"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w:t>
      </w:r>
      <w:r w:rsidRPr="00250E6F">
        <w:rPr>
          <w:rFonts w:ascii="Garamond" w:hAnsi="Garamond"/>
          <w:i/>
          <w:sz w:val="20"/>
          <w:szCs w:val="18"/>
        </w:rPr>
        <w:t xml:space="preserve">Ex </w:t>
      </w:r>
      <w:proofErr w:type="spellStart"/>
      <w:r w:rsidRPr="00250E6F">
        <w:rPr>
          <w:rFonts w:ascii="Garamond" w:hAnsi="Garamond"/>
          <w:i/>
          <w:sz w:val="20"/>
          <w:szCs w:val="18"/>
        </w:rPr>
        <w:t>multis</w:t>
      </w:r>
      <w:proofErr w:type="spellEnd"/>
      <w:r w:rsidRPr="00250E6F">
        <w:rPr>
          <w:rFonts w:ascii="Garamond" w:hAnsi="Garamond"/>
          <w:sz w:val="20"/>
          <w:szCs w:val="18"/>
        </w:rPr>
        <w:t xml:space="preserve">, </w:t>
      </w:r>
      <w:proofErr w:type="spellStart"/>
      <w:r w:rsidRPr="00250E6F">
        <w:rPr>
          <w:rFonts w:ascii="Garamond" w:hAnsi="Garamond"/>
          <w:sz w:val="20"/>
          <w:szCs w:val="18"/>
        </w:rPr>
        <w:t>Cons</w:t>
      </w:r>
      <w:proofErr w:type="spellEnd"/>
      <w:r w:rsidRPr="00250E6F">
        <w:rPr>
          <w:rFonts w:ascii="Garamond" w:hAnsi="Garamond"/>
          <w:sz w:val="20"/>
          <w:szCs w:val="18"/>
        </w:rPr>
        <w:t xml:space="preserve">. Stato, V, 9 novembre 2018, n. 6323: «La natura giuridica di atto provvisorio ad effetti instabili, tipica dell’aggiudicazione provvisoria, spiega la non </w:t>
      </w:r>
      <w:proofErr w:type="spellStart"/>
      <w:r w:rsidRPr="00250E6F">
        <w:rPr>
          <w:rFonts w:ascii="Garamond" w:hAnsi="Garamond"/>
          <w:sz w:val="20"/>
          <w:szCs w:val="18"/>
        </w:rPr>
        <w:t>tutelabilità</w:t>
      </w:r>
      <w:proofErr w:type="spellEnd"/>
      <w:r w:rsidRPr="00250E6F">
        <w:rPr>
          <w:rFonts w:ascii="Garamond" w:hAnsi="Garamond"/>
          <w:sz w:val="20"/>
          <w:szCs w:val="18"/>
        </w:rPr>
        <w:t xml:space="preserve"> processuale di quest’ultima ai sensi degli artt. 21-</w:t>
      </w:r>
      <w:r w:rsidRPr="00250E6F">
        <w:rPr>
          <w:rFonts w:ascii="Garamond" w:hAnsi="Garamond"/>
          <w:i/>
          <w:sz w:val="20"/>
          <w:szCs w:val="18"/>
        </w:rPr>
        <w:t>quinquies</w:t>
      </w:r>
      <w:r w:rsidRPr="00250E6F">
        <w:rPr>
          <w:rFonts w:ascii="Garamond" w:hAnsi="Garamond"/>
          <w:sz w:val="20"/>
          <w:szCs w:val="18"/>
        </w:rPr>
        <w:t xml:space="preserve"> e 21-</w:t>
      </w:r>
      <w:r w:rsidRPr="00250E6F">
        <w:rPr>
          <w:rFonts w:ascii="Garamond" w:hAnsi="Garamond"/>
          <w:i/>
          <w:sz w:val="20"/>
          <w:szCs w:val="18"/>
        </w:rPr>
        <w:t>nonies</w:t>
      </w:r>
      <w:r w:rsidRPr="00250E6F">
        <w:rPr>
          <w:rFonts w:ascii="Garamond" w:hAnsi="Garamond"/>
          <w:sz w:val="20"/>
          <w:szCs w:val="18"/>
        </w:rPr>
        <w:t xml:space="preserve"> della l. n. 241 del 1990 (</w:t>
      </w:r>
      <w:r w:rsidRPr="00250E6F">
        <w:rPr>
          <w:rFonts w:ascii="Garamond" w:hAnsi="Garamond"/>
          <w:i/>
          <w:sz w:val="20"/>
          <w:szCs w:val="18"/>
        </w:rPr>
        <w:t xml:space="preserve">ex </w:t>
      </w:r>
      <w:proofErr w:type="spellStart"/>
      <w:r w:rsidRPr="00250E6F">
        <w:rPr>
          <w:rFonts w:ascii="Garamond" w:hAnsi="Garamond"/>
          <w:i/>
          <w:sz w:val="20"/>
          <w:szCs w:val="18"/>
        </w:rPr>
        <w:t>multis</w:t>
      </w:r>
      <w:proofErr w:type="spellEnd"/>
      <w:r w:rsidRPr="00250E6F">
        <w:rPr>
          <w:rFonts w:ascii="Garamond" w:hAnsi="Garamond"/>
          <w:sz w:val="20"/>
          <w:szCs w:val="18"/>
        </w:rPr>
        <w:t xml:space="preserve">, </w:t>
      </w:r>
      <w:proofErr w:type="spellStart"/>
      <w:r w:rsidRPr="00250E6F">
        <w:rPr>
          <w:rFonts w:ascii="Garamond" w:hAnsi="Garamond"/>
          <w:sz w:val="20"/>
          <w:szCs w:val="18"/>
        </w:rPr>
        <w:t>Cons</w:t>
      </w:r>
      <w:proofErr w:type="spellEnd"/>
      <w:r w:rsidRPr="00250E6F">
        <w:rPr>
          <w:rFonts w:ascii="Garamond" w:hAnsi="Garamond"/>
          <w:sz w:val="20"/>
          <w:szCs w:val="18"/>
        </w:rPr>
        <w:t>. Stato, V, 20 agosto 2013, n. 4183): la sua revoca (ovvero, la sua mancata conferma) non è infatti qualificabile alla stregua di un esercizio del potere di autotutela, tale cioè da richiedere un raffronto tra l’interesse pubblico e quello privato sacrificato, non essendo prospettabile alcun affidamento del destinatario, dal momento che l’aggiudicazione provvisoria non è l’atto conclusivo del procedimento.</w:t>
      </w:r>
    </w:p>
    <w:p w14:paraId="36281CD1" w14:textId="77777777" w:rsidR="007E1CB9" w:rsidRPr="00250E6F" w:rsidRDefault="007E1CB9" w:rsidP="007A7DC1">
      <w:pPr>
        <w:pStyle w:val="Testonotaapidipagina"/>
        <w:spacing w:line="276" w:lineRule="auto"/>
        <w:jc w:val="both"/>
        <w:rPr>
          <w:rFonts w:ascii="Garamond" w:hAnsi="Garamond"/>
          <w:sz w:val="20"/>
          <w:szCs w:val="18"/>
        </w:rPr>
      </w:pPr>
      <w:r w:rsidRPr="00250E6F">
        <w:rPr>
          <w:rFonts w:ascii="Garamond" w:hAnsi="Garamond"/>
          <w:sz w:val="20"/>
          <w:szCs w:val="18"/>
        </w:rPr>
        <w:t>Se la decisione di non giungere alla naturale conclusione della gara interviene nella fase dell’aggiudicazione provvisoria – fase nella quale non si è determinato alcun affidamento qualificato neppure in capo all’aggiudicatario provvisorio (titolare, al più, di una mera aspettativa di fatto) – del pari non sorge alcun obbligo in capo alla stazione appaltante di procedere alla notifiche degli avvisi di avvio del procedimento, né all’aggiudicatario provvisorio né a terzi (</w:t>
      </w:r>
      <w:r w:rsidRPr="00250E6F">
        <w:rPr>
          <w:rFonts w:ascii="Garamond" w:hAnsi="Garamond"/>
          <w:i/>
          <w:sz w:val="20"/>
          <w:szCs w:val="18"/>
        </w:rPr>
        <w:t xml:space="preserve">ex </w:t>
      </w:r>
      <w:proofErr w:type="spellStart"/>
      <w:r w:rsidRPr="00250E6F">
        <w:rPr>
          <w:rFonts w:ascii="Garamond" w:hAnsi="Garamond"/>
          <w:i/>
          <w:sz w:val="20"/>
          <w:szCs w:val="18"/>
        </w:rPr>
        <w:t>plurimis</w:t>
      </w:r>
      <w:proofErr w:type="spellEnd"/>
      <w:r w:rsidRPr="00250E6F">
        <w:rPr>
          <w:rFonts w:ascii="Garamond" w:hAnsi="Garamond"/>
          <w:sz w:val="20"/>
          <w:szCs w:val="18"/>
        </w:rPr>
        <w:t xml:space="preserve">, </w:t>
      </w:r>
      <w:proofErr w:type="spellStart"/>
      <w:r w:rsidRPr="00250E6F">
        <w:rPr>
          <w:rFonts w:ascii="Garamond" w:hAnsi="Garamond"/>
          <w:sz w:val="20"/>
          <w:szCs w:val="18"/>
        </w:rPr>
        <w:t>Cons</w:t>
      </w:r>
      <w:proofErr w:type="spellEnd"/>
      <w:r w:rsidRPr="00250E6F">
        <w:rPr>
          <w:rFonts w:ascii="Garamond" w:hAnsi="Garamond"/>
          <w:sz w:val="20"/>
          <w:szCs w:val="18"/>
        </w:rPr>
        <w:t>. Stato, V, 18 luglio 2012, n. 4189).</w:t>
      </w:r>
    </w:p>
    <w:p w14:paraId="3BE6501F" w14:textId="77777777" w:rsidR="007E1CB9" w:rsidRPr="00250E6F" w:rsidRDefault="007E1CB9" w:rsidP="007A7DC1">
      <w:pPr>
        <w:pStyle w:val="Testonotaapidipagina"/>
        <w:spacing w:line="276" w:lineRule="auto"/>
        <w:jc w:val="both"/>
        <w:rPr>
          <w:rFonts w:ascii="Garamond" w:hAnsi="Garamond"/>
          <w:sz w:val="20"/>
          <w:szCs w:val="18"/>
        </w:rPr>
      </w:pPr>
      <w:r w:rsidRPr="00250E6F">
        <w:rPr>
          <w:rFonts w:ascii="Garamond" w:hAnsi="Garamond"/>
          <w:sz w:val="20"/>
          <w:szCs w:val="18"/>
        </w:rPr>
        <w:t>Fino a quando non sia intervenuta l’aggiudicazione definitiva rientra nel potere discrezionale dell’amministrazione disporre la revoca del bando di gara e degli atti successivi, laddove sussistano concreti motivi di interesse pubblico tali da rendere inopportuna, o anche solo da sconsigliare, la prosecuzione della gara (</w:t>
      </w:r>
      <w:proofErr w:type="spellStart"/>
      <w:r w:rsidRPr="00250E6F">
        <w:rPr>
          <w:rFonts w:ascii="Garamond" w:hAnsi="Garamond"/>
          <w:sz w:val="20"/>
          <w:szCs w:val="18"/>
        </w:rPr>
        <w:t>Cons</w:t>
      </w:r>
      <w:proofErr w:type="spellEnd"/>
      <w:r w:rsidRPr="00250E6F">
        <w:rPr>
          <w:rFonts w:ascii="Garamond" w:hAnsi="Garamond"/>
          <w:sz w:val="20"/>
          <w:szCs w:val="18"/>
        </w:rPr>
        <w:t xml:space="preserve">. Stato, VI, 6 maggio 2013, n. 2418; in termini, </w:t>
      </w:r>
      <w:proofErr w:type="spellStart"/>
      <w:r w:rsidRPr="00250E6F">
        <w:rPr>
          <w:rFonts w:ascii="Garamond" w:hAnsi="Garamond"/>
          <w:sz w:val="20"/>
          <w:szCs w:val="18"/>
        </w:rPr>
        <w:t>Cons</w:t>
      </w:r>
      <w:proofErr w:type="spellEnd"/>
      <w:r w:rsidRPr="00250E6F">
        <w:rPr>
          <w:rFonts w:ascii="Garamond" w:hAnsi="Garamond"/>
          <w:sz w:val="20"/>
          <w:szCs w:val="18"/>
        </w:rPr>
        <w:t>. Stato, IV, 12 gennaio 2016, n. 67)».</w:t>
      </w:r>
    </w:p>
  </w:footnote>
  <w:footnote w:id="44">
    <w:p w14:paraId="0D9C9912" w14:textId="77777777" w:rsidR="002828F3" w:rsidRPr="00250E6F" w:rsidRDefault="002828F3" w:rsidP="002828F3">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Peraltro eliminata dall’art. 32, d.lgs. n. 50/2016, il quale enumera solo la “proposta di aggiudicazione” della gara e l’aggiudicazione </w:t>
      </w:r>
      <w:r w:rsidRPr="00250E6F">
        <w:rPr>
          <w:rFonts w:ascii="Garamond" w:hAnsi="Garamond"/>
          <w:i/>
          <w:sz w:val="20"/>
          <w:szCs w:val="18"/>
        </w:rPr>
        <w:t>tout court</w:t>
      </w:r>
      <w:r w:rsidRPr="00250E6F">
        <w:rPr>
          <w:rFonts w:ascii="Garamond" w:hAnsi="Garamond"/>
          <w:sz w:val="20"/>
          <w:szCs w:val="18"/>
        </w:rPr>
        <w:t xml:space="preserve">: cfr. in proposito </w:t>
      </w:r>
      <w:proofErr w:type="spellStart"/>
      <w:r w:rsidRPr="00250E6F">
        <w:rPr>
          <w:rFonts w:ascii="Garamond" w:hAnsi="Garamond"/>
          <w:sz w:val="20"/>
          <w:szCs w:val="18"/>
        </w:rPr>
        <w:t>Cons</w:t>
      </w:r>
      <w:proofErr w:type="spellEnd"/>
      <w:r w:rsidRPr="00250E6F">
        <w:rPr>
          <w:rFonts w:ascii="Garamond" w:hAnsi="Garamond"/>
          <w:sz w:val="20"/>
          <w:szCs w:val="18"/>
        </w:rPr>
        <w:t>. Stato, V, 10 ottobre 2019, n. 6904.</w:t>
      </w:r>
    </w:p>
  </w:footnote>
  <w:footnote w:id="45">
    <w:p w14:paraId="4BA8F8EB"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V. in proposito </w:t>
      </w:r>
      <w:r w:rsidRPr="00250E6F">
        <w:rPr>
          <w:rFonts w:ascii="Garamond" w:hAnsi="Garamond"/>
          <w:smallCaps/>
          <w:sz w:val="20"/>
          <w:szCs w:val="18"/>
        </w:rPr>
        <w:t xml:space="preserve">M. </w:t>
      </w:r>
      <w:proofErr w:type="spellStart"/>
      <w:r w:rsidRPr="00250E6F">
        <w:rPr>
          <w:rFonts w:ascii="Garamond" w:hAnsi="Garamond"/>
          <w:smallCaps/>
          <w:sz w:val="20"/>
          <w:szCs w:val="18"/>
        </w:rPr>
        <w:t>Immordino</w:t>
      </w:r>
      <w:proofErr w:type="spellEnd"/>
      <w:r w:rsidRPr="00250E6F">
        <w:rPr>
          <w:rFonts w:ascii="Garamond" w:hAnsi="Garamond"/>
          <w:smallCaps/>
          <w:sz w:val="20"/>
          <w:szCs w:val="18"/>
        </w:rPr>
        <w:t xml:space="preserve">, A. </w:t>
      </w:r>
      <w:proofErr w:type="spellStart"/>
      <w:r w:rsidRPr="00250E6F">
        <w:rPr>
          <w:rFonts w:ascii="Garamond" w:hAnsi="Garamond"/>
          <w:smallCaps/>
          <w:sz w:val="20"/>
          <w:szCs w:val="18"/>
        </w:rPr>
        <w:t>Contieri</w:t>
      </w:r>
      <w:proofErr w:type="spellEnd"/>
      <w:r w:rsidRPr="00250E6F">
        <w:rPr>
          <w:rFonts w:ascii="Garamond" w:hAnsi="Garamond"/>
          <w:sz w:val="20"/>
          <w:szCs w:val="18"/>
        </w:rPr>
        <w:t xml:space="preserve">, </w:t>
      </w:r>
      <w:r w:rsidRPr="00250E6F">
        <w:rPr>
          <w:rFonts w:ascii="Garamond" w:hAnsi="Garamond"/>
          <w:i/>
          <w:sz w:val="20"/>
          <w:szCs w:val="18"/>
        </w:rPr>
        <w:t>L’omessa comunicazione di avvio del procedimento di revoca</w:t>
      </w:r>
      <w:r w:rsidRPr="00250E6F">
        <w:rPr>
          <w:rFonts w:ascii="Garamond" w:hAnsi="Garamond"/>
          <w:sz w:val="20"/>
          <w:szCs w:val="18"/>
        </w:rPr>
        <w:t xml:space="preserve">, </w:t>
      </w:r>
      <w:r w:rsidR="000575AE" w:rsidRPr="00250E6F">
        <w:rPr>
          <w:rFonts w:ascii="Garamond" w:hAnsi="Garamond"/>
          <w:sz w:val="20"/>
          <w:szCs w:val="18"/>
        </w:rPr>
        <w:t xml:space="preserve">cit., </w:t>
      </w:r>
      <w:r w:rsidRPr="00250E6F">
        <w:rPr>
          <w:rFonts w:ascii="Garamond" w:hAnsi="Garamond"/>
          <w:sz w:val="20"/>
          <w:szCs w:val="18"/>
        </w:rPr>
        <w:t xml:space="preserve">i quali – premesso che il provvedimento di revoca ha connaturato in sé il necessario bilanciamento tra l’interesse pubblico sopravvenuto e gli interessi privati che ne sono incisi – prospettano la possibilità che quel provvedimento sia preceduto dall’avviso di avvio del procedimento quanto meno nelle ipotesi di esercizio del c.d. </w:t>
      </w:r>
      <w:proofErr w:type="spellStart"/>
      <w:r w:rsidRPr="00250E6F">
        <w:rPr>
          <w:rFonts w:ascii="Garamond" w:hAnsi="Garamond"/>
          <w:i/>
          <w:sz w:val="20"/>
          <w:szCs w:val="18"/>
        </w:rPr>
        <w:t>jus</w:t>
      </w:r>
      <w:proofErr w:type="spellEnd"/>
      <w:r w:rsidRPr="00250E6F">
        <w:rPr>
          <w:rFonts w:ascii="Garamond" w:hAnsi="Garamond"/>
          <w:i/>
          <w:sz w:val="20"/>
          <w:szCs w:val="18"/>
        </w:rPr>
        <w:t xml:space="preserve"> </w:t>
      </w:r>
      <w:proofErr w:type="spellStart"/>
      <w:r w:rsidRPr="00250E6F">
        <w:rPr>
          <w:rFonts w:ascii="Garamond" w:hAnsi="Garamond"/>
          <w:i/>
          <w:sz w:val="20"/>
          <w:szCs w:val="18"/>
        </w:rPr>
        <w:t>poenitendi</w:t>
      </w:r>
      <w:proofErr w:type="spellEnd"/>
      <w:r w:rsidRPr="00250E6F">
        <w:rPr>
          <w:rFonts w:ascii="Garamond" w:hAnsi="Garamond"/>
          <w:sz w:val="20"/>
          <w:szCs w:val="18"/>
        </w:rPr>
        <w:t>.</w:t>
      </w:r>
    </w:p>
  </w:footnote>
  <w:footnote w:id="46">
    <w:p w14:paraId="2C621DBF" w14:textId="77777777" w:rsidR="00CB1A23" w:rsidRPr="00250E6F" w:rsidRDefault="00CB1A23" w:rsidP="00CB1A23">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Già nel 2007 </w:t>
      </w:r>
      <w:r w:rsidRPr="00250E6F">
        <w:rPr>
          <w:rFonts w:ascii="Garamond" w:hAnsi="Garamond"/>
          <w:smallCaps/>
          <w:sz w:val="20"/>
          <w:szCs w:val="18"/>
        </w:rPr>
        <w:t xml:space="preserve">M. </w:t>
      </w:r>
      <w:proofErr w:type="spellStart"/>
      <w:r w:rsidRPr="00250E6F">
        <w:rPr>
          <w:rFonts w:ascii="Garamond" w:hAnsi="Garamond"/>
          <w:smallCaps/>
          <w:sz w:val="20"/>
          <w:szCs w:val="18"/>
        </w:rPr>
        <w:t>Immordino</w:t>
      </w:r>
      <w:proofErr w:type="spellEnd"/>
      <w:r w:rsidRPr="00250E6F">
        <w:rPr>
          <w:rFonts w:ascii="Garamond" w:hAnsi="Garamond"/>
          <w:smallCaps/>
          <w:sz w:val="20"/>
          <w:szCs w:val="18"/>
        </w:rPr>
        <w:t xml:space="preserve">, A. </w:t>
      </w:r>
      <w:proofErr w:type="spellStart"/>
      <w:r w:rsidRPr="00250E6F">
        <w:rPr>
          <w:rFonts w:ascii="Garamond" w:hAnsi="Garamond"/>
          <w:smallCaps/>
          <w:sz w:val="20"/>
          <w:szCs w:val="18"/>
        </w:rPr>
        <w:t>Contieri</w:t>
      </w:r>
      <w:proofErr w:type="spellEnd"/>
      <w:r w:rsidRPr="00250E6F">
        <w:rPr>
          <w:rFonts w:ascii="Garamond" w:hAnsi="Garamond"/>
          <w:sz w:val="20"/>
          <w:szCs w:val="18"/>
        </w:rPr>
        <w:t xml:space="preserve">, </w:t>
      </w:r>
      <w:r w:rsidRPr="00250E6F">
        <w:rPr>
          <w:rFonts w:ascii="Garamond" w:hAnsi="Garamond"/>
          <w:i/>
          <w:sz w:val="20"/>
          <w:szCs w:val="18"/>
        </w:rPr>
        <w:t>L’omessa comunicazione di avvio del procedimento di revoca</w:t>
      </w:r>
      <w:r w:rsidRPr="00250E6F">
        <w:rPr>
          <w:rFonts w:ascii="Garamond" w:hAnsi="Garamond"/>
          <w:sz w:val="20"/>
          <w:szCs w:val="18"/>
        </w:rPr>
        <w:t>, cit.</w:t>
      </w:r>
    </w:p>
  </w:footnote>
  <w:footnote w:id="47">
    <w:p w14:paraId="4B1C0213"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w:t>
      </w:r>
      <w:r w:rsidRPr="00250E6F">
        <w:rPr>
          <w:rFonts w:ascii="Garamond" w:hAnsi="Garamond"/>
          <w:smallCaps/>
          <w:sz w:val="20"/>
          <w:szCs w:val="18"/>
        </w:rPr>
        <w:t xml:space="preserve">M. </w:t>
      </w:r>
      <w:proofErr w:type="spellStart"/>
      <w:r w:rsidRPr="00250E6F">
        <w:rPr>
          <w:rFonts w:ascii="Garamond" w:hAnsi="Garamond"/>
          <w:smallCaps/>
          <w:sz w:val="20"/>
          <w:szCs w:val="18"/>
        </w:rPr>
        <w:t>Immordino</w:t>
      </w:r>
      <w:proofErr w:type="spellEnd"/>
      <w:r w:rsidRPr="00250E6F">
        <w:rPr>
          <w:rFonts w:ascii="Garamond" w:hAnsi="Garamond"/>
          <w:sz w:val="20"/>
          <w:szCs w:val="18"/>
        </w:rPr>
        <w:t xml:space="preserve">, </w:t>
      </w:r>
      <w:r w:rsidRPr="00250E6F">
        <w:rPr>
          <w:rFonts w:ascii="Garamond" w:hAnsi="Garamond"/>
          <w:i/>
          <w:sz w:val="20"/>
          <w:szCs w:val="18"/>
        </w:rPr>
        <w:t>Il potere amministrativo di revoca</w:t>
      </w:r>
      <w:r w:rsidRPr="00250E6F">
        <w:rPr>
          <w:rFonts w:ascii="Garamond" w:hAnsi="Garamond"/>
          <w:sz w:val="20"/>
          <w:szCs w:val="18"/>
        </w:rPr>
        <w:t xml:space="preserve">, cit.; </w:t>
      </w:r>
      <w:r w:rsidRPr="00250E6F">
        <w:rPr>
          <w:rFonts w:ascii="Garamond" w:hAnsi="Garamond"/>
          <w:smallCaps/>
          <w:sz w:val="20"/>
          <w:szCs w:val="18"/>
        </w:rPr>
        <w:t xml:space="preserve">Id., A. </w:t>
      </w:r>
      <w:proofErr w:type="spellStart"/>
      <w:r w:rsidRPr="00250E6F">
        <w:rPr>
          <w:rFonts w:ascii="Garamond" w:hAnsi="Garamond"/>
          <w:smallCaps/>
          <w:sz w:val="20"/>
          <w:szCs w:val="18"/>
        </w:rPr>
        <w:t>Contieri</w:t>
      </w:r>
      <w:proofErr w:type="spellEnd"/>
      <w:r w:rsidRPr="00250E6F">
        <w:rPr>
          <w:rFonts w:ascii="Garamond" w:hAnsi="Garamond"/>
          <w:sz w:val="20"/>
          <w:szCs w:val="18"/>
        </w:rPr>
        <w:t xml:space="preserve">, </w:t>
      </w:r>
      <w:r w:rsidRPr="00250E6F">
        <w:rPr>
          <w:rFonts w:ascii="Garamond" w:hAnsi="Garamond"/>
          <w:i/>
          <w:sz w:val="20"/>
          <w:szCs w:val="18"/>
        </w:rPr>
        <w:t>L’omessa comunicazione di avvio del procedimento di revoca</w:t>
      </w:r>
      <w:r w:rsidRPr="00250E6F">
        <w:rPr>
          <w:rFonts w:ascii="Garamond" w:hAnsi="Garamond"/>
          <w:sz w:val="20"/>
          <w:szCs w:val="18"/>
        </w:rPr>
        <w:t xml:space="preserve">, cit. La giurisprudenza sul punto è divisa tra l’orientamento che sancisce la sanabilità </w:t>
      </w:r>
      <w:r w:rsidRPr="00250E6F">
        <w:rPr>
          <w:rFonts w:ascii="Garamond" w:hAnsi="Garamond"/>
          <w:i/>
          <w:sz w:val="20"/>
          <w:szCs w:val="18"/>
        </w:rPr>
        <w:t>ex</w:t>
      </w:r>
      <w:r w:rsidRPr="00250E6F">
        <w:rPr>
          <w:rFonts w:ascii="Garamond" w:hAnsi="Garamond"/>
          <w:sz w:val="20"/>
          <w:szCs w:val="18"/>
        </w:rPr>
        <w:t xml:space="preserve"> art. 21-</w:t>
      </w:r>
      <w:r w:rsidRPr="00250E6F">
        <w:rPr>
          <w:rFonts w:ascii="Garamond" w:hAnsi="Garamond"/>
          <w:i/>
          <w:sz w:val="20"/>
          <w:szCs w:val="18"/>
        </w:rPr>
        <w:t>octies</w:t>
      </w:r>
      <w:r w:rsidRPr="00250E6F">
        <w:rPr>
          <w:rFonts w:ascii="Garamond" w:hAnsi="Garamond"/>
          <w:sz w:val="20"/>
          <w:szCs w:val="18"/>
        </w:rPr>
        <w:t xml:space="preserve">, comma 2, della revoca non preceduta dalla comunicazione di avvio del procedimento, quando essa assuma i caratteri di un provvedimento sanzionatorio e dal contenuto vincolato (cfr., </w:t>
      </w:r>
      <w:r w:rsidRPr="00250E6F">
        <w:rPr>
          <w:rFonts w:ascii="Garamond" w:hAnsi="Garamond"/>
          <w:i/>
          <w:sz w:val="20"/>
          <w:szCs w:val="18"/>
        </w:rPr>
        <w:t xml:space="preserve">ex </w:t>
      </w:r>
      <w:proofErr w:type="spellStart"/>
      <w:r w:rsidRPr="00250E6F">
        <w:rPr>
          <w:rFonts w:ascii="Garamond" w:hAnsi="Garamond"/>
          <w:i/>
          <w:sz w:val="20"/>
          <w:szCs w:val="18"/>
        </w:rPr>
        <w:t>multis</w:t>
      </w:r>
      <w:proofErr w:type="spellEnd"/>
      <w:r w:rsidRPr="00250E6F">
        <w:rPr>
          <w:rFonts w:ascii="Garamond" w:hAnsi="Garamond"/>
          <w:sz w:val="20"/>
          <w:szCs w:val="18"/>
        </w:rPr>
        <w:t xml:space="preserve">, Tar Lombardia, III, 02 dicembre 2011, n. 3103, in materia di revoca della patente di guida); e l’indirizzo – maggioritario – per cui la revoca non preceduta dal contraddittorio con il privato è illegittima e non sanabile </w:t>
      </w:r>
      <w:r w:rsidRPr="00250E6F">
        <w:rPr>
          <w:rFonts w:ascii="Garamond" w:hAnsi="Garamond"/>
          <w:i/>
          <w:sz w:val="20"/>
          <w:szCs w:val="18"/>
        </w:rPr>
        <w:t>ex</w:t>
      </w:r>
      <w:r w:rsidRPr="00250E6F">
        <w:rPr>
          <w:rFonts w:ascii="Garamond" w:hAnsi="Garamond"/>
          <w:sz w:val="20"/>
          <w:szCs w:val="18"/>
        </w:rPr>
        <w:t xml:space="preserve"> art. 21-</w:t>
      </w:r>
      <w:r w:rsidRPr="00250E6F">
        <w:rPr>
          <w:rFonts w:ascii="Garamond" w:hAnsi="Garamond"/>
          <w:i/>
          <w:sz w:val="20"/>
          <w:szCs w:val="18"/>
        </w:rPr>
        <w:t>octies</w:t>
      </w:r>
      <w:r w:rsidRPr="00250E6F">
        <w:rPr>
          <w:rFonts w:ascii="Garamond" w:hAnsi="Garamond"/>
          <w:sz w:val="20"/>
          <w:szCs w:val="18"/>
        </w:rPr>
        <w:t xml:space="preserve">, co. 2 (cfr., </w:t>
      </w:r>
      <w:r w:rsidRPr="00250E6F">
        <w:rPr>
          <w:rFonts w:ascii="Garamond" w:hAnsi="Garamond"/>
          <w:i/>
          <w:sz w:val="20"/>
          <w:szCs w:val="18"/>
        </w:rPr>
        <w:t xml:space="preserve">ex </w:t>
      </w:r>
      <w:proofErr w:type="spellStart"/>
      <w:r w:rsidRPr="00250E6F">
        <w:rPr>
          <w:rFonts w:ascii="Garamond" w:hAnsi="Garamond"/>
          <w:i/>
          <w:sz w:val="20"/>
          <w:szCs w:val="18"/>
        </w:rPr>
        <w:t>multis</w:t>
      </w:r>
      <w:proofErr w:type="spellEnd"/>
      <w:r w:rsidRPr="00250E6F">
        <w:rPr>
          <w:rFonts w:ascii="Garamond" w:hAnsi="Garamond"/>
          <w:sz w:val="20"/>
          <w:szCs w:val="18"/>
        </w:rPr>
        <w:t>, Tar Lazio, I, 19 aprile 2012, n. 329).</w:t>
      </w:r>
    </w:p>
  </w:footnote>
  <w:footnote w:id="48">
    <w:p w14:paraId="0C887D01"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L’art. 21-</w:t>
      </w:r>
      <w:r w:rsidRPr="00250E6F">
        <w:rPr>
          <w:rFonts w:ascii="Garamond" w:hAnsi="Garamond"/>
          <w:i/>
          <w:sz w:val="20"/>
          <w:szCs w:val="18"/>
        </w:rPr>
        <w:t>octies</w:t>
      </w:r>
      <w:r w:rsidRPr="00250E6F">
        <w:rPr>
          <w:rFonts w:ascii="Garamond" w:hAnsi="Garamond"/>
          <w:sz w:val="20"/>
          <w:szCs w:val="18"/>
        </w:rPr>
        <w:t xml:space="preserve">, co. 2, ha un «minutissimo ambito di applicazione», come sottolinea </w:t>
      </w:r>
      <w:r w:rsidRPr="00250E6F">
        <w:rPr>
          <w:rFonts w:ascii="Garamond" w:hAnsi="Garamond"/>
          <w:smallCaps/>
          <w:sz w:val="20"/>
          <w:szCs w:val="18"/>
        </w:rPr>
        <w:t>A. De Siano</w:t>
      </w:r>
      <w:r w:rsidRPr="00250E6F">
        <w:rPr>
          <w:rFonts w:ascii="Garamond" w:hAnsi="Garamond"/>
          <w:sz w:val="20"/>
          <w:szCs w:val="18"/>
        </w:rPr>
        <w:t xml:space="preserve">, </w:t>
      </w:r>
      <w:r w:rsidRPr="00250E6F">
        <w:rPr>
          <w:rFonts w:ascii="Garamond" w:hAnsi="Garamond"/>
          <w:i/>
          <w:sz w:val="20"/>
          <w:szCs w:val="18"/>
        </w:rPr>
        <w:t xml:space="preserve">Le forme della decisione della </w:t>
      </w:r>
      <w:proofErr w:type="spellStart"/>
      <w:r w:rsidRPr="00250E6F">
        <w:rPr>
          <w:rFonts w:ascii="Garamond" w:hAnsi="Garamond"/>
          <w:i/>
          <w:sz w:val="20"/>
          <w:szCs w:val="18"/>
        </w:rPr>
        <w:t>p.A.</w:t>
      </w:r>
      <w:proofErr w:type="spellEnd"/>
      <w:r w:rsidRPr="00250E6F">
        <w:rPr>
          <w:rFonts w:ascii="Garamond" w:hAnsi="Garamond"/>
          <w:sz w:val="20"/>
          <w:szCs w:val="18"/>
        </w:rPr>
        <w:t xml:space="preserve">, in </w:t>
      </w:r>
      <w:r w:rsidRPr="00250E6F">
        <w:rPr>
          <w:rFonts w:ascii="Garamond" w:hAnsi="Garamond"/>
          <w:smallCaps/>
          <w:sz w:val="20"/>
          <w:szCs w:val="18"/>
        </w:rPr>
        <w:t xml:space="preserve">R. </w:t>
      </w:r>
      <w:proofErr w:type="spellStart"/>
      <w:r w:rsidRPr="00250E6F">
        <w:rPr>
          <w:rFonts w:ascii="Garamond" w:hAnsi="Garamond"/>
          <w:smallCaps/>
          <w:sz w:val="20"/>
          <w:szCs w:val="18"/>
        </w:rPr>
        <w:t>Ursi</w:t>
      </w:r>
      <w:proofErr w:type="spellEnd"/>
      <w:r w:rsidRPr="00250E6F">
        <w:rPr>
          <w:rFonts w:ascii="Garamond" w:hAnsi="Garamond"/>
          <w:smallCaps/>
          <w:sz w:val="20"/>
          <w:szCs w:val="18"/>
        </w:rPr>
        <w:t>, M. Renna</w:t>
      </w:r>
      <w:r w:rsidRPr="00250E6F">
        <w:rPr>
          <w:rFonts w:ascii="Garamond" w:hAnsi="Garamond"/>
          <w:sz w:val="20"/>
          <w:szCs w:val="18"/>
        </w:rPr>
        <w:t xml:space="preserve"> (a cura di), </w:t>
      </w:r>
      <w:r w:rsidRPr="00250E6F">
        <w:rPr>
          <w:rFonts w:ascii="Garamond" w:hAnsi="Garamond"/>
          <w:i/>
          <w:sz w:val="20"/>
          <w:szCs w:val="18"/>
        </w:rPr>
        <w:t>La decisione amministrativa</w:t>
      </w:r>
      <w:r w:rsidRPr="00250E6F">
        <w:rPr>
          <w:rFonts w:ascii="Garamond" w:hAnsi="Garamond"/>
          <w:sz w:val="20"/>
          <w:szCs w:val="18"/>
        </w:rPr>
        <w:t>, Napoli, 2021, pp. 11 ss., spec. p. 48.</w:t>
      </w:r>
    </w:p>
  </w:footnote>
  <w:footnote w:id="49">
    <w:p w14:paraId="6B304AA1"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A seguito dell’addenda di cui alla l. n. 120/2020, l’</w:t>
      </w:r>
      <w:proofErr w:type="spellStart"/>
      <w:r w:rsidRPr="00250E6F">
        <w:rPr>
          <w:rFonts w:ascii="Garamond" w:hAnsi="Garamond"/>
          <w:sz w:val="20"/>
          <w:szCs w:val="18"/>
        </w:rPr>
        <w:t>inannullabilità</w:t>
      </w:r>
      <w:proofErr w:type="spellEnd"/>
      <w:r w:rsidRPr="00250E6F">
        <w:rPr>
          <w:rFonts w:ascii="Garamond" w:hAnsi="Garamond"/>
          <w:sz w:val="20"/>
          <w:szCs w:val="18"/>
        </w:rPr>
        <w:t xml:space="preserve"> per vizi formali è ormai espressamente esclusa anche dal dato normativo per quei provvedimenti discrezionali, su istanza di parte, che non siano stati preceduti dal preavviso di diniego. Questo intervento legislativo ha smentito un – comunque minoritario – orientamento giurisprudenziale per il quale «l’art. 10-</w:t>
      </w:r>
      <w:r w:rsidRPr="00250E6F">
        <w:rPr>
          <w:rFonts w:ascii="Garamond" w:hAnsi="Garamond"/>
          <w:i/>
          <w:sz w:val="20"/>
          <w:szCs w:val="18"/>
        </w:rPr>
        <w:t>bis</w:t>
      </w:r>
      <w:r w:rsidRPr="00250E6F">
        <w:rPr>
          <w:rFonts w:ascii="Garamond" w:hAnsi="Garamond"/>
          <w:sz w:val="20"/>
          <w:szCs w:val="18"/>
        </w:rPr>
        <w:t>, legge n. 241 del 1990 […] non comporta, così come la comunicazione di avvio del procedimento, l’automatico annullamento del provvedimento finale nell’ipotesi in cui le disposizioni in questione siano state disapplicate» (</w:t>
      </w:r>
      <w:proofErr w:type="spellStart"/>
      <w:r w:rsidRPr="00250E6F">
        <w:rPr>
          <w:rFonts w:ascii="Garamond" w:hAnsi="Garamond"/>
          <w:sz w:val="20"/>
          <w:szCs w:val="18"/>
        </w:rPr>
        <w:t>Cons</w:t>
      </w:r>
      <w:proofErr w:type="spellEnd"/>
      <w:r w:rsidRPr="00250E6F">
        <w:rPr>
          <w:rFonts w:ascii="Garamond" w:hAnsi="Garamond"/>
          <w:sz w:val="20"/>
          <w:szCs w:val="18"/>
        </w:rPr>
        <w:t xml:space="preserve">. Stato, III, 20 settembre 2016, 3913). Sicché, oggi, non è annullabile il provvedimento vincolato adottato senza il previo preavviso di rigetto (cfr. </w:t>
      </w:r>
      <w:proofErr w:type="spellStart"/>
      <w:r w:rsidRPr="00250E6F">
        <w:rPr>
          <w:rFonts w:ascii="Garamond" w:hAnsi="Garamond"/>
          <w:sz w:val="20"/>
          <w:szCs w:val="18"/>
        </w:rPr>
        <w:t>Cons</w:t>
      </w:r>
      <w:proofErr w:type="spellEnd"/>
      <w:r w:rsidRPr="00250E6F">
        <w:rPr>
          <w:rFonts w:ascii="Garamond" w:hAnsi="Garamond"/>
          <w:sz w:val="20"/>
          <w:szCs w:val="18"/>
        </w:rPr>
        <w:t>. Stato, sez. II, 2 agosto 2021, n. 5676). Viceversa, l’art. 21-</w:t>
      </w:r>
      <w:r w:rsidRPr="00250E6F">
        <w:rPr>
          <w:rFonts w:ascii="Garamond" w:hAnsi="Garamond"/>
          <w:i/>
          <w:sz w:val="20"/>
          <w:szCs w:val="18"/>
        </w:rPr>
        <w:t>octies</w:t>
      </w:r>
      <w:r w:rsidRPr="00250E6F">
        <w:rPr>
          <w:rFonts w:ascii="Garamond" w:hAnsi="Garamond"/>
          <w:sz w:val="20"/>
          <w:szCs w:val="18"/>
        </w:rPr>
        <w:t xml:space="preserve">, co. 2, non si applica ai provvedimenti discrezionali (per esempio, autorizzazione paesaggistica, cfr. </w:t>
      </w:r>
      <w:r w:rsidR="003D628D" w:rsidRPr="00250E6F">
        <w:rPr>
          <w:rFonts w:ascii="Garamond" w:hAnsi="Garamond"/>
          <w:sz w:val="20"/>
          <w:szCs w:val="18"/>
        </w:rPr>
        <w:t>Tar</w:t>
      </w:r>
      <w:r w:rsidRPr="00250E6F">
        <w:rPr>
          <w:rFonts w:ascii="Garamond" w:hAnsi="Garamond"/>
          <w:sz w:val="20"/>
          <w:szCs w:val="18"/>
        </w:rPr>
        <w:t xml:space="preserve"> Campania, Napoli, VII, 19 luglio 2021, n. 4971)</w:t>
      </w:r>
      <w:r w:rsidR="003D628D" w:rsidRPr="00250E6F">
        <w:rPr>
          <w:rFonts w:ascii="Garamond" w:hAnsi="Garamond"/>
          <w:sz w:val="20"/>
          <w:szCs w:val="18"/>
        </w:rPr>
        <w:t xml:space="preserve"> neanche per la violazione dell’art. 10-</w:t>
      </w:r>
      <w:r w:rsidR="003D628D" w:rsidRPr="00250E6F">
        <w:rPr>
          <w:rFonts w:ascii="Garamond" w:hAnsi="Garamond"/>
          <w:i/>
          <w:sz w:val="20"/>
          <w:szCs w:val="18"/>
        </w:rPr>
        <w:t>bis</w:t>
      </w:r>
      <w:r w:rsidRPr="00250E6F">
        <w:rPr>
          <w:rFonts w:ascii="Garamond" w:hAnsi="Garamond"/>
          <w:sz w:val="20"/>
          <w:szCs w:val="18"/>
        </w:rPr>
        <w:t>.</w:t>
      </w:r>
    </w:p>
  </w:footnote>
  <w:footnote w:id="50">
    <w:p w14:paraId="36ABF654"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w:t>
      </w:r>
      <w:r w:rsidRPr="00250E6F">
        <w:rPr>
          <w:rFonts w:ascii="Garamond" w:hAnsi="Garamond"/>
          <w:i/>
          <w:sz w:val="20"/>
          <w:szCs w:val="18"/>
        </w:rPr>
        <w:t xml:space="preserve">Ex </w:t>
      </w:r>
      <w:proofErr w:type="spellStart"/>
      <w:r w:rsidRPr="00250E6F">
        <w:rPr>
          <w:rFonts w:ascii="Garamond" w:hAnsi="Garamond"/>
          <w:i/>
          <w:sz w:val="20"/>
          <w:szCs w:val="18"/>
        </w:rPr>
        <w:t>multis</w:t>
      </w:r>
      <w:proofErr w:type="spellEnd"/>
      <w:r w:rsidRPr="00250E6F">
        <w:rPr>
          <w:rFonts w:ascii="Garamond" w:hAnsi="Garamond"/>
          <w:sz w:val="20"/>
          <w:szCs w:val="18"/>
        </w:rPr>
        <w:t xml:space="preserve">, </w:t>
      </w:r>
      <w:r w:rsidR="005C40F2" w:rsidRPr="00250E6F">
        <w:rPr>
          <w:rFonts w:ascii="Garamond" w:hAnsi="Garamond"/>
          <w:sz w:val="20"/>
          <w:szCs w:val="18"/>
        </w:rPr>
        <w:t>Tar</w:t>
      </w:r>
      <w:r w:rsidRPr="00250E6F">
        <w:rPr>
          <w:rFonts w:ascii="Garamond" w:hAnsi="Garamond"/>
          <w:sz w:val="20"/>
          <w:szCs w:val="18"/>
        </w:rPr>
        <w:t xml:space="preserve"> Lazio, Latina, I, 4 novembre 2021, n. 599, sulla fattispecie di revoca in autotutela dell’aggiudicazione definitiva di una gara: «Ogni qualvolta la P.A. intenda emanare un atto di secondo grado (annullamento, revoca, decadenza), incidente su posizioni giuridiche originate dal precedente atto, oggetto della nuova determinazione amministrativa di rimozione, è necessaria la comunicazione dell’avvio del procedimento, ai sensi dell’art. 7 della legge n. 241 del 1990, qualora non sussistano ragioni di urgenza da esplicitare adeguatamente nella motivazione del provvedimento».</w:t>
      </w:r>
    </w:p>
  </w:footnote>
  <w:footnote w:id="51">
    <w:p w14:paraId="7E15C775"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Questa resistenza del provvedimento primigenio a successive manifestazioni del potere in senso interruttivo della sua efficacia costituisce, secondo </w:t>
      </w:r>
      <w:r w:rsidRPr="00250E6F">
        <w:rPr>
          <w:rFonts w:ascii="Garamond" w:hAnsi="Garamond"/>
          <w:smallCaps/>
          <w:sz w:val="20"/>
          <w:szCs w:val="18"/>
        </w:rPr>
        <w:t>N. Berti</w:t>
      </w:r>
      <w:r w:rsidRPr="00250E6F">
        <w:rPr>
          <w:rFonts w:ascii="Garamond" w:hAnsi="Garamond"/>
          <w:sz w:val="20"/>
          <w:szCs w:val="18"/>
        </w:rPr>
        <w:t xml:space="preserve">, </w:t>
      </w:r>
      <w:r w:rsidRPr="00250E6F">
        <w:rPr>
          <w:rFonts w:ascii="Garamond" w:hAnsi="Garamond"/>
          <w:i/>
          <w:sz w:val="20"/>
          <w:szCs w:val="18"/>
        </w:rPr>
        <w:t>Le decisioni di modifica</w:t>
      </w:r>
      <w:r w:rsidRPr="00250E6F">
        <w:rPr>
          <w:rFonts w:ascii="Garamond" w:hAnsi="Garamond"/>
          <w:sz w:val="20"/>
          <w:szCs w:val="18"/>
        </w:rPr>
        <w:t xml:space="preserve">, cit., p. 446, il fondamento della disciplina della revoca, la quale non si identificherebbe col potere di primo grado: essa, al contrario, «appare in larga parte diversa, nella causa, nella struttura e nei limiti, dallo schema di validità proprio del potere di primo grado. Quest’ultima disposizione si rivelerebbe, in tal modo, non solo una norma sulla competenza (o di conferimento di potere), ma anche, implicitamente, una norma sui conflitti, in quanto, sottoponendo la rimozione degli effetti del provvedimento ad un regime giuridico speciale, esclude logicamente che essa possa validamente realizzarsi attraverso la mera riedizione abrogativa del potere di primo grado» (corsivi originali). Cfr. in tal senso anche </w:t>
      </w:r>
      <w:r w:rsidRPr="00250E6F">
        <w:rPr>
          <w:rFonts w:ascii="Garamond" w:hAnsi="Garamond"/>
          <w:smallCaps/>
          <w:sz w:val="20"/>
          <w:szCs w:val="18"/>
        </w:rPr>
        <w:t xml:space="preserve">M. </w:t>
      </w:r>
      <w:proofErr w:type="spellStart"/>
      <w:r w:rsidRPr="00250E6F">
        <w:rPr>
          <w:rFonts w:ascii="Garamond" w:hAnsi="Garamond"/>
          <w:smallCaps/>
          <w:sz w:val="20"/>
          <w:szCs w:val="18"/>
        </w:rPr>
        <w:t>Trimarchi</w:t>
      </w:r>
      <w:proofErr w:type="spellEnd"/>
      <w:r w:rsidRPr="00250E6F">
        <w:rPr>
          <w:rFonts w:ascii="Garamond" w:hAnsi="Garamond"/>
          <w:sz w:val="20"/>
          <w:szCs w:val="18"/>
        </w:rPr>
        <w:t xml:space="preserve">, </w:t>
      </w:r>
      <w:r w:rsidRPr="00250E6F">
        <w:rPr>
          <w:rFonts w:ascii="Garamond" w:hAnsi="Garamond"/>
          <w:i/>
          <w:sz w:val="20"/>
          <w:szCs w:val="18"/>
        </w:rPr>
        <w:t>La validità del provvedimento amministrativo. Profili di teoria generale</w:t>
      </w:r>
      <w:r w:rsidRPr="00250E6F">
        <w:rPr>
          <w:rFonts w:ascii="Garamond" w:hAnsi="Garamond"/>
          <w:sz w:val="20"/>
          <w:szCs w:val="18"/>
        </w:rPr>
        <w:t>, Pisa, 2013, per il quale «dal fatto che, per rimuoverlo legittimamente, devono sussistere i presupposti speciali richiesti [...], sembra logico ricavarne che il provvedimento amministrativo oppone in ogni caso una certa resistenza all’abrogazione da parte di un provvedimento successivo dello stesso organo», p. 199.</w:t>
      </w:r>
    </w:p>
  </w:footnote>
  <w:footnote w:id="52">
    <w:p w14:paraId="2491D6A1"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È il caso dall’annullamento di un concorso dopo l’approvazione delle graduatorie da parte della commissione di concorso ma prima della formale approvazione da parte del responsabile di settore. Cfr. </w:t>
      </w:r>
      <w:r w:rsidR="00DB3E22" w:rsidRPr="00250E6F">
        <w:rPr>
          <w:rFonts w:ascii="Garamond" w:hAnsi="Garamond"/>
          <w:sz w:val="20"/>
          <w:szCs w:val="18"/>
        </w:rPr>
        <w:t>Tar</w:t>
      </w:r>
      <w:r w:rsidRPr="00250E6F">
        <w:rPr>
          <w:rFonts w:ascii="Garamond" w:hAnsi="Garamond"/>
          <w:sz w:val="20"/>
          <w:szCs w:val="18"/>
        </w:rPr>
        <w:t xml:space="preserve"> Marche, I, 10 novembre 2021, n. 793: anche se la vicenda concerne l’esercizio del potere di annullamento d’ufficio, il principio ivi affermato vale anche per la revoca. La posizione differenziata del privato, titolare di un interesse legittimo al mantenimento del bando di concorso e degli atti della procedura ormai espletata, dovrebbe cioè esser generata già dall’approvazione della graduatoria – che lo vede vincitore – da parte della commissione di concorso. Si relegherebbe, così, l’approvazione finale degli atti a poco più che una formalità, collegando invece l’effetto costitutivo della posizione qualificata a un momento anteriore della procedura.</w:t>
      </w:r>
      <w:r w:rsidRPr="00250E6F">
        <w:rPr>
          <w:rFonts w:ascii="Garamond" w:hAnsi="Garamond"/>
          <w:sz w:val="20"/>
          <w:szCs w:val="18"/>
        </w:rPr>
        <w:tab/>
      </w:r>
      <w:r w:rsidRPr="00250E6F">
        <w:rPr>
          <w:rFonts w:ascii="Garamond" w:hAnsi="Garamond"/>
          <w:sz w:val="20"/>
          <w:szCs w:val="18"/>
        </w:rPr>
        <w:br/>
        <w:t>Questa lettura fa il paio con le sue conseguenze processuali, per le quali il momento d’individuazione di eventuali controinteressati al ricorso di un concorrente escluso coincide con l’approvazione della graduatoria finale: sicché, ove assieme all’atto d’esclusione non sia impugnata anche la graduatoria finale, il ricorso è improcedibile per sopravvenuta carenza d’interesse (</w:t>
      </w:r>
      <w:r w:rsidRPr="00250E6F">
        <w:rPr>
          <w:rFonts w:ascii="Garamond" w:hAnsi="Garamond"/>
          <w:i/>
          <w:sz w:val="20"/>
          <w:szCs w:val="18"/>
        </w:rPr>
        <w:t xml:space="preserve">ex </w:t>
      </w:r>
      <w:proofErr w:type="spellStart"/>
      <w:r w:rsidRPr="00250E6F">
        <w:rPr>
          <w:rFonts w:ascii="Garamond" w:hAnsi="Garamond"/>
          <w:i/>
          <w:sz w:val="20"/>
          <w:szCs w:val="18"/>
        </w:rPr>
        <w:t>plurimis</w:t>
      </w:r>
      <w:proofErr w:type="spellEnd"/>
      <w:r w:rsidRPr="00250E6F">
        <w:rPr>
          <w:rFonts w:ascii="Garamond" w:hAnsi="Garamond"/>
          <w:sz w:val="20"/>
          <w:szCs w:val="18"/>
        </w:rPr>
        <w:t xml:space="preserve">, </w:t>
      </w:r>
      <w:r w:rsidR="00DB3E22" w:rsidRPr="00250E6F">
        <w:rPr>
          <w:rFonts w:ascii="Garamond" w:hAnsi="Garamond"/>
          <w:sz w:val="20"/>
          <w:szCs w:val="18"/>
        </w:rPr>
        <w:t>Tar</w:t>
      </w:r>
      <w:r w:rsidRPr="00250E6F">
        <w:rPr>
          <w:rFonts w:ascii="Garamond" w:hAnsi="Garamond"/>
          <w:sz w:val="20"/>
          <w:szCs w:val="18"/>
        </w:rPr>
        <w:t xml:space="preserve"> Campania, Napoli, V, 17 maggio 2021, n. 3250; Id., 7 aprile 2021, n. 2296; </w:t>
      </w:r>
      <w:proofErr w:type="spellStart"/>
      <w:r w:rsidRPr="00250E6F">
        <w:rPr>
          <w:rFonts w:ascii="Garamond" w:hAnsi="Garamond"/>
          <w:sz w:val="20"/>
          <w:szCs w:val="18"/>
        </w:rPr>
        <w:t>Cons</w:t>
      </w:r>
      <w:proofErr w:type="spellEnd"/>
      <w:r w:rsidRPr="00250E6F">
        <w:rPr>
          <w:rFonts w:ascii="Garamond" w:hAnsi="Garamond"/>
          <w:sz w:val="20"/>
          <w:szCs w:val="18"/>
        </w:rPr>
        <w:t>. Stato, IV, 12 novembre 2020, n. 6959).</w:t>
      </w:r>
    </w:p>
  </w:footnote>
  <w:footnote w:id="53">
    <w:p w14:paraId="09E3B389" w14:textId="77777777" w:rsidR="00D54F28" w:rsidRPr="00250E6F" w:rsidRDefault="00D54F28" w:rsidP="00D54F28">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Ci si riferisce al fondamento dell’indennizzo, alla sua quantificazione, alla sua automaticità ovvero alla sua eventualità, realizzatasi solo ove effettivamente si sia provocato un danno al privato: per questi e altri profili, </w:t>
      </w:r>
      <w:r w:rsidRPr="00250E6F">
        <w:rPr>
          <w:rFonts w:ascii="Garamond" w:hAnsi="Garamond"/>
          <w:smallCaps/>
          <w:sz w:val="20"/>
          <w:szCs w:val="18"/>
        </w:rPr>
        <w:t>G. La Rosa</w:t>
      </w:r>
      <w:r w:rsidRPr="00250E6F">
        <w:rPr>
          <w:rFonts w:ascii="Garamond" w:hAnsi="Garamond"/>
          <w:sz w:val="20"/>
          <w:szCs w:val="18"/>
        </w:rPr>
        <w:t xml:space="preserve">, </w:t>
      </w:r>
      <w:r w:rsidRPr="00250E6F">
        <w:rPr>
          <w:rFonts w:ascii="Garamond" w:hAnsi="Garamond"/>
          <w:i/>
          <w:sz w:val="20"/>
          <w:szCs w:val="18"/>
        </w:rPr>
        <w:t>Il “costo” del ripensamento dell’Amministrazione: riflessioni sull’indennità di revoca</w:t>
      </w:r>
      <w:r w:rsidRPr="00250E6F">
        <w:rPr>
          <w:rFonts w:ascii="Garamond" w:hAnsi="Garamond"/>
          <w:sz w:val="20"/>
          <w:szCs w:val="18"/>
        </w:rPr>
        <w:t xml:space="preserve">, in </w:t>
      </w:r>
      <w:r w:rsidRPr="00250E6F">
        <w:rPr>
          <w:rFonts w:ascii="Garamond" w:hAnsi="Garamond"/>
          <w:i/>
          <w:sz w:val="20"/>
          <w:szCs w:val="18"/>
        </w:rPr>
        <w:t>Dirittifondamentali.it</w:t>
      </w:r>
      <w:r w:rsidRPr="00250E6F">
        <w:rPr>
          <w:rFonts w:ascii="Garamond" w:hAnsi="Garamond"/>
          <w:sz w:val="20"/>
          <w:szCs w:val="18"/>
        </w:rPr>
        <w:t>, n. 1/2020, spec. pp. 274-276.</w:t>
      </w:r>
    </w:p>
  </w:footnote>
  <w:footnote w:id="54">
    <w:p w14:paraId="56404BBD" w14:textId="67E7FA71" w:rsidR="00281770" w:rsidRPr="00250E6F" w:rsidRDefault="00281770" w:rsidP="00281770">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Tutela compensativa a fronte di un atto generatore di responsabilità in capo alla </w:t>
      </w:r>
      <w:proofErr w:type="spellStart"/>
      <w:r w:rsidRPr="00250E6F">
        <w:rPr>
          <w:rFonts w:ascii="Garamond" w:hAnsi="Garamond"/>
          <w:sz w:val="20"/>
          <w:szCs w:val="18"/>
        </w:rPr>
        <w:t>p.A.</w:t>
      </w:r>
      <w:proofErr w:type="spellEnd"/>
      <w:r w:rsidRPr="00250E6F">
        <w:rPr>
          <w:rFonts w:ascii="Garamond" w:hAnsi="Garamond"/>
          <w:sz w:val="20"/>
          <w:szCs w:val="18"/>
        </w:rPr>
        <w:t>:</w:t>
      </w:r>
      <w:r w:rsidR="00DD058D" w:rsidRPr="00250E6F">
        <w:rPr>
          <w:rFonts w:ascii="Garamond" w:hAnsi="Garamond"/>
          <w:sz w:val="20"/>
          <w:szCs w:val="18"/>
        </w:rPr>
        <w:t xml:space="preserve"> cfr.</w:t>
      </w:r>
      <w:r w:rsidRPr="00250E6F">
        <w:rPr>
          <w:rFonts w:ascii="Garamond" w:hAnsi="Garamond"/>
          <w:sz w:val="20"/>
          <w:szCs w:val="18"/>
        </w:rPr>
        <w:t xml:space="preserve"> </w:t>
      </w:r>
      <w:r w:rsidRPr="00250E6F">
        <w:rPr>
          <w:rFonts w:ascii="Garamond" w:hAnsi="Garamond"/>
          <w:smallCaps/>
          <w:sz w:val="20"/>
          <w:szCs w:val="18"/>
        </w:rPr>
        <w:t>G. Corso</w:t>
      </w:r>
      <w:r w:rsidRPr="00250E6F">
        <w:rPr>
          <w:rFonts w:ascii="Garamond" w:hAnsi="Garamond"/>
          <w:sz w:val="20"/>
          <w:szCs w:val="18"/>
        </w:rPr>
        <w:t xml:space="preserve">, </w:t>
      </w:r>
      <w:r w:rsidRPr="00250E6F">
        <w:rPr>
          <w:rFonts w:ascii="Garamond" w:hAnsi="Garamond"/>
          <w:i/>
          <w:sz w:val="20"/>
          <w:szCs w:val="18"/>
        </w:rPr>
        <w:t>La responsabilità della pubblica Amministrazione da attività lecita</w:t>
      </w:r>
      <w:r w:rsidRPr="00250E6F">
        <w:rPr>
          <w:rFonts w:ascii="Garamond" w:hAnsi="Garamond"/>
          <w:sz w:val="20"/>
          <w:szCs w:val="18"/>
        </w:rPr>
        <w:t xml:space="preserve">, in </w:t>
      </w:r>
      <w:r w:rsidRPr="00250E6F">
        <w:rPr>
          <w:rFonts w:ascii="Garamond" w:hAnsi="Garamond"/>
          <w:i/>
          <w:sz w:val="20"/>
          <w:szCs w:val="18"/>
        </w:rPr>
        <w:t xml:space="preserve">Dir. </w:t>
      </w:r>
      <w:proofErr w:type="spellStart"/>
      <w:r w:rsidRPr="00250E6F">
        <w:rPr>
          <w:rFonts w:ascii="Garamond" w:hAnsi="Garamond"/>
          <w:i/>
          <w:sz w:val="20"/>
          <w:szCs w:val="18"/>
        </w:rPr>
        <w:t>amm</w:t>
      </w:r>
      <w:proofErr w:type="spellEnd"/>
      <w:r w:rsidRPr="00250E6F">
        <w:rPr>
          <w:rFonts w:ascii="Garamond" w:hAnsi="Garamond"/>
          <w:i/>
          <w:sz w:val="20"/>
          <w:szCs w:val="18"/>
        </w:rPr>
        <w:t>.</w:t>
      </w:r>
      <w:r w:rsidRPr="00250E6F">
        <w:rPr>
          <w:rFonts w:ascii="Garamond" w:hAnsi="Garamond"/>
          <w:sz w:val="20"/>
          <w:szCs w:val="18"/>
        </w:rPr>
        <w:t>, n. 2/2009, pp. 203 ss.</w:t>
      </w:r>
      <w:r w:rsidR="00DD058D" w:rsidRPr="00250E6F">
        <w:rPr>
          <w:rFonts w:ascii="Garamond" w:hAnsi="Garamond"/>
          <w:sz w:val="20"/>
          <w:szCs w:val="18"/>
        </w:rPr>
        <w:t>, per il quale l’art. 21-</w:t>
      </w:r>
      <w:r w:rsidR="00DD058D" w:rsidRPr="00250E6F">
        <w:rPr>
          <w:rFonts w:ascii="Garamond" w:hAnsi="Garamond"/>
          <w:i/>
          <w:sz w:val="20"/>
          <w:szCs w:val="18"/>
        </w:rPr>
        <w:t>quinquies</w:t>
      </w:r>
      <w:r w:rsidR="00DD058D" w:rsidRPr="00250E6F">
        <w:rPr>
          <w:rFonts w:ascii="Garamond" w:hAnsi="Garamond"/>
          <w:sz w:val="20"/>
          <w:szCs w:val="18"/>
        </w:rPr>
        <w:t xml:space="preserve"> è sicuramente riconducibile al paradigma della responsabilità da atto lecito.</w:t>
      </w:r>
    </w:p>
  </w:footnote>
  <w:footnote w:id="55">
    <w:p w14:paraId="7F6B4876"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w:t>
      </w:r>
      <w:r w:rsidRPr="00250E6F">
        <w:rPr>
          <w:rFonts w:ascii="Garamond" w:hAnsi="Garamond"/>
          <w:i/>
          <w:sz w:val="20"/>
          <w:szCs w:val="18"/>
        </w:rPr>
        <w:t xml:space="preserve">Ex </w:t>
      </w:r>
      <w:proofErr w:type="spellStart"/>
      <w:r w:rsidRPr="00250E6F">
        <w:rPr>
          <w:rFonts w:ascii="Garamond" w:hAnsi="Garamond"/>
          <w:i/>
          <w:sz w:val="20"/>
          <w:szCs w:val="18"/>
        </w:rPr>
        <w:t>multis</w:t>
      </w:r>
      <w:proofErr w:type="spellEnd"/>
      <w:r w:rsidRPr="00250E6F">
        <w:rPr>
          <w:rFonts w:ascii="Garamond" w:hAnsi="Garamond"/>
          <w:sz w:val="20"/>
          <w:szCs w:val="18"/>
        </w:rPr>
        <w:t xml:space="preserve">, </w:t>
      </w:r>
      <w:proofErr w:type="spellStart"/>
      <w:r w:rsidRPr="00250E6F">
        <w:rPr>
          <w:rFonts w:ascii="Garamond" w:hAnsi="Garamond"/>
          <w:sz w:val="20"/>
          <w:szCs w:val="18"/>
        </w:rPr>
        <w:t>Cons</w:t>
      </w:r>
      <w:proofErr w:type="spellEnd"/>
      <w:r w:rsidRPr="00250E6F">
        <w:rPr>
          <w:rFonts w:ascii="Garamond" w:hAnsi="Garamond"/>
          <w:sz w:val="20"/>
          <w:szCs w:val="18"/>
        </w:rPr>
        <w:t>. Stato, V, 21 aprile 2015, n. 2013; Id., 14 ottobre 2014, n. 5082.</w:t>
      </w:r>
    </w:p>
  </w:footnote>
  <w:footnote w:id="56">
    <w:p w14:paraId="51C7D1D3" w14:textId="6703C631"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Per </w:t>
      </w:r>
      <w:r w:rsidRPr="00250E6F">
        <w:rPr>
          <w:rFonts w:ascii="Garamond" w:hAnsi="Garamond"/>
          <w:smallCaps/>
          <w:sz w:val="20"/>
          <w:szCs w:val="18"/>
        </w:rPr>
        <w:t>G. Corso</w:t>
      </w:r>
      <w:r w:rsidRPr="00250E6F">
        <w:rPr>
          <w:rFonts w:ascii="Garamond" w:hAnsi="Garamond"/>
          <w:sz w:val="20"/>
          <w:szCs w:val="18"/>
        </w:rPr>
        <w:t xml:space="preserve">, </w:t>
      </w:r>
      <w:r w:rsidRPr="00250E6F">
        <w:rPr>
          <w:rFonts w:ascii="Garamond" w:hAnsi="Garamond"/>
          <w:i/>
          <w:sz w:val="20"/>
          <w:szCs w:val="18"/>
        </w:rPr>
        <w:t>Manuale di diritto amministrativo</w:t>
      </w:r>
      <w:r w:rsidRPr="00250E6F">
        <w:rPr>
          <w:rFonts w:ascii="Garamond" w:hAnsi="Garamond"/>
          <w:sz w:val="20"/>
          <w:szCs w:val="18"/>
        </w:rPr>
        <w:t xml:space="preserve">, Torino, 2017, p. 332, l’indennizzo, rendendo onerosa la revoca, dovrebbe essere una remora per la </w:t>
      </w:r>
      <w:proofErr w:type="spellStart"/>
      <w:r w:rsidRPr="00250E6F">
        <w:rPr>
          <w:rFonts w:ascii="Garamond" w:hAnsi="Garamond"/>
          <w:sz w:val="20"/>
          <w:szCs w:val="18"/>
        </w:rPr>
        <w:t>p.A.</w:t>
      </w:r>
      <w:proofErr w:type="spellEnd"/>
      <w:r w:rsidRPr="00250E6F">
        <w:rPr>
          <w:rFonts w:ascii="Garamond" w:hAnsi="Garamond"/>
          <w:sz w:val="20"/>
          <w:szCs w:val="18"/>
        </w:rPr>
        <w:t>: se il ripensamento dipende da un’erronea valutazione iniziale ammessa dalla stessa autorità, l’indennizzo per i danni subiti dai destinatari della revoca non potrebbe gravare sulla collettività, ma del suo esborso l’agente dovrebbe rispondere davanti alla Corte dei conti, a titolo di responsabilità amministrativa.</w:t>
      </w:r>
    </w:p>
  </w:footnote>
  <w:footnote w:id="57">
    <w:p w14:paraId="79C96856"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Tenendo conto – nella determinazione dell’importo – sia della conoscenza o conoscibilità, da parte dei “contraenti”, della contrarietà dell’atto oggetto di revoca all’interesse pubblico, sia dell’eventuale concorso dei “contraenti” stessi all’erronea valutazione della compatibilità di tale atto con l’interesse pubblico. In proposito, </w:t>
      </w:r>
      <w:r w:rsidRPr="00250E6F">
        <w:rPr>
          <w:rFonts w:ascii="Garamond" w:hAnsi="Garamond"/>
          <w:smallCaps/>
          <w:sz w:val="20"/>
          <w:szCs w:val="18"/>
        </w:rPr>
        <w:t xml:space="preserve">A. </w:t>
      </w:r>
      <w:proofErr w:type="spellStart"/>
      <w:r w:rsidRPr="00250E6F">
        <w:rPr>
          <w:rFonts w:ascii="Garamond" w:hAnsi="Garamond"/>
          <w:smallCaps/>
          <w:sz w:val="20"/>
          <w:szCs w:val="18"/>
        </w:rPr>
        <w:t>Contieri</w:t>
      </w:r>
      <w:proofErr w:type="spellEnd"/>
      <w:r w:rsidRPr="00250E6F">
        <w:rPr>
          <w:rFonts w:ascii="Garamond" w:hAnsi="Garamond"/>
          <w:sz w:val="20"/>
          <w:szCs w:val="18"/>
        </w:rPr>
        <w:t xml:space="preserve">, </w:t>
      </w:r>
      <w:r w:rsidRPr="00250E6F">
        <w:rPr>
          <w:rFonts w:ascii="Garamond" w:hAnsi="Garamond"/>
          <w:i/>
          <w:sz w:val="20"/>
          <w:szCs w:val="18"/>
        </w:rPr>
        <w:t>I provvedimenti di secondo grado</w:t>
      </w:r>
      <w:r w:rsidRPr="00250E6F">
        <w:rPr>
          <w:rFonts w:ascii="Garamond" w:hAnsi="Garamond"/>
          <w:sz w:val="20"/>
          <w:szCs w:val="18"/>
        </w:rPr>
        <w:t xml:space="preserve">, in </w:t>
      </w:r>
      <w:r w:rsidRPr="00250E6F">
        <w:rPr>
          <w:rFonts w:ascii="Garamond" w:hAnsi="Garamond"/>
          <w:smallCaps/>
          <w:sz w:val="20"/>
          <w:szCs w:val="18"/>
        </w:rPr>
        <w:t xml:space="preserve">S. Cognetti, A. </w:t>
      </w:r>
      <w:proofErr w:type="spellStart"/>
      <w:r w:rsidRPr="00250E6F">
        <w:rPr>
          <w:rFonts w:ascii="Garamond" w:hAnsi="Garamond"/>
          <w:smallCaps/>
          <w:sz w:val="20"/>
          <w:szCs w:val="18"/>
        </w:rPr>
        <w:t>Contieri</w:t>
      </w:r>
      <w:proofErr w:type="spellEnd"/>
      <w:r w:rsidRPr="00250E6F">
        <w:rPr>
          <w:rFonts w:ascii="Garamond" w:hAnsi="Garamond"/>
          <w:smallCaps/>
          <w:sz w:val="20"/>
          <w:szCs w:val="18"/>
        </w:rPr>
        <w:t xml:space="preserve">, S. Licciardello, F. </w:t>
      </w:r>
      <w:proofErr w:type="spellStart"/>
      <w:r w:rsidRPr="00250E6F">
        <w:rPr>
          <w:rFonts w:ascii="Garamond" w:hAnsi="Garamond"/>
          <w:smallCaps/>
          <w:sz w:val="20"/>
          <w:szCs w:val="18"/>
        </w:rPr>
        <w:t>Manganaro</w:t>
      </w:r>
      <w:proofErr w:type="spellEnd"/>
      <w:r w:rsidRPr="00250E6F">
        <w:rPr>
          <w:rFonts w:ascii="Garamond" w:hAnsi="Garamond"/>
          <w:smallCaps/>
          <w:sz w:val="20"/>
          <w:szCs w:val="18"/>
        </w:rPr>
        <w:t xml:space="preserve">, S. </w:t>
      </w:r>
      <w:proofErr w:type="spellStart"/>
      <w:r w:rsidRPr="00250E6F">
        <w:rPr>
          <w:rFonts w:ascii="Garamond" w:hAnsi="Garamond"/>
          <w:smallCaps/>
          <w:sz w:val="20"/>
          <w:szCs w:val="18"/>
        </w:rPr>
        <w:t>Perongini</w:t>
      </w:r>
      <w:proofErr w:type="spellEnd"/>
      <w:r w:rsidRPr="00250E6F">
        <w:rPr>
          <w:rFonts w:ascii="Garamond" w:hAnsi="Garamond"/>
          <w:sz w:val="20"/>
          <w:szCs w:val="18"/>
        </w:rPr>
        <w:t xml:space="preserve"> e </w:t>
      </w:r>
      <w:r w:rsidRPr="00250E6F">
        <w:rPr>
          <w:rFonts w:ascii="Garamond" w:hAnsi="Garamond"/>
          <w:smallCaps/>
          <w:sz w:val="20"/>
          <w:szCs w:val="18"/>
        </w:rPr>
        <w:t xml:space="preserve">F. </w:t>
      </w:r>
      <w:proofErr w:type="spellStart"/>
      <w:r w:rsidRPr="00250E6F">
        <w:rPr>
          <w:rFonts w:ascii="Garamond" w:hAnsi="Garamond"/>
          <w:smallCaps/>
          <w:sz w:val="20"/>
          <w:szCs w:val="18"/>
        </w:rPr>
        <w:t>Saitta</w:t>
      </w:r>
      <w:proofErr w:type="spellEnd"/>
      <w:r w:rsidRPr="00250E6F">
        <w:rPr>
          <w:rFonts w:ascii="Garamond" w:hAnsi="Garamond"/>
          <w:smallCaps/>
          <w:sz w:val="20"/>
          <w:szCs w:val="18"/>
        </w:rPr>
        <w:t xml:space="preserve"> </w:t>
      </w:r>
      <w:r w:rsidRPr="00250E6F">
        <w:rPr>
          <w:rFonts w:ascii="Garamond" w:hAnsi="Garamond"/>
          <w:sz w:val="20"/>
          <w:szCs w:val="18"/>
        </w:rPr>
        <w:t xml:space="preserve">(a cura di), </w:t>
      </w:r>
      <w:r w:rsidRPr="00250E6F">
        <w:rPr>
          <w:rFonts w:ascii="Garamond" w:hAnsi="Garamond"/>
          <w:i/>
          <w:sz w:val="20"/>
          <w:szCs w:val="18"/>
        </w:rPr>
        <w:t>Percorsi di diritto amministrativo</w:t>
      </w:r>
      <w:r w:rsidRPr="00250E6F">
        <w:rPr>
          <w:rFonts w:ascii="Garamond" w:hAnsi="Garamond"/>
          <w:sz w:val="20"/>
          <w:szCs w:val="18"/>
        </w:rPr>
        <w:t>, Torino, 2014, p. 456.</w:t>
      </w:r>
    </w:p>
  </w:footnote>
  <w:footnote w:id="58">
    <w:p w14:paraId="3EB49F88"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Così accogliendo quelle tesi dottrinali che sostennero l’</w:t>
      </w:r>
      <w:proofErr w:type="spellStart"/>
      <w:r w:rsidRPr="00250E6F">
        <w:rPr>
          <w:rFonts w:ascii="Garamond" w:hAnsi="Garamond"/>
          <w:sz w:val="20"/>
          <w:szCs w:val="18"/>
        </w:rPr>
        <w:t>indennizzabilità</w:t>
      </w:r>
      <w:proofErr w:type="spellEnd"/>
      <w:r w:rsidRPr="00250E6F">
        <w:rPr>
          <w:rFonts w:ascii="Garamond" w:hAnsi="Garamond"/>
          <w:sz w:val="20"/>
          <w:szCs w:val="18"/>
        </w:rPr>
        <w:t xml:space="preserve"> in caso di revoca o recesso da accordi </w:t>
      </w:r>
      <w:r w:rsidRPr="00250E6F">
        <w:rPr>
          <w:rFonts w:ascii="Garamond" w:hAnsi="Garamond"/>
          <w:i/>
          <w:sz w:val="20"/>
          <w:szCs w:val="18"/>
        </w:rPr>
        <w:t>ex</w:t>
      </w:r>
      <w:r w:rsidRPr="00250E6F">
        <w:rPr>
          <w:rFonts w:ascii="Garamond" w:hAnsi="Garamond"/>
          <w:sz w:val="20"/>
          <w:szCs w:val="18"/>
        </w:rPr>
        <w:t xml:space="preserve"> art. 11, l. n. 241/’1990 già all’indomani dell’entrata in vigore della legge sul procedimento: </w:t>
      </w:r>
      <w:r w:rsidRPr="00250E6F">
        <w:rPr>
          <w:rFonts w:ascii="Garamond" w:hAnsi="Garamond"/>
          <w:smallCaps/>
          <w:sz w:val="20"/>
          <w:szCs w:val="18"/>
        </w:rPr>
        <w:t xml:space="preserve">P.L. </w:t>
      </w:r>
      <w:proofErr w:type="spellStart"/>
      <w:r w:rsidRPr="00250E6F">
        <w:rPr>
          <w:rFonts w:ascii="Garamond" w:hAnsi="Garamond"/>
          <w:smallCaps/>
          <w:sz w:val="20"/>
          <w:szCs w:val="18"/>
        </w:rPr>
        <w:t>Portaluri</w:t>
      </w:r>
      <w:proofErr w:type="spellEnd"/>
      <w:r w:rsidRPr="00250E6F">
        <w:rPr>
          <w:rFonts w:ascii="Garamond" w:hAnsi="Garamond"/>
          <w:sz w:val="20"/>
          <w:szCs w:val="18"/>
        </w:rPr>
        <w:t xml:space="preserve">, </w:t>
      </w:r>
      <w:r w:rsidRPr="00250E6F">
        <w:rPr>
          <w:rFonts w:ascii="Garamond" w:hAnsi="Garamond"/>
          <w:i/>
          <w:sz w:val="20"/>
          <w:szCs w:val="18"/>
        </w:rPr>
        <w:t>Potere amministrativo e procedimenti consensuali: studi sui rapporti a collaborazione necessaria</w:t>
      </w:r>
      <w:r w:rsidRPr="00250E6F">
        <w:rPr>
          <w:rFonts w:ascii="Garamond" w:hAnsi="Garamond"/>
          <w:sz w:val="20"/>
          <w:szCs w:val="18"/>
        </w:rPr>
        <w:t xml:space="preserve">, cit.; </w:t>
      </w:r>
      <w:r w:rsidRPr="00250E6F">
        <w:rPr>
          <w:rFonts w:ascii="Garamond" w:hAnsi="Garamond"/>
          <w:smallCaps/>
          <w:sz w:val="20"/>
          <w:szCs w:val="18"/>
        </w:rPr>
        <w:t xml:space="preserve">M. </w:t>
      </w:r>
      <w:proofErr w:type="spellStart"/>
      <w:r w:rsidRPr="00250E6F">
        <w:rPr>
          <w:rFonts w:ascii="Garamond" w:hAnsi="Garamond"/>
          <w:smallCaps/>
          <w:sz w:val="20"/>
          <w:szCs w:val="18"/>
        </w:rPr>
        <w:t>Immordino</w:t>
      </w:r>
      <w:proofErr w:type="spellEnd"/>
      <w:r w:rsidRPr="00250E6F">
        <w:rPr>
          <w:rFonts w:ascii="Garamond" w:hAnsi="Garamond"/>
          <w:sz w:val="20"/>
          <w:szCs w:val="18"/>
        </w:rPr>
        <w:t xml:space="preserve">, </w:t>
      </w:r>
      <w:r w:rsidRPr="00250E6F">
        <w:rPr>
          <w:rFonts w:ascii="Garamond" w:hAnsi="Garamond"/>
          <w:i/>
          <w:sz w:val="20"/>
          <w:szCs w:val="18"/>
        </w:rPr>
        <w:t>I provvedimenti di secondo grado</w:t>
      </w:r>
      <w:r w:rsidRPr="00250E6F">
        <w:rPr>
          <w:rFonts w:ascii="Garamond" w:hAnsi="Garamond"/>
          <w:sz w:val="20"/>
          <w:szCs w:val="18"/>
        </w:rPr>
        <w:t xml:space="preserve">, cit. V. in proposito anche </w:t>
      </w:r>
      <w:r w:rsidRPr="00250E6F">
        <w:rPr>
          <w:rFonts w:ascii="Garamond" w:hAnsi="Garamond"/>
          <w:smallCaps/>
          <w:sz w:val="20"/>
          <w:szCs w:val="18"/>
        </w:rPr>
        <w:t>F. Volpe</w:t>
      </w:r>
      <w:r w:rsidRPr="00250E6F">
        <w:rPr>
          <w:rFonts w:ascii="Garamond" w:hAnsi="Garamond"/>
          <w:sz w:val="20"/>
          <w:szCs w:val="18"/>
        </w:rPr>
        <w:t xml:space="preserve">, </w:t>
      </w:r>
      <w:r w:rsidRPr="00250E6F">
        <w:rPr>
          <w:rFonts w:ascii="Garamond" w:hAnsi="Garamond"/>
          <w:i/>
          <w:sz w:val="20"/>
          <w:szCs w:val="18"/>
        </w:rPr>
        <w:t>Prime riflessioni sulla riforma dell’art. 21-</w:t>
      </w:r>
      <w:r w:rsidRPr="00250E6F">
        <w:rPr>
          <w:rFonts w:ascii="Garamond" w:hAnsi="Garamond"/>
          <w:sz w:val="20"/>
          <w:szCs w:val="18"/>
        </w:rPr>
        <w:t>quinquies</w:t>
      </w:r>
      <w:r w:rsidRPr="00250E6F">
        <w:rPr>
          <w:rFonts w:ascii="Garamond" w:hAnsi="Garamond"/>
          <w:i/>
          <w:sz w:val="20"/>
          <w:szCs w:val="18"/>
        </w:rPr>
        <w:t xml:space="preserve"> della legge sul procedimento amministrativo</w:t>
      </w:r>
      <w:r w:rsidRPr="00250E6F">
        <w:rPr>
          <w:rFonts w:ascii="Garamond" w:hAnsi="Garamond"/>
          <w:sz w:val="20"/>
          <w:szCs w:val="18"/>
        </w:rPr>
        <w:t xml:space="preserve">, in </w:t>
      </w:r>
      <w:r w:rsidRPr="00250E6F">
        <w:rPr>
          <w:rFonts w:ascii="Garamond" w:hAnsi="Garamond"/>
          <w:i/>
          <w:sz w:val="20"/>
          <w:szCs w:val="18"/>
        </w:rPr>
        <w:t>www.lexitalia.it</w:t>
      </w:r>
      <w:r w:rsidRPr="00250E6F">
        <w:rPr>
          <w:rFonts w:ascii="Garamond" w:hAnsi="Garamond"/>
          <w:sz w:val="20"/>
          <w:szCs w:val="18"/>
        </w:rPr>
        <w:t xml:space="preserve">, 2007, e, più di recente, </w:t>
      </w:r>
      <w:r w:rsidRPr="00250E6F">
        <w:rPr>
          <w:rFonts w:ascii="Garamond" w:hAnsi="Garamond"/>
          <w:smallCaps/>
          <w:sz w:val="20"/>
          <w:szCs w:val="18"/>
        </w:rPr>
        <w:t>S. Fantini</w:t>
      </w:r>
      <w:r w:rsidRPr="00250E6F">
        <w:rPr>
          <w:rFonts w:ascii="Garamond" w:hAnsi="Garamond"/>
          <w:sz w:val="20"/>
          <w:szCs w:val="18"/>
        </w:rPr>
        <w:t xml:space="preserve">, </w:t>
      </w:r>
      <w:r w:rsidRPr="00250E6F">
        <w:rPr>
          <w:rFonts w:ascii="Garamond" w:hAnsi="Garamond"/>
          <w:i/>
          <w:sz w:val="20"/>
          <w:szCs w:val="18"/>
        </w:rPr>
        <w:t>La revoca dei provvedimenti amministrativi incidenti su atti negoziali</w:t>
      </w:r>
      <w:r w:rsidRPr="00250E6F">
        <w:rPr>
          <w:rFonts w:ascii="Garamond" w:hAnsi="Garamond"/>
          <w:sz w:val="20"/>
          <w:szCs w:val="18"/>
        </w:rPr>
        <w:t xml:space="preserve">, in </w:t>
      </w:r>
      <w:r w:rsidRPr="00250E6F">
        <w:rPr>
          <w:rFonts w:ascii="Garamond" w:hAnsi="Garamond"/>
          <w:i/>
          <w:sz w:val="20"/>
          <w:szCs w:val="18"/>
        </w:rPr>
        <w:t xml:space="preserve">Dir. </w:t>
      </w:r>
      <w:proofErr w:type="spellStart"/>
      <w:r w:rsidRPr="00250E6F">
        <w:rPr>
          <w:rFonts w:ascii="Garamond" w:hAnsi="Garamond"/>
          <w:i/>
          <w:sz w:val="20"/>
          <w:szCs w:val="18"/>
        </w:rPr>
        <w:t>proc</w:t>
      </w:r>
      <w:proofErr w:type="spellEnd"/>
      <w:r w:rsidRPr="00250E6F">
        <w:rPr>
          <w:rFonts w:ascii="Garamond" w:hAnsi="Garamond"/>
          <w:i/>
          <w:sz w:val="20"/>
          <w:szCs w:val="18"/>
        </w:rPr>
        <w:t xml:space="preserve">. </w:t>
      </w:r>
      <w:proofErr w:type="spellStart"/>
      <w:r w:rsidRPr="00250E6F">
        <w:rPr>
          <w:rFonts w:ascii="Garamond" w:hAnsi="Garamond"/>
          <w:i/>
          <w:sz w:val="20"/>
          <w:szCs w:val="18"/>
        </w:rPr>
        <w:t>amm</w:t>
      </w:r>
      <w:proofErr w:type="spellEnd"/>
      <w:r w:rsidRPr="00250E6F">
        <w:rPr>
          <w:rFonts w:ascii="Garamond" w:hAnsi="Garamond"/>
          <w:i/>
          <w:sz w:val="20"/>
          <w:szCs w:val="18"/>
        </w:rPr>
        <w:t>.</w:t>
      </w:r>
      <w:r w:rsidRPr="00250E6F">
        <w:rPr>
          <w:rFonts w:ascii="Garamond" w:hAnsi="Garamond"/>
          <w:sz w:val="20"/>
          <w:szCs w:val="18"/>
        </w:rPr>
        <w:t xml:space="preserve">, n. 1/2009. Dello stesso A., relativamente al ruolo della sopravvenienza nel potere amministrativo eventualmente ancora in vita dopo la stipula dei contratti pubblici, v. </w:t>
      </w:r>
      <w:r w:rsidRPr="00250E6F">
        <w:rPr>
          <w:rFonts w:ascii="Garamond" w:hAnsi="Garamond"/>
          <w:i/>
          <w:sz w:val="20"/>
          <w:szCs w:val="18"/>
        </w:rPr>
        <w:t>Le sopravvenienze nelle concessioni e contratti pubblici di durata nel diritto dell’emergenza</w:t>
      </w:r>
      <w:r w:rsidRPr="00250E6F">
        <w:rPr>
          <w:rFonts w:ascii="Garamond" w:hAnsi="Garamond"/>
          <w:sz w:val="20"/>
          <w:szCs w:val="18"/>
        </w:rPr>
        <w:t xml:space="preserve">, in </w:t>
      </w:r>
      <w:proofErr w:type="spellStart"/>
      <w:r w:rsidRPr="00250E6F">
        <w:rPr>
          <w:rFonts w:ascii="Garamond" w:hAnsi="Garamond"/>
          <w:i/>
          <w:sz w:val="20"/>
          <w:szCs w:val="18"/>
        </w:rPr>
        <w:t>Urb</w:t>
      </w:r>
      <w:proofErr w:type="spellEnd"/>
      <w:r w:rsidRPr="00250E6F">
        <w:rPr>
          <w:rFonts w:ascii="Garamond" w:hAnsi="Garamond"/>
          <w:i/>
          <w:sz w:val="20"/>
          <w:szCs w:val="18"/>
        </w:rPr>
        <w:t xml:space="preserve">. </w:t>
      </w:r>
      <w:proofErr w:type="spellStart"/>
      <w:r w:rsidRPr="00250E6F">
        <w:rPr>
          <w:rFonts w:ascii="Garamond" w:hAnsi="Garamond"/>
          <w:i/>
          <w:sz w:val="20"/>
          <w:szCs w:val="18"/>
        </w:rPr>
        <w:t>app</w:t>
      </w:r>
      <w:proofErr w:type="spellEnd"/>
      <w:r w:rsidRPr="00250E6F">
        <w:rPr>
          <w:rFonts w:ascii="Garamond" w:hAnsi="Garamond"/>
          <w:i/>
          <w:sz w:val="20"/>
          <w:szCs w:val="18"/>
        </w:rPr>
        <w:t>.</w:t>
      </w:r>
      <w:r w:rsidRPr="00250E6F">
        <w:rPr>
          <w:rFonts w:ascii="Garamond" w:hAnsi="Garamond"/>
          <w:sz w:val="20"/>
          <w:szCs w:val="18"/>
        </w:rPr>
        <w:t>, n. 5/2020, pp. 641 ss.</w:t>
      </w:r>
    </w:p>
  </w:footnote>
  <w:footnote w:id="59">
    <w:p w14:paraId="3258FAA6"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w:t>
      </w:r>
      <w:r w:rsidRPr="00250E6F">
        <w:rPr>
          <w:rFonts w:ascii="Garamond" w:hAnsi="Garamond"/>
          <w:smallCaps/>
          <w:sz w:val="20"/>
          <w:szCs w:val="18"/>
        </w:rPr>
        <w:t>G. Corso</w:t>
      </w:r>
      <w:r w:rsidRPr="00250E6F">
        <w:rPr>
          <w:rFonts w:ascii="Garamond" w:hAnsi="Garamond"/>
          <w:sz w:val="20"/>
          <w:szCs w:val="18"/>
        </w:rPr>
        <w:t xml:space="preserve">, </w:t>
      </w:r>
      <w:r w:rsidRPr="00250E6F">
        <w:rPr>
          <w:rFonts w:ascii="Garamond" w:hAnsi="Garamond"/>
          <w:i/>
          <w:sz w:val="20"/>
          <w:szCs w:val="18"/>
        </w:rPr>
        <w:t>Manuale</w:t>
      </w:r>
      <w:r w:rsidRPr="00250E6F">
        <w:rPr>
          <w:rFonts w:ascii="Garamond" w:hAnsi="Garamond"/>
          <w:sz w:val="20"/>
          <w:szCs w:val="18"/>
        </w:rPr>
        <w:t xml:space="preserve">, cit., p. 316: «la disposizione è totalmente incongrua. Prima di tutto perché ipotizza la revoca di un provvedimento che fin dall’origine era contrario all’interesse pubblico, mentre secondo la stessa definizione contenuta nel comma 1, sono i “sopravvenuti motivi di pubblico interesse” che giustificano la revoca. Si può aggiungere che un provvedimento, se nel momento della sua adozione è “contrario” o “non compatibile” con l’interesse pubblico è illegittimo; sicché il provvedimento di secondo grado che ad esso si addice non è la revoca ma l’annullamento d’ufficio, che non dà luogo a indennizzo. Se poi all’errore dell’amministrazione hanno concorso i terzi […] non si vede perché il contraente destinatario della revoca debba subire una decurtazione dell’indennizzo». Anche </w:t>
      </w:r>
      <w:r w:rsidRPr="00250E6F">
        <w:rPr>
          <w:rFonts w:ascii="Garamond" w:hAnsi="Garamond"/>
          <w:smallCaps/>
          <w:sz w:val="20"/>
          <w:szCs w:val="18"/>
        </w:rPr>
        <w:t xml:space="preserve">M. </w:t>
      </w:r>
      <w:proofErr w:type="spellStart"/>
      <w:r w:rsidRPr="00250E6F">
        <w:rPr>
          <w:rFonts w:ascii="Garamond" w:hAnsi="Garamond"/>
          <w:smallCaps/>
          <w:sz w:val="20"/>
          <w:szCs w:val="18"/>
        </w:rPr>
        <w:t>Immordino</w:t>
      </w:r>
      <w:proofErr w:type="spellEnd"/>
      <w:r w:rsidRPr="00250E6F">
        <w:rPr>
          <w:rFonts w:ascii="Garamond" w:hAnsi="Garamond"/>
          <w:sz w:val="20"/>
          <w:szCs w:val="18"/>
        </w:rPr>
        <w:t xml:space="preserve">, </w:t>
      </w:r>
      <w:r w:rsidRPr="00250E6F">
        <w:rPr>
          <w:rFonts w:ascii="Garamond" w:hAnsi="Garamond"/>
          <w:i/>
          <w:sz w:val="20"/>
          <w:szCs w:val="18"/>
        </w:rPr>
        <w:t>Il potere amministrativo di revoca</w:t>
      </w:r>
      <w:r w:rsidRPr="00250E6F">
        <w:rPr>
          <w:rFonts w:ascii="Garamond" w:hAnsi="Garamond"/>
          <w:sz w:val="20"/>
          <w:szCs w:val="18"/>
        </w:rPr>
        <w:t xml:space="preserve">, cit., è critica rispetto a questa scelta del legislatore. Per </w:t>
      </w:r>
      <w:r w:rsidRPr="00250E6F">
        <w:rPr>
          <w:rFonts w:ascii="Garamond" w:hAnsi="Garamond"/>
          <w:smallCaps/>
          <w:sz w:val="20"/>
          <w:szCs w:val="18"/>
        </w:rPr>
        <w:t>M. Renna</w:t>
      </w:r>
      <w:r w:rsidRPr="00250E6F">
        <w:rPr>
          <w:rFonts w:ascii="Garamond" w:hAnsi="Garamond"/>
          <w:sz w:val="20"/>
          <w:szCs w:val="18"/>
        </w:rPr>
        <w:t xml:space="preserve">, </w:t>
      </w:r>
      <w:r w:rsidRPr="00250E6F">
        <w:rPr>
          <w:rFonts w:ascii="Garamond" w:hAnsi="Garamond"/>
          <w:i/>
          <w:sz w:val="20"/>
          <w:szCs w:val="18"/>
        </w:rPr>
        <w:t>Il regime delle obbligazioni nascenti dall’accordo amministrativo</w:t>
      </w:r>
      <w:r w:rsidRPr="00250E6F">
        <w:rPr>
          <w:rFonts w:ascii="Garamond" w:hAnsi="Garamond"/>
          <w:sz w:val="20"/>
          <w:szCs w:val="18"/>
        </w:rPr>
        <w:t xml:space="preserve">, in </w:t>
      </w:r>
      <w:r w:rsidRPr="00250E6F">
        <w:rPr>
          <w:rFonts w:ascii="Garamond" w:hAnsi="Garamond"/>
          <w:i/>
          <w:sz w:val="20"/>
          <w:szCs w:val="18"/>
        </w:rPr>
        <w:t xml:space="preserve">Dir. </w:t>
      </w:r>
      <w:proofErr w:type="spellStart"/>
      <w:r w:rsidRPr="00250E6F">
        <w:rPr>
          <w:rFonts w:ascii="Garamond" w:hAnsi="Garamond"/>
          <w:i/>
          <w:sz w:val="20"/>
          <w:szCs w:val="18"/>
        </w:rPr>
        <w:t>amm</w:t>
      </w:r>
      <w:proofErr w:type="spellEnd"/>
      <w:r w:rsidRPr="00250E6F">
        <w:rPr>
          <w:rFonts w:ascii="Garamond" w:hAnsi="Garamond"/>
          <w:i/>
          <w:sz w:val="20"/>
          <w:szCs w:val="18"/>
        </w:rPr>
        <w:t>.</w:t>
      </w:r>
      <w:r w:rsidRPr="00250E6F">
        <w:rPr>
          <w:rFonts w:ascii="Garamond" w:hAnsi="Garamond"/>
          <w:sz w:val="20"/>
          <w:szCs w:val="18"/>
        </w:rPr>
        <w:t>, 1/2010, p. 270 ss., «Benché si tratti nominalmente di un potere di “revoca”, il potere di autotutela in questione appare sostanzialmente riconducibile a un’ipotesi di annullamento per vizi originari degli atti amministrativi, e segnatamente a una particolarissima ipotesi di annullamento per vizi di merito».</w:t>
      </w:r>
    </w:p>
  </w:footnote>
  <w:footnote w:id="60">
    <w:p w14:paraId="1A948EC5"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w:t>
      </w:r>
      <w:r w:rsidRPr="00250E6F">
        <w:rPr>
          <w:rFonts w:ascii="Garamond" w:hAnsi="Garamond"/>
          <w:smallCaps/>
          <w:sz w:val="20"/>
          <w:szCs w:val="18"/>
        </w:rPr>
        <w:t xml:space="preserve">D. </w:t>
      </w:r>
      <w:proofErr w:type="spellStart"/>
      <w:r w:rsidRPr="00250E6F">
        <w:rPr>
          <w:rFonts w:ascii="Garamond" w:hAnsi="Garamond"/>
          <w:smallCaps/>
          <w:sz w:val="20"/>
          <w:szCs w:val="18"/>
        </w:rPr>
        <w:t>Sorace</w:t>
      </w:r>
      <w:proofErr w:type="spellEnd"/>
      <w:r w:rsidRPr="00250E6F">
        <w:rPr>
          <w:rFonts w:ascii="Garamond" w:hAnsi="Garamond"/>
          <w:sz w:val="20"/>
          <w:szCs w:val="18"/>
        </w:rPr>
        <w:t xml:space="preserve">, </w:t>
      </w:r>
      <w:r w:rsidRPr="00250E6F">
        <w:rPr>
          <w:rFonts w:ascii="Garamond" w:hAnsi="Garamond"/>
          <w:i/>
          <w:sz w:val="20"/>
          <w:szCs w:val="18"/>
        </w:rPr>
        <w:t>Diritto delle amministrazioni pubbliche</w:t>
      </w:r>
      <w:r w:rsidRPr="00250E6F">
        <w:rPr>
          <w:rFonts w:ascii="Garamond" w:hAnsi="Garamond"/>
          <w:sz w:val="20"/>
          <w:szCs w:val="18"/>
        </w:rPr>
        <w:t>, IV ed., Bologna, 2007, p. 108, sostiene che nella logica della quantificazione dell’indennizzo di cui all’art. 21-</w:t>
      </w:r>
      <w:r w:rsidRPr="00250E6F">
        <w:rPr>
          <w:rFonts w:ascii="Garamond" w:hAnsi="Garamond"/>
          <w:i/>
          <w:sz w:val="20"/>
          <w:szCs w:val="18"/>
        </w:rPr>
        <w:t>quinquies</w:t>
      </w:r>
      <w:r w:rsidRPr="00250E6F">
        <w:rPr>
          <w:rFonts w:ascii="Garamond" w:hAnsi="Garamond"/>
          <w:sz w:val="20"/>
          <w:szCs w:val="18"/>
        </w:rPr>
        <w:t xml:space="preserve"> i privati diventano quasi i «tutori» della </w:t>
      </w:r>
      <w:proofErr w:type="spellStart"/>
      <w:r w:rsidRPr="00250E6F">
        <w:rPr>
          <w:rFonts w:ascii="Garamond" w:hAnsi="Garamond"/>
          <w:sz w:val="20"/>
          <w:szCs w:val="18"/>
        </w:rPr>
        <w:t>p.A.</w:t>
      </w:r>
      <w:proofErr w:type="spellEnd"/>
      <w:r w:rsidRPr="00250E6F">
        <w:rPr>
          <w:rFonts w:ascii="Garamond" w:hAnsi="Garamond"/>
          <w:sz w:val="20"/>
          <w:szCs w:val="18"/>
        </w:rPr>
        <w:t>, condividendo con quest’ultima il dovere di curare l’interesse pubblico e, quindi, di vegliare sulla conformità a quell’interesse del provvedimento amministrativo, pena la decurtazione dell’indennizzo.</w:t>
      </w:r>
    </w:p>
  </w:footnote>
  <w:footnote w:id="61">
    <w:p w14:paraId="5035D496"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w:t>
      </w:r>
      <w:r w:rsidRPr="00250E6F">
        <w:rPr>
          <w:rFonts w:ascii="Garamond" w:hAnsi="Garamond"/>
          <w:smallCaps/>
          <w:sz w:val="20"/>
          <w:szCs w:val="18"/>
        </w:rPr>
        <w:t xml:space="preserve">M. </w:t>
      </w:r>
      <w:proofErr w:type="spellStart"/>
      <w:r w:rsidRPr="00250E6F">
        <w:rPr>
          <w:rFonts w:ascii="Garamond" w:hAnsi="Garamond"/>
          <w:smallCaps/>
          <w:sz w:val="20"/>
          <w:szCs w:val="18"/>
        </w:rPr>
        <w:t>Sinisi</w:t>
      </w:r>
      <w:proofErr w:type="spellEnd"/>
      <w:r w:rsidRPr="00250E6F">
        <w:rPr>
          <w:rFonts w:ascii="Garamond" w:hAnsi="Garamond"/>
          <w:sz w:val="20"/>
          <w:szCs w:val="18"/>
        </w:rPr>
        <w:t xml:space="preserve">, </w:t>
      </w:r>
      <w:r w:rsidRPr="00250E6F">
        <w:rPr>
          <w:rFonts w:ascii="Garamond" w:hAnsi="Garamond"/>
          <w:i/>
          <w:sz w:val="20"/>
          <w:szCs w:val="18"/>
        </w:rPr>
        <w:t xml:space="preserve">Il potere di autotutela </w:t>
      </w:r>
      <w:proofErr w:type="spellStart"/>
      <w:r w:rsidRPr="00250E6F">
        <w:rPr>
          <w:rFonts w:ascii="Garamond" w:hAnsi="Garamond"/>
          <w:i/>
          <w:sz w:val="20"/>
          <w:szCs w:val="18"/>
        </w:rPr>
        <w:t>caducatoria</w:t>
      </w:r>
      <w:proofErr w:type="spellEnd"/>
      <w:r w:rsidRPr="00250E6F">
        <w:rPr>
          <w:rFonts w:ascii="Garamond" w:hAnsi="Garamond"/>
          <w:sz w:val="20"/>
          <w:szCs w:val="18"/>
        </w:rPr>
        <w:t>, cit., la quale afferma, p. 347, «pur in assenza di un esplicito riferimento nell’art. 21-</w:t>
      </w:r>
      <w:r w:rsidRPr="00250E6F">
        <w:rPr>
          <w:rFonts w:ascii="Garamond" w:hAnsi="Garamond"/>
          <w:i/>
          <w:sz w:val="20"/>
          <w:szCs w:val="18"/>
        </w:rPr>
        <w:t>quinquies</w:t>
      </w:r>
      <w:r w:rsidRPr="00250E6F">
        <w:rPr>
          <w:rFonts w:ascii="Garamond" w:hAnsi="Garamond"/>
          <w:sz w:val="20"/>
          <w:szCs w:val="18"/>
        </w:rPr>
        <w:t xml:space="preserve"> al legittimo affidamento, tale principio trova ingresso e concretezza, oltre che per costante giurisprudenza, anche per il tramite del canone della buona fede; vale a dire, l’eventuale “concorso di colpa” del destinatario nella valutazione di compatibilità tra il provvedimento oggetto di riesame e l’interesse pubblico, sempre escludere in radice la possibilità del consolidamento dell’affidamento riposto dal privato stesso nel provvedimento. Ciò in quanto il riferimento alla necessaria buona fede specifica la circostanza che l’affidamento deve essere incolpevole per costituire aspettativa legittima tutelata dall’ordinamento».</w:t>
      </w:r>
    </w:p>
  </w:footnote>
  <w:footnote w:id="62">
    <w:p w14:paraId="3C296119"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È nota la posizione della giurisprudenza </w:t>
      </w:r>
      <w:proofErr w:type="spellStart"/>
      <w:r w:rsidRPr="00250E6F">
        <w:rPr>
          <w:rFonts w:ascii="Garamond" w:hAnsi="Garamond"/>
          <w:sz w:val="20"/>
          <w:szCs w:val="18"/>
        </w:rPr>
        <w:t>unionale</w:t>
      </w:r>
      <w:proofErr w:type="spellEnd"/>
      <w:r w:rsidRPr="00250E6F">
        <w:rPr>
          <w:rFonts w:ascii="Garamond" w:hAnsi="Garamond"/>
          <w:sz w:val="20"/>
          <w:szCs w:val="18"/>
        </w:rPr>
        <w:t xml:space="preserve"> che predica, in linea di massima, l’illegittimità del ritiro dell’atto legittimo </w:t>
      </w:r>
      <w:r w:rsidRPr="00250E6F">
        <w:rPr>
          <w:rFonts w:ascii="Garamond" w:hAnsi="Garamond"/>
          <w:i/>
          <w:sz w:val="20"/>
          <w:szCs w:val="18"/>
        </w:rPr>
        <w:t>sub specie</w:t>
      </w:r>
      <w:r w:rsidRPr="00250E6F">
        <w:rPr>
          <w:rFonts w:ascii="Garamond" w:hAnsi="Garamond"/>
          <w:sz w:val="20"/>
          <w:szCs w:val="18"/>
        </w:rPr>
        <w:t xml:space="preserve"> di revoca, ove il privato vi abbia riposto affidamento. Il principio è espresso nel </w:t>
      </w:r>
      <w:proofErr w:type="spellStart"/>
      <w:r w:rsidRPr="00250E6F">
        <w:rPr>
          <w:rFonts w:ascii="Garamond" w:hAnsi="Garamond"/>
          <w:i/>
          <w:sz w:val="20"/>
          <w:szCs w:val="18"/>
        </w:rPr>
        <w:t>leading</w:t>
      </w:r>
      <w:proofErr w:type="spellEnd"/>
      <w:r w:rsidRPr="00250E6F">
        <w:rPr>
          <w:rFonts w:ascii="Garamond" w:hAnsi="Garamond"/>
          <w:i/>
          <w:sz w:val="20"/>
          <w:szCs w:val="18"/>
        </w:rPr>
        <w:t xml:space="preserve"> case</w:t>
      </w:r>
      <w:r w:rsidRPr="00250E6F">
        <w:rPr>
          <w:rFonts w:ascii="Garamond" w:hAnsi="Garamond"/>
          <w:sz w:val="20"/>
          <w:szCs w:val="18"/>
        </w:rPr>
        <w:t xml:space="preserve"> della Corte di giustizia sul ritiro dei provvedimenti, Corte </w:t>
      </w:r>
      <w:proofErr w:type="spellStart"/>
      <w:r w:rsidRPr="00250E6F">
        <w:rPr>
          <w:rFonts w:ascii="Garamond" w:hAnsi="Garamond"/>
          <w:sz w:val="20"/>
          <w:szCs w:val="18"/>
        </w:rPr>
        <w:t>giust</w:t>
      </w:r>
      <w:proofErr w:type="spellEnd"/>
      <w:r w:rsidRPr="00250E6F">
        <w:rPr>
          <w:rFonts w:ascii="Garamond" w:hAnsi="Garamond"/>
          <w:sz w:val="20"/>
          <w:szCs w:val="18"/>
        </w:rPr>
        <w:t xml:space="preserve">., 12 luglio 1957, in cause riunite C-7/56 e 3-7/57, </w:t>
      </w:r>
      <w:proofErr w:type="spellStart"/>
      <w:r w:rsidRPr="00250E6F">
        <w:rPr>
          <w:rFonts w:ascii="Garamond" w:hAnsi="Garamond"/>
          <w:i/>
          <w:sz w:val="20"/>
          <w:szCs w:val="18"/>
        </w:rPr>
        <w:t>Algera</w:t>
      </w:r>
      <w:proofErr w:type="spellEnd"/>
      <w:r w:rsidRPr="00250E6F">
        <w:rPr>
          <w:rFonts w:ascii="Garamond" w:hAnsi="Garamond"/>
          <w:i/>
          <w:sz w:val="20"/>
          <w:szCs w:val="18"/>
        </w:rPr>
        <w:t xml:space="preserve"> et a. v. Common Assembly</w:t>
      </w:r>
      <w:r w:rsidRPr="00250E6F">
        <w:rPr>
          <w:rFonts w:ascii="Garamond" w:hAnsi="Garamond"/>
          <w:sz w:val="20"/>
          <w:szCs w:val="18"/>
        </w:rPr>
        <w:t xml:space="preserve">. La pronuncia costituisce il punto di partenza di un consistente filone giurisprudenziale che ha scandagliato i rapporti tra il potere amministrativo di ritiro dei provvedimenti e la tutela del legittimo affidamento dei privati. </w:t>
      </w:r>
    </w:p>
  </w:footnote>
  <w:footnote w:id="63">
    <w:p w14:paraId="1A7ED76C"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Diversamente da quanto riferibile all’annullamento d’ufficio, laddove la conoscibilità deve riferirsi alla </w:t>
      </w:r>
      <w:r w:rsidRPr="00250E6F">
        <w:rPr>
          <w:rFonts w:ascii="Garamond" w:hAnsi="Garamond"/>
          <w:i/>
          <w:sz w:val="20"/>
          <w:szCs w:val="18"/>
        </w:rPr>
        <w:t>illegittimità</w:t>
      </w:r>
      <w:r w:rsidRPr="00250E6F">
        <w:rPr>
          <w:rFonts w:ascii="Garamond" w:hAnsi="Garamond"/>
          <w:sz w:val="20"/>
          <w:szCs w:val="18"/>
        </w:rPr>
        <w:t xml:space="preserve"> del provvedimento da rimuovere e quindi alla totale ingiustizia del beneficio del quale il privato ha goduto scientemente </w:t>
      </w:r>
      <w:r w:rsidRPr="00250E6F">
        <w:rPr>
          <w:rFonts w:ascii="Garamond" w:hAnsi="Garamond"/>
          <w:i/>
          <w:sz w:val="20"/>
          <w:szCs w:val="18"/>
        </w:rPr>
        <w:t xml:space="preserve">contra </w:t>
      </w:r>
      <w:proofErr w:type="spellStart"/>
      <w:r w:rsidRPr="00250E6F">
        <w:rPr>
          <w:rFonts w:ascii="Garamond" w:hAnsi="Garamond"/>
          <w:i/>
          <w:sz w:val="20"/>
          <w:szCs w:val="18"/>
        </w:rPr>
        <w:t>jus</w:t>
      </w:r>
      <w:proofErr w:type="spellEnd"/>
      <w:r w:rsidRPr="00250E6F">
        <w:rPr>
          <w:rFonts w:ascii="Garamond" w:hAnsi="Garamond"/>
          <w:sz w:val="20"/>
          <w:szCs w:val="18"/>
        </w:rPr>
        <w:t>. Nel caso della revoca, invece, si addossano al privato valutazioni di opportunità e ragionevolezza che, a parer di chi scrive, sono coperte da riserva di amministrazione.</w:t>
      </w:r>
    </w:p>
  </w:footnote>
  <w:footnote w:id="64">
    <w:p w14:paraId="0F1B0DD3"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Le medesime perplessità, opportunamente indagate e approfondite, sono espresse da </w:t>
      </w:r>
      <w:r w:rsidRPr="00250E6F">
        <w:rPr>
          <w:rFonts w:ascii="Garamond" w:hAnsi="Garamond"/>
          <w:smallCaps/>
          <w:sz w:val="20"/>
          <w:szCs w:val="18"/>
        </w:rPr>
        <w:t>G. La Rosa</w:t>
      </w:r>
      <w:r w:rsidRPr="00250E6F">
        <w:rPr>
          <w:rFonts w:ascii="Garamond" w:hAnsi="Garamond"/>
          <w:sz w:val="20"/>
          <w:szCs w:val="18"/>
        </w:rPr>
        <w:t xml:space="preserve">, </w:t>
      </w:r>
      <w:r w:rsidRPr="00250E6F">
        <w:rPr>
          <w:rFonts w:ascii="Garamond" w:hAnsi="Garamond"/>
          <w:i/>
          <w:sz w:val="20"/>
          <w:szCs w:val="18"/>
        </w:rPr>
        <w:t>Il “costo” del ripensamento</w:t>
      </w:r>
      <w:r w:rsidRPr="00250E6F">
        <w:rPr>
          <w:rFonts w:ascii="Garamond" w:hAnsi="Garamond"/>
          <w:sz w:val="20"/>
          <w:szCs w:val="18"/>
        </w:rPr>
        <w:t xml:space="preserve">, </w:t>
      </w:r>
      <w:r w:rsidR="00D54F28" w:rsidRPr="00250E6F">
        <w:rPr>
          <w:rFonts w:ascii="Garamond" w:hAnsi="Garamond"/>
          <w:sz w:val="20"/>
          <w:szCs w:val="18"/>
        </w:rPr>
        <w:t>cit.</w:t>
      </w:r>
    </w:p>
  </w:footnote>
  <w:footnote w:id="65">
    <w:p w14:paraId="1BEE04FD"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La cui prova è rimessa ovviamente al privato: deve escludersi un generalizzato dovere della </w:t>
      </w:r>
      <w:proofErr w:type="spellStart"/>
      <w:r w:rsidRPr="00250E6F">
        <w:rPr>
          <w:rFonts w:ascii="Garamond" w:hAnsi="Garamond"/>
          <w:sz w:val="20"/>
          <w:szCs w:val="18"/>
        </w:rPr>
        <w:t>p.A.</w:t>
      </w:r>
      <w:proofErr w:type="spellEnd"/>
      <w:r w:rsidRPr="00250E6F">
        <w:rPr>
          <w:rFonts w:ascii="Garamond" w:hAnsi="Garamond"/>
          <w:sz w:val="20"/>
          <w:szCs w:val="18"/>
        </w:rPr>
        <w:t xml:space="preserve"> di liquidare un indennizzo a fronte di revoche che non abbiano provocato al privato alcun danno. Cfr. CGARS, sez. giur., 13 febbraio 2021, n. 164: «la domanda di riparazione in forma di indennizzo, ai sensi dell’art. 21-</w:t>
      </w:r>
      <w:r w:rsidRPr="00250E6F">
        <w:rPr>
          <w:rFonts w:ascii="Garamond" w:hAnsi="Garamond"/>
          <w:i/>
          <w:sz w:val="20"/>
          <w:szCs w:val="18"/>
        </w:rPr>
        <w:t>quinquies</w:t>
      </w:r>
      <w:r w:rsidRPr="00250E6F">
        <w:rPr>
          <w:rFonts w:ascii="Garamond" w:hAnsi="Garamond"/>
          <w:sz w:val="20"/>
          <w:szCs w:val="18"/>
        </w:rPr>
        <w:t xml:space="preserve"> della legge n. 241/1990, indipendentemente dalla questione se l’ipotesi in oggetto si ponga come un tipo di rimedio per un danno giusto, come invero potrebbe dedursi dalla lettura del primo capoverso della norma, ovvero come una specificazione della fattispecie di responsabilità per un danno ingiusto, formulata dall’art. 2043 c.c., come potrebbe dedursi dalla formulazione del successivo 1-</w:t>
      </w:r>
      <w:r w:rsidRPr="00250E6F">
        <w:rPr>
          <w:rFonts w:ascii="Garamond" w:hAnsi="Garamond"/>
          <w:i/>
          <w:sz w:val="20"/>
          <w:szCs w:val="18"/>
        </w:rPr>
        <w:t>bis</w:t>
      </w:r>
      <w:r w:rsidRPr="00250E6F">
        <w:rPr>
          <w:rFonts w:ascii="Garamond" w:hAnsi="Garamond"/>
          <w:sz w:val="20"/>
          <w:szCs w:val="18"/>
        </w:rPr>
        <w:t>/</w:t>
      </w:r>
      <w:r w:rsidRPr="00250E6F">
        <w:rPr>
          <w:rFonts w:ascii="Garamond" w:hAnsi="Garamond"/>
          <w:i/>
          <w:sz w:val="20"/>
          <w:szCs w:val="18"/>
        </w:rPr>
        <w:t>ter</w:t>
      </w:r>
      <w:r w:rsidRPr="00250E6F">
        <w:rPr>
          <w:rFonts w:ascii="Garamond" w:hAnsi="Garamond"/>
          <w:sz w:val="20"/>
          <w:szCs w:val="18"/>
        </w:rPr>
        <w:t xml:space="preserve"> del medesimo articolo 21-</w:t>
      </w:r>
      <w:r w:rsidRPr="00250E6F">
        <w:rPr>
          <w:rFonts w:ascii="Garamond" w:hAnsi="Garamond"/>
          <w:i/>
          <w:sz w:val="20"/>
          <w:szCs w:val="18"/>
        </w:rPr>
        <w:t>quinquies</w:t>
      </w:r>
      <w:r w:rsidRPr="00250E6F">
        <w:rPr>
          <w:rFonts w:ascii="Garamond" w:hAnsi="Garamond"/>
          <w:sz w:val="20"/>
          <w:szCs w:val="18"/>
        </w:rPr>
        <w:t>, postula che in entrambi i casi la concessione del rimedio riparatorio, presuppone l’esistenza di un danno concreto ed attuale in capo al destinatario del provvedimento, cui incombe la prova».</w:t>
      </w:r>
    </w:p>
  </w:footnote>
  <w:footnote w:id="66">
    <w:p w14:paraId="15420D45"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w:t>
      </w:r>
      <w:r w:rsidRPr="00250E6F">
        <w:rPr>
          <w:rFonts w:ascii="Garamond" w:hAnsi="Garamond"/>
          <w:smallCaps/>
          <w:sz w:val="20"/>
          <w:szCs w:val="18"/>
        </w:rPr>
        <w:t>G. Manfredi</w:t>
      </w:r>
      <w:r w:rsidRPr="00250E6F">
        <w:rPr>
          <w:rFonts w:ascii="Garamond" w:hAnsi="Garamond"/>
          <w:sz w:val="20"/>
          <w:szCs w:val="18"/>
        </w:rPr>
        <w:t xml:space="preserve">, </w:t>
      </w:r>
      <w:r w:rsidRPr="00250E6F">
        <w:rPr>
          <w:rFonts w:ascii="Garamond" w:hAnsi="Garamond"/>
          <w:i/>
          <w:sz w:val="20"/>
          <w:szCs w:val="18"/>
        </w:rPr>
        <w:t>Indennità e principio indennitario in diritto amministrativo</w:t>
      </w:r>
      <w:r w:rsidRPr="00250E6F">
        <w:rPr>
          <w:rFonts w:ascii="Garamond" w:hAnsi="Garamond"/>
          <w:sz w:val="20"/>
          <w:szCs w:val="18"/>
        </w:rPr>
        <w:t>, Torino, 2003.</w:t>
      </w:r>
    </w:p>
  </w:footnote>
  <w:footnote w:id="67">
    <w:p w14:paraId="2203BBC0"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V. in proposito la ricostruzione del criterio di quantificazione dell’indennizzo da revoca e le difficoltà della dottrina, come offerta da </w:t>
      </w:r>
      <w:r w:rsidRPr="00250E6F">
        <w:rPr>
          <w:rFonts w:ascii="Garamond" w:hAnsi="Garamond"/>
          <w:smallCaps/>
          <w:sz w:val="20"/>
          <w:szCs w:val="18"/>
        </w:rPr>
        <w:t>G. La Rosa</w:t>
      </w:r>
      <w:r w:rsidRPr="00250E6F">
        <w:rPr>
          <w:rFonts w:ascii="Garamond" w:hAnsi="Garamond"/>
          <w:sz w:val="20"/>
          <w:szCs w:val="18"/>
        </w:rPr>
        <w:t xml:space="preserve">, </w:t>
      </w:r>
      <w:r w:rsidRPr="00250E6F">
        <w:rPr>
          <w:rFonts w:ascii="Garamond" w:hAnsi="Garamond"/>
          <w:i/>
          <w:sz w:val="20"/>
          <w:szCs w:val="18"/>
        </w:rPr>
        <w:t>Il “costo” del ripensamento</w:t>
      </w:r>
      <w:r w:rsidRPr="00250E6F">
        <w:rPr>
          <w:rFonts w:ascii="Garamond" w:hAnsi="Garamond"/>
          <w:sz w:val="20"/>
          <w:szCs w:val="18"/>
        </w:rPr>
        <w:t>, cit., spec. pp. 258 ss.</w:t>
      </w:r>
    </w:p>
  </w:footnote>
  <w:footnote w:id="68">
    <w:p w14:paraId="04468A9F"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L’attribuzione dell’indennizzo a favore del soggetto che direttamente subisce il pregiudizio presuppone proprio la legittimità del provvedimento di revoca, atteso che in caso di revoca illegittima subentra eventualmente, sussistendone gli ulteriori presupposti, la diversa ipotesi del risarcimento del danno: cfr. in tal senso, </w:t>
      </w:r>
      <w:r w:rsidRPr="00250E6F">
        <w:rPr>
          <w:rFonts w:ascii="Garamond" w:hAnsi="Garamond"/>
          <w:i/>
          <w:sz w:val="20"/>
          <w:szCs w:val="18"/>
        </w:rPr>
        <w:t xml:space="preserve">ex </w:t>
      </w:r>
      <w:proofErr w:type="spellStart"/>
      <w:r w:rsidRPr="00250E6F">
        <w:rPr>
          <w:rFonts w:ascii="Garamond" w:hAnsi="Garamond"/>
          <w:i/>
          <w:sz w:val="20"/>
          <w:szCs w:val="18"/>
        </w:rPr>
        <w:t>plurimis</w:t>
      </w:r>
      <w:proofErr w:type="spellEnd"/>
      <w:r w:rsidRPr="00250E6F">
        <w:rPr>
          <w:rFonts w:ascii="Garamond" w:hAnsi="Garamond"/>
          <w:sz w:val="20"/>
          <w:szCs w:val="18"/>
        </w:rPr>
        <w:t xml:space="preserve">, </w:t>
      </w:r>
      <w:proofErr w:type="spellStart"/>
      <w:r w:rsidRPr="00250E6F">
        <w:rPr>
          <w:rFonts w:ascii="Garamond" w:hAnsi="Garamond"/>
          <w:sz w:val="20"/>
          <w:szCs w:val="18"/>
        </w:rPr>
        <w:t>Cons</w:t>
      </w:r>
      <w:proofErr w:type="spellEnd"/>
      <w:r w:rsidRPr="00250E6F">
        <w:rPr>
          <w:rFonts w:ascii="Garamond" w:hAnsi="Garamond"/>
          <w:sz w:val="20"/>
          <w:szCs w:val="18"/>
        </w:rPr>
        <w:t>. Stato, V, 6 ottobre 2010, n. 7334; Id., 14 aprile 2008, n. 1667; Id., VI, 8 settembre 2009, n. 5266.</w:t>
      </w:r>
    </w:p>
  </w:footnote>
  <w:footnote w:id="69">
    <w:p w14:paraId="2140AF62"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Questa e le precedenti citazioni testuali sono tratte da </w:t>
      </w:r>
      <w:r w:rsidR="003C651B" w:rsidRPr="00250E6F">
        <w:rPr>
          <w:rFonts w:ascii="Garamond" w:hAnsi="Garamond"/>
          <w:sz w:val="20"/>
          <w:szCs w:val="18"/>
        </w:rPr>
        <w:t>Tar</w:t>
      </w:r>
      <w:r w:rsidRPr="00250E6F">
        <w:rPr>
          <w:rFonts w:ascii="Garamond" w:hAnsi="Garamond"/>
          <w:sz w:val="20"/>
          <w:szCs w:val="18"/>
        </w:rPr>
        <w:t xml:space="preserve"> Aosta, I, 25 giugno 2020, n. 20. Corsivo di chi scrive.</w:t>
      </w:r>
    </w:p>
  </w:footnote>
  <w:footnote w:id="70">
    <w:p w14:paraId="4995103A"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Così, </w:t>
      </w:r>
      <w:proofErr w:type="spellStart"/>
      <w:r w:rsidRPr="00250E6F">
        <w:rPr>
          <w:rFonts w:ascii="Garamond" w:hAnsi="Garamond"/>
          <w:sz w:val="20"/>
          <w:szCs w:val="18"/>
        </w:rPr>
        <w:t>Cons</w:t>
      </w:r>
      <w:proofErr w:type="spellEnd"/>
      <w:r w:rsidRPr="00250E6F">
        <w:rPr>
          <w:rFonts w:ascii="Garamond" w:hAnsi="Garamond"/>
          <w:sz w:val="20"/>
          <w:szCs w:val="18"/>
        </w:rPr>
        <w:t>. Stato, IV, 7 febbraio 2012, n. 662.</w:t>
      </w:r>
    </w:p>
  </w:footnote>
  <w:footnote w:id="71">
    <w:p w14:paraId="769C61CD"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La lunga parabola della natura della responsabilità della </w:t>
      </w:r>
      <w:proofErr w:type="spellStart"/>
      <w:r w:rsidRPr="00250E6F">
        <w:rPr>
          <w:rFonts w:ascii="Garamond" w:hAnsi="Garamond"/>
          <w:sz w:val="20"/>
          <w:szCs w:val="18"/>
        </w:rPr>
        <w:t>p.A.</w:t>
      </w:r>
      <w:proofErr w:type="spellEnd"/>
      <w:r w:rsidRPr="00250E6F">
        <w:rPr>
          <w:rFonts w:ascii="Garamond" w:hAnsi="Garamond"/>
          <w:sz w:val="20"/>
          <w:szCs w:val="18"/>
        </w:rPr>
        <w:t xml:space="preserve"> per atto illegittimo – dalle prime </w:t>
      </w:r>
      <w:r w:rsidR="0078204F" w:rsidRPr="00250E6F">
        <w:rPr>
          <w:rFonts w:ascii="Garamond" w:hAnsi="Garamond"/>
          <w:sz w:val="20"/>
          <w:szCs w:val="18"/>
        </w:rPr>
        <w:t>norme</w:t>
      </w:r>
      <w:r w:rsidRPr="00250E6F">
        <w:rPr>
          <w:rFonts w:ascii="Garamond" w:hAnsi="Garamond"/>
          <w:sz w:val="20"/>
          <w:szCs w:val="18"/>
        </w:rPr>
        <w:t xml:space="preserve"> </w:t>
      </w:r>
      <w:r w:rsidR="00E51018" w:rsidRPr="00250E6F">
        <w:rPr>
          <w:rFonts w:ascii="Garamond" w:hAnsi="Garamond"/>
          <w:sz w:val="20"/>
          <w:szCs w:val="18"/>
        </w:rPr>
        <w:t>promananti</w:t>
      </w:r>
      <w:r w:rsidRPr="00250E6F">
        <w:rPr>
          <w:rFonts w:ascii="Garamond" w:hAnsi="Garamond"/>
          <w:sz w:val="20"/>
          <w:szCs w:val="18"/>
        </w:rPr>
        <w:t xml:space="preserve"> dal diritto europeo con la c.d. direttiva Rimedi n. 89/665/CE del 21 dicembre 1989, passando per l’art. 13, l. n. 142/1992, giungendo a un primo approdo con la sentenza-norma </w:t>
      </w:r>
      <w:proofErr w:type="spellStart"/>
      <w:r w:rsidRPr="00250E6F">
        <w:rPr>
          <w:rFonts w:ascii="Garamond" w:hAnsi="Garamond"/>
          <w:sz w:val="20"/>
          <w:szCs w:val="18"/>
        </w:rPr>
        <w:t>Cass</w:t>
      </w:r>
      <w:proofErr w:type="spellEnd"/>
      <w:r w:rsidRPr="00250E6F">
        <w:rPr>
          <w:rFonts w:ascii="Garamond" w:hAnsi="Garamond"/>
          <w:sz w:val="20"/>
          <w:szCs w:val="18"/>
        </w:rPr>
        <w:t xml:space="preserve">. SS.UU. n. 500/1999, fino all’art. 30 </w:t>
      </w:r>
      <w:proofErr w:type="spellStart"/>
      <w:r w:rsidRPr="00250E6F">
        <w:rPr>
          <w:rFonts w:ascii="Garamond" w:hAnsi="Garamond"/>
          <w:sz w:val="20"/>
          <w:szCs w:val="18"/>
        </w:rPr>
        <w:t>c.p.a</w:t>
      </w:r>
      <w:proofErr w:type="spellEnd"/>
      <w:r w:rsidRPr="00250E6F">
        <w:rPr>
          <w:rFonts w:ascii="Garamond" w:hAnsi="Garamond"/>
          <w:sz w:val="20"/>
          <w:szCs w:val="18"/>
        </w:rPr>
        <w:t xml:space="preserve">. – ha avuto un’ultima composizione con la sentenza </w:t>
      </w:r>
      <w:proofErr w:type="spellStart"/>
      <w:r w:rsidRPr="00250E6F">
        <w:rPr>
          <w:rFonts w:ascii="Garamond" w:hAnsi="Garamond"/>
          <w:sz w:val="20"/>
          <w:szCs w:val="18"/>
        </w:rPr>
        <w:t>Cons</w:t>
      </w:r>
      <w:proofErr w:type="spellEnd"/>
      <w:r w:rsidRPr="00250E6F">
        <w:rPr>
          <w:rFonts w:ascii="Garamond" w:hAnsi="Garamond"/>
          <w:sz w:val="20"/>
          <w:szCs w:val="18"/>
        </w:rPr>
        <w:t xml:space="preserve">. Stato, ad. </w:t>
      </w:r>
      <w:proofErr w:type="spellStart"/>
      <w:r w:rsidRPr="00250E6F">
        <w:rPr>
          <w:rFonts w:ascii="Garamond" w:hAnsi="Garamond"/>
          <w:sz w:val="20"/>
          <w:szCs w:val="18"/>
        </w:rPr>
        <w:t>plen</w:t>
      </w:r>
      <w:proofErr w:type="spellEnd"/>
      <w:r w:rsidRPr="00250E6F">
        <w:rPr>
          <w:rFonts w:ascii="Garamond" w:hAnsi="Garamond"/>
          <w:sz w:val="20"/>
          <w:szCs w:val="18"/>
        </w:rPr>
        <w:t xml:space="preserve">., 23 aprile 2021, n. 7. In questa pronuncia – seppur in tema di danno da ritardo, ma nella quale sono stati espressi principi valevoli per tutta l’attività amministrativa illegittima – si è chiarito che la responsabilità della </w:t>
      </w:r>
      <w:proofErr w:type="spellStart"/>
      <w:r w:rsidRPr="00250E6F">
        <w:rPr>
          <w:rFonts w:ascii="Garamond" w:hAnsi="Garamond"/>
          <w:sz w:val="20"/>
          <w:szCs w:val="18"/>
        </w:rPr>
        <w:t>p.A.</w:t>
      </w:r>
      <w:proofErr w:type="spellEnd"/>
      <w:r w:rsidRPr="00250E6F">
        <w:rPr>
          <w:rFonts w:ascii="Garamond" w:hAnsi="Garamond"/>
          <w:sz w:val="20"/>
          <w:szCs w:val="18"/>
        </w:rPr>
        <w:t xml:space="preserve"> è qualificabile come aquiliana, risponde dunque all’inquadramento di cui all’art. 2043 c.c., con gli adattamenti necessari specie sul piano probatorio, che conducono alla presunzione di colpa derivante dall’illegittimità del provvedimento impugnato dal privato, presunzione superabile </w:t>
      </w:r>
      <w:r w:rsidRPr="00250E6F">
        <w:rPr>
          <w:rFonts w:ascii="Garamond" w:hAnsi="Garamond"/>
          <w:i/>
          <w:sz w:val="20"/>
          <w:szCs w:val="18"/>
        </w:rPr>
        <w:t>ex</w:t>
      </w:r>
      <w:r w:rsidRPr="00250E6F">
        <w:rPr>
          <w:rFonts w:ascii="Garamond" w:hAnsi="Garamond"/>
          <w:sz w:val="20"/>
          <w:szCs w:val="18"/>
        </w:rPr>
        <w:t xml:space="preserve"> art. 2727 c.c. tramite la prova contraria del c.d. errore scusabile dell’apparato. V. in proposito </w:t>
      </w:r>
      <w:r w:rsidRPr="00250E6F">
        <w:rPr>
          <w:rFonts w:ascii="Garamond" w:hAnsi="Garamond"/>
          <w:smallCaps/>
          <w:sz w:val="20"/>
          <w:szCs w:val="18"/>
        </w:rPr>
        <w:t>E. Zampetti</w:t>
      </w:r>
      <w:r w:rsidRPr="00250E6F">
        <w:rPr>
          <w:rFonts w:ascii="Garamond" w:hAnsi="Garamond"/>
          <w:sz w:val="20"/>
          <w:szCs w:val="18"/>
        </w:rPr>
        <w:t xml:space="preserve">, </w:t>
      </w:r>
      <w:r w:rsidRPr="00250E6F">
        <w:rPr>
          <w:rFonts w:ascii="Garamond" w:hAnsi="Garamond"/>
          <w:i/>
          <w:sz w:val="20"/>
          <w:szCs w:val="18"/>
        </w:rPr>
        <w:t>La natura extracontrattuale della responsabilità civile della pubblica Amministrazione dopo l’Adunanza plenaria n. 7 del 2021</w:t>
      </w:r>
      <w:r w:rsidRPr="00250E6F">
        <w:rPr>
          <w:rFonts w:ascii="Garamond" w:hAnsi="Garamond"/>
          <w:sz w:val="20"/>
          <w:szCs w:val="18"/>
        </w:rPr>
        <w:t xml:space="preserve">, in </w:t>
      </w:r>
      <w:r w:rsidRPr="00250E6F">
        <w:rPr>
          <w:rFonts w:ascii="Garamond" w:hAnsi="Garamond"/>
          <w:i/>
          <w:sz w:val="20"/>
          <w:szCs w:val="18"/>
        </w:rPr>
        <w:t>www.giustiziainsieme.it</w:t>
      </w:r>
      <w:r w:rsidRPr="00250E6F">
        <w:rPr>
          <w:rFonts w:ascii="Garamond" w:hAnsi="Garamond"/>
          <w:sz w:val="20"/>
          <w:szCs w:val="18"/>
        </w:rPr>
        <w:t>, 2021.</w:t>
      </w:r>
    </w:p>
  </w:footnote>
  <w:footnote w:id="72">
    <w:p w14:paraId="6860E26B"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w:t>
      </w:r>
      <w:r w:rsidRPr="00250E6F">
        <w:rPr>
          <w:rFonts w:ascii="Garamond" w:hAnsi="Garamond"/>
          <w:smallCaps/>
          <w:sz w:val="20"/>
          <w:szCs w:val="18"/>
        </w:rPr>
        <w:t xml:space="preserve">F. </w:t>
      </w:r>
      <w:proofErr w:type="spellStart"/>
      <w:r w:rsidRPr="00250E6F">
        <w:rPr>
          <w:rFonts w:ascii="Garamond" w:hAnsi="Garamond"/>
          <w:smallCaps/>
          <w:sz w:val="20"/>
          <w:szCs w:val="18"/>
        </w:rPr>
        <w:t>Trimarchi</w:t>
      </w:r>
      <w:proofErr w:type="spellEnd"/>
      <w:r w:rsidRPr="00250E6F">
        <w:rPr>
          <w:rFonts w:ascii="Garamond" w:hAnsi="Garamond"/>
          <w:smallCaps/>
          <w:sz w:val="20"/>
          <w:szCs w:val="18"/>
        </w:rPr>
        <w:t xml:space="preserve"> Banfi</w:t>
      </w:r>
      <w:r w:rsidRPr="00250E6F">
        <w:rPr>
          <w:rFonts w:ascii="Garamond" w:hAnsi="Garamond"/>
          <w:sz w:val="20"/>
          <w:szCs w:val="18"/>
        </w:rPr>
        <w:t xml:space="preserve">, </w:t>
      </w:r>
      <w:r w:rsidRPr="00250E6F">
        <w:rPr>
          <w:rFonts w:ascii="Garamond" w:hAnsi="Garamond"/>
          <w:i/>
          <w:sz w:val="20"/>
          <w:szCs w:val="18"/>
        </w:rPr>
        <w:t>Affidamento legittimo e affidamento incolpevole nei rapporti con l’Amministrazione</w:t>
      </w:r>
      <w:r w:rsidRPr="00250E6F">
        <w:rPr>
          <w:rFonts w:ascii="Garamond" w:hAnsi="Garamond"/>
          <w:sz w:val="20"/>
          <w:szCs w:val="18"/>
        </w:rPr>
        <w:t xml:space="preserve">, in </w:t>
      </w:r>
      <w:r w:rsidRPr="00250E6F">
        <w:rPr>
          <w:rFonts w:ascii="Garamond" w:hAnsi="Garamond"/>
          <w:i/>
          <w:sz w:val="20"/>
          <w:szCs w:val="18"/>
        </w:rPr>
        <w:t xml:space="preserve">Dir. </w:t>
      </w:r>
      <w:proofErr w:type="spellStart"/>
      <w:r w:rsidRPr="00250E6F">
        <w:rPr>
          <w:rFonts w:ascii="Garamond" w:hAnsi="Garamond"/>
          <w:i/>
          <w:sz w:val="20"/>
          <w:szCs w:val="18"/>
        </w:rPr>
        <w:t>proc</w:t>
      </w:r>
      <w:proofErr w:type="spellEnd"/>
      <w:r w:rsidRPr="00250E6F">
        <w:rPr>
          <w:rFonts w:ascii="Garamond" w:hAnsi="Garamond"/>
          <w:i/>
          <w:sz w:val="20"/>
          <w:szCs w:val="18"/>
        </w:rPr>
        <w:t xml:space="preserve">. </w:t>
      </w:r>
      <w:proofErr w:type="spellStart"/>
      <w:r w:rsidRPr="00250E6F">
        <w:rPr>
          <w:rFonts w:ascii="Garamond" w:hAnsi="Garamond"/>
          <w:i/>
          <w:sz w:val="20"/>
          <w:szCs w:val="18"/>
        </w:rPr>
        <w:t>amm</w:t>
      </w:r>
      <w:proofErr w:type="spellEnd"/>
      <w:r w:rsidRPr="00250E6F">
        <w:rPr>
          <w:rFonts w:ascii="Garamond" w:hAnsi="Garamond"/>
          <w:i/>
          <w:sz w:val="20"/>
          <w:szCs w:val="18"/>
        </w:rPr>
        <w:t>.</w:t>
      </w:r>
      <w:r w:rsidRPr="00250E6F">
        <w:rPr>
          <w:rFonts w:ascii="Garamond" w:hAnsi="Garamond"/>
          <w:sz w:val="20"/>
          <w:szCs w:val="18"/>
        </w:rPr>
        <w:t>, n. 3/2018, pp. 823 ss.: «Per lo più la condotta negligente è ravvisata in atti o omissioni che si collocano all’esterno della procedura, come ad esempio l’imprevidenza della gestione finanziaria cui si deve la sopravvenuta insufficienza delle risorse per la copertura della spesa progettata, o il ritardo nell’informare l’interessato della situazione sopravvenuta».</w:t>
      </w:r>
    </w:p>
  </w:footnote>
  <w:footnote w:id="73">
    <w:p w14:paraId="67DB00E7"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w:t>
      </w:r>
      <w:proofErr w:type="spellStart"/>
      <w:r w:rsidRPr="00250E6F">
        <w:rPr>
          <w:rFonts w:ascii="Garamond" w:hAnsi="Garamond"/>
          <w:sz w:val="20"/>
          <w:szCs w:val="18"/>
        </w:rPr>
        <w:t>Cons</w:t>
      </w:r>
      <w:proofErr w:type="spellEnd"/>
      <w:r w:rsidRPr="00250E6F">
        <w:rPr>
          <w:rFonts w:ascii="Garamond" w:hAnsi="Garamond"/>
          <w:sz w:val="20"/>
          <w:szCs w:val="18"/>
        </w:rPr>
        <w:t xml:space="preserve">. Stato, V, 26 giugno 2015, n. 3237. Il Consiglio di Stato – con riguardo a una gara i cui atti erano stati rimossi mediante l’esercizio del potere di autotutela – ha chiarito </w:t>
      </w:r>
      <w:r w:rsidR="00F2739D" w:rsidRPr="00250E6F">
        <w:rPr>
          <w:rFonts w:ascii="Garamond" w:hAnsi="Garamond"/>
          <w:sz w:val="20"/>
          <w:szCs w:val="18"/>
        </w:rPr>
        <w:t>che</w:t>
      </w:r>
      <w:r w:rsidRPr="00250E6F">
        <w:rPr>
          <w:rFonts w:ascii="Garamond" w:hAnsi="Garamond"/>
          <w:sz w:val="20"/>
          <w:szCs w:val="18"/>
        </w:rPr>
        <w:t xml:space="preserve"> l’affidamento consolidato dell’aggiudicatario </w:t>
      </w:r>
      <w:r w:rsidR="00F2739D" w:rsidRPr="00250E6F">
        <w:rPr>
          <w:rFonts w:ascii="Garamond" w:hAnsi="Garamond"/>
          <w:sz w:val="20"/>
          <w:szCs w:val="18"/>
        </w:rPr>
        <w:t>può</w:t>
      </w:r>
      <w:r w:rsidRPr="00250E6F">
        <w:rPr>
          <w:rFonts w:ascii="Garamond" w:hAnsi="Garamond"/>
          <w:sz w:val="20"/>
          <w:szCs w:val="18"/>
        </w:rPr>
        <w:t xml:space="preserve"> ritenersi tutelabile a condizione che ricorrano tre elementi costitutivi: un elemento oggettivo, consistente nella chiarezza, certezza e univocità del vantaggio del privato, che deve trovare fonte in un comportamento attivo; un elemento soggettivo, rappresentato dalla plausibile convinzione del privato di aver titolo all’utilità ottenuta; un elemento cronologico, ovvero il passaggio del tempo che rafforza la convinzione della spettanza del bene della vita ottenuto </w:t>
      </w:r>
      <w:r w:rsidR="00F2739D" w:rsidRPr="00250E6F">
        <w:rPr>
          <w:rFonts w:ascii="Garamond" w:hAnsi="Garamond"/>
          <w:sz w:val="20"/>
          <w:szCs w:val="18"/>
        </w:rPr>
        <w:t>(</w:t>
      </w:r>
      <w:r w:rsidRPr="00250E6F">
        <w:rPr>
          <w:rFonts w:ascii="Garamond" w:hAnsi="Garamond"/>
          <w:sz w:val="20"/>
          <w:szCs w:val="18"/>
        </w:rPr>
        <w:t xml:space="preserve">cfr. </w:t>
      </w:r>
      <w:proofErr w:type="spellStart"/>
      <w:r w:rsidRPr="00250E6F">
        <w:rPr>
          <w:rFonts w:ascii="Garamond" w:hAnsi="Garamond"/>
          <w:sz w:val="20"/>
          <w:szCs w:val="18"/>
        </w:rPr>
        <w:t>Cons</w:t>
      </w:r>
      <w:proofErr w:type="spellEnd"/>
      <w:r w:rsidRPr="00250E6F">
        <w:rPr>
          <w:rFonts w:ascii="Garamond" w:hAnsi="Garamond"/>
          <w:sz w:val="20"/>
          <w:szCs w:val="18"/>
        </w:rPr>
        <w:t>. Stato, V, 23 agosto 2016, n. 3674</w:t>
      </w:r>
      <w:r w:rsidR="00F2739D" w:rsidRPr="00250E6F">
        <w:rPr>
          <w:rFonts w:ascii="Garamond" w:hAnsi="Garamond"/>
          <w:sz w:val="20"/>
          <w:szCs w:val="18"/>
        </w:rPr>
        <w:t>)</w:t>
      </w:r>
      <w:r w:rsidRPr="00250E6F">
        <w:rPr>
          <w:rFonts w:ascii="Garamond" w:hAnsi="Garamond"/>
          <w:sz w:val="20"/>
          <w:szCs w:val="18"/>
        </w:rPr>
        <w:t>.</w:t>
      </w:r>
    </w:p>
  </w:footnote>
  <w:footnote w:id="74">
    <w:p w14:paraId="57BE9C8C"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In tal senso, e con plurimi richiami giurisprudenziali, </w:t>
      </w:r>
      <w:r w:rsidR="00AC2BFA" w:rsidRPr="00250E6F">
        <w:rPr>
          <w:rFonts w:ascii="Garamond" w:hAnsi="Garamond"/>
          <w:sz w:val="20"/>
          <w:szCs w:val="18"/>
        </w:rPr>
        <w:t>Tar</w:t>
      </w:r>
      <w:r w:rsidRPr="00250E6F">
        <w:rPr>
          <w:rFonts w:ascii="Garamond" w:hAnsi="Garamond"/>
          <w:sz w:val="20"/>
          <w:szCs w:val="18"/>
        </w:rPr>
        <w:t xml:space="preserve"> Campania, Napoli, I, 5 gennaio 2021, n. 69.</w:t>
      </w:r>
    </w:p>
  </w:footnote>
  <w:footnote w:id="75">
    <w:p w14:paraId="46887FA6"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Sia consentito il rinvio a </w:t>
      </w:r>
      <w:r w:rsidRPr="00250E6F">
        <w:rPr>
          <w:rFonts w:ascii="Garamond" w:hAnsi="Garamond"/>
          <w:smallCaps/>
          <w:sz w:val="20"/>
          <w:szCs w:val="18"/>
        </w:rPr>
        <w:t>C. Napolitano</w:t>
      </w:r>
      <w:r w:rsidRPr="00250E6F">
        <w:rPr>
          <w:rFonts w:ascii="Garamond" w:hAnsi="Garamond"/>
          <w:sz w:val="20"/>
          <w:szCs w:val="18"/>
        </w:rPr>
        <w:t xml:space="preserve">, </w:t>
      </w:r>
      <w:r w:rsidRPr="00250E6F">
        <w:rPr>
          <w:rFonts w:ascii="Garamond" w:hAnsi="Garamond"/>
          <w:i/>
          <w:sz w:val="20"/>
          <w:szCs w:val="18"/>
        </w:rPr>
        <w:t>L’autotutela amministrativa. Nuovi paradigmi e modelli europei</w:t>
      </w:r>
      <w:r w:rsidRPr="00250E6F">
        <w:rPr>
          <w:rFonts w:ascii="Garamond" w:hAnsi="Garamond"/>
          <w:sz w:val="20"/>
          <w:szCs w:val="18"/>
        </w:rPr>
        <w:t>, Napoli, 2018, spec. pp. 249 ss.</w:t>
      </w:r>
    </w:p>
  </w:footnote>
  <w:footnote w:id="76">
    <w:p w14:paraId="7D95E682"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Già prima della codificazione della revoca nel 2005, v. </w:t>
      </w:r>
      <w:r w:rsidRPr="00250E6F">
        <w:rPr>
          <w:rFonts w:ascii="Garamond" w:hAnsi="Garamond"/>
          <w:smallCaps/>
          <w:sz w:val="20"/>
          <w:szCs w:val="18"/>
        </w:rPr>
        <w:t xml:space="preserve">G. </w:t>
      </w:r>
      <w:proofErr w:type="spellStart"/>
      <w:r w:rsidRPr="00250E6F">
        <w:rPr>
          <w:rFonts w:ascii="Garamond" w:hAnsi="Garamond"/>
          <w:smallCaps/>
          <w:sz w:val="20"/>
          <w:szCs w:val="18"/>
        </w:rPr>
        <w:t>Falcon</w:t>
      </w:r>
      <w:proofErr w:type="spellEnd"/>
      <w:r w:rsidRPr="00250E6F">
        <w:rPr>
          <w:rFonts w:ascii="Garamond" w:hAnsi="Garamond"/>
          <w:sz w:val="20"/>
          <w:szCs w:val="18"/>
        </w:rPr>
        <w:t xml:space="preserve">, </w:t>
      </w:r>
      <w:r w:rsidRPr="00250E6F">
        <w:rPr>
          <w:rFonts w:ascii="Garamond" w:hAnsi="Garamond"/>
          <w:i/>
          <w:iCs/>
          <w:sz w:val="20"/>
          <w:szCs w:val="18"/>
        </w:rPr>
        <w:t>Questioni sulla validità e sull’efficacia del provvedimento amministrativo nel tempo</w:t>
      </w:r>
      <w:r w:rsidRPr="00250E6F">
        <w:rPr>
          <w:rFonts w:ascii="Garamond" w:hAnsi="Garamond"/>
          <w:iCs/>
          <w:sz w:val="20"/>
          <w:szCs w:val="18"/>
        </w:rPr>
        <w:t xml:space="preserve">, in </w:t>
      </w:r>
      <w:r w:rsidRPr="00250E6F">
        <w:rPr>
          <w:rFonts w:ascii="Garamond" w:hAnsi="Garamond"/>
          <w:i/>
          <w:iCs/>
          <w:sz w:val="20"/>
          <w:szCs w:val="18"/>
        </w:rPr>
        <w:t xml:space="preserve">Dir. </w:t>
      </w:r>
      <w:proofErr w:type="spellStart"/>
      <w:r w:rsidRPr="00250E6F">
        <w:rPr>
          <w:rFonts w:ascii="Garamond" w:hAnsi="Garamond"/>
          <w:i/>
          <w:iCs/>
          <w:sz w:val="20"/>
          <w:szCs w:val="18"/>
        </w:rPr>
        <w:t>amm</w:t>
      </w:r>
      <w:proofErr w:type="spellEnd"/>
      <w:r w:rsidRPr="00250E6F">
        <w:rPr>
          <w:rFonts w:ascii="Garamond" w:hAnsi="Garamond"/>
          <w:i/>
          <w:iCs/>
          <w:sz w:val="20"/>
          <w:szCs w:val="18"/>
        </w:rPr>
        <w:t>.</w:t>
      </w:r>
      <w:r w:rsidRPr="00250E6F">
        <w:rPr>
          <w:rFonts w:ascii="Garamond" w:hAnsi="Garamond"/>
          <w:sz w:val="20"/>
          <w:szCs w:val="18"/>
        </w:rPr>
        <w:t xml:space="preserve">, </w:t>
      </w:r>
      <w:r w:rsidR="00A54123" w:rsidRPr="00250E6F">
        <w:rPr>
          <w:rFonts w:ascii="Garamond" w:hAnsi="Garamond"/>
          <w:sz w:val="20"/>
          <w:szCs w:val="18"/>
        </w:rPr>
        <w:t>n. 1/</w:t>
      </w:r>
      <w:r w:rsidRPr="00250E6F">
        <w:rPr>
          <w:rFonts w:ascii="Garamond" w:hAnsi="Garamond"/>
          <w:sz w:val="20"/>
          <w:szCs w:val="18"/>
        </w:rPr>
        <w:t xml:space="preserve">2003, </w:t>
      </w:r>
      <w:r w:rsidR="00AA0EEC" w:rsidRPr="00250E6F">
        <w:rPr>
          <w:rFonts w:ascii="Garamond" w:hAnsi="Garamond"/>
          <w:sz w:val="20"/>
          <w:szCs w:val="18"/>
        </w:rPr>
        <w:t xml:space="preserve">pp. 1 ss., </w:t>
      </w:r>
      <w:r w:rsidRPr="00250E6F">
        <w:rPr>
          <w:rFonts w:ascii="Garamond" w:hAnsi="Garamond"/>
          <w:sz w:val="20"/>
          <w:szCs w:val="18"/>
        </w:rPr>
        <w:t>circa la cessazione di efficacia e l’illegittimità sopravvenuta del provvedimento: «Sembra pacifico che, ove nel corso del tempo vengano meno i requisiti legali alla cui esistenza il provvedimento era subordinato, nel senso che in assenza di essi la sua emanazione sarebbe risultata in origine illegittima, l’autorità amministrativa abbia non solo il potere ma altresì il dovere di porre nel nulla gli effetti del provvedimento. Questo risulta evidente nel caso si tratti di provvedimento sfavorevole per il destinatario; ma è difficile vedere ragioni per dire diversamente nel caso si tratti di atti favorevoli».</w:t>
      </w:r>
    </w:p>
  </w:footnote>
  <w:footnote w:id="77">
    <w:p w14:paraId="7AB8F5F2"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w:t>
      </w:r>
      <w:r w:rsidRPr="00250E6F">
        <w:rPr>
          <w:rFonts w:ascii="Garamond" w:hAnsi="Garamond"/>
          <w:smallCaps/>
          <w:sz w:val="20"/>
          <w:szCs w:val="18"/>
        </w:rPr>
        <w:t xml:space="preserve">M. </w:t>
      </w:r>
      <w:proofErr w:type="spellStart"/>
      <w:r w:rsidRPr="00250E6F">
        <w:rPr>
          <w:rFonts w:ascii="Garamond" w:hAnsi="Garamond"/>
          <w:smallCaps/>
          <w:sz w:val="20"/>
          <w:szCs w:val="18"/>
        </w:rPr>
        <w:t>Immordino</w:t>
      </w:r>
      <w:proofErr w:type="spellEnd"/>
      <w:r w:rsidRPr="00250E6F">
        <w:rPr>
          <w:rFonts w:ascii="Garamond" w:hAnsi="Garamond"/>
          <w:sz w:val="20"/>
          <w:szCs w:val="18"/>
        </w:rPr>
        <w:t xml:space="preserve">, </w:t>
      </w:r>
      <w:r w:rsidRPr="00250E6F">
        <w:rPr>
          <w:rFonts w:ascii="Garamond" w:hAnsi="Garamond"/>
          <w:i/>
          <w:sz w:val="20"/>
          <w:szCs w:val="18"/>
        </w:rPr>
        <w:t>Il potere amministrativo di revoca</w:t>
      </w:r>
      <w:r w:rsidRPr="00250E6F">
        <w:rPr>
          <w:rFonts w:ascii="Garamond" w:hAnsi="Garamond"/>
          <w:sz w:val="20"/>
          <w:szCs w:val="18"/>
        </w:rPr>
        <w:t>, cit.</w:t>
      </w:r>
    </w:p>
  </w:footnote>
  <w:footnote w:id="78">
    <w:p w14:paraId="24C03456"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w:t>
      </w:r>
      <w:r w:rsidRPr="00250E6F">
        <w:rPr>
          <w:rFonts w:ascii="Garamond" w:hAnsi="Garamond"/>
          <w:smallCaps/>
          <w:sz w:val="20"/>
          <w:szCs w:val="18"/>
        </w:rPr>
        <w:t>S. Tuccillo</w:t>
      </w:r>
      <w:r w:rsidRPr="00250E6F">
        <w:rPr>
          <w:rFonts w:ascii="Garamond" w:hAnsi="Garamond"/>
          <w:sz w:val="20"/>
          <w:szCs w:val="18"/>
        </w:rPr>
        <w:t xml:space="preserve">, </w:t>
      </w:r>
      <w:r w:rsidRPr="00250E6F">
        <w:rPr>
          <w:rFonts w:ascii="Garamond" w:hAnsi="Garamond"/>
          <w:i/>
          <w:sz w:val="20"/>
          <w:szCs w:val="18"/>
        </w:rPr>
        <w:t>Contributo allo studio della funzione amministrativa come dovere</w:t>
      </w:r>
      <w:r w:rsidRPr="00250E6F">
        <w:rPr>
          <w:rFonts w:ascii="Garamond" w:hAnsi="Garamond"/>
          <w:sz w:val="20"/>
          <w:szCs w:val="18"/>
        </w:rPr>
        <w:t>, Napoli, 2016.</w:t>
      </w:r>
    </w:p>
  </w:footnote>
  <w:footnote w:id="79">
    <w:p w14:paraId="7CA47E9C"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Ancora </w:t>
      </w:r>
      <w:r w:rsidRPr="00250E6F">
        <w:rPr>
          <w:rFonts w:ascii="Garamond" w:hAnsi="Garamond"/>
          <w:smallCaps/>
          <w:sz w:val="20"/>
          <w:szCs w:val="18"/>
        </w:rPr>
        <w:t xml:space="preserve">M. </w:t>
      </w:r>
      <w:proofErr w:type="spellStart"/>
      <w:r w:rsidRPr="00250E6F">
        <w:rPr>
          <w:rFonts w:ascii="Garamond" w:hAnsi="Garamond"/>
          <w:smallCaps/>
          <w:sz w:val="20"/>
          <w:szCs w:val="18"/>
        </w:rPr>
        <w:t>Immordino</w:t>
      </w:r>
      <w:proofErr w:type="spellEnd"/>
      <w:r w:rsidRPr="00250E6F">
        <w:rPr>
          <w:rFonts w:ascii="Garamond" w:hAnsi="Garamond"/>
          <w:sz w:val="20"/>
          <w:szCs w:val="18"/>
        </w:rPr>
        <w:t xml:space="preserve">, </w:t>
      </w:r>
      <w:r w:rsidRPr="00250E6F">
        <w:rPr>
          <w:rFonts w:ascii="Garamond" w:hAnsi="Garamond"/>
          <w:i/>
          <w:sz w:val="20"/>
          <w:szCs w:val="18"/>
        </w:rPr>
        <w:t>Il potere amministrativo di revoca</w:t>
      </w:r>
      <w:r w:rsidRPr="00250E6F">
        <w:rPr>
          <w:rFonts w:ascii="Garamond" w:hAnsi="Garamond"/>
          <w:sz w:val="20"/>
          <w:szCs w:val="18"/>
        </w:rPr>
        <w:t xml:space="preserve">, cit. </w:t>
      </w:r>
    </w:p>
  </w:footnote>
  <w:footnote w:id="80">
    <w:p w14:paraId="4D9A2FCA" w14:textId="77777777" w:rsidR="007E1CB9" w:rsidRPr="00250E6F" w:rsidRDefault="007E1CB9" w:rsidP="003F4DDD">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Ai sensi del quale «Ove il procedimento consegua obbligatoriamente ad un’istanza, ovvero debba essere iniziato d’ufficio, le pubbliche amministrazioni hanno il dovere di concluderlo mediante l’adozione di un provvedimento espresso. Se ravvisano la manifesta irricevibilità, inammissibilità, improcedibilità o infondatezza della domanda, le pubbliche amministrazioni concludono il procedimento con un provvedimento espresso redatto in forma semplificata, la cui motivazione può consistere in un sintetico riferimento al punto di fatto o di diritto ritenuto risolutivo». Secondo la compiuta analisi di </w:t>
      </w:r>
      <w:r w:rsidRPr="00250E6F">
        <w:rPr>
          <w:rFonts w:ascii="Garamond" w:hAnsi="Garamond"/>
          <w:smallCaps/>
          <w:sz w:val="20"/>
          <w:szCs w:val="18"/>
        </w:rPr>
        <w:t>M. Monteduro</w:t>
      </w:r>
      <w:r w:rsidRPr="00250E6F">
        <w:rPr>
          <w:rFonts w:ascii="Garamond" w:hAnsi="Garamond"/>
          <w:sz w:val="20"/>
          <w:szCs w:val="18"/>
        </w:rPr>
        <w:t xml:space="preserve">, </w:t>
      </w:r>
      <w:r w:rsidRPr="00250E6F">
        <w:rPr>
          <w:rFonts w:ascii="Garamond" w:hAnsi="Garamond"/>
          <w:i/>
          <w:sz w:val="20"/>
          <w:szCs w:val="18"/>
        </w:rPr>
        <w:t>Sul processo come schema di interpretazione del procedimento: l’obbligo di provvedere su domande inammissibili o «manifestamente infondate»</w:t>
      </w:r>
      <w:r w:rsidRPr="00250E6F">
        <w:rPr>
          <w:rFonts w:ascii="Garamond" w:hAnsi="Garamond"/>
          <w:sz w:val="20"/>
          <w:szCs w:val="18"/>
        </w:rPr>
        <w:t>,</w:t>
      </w:r>
      <w:r w:rsidR="003F4DDD" w:rsidRPr="00250E6F">
        <w:rPr>
          <w:rFonts w:ascii="StempelGaramond" w:eastAsia="Times New Roman" w:hAnsi="StempelGaramond"/>
          <w:sz w:val="18"/>
          <w:szCs w:val="18"/>
        </w:rPr>
        <w:t xml:space="preserve"> </w:t>
      </w:r>
      <w:r w:rsidR="003F4DDD" w:rsidRPr="00250E6F">
        <w:rPr>
          <w:rFonts w:ascii="Garamond" w:hAnsi="Garamond"/>
          <w:sz w:val="20"/>
          <w:szCs w:val="18"/>
        </w:rPr>
        <w:t xml:space="preserve">in </w:t>
      </w:r>
      <w:r w:rsidR="003F4DDD" w:rsidRPr="00250E6F">
        <w:rPr>
          <w:rFonts w:ascii="Garamond" w:hAnsi="Garamond"/>
          <w:i/>
          <w:iCs/>
          <w:sz w:val="20"/>
          <w:szCs w:val="18"/>
        </w:rPr>
        <w:t xml:space="preserve">Dir. </w:t>
      </w:r>
      <w:proofErr w:type="spellStart"/>
      <w:r w:rsidR="003F4DDD" w:rsidRPr="00250E6F">
        <w:rPr>
          <w:rFonts w:ascii="Garamond" w:hAnsi="Garamond"/>
          <w:i/>
          <w:iCs/>
          <w:sz w:val="20"/>
          <w:szCs w:val="18"/>
        </w:rPr>
        <w:t>amm</w:t>
      </w:r>
      <w:proofErr w:type="spellEnd"/>
      <w:r w:rsidR="003F4DDD" w:rsidRPr="00250E6F">
        <w:rPr>
          <w:rFonts w:ascii="Garamond" w:hAnsi="Garamond"/>
          <w:i/>
          <w:iCs/>
          <w:sz w:val="20"/>
          <w:szCs w:val="18"/>
        </w:rPr>
        <w:t>.</w:t>
      </w:r>
      <w:r w:rsidR="003F4DDD" w:rsidRPr="00250E6F">
        <w:rPr>
          <w:rFonts w:ascii="Garamond" w:hAnsi="Garamond"/>
          <w:sz w:val="20"/>
          <w:szCs w:val="18"/>
        </w:rPr>
        <w:t>, n. 1/2010, pp. 103 ss</w:t>
      </w:r>
      <w:r w:rsidRPr="00250E6F">
        <w:rPr>
          <w:rFonts w:ascii="Garamond" w:hAnsi="Garamond"/>
          <w:sz w:val="20"/>
          <w:szCs w:val="18"/>
        </w:rPr>
        <w:t xml:space="preserve">., questa norma conferma l’esistenza di un obbligo di provvedere </w:t>
      </w:r>
      <w:r w:rsidRPr="00250E6F">
        <w:rPr>
          <w:rFonts w:ascii="Garamond" w:hAnsi="Garamond"/>
          <w:i/>
          <w:sz w:val="20"/>
          <w:szCs w:val="18"/>
        </w:rPr>
        <w:t xml:space="preserve">generalizzato </w:t>
      </w:r>
      <w:r w:rsidRPr="00250E6F">
        <w:rPr>
          <w:rFonts w:ascii="Garamond" w:hAnsi="Garamond"/>
          <w:sz w:val="20"/>
          <w:szCs w:val="18"/>
        </w:rPr>
        <w:t xml:space="preserve">in capo alla </w:t>
      </w:r>
      <w:proofErr w:type="spellStart"/>
      <w:r w:rsidRPr="00250E6F">
        <w:rPr>
          <w:rFonts w:ascii="Garamond" w:hAnsi="Garamond"/>
          <w:sz w:val="20"/>
          <w:szCs w:val="18"/>
        </w:rPr>
        <w:t>p.A.</w:t>
      </w:r>
      <w:proofErr w:type="spellEnd"/>
      <w:r w:rsidRPr="00250E6F">
        <w:rPr>
          <w:rFonts w:ascii="Garamond" w:hAnsi="Garamond"/>
          <w:sz w:val="20"/>
          <w:szCs w:val="18"/>
        </w:rPr>
        <w:t xml:space="preserve"> rispetto a tutte le istanze dei cittadini, anche quelle non </w:t>
      </w:r>
      <w:proofErr w:type="spellStart"/>
      <w:r w:rsidRPr="00250E6F">
        <w:rPr>
          <w:rFonts w:ascii="Garamond" w:hAnsi="Garamond"/>
          <w:sz w:val="20"/>
          <w:szCs w:val="18"/>
        </w:rPr>
        <w:t>giuridicizzate</w:t>
      </w:r>
      <w:proofErr w:type="spellEnd"/>
      <w:r w:rsidRPr="00250E6F">
        <w:rPr>
          <w:rFonts w:ascii="Garamond" w:hAnsi="Garamond"/>
          <w:sz w:val="20"/>
          <w:szCs w:val="18"/>
        </w:rPr>
        <w:t xml:space="preserve"> e non tipizzate dal legislatore: ivi incluse, pertanto, le istanze di autotutela, alle quali – secondo una giurisprudenza ancora puntiforme – la </w:t>
      </w:r>
      <w:proofErr w:type="spellStart"/>
      <w:r w:rsidRPr="00250E6F">
        <w:rPr>
          <w:rFonts w:ascii="Garamond" w:hAnsi="Garamond"/>
          <w:sz w:val="20"/>
          <w:szCs w:val="18"/>
        </w:rPr>
        <w:t>p.A.</w:t>
      </w:r>
      <w:proofErr w:type="spellEnd"/>
      <w:r w:rsidRPr="00250E6F">
        <w:rPr>
          <w:rFonts w:ascii="Garamond" w:hAnsi="Garamond"/>
          <w:sz w:val="20"/>
          <w:szCs w:val="18"/>
        </w:rPr>
        <w:t xml:space="preserve"> deve rispondere in ossequio ai principi più generali di equità e giustizia, nonché – aggiunge l’A. – al principio di trasparenza, del quale il procedimento amministrativo costituisce la naturale ipostasi, al contrario del silenzio l’esatto. Condivide questa lettura </w:t>
      </w:r>
      <w:r w:rsidRPr="00250E6F">
        <w:rPr>
          <w:rFonts w:ascii="Garamond" w:hAnsi="Garamond"/>
          <w:smallCaps/>
          <w:sz w:val="20"/>
          <w:szCs w:val="18"/>
        </w:rPr>
        <w:t xml:space="preserve">M. </w:t>
      </w:r>
      <w:proofErr w:type="spellStart"/>
      <w:r w:rsidRPr="00250E6F">
        <w:rPr>
          <w:rFonts w:ascii="Garamond" w:hAnsi="Garamond"/>
          <w:smallCaps/>
          <w:sz w:val="20"/>
          <w:szCs w:val="18"/>
        </w:rPr>
        <w:t>Immordino</w:t>
      </w:r>
      <w:proofErr w:type="spellEnd"/>
      <w:r w:rsidRPr="00250E6F">
        <w:rPr>
          <w:rFonts w:ascii="Garamond" w:hAnsi="Garamond"/>
          <w:sz w:val="20"/>
          <w:szCs w:val="18"/>
        </w:rPr>
        <w:t xml:space="preserve">, </w:t>
      </w:r>
      <w:r w:rsidRPr="00250E6F">
        <w:rPr>
          <w:rFonts w:ascii="Garamond" w:hAnsi="Garamond"/>
          <w:i/>
          <w:sz w:val="20"/>
          <w:szCs w:val="18"/>
        </w:rPr>
        <w:t>Il potere amministrativo di revoca</w:t>
      </w:r>
      <w:r w:rsidRPr="00250E6F">
        <w:rPr>
          <w:rFonts w:ascii="Garamond" w:hAnsi="Garamond"/>
          <w:sz w:val="20"/>
          <w:szCs w:val="18"/>
        </w:rPr>
        <w:t xml:space="preserve">, cit.; nonché </w:t>
      </w:r>
      <w:r w:rsidRPr="00250E6F">
        <w:rPr>
          <w:rFonts w:ascii="Garamond" w:hAnsi="Garamond"/>
          <w:smallCaps/>
          <w:sz w:val="20"/>
          <w:szCs w:val="18"/>
        </w:rPr>
        <w:t>S. Tuccillo</w:t>
      </w:r>
      <w:r w:rsidRPr="00250E6F">
        <w:rPr>
          <w:rFonts w:ascii="Garamond" w:hAnsi="Garamond"/>
          <w:sz w:val="20"/>
          <w:szCs w:val="18"/>
        </w:rPr>
        <w:t xml:space="preserve">, </w:t>
      </w:r>
      <w:r w:rsidRPr="00250E6F">
        <w:rPr>
          <w:rFonts w:ascii="Garamond" w:hAnsi="Garamond"/>
          <w:i/>
          <w:sz w:val="20"/>
          <w:szCs w:val="18"/>
        </w:rPr>
        <w:t>Contributo allo studio della funzione amministrativa come dovere</w:t>
      </w:r>
      <w:r w:rsidRPr="00250E6F">
        <w:rPr>
          <w:rFonts w:ascii="Garamond" w:hAnsi="Garamond"/>
          <w:sz w:val="20"/>
          <w:szCs w:val="18"/>
        </w:rPr>
        <w:t xml:space="preserve">, cit. </w:t>
      </w:r>
      <w:r w:rsidRPr="00250E6F">
        <w:rPr>
          <w:rFonts w:ascii="Garamond" w:hAnsi="Garamond"/>
          <w:i/>
          <w:sz w:val="20"/>
          <w:szCs w:val="18"/>
        </w:rPr>
        <w:t>Contra</w:t>
      </w:r>
      <w:r w:rsidRPr="00250E6F">
        <w:rPr>
          <w:rFonts w:ascii="Garamond" w:hAnsi="Garamond"/>
          <w:sz w:val="20"/>
          <w:szCs w:val="18"/>
        </w:rPr>
        <w:t xml:space="preserve">, invece, </w:t>
      </w:r>
      <w:r w:rsidRPr="00250E6F">
        <w:rPr>
          <w:rFonts w:ascii="Garamond" w:hAnsi="Garamond"/>
          <w:smallCaps/>
          <w:sz w:val="20"/>
          <w:szCs w:val="18"/>
        </w:rPr>
        <w:t xml:space="preserve">A. </w:t>
      </w:r>
      <w:proofErr w:type="spellStart"/>
      <w:r w:rsidRPr="00250E6F">
        <w:rPr>
          <w:rFonts w:ascii="Garamond" w:hAnsi="Garamond"/>
          <w:smallCaps/>
          <w:sz w:val="20"/>
          <w:szCs w:val="18"/>
        </w:rPr>
        <w:t>Gualdani</w:t>
      </w:r>
      <w:proofErr w:type="spellEnd"/>
      <w:r w:rsidRPr="00250E6F">
        <w:rPr>
          <w:rFonts w:ascii="Garamond" w:hAnsi="Garamond"/>
          <w:sz w:val="20"/>
          <w:szCs w:val="18"/>
        </w:rPr>
        <w:t xml:space="preserve">, </w:t>
      </w:r>
      <w:r w:rsidRPr="00250E6F">
        <w:rPr>
          <w:rFonts w:ascii="Garamond" w:hAnsi="Garamond"/>
          <w:i/>
          <w:sz w:val="20"/>
          <w:szCs w:val="18"/>
        </w:rPr>
        <w:t>Il tempo nell’autotutela</w:t>
      </w:r>
      <w:r w:rsidRPr="00250E6F">
        <w:rPr>
          <w:rFonts w:ascii="Garamond" w:hAnsi="Garamond"/>
          <w:sz w:val="20"/>
          <w:szCs w:val="18"/>
        </w:rPr>
        <w:t xml:space="preserve">, in </w:t>
      </w:r>
      <w:r w:rsidRPr="00250E6F">
        <w:rPr>
          <w:rFonts w:ascii="Garamond" w:hAnsi="Garamond"/>
          <w:i/>
          <w:sz w:val="20"/>
          <w:szCs w:val="18"/>
        </w:rPr>
        <w:t>Federalismi.it</w:t>
      </w:r>
      <w:r w:rsidRPr="00250E6F">
        <w:rPr>
          <w:rFonts w:ascii="Garamond" w:hAnsi="Garamond"/>
          <w:sz w:val="20"/>
          <w:szCs w:val="18"/>
        </w:rPr>
        <w:t>, 12/2017, p. 1-15, la quale fa leva sulla giurisprudenza pressoché unanime circa la discrezionalità dell’autotutela, potere non coercibile dal giudice amministrativo tramite ricorso avverso il silenzio.</w:t>
      </w:r>
    </w:p>
  </w:footnote>
  <w:footnote w:id="81">
    <w:p w14:paraId="2F2841CF"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Per </w:t>
      </w:r>
      <w:r w:rsidRPr="00250E6F">
        <w:rPr>
          <w:rFonts w:ascii="Garamond" w:hAnsi="Garamond"/>
          <w:smallCaps/>
          <w:sz w:val="20"/>
          <w:szCs w:val="18"/>
        </w:rPr>
        <w:t>N. Paolantonio</w:t>
      </w:r>
      <w:r w:rsidRPr="00250E6F">
        <w:rPr>
          <w:rFonts w:ascii="Garamond" w:hAnsi="Garamond"/>
          <w:sz w:val="20"/>
          <w:szCs w:val="18"/>
        </w:rPr>
        <w:t xml:space="preserve">, </w:t>
      </w:r>
      <w:r w:rsidRPr="00250E6F">
        <w:rPr>
          <w:rFonts w:ascii="Garamond" w:hAnsi="Garamond"/>
          <w:i/>
          <w:sz w:val="20"/>
          <w:szCs w:val="18"/>
        </w:rPr>
        <w:t>Provvedimento in forma semplificata, doverosità della funzione ed esigenza di motivazione</w:t>
      </w:r>
      <w:r w:rsidRPr="00250E6F">
        <w:rPr>
          <w:rFonts w:ascii="Garamond" w:hAnsi="Garamond"/>
          <w:sz w:val="20"/>
          <w:szCs w:val="18"/>
        </w:rPr>
        <w:t xml:space="preserve">, in </w:t>
      </w:r>
      <w:r w:rsidRPr="00250E6F">
        <w:rPr>
          <w:rFonts w:ascii="Garamond" w:hAnsi="Garamond"/>
          <w:i/>
          <w:sz w:val="20"/>
          <w:szCs w:val="18"/>
        </w:rPr>
        <w:t>Giustamm.it</w:t>
      </w:r>
      <w:r w:rsidRPr="00250E6F">
        <w:rPr>
          <w:rFonts w:ascii="Garamond" w:hAnsi="Garamond"/>
          <w:sz w:val="20"/>
          <w:szCs w:val="18"/>
        </w:rPr>
        <w:t xml:space="preserve">, 12/2016, la giurisprudenza che esclude l’esistenza dell’obbligo di provvedere a fronte di istanze di autotutela si basa su un presupposto non condivisibile, in quanto «l’inoppugnabilità, categoria di dubbia fondatezza teorica, non è d’ostacolo ad una rinnovazione del potere ma, come pure precisa la giurisprudenza, a condizione che siano sopravvenuti mutamenti della situazione di fatto o di diritto, dovendosi escludere tale circostanza in presenza di domande manifestamente assurde o totalmente infondate, ovvero in presenza di domande illegali, non potendosi dare corso alla tutela di interessi cc.dd. illegittimi (secondo una fortunata espressione di </w:t>
      </w:r>
      <w:proofErr w:type="spellStart"/>
      <w:r w:rsidRPr="00250E6F">
        <w:rPr>
          <w:rFonts w:ascii="Garamond" w:hAnsi="Garamond"/>
          <w:sz w:val="20"/>
          <w:szCs w:val="18"/>
        </w:rPr>
        <w:t>Cannada</w:t>
      </w:r>
      <w:proofErr w:type="spellEnd"/>
      <w:r w:rsidRPr="00250E6F">
        <w:rPr>
          <w:rFonts w:ascii="Garamond" w:hAnsi="Garamond"/>
          <w:sz w:val="20"/>
          <w:szCs w:val="18"/>
        </w:rPr>
        <w:t xml:space="preserve"> Bartoli, male interpretata dalle Corti). Il vocabolario della giurisprudenza evoca il linguaggio impiegato dal novellato art. 2: l’istanza di riesame “totalmente” infondata può, con le dovute accortezze, essere accostata a quella “manifestamente” infondata. Ebbene, in tutti questi casi – si pensi all’istanza di condono edilizio dolosamente travisata, respinta e sulla quale si proponga all’amministrazione un’istanza di riesame – sembrerebbe che, dopo la novella del 2012, l’autorità sia obbligata non solo a prendere in esame l’istanza, ma a “provvedere” su di essa, ossia ad esercitare una funzione doverosa».</w:t>
      </w:r>
    </w:p>
  </w:footnote>
  <w:footnote w:id="82">
    <w:p w14:paraId="36716B7B" w14:textId="77777777" w:rsidR="007E1CB9" w:rsidRPr="00250E6F" w:rsidRDefault="007E1CB9" w:rsidP="007A7DC1">
      <w:pPr>
        <w:pStyle w:val="Testonotaapidipagina"/>
        <w:spacing w:line="276" w:lineRule="auto"/>
        <w:ind w:firstLine="284"/>
        <w:jc w:val="both"/>
        <w:rPr>
          <w:rFonts w:ascii="Garamond" w:hAnsi="Garamond"/>
          <w:sz w:val="20"/>
          <w:szCs w:val="18"/>
          <w:lang w:val="en-US"/>
        </w:rPr>
      </w:pPr>
      <w:r w:rsidRPr="00250E6F">
        <w:rPr>
          <w:rFonts w:ascii="Garamond" w:hAnsi="Garamond"/>
          <w:sz w:val="20"/>
          <w:szCs w:val="18"/>
          <w:vertAlign w:val="superscript"/>
        </w:rPr>
        <w:footnoteRef/>
      </w:r>
      <w:r w:rsidRPr="00250E6F">
        <w:rPr>
          <w:rFonts w:ascii="Garamond" w:hAnsi="Garamond"/>
          <w:sz w:val="20"/>
          <w:szCs w:val="18"/>
          <w:lang w:val="en-US"/>
        </w:rPr>
        <w:t xml:space="preserve"> Cons. </w:t>
      </w:r>
      <w:proofErr w:type="spellStart"/>
      <w:r w:rsidRPr="00250E6F">
        <w:rPr>
          <w:rFonts w:ascii="Garamond" w:hAnsi="Garamond"/>
          <w:sz w:val="20"/>
          <w:szCs w:val="18"/>
          <w:lang w:val="en-US"/>
        </w:rPr>
        <w:t>Stato</w:t>
      </w:r>
      <w:proofErr w:type="spellEnd"/>
      <w:r w:rsidRPr="00250E6F">
        <w:rPr>
          <w:rFonts w:ascii="Garamond" w:hAnsi="Garamond"/>
          <w:sz w:val="20"/>
          <w:szCs w:val="18"/>
          <w:lang w:val="en-US"/>
        </w:rPr>
        <w:t xml:space="preserve">, Ad. </w:t>
      </w:r>
      <w:proofErr w:type="spellStart"/>
      <w:proofErr w:type="gramStart"/>
      <w:r w:rsidRPr="00250E6F">
        <w:rPr>
          <w:rFonts w:ascii="Garamond" w:hAnsi="Garamond"/>
          <w:sz w:val="20"/>
          <w:szCs w:val="18"/>
          <w:lang w:val="en-US"/>
        </w:rPr>
        <w:t>plen</w:t>
      </w:r>
      <w:proofErr w:type="spellEnd"/>
      <w:r w:rsidRPr="00250E6F">
        <w:rPr>
          <w:rFonts w:ascii="Garamond" w:hAnsi="Garamond"/>
          <w:sz w:val="20"/>
          <w:szCs w:val="18"/>
          <w:lang w:val="en-US"/>
        </w:rPr>
        <w:t>.,</w:t>
      </w:r>
      <w:proofErr w:type="gramEnd"/>
      <w:r w:rsidRPr="00250E6F">
        <w:rPr>
          <w:rFonts w:ascii="Garamond" w:hAnsi="Garamond"/>
          <w:sz w:val="20"/>
          <w:szCs w:val="18"/>
          <w:lang w:val="en-US"/>
        </w:rPr>
        <w:t xml:space="preserve"> n. 3/’11.</w:t>
      </w:r>
    </w:p>
  </w:footnote>
  <w:footnote w:id="83">
    <w:p w14:paraId="383519E3"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Sul tema, il classico contributo di </w:t>
      </w:r>
      <w:r w:rsidRPr="00250E6F">
        <w:rPr>
          <w:rFonts w:ascii="Garamond" w:hAnsi="Garamond"/>
          <w:smallCaps/>
          <w:sz w:val="20"/>
          <w:szCs w:val="18"/>
        </w:rPr>
        <w:t>P. Stella Richter</w:t>
      </w:r>
      <w:r w:rsidRPr="00250E6F">
        <w:rPr>
          <w:rFonts w:ascii="Garamond" w:hAnsi="Garamond"/>
          <w:sz w:val="20"/>
          <w:szCs w:val="18"/>
        </w:rPr>
        <w:t xml:space="preserve">, </w:t>
      </w:r>
      <w:r w:rsidRPr="00250E6F">
        <w:rPr>
          <w:rFonts w:ascii="Garamond" w:hAnsi="Garamond"/>
          <w:i/>
          <w:iCs/>
          <w:sz w:val="20"/>
          <w:szCs w:val="18"/>
        </w:rPr>
        <w:t>L’inoppugnabilità</w:t>
      </w:r>
      <w:r w:rsidRPr="00250E6F">
        <w:rPr>
          <w:rFonts w:ascii="Garamond" w:hAnsi="Garamond"/>
          <w:sz w:val="20"/>
          <w:szCs w:val="18"/>
        </w:rPr>
        <w:t xml:space="preserve">, Milano, 1970. </w:t>
      </w:r>
      <w:r w:rsidRPr="00250E6F">
        <w:rPr>
          <w:rFonts w:ascii="Garamond" w:hAnsi="Garamond"/>
          <w:smallCaps/>
          <w:sz w:val="20"/>
          <w:szCs w:val="18"/>
        </w:rPr>
        <w:t>M.S. Giannini</w:t>
      </w:r>
      <w:r w:rsidRPr="00250E6F">
        <w:rPr>
          <w:rFonts w:ascii="Garamond" w:hAnsi="Garamond"/>
          <w:sz w:val="20"/>
          <w:szCs w:val="18"/>
        </w:rPr>
        <w:t xml:space="preserve">, voce </w:t>
      </w:r>
      <w:r w:rsidRPr="00250E6F">
        <w:rPr>
          <w:rFonts w:ascii="Garamond" w:hAnsi="Garamond"/>
          <w:i/>
          <w:sz w:val="20"/>
          <w:szCs w:val="18"/>
        </w:rPr>
        <w:t>Acquiescenza (diritto amministrativo)</w:t>
      </w:r>
      <w:r w:rsidRPr="00250E6F">
        <w:rPr>
          <w:rFonts w:ascii="Garamond" w:hAnsi="Garamond"/>
          <w:sz w:val="20"/>
          <w:szCs w:val="18"/>
        </w:rPr>
        <w:t xml:space="preserve">, in </w:t>
      </w:r>
      <w:proofErr w:type="spellStart"/>
      <w:r w:rsidRPr="00250E6F">
        <w:rPr>
          <w:rFonts w:ascii="Garamond" w:hAnsi="Garamond"/>
          <w:i/>
          <w:sz w:val="20"/>
          <w:szCs w:val="18"/>
        </w:rPr>
        <w:t>Enc</w:t>
      </w:r>
      <w:proofErr w:type="spellEnd"/>
      <w:r w:rsidRPr="00250E6F">
        <w:rPr>
          <w:rFonts w:ascii="Garamond" w:hAnsi="Garamond"/>
          <w:i/>
          <w:sz w:val="20"/>
          <w:szCs w:val="18"/>
        </w:rPr>
        <w:t>. dir.</w:t>
      </w:r>
      <w:r w:rsidRPr="00250E6F">
        <w:rPr>
          <w:rFonts w:ascii="Garamond" w:hAnsi="Garamond"/>
          <w:sz w:val="20"/>
          <w:szCs w:val="18"/>
        </w:rPr>
        <w:t>, I, Milano, 1958, p. 506 ss., spec. p. 508, chiarisce che le due figure producono effetti diversi: prestare acquiescenza a un provvedimento lo rende inoppugnabile, appunto, per l’acquiescente, ma non per gli altri destinatari dello stesso; e se si tratta di provvedimento indivisibile, l’eventuale annullamento ottenuto dagli altri destinatari si estende anche all’acquiescente.</w:t>
      </w:r>
    </w:p>
  </w:footnote>
  <w:footnote w:id="84">
    <w:p w14:paraId="682EE8E3" w14:textId="77777777" w:rsidR="007E1CB9" w:rsidRPr="00250E6F" w:rsidRDefault="007E1CB9" w:rsidP="007A7DC1">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w:t>
      </w:r>
      <w:r w:rsidRPr="00250E6F">
        <w:rPr>
          <w:rFonts w:ascii="Garamond" w:hAnsi="Garamond"/>
          <w:smallCaps/>
          <w:sz w:val="20"/>
          <w:szCs w:val="18"/>
        </w:rPr>
        <w:t>M. Monteduro</w:t>
      </w:r>
      <w:r w:rsidRPr="00250E6F">
        <w:rPr>
          <w:rFonts w:ascii="Garamond" w:hAnsi="Garamond"/>
          <w:sz w:val="20"/>
          <w:szCs w:val="18"/>
        </w:rPr>
        <w:t xml:space="preserve">, </w:t>
      </w:r>
      <w:r w:rsidRPr="00250E6F">
        <w:rPr>
          <w:rFonts w:ascii="Garamond" w:hAnsi="Garamond"/>
          <w:i/>
          <w:sz w:val="20"/>
          <w:szCs w:val="18"/>
        </w:rPr>
        <w:t>Sul processo come schema di interpretazione del procedimento</w:t>
      </w:r>
      <w:r w:rsidRPr="00250E6F">
        <w:rPr>
          <w:rFonts w:ascii="Garamond" w:hAnsi="Garamond"/>
          <w:sz w:val="20"/>
          <w:szCs w:val="18"/>
        </w:rPr>
        <w:t>, cit.</w:t>
      </w:r>
    </w:p>
  </w:footnote>
  <w:footnote w:id="85">
    <w:p w14:paraId="5585891E" w14:textId="2626C122" w:rsidR="005D73A4" w:rsidRPr="00250E6F" w:rsidRDefault="005D73A4" w:rsidP="005D73A4">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w:t>
      </w:r>
      <w:r w:rsidRPr="00250E6F">
        <w:rPr>
          <w:rFonts w:ascii="Garamond" w:hAnsi="Garamond"/>
          <w:smallCaps/>
          <w:sz w:val="20"/>
          <w:szCs w:val="18"/>
        </w:rPr>
        <w:t>R. Alessi</w:t>
      </w:r>
      <w:r w:rsidRPr="00250E6F">
        <w:rPr>
          <w:rFonts w:ascii="Garamond" w:hAnsi="Garamond"/>
          <w:sz w:val="20"/>
          <w:szCs w:val="18"/>
        </w:rPr>
        <w:t xml:space="preserve">, </w:t>
      </w:r>
      <w:r w:rsidRPr="00250E6F">
        <w:rPr>
          <w:rFonts w:ascii="Garamond" w:hAnsi="Garamond"/>
          <w:i/>
          <w:sz w:val="20"/>
          <w:szCs w:val="18"/>
        </w:rPr>
        <w:t>La revoca</w:t>
      </w:r>
      <w:r w:rsidRPr="00250E6F">
        <w:rPr>
          <w:rFonts w:ascii="Garamond" w:hAnsi="Garamond"/>
          <w:sz w:val="20"/>
          <w:szCs w:val="18"/>
        </w:rPr>
        <w:t>, cit.</w:t>
      </w:r>
    </w:p>
  </w:footnote>
  <w:footnote w:id="86">
    <w:p w14:paraId="3A736154" w14:textId="3A440104" w:rsidR="005D73A4" w:rsidRPr="00250E6F" w:rsidRDefault="005D73A4" w:rsidP="005D73A4">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w:t>
      </w:r>
      <w:r w:rsidRPr="00250E6F">
        <w:rPr>
          <w:rFonts w:ascii="Garamond" w:hAnsi="Garamond"/>
          <w:smallCaps/>
          <w:sz w:val="20"/>
          <w:szCs w:val="18"/>
        </w:rPr>
        <w:t xml:space="preserve">A. </w:t>
      </w:r>
      <w:proofErr w:type="spellStart"/>
      <w:r w:rsidRPr="00250E6F">
        <w:rPr>
          <w:rFonts w:ascii="Garamond" w:hAnsi="Garamond"/>
          <w:smallCaps/>
          <w:sz w:val="20"/>
          <w:szCs w:val="18"/>
        </w:rPr>
        <w:t>Contieri</w:t>
      </w:r>
      <w:proofErr w:type="spellEnd"/>
      <w:r w:rsidRPr="00250E6F">
        <w:rPr>
          <w:rFonts w:ascii="Garamond" w:hAnsi="Garamond"/>
          <w:sz w:val="20"/>
          <w:szCs w:val="18"/>
        </w:rPr>
        <w:t xml:space="preserve">, </w:t>
      </w:r>
      <w:r w:rsidRPr="00250E6F">
        <w:rPr>
          <w:rFonts w:ascii="Garamond" w:hAnsi="Garamond"/>
          <w:i/>
          <w:sz w:val="20"/>
          <w:szCs w:val="18"/>
        </w:rPr>
        <w:t>Il riesame del provvedimento amministrativo</w:t>
      </w:r>
      <w:r w:rsidRPr="00250E6F">
        <w:rPr>
          <w:rFonts w:ascii="Garamond" w:hAnsi="Garamond"/>
          <w:sz w:val="20"/>
          <w:szCs w:val="18"/>
        </w:rPr>
        <w:t xml:space="preserve">, cit.; </w:t>
      </w:r>
      <w:r w:rsidRPr="00250E6F">
        <w:rPr>
          <w:rFonts w:ascii="Garamond" w:hAnsi="Garamond"/>
          <w:smallCaps/>
          <w:sz w:val="20"/>
          <w:szCs w:val="18"/>
        </w:rPr>
        <w:t xml:space="preserve">M. </w:t>
      </w:r>
      <w:proofErr w:type="spellStart"/>
      <w:r w:rsidRPr="00250E6F">
        <w:rPr>
          <w:rFonts w:ascii="Garamond" w:hAnsi="Garamond"/>
          <w:smallCaps/>
          <w:sz w:val="20"/>
          <w:szCs w:val="18"/>
        </w:rPr>
        <w:t>Immordino</w:t>
      </w:r>
      <w:proofErr w:type="spellEnd"/>
      <w:r w:rsidRPr="00250E6F">
        <w:rPr>
          <w:rFonts w:ascii="Garamond" w:hAnsi="Garamond"/>
          <w:sz w:val="20"/>
          <w:szCs w:val="18"/>
        </w:rPr>
        <w:t xml:space="preserve">, </w:t>
      </w:r>
      <w:r w:rsidRPr="00250E6F">
        <w:rPr>
          <w:rFonts w:ascii="Garamond" w:hAnsi="Garamond"/>
          <w:i/>
          <w:sz w:val="20"/>
          <w:szCs w:val="18"/>
        </w:rPr>
        <w:t>Revoca degli atti amministrativi</w:t>
      </w:r>
      <w:r w:rsidRPr="00250E6F">
        <w:rPr>
          <w:rFonts w:ascii="Garamond" w:hAnsi="Garamond"/>
          <w:sz w:val="20"/>
          <w:szCs w:val="18"/>
        </w:rPr>
        <w:t>, cit.</w:t>
      </w:r>
      <w:r w:rsidR="00D95EF6" w:rsidRPr="00250E6F">
        <w:rPr>
          <w:rFonts w:ascii="Garamond" w:hAnsi="Garamond"/>
          <w:sz w:val="20"/>
          <w:szCs w:val="18"/>
        </w:rPr>
        <w:t xml:space="preserve">; </w:t>
      </w:r>
      <w:r w:rsidR="00D95EF6" w:rsidRPr="00250E6F">
        <w:rPr>
          <w:rFonts w:ascii="Garamond" w:hAnsi="Garamond"/>
          <w:smallCaps/>
          <w:sz w:val="20"/>
          <w:szCs w:val="18"/>
        </w:rPr>
        <w:t>B.G. Mattarella</w:t>
      </w:r>
      <w:r w:rsidR="00D95EF6" w:rsidRPr="00250E6F">
        <w:rPr>
          <w:rFonts w:ascii="Garamond" w:hAnsi="Garamond"/>
          <w:sz w:val="20"/>
          <w:szCs w:val="18"/>
        </w:rPr>
        <w:t xml:space="preserve">, </w:t>
      </w:r>
      <w:r w:rsidR="00D95EF6" w:rsidRPr="00250E6F">
        <w:rPr>
          <w:rFonts w:ascii="Garamond" w:hAnsi="Garamond"/>
          <w:i/>
          <w:sz w:val="20"/>
          <w:szCs w:val="18"/>
        </w:rPr>
        <w:t xml:space="preserve">Autotutela </w:t>
      </w:r>
      <w:r w:rsidR="005D2CB6" w:rsidRPr="00250E6F">
        <w:rPr>
          <w:rFonts w:ascii="Garamond" w:hAnsi="Garamond"/>
          <w:i/>
          <w:sz w:val="20"/>
          <w:szCs w:val="18"/>
        </w:rPr>
        <w:t xml:space="preserve">amministrativa </w:t>
      </w:r>
      <w:r w:rsidR="00D95EF6" w:rsidRPr="00250E6F">
        <w:rPr>
          <w:rFonts w:ascii="Garamond" w:hAnsi="Garamond"/>
          <w:i/>
          <w:sz w:val="20"/>
          <w:szCs w:val="18"/>
        </w:rPr>
        <w:t>e principio di legalità</w:t>
      </w:r>
      <w:r w:rsidR="00D95EF6" w:rsidRPr="00250E6F">
        <w:rPr>
          <w:rFonts w:ascii="Garamond" w:hAnsi="Garamond"/>
          <w:sz w:val="20"/>
          <w:szCs w:val="18"/>
        </w:rPr>
        <w:t>, cit.</w:t>
      </w:r>
    </w:p>
  </w:footnote>
  <w:footnote w:id="87">
    <w:p w14:paraId="7A718B6A" w14:textId="35F55639" w:rsidR="00F01740" w:rsidRPr="00250E6F" w:rsidRDefault="00F01740" w:rsidP="00F01740">
      <w:pPr>
        <w:pStyle w:val="Testonotaapidipagina"/>
        <w:spacing w:line="276" w:lineRule="auto"/>
        <w:ind w:firstLine="284"/>
        <w:jc w:val="both"/>
        <w:rPr>
          <w:rFonts w:ascii="Garamond" w:hAnsi="Garamond"/>
          <w:sz w:val="20"/>
          <w:szCs w:val="18"/>
        </w:rPr>
      </w:pPr>
      <w:r w:rsidRPr="00250E6F">
        <w:rPr>
          <w:rFonts w:ascii="Garamond" w:hAnsi="Garamond"/>
          <w:sz w:val="20"/>
          <w:szCs w:val="18"/>
          <w:vertAlign w:val="superscript"/>
        </w:rPr>
        <w:footnoteRef/>
      </w:r>
      <w:r w:rsidRPr="00250E6F">
        <w:rPr>
          <w:rFonts w:ascii="Garamond" w:hAnsi="Garamond"/>
          <w:sz w:val="20"/>
          <w:szCs w:val="18"/>
        </w:rPr>
        <w:t xml:space="preserve"> Per </w:t>
      </w:r>
      <w:r w:rsidRPr="00250E6F">
        <w:rPr>
          <w:rFonts w:ascii="Garamond" w:hAnsi="Garamond"/>
          <w:smallCaps/>
          <w:sz w:val="20"/>
          <w:szCs w:val="18"/>
        </w:rPr>
        <w:t>B.G. Mattarella</w:t>
      </w:r>
      <w:r w:rsidRPr="00250E6F">
        <w:rPr>
          <w:rFonts w:ascii="Garamond" w:hAnsi="Garamond"/>
          <w:sz w:val="20"/>
          <w:szCs w:val="18"/>
        </w:rPr>
        <w:t xml:space="preserve">, </w:t>
      </w:r>
      <w:r w:rsidRPr="00250E6F">
        <w:rPr>
          <w:rFonts w:ascii="Garamond" w:hAnsi="Garamond"/>
          <w:i/>
          <w:sz w:val="20"/>
          <w:szCs w:val="18"/>
        </w:rPr>
        <w:t>Autotutela amministrativa e principio di legalità</w:t>
      </w:r>
      <w:r w:rsidRPr="00250E6F">
        <w:rPr>
          <w:rFonts w:ascii="Garamond" w:hAnsi="Garamond"/>
          <w:sz w:val="20"/>
          <w:szCs w:val="18"/>
        </w:rPr>
        <w:t>, cit., la diversa collocazione di revoca e annullamento d’ufficio tra amministrazione attiva e autotutela ha comunque contorni sfumati e abbastanza indefiniti: «la confusione che la giurisprudenza e − da ultimo − il legislatore [riferendosi all’art. 21-</w:t>
      </w:r>
      <w:r w:rsidRPr="00250E6F">
        <w:rPr>
          <w:rFonts w:ascii="Garamond" w:hAnsi="Garamond"/>
          <w:i/>
          <w:sz w:val="20"/>
          <w:szCs w:val="18"/>
        </w:rPr>
        <w:t>quinquies</w:t>
      </w:r>
      <w:r w:rsidRPr="00250E6F">
        <w:rPr>
          <w:rFonts w:ascii="Garamond" w:hAnsi="Garamond"/>
          <w:sz w:val="20"/>
          <w:szCs w:val="18"/>
        </w:rPr>
        <w:t>, co. 1-</w:t>
      </w:r>
      <w:r w:rsidRPr="00250E6F">
        <w:rPr>
          <w:rFonts w:ascii="Garamond" w:hAnsi="Garamond"/>
          <w:i/>
          <w:sz w:val="20"/>
          <w:szCs w:val="18"/>
        </w:rPr>
        <w:t>bis</w:t>
      </w:r>
      <w:r w:rsidRPr="00250E6F">
        <w:rPr>
          <w:rFonts w:ascii="Garamond" w:hAnsi="Garamond"/>
          <w:sz w:val="20"/>
          <w:szCs w:val="18"/>
        </w:rPr>
        <w:t xml:space="preserve">, </w:t>
      </w:r>
      <w:proofErr w:type="spellStart"/>
      <w:r w:rsidRPr="00250E6F">
        <w:rPr>
          <w:rFonts w:ascii="Garamond" w:hAnsi="Garamond"/>
          <w:sz w:val="20"/>
          <w:szCs w:val="18"/>
        </w:rPr>
        <w:t>n.d.r.</w:t>
      </w:r>
      <w:proofErr w:type="spellEnd"/>
      <w:r w:rsidRPr="00250E6F">
        <w:rPr>
          <w:rFonts w:ascii="Garamond" w:hAnsi="Garamond"/>
          <w:sz w:val="20"/>
          <w:szCs w:val="18"/>
        </w:rPr>
        <w:t>] fanno tra annullamento d’ufficio e revoca mostra che l’applicazione troppo rigida di un criterio distintivo rischierebbe di tradire la realtà dell’ordinamento»</w:t>
      </w:r>
      <w:r w:rsidR="003D1F01" w:rsidRPr="00250E6F">
        <w:rPr>
          <w:rFonts w:ascii="Garamond" w:hAnsi="Garamond"/>
          <w:sz w:val="20"/>
          <w:szCs w:val="18"/>
        </w:rPr>
        <w:t xml:space="preserve">, </w:t>
      </w:r>
      <w:r w:rsidR="00A17162" w:rsidRPr="00250E6F">
        <w:rPr>
          <w:rFonts w:ascii="Garamond" w:hAnsi="Garamond"/>
          <w:sz w:val="20"/>
          <w:szCs w:val="18"/>
        </w:rPr>
        <w:t>la</w:t>
      </w:r>
      <w:r w:rsidR="003D1F01" w:rsidRPr="00250E6F">
        <w:rPr>
          <w:rFonts w:ascii="Garamond" w:hAnsi="Garamond"/>
          <w:sz w:val="20"/>
          <w:szCs w:val="18"/>
        </w:rPr>
        <w:t xml:space="preserve"> quale, invece, è decisamente più fluid</w:t>
      </w:r>
      <w:r w:rsidR="00A17162" w:rsidRPr="00250E6F">
        <w:rPr>
          <w:rFonts w:ascii="Garamond" w:hAnsi="Garamond"/>
          <w:sz w:val="20"/>
          <w:szCs w:val="18"/>
        </w:rPr>
        <w:t>a</w:t>
      </w:r>
      <w:r w:rsidRPr="00250E6F">
        <w:rPr>
          <w:rFonts w:ascii="Garamond" w:hAnsi="Garamond"/>
          <w:sz w:val="20"/>
          <w:szCs w:val="18"/>
        </w:rPr>
        <w:t>.</w:t>
      </w:r>
    </w:p>
  </w:footnote>
  <w:footnote w:id="88">
    <w:p w14:paraId="4BE7041F" w14:textId="4B42E4F4" w:rsidR="009C47EF" w:rsidRPr="00F01740" w:rsidRDefault="009C47EF" w:rsidP="00F01740">
      <w:pPr>
        <w:pStyle w:val="Testonotaapidipagina"/>
        <w:spacing w:line="276" w:lineRule="auto"/>
        <w:ind w:firstLine="284"/>
        <w:jc w:val="both"/>
        <w:rPr>
          <w:rFonts w:ascii="Garamond" w:hAnsi="Garamond"/>
          <w:sz w:val="20"/>
          <w:szCs w:val="18"/>
          <w:highlight w:val="yellow"/>
        </w:rPr>
      </w:pPr>
      <w:r w:rsidRPr="00250E6F">
        <w:rPr>
          <w:rFonts w:ascii="Garamond" w:hAnsi="Garamond"/>
          <w:sz w:val="20"/>
          <w:szCs w:val="18"/>
          <w:vertAlign w:val="superscript"/>
        </w:rPr>
        <w:footnoteRef/>
      </w:r>
      <w:r w:rsidRPr="00250E6F">
        <w:rPr>
          <w:rFonts w:ascii="Garamond" w:hAnsi="Garamond"/>
          <w:sz w:val="20"/>
          <w:szCs w:val="18"/>
        </w:rPr>
        <w:t xml:space="preserve"> Quella «adeguatezza costante» che </w:t>
      </w:r>
      <w:r w:rsidR="005D2CB6" w:rsidRPr="00250E6F">
        <w:rPr>
          <w:rFonts w:ascii="Garamond" w:hAnsi="Garamond"/>
          <w:sz w:val="20"/>
          <w:szCs w:val="18"/>
        </w:rPr>
        <w:t xml:space="preserve">il provvedimento amministrativo </w:t>
      </w:r>
      <w:r w:rsidRPr="00250E6F">
        <w:rPr>
          <w:rFonts w:ascii="Garamond" w:hAnsi="Garamond"/>
          <w:sz w:val="20"/>
          <w:szCs w:val="18"/>
        </w:rPr>
        <w:t xml:space="preserve">deve </w:t>
      </w:r>
      <w:r w:rsidR="005D2CB6" w:rsidRPr="00250E6F">
        <w:rPr>
          <w:rFonts w:ascii="Garamond" w:hAnsi="Garamond"/>
          <w:sz w:val="20"/>
          <w:szCs w:val="18"/>
        </w:rPr>
        <w:t>tenere</w:t>
      </w:r>
      <w:r w:rsidRPr="00250E6F">
        <w:rPr>
          <w:rFonts w:ascii="Garamond" w:hAnsi="Garamond"/>
          <w:sz w:val="20"/>
          <w:szCs w:val="18"/>
        </w:rPr>
        <w:t xml:space="preserve"> rispetto agli interessi pubblici mutevoli</w:t>
      </w:r>
      <w:r w:rsidR="00F01740" w:rsidRPr="00250E6F">
        <w:rPr>
          <w:rFonts w:ascii="Garamond" w:hAnsi="Garamond"/>
          <w:sz w:val="20"/>
          <w:szCs w:val="18"/>
        </w:rPr>
        <w:t xml:space="preserve">: </w:t>
      </w:r>
      <w:r w:rsidR="00F01740" w:rsidRPr="00250E6F">
        <w:rPr>
          <w:rFonts w:ascii="Garamond" w:hAnsi="Garamond"/>
          <w:smallCaps/>
          <w:sz w:val="20"/>
          <w:szCs w:val="18"/>
        </w:rPr>
        <w:t xml:space="preserve">M. </w:t>
      </w:r>
      <w:proofErr w:type="spellStart"/>
      <w:r w:rsidR="00F01740" w:rsidRPr="00250E6F">
        <w:rPr>
          <w:rFonts w:ascii="Garamond" w:hAnsi="Garamond"/>
          <w:smallCaps/>
          <w:sz w:val="20"/>
          <w:szCs w:val="18"/>
        </w:rPr>
        <w:t>Immordino</w:t>
      </w:r>
      <w:proofErr w:type="spellEnd"/>
      <w:r w:rsidR="00F01740" w:rsidRPr="00250E6F">
        <w:rPr>
          <w:rFonts w:ascii="Garamond" w:hAnsi="Garamond"/>
          <w:sz w:val="20"/>
          <w:szCs w:val="18"/>
        </w:rPr>
        <w:t xml:space="preserve">, </w:t>
      </w:r>
      <w:r w:rsidR="00F01740" w:rsidRPr="00250E6F">
        <w:rPr>
          <w:rFonts w:ascii="Garamond" w:hAnsi="Garamond"/>
          <w:i/>
          <w:sz w:val="20"/>
          <w:szCs w:val="18"/>
        </w:rPr>
        <w:t>Il potere amministrativo di revoca</w:t>
      </w:r>
      <w:r w:rsidR="00F01740" w:rsidRPr="00250E6F">
        <w:rPr>
          <w:rFonts w:ascii="Garamond" w:hAnsi="Garamond"/>
          <w:sz w:val="20"/>
          <w:szCs w:val="18"/>
        </w:rPr>
        <w:t>, cit.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CD9"/>
    <w:rsid w:val="00000D76"/>
    <w:rsid w:val="000063CA"/>
    <w:rsid w:val="00022B04"/>
    <w:rsid w:val="00023E7B"/>
    <w:rsid w:val="0002511A"/>
    <w:rsid w:val="00030513"/>
    <w:rsid w:val="00037FDD"/>
    <w:rsid w:val="000407C3"/>
    <w:rsid w:val="00041E79"/>
    <w:rsid w:val="00056AA1"/>
    <w:rsid w:val="000575AE"/>
    <w:rsid w:val="000671BA"/>
    <w:rsid w:val="000720DD"/>
    <w:rsid w:val="00076FC2"/>
    <w:rsid w:val="00084209"/>
    <w:rsid w:val="000A44C2"/>
    <w:rsid w:val="000A519B"/>
    <w:rsid w:val="000B2B04"/>
    <w:rsid w:val="000C3C49"/>
    <w:rsid w:val="000C7C1F"/>
    <w:rsid w:val="000D7D10"/>
    <w:rsid w:val="000E5304"/>
    <w:rsid w:val="000F7FA6"/>
    <w:rsid w:val="00106B82"/>
    <w:rsid w:val="00112BEA"/>
    <w:rsid w:val="00117D82"/>
    <w:rsid w:val="00117FB4"/>
    <w:rsid w:val="00126334"/>
    <w:rsid w:val="00134699"/>
    <w:rsid w:val="00136180"/>
    <w:rsid w:val="0015710D"/>
    <w:rsid w:val="00160F20"/>
    <w:rsid w:val="0016621E"/>
    <w:rsid w:val="00172CD1"/>
    <w:rsid w:val="001800EE"/>
    <w:rsid w:val="00195964"/>
    <w:rsid w:val="001A0000"/>
    <w:rsid w:val="001A0512"/>
    <w:rsid w:val="001A5EE2"/>
    <w:rsid w:val="001B1589"/>
    <w:rsid w:val="001D2205"/>
    <w:rsid w:val="001D5BEE"/>
    <w:rsid w:val="001E176D"/>
    <w:rsid w:val="001F3099"/>
    <w:rsid w:val="001F40A9"/>
    <w:rsid w:val="001F7E8D"/>
    <w:rsid w:val="0020034C"/>
    <w:rsid w:val="00203C11"/>
    <w:rsid w:val="002077F2"/>
    <w:rsid w:val="00210790"/>
    <w:rsid w:val="00216244"/>
    <w:rsid w:val="00217966"/>
    <w:rsid w:val="00231457"/>
    <w:rsid w:val="00240C9F"/>
    <w:rsid w:val="002419AC"/>
    <w:rsid w:val="00250E6F"/>
    <w:rsid w:val="002518FF"/>
    <w:rsid w:val="0025218A"/>
    <w:rsid w:val="002541B9"/>
    <w:rsid w:val="002549B6"/>
    <w:rsid w:val="00261023"/>
    <w:rsid w:val="00261C60"/>
    <w:rsid w:val="00266052"/>
    <w:rsid w:val="0026693C"/>
    <w:rsid w:val="00266B05"/>
    <w:rsid w:val="00281770"/>
    <w:rsid w:val="002828F3"/>
    <w:rsid w:val="00285C60"/>
    <w:rsid w:val="0029530E"/>
    <w:rsid w:val="002A43F6"/>
    <w:rsid w:val="002B10CC"/>
    <w:rsid w:val="002B543E"/>
    <w:rsid w:val="002B5CBC"/>
    <w:rsid w:val="002C06E3"/>
    <w:rsid w:val="002C2F2F"/>
    <w:rsid w:val="002C4BFB"/>
    <w:rsid w:val="002D7EC2"/>
    <w:rsid w:val="00305622"/>
    <w:rsid w:val="00313B07"/>
    <w:rsid w:val="00314DDE"/>
    <w:rsid w:val="00325C47"/>
    <w:rsid w:val="00327634"/>
    <w:rsid w:val="00331B9B"/>
    <w:rsid w:val="003355B2"/>
    <w:rsid w:val="00340EBF"/>
    <w:rsid w:val="003544B0"/>
    <w:rsid w:val="003567AB"/>
    <w:rsid w:val="00363952"/>
    <w:rsid w:val="003646E2"/>
    <w:rsid w:val="00380727"/>
    <w:rsid w:val="003824E7"/>
    <w:rsid w:val="003904CB"/>
    <w:rsid w:val="003A4FDF"/>
    <w:rsid w:val="003A7DD4"/>
    <w:rsid w:val="003B0ACA"/>
    <w:rsid w:val="003B4A6F"/>
    <w:rsid w:val="003B6A22"/>
    <w:rsid w:val="003C1F7C"/>
    <w:rsid w:val="003C651B"/>
    <w:rsid w:val="003D062D"/>
    <w:rsid w:val="003D1F01"/>
    <w:rsid w:val="003D24E2"/>
    <w:rsid w:val="003D2E4D"/>
    <w:rsid w:val="003D628D"/>
    <w:rsid w:val="003E60F4"/>
    <w:rsid w:val="003F1B4A"/>
    <w:rsid w:val="003F1D68"/>
    <w:rsid w:val="003F4DDD"/>
    <w:rsid w:val="004036E4"/>
    <w:rsid w:val="004051B7"/>
    <w:rsid w:val="0040775D"/>
    <w:rsid w:val="00410B63"/>
    <w:rsid w:val="00416AB5"/>
    <w:rsid w:val="00420730"/>
    <w:rsid w:val="00420C3E"/>
    <w:rsid w:val="00425F4B"/>
    <w:rsid w:val="004269E0"/>
    <w:rsid w:val="00426BFD"/>
    <w:rsid w:val="00430C33"/>
    <w:rsid w:val="00433A00"/>
    <w:rsid w:val="00436718"/>
    <w:rsid w:val="00437474"/>
    <w:rsid w:val="004400C9"/>
    <w:rsid w:val="004438F8"/>
    <w:rsid w:val="0046160D"/>
    <w:rsid w:val="0046221F"/>
    <w:rsid w:val="004634F2"/>
    <w:rsid w:val="00464314"/>
    <w:rsid w:val="0047492A"/>
    <w:rsid w:val="00480E49"/>
    <w:rsid w:val="004A0AF6"/>
    <w:rsid w:val="004A1B99"/>
    <w:rsid w:val="004B5741"/>
    <w:rsid w:val="004B7F02"/>
    <w:rsid w:val="004C3633"/>
    <w:rsid w:val="004D4E5E"/>
    <w:rsid w:val="004D78E4"/>
    <w:rsid w:val="004E1AB8"/>
    <w:rsid w:val="004F0552"/>
    <w:rsid w:val="00514F0C"/>
    <w:rsid w:val="00520306"/>
    <w:rsid w:val="00525AC0"/>
    <w:rsid w:val="005310D7"/>
    <w:rsid w:val="00533FDE"/>
    <w:rsid w:val="00542317"/>
    <w:rsid w:val="005427F0"/>
    <w:rsid w:val="00542C56"/>
    <w:rsid w:val="00560D13"/>
    <w:rsid w:val="005638D5"/>
    <w:rsid w:val="00586FA3"/>
    <w:rsid w:val="00587DA3"/>
    <w:rsid w:val="00592C63"/>
    <w:rsid w:val="00596D60"/>
    <w:rsid w:val="005A03AA"/>
    <w:rsid w:val="005A1C87"/>
    <w:rsid w:val="005A23C4"/>
    <w:rsid w:val="005A3CB8"/>
    <w:rsid w:val="005A4A5A"/>
    <w:rsid w:val="005A747A"/>
    <w:rsid w:val="005C40F2"/>
    <w:rsid w:val="005D2CB6"/>
    <w:rsid w:val="005D3B7C"/>
    <w:rsid w:val="005D6B6D"/>
    <w:rsid w:val="005D73A4"/>
    <w:rsid w:val="005E6440"/>
    <w:rsid w:val="005E7109"/>
    <w:rsid w:val="005F6248"/>
    <w:rsid w:val="00601BE7"/>
    <w:rsid w:val="00606186"/>
    <w:rsid w:val="00610E03"/>
    <w:rsid w:val="00617868"/>
    <w:rsid w:val="0061795D"/>
    <w:rsid w:val="00625317"/>
    <w:rsid w:val="00627709"/>
    <w:rsid w:val="00627B2D"/>
    <w:rsid w:val="00632107"/>
    <w:rsid w:val="006346EB"/>
    <w:rsid w:val="00636004"/>
    <w:rsid w:val="00636D4C"/>
    <w:rsid w:val="006466AC"/>
    <w:rsid w:val="006572EF"/>
    <w:rsid w:val="006625AF"/>
    <w:rsid w:val="006750D4"/>
    <w:rsid w:val="006862C1"/>
    <w:rsid w:val="0068659C"/>
    <w:rsid w:val="006867D1"/>
    <w:rsid w:val="00686D43"/>
    <w:rsid w:val="00691F07"/>
    <w:rsid w:val="00692BA2"/>
    <w:rsid w:val="006979F2"/>
    <w:rsid w:val="006A1515"/>
    <w:rsid w:val="006B4C53"/>
    <w:rsid w:val="006B4E28"/>
    <w:rsid w:val="006C3FF5"/>
    <w:rsid w:val="006D1423"/>
    <w:rsid w:val="006D5301"/>
    <w:rsid w:val="006D7D2A"/>
    <w:rsid w:val="006E781F"/>
    <w:rsid w:val="006F2EE8"/>
    <w:rsid w:val="006F3FE0"/>
    <w:rsid w:val="006F496E"/>
    <w:rsid w:val="006F5CC6"/>
    <w:rsid w:val="006F7B1F"/>
    <w:rsid w:val="007002AA"/>
    <w:rsid w:val="0070094E"/>
    <w:rsid w:val="0071284A"/>
    <w:rsid w:val="00712923"/>
    <w:rsid w:val="007134F8"/>
    <w:rsid w:val="00724FE0"/>
    <w:rsid w:val="0073239C"/>
    <w:rsid w:val="00750788"/>
    <w:rsid w:val="007559BA"/>
    <w:rsid w:val="00756100"/>
    <w:rsid w:val="00761106"/>
    <w:rsid w:val="007612E6"/>
    <w:rsid w:val="00764FFE"/>
    <w:rsid w:val="007665D8"/>
    <w:rsid w:val="00770021"/>
    <w:rsid w:val="00770A39"/>
    <w:rsid w:val="00781CE2"/>
    <w:rsid w:val="0078204F"/>
    <w:rsid w:val="007A0B62"/>
    <w:rsid w:val="007A5C40"/>
    <w:rsid w:val="007A7DC1"/>
    <w:rsid w:val="007B3ABD"/>
    <w:rsid w:val="007B4E9D"/>
    <w:rsid w:val="007B4F8D"/>
    <w:rsid w:val="007B614C"/>
    <w:rsid w:val="007B7F19"/>
    <w:rsid w:val="007D0093"/>
    <w:rsid w:val="007D2CD9"/>
    <w:rsid w:val="007E1CB9"/>
    <w:rsid w:val="007E1F66"/>
    <w:rsid w:val="007E26F5"/>
    <w:rsid w:val="007E453D"/>
    <w:rsid w:val="007E4AA6"/>
    <w:rsid w:val="007E51F7"/>
    <w:rsid w:val="007F2DD5"/>
    <w:rsid w:val="007F750D"/>
    <w:rsid w:val="00810557"/>
    <w:rsid w:val="00811C6F"/>
    <w:rsid w:val="00827E72"/>
    <w:rsid w:val="00830943"/>
    <w:rsid w:val="00837FBC"/>
    <w:rsid w:val="0084109F"/>
    <w:rsid w:val="00847815"/>
    <w:rsid w:val="00852FB1"/>
    <w:rsid w:val="00865E21"/>
    <w:rsid w:val="00873B08"/>
    <w:rsid w:val="00884A07"/>
    <w:rsid w:val="008879DF"/>
    <w:rsid w:val="008A0243"/>
    <w:rsid w:val="008A5420"/>
    <w:rsid w:val="008B30D1"/>
    <w:rsid w:val="008B52F1"/>
    <w:rsid w:val="008C09FF"/>
    <w:rsid w:val="008C0E8B"/>
    <w:rsid w:val="008D1563"/>
    <w:rsid w:val="008D39DD"/>
    <w:rsid w:val="008E22B2"/>
    <w:rsid w:val="008E7A9F"/>
    <w:rsid w:val="009022B3"/>
    <w:rsid w:val="00907519"/>
    <w:rsid w:val="00915357"/>
    <w:rsid w:val="00915BB1"/>
    <w:rsid w:val="009265D9"/>
    <w:rsid w:val="009318CF"/>
    <w:rsid w:val="00931FBC"/>
    <w:rsid w:val="009414A6"/>
    <w:rsid w:val="00953DBC"/>
    <w:rsid w:val="009570DC"/>
    <w:rsid w:val="00961B66"/>
    <w:rsid w:val="00973E57"/>
    <w:rsid w:val="00985ABD"/>
    <w:rsid w:val="00996944"/>
    <w:rsid w:val="00997349"/>
    <w:rsid w:val="009A55DE"/>
    <w:rsid w:val="009B32D7"/>
    <w:rsid w:val="009C47EF"/>
    <w:rsid w:val="009D3BE5"/>
    <w:rsid w:val="009D7A79"/>
    <w:rsid w:val="009E1F6B"/>
    <w:rsid w:val="009E31AA"/>
    <w:rsid w:val="009E4124"/>
    <w:rsid w:val="009E4161"/>
    <w:rsid w:val="009F2075"/>
    <w:rsid w:val="00A17162"/>
    <w:rsid w:val="00A20DB8"/>
    <w:rsid w:val="00A22272"/>
    <w:rsid w:val="00A30F41"/>
    <w:rsid w:val="00A314B8"/>
    <w:rsid w:val="00A32FDE"/>
    <w:rsid w:val="00A334F6"/>
    <w:rsid w:val="00A3454D"/>
    <w:rsid w:val="00A3554C"/>
    <w:rsid w:val="00A44FE3"/>
    <w:rsid w:val="00A45181"/>
    <w:rsid w:val="00A53554"/>
    <w:rsid w:val="00A54123"/>
    <w:rsid w:val="00A5420B"/>
    <w:rsid w:val="00A54BEE"/>
    <w:rsid w:val="00A56E22"/>
    <w:rsid w:val="00A57731"/>
    <w:rsid w:val="00A60C85"/>
    <w:rsid w:val="00A74F0E"/>
    <w:rsid w:val="00A81DEA"/>
    <w:rsid w:val="00A826E6"/>
    <w:rsid w:val="00A82846"/>
    <w:rsid w:val="00A94EAB"/>
    <w:rsid w:val="00A950C3"/>
    <w:rsid w:val="00AA0EEC"/>
    <w:rsid w:val="00AA7228"/>
    <w:rsid w:val="00AB03FD"/>
    <w:rsid w:val="00AC2BFA"/>
    <w:rsid w:val="00AC5807"/>
    <w:rsid w:val="00AC5E63"/>
    <w:rsid w:val="00AD22B0"/>
    <w:rsid w:val="00AE25B4"/>
    <w:rsid w:val="00AF31CB"/>
    <w:rsid w:val="00AF64A4"/>
    <w:rsid w:val="00B01AB6"/>
    <w:rsid w:val="00B01C32"/>
    <w:rsid w:val="00B04037"/>
    <w:rsid w:val="00B04329"/>
    <w:rsid w:val="00B04AE8"/>
    <w:rsid w:val="00B07350"/>
    <w:rsid w:val="00B07405"/>
    <w:rsid w:val="00B12396"/>
    <w:rsid w:val="00B12FB6"/>
    <w:rsid w:val="00B13300"/>
    <w:rsid w:val="00B14C59"/>
    <w:rsid w:val="00B1615B"/>
    <w:rsid w:val="00B20057"/>
    <w:rsid w:val="00B32379"/>
    <w:rsid w:val="00B3638F"/>
    <w:rsid w:val="00B43E6C"/>
    <w:rsid w:val="00B4404B"/>
    <w:rsid w:val="00B503AA"/>
    <w:rsid w:val="00B55621"/>
    <w:rsid w:val="00B5608A"/>
    <w:rsid w:val="00B62CC2"/>
    <w:rsid w:val="00B63C01"/>
    <w:rsid w:val="00B75DC8"/>
    <w:rsid w:val="00B9508D"/>
    <w:rsid w:val="00BA2953"/>
    <w:rsid w:val="00BA5245"/>
    <w:rsid w:val="00BB54FE"/>
    <w:rsid w:val="00BC2930"/>
    <w:rsid w:val="00BC7C54"/>
    <w:rsid w:val="00BD3E76"/>
    <w:rsid w:val="00BD5025"/>
    <w:rsid w:val="00BD6EE2"/>
    <w:rsid w:val="00BE4D52"/>
    <w:rsid w:val="00BE4F04"/>
    <w:rsid w:val="00BF294D"/>
    <w:rsid w:val="00C04C3E"/>
    <w:rsid w:val="00C04EBA"/>
    <w:rsid w:val="00C06677"/>
    <w:rsid w:val="00C06EC6"/>
    <w:rsid w:val="00C14892"/>
    <w:rsid w:val="00C255C0"/>
    <w:rsid w:val="00C53026"/>
    <w:rsid w:val="00C72C65"/>
    <w:rsid w:val="00C80C16"/>
    <w:rsid w:val="00C8146F"/>
    <w:rsid w:val="00C81665"/>
    <w:rsid w:val="00C82AEE"/>
    <w:rsid w:val="00C832FB"/>
    <w:rsid w:val="00C90BDF"/>
    <w:rsid w:val="00CA0BC0"/>
    <w:rsid w:val="00CA448A"/>
    <w:rsid w:val="00CA5142"/>
    <w:rsid w:val="00CB1A23"/>
    <w:rsid w:val="00CB64AD"/>
    <w:rsid w:val="00CC0092"/>
    <w:rsid w:val="00CC3499"/>
    <w:rsid w:val="00CC3A63"/>
    <w:rsid w:val="00CC6BF9"/>
    <w:rsid w:val="00CD16D9"/>
    <w:rsid w:val="00CD7C43"/>
    <w:rsid w:val="00D11941"/>
    <w:rsid w:val="00D1334B"/>
    <w:rsid w:val="00D1423A"/>
    <w:rsid w:val="00D2296A"/>
    <w:rsid w:val="00D30FF9"/>
    <w:rsid w:val="00D362E1"/>
    <w:rsid w:val="00D36B7C"/>
    <w:rsid w:val="00D37CC3"/>
    <w:rsid w:val="00D50FC0"/>
    <w:rsid w:val="00D54F28"/>
    <w:rsid w:val="00D610FA"/>
    <w:rsid w:val="00D64853"/>
    <w:rsid w:val="00D650E9"/>
    <w:rsid w:val="00D66038"/>
    <w:rsid w:val="00D83BCA"/>
    <w:rsid w:val="00D85760"/>
    <w:rsid w:val="00D90A19"/>
    <w:rsid w:val="00D937D2"/>
    <w:rsid w:val="00D951DE"/>
    <w:rsid w:val="00D95250"/>
    <w:rsid w:val="00D95B28"/>
    <w:rsid w:val="00D95EF6"/>
    <w:rsid w:val="00DB3D1D"/>
    <w:rsid w:val="00DB3E22"/>
    <w:rsid w:val="00DC097E"/>
    <w:rsid w:val="00DC1126"/>
    <w:rsid w:val="00DD058D"/>
    <w:rsid w:val="00DD23F8"/>
    <w:rsid w:val="00DD3B45"/>
    <w:rsid w:val="00DD5C72"/>
    <w:rsid w:val="00DF32C7"/>
    <w:rsid w:val="00E02868"/>
    <w:rsid w:val="00E03947"/>
    <w:rsid w:val="00E12FAE"/>
    <w:rsid w:val="00E14F25"/>
    <w:rsid w:val="00E378CF"/>
    <w:rsid w:val="00E4321B"/>
    <w:rsid w:val="00E51018"/>
    <w:rsid w:val="00E52817"/>
    <w:rsid w:val="00E54AD6"/>
    <w:rsid w:val="00E556D3"/>
    <w:rsid w:val="00E60F8D"/>
    <w:rsid w:val="00E616B7"/>
    <w:rsid w:val="00E62CD0"/>
    <w:rsid w:val="00E641D8"/>
    <w:rsid w:val="00E7176C"/>
    <w:rsid w:val="00E8074B"/>
    <w:rsid w:val="00E846E9"/>
    <w:rsid w:val="00E87659"/>
    <w:rsid w:val="00E90098"/>
    <w:rsid w:val="00E9442C"/>
    <w:rsid w:val="00EA7222"/>
    <w:rsid w:val="00EC18B5"/>
    <w:rsid w:val="00ED0650"/>
    <w:rsid w:val="00ED48F7"/>
    <w:rsid w:val="00ED6B8E"/>
    <w:rsid w:val="00EE16EB"/>
    <w:rsid w:val="00EE5E66"/>
    <w:rsid w:val="00EE73AC"/>
    <w:rsid w:val="00EF4066"/>
    <w:rsid w:val="00EF5510"/>
    <w:rsid w:val="00F01740"/>
    <w:rsid w:val="00F07E59"/>
    <w:rsid w:val="00F10C44"/>
    <w:rsid w:val="00F17C73"/>
    <w:rsid w:val="00F23931"/>
    <w:rsid w:val="00F25B44"/>
    <w:rsid w:val="00F25BCD"/>
    <w:rsid w:val="00F2739D"/>
    <w:rsid w:val="00F31D2D"/>
    <w:rsid w:val="00F37811"/>
    <w:rsid w:val="00F570A0"/>
    <w:rsid w:val="00F70503"/>
    <w:rsid w:val="00F72A4C"/>
    <w:rsid w:val="00F76E21"/>
    <w:rsid w:val="00F9514A"/>
    <w:rsid w:val="00F96A13"/>
    <w:rsid w:val="00FA2991"/>
    <w:rsid w:val="00FA327E"/>
    <w:rsid w:val="00FA3D64"/>
    <w:rsid w:val="00FA3E2A"/>
    <w:rsid w:val="00FB1186"/>
    <w:rsid w:val="00FB32DD"/>
    <w:rsid w:val="00FC2C04"/>
    <w:rsid w:val="00FC7375"/>
    <w:rsid w:val="00FD3BDE"/>
    <w:rsid w:val="00FD74C6"/>
    <w:rsid w:val="00FE5BA7"/>
    <w:rsid w:val="00FF0329"/>
    <w:rsid w:val="00FF49DF"/>
    <w:rsid w:val="00FF7E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75FF0"/>
  <w15:chartTrackingRefBased/>
  <w15:docId w15:val="{C462BE29-1045-F145-9414-B030E6F18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A7DC1"/>
    <w:rPr>
      <w:rFonts w:ascii="Cambria" w:eastAsia="MS Mincho" w:hAnsi="Cambria"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uiPriority w:val="99"/>
    <w:unhideWhenUsed/>
    <w:rsid w:val="007D2CD9"/>
    <w:rPr>
      <w:vertAlign w:val="superscript"/>
    </w:rPr>
  </w:style>
  <w:style w:type="paragraph" w:styleId="Testonotaapidipagina">
    <w:name w:val="footnote text"/>
    <w:basedOn w:val="Normale"/>
    <w:link w:val="TestonotaapidipaginaCarattere"/>
    <w:unhideWhenUsed/>
    <w:rsid w:val="007D2CD9"/>
  </w:style>
  <w:style w:type="character" w:customStyle="1" w:styleId="TestonotaapidipaginaCarattere">
    <w:name w:val="Testo nota a piè di pagina Carattere"/>
    <w:basedOn w:val="Carpredefinitoparagrafo"/>
    <w:link w:val="Testonotaapidipagina"/>
    <w:rsid w:val="007D2CD9"/>
    <w:rPr>
      <w:rFonts w:ascii="Cambria" w:eastAsia="MS Mincho" w:hAnsi="Cambria" w:cs="Times New Roman"/>
      <w:lang w:eastAsia="it-IT"/>
    </w:rPr>
  </w:style>
  <w:style w:type="paragraph" w:styleId="Paragrafoelenco">
    <w:name w:val="List Paragraph"/>
    <w:basedOn w:val="Normale"/>
    <w:uiPriority w:val="34"/>
    <w:qFormat/>
    <w:rsid w:val="00B01C32"/>
    <w:pPr>
      <w:ind w:left="720"/>
      <w:contextualSpacing/>
    </w:pPr>
  </w:style>
  <w:style w:type="paragraph" w:styleId="Pidipagina">
    <w:name w:val="footer"/>
    <w:basedOn w:val="Normale"/>
    <w:link w:val="PidipaginaCarattere"/>
    <w:uiPriority w:val="99"/>
    <w:unhideWhenUsed/>
    <w:rsid w:val="00F76E21"/>
    <w:pPr>
      <w:tabs>
        <w:tab w:val="center" w:pos="4819"/>
        <w:tab w:val="right" w:pos="9638"/>
      </w:tabs>
    </w:pPr>
  </w:style>
  <w:style w:type="character" w:customStyle="1" w:styleId="PidipaginaCarattere">
    <w:name w:val="Piè di pagina Carattere"/>
    <w:basedOn w:val="Carpredefinitoparagrafo"/>
    <w:link w:val="Pidipagina"/>
    <w:uiPriority w:val="99"/>
    <w:rsid w:val="00F76E21"/>
    <w:rPr>
      <w:rFonts w:ascii="Cambria" w:eastAsia="MS Mincho" w:hAnsi="Cambria" w:cs="Times New Roman"/>
      <w:lang w:eastAsia="it-IT"/>
    </w:rPr>
  </w:style>
  <w:style w:type="character" w:styleId="Numeropagina">
    <w:name w:val="page number"/>
    <w:basedOn w:val="Carpredefinitoparagrafo"/>
    <w:uiPriority w:val="99"/>
    <w:semiHidden/>
    <w:unhideWhenUsed/>
    <w:rsid w:val="00F76E21"/>
  </w:style>
  <w:style w:type="paragraph" w:styleId="NormaleWeb">
    <w:name w:val="Normal (Web)"/>
    <w:basedOn w:val="Normale"/>
    <w:uiPriority w:val="99"/>
    <w:semiHidden/>
    <w:unhideWhenUsed/>
    <w:rsid w:val="00B62CC2"/>
    <w:rPr>
      <w:rFonts w:ascii="Times New Roman" w:hAnsi="Times New Roman"/>
    </w:rPr>
  </w:style>
  <w:style w:type="character" w:styleId="Collegamentoipertestuale">
    <w:name w:val="Hyperlink"/>
    <w:basedOn w:val="Carpredefinitoparagrafo"/>
    <w:uiPriority w:val="99"/>
    <w:unhideWhenUsed/>
    <w:rsid w:val="006979F2"/>
    <w:rPr>
      <w:color w:val="0000FF"/>
      <w:u w:val="single"/>
    </w:rPr>
  </w:style>
  <w:style w:type="character" w:customStyle="1" w:styleId="apple-converted-space">
    <w:name w:val="apple-converted-space"/>
    <w:basedOn w:val="Carpredefinitoparagrafo"/>
    <w:rsid w:val="006979F2"/>
  </w:style>
  <w:style w:type="paragraph" w:styleId="PreformattatoHTML">
    <w:name w:val="HTML Preformatted"/>
    <w:basedOn w:val="Normale"/>
    <w:link w:val="PreformattatoHTMLCarattere"/>
    <w:uiPriority w:val="99"/>
    <w:semiHidden/>
    <w:unhideWhenUsed/>
    <w:rsid w:val="00160F20"/>
    <w:rPr>
      <w:rFonts w:ascii="Consolas" w:hAnsi="Consolas" w:cs="Consolas"/>
      <w:sz w:val="20"/>
      <w:szCs w:val="20"/>
    </w:rPr>
  </w:style>
  <w:style w:type="character" w:customStyle="1" w:styleId="PreformattatoHTMLCarattere">
    <w:name w:val="Preformattato HTML Carattere"/>
    <w:basedOn w:val="Carpredefinitoparagrafo"/>
    <w:link w:val="PreformattatoHTML"/>
    <w:uiPriority w:val="99"/>
    <w:semiHidden/>
    <w:rsid w:val="00160F20"/>
    <w:rPr>
      <w:rFonts w:ascii="Consolas" w:eastAsia="MS Mincho" w:hAnsi="Consolas" w:cs="Consolas"/>
      <w:sz w:val="20"/>
      <w:szCs w:val="20"/>
      <w:lang w:eastAsia="it-IT"/>
    </w:rPr>
  </w:style>
  <w:style w:type="character" w:customStyle="1" w:styleId="UnresolvedMention">
    <w:name w:val="Unresolved Mention"/>
    <w:basedOn w:val="Carpredefinitoparagrafo"/>
    <w:uiPriority w:val="99"/>
    <w:semiHidden/>
    <w:unhideWhenUsed/>
    <w:rsid w:val="00DC1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9777">
      <w:bodyDiv w:val="1"/>
      <w:marLeft w:val="0"/>
      <w:marRight w:val="0"/>
      <w:marTop w:val="0"/>
      <w:marBottom w:val="0"/>
      <w:divBdr>
        <w:top w:val="none" w:sz="0" w:space="0" w:color="auto"/>
        <w:left w:val="none" w:sz="0" w:space="0" w:color="auto"/>
        <w:bottom w:val="none" w:sz="0" w:space="0" w:color="auto"/>
        <w:right w:val="none" w:sz="0" w:space="0" w:color="auto"/>
      </w:divBdr>
      <w:divsChild>
        <w:div w:id="144467668">
          <w:marLeft w:val="0"/>
          <w:marRight w:val="0"/>
          <w:marTop w:val="0"/>
          <w:marBottom w:val="0"/>
          <w:divBdr>
            <w:top w:val="none" w:sz="0" w:space="0" w:color="auto"/>
            <w:left w:val="none" w:sz="0" w:space="0" w:color="auto"/>
            <w:bottom w:val="none" w:sz="0" w:space="0" w:color="auto"/>
            <w:right w:val="none" w:sz="0" w:space="0" w:color="auto"/>
          </w:divBdr>
          <w:divsChild>
            <w:div w:id="2074811077">
              <w:marLeft w:val="0"/>
              <w:marRight w:val="0"/>
              <w:marTop w:val="0"/>
              <w:marBottom w:val="0"/>
              <w:divBdr>
                <w:top w:val="none" w:sz="0" w:space="0" w:color="auto"/>
                <w:left w:val="none" w:sz="0" w:space="0" w:color="auto"/>
                <w:bottom w:val="none" w:sz="0" w:space="0" w:color="auto"/>
                <w:right w:val="none" w:sz="0" w:space="0" w:color="auto"/>
              </w:divBdr>
              <w:divsChild>
                <w:div w:id="18105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0194">
      <w:bodyDiv w:val="1"/>
      <w:marLeft w:val="0"/>
      <w:marRight w:val="0"/>
      <w:marTop w:val="0"/>
      <w:marBottom w:val="0"/>
      <w:divBdr>
        <w:top w:val="none" w:sz="0" w:space="0" w:color="auto"/>
        <w:left w:val="none" w:sz="0" w:space="0" w:color="auto"/>
        <w:bottom w:val="none" w:sz="0" w:space="0" w:color="auto"/>
        <w:right w:val="none" w:sz="0" w:space="0" w:color="auto"/>
      </w:divBdr>
      <w:divsChild>
        <w:div w:id="1828859827">
          <w:marLeft w:val="0"/>
          <w:marRight w:val="0"/>
          <w:marTop w:val="0"/>
          <w:marBottom w:val="0"/>
          <w:divBdr>
            <w:top w:val="none" w:sz="0" w:space="0" w:color="auto"/>
            <w:left w:val="none" w:sz="0" w:space="0" w:color="auto"/>
            <w:bottom w:val="none" w:sz="0" w:space="0" w:color="auto"/>
            <w:right w:val="none" w:sz="0" w:space="0" w:color="auto"/>
          </w:divBdr>
          <w:divsChild>
            <w:div w:id="150561255">
              <w:marLeft w:val="0"/>
              <w:marRight w:val="0"/>
              <w:marTop w:val="0"/>
              <w:marBottom w:val="0"/>
              <w:divBdr>
                <w:top w:val="none" w:sz="0" w:space="0" w:color="auto"/>
                <w:left w:val="none" w:sz="0" w:space="0" w:color="auto"/>
                <w:bottom w:val="none" w:sz="0" w:space="0" w:color="auto"/>
                <w:right w:val="none" w:sz="0" w:space="0" w:color="auto"/>
              </w:divBdr>
              <w:divsChild>
                <w:div w:id="99040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66338">
      <w:bodyDiv w:val="1"/>
      <w:marLeft w:val="0"/>
      <w:marRight w:val="0"/>
      <w:marTop w:val="0"/>
      <w:marBottom w:val="0"/>
      <w:divBdr>
        <w:top w:val="none" w:sz="0" w:space="0" w:color="auto"/>
        <w:left w:val="none" w:sz="0" w:space="0" w:color="auto"/>
        <w:bottom w:val="none" w:sz="0" w:space="0" w:color="auto"/>
        <w:right w:val="none" w:sz="0" w:space="0" w:color="auto"/>
      </w:divBdr>
      <w:divsChild>
        <w:div w:id="7486258">
          <w:marLeft w:val="0"/>
          <w:marRight w:val="0"/>
          <w:marTop w:val="0"/>
          <w:marBottom w:val="0"/>
          <w:divBdr>
            <w:top w:val="none" w:sz="0" w:space="0" w:color="auto"/>
            <w:left w:val="none" w:sz="0" w:space="0" w:color="auto"/>
            <w:bottom w:val="none" w:sz="0" w:space="0" w:color="auto"/>
            <w:right w:val="none" w:sz="0" w:space="0" w:color="auto"/>
          </w:divBdr>
          <w:divsChild>
            <w:div w:id="368342471">
              <w:marLeft w:val="0"/>
              <w:marRight w:val="0"/>
              <w:marTop w:val="0"/>
              <w:marBottom w:val="0"/>
              <w:divBdr>
                <w:top w:val="none" w:sz="0" w:space="0" w:color="auto"/>
                <w:left w:val="none" w:sz="0" w:space="0" w:color="auto"/>
                <w:bottom w:val="none" w:sz="0" w:space="0" w:color="auto"/>
                <w:right w:val="none" w:sz="0" w:space="0" w:color="auto"/>
              </w:divBdr>
              <w:divsChild>
                <w:div w:id="234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43010">
      <w:bodyDiv w:val="1"/>
      <w:marLeft w:val="0"/>
      <w:marRight w:val="0"/>
      <w:marTop w:val="0"/>
      <w:marBottom w:val="0"/>
      <w:divBdr>
        <w:top w:val="none" w:sz="0" w:space="0" w:color="auto"/>
        <w:left w:val="none" w:sz="0" w:space="0" w:color="auto"/>
        <w:bottom w:val="none" w:sz="0" w:space="0" w:color="auto"/>
        <w:right w:val="none" w:sz="0" w:space="0" w:color="auto"/>
      </w:divBdr>
      <w:divsChild>
        <w:div w:id="1205559800">
          <w:marLeft w:val="0"/>
          <w:marRight w:val="0"/>
          <w:marTop w:val="0"/>
          <w:marBottom w:val="0"/>
          <w:divBdr>
            <w:top w:val="none" w:sz="0" w:space="0" w:color="auto"/>
            <w:left w:val="none" w:sz="0" w:space="0" w:color="auto"/>
            <w:bottom w:val="none" w:sz="0" w:space="0" w:color="auto"/>
            <w:right w:val="none" w:sz="0" w:space="0" w:color="auto"/>
          </w:divBdr>
          <w:divsChild>
            <w:div w:id="1017276015">
              <w:marLeft w:val="0"/>
              <w:marRight w:val="0"/>
              <w:marTop w:val="0"/>
              <w:marBottom w:val="0"/>
              <w:divBdr>
                <w:top w:val="none" w:sz="0" w:space="0" w:color="auto"/>
                <w:left w:val="none" w:sz="0" w:space="0" w:color="auto"/>
                <w:bottom w:val="none" w:sz="0" w:space="0" w:color="auto"/>
                <w:right w:val="none" w:sz="0" w:space="0" w:color="auto"/>
              </w:divBdr>
              <w:divsChild>
                <w:div w:id="806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439876">
      <w:bodyDiv w:val="1"/>
      <w:marLeft w:val="0"/>
      <w:marRight w:val="0"/>
      <w:marTop w:val="0"/>
      <w:marBottom w:val="0"/>
      <w:divBdr>
        <w:top w:val="none" w:sz="0" w:space="0" w:color="auto"/>
        <w:left w:val="none" w:sz="0" w:space="0" w:color="auto"/>
        <w:bottom w:val="none" w:sz="0" w:space="0" w:color="auto"/>
        <w:right w:val="none" w:sz="0" w:space="0" w:color="auto"/>
      </w:divBdr>
      <w:divsChild>
        <w:div w:id="1409689133">
          <w:marLeft w:val="0"/>
          <w:marRight w:val="0"/>
          <w:marTop w:val="0"/>
          <w:marBottom w:val="0"/>
          <w:divBdr>
            <w:top w:val="none" w:sz="0" w:space="0" w:color="auto"/>
            <w:left w:val="none" w:sz="0" w:space="0" w:color="auto"/>
            <w:bottom w:val="none" w:sz="0" w:space="0" w:color="auto"/>
            <w:right w:val="none" w:sz="0" w:space="0" w:color="auto"/>
          </w:divBdr>
          <w:divsChild>
            <w:div w:id="1685983806">
              <w:marLeft w:val="0"/>
              <w:marRight w:val="0"/>
              <w:marTop w:val="0"/>
              <w:marBottom w:val="0"/>
              <w:divBdr>
                <w:top w:val="none" w:sz="0" w:space="0" w:color="auto"/>
                <w:left w:val="none" w:sz="0" w:space="0" w:color="auto"/>
                <w:bottom w:val="none" w:sz="0" w:space="0" w:color="auto"/>
                <w:right w:val="none" w:sz="0" w:space="0" w:color="auto"/>
              </w:divBdr>
              <w:divsChild>
                <w:div w:id="17266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909266">
      <w:bodyDiv w:val="1"/>
      <w:marLeft w:val="0"/>
      <w:marRight w:val="0"/>
      <w:marTop w:val="0"/>
      <w:marBottom w:val="0"/>
      <w:divBdr>
        <w:top w:val="none" w:sz="0" w:space="0" w:color="auto"/>
        <w:left w:val="none" w:sz="0" w:space="0" w:color="auto"/>
        <w:bottom w:val="none" w:sz="0" w:space="0" w:color="auto"/>
        <w:right w:val="none" w:sz="0" w:space="0" w:color="auto"/>
      </w:divBdr>
    </w:div>
    <w:div w:id="381945875">
      <w:bodyDiv w:val="1"/>
      <w:marLeft w:val="0"/>
      <w:marRight w:val="0"/>
      <w:marTop w:val="0"/>
      <w:marBottom w:val="0"/>
      <w:divBdr>
        <w:top w:val="none" w:sz="0" w:space="0" w:color="auto"/>
        <w:left w:val="none" w:sz="0" w:space="0" w:color="auto"/>
        <w:bottom w:val="none" w:sz="0" w:space="0" w:color="auto"/>
        <w:right w:val="none" w:sz="0" w:space="0" w:color="auto"/>
      </w:divBdr>
      <w:divsChild>
        <w:div w:id="1876431574">
          <w:marLeft w:val="0"/>
          <w:marRight w:val="0"/>
          <w:marTop w:val="0"/>
          <w:marBottom w:val="0"/>
          <w:divBdr>
            <w:top w:val="none" w:sz="0" w:space="0" w:color="auto"/>
            <w:left w:val="none" w:sz="0" w:space="0" w:color="auto"/>
            <w:bottom w:val="none" w:sz="0" w:space="0" w:color="auto"/>
            <w:right w:val="none" w:sz="0" w:space="0" w:color="auto"/>
          </w:divBdr>
          <w:divsChild>
            <w:div w:id="1626958691">
              <w:marLeft w:val="0"/>
              <w:marRight w:val="0"/>
              <w:marTop w:val="0"/>
              <w:marBottom w:val="0"/>
              <w:divBdr>
                <w:top w:val="none" w:sz="0" w:space="0" w:color="auto"/>
                <w:left w:val="none" w:sz="0" w:space="0" w:color="auto"/>
                <w:bottom w:val="none" w:sz="0" w:space="0" w:color="auto"/>
                <w:right w:val="none" w:sz="0" w:space="0" w:color="auto"/>
              </w:divBdr>
              <w:divsChild>
                <w:div w:id="149425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410212">
      <w:bodyDiv w:val="1"/>
      <w:marLeft w:val="0"/>
      <w:marRight w:val="0"/>
      <w:marTop w:val="0"/>
      <w:marBottom w:val="0"/>
      <w:divBdr>
        <w:top w:val="none" w:sz="0" w:space="0" w:color="auto"/>
        <w:left w:val="none" w:sz="0" w:space="0" w:color="auto"/>
        <w:bottom w:val="none" w:sz="0" w:space="0" w:color="auto"/>
        <w:right w:val="none" w:sz="0" w:space="0" w:color="auto"/>
      </w:divBdr>
      <w:divsChild>
        <w:div w:id="1817867783">
          <w:marLeft w:val="0"/>
          <w:marRight w:val="0"/>
          <w:marTop w:val="0"/>
          <w:marBottom w:val="0"/>
          <w:divBdr>
            <w:top w:val="none" w:sz="0" w:space="0" w:color="auto"/>
            <w:left w:val="none" w:sz="0" w:space="0" w:color="auto"/>
            <w:bottom w:val="none" w:sz="0" w:space="0" w:color="auto"/>
            <w:right w:val="none" w:sz="0" w:space="0" w:color="auto"/>
          </w:divBdr>
          <w:divsChild>
            <w:div w:id="1698967842">
              <w:marLeft w:val="0"/>
              <w:marRight w:val="0"/>
              <w:marTop w:val="0"/>
              <w:marBottom w:val="0"/>
              <w:divBdr>
                <w:top w:val="none" w:sz="0" w:space="0" w:color="auto"/>
                <w:left w:val="none" w:sz="0" w:space="0" w:color="auto"/>
                <w:bottom w:val="none" w:sz="0" w:space="0" w:color="auto"/>
                <w:right w:val="none" w:sz="0" w:space="0" w:color="auto"/>
              </w:divBdr>
              <w:divsChild>
                <w:div w:id="157203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61719">
      <w:bodyDiv w:val="1"/>
      <w:marLeft w:val="0"/>
      <w:marRight w:val="0"/>
      <w:marTop w:val="0"/>
      <w:marBottom w:val="0"/>
      <w:divBdr>
        <w:top w:val="none" w:sz="0" w:space="0" w:color="auto"/>
        <w:left w:val="none" w:sz="0" w:space="0" w:color="auto"/>
        <w:bottom w:val="none" w:sz="0" w:space="0" w:color="auto"/>
        <w:right w:val="none" w:sz="0" w:space="0" w:color="auto"/>
      </w:divBdr>
      <w:divsChild>
        <w:div w:id="224336535">
          <w:marLeft w:val="0"/>
          <w:marRight w:val="0"/>
          <w:marTop w:val="0"/>
          <w:marBottom w:val="0"/>
          <w:divBdr>
            <w:top w:val="none" w:sz="0" w:space="0" w:color="auto"/>
            <w:left w:val="none" w:sz="0" w:space="0" w:color="auto"/>
            <w:bottom w:val="none" w:sz="0" w:space="0" w:color="auto"/>
            <w:right w:val="none" w:sz="0" w:space="0" w:color="auto"/>
          </w:divBdr>
          <w:divsChild>
            <w:div w:id="382483027">
              <w:marLeft w:val="0"/>
              <w:marRight w:val="0"/>
              <w:marTop w:val="0"/>
              <w:marBottom w:val="0"/>
              <w:divBdr>
                <w:top w:val="none" w:sz="0" w:space="0" w:color="auto"/>
                <w:left w:val="none" w:sz="0" w:space="0" w:color="auto"/>
                <w:bottom w:val="none" w:sz="0" w:space="0" w:color="auto"/>
                <w:right w:val="none" w:sz="0" w:space="0" w:color="auto"/>
              </w:divBdr>
              <w:divsChild>
                <w:div w:id="174791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884499">
      <w:bodyDiv w:val="1"/>
      <w:marLeft w:val="0"/>
      <w:marRight w:val="0"/>
      <w:marTop w:val="0"/>
      <w:marBottom w:val="0"/>
      <w:divBdr>
        <w:top w:val="none" w:sz="0" w:space="0" w:color="auto"/>
        <w:left w:val="none" w:sz="0" w:space="0" w:color="auto"/>
        <w:bottom w:val="none" w:sz="0" w:space="0" w:color="auto"/>
        <w:right w:val="none" w:sz="0" w:space="0" w:color="auto"/>
      </w:divBdr>
      <w:divsChild>
        <w:div w:id="1007294623">
          <w:marLeft w:val="0"/>
          <w:marRight w:val="0"/>
          <w:marTop w:val="0"/>
          <w:marBottom w:val="0"/>
          <w:divBdr>
            <w:top w:val="none" w:sz="0" w:space="0" w:color="auto"/>
            <w:left w:val="none" w:sz="0" w:space="0" w:color="auto"/>
            <w:bottom w:val="none" w:sz="0" w:space="0" w:color="auto"/>
            <w:right w:val="none" w:sz="0" w:space="0" w:color="auto"/>
          </w:divBdr>
          <w:divsChild>
            <w:div w:id="2058896644">
              <w:marLeft w:val="0"/>
              <w:marRight w:val="0"/>
              <w:marTop w:val="0"/>
              <w:marBottom w:val="0"/>
              <w:divBdr>
                <w:top w:val="none" w:sz="0" w:space="0" w:color="auto"/>
                <w:left w:val="none" w:sz="0" w:space="0" w:color="auto"/>
                <w:bottom w:val="none" w:sz="0" w:space="0" w:color="auto"/>
                <w:right w:val="none" w:sz="0" w:space="0" w:color="auto"/>
              </w:divBdr>
              <w:divsChild>
                <w:div w:id="13395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522943">
      <w:bodyDiv w:val="1"/>
      <w:marLeft w:val="0"/>
      <w:marRight w:val="0"/>
      <w:marTop w:val="0"/>
      <w:marBottom w:val="0"/>
      <w:divBdr>
        <w:top w:val="none" w:sz="0" w:space="0" w:color="auto"/>
        <w:left w:val="none" w:sz="0" w:space="0" w:color="auto"/>
        <w:bottom w:val="none" w:sz="0" w:space="0" w:color="auto"/>
        <w:right w:val="none" w:sz="0" w:space="0" w:color="auto"/>
      </w:divBdr>
      <w:divsChild>
        <w:div w:id="659118831">
          <w:marLeft w:val="0"/>
          <w:marRight w:val="0"/>
          <w:marTop w:val="0"/>
          <w:marBottom w:val="0"/>
          <w:divBdr>
            <w:top w:val="none" w:sz="0" w:space="0" w:color="auto"/>
            <w:left w:val="none" w:sz="0" w:space="0" w:color="auto"/>
            <w:bottom w:val="none" w:sz="0" w:space="0" w:color="auto"/>
            <w:right w:val="none" w:sz="0" w:space="0" w:color="auto"/>
          </w:divBdr>
          <w:divsChild>
            <w:div w:id="169880580">
              <w:marLeft w:val="0"/>
              <w:marRight w:val="0"/>
              <w:marTop w:val="0"/>
              <w:marBottom w:val="0"/>
              <w:divBdr>
                <w:top w:val="none" w:sz="0" w:space="0" w:color="auto"/>
                <w:left w:val="none" w:sz="0" w:space="0" w:color="auto"/>
                <w:bottom w:val="none" w:sz="0" w:space="0" w:color="auto"/>
                <w:right w:val="none" w:sz="0" w:space="0" w:color="auto"/>
              </w:divBdr>
              <w:divsChild>
                <w:div w:id="1085417268">
                  <w:marLeft w:val="0"/>
                  <w:marRight w:val="0"/>
                  <w:marTop w:val="0"/>
                  <w:marBottom w:val="0"/>
                  <w:divBdr>
                    <w:top w:val="none" w:sz="0" w:space="0" w:color="auto"/>
                    <w:left w:val="none" w:sz="0" w:space="0" w:color="auto"/>
                    <w:bottom w:val="none" w:sz="0" w:space="0" w:color="auto"/>
                    <w:right w:val="none" w:sz="0" w:space="0" w:color="auto"/>
                  </w:divBdr>
                  <w:divsChild>
                    <w:div w:id="83153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650013">
      <w:bodyDiv w:val="1"/>
      <w:marLeft w:val="0"/>
      <w:marRight w:val="0"/>
      <w:marTop w:val="0"/>
      <w:marBottom w:val="0"/>
      <w:divBdr>
        <w:top w:val="none" w:sz="0" w:space="0" w:color="auto"/>
        <w:left w:val="none" w:sz="0" w:space="0" w:color="auto"/>
        <w:bottom w:val="none" w:sz="0" w:space="0" w:color="auto"/>
        <w:right w:val="none" w:sz="0" w:space="0" w:color="auto"/>
      </w:divBdr>
      <w:divsChild>
        <w:div w:id="911935145">
          <w:marLeft w:val="0"/>
          <w:marRight w:val="0"/>
          <w:marTop w:val="0"/>
          <w:marBottom w:val="0"/>
          <w:divBdr>
            <w:top w:val="none" w:sz="0" w:space="0" w:color="auto"/>
            <w:left w:val="none" w:sz="0" w:space="0" w:color="auto"/>
            <w:bottom w:val="none" w:sz="0" w:space="0" w:color="auto"/>
            <w:right w:val="none" w:sz="0" w:space="0" w:color="auto"/>
          </w:divBdr>
          <w:divsChild>
            <w:div w:id="349718047">
              <w:marLeft w:val="0"/>
              <w:marRight w:val="0"/>
              <w:marTop w:val="0"/>
              <w:marBottom w:val="0"/>
              <w:divBdr>
                <w:top w:val="none" w:sz="0" w:space="0" w:color="auto"/>
                <w:left w:val="none" w:sz="0" w:space="0" w:color="auto"/>
                <w:bottom w:val="none" w:sz="0" w:space="0" w:color="auto"/>
                <w:right w:val="none" w:sz="0" w:space="0" w:color="auto"/>
              </w:divBdr>
              <w:divsChild>
                <w:div w:id="17202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59077">
      <w:bodyDiv w:val="1"/>
      <w:marLeft w:val="0"/>
      <w:marRight w:val="0"/>
      <w:marTop w:val="0"/>
      <w:marBottom w:val="0"/>
      <w:divBdr>
        <w:top w:val="none" w:sz="0" w:space="0" w:color="auto"/>
        <w:left w:val="none" w:sz="0" w:space="0" w:color="auto"/>
        <w:bottom w:val="none" w:sz="0" w:space="0" w:color="auto"/>
        <w:right w:val="none" w:sz="0" w:space="0" w:color="auto"/>
      </w:divBdr>
      <w:divsChild>
        <w:div w:id="1607230952">
          <w:marLeft w:val="0"/>
          <w:marRight w:val="0"/>
          <w:marTop w:val="0"/>
          <w:marBottom w:val="0"/>
          <w:divBdr>
            <w:top w:val="none" w:sz="0" w:space="0" w:color="auto"/>
            <w:left w:val="none" w:sz="0" w:space="0" w:color="auto"/>
            <w:bottom w:val="none" w:sz="0" w:space="0" w:color="auto"/>
            <w:right w:val="none" w:sz="0" w:space="0" w:color="auto"/>
          </w:divBdr>
          <w:divsChild>
            <w:div w:id="1919248567">
              <w:marLeft w:val="0"/>
              <w:marRight w:val="0"/>
              <w:marTop w:val="0"/>
              <w:marBottom w:val="0"/>
              <w:divBdr>
                <w:top w:val="none" w:sz="0" w:space="0" w:color="auto"/>
                <w:left w:val="none" w:sz="0" w:space="0" w:color="auto"/>
                <w:bottom w:val="none" w:sz="0" w:space="0" w:color="auto"/>
                <w:right w:val="none" w:sz="0" w:space="0" w:color="auto"/>
              </w:divBdr>
              <w:divsChild>
                <w:div w:id="56888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331927">
      <w:bodyDiv w:val="1"/>
      <w:marLeft w:val="0"/>
      <w:marRight w:val="0"/>
      <w:marTop w:val="0"/>
      <w:marBottom w:val="0"/>
      <w:divBdr>
        <w:top w:val="none" w:sz="0" w:space="0" w:color="auto"/>
        <w:left w:val="none" w:sz="0" w:space="0" w:color="auto"/>
        <w:bottom w:val="none" w:sz="0" w:space="0" w:color="auto"/>
        <w:right w:val="none" w:sz="0" w:space="0" w:color="auto"/>
      </w:divBdr>
      <w:divsChild>
        <w:div w:id="1667587217">
          <w:marLeft w:val="0"/>
          <w:marRight w:val="0"/>
          <w:marTop w:val="0"/>
          <w:marBottom w:val="0"/>
          <w:divBdr>
            <w:top w:val="none" w:sz="0" w:space="0" w:color="auto"/>
            <w:left w:val="none" w:sz="0" w:space="0" w:color="auto"/>
            <w:bottom w:val="none" w:sz="0" w:space="0" w:color="auto"/>
            <w:right w:val="none" w:sz="0" w:space="0" w:color="auto"/>
          </w:divBdr>
          <w:divsChild>
            <w:div w:id="54553507">
              <w:marLeft w:val="0"/>
              <w:marRight w:val="0"/>
              <w:marTop w:val="0"/>
              <w:marBottom w:val="0"/>
              <w:divBdr>
                <w:top w:val="none" w:sz="0" w:space="0" w:color="auto"/>
                <w:left w:val="none" w:sz="0" w:space="0" w:color="auto"/>
                <w:bottom w:val="none" w:sz="0" w:space="0" w:color="auto"/>
                <w:right w:val="none" w:sz="0" w:space="0" w:color="auto"/>
              </w:divBdr>
              <w:divsChild>
                <w:div w:id="144284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77362">
      <w:bodyDiv w:val="1"/>
      <w:marLeft w:val="0"/>
      <w:marRight w:val="0"/>
      <w:marTop w:val="0"/>
      <w:marBottom w:val="0"/>
      <w:divBdr>
        <w:top w:val="none" w:sz="0" w:space="0" w:color="auto"/>
        <w:left w:val="none" w:sz="0" w:space="0" w:color="auto"/>
        <w:bottom w:val="none" w:sz="0" w:space="0" w:color="auto"/>
        <w:right w:val="none" w:sz="0" w:space="0" w:color="auto"/>
      </w:divBdr>
      <w:divsChild>
        <w:div w:id="676343499">
          <w:marLeft w:val="0"/>
          <w:marRight w:val="0"/>
          <w:marTop w:val="0"/>
          <w:marBottom w:val="0"/>
          <w:divBdr>
            <w:top w:val="none" w:sz="0" w:space="0" w:color="auto"/>
            <w:left w:val="none" w:sz="0" w:space="0" w:color="auto"/>
            <w:bottom w:val="none" w:sz="0" w:space="0" w:color="auto"/>
            <w:right w:val="none" w:sz="0" w:space="0" w:color="auto"/>
          </w:divBdr>
          <w:divsChild>
            <w:div w:id="1392970136">
              <w:marLeft w:val="0"/>
              <w:marRight w:val="0"/>
              <w:marTop w:val="0"/>
              <w:marBottom w:val="0"/>
              <w:divBdr>
                <w:top w:val="none" w:sz="0" w:space="0" w:color="auto"/>
                <w:left w:val="none" w:sz="0" w:space="0" w:color="auto"/>
                <w:bottom w:val="none" w:sz="0" w:space="0" w:color="auto"/>
                <w:right w:val="none" w:sz="0" w:space="0" w:color="auto"/>
              </w:divBdr>
              <w:divsChild>
                <w:div w:id="657919983">
                  <w:marLeft w:val="0"/>
                  <w:marRight w:val="0"/>
                  <w:marTop w:val="0"/>
                  <w:marBottom w:val="0"/>
                  <w:divBdr>
                    <w:top w:val="none" w:sz="0" w:space="0" w:color="auto"/>
                    <w:left w:val="none" w:sz="0" w:space="0" w:color="auto"/>
                    <w:bottom w:val="none" w:sz="0" w:space="0" w:color="auto"/>
                    <w:right w:val="none" w:sz="0" w:space="0" w:color="auto"/>
                  </w:divBdr>
                  <w:divsChild>
                    <w:div w:id="114026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892647">
      <w:bodyDiv w:val="1"/>
      <w:marLeft w:val="0"/>
      <w:marRight w:val="0"/>
      <w:marTop w:val="0"/>
      <w:marBottom w:val="0"/>
      <w:divBdr>
        <w:top w:val="none" w:sz="0" w:space="0" w:color="auto"/>
        <w:left w:val="none" w:sz="0" w:space="0" w:color="auto"/>
        <w:bottom w:val="none" w:sz="0" w:space="0" w:color="auto"/>
        <w:right w:val="none" w:sz="0" w:space="0" w:color="auto"/>
      </w:divBdr>
      <w:divsChild>
        <w:div w:id="1262644170">
          <w:marLeft w:val="0"/>
          <w:marRight w:val="0"/>
          <w:marTop w:val="0"/>
          <w:marBottom w:val="0"/>
          <w:divBdr>
            <w:top w:val="none" w:sz="0" w:space="0" w:color="auto"/>
            <w:left w:val="none" w:sz="0" w:space="0" w:color="auto"/>
            <w:bottom w:val="none" w:sz="0" w:space="0" w:color="auto"/>
            <w:right w:val="none" w:sz="0" w:space="0" w:color="auto"/>
          </w:divBdr>
          <w:divsChild>
            <w:div w:id="569535247">
              <w:marLeft w:val="0"/>
              <w:marRight w:val="0"/>
              <w:marTop w:val="0"/>
              <w:marBottom w:val="0"/>
              <w:divBdr>
                <w:top w:val="none" w:sz="0" w:space="0" w:color="auto"/>
                <w:left w:val="none" w:sz="0" w:space="0" w:color="auto"/>
                <w:bottom w:val="none" w:sz="0" w:space="0" w:color="auto"/>
                <w:right w:val="none" w:sz="0" w:space="0" w:color="auto"/>
              </w:divBdr>
              <w:divsChild>
                <w:div w:id="1293556942">
                  <w:marLeft w:val="0"/>
                  <w:marRight w:val="0"/>
                  <w:marTop w:val="0"/>
                  <w:marBottom w:val="0"/>
                  <w:divBdr>
                    <w:top w:val="none" w:sz="0" w:space="0" w:color="auto"/>
                    <w:left w:val="none" w:sz="0" w:space="0" w:color="auto"/>
                    <w:bottom w:val="none" w:sz="0" w:space="0" w:color="auto"/>
                    <w:right w:val="none" w:sz="0" w:space="0" w:color="auto"/>
                  </w:divBdr>
                  <w:divsChild>
                    <w:div w:id="71219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820488">
      <w:bodyDiv w:val="1"/>
      <w:marLeft w:val="0"/>
      <w:marRight w:val="0"/>
      <w:marTop w:val="0"/>
      <w:marBottom w:val="0"/>
      <w:divBdr>
        <w:top w:val="none" w:sz="0" w:space="0" w:color="auto"/>
        <w:left w:val="none" w:sz="0" w:space="0" w:color="auto"/>
        <w:bottom w:val="none" w:sz="0" w:space="0" w:color="auto"/>
        <w:right w:val="none" w:sz="0" w:space="0" w:color="auto"/>
      </w:divBdr>
      <w:divsChild>
        <w:div w:id="1859083265">
          <w:marLeft w:val="0"/>
          <w:marRight w:val="0"/>
          <w:marTop w:val="0"/>
          <w:marBottom w:val="0"/>
          <w:divBdr>
            <w:top w:val="none" w:sz="0" w:space="0" w:color="auto"/>
            <w:left w:val="none" w:sz="0" w:space="0" w:color="auto"/>
            <w:bottom w:val="none" w:sz="0" w:space="0" w:color="auto"/>
            <w:right w:val="none" w:sz="0" w:space="0" w:color="auto"/>
          </w:divBdr>
          <w:divsChild>
            <w:div w:id="1341004267">
              <w:marLeft w:val="0"/>
              <w:marRight w:val="0"/>
              <w:marTop w:val="0"/>
              <w:marBottom w:val="0"/>
              <w:divBdr>
                <w:top w:val="none" w:sz="0" w:space="0" w:color="auto"/>
                <w:left w:val="none" w:sz="0" w:space="0" w:color="auto"/>
                <w:bottom w:val="none" w:sz="0" w:space="0" w:color="auto"/>
                <w:right w:val="none" w:sz="0" w:space="0" w:color="auto"/>
              </w:divBdr>
              <w:divsChild>
                <w:div w:id="1783958317">
                  <w:marLeft w:val="0"/>
                  <w:marRight w:val="0"/>
                  <w:marTop w:val="0"/>
                  <w:marBottom w:val="0"/>
                  <w:divBdr>
                    <w:top w:val="none" w:sz="0" w:space="0" w:color="auto"/>
                    <w:left w:val="none" w:sz="0" w:space="0" w:color="auto"/>
                    <w:bottom w:val="none" w:sz="0" w:space="0" w:color="auto"/>
                    <w:right w:val="none" w:sz="0" w:space="0" w:color="auto"/>
                  </w:divBdr>
                  <w:divsChild>
                    <w:div w:id="80465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361470">
      <w:bodyDiv w:val="1"/>
      <w:marLeft w:val="0"/>
      <w:marRight w:val="0"/>
      <w:marTop w:val="0"/>
      <w:marBottom w:val="0"/>
      <w:divBdr>
        <w:top w:val="none" w:sz="0" w:space="0" w:color="auto"/>
        <w:left w:val="none" w:sz="0" w:space="0" w:color="auto"/>
        <w:bottom w:val="none" w:sz="0" w:space="0" w:color="auto"/>
        <w:right w:val="none" w:sz="0" w:space="0" w:color="auto"/>
      </w:divBdr>
      <w:divsChild>
        <w:div w:id="93599656">
          <w:marLeft w:val="0"/>
          <w:marRight w:val="0"/>
          <w:marTop w:val="0"/>
          <w:marBottom w:val="0"/>
          <w:divBdr>
            <w:top w:val="none" w:sz="0" w:space="0" w:color="auto"/>
            <w:left w:val="none" w:sz="0" w:space="0" w:color="auto"/>
            <w:bottom w:val="none" w:sz="0" w:space="0" w:color="auto"/>
            <w:right w:val="none" w:sz="0" w:space="0" w:color="auto"/>
          </w:divBdr>
          <w:divsChild>
            <w:div w:id="2068140314">
              <w:marLeft w:val="0"/>
              <w:marRight w:val="0"/>
              <w:marTop w:val="0"/>
              <w:marBottom w:val="0"/>
              <w:divBdr>
                <w:top w:val="none" w:sz="0" w:space="0" w:color="auto"/>
                <w:left w:val="none" w:sz="0" w:space="0" w:color="auto"/>
                <w:bottom w:val="none" w:sz="0" w:space="0" w:color="auto"/>
                <w:right w:val="none" w:sz="0" w:space="0" w:color="auto"/>
              </w:divBdr>
              <w:divsChild>
                <w:div w:id="1385061876">
                  <w:marLeft w:val="0"/>
                  <w:marRight w:val="0"/>
                  <w:marTop w:val="0"/>
                  <w:marBottom w:val="0"/>
                  <w:divBdr>
                    <w:top w:val="none" w:sz="0" w:space="0" w:color="auto"/>
                    <w:left w:val="none" w:sz="0" w:space="0" w:color="auto"/>
                    <w:bottom w:val="none" w:sz="0" w:space="0" w:color="auto"/>
                    <w:right w:val="none" w:sz="0" w:space="0" w:color="auto"/>
                  </w:divBdr>
                  <w:divsChild>
                    <w:div w:id="46242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698845">
      <w:bodyDiv w:val="1"/>
      <w:marLeft w:val="0"/>
      <w:marRight w:val="0"/>
      <w:marTop w:val="0"/>
      <w:marBottom w:val="0"/>
      <w:divBdr>
        <w:top w:val="none" w:sz="0" w:space="0" w:color="auto"/>
        <w:left w:val="none" w:sz="0" w:space="0" w:color="auto"/>
        <w:bottom w:val="none" w:sz="0" w:space="0" w:color="auto"/>
        <w:right w:val="none" w:sz="0" w:space="0" w:color="auto"/>
      </w:divBdr>
      <w:divsChild>
        <w:div w:id="653949249">
          <w:marLeft w:val="0"/>
          <w:marRight w:val="0"/>
          <w:marTop w:val="0"/>
          <w:marBottom w:val="0"/>
          <w:divBdr>
            <w:top w:val="none" w:sz="0" w:space="0" w:color="auto"/>
            <w:left w:val="none" w:sz="0" w:space="0" w:color="auto"/>
            <w:bottom w:val="none" w:sz="0" w:space="0" w:color="auto"/>
            <w:right w:val="none" w:sz="0" w:space="0" w:color="auto"/>
          </w:divBdr>
          <w:divsChild>
            <w:div w:id="2143649311">
              <w:marLeft w:val="0"/>
              <w:marRight w:val="0"/>
              <w:marTop w:val="0"/>
              <w:marBottom w:val="0"/>
              <w:divBdr>
                <w:top w:val="none" w:sz="0" w:space="0" w:color="auto"/>
                <w:left w:val="none" w:sz="0" w:space="0" w:color="auto"/>
                <w:bottom w:val="none" w:sz="0" w:space="0" w:color="auto"/>
                <w:right w:val="none" w:sz="0" w:space="0" w:color="auto"/>
              </w:divBdr>
              <w:divsChild>
                <w:div w:id="9920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186563">
      <w:bodyDiv w:val="1"/>
      <w:marLeft w:val="0"/>
      <w:marRight w:val="0"/>
      <w:marTop w:val="0"/>
      <w:marBottom w:val="0"/>
      <w:divBdr>
        <w:top w:val="none" w:sz="0" w:space="0" w:color="auto"/>
        <w:left w:val="none" w:sz="0" w:space="0" w:color="auto"/>
        <w:bottom w:val="none" w:sz="0" w:space="0" w:color="auto"/>
        <w:right w:val="none" w:sz="0" w:space="0" w:color="auto"/>
      </w:divBdr>
      <w:divsChild>
        <w:div w:id="632832183">
          <w:marLeft w:val="0"/>
          <w:marRight w:val="0"/>
          <w:marTop w:val="0"/>
          <w:marBottom w:val="0"/>
          <w:divBdr>
            <w:top w:val="none" w:sz="0" w:space="0" w:color="auto"/>
            <w:left w:val="none" w:sz="0" w:space="0" w:color="auto"/>
            <w:bottom w:val="none" w:sz="0" w:space="0" w:color="auto"/>
            <w:right w:val="none" w:sz="0" w:space="0" w:color="auto"/>
          </w:divBdr>
          <w:divsChild>
            <w:div w:id="919867601">
              <w:marLeft w:val="0"/>
              <w:marRight w:val="0"/>
              <w:marTop w:val="0"/>
              <w:marBottom w:val="0"/>
              <w:divBdr>
                <w:top w:val="none" w:sz="0" w:space="0" w:color="auto"/>
                <w:left w:val="none" w:sz="0" w:space="0" w:color="auto"/>
                <w:bottom w:val="none" w:sz="0" w:space="0" w:color="auto"/>
                <w:right w:val="none" w:sz="0" w:space="0" w:color="auto"/>
              </w:divBdr>
              <w:divsChild>
                <w:div w:id="80681503">
                  <w:marLeft w:val="0"/>
                  <w:marRight w:val="0"/>
                  <w:marTop w:val="0"/>
                  <w:marBottom w:val="0"/>
                  <w:divBdr>
                    <w:top w:val="none" w:sz="0" w:space="0" w:color="auto"/>
                    <w:left w:val="none" w:sz="0" w:space="0" w:color="auto"/>
                    <w:bottom w:val="none" w:sz="0" w:space="0" w:color="auto"/>
                    <w:right w:val="none" w:sz="0" w:space="0" w:color="auto"/>
                  </w:divBdr>
                  <w:divsChild>
                    <w:div w:id="76985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599730">
      <w:bodyDiv w:val="1"/>
      <w:marLeft w:val="0"/>
      <w:marRight w:val="0"/>
      <w:marTop w:val="0"/>
      <w:marBottom w:val="0"/>
      <w:divBdr>
        <w:top w:val="none" w:sz="0" w:space="0" w:color="auto"/>
        <w:left w:val="none" w:sz="0" w:space="0" w:color="auto"/>
        <w:bottom w:val="none" w:sz="0" w:space="0" w:color="auto"/>
        <w:right w:val="none" w:sz="0" w:space="0" w:color="auto"/>
      </w:divBdr>
      <w:divsChild>
        <w:div w:id="77293561">
          <w:marLeft w:val="0"/>
          <w:marRight w:val="0"/>
          <w:marTop w:val="0"/>
          <w:marBottom w:val="0"/>
          <w:divBdr>
            <w:top w:val="none" w:sz="0" w:space="0" w:color="auto"/>
            <w:left w:val="none" w:sz="0" w:space="0" w:color="auto"/>
            <w:bottom w:val="none" w:sz="0" w:space="0" w:color="auto"/>
            <w:right w:val="none" w:sz="0" w:space="0" w:color="auto"/>
          </w:divBdr>
          <w:divsChild>
            <w:div w:id="1979919293">
              <w:marLeft w:val="0"/>
              <w:marRight w:val="0"/>
              <w:marTop w:val="0"/>
              <w:marBottom w:val="0"/>
              <w:divBdr>
                <w:top w:val="none" w:sz="0" w:space="0" w:color="auto"/>
                <w:left w:val="none" w:sz="0" w:space="0" w:color="auto"/>
                <w:bottom w:val="none" w:sz="0" w:space="0" w:color="auto"/>
                <w:right w:val="none" w:sz="0" w:space="0" w:color="auto"/>
              </w:divBdr>
              <w:divsChild>
                <w:div w:id="178503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3955">
      <w:bodyDiv w:val="1"/>
      <w:marLeft w:val="0"/>
      <w:marRight w:val="0"/>
      <w:marTop w:val="0"/>
      <w:marBottom w:val="0"/>
      <w:divBdr>
        <w:top w:val="none" w:sz="0" w:space="0" w:color="auto"/>
        <w:left w:val="none" w:sz="0" w:space="0" w:color="auto"/>
        <w:bottom w:val="none" w:sz="0" w:space="0" w:color="auto"/>
        <w:right w:val="none" w:sz="0" w:space="0" w:color="auto"/>
      </w:divBdr>
    </w:div>
    <w:div w:id="1458064440">
      <w:bodyDiv w:val="1"/>
      <w:marLeft w:val="0"/>
      <w:marRight w:val="0"/>
      <w:marTop w:val="0"/>
      <w:marBottom w:val="0"/>
      <w:divBdr>
        <w:top w:val="none" w:sz="0" w:space="0" w:color="auto"/>
        <w:left w:val="none" w:sz="0" w:space="0" w:color="auto"/>
        <w:bottom w:val="none" w:sz="0" w:space="0" w:color="auto"/>
        <w:right w:val="none" w:sz="0" w:space="0" w:color="auto"/>
      </w:divBdr>
    </w:div>
    <w:div w:id="1501123295">
      <w:bodyDiv w:val="1"/>
      <w:marLeft w:val="0"/>
      <w:marRight w:val="0"/>
      <w:marTop w:val="0"/>
      <w:marBottom w:val="0"/>
      <w:divBdr>
        <w:top w:val="none" w:sz="0" w:space="0" w:color="auto"/>
        <w:left w:val="none" w:sz="0" w:space="0" w:color="auto"/>
        <w:bottom w:val="none" w:sz="0" w:space="0" w:color="auto"/>
        <w:right w:val="none" w:sz="0" w:space="0" w:color="auto"/>
      </w:divBdr>
    </w:div>
    <w:div w:id="1574777432">
      <w:bodyDiv w:val="1"/>
      <w:marLeft w:val="0"/>
      <w:marRight w:val="0"/>
      <w:marTop w:val="0"/>
      <w:marBottom w:val="0"/>
      <w:divBdr>
        <w:top w:val="none" w:sz="0" w:space="0" w:color="auto"/>
        <w:left w:val="none" w:sz="0" w:space="0" w:color="auto"/>
        <w:bottom w:val="none" w:sz="0" w:space="0" w:color="auto"/>
        <w:right w:val="none" w:sz="0" w:space="0" w:color="auto"/>
      </w:divBdr>
      <w:divsChild>
        <w:div w:id="90011936">
          <w:marLeft w:val="0"/>
          <w:marRight w:val="0"/>
          <w:marTop w:val="0"/>
          <w:marBottom w:val="0"/>
          <w:divBdr>
            <w:top w:val="none" w:sz="0" w:space="0" w:color="auto"/>
            <w:left w:val="none" w:sz="0" w:space="0" w:color="auto"/>
            <w:bottom w:val="none" w:sz="0" w:space="0" w:color="auto"/>
            <w:right w:val="none" w:sz="0" w:space="0" w:color="auto"/>
          </w:divBdr>
          <w:divsChild>
            <w:div w:id="1256936564">
              <w:marLeft w:val="0"/>
              <w:marRight w:val="0"/>
              <w:marTop w:val="0"/>
              <w:marBottom w:val="0"/>
              <w:divBdr>
                <w:top w:val="none" w:sz="0" w:space="0" w:color="auto"/>
                <w:left w:val="none" w:sz="0" w:space="0" w:color="auto"/>
                <w:bottom w:val="none" w:sz="0" w:space="0" w:color="auto"/>
                <w:right w:val="none" w:sz="0" w:space="0" w:color="auto"/>
              </w:divBdr>
              <w:divsChild>
                <w:div w:id="385643730">
                  <w:marLeft w:val="0"/>
                  <w:marRight w:val="0"/>
                  <w:marTop w:val="0"/>
                  <w:marBottom w:val="0"/>
                  <w:divBdr>
                    <w:top w:val="none" w:sz="0" w:space="0" w:color="auto"/>
                    <w:left w:val="none" w:sz="0" w:space="0" w:color="auto"/>
                    <w:bottom w:val="none" w:sz="0" w:space="0" w:color="auto"/>
                    <w:right w:val="none" w:sz="0" w:space="0" w:color="auto"/>
                  </w:divBdr>
                  <w:divsChild>
                    <w:div w:id="8957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824772">
      <w:bodyDiv w:val="1"/>
      <w:marLeft w:val="0"/>
      <w:marRight w:val="0"/>
      <w:marTop w:val="0"/>
      <w:marBottom w:val="0"/>
      <w:divBdr>
        <w:top w:val="none" w:sz="0" w:space="0" w:color="auto"/>
        <w:left w:val="none" w:sz="0" w:space="0" w:color="auto"/>
        <w:bottom w:val="none" w:sz="0" w:space="0" w:color="auto"/>
        <w:right w:val="none" w:sz="0" w:space="0" w:color="auto"/>
      </w:divBdr>
    </w:div>
    <w:div w:id="1668286573">
      <w:bodyDiv w:val="1"/>
      <w:marLeft w:val="0"/>
      <w:marRight w:val="0"/>
      <w:marTop w:val="0"/>
      <w:marBottom w:val="0"/>
      <w:divBdr>
        <w:top w:val="none" w:sz="0" w:space="0" w:color="auto"/>
        <w:left w:val="none" w:sz="0" w:space="0" w:color="auto"/>
        <w:bottom w:val="none" w:sz="0" w:space="0" w:color="auto"/>
        <w:right w:val="none" w:sz="0" w:space="0" w:color="auto"/>
      </w:divBdr>
      <w:divsChild>
        <w:div w:id="579170004">
          <w:marLeft w:val="0"/>
          <w:marRight w:val="0"/>
          <w:marTop w:val="0"/>
          <w:marBottom w:val="0"/>
          <w:divBdr>
            <w:top w:val="none" w:sz="0" w:space="0" w:color="auto"/>
            <w:left w:val="none" w:sz="0" w:space="0" w:color="auto"/>
            <w:bottom w:val="none" w:sz="0" w:space="0" w:color="auto"/>
            <w:right w:val="none" w:sz="0" w:space="0" w:color="auto"/>
          </w:divBdr>
          <w:divsChild>
            <w:div w:id="1427114366">
              <w:marLeft w:val="0"/>
              <w:marRight w:val="0"/>
              <w:marTop w:val="0"/>
              <w:marBottom w:val="0"/>
              <w:divBdr>
                <w:top w:val="none" w:sz="0" w:space="0" w:color="auto"/>
                <w:left w:val="none" w:sz="0" w:space="0" w:color="auto"/>
                <w:bottom w:val="none" w:sz="0" w:space="0" w:color="auto"/>
                <w:right w:val="none" w:sz="0" w:space="0" w:color="auto"/>
              </w:divBdr>
              <w:divsChild>
                <w:div w:id="140217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793299">
      <w:bodyDiv w:val="1"/>
      <w:marLeft w:val="0"/>
      <w:marRight w:val="0"/>
      <w:marTop w:val="0"/>
      <w:marBottom w:val="0"/>
      <w:divBdr>
        <w:top w:val="none" w:sz="0" w:space="0" w:color="auto"/>
        <w:left w:val="none" w:sz="0" w:space="0" w:color="auto"/>
        <w:bottom w:val="none" w:sz="0" w:space="0" w:color="auto"/>
        <w:right w:val="none" w:sz="0" w:space="0" w:color="auto"/>
      </w:divBdr>
      <w:divsChild>
        <w:div w:id="1614746384">
          <w:marLeft w:val="0"/>
          <w:marRight w:val="0"/>
          <w:marTop w:val="0"/>
          <w:marBottom w:val="0"/>
          <w:divBdr>
            <w:top w:val="none" w:sz="0" w:space="0" w:color="auto"/>
            <w:left w:val="none" w:sz="0" w:space="0" w:color="auto"/>
            <w:bottom w:val="none" w:sz="0" w:space="0" w:color="auto"/>
            <w:right w:val="none" w:sz="0" w:space="0" w:color="auto"/>
          </w:divBdr>
          <w:divsChild>
            <w:div w:id="1597325492">
              <w:marLeft w:val="0"/>
              <w:marRight w:val="0"/>
              <w:marTop w:val="0"/>
              <w:marBottom w:val="0"/>
              <w:divBdr>
                <w:top w:val="none" w:sz="0" w:space="0" w:color="auto"/>
                <w:left w:val="none" w:sz="0" w:space="0" w:color="auto"/>
                <w:bottom w:val="none" w:sz="0" w:space="0" w:color="auto"/>
                <w:right w:val="none" w:sz="0" w:space="0" w:color="auto"/>
              </w:divBdr>
              <w:divsChild>
                <w:div w:id="128981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88362">
      <w:bodyDiv w:val="1"/>
      <w:marLeft w:val="0"/>
      <w:marRight w:val="0"/>
      <w:marTop w:val="0"/>
      <w:marBottom w:val="0"/>
      <w:divBdr>
        <w:top w:val="none" w:sz="0" w:space="0" w:color="auto"/>
        <w:left w:val="none" w:sz="0" w:space="0" w:color="auto"/>
        <w:bottom w:val="none" w:sz="0" w:space="0" w:color="auto"/>
        <w:right w:val="none" w:sz="0" w:space="0" w:color="auto"/>
      </w:divBdr>
      <w:divsChild>
        <w:div w:id="134950347">
          <w:marLeft w:val="0"/>
          <w:marRight w:val="0"/>
          <w:marTop w:val="0"/>
          <w:marBottom w:val="0"/>
          <w:divBdr>
            <w:top w:val="none" w:sz="0" w:space="0" w:color="auto"/>
            <w:left w:val="none" w:sz="0" w:space="0" w:color="auto"/>
            <w:bottom w:val="none" w:sz="0" w:space="0" w:color="auto"/>
            <w:right w:val="none" w:sz="0" w:space="0" w:color="auto"/>
          </w:divBdr>
          <w:divsChild>
            <w:div w:id="499466151">
              <w:marLeft w:val="0"/>
              <w:marRight w:val="0"/>
              <w:marTop w:val="0"/>
              <w:marBottom w:val="0"/>
              <w:divBdr>
                <w:top w:val="none" w:sz="0" w:space="0" w:color="auto"/>
                <w:left w:val="none" w:sz="0" w:space="0" w:color="auto"/>
                <w:bottom w:val="none" w:sz="0" w:space="0" w:color="auto"/>
                <w:right w:val="none" w:sz="0" w:space="0" w:color="auto"/>
              </w:divBdr>
              <w:divsChild>
                <w:div w:id="9733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45754">
      <w:bodyDiv w:val="1"/>
      <w:marLeft w:val="0"/>
      <w:marRight w:val="0"/>
      <w:marTop w:val="0"/>
      <w:marBottom w:val="0"/>
      <w:divBdr>
        <w:top w:val="none" w:sz="0" w:space="0" w:color="auto"/>
        <w:left w:val="none" w:sz="0" w:space="0" w:color="auto"/>
        <w:bottom w:val="none" w:sz="0" w:space="0" w:color="auto"/>
        <w:right w:val="none" w:sz="0" w:space="0" w:color="auto"/>
      </w:divBdr>
      <w:divsChild>
        <w:div w:id="516888691">
          <w:marLeft w:val="0"/>
          <w:marRight w:val="0"/>
          <w:marTop w:val="0"/>
          <w:marBottom w:val="0"/>
          <w:divBdr>
            <w:top w:val="none" w:sz="0" w:space="0" w:color="auto"/>
            <w:left w:val="none" w:sz="0" w:space="0" w:color="auto"/>
            <w:bottom w:val="none" w:sz="0" w:space="0" w:color="auto"/>
            <w:right w:val="none" w:sz="0" w:space="0" w:color="auto"/>
          </w:divBdr>
          <w:divsChild>
            <w:div w:id="2092266712">
              <w:marLeft w:val="0"/>
              <w:marRight w:val="0"/>
              <w:marTop w:val="0"/>
              <w:marBottom w:val="0"/>
              <w:divBdr>
                <w:top w:val="none" w:sz="0" w:space="0" w:color="auto"/>
                <w:left w:val="none" w:sz="0" w:space="0" w:color="auto"/>
                <w:bottom w:val="none" w:sz="0" w:space="0" w:color="auto"/>
                <w:right w:val="none" w:sz="0" w:space="0" w:color="auto"/>
              </w:divBdr>
              <w:divsChild>
                <w:div w:id="7428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67300">
      <w:bodyDiv w:val="1"/>
      <w:marLeft w:val="0"/>
      <w:marRight w:val="0"/>
      <w:marTop w:val="0"/>
      <w:marBottom w:val="0"/>
      <w:divBdr>
        <w:top w:val="none" w:sz="0" w:space="0" w:color="auto"/>
        <w:left w:val="none" w:sz="0" w:space="0" w:color="auto"/>
        <w:bottom w:val="none" w:sz="0" w:space="0" w:color="auto"/>
        <w:right w:val="none" w:sz="0" w:space="0" w:color="auto"/>
      </w:divBdr>
    </w:div>
    <w:div w:id="1947929519">
      <w:bodyDiv w:val="1"/>
      <w:marLeft w:val="0"/>
      <w:marRight w:val="0"/>
      <w:marTop w:val="0"/>
      <w:marBottom w:val="0"/>
      <w:divBdr>
        <w:top w:val="none" w:sz="0" w:space="0" w:color="auto"/>
        <w:left w:val="none" w:sz="0" w:space="0" w:color="auto"/>
        <w:bottom w:val="none" w:sz="0" w:space="0" w:color="auto"/>
        <w:right w:val="none" w:sz="0" w:space="0" w:color="auto"/>
      </w:divBdr>
      <w:divsChild>
        <w:div w:id="2124574534">
          <w:marLeft w:val="0"/>
          <w:marRight w:val="0"/>
          <w:marTop w:val="0"/>
          <w:marBottom w:val="0"/>
          <w:divBdr>
            <w:top w:val="none" w:sz="0" w:space="0" w:color="auto"/>
            <w:left w:val="none" w:sz="0" w:space="0" w:color="auto"/>
            <w:bottom w:val="none" w:sz="0" w:space="0" w:color="auto"/>
            <w:right w:val="none" w:sz="0" w:space="0" w:color="auto"/>
          </w:divBdr>
          <w:divsChild>
            <w:div w:id="1968311784">
              <w:marLeft w:val="0"/>
              <w:marRight w:val="0"/>
              <w:marTop w:val="0"/>
              <w:marBottom w:val="0"/>
              <w:divBdr>
                <w:top w:val="none" w:sz="0" w:space="0" w:color="auto"/>
                <w:left w:val="none" w:sz="0" w:space="0" w:color="auto"/>
                <w:bottom w:val="none" w:sz="0" w:space="0" w:color="auto"/>
                <w:right w:val="none" w:sz="0" w:space="0" w:color="auto"/>
              </w:divBdr>
              <w:divsChild>
                <w:div w:id="8890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539244">
      <w:bodyDiv w:val="1"/>
      <w:marLeft w:val="0"/>
      <w:marRight w:val="0"/>
      <w:marTop w:val="0"/>
      <w:marBottom w:val="0"/>
      <w:divBdr>
        <w:top w:val="none" w:sz="0" w:space="0" w:color="auto"/>
        <w:left w:val="none" w:sz="0" w:space="0" w:color="auto"/>
        <w:bottom w:val="none" w:sz="0" w:space="0" w:color="auto"/>
        <w:right w:val="none" w:sz="0" w:space="0" w:color="auto"/>
      </w:divBdr>
    </w:div>
    <w:div w:id="2013334764">
      <w:bodyDiv w:val="1"/>
      <w:marLeft w:val="0"/>
      <w:marRight w:val="0"/>
      <w:marTop w:val="0"/>
      <w:marBottom w:val="0"/>
      <w:divBdr>
        <w:top w:val="none" w:sz="0" w:space="0" w:color="auto"/>
        <w:left w:val="none" w:sz="0" w:space="0" w:color="auto"/>
        <w:bottom w:val="none" w:sz="0" w:space="0" w:color="auto"/>
        <w:right w:val="none" w:sz="0" w:space="0" w:color="auto"/>
      </w:divBdr>
      <w:divsChild>
        <w:div w:id="1322613765">
          <w:marLeft w:val="0"/>
          <w:marRight w:val="0"/>
          <w:marTop w:val="0"/>
          <w:marBottom w:val="0"/>
          <w:divBdr>
            <w:top w:val="none" w:sz="0" w:space="0" w:color="auto"/>
            <w:left w:val="none" w:sz="0" w:space="0" w:color="auto"/>
            <w:bottom w:val="none" w:sz="0" w:space="0" w:color="auto"/>
            <w:right w:val="none" w:sz="0" w:space="0" w:color="auto"/>
          </w:divBdr>
          <w:divsChild>
            <w:div w:id="1247033980">
              <w:marLeft w:val="0"/>
              <w:marRight w:val="0"/>
              <w:marTop w:val="0"/>
              <w:marBottom w:val="0"/>
              <w:divBdr>
                <w:top w:val="none" w:sz="0" w:space="0" w:color="auto"/>
                <w:left w:val="none" w:sz="0" w:space="0" w:color="auto"/>
                <w:bottom w:val="none" w:sz="0" w:space="0" w:color="auto"/>
                <w:right w:val="none" w:sz="0" w:space="0" w:color="auto"/>
              </w:divBdr>
              <w:divsChild>
                <w:div w:id="1647784899">
                  <w:marLeft w:val="0"/>
                  <w:marRight w:val="0"/>
                  <w:marTop w:val="0"/>
                  <w:marBottom w:val="0"/>
                  <w:divBdr>
                    <w:top w:val="none" w:sz="0" w:space="0" w:color="auto"/>
                    <w:left w:val="none" w:sz="0" w:space="0" w:color="auto"/>
                    <w:bottom w:val="none" w:sz="0" w:space="0" w:color="auto"/>
                    <w:right w:val="none" w:sz="0" w:space="0" w:color="auto"/>
                  </w:divBdr>
                  <w:divsChild>
                    <w:div w:id="210167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486218">
      <w:bodyDiv w:val="1"/>
      <w:marLeft w:val="0"/>
      <w:marRight w:val="0"/>
      <w:marTop w:val="0"/>
      <w:marBottom w:val="0"/>
      <w:divBdr>
        <w:top w:val="none" w:sz="0" w:space="0" w:color="auto"/>
        <w:left w:val="none" w:sz="0" w:space="0" w:color="auto"/>
        <w:bottom w:val="none" w:sz="0" w:space="0" w:color="auto"/>
        <w:right w:val="none" w:sz="0" w:space="0" w:color="auto"/>
      </w:divBdr>
      <w:divsChild>
        <w:div w:id="563687344">
          <w:marLeft w:val="0"/>
          <w:marRight w:val="0"/>
          <w:marTop w:val="0"/>
          <w:marBottom w:val="0"/>
          <w:divBdr>
            <w:top w:val="none" w:sz="0" w:space="0" w:color="auto"/>
            <w:left w:val="none" w:sz="0" w:space="0" w:color="auto"/>
            <w:bottom w:val="none" w:sz="0" w:space="0" w:color="auto"/>
            <w:right w:val="none" w:sz="0" w:space="0" w:color="auto"/>
          </w:divBdr>
          <w:divsChild>
            <w:div w:id="352415622">
              <w:marLeft w:val="0"/>
              <w:marRight w:val="0"/>
              <w:marTop w:val="0"/>
              <w:marBottom w:val="0"/>
              <w:divBdr>
                <w:top w:val="none" w:sz="0" w:space="0" w:color="auto"/>
                <w:left w:val="none" w:sz="0" w:space="0" w:color="auto"/>
                <w:bottom w:val="none" w:sz="0" w:space="0" w:color="auto"/>
                <w:right w:val="none" w:sz="0" w:space="0" w:color="auto"/>
              </w:divBdr>
              <w:divsChild>
                <w:div w:id="21176579">
                  <w:marLeft w:val="0"/>
                  <w:marRight w:val="0"/>
                  <w:marTop w:val="0"/>
                  <w:marBottom w:val="0"/>
                  <w:divBdr>
                    <w:top w:val="none" w:sz="0" w:space="0" w:color="auto"/>
                    <w:left w:val="none" w:sz="0" w:space="0" w:color="auto"/>
                    <w:bottom w:val="none" w:sz="0" w:space="0" w:color="auto"/>
                    <w:right w:val="none" w:sz="0" w:space="0" w:color="auto"/>
                  </w:divBdr>
                  <w:divsChild>
                    <w:div w:id="90584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6744</Words>
  <Characters>38447</Characters>
  <Application>Microsoft Office Word</Application>
  <DocSecurity>0</DocSecurity>
  <Lines>320</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FERRARI Giulia</cp:lastModifiedBy>
  <cp:revision>2</cp:revision>
  <cp:lastPrinted>2021-11-05T13:39:00Z</cp:lastPrinted>
  <dcterms:created xsi:type="dcterms:W3CDTF">2022-04-13T17:51:00Z</dcterms:created>
  <dcterms:modified xsi:type="dcterms:W3CDTF">2022-04-13T17:51:00Z</dcterms:modified>
</cp:coreProperties>
</file>