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1CD0" w:rsidRPr="00F21CD0" w:rsidRDefault="00F21CD0" w:rsidP="00F21CD0">
      <w:pPr>
        <w:jc w:val="right"/>
        <w:rPr>
          <w:rFonts w:ascii="Goudy Old Style" w:eastAsia="Times New Roman" w:hAnsi="Goudy Old Style" w:cs="Times New Roman"/>
          <w:i/>
          <w:sz w:val="24"/>
          <w:szCs w:val="24"/>
          <w:lang w:eastAsia="it-IT"/>
        </w:rPr>
      </w:pPr>
    </w:p>
    <w:p w:rsidR="001E05D8" w:rsidRPr="00043C74" w:rsidRDefault="004909C0" w:rsidP="00D47D5E">
      <w:pPr>
        <w:pStyle w:val="NormaleWeb"/>
        <w:shd w:val="clear" w:color="auto" w:fill="FFFFFF"/>
        <w:spacing w:before="0" w:beforeAutospacing="0" w:after="0" w:afterAutospacing="0"/>
        <w:jc w:val="both"/>
        <w:rPr>
          <w:rFonts w:ascii="Goudy Old Style" w:hAnsi="Goudy Old Style"/>
          <w:sz w:val="56"/>
          <w:szCs w:val="56"/>
        </w:rPr>
      </w:pPr>
      <w:bookmarkStart w:id="0" w:name="_GoBack"/>
      <w:r>
        <w:rPr>
          <w:rFonts w:ascii="Goudy Old Style" w:hAnsi="Goudy Old Style"/>
          <w:i/>
          <w:sz w:val="56"/>
          <w:szCs w:val="56"/>
        </w:rPr>
        <w:t>Web e pluralismo dell’informazione politica tra criticità globali e tentativi di regolazione</w:t>
      </w:r>
    </w:p>
    <w:p w:rsidR="0044140C" w:rsidRPr="001A0DC7" w:rsidRDefault="0044140C" w:rsidP="00D47D5E">
      <w:pPr>
        <w:pStyle w:val="NormaleWeb"/>
        <w:shd w:val="clear" w:color="auto" w:fill="FFFFFF"/>
        <w:spacing w:before="0" w:beforeAutospacing="0" w:after="0" w:afterAutospacing="0"/>
        <w:jc w:val="both"/>
        <w:rPr>
          <w:rFonts w:ascii="Goudy Old Style" w:hAnsi="Goudy Old Style"/>
          <w:sz w:val="21"/>
          <w:szCs w:val="21"/>
        </w:rPr>
      </w:pPr>
    </w:p>
    <w:bookmarkEnd w:id="0"/>
    <w:p w:rsidR="001A1225" w:rsidRPr="001A0DC7" w:rsidRDefault="001A1225" w:rsidP="00D47D5E">
      <w:pPr>
        <w:pStyle w:val="NormaleWeb"/>
        <w:shd w:val="clear" w:color="auto" w:fill="FFFFFF"/>
        <w:spacing w:before="0" w:beforeAutospacing="0" w:after="0" w:afterAutospacing="0"/>
        <w:jc w:val="both"/>
        <w:rPr>
          <w:rFonts w:ascii="Goudy Old Style" w:hAnsi="Goudy Old Style"/>
          <w:sz w:val="21"/>
          <w:szCs w:val="21"/>
        </w:rPr>
      </w:pPr>
    </w:p>
    <w:p w:rsidR="002B6C29" w:rsidRPr="00C71366" w:rsidRDefault="001A1225" w:rsidP="00D47D5E">
      <w:pPr>
        <w:spacing w:after="0" w:line="240" w:lineRule="auto"/>
        <w:jc w:val="both"/>
        <w:rPr>
          <w:rFonts w:ascii="Goudy Old Style" w:hAnsi="Goudy Old Style" w:cs="Times New Roman"/>
          <w:b/>
          <w:sz w:val="21"/>
          <w:szCs w:val="21"/>
        </w:rPr>
      </w:pPr>
      <w:r w:rsidRPr="001A0DC7">
        <w:rPr>
          <w:rFonts w:ascii="Goudy Old Style" w:hAnsi="Goudy Old Style" w:cs="Times New Roman"/>
          <w:b/>
          <w:sz w:val="18"/>
          <w:szCs w:val="18"/>
        </w:rPr>
        <w:t>Sommario:</w:t>
      </w:r>
      <w:r w:rsidRPr="001A0DC7">
        <w:rPr>
          <w:rFonts w:ascii="Goudy Old Style" w:hAnsi="Goudy Old Style" w:cs="Times New Roman"/>
          <w:sz w:val="18"/>
          <w:szCs w:val="18"/>
        </w:rPr>
        <w:t xml:space="preserve"> </w:t>
      </w:r>
      <w:r w:rsidR="002B6C29" w:rsidRPr="00C71366">
        <w:rPr>
          <w:rFonts w:ascii="Goudy Old Style" w:hAnsi="Goudy Old Style" w:cs="Times New Roman"/>
          <w:sz w:val="18"/>
          <w:szCs w:val="18"/>
        </w:rPr>
        <w:t xml:space="preserve">1. </w:t>
      </w:r>
      <w:r w:rsidR="00BD61F3">
        <w:rPr>
          <w:rFonts w:ascii="Goudy Old Style" w:hAnsi="Goudy Old Style" w:cs="Times New Roman"/>
          <w:sz w:val="18"/>
          <w:szCs w:val="18"/>
        </w:rPr>
        <w:t>Rilevazione dei fenomeni: considerazioni introduttive</w:t>
      </w:r>
      <w:r w:rsidR="00BC35E1" w:rsidRPr="00C71366">
        <w:rPr>
          <w:rFonts w:ascii="Goudy Old Style" w:hAnsi="Goudy Old Style" w:cs="Times New Roman"/>
          <w:sz w:val="18"/>
          <w:szCs w:val="18"/>
        </w:rPr>
        <w:t>. -</w:t>
      </w:r>
      <w:r w:rsidR="005E7A71" w:rsidRPr="00C71366">
        <w:rPr>
          <w:rFonts w:ascii="Goudy Old Style" w:hAnsi="Goudy Old Style" w:cs="Times New Roman"/>
          <w:sz w:val="18"/>
          <w:szCs w:val="18"/>
        </w:rPr>
        <w:t xml:space="preserve"> 2.</w:t>
      </w:r>
      <w:r w:rsidR="002B6C29" w:rsidRPr="00C71366">
        <w:rPr>
          <w:rFonts w:ascii="Goudy Old Style" w:hAnsi="Goudy Old Style" w:cs="Times New Roman"/>
          <w:sz w:val="18"/>
          <w:szCs w:val="18"/>
        </w:rPr>
        <w:t xml:space="preserve"> </w:t>
      </w:r>
      <w:r w:rsidR="00BD61F3">
        <w:rPr>
          <w:rFonts w:ascii="Goudy Old Style" w:hAnsi="Goudy Old Style" w:cs="Times New Roman"/>
          <w:sz w:val="18"/>
          <w:szCs w:val="18"/>
        </w:rPr>
        <w:t>Rafforzamento delle garanzie del contesto nel quale si svolge la comunicazione politica</w:t>
      </w:r>
      <w:r w:rsidR="00BC35E1" w:rsidRPr="00C71366">
        <w:rPr>
          <w:rFonts w:ascii="Goudy Old Style" w:hAnsi="Goudy Old Style" w:cs="Times New Roman"/>
          <w:sz w:val="18"/>
          <w:szCs w:val="18"/>
        </w:rPr>
        <w:t>. -</w:t>
      </w:r>
      <w:r w:rsidR="002B6C29" w:rsidRPr="00C71366">
        <w:rPr>
          <w:rFonts w:ascii="Goudy Old Style" w:hAnsi="Goudy Old Style" w:cs="Times New Roman"/>
          <w:sz w:val="18"/>
          <w:szCs w:val="18"/>
        </w:rPr>
        <w:t xml:space="preserve"> </w:t>
      </w:r>
      <w:r w:rsidR="009A4FE9" w:rsidRPr="00C71366">
        <w:rPr>
          <w:rFonts w:ascii="Goudy Old Style" w:hAnsi="Goudy Old Style" w:cs="Times New Roman"/>
          <w:sz w:val="18"/>
          <w:szCs w:val="18"/>
        </w:rPr>
        <w:t>3</w:t>
      </w:r>
      <w:r w:rsidR="002B6C29" w:rsidRPr="00C71366">
        <w:rPr>
          <w:rFonts w:ascii="Goudy Old Style" w:hAnsi="Goudy Old Style" w:cs="Times New Roman"/>
          <w:sz w:val="18"/>
          <w:szCs w:val="18"/>
        </w:rPr>
        <w:t xml:space="preserve">. </w:t>
      </w:r>
      <w:r w:rsidR="00BD61F3">
        <w:rPr>
          <w:rFonts w:ascii="Goudy Old Style" w:hAnsi="Goudy Old Style" w:cs="Times New Roman"/>
          <w:sz w:val="18"/>
          <w:szCs w:val="18"/>
        </w:rPr>
        <w:t>Necessità di una revisione della normativa elettorale</w:t>
      </w:r>
      <w:r w:rsidR="004909C0">
        <w:rPr>
          <w:rFonts w:ascii="Goudy Old Style" w:hAnsi="Goudy Old Style" w:cs="Times New Roman"/>
          <w:sz w:val="18"/>
          <w:szCs w:val="18"/>
        </w:rPr>
        <w:t xml:space="preserve"> italiana</w:t>
      </w:r>
      <w:r w:rsidR="00752A5F">
        <w:rPr>
          <w:rFonts w:ascii="Goudy Old Style" w:hAnsi="Goudy Old Style" w:cs="Times New Roman"/>
          <w:sz w:val="18"/>
          <w:szCs w:val="18"/>
        </w:rPr>
        <w:t>.</w:t>
      </w:r>
      <w:r w:rsidR="00BC35E1" w:rsidRPr="00C71366">
        <w:rPr>
          <w:rFonts w:ascii="Goudy Old Style" w:hAnsi="Goudy Old Style" w:cs="Times New Roman"/>
          <w:sz w:val="18"/>
          <w:szCs w:val="18"/>
        </w:rPr>
        <w:t xml:space="preserve"> </w:t>
      </w:r>
      <w:r w:rsidR="006A21E0">
        <w:rPr>
          <w:rFonts w:ascii="Goudy Old Style" w:hAnsi="Goudy Old Style" w:cs="Times New Roman"/>
          <w:sz w:val="18"/>
          <w:szCs w:val="18"/>
        </w:rPr>
        <w:t xml:space="preserve">- </w:t>
      </w:r>
      <w:r w:rsidR="009A4FE9" w:rsidRPr="001A0DC7">
        <w:rPr>
          <w:rFonts w:ascii="Goudy Old Style" w:hAnsi="Goudy Old Style" w:cs="Times New Roman"/>
          <w:sz w:val="18"/>
          <w:szCs w:val="18"/>
        </w:rPr>
        <w:t>4</w:t>
      </w:r>
      <w:r w:rsidR="002B6C29" w:rsidRPr="001A0DC7">
        <w:rPr>
          <w:rFonts w:ascii="Goudy Old Style" w:hAnsi="Goudy Old Style" w:cs="Times New Roman"/>
          <w:sz w:val="18"/>
          <w:szCs w:val="18"/>
        </w:rPr>
        <w:t xml:space="preserve">. </w:t>
      </w:r>
      <w:r w:rsidR="00BD61F3">
        <w:rPr>
          <w:rFonts w:ascii="Goudy Old Style" w:hAnsi="Goudy Old Style" w:cs="Times New Roman"/>
          <w:sz w:val="18"/>
          <w:szCs w:val="18"/>
          <w:shd w:val="clear" w:color="auto" w:fill="FFFFFF"/>
        </w:rPr>
        <w:t xml:space="preserve">Incidenza della disciplina in materia di perimetro della sicurezza cibernetica e </w:t>
      </w:r>
      <w:proofErr w:type="spellStart"/>
      <w:r w:rsidR="00BD61F3" w:rsidRPr="00BD61F3">
        <w:rPr>
          <w:rFonts w:ascii="Goudy Old Style" w:hAnsi="Goudy Old Style" w:cs="Times New Roman"/>
          <w:i/>
          <w:sz w:val="18"/>
          <w:szCs w:val="18"/>
          <w:shd w:val="clear" w:color="auto" w:fill="FFFFFF"/>
        </w:rPr>
        <w:t>golden</w:t>
      </w:r>
      <w:proofErr w:type="spellEnd"/>
      <w:r w:rsidR="00BD61F3" w:rsidRPr="00BD61F3">
        <w:rPr>
          <w:rFonts w:ascii="Goudy Old Style" w:hAnsi="Goudy Old Style" w:cs="Times New Roman"/>
          <w:i/>
          <w:sz w:val="18"/>
          <w:szCs w:val="18"/>
          <w:shd w:val="clear" w:color="auto" w:fill="FFFFFF"/>
        </w:rPr>
        <w:t xml:space="preserve"> </w:t>
      </w:r>
      <w:proofErr w:type="spellStart"/>
      <w:r w:rsidR="00BD61F3" w:rsidRPr="00BD61F3">
        <w:rPr>
          <w:rFonts w:ascii="Goudy Old Style" w:hAnsi="Goudy Old Style" w:cs="Times New Roman"/>
          <w:i/>
          <w:sz w:val="18"/>
          <w:szCs w:val="18"/>
          <w:shd w:val="clear" w:color="auto" w:fill="FFFFFF"/>
        </w:rPr>
        <w:t>power</w:t>
      </w:r>
      <w:proofErr w:type="spellEnd"/>
      <w:r w:rsidR="00BD61F3">
        <w:rPr>
          <w:rFonts w:ascii="Goudy Old Style" w:hAnsi="Goudy Old Style" w:cs="Times New Roman"/>
          <w:sz w:val="18"/>
          <w:szCs w:val="18"/>
          <w:shd w:val="clear" w:color="auto" w:fill="FFFFFF"/>
        </w:rPr>
        <w:t xml:space="preserve">. </w:t>
      </w:r>
      <w:r w:rsidR="00BC35E1" w:rsidRPr="001A0DC7">
        <w:rPr>
          <w:rFonts w:ascii="Goudy Old Style" w:hAnsi="Goudy Old Style" w:cs="Times New Roman"/>
          <w:sz w:val="18"/>
          <w:szCs w:val="18"/>
          <w:shd w:val="clear" w:color="auto" w:fill="FFFFFF"/>
        </w:rPr>
        <w:t xml:space="preserve"> -</w:t>
      </w:r>
      <w:r w:rsidR="002B6C29" w:rsidRPr="001A0DC7">
        <w:rPr>
          <w:rFonts w:ascii="Goudy Old Style" w:hAnsi="Goudy Old Style" w:cs="Times New Roman"/>
          <w:i/>
          <w:sz w:val="18"/>
          <w:szCs w:val="18"/>
          <w:shd w:val="clear" w:color="auto" w:fill="FFFFFF"/>
        </w:rPr>
        <w:t xml:space="preserve"> </w:t>
      </w:r>
      <w:r w:rsidR="009A4FE9" w:rsidRPr="001A0DC7">
        <w:rPr>
          <w:rFonts w:ascii="Goudy Old Style" w:hAnsi="Goudy Old Style" w:cs="Times New Roman"/>
          <w:sz w:val="18"/>
          <w:szCs w:val="18"/>
          <w:shd w:val="clear" w:color="auto" w:fill="FFFFFF"/>
        </w:rPr>
        <w:t>5</w:t>
      </w:r>
      <w:r w:rsidR="002B6C29" w:rsidRPr="001A0DC7">
        <w:rPr>
          <w:rFonts w:ascii="Goudy Old Style" w:hAnsi="Goudy Old Style" w:cs="Times New Roman"/>
          <w:sz w:val="18"/>
          <w:szCs w:val="18"/>
          <w:shd w:val="clear" w:color="auto" w:fill="FFFFFF"/>
        </w:rPr>
        <w:t xml:space="preserve">. </w:t>
      </w:r>
      <w:r w:rsidR="00BD61F3">
        <w:rPr>
          <w:rFonts w:ascii="Goudy Old Style" w:hAnsi="Goudy Old Style" w:cs="Times New Roman"/>
          <w:sz w:val="18"/>
          <w:szCs w:val="18"/>
          <w:shd w:val="clear" w:color="auto" w:fill="FFFFFF"/>
        </w:rPr>
        <w:t>Riflessioni conclusive.</w:t>
      </w:r>
    </w:p>
    <w:p w:rsidR="001A1225" w:rsidRPr="001A0DC7" w:rsidRDefault="001A1225" w:rsidP="00D47D5E">
      <w:pPr>
        <w:pStyle w:val="NormaleWeb"/>
        <w:shd w:val="clear" w:color="auto" w:fill="FFFFFF"/>
        <w:spacing w:before="0" w:beforeAutospacing="0" w:after="0" w:afterAutospacing="0"/>
        <w:jc w:val="both"/>
        <w:rPr>
          <w:rFonts w:ascii="Goudy Old Style" w:hAnsi="Goudy Old Style"/>
          <w:sz w:val="21"/>
          <w:szCs w:val="21"/>
        </w:rPr>
      </w:pPr>
    </w:p>
    <w:p w:rsidR="001A1225" w:rsidRPr="001A0DC7" w:rsidRDefault="008E4274" w:rsidP="00D47D5E">
      <w:pPr>
        <w:pStyle w:val="NormaleWeb"/>
        <w:shd w:val="clear" w:color="auto" w:fill="FFFFFF"/>
        <w:spacing w:before="0" w:beforeAutospacing="0" w:after="0" w:afterAutospacing="0"/>
        <w:jc w:val="both"/>
        <w:rPr>
          <w:rFonts w:ascii="Goudy Old Style" w:hAnsi="Goudy Old Style"/>
          <w:i/>
          <w:sz w:val="18"/>
          <w:szCs w:val="18"/>
          <w:shd w:val="clear" w:color="auto" w:fill="FFFFFF"/>
        </w:rPr>
      </w:pPr>
      <w:r>
        <w:rPr>
          <w:rFonts w:ascii="Goudy Old Style" w:hAnsi="Goudy Old Style"/>
          <w:sz w:val="18"/>
          <w:szCs w:val="18"/>
        </w:rPr>
        <w:t xml:space="preserve">Il </w:t>
      </w:r>
      <w:r w:rsidR="001206B1">
        <w:rPr>
          <w:rFonts w:ascii="Goudy Old Style" w:hAnsi="Goudy Old Style"/>
          <w:sz w:val="18"/>
          <w:szCs w:val="18"/>
        </w:rPr>
        <w:t xml:space="preserve">contributo – che illustra e sviluppa le riflessioni svolte nell’intervento tenuto il 18 dicembre u.s. in occasione del convegno </w:t>
      </w:r>
      <w:r w:rsidR="00877F45">
        <w:rPr>
          <w:rFonts w:ascii="Goudy Old Style" w:hAnsi="Goudy Old Style"/>
          <w:sz w:val="18"/>
          <w:szCs w:val="18"/>
        </w:rPr>
        <w:t>“</w:t>
      </w:r>
      <w:r w:rsidR="00877F45" w:rsidRPr="0026475D">
        <w:rPr>
          <w:rFonts w:ascii="Goudy Old Style" w:hAnsi="Goudy Old Style"/>
          <w:i/>
          <w:sz w:val="18"/>
          <w:szCs w:val="18"/>
        </w:rPr>
        <w:t>Gli</w:t>
      </w:r>
      <w:r w:rsidR="001206B1" w:rsidRPr="0026475D">
        <w:rPr>
          <w:rFonts w:ascii="Goudy Old Style" w:hAnsi="Goudy Old Style"/>
          <w:i/>
          <w:sz w:val="18"/>
          <w:szCs w:val="18"/>
        </w:rPr>
        <w:t xml:space="preserve"> Stati generali del diritto di internet</w:t>
      </w:r>
      <w:r w:rsidR="001206B1">
        <w:rPr>
          <w:rFonts w:ascii="Goudy Old Style" w:hAnsi="Goudy Old Style"/>
          <w:sz w:val="18"/>
          <w:szCs w:val="18"/>
        </w:rPr>
        <w:t>” organizzato dalla Luiss</w:t>
      </w:r>
      <w:r w:rsidR="00877F45">
        <w:rPr>
          <w:rFonts w:ascii="Goudy Old Style" w:hAnsi="Goudy Old Style"/>
          <w:sz w:val="18"/>
          <w:szCs w:val="18"/>
        </w:rPr>
        <w:t xml:space="preserve"> – analizza, in stretto ancoraggio alle dinamiche emerse con i nuovi media, </w:t>
      </w:r>
      <w:r w:rsidR="0026475D">
        <w:rPr>
          <w:rFonts w:ascii="Goudy Old Style" w:hAnsi="Goudy Old Style"/>
          <w:sz w:val="18"/>
          <w:szCs w:val="18"/>
        </w:rPr>
        <w:t xml:space="preserve">le più recenti linee evolutive della regolazione, sia in altri contesti ordinamentali sia a livello </w:t>
      </w:r>
      <w:proofErr w:type="spellStart"/>
      <w:r w:rsidR="0026475D">
        <w:rPr>
          <w:rFonts w:ascii="Goudy Old Style" w:hAnsi="Goudy Old Style"/>
          <w:sz w:val="18"/>
          <w:szCs w:val="18"/>
        </w:rPr>
        <w:t>unionale</w:t>
      </w:r>
      <w:proofErr w:type="spellEnd"/>
      <w:r w:rsidR="0026475D">
        <w:rPr>
          <w:rFonts w:ascii="Goudy Old Style" w:hAnsi="Goudy Old Style"/>
          <w:sz w:val="18"/>
          <w:szCs w:val="18"/>
        </w:rPr>
        <w:t xml:space="preserve"> e nazionale, con lo scopo di tracciare alcune direttrici di tutela necessarie per</w:t>
      </w:r>
      <w:r w:rsidR="00997252">
        <w:rPr>
          <w:rFonts w:ascii="Goudy Old Style" w:hAnsi="Goudy Old Style"/>
          <w:sz w:val="18"/>
          <w:szCs w:val="18"/>
        </w:rPr>
        <w:t xml:space="preserve"> assicurare garanzia ai diritti, con specifico riferimento alla incidenza sulla formazione del consenso politico</w:t>
      </w:r>
      <w:r w:rsidR="0026475D">
        <w:rPr>
          <w:rFonts w:ascii="Goudy Old Style" w:hAnsi="Goudy Old Style"/>
          <w:sz w:val="18"/>
          <w:szCs w:val="18"/>
        </w:rPr>
        <w:t xml:space="preserve">. </w:t>
      </w:r>
      <w:r w:rsidR="00997252">
        <w:rPr>
          <w:rFonts w:ascii="Goudy Old Style" w:hAnsi="Goudy Old Style"/>
          <w:sz w:val="18"/>
          <w:szCs w:val="18"/>
        </w:rPr>
        <w:t xml:space="preserve">Sul piano metodologico, si è inteso inquadrare i profili di analisi includendo ambiti di disciplina differenti ma fortemente interconnessi, nella considerazione anche dello stretto legame che avvince l’assetto infrastrutturale delle reti di comunicazione elettronica e i contenuti che attraverso tali reti circolano, in quadro complessivo che conferma l’esigenza, </w:t>
      </w:r>
      <w:r w:rsidR="0056098F">
        <w:rPr>
          <w:rFonts w:ascii="Goudy Old Style" w:hAnsi="Goudy Old Style"/>
          <w:sz w:val="18"/>
          <w:szCs w:val="18"/>
        </w:rPr>
        <w:t>fortemente avvertita, di ulteriori e sollecite misure di intervento a livello nazionale.</w:t>
      </w:r>
      <w:r w:rsidR="00997252">
        <w:rPr>
          <w:rFonts w:ascii="Goudy Old Style" w:hAnsi="Goudy Old Style"/>
          <w:sz w:val="18"/>
          <w:szCs w:val="18"/>
        </w:rPr>
        <w:t xml:space="preserve"> </w:t>
      </w:r>
    </w:p>
    <w:p w:rsidR="009A4FE9" w:rsidRPr="001A0DC7" w:rsidRDefault="009A4FE9" w:rsidP="00D47D5E">
      <w:pPr>
        <w:pStyle w:val="NormaleWeb"/>
        <w:shd w:val="clear" w:color="auto" w:fill="FFFFFF"/>
        <w:spacing w:before="0" w:beforeAutospacing="0" w:after="0" w:afterAutospacing="0"/>
        <w:jc w:val="both"/>
        <w:rPr>
          <w:rFonts w:ascii="Goudy Old Style" w:hAnsi="Goudy Old Style"/>
          <w:sz w:val="18"/>
          <w:szCs w:val="18"/>
        </w:rPr>
      </w:pPr>
    </w:p>
    <w:p w:rsidR="005B3141" w:rsidRPr="004240A3" w:rsidRDefault="005B3141" w:rsidP="005B3141">
      <w:pPr>
        <w:pStyle w:val="NormaleWeb"/>
        <w:shd w:val="clear" w:color="auto" w:fill="FFFFFF"/>
        <w:spacing w:before="0" w:beforeAutospacing="0" w:after="0" w:afterAutospacing="0"/>
        <w:jc w:val="both"/>
        <w:rPr>
          <w:rFonts w:ascii="Goudy Old Style" w:hAnsi="Goudy Old Style"/>
          <w:i/>
          <w:iCs/>
          <w:sz w:val="18"/>
          <w:szCs w:val="18"/>
          <w:lang w:val="en-US"/>
        </w:rPr>
      </w:pPr>
      <w:r w:rsidRPr="004240A3">
        <w:rPr>
          <w:rFonts w:ascii="Goudy Old Style" w:hAnsi="Goudy Old Style"/>
          <w:i/>
          <w:iCs/>
          <w:sz w:val="18"/>
          <w:szCs w:val="18"/>
          <w:lang w:val="en-US"/>
        </w:rPr>
        <w:t xml:space="preserve">The essay – presented during the intervention held on </w:t>
      </w:r>
      <w:proofErr w:type="gramStart"/>
      <w:r w:rsidRPr="004240A3">
        <w:rPr>
          <w:rFonts w:ascii="Goudy Old Style" w:hAnsi="Goudy Old Style"/>
          <w:i/>
          <w:iCs/>
          <w:sz w:val="18"/>
          <w:szCs w:val="18"/>
          <w:lang w:val="en-US"/>
        </w:rPr>
        <w:t>18th</w:t>
      </w:r>
      <w:proofErr w:type="gramEnd"/>
      <w:r w:rsidRPr="004240A3">
        <w:rPr>
          <w:rFonts w:ascii="Goudy Old Style" w:hAnsi="Goudy Old Style"/>
          <w:i/>
          <w:iCs/>
          <w:sz w:val="18"/>
          <w:szCs w:val="18"/>
          <w:lang w:val="en-US"/>
        </w:rPr>
        <w:t xml:space="preserve"> December in the meeting “The General States Of Internet law”, organized by </w:t>
      </w:r>
      <w:proofErr w:type="spellStart"/>
      <w:r w:rsidRPr="004240A3">
        <w:rPr>
          <w:rFonts w:ascii="Goudy Old Style" w:hAnsi="Goudy Old Style"/>
          <w:i/>
          <w:iCs/>
          <w:sz w:val="18"/>
          <w:szCs w:val="18"/>
          <w:lang w:val="en-US"/>
        </w:rPr>
        <w:t>Luiss</w:t>
      </w:r>
      <w:proofErr w:type="spellEnd"/>
      <w:r w:rsidRPr="004240A3">
        <w:rPr>
          <w:rFonts w:ascii="Goudy Old Style" w:hAnsi="Goudy Old Style"/>
          <w:i/>
          <w:iCs/>
          <w:sz w:val="18"/>
          <w:szCs w:val="18"/>
          <w:lang w:val="en-US"/>
        </w:rPr>
        <w:t xml:space="preserve"> – illustrates</w:t>
      </w:r>
    </w:p>
    <w:p w:rsidR="0044140C" w:rsidRPr="004240A3" w:rsidRDefault="005B3141" w:rsidP="005B3141">
      <w:pPr>
        <w:pStyle w:val="NormaleWeb"/>
        <w:shd w:val="clear" w:color="auto" w:fill="FFFFFF"/>
        <w:spacing w:before="0" w:beforeAutospacing="0" w:after="0" w:afterAutospacing="0"/>
        <w:jc w:val="both"/>
        <w:rPr>
          <w:rFonts w:ascii="Goudy Old Style" w:hAnsi="Goudy Old Style"/>
          <w:i/>
          <w:iCs/>
          <w:sz w:val="18"/>
          <w:szCs w:val="18"/>
          <w:lang w:val="en-US"/>
        </w:rPr>
      </w:pPr>
      <w:proofErr w:type="gramStart"/>
      <w:r w:rsidRPr="004240A3">
        <w:rPr>
          <w:rFonts w:ascii="Goudy Old Style" w:hAnsi="Goudy Old Style"/>
          <w:i/>
          <w:iCs/>
          <w:sz w:val="18"/>
          <w:szCs w:val="18"/>
          <w:lang w:val="en-US"/>
        </w:rPr>
        <w:t>in</w:t>
      </w:r>
      <w:proofErr w:type="gramEnd"/>
      <w:r w:rsidRPr="004240A3">
        <w:rPr>
          <w:rFonts w:ascii="Goudy Old Style" w:hAnsi="Goudy Old Style"/>
          <w:i/>
          <w:iCs/>
          <w:sz w:val="18"/>
          <w:szCs w:val="18"/>
          <w:lang w:val="en-US"/>
        </w:rPr>
        <w:t xml:space="preserve"> strong connection with dynamics of the new media the most recent lines of regulation, both in other legal </w:t>
      </w:r>
      <w:proofErr w:type="spellStart"/>
      <w:r w:rsidRPr="004240A3">
        <w:rPr>
          <w:rFonts w:ascii="Goudy Old Style" w:hAnsi="Goudy Old Style"/>
          <w:i/>
          <w:iCs/>
          <w:sz w:val="18"/>
          <w:szCs w:val="18"/>
          <w:lang w:val="en-US"/>
        </w:rPr>
        <w:t>sistems</w:t>
      </w:r>
      <w:proofErr w:type="spellEnd"/>
      <w:r w:rsidRPr="004240A3">
        <w:rPr>
          <w:rFonts w:ascii="Goudy Old Style" w:hAnsi="Goudy Old Style"/>
          <w:i/>
          <w:iCs/>
          <w:sz w:val="18"/>
          <w:szCs w:val="18"/>
          <w:lang w:val="en-US"/>
        </w:rPr>
        <w:t xml:space="preserve"> and EU and in Italy, with the intention to mark some lines of protection, with specific reference to the impact on the formation of political consensus. On a methodological level, it was intended to frame the analysis including different but interconnected fields of discipline, also in consideration of the close link that binds the infrastructural network of electronic communication and the contents that travel through these networks in an overall framework that confirms the strongly felt need for further and urgent intervention </w:t>
      </w:r>
      <w:proofErr w:type="spellStart"/>
      <w:r w:rsidRPr="004240A3">
        <w:rPr>
          <w:rFonts w:ascii="Goudy Old Style" w:hAnsi="Goudy Old Style"/>
          <w:i/>
          <w:iCs/>
          <w:sz w:val="18"/>
          <w:szCs w:val="18"/>
          <w:lang w:val="en-US"/>
        </w:rPr>
        <w:t>mesures</w:t>
      </w:r>
      <w:proofErr w:type="spellEnd"/>
      <w:r w:rsidRPr="004240A3">
        <w:rPr>
          <w:rFonts w:ascii="Goudy Old Style" w:hAnsi="Goudy Old Style"/>
          <w:i/>
          <w:iCs/>
          <w:sz w:val="18"/>
          <w:szCs w:val="18"/>
          <w:lang w:val="en-US"/>
        </w:rPr>
        <w:t xml:space="preserve"> at national level</w:t>
      </w:r>
      <w:proofErr w:type="gramStart"/>
      <w:r w:rsidRPr="004240A3">
        <w:rPr>
          <w:rFonts w:ascii="Goudy Old Style" w:hAnsi="Goudy Old Style"/>
          <w:i/>
          <w:iCs/>
          <w:sz w:val="18"/>
          <w:szCs w:val="18"/>
          <w:lang w:val="en-US"/>
        </w:rPr>
        <w:t>.</w:t>
      </w:r>
      <w:r w:rsidR="00B969DD" w:rsidRPr="000A60BF">
        <w:rPr>
          <w:rFonts w:ascii="Goudy Old Style" w:hAnsi="Goudy Old Style"/>
          <w:sz w:val="18"/>
          <w:szCs w:val="18"/>
          <w:shd w:val="clear" w:color="auto" w:fill="FFFFFF"/>
          <w:lang w:val="en-US"/>
        </w:rPr>
        <w:t>.</w:t>
      </w:r>
      <w:proofErr w:type="gramEnd"/>
    </w:p>
    <w:p w:rsidR="007F1D56" w:rsidRPr="000A60BF" w:rsidRDefault="007F1D56" w:rsidP="00D47D5E">
      <w:pPr>
        <w:pStyle w:val="NormaleWeb"/>
        <w:shd w:val="clear" w:color="auto" w:fill="FFFFFF"/>
        <w:spacing w:before="0" w:beforeAutospacing="0" w:after="0" w:afterAutospacing="0"/>
        <w:jc w:val="both"/>
        <w:rPr>
          <w:rFonts w:ascii="Goudy Old Style" w:hAnsi="Goudy Old Style"/>
          <w:sz w:val="18"/>
          <w:szCs w:val="18"/>
          <w:lang w:val="en-US"/>
        </w:rPr>
      </w:pPr>
    </w:p>
    <w:p w:rsidR="007F1D56" w:rsidRPr="000A60BF" w:rsidRDefault="007F1D56" w:rsidP="00D47D5E">
      <w:pPr>
        <w:pStyle w:val="NormaleWeb"/>
        <w:shd w:val="clear" w:color="auto" w:fill="FFFFFF"/>
        <w:spacing w:before="0" w:beforeAutospacing="0" w:after="0" w:afterAutospacing="0"/>
        <w:jc w:val="both"/>
        <w:rPr>
          <w:rFonts w:ascii="Goudy Old Style" w:hAnsi="Goudy Old Style"/>
          <w:sz w:val="21"/>
          <w:szCs w:val="21"/>
          <w:lang w:val="en-US"/>
        </w:rPr>
      </w:pPr>
    </w:p>
    <w:p w:rsidR="007F1D56" w:rsidRPr="000A60BF" w:rsidRDefault="007F1D56" w:rsidP="00D47D5E">
      <w:pPr>
        <w:pStyle w:val="NormaleWeb"/>
        <w:shd w:val="clear" w:color="auto" w:fill="FFFFFF"/>
        <w:spacing w:before="0" w:beforeAutospacing="0" w:after="0" w:afterAutospacing="0"/>
        <w:jc w:val="both"/>
        <w:rPr>
          <w:rFonts w:ascii="Goudy Old Style" w:hAnsi="Goudy Old Style"/>
          <w:sz w:val="21"/>
          <w:szCs w:val="21"/>
          <w:lang w:val="en-US"/>
        </w:rPr>
      </w:pPr>
    </w:p>
    <w:p w:rsidR="006D7AAF" w:rsidRPr="00997205" w:rsidRDefault="0056098F" w:rsidP="00D47D5E">
      <w:pPr>
        <w:pStyle w:val="NormaleWeb"/>
        <w:numPr>
          <w:ilvl w:val="0"/>
          <w:numId w:val="1"/>
        </w:numPr>
        <w:shd w:val="clear" w:color="auto" w:fill="FFFFFF"/>
        <w:spacing w:before="0" w:beforeAutospacing="0" w:after="0" w:afterAutospacing="0"/>
        <w:ind w:left="284" w:hanging="284"/>
        <w:jc w:val="both"/>
        <w:rPr>
          <w:rFonts w:ascii="Goudy Old Style" w:hAnsi="Goudy Old Style"/>
          <w:b/>
          <w:sz w:val="23"/>
          <w:szCs w:val="23"/>
          <w:lang w:val="en-US"/>
        </w:rPr>
      </w:pPr>
      <w:proofErr w:type="spellStart"/>
      <w:r w:rsidRPr="00997205">
        <w:rPr>
          <w:rFonts w:ascii="Goudy Old Style" w:hAnsi="Goudy Old Style"/>
          <w:b/>
          <w:sz w:val="23"/>
          <w:szCs w:val="23"/>
          <w:lang w:val="en-US"/>
        </w:rPr>
        <w:t>Rilevazione</w:t>
      </w:r>
      <w:proofErr w:type="spellEnd"/>
      <w:r w:rsidRPr="00997205">
        <w:rPr>
          <w:rFonts w:ascii="Goudy Old Style" w:hAnsi="Goudy Old Style"/>
          <w:b/>
          <w:sz w:val="23"/>
          <w:szCs w:val="23"/>
          <w:lang w:val="en-US"/>
        </w:rPr>
        <w:t xml:space="preserve"> </w:t>
      </w:r>
      <w:proofErr w:type="spellStart"/>
      <w:r w:rsidRPr="00997205">
        <w:rPr>
          <w:rFonts w:ascii="Goudy Old Style" w:hAnsi="Goudy Old Style"/>
          <w:b/>
          <w:sz w:val="23"/>
          <w:szCs w:val="23"/>
          <w:lang w:val="en-US"/>
        </w:rPr>
        <w:t>dei</w:t>
      </w:r>
      <w:proofErr w:type="spellEnd"/>
      <w:r w:rsidRPr="00997205">
        <w:rPr>
          <w:rFonts w:ascii="Goudy Old Style" w:hAnsi="Goudy Old Style"/>
          <w:b/>
          <w:sz w:val="23"/>
          <w:szCs w:val="23"/>
          <w:lang w:val="en-US"/>
        </w:rPr>
        <w:t xml:space="preserve"> </w:t>
      </w:r>
      <w:proofErr w:type="spellStart"/>
      <w:r w:rsidRPr="00997205">
        <w:rPr>
          <w:rFonts w:ascii="Goudy Old Style" w:hAnsi="Goudy Old Style"/>
          <w:b/>
          <w:sz w:val="23"/>
          <w:szCs w:val="23"/>
          <w:lang w:val="en-US"/>
        </w:rPr>
        <w:t>fenomeni</w:t>
      </w:r>
      <w:proofErr w:type="spellEnd"/>
      <w:r w:rsidRPr="00997205">
        <w:rPr>
          <w:rFonts w:ascii="Goudy Old Style" w:hAnsi="Goudy Old Style"/>
          <w:b/>
          <w:sz w:val="23"/>
          <w:szCs w:val="23"/>
          <w:lang w:val="en-US"/>
        </w:rPr>
        <w:t xml:space="preserve">: </w:t>
      </w:r>
      <w:proofErr w:type="spellStart"/>
      <w:r w:rsidRPr="00997205">
        <w:rPr>
          <w:rFonts w:ascii="Goudy Old Style" w:hAnsi="Goudy Old Style"/>
          <w:b/>
          <w:sz w:val="23"/>
          <w:szCs w:val="23"/>
          <w:lang w:val="en-US"/>
        </w:rPr>
        <w:t>considerazioni</w:t>
      </w:r>
      <w:proofErr w:type="spellEnd"/>
      <w:r w:rsidRPr="00997205">
        <w:rPr>
          <w:rFonts w:ascii="Goudy Old Style" w:hAnsi="Goudy Old Style"/>
          <w:b/>
          <w:sz w:val="23"/>
          <w:szCs w:val="23"/>
          <w:lang w:val="en-US"/>
        </w:rPr>
        <w:t xml:space="preserve"> </w:t>
      </w:r>
      <w:proofErr w:type="spellStart"/>
      <w:r w:rsidRPr="00997205">
        <w:rPr>
          <w:rFonts w:ascii="Goudy Old Style" w:hAnsi="Goudy Old Style"/>
          <w:b/>
          <w:sz w:val="23"/>
          <w:szCs w:val="23"/>
          <w:lang w:val="en-US"/>
        </w:rPr>
        <w:t>introduttive</w:t>
      </w:r>
      <w:proofErr w:type="spellEnd"/>
    </w:p>
    <w:p w:rsidR="0056098F" w:rsidRPr="0056098F" w:rsidRDefault="0056098F" w:rsidP="00322DEA">
      <w:pPr>
        <w:pStyle w:val="NormaleWeb"/>
        <w:shd w:val="clear" w:color="auto" w:fill="FFFFFF"/>
        <w:spacing w:after="0" w:afterAutospacing="0"/>
        <w:jc w:val="both"/>
        <w:rPr>
          <w:rFonts w:ascii="Goudy Old Style" w:hAnsi="Goudy Old Style"/>
          <w:sz w:val="21"/>
          <w:szCs w:val="21"/>
        </w:rPr>
      </w:pPr>
      <w:r w:rsidRPr="004909C0">
        <w:rPr>
          <w:rFonts w:ascii="Goudy Old Style" w:hAnsi="Goudy Old Style"/>
          <w:sz w:val="21"/>
          <w:szCs w:val="21"/>
        </w:rPr>
        <w:t>Nella loro complessità, l’analisi dei fenomeni che incido</w:t>
      </w:r>
      <w:r w:rsidRPr="0056098F">
        <w:rPr>
          <w:rFonts w:ascii="Goudy Old Style" w:hAnsi="Goudy Old Style"/>
          <w:sz w:val="21"/>
          <w:szCs w:val="21"/>
        </w:rPr>
        <w:t>no sull’informazione politica attraverso i nuovi media fornisce indicazioni essenziali sul metodo di approccio</w:t>
      </w:r>
      <w:r w:rsidR="00322DEA">
        <w:rPr>
          <w:rFonts w:ascii="Goudy Old Style" w:hAnsi="Goudy Old Style"/>
          <w:sz w:val="21"/>
          <w:szCs w:val="21"/>
        </w:rPr>
        <w:t>,</w:t>
      </w:r>
      <w:r w:rsidRPr="0056098F">
        <w:rPr>
          <w:rFonts w:ascii="Goudy Old Style" w:hAnsi="Goudy Old Style"/>
          <w:sz w:val="21"/>
          <w:szCs w:val="21"/>
        </w:rPr>
        <w:t xml:space="preserve"> consentendoci di tracciare alcune direttrici di tutela che diano garanzia ai diritti, nella consapevolezza che offrire delle conclusioni sulla regolazione dei variegati profili che vengono in rilievo sarebbe </w:t>
      </w:r>
      <w:r w:rsidR="004909C0">
        <w:rPr>
          <w:rFonts w:ascii="Goudy Old Style" w:hAnsi="Goudy Old Style"/>
          <w:sz w:val="21"/>
          <w:szCs w:val="21"/>
        </w:rPr>
        <w:t>sol</w:t>
      </w:r>
      <w:r w:rsidR="00322DEA">
        <w:rPr>
          <w:rFonts w:ascii="Goudy Old Style" w:hAnsi="Goudy Old Style"/>
          <w:sz w:val="21"/>
          <w:szCs w:val="21"/>
        </w:rPr>
        <w:t>o un esercizio di</w:t>
      </w:r>
      <w:r w:rsidRPr="0056098F">
        <w:rPr>
          <w:rFonts w:ascii="Goudy Old Style" w:hAnsi="Goudy Old Style"/>
          <w:sz w:val="21"/>
          <w:szCs w:val="21"/>
        </w:rPr>
        <w:t xml:space="preserve"> presunzione.</w:t>
      </w:r>
    </w:p>
    <w:p w:rsidR="0028715E" w:rsidRDefault="0056098F" w:rsidP="0056098F">
      <w:pPr>
        <w:pStyle w:val="NormaleWeb"/>
        <w:shd w:val="clear" w:color="auto" w:fill="FFFFFF"/>
        <w:spacing w:before="0" w:beforeAutospacing="0" w:after="0" w:afterAutospacing="0"/>
        <w:jc w:val="both"/>
        <w:rPr>
          <w:rFonts w:ascii="Goudy Old Style" w:hAnsi="Goudy Old Style"/>
          <w:sz w:val="21"/>
          <w:szCs w:val="21"/>
        </w:rPr>
      </w:pPr>
      <w:r w:rsidRPr="0056098F">
        <w:rPr>
          <w:rFonts w:ascii="Goudy Old Style" w:hAnsi="Goudy Old Style"/>
          <w:sz w:val="21"/>
          <w:szCs w:val="21"/>
        </w:rPr>
        <w:t>Le dinamiche emerse con i nuova media</w:t>
      </w:r>
      <w:r w:rsidR="00322DEA" w:rsidRPr="001A0DC7">
        <w:rPr>
          <w:rStyle w:val="Rimandonotaapidipagina"/>
          <w:rFonts w:ascii="Goudy Old Style" w:hAnsi="Goudy Old Style"/>
          <w:sz w:val="21"/>
          <w:szCs w:val="21"/>
        </w:rPr>
        <w:footnoteReference w:id="1"/>
      </w:r>
      <w:r w:rsidR="00322DEA">
        <w:rPr>
          <w:rFonts w:ascii="Goudy Old Style" w:hAnsi="Goudy Old Style"/>
          <w:sz w:val="21"/>
          <w:szCs w:val="21"/>
        </w:rPr>
        <w:t xml:space="preserve"> </w:t>
      </w:r>
      <w:r w:rsidRPr="0056098F">
        <w:rPr>
          <w:rFonts w:ascii="Goudy Old Style" w:hAnsi="Goudy Old Style"/>
          <w:sz w:val="21"/>
          <w:szCs w:val="21"/>
        </w:rPr>
        <w:t>hanno portata generale ma determinano implicazioni dirompenti quando involgono la persona come cittadino, essendo suscettibili di incidere su aspetti talmente cruciali per l’assetto democratico di un ordinamento da rendere difficilmente rassicurante un radicale disimpegno dello Stato con integrale affidamento su una regolazione rimessa ai privati ed alla loro autonomia</w:t>
      </w:r>
      <w:r w:rsidR="0028715E" w:rsidRPr="001A0DC7">
        <w:rPr>
          <w:rFonts w:ascii="Goudy Old Style" w:hAnsi="Goudy Old Style"/>
          <w:sz w:val="21"/>
          <w:szCs w:val="21"/>
        </w:rPr>
        <w:t>.</w:t>
      </w:r>
    </w:p>
    <w:p w:rsidR="00A718A0" w:rsidRDefault="00A718A0" w:rsidP="0056098F">
      <w:pPr>
        <w:pStyle w:val="NormaleWeb"/>
        <w:shd w:val="clear" w:color="auto" w:fill="FFFFFF"/>
        <w:spacing w:before="0" w:beforeAutospacing="0" w:after="0" w:afterAutospacing="0"/>
        <w:jc w:val="both"/>
        <w:rPr>
          <w:rFonts w:ascii="Goudy Old Style" w:hAnsi="Goudy Old Style"/>
          <w:sz w:val="21"/>
          <w:szCs w:val="21"/>
        </w:rPr>
      </w:pPr>
      <w:r>
        <w:rPr>
          <w:rFonts w:ascii="Goudy Old Style" w:hAnsi="Goudy Old Style"/>
          <w:sz w:val="21"/>
          <w:szCs w:val="21"/>
        </w:rPr>
        <w:lastRenderedPageBreak/>
        <w:t>Ed è un dato che anche la propaganda politica utilizzi in modo massiccio i nuovi strumenti digitali</w:t>
      </w:r>
      <w:r w:rsidRPr="001A0DC7">
        <w:rPr>
          <w:rStyle w:val="Rimandonotaapidipagina"/>
          <w:rFonts w:ascii="Goudy Old Style" w:hAnsi="Goudy Old Style"/>
          <w:sz w:val="21"/>
          <w:szCs w:val="21"/>
        </w:rPr>
        <w:footnoteReference w:id="2"/>
      </w:r>
      <w:r>
        <w:rPr>
          <w:rFonts w:ascii="Goudy Old Style" w:hAnsi="Goudy Old Style"/>
          <w:sz w:val="21"/>
          <w:szCs w:val="21"/>
        </w:rPr>
        <w:t>.</w:t>
      </w:r>
    </w:p>
    <w:p w:rsidR="00D90525" w:rsidRDefault="00D90525" w:rsidP="0056098F">
      <w:pPr>
        <w:pStyle w:val="NormaleWeb"/>
        <w:shd w:val="clear" w:color="auto" w:fill="FFFFFF"/>
        <w:spacing w:before="0" w:beforeAutospacing="0" w:after="0" w:afterAutospacing="0"/>
        <w:jc w:val="both"/>
        <w:rPr>
          <w:rFonts w:ascii="Goudy Old Style" w:hAnsi="Goudy Old Style"/>
          <w:sz w:val="21"/>
          <w:szCs w:val="21"/>
        </w:rPr>
      </w:pPr>
      <w:r w:rsidRPr="00D90525">
        <w:rPr>
          <w:rFonts w:ascii="Goudy Old Style" w:hAnsi="Goudy Old Style"/>
          <w:sz w:val="21"/>
          <w:szCs w:val="21"/>
        </w:rPr>
        <w:t>Non sono qui in discussione gli indubbi vantaggi che l’evoluzione digitale apporta anche ai meccanismi di partecipazione democratica, come reso evidente dalle previsioni introdotte con il D.L. 31 maggio 2021, n. 77, convertito, con modificazioni, dalla legge 29 luglio 2021, n. 108, riferite alla semplificazione del procedimento elettorale</w:t>
      </w:r>
      <w:r>
        <w:rPr>
          <w:rFonts w:ascii="Goudy Old Style" w:hAnsi="Goudy Old Style"/>
          <w:sz w:val="21"/>
          <w:szCs w:val="21"/>
        </w:rPr>
        <w:t xml:space="preserve"> anche attraverso gli strumenti digitali</w:t>
      </w:r>
      <w:r w:rsidRPr="00D90525">
        <w:rPr>
          <w:rFonts w:ascii="Goudy Old Style" w:hAnsi="Goudy Old Style"/>
          <w:sz w:val="21"/>
          <w:szCs w:val="21"/>
        </w:rPr>
        <w:t>, alla estensione della sperimentazione del voto elettronico, alla raccolta di firme digitali tramite piattaforma o strumentazione elettronica ai fini degli adempimenti  per la presentazione dei referendum e delle proposte di progetti di legge di iniziativa popolare</w:t>
      </w:r>
      <w:r w:rsidR="00532C38" w:rsidRPr="001A0DC7">
        <w:rPr>
          <w:rStyle w:val="Rimandonotaapidipagina"/>
          <w:rFonts w:ascii="Goudy Old Style" w:hAnsi="Goudy Old Style"/>
          <w:sz w:val="21"/>
          <w:szCs w:val="21"/>
        </w:rPr>
        <w:footnoteReference w:id="3"/>
      </w:r>
      <w:r w:rsidRPr="00D90525">
        <w:rPr>
          <w:rFonts w:ascii="Goudy Old Style" w:hAnsi="Goudy Old Style"/>
          <w:sz w:val="21"/>
          <w:szCs w:val="21"/>
        </w:rPr>
        <w:t>. Si tratta di innovazioni, peraltro,</w:t>
      </w:r>
      <w:r w:rsidR="00532C38">
        <w:rPr>
          <w:rFonts w:ascii="Goudy Old Style" w:hAnsi="Goudy Old Style"/>
          <w:sz w:val="21"/>
          <w:szCs w:val="21"/>
        </w:rPr>
        <w:t xml:space="preserve"> che ulteriormente avvalorano il</w:t>
      </w:r>
      <w:r w:rsidRPr="00D90525">
        <w:rPr>
          <w:rFonts w:ascii="Goudy Old Style" w:hAnsi="Goudy Old Style"/>
          <w:sz w:val="21"/>
          <w:szCs w:val="21"/>
        </w:rPr>
        <w:t xml:space="preserve"> carattere strategico delle reti di comunicazione elettronica</w:t>
      </w:r>
      <w:r>
        <w:rPr>
          <w:rFonts w:ascii="Goudy Old Style" w:hAnsi="Goudy Old Style"/>
          <w:sz w:val="21"/>
          <w:szCs w:val="21"/>
        </w:rPr>
        <w:t>.</w:t>
      </w:r>
    </w:p>
    <w:p w:rsidR="00D90525" w:rsidRDefault="00D90525" w:rsidP="0056098F">
      <w:pPr>
        <w:pStyle w:val="NormaleWeb"/>
        <w:shd w:val="clear" w:color="auto" w:fill="FFFFFF"/>
        <w:spacing w:before="0" w:beforeAutospacing="0" w:after="0" w:afterAutospacing="0"/>
        <w:jc w:val="both"/>
        <w:rPr>
          <w:rFonts w:ascii="Goudy Old Style" w:hAnsi="Goudy Old Style"/>
          <w:sz w:val="21"/>
          <w:szCs w:val="21"/>
          <w:shd w:val="clear" w:color="auto" w:fill="FFFFFF"/>
        </w:rPr>
      </w:pPr>
      <w:r w:rsidRPr="00D90525">
        <w:rPr>
          <w:rFonts w:ascii="Goudy Old Style" w:hAnsi="Goudy Old Style"/>
          <w:sz w:val="21"/>
          <w:szCs w:val="21"/>
        </w:rPr>
        <w:t>Si ricorderà, al riguardo, che in occasione del recente quesito referendario riferito al Testo Unico in materia di disciplina degli stupefacenti e sostanze psicotrope (</w:t>
      </w:r>
      <w:proofErr w:type="spellStart"/>
      <w:r w:rsidRPr="00D90525">
        <w:rPr>
          <w:rFonts w:ascii="Goudy Old Style" w:hAnsi="Goudy Old Style"/>
          <w:sz w:val="21"/>
          <w:szCs w:val="21"/>
        </w:rPr>
        <w:t>d.P.R.</w:t>
      </w:r>
      <w:proofErr w:type="spellEnd"/>
      <w:r w:rsidRPr="00D90525">
        <w:rPr>
          <w:rFonts w:ascii="Goudy Old Style" w:hAnsi="Goudy Old Style"/>
          <w:sz w:val="21"/>
          <w:szCs w:val="21"/>
        </w:rPr>
        <w:t xml:space="preserve"> 309/1990), in appena una settimana, grazie alle firme digitali, è stato raggiunto il quorum di 500.000 firme richiesto dall’art. 75 </w:t>
      </w:r>
      <w:proofErr w:type="spellStart"/>
      <w:r w:rsidRPr="00D90525">
        <w:rPr>
          <w:rFonts w:ascii="Goudy Old Style" w:hAnsi="Goudy Old Style"/>
          <w:sz w:val="21"/>
          <w:szCs w:val="21"/>
        </w:rPr>
        <w:t>Cost</w:t>
      </w:r>
      <w:proofErr w:type="spellEnd"/>
      <w:r w:rsidRPr="00D90525">
        <w:rPr>
          <w:rFonts w:ascii="Goudy Old Style" w:hAnsi="Goudy Old Style"/>
          <w:sz w:val="21"/>
          <w:szCs w:val="21"/>
        </w:rPr>
        <w:t>., segno evidente dell’impulso decisivo derivante dalle nuove tecnologie nella rivitalizzare di uno strumento di democrazia diretta fondamentale come il referendum, pur senza sottacere le preoccupazioni, evidenziate nel dibattito che ne è scaturito, di una proliferazione delle iniziative e del livello di consapevolezza delle relative adesioni</w:t>
      </w:r>
      <w:r w:rsidR="0031162B">
        <w:rPr>
          <w:rFonts w:ascii="Goudy Old Style" w:hAnsi="Goudy Old Style"/>
          <w:sz w:val="21"/>
          <w:szCs w:val="21"/>
        </w:rPr>
        <w:t>.</w:t>
      </w:r>
      <w:r w:rsidR="0031162B" w:rsidRPr="0031162B">
        <w:rPr>
          <w:rStyle w:val="Rimandonotaapidipagina"/>
          <w:rFonts w:ascii="Goudy Old Style" w:hAnsi="Goudy Old Style"/>
          <w:sz w:val="21"/>
          <w:szCs w:val="21"/>
          <w:shd w:val="clear" w:color="auto" w:fill="FFFFFF"/>
        </w:rPr>
        <w:t xml:space="preserve"> </w:t>
      </w:r>
    </w:p>
    <w:p w:rsidR="00674EE8" w:rsidRDefault="00674EE8" w:rsidP="00674EE8">
      <w:pPr>
        <w:pStyle w:val="NormaleWeb"/>
        <w:shd w:val="clear" w:color="auto" w:fill="FFFFFF"/>
        <w:spacing w:before="0" w:beforeAutospacing="0" w:after="0" w:afterAutospacing="0"/>
        <w:jc w:val="both"/>
        <w:rPr>
          <w:rFonts w:ascii="Goudy Old Style" w:hAnsi="Goudy Old Style"/>
          <w:sz w:val="21"/>
          <w:szCs w:val="21"/>
        </w:rPr>
      </w:pPr>
      <w:r w:rsidRPr="00674EE8">
        <w:rPr>
          <w:rFonts w:ascii="Goudy Old Style" w:hAnsi="Goudy Old Style"/>
          <w:sz w:val="21"/>
          <w:szCs w:val="21"/>
        </w:rPr>
        <w:t>Cadute le barriere di accesso in un contesto nel quale tutti siamo non solo fruitori ma anche produttori di informazioni, di fronte alla evoluzione determinata dagli strumenti digitali, del “diritto all’informazione” connesso alla libertà di espressione, come riconosciuto in numerose pronunce della Corte costituzionale, accanto alla dimensione “individuale”, viene ad assumere particolare rilevanza quella “funzionale”, in quanto strumentalmente orientato al buon funzionamento della vita democratica</w:t>
      </w:r>
      <w:r>
        <w:rPr>
          <w:rFonts w:ascii="Goudy Old Style" w:hAnsi="Goudy Old Style"/>
          <w:sz w:val="21"/>
          <w:szCs w:val="21"/>
        </w:rPr>
        <w:t>.</w:t>
      </w:r>
      <w:r w:rsidRPr="00674EE8">
        <w:rPr>
          <w:rStyle w:val="Rimandonotaapidipagina"/>
          <w:rFonts w:ascii="Goudy Old Style" w:hAnsi="Goudy Old Style"/>
          <w:sz w:val="21"/>
          <w:szCs w:val="21"/>
          <w:shd w:val="clear" w:color="auto" w:fill="FFFFFF"/>
        </w:rPr>
        <w:t xml:space="preserve"> </w:t>
      </w:r>
      <w:r w:rsidRPr="001A0DC7">
        <w:rPr>
          <w:rStyle w:val="Rimandonotaapidipagina"/>
          <w:rFonts w:ascii="Goudy Old Style" w:hAnsi="Goudy Old Style"/>
          <w:sz w:val="21"/>
          <w:szCs w:val="21"/>
          <w:shd w:val="clear" w:color="auto" w:fill="FFFFFF"/>
        </w:rPr>
        <w:footnoteReference w:id="4"/>
      </w:r>
    </w:p>
    <w:p w:rsidR="00674EE8" w:rsidRDefault="00674EE8" w:rsidP="00674EE8">
      <w:pPr>
        <w:pStyle w:val="NormaleWeb"/>
        <w:shd w:val="clear" w:color="auto" w:fill="FFFFFF"/>
        <w:spacing w:before="0" w:beforeAutospacing="0" w:after="0" w:afterAutospacing="0"/>
        <w:jc w:val="both"/>
        <w:rPr>
          <w:rFonts w:ascii="Goudy Old Style" w:hAnsi="Goudy Old Style"/>
          <w:sz w:val="21"/>
          <w:szCs w:val="21"/>
        </w:rPr>
      </w:pPr>
      <w:r w:rsidRPr="00674EE8">
        <w:rPr>
          <w:rFonts w:ascii="Goudy Old Style" w:hAnsi="Goudy Old Style"/>
          <w:sz w:val="21"/>
          <w:szCs w:val="21"/>
        </w:rPr>
        <w:t>Il perché è reso evidente dalla constatazione che la democrazia confida nella libertà di autodeterminazione e nella razionalità che scaturisce dal confronto, neutralizzato o, comunque, fortemente depotenziato dalla polarizzazione determinata dall’informazione attraverso il web con propensione alla formazione di enclave non comunicanti, foriere di distorsioni cognitiva per la scarsa permeabilità alla novità e l’alto livello di autoreferenzialità.</w:t>
      </w:r>
    </w:p>
    <w:p w:rsidR="00674EE8" w:rsidRDefault="00674EE8" w:rsidP="00674EE8">
      <w:pPr>
        <w:pStyle w:val="NormaleWeb"/>
        <w:shd w:val="clear" w:color="auto" w:fill="FFFFFF"/>
        <w:spacing w:before="0" w:beforeAutospacing="0" w:after="0" w:afterAutospacing="0"/>
        <w:jc w:val="both"/>
        <w:rPr>
          <w:rFonts w:ascii="Goudy Old Style" w:hAnsi="Goudy Old Style"/>
          <w:sz w:val="21"/>
          <w:szCs w:val="21"/>
        </w:rPr>
      </w:pPr>
      <w:r w:rsidRPr="00674EE8">
        <w:rPr>
          <w:rFonts w:ascii="Goudy Old Style" w:hAnsi="Goudy Old Style"/>
          <w:sz w:val="21"/>
          <w:szCs w:val="21"/>
        </w:rPr>
        <w:t xml:space="preserve">E questo spiega la ragione per la quale in relazione ai servizi di media la disciplina </w:t>
      </w:r>
      <w:proofErr w:type="spellStart"/>
      <w:r w:rsidRPr="00674EE8">
        <w:rPr>
          <w:rFonts w:ascii="Goudy Old Style" w:hAnsi="Goudy Old Style"/>
          <w:sz w:val="21"/>
          <w:szCs w:val="21"/>
        </w:rPr>
        <w:t>unionale</w:t>
      </w:r>
      <w:proofErr w:type="spellEnd"/>
      <w:r w:rsidRPr="00674EE8">
        <w:rPr>
          <w:rFonts w:ascii="Goudy Old Style" w:hAnsi="Goudy Old Style"/>
          <w:sz w:val="21"/>
          <w:szCs w:val="21"/>
        </w:rPr>
        <w:t xml:space="preserve"> e gli ordinamenti interni abbiano considerato in misura crescente la concorrenza sì quale bene giuridico primario ma in quanto strumentale e propedeutico a garanzia del pluralismo, tanto da attribuire rilievo alla dominanza in sé di una posizione.</w:t>
      </w:r>
    </w:p>
    <w:p w:rsidR="00674EE8" w:rsidRPr="00674EE8" w:rsidRDefault="00674EE8" w:rsidP="00674EE8">
      <w:pPr>
        <w:pStyle w:val="NormaleWeb"/>
        <w:shd w:val="clear" w:color="auto" w:fill="FFFFFF"/>
        <w:spacing w:before="0" w:beforeAutospacing="0" w:after="0" w:afterAutospacing="0"/>
        <w:jc w:val="both"/>
        <w:rPr>
          <w:rFonts w:ascii="Goudy Old Style" w:hAnsi="Goudy Old Style"/>
          <w:sz w:val="21"/>
          <w:szCs w:val="21"/>
        </w:rPr>
      </w:pPr>
      <w:r w:rsidRPr="00674EE8">
        <w:rPr>
          <w:rFonts w:ascii="Goudy Old Style" w:hAnsi="Goudy Old Style"/>
          <w:sz w:val="21"/>
          <w:szCs w:val="21"/>
        </w:rPr>
        <w:t xml:space="preserve">La recente evoluzione tecnologica ha imposto un allargamento del campo di indagine, non più limitato ai mezzi tradizionali bensì esteso alle nuove piattaforme televisive e, in un contesto di informazione </w:t>
      </w:r>
      <w:proofErr w:type="spellStart"/>
      <w:r w:rsidRPr="00674EE8">
        <w:rPr>
          <w:rFonts w:ascii="Goudy Old Style" w:hAnsi="Goudy Old Style"/>
          <w:sz w:val="21"/>
          <w:szCs w:val="21"/>
        </w:rPr>
        <w:t>disintermediata</w:t>
      </w:r>
      <w:proofErr w:type="spellEnd"/>
      <w:r w:rsidRPr="00674EE8">
        <w:rPr>
          <w:rFonts w:ascii="Goudy Old Style" w:hAnsi="Goudy Old Style"/>
          <w:sz w:val="21"/>
          <w:szCs w:val="21"/>
        </w:rPr>
        <w:t xml:space="preserve">, ai servizi di media audiovisivi ed anche ai </w:t>
      </w:r>
      <w:r w:rsidRPr="00226233">
        <w:rPr>
          <w:rFonts w:ascii="Goudy Old Style" w:hAnsi="Goudy Old Style"/>
          <w:i/>
          <w:sz w:val="21"/>
          <w:szCs w:val="21"/>
        </w:rPr>
        <w:t>social network</w:t>
      </w:r>
      <w:r w:rsidRPr="00674EE8">
        <w:rPr>
          <w:rFonts w:ascii="Goudy Old Style" w:hAnsi="Goudy Old Style"/>
          <w:sz w:val="21"/>
          <w:szCs w:val="21"/>
        </w:rPr>
        <w:t>.</w:t>
      </w:r>
    </w:p>
    <w:p w:rsidR="00B95181" w:rsidRDefault="00674EE8" w:rsidP="00B95181">
      <w:pPr>
        <w:pStyle w:val="NormaleWeb"/>
        <w:shd w:val="clear" w:color="auto" w:fill="FFFFFF"/>
        <w:spacing w:before="0" w:beforeAutospacing="0" w:after="0" w:afterAutospacing="0"/>
        <w:jc w:val="both"/>
        <w:rPr>
          <w:rFonts w:ascii="Goudy Old Style" w:hAnsi="Goudy Old Style"/>
          <w:sz w:val="21"/>
          <w:szCs w:val="21"/>
        </w:rPr>
      </w:pPr>
      <w:r w:rsidRPr="00674EE8">
        <w:rPr>
          <w:rFonts w:ascii="Goudy Old Style" w:hAnsi="Goudy Old Style"/>
          <w:sz w:val="21"/>
          <w:szCs w:val="21"/>
        </w:rPr>
        <w:t xml:space="preserve">Il tema non è inesplorato, potendoci giovare di preziosi approfondimenti di analisi ed anche di alcuni, sia pure ancora incompleti, interventi assunti a livello </w:t>
      </w:r>
      <w:proofErr w:type="spellStart"/>
      <w:r w:rsidRPr="00674EE8">
        <w:rPr>
          <w:rFonts w:ascii="Goudy Old Style" w:hAnsi="Goudy Old Style"/>
          <w:sz w:val="21"/>
          <w:szCs w:val="21"/>
        </w:rPr>
        <w:t>unionale</w:t>
      </w:r>
      <w:proofErr w:type="spellEnd"/>
      <w:r w:rsidRPr="00674EE8">
        <w:rPr>
          <w:rFonts w:ascii="Goudy Old Style" w:hAnsi="Goudy Old Style"/>
          <w:sz w:val="21"/>
          <w:szCs w:val="21"/>
        </w:rPr>
        <w:t xml:space="preserve"> ovvero in altri ordinamenti</w:t>
      </w:r>
      <w:r>
        <w:rPr>
          <w:rFonts w:ascii="Goudy Old Style" w:hAnsi="Goudy Old Style"/>
          <w:sz w:val="21"/>
          <w:szCs w:val="21"/>
        </w:rPr>
        <w:t>.</w:t>
      </w:r>
    </w:p>
    <w:p w:rsidR="00B95181" w:rsidRDefault="006C2053" w:rsidP="006C2053">
      <w:pPr>
        <w:pStyle w:val="NormaleWeb"/>
        <w:shd w:val="clear" w:color="auto" w:fill="FFFFFF"/>
        <w:spacing w:before="0" w:beforeAutospacing="0" w:after="0" w:afterAutospacing="0"/>
        <w:jc w:val="both"/>
        <w:rPr>
          <w:rFonts w:ascii="Goudy Old Style" w:hAnsi="Goudy Old Style"/>
          <w:sz w:val="21"/>
          <w:szCs w:val="21"/>
        </w:rPr>
      </w:pPr>
      <w:r>
        <w:rPr>
          <w:rFonts w:ascii="Goudy Old Style" w:hAnsi="Goudy Old Style"/>
          <w:sz w:val="21"/>
          <w:szCs w:val="21"/>
        </w:rPr>
        <w:t xml:space="preserve">Senza pretesa di esaustività, si evidenzia che </w:t>
      </w:r>
      <w:r w:rsidR="00B95181" w:rsidRPr="00B95181">
        <w:rPr>
          <w:rFonts w:ascii="Goudy Old Style" w:hAnsi="Goudy Old Style"/>
          <w:sz w:val="21"/>
          <w:szCs w:val="21"/>
        </w:rPr>
        <w:t xml:space="preserve">sono state analizzate le peculiarità delle c.d. fonti algoritmiche ed individuate e distinte le varie tipologie di algoritmo, oltre </w:t>
      </w:r>
      <w:r w:rsidR="00837FFE">
        <w:rPr>
          <w:rFonts w:ascii="Goudy Old Style" w:hAnsi="Goudy Old Style"/>
          <w:sz w:val="21"/>
          <w:szCs w:val="21"/>
        </w:rPr>
        <w:t>la demarcazione</w:t>
      </w:r>
      <w:r w:rsidR="00B95181" w:rsidRPr="00B95181">
        <w:rPr>
          <w:rFonts w:ascii="Goudy Old Style" w:hAnsi="Goudy Old Style"/>
          <w:sz w:val="21"/>
          <w:szCs w:val="21"/>
        </w:rPr>
        <w:t xml:space="preserve"> fondamentale tra algoritmi “tradizionali”, utilizzati anche come metodo matematico per applicare la legge ed agevolmente dominabili, e gli algoritmi – quali quelli che vengono in rilievo nella comunicazione a mezzo web – basati sull’intelligenza artificiale, caratterizzati da una intesa capacità persuasiva, suscettibili di produrre effetti significativi sull’autonomia cognitiva degli individui e sul loro diritto di formarsi proprie opinioni ed assumere decisioni realmente indipendenti</w:t>
      </w:r>
      <w:r w:rsidR="00837FFE" w:rsidRPr="001A0DC7">
        <w:rPr>
          <w:rStyle w:val="Rimandonotaapidipagina"/>
          <w:rFonts w:ascii="Goudy Old Style" w:hAnsi="Goudy Old Style"/>
          <w:sz w:val="21"/>
          <w:szCs w:val="21"/>
        </w:rPr>
        <w:footnoteReference w:id="5"/>
      </w:r>
      <w:r w:rsidR="00B95181" w:rsidRPr="00B95181">
        <w:rPr>
          <w:rFonts w:ascii="Goudy Old Style" w:hAnsi="Goudy Old Style"/>
          <w:sz w:val="21"/>
          <w:szCs w:val="21"/>
        </w:rPr>
        <w:t xml:space="preserve">. E’ entrato nel linguaggio diffuso il concetto di </w:t>
      </w:r>
      <w:proofErr w:type="spellStart"/>
      <w:r w:rsidR="00B95181" w:rsidRPr="00D42344">
        <w:rPr>
          <w:rFonts w:ascii="Goudy Old Style" w:hAnsi="Goudy Old Style"/>
          <w:i/>
          <w:sz w:val="21"/>
          <w:szCs w:val="21"/>
        </w:rPr>
        <w:t>filter</w:t>
      </w:r>
      <w:proofErr w:type="spellEnd"/>
      <w:r w:rsidR="00B95181" w:rsidRPr="00D42344">
        <w:rPr>
          <w:rFonts w:ascii="Goudy Old Style" w:hAnsi="Goudy Old Style"/>
          <w:i/>
          <w:sz w:val="21"/>
          <w:szCs w:val="21"/>
        </w:rPr>
        <w:t xml:space="preserve"> </w:t>
      </w:r>
      <w:proofErr w:type="spellStart"/>
      <w:r w:rsidR="00B95181" w:rsidRPr="00D42344">
        <w:rPr>
          <w:rFonts w:ascii="Goudy Old Style" w:hAnsi="Goudy Old Style"/>
          <w:i/>
          <w:sz w:val="21"/>
          <w:szCs w:val="21"/>
        </w:rPr>
        <w:t>bubble</w:t>
      </w:r>
      <w:proofErr w:type="spellEnd"/>
      <w:r w:rsidR="00B95181" w:rsidRPr="00B95181">
        <w:rPr>
          <w:rFonts w:ascii="Goudy Old Style" w:hAnsi="Goudy Old Style"/>
          <w:sz w:val="21"/>
          <w:szCs w:val="21"/>
        </w:rPr>
        <w:t xml:space="preserve"> nella quale l’utente viene ad essere avvolto, insidiosamente in quanto ignaro delle modalità di funzionamento degli algoritmi, capziosamente per dinamiche – si pensi alla </w:t>
      </w:r>
      <w:proofErr w:type="spellStart"/>
      <w:r w:rsidR="00B95181" w:rsidRPr="00D42344">
        <w:rPr>
          <w:rFonts w:ascii="Goudy Old Style" w:hAnsi="Goudy Old Style"/>
          <w:i/>
          <w:sz w:val="21"/>
          <w:szCs w:val="21"/>
        </w:rPr>
        <w:t>biased</w:t>
      </w:r>
      <w:proofErr w:type="spellEnd"/>
      <w:r w:rsidR="00B95181" w:rsidRPr="00D42344">
        <w:rPr>
          <w:rFonts w:ascii="Goudy Old Style" w:hAnsi="Goudy Old Style"/>
          <w:i/>
          <w:sz w:val="21"/>
          <w:szCs w:val="21"/>
        </w:rPr>
        <w:t xml:space="preserve"> </w:t>
      </w:r>
      <w:proofErr w:type="spellStart"/>
      <w:r w:rsidR="00B95181" w:rsidRPr="00D42344">
        <w:rPr>
          <w:rFonts w:ascii="Goudy Old Style" w:hAnsi="Goudy Old Style"/>
          <w:i/>
          <w:sz w:val="21"/>
          <w:szCs w:val="21"/>
        </w:rPr>
        <w:t>assimilation</w:t>
      </w:r>
      <w:proofErr w:type="spellEnd"/>
      <w:r w:rsidR="00B95181" w:rsidRPr="00B95181">
        <w:rPr>
          <w:rFonts w:ascii="Goudy Old Style" w:hAnsi="Goudy Old Style"/>
          <w:sz w:val="21"/>
          <w:szCs w:val="21"/>
        </w:rPr>
        <w:t xml:space="preserve"> – naturalmente insiste nei processi cognitivi e nell’assimilazione delle informazioni e con modalità pervasive, come evidenziato dal passaggio dal “</w:t>
      </w:r>
      <w:proofErr w:type="spellStart"/>
      <w:r w:rsidR="00B95181" w:rsidRPr="00D42344">
        <w:rPr>
          <w:rFonts w:ascii="Goudy Old Style" w:hAnsi="Goudy Old Style"/>
          <w:i/>
          <w:sz w:val="21"/>
          <w:szCs w:val="21"/>
        </w:rPr>
        <w:t>Daylyme</w:t>
      </w:r>
      <w:proofErr w:type="spellEnd"/>
      <w:r w:rsidR="00B95181" w:rsidRPr="00B95181">
        <w:rPr>
          <w:rFonts w:ascii="Goudy Old Style" w:hAnsi="Goudy Old Style"/>
          <w:sz w:val="21"/>
          <w:szCs w:val="21"/>
        </w:rPr>
        <w:t>” (informazione giornaliera personalizzata e basata sulle proprie preferenze) al “</w:t>
      </w:r>
      <w:proofErr w:type="spellStart"/>
      <w:r w:rsidR="00B95181" w:rsidRPr="00D42344">
        <w:rPr>
          <w:rFonts w:ascii="Goudy Old Style" w:hAnsi="Goudy Old Style"/>
          <w:i/>
          <w:sz w:val="21"/>
          <w:szCs w:val="21"/>
        </w:rPr>
        <w:t>MeNow</w:t>
      </w:r>
      <w:proofErr w:type="spellEnd"/>
      <w:r w:rsidR="00B95181" w:rsidRPr="00B95181">
        <w:rPr>
          <w:rFonts w:ascii="Goudy Old Style" w:hAnsi="Goudy Old Style"/>
          <w:sz w:val="21"/>
          <w:szCs w:val="21"/>
        </w:rPr>
        <w:t xml:space="preserve">” (continua e </w:t>
      </w:r>
      <w:r w:rsidR="00B95181" w:rsidRPr="00B95181">
        <w:rPr>
          <w:rFonts w:ascii="Goudy Old Style" w:hAnsi="Goudy Old Style"/>
          <w:sz w:val="21"/>
          <w:szCs w:val="21"/>
        </w:rPr>
        <w:lastRenderedPageBreak/>
        <w:t>costante informazione passiva offerta all’utente dell’intelligenza artificiale sulla base del profilo personale disegnato dall’algoritmo)</w:t>
      </w:r>
      <w:r w:rsidR="00D8670A" w:rsidRPr="00D8670A">
        <w:rPr>
          <w:rStyle w:val="Rimandonotaapidipagina"/>
          <w:rFonts w:ascii="Goudy Old Style" w:hAnsi="Goudy Old Style"/>
          <w:sz w:val="21"/>
          <w:szCs w:val="21"/>
          <w:shd w:val="clear" w:color="auto" w:fill="FFFFFF"/>
        </w:rPr>
        <w:t xml:space="preserve"> </w:t>
      </w:r>
      <w:r w:rsidR="00D8670A" w:rsidRPr="001A0DC7">
        <w:rPr>
          <w:rStyle w:val="Rimandonotaapidipagina"/>
          <w:rFonts w:ascii="Goudy Old Style" w:hAnsi="Goudy Old Style"/>
          <w:sz w:val="21"/>
          <w:szCs w:val="21"/>
          <w:shd w:val="clear" w:color="auto" w:fill="FFFFFF"/>
        </w:rPr>
        <w:footnoteReference w:id="6"/>
      </w:r>
      <w:r>
        <w:rPr>
          <w:rFonts w:ascii="Goudy Old Style" w:hAnsi="Goudy Old Style"/>
          <w:sz w:val="21"/>
          <w:szCs w:val="21"/>
        </w:rPr>
        <w:t>.</w:t>
      </w:r>
    </w:p>
    <w:p w:rsidR="00D42344" w:rsidRDefault="006C2053" w:rsidP="006C2053">
      <w:pPr>
        <w:pStyle w:val="NormaleWeb"/>
        <w:shd w:val="clear" w:color="auto" w:fill="FFFFFF"/>
        <w:spacing w:before="0" w:beforeAutospacing="0" w:after="0" w:afterAutospacing="0"/>
        <w:jc w:val="both"/>
        <w:rPr>
          <w:rFonts w:ascii="Goudy Old Style" w:hAnsi="Goudy Old Style"/>
          <w:sz w:val="21"/>
          <w:szCs w:val="21"/>
        </w:rPr>
      </w:pPr>
      <w:r>
        <w:rPr>
          <w:rFonts w:ascii="Goudy Old Style" w:hAnsi="Goudy Old Style"/>
          <w:sz w:val="21"/>
          <w:szCs w:val="21"/>
        </w:rPr>
        <w:t>P</w:t>
      </w:r>
      <w:r w:rsidR="00D42344">
        <w:rPr>
          <w:rFonts w:ascii="Goudy Old Style" w:hAnsi="Goudy Old Style"/>
          <w:sz w:val="21"/>
          <w:szCs w:val="21"/>
        </w:rPr>
        <w:t xml:space="preserve">iù grave è il </w:t>
      </w:r>
      <w:r w:rsidR="00D42344" w:rsidRPr="00D42344">
        <w:rPr>
          <w:rFonts w:ascii="Goudy Old Style" w:hAnsi="Goudy Old Style"/>
          <w:sz w:val="21"/>
          <w:szCs w:val="21"/>
        </w:rPr>
        <w:t>fenomeno della vera e propria “disinformazione”: la comunicazione destinata ad influenzare le percezioni. L’Università di Stanford ha definito «</w:t>
      </w:r>
      <w:r w:rsidR="00D42344" w:rsidRPr="004B08AC">
        <w:rPr>
          <w:rFonts w:ascii="Goudy Old Style" w:hAnsi="Goudy Old Style"/>
          <w:i/>
          <w:sz w:val="21"/>
          <w:szCs w:val="21"/>
        </w:rPr>
        <w:t>Cyber-</w:t>
      </w:r>
      <w:proofErr w:type="spellStart"/>
      <w:r w:rsidR="00D42344" w:rsidRPr="004B08AC">
        <w:rPr>
          <w:rFonts w:ascii="Goudy Old Style" w:hAnsi="Goudy Old Style"/>
          <w:i/>
          <w:sz w:val="21"/>
          <w:szCs w:val="21"/>
        </w:rPr>
        <w:t>Enabled</w:t>
      </w:r>
      <w:proofErr w:type="spellEnd"/>
      <w:r w:rsidR="00D42344" w:rsidRPr="004B08AC">
        <w:rPr>
          <w:rFonts w:ascii="Goudy Old Style" w:hAnsi="Goudy Old Style"/>
          <w:i/>
          <w:sz w:val="21"/>
          <w:szCs w:val="21"/>
        </w:rPr>
        <w:t xml:space="preserve"> Information Operations</w:t>
      </w:r>
      <w:r w:rsidR="00D42344" w:rsidRPr="00D42344">
        <w:rPr>
          <w:rFonts w:ascii="Goudy Old Style" w:hAnsi="Goudy Old Style"/>
          <w:sz w:val="21"/>
          <w:szCs w:val="21"/>
        </w:rPr>
        <w:t>» (</w:t>
      </w:r>
      <w:proofErr w:type="spellStart"/>
      <w:r w:rsidR="00D42344" w:rsidRPr="00D42344">
        <w:rPr>
          <w:rFonts w:ascii="Goudy Old Style" w:hAnsi="Goudy Old Style"/>
          <w:sz w:val="21"/>
          <w:szCs w:val="21"/>
        </w:rPr>
        <w:t>CyIO</w:t>
      </w:r>
      <w:proofErr w:type="spellEnd"/>
      <w:r w:rsidR="00D42344" w:rsidRPr="00D42344">
        <w:rPr>
          <w:rFonts w:ascii="Goudy Old Style" w:hAnsi="Goudy Old Style"/>
          <w:sz w:val="21"/>
          <w:szCs w:val="21"/>
        </w:rPr>
        <w:t xml:space="preserve">), l'uso di strumenti legittimi, come l'intelligenza artificiale e illegittimi, come il </w:t>
      </w:r>
      <w:proofErr w:type="spellStart"/>
      <w:r w:rsidR="00D42344" w:rsidRPr="0081220C">
        <w:rPr>
          <w:rFonts w:ascii="Goudy Old Style" w:hAnsi="Goudy Old Style"/>
          <w:i/>
          <w:sz w:val="21"/>
          <w:szCs w:val="21"/>
        </w:rPr>
        <w:t>malware</w:t>
      </w:r>
      <w:proofErr w:type="spellEnd"/>
      <w:r w:rsidR="00D42344" w:rsidRPr="00D42344">
        <w:rPr>
          <w:rFonts w:ascii="Goudy Old Style" w:hAnsi="Goudy Old Style"/>
          <w:sz w:val="21"/>
          <w:szCs w:val="21"/>
        </w:rPr>
        <w:t>, per indebolire i principi a</w:t>
      </w:r>
      <w:r w:rsidR="004B08AC">
        <w:rPr>
          <w:rFonts w:ascii="Goudy Old Style" w:hAnsi="Goudy Old Style"/>
          <w:sz w:val="21"/>
          <w:szCs w:val="21"/>
        </w:rPr>
        <w:t>lla base della coesione sociale; g</w:t>
      </w:r>
      <w:r w:rsidR="00D42344" w:rsidRPr="00D42344">
        <w:rPr>
          <w:rFonts w:ascii="Goudy Old Style" w:hAnsi="Goudy Old Style"/>
          <w:sz w:val="21"/>
          <w:szCs w:val="21"/>
        </w:rPr>
        <w:t>li accademici sostengono che mentre la tradizionale guerra informatica «persegue i conflitti attraverso l'</w:t>
      </w:r>
      <w:proofErr w:type="spellStart"/>
      <w:r w:rsidR="00D42344" w:rsidRPr="0081220C">
        <w:rPr>
          <w:rFonts w:ascii="Goudy Old Style" w:hAnsi="Goudy Old Style"/>
          <w:i/>
          <w:sz w:val="21"/>
          <w:szCs w:val="21"/>
        </w:rPr>
        <w:t>hacking</w:t>
      </w:r>
      <w:proofErr w:type="spellEnd"/>
      <w:r w:rsidR="00D42344" w:rsidRPr="00D42344">
        <w:rPr>
          <w:rFonts w:ascii="Goudy Old Style" w:hAnsi="Goudy Old Style"/>
          <w:sz w:val="21"/>
          <w:szCs w:val="21"/>
        </w:rPr>
        <w:t xml:space="preserve"> dei computer», le operazioni di informazione «cy</w:t>
      </w:r>
      <w:r w:rsidR="0081220C">
        <w:rPr>
          <w:rFonts w:ascii="Goudy Old Style" w:hAnsi="Goudy Old Style"/>
          <w:sz w:val="21"/>
          <w:szCs w:val="21"/>
        </w:rPr>
        <w:t xml:space="preserve">ber abilitate» fanno lo stesso </w:t>
      </w:r>
      <w:r w:rsidR="00D42344" w:rsidRPr="00D42344">
        <w:rPr>
          <w:rFonts w:ascii="Goudy Old Style" w:hAnsi="Goudy Old Style"/>
          <w:sz w:val="21"/>
          <w:szCs w:val="21"/>
        </w:rPr>
        <w:t>attraverso l'</w:t>
      </w:r>
      <w:proofErr w:type="spellStart"/>
      <w:r w:rsidR="00D42344" w:rsidRPr="0081220C">
        <w:rPr>
          <w:rFonts w:ascii="Goudy Old Style" w:hAnsi="Goudy Old Style"/>
          <w:i/>
          <w:sz w:val="21"/>
          <w:szCs w:val="21"/>
        </w:rPr>
        <w:t>hacking</w:t>
      </w:r>
      <w:proofErr w:type="spellEnd"/>
      <w:r w:rsidR="00D42344" w:rsidRPr="00D42344">
        <w:rPr>
          <w:rFonts w:ascii="Goudy Old Style" w:hAnsi="Goudy Old Style"/>
          <w:sz w:val="21"/>
          <w:szCs w:val="21"/>
        </w:rPr>
        <w:t xml:space="preserve"> delle me</w:t>
      </w:r>
      <w:r w:rsidR="0081220C">
        <w:rPr>
          <w:rFonts w:ascii="Goudy Old Style" w:hAnsi="Goudy Old Style"/>
          <w:sz w:val="21"/>
          <w:szCs w:val="21"/>
        </w:rPr>
        <w:t>nti e dei cuori delle persone</w:t>
      </w:r>
      <w:r w:rsidR="004B08AC" w:rsidRPr="004B08AC">
        <w:rPr>
          <w:rStyle w:val="Rimandonotaapidipagina"/>
          <w:rFonts w:ascii="Goudy Old Style" w:hAnsi="Goudy Old Style"/>
          <w:sz w:val="21"/>
          <w:szCs w:val="21"/>
          <w:shd w:val="clear" w:color="auto" w:fill="FFFFFF"/>
        </w:rPr>
        <w:footnoteReference w:id="7"/>
      </w:r>
      <w:r>
        <w:rPr>
          <w:rFonts w:ascii="Goudy Old Style" w:hAnsi="Goudy Old Style"/>
          <w:sz w:val="21"/>
          <w:szCs w:val="21"/>
        </w:rPr>
        <w:t>.</w:t>
      </w:r>
    </w:p>
    <w:p w:rsidR="0081220C" w:rsidRDefault="006C2053" w:rsidP="006C2053">
      <w:pPr>
        <w:pStyle w:val="NormaleWeb"/>
        <w:shd w:val="clear" w:color="auto" w:fill="FFFFFF"/>
        <w:spacing w:before="0" w:beforeAutospacing="0" w:after="0" w:afterAutospacing="0"/>
        <w:jc w:val="both"/>
        <w:rPr>
          <w:rFonts w:ascii="Goudy Old Style" w:hAnsi="Goudy Old Style"/>
          <w:sz w:val="21"/>
          <w:szCs w:val="21"/>
        </w:rPr>
      </w:pPr>
      <w:r>
        <w:rPr>
          <w:rFonts w:ascii="Goudy Old Style" w:hAnsi="Goudy Old Style"/>
          <w:sz w:val="21"/>
          <w:szCs w:val="21"/>
        </w:rPr>
        <w:t>C</w:t>
      </w:r>
      <w:r w:rsidR="0081220C" w:rsidRPr="0081220C">
        <w:rPr>
          <w:rFonts w:ascii="Goudy Old Style" w:hAnsi="Goudy Old Style"/>
          <w:sz w:val="21"/>
          <w:szCs w:val="21"/>
        </w:rPr>
        <w:t xml:space="preserve">hi effettua disinformazione può farlo, dunque, anche tramite </w:t>
      </w:r>
      <w:proofErr w:type="gramStart"/>
      <w:r w:rsidR="0081220C" w:rsidRPr="0081220C">
        <w:rPr>
          <w:rFonts w:ascii="Goudy Old Style" w:hAnsi="Goudy Old Style"/>
          <w:sz w:val="21"/>
          <w:szCs w:val="21"/>
        </w:rPr>
        <w:t>metodi  c.d.</w:t>
      </w:r>
      <w:proofErr w:type="gramEnd"/>
      <w:r w:rsidR="0081220C" w:rsidRPr="0081220C">
        <w:rPr>
          <w:rFonts w:ascii="Goudy Old Style" w:hAnsi="Goudy Old Style"/>
          <w:sz w:val="21"/>
          <w:szCs w:val="21"/>
        </w:rPr>
        <w:t xml:space="preserve"> "neri", usando hacker e “troll”, così come possono venire impiegate forme di "</w:t>
      </w:r>
      <w:proofErr w:type="spellStart"/>
      <w:r w:rsidR="0081220C" w:rsidRPr="0081220C">
        <w:rPr>
          <w:rFonts w:ascii="Goudy Old Style" w:hAnsi="Goudy Old Style"/>
          <w:i/>
          <w:sz w:val="21"/>
          <w:szCs w:val="21"/>
        </w:rPr>
        <w:t>trolling</w:t>
      </w:r>
      <w:proofErr w:type="spellEnd"/>
      <w:r w:rsidR="0081220C" w:rsidRPr="0081220C">
        <w:rPr>
          <w:rFonts w:ascii="Goudy Old Style" w:hAnsi="Goudy Old Style"/>
          <w:i/>
          <w:sz w:val="21"/>
          <w:szCs w:val="21"/>
        </w:rPr>
        <w:t>-</w:t>
      </w:r>
      <w:proofErr w:type="spellStart"/>
      <w:r w:rsidR="0081220C" w:rsidRPr="0081220C">
        <w:rPr>
          <w:rFonts w:ascii="Goudy Old Style" w:hAnsi="Goudy Old Style"/>
          <w:i/>
          <w:sz w:val="21"/>
          <w:szCs w:val="21"/>
        </w:rPr>
        <w:t>as</w:t>
      </w:r>
      <w:proofErr w:type="spellEnd"/>
      <w:r w:rsidR="0081220C" w:rsidRPr="0081220C">
        <w:rPr>
          <w:rFonts w:ascii="Goudy Old Style" w:hAnsi="Goudy Old Style"/>
          <w:i/>
          <w:sz w:val="21"/>
          <w:szCs w:val="21"/>
        </w:rPr>
        <w:t>-a-service</w:t>
      </w:r>
      <w:r w:rsidR="0081220C" w:rsidRPr="0081220C">
        <w:rPr>
          <w:rFonts w:ascii="Goudy Old Style" w:hAnsi="Goudy Old Style"/>
          <w:sz w:val="21"/>
          <w:szCs w:val="21"/>
        </w:rPr>
        <w:t xml:space="preserve">" (società o gruppi che fanno attività di “troll” a richiesta) per aggregare i dati sul pubblico e diffondere messaggi mirati e non autentici. Le tattiche utilizzate possono includere notizie false o </w:t>
      </w:r>
      <w:r w:rsidR="0081220C">
        <w:rPr>
          <w:rFonts w:ascii="Goudy Old Style" w:hAnsi="Goudy Old Style"/>
          <w:sz w:val="21"/>
          <w:szCs w:val="21"/>
        </w:rPr>
        <w:t>quelli che vengono definiti</w:t>
      </w:r>
      <w:r w:rsidR="0081220C" w:rsidRPr="0081220C">
        <w:rPr>
          <w:rFonts w:ascii="Goudy Old Style" w:hAnsi="Goudy Old Style"/>
          <w:sz w:val="21"/>
          <w:szCs w:val="21"/>
        </w:rPr>
        <w:t xml:space="preserve"> "falsi amplificatori" e cioè reti di account falsi</w:t>
      </w:r>
      <w:r w:rsidR="0081220C">
        <w:rPr>
          <w:rStyle w:val="Rimandonotaapidipagina"/>
          <w:rFonts w:ascii="Goudy Old Style" w:hAnsi="Goudy Old Style"/>
          <w:sz w:val="21"/>
          <w:szCs w:val="21"/>
        </w:rPr>
        <w:footnoteReference w:id="8"/>
      </w:r>
      <w:r>
        <w:rPr>
          <w:rFonts w:ascii="Goudy Old Style" w:hAnsi="Goudy Old Style"/>
          <w:sz w:val="21"/>
          <w:szCs w:val="21"/>
        </w:rPr>
        <w:t>.</w:t>
      </w:r>
    </w:p>
    <w:p w:rsidR="00B95181" w:rsidRDefault="006C2053" w:rsidP="006C2053">
      <w:pPr>
        <w:pStyle w:val="NormaleWeb"/>
        <w:shd w:val="clear" w:color="auto" w:fill="FFFFFF"/>
        <w:spacing w:before="0" w:beforeAutospacing="0" w:after="0" w:afterAutospacing="0"/>
        <w:jc w:val="both"/>
        <w:rPr>
          <w:rFonts w:ascii="Goudy Old Style" w:hAnsi="Goudy Old Style"/>
          <w:sz w:val="21"/>
          <w:szCs w:val="21"/>
        </w:rPr>
      </w:pPr>
      <w:r>
        <w:rPr>
          <w:rFonts w:ascii="Goudy Old Style" w:hAnsi="Goudy Old Style"/>
          <w:sz w:val="21"/>
          <w:szCs w:val="21"/>
        </w:rPr>
        <w:t>F</w:t>
      </w:r>
      <w:r w:rsidRPr="006C2053">
        <w:rPr>
          <w:rFonts w:ascii="Goudy Old Style" w:hAnsi="Goudy Old Style"/>
          <w:sz w:val="21"/>
          <w:szCs w:val="21"/>
        </w:rPr>
        <w:t xml:space="preserve">enomeni, dunque, complessi che si aggiungono ai rischi derivanti dal </w:t>
      </w:r>
      <w:proofErr w:type="spellStart"/>
      <w:r w:rsidRPr="006C2053">
        <w:rPr>
          <w:rFonts w:ascii="Goudy Old Style" w:hAnsi="Goudy Old Style"/>
          <w:i/>
          <w:sz w:val="21"/>
          <w:szCs w:val="21"/>
        </w:rPr>
        <w:t>microtargeting</w:t>
      </w:r>
      <w:proofErr w:type="spellEnd"/>
      <w:r w:rsidRPr="006C2053">
        <w:rPr>
          <w:rFonts w:ascii="Goudy Old Style" w:hAnsi="Goudy Old Style"/>
          <w:sz w:val="21"/>
          <w:szCs w:val="21"/>
        </w:rPr>
        <w:t xml:space="preserve"> politico che pure hanno da tempo fatto emergere le interconnessioni tra disciplina della privacy e tutela del pluralismo politico</w:t>
      </w:r>
      <w:r w:rsidR="00D42344">
        <w:rPr>
          <w:rFonts w:ascii="Goudy Old Style" w:hAnsi="Goudy Old Style"/>
          <w:sz w:val="21"/>
          <w:szCs w:val="21"/>
        </w:rPr>
        <w:t xml:space="preserve">. Non è un caso che </w:t>
      </w:r>
      <w:r w:rsidR="00B95181" w:rsidRPr="00B95181">
        <w:rPr>
          <w:rFonts w:ascii="Goudy Old Style" w:hAnsi="Goudy Old Style"/>
          <w:sz w:val="21"/>
          <w:szCs w:val="21"/>
        </w:rPr>
        <w:t>nel marzo del 2019 l’UE abbia integrato il regolamento relativo al finanziamento dei partiti e fondazioni politici europei stabilendo il divieto – presidiato da sanzioni – anche solo del tentativo di influenza dell’esito delle elezioni del Parlamento europeo sfruttando una violazione delle norme in materia di p</w:t>
      </w:r>
      <w:r w:rsidR="00D42344">
        <w:rPr>
          <w:rFonts w:ascii="Goudy Old Style" w:hAnsi="Goudy Old Style"/>
          <w:sz w:val="21"/>
          <w:szCs w:val="21"/>
        </w:rPr>
        <w:t xml:space="preserve">rotezione dei dati personali. Inoltre, </w:t>
      </w:r>
      <w:r w:rsidR="00B95181" w:rsidRPr="00B95181">
        <w:rPr>
          <w:rFonts w:ascii="Goudy Old Style" w:hAnsi="Goudy Old Style"/>
          <w:sz w:val="21"/>
          <w:szCs w:val="21"/>
        </w:rPr>
        <w:t xml:space="preserve">il Comitato europeo per la protezione dei dati </w:t>
      </w:r>
      <w:r w:rsidR="00D42344">
        <w:rPr>
          <w:rFonts w:ascii="Goudy Old Style" w:hAnsi="Goudy Old Style"/>
          <w:sz w:val="21"/>
          <w:szCs w:val="21"/>
        </w:rPr>
        <w:t>ha</w:t>
      </w:r>
      <w:r w:rsidR="00B95181" w:rsidRPr="00B95181">
        <w:rPr>
          <w:rFonts w:ascii="Goudy Old Style" w:hAnsi="Goudy Old Style"/>
          <w:sz w:val="21"/>
          <w:szCs w:val="21"/>
        </w:rPr>
        <w:t xml:space="preserve"> ricordato a partiti politici e candidati (dichiarazione 2/2019) che anche i dati personali resi manifestamente pubblici dagli interessati sui social non possono essere utilizzati per attività di </w:t>
      </w:r>
      <w:proofErr w:type="spellStart"/>
      <w:r w:rsidR="00B95181" w:rsidRPr="00B95181">
        <w:rPr>
          <w:rFonts w:ascii="Goudy Old Style" w:hAnsi="Goudy Old Style"/>
          <w:sz w:val="21"/>
          <w:szCs w:val="21"/>
        </w:rPr>
        <w:t>profilazione</w:t>
      </w:r>
      <w:proofErr w:type="spellEnd"/>
      <w:r w:rsidR="00B95181" w:rsidRPr="00B95181">
        <w:rPr>
          <w:rFonts w:ascii="Goudy Old Style" w:hAnsi="Goudy Old Style"/>
          <w:sz w:val="21"/>
          <w:szCs w:val="21"/>
        </w:rPr>
        <w:t xml:space="preserve"> politica in assenza di un esplicito consenso, linea, questa, ripresa, sempre nel 2019, dall’allora Garante per la p</w:t>
      </w:r>
      <w:r>
        <w:rPr>
          <w:rFonts w:ascii="Goudy Old Style" w:hAnsi="Goudy Old Style"/>
          <w:sz w:val="21"/>
          <w:szCs w:val="21"/>
        </w:rPr>
        <w:t>rotezione dei dati personali.</w:t>
      </w:r>
    </w:p>
    <w:p w:rsidR="00674EE8" w:rsidRDefault="00B95181" w:rsidP="00B95181">
      <w:pPr>
        <w:pStyle w:val="NormaleWeb"/>
        <w:shd w:val="clear" w:color="auto" w:fill="FFFFFF"/>
        <w:spacing w:before="0" w:beforeAutospacing="0" w:after="0" w:afterAutospacing="0"/>
        <w:jc w:val="both"/>
        <w:rPr>
          <w:rFonts w:ascii="Goudy Old Style" w:hAnsi="Goudy Old Style"/>
          <w:sz w:val="21"/>
          <w:szCs w:val="21"/>
        </w:rPr>
      </w:pPr>
      <w:r w:rsidRPr="00B95181">
        <w:rPr>
          <w:rFonts w:ascii="Goudy Old Style" w:hAnsi="Goudy Old Style"/>
          <w:sz w:val="21"/>
          <w:szCs w:val="21"/>
        </w:rPr>
        <w:t>Profili, quelli descritti, che sono emersi in termini di questioni cruciali alle quali dare soluzione per la vita democratica con l’approssimarsi di eventi elettorali per poi reimmergersi nel mare degli studi e delle costruzioni teoriche con difficoltà ad una traduzione in iniziative complete ed efficaci</w:t>
      </w:r>
      <w:r w:rsidR="006C2053">
        <w:rPr>
          <w:rStyle w:val="Rimandonotaapidipagina"/>
          <w:rFonts w:ascii="Goudy Old Style" w:hAnsi="Goudy Old Style"/>
          <w:sz w:val="21"/>
          <w:szCs w:val="21"/>
        </w:rPr>
        <w:footnoteReference w:id="9"/>
      </w:r>
      <w:r>
        <w:rPr>
          <w:rFonts w:ascii="Goudy Old Style" w:hAnsi="Goudy Old Style"/>
          <w:sz w:val="21"/>
          <w:szCs w:val="21"/>
        </w:rPr>
        <w:t>.</w:t>
      </w:r>
    </w:p>
    <w:p w:rsidR="006D7AAF" w:rsidRPr="001A0DC7" w:rsidRDefault="006D7AAF" w:rsidP="00D47D5E">
      <w:pPr>
        <w:pStyle w:val="NormaleWeb"/>
        <w:shd w:val="clear" w:color="auto" w:fill="FFFFFF"/>
        <w:spacing w:before="0" w:beforeAutospacing="0" w:after="0" w:afterAutospacing="0"/>
        <w:jc w:val="both"/>
        <w:rPr>
          <w:rFonts w:ascii="Goudy Old Style" w:hAnsi="Goudy Old Style"/>
          <w:sz w:val="21"/>
          <w:szCs w:val="21"/>
        </w:rPr>
      </w:pPr>
    </w:p>
    <w:p w:rsidR="00EF3EFB" w:rsidRPr="001A0DC7" w:rsidRDefault="00226233" w:rsidP="00D47D5E">
      <w:pPr>
        <w:pStyle w:val="NormaleWeb"/>
        <w:numPr>
          <w:ilvl w:val="0"/>
          <w:numId w:val="1"/>
        </w:numPr>
        <w:shd w:val="clear" w:color="auto" w:fill="FFFFFF"/>
        <w:spacing w:before="0" w:beforeAutospacing="0" w:after="0" w:afterAutospacing="0"/>
        <w:ind w:left="284" w:hanging="284"/>
        <w:jc w:val="both"/>
        <w:rPr>
          <w:rFonts w:ascii="Goudy Old Style" w:hAnsi="Goudy Old Style"/>
          <w:b/>
          <w:sz w:val="23"/>
          <w:szCs w:val="23"/>
        </w:rPr>
      </w:pPr>
      <w:r>
        <w:rPr>
          <w:rFonts w:ascii="Goudy Old Style" w:hAnsi="Goudy Old Style"/>
          <w:b/>
          <w:sz w:val="23"/>
          <w:szCs w:val="23"/>
        </w:rPr>
        <w:t>Rafforzamento delle garanzie del contesto nel quale si svolge la comunicazione politica</w:t>
      </w:r>
      <w:r w:rsidR="007D2B3E" w:rsidRPr="001A0DC7">
        <w:rPr>
          <w:rFonts w:ascii="Goudy Old Style" w:hAnsi="Goudy Old Style"/>
          <w:b/>
          <w:i/>
          <w:sz w:val="23"/>
          <w:szCs w:val="23"/>
        </w:rPr>
        <w:t xml:space="preserve"> </w:t>
      </w:r>
    </w:p>
    <w:p w:rsidR="005356C1" w:rsidRDefault="00226233" w:rsidP="00D47D5E">
      <w:pPr>
        <w:spacing w:after="0" w:line="240" w:lineRule="auto"/>
        <w:jc w:val="both"/>
        <w:rPr>
          <w:rFonts w:ascii="Goudy Old Style" w:eastAsia="Times New Roman" w:hAnsi="Goudy Old Style" w:cs="Times New Roman"/>
          <w:sz w:val="21"/>
          <w:szCs w:val="21"/>
          <w:lang w:eastAsia="it-IT"/>
        </w:rPr>
      </w:pPr>
      <w:r w:rsidRPr="00226233">
        <w:rPr>
          <w:rFonts w:ascii="Goudy Old Style" w:eastAsia="Times New Roman" w:hAnsi="Goudy Old Style" w:cs="Times New Roman"/>
          <w:sz w:val="21"/>
          <w:szCs w:val="21"/>
          <w:lang w:eastAsia="it-IT"/>
        </w:rPr>
        <w:t>Gli sviluppi più recenti dell’evoluzione normativa consentono di riscontrare progressi nella direzione della sterilizzazione di alcuni dei rischi sopra evidenziati, attraverso regole funzionali ad assicurare un ambiente più garantito per la formazione anche del consenso politico, incidendo sul perimetro entro il quale questo consenso emerge e matura</w:t>
      </w:r>
      <w:r>
        <w:rPr>
          <w:rFonts w:ascii="Goudy Old Style" w:eastAsia="Times New Roman" w:hAnsi="Goudy Old Style" w:cs="Times New Roman"/>
          <w:sz w:val="21"/>
          <w:szCs w:val="21"/>
          <w:lang w:eastAsia="it-IT"/>
        </w:rPr>
        <w:t>.</w:t>
      </w:r>
    </w:p>
    <w:p w:rsidR="00226233" w:rsidRPr="00226233" w:rsidRDefault="00226233" w:rsidP="00226233">
      <w:pPr>
        <w:spacing w:after="0" w:line="240" w:lineRule="auto"/>
        <w:jc w:val="both"/>
        <w:rPr>
          <w:rFonts w:ascii="Goudy Old Style" w:eastAsia="Times New Roman" w:hAnsi="Goudy Old Style" w:cs="Times New Roman"/>
          <w:sz w:val="21"/>
          <w:szCs w:val="21"/>
          <w:lang w:eastAsia="it-IT"/>
        </w:rPr>
      </w:pPr>
      <w:r w:rsidRPr="00226233">
        <w:rPr>
          <w:rFonts w:ascii="Goudy Old Style" w:eastAsia="Times New Roman" w:hAnsi="Goudy Old Style" w:cs="Times New Roman"/>
          <w:sz w:val="21"/>
          <w:szCs w:val="21"/>
          <w:lang w:eastAsia="it-IT"/>
        </w:rPr>
        <w:t xml:space="preserve">Il riferimento è, nello specifico, alle nuove previsioni introdotte con il d. </w:t>
      </w:r>
      <w:proofErr w:type="spellStart"/>
      <w:r w:rsidRPr="00226233">
        <w:rPr>
          <w:rFonts w:ascii="Goudy Old Style" w:eastAsia="Times New Roman" w:hAnsi="Goudy Old Style" w:cs="Times New Roman"/>
          <w:sz w:val="21"/>
          <w:szCs w:val="21"/>
          <w:lang w:eastAsia="it-IT"/>
        </w:rPr>
        <w:t>lgs</w:t>
      </w:r>
      <w:proofErr w:type="spellEnd"/>
      <w:r w:rsidRPr="00226233">
        <w:rPr>
          <w:rFonts w:ascii="Goudy Old Style" w:eastAsia="Times New Roman" w:hAnsi="Goudy Old Style" w:cs="Times New Roman"/>
          <w:sz w:val="21"/>
          <w:szCs w:val="21"/>
          <w:lang w:eastAsia="it-IT"/>
        </w:rPr>
        <w:t xml:space="preserve">. n. 208 dell’8 novembre 2021 con il quale non solo si è data attuazione della direttiva (UE) 2018/1808 del Parlamento europeo e del Consiglio ma si è inteso anche riordinare le disposizioni del testo unico dei servizi media audiovisivi e radiofonici (TUSMAR) di cui al d. </w:t>
      </w:r>
      <w:proofErr w:type="spellStart"/>
      <w:r w:rsidRPr="00226233">
        <w:rPr>
          <w:rFonts w:ascii="Goudy Old Style" w:eastAsia="Times New Roman" w:hAnsi="Goudy Old Style" w:cs="Times New Roman"/>
          <w:sz w:val="21"/>
          <w:szCs w:val="21"/>
          <w:lang w:eastAsia="it-IT"/>
        </w:rPr>
        <w:t>lgs</w:t>
      </w:r>
      <w:proofErr w:type="spellEnd"/>
      <w:r w:rsidRPr="00226233">
        <w:rPr>
          <w:rFonts w:ascii="Goudy Old Style" w:eastAsia="Times New Roman" w:hAnsi="Goudy Old Style" w:cs="Times New Roman"/>
          <w:sz w:val="21"/>
          <w:szCs w:val="21"/>
          <w:lang w:eastAsia="it-IT"/>
        </w:rPr>
        <w:t>. n. 177 del 2005 in ragione della evoluzione tecnologica e di mercato del settore</w:t>
      </w:r>
      <w:r>
        <w:rPr>
          <w:rFonts w:ascii="Goudy Old Style" w:eastAsia="Times New Roman" w:hAnsi="Goudy Old Style" w:cs="Times New Roman"/>
          <w:sz w:val="21"/>
          <w:szCs w:val="21"/>
          <w:lang w:eastAsia="it-IT"/>
        </w:rPr>
        <w:t>,</w:t>
      </w:r>
      <w:r w:rsidRPr="00226233">
        <w:rPr>
          <w:rFonts w:ascii="Goudy Old Style" w:eastAsia="Times New Roman" w:hAnsi="Goudy Old Style" w:cs="Times New Roman"/>
          <w:sz w:val="21"/>
          <w:szCs w:val="21"/>
          <w:lang w:eastAsia="it-IT"/>
        </w:rPr>
        <w:t xml:space="preserve"> in linea con l’obiettivo </w:t>
      </w:r>
      <w:proofErr w:type="spellStart"/>
      <w:r w:rsidRPr="00226233">
        <w:rPr>
          <w:rFonts w:ascii="Goudy Old Style" w:eastAsia="Times New Roman" w:hAnsi="Goudy Old Style" w:cs="Times New Roman"/>
          <w:sz w:val="21"/>
          <w:szCs w:val="21"/>
          <w:lang w:eastAsia="it-IT"/>
        </w:rPr>
        <w:t>unionale</w:t>
      </w:r>
      <w:proofErr w:type="spellEnd"/>
      <w:r w:rsidRPr="00226233">
        <w:rPr>
          <w:rFonts w:ascii="Goudy Old Style" w:eastAsia="Times New Roman" w:hAnsi="Goudy Old Style" w:cs="Times New Roman"/>
          <w:sz w:val="21"/>
          <w:szCs w:val="21"/>
          <w:lang w:eastAsia="it-IT"/>
        </w:rPr>
        <w:t xml:space="preserve"> di creare e garantire il corretto funzionamento del mercato unico digitale per i servizi di media audiovisivi. Nell’ampliamento dell’ambito applicativo rispetto ai media predigitali è stato completamente rivisto lo stesso impianto definitorio con inclusione dei servizi di media audiovisivi digitali ed </w:t>
      </w:r>
      <w:r w:rsidRPr="00226233">
        <w:rPr>
          <w:rFonts w:ascii="Goudy Old Style" w:eastAsia="Times New Roman" w:hAnsi="Goudy Old Style" w:cs="Times New Roman"/>
          <w:i/>
          <w:sz w:val="21"/>
          <w:szCs w:val="21"/>
          <w:lang w:eastAsia="it-IT"/>
        </w:rPr>
        <w:t xml:space="preserve">on </w:t>
      </w:r>
      <w:proofErr w:type="spellStart"/>
      <w:r w:rsidRPr="00226233">
        <w:rPr>
          <w:rFonts w:ascii="Goudy Old Style" w:eastAsia="Times New Roman" w:hAnsi="Goudy Old Style" w:cs="Times New Roman"/>
          <w:i/>
          <w:sz w:val="21"/>
          <w:szCs w:val="21"/>
          <w:lang w:eastAsia="it-IT"/>
        </w:rPr>
        <w:t>demand</w:t>
      </w:r>
      <w:proofErr w:type="spellEnd"/>
      <w:r w:rsidRPr="00226233">
        <w:rPr>
          <w:rFonts w:ascii="Goudy Old Style" w:eastAsia="Times New Roman" w:hAnsi="Goudy Old Style" w:cs="Times New Roman"/>
          <w:sz w:val="21"/>
          <w:szCs w:val="21"/>
          <w:lang w:eastAsia="it-IT"/>
        </w:rPr>
        <w:t xml:space="preserve">. </w:t>
      </w:r>
    </w:p>
    <w:p w:rsidR="00226233" w:rsidRDefault="00226233" w:rsidP="00226233">
      <w:pPr>
        <w:spacing w:after="0" w:line="240" w:lineRule="auto"/>
        <w:jc w:val="both"/>
        <w:rPr>
          <w:rFonts w:ascii="Goudy Old Style" w:eastAsia="Times New Roman" w:hAnsi="Goudy Old Style" w:cs="Times New Roman"/>
          <w:sz w:val="21"/>
          <w:szCs w:val="21"/>
          <w:lang w:eastAsia="it-IT"/>
        </w:rPr>
      </w:pPr>
      <w:r w:rsidRPr="00226233">
        <w:rPr>
          <w:rFonts w:ascii="Goudy Old Style" w:eastAsia="Times New Roman" w:hAnsi="Goudy Old Style" w:cs="Times New Roman"/>
          <w:sz w:val="21"/>
          <w:szCs w:val="21"/>
          <w:lang w:eastAsia="it-IT"/>
        </w:rPr>
        <w:t>Il nuovo testo normativo reca anche previsioni (artt. 41 e 42) dedicate ai servizi di piattaforma per la condivisione di video stabilendo obblighi, presidiati dal regime sanzionatorio definito dall’art. 67, comma 9, a tutela dei beni specificamente indicati (tutela dei minori, lotta contro l’incitamento all’odio razziale, sessuale, religioso o etico, nonché contro la violazione della dignità umana, tutela dei consumatori), pur dovendosi sottolineare che non si è inciso sul regime delle responsabilità del fornitore dei servizi di piattaforma in argomento per quanto attiene ai contenuti delle informazioni</w:t>
      </w:r>
      <w:r>
        <w:rPr>
          <w:rFonts w:ascii="Goudy Old Style" w:eastAsia="Times New Roman" w:hAnsi="Goudy Old Style" w:cs="Times New Roman"/>
          <w:sz w:val="21"/>
          <w:szCs w:val="21"/>
          <w:lang w:eastAsia="it-IT"/>
        </w:rPr>
        <w:t>,</w:t>
      </w:r>
      <w:r w:rsidRPr="00226233">
        <w:rPr>
          <w:rFonts w:ascii="Goudy Old Style" w:eastAsia="Times New Roman" w:hAnsi="Goudy Old Style" w:cs="Times New Roman"/>
          <w:sz w:val="21"/>
          <w:szCs w:val="21"/>
          <w:lang w:eastAsia="it-IT"/>
        </w:rPr>
        <w:t xml:space="preserve"> non sussistendo un obbligo generale di ricercare attivamente fatti o circostanze che indichino l</w:t>
      </w:r>
      <w:r>
        <w:rPr>
          <w:rFonts w:ascii="Goudy Old Style" w:eastAsia="Times New Roman" w:hAnsi="Goudy Old Style" w:cs="Times New Roman"/>
          <w:sz w:val="21"/>
          <w:szCs w:val="21"/>
          <w:lang w:eastAsia="it-IT"/>
        </w:rPr>
        <w:t>a presenza di attività illecite.</w:t>
      </w:r>
    </w:p>
    <w:p w:rsidR="00226233" w:rsidRPr="00226233" w:rsidRDefault="00226233" w:rsidP="00226233">
      <w:pPr>
        <w:spacing w:after="0" w:line="240" w:lineRule="auto"/>
        <w:jc w:val="both"/>
        <w:rPr>
          <w:rFonts w:ascii="Goudy Old Style" w:eastAsia="Times New Roman" w:hAnsi="Goudy Old Style" w:cs="Times New Roman"/>
          <w:sz w:val="21"/>
          <w:szCs w:val="21"/>
          <w:lang w:eastAsia="it-IT"/>
        </w:rPr>
      </w:pPr>
      <w:r>
        <w:rPr>
          <w:rFonts w:ascii="Goudy Old Style" w:eastAsia="Times New Roman" w:hAnsi="Goudy Old Style" w:cs="Times New Roman"/>
          <w:sz w:val="21"/>
          <w:szCs w:val="21"/>
          <w:lang w:eastAsia="it-IT"/>
        </w:rPr>
        <w:t>I</w:t>
      </w:r>
      <w:r w:rsidRPr="00226233">
        <w:rPr>
          <w:rFonts w:ascii="Goudy Old Style" w:eastAsia="Times New Roman" w:hAnsi="Goudy Old Style" w:cs="Times New Roman"/>
          <w:sz w:val="21"/>
          <w:szCs w:val="21"/>
          <w:lang w:eastAsia="it-IT"/>
        </w:rPr>
        <w:t xml:space="preserve">noltre sebbene si registri il passaggio dalla promozione di forme di autoregolazione a forme di </w:t>
      </w:r>
      <w:proofErr w:type="spellStart"/>
      <w:r w:rsidRPr="00226233">
        <w:rPr>
          <w:rFonts w:ascii="Goudy Old Style" w:eastAsia="Times New Roman" w:hAnsi="Goudy Old Style" w:cs="Times New Roman"/>
          <w:sz w:val="21"/>
          <w:szCs w:val="21"/>
          <w:lang w:eastAsia="it-IT"/>
        </w:rPr>
        <w:t>coregolazione</w:t>
      </w:r>
      <w:proofErr w:type="spellEnd"/>
      <w:r w:rsidRPr="00226233">
        <w:rPr>
          <w:rFonts w:ascii="Goudy Old Style" w:eastAsia="Times New Roman" w:hAnsi="Goudy Old Style" w:cs="Times New Roman"/>
          <w:sz w:val="21"/>
          <w:szCs w:val="21"/>
          <w:lang w:eastAsia="it-IT"/>
        </w:rPr>
        <w:t xml:space="preserve">, restano gli interrogativi sull’adeguatezza dello strumento rispetto ai fini perseguiti ed in rapporto al livello dei rischi concretamente riscontrati nell’evoluzione della comunicazione. </w:t>
      </w:r>
    </w:p>
    <w:p w:rsidR="00226233" w:rsidRPr="00226233" w:rsidRDefault="00226233" w:rsidP="00226233">
      <w:pPr>
        <w:spacing w:after="0" w:line="240" w:lineRule="auto"/>
        <w:jc w:val="both"/>
        <w:rPr>
          <w:rFonts w:ascii="Goudy Old Style" w:eastAsia="Times New Roman" w:hAnsi="Goudy Old Style" w:cs="Times New Roman"/>
          <w:sz w:val="21"/>
          <w:szCs w:val="21"/>
          <w:lang w:eastAsia="it-IT"/>
        </w:rPr>
      </w:pPr>
      <w:r w:rsidRPr="00226233">
        <w:rPr>
          <w:rFonts w:ascii="Goudy Old Style" w:eastAsia="Times New Roman" w:hAnsi="Goudy Old Style" w:cs="Times New Roman"/>
          <w:sz w:val="21"/>
          <w:szCs w:val="21"/>
          <w:lang w:eastAsia="it-IT"/>
        </w:rPr>
        <w:t>Nel nuovo quadro di disciplina in materia di servizi di media audiovisivi, ai fini in esame, è, però, la disposizione dell’art. 51 ad attirare l’attenzione, compendiandosi ed anche esaurendosi in tale norma il Titolo VI dedicato alla tutela del pluralismo.</w:t>
      </w:r>
    </w:p>
    <w:p w:rsidR="00226233" w:rsidRPr="00226233" w:rsidRDefault="00226233" w:rsidP="00226233">
      <w:pPr>
        <w:spacing w:after="0" w:line="240" w:lineRule="auto"/>
        <w:jc w:val="both"/>
        <w:rPr>
          <w:rFonts w:ascii="Goudy Old Style" w:eastAsia="Times New Roman" w:hAnsi="Goudy Old Style" w:cs="Times New Roman"/>
          <w:sz w:val="21"/>
          <w:szCs w:val="21"/>
          <w:lang w:eastAsia="it-IT"/>
        </w:rPr>
      </w:pPr>
      <w:r w:rsidRPr="00226233">
        <w:rPr>
          <w:rFonts w:ascii="Goudy Old Style" w:eastAsia="Times New Roman" w:hAnsi="Goudy Old Style" w:cs="Times New Roman"/>
          <w:sz w:val="21"/>
          <w:szCs w:val="21"/>
          <w:lang w:eastAsia="it-IT"/>
        </w:rPr>
        <w:t>La disposizione mira ad eliminare, nel sistema delle comunicazioni concepito ormai secondo una logica integrata, possibili minacce per il valore del pluralismo esterno, che costituisce valore in sé e cioè a prescindere dalla sussistenza di profili di eventuale rilevanza anche i fini del diritto antitrust.</w:t>
      </w:r>
    </w:p>
    <w:p w:rsidR="00226233" w:rsidRPr="00226233" w:rsidRDefault="00226233" w:rsidP="00226233">
      <w:pPr>
        <w:spacing w:after="0" w:line="240" w:lineRule="auto"/>
        <w:jc w:val="both"/>
        <w:rPr>
          <w:rFonts w:ascii="Goudy Old Style" w:eastAsia="Times New Roman" w:hAnsi="Goudy Old Style" w:cs="Times New Roman"/>
          <w:sz w:val="21"/>
          <w:szCs w:val="21"/>
          <w:lang w:eastAsia="it-IT"/>
        </w:rPr>
      </w:pPr>
      <w:r w:rsidRPr="00226233">
        <w:rPr>
          <w:rFonts w:ascii="Goudy Old Style" w:eastAsia="Times New Roman" w:hAnsi="Goudy Old Style" w:cs="Times New Roman"/>
          <w:sz w:val="21"/>
          <w:szCs w:val="21"/>
          <w:lang w:eastAsia="it-IT"/>
        </w:rPr>
        <w:t xml:space="preserve">Si tratta di una disposizione di estremo interesse nella considerazione della stretta interrelazione che avvince il pluralismo esterno, quello interno e quello c.d. sostanziale, incentrato sulla </w:t>
      </w:r>
      <w:r w:rsidRPr="00226233">
        <w:rPr>
          <w:rFonts w:ascii="Goudy Old Style" w:eastAsia="Times New Roman" w:hAnsi="Goudy Old Style" w:cs="Times New Roman"/>
          <w:i/>
          <w:sz w:val="21"/>
          <w:szCs w:val="21"/>
          <w:lang w:eastAsia="it-IT"/>
        </w:rPr>
        <w:t>par condicio</w:t>
      </w:r>
      <w:r w:rsidRPr="00226233">
        <w:rPr>
          <w:rFonts w:ascii="Goudy Old Style" w:eastAsia="Times New Roman" w:hAnsi="Goudy Old Style" w:cs="Times New Roman"/>
          <w:sz w:val="21"/>
          <w:szCs w:val="21"/>
          <w:lang w:eastAsia="it-IT"/>
        </w:rPr>
        <w:t xml:space="preserve"> tra le diverse forze politiche nell’accesso alla comunicazione</w:t>
      </w:r>
      <w:r>
        <w:rPr>
          <w:rStyle w:val="Rimandonotaapidipagina"/>
          <w:rFonts w:ascii="Goudy Old Style" w:eastAsia="Times New Roman" w:hAnsi="Goudy Old Style" w:cs="Times New Roman"/>
          <w:sz w:val="21"/>
          <w:szCs w:val="21"/>
          <w:lang w:eastAsia="it-IT"/>
        </w:rPr>
        <w:footnoteReference w:id="10"/>
      </w:r>
      <w:r w:rsidRPr="00226233">
        <w:rPr>
          <w:rFonts w:ascii="Goudy Old Style" w:eastAsia="Times New Roman" w:hAnsi="Goudy Old Style" w:cs="Times New Roman"/>
          <w:sz w:val="21"/>
          <w:szCs w:val="21"/>
          <w:lang w:eastAsia="it-IT"/>
        </w:rPr>
        <w:t>.</w:t>
      </w:r>
    </w:p>
    <w:p w:rsidR="00226233" w:rsidRPr="00226233" w:rsidRDefault="00226233" w:rsidP="00226233">
      <w:pPr>
        <w:spacing w:after="0" w:line="240" w:lineRule="auto"/>
        <w:jc w:val="both"/>
        <w:rPr>
          <w:rFonts w:ascii="Goudy Old Style" w:eastAsia="Times New Roman" w:hAnsi="Goudy Old Style" w:cs="Times New Roman"/>
          <w:sz w:val="21"/>
          <w:szCs w:val="21"/>
          <w:lang w:eastAsia="it-IT"/>
        </w:rPr>
      </w:pPr>
      <w:r w:rsidRPr="00226233">
        <w:rPr>
          <w:rFonts w:ascii="Goudy Old Style" w:eastAsia="Times New Roman" w:hAnsi="Goudy Old Style" w:cs="Times New Roman"/>
          <w:sz w:val="21"/>
          <w:szCs w:val="21"/>
          <w:lang w:eastAsia="it-IT"/>
        </w:rPr>
        <w:t>Il legislatore ha colto l’occasione offerta dal recepimento della direttiva SMAV non solo per riformulare delle previsioni, quelle dell’art. 43 del TUSMAR che, comunque, avrebbero dovuto essere riviste alla luce della pronuncia della Corte di giustizia del 3 settembre 2020</w:t>
      </w:r>
      <w:r w:rsidR="00960CA0">
        <w:rPr>
          <w:rStyle w:val="Rimandonotaapidipagina"/>
          <w:rFonts w:ascii="Goudy Old Style" w:eastAsia="Times New Roman" w:hAnsi="Goudy Old Style" w:cs="Times New Roman"/>
          <w:sz w:val="21"/>
          <w:szCs w:val="21"/>
          <w:lang w:eastAsia="it-IT"/>
        </w:rPr>
        <w:footnoteReference w:id="11"/>
      </w:r>
      <w:r w:rsidRPr="00226233">
        <w:rPr>
          <w:rFonts w:ascii="Goudy Old Style" w:eastAsia="Times New Roman" w:hAnsi="Goudy Old Style" w:cs="Times New Roman"/>
          <w:sz w:val="21"/>
          <w:szCs w:val="21"/>
          <w:lang w:eastAsia="it-IT"/>
        </w:rPr>
        <w:t>, ma per una riconsiderazione più complessiva della tutela del pluralismo nell’era digitale, come reso evidente dalla valutazione, ai fini delle quantificazioni dei ricavi rilevanti nell’applicazione della disposizione, anche delle risorse raccolte dai motori di ricerca e da piattaforme sociali e di condivisione.</w:t>
      </w:r>
    </w:p>
    <w:p w:rsidR="00226233" w:rsidRPr="00226233" w:rsidRDefault="00226233" w:rsidP="00226233">
      <w:pPr>
        <w:spacing w:after="0" w:line="240" w:lineRule="auto"/>
        <w:jc w:val="both"/>
        <w:rPr>
          <w:rFonts w:ascii="Goudy Old Style" w:eastAsia="Times New Roman" w:hAnsi="Goudy Old Style" w:cs="Times New Roman"/>
          <w:sz w:val="21"/>
          <w:szCs w:val="21"/>
          <w:lang w:eastAsia="it-IT"/>
        </w:rPr>
      </w:pPr>
      <w:r w:rsidRPr="00226233">
        <w:rPr>
          <w:rFonts w:ascii="Goudy Old Style" w:eastAsia="Times New Roman" w:hAnsi="Goudy Old Style" w:cs="Times New Roman"/>
          <w:sz w:val="21"/>
          <w:szCs w:val="21"/>
          <w:lang w:eastAsia="it-IT"/>
        </w:rPr>
        <w:t>Ne è scaturita una riconfigurazione logica della disciplina che da un sistema, quale quello precedente, basato su un rigido meccanismo ancorato su soglie percentuali predefinite di rilevazione delle posizioni di significativo potere di mercato lesive del pluralismo e nel quale, dunque, l’Agcom esercitava un potere tendenzialmente vincolato, ad un sistema più duttile, declinato su indici rivelatori con conseguente connotazione in chiave tecnico-discrezionale del potere di accertamento e di sanzione dell’Autorità competente.</w:t>
      </w:r>
    </w:p>
    <w:p w:rsidR="00226233" w:rsidRPr="00226233" w:rsidRDefault="00226233" w:rsidP="00226233">
      <w:pPr>
        <w:spacing w:after="0" w:line="240" w:lineRule="auto"/>
        <w:jc w:val="both"/>
        <w:rPr>
          <w:rFonts w:ascii="Goudy Old Style" w:eastAsia="Times New Roman" w:hAnsi="Goudy Old Style" w:cs="Times New Roman"/>
          <w:sz w:val="21"/>
          <w:szCs w:val="21"/>
          <w:lang w:eastAsia="it-IT"/>
        </w:rPr>
      </w:pPr>
      <w:r w:rsidRPr="00226233">
        <w:rPr>
          <w:rFonts w:ascii="Goudy Old Style" w:eastAsia="Times New Roman" w:hAnsi="Goudy Old Style" w:cs="Times New Roman"/>
          <w:sz w:val="21"/>
          <w:szCs w:val="21"/>
          <w:lang w:eastAsia="it-IT"/>
        </w:rPr>
        <w:t xml:space="preserve">Recependo, inoltre, i rilievi espressi nel parere del Consiglio di Stato, Sezione consultiva atti normativi n. 1582 del 2021, è stato rimodulato l’impianto sanzionatorio, con superamento della comminatoria della sanzione giuridica </w:t>
      </w:r>
      <w:r w:rsidR="0093348A">
        <w:rPr>
          <w:rFonts w:ascii="Goudy Old Style" w:eastAsia="Times New Roman" w:hAnsi="Goudy Old Style" w:cs="Times New Roman"/>
          <w:sz w:val="21"/>
          <w:szCs w:val="21"/>
          <w:lang w:eastAsia="it-IT"/>
        </w:rPr>
        <w:t xml:space="preserve">della </w:t>
      </w:r>
      <w:r w:rsidRPr="00226233">
        <w:rPr>
          <w:rFonts w:ascii="Goudy Old Style" w:eastAsia="Times New Roman" w:hAnsi="Goudy Old Style" w:cs="Times New Roman"/>
          <w:sz w:val="21"/>
          <w:szCs w:val="21"/>
          <w:lang w:eastAsia="it-IT"/>
        </w:rPr>
        <w:t>nullità, generalizzata ed automatica, che figurava nella formulaz</w:t>
      </w:r>
      <w:r w:rsidR="0093348A">
        <w:rPr>
          <w:rFonts w:ascii="Goudy Old Style" w:eastAsia="Times New Roman" w:hAnsi="Goudy Old Style" w:cs="Times New Roman"/>
          <w:sz w:val="21"/>
          <w:szCs w:val="21"/>
          <w:lang w:eastAsia="it-IT"/>
        </w:rPr>
        <w:t>ione originaria, per le evidenti</w:t>
      </w:r>
      <w:r w:rsidRPr="00226233">
        <w:rPr>
          <w:rFonts w:ascii="Goudy Old Style" w:eastAsia="Times New Roman" w:hAnsi="Goudy Old Style" w:cs="Times New Roman"/>
          <w:sz w:val="21"/>
          <w:szCs w:val="21"/>
          <w:lang w:eastAsia="it-IT"/>
        </w:rPr>
        <w:t xml:space="preserve"> problematiche legate alla conformità al principio di proporzionalità ma anche per la riserva all’Autorità giudiziaria dell’accertamento e della declaratoria di nullità degli atti coinvolti nell’istruttoria.</w:t>
      </w:r>
    </w:p>
    <w:p w:rsidR="00226233" w:rsidRPr="00226233" w:rsidRDefault="00226233" w:rsidP="00226233">
      <w:pPr>
        <w:spacing w:after="0" w:line="240" w:lineRule="auto"/>
        <w:jc w:val="both"/>
        <w:rPr>
          <w:rFonts w:ascii="Goudy Old Style" w:eastAsia="Times New Roman" w:hAnsi="Goudy Old Style" w:cs="Times New Roman"/>
          <w:sz w:val="21"/>
          <w:szCs w:val="21"/>
          <w:lang w:eastAsia="it-IT"/>
        </w:rPr>
      </w:pPr>
      <w:r w:rsidRPr="00226233">
        <w:rPr>
          <w:rFonts w:ascii="Goudy Old Style" w:eastAsia="Times New Roman" w:hAnsi="Goudy Old Style" w:cs="Times New Roman"/>
          <w:sz w:val="21"/>
          <w:szCs w:val="21"/>
          <w:lang w:eastAsia="it-IT"/>
        </w:rPr>
        <w:t>E’ evidente che il rafforzamento dei presidi riferiti a posizioni significative di potere in un sistema integrato delle comunicazioni consente anche al pluralismo politico un più efficace esplicarsi, pur non potendosi revocare in dubbio la necessità di un intervento normativo specifico riferito alla materia elettorale, se</w:t>
      </w:r>
      <w:r>
        <w:rPr>
          <w:rFonts w:ascii="Goudy Old Style" w:eastAsia="Times New Roman" w:hAnsi="Goudy Old Style" w:cs="Times New Roman"/>
          <w:sz w:val="21"/>
          <w:szCs w:val="21"/>
          <w:lang w:eastAsia="it-IT"/>
        </w:rPr>
        <w:t>condo quanto si andrà successivamente ad esporre</w:t>
      </w:r>
      <w:r w:rsidRPr="00226233">
        <w:rPr>
          <w:rFonts w:ascii="Goudy Old Style" w:eastAsia="Times New Roman" w:hAnsi="Goudy Old Style" w:cs="Times New Roman"/>
          <w:sz w:val="21"/>
          <w:szCs w:val="21"/>
          <w:lang w:eastAsia="it-IT"/>
        </w:rPr>
        <w:t>.</w:t>
      </w:r>
    </w:p>
    <w:p w:rsidR="00226233" w:rsidRPr="00226233" w:rsidRDefault="00226233" w:rsidP="00226233">
      <w:pPr>
        <w:spacing w:after="0" w:line="240" w:lineRule="auto"/>
        <w:jc w:val="both"/>
        <w:rPr>
          <w:rFonts w:ascii="Goudy Old Style" w:eastAsia="Times New Roman" w:hAnsi="Goudy Old Style" w:cs="Times New Roman"/>
          <w:sz w:val="21"/>
          <w:szCs w:val="21"/>
          <w:lang w:eastAsia="it-IT"/>
        </w:rPr>
      </w:pPr>
      <w:r w:rsidRPr="00226233">
        <w:rPr>
          <w:rFonts w:ascii="Goudy Old Style" w:eastAsia="Times New Roman" w:hAnsi="Goudy Old Style" w:cs="Times New Roman"/>
          <w:sz w:val="21"/>
          <w:szCs w:val="21"/>
          <w:lang w:eastAsia="it-IT"/>
        </w:rPr>
        <w:t>Restano, tuttavia, ancora insolute questioni più generali e nodali sulle quali è acceso il dibattito in vari contesti ordinamentali.</w:t>
      </w:r>
    </w:p>
    <w:p w:rsidR="00226233" w:rsidRDefault="00226233" w:rsidP="00226233">
      <w:pPr>
        <w:spacing w:after="0" w:line="240" w:lineRule="auto"/>
        <w:jc w:val="both"/>
        <w:rPr>
          <w:rFonts w:ascii="Goudy Old Style" w:eastAsia="Times New Roman" w:hAnsi="Goudy Old Style" w:cs="Times New Roman"/>
          <w:sz w:val="21"/>
          <w:szCs w:val="21"/>
          <w:lang w:eastAsia="it-IT"/>
        </w:rPr>
      </w:pPr>
      <w:r w:rsidRPr="00226233">
        <w:rPr>
          <w:rFonts w:ascii="Goudy Old Style" w:eastAsia="Times New Roman" w:hAnsi="Goudy Old Style" w:cs="Times New Roman"/>
          <w:sz w:val="21"/>
          <w:szCs w:val="21"/>
          <w:lang w:eastAsia="it-IT"/>
        </w:rPr>
        <w:t>Primo fra tutti il problema della responsabilità delle piattaforme web sui contenuti in esse pubblicati e visualizzati.</w:t>
      </w:r>
    </w:p>
    <w:p w:rsidR="00B71A61" w:rsidRPr="00B71A61" w:rsidRDefault="00B71A61" w:rsidP="00B71A61">
      <w:pPr>
        <w:spacing w:after="0" w:line="240" w:lineRule="auto"/>
        <w:jc w:val="both"/>
        <w:rPr>
          <w:rFonts w:ascii="Goudy Old Style" w:eastAsia="Times New Roman" w:hAnsi="Goudy Old Style" w:cs="Times New Roman"/>
          <w:sz w:val="21"/>
          <w:szCs w:val="21"/>
          <w:lang w:eastAsia="it-IT"/>
        </w:rPr>
      </w:pPr>
      <w:r w:rsidRPr="00B71A61">
        <w:rPr>
          <w:rFonts w:ascii="Goudy Old Style" w:eastAsia="Times New Roman" w:hAnsi="Goudy Old Style" w:cs="Times New Roman"/>
          <w:sz w:val="21"/>
          <w:szCs w:val="21"/>
          <w:lang w:eastAsia="it-IT"/>
        </w:rPr>
        <w:t xml:space="preserve">E non è un caso che il dibattito su questi temi sia stato alimentato da vicende specifiche riferite a campagne referendarie ed a cruciali competizioni elettorali (si pensi agli scandali legati al referendum sulla </w:t>
      </w:r>
      <w:proofErr w:type="spellStart"/>
      <w:r w:rsidRPr="00B71A61">
        <w:rPr>
          <w:rFonts w:ascii="Goudy Old Style" w:eastAsia="Times New Roman" w:hAnsi="Goudy Old Style" w:cs="Times New Roman"/>
          <w:sz w:val="21"/>
          <w:szCs w:val="21"/>
          <w:lang w:eastAsia="it-IT"/>
        </w:rPr>
        <w:t>Brexit</w:t>
      </w:r>
      <w:proofErr w:type="spellEnd"/>
      <w:r w:rsidRPr="00B71A61">
        <w:rPr>
          <w:rFonts w:ascii="Goudy Old Style" w:eastAsia="Times New Roman" w:hAnsi="Goudy Old Style" w:cs="Times New Roman"/>
          <w:sz w:val="21"/>
          <w:szCs w:val="21"/>
          <w:lang w:eastAsia="it-IT"/>
        </w:rPr>
        <w:t xml:space="preserve"> del 2016 e più di recente alle vicende che hanno caratterizzato le presidenziali USA</w:t>
      </w:r>
      <w:r>
        <w:rPr>
          <w:rFonts w:ascii="Goudy Old Style" w:eastAsia="Times New Roman" w:hAnsi="Goudy Old Style" w:cs="Times New Roman"/>
          <w:sz w:val="21"/>
          <w:szCs w:val="21"/>
          <w:lang w:eastAsia="it-IT"/>
        </w:rPr>
        <w:t>)</w:t>
      </w:r>
      <w:r>
        <w:rPr>
          <w:rStyle w:val="Rimandonotaapidipagina"/>
          <w:rFonts w:ascii="Goudy Old Style" w:eastAsia="Times New Roman" w:hAnsi="Goudy Old Style" w:cs="Times New Roman"/>
          <w:sz w:val="21"/>
          <w:szCs w:val="21"/>
          <w:lang w:eastAsia="it-IT"/>
        </w:rPr>
        <w:footnoteReference w:id="12"/>
      </w:r>
      <w:r w:rsidRPr="00B71A61">
        <w:rPr>
          <w:rFonts w:ascii="Goudy Old Style" w:eastAsia="Times New Roman" w:hAnsi="Goudy Old Style" w:cs="Times New Roman"/>
          <w:sz w:val="21"/>
          <w:szCs w:val="21"/>
          <w:lang w:eastAsia="it-IT"/>
        </w:rPr>
        <w:t>.</w:t>
      </w:r>
    </w:p>
    <w:p w:rsidR="00AB33C3" w:rsidRDefault="00B71A61" w:rsidP="00B71A61">
      <w:pPr>
        <w:spacing w:after="0" w:line="240" w:lineRule="auto"/>
        <w:jc w:val="both"/>
        <w:rPr>
          <w:rFonts w:ascii="Goudy Old Style" w:eastAsia="Times New Roman" w:hAnsi="Goudy Old Style" w:cs="Times New Roman"/>
          <w:sz w:val="21"/>
          <w:szCs w:val="21"/>
          <w:lang w:eastAsia="it-IT"/>
        </w:rPr>
      </w:pPr>
      <w:r w:rsidRPr="00B71A61">
        <w:rPr>
          <w:rFonts w:ascii="Goudy Old Style" w:eastAsia="Times New Roman" w:hAnsi="Goudy Old Style" w:cs="Times New Roman"/>
          <w:sz w:val="21"/>
          <w:szCs w:val="21"/>
          <w:lang w:eastAsia="it-IT"/>
        </w:rPr>
        <w:t xml:space="preserve">E’ a tutti noto il contesto nel quale è maturata l’iniziativa avviata nel settembre 2020 dal Dipartimento di Giustizia statunitense di riforma della </w:t>
      </w:r>
      <w:proofErr w:type="spellStart"/>
      <w:r w:rsidRPr="00B71A61">
        <w:rPr>
          <w:rFonts w:ascii="Goudy Old Style" w:eastAsia="Times New Roman" w:hAnsi="Goudy Old Style" w:cs="Times New Roman"/>
          <w:sz w:val="21"/>
          <w:szCs w:val="21"/>
          <w:lang w:eastAsia="it-IT"/>
        </w:rPr>
        <w:t>Section</w:t>
      </w:r>
      <w:proofErr w:type="spellEnd"/>
      <w:r w:rsidRPr="00B71A61">
        <w:rPr>
          <w:rFonts w:ascii="Goudy Old Style" w:eastAsia="Times New Roman" w:hAnsi="Goudy Old Style" w:cs="Times New Roman"/>
          <w:sz w:val="21"/>
          <w:szCs w:val="21"/>
          <w:lang w:eastAsia="it-IT"/>
        </w:rPr>
        <w:t xml:space="preserve"> 230 del Communications </w:t>
      </w:r>
      <w:proofErr w:type="spellStart"/>
      <w:r w:rsidRPr="00B71A61">
        <w:rPr>
          <w:rFonts w:ascii="Goudy Old Style" w:eastAsia="Times New Roman" w:hAnsi="Goudy Old Style" w:cs="Times New Roman"/>
          <w:sz w:val="21"/>
          <w:szCs w:val="21"/>
          <w:lang w:eastAsia="it-IT"/>
        </w:rPr>
        <w:t>Defency</w:t>
      </w:r>
      <w:proofErr w:type="spellEnd"/>
      <w:r w:rsidRPr="00B71A61">
        <w:rPr>
          <w:rFonts w:ascii="Goudy Old Style" w:eastAsia="Times New Roman" w:hAnsi="Goudy Old Style" w:cs="Times New Roman"/>
          <w:sz w:val="21"/>
          <w:szCs w:val="21"/>
          <w:lang w:eastAsia="it-IT"/>
        </w:rPr>
        <w:t xml:space="preserve"> </w:t>
      </w:r>
      <w:proofErr w:type="spellStart"/>
      <w:r w:rsidRPr="00B71A61">
        <w:rPr>
          <w:rFonts w:ascii="Goudy Old Style" w:eastAsia="Times New Roman" w:hAnsi="Goudy Old Style" w:cs="Times New Roman"/>
          <w:sz w:val="21"/>
          <w:szCs w:val="21"/>
          <w:lang w:eastAsia="it-IT"/>
        </w:rPr>
        <w:t>Act</w:t>
      </w:r>
      <w:proofErr w:type="spellEnd"/>
      <w:r w:rsidRPr="00B71A61">
        <w:rPr>
          <w:rFonts w:ascii="Goudy Old Style" w:eastAsia="Times New Roman" w:hAnsi="Goudy Old Style" w:cs="Times New Roman"/>
          <w:sz w:val="21"/>
          <w:szCs w:val="21"/>
          <w:lang w:eastAsia="it-IT"/>
        </w:rPr>
        <w:t xml:space="preserve"> risalente al 1996 al fine di introdurre limiti alla generale immunità delle piattaforme; tale iniziativa nonostante sia trascorso oltre un anno non è ancora approdata a nulla ed anche nelle più recenti audizioni (marzo 2021) i CEO di </w:t>
      </w:r>
      <w:proofErr w:type="spellStart"/>
      <w:r w:rsidRPr="00B71A61">
        <w:rPr>
          <w:rFonts w:ascii="Goudy Old Style" w:eastAsia="Times New Roman" w:hAnsi="Goudy Old Style" w:cs="Times New Roman"/>
          <w:sz w:val="21"/>
          <w:szCs w:val="21"/>
          <w:lang w:eastAsia="it-IT"/>
        </w:rPr>
        <w:t>Facebook</w:t>
      </w:r>
      <w:proofErr w:type="spellEnd"/>
      <w:r w:rsidRPr="00B71A61">
        <w:rPr>
          <w:rFonts w:ascii="Goudy Old Style" w:eastAsia="Times New Roman" w:hAnsi="Goudy Old Style" w:cs="Times New Roman"/>
          <w:sz w:val="21"/>
          <w:szCs w:val="21"/>
          <w:lang w:eastAsia="it-IT"/>
        </w:rPr>
        <w:t xml:space="preserve">, Google </w:t>
      </w:r>
      <w:r w:rsidR="00AB33C3">
        <w:rPr>
          <w:rFonts w:ascii="Goudy Old Style" w:eastAsia="Times New Roman" w:hAnsi="Goudy Old Style" w:cs="Times New Roman"/>
          <w:sz w:val="21"/>
          <w:szCs w:val="21"/>
          <w:lang w:eastAsia="it-IT"/>
        </w:rPr>
        <w:t xml:space="preserve"> e </w:t>
      </w:r>
      <w:proofErr w:type="spellStart"/>
      <w:r w:rsidR="00AB33C3">
        <w:rPr>
          <w:rFonts w:ascii="Goudy Old Style" w:eastAsia="Times New Roman" w:hAnsi="Goudy Old Style" w:cs="Times New Roman"/>
          <w:sz w:val="21"/>
          <w:szCs w:val="21"/>
          <w:lang w:eastAsia="it-IT"/>
        </w:rPr>
        <w:t>Twitter</w:t>
      </w:r>
      <w:proofErr w:type="spellEnd"/>
      <w:r w:rsidRPr="00B71A61">
        <w:rPr>
          <w:rFonts w:ascii="Goudy Old Style" w:eastAsia="Times New Roman" w:hAnsi="Goudy Old Style" w:cs="Times New Roman"/>
          <w:sz w:val="21"/>
          <w:szCs w:val="21"/>
          <w:lang w:eastAsia="it-IT"/>
        </w:rPr>
        <w:t>, si sono opposti a qualsiasi cambiamento significativo dell’attuale sistema nel senso dell’operatività dell’immunità ove le piattaforme dimostrino di aver fatto ricorso a sistemi atti ad indentificare i contenuti illegali ed a rimuoverli</w:t>
      </w:r>
      <w:r w:rsidR="00AB33C3">
        <w:rPr>
          <w:rStyle w:val="Rimandonotaapidipagina"/>
          <w:rFonts w:ascii="Goudy Old Style" w:eastAsia="Times New Roman" w:hAnsi="Goudy Old Style" w:cs="Times New Roman"/>
          <w:sz w:val="21"/>
          <w:szCs w:val="21"/>
          <w:lang w:eastAsia="it-IT"/>
        </w:rPr>
        <w:footnoteReference w:id="13"/>
      </w:r>
      <w:r w:rsidRPr="00B71A61">
        <w:rPr>
          <w:rFonts w:ascii="Goudy Old Style" w:eastAsia="Times New Roman" w:hAnsi="Goudy Old Style" w:cs="Times New Roman"/>
          <w:sz w:val="21"/>
          <w:szCs w:val="21"/>
          <w:lang w:eastAsia="it-IT"/>
        </w:rPr>
        <w:t>.</w:t>
      </w:r>
    </w:p>
    <w:p w:rsidR="00B71A61" w:rsidRPr="00B71A61" w:rsidRDefault="00B71A61" w:rsidP="00B71A61">
      <w:pPr>
        <w:spacing w:after="0" w:line="240" w:lineRule="auto"/>
        <w:jc w:val="both"/>
        <w:rPr>
          <w:rFonts w:ascii="Goudy Old Style" w:eastAsia="Times New Roman" w:hAnsi="Goudy Old Style" w:cs="Times New Roman"/>
          <w:sz w:val="21"/>
          <w:szCs w:val="21"/>
          <w:lang w:eastAsia="it-IT"/>
        </w:rPr>
      </w:pPr>
      <w:r w:rsidRPr="00B71A61">
        <w:rPr>
          <w:rFonts w:ascii="Goudy Old Style" w:eastAsia="Times New Roman" w:hAnsi="Goudy Old Style" w:cs="Times New Roman"/>
          <w:sz w:val="21"/>
          <w:szCs w:val="21"/>
          <w:lang w:eastAsia="it-IT"/>
        </w:rPr>
        <w:t>La linea ancora seguita in quel contesto, dunque, è quella della massima libertà, rivelandosi interessante l’analisi svolta da Bloomberg  nell’agosto scorso</w:t>
      </w:r>
      <w:r w:rsidR="00AB33C3">
        <w:rPr>
          <w:rStyle w:val="Rimandonotaapidipagina"/>
          <w:rFonts w:ascii="Goudy Old Style" w:eastAsia="Times New Roman" w:hAnsi="Goudy Old Style" w:cs="Times New Roman"/>
          <w:sz w:val="21"/>
          <w:szCs w:val="21"/>
          <w:lang w:eastAsia="it-IT"/>
        </w:rPr>
        <w:footnoteReference w:id="14"/>
      </w:r>
      <w:r w:rsidRPr="00B71A61">
        <w:rPr>
          <w:rFonts w:ascii="Goudy Old Style" w:eastAsia="Times New Roman" w:hAnsi="Goudy Old Style" w:cs="Times New Roman"/>
          <w:sz w:val="21"/>
          <w:szCs w:val="21"/>
          <w:lang w:eastAsia="it-IT"/>
        </w:rPr>
        <w:t xml:space="preserve">, che si lega alle dichiarazioni di </w:t>
      </w:r>
      <w:proofErr w:type="spellStart"/>
      <w:r w:rsidRPr="00B71A61">
        <w:rPr>
          <w:rFonts w:ascii="Goudy Old Style" w:eastAsia="Times New Roman" w:hAnsi="Goudy Old Style" w:cs="Times New Roman"/>
          <w:sz w:val="21"/>
          <w:szCs w:val="21"/>
          <w:lang w:eastAsia="it-IT"/>
        </w:rPr>
        <w:t>Zuckemberg</w:t>
      </w:r>
      <w:proofErr w:type="spellEnd"/>
      <w:r w:rsidRPr="00B71A61">
        <w:rPr>
          <w:rFonts w:ascii="Goudy Old Style" w:eastAsia="Times New Roman" w:hAnsi="Goudy Old Style" w:cs="Times New Roman"/>
          <w:sz w:val="21"/>
          <w:szCs w:val="21"/>
          <w:lang w:eastAsia="it-IT"/>
        </w:rPr>
        <w:t xml:space="preserve">,  </w:t>
      </w:r>
      <w:r>
        <w:rPr>
          <w:rFonts w:ascii="Goudy Old Style" w:eastAsia="Times New Roman" w:hAnsi="Goudy Old Style" w:cs="Times New Roman"/>
          <w:sz w:val="21"/>
          <w:szCs w:val="21"/>
          <w:lang w:eastAsia="it-IT"/>
        </w:rPr>
        <w:t>nella quale</w:t>
      </w:r>
      <w:r w:rsidRPr="00B71A61">
        <w:rPr>
          <w:rFonts w:ascii="Goudy Old Style" w:eastAsia="Times New Roman" w:hAnsi="Goudy Old Style" w:cs="Times New Roman"/>
          <w:sz w:val="21"/>
          <w:szCs w:val="21"/>
          <w:lang w:eastAsia="it-IT"/>
        </w:rPr>
        <w:t xml:space="preserve"> </w:t>
      </w:r>
      <w:r w:rsidR="00AB33C3">
        <w:rPr>
          <w:rFonts w:ascii="Goudy Old Style" w:eastAsia="Times New Roman" w:hAnsi="Goudy Old Style" w:cs="Times New Roman"/>
          <w:sz w:val="21"/>
          <w:szCs w:val="21"/>
          <w:lang w:eastAsia="it-IT"/>
        </w:rPr>
        <w:t xml:space="preserve">viene </w:t>
      </w:r>
      <w:r w:rsidRPr="00B71A61">
        <w:rPr>
          <w:rFonts w:ascii="Goudy Old Style" w:eastAsia="Times New Roman" w:hAnsi="Goudy Old Style" w:cs="Times New Roman"/>
          <w:sz w:val="21"/>
          <w:szCs w:val="21"/>
          <w:lang w:eastAsia="it-IT"/>
        </w:rPr>
        <w:t>evidenziato come i termini standard per gli utenti dei social media</w:t>
      </w:r>
      <w:r w:rsidR="00AB33C3">
        <w:rPr>
          <w:rFonts w:ascii="Goudy Old Style" w:eastAsia="Times New Roman" w:hAnsi="Goudy Old Style" w:cs="Times New Roman"/>
          <w:sz w:val="21"/>
          <w:szCs w:val="21"/>
          <w:lang w:eastAsia="it-IT"/>
        </w:rPr>
        <w:t xml:space="preserve"> –</w:t>
      </w:r>
      <w:r w:rsidRPr="00B71A61">
        <w:rPr>
          <w:rFonts w:ascii="Goudy Old Style" w:eastAsia="Times New Roman" w:hAnsi="Goudy Old Style" w:cs="Times New Roman"/>
          <w:sz w:val="21"/>
          <w:szCs w:val="21"/>
          <w:lang w:eastAsia="it-IT"/>
        </w:rPr>
        <w:t xml:space="preserve"> quelli che normalmente tutti noi accettiamo automaticamente</w:t>
      </w:r>
      <w:r w:rsidR="00AB33C3">
        <w:rPr>
          <w:rFonts w:ascii="Goudy Old Style" w:eastAsia="Times New Roman" w:hAnsi="Goudy Old Style" w:cs="Times New Roman"/>
          <w:sz w:val="21"/>
          <w:szCs w:val="21"/>
          <w:lang w:eastAsia="it-IT"/>
        </w:rPr>
        <w:t xml:space="preserve"> –</w:t>
      </w:r>
      <w:r w:rsidRPr="00B71A61">
        <w:rPr>
          <w:rFonts w:ascii="Goudy Old Style" w:eastAsia="Times New Roman" w:hAnsi="Goudy Old Style" w:cs="Times New Roman"/>
          <w:sz w:val="21"/>
          <w:szCs w:val="21"/>
          <w:lang w:eastAsia="it-IT"/>
        </w:rPr>
        <w:t>,  limitano in modo significativo la responsabilità della piattaforma, sicché, anche nell’eventualità in cui la revoca delle protezioni della Sezione 230 divenisse concreta, le piattaforme probabilmente riuscirebbero ancora ad andare indenni da responsabilità.</w:t>
      </w:r>
    </w:p>
    <w:p w:rsidR="00B71A61" w:rsidRPr="00B71A61" w:rsidRDefault="00B71A61" w:rsidP="00B71A61">
      <w:pPr>
        <w:spacing w:after="0" w:line="240" w:lineRule="auto"/>
        <w:jc w:val="both"/>
        <w:rPr>
          <w:rFonts w:ascii="Goudy Old Style" w:eastAsia="Times New Roman" w:hAnsi="Goudy Old Style" w:cs="Times New Roman"/>
          <w:sz w:val="21"/>
          <w:szCs w:val="21"/>
          <w:lang w:eastAsia="it-IT"/>
        </w:rPr>
      </w:pPr>
      <w:r w:rsidRPr="00B71A61">
        <w:rPr>
          <w:rFonts w:ascii="Goudy Old Style" w:eastAsia="Times New Roman" w:hAnsi="Goudy Old Style" w:cs="Times New Roman"/>
          <w:sz w:val="21"/>
          <w:szCs w:val="21"/>
          <w:lang w:eastAsia="it-IT"/>
        </w:rPr>
        <w:t>In Europa – a prescindere da talune iniziative assunte da alcuni Stati con i rischi propri, in alcuni casi, dell’asimmetria normativa – l’Unione ha elaborato una articolata strategia di azione.</w:t>
      </w:r>
    </w:p>
    <w:p w:rsidR="00B71A61" w:rsidRDefault="00B71A61" w:rsidP="00B71A61">
      <w:pPr>
        <w:spacing w:after="0" w:line="240" w:lineRule="auto"/>
        <w:jc w:val="both"/>
        <w:rPr>
          <w:rFonts w:ascii="Goudy Old Style" w:eastAsia="Times New Roman" w:hAnsi="Goudy Old Style" w:cs="Times New Roman"/>
          <w:sz w:val="21"/>
          <w:szCs w:val="21"/>
          <w:lang w:eastAsia="it-IT"/>
        </w:rPr>
      </w:pPr>
      <w:r w:rsidRPr="00B71A61">
        <w:rPr>
          <w:rFonts w:ascii="Goudy Old Style" w:eastAsia="Times New Roman" w:hAnsi="Goudy Old Style" w:cs="Times New Roman"/>
          <w:sz w:val="21"/>
          <w:szCs w:val="21"/>
          <w:lang w:eastAsia="it-IT"/>
        </w:rPr>
        <w:t xml:space="preserve">A rilevare è in primo luogo il </w:t>
      </w:r>
      <w:r w:rsidRPr="00AB33C3">
        <w:rPr>
          <w:rFonts w:ascii="Goudy Old Style" w:eastAsia="Times New Roman" w:hAnsi="Goudy Old Style" w:cs="Times New Roman"/>
          <w:i/>
          <w:sz w:val="21"/>
          <w:szCs w:val="21"/>
          <w:lang w:eastAsia="it-IT"/>
        </w:rPr>
        <w:t xml:space="preserve">Digital Service </w:t>
      </w:r>
      <w:proofErr w:type="spellStart"/>
      <w:r w:rsidRPr="00AB33C3">
        <w:rPr>
          <w:rFonts w:ascii="Goudy Old Style" w:eastAsia="Times New Roman" w:hAnsi="Goudy Old Style" w:cs="Times New Roman"/>
          <w:i/>
          <w:sz w:val="21"/>
          <w:szCs w:val="21"/>
          <w:lang w:eastAsia="it-IT"/>
        </w:rPr>
        <w:t>Act</w:t>
      </w:r>
      <w:proofErr w:type="spellEnd"/>
      <w:r w:rsidRPr="00B71A61">
        <w:rPr>
          <w:rFonts w:ascii="Goudy Old Style" w:eastAsia="Times New Roman" w:hAnsi="Goudy Old Style" w:cs="Times New Roman"/>
          <w:sz w:val="21"/>
          <w:szCs w:val="21"/>
          <w:lang w:eastAsia="it-IT"/>
        </w:rPr>
        <w:t xml:space="preserve"> e cioè il nuovo regolamento al quale viene affidata la disciplina organica dei servizi digitali che non è ancora stato approvato e che, allo stato e ferma la possibilità di modifiche nel procedimento in corso, pur presentando indubbi pregi – tra i quali il temperamento del principio del Paese di origine (concepito in un differente contesto e inidoneo a garantire una cornice di tutela in un sistema caratterizzato dalla presenza di piattaforme che offrono servizi digitali su scala globale) e l’introduzione di un sistema graduato di obblighi e correlate responsabilità gravanti sulle piattaforme – adotta un approccio cauto sullo snodo essenziale costituito dai contenuti.</w:t>
      </w:r>
    </w:p>
    <w:p w:rsidR="00BE346A" w:rsidRDefault="00BE346A" w:rsidP="003628C3">
      <w:pPr>
        <w:spacing w:after="0" w:line="240" w:lineRule="auto"/>
        <w:jc w:val="both"/>
        <w:rPr>
          <w:rFonts w:ascii="Goudy Old Style" w:eastAsia="Times New Roman" w:hAnsi="Goudy Old Style" w:cs="Times New Roman"/>
          <w:sz w:val="21"/>
          <w:szCs w:val="21"/>
          <w:lang w:eastAsia="it-IT"/>
        </w:rPr>
      </w:pPr>
      <w:r w:rsidRPr="00BE346A">
        <w:rPr>
          <w:rFonts w:ascii="Goudy Old Style" w:eastAsia="Times New Roman" w:hAnsi="Goudy Old Style" w:cs="Times New Roman"/>
          <w:sz w:val="21"/>
          <w:szCs w:val="21"/>
          <w:lang w:eastAsia="it-IT"/>
        </w:rPr>
        <w:t xml:space="preserve">La posizione consolidata </w:t>
      </w:r>
      <w:r w:rsidR="003A1539">
        <w:rPr>
          <w:rFonts w:ascii="Goudy Old Style" w:eastAsia="Times New Roman" w:hAnsi="Goudy Old Style" w:cs="Times New Roman"/>
          <w:sz w:val="21"/>
          <w:szCs w:val="21"/>
          <w:lang w:eastAsia="it-IT"/>
        </w:rPr>
        <w:t>de</w:t>
      </w:r>
      <w:r w:rsidRPr="00BE346A">
        <w:rPr>
          <w:rFonts w:ascii="Goudy Old Style" w:eastAsia="Times New Roman" w:hAnsi="Goudy Old Style" w:cs="Times New Roman"/>
          <w:sz w:val="21"/>
          <w:szCs w:val="21"/>
          <w:lang w:eastAsia="it-IT"/>
        </w:rPr>
        <w:t xml:space="preserve">lla giurisprudenza della Corte di Giustizia </w:t>
      </w:r>
      <w:r>
        <w:rPr>
          <w:rFonts w:ascii="Goudy Old Style" w:eastAsia="Times New Roman" w:hAnsi="Goudy Old Style" w:cs="Times New Roman"/>
          <w:sz w:val="21"/>
          <w:szCs w:val="21"/>
          <w:lang w:eastAsia="it-IT"/>
        </w:rPr>
        <w:t>risalente al</w:t>
      </w:r>
      <w:r w:rsidRPr="00BE346A">
        <w:rPr>
          <w:rFonts w:ascii="Goudy Old Style" w:eastAsia="Times New Roman" w:hAnsi="Goudy Old Style" w:cs="Times New Roman"/>
          <w:sz w:val="21"/>
          <w:szCs w:val="21"/>
          <w:lang w:eastAsia="it-IT"/>
        </w:rPr>
        <w:t xml:space="preserve"> 2010</w:t>
      </w:r>
      <w:r>
        <w:rPr>
          <w:rStyle w:val="Rimandonotaapidipagina"/>
          <w:rFonts w:ascii="Goudy Old Style" w:eastAsia="Times New Roman" w:hAnsi="Goudy Old Style" w:cs="Times New Roman"/>
          <w:sz w:val="21"/>
          <w:szCs w:val="21"/>
          <w:lang w:eastAsia="it-IT"/>
        </w:rPr>
        <w:footnoteReference w:id="15"/>
      </w:r>
      <w:r w:rsidR="003A1539">
        <w:rPr>
          <w:rFonts w:ascii="Goudy Old Style" w:eastAsia="Times New Roman" w:hAnsi="Goudy Old Style" w:cs="Times New Roman"/>
          <w:sz w:val="21"/>
          <w:szCs w:val="21"/>
          <w:lang w:eastAsia="it-IT"/>
        </w:rPr>
        <w:t xml:space="preserve"> e anche di</w:t>
      </w:r>
      <w:r w:rsidRPr="00BE346A">
        <w:rPr>
          <w:rFonts w:ascii="Goudy Old Style" w:eastAsia="Times New Roman" w:hAnsi="Goudy Old Style" w:cs="Times New Roman"/>
          <w:sz w:val="21"/>
          <w:szCs w:val="21"/>
          <w:lang w:eastAsia="it-IT"/>
        </w:rPr>
        <w:t xml:space="preserve"> quella nazionale</w:t>
      </w:r>
      <w:r w:rsidR="003628C3">
        <w:rPr>
          <w:rStyle w:val="Rimandonotaapidipagina"/>
          <w:rFonts w:ascii="Goudy Old Style" w:eastAsia="Times New Roman" w:hAnsi="Goudy Old Style" w:cs="Times New Roman"/>
          <w:sz w:val="21"/>
          <w:szCs w:val="21"/>
          <w:lang w:eastAsia="it-IT"/>
        </w:rPr>
        <w:footnoteReference w:id="16"/>
      </w:r>
      <w:r w:rsidR="003A1539">
        <w:rPr>
          <w:rFonts w:ascii="Goudy Old Style" w:eastAsia="Times New Roman" w:hAnsi="Goudy Old Style" w:cs="Times New Roman"/>
          <w:sz w:val="21"/>
          <w:szCs w:val="21"/>
          <w:lang w:eastAsia="it-IT"/>
        </w:rPr>
        <w:t xml:space="preserve">, </w:t>
      </w:r>
      <w:r w:rsidR="0093348A">
        <w:rPr>
          <w:rFonts w:ascii="Goudy Old Style" w:eastAsia="Times New Roman" w:hAnsi="Goudy Old Style" w:cs="Times New Roman"/>
          <w:sz w:val="21"/>
          <w:szCs w:val="21"/>
          <w:lang w:eastAsia="it-IT"/>
        </w:rPr>
        <w:t xml:space="preserve">riferita </w:t>
      </w:r>
      <w:r w:rsidRPr="00BE346A">
        <w:rPr>
          <w:rFonts w:ascii="Goudy Old Style" w:eastAsia="Times New Roman" w:hAnsi="Goudy Old Style" w:cs="Times New Roman"/>
          <w:sz w:val="21"/>
          <w:szCs w:val="21"/>
          <w:lang w:eastAsia="it-IT"/>
        </w:rPr>
        <w:t xml:space="preserve">alle previsioni del d. </w:t>
      </w:r>
      <w:proofErr w:type="spellStart"/>
      <w:r w:rsidRPr="00BE346A">
        <w:rPr>
          <w:rFonts w:ascii="Goudy Old Style" w:eastAsia="Times New Roman" w:hAnsi="Goudy Old Style" w:cs="Times New Roman"/>
          <w:sz w:val="21"/>
          <w:szCs w:val="21"/>
          <w:lang w:eastAsia="it-IT"/>
        </w:rPr>
        <w:t>lgs</w:t>
      </w:r>
      <w:proofErr w:type="spellEnd"/>
      <w:r w:rsidRPr="00BE346A">
        <w:rPr>
          <w:rFonts w:ascii="Goudy Old Style" w:eastAsia="Times New Roman" w:hAnsi="Goudy Old Style" w:cs="Times New Roman"/>
          <w:sz w:val="21"/>
          <w:szCs w:val="21"/>
          <w:lang w:eastAsia="it-IT"/>
        </w:rPr>
        <w:t>. n. 79 del 2003 di attuazione della direttiva 2000/31/CE</w:t>
      </w:r>
      <w:r w:rsidR="003A1539">
        <w:rPr>
          <w:rFonts w:ascii="Goudy Old Style" w:eastAsia="Times New Roman" w:hAnsi="Goudy Old Style" w:cs="Times New Roman"/>
          <w:sz w:val="21"/>
          <w:szCs w:val="21"/>
          <w:lang w:eastAsia="it-IT"/>
        </w:rPr>
        <w:t xml:space="preserve"> –</w:t>
      </w:r>
      <w:r w:rsidRPr="00BE346A">
        <w:rPr>
          <w:rFonts w:ascii="Goudy Old Style" w:eastAsia="Times New Roman" w:hAnsi="Goudy Old Style" w:cs="Times New Roman"/>
          <w:sz w:val="21"/>
          <w:szCs w:val="21"/>
          <w:lang w:eastAsia="it-IT"/>
        </w:rPr>
        <w:t xml:space="preserve"> relativa a taluni aspetti giuridici dei servizi della società dell’informazione nel mercato interno, con particolare riferimento al commercio elettronico</w:t>
      </w:r>
      <w:r w:rsidR="003A1539">
        <w:rPr>
          <w:rFonts w:ascii="Goudy Old Style" w:eastAsia="Times New Roman" w:hAnsi="Goudy Old Style" w:cs="Times New Roman"/>
          <w:sz w:val="21"/>
          <w:szCs w:val="21"/>
          <w:lang w:eastAsia="it-IT"/>
        </w:rPr>
        <w:t xml:space="preserve"> –</w:t>
      </w:r>
      <w:r w:rsidRPr="00BE346A">
        <w:rPr>
          <w:rFonts w:ascii="Goudy Old Style" w:eastAsia="Times New Roman" w:hAnsi="Goudy Old Style" w:cs="Times New Roman"/>
          <w:sz w:val="21"/>
          <w:szCs w:val="21"/>
          <w:lang w:eastAsia="it-IT"/>
        </w:rPr>
        <w:t xml:space="preserve">, è nel senso di ritenere sussistente una responsabilità dell’hosting provider ove sussistano specifiche condizioni che postulano un qualche contegno attivo del prestatore di servizi. Non è sufficiente l’attività di semplice trasporto dei dati, potendosi configurare quando non abbia provveduto alla immediata rimozione dei contenuti illeciti, oppure abbia continuato a pubblicarli, </w:t>
      </w:r>
      <w:r w:rsidR="003A1539">
        <w:rPr>
          <w:rFonts w:ascii="Goudy Old Style" w:eastAsia="Times New Roman" w:hAnsi="Goudy Old Style" w:cs="Times New Roman"/>
          <w:sz w:val="21"/>
          <w:szCs w:val="21"/>
          <w:lang w:eastAsia="it-IT"/>
        </w:rPr>
        <w:t>ove</w:t>
      </w:r>
      <w:r w:rsidRPr="00BE346A">
        <w:rPr>
          <w:rFonts w:ascii="Goudy Old Style" w:eastAsia="Times New Roman" w:hAnsi="Goudy Old Style" w:cs="Times New Roman"/>
          <w:sz w:val="21"/>
          <w:szCs w:val="21"/>
          <w:lang w:eastAsia="it-IT"/>
        </w:rPr>
        <w:t xml:space="preserve"> ricorrano congiuntamente le seguenti condizioni:</w:t>
      </w:r>
      <w:r w:rsidR="003628C3">
        <w:rPr>
          <w:rFonts w:ascii="Goudy Old Style" w:eastAsia="Times New Roman" w:hAnsi="Goudy Old Style" w:cs="Times New Roman"/>
          <w:sz w:val="21"/>
          <w:szCs w:val="21"/>
          <w:lang w:eastAsia="it-IT"/>
        </w:rPr>
        <w:t xml:space="preserve"> a) </w:t>
      </w:r>
      <w:r w:rsidRPr="00BE346A">
        <w:rPr>
          <w:rFonts w:ascii="Goudy Old Style" w:eastAsia="Times New Roman" w:hAnsi="Goudy Old Style" w:cs="Times New Roman"/>
          <w:sz w:val="21"/>
          <w:szCs w:val="21"/>
          <w:lang w:eastAsia="it-IT"/>
        </w:rPr>
        <w:t xml:space="preserve">sia a conoscenza legale dell’illecito perpetrato dal destinatario del servizio, per averne avuto notizia dal titolare del diritto leso oppure </w:t>
      </w:r>
      <w:proofErr w:type="spellStart"/>
      <w:r w:rsidRPr="00BE346A">
        <w:rPr>
          <w:rFonts w:ascii="Goudy Old Style" w:eastAsia="Times New Roman" w:hAnsi="Goudy Old Style" w:cs="Times New Roman"/>
          <w:i/>
          <w:sz w:val="21"/>
          <w:szCs w:val="21"/>
          <w:lang w:eastAsia="it-IT"/>
        </w:rPr>
        <w:t>aliunde</w:t>
      </w:r>
      <w:proofErr w:type="spellEnd"/>
      <w:r w:rsidRPr="00BE346A">
        <w:rPr>
          <w:rFonts w:ascii="Goudy Old Style" w:eastAsia="Times New Roman" w:hAnsi="Goudy Old Style" w:cs="Times New Roman"/>
          <w:sz w:val="21"/>
          <w:szCs w:val="21"/>
          <w:lang w:eastAsia="it-IT"/>
        </w:rPr>
        <w:t>;</w:t>
      </w:r>
      <w:r w:rsidR="003628C3">
        <w:rPr>
          <w:rFonts w:ascii="Goudy Old Style" w:eastAsia="Times New Roman" w:hAnsi="Goudy Old Style" w:cs="Times New Roman"/>
          <w:sz w:val="21"/>
          <w:szCs w:val="21"/>
          <w:lang w:eastAsia="it-IT"/>
        </w:rPr>
        <w:t xml:space="preserve"> b) </w:t>
      </w:r>
      <w:r w:rsidRPr="00BE346A">
        <w:rPr>
          <w:rFonts w:ascii="Goudy Old Style" w:eastAsia="Times New Roman" w:hAnsi="Goudy Old Style" w:cs="Times New Roman"/>
          <w:sz w:val="21"/>
          <w:szCs w:val="21"/>
          <w:lang w:eastAsia="it-IT"/>
        </w:rPr>
        <w:t>sia ragionevolmente constatabile l’illiceità dell’altrui condotta, onde l’hosting provider sia in colpa grave per non averla positivamente riscontrata, alla stregua del grado di diligenza che è ragionevole attendersi da un operatore professionale della rete in un determinato momento storico;</w:t>
      </w:r>
      <w:r w:rsidR="003628C3">
        <w:rPr>
          <w:rFonts w:ascii="Goudy Old Style" w:eastAsia="Times New Roman" w:hAnsi="Goudy Old Style" w:cs="Times New Roman"/>
          <w:sz w:val="21"/>
          <w:szCs w:val="21"/>
          <w:lang w:eastAsia="it-IT"/>
        </w:rPr>
        <w:t xml:space="preserve"> c)</w:t>
      </w:r>
      <w:r w:rsidRPr="00BE346A">
        <w:rPr>
          <w:rFonts w:ascii="Goudy Old Style" w:eastAsia="Times New Roman" w:hAnsi="Goudy Old Style" w:cs="Times New Roman"/>
          <w:sz w:val="21"/>
          <w:szCs w:val="21"/>
          <w:lang w:eastAsia="it-IT"/>
        </w:rPr>
        <w:t>abbia la possibilità di attivarsi utilmente, in quanto reso edotto in modo sufficientemente specifico dei contenuti illecitamente immessi da rimuovere.</w:t>
      </w:r>
    </w:p>
    <w:p w:rsidR="003A1539" w:rsidRPr="003A1539" w:rsidRDefault="003A1539" w:rsidP="003A1539">
      <w:pPr>
        <w:spacing w:after="0" w:line="240" w:lineRule="auto"/>
        <w:jc w:val="both"/>
        <w:rPr>
          <w:rFonts w:ascii="Goudy Old Style" w:eastAsia="Times New Roman" w:hAnsi="Goudy Old Style" w:cs="Times New Roman"/>
          <w:sz w:val="21"/>
          <w:szCs w:val="21"/>
          <w:lang w:eastAsia="it-IT"/>
        </w:rPr>
      </w:pPr>
      <w:r w:rsidRPr="003A1539">
        <w:rPr>
          <w:rFonts w:ascii="Goudy Old Style" w:eastAsia="Times New Roman" w:hAnsi="Goudy Old Style" w:cs="Times New Roman"/>
          <w:sz w:val="21"/>
          <w:szCs w:val="21"/>
          <w:lang w:eastAsia="it-IT"/>
        </w:rPr>
        <w:t xml:space="preserve">Questo impianto dovrebbe essere parzialmente rivisto con il </w:t>
      </w:r>
      <w:r w:rsidRPr="003A1539">
        <w:rPr>
          <w:rFonts w:ascii="Goudy Old Style" w:eastAsia="Times New Roman" w:hAnsi="Goudy Old Style" w:cs="Times New Roman"/>
          <w:i/>
          <w:sz w:val="21"/>
          <w:szCs w:val="21"/>
          <w:lang w:eastAsia="it-IT"/>
        </w:rPr>
        <w:t xml:space="preserve">Digital Service </w:t>
      </w:r>
      <w:proofErr w:type="spellStart"/>
      <w:r w:rsidRPr="003A1539">
        <w:rPr>
          <w:rFonts w:ascii="Goudy Old Style" w:eastAsia="Times New Roman" w:hAnsi="Goudy Old Style" w:cs="Times New Roman"/>
          <w:i/>
          <w:sz w:val="21"/>
          <w:szCs w:val="21"/>
          <w:lang w:eastAsia="it-IT"/>
        </w:rPr>
        <w:t>Act</w:t>
      </w:r>
      <w:proofErr w:type="spellEnd"/>
      <w:r w:rsidRPr="003A1539">
        <w:rPr>
          <w:rFonts w:ascii="Goudy Old Style" w:eastAsia="Times New Roman" w:hAnsi="Goudy Old Style" w:cs="Times New Roman"/>
          <w:sz w:val="21"/>
          <w:szCs w:val="21"/>
          <w:lang w:eastAsia="it-IT"/>
        </w:rPr>
        <w:t xml:space="preserve"> senza però che, anche con riferimento alle cd. </w:t>
      </w:r>
      <w:proofErr w:type="spellStart"/>
      <w:r>
        <w:rPr>
          <w:rFonts w:ascii="Goudy Old Style" w:eastAsia="Times New Roman" w:hAnsi="Goudy Old Style" w:cs="Times New Roman"/>
          <w:i/>
          <w:iCs/>
          <w:sz w:val="21"/>
          <w:szCs w:val="21"/>
          <w:lang w:eastAsia="it-IT"/>
        </w:rPr>
        <w:t>Very</w:t>
      </w:r>
      <w:proofErr w:type="spellEnd"/>
      <w:r>
        <w:rPr>
          <w:rFonts w:ascii="Goudy Old Style" w:eastAsia="Times New Roman" w:hAnsi="Goudy Old Style" w:cs="Times New Roman"/>
          <w:i/>
          <w:iCs/>
          <w:sz w:val="21"/>
          <w:szCs w:val="21"/>
          <w:lang w:eastAsia="it-IT"/>
        </w:rPr>
        <w:t xml:space="preserve"> large online </w:t>
      </w:r>
      <w:proofErr w:type="spellStart"/>
      <w:r>
        <w:rPr>
          <w:rFonts w:ascii="Goudy Old Style" w:eastAsia="Times New Roman" w:hAnsi="Goudy Old Style" w:cs="Times New Roman"/>
          <w:i/>
          <w:iCs/>
          <w:sz w:val="21"/>
          <w:szCs w:val="21"/>
          <w:lang w:eastAsia="it-IT"/>
        </w:rPr>
        <w:t>platforms</w:t>
      </w:r>
      <w:proofErr w:type="spellEnd"/>
      <w:r>
        <w:rPr>
          <w:rFonts w:ascii="Goudy Old Style" w:eastAsia="Times New Roman" w:hAnsi="Goudy Old Style" w:cs="Times New Roman"/>
          <w:i/>
          <w:iCs/>
          <w:sz w:val="21"/>
          <w:szCs w:val="21"/>
          <w:lang w:eastAsia="it-IT"/>
        </w:rPr>
        <w:t xml:space="preserve"> </w:t>
      </w:r>
      <w:proofErr w:type="gramStart"/>
      <w:r>
        <w:rPr>
          <w:rFonts w:ascii="Goudy Old Style" w:eastAsia="Times New Roman" w:hAnsi="Goudy Old Style" w:cs="Times New Roman"/>
          <w:i/>
          <w:iCs/>
          <w:sz w:val="21"/>
          <w:szCs w:val="21"/>
          <w:lang w:eastAsia="it-IT"/>
        </w:rPr>
        <w:t>–</w:t>
      </w:r>
      <w:r w:rsidRPr="003A1539">
        <w:rPr>
          <w:rFonts w:ascii="Goudy Old Style" w:eastAsia="Times New Roman" w:hAnsi="Goudy Old Style" w:cs="Times New Roman"/>
          <w:sz w:val="21"/>
          <w:szCs w:val="21"/>
          <w:lang w:eastAsia="it-IT"/>
        </w:rPr>
        <w:t>(</w:t>
      </w:r>
      <w:proofErr w:type="spellStart"/>
      <w:proofErr w:type="gramEnd"/>
      <w:r w:rsidRPr="003A1539">
        <w:rPr>
          <w:rFonts w:ascii="Goudy Old Style" w:eastAsia="Times New Roman" w:hAnsi="Goudy Old Style" w:cs="Times New Roman"/>
          <w:sz w:val="21"/>
          <w:szCs w:val="21"/>
          <w:lang w:eastAsia="it-IT"/>
        </w:rPr>
        <w:t>VLOPs</w:t>
      </w:r>
      <w:proofErr w:type="spellEnd"/>
      <w:r w:rsidRPr="003A1539">
        <w:rPr>
          <w:rFonts w:ascii="Goudy Old Style" w:eastAsia="Times New Roman" w:hAnsi="Goudy Old Style" w:cs="Times New Roman"/>
          <w:sz w:val="21"/>
          <w:szCs w:val="21"/>
          <w:lang w:eastAsia="it-IT"/>
        </w:rPr>
        <w:t>, categoria che riunisce le piattaforme che vantano una base di utenti in tutta Europa pari ad almeno il 10% della popolazione continentale) nei confronti dei quali più stringenti sono gli obblighi previsti</w:t>
      </w:r>
      <w:r>
        <w:rPr>
          <w:rFonts w:ascii="Goudy Old Style" w:eastAsia="Times New Roman" w:hAnsi="Goudy Old Style" w:cs="Times New Roman"/>
          <w:sz w:val="21"/>
          <w:szCs w:val="21"/>
          <w:lang w:eastAsia="it-IT"/>
        </w:rPr>
        <w:t xml:space="preserve"> – </w:t>
      </w:r>
      <w:r w:rsidRPr="003A1539">
        <w:rPr>
          <w:rFonts w:ascii="Goudy Old Style" w:eastAsia="Times New Roman" w:hAnsi="Goudy Old Style" w:cs="Times New Roman"/>
          <w:sz w:val="21"/>
          <w:szCs w:val="21"/>
          <w:lang w:eastAsia="it-IT"/>
        </w:rPr>
        <w:t xml:space="preserve"> si addivenga all’affermazione chiara di una responsabilità aggravata e, men che meno oggettiva, basata sul solo nesso causale.</w:t>
      </w:r>
    </w:p>
    <w:p w:rsidR="003A1539" w:rsidRDefault="003A1539" w:rsidP="003A1539">
      <w:pPr>
        <w:spacing w:after="0" w:line="240" w:lineRule="auto"/>
        <w:jc w:val="both"/>
        <w:rPr>
          <w:rFonts w:ascii="Goudy Old Style" w:eastAsia="Times New Roman" w:hAnsi="Goudy Old Style" w:cs="Times New Roman"/>
          <w:sz w:val="21"/>
          <w:szCs w:val="21"/>
          <w:lang w:eastAsia="it-IT"/>
        </w:rPr>
      </w:pPr>
      <w:r w:rsidRPr="003A1539">
        <w:rPr>
          <w:rFonts w:ascii="Goudy Old Style" w:eastAsia="Times New Roman" w:hAnsi="Goudy Old Style" w:cs="Times New Roman"/>
          <w:sz w:val="21"/>
          <w:szCs w:val="21"/>
          <w:lang w:eastAsia="it-IT"/>
        </w:rPr>
        <w:t xml:space="preserve">Il </w:t>
      </w:r>
      <w:r w:rsidRPr="003A1539">
        <w:rPr>
          <w:rFonts w:ascii="Goudy Old Style" w:eastAsia="Times New Roman" w:hAnsi="Goudy Old Style" w:cs="Times New Roman"/>
          <w:i/>
          <w:sz w:val="21"/>
          <w:szCs w:val="21"/>
          <w:lang w:eastAsia="it-IT"/>
        </w:rPr>
        <w:t xml:space="preserve">Digital Market </w:t>
      </w:r>
      <w:proofErr w:type="spellStart"/>
      <w:r w:rsidRPr="003A1539">
        <w:rPr>
          <w:rFonts w:ascii="Goudy Old Style" w:eastAsia="Times New Roman" w:hAnsi="Goudy Old Style" w:cs="Times New Roman"/>
          <w:i/>
          <w:sz w:val="21"/>
          <w:szCs w:val="21"/>
          <w:lang w:eastAsia="it-IT"/>
        </w:rPr>
        <w:t>Act</w:t>
      </w:r>
      <w:proofErr w:type="spellEnd"/>
      <w:r w:rsidRPr="003A1539">
        <w:rPr>
          <w:rFonts w:ascii="Goudy Old Style" w:eastAsia="Times New Roman" w:hAnsi="Goudy Old Style" w:cs="Times New Roman"/>
          <w:sz w:val="21"/>
          <w:szCs w:val="21"/>
          <w:lang w:eastAsia="it-IT"/>
        </w:rPr>
        <w:t xml:space="preserve"> si pone all’interno di una stessa linea di azione per rafforzare la contendibilità e possibilità di accesso ai mercati digitali </w:t>
      </w:r>
      <w:r w:rsidR="0093348A">
        <w:rPr>
          <w:rFonts w:ascii="Goudy Old Style" w:eastAsia="Times New Roman" w:hAnsi="Goudy Old Style" w:cs="Times New Roman"/>
          <w:sz w:val="21"/>
          <w:szCs w:val="21"/>
          <w:lang w:eastAsia="it-IT"/>
        </w:rPr>
        <w:t>pure</w:t>
      </w:r>
      <w:r w:rsidRPr="003A1539">
        <w:rPr>
          <w:rFonts w:ascii="Goudy Old Style" w:eastAsia="Times New Roman" w:hAnsi="Goudy Old Style" w:cs="Times New Roman"/>
          <w:sz w:val="21"/>
          <w:szCs w:val="21"/>
          <w:lang w:eastAsia="it-IT"/>
        </w:rPr>
        <w:t xml:space="preserve"> da parte di nuovi operatori; anche tale intervento normativo assume valenza complementare rispetto alle vigenti norme settoriali, valorizzando il ruolo dei </w:t>
      </w:r>
      <w:r>
        <w:rPr>
          <w:rFonts w:ascii="Goudy Old Style" w:eastAsia="Times New Roman" w:hAnsi="Goudy Old Style" w:cs="Times New Roman"/>
          <w:sz w:val="21"/>
          <w:szCs w:val="21"/>
          <w:lang w:eastAsia="it-IT"/>
        </w:rPr>
        <w:t xml:space="preserve">c.d. </w:t>
      </w:r>
      <w:proofErr w:type="spellStart"/>
      <w:r w:rsidRPr="003A1539">
        <w:rPr>
          <w:rFonts w:ascii="Goudy Old Style" w:eastAsia="Times New Roman" w:hAnsi="Goudy Old Style" w:cs="Times New Roman"/>
          <w:i/>
          <w:sz w:val="21"/>
          <w:szCs w:val="21"/>
          <w:lang w:eastAsia="it-IT"/>
        </w:rPr>
        <w:t>gatekeepers</w:t>
      </w:r>
      <w:proofErr w:type="spellEnd"/>
      <w:r w:rsidRPr="003A1539">
        <w:rPr>
          <w:rFonts w:ascii="Goudy Old Style" w:eastAsia="Times New Roman" w:hAnsi="Goudy Old Style" w:cs="Times New Roman"/>
          <w:sz w:val="21"/>
          <w:szCs w:val="21"/>
          <w:lang w:eastAsia="it-IT"/>
        </w:rPr>
        <w:t xml:space="preserve"> attraverso gli obblighi e le responsabilità su essi gravati, pur con le difficoltà, univocamente evidenziate, ad individuare una definizione adeguata di tale categoria, non eccessivamente rigida da precludere valutazioni specifiche adeguate al dinamismo dei mercati e dei servizi</w:t>
      </w:r>
      <w:r>
        <w:rPr>
          <w:rFonts w:ascii="Goudy Old Style" w:eastAsia="Times New Roman" w:hAnsi="Goudy Old Style" w:cs="Times New Roman"/>
          <w:sz w:val="21"/>
          <w:szCs w:val="21"/>
          <w:lang w:eastAsia="it-IT"/>
        </w:rPr>
        <w:t>.</w:t>
      </w:r>
    </w:p>
    <w:p w:rsidR="003A1539" w:rsidRPr="003A1539" w:rsidRDefault="003A1539" w:rsidP="003A1539">
      <w:pPr>
        <w:spacing w:after="0" w:line="240" w:lineRule="auto"/>
        <w:jc w:val="both"/>
        <w:rPr>
          <w:rFonts w:ascii="Goudy Old Style" w:eastAsia="Times New Roman" w:hAnsi="Goudy Old Style" w:cs="Times New Roman"/>
          <w:sz w:val="21"/>
          <w:szCs w:val="21"/>
          <w:lang w:eastAsia="it-IT"/>
        </w:rPr>
      </w:pPr>
      <w:r w:rsidRPr="003A1539">
        <w:rPr>
          <w:rFonts w:ascii="Goudy Old Style" w:eastAsia="Times New Roman" w:hAnsi="Goudy Old Style" w:cs="Times New Roman"/>
          <w:sz w:val="21"/>
          <w:szCs w:val="21"/>
          <w:lang w:eastAsia="it-IT"/>
        </w:rPr>
        <w:t>A queste iniziative se ne aggiungono altre e, segnatamente:</w:t>
      </w:r>
    </w:p>
    <w:p w:rsidR="003A1539" w:rsidRPr="003A1539" w:rsidRDefault="003A1539" w:rsidP="00367229">
      <w:pPr>
        <w:pStyle w:val="Paragrafoelenco"/>
        <w:numPr>
          <w:ilvl w:val="0"/>
          <w:numId w:val="3"/>
        </w:numPr>
        <w:spacing w:after="0" w:line="240" w:lineRule="auto"/>
        <w:ind w:left="426"/>
        <w:jc w:val="both"/>
        <w:rPr>
          <w:rFonts w:ascii="Goudy Old Style" w:eastAsia="Times New Roman" w:hAnsi="Goudy Old Style" w:cs="Times New Roman"/>
          <w:sz w:val="21"/>
          <w:szCs w:val="21"/>
          <w:lang w:eastAsia="it-IT"/>
        </w:rPr>
      </w:pPr>
      <w:r w:rsidRPr="003A1539">
        <w:rPr>
          <w:rFonts w:ascii="Goudy Old Style" w:eastAsia="Times New Roman" w:hAnsi="Goudy Old Style" w:cs="Times New Roman"/>
          <w:sz w:val="21"/>
          <w:szCs w:val="21"/>
          <w:lang w:eastAsia="it-IT"/>
        </w:rPr>
        <w:t>l’</w:t>
      </w:r>
      <w:proofErr w:type="spellStart"/>
      <w:r w:rsidRPr="003A1539">
        <w:rPr>
          <w:rFonts w:ascii="Goudy Old Style" w:eastAsia="Times New Roman" w:hAnsi="Goudy Old Style" w:cs="Times New Roman"/>
          <w:i/>
          <w:sz w:val="21"/>
          <w:szCs w:val="21"/>
          <w:lang w:eastAsia="it-IT"/>
        </w:rPr>
        <w:t>European</w:t>
      </w:r>
      <w:proofErr w:type="spellEnd"/>
      <w:r w:rsidRPr="003A1539">
        <w:rPr>
          <w:rFonts w:ascii="Goudy Old Style" w:eastAsia="Times New Roman" w:hAnsi="Goudy Old Style" w:cs="Times New Roman"/>
          <w:i/>
          <w:sz w:val="21"/>
          <w:szCs w:val="21"/>
          <w:lang w:eastAsia="it-IT"/>
        </w:rPr>
        <w:t xml:space="preserve"> </w:t>
      </w:r>
      <w:proofErr w:type="spellStart"/>
      <w:r w:rsidRPr="003A1539">
        <w:rPr>
          <w:rFonts w:ascii="Goudy Old Style" w:eastAsia="Times New Roman" w:hAnsi="Goudy Old Style" w:cs="Times New Roman"/>
          <w:i/>
          <w:sz w:val="21"/>
          <w:szCs w:val="21"/>
          <w:lang w:eastAsia="it-IT"/>
        </w:rPr>
        <w:t>Democracy</w:t>
      </w:r>
      <w:proofErr w:type="spellEnd"/>
      <w:r w:rsidRPr="003A1539">
        <w:rPr>
          <w:rFonts w:ascii="Goudy Old Style" w:eastAsia="Times New Roman" w:hAnsi="Goudy Old Style" w:cs="Times New Roman"/>
          <w:i/>
          <w:sz w:val="21"/>
          <w:szCs w:val="21"/>
          <w:lang w:eastAsia="it-IT"/>
        </w:rPr>
        <w:t xml:space="preserve"> Action Plan</w:t>
      </w:r>
      <w:r>
        <w:rPr>
          <w:rFonts w:ascii="Goudy Old Style" w:eastAsia="Times New Roman" w:hAnsi="Goudy Old Style" w:cs="Times New Roman"/>
          <w:sz w:val="21"/>
          <w:szCs w:val="21"/>
          <w:lang w:eastAsia="it-IT"/>
        </w:rPr>
        <w:t>,</w:t>
      </w:r>
      <w:r w:rsidRPr="003A1539">
        <w:rPr>
          <w:rFonts w:ascii="Goudy Old Style" w:eastAsia="Times New Roman" w:hAnsi="Goudy Old Style" w:cs="Times New Roman"/>
          <w:sz w:val="21"/>
          <w:szCs w:val="21"/>
          <w:lang w:eastAsia="it-IT"/>
        </w:rPr>
        <w:t xml:space="preserve"> che ha fissato priorità nel programma 2019-2024 per la promozione della partecipazione democratica e la tutela della integrità delle elezioni;</w:t>
      </w:r>
    </w:p>
    <w:p w:rsidR="003A1539" w:rsidRPr="003A1539" w:rsidRDefault="003A1539" w:rsidP="00367229">
      <w:pPr>
        <w:numPr>
          <w:ilvl w:val="0"/>
          <w:numId w:val="3"/>
        </w:numPr>
        <w:spacing w:after="0" w:line="240" w:lineRule="auto"/>
        <w:ind w:left="426"/>
        <w:jc w:val="both"/>
        <w:rPr>
          <w:rFonts w:ascii="Goudy Old Style" w:eastAsia="Times New Roman" w:hAnsi="Goudy Old Style" w:cs="Times New Roman"/>
          <w:sz w:val="21"/>
          <w:szCs w:val="21"/>
          <w:lang w:eastAsia="it-IT"/>
        </w:rPr>
      </w:pPr>
      <w:proofErr w:type="gramStart"/>
      <w:r w:rsidRPr="003A1539">
        <w:rPr>
          <w:rFonts w:ascii="Goudy Old Style" w:eastAsia="Times New Roman" w:hAnsi="Goudy Old Style" w:cs="Times New Roman"/>
          <w:sz w:val="21"/>
          <w:szCs w:val="21"/>
          <w:lang w:eastAsia="it-IT"/>
        </w:rPr>
        <w:t>il</w:t>
      </w:r>
      <w:proofErr w:type="gramEnd"/>
      <w:r w:rsidRPr="003A1539">
        <w:rPr>
          <w:rFonts w:ascii="Goudy Old Style" w:eastAsia="Times New Roman" w:hAnsi="Goudy Old Style" w:cs="Times New Roman"/>
          <w:sz w:val="21"/>
          <w:szCs w:val="21"/>
          <w:lang w:eastAsia="it-IT"/>
        </w:rPr>
        <w:t xml:space="preserve"> </w:t>
      </w:r>
      <w:r w:rsidRPr="003A1539">
        <w:rPr>
          <w:rFonts w:ascii="Goudy Old Style" w:eastAsia="Times New Roman" w:hAnsi="Goudy Old Style" w:cs="Times New Roman"/>
          <w:i/>
          <w:sz w:val="21"/>
          <w:szCs w:val="21"/>
          <w:lang w:eastAsia="it-IT"/>
        </w:rPr>
        <w:t>Media Action Plan</w:t>
      </w:r>
      <w:r w:rsidRPr="003A1539">
        <w:rPr>
          <w:rFonts w:ascii="Goudy Old Style" w:eastAsia="Times New Roman" w:hAnsi="Goudy Old Style" w:cs="Times New Roman"/>
          <w:sz w:val="21"/>
          <w:szCs w:val="21"/>
          <w:lang w:eastAsia="it-IT"/>
        </w:rPr>
        <w:t>, concepito per sostenere la ripresa e la trasformazione del settore dei media e dell'audiovisivo tenuto anche conto della congiuntura determinata dalla situazione emergenziale;</w:t>
      </w:r>
    </w:p>
    <w:p w:rsidR="003A1539" w:rsidRPr="003A1539" w:rsidRDefault="003A1539" w:rsidP="00367229">
      <w:pPr>
        <w:numPr>
          <w:ilvl w:val="0"/>
          <w:numId w:val="3"/>
        </w:numPr>
        <w:spacing w:after="0" w:line="240" w:lineRule="auto"/>
        <w:ind w:left="426"/>
        <w:jc w:val="both"/>
        <w:rPr>
          <w:rFonts w:ascii="Goudy Old Style" w:eastAsia="Times New Roman" w:hAnsi="Goudy Old Style" w:cs="Times New Roman"/>
          <w:sz w:val="21"/>
          <w:szCs w:val="21"/>
          <w:lang w:eastAsia="it-IT"/>
        </w:rPr>
      </w:pPr>
      <w:proofErr w:type="gramStart"/>
      <w:r w:rsidRPr="003A1539">
        <w:rPr>
          <w:rFonts w:ascii="Goudy Old Style" w:eastAsia="Times New Roman" w:hAnsi="Goudy Old Style" w:cs="Times New Roman"/>
          <w:sz w:val="21"/>
          <w:szCs w:val="21"/>
          <w:lang w:eastAsia="it-IT"/>
        </w:rPr>
        <w:t>il</w:t>
      </w:r>
      <w:proofErr w:type="gramEnd"/>
      <w:r w:rsidRPr="003A1539">
        <w:rPr>
          <w:rFonts w:ascii="Goudy Old Style" w:eastAsia="Times New Roman" w:hAnsi="Goudy Old Style" w:cs="Times New Roman"/>
          <w:sz w:val="21"/>
          <w:szCs w:val="21"/>
          <w:lang w:eastAsia="it-IT"/>
        </w:rPr>
        <w:t xml:space="preserve"> </w:t>
      </w:r>
      <w:r w:rsidRPr="003A1539">
        <w:rPr>
          <w:rFonts w:ascii="Goudy Old Style" w:eastAsia="Times New Roman" w:hAnsi="Goudy Old Style" w:cs="Times New Roman"/>
          <w:i/>
          <w:sz w:val="21"/>
          <w:szCs w:val="21"/>
          <w:lang w:eastAsia="it-IT"/>
        </w:rPr>
        <w:t xml:space="preserve">Media </w:t>
      </w:r>
      <w:proofErr w:type="spellStart"/>
      <w:r w:rsidRPr="003A1539">
        <w:rPr>
          <w:rFonts w:ascii="Goudy Old Style" w:eastAsia="Times New Roman" w:hAnsi="Goudy Old Style" w:cs="Times New Roman"/>
          <w:i/>
          <w:sz w:val="21"/>
          <w:szCs w:val="21"/>
          <w:lang w:eastAsia="it-IT"/>
        </w:rPr>
        <w:t>Freedom</w:t>
      </w:r>
      <w:proofErr w:type="spellEnd"/>
      <w:r w:rsidRPr="003A1539">
        <w:rPr>
          <w:rFonts w:ascii="Goudy Old Style" w:eastAsia="Times New Roman" w:hAnsi="Goudy Old Style" w:cs="Times New Roman"/>
          <w:i/>
          <w:sz w:val="21"/>
          <w:szCs w:val="21"/>
          <w:lang w:eastAsia="it-IT"/>
        </w:rPr>
        <w:t xml:space="preserve"> </w:t>
      </w:r>
      <w:proofErr w:type="spellStart"/>
      <w:r w:rsidRPr="003A1539">
        <w:rPr>
          <w:rFonts w:ascii="Goudy Old Style" w:eastAsia="Times New Roman" w:hAnsi="Goudy Old Style" w:cs="Times New Roman"/>
          <w:i/>
          <w:sz w:val="21"/>
          <w:szCs w:val="21"/>
          <w:lang w:eastAsia="it-IT"/>
        </w:rPr>
        <w:t>Act</w:t>
      </w:r>
      <w:proofErr w:type="spellEnd"/>
      <w:r w:rsidRPr="003A1539">
        <w:rPr>
          <w:rFonts w:ascii="Goudy Old Style" w:eastAsia="Times New Roman" w:hAnsi="Goudy Old Style" w:cs="Times New Roman"/>
          <w:sz w:val="21"/>
          <w:szCs w:val="21"/>
          <w:lang w:eastAsia="it-IT"/>
        </w:rPr>
        <w:t>, previsto per il 2022 e che sarà specificamente incentrato sull’obiettivo di contrastare l'interferenza politica nei media attraverso anche, secondo quanto di recente trapelato, una revisione della direttiva SMAV ed il sostegno finanziario dei media indipendenti esistenti .</w:t>
      </w:r>
    </w:p>
    <w:p w:rsidR="003A1539" w:rsidRDefault="003A1539" w:rsidP="003A1539">
      <w:pPr>
        <w:spacing w:after="0" w:line="240" w:lineRule="auto"/>
        <w:jc w:val="both"/>
        <w:rPr>
          <w:rFonts w:ascii="Goudy Old Style" w:eastAsia="Times New Roman" w:hAnsi="Goudy Old Style" w:cs="Times New Roman"/>
          <w:sz w:val="21"/>
          <w:szCs w:val="21"/>
          <w:lang w:eastAsia="it-IT"/>
        </w:rPr>
      </w:pPr>
      <w:r w:rsidRPr="003A1539">
        <w:rPr>
          <w:rFonts w:ascii="Goudy Old Style" w:eastAsia="Times New Roman" w:hAnsi="Goudy Old Style" w:cs="Times New Roman"/>
          <w:sz w:val="21"/>
          <w:szCs w:val="21"/>
          <w:lang w:eastAsia="it-IT"/>
        </w:rPr>
        <w:t>I definitivi contenuti e soprattutto gli effetti di queste inizi</w:t>
      </w:r>
      <w:r w:rsidR="0093348A">
        <w:rPr>
          <w:rFonts w:ascii="Goudy Old Style" w:eastAsia="Times New Roman" w:hAnsi="Goudy Old Style" w:cs="Times New Roman"/>
          <w:sz w:val="21"/>
          <w:szCs w:val="21"/>
          <w:lang w:eastAsia="it-IT"/>
        </w:rPr>
        <w:t>ative dovranno essere verificati</w:t>
      </w:r>
      <w:r w:rsidRPr="003A1539">
        <w:rPr>
          <w:rFonts w:ascii="Goudy Old Style" w:eastAsia="Times New Roman" w:hAnsi="Goudy Old Style" w:cs="Times New Roman"/>
          <w:sz w:val="21"/>
          <w:szCs w:val="21"/>
          <w:lang w:eastAsia="it-IT"/>
        </w:rPr>
        <w:t xml:space="preserve"> nel tempo a venire ma certamente dimostrano una convita volontà di intervento a garanzia dei diritti fondamentali riconosciuti a livello </w:t>
      </w:r>
      <w:proofErr w:type="spellStart"/>
      <w:r w:rsidRPr="003A1539">
        <w:rPr>
          <w:rFonts w:ascii="Goudy Old Style" w:eastAsia="Times New Roman" w:hAnsi="Goudy Old Style" w:cs="Times New Roman"/>
          <w:sz w:val="21"/>
          <w:szCs w:val="21"/>
          <w:lang w:eastAsia="it-IT"/>
        </w:rPr>
        <w:t>unionale</w:t>
      </w:r>
      <w:proofErr w:type="spellEnd"/>
      <w:r w:rsidR="00367229">
        <w:rPr>
          <w:rFonts w:ascii="Goudy Old Style" w:eastAsia="Times New Roman" w:hAnsi="Goudy Old Style" w:cs="Times New Roman"/>
          <w:sz w:val="21"/>
          <w:szCs w:val="21"/>
          <w:lang w:eastAsia="it-IT"/>
        </w:rPr>
        <w:t>.</w:t>
      </w:r>
    </w:p>
    <w:p w:rsidR="00367229" w:rsidRDefault="00367229" w:rsidP="00367229">
      <w:pPr>
        <w:spacing w:after="0" w:line="240" w:lineRule="auto"/>
        <w:jc w:val="both"/>
        <w:rPr>
          <w:rFonts w:ascii="Goudy Old Style" w:eastAsia="Times New Roman" w:hAnsi="Goudy Old Style" w:cs="Times New Roman"/>
          <w:sz w:val="21"/>
          <w:szCs w:val="21"/>
          <w:lang w:eastAsia="it-IT"/>
        </w:rPr>
      </w:pPr>
      <w:r w:rsidRPr="00367229">
        <w:rPr>
          <w:rFonts w:ascii="Goudy Old Style" w:eastAsia="Times New Roman" w:hAnsi="Goudy Old Style" w:cs="Times New Roman"/>
          <w:sz w:val="21"/>
          <w:szCs w:val="21"/>
          <w:lang w:eastAsia="it-IT"/>
        </w:rPr>
        <w:t>Come si è avuto modo di evidenziare</w:t>
      </w:r>
      <w:r>
        <w:rPr>
          <w:rFonts w:ascii="Goudy Old Style" w:eastAsia="Times New Roman" w:hAnsi="Goudy Old Style" w:cs="Times New Roman"/>
          <w:sz w:val="21"/>
          <w:szCs w:val="21"/>
          <w:lang w:eastAsia="it-IT"/>
        </w:rPr>
        <w:t>,</w:t>
      </w:r>
      <w:r w:rsidRPr="00367229">
        <w:rPr>
          <w:rFonts w:ascii="Goudy Old Style" w:eastAsia="Times New Roman" w:hAnsi="Goudy Old Style" w:cs="Times New Roman"/>
          <w:sz w:val="21"/>
          <w:szCs w:val="21"/>
          <w:lang w:eastAsia="it-IT"/>
        </w:rPr>
        <w:t xml:space="preserve"> i rischi maggiori per un fisiologico esplicarsi della dialettica rappresentativa nella sua fase genetica (elezioni) promanano dalle fonti algoritmiche che utilizzano sistemi di intelligenza artificiale redendo ineludibile il problema delle garanzie di trasparenza nel funzionamento dell’algoritmo</w:t>
      </w:r>
      <w:r>
        <w:rPr>
          <w:rFonts w:ascii="Goudy Old Style" w:eastAsia="Times New Roman" w:hAnsi="Goudy Old Style" w:cs="Times New Roman"/>
          <w:sz w:val="21"/>
          <w:szCs w:val="21"/>
          <w:lang w:eastAsia="it-IT"/>
        </w:rPr>
        <w:t>.</w:t>
      </w:r>
    </w:p>
    <w:p w:rsidR="00367229" w:rsidRDefault="00367229" w:rsidP="00367229">
      <w:pPr>
        <w:spacing w:after="0" w:line="240" w:lineRule="auto"/>
        <w:jc w:val="both"/>
        <w:rPr>
          <w:rFonts w:ascii="Goudy Old Style" w:eastAsia="Times New Roman" w:hAnsi="Goudy Old Style" w:cs="Times New Roman"/>
          <w:sz w:val="21"/>
          <w:szCs w:val="21"/>
          <w:lang w:eastAsia="it-IT"/>
        </w:rPr>
      </w:pPr>
      <w:r>
        <w:rPr>
          <w:rFonts w:ascii="Goudy Old Style" w:eastAsia="Times New Roman" w:hAnsi="Goudy Old Style" w:cs="Times New Roman"/>
          <w:sz w:val="21"/>
          <w:szCs w:val="21"/>
          <w:lang w:eastAsia="it-IT"/>
        </w:rPr>
        <w:t>Si tratta di questione</w:t>
      </w:r>
      <w:r w:rsidRPr="00367229">
        <w:rPr>
          <w:rFonts w:ascii="Goudy Old Style" w:eastAsia="Times New Roman" w:hAnsi="Goudy Old Style" w:cs="Times New Roman"/>
          <w:sz w:val="21"/>
          <w:szCs w:val="21"/>
          <w:lang w:eastAsia="it-IT"/>
        </w:rPr>
        <w:t xml:space="preserve"> che non è, però, di agevole soluzione, sia per ragioni tecniche sia per il difficile contemperamento tra le esigenze di conoscenza e la tutela delle privative di operatori internazionali che costantemente investono ingenti risorse in ricerca e sviluppo.</w:t>
      </w:r>
    </w:p>
    <w:p w:rsidR="00367229" w:rsidRDefault="00367229" w:rsidP="00367229">
      <w:pPr>
        <w:spacing w:after="0" w:line="240" w:lineRule="auto"/>
        <w:jc w:val="both"/>
        <w:rPr>
          <w:rFonts w:ascii="Goudy Old Style" w:eastAsia="Times New Roman" w:hAnsi="Goudy Old Style" w:cs="Times New Roman"/>
          <w:sz w:val="21"/>
          <w:szCs w:val="21"/>
          <w:lang w:eastAsia="it-IT"/>
        </w:rPr>
      </w:pPr>
      <w:r w:rsidRPr="00367229">
        <w:rPr>
          <w:rFonts w:ascii="Goudy Old Style" w:eastAsia="Times New Roman" w:hAnsi="Goudy Old Style" w:cs="Times New Roman"/>
          <w:sz w:val="21"/>
          <w:szCs w:val="21"/>
          <w:lang w:eastAsia="it-IT"/>
        </w:rPr>
        <w:t xml:space="preserve">Sotto il profilo tecnico in relazione a questa categoria di algoritmi è proprio la logica ad essere difficilmente decifrabile. La </w:t>
      </w:r>
      <w:proofErr w:type="spellStart"/>
      <w:r w:rsidRPr="00367229">
        <w:rPr>
          <w:rFonts w:ascii="Goudy Old Style" w:eastAsia="Times New Roman" w:hAnsi="Goudy Old Style" w:cs="Times New Roman"/>
          <w:i/>
          <w:sz w:val="21"/>
          <w:szCs w:val="21"/>
          <w:lang w:eastAsia="it-IT"/>
        </w:rPr>
        <w:t>black</w:t>
      </w:r>
      <w:proofErr w:type="spellEnd"/>
      <w:r w:rsidRPr="00367229">
        <w:rPr>
          <w:rFonts w:ascii="Goudy Old Style" w:eastAsia="Times New Roman" w:hAnsi="Goudy Old Style" w:cs="Times New Roman"/>
          <w:i/>
          <w:sz w:val="21"/>
          <w:szCs w:val="21"/>
          <w:lang w:eastAsia="it-IT"/>
        </w:rPr>
        <w:t xml:space="preserve"> box</w:t>
      </w:r>
      <w:r w:rsidRPr="00367229">
        <w:rPr>
          <w:rFonts w:ascii="Goudy Old Style" w:eastAsia="Times New Roman" w:hAnsi="Goudy Old Style" w:cs="Times New Roman"/>
          <w:sz w:val="21"/>
          <w:szCs w:val="21"/>
          <w:lang w:eastAsia="it-IT"/>
        </w:rPr>
        <w:t xml:space="preserve"> è indecifrabile per natura in quanto frutto di diverse variabili che orientano e condizionano la capacità di autoapprendimento della macchina.</w:t>
      </w:r>
    </w:p>
    <w:p w:rsidR="00367229" w:rsidRPr="00367229" w:rsidRDefault="00367229" w:rsidP="00367229">
      <w:pPr>
        <w:spacing w:after="0" w:line="240" w:lineRule="auto"/>
        <w:jc w:val="both"/>
        <w:rPr>
          <w:rFonts w:ascii="Goudy Old Style" w:eastAsia="Times New Roman" w:hAnsi="Goudy Old Style" w:cs="Times New Roman"/>
          <w:sz w:val="21"/>
          <w:szCs w:val="21"/>
          <w:lang w:eastAsia="it-IT"/>
        </w:rPr>
      </w:pPr>
      <w:r w:rsidRPr="00367229">
        <w:rPr>
          <w:rFonts w:ascii="Goudy Old Style" w:eastAsia="Times New Roman" w:hAnsi="Goudy Old Style" w:cs="Times New Roman"/>
          <w:sz w:val="21"/>
          <w:szCs w:val="21"/>
          <w:lang w:eastAsia="it-IT"/>
        </w:rPr>
        <w:t>Inoltre, non sempre è possibile rinvenire una garanzia adeguata nel principio di non esclusività, giacché l’intervento umano di segno contrario non è praticabile in ogni caso e con la necessaria tempestività.</w:t>
      </w:r>
    </w:p>
    <w:p w:rsidR="00367229" w:rsidRDefault="00367229" w:rsidP="00367229">
      <w:pPr>
        <w:spacing w:after="0" w:line="240" w:lineRule="auto"/>
        <w:jc w:val="both"/>
        <w:rPr>
          <w:rFonts w:ascii="Goudy Old Style" w:eastAsia="Times New Roman" w:hAnsi="Goudy Old Style" w:cs="Times New Roman"/>
          <w:sz w:val="21"/>
          <w:szCs w:val="21"/>
          <w:lang w:eastAsia="it-IT"/>
        </w:rPr>
      </w:pPr>
      <w:r w:rsidRPr="00367229">
        <w:rPr>
          <w:rFonts w:ascii="Goudy Old Style" w:eastAsia="Times New Roman" w:hAnsi="Goudy Old Style" w:cs="Times New Roman"/>
          <w:sz w:val="21"/>
          <w:szCs w:val="21"/>
          <w:lang w:eastAsia="it-IT"/>
        </w:rPr>
        <w:t xml:space="preserve">Tra le iniziative </w:t>
      </w:r>
      <w:r w:rsidRPr="00367229">
        <w:rPr>
          <w:rFonts w:ascii="Goudy Old Style" w:eastAsia="Times New Roman" w:hAnsi="Goudy Old Style" w:cs="Times New Roman"/>
          <w:i/>
          <w:sz w:val="21"/>
          <w:szCs w:val="21"/>
          <w:lang w:eastAsia="it-IT"/>
        </w:rPr>
        <w:t>de iure condendo</w:t>
      </w:r>
      <w:r w:rsidRPr="00367229">
        <w:rPr>
          <w:rFonts w:ascii="Goudy Old Style" w:eastAsia="Times New Roman" w:hAnsi="Goudy Old Style" w:cs="Times New Roman"/>
          <w:sz w:val="21"/>
          <w:szCs w:val="21"/>
          <w:lang w:eastAsia="it-IT"/>
        </w:rPr>
        <w:t xml:space="preserve"> va, dunque, fatta menzione anche alla presentazione da parte della Commissione europea il 21 aprile 2021</w:t>
      </w:r>
      <w:r>
        <w:rPr>
          <w:rStyle w:val="Rimandonotaapidipagina"/>
          <w:rFonts w:ascii="Goudy Old Style" w:eastAsia="Times New Roman" w:hAnsi="Goudy Old Style" w:cs="Times New Roman"/>
          <w:sz w:val="21"/>
          <w:szCs w:val="21"/>
          <w:lang w:eastAsia="it-IT"/>
        </w:rPr>
        <w:footnoteReference w:id="17"/>
      </w:r>
      <w:r w:rsidRPr="00367229">
        <w:rPr>
          <w:rFonts w:ascii="Goudy Old Style" w:eastAsia="Times New Roman" w:hAnsi="Goudy Old Style" w:cs="Times New Roman"/>
          <w:sz w:val="21"/>
          <w:szCs w:val="21"/>
          <w:lang w:eastAsia="it-IT"/>
        </w:rPr>
        <w:t xml:space="preserve"> della proposta di regolamento </w:t>
      </w:r>
      <w:r>
        <w:rPr>
          <w:rFonts w:ascii="Goudy Old Style" w:eastAsia="Times New Roman" w:hAnsi="Goudy Old Style" w:cs="Times New Roman"/>
          <w:sz w:val="21"/>
          <w:szCs w:val="21"/>
          <w:lang w:eastAsia="it-IT"/>
        </w:rPr>
        <w:t>per la definizione di</w:t>
      </w:r>
      <w:r w:rsidRPr="00367229">
        <w:rPr>
          <w:rFonts w:ascii="Goudy Old Style" w:eastAsia="Times New Roman" w:hAnsi="Goudy Old Style" w:cs="Times New Roman"/>
          <w:sz w:val="21"/>
          <w:szCs w:val="21"/>
          <w:lang w:eastAsia="it-IT"/>
        </w:rPr>
        <w:t xml:space="preserve"> norme armonizzate in materia di intelligenza artificiale</w:t>
      </w:r>
      <w:r>
        <w:rPr>
          <w:rFonts w:ascii="Goudy Old Style" w:eastAsia="Times New Roman" w:hAnsi="Goudy Old Style" w:cs="Times New Roman"/>
          <w:sz w:val="21"/>
          <w:szCs w:val="21"/>
          <w:lang w:eastAsia="it-IT"/>
        </w:rPr>
        <w:t>,</w:t>
      </w:r>
      <w:r w:rsidRPr="00367229">
        <w:rPr>
          <w:rFonts w:ascii="Goudy Old Style" w:eastAsia="Times New Roman" w:hAnsi="Goudy Old Style" w:cs="Times New Roman"/>
          <w:sz w:val="21"/>
          <w:szCs w:val="21"/>
          <w:lang w:eastAsia="it-IT"/>
        </w:rPr>
        <w:t xml:space="preserve"> che assume ad oggetto proprio le delicate tematiche sopra prospettate (ambito</w:t>
      </w:r>
      <w:r w:rsidR="0093348A">
        <w:rPr>
          <w:rFonts w:ascii="Goudy Old Style" w:eastAsia="Times New Roman" w:hAnsi="Goudy Old Style" w:cs="Times New Roman"/>
          <w:sz w:val="21"/>
          <w:szCs w:val="21"/>
          <w:lang w:eastAsia="it-IT"/>
        </w:rPr>
        <w:t>,</w:t>
      </w:r>
      <w:r w:rsidRPr="00367229">
        <w:rPr>
          <w:rFonts w:ascii="Goudy Old Style" w:eastAsia="Times New Roman" w:hAnsi="Goudy Old Style" w:cs="Times New Roman"/>
          <w:sz w:val="21"/>
          <w:szCs w:val="21"/>
          <w:lang w:eastAsia="it-IT"/>
        </w:rPr>
        <w:t xml:space="preserve"> questo</w:t>
      </w:r>
      <w:r w:rsidR="0093348A">
        <w:rPr>
          <w:rFonts w:ascii="Goudy Old Style" w:eastAsia="Times New Roman" w:hAnsi="Goudy Old Style" w:cs="Times New Roman"/>
          <w:sz w:val="21"/>
          <w:szCs w:val="21"/>
          <w:lang w:eastAsia="it-IT"/>
        </w:rPr>
        <w:t>,</w:t>
      </w:r>
      <w:r w:rsidRPr="00367229">
        <w:rPr>
          <w:rFonts w:ascii="Goudy Old Style" w:eastAsia="Times New Roman" w:hAnsi="Goudy Old Style" w:cs="Times New Roman"/>
          <w:sz w:val="21"/>
          <w:szCs w:val="21"/>
          <w:lang w:eastAsia="it-IT"/>
        </w:rPr>
        <w:t xml:space="preserve"> con riferimento al quale lo scorso 26 novembre è stato approvato dal Consiglio dei Ministri italiano il Programma strategico Intelligenza Artificiale 2022-2024</w:t>
      </w:r>
      <w:r w:rsidR="00511178">
        <w:rPr>
          <w:rStyle w:val="Rimandonotaapidipagina"/>
          <w:rFonts w:ascii="Goudy Old Style" w:eastAsia="Times New Roman" w:hAnsi="Goudy Old Style" w:cs="Times New Roman"/>
          <w:sz w:val="21"/>
          <w:szCs w:val="21"/>
          <w:lang w:eastAsia="it-IT"/>
        </w:rPr>
        <w:footnoteReference w:id="18"/>
      </w:r>
      <w:r w:rsidRPr="00367229">
        <w:rPr>
          <w:rFonts w:ascii="Goudy Old Style" w:eastAsia="Times New Roman" w:hAnsi="Goudy Old Style" w:cs="Times New Roman"/>
          <w:sz w:val="21"/>
          <w:szCs w:val="21"/>
          <w:lang w:eastAsia="it-IT"/>
        </w:rPr>
        <w:t>).</w:t>
      </w:r>
    </w:p>
    <w:p w:rsidR="00367229" w:rsidRPr="00BE346A" w:rsidRDefault="00367229" w:rsidP="00367229">
      <w:pPr>
        <w:spacing w:after="0" w:line="240" w:lineRule="auto"/>
        <w:jc w:val="both"/>
        <w:rPr>
          <w:rFonts w:ascii="Goudy Old Style" w:eastAsia="Times New Roman" w:hAnsi="Goudy Old Style" w:cs="Times New Roman"/>
          <w:sz w:val="21"/>
          <w:szCs w:val="21"/>
          <w:lang w:eastAsia="it-IT"/>
        </w:rPr>
      </w:pPr>
      <w:r w:rsidRPr="00367229">
        <w:rPr>
          <w:rFonts w:ascii="Goudy Old Style" w:eastAsia="Times New Roman" w:hAnsi="Goudy Old Style" w:cs="Times New Roman"/>
          <w:sz w:val="21"/>
          <w:szCs w:val="21"/>
          <w:lang w:eastAsia="it-IT"/>
        </w:rPr>
        <w:t>La proposta di regolamento in argomento si basa sulla classificazione dei prodotti che utilizzano completamente o parzialmente il software AI in base al rischio di impatto negativo su diritti fondamentali (quali la dignità umana, la libertà, l’uguaglianza, la democrazia, il diritto alla non discriminazione, la protezione dei dati ed, in particolare, la salute e la sicurezza), stabilendo</w:t>
      </w:r>
      <w:r>
        <w:rPr>
          <w:rFonts w:ascii="Goudy Old Style" w:eastAsia="Times New Roman" w:hAnsi="Goudy Old Style" w:cs="Times New Roman"/>
          <w:sz w:val="21"/>
          <w:szCs w:val="21"/>
          <w:lang w:eastAsia="it-IT"/>
        </w:rPr>
        <w:t>,</w:t>
      </w:r>
      <w:r w:rsidRPr="00367229">
        <w:rPr>
          <w:rFonts w:ascii="Goudy Old Style" w:eastAsia="Times New Roman" w:hAnsi="Goudy Old Style" w:cs="Times New Roman"/>
          <w:sz w:val="21"/>
          <w:szCs w:val="21"/>
          <w:lang w:eastAsia="it-IT"/>
        </w:rPr>
        <w:t xml:space="preserve"> a seconda del gradiente di rischio</w:t>
      </w:r>
      <w:r>
        <w:rPr>
          <w:rFonts w:ascii="Goudy Old Style" w:eastAsia="Times New Roman" w:hAnsi="Goudy Old Style" w:cs="Times New Roman"/>
          <w:sz w:val="21"/>
          <w:szCs w:val="21"/>
          <w:lang w:eastAsia="it-IT"/>
        </w:rPr>
        <w:t>,</w:t>
      </w:r>
      <w:r w:rsidRPr="00367229">
        <w:rPr>
          <w:rFonts w:ascii="Goudy Old Style" w:eastAsia="Times New Roman" w:hAnsi="Goudy Old Style" w:cs="Times New Roman"/>
          <w:sz w:val="21"/>
          <w:szCs w:val="21"/>
          <w:lang w:eastAsia="it-IT"/>
        </w:rPr>
        <w:t xml:space="preserve"> misure graduali per eliminare o mitigare l'impatto negativo sui diritti fondamentali, incluso il divieto per quei prodotti che sono completamente incompatibili con questi diritt</w:t>
      </w:r>
      <w:r>
        <w:rPr>
          <w:rFonts w:ascii="Goudy Old Style" w:eastAsia="Times New Roman" w:hAnsi="Goudy Old Style" w:cs="Times New Roman"/>
          <w:sz w:val="21"/>
          <w:szCs w:val="21"/>
          <w:lang w:eastAsia="it-IT"/>
        </w:rPr>
        <w:t>i.</w:t>
      </w:r>
    </w:p>
    <w:p w:rsidR="00226233" w:rsidRDefault="00226233" w:rsidP="00D47D5E">
      <w:pPr>
        <w:spacing w:after="0" w:line="240" w:lineRule="auto"/>
        <w:jc w:val="both"/>
        <w:rPr>
          <w:rFonts w:ascii="Goudy Old Style" w:eastAsia="Times New Roman" w:hAnsi="Goudy Old Style" w:cs="Times New Roman"/>
          <w:sz w:val="21"/>
          <w:szCs w:val="21"/>
          <w:lang w:eastAsia="it-IT"/>
        </w:rPr>
      </w:pPr>
    </w:p>
    <w:p w:rsidR="00511178" w:rsidRPr="00511178" w:rsidRDefault="00511178" w:rsidP="00D47D5E">
      <w:pPr>
        <w:pStyle w:val="Paragrafoelenco"/>
        <w:numPr>
          <w:ilvl w:val="0"/>
          <w:numId w:val="1"/>
        </w:numPr>
        <w:spacing w:after="0" w:line="240" w:lineRule="auto"/>
        <w:ind w:left="284" w:hanging="284"/>
        <w:jc w:val="both"/>
        <w:rPr>
          <w:rFonts w:ascii="Goudy Old Style" w:hAnsi="Goudy Old Style" w:cs="Times New Roman"/>
          <w:b/>
          <w:sz w:val="23"/>
          <w:szCs w:val="23"/>
        </w:rPr>
      </w:pPr>
      <w:r>
        <w:rPr>
          <w:rFonts w:ascii="Goudy Old Style" w:hAnsi="Goudy Old Style" w:cs="Times New Roman"/>
          <w:b/>
          <w:sz w:val="23"/>
          <w:szCs w:val="23"/>
        </w:rPr>
        <w:t>Necessità di una revisione della normativa elettorale</w:t>
      </w:r>
      <w:r w:rsidR="004909C0">
        <w:rPr>
          <w:rFonts w:ascii="Goudy Old Style" w:hAnsi="Goudy Old Style" w:cs="Times New Roman"/>
          <w:b/>
          <w:sz w:val="23"/>
          <w:szCs w:val="23"/>
        </w:rPr>
        <w:t xml:space="preserve"> italiana</w:t>
      </w:r>
    </w:p>
    <w:p w:rsidR="00511178" w:rsidRPr="00511178" w:rsidRDefault="00511178" w:rsidP="00511178">
      <w:pPr>
        <w:spacing w:after="0" w:line="240" w:lineRule="auto"/>
        <w:jc w:val="both"/>
        <w:rPr>
          <w:rFonts w:ascii="Goudy Old Style" w:hAnsi="Goudy Old Style" w:cs="Times New Roman"/>
          <w:sz w:val="21"/>
          <w:szCs w:val="21"/>
        </w:rPr>
      </w:pPr>
      <w:r w:rsidRPr="00511178">
        <w:rPr>
          <w:rFonts w:ascii="Goudy Old Style" w:hAnsi="Goudy Old Style" w:cs="Times New Roman"/>
          <w:sz w:val="21"/>
          <w:szCs w:val="21"/>
        </w:rPr>
        <w:t xml:space="preserve">In attesa che le iniziative europee vengano portate a compimento su due aspetti </w:t>
      </w:r>
      <w:r>
        <w:rPr>
          <w:rFonts w:ascii="Goudy Old Style" w:hAnsi="Goudy Old Style" w:cs="Times New Roman"/>
          <w:sz w:val="21"/>
          <w:szCs w:val="21"/>
        </w:rPr>
        <w:t>è utile</w:t>
      </w:r>
      <w:r w:rsidRPr="00511178">
        <w:rPr>
          <w:rFonts w:ascii="Goudy Old Style" w:hAnsi="Goudy Old Style" w:cs="Times New Roman"/>
          <w:sz w:val="21"/>
          <w:szCs w:val="21"/>
        </w:rPr>
        <w:t xml:space="preserve"> soffermarsi.</w:t>
      </w:r>
    </w:p>
    <w:p w:rsidR="00511178" w:rsidRPr="00511178" w:rsidRDefault="00511178" w:rsidP="00511178">
      <w:pPr>
        <w:spacing w:after="0" w:line="240" w:lineRule="auto"/>
        <w:jc w:val="both"/>
        <w:rPr>
          <w:rFonts w:ascii="Goudy Old Style" w:hAnsi="Goudy Old Style" w:cs="Times New Roman"/>
          <w:sz w:val="21"/>
          <w:szCs w:val="21"/>
        </w:rPr>
      </w:pPr>
      <w:r w:rsidRPr="00511178">
        <w:rPr>
          <w:rFonts w:ascii="Goudy Old Style" w:hAnsi="Goudy Old Style" w:cs="Times New Roman"/>
          <w:sz w:val="21"/>
          <w:szCs w:val="21"/>
        </w:rPr>
        <w:t xml:space="preserve">Il primo attiene alla disciplina in materia di </w:t>
      </w:r>
      <w:r w:rsidRPr="00511178">
        <w:rPr>
          <w:rFonts w:ascii="Goudy Old Style" w:hAnsi="Goudy Old Style" w:cs="Times New Roman"/>
          <w:i/>
          <w:sz w:val="21"/>
          <w:szCs w:val="21"/>
        </w:rPr>
        <w:t>par condicio</w:t>
      </w:r>
      <w:r w:rsidRPr="00511178">
        <w:rPr>
          <w:rFonts w:ascii="Goudy Old Style" w:hAnsi="Goudy Old Style" w:cs="Times New Roman"/>
          <w:sz w:val="21"/>
          <w:szCs w:val="21"/>
        </w:rPr>
        <w:t>.</w:t>
      </w:r>
    </w:p>
    <w:p w:rsidR="00511178" w:rsidRPr="00511178" w:rsidRDefault="00511178" w:rsidP="00511178">
      <w:pPr>
        <w:spacing w:after="0" w:line="240" w:lineRule="auto"/>
        <w:jc w:val="both"/>
        <w:rPr>
          <w:rFonts w:ascii="Goudy Old Style" w:hAnsi="Goudy Old Style" w:cs="Times New Roman"/>
          <w:sz w:val="21"/>
          <w:szCs w:val="21"/>
        </w:rPr>
      </w:pPr>
      <w:r w:rsidRPr="00511178">
        <w:rPr>
          <w:rFonts w:ascii="Goudy Old Style" w:hAnsi="Goudy Old Style" w:cs="Times New Roman"/>
          <w:sz w:val="21"/>
          <w:szCs w:val="21"/>
        </w:rPr>
        <w:t xml:space="preserve">Pur in assenza di specifica disciplina in tema di </w:t>
      </w:r>
      <w:r w:rsidRPr="00511178">
        <w:rPr>
          <w:rFonts w:ascii="Goudy Old Style" w:hAnsi="Goudy Old Style" w:cs="Times New Roman"/>
          <w:i/>
          <w:sz w:val="21"/>
          <w:szCs w:val="21"/>
        </w:rPr>
        <w:t>par condicio</w:t>
      </w:r>
      <w:r w:rsidRPr="00511178">
        <w:rPr>
          <w:rFonts w:ascii="Goudy Old Style" w:hAnsi="Goudy Old Style" w:cs="Times New Roman"/>
          <w:sz w:val="21"/>
          <w:szCs w:val="21"/>
        </w:rPr>
        <w:t xml:space="preserve"> per le testate online</w:t>
      </w:r>
      <w:r>
        <w:rPr>
          <w:rFonts w:ascii="Goudy Old Style" w:hAnsi="Goudy Old Style" w:cs="Times New Roman"/>
          <w:sz w:val="21"/>
          <w:szCs w:val="21"/>
        </w:rPr>
        <w:t>, le stesse</w:t>
      </w:r>
      <w:r w:rsidRPr="00511178">
        <w:rPr>
          <w:rFonts w:ascii="Goudy Old Style" w:hAnsi="Goudy Old Style" w:cs="Times New Roman"/>
          <w:sz w:val="21"/>
          <w:szCs w:val="21"/>
        </w:rPr>
        <w:t xml:space="preserve"> sono state agevolmente equiparate a quelle cartacee.</w:t>
      </w:r>
    </w:p>
    <w:p w:rsidR="00511178" w:rsidRPr="00511178" w:rsidRDefault="00511178" w:rsidP="00511178">
      <w:pPr>
        <w:spacing w:after="0" w:line="240" w:lineRule="auto"/>
        <w:jc w:val="both"/>
        <w:rPr>
          <w:rFonts w:ascii="Goudy Old Style" w:hAnsi="Goudy Old Style" w:cs="Times New Roman"/>
          <w:sz w:val="21"/>
          <w:szCs w:val="21"/>
        </w:rPr>
      </w:pPr>
      <w:r w:rsidRPr="00511178">
        <w:rPr>
          <w:rFonts w:ascii="Goudy Old Style" w:hAnsi="Goudy Old Style" w:cs="Times New Roman"/>
          <w:sz w:val="21"/>
          <w:szCs w:val="21"/>
        </w:rPr>
        <w:t>Anche con riferimento alle nuove piattaforme televisive la ridefinizione delle previsioni del TUSMAR legittimano l’Autorità ad intervenire in via regolamentare per adeguare l’ambito applicativo della l. n. 28 del 2000 quanto alla parità di accesso nella fase preelettorale a tutte le forze politiche, ferma restando la distinzione,</w:t>
      </w:r>
      <w:r>
        <w:rPr>
          <w:rFonts w:ascii="Goudy Old Style" w:hAnsi="Goudy Old Style" w:cs="Times New Roman"/>
          <w:sz w:val="21"/>
          <w:szCs w:val="21"/>
        </w:rPr>
        <w:t xml:space="preserve"> </w:t>
      </w:r>
      <w:r w:rsidRPr="00511178">
        <w:rPr>
          <w:rFonts w:ascii="Goudy Old Style" w:hAnsi="Goudy Old Style" w:cs="Times New Roman"/>
          <w:sz w:val="21"/>
          <w:szCs w:val="21"/>
        </w:rPr>
        <w:t>durante il periodo ordinario</w:t>
      </w:r>
      <w:r>
        <w:rPr>
          <w:rFonts w:ascii="Goudy Old Style" w:hAnsi="Goudy Old Style" w:cs="Times New Roman"/>
          <w:sz w:val="21"/>
          <w:szCs w:val="21"/>
        </w:rPr>
        <w:t>,</w:t>
      </w:r>
      <w:r w:rsidRPr="00511178">
        <w:rPr>
          <w:rFonts w:ascii="Goudy Old Style" w:hAnsi="Goudy Old Style" w:cs="Times New Roman"/>
          <w:sz w:val="21"/>
          <w:szCs w:val="21"/>
        </w:rPr>
        <w:t xml:space="preserve"> evidenziata dalla giurisprudenza amministrativa</w:t>
      </w:r>
      <w:r>
        <w:rPr>
          <w:rStyle w:val="Rimandonotaapidipagina"/>
          <w:rFonts w:ascii="Goudy Old Style" w:hAnsi="Goudy Old Style" w:cs="Times New Roman"/>
          <w:sz w:val="21"/>
          <w:szCs w:val="21"/>
        </w:rPr>
        <w:footnoteReference w:id="19"/>
      </w:r>
      <w:r w:rsidRPr="00511178">
        <w:rPr>
          <w:rFonts w:ascii="Goudy Old Style" w:hAnsi="Goudy Old Style" w:cs="Times New Roman"/>
          <w:sz w:val="21"/>
          <w:szCs w:val="21"/>
        </w:rPr>
        <w:t>, tra “comunicazione politica” ed “informazione politica”, quest’ ultima caratterizzata da una correlazione ai temi d</w:t>
      </w:r>
      <w:r w:rsidR="00BC4291">
        <w:rPr>
          <w:rFonts w:ascii="Goudy Old Style" w:hAnsi="Goudy Old Style" w:cs="Times New Roman"/>
          <w:sz w:val="21"/>
          <w:szCs w:val="21"/>
        </w:rPr>
        <w:t>i attualità del cronaca e per la quale</w:t>
      </w:r>
      <w:r w:rsidRPr="00511178">
        <w:rPr>
          <w:rFonts w:ascii="Goudy Old Style" w:hAnsi="Goudy Old Style" w:cs="Times New Roman"/>
          <w:sz w:val="21"/>
          <w:szCs w:val="21"/>
        </w:rPr>
        <w:t xml:space="preserve"> il criterio dell’ “equilibrio delle presenze” deve essere apprezzato in senso qualitativo e non quantitativo, con analisi del tipo di programma, delle modalità di confezionamento dell’informazione, della condotta dei giornalisti, dell’apertura della trasmissione alla discussione dei diversi punti di vista, del carattere veritiero e completo delle informazioni fornite.</w:t>
      </w:r>
    </w:p>
    <w:p w:rsidR="00511178" w:rsidRPr="00511178" w:rsidRDefault="00511178" w:rsidP="00511178">
      <w:pPr>
        <w:spacing w:after="0" w:line="240" w:lineRule="auto"/>
        <w:jc w:val="both"/>
        <w:rPr>
          <w:rFonts w:ascii="Goudy Old Style" w:hAnsi="Goudy Old Style" w:cs="Times New Roman"/>
          <w:sz w:val="21"/>
          <w:szCs w:val="21"/>
        </w:rPr>
      </w:pPr>
      <w:r w:rsidRPr="00511178">
        <w:rPr>
          <w:rFonts w:ascii="Goudy Old Style" w:hAnsi="Goudy Old Style" w:cs="Times New Roman"/>
          <w:sz w:val="21"/>
          <w:szCs w:val="21"/>
        </w:rPr>
        <w:t>Più complesso è, invece, il rispetto dei principi sottesi alla l. n. 28 del 2000 con riferimento alle piattaforme digitali.</w:t>
      </w:r>
    </w:p>
    <w:p w:rsidR="00511178" w:rsidRPr="00511178" w:rsidRDefault="00511178" w:rsidP="00511178">
      <w:pPr>
        <w:spacing w:after="0" w:line="240" w:lineRule="auto"/>
        <w:jc w:val="both"/>
        <w:rPr>
          <w:rFonts w:ascii="Goudy Old Style" w:hAnsi="Goudy Old Style" w:cs="Times New Roman"/>
          <w:sz w:val="21"/>
          <w:szCs w:val="21"/>
        </w:rPr>
      </w:pPr>
      <w:r w:rsidRPr="00511178">
        <w:rPr>
          <w:rFonts w:ascii="Goudy Old Style" w:hAnsi="Goudy Old Style" w:cs="Times New Roman"/>
          <w:sz w:val="21"/>
          <w:szCs w:val="21"/>
        </w:rPr>
        <w:t xml:space="preserve">La maggior parte degli interventi dell’Autorità </w:t>
      </w:r>
      <w:r w:rsidR="00BC4291">
        <w:rPr>
          <w:rFonts w:ascii="Goudy Old Style" w:hAnsi="Goudy Old Style" w:cs="Times New Roman"/>
          <w:sz w:val="21"/>
          <w:szCs w:val="21"/>
        </w:rPr>
        <w:t xml:space="preserve">di settore </w:t>
      </w:r>
      <w:r w:rsidRPr="00511178">
        <w:rPr>
          <w:rFonts w:ascii="Goudy Old Style" w:hAnsi="Goudy Old Style" w:cs="Times New Roman"/>
          <w:sz w:val="21"/>
          <w:szCs w:val="21"/>
        </w:rPr>
        <w:t>sono riferiti all’osservanza delle previsioni dell’art. 9 della suddetta legge che pone il divieto per tutte le amministrazioni pubbliche</w:t>
      </w:r>
      <w:r w:rsidR="00BC4291">
        <w:rPr>
          <w:rFonts w:ascii="Goudy Old Style" w:hAnsi="Goudy Old Style" w:cs="Times New Roman"/>
          <w:sz w:val="21"/>
          <w:szCs w:val="21"/>
        </w:rPr>
        <w:t>,</w:t>
      </w:r>
      <w:r w:rsidRPr="00511178">
        <w:rPr>
          <w:rFonts w:ascii="Goudy Old Style" w:hAnsi="Goudy Old Style" w:cs="Times New Roman"/>
          <w:sz w:val="21"/>
          <w:szCs w:val="21"/>
        </w:rPr>
        <w:t xml:space="preserve"> dalla data di convocazione dei comizi elettorali e fino alla chiusura delle operazioni di voto</w:t>
      </w:r>
      <w:r w:rsidR="00BC4291">
        <w:rPr>
          <w:rFonts w:ascii="Goudy Old Style" w:hAnsi="Goudy Old Style" w:cs="Times New Roman"/>
          <w:sz w:val="21"/>
          <w:szCs w:val="21"/>
        </w:rPr>
        <w:t>,</w:t>
      </w:r>
      <w:r w:rsidRPr="00511178">
        <w:rPr>
          <w:rFonts w:ascii="Goudy Old Style" w:hAnsi="Goudy Old Style" w:cs="Times New Roman"/>
          <w:sz w:val="21"/>
          <w:szCs w:val="21"/>
        </w:rPr>
        <w:t xml:space="preserve"> di svolgere attività di comunicazione ad eccezione di quelle effettuate in forma impersonale ed indispensabili per l'efficace assolvimento delle proprie funzioni. </w:t>
      </w:r>
    </w:p>
    <w:p w:rsidR="00511178" w:rsidRPr="00511178" w:rsidRDefault="00511178" w:rsidP="00511178">
      <w:pPr>
        <w:spacing w:after="0" w:line="240" w:lineRule="auto"/>
        <w:jc w:val="both"/>
        <w:rPr>
          <w:rFonts w:ascii="Goudy Old Style" w:hAnsi="Goudy Old Style" w:cs="Times New Roman"/>
          <w:sz w:val="21"/>
          <w:szCs w:val="21"/>
        </w:rPr>
      </w:pPr>
      <w:r w:rsidRPr="00511178">
        <w:rPr>
          <w:rFonts w:ascii="Goudy Old Style" w:hAnsi="Goudy Old Style" w:cs="Times New Roman"/>
          <w:sz w:val="21"/>
          <w:szCs w:val="21"/>
        </w:rPr>
        <w:t xml:space="preserve">Sebbene la disposizione sia applicabile anche alle comunicazioni effettuate con strumenti digitali e nonostante il monitoraggio dell’Autorità sia oggettivamente intenso in specie attraverso i </w:t>
      </w:r>
      <w:proofErr w:type="spellStart"/>
      <w:r w:rsidRPr="00511178">
        <w:rPr>
          <w:rFonts w:ascii="Goudy Old Style" w:hAnsi="Goudy Old Style" w:cs="Times New Roman"/>
          <w:sz w:val="21"/>
          <w:szCs w:val="21"/>
        </w:rPr>
        <w:t>Corecom</w:t>
      </w:r>
      <w:proofErr w:type="spellEnd"/>
      <w:r w:rsidR="0093348A">
        <w:rPr>
          <w:rFonts w:ascii="Goudy Old Style" w:hAnsi="Goudy Old Style" w:cs="Times New Roman"/>
          <w:sz w:val="21"/>
          <w:szCs w:val="21"/>
        </w:rPr>
        <w:t>,</w:t>
      </w:r>
      <w:r w:rsidRPr="00511178">
        <w:rPr>
          <w:rFonts w:ascii="Goudy Old Style" w:hAnsi="Goudy Old Style" w:cs="Times New Roman"/>
          <w:sz w:val="21"/>
          <w:szCs w:val="21"/>
        </w:rPr>
        <w:t xml:space="preserve"> sorprendono:</w:t>
      </w:r>
    </w:p>
    <w:p w:rsidR="00511178" w:rsidRPr="00511178" w:rsidRDefault="00511178" w:rsidP="00511178">
      <w:pPr>
        <w:spacing w:after="0" w:line="240" w:lineRule="auto"/>
        <w:jc w:val="both"/>
        <w:rPr>
          <w:rFonts w:ascii="Goudy Old Style" w:hAnsi="Goudy Old Style" w:cs="Times New Roman"/>
          <w:sz w:val="21"/>
          <w:szCs w:val="21"/>
        </w:rPr>
      </w:pPr>
      <w:r w:rsidRPr="00511178">
        <w:rPr>
          <w:rFonts w:ascii="Goudy Old Style" w:hAnsi="Goudy Old Style" w:cs="Times New Roman"/>
          <w:sz w:val="21"/>
          <w:szCs w:val="21"/>
        </w:rPr>
        <w:t>-</w:t>
      </w:r>
      <w:r w:rsidRPr="00511178">
        <w:rPr>
          <w:rFonts w:ascii="Goudy Old Style" w:hAnsi="Goudy Old Style" w:cs="Times New Roman"/>
          <w:sz w:val="21"/>
          <w:szCs w:val="21"/>
        </w:rPr>
        <w:tab/>
        <w:t>l’elevato numero di archiviazioni che, come emerge dalla lettura dei provvedimenti</w:t>
      </w:r>
      <w:r w:rsidR="00BC4291">
        <w:rPr>
          <w:rFonts w:ascii="Goudy Old Style" w:hAnsi="Goudy Old Style" w:cs="Times New Roman"/>
          <w:sz w:val="21"/>
          <w:szCs w:val="21"/>
        </w:rPr>
        <w:t xml:space="preserve"> (liberamente reperibili sul sito istituzionale dell’Agcom)</w:t>
      </w:r>
      <w:r w:rsidRPr="00511178">
        <w:rPr>
          <w:rFonts w:ascii="Goudy Old Style" w:hAnsi="Goudy Old Style" w:cs="Times New Roman"/>
          <w:sz w:val="21"/>
          <w:szCs w:val="21"/>
        </w:rPr>
        <w:t>, non scaturiscono da autentico ravvedimento operoso degli interessati bensì dall’attivazione del procedimento stesso e, quindi, in esito ad un intervento dell’Autorità, circostanza, questa, che di per sé rende evidente l’assenza di una adeguata efficacia deterrente;</w:t>
      </w:r>
    </w:p>
    <w:p w:rsidR="00511178" w:rsidRPr="00511178" w:rsidRDefault="00511178" w:rsidP="00511178">
      <w:pPr>
        <w:spacing w:after="0" w:line="240" w:lineRule="auto"/>
        <w:jc w:val="both"/>
        <w:rPr>
          <w:rFonts w:ascii="Goudy Old Style" w:hAnsi="Goudy Old Style" w:cs="Times New Roman"/>
          <w:sz w:val="21"/>
          <w:szCs w:val="21"/>
        </w:rPr>
      </w:pPr>
      <w:r w:rsidRPr="00511178">
        <w:rPr>
          <w:rFonts w:ascii="Goudy Old Style" w:hAnsi="Goudy Old Style" w:cs="Times New Roman"/>
          <w:sz w:val="21"/>
          <w:szCs w:val="21"/>
        </w:rPr>
        <w:t>-</w:t>
      </w:r>
      <w:r w:rsidRPr="00511178">
        <w:rPr>
          <w:rFonts w:ascii="Goudy Old Style" w:hAnsi="Goudy Old Style" w:cs="Times New Roman"/>
          <w:sz w:val="21"/>
          <w:szCs w:val="21"/>
        </w:rPr>
        <w:tab/>
        <w:t>l’inadeguatezza dell’impianto sanzionatorio: anche quando il procedimento non si conclude con l’archiviazione l’Autorità interviene ingiungendo la pubblicazione di un messaggio recante l’indicazione di non rispondenza a quanto previsto dall’art. 9 della l. n. 28 del 2020 della comunicazione istituzionale realizzata con espresso riferimento all’ordine dell’Autorità. Ciò rende l’intervento dell’Autorità tardivo rispetto allo svolgimento delle consultazioni e sostanzialmente inutile ove solo si consideri</w:t>
      </w:r>
      <w:r w:rsidR="00BC4291">
        <w:rPr>
          <w:rFonts w:ascii="Goudy Old Style" w:hAnsi="Goudy Old Style" w:cs="Times New Roman"/>
          <w:sz w:val="21"/>
          <w:szCs w:val="21"/>
        </w:rPr>
        <w:t>no</w:t>
      </w:r>
      <w:r w:rsidRPr="00511178">
        <w:rPr>
          <w:rFonts w:ascii="Goudy Old Style" w:hAnsi="Goudy Old Style" w:cs="Times New Roman"/>
          <w:sz w:val="21"/>
          <w:szCs w:val="21"/>
        </w:rPr>
        <w:t>, come evidenziato dalla stessa Autorità a conclusione (delibera n. 79/20/CONS) di una indagine conoscitiva su "Piattaforme digitali e sistema dell'informazione", il ciclo di vita delle notizie e l’incremento della quantità di offerta informativa in concomitanza del periodo che copre la campagna elettorale, lo svolgimento delle elezioni e la successiva formazione del nuovo organo politico.</w:t>
      </w:r>
    </w:p>
    <w:p w:rsidR="00511178" w:rsidRPr="00511178" w:rsidRDefault="00511178" w:rsidP="00511178">
      <w:pPr>
        <w:spacing w:after="0" w:line="240" w:lineRule="auto"/>
        <w:jc w:val="both"/>
        <w:rPr>
          <w:rFonts w:ascii="Goudy Old Style" w:hAnsi="Goudy Old Style" w:cs="Times New Roman"/>
          <w:sz w:val="21"/>
          <w:szCs w:val="21"/>
        </w:rPr>
      </w:pPr>
      <w:r w:rsidRPr="00511178">
        <w:rPr>
          <w:rFonts w:ascii="Goudy Old Style" w:hAnsi="Goudy Old Style" w:cs="Times New Roman"/>
          <w:sz w:val="21"/>
          <w:szCs w:val="21"/>
        </w:rPr>
        <w:t>Queste constatazioni dovrebbero suggerire un intervento da parte del legislatore sulla disciplina che viene in rilievo con specifica considerazione della incidenza delle piattaforme.</w:t>
      </w:r>
    </w:p>
    <w:p w:rsidR="00BC4291" w:rsidRDefault="00511178" w:rsidP="00511178">
      <w:pPr>
        <w:spacing w:after="0" w:line="240" w:lineRule="auto"/>
        <w:jc w:val="both"/>
        <w:rPr>
          <w:rFonts w:ascii="Goudy Old Style" w:hAnsi="Goudy Old Style" w:cs="Times New Roman"/>
          <w:sz w:val="21"/>
          <w:szCs w:val="21"/>
        </w:rPr>
      </w:pPr>
      <w:r w:rsidRPr="00511178">
        <w:rPr>
          <w:rFonts w:ascii="Goudy Old Style" w:hAnsi="Goudy Old Style" w:cs="Times New Roman"/>
          <w:sz w:val="21"/>
          <w:szCs w:val="21"/>
        </w:rPr>
        <w:t>Sino ad ora l’Agcom si è fatta promotrice di impegni assunti su base volontaria dalle piattaforme digitali e ciò è avvenuto dapprima con l’adozione delle linee guida in occasione della campagna elettorale che ha preceduto le elezioni dei rappresentanti del Parlamento italiano il 4 marzo 2018 e, poi, in occasione delle elezioni dei membri del Parlamento europeo spettanti all’Italia del maggio 2019.</w:t>
      </w:r>
    </w:p>
    <w:p w:rsidR="00BC4291" w:rsidRDefault="00511178" w:rsidP="00511178">
      <w:pPr>
        <w:spacing w:after="0" w:line="240" w:lineRule="auto"/>
        <w:jc w:val="both"/>
        <w:rPr>
          <w:rFonts w:ascii="Goudy Old Style" w:hAnsi="Goudy Old Style" w:cs="Times New Roman"/>
          <w:sz w:val="21"/>
          <w:szCs w:val="21"/>
        </w:rPr>
      </w:pPr>
      <w:r w:rsidRPr="00511178">
        <w:rPr>
          <w:rFonts w:ascii="Goudy Old Style" w:hAnsi="Goudy Old Style" w:cs="Times New Roman"/>
          <w:sz w:val="21"/>
          <w:szCs w:val="21"/>
        </w:rPr>
        <w:t>Iniziativa certamente meritoria per garantire la parità di accesso dei soggetti politici alle piattaforme digital</w:t>
      </w:r>
      <w:r w:rsidR="0093348A">
        <w:rPr>
          <w:rFonts w:ascii="Goudy Old Style" w:hAnsi="Goudy Old Style" w:cs="Times New Roman"/>
          <w:sz w:val="21"/>
          <w:szCs w:val="21"/>
        </w:rPr>
        <w:t>i durante le campagne elettorali</w:t>
      </w:r>
      <w:r w:rsidR="00BC4291">
        <w:rPr>
          <w:rFonts w:ascii="Goudy Old Style" w:hAnsi="Goudy Old Style" w:cs="Times New Roman"/>
          <w:sz w:val="21"/>
          <w:szCs w:val="21"/>
        </w:rPr>
        <w:t>,</w:t>
      </w:r>
      <w:r w:rsidRPr="00511178">
        <w:rPr>
          <w:rFonts w:ascii="Goudy Old Style" w:hAnsi="Goudy Old Style" w:cs="Times New Roman"/>
          <w:sz w:val="21"/>
          <w:szCs w:val="21"/>
        </w:rPr>
        <w:t xml:space="preserve"> nonostante </w:t>
      </w:r>
      <w:r w:rsidR="00BC4291">
        <w:rPr>
          <w:rFonts w:ascii="Goudy Old Style" w:hAnsi="Goudy Old Style" w:cs="Times New Roman"/>
          <w:sz w:val="21"/>
          <w:szCs w:val="21"/>
        </w:rPr>
        <w:t>la genericità delle previsioni, tanto più tenuto conto</w:t>
      </w:r>
      <w:r w:rsidRPr="00511178">
        <w:rPr>
          <w:rFonts w:ascii="Goudy Old Style" w:hAnsi="Goudy Old Style" w:cs="Times New Roman"/>
          <w:sz w:val="21"/>
          <w:szCs w:val="21"/>
        </w:rPr>
        <w:t xml:space="preserve"> della obiettiva impossibilità di una trasposizione delle regole previste dalla l. n. 28 del 2000 alle piattaforme digitali.</w:t>
      </w:r>
    </w:p>
    <w:p w:rsidR="00511178" w:rsidRPr="00511178" w:rsidRDefault="00511178" w:rsidP="00511178">
      <w:pPr>
        <w:spacing w:after="0" w:line="240" w:lineRule="auto"/>
        <w:jc w:val="both"/>
        <w:rPr>
          <w:rFonts w:ascii="Goudy Old Style" w:hAnsi="Goudy Old Style" w:cs="Times New Roman"/>
          <w:sz w:val="21"/>
          <w:szCs w:val="21"/>
        </w:rPr>
      </w:pPr>
      <w:r w:rsidRPr="00511178">
        <w:rPr>
          <w:rFonts w:ascii="Goudy Old Style" w:hAnsi="Goudy Old Style" w:cs="Times New Roman"/>
          <w:sz w:val="21"/>
          <w:szCs w:val="21"/>
        </w:rPr>
        <w:t xml:space="preserve">Soprattutto, la concreta attuazione di tali impegni appare legata pressoché esclusivamente alla “buona volontà” delle piattaforme ed affidata ad una persuasione </w:t>
      </w:r>
      <w:proofErr w:type="spellStart"/>
      <w:r w:rsidRPr="00511178">
        <w:rPr>
          <w:rFonts w:ascii="Goudy Old Style" w:hAnsi="Goudy Old Style" w:cs="Times New Roman"/>
          <w:sz w:val="21"/>
          <w:szCs w:val="21"/>
        </w:rPr>
        <w:t>reputazionale</w:t>
      </w:r>
      <w:proofErr w:type="spellEnd"/>
      <w:r w:rsidRPr="00511178">
        <w:rPr>
          <w:rFonts w:ascii="Goudy Old Style" w:hAnsi="Goudy Old Style" w:cs="Times New Roman"/>
          <w:sz w:val="21"/>
          <w:szCs w:val="21"/>
        </w:rPr>
        <w:t>; insomma, non siamo lontani dalla Cost</w:t>
      </w:r>
      <w:r w:rsidR="00BC4291">
        <w:rPr>
          <w:rFonts w:ascii="Goudy Old Style" w:hAnsi="Goudy Old Style" w:cs="Times New Roman"/>
          <w:sz w:val="21"/>
          <w:szCs w:val="21"/>
        </w:rPr>
        <w:t xml:space="preserve">ituzione </w:t>
      </w:r>
      <w:proofErr w:type="spellStart"/>
      <w:r w:rsidR="00BC4291" w:rsidRPr="00A62722">
        <w:rPr>
          <w:rFonts w:ascii="Goudy Old Style" w:hAnsi="Goudy Old Style" w:cs="Times New Roman"/>
          <w:i/>
          <w:sz w:val="21"/>
          <w:szCs w:val="21"/>
        </w:rPr>
        <w:t>octroyée</w:t>
      </w:r>
      <w:proofErr w:type="spellEnd"/>
      <w:r w:rsidR="00BC4291">
        <w:rPr>
          <w:rFonts w:ascii="Goudy Old Style" w:hAnsi="Goudy Old Style" w:cs="Times New Roman"/>
          <w:sz w:val="21"/>
          <w:szCs w:val="21"/>
        </w:rPr>
        <w:t>, concessa da s</w:t>
      </w:r>
      <w:r w:rsidRPr="00511178">
        <w:rPr>
          <w:rFonts w:ascii="Goudy Old Style" w:hAnsi="Goudy Old Style" w:cs="Times New Roman"/>
          <w:sz w:val="21"/>
          <w:szCs w:val="21"/>
        </w:rPr>
        <w:t>ovr</w:t>
      </w:r>
      <w:r w:rsidR="00BC4291">
        <w:rPr>
          <w:rFonts w:ascii="Goudy Old Style" w:hAnsi="Goudy Old Style" w:cs="Times New Roman"/>
          <w:sz w:val="21"/>
          <w:szCs w:val="21"/>
        </w:rPr>
        <w:t>ano globale, in questo caso le p</w:t>
      </w:r>
      <w:r w:rsidRPr="00511178">
        <w:rPr>
          <w:rFonts w:ascii="Goudy Old Style" w:hAnsi="Goudy Old Style" w:cs="Times New Roman"/>
          <w:sz w:val="21"/>
          <w:szCs w:val="21"/>
        </w:rPr>
        <w:t>iattaforme, al popolo locale italiano.</w:t>
      </w:r>
    </w:p>
    <w:p w:rsidR="00511178" w:rsidRPr="00511178" w:rsidRDefault="00511178" w:rsidP="00511178">
      <w:pPr>
        <w:spacing w:after="0" w:line="240" w:lineRule="auto"/>
        <w:jc w:val="both"/>
        <w:rPr>
          <w:rFonts w:ascii="Goudy Old Style" w:hAnsi="Goudy Old Style" w:cs="Times New Roman"/>
          <w:sz w:val="21"/>
          <w:szCs w:val="21"/>
        </w:rPr>
      </w:pPr>
      <w:r w:rsidRPr="00511178">
        <w:rPr>
          <w:rFonts w:ascii="Goudy Old Style" w:hAnsi="Goudy Old Style" w:cs="Times New Roman"/>
          <w:sz w:val="21"/>
          <w:szCs w:val="21"/>
        </w:rPr>
        <w:t>I tempi sono forse maturi perché sia il legislatore a riconsiderare tali aspetti, analogamente a quanto accaduto in altri Paesi europei.</w:t>
      </w:r>
    </w:p>
    <w:p w:rsidR="00511178" w:rsidRPr="00511178" w:rsidRDefault="00511178" w:rsidP="00511178">
      <w:pPr>
        <w:spacing w:after="0" w:line="240" w:lineRule="auto"/>
        <w:jc w:val="both"/>
        <w:rPr>
          <w:rFonts w:ascii="Goudy Old Style" w:hAnsi="Goudy Old Style" w:cs="Times New Roman"/>
          <w:sz w:val="21"/>
          <w:szCs w:val="21"/>
        </w:rPr>
      </w:pPr>
      <w:r w:rsidRPr="00511178">
        <w:rPr>
          <w:rFonts w:ascii="Goudy Old Style" w:hAnsi="Goudy Old Style" w:cs="Times New Roman"/>
          <w:sz w:val="21"/>
          <w:szCs w:val="21"/>
        </w:rPr>
        <w:t xml:space="preserve">Il riferimento è, in particolare, alla Francia che tradizionalmente </w:t>
      </w:r>
      <w:r w:rsidR="00BC4291">
        <w:rPr>
          <w:rFonts w:ascii="Goudy Old Style" w:hAnsi="Goudy Old Style" w:cs="Times New Roman"/>
          <w:sz w:val="21"/>
          <w:szCs w:val="21"/>
        </w:rPr>
        <w:t>riconnette</w:t>
      </w:r>
      <w:r w:rsidRPr="00511178">
        <w:rPr>
          <w:rFonts w:ascii="Goudy Old Style" w:hAnsi="Goudy Old Style" w:cs="Times New Roman"/>
          <w:sz w:val="21"/>
          <w:szCs w:val="21"/>
        </w:rPr>
        <w:t xml:space="preserve"> centrale rilievo alla disciplina della comunicazione politica nel periodo elettorale, tanto che a differenza di altri Paesi (</w:t>
      </w:r>
      <w:r w:rsidR="00BC4291">
        <w:rPr>
          <w:rFonts w:ascii="Goudy Old Style" w:hAnsi="Goudy Old Style" w:cs="Times New Roman"/>
          <w:sz w:val="21"/>
          <w:szCs w:val="21"/>
        </w:rPr>
        <w:t>inclusa l’Italia</w:t>
      </w:r>
      <w:r w:rsidRPr="00511178">
        <w:rPr>
          <w:rFonts w:ascii="Goudy Old Style" w:hAnsi="Goudy Old Style" w:cs="Times New Roman"/>
          <w:sz w:val="21"/>
          <w:szCs w:val="21"/>
        </w:rPr>
        <w:t xml:space="preserve">), espressamente prevede la possibilità di annullamento delle elezioni in caso di violazione delle regole sulla comunicazione politica, come effettivamente accaduto da parte del </w:t>
      </w:r>
      <w:proofErr w:type="spellStart"/>
      <w:r w:rsidRPr="00511178">
        <w:rPr>
          <w:rFonts w:ascii="Goudy Old Style" w:hAnsi="Goudy Old Style" w:cs="Times New Roman"/>
          <w:sz w:val="21"/>
          <w:szCs w:val="21"/>
        </w:rPr>
        <w:t>Conseil</w:t>
      </w:r>
      <w:proofErr w:type="spellEnd"/>
      <w:r w:rsidRPr="00511178">
        <w:rPr>
          <w:rFonts w:ascii="Goudy Old Style" w:hAnsi="Goudy Old Style" w:cs="Times New Roman"/>
          <w:sz w:val="21"/>
          <w:szCs w:val="21"/>
        </w:rPr>
        <w:t xml:space="preserve"> d'</w:t>
      </w:r>
      <w:proofErr w:type="spellStart"/>
      <w:r w:rsidRPr="00511178">
        <w:rPr>
          <w:rFonts w:ascii="Goudy Old Style" w:hAnsi="Goudy Old Style" w:cs="Times New Roman"/>
          <w:sz w:val="21"/>
          <w:szCs w:val="21"/>
        </w:rPr>
        <w:t>État</w:t>
      </w:r>
      <w:proofErr w:type="spellEnd"/>
      <w:r w:rsidRPr="00511178">
        <w:rPr>
          <w:rFonts w:ascii="Goudy Old Style" w:hAnsi="Goudy Old Style" w:cs="Times New Roman"/>
          <w:sz w:val="21"/>
          <w:szCs w:val="21"/>
        </w:rPr>
        <w:t xml:space="preserve"> in un caso di pubblicità elettorale attraverso la </w:t>
      </w:r>
      <w:proofErr w:type="spellStart"/>
      <w:r w:rsidRPr="00511178">
        <w:rPr>
          <w:rFonts w:ascii="Goudy Old Style" w:hAnsi="Goudy Old Style" w:cs="Times New Roman"/>
          <w:sz w:val="21"/>
          <w:szCs w:val="21"/>
        </w:rPr>
        <w:t>prioritarizzazione</w:t>
      </w:r>
      <w:proofErr w:type="spellEnd"/>
      <w:r w:rsidRPr="00511178">
        <w:rPr>
          <w:rFonts w:ascii="Goudy Old Style" w:hAnsi="Goudy Old Style" w:cs="Times New Roman"/>
          <w:sz w:val="21"/>
          <w:szCs w:val="21"/>
        </w:rPr>
        <w:t xml:space="preserve"> del sito su un motore di ricerca</w:t>
      </w:r>
      <w:r w:rsidR="00BC4291">
        <w:rPr>
          <w:rStyle w:val="Rimandonotaapidipagina"/>
          <w:rFonts w:ascii="Goudy Old Style" w:hAnsi="Goudy Old Style" w:cs="Times New Roman"/>
          <w:sz w:val="21"/>
          <w:szCs w:val="21"/>
        </w:rPr>
        <w:footnoteReference w:id="20"/>
      </w:r>
      <w:r w:rsidRPr="00511178">
        <w:rPr>
          <w:rFonts w:ascii="Goudy Old Style" w:hAnsi="Goudy Old Style" w:cs="Times New Roman"/>
          <w:sz w:val="21"/>
          <w:szCs w:val="21"/>
        </w:rPr>
        <w:t>.</w:t>
      </w:r>
    </w:p>
    <w:p w:rsidR="006D031F" w:rsidRDefault="00511178" w:rsidP="00511178">
      <w:pPr>
        <w:spacing w:after="0" w:line="240" w:lineRule="auto"/>
        <w:jc w:val="both"/>
        <w:rPr>
          <w:rFonts w:ascii="Goudy Old Style" w:hAnsi="Goudy Old Style" w:cs="Times New Roman"/>
          <w:sz w:val="21"/>
          <w:szCs w:val="21"/>
        </w:rPr>
      </w:pPr>
      <w:r w:rsidRPr="00511178">
        <w:rPr>
          <w:rFonts w:ascii="Goudy Old Style" w:hAnsi="Goudy Old Style" w:cs="Times New Roman"/>
          <w:sz w:val="21"/>
          <w:szCs w:val="21"/>
        </w:rPr>
        <w:t>Con la legge n. 2018-1202</w:t>
      </w:r>
      <w:r w:rsidR="006D031F">
        <w:rPr>
          <w:rFonts w:ascii="Goudy Old Style" w:hAnsi="Goudy Old Style" w:cs="Times New Roman"/>
          <w:sz w:val="21"/>
          <w:szCs w:val="21"/>
        </w:rPr>
        <w:t>,</w:t>
      </w:r>
      <w:r w:rsidRPr="00511178">
        <w:rPr>
          <w:rFonts w:ascii="Goudy Old Style" w:hAnsi="Goudy Old Style" w:cs="Times New Roman"/>
          <w:sz w:val="21"/>
          <w:szCs w:val="21"/>
        </w:rPr>
        <w:t xml:space="preserve"> entrata in vigore il 1° gennaio 2019</w:t>
      </w:r>
      <w:r w:rsidR="006D031F">
        <w:rPr>
          <w:rFonts w:ascii="Goudy Old Style" w:hAnsi="Goudy Old Style" w:cs="Times New Roman"/>
          <w:sz w:val="21"/>
          <w:szCs w:val="21"/>
        </w:rPr>
        <w:t>,</w:t>
      </w:r>
      <w:r w:rsidRPr="00511178">
        <w:rPr>
          <w:rFonts w:ascii="Goudy Old Style" w:hAnsi="Goudy Old Style" w:cs="Times New Roman"/>
          <w:sz w:val="21"/>
          <w:szCs w:val="21"/>
        </w:rPr>
        <w:t xml:space="preserve"> sono stati imposti specifici obblighi alle piattaforme online</w:t>
      </w:r>
      <w:r w:rsidR="006D031F">
        <w:rPr>
          <w:rFonts w:ascii="Goudy Old Style" w:hAnsi="Goudy Old Style" w:cs="Times New Roman"/>
          <w:sz w:val="21"/>
          <w:szCs w:val="21"/>
        </w:rPr>
        <w:t>,</w:t>
      </w:r>
      <w:r w:rsidRPr="00511178">
        <w:rPr>
          <w:rFonts w:ascii="Goudy Old Style" w:hAnsi="Goudy Old Style" w:cs="Times New Roman"/>
          <w:sz w:val="21"/>
          <w:szCs w:val="21"/>
        </w:rPr>
        <w:t xml:space="preserve"> prevedendosi la possibilità per qualunque interessato durante i tre mesi che precedono le elezioni e sino allo scrutinio di chiedere al giudice di far cessare, con una decisione da assumere entro 48 ore, la diffusione inesatta o ingannevole di notizie e accuse ovvero di un fatto avente natura tale da alterare la genuinità delle elezioni nel caso in cui tale diffusione avvenga attraverso un piattaforma online in modo deliberato o artificioso ovvero utilizzando sistemi di diffusione massivi o automatizzati</w:t>
      </w:r>
      <w:r w:rsidR="006D031F">
        <w:rPr>
          <w:rStyle w:val="Rimandonotaapidipagina"/>
          <w:rFonts w:ascii="Goudy Old Style" w:hAnsi="Goudy Old Style" w:cs="Times New Roman"/>
          <w:sz w:val="21"/>
          <w:szCs w:val="21"/>
        </w:rPr>
        <w:footnoteReference w:id="21"/>
      </w:r>
      <w:r w:rsidRPr="00511178">
        <w:rPr>
          <w:rFonts w:ascii="Goudy Old Style" w:hAnsi="Goudy Old Style" w:cs="Times New Roman"/>
          <w:sz w:val="21"/>
          <w:szCs w:val="21"/>
        </w:rPr>
        <w:t>.</w:t>
      </w:r>
    </w:p>
    <w:p w:rsidR="00511178" w:rsidRPr="00511178" w:rsidRDefault="00511178" w:rsidP="00511178">
      <w:pPr>
        <w:spacing w:after="0" w:line="240" w:lineRule="auto"/>
        <w:jc w:val="both"/>
        <w:rPr>
          <w:rFonts w:ascii="Goudy Old Style" w:hAnsi="Goudy Old Style" w:cs="Times New Roman"/>
          <w:sz w:val="21"/>
          <w:szCs w:val="21"/>
        </w:rPr>
      </w:pPr>
      <w:r w:rsidRPr="00511178">
        <w:rPr>
          <w:rFonts w:ascii="Goudy Old Style" w:hAnsi="Goudy Old Style" w:cs="Times New Roman"/>
          <w:sz w:val="21"/>
          <w:szCs w:val="21"/>
        </w:rPr>
        <w:t xml:space="preserve">La nuova legge, inoltre, attribuisce al </w:t>
      </w:r>
      <w:proofErr w:type="spellStart"/>
      <w:r w:rsidRPr="00511178">
        <w:rPr>
          <w:rFonts w:ascii="Goudy Old Style" w:hAnsi="Goudy Old Style" w:cs="Times New Roman"/>
          <w:sz w:val="21"/>
          <w:szCs w:val="21"/>
        </w:rPr>
        <w:t>Conseil</w:t>
      </w:r>
      <w:proofErr w:type="spellEnd"/>
      <w:r w:rsidRPr="00511178">
        <w:rPr>
          <w:rFonts w:ascii="Goudy Old Style" w:hAnsi="Goudy Old Style" w:cs="Times New Roman"/>
          <w:sz w:val="21"/>
          <w:szCs w:val="21"/>
        </w:rPr>
        <w:t xml:space="preserve"> </w:t>
      </w:r>
      <w:proofErr w:type="spellStart"/>
      <w:r w:rsidRPr="00511178">
        <w:rPr>
          <w:rFonts w:ascii="Goudy Old Style" w:hAnsi="Goudy Old Style" w:cs="Times New Roman"/>
          <w:sz w:val="21"/>
          <w:szCs w:val="21"/>
        </w:rPr>
        <w:t>supérieur</w:t>
      </w:r>
      <w:proofErr w:type="spellEnd"/>
      <w:r w:rsidRPr="00511178">
        <w:rPr>
          <w:rFonts w:ascii="Goudy Old Style" w:hAnsi="Goudy Old Style" w:cs="Times New Roman"/>
          <w:sz w:val="21"/>
          <w:szCs w:val="21"/>
        </w:rPr>
        <w:t xml:space="preserve"> de l'</w:t>
      </w:r>
      <w:proofErr w:type="spellStart"/>
      <w:r w:rsidRPr="00511178">
        <w:rPr>
          <w:rFonts w:ascii="Goudy Old Style" w:hAnsi="Goudy Old Style" w:cs="Times New Roman"/>
          <w:sz w:val="21"/>
          <w:szCs w:val="21"/>
        </w:rPr>
        <w:t>audiovisuel</w:t>
      </w:r>
      <w:proofErr w:type="spellEnd"/>
      <w:r w:rsidRPr="00511178">
        <w:rPr>
          <w:rFonts w:ascii="Goudy Old Style" w:hAnsi="Goudy Old Style" w:cs="Times New Roman"/>
          <w:sz w:val="21"/>
          <w:szCs w:val="21"/>
        </w:rPr>
        <w:t xml:space="preserve"> forti poteri in specie in concomitanza con le elezioni di maggior impatto per la Nazione (Presidente repubblica, parlamento, parlamentari europei)</w:t>
      </w:r>
      <w:r w:rsidR="00A62722">
        <w:rPr>
          <w:rFonts w:ascii="Goudy Old Style" w:hAnsi="Goudy Old Style" w:cs="Times New Roman"/>
          <w:sz w:val="21"/>
          <w:szCs w:val="21"/>
        </w:rPr>
        <w:t>,</w:t>
      </w:r>
      <w:r w:rsidRPr="00511178">
        <w:rPr>
          <w:rFonts w:ascii="Goudy Old Style" w:hAnsi="Goudy Old Style" w:cs="Times New Roman"/>
          <w:sz w:val="21"/>
          <w:szCs w:val="21"/>
        </w:rPr>
        <w:t xml:space="preserve"> attribuendo rilievo anche alle ipotesi in cui dietro la comunicazione si celi l’influenza di uno Stato straniero</w:t>
      </w:r>
      <w:r w:rsidR="00A62722">
        <w:rPr>
          <w:rStyle w:val="Rimandonotaapidipagina"/>
          <w:rFonts w:ascii="Goudy Old Style" w:hAnsi="Goudy Old Style" w:cs="Times New Roman"/>
          <w:sz w:val="21"/>
          <w:szCs w:val="21"/>
        </w:rPr>
        <w:footnoteReference w:id="22"/>
      </w:r>
      <w:r w:rsidRPr="00511178">
        <w:rPr>
          <w:rFonts w:ascii="Goudy Old Style" w:hAnsi="Goudy Old Style" w:cs="Times New Roman"/>
          <w:sz w:val="21"/>
          <w:szCs w:val="21"/>
        </w:rPr>
        <w:t>.</w:t>
      </w:r>
    </w:p>
    <w:p w:rsidR="00511178" w:rsidRDefault="00511178" w:rsidP="00511178">
      <w:pPr>
        <w:spacing w:after="0" w:line="240" w:lineRule="auto"/>
        <w:jc w:val="both"/>
        <w:rPr>
          <w:rFonts w:ascii="Goudy Old Style" w:hAnsi="Goudy Old Style" w:cs="Times New Roman"/>
          <w:sz w:val="21"/>
          <w:szCs w:val="21"/>
        </w:rPr>
      </w:pPr>
      <w:r w:rsidRPr="00511178">
        <w:rPr>
          <w:rFonts w:ascii="Goudy Old Style" w:hAnsi="Goudy Old Style" w:cs="Times New Roman"/>
          <w:sz w:val="21"/>
          <w:szCs w:val="21"/>
        </w:rPr>
        <w:t>L’esperienza francese dimostra che, ferme le valutazioni che competono al legislatore, una linea di intervento immediata è certamente possibile attraverso l’introduzione di strumenti giurisdizionali adeguati, necessariamente mirati e accelerati, idonei ad offrire le necessarie garanzie di tutela ai soggetti coinvolti ed il rispetto di principi fondanti del nostro ordinamento</w:t>
      </w:r>
      <w:r w:rsidR="006D031F">
        <w:rPr>
          <w:rFonts w:ascii="Goudy Old Style" w:hAnsi="Goudy Old Style" w:cs="Times New Roman"/>
          <w:sz w:val="21"/>
          <w:szCs w:val="21"/>
        </w:rPr>
        <w:t>.</w:t>
      </w:r>
    </w:p>
    <w:p w:rsidR="00B91F33" w:rsidRPr="001A0DC7" w:rsidRDefault="00B91F33" w:rsidP="00D47D5E">
      <w:pPr>
        <w:spacing w:after="0" w:line="240" w:lineRule="auto"/>
        <w:jc w:val="both"/>
        <w:rPr>
          <w:rFonts w:ascii="Goudy Old Style" w:eastAsia="Times New Roman" w:hAnsi="Goudy Old Style" w:cs="Times New Roman"/>
          <w:vanish/>
          <w:sz w:val="21"/>
          <w:szCs w:val="21"/>
          <w:lang w:eastAsia="it-IT"/>
        </w:rPr>
      </w:pPr>
    </w:p>
    <w:p w:rsidR="00C71366" w:rsidRPr="001A0DC7" w:rsidRDefault="00C71366" w:rsidP="00D47D5E">
      <w:pPr>
        <w:spacing w:after="0" w:line="240" w:lineRule="auto"/>
        <w:rPr>
          <w:rFonts w:ascii="Goudy Old Style" w:eastAsia="Times New Roman" w:hAnsi="Goudy Old Style" w:cs="Times New Roman"/>
          <w:vanish/>
          <w:sz w:val="21"/>
          <w:szCs w:val="21"/>
          <w:lang w:eastAsia="it-IT"/>
        </w:rPr>
      </w:pPr>
    </w:p>
    <w:p w:rsidR="00370AB8" w:rsidRPr="001A0DC7" w:rsidRDefault="00370AB8" w:rsidP="00D47D5E">
      <w:pPr>
        <w:spacing w:after="0" w:line="240" w:lineRule="auto"/>
        <w:rPr>
          <w:rFonts w:ascii="Goudy Old Style" w:eastAsia="Times New Roman" w:hAnsi="Goudy Old Style" w:cs="Times New Roman"/>
          <w:vanish/>
          <w:sz w:val="21"/>
          <w:szCs w:val="21"/>
          <w:lang w:eastAsia="it-IT"/>
        </w:rPr>
      </w:pPr>
    </w:p>
    <w:p w:rsidR="00277F5B" w:rsidRPr="001A0DC7" w:rsidRDefault="00277F5B" w:rsidP="00D47D5E">
      <w:pPr>
        <w:spacing w:after="0" w:line="240" w:lineRule="auto"/>
        <w:jc w:val="both"/>
        <w:rPr>
          <w:rFonts w:ascii="Goudy Old Style" w:hAnsi="Goudy Old Style" w:cs="Times New Roman"/>
          <w:sz w:val="21"/>
          <w:szCs w:val="21"/>
        </w:rPr>
      </w:pPr>
    </w:p>
    <w:p w:rsidR="00DD77C8" w:rsidRPr="00A62722" w:rsidRDefault="00A62722" w:rsidP="00D47D5E">
      <w:pPr>
        <w:pStyle w:val="Paragrafoelenco"/>
        <w:numPr>
          <w:ilvl w:val="0"/>
          <w:numId w:val="1"/>
        </w:numPr>
        <w:spacing w:after="0" w:line="240" w:lineRule="auto"/>
        <w:ind w:left="284" w:hanging="284"/>
        <w:jc w:val="both"/>
        <w:rPr>
          <w:rFonts w:ascii="Goudy Old Style" w:hAnsi="Goudy Old Style" w:cs="Times New Roman"/>
          <w:b/>
          <w:sz w:val="23"/>
          <w:szCs w:val="23"/>
        </w:rPr>
      </w:pPr>
      <w:r w:rsidRPr="00A62722">
        <w:rPr>
          <w:rFonts w:ascii="Goudy Old Style" w:hAnsi="Goudy Old Style" w:cs="Times New Roman"/>
          <w:b/>
          <w:sz w:val="23"/>
          <w:szCs w:val="23"/>
          <w:shd w:val="clear" w:color="auto" w:fill="FFFFFF"/>
        </w:rPr>
        <w:t xml:space="preserve">Incidenza della disciplina in materia di perimetro della sicurezza cibernetica e </w:t>
      </w:r>
      <w:proofErr w:type="spellStart"/>
      <w:r w:rsidRPr="00A62722">
        <w:rPr>
          <w:rFonts w:ascii="Goudy Old Style" w:hAnsi="Goudy Old Style" w:cs="Times New Roman"/>
          <w:b/>
          <w:sz w:val="23"/>
          <w:szCs w:val="23"/>
          <w:shd w:val="clear" w:color="auto" w:fill="FFFFFF"/>
        </w:rPr>
        <w:t>golden</w:t>
      </w:r>
      <w:proofErr w:type="spellEnd"/>
      <w:r w:rsidRPr="00A62722">
        <w:rPr>
          <w:rFonts w:ascii="Goudy Old Style" w:hAnsi="Goudy Old Style" w:cs="Times New Roman"/>
          <w:b/>
          <w:sz w:val="23"/>
          <w:szCs w:val="23"/>
          <w:shd w:val="clear" w:color="auto" w:fill="FFFFFF"/>
        </w:rPr>
        <w:t xml:space="preserve"> </w:t>
      </w:r>
      <w:proofErr w:type="spellStart"/>
      <w:r w:rsidRPr="00A62722">
        <w:rPr>
          <w:rFonts w:ascii="Goudy Old Style" w:hAnsi="Goudy Old Style" w:cs="Times New Roman"/>
          <w:b/>
          <w:sz w:val="23"/>
          <w:szCs w:val="23"/>
          <w:shd w:val="clear" w:color="auto" w:fill="FFFFFF"/>
        </w:rPr>
        <w:t>power</w:t>
      </w:r>
      <w:proofErr w:type="spellEnd"/>
      <w:r w:rsidR="00395CB6" w:rsidRPr="00A62722">
        <w:rPr>
          <w:rFonts w:ascii="Goudy Old Style" w:hAnsi="Goudy Old Style" w:cs="Times New Roman"/>
          <w:b/>
          <w:sz w:val="23"/>
          <w:szCs w:val="23"/>
          <w:shd w:val="clear" w:color="auto" w:fill="FFFFFF"/>
        </w:rPr>
        <w:t> </w:t>
      </w:r>
    </w:p>
    <w:p w:rsidR="00F52376" w:rsidRDefault="00A62722" w:rsidP="00A62722">
      <w:pPr>
        <w:pStyle w:val="NormaleWeb"/>
        <w:shd w:val="clear" w:color="auto" w:fill="FFFFFF"/>
        <w:spacing w:before="0" w:beforeAutospacing="0" w:after="0" w:afterAutospacing="0"/>
        <w:jc w:val="both"/>
        <w:rPr>
          <w:rFonts w:ascii="Goudy Old Style" w:hAnsi="Goudy Old Style"/>
          <w:sz w:val="21"/>
          <w:szCs w:val="21"/>
        </w:rPr>
      </w:pPr>
      <w:r w:rsidRPr="00A62722">
        <w:rPr>
          <w:rFonts w:ascii="Goudy Old Style" w:hAnsi="Goudy Old Style"/>
          <w:sz w:val="21"/>
          <w:szCs w:val="21"/>
        </w:rPr>
        <w:t>Nel contesto globale sono emersi i risc</w:t>
      </w:r>
      <w:r w:rsidR="009003E4">
        <w:rPr>
          <w:rFonts w:ascii="Goudy Old Style" w:hAnsi="Goudy Old Style"/>
          <w:sz w:val="21"/>
          <w:szCs w:val="21"/>
        </w:rPr>
        <w:t>hi di un uso spregiudicato dei b</w:t>
      </w:r>
      <w:r w:rsidRPr="00A62722">
        <w:rPr>
          <w:rFonts w:ascii="Goudy Old Style" w:hAnsi="Goudy Old Style"/>
          <w:sz w:val="21"/>
          <w:szCs w:val="21"/>
        </w:rPr>
        <w:t>ig data e degli strumenti di intelligenza artificiale con contorni inquietanti proprio con riferimento al possibile loro uso per influenzare il comportamento di voto in occasione di elezioni politiche o di consultazioni referendarie.</w:t>
      </w:r>
    </w:p>
    <w:p w:rsidR="00A62722" w:rsidRDefault="00A62722" w:rsidP="00A62722">
      <w:pPr>
        <w:pStyle w:val="NormaleWeb"/>
        <w:shd w:val="clear" w:color="auto" w:fill="FFFFFF"/>
        <w:spacing w:before="0" w:beforeAutospacing="0" w:after="0" w:afterAutospacing="0"/>
        <w:jc w:val="both"/>
        <w:rPr>
          <w:rFonts w:ascii="Goudy Old Style" w:hAnsi="Goudy Old Style"/>
          <w:sz w:val="21"/>
          <w:szCs w:val="21"/>
        </w:rPr>
      </w:pPr>
      <w:r w:rsidRPr="00A62722">
        <w:rPr>
          <w:rFonts w:ascii="Goudy Old Style" w:hAnsi="Goudy Old Style"/>
          <w:sz w:val="21"/>
          <w:szCs w:val="21"/>
        </w:rPr>
        <w:t xml:space="preserve">Non occorrono sforzi di immaginazione per ipotizzare che durante una importante consultazione elettorale (per </w:t>
      </w:r>
      <w:r w:rsidR="009003E4">
        <w:rPr>
          <w:rFonts w:ascii="Goudy Old Style" w:hAnsi="Goudy Old Style"/>
          <w:sz w:val="21"/>
          <w:szCs w:val="21"/>
        </w:rPr>
        <w:t xml:space="preserve">esempio, </w:t>
      </w:r>
      <w:r w:rsidRPr="00A62722">
        <w:rPr>
          <w:rFonts w:ascii="Goudy Old Style" w:hAnsi="Goudy Old Style"/>
          <w:sz w:val="21"/>
          <w:szCs w:val="21"/>
        </w:rPr>
        <w:t xml:space="preserve">l’elezione di un Presidente </w:t>
      </w:r>
      <w:r>
        <w:rPr>
          <w:rFonts w:ascii="Goudy Old Style" w:hAnsi="Goudy Old Style"/>
          <w:sz w:val="21"/>
          <w:szCs w:val="21"/>
        </w:rPr>
        <w:t xml:space="preserve">della Repubblica oppure, come </w:t>
      </w:r>
      <w:r w:rsidRPr="00A62722">
        <w:rPr>
          <w:rFonts w:ascii="Goudy Old Style" w:hAnsi="Goudy Old Style"/>
          <w:sz w:val="21"/>
          <w:szCs w:val="21"/>
        </w:rPr>
        <w:t>accaduto, in occasione di un referendum</w:t>
      </w:r>
      <w:r w:rsidR="009003E4">
        <w:rPr>
          <w:rStyle w:val="Rimandonotaapidipagina"/>
          <w:rFonts w:ascii="Goudy Old Style" w:hAnsi="Goudy Old Style"/>
          <w:sz w:val="21"/>
          <w:szCs w:val="21"/>
        </w:rPr>
        <w:footnoteReference w:id="23"/>
      </w:r>
      <w:r w:rsidRPr="00A62722">
        <w:rPr>
          <w:rFonts w:ascii="Goudy Old Style" w:hAnsi="Goudy Old Style"/>
          <w:sz w:val="21"/>
          <w:szCs w:val="21"/>
        </w:rPr>
        <w:t>) soggetti interessati organizzino un mirato attacco cibernetico</w:t>
      </w:r>
      <w:r w:rsidR="009003E4">
        <w:rPr>
          <w:rStyle w:val="Rimandonotaapidipagina"/>
          <w:rFonts w:ascii="Goudy Old Style" w:hAnsi="Goudy Old Style"/>
          <w:sz w:val="21"/>
          <w:szCs w:val="21"/>
        </w:rPr>
        <w:footnoteReference w:id="24"/>
      </w:r>
      <w:r w:rsidRPr="00A62722">
        <w:rPr>
          <w:rFonts w:ascii="Goudy Old Style" w:hAnsi="Goudy Old Style"/>
          <w:sz w:val="21"/>
          <w:szCs w:val="21"/>
        </w:rPr>
        <w:t xml:space="preserve">. </w:t>
      </w:r>
    </w:p>
    <w:p w:rsidR="00457893" w:rsidRDefault="00457893" w:rsidP="00457893">
      <w:pPr>
        <w:pStyle w:val="NormaleWeb"/>
        <w:shd w:val="clear" w:color="auto" w:fill="FFFFFF"/>
        <w:spacing w:before="0" w:beforeAutospacing="0" w:after="0" w:afterAutospacing="0"/>
        <w:jc w:val="both"/>
        <w:rPr>
          <w:rFonts w:ascii="Goudy Old Style" w:hAnsi="Goudy Old Style"/>
          <w:sz w:val="21"/>
          <w:szCs w:val="21"/>
        </w:rPr>
      </w:pPr>
      <w:r>
        <w:rPr>
          <w:rFonts w:ascii="Goudy Old Style" w:hAnsi="Goudy Old Style"/>
          <w:sz w:val="21"/>
          <w:szCs w:val="21"/>
        </w:rPr>
        <w:t>E’ evidente la portata dei rischi e l’impatto devastante che tali minacce possono avere sulle stesse basi degli stati democratici.</w:t>
      </w:r>
    </w:p>
    <w:p w:rsidR="00457893" w:rsidRDefault="00A62722" w:rsidP="00457893">
      <w:pPr>
        <w:pStyle w:val="NormaleWeb"/>
        <w:shd w:val="clear" w:color="auto" w:fill="FFFFFF"/>
        <w:spacing w:before="0" w:beforeAutospacing="0" w:after="0" w:afterAutospacing="0"/>
        <w:jc w:val="both"/>
        <w:rPr>
          <w:rFonts w:ascii="Goudy Old Style" w:hAnsi="Goudy Old Style"/>
          <w:sz w:val="21"/>
          <w:szCs w:val="21"/>
        </w:rPr>
      </w:pPr>
      <w:r w:rsidRPr="00A62722">
        <w:rPr>
          <w:rFonts w:ascii="Goudy Old Style" w:hAnsi="Goudy Old Style"/>
          <w:sz w:val="21"/>
          <w:szCs w:val="21"/>
        </w:rPr>
        <w:t>Dei nuovi rischi legali al contesto globale il legislatore nazionale si è dimostrato consapevole intervenendo non solo con l’introduzione del perimetro della sicurezza cibernetica (</w:t>
      </w:r>
      <w:proofErr w:type="spellStart"/>
      <w:r w:rsidRPr="00A62722">
        <w:rPr>
          <w:rFonts w:ascii="Goudy Old Style" w:hAnsi="Goudy Old Style"/>
          <w:sz w:val="21"/>
          <w:szCs w:val="21"/>
        </w:rPr>
        <w:t>d.l.</w:t>
      </w:r>
      <w:proofErr w:type="spellEnd"/>
      <w:r w:rsidRPr="00A62722">
        <w:rPr>
          <w:rFonts w:ascii="Goudy Old Style" w:hAnsi="Goudy Old Style"/>
          <w:sz w:val="21"/>
          <w:szCs w:val="21"/>
        </w:rPr>
        <w:t xml:space="preserve"> n. 105 del 2019) ma apportando anche significative innovazioni alla disciplina del c.d. </w:t>
      </w:r>
      <w:proofErr w:type="spellStart"/>
      <w:r w:rsidRPr="00A62722">
        <w:rPr>
          <w:rFonts w:ascii="Goudy Old Style" w:hAnsi="Goudy Old Style"/>
          <w:sz w:val="21"/>
          <w:szCs w:val="21"/>
        </w:rPr>
        <w:t>golden</w:t>
      </w:r>
      <w:proofErr w:type="spellEnd"/>
      <w:r w:rsidRPr="00A62722">
        <w:rPr>
          <w:rFonts w:ascii="Goudy Old Style" w:hAnsi="Goudy Old Style"/>
          <w:sz w:val="21"/>
          <w:szCs w:val="21"/>
        </w:rPr>
        <w:t xml:space="preserve"> </w:t>
      </w:r>
      <w:proofErr w:type="spellStart"/>
      <w:r w:rsidRPr="00A62722">
        <w:rPr>
          <w:rFonts w:ascii="Goudy Old Style" w:hAnsi="Goudy Old Style"/>
          <w:sz w:val="21"/>
          <w:szCs w:val="21"/>
        </w:rPr>
        <w:t>power</w:t>
      </w:r>
      <w:proofErr w:type="spellEnd"/>
      <w:r w:rsidRPr="00A62722">
        <w:rPr>
          <w:rFonts w:ascii="Goudy Old Style" w:hAnsi="Goudy Old Style"/>
          <w:sz w:val="21"/>
          <w:szCs w:val="21"/>
        </w:rPr>
        <w:t xml:space="preserve"> (</w:t>
      </w:r>
      <w:proofErr w:type="spellStart"/>
      <w:r w:rsidRPr="00A62722">
        <w:rPr>
          <w:rFonts w:ascii="Goudy Old Style" w:hAnsi="Goudy Old Style"/>
          <w:sz w:val="21"/>
          <w:szCs w:val="21"/>
        </w:rPr>
        <w:t>d.l.</w:t>
      </w:r>
      <w:proofErr w:type="spellEnd"/>
      <w:r w:rsidRPr="00A62722">
        <w:rPr>
          <w:rFonts w:ascii="Goudy Old Style" w:hAnsi="Goudy Old Style"/>
          <w:sz w:val="21"/>
          <w:szCs w:val="21"/>
        </w:rPr>
        <w:t xml:space="preserve"> n. 21 del 2012), al fine di includere i settori ad alta intensità tecnologica, con particolare riferimento alle infrastrutture critiche o</w:t>
      </w:r>
      <w:r w:rsidR="00457893">
        <w:rPr>
          <w:rFonts w:ascii="Goudy Old Style" w:hAnsi="Goudy Old Style"/>
          <w:sz w:val="21"/>
          <w:szCs w:val="21"/>
        </w:rPr>
        <w:t xml:space="preserve"> </w:t>
      </w:r>
      <w:r w:rsidR="00457893" w:rsidRPr="00457893">
        <w:rPr>
          <w:rFonts w:ascii="Goudy Old Style" w:hAnsi="Goudy Old Style"/>
          <w:sz w:val="21"/>
          <w:szCs w:val="21"/>
        </w:rPr>
        <w:t>sensibili, inclusa la sicurezza in rete e, in specie, la tecnologia 5G che rappresenta la piattaforma abilitante dell’internet delle cose</w:t>
      </w:r>
      <w:r w:rsidR="00457893">
        <w:rPr>
          <w:rStyle w:val="Rimandonotaapidipagina"/>
          <w:rFonts w:ascii="Goudy Old Style" w:hAnsi="Goudy Old Style"/>
          <w:sz w:val="21"/>
          <w:szCs w:val="21"/>
        </w:rPr>
        <w:footnoteReference w:id="25"/>
      </w:r>
      <w:r w:rsidR="00457893" w:rsidRPr="00457893">
        <w:rPr>
          <w:rFonts w:ascii="Goudy Old Style" w:hAnsi="Goudy Old Style"/>
          <w:sz w:val="21"/>
          <w:szCs w:val="21"/>
        </w:rPr>
        <w:t xml:space="preserve">. </w:t>
      </w:r>
    </w:p>
    <w:p w:rsidR="00457893" w:rsidRDefault="00457893" w:rsidP="00457893">
      <w:pPr>
        <w:pStyle w:val="NormaleWeb"/>
        <w:shd w:val="clear" w:color="auto" w:fill="FFFFFF"/>
        <w:spacing w:before="0" w:beforeAutospacing="0" w:after="0" w:afterAutospacing="0"/>
        <w:jc w:val="both"/>
        <w:rPr>
          <w:rFonts w:ascii="Goudy Old Style" w:hAnsi="Goudy Old Style"/>
          <w:sz w:val="21"/>
          <w:szCs w:val="21"/>
        </w:rPr>
      </w:pPr>
      <w:r w:rsidRPr="00457893">
        <w:rPr>
          <w:rFonts w:ascii="Goudy Old Style" w:hAnsi="Goudy Old Style"/>
          <w:sz w:val="21"/>
          <w:szCs w:val="21"/>
        </w:rPr>
        <w:t>Vero è che il pluralismo mentre è richiamato Regolamento (UE) 2019/452, sul controllo degli investimenti esteri non è espressamene menzionato nella normativa sulla protezione delle infrastrutture strategiche m</w:t>
      </w:r>
      <w:r>
        <w:rPr>
          <w:rFonts w:ascii="Goudy Old Style" w:hAnsi="Goudy Old Style"/>
          <w:sz w:val="21"/>
          <w:szCs w:val="21"/>
        </w:rPr>
        <w:t>a</w:t>
      </w:r>
      <w:r w:rsidRPr="00457893">
        <w:rPr>
          <w:rFonts w:ascii="Goudy Old Style" w:hAnsi="Goudy Old Style"/>
          <w:sz w:val="21"/>
          <w:szCs w:val="21"/>
        </w:rPr>
        <w:t xml:space="preserve"> è evidente che i presidi assicurati da tale disciplina incidono in maniera decisiva sui rischi manipolativi e la parità di condizioni. </w:t>
      </w:r>
    </w:p>
    <w:p w:rsidR="00457893" w:rsidRDefault="00457893" w:rsidP="00457893">
      <w:pPr>
        <w:pStyle w:val="NormaleWeb"/>
        <w:shd w:val="clear" w:color="auto" w:fill="FFFFFF"/>
        <w:spacing w:before="0" w:beforeAutospacing="0" w:after="0" w:afterAutospacing="0"/>
        <w:jc w:val="both"/>
        <w:rPr>
          <w:rFonts w:ascii="Goudy Old Style" w:hAnsi="Goudy Old Style"/>
          <w:sz w:val="21"/>
          <w:szCs w:val="21"/>
        </w:rPr>
      </w:pPr>
      <w:r>
        <w:rPr>
          <w:rFonts w:ascii="Goudy Old Style" w:hAnsi="Goudy Old Style"/>
          <w:sz w:val="21"/>
          <w:szCs w:val="21"/>
        </w:rPr>
        <w:t>L</w:t>
      </w:r>
      <w:r w:rsidRPr="00457893">
        <w:rPr>
          <w:rFonts w:ascii="Goudy Old Style" w:hAnsi="Goudy Old Style"/>
          <w:sz w:val="21"/>
          <w:szCs w:val="21"/>
        </w:rPr>
        <w:t xml:space="preserve">a descritta evoluzione fa emergere </w:t>
      </w:r>
      <w:r>
        <w:rPr>
          <w:rFonts w:ascii="Goudy Old Style" w:hAnsi="Goudy Old Style"/>
          <w:sz w:val="21"/>
          <w:szCs w:val="21"/>
        </w:rPr>
        <w:t xml:space="preserve">la già rilevata saldatura tra la dotazione </w:t>
      </w:r>
      <w:r w:rsidR="002053AF">
        <w:rPr>
          <w:rFonts w:ascii="Goudy Old Style" w:hAnsi="Goudy Old Style"/>
          <w:sz w:val="21"/>
          <w:szCs w:val="21"/>
        </w:rPr>
        <w:t>infrastrutturale</w:t>
      </w:r>
      <w:r>
        <w:rPr>
          <w:rFonts w:ascii="Goudy Old Style" w:hAnsi="Goudy Old Style"/>
          <w:sz w:val="21"/>
          <w:szCs w:val="21"/>
        </w:rPr>
        <w:t xml:space="preserve"> delle comunicazioni elettroniche e i contenuti della rete, in primis per quanto attiene ai profili di sicurezza</w:t>
      </w:r>
      <w:r w:rsidR="002053AF">
        <w:rPr>
          <w:rStyle w:val="Rimandonotaapidipagina"/>
          <w:rFonts w:ascii="Goudy Old Style" w:hAnsi="Goudy Old Style"/>
          <w:sz w:val="21"/>
          <w:szCs w:val="21"/>
        </w:rPr>
        <w:footnoteReference w:id="26"/>
      </w:r>
      <w:r>
        <w:rPr>
          <w:rFonts w:ascii="Goudy Old Style" w:hAnsi="Goudy Old Style"/>
          <w:sz w:val="21"/>
          <w:szCs w:val="21"/>
        </w:rPr>
        <w:t>,</w:t>
      </w:r>
      <w:r w:rsidRPr="00457893">
        <w:rPr>
          <w:rFonts w:ascii="Goudy Old Style" w:hAnsi="Goudy Old Style"/>
          <w:sz w:val="21"/>
          <w:szCs w:val="21"/>
        </w:rPr>
        <w:t xml:space="preserve"> e questo ancor più tenuto conto di tutte le ingenti misure messe in campo per l’attuazione della transizione digitale nel cui alveo si colloca anche il ruolo affidato agli strumenti telematici nello svolgimento dei procedimenti elettorali e delle consultazioni referendarie.</w:t>
      </w:r>
    </w:p>
    <w:p w:rsidR="00457893" w:rsidRDefault="002053AF" w:rsidP="00457893">
      <w:pPr>
        <w:pStyle w:val="NormaleWeb"/>
        <w:shd w:val="clear" w:color="auto" w:fill="FFFFFF"/>
        <w:spacing w:before="0" w:beforeAutospacing="0" w:after="0" w:afterAutospacing="0"/>
        <w:jc w:val="both"/>
        <w:rPr>
          <w:rFonts w:ascii="Goudy Old Style" w:hAnsi="Goudy Old Style"/>
          <w:sz w:val="21"/>
          <w:szCs w:val="21"/>
        </w:rPr>
      </w:pPr>
      <w:r>
        <w:rPr>
          <w:rFonts w:ascii="Goudy Old Style" w:hAnsi="Goudy Old Style"/>
          <w:sz w:val="21"/>
          <w:szCs w:val="21"/>
        </w:rPr>
        <w:t>Diventa cruciale, dunque,</w:t>
      </w:r>
      <w:r w:rsidR="00457893" w:rsidRPr="00457893">
        <w:rPr>
          <w:rFonts w:ascii="Goudy Old Style" w:hAnsi="Goudy Old Style"/>
          <w:sz w:val="21"/>
          <w:szCs w:val="21"/>
        </w:rPr>
        <w:t xml:space="preserve"> </w:t>
      </w:r>
      <w:r>
        <w:rPr>
          <w:rFonts w:ascii="Goudy Old Style" w:hAnsi="Goudy Old Style"/>
          <w:sz w:val="21"/>
          <w:szCs w:val="21"/>
        </w:rPr>
        <w:t>“</w:t>
      </w:r>
      <w:r w:rsidR="00457893" w:rsidRPr="002053AF">
        <w:rPr>
          <w:rFonts w:ascii="Goudy Old Style" w:hAnsi="Goudy Old Style"/>
          <w:i/>
          <w:sz w:val="21"/>
          <w:szCs w:val="21"/>
        </w:rPr>
        <w:t>un’azione pubblica mirata alla sicurezza cibernetica nell’ambito della quale si inscrive lo strumento del potere speciale, non a caso sistematicamente e funzionalmente coordinato, a livello normativo, con la disciplina sul perimetro nazionale della sicurezza cibernetica</w:t>
      </w:r>
      <w:r>
        <w:rPr>
          <w:rFonts w:ascii="Goudy Old Style" w:hAnsi="Goudy Old Style"/>
          <w:sz w:val="21"/>
          <w:szCs w:val="21"/>
        </w:rPr>
        <w:t>”</w:t>
      </w:r>
      <w:r w:rsidR="00457893">
        <w:rPr>
          <w:rStyle w:val="Rimandonotaapidipagina"/>
          <w:rFonts w:ascii="Goudy Old Style" w:hAnsi="Goudy Old Style"/>
          <w:sz w:val="21"/>
          <w:szCs w:val="21"/>
        </w:rPr>
        <w:footnoteReference w:id="27"/>
      </w:r>
      <w:r w:rsidR="00457893" w:rsidRPr="00457893">
        <w:rPr>
          <w:rFonts w:ascii="Goudy Old Style" w:hAnsi="Goudy Old Style"/>
          <w:sz w:val="21"/>
          <w:szCs w:val="21"/>
        </w:rPr>
        <w:t>.</w:t>
      </w:r>
    </w:p>
    <w:p w:rsidR="00457893" w:rsidRPr="00457893" w:rsidRDefault="00457893" w:rsidP="00457893">
      <w:pPr>
        <w:pStyle w:val="NormaleWeb"/>
        <w:shd w:val="clear" w:color="auto" w:fill="FFFFFF"/>
        <w:spacing w:before="0" w:beforeAutospacing="0" w:after="0" w:afterAutospacing="0"/>
        <w:jc w:val="both"/>
        <w:rPr>
          <w:rFonts w:ascii="Goudy Old Style" w:hAnsi="Goudy Old Style"/>
          <w:sz w:val="21"/>
          <w:szCs w:val="21"/>
        </w:rPr>
      </w:pPr>
      <w:r>
        <w:rPr>
          <w:rFonts w:ascii="Goudy Old Style" w:hAnsi="Goudy Old Style"/>
          <w:sz w:val="21"/>
          <w:szCs w:val="21"/>
        </w:rPr>
        <w:t xml:space="preserve">Con il </w:t>
      </w:r>
      <w:proofErr w:type="spellStart"/>
      <w:r>
        <w:rPr>
          <w:rFonts w:ascii="Goudy Old Style" w:hAnsi="Goudy Old Style"/>
          <w:sz w:val="21"/>
          <w:szCs w:val="21"/>
        </w:rPr>
        <w:t>d.P.C.M</w:t>
      </w:r>
      <w:proofErr w:type="spellEnd"/>
      <w:r w:rsidRPr="00457893">
        <w:rPr>
          <w:rFonts w:ascii="Goudy Old Style" w:hAnsi="Goudy Old Style"/>
          <w:sz w:val="21"/>
          <w:szCs w:val="21"/>
        </w:rPr>
        <w:t>. 179 del 2020, è stata stilata una lunghissima lista di nuovi attivi strategici, potenzialmente oggetto di poteri speciali. Vi rientrano infrastrutture elettorali e finanziarie, tecnologie di avanguardia, s</w:t>
      </w:r>
      <w:r w:rsidR="005A654D">
        <w:rPr>
          <w:rFonts w:ascii="Goudy Old Style" w:hAnsi="Goudy Old Style"/>
          <w:sz w:val="21"/>
          <w:szCs w:val="21"/>
        </w:rPr>
        <w:t>ettore della salute, alimentare; s</w:t>
      </w:r>
      <w:r w:rsidRPr="00457893">
        <w:rPr>
          <w:rFonts w:ascii="Goudy Old Style" w:hAnsi="Goudy Old Style"/>
          <w:sz w:val="21"/>
          <w:szCs w:val="21"/>
        </w:rPr>
        <w:t xml:space="preserve">oprattutto, vi entra </w:t>
      </w:r>
      <w:r w:rsidR="005A654D">
        <w:rPr>
          <w:rFonts w:ascii="Goudy Old Style" w:hAnsi="Goudy Old Style"/>
          <w:sz w:val="21"/>
          <w:szCs w:val="21"/>
        </w:rPr>
        <w:t>il fluido sviluppo</w:t>
      </w:r>
      <w:r w:rsidRPr="00457893">
        <w:rPr>
          <w:rFonts w:ascii="Goudy Old Style" w:hAnsi="Goudy Old Style"/>
          <w:sz w:val="21"/>
          <w:szCs w:val="21"/>
        </w:rPr>
        <w:t xml:space="preserve"> dell’intelligenza artificiale.</w:t>
      </w:r>
    </w:p>
    <w:p w:rsidR="008713B1" w:rsidRPr="001A0DC7" w:rsidRDefault="00457893" w:rsidP="00457893">
      <w:pPr>
        <w:pStyle w:val="NormaleWeb"/>
        <w:shd w:val="clear" w:color="auto" w:fill="FFFFFF"/>
        <w:spacing w:before="0" w:beforeAutospacing="0" w:after="0" w:afterAutospacing="0"/>
        <w:jc w:val="both"/>
        <w:rPr>
          <w:rFonts w:ascii="Goudy Old Style" w:hAnsi="Goudy Old Style"/>
          <w:sz w:val="21"/>
          <w:szCs w:val="21"/>
          <w:shd w:val="clear" w:color="auto" w:fill="FFFFFF"/>
        </w:rPr>
      </w:pPr>
      <w:r w:rsidRPr="00457893">
        <w:rPr>
          <w:rFonts w:ascii="Goudy Old Style" w:hAnsi="Goudy Old Style"/>
          <w:sz w:val="21"/>
          <w:szCs w:val="21"/>
        </w:rPr>
        <w:t xml:space="preserve">La dialettica politica necessaria alla formazione del consenso libero in un sistema democratico deve, dunque, essere riguardata anche in tale prospettiva imposta dall’attuale assetto di disciplina nel quale si è inserita di recente l’istituzione dell’Agenzia per la </w:t>
      </w:r>
      <w:proofErr w:type="spellStart"/>
      <w:r w:rsidRPr="00457893">
        <w:rPr>
          <w:rFonts w:ascii="Goudy Old Style" w:hAnsi="Goudy Old Style"/>
          <w:sz w:val="21"/>
          <w:szCs w:val="21"/>
        </w:rPr>
        <w:t>cybersicurezza</w:t>
      </w:r>
      <w:proofErr w:type="spellEnd"/>
      <w:r w:rsidRPr="00457893">
        <w:rPr>
          <w:rFonts w:ascii="Goudy Old Style" w:hAnsi="Goudy Old Style"/>
          <w:sz w:val="21"/>
          <w:szCs w:val="21"/>
        </w:rPr>
        <w:t xml:space="preserve"> nazionale che potrà costituire un riferimento prezioso per i profili di più stretta afferenza tecnica correlati alla sicurezza</w:t>
      </w:r>
      <w:r w:rsidR="008713B1" w:rsidRPr="001A0DC7">
        <w:rPr>
          <w:rFonts w:ascii="Goudy Old Style" w:hAnsi="Goudy Old Style"/>
          <w:sz w:val="21"/>
          <w:szCs w:val="21"/>
          <w:shd w:val="clear" w:color="auto" w:fill="FFFFFF"/>
        </w:rPr>
        <w:t>.</w:t>
      </w:r>
    </w:p>
    <w:p w:rsidR="00F52376" w:rsidRDefault="00F52376" w:rsidP="00D47D5E">
      <w:pPr>
        <w:pStyle w:val="NormaleWeb"/>
        <w:shd w:val="clear" w:color="auto" w:fill="FFFFFF"/>
        <w:spacing w:before="0" w:beforeAutospacing="0" w:after="0" w:afterAutospacing="0"/>
        <w:jc w:val="both"/>
        <w:rPr>
          <w:rFonts w:ascii="Goudy Old Style" w:hAnsi="Goudy Old Style"/>
          <w:sz w:val="21"/>
          <w:szCs w:val="21"/>
        </w:rPr>
      </w:pPr>
    </w:p>
    <w:p w:rsidR="00F52376" w:rsidRDefault="00F52376" w:rsidP="00D47D5E">
      <w:pPr>
        <w:pStyle w:val="NormaleWeb"/>
        <w:shd w:val="clear" w:color="auto" w:fill="FFFFFF"/>
        <w:spacing w:before="0" w:beforeAutospacing="0" w:after="0" w:afterAutospacing="0"/>
        <w:jc w:val="both"/>
        <w:rPr>
          <w:rFonts w:ascii="Goudy Old Style" w:hAnsi="Goudy Old Style"/>
          <w:sz w:val="21"/>
          <w:szCs w:val="21"/>
        </w:rPr>
      </w:pPr>
    </w:p>
    <w:p w:rsidR="005E07B0" w:rsidRPr="005A654D" w:rsidRDefault="005A654D" w:rsidP="00D47D5E">
      <w:pPr>
        <w:pStyle w:val="NormaleWeb"/>
        <w:numPr>
          <w:ilvl w:val="0"/>
          <w:numId w:val="1"/>
        </w:numPr>
        <w:shd w:val="clear" w:color="auto" w:fill="FFFFFF"/>
        <w:spacing w:before="0" w:beforeAutospacing="0" w:after="0" w:afterAutospacing="0"/>
        <w:ind w:left="284" w:hanging="284"/>
        <w:jc w:val="both"/>
        <w:rPr>
          <w:rFonts w:ascii="Goudy Old Style" w:hAnsi="Goudy Old Style"/>
          <w:b/>
          <w:sz w:val="23"/>
          <w:szCs w:val="23"/>
        </w:rPr>
      </w:pPr>
      <w:r w:rsidRPr="005A654D">
        <w:rPr>
          <w:rFonts w:ascii="Goudy Old Style" w:hAnsi="Goudy Old Style"/>
          <w:b/>
          <w:sz w:val="23"/>
          <w:szCs w:val="23"/>
        </w:rPr>
        <w:t>Riflessioni conclusive</w:t>
      </w:r>
    </w:p>
    <w:p w:rsidR="005A654D" w:rsidRPr="005A654D" w:rsidRDefault="005A654D" w:rsidP="004909C0">
      <w:pPr>
        <w:pStyle w:val="NormaleWeb"/>
        <w:shd w:val="clear" w:color="auto" w:fill="FFFFFF"/>
        <w:spacing w:before="0" w:beforeAutospacing="0" w:after="0" w:afterAutospacing="0"/>
        <w:jc w:val="both"/>
        <w:rPr>
          <w:rFonts w:ascii="Goudy Old Style" w:hAnsi="Goudy Old Style"/>
          <w:sz w:val="21"/>
          <w:szCs w:val="21"/>
        </w:rPr>
      </w:pPr>
      <w:r w:rsidRPr="005A654D">
        <w:rPr>
          <w:rFonts w:ascii="Goudy Old Style" w:hAnsi="Goudy Old Style"/>
          <w:sz w:val="21"/>
          <w:szCs w:val="21"/>
        </w:rPr>
        <w:t xml:space="preserve">Il dinamismo che si registra nell’evoluzione digitale con i prossimi sviluppi verso una realtà virtuale tridimensionale sono preconizzati dal </w:t>
      </w:r>
      <w:proofErr w:type="spellStart"/>
      <w:r w:rsidRPr="005A654D">
        <w:rPr>
          <w:rFonts w:ascii="Goudy Old Style" w:hAnsi="Goudy Old Style"/>
          <w:sz w:val="21"/>
          <w:szCs w:val="21"/>
        </w:rPr>
        <w:t>metaverso</w:t>
      </w:r>
      <w:proofErr w:type="spellEnd"/>
      <w:r w:rsidR="004250BC">
        <w:rPr>
          <w:rFonts w:ascii="Goudy Old Style" w:hAnsi="Goudy Old Style"/>
          <w:sz w:val="21"/>
          <w:szCs w:val="21"/>
        </w:rPr>
        <w:t>,</w:t>
      </w:r>
      <w:r w:rsidRPr="005A654D">
        <w:rPr>
          <w:rFonts w:ascii="Goudy Old Style" w:hAnsi="Goudy Old Style"/>
          <w:sz w:val="21"/>
          <w:szCs w:val="21"/>
        </w:rPr>
        <w:t xml:space="preserve"> nel quale ciascuno potrà essere artefice o, meg</w:t>
      </w:r>
      <w:r w:rsidR="004250BC">
        <w:rPr>
          <w:rFonts w:ascii="Goudy Old Style" w:hAnsi="Goudy Old Style"/>
          <w:sz w:val="21"/>
          <w:szCs w:val="21"/>
        </w:rPr>
        <w:t xml:space="preserve">lio, penserà di essere artefice, </w:t>
      </w:r>
      <w:r w:rsidRPr="005A654D">
        <w:rPr>
          <w:rFonts w:ascii="Goudy Old Style" w:hAnsi="Goudy Old Style"/>
          <w:sz w:val="21"/>
          <w:szCs w:val="21"/>
        </w:rPr>
        <w:t>di una realtà artefatta che renderà ancora più difficile decifrare quella vera.</w:t>
      </w:r>
    </w:p>
    <w:p w:rsidR="005A654D" w:rsidRPr="005A654D" w:rsidRDefault="005A654D" w:rsidP="004909C0">
      <w:pPr>
        <w:pStyle w:val="NormaleWeb"/>
        <w:shd w:val="clear" w:color="auto" w:fill="FFFFFF"/>
        <w:spacing w:before="0" w:beforeAutospacing="0" w:after="0" w:afterAutospacing="0"/>
        <w:jc w:val="both"/>
        <w:rPr>
          <w:rFonts w:ascii="Goudy Old Style" w:hAnsi="Goudy Old Style"/>
          <w:sz w:val="21"/>
          <w:szCs w:val="21"/>
        </w:rPr>
      </w:pPr>
      <w:r w:rsidRPr="005A654D">
        <w:rPr>
          <w:rFonts w:ascii="Goudy Old Style" w:hAnsi="Goudy Old Style"/>
          <w:sz w:val="21"/>
          <w:szCs w:val="21"/>
        </w:rPr>
        <w:t>Una evoluzione, questa, agevolata dallo stato della ricerca verso il computer quantistico che consentirà di spostare masse enormi di dati in tempi ancora più ristretti e che impone a tutti gli operatori, specie a quelli del dirit</w:t>
      </w:r>
      <w:r w:rsidR="004909C0">
        <w:rPr>
          <w:rFonts w:ascii="Goudy Old Style" w:hAnsi="Goudy Old Style"/>
          <w:sz w:val="21"/>
          <w:szCs w:val="21"/>
        </w:rPr>
        <w:t>to, un cambiamento di approccio.</w:t>
      </w:r>
    </w:p>
    <w:p w:rsidR="005A654D" w:rsidRPr="005A654D" w:rsidRDefault="005A654D" w:rsidP="005A654D">
      <w:pPr>
        <w:pStyle w:val="NormaleWeb"/>
        <w:shd w:val="clear" w:color="auto" w:fill="FFFFFF"/>
        <w:spacing w:before="0" w:beforeAutospacing="0" w:after="0" w:afterAutospacing="0"/>
        <w:jc w:val="both"/>
        <w:rPr>
          <w:rFonts w:ascii="Goudy Old Style" w:hAnsi="Goudy Old Style"/>
          <w:sz w:val="21"/>
          <w:szCs w:val="21"/>
        </w:rPr>
      </w:pPr>
      <w:r w:rsidRPr="005A654D">
        <w:rPr>
          <w:rFonts w:ascii="Goudy Old Style" w:hAnsi="Goudy Old Style"/>
          <w:sz w:val="21"/>
          <w:szCs w:val="21"/>
        </w:rPr>
        <w:t xml:space="preserve">L’analisi giuridica tradizionalmente ha tempi di maturazione legati all’emersione dei fenomeni e delle relative implicazioni. Un </w:t>
      </w:r>
      <w:r w:rsidR="004909C0">
        <w:rPr>
          <w:rFonts w:ascii="Goudy Old Style" w:hAnsi="Goudy Old Style"/>
          <w:sz w:val="21"/>
          <w:szCs w:val="21"/>
        </w:rPr>
        <w:t>metodo</w:t>
      </w:r>
      <w:r w:rsidRPr="005A654D">
        <w:rPr>
          <w:rFonts w:ascii="Goudy Old Style" w:hAnsi="Goudy Old Style"/>
          <w:sz w:val="21"/>
          <w:szCs w:val="21"/>
        </w:rPr>
        <w:t>, questo, che non può più ritenersi adeguato per il non senso di regolare quello che oggi è già passato.</w:t>
      </w:r>
    </w:p>
    <w:p w:rsidR="005A654D" w:rsidRPr="005A654D" w:rsidRDefault="005A654D" w:rsidP="005A654D">
      <w:pPr>
        <w:pStyle w:val="NormaleWeb"/>
        <w:shd w:val="clear" w:color="auto" w:fill="FFFFFF"/>
        <w:spacing w:before="0" w:beforeAutospacing="0" w:after="0" w:afterAutospacing="0"/>
        <w:jc w:val="both"/>
        <w:rPr>
          <w:rFonts w:ascii="Goudy Old Style" w:hAnsi="Goudy Old Style"/>
          <w:sz w:val="21"/>
          <w:szCs w:val="21"/>
        </w:rPr>
      </w:pPr>
      <w:r w:rsidRPr="005A654D">
        <w:rPr>
          <w:rFonts w:ascii="Goudy Old Style" w:hAnsi="Goudy Old Style"/>
          <w:sz w:val="21"/>
          <w:szCs w:val="21"/>
        </w:rPr>
        <w:t>Agli operatori del diritto è richiesto qualcosa di più; un approccio interdisciplinare e di analisi congiunta con specialisti di altri settori ed una capacità di visione che solo attraverso una costante attività di ricerca può essere acquisita.</w:t>
      </w:r>
    </w:p>
    <w:p w:rsidR="005A654D" w:rsidRPr="005A654D" w:rsidRDefault="005A654D" w:rsidP="005A654D">
      <w:pPr>
        <w:pStyle w:val="NormaleWeb"/>
        <w:shd w:val="clear" w:color="auto" w:fill="FFFFFF"/>
        <w:spacing w:before="0" w:beforeAutospacing="0" w:after="0" w:afterAutospacing="0"/>
        <w:jc w:val="both"/>
        <w:rPr>
          <w:rFonts w:ascii="Goudy Old Style" w:hAnsi="Goudy Old Style"/>
          <w:sz w:val="21"/>
          <w:szCs w:val="21"/>
        </w:rPr>
      </w:pPr>
      <w:r w:rsidRPr="005A654D">
        <w:rPr>
          <w:rFonts w:ascii="Goudy Old Style" w:hAnsi="Goudy Old Style"/>
          <w:sz w:val="21"/>
          <w:szCs w:val="21"/>
        </w:rPr>
        <w:t>Negli anni Ottanta la corrente del cyberpunk anticipava il futuro descrivendo una umanità alienata in mondi distopici creati e controllati da multinazionali ed in pochi decenni riscontriamo una realtà che per certi aspetti evoca quelle immagini con la consapevolezza che non è possibile assumere atteggiamenti di chiusura all’i</w:t>
      </w:r>
      <w:r w:rsidR="004250BC">
        <w:rPr>
          <w:rFonts w:ascii="Goudy Old Style" w:hAnsi="Goudy Old Style"/>
          <w:sz w:val="21"/>
          <w:szCs w:val="21"/>
        </w:rPr>
        <w:t>nnovazione in quanto inevitabile</w:t>
      </w:r>
      <w:r w:rsidRPr="005A654D">
        <w:rPr>
          <w:rFonts w:ascii="Goudy Old Style" w:hAnsi="Goudy Old Style"/>
          <w:sz w:val="21"/>
          <w:szCs w:val="21"/>
        </w:rPr>
        <w:t>.</w:t>
      </w:r>
    </w:p>
    <w:p w:rsidR="005A654D" w:rsidRPr="005A654D" w:rsidRDefault="005A654D" w:rsidP="005A654D">
      <w:pPr>
        <w:pStyle w:val="NormaleWeb"/>
        <w:shd w:val="clear" w:color="auto" w:fill="FFFFFF"/>
        <w:spacing w:before="0" w:beforeAutospacing="0" w:after="0" w:afterAutospacing="0"/>
        <w:jc w:val="both"/>
        <w:rPr>
          <w:rFonts w:ascii="Goudy Old Style" w:hAnsi="Goudy Old Style"/>
          <w:sz w:val="21"/>
          <w:szCs w:val="21"/>
        </w:rPr>
      </w:pPr>
      <w:r w:rsidRPr="005A654D">
        <w:rPr>
          <w:rFonts w:ascii="Goudy Old Style" w:hAnsi="Goudy Old Style"/>
          <w:sz w:val="21"/>
          <w:szCs w:val="21"/>
        </w:rPr>
        <w:t>Anche nell’attuale fase di passaggio ad una nuova era la rete di tutele fornite dai giudici amministrativi ed ordinari sta assicurando sinergica copertura a garanzia dei principi fondanti del nostro ordinamento, facendo tesoro di una esperienza maturata nel gestire, spesso con un ruolo di sup</w:t>
      </w:r>
      <w:r w:rsidR="0093348A">
        <w:rPr>
          <w:rFonts w:ascii="Goudy Old Style" w:hAnsi="Goudy Old Style"/>
          <w:sz w:val="21"/>
          <w:szCs w:val="21"/>
        </w:rPr>
        <w:t>plenza non voluto ma necessitato</w:t>
      </w:r>
      <w:r w:rsidRPr="005A654D">
        <w:rPr>
          <w:rFonts w:ascii="Goudy Old Style" w:hAnsi="Goudy Old Style"/>
          <w:sz w:val="21"/>
          <w:szCs w:val="21"/>
        </w:rPr>
        <w:t>, l’incertezza delle regole correlata alla complessità delle scelte politiche.</w:t>
      </w:r>
    </w:p>
    <w:p w:rsidR="005A654D" w:rsidRPr="005A654D" w:rsidRDefault="004250BC" w:rsidP="005A654D">
      <w:pPr>
        <w:pStyle w:val="NormaleWeb"/>
        <w:shd w:val="clear" w:color="auto" w:fill="FFFFFF"/>
        <w:spacing w:before="0" w:beforeAutospacing="0" w:after="0" w:afterAutospacing="0"/>
        <w:jc w:val="both"/>
        <w:rPr>
          <w:rFonts w:ascii="Goudy Old Style" w:hAnsi="Goudy Old Style"/>
          <w:sz w:val="21"/>
          <w:szCs w:val="21"/>
        </w:rPr>
      </w:pPr>
      <w:r w:rsidRPr="004250BC">
        <w:rPr>
          <w:rFonts w:ascii="Goudy Old Style" w:hAnsi="Goudy Old Style"/>
          <w:sz w:val="21"/>
          <w:szCs w:val="21"/>
        </w:rPr>
        <w:t>Scelte che per quanto esposto, non</w:t>
      </w:r>
      <w:r>
        <w:rPr>
          <w:rFonts w:ascii="Goudy Old Style" w:hAnsi="Goudy Old Style"/>
          <w:sz w:val="21"/>
          <w:szCs w:val="21"/>
        </w:rPr>
        <w:t xml:space="preserve"> sono ulteriormente differibili</w:t>
      </w:r>
      <w:r w:rsidR="005A654D" w:rsidRPr="005A654D">
        <w:rPr>
          <w:rFonts w:ascii="Goudy Old Style" w:hAnsi="Goudy Old Style"/>
          <w:sz w:val="21"/>
          <w:szCs w:val="21"/>
        </w:rPr>
        <w:t>.</w:t>
      </w:r>
    </w:p>
    <w:p w:rsidR="002304CD" w:rsidRPr="001A0DC7" w:rsidRDefault="005A654D" w:rsidP="005A654D">
      <w:pPr>
        <w:pStyle w:val="NormaleWeb"/>
        <w:shd w:val="clear" w:color="auto" w:fill="FFFFFF"/>
        <w:spacing w:before="0" w:beforeAutospacing="0" w:after="0" w:afterAutospacing="0"/>
        <w:jc w:val="both"/>
        <w:rPr>
          <w:rFonts w:ascii="Goudy Old Style" w:hAnsi="Goudy Old Style"/>
          <w:sz w:val="21"/>
          <w:szCs w:val="21"/>
        </w:rPr>
      </w:pPr>
      <w:r w:rsidRPr="005A654D">
        <w:rPr>
          <w:rFonts w:ascii="Goudy Old Style" w:hAnsi="Goudy Old Style"/>
          <w:sz w:val="21"/>
          <w:szCs w:val="21"/>
        </w:rPr>
        <w:t>Iniziative che spetta, dunque, al legislatore definire e che potrebbero fungere da detonatori anche per innescare una virtuosa sinergia tra economia della conoscenza ed economia dei servizi, senza lasciare le decisioni al mercato dei più forti, per la vitale importanza che il fenomeno riveste per la democrazia di una nazione</w:t>
      </w:r>
      <w:r w:rsidR="002304CD" w:rsidRPr="001A0DC7">
        <w:rPr>
          <w:rFonts w:ascii="Goudy Old Style" w:hAnsi="Goudy Old Style"/>
          <w:sz w:val="21"/>
          <w:szCs w:val="21"/>
        </w:rPr>
        <w:t>.</w:t>
      </w:r>
    </w:p>
    <w:p w:rsidR="00026F68" w:rsidRPr="001A0DC7" w:rsidRDefault="00026F68" w:rsidP="00D47D5E">
      <w:pPr>
        <w:spacing w:after="0" w:line="240" w:lineRule="auto"/>
        <w:rPr>
          <w:rFonts w:ascii="Goudy Old Style" w:hAnsi="Goudy Old Style" w:cs="Times New Roman"/>
          <w:sz w:val="21"/>
          <w:szCs w:val="21"/>
        </w:rPr>
      </w:pPr>
    </w:p>
    <w:p w:rsidR="00026F68" w:rsidRPr="001A0DC7" w:rsidRDefault="00026F68" w:rsidP="00D47D5E">
      <w:pPr>
        <w:pStyle w:val="PreformattatoHTML"/>
        <w:jc w:val="both"/>
        <w:textAlignment w:val="baseline"/>
        <w:rPr>
          <w:rFonts w:ascii="Goudy Old Style" w:hAnsi="Goudy Old Style" w:cs="Times New Roman"/>
          <w:sz w:val="21"/>
          <w:szCs w:val="21"/>
        </w:rPr>
      </w:pPr>
    </w:p>
    <w:p w:rsidR="00EC061F" w:rsidRPr="001A0DC7" w:rsidRDefault="00EC061F" w:rsidP="00D47D5E">
      <w:pPr>
        <w:pStyle w:val="PreformattatoHTML"/>
        <w:jc w:val="both"/>
        <w:textAlignment w:val="baseline"/>
        <w:rPr>
          <w:rStyle w:val="Enfasigrassetto"/>
          <w:rFonts w:ascii="Goudy Old Style" w:hAnsi="Goudy Old Style" w:cs="Times New Roman"/>
          <w:b w:val="0"/>
          <w:sz w:val="21"/>
          <w:szCs w:val="21"/>
          <w:shd w:val="clear" w:color="auto" w:fill="FFFFFF"/>
        </w:rPr>
      </w:pPr>
    </w:p>
    <w:p w:rsidR="007F0105" w:rsidRPr="001A0DC7" w:rsidRDefault="007F0105" w:rsidP="00D47D5E">
      <w:pPr>
        <w:pStyle w:val="PreformattatoHTML"/>
        <w:jc w:val="both"/>
        <w:textAlignment w:val="baseline"/>
        <w:rPr>
          <w:rStyle w:val="Enfasigrassetto"/>
          <w:rFonts w:ascii="Goudy Old Style" w:hAnsi="Goudy Old Style" w:cs="Times New Roman"/>
          <w:b w:val="0"/>
          <w:sz w:val="21"/>
          <w:szCs w:val="21"/>
          <w:shd w:val="clear" w:color="auto" w:fill="FFFFFF"/>
        </w:rPr>
      </w:pPr>
    </w:p>
    <w:p w:rsidR="00B24237" w:rsidRPr="001A0DC7" w:rsidRDefault="00B24237" w:rsidP="00D47D5E">
      <w:pPr>
        <w:pStyle w:val="PreformattatoHTML"/>
        <w:jc w:val="both"/>
        <w:textAlignment w:val="baseline"/>
        <w:rPr>
          <w:rStyle w:val="Enfasigrassetto"/>
          <w:rFonts w:ascii="Goudy Old Style" w:hAnsi="Goudy Old Style" w:cs="Times New Roman"/>
          <w:sz w:val="21"/>
          <w:szCs w:val="21"/>
        </w:rPr>
      </w:pPr>
    </w:p>
    <w:p w:rsidR="00BC1485" w:rsidRPr="00BC1485" w:rsidRDefault="00BC1485" w:rsidP="00BC1485">
      <w:pPr>
        <w:pStyle w:val="NormaleWeb"/>
        <w:shd w:val="clear" w:color="auto" w:fill="FFFFFF"/>
        <w:spacing w:before="0" w:beforeAutospacing="0" w:after="0" w:afterAutospacing="0"/>
        <w:jc w:val="right"/>
        <w:rPr>
          <w:rFonts w:ascii="Goudy Old Style" w:hAnsi="Goudy Old Style"/>
          <w:b/>
          <w:sz w:val="28"/>
          <w:szCs w:val="28"/>
        </w:rPr>
      </w:pPr>
      <w:r w:rsidRPr="00BC1485">
        <w:rPr>
          <w:rFonts w:ascii="Goudy Old Style" w:hAnsi="Goudy Old Style"/>
          <w:b/>
          <w:sz w:val="28"/>
          <w:szCs w:val="28"/>
        </w:rPr>
        <w:t xml:space="preserve"> </w:t>
      </w:r>
      <w:r w:rsidRPr="00BC1485">
        <w:rPr>
          <w:rFonts w:ascii="Goudy Old Style" w:hAnsi="Goudy Old Style"/>
          <w:b/>
          <w:sz w:val="28"/>
          <w:szCs w:val="28"/>
        </w:rPr>
        <w:t>Brunella Bruno</w:t>
      </w:r>
    </w:p>
    <w:p w:rsidR="00BC1485" w:rsidRPr="00BC1485" w:rsidRDefault="00BC1485" w:rsidP="00BC1485">
      <w:pPr>
        <w:pStyle w:val="NormaleWeb"/>
        <w:shd w:val="clear" w:color="auto" w:fill="FFFFFF"/>
        <w:spacing w:before="0" w:beforeAutospacing="0" w:after="0" w:afterAutospacing="0"/>
        <w:jc w:val="right"/>
        <w:rPr>
          <w:rFonts w:ascii="Goudy Old Style" w:hAnsi="Goudy Old Style"/>
          <w:b/>
          <w:sz w:val="28"/>
          <w:szCs w:val="28"/>
        </w:rPr>
      </w:pPr>
      <w:r w:rsidRPr="00BC1485">
        <w:rPr>
          <w:rFonts w:ascii="Goudy Old Style" w:hAnsi="Goudy Old Style"/>
          <w:b/>
          <w:sz w:val="28"/>
          <w:szCs w:val="28"/>
        </w:rPr>
        <w:t>Consigliere di Stato</w:t>
      </w:r>
    </w:p>
    <w:p w:rsidR="00BC1485" w:rsidRPr="00BC1485" w:rsidRDefault="00BC1485" w:rsidP="00BC1485">
      <w:pPr>
        <w:pStyle w:val="NormaleWeb"/>
        <w:shd w:val="clear" w:color="auto" w:fill="FFFFFF"/>
        <w:spacing w:before="0" w:beforeAutospacing="0" w:after="0" w:afterAutospacing="0"/>
        <w:jc w:val="right"/>
        <w:rPr>
          <w:rFonts w:ascii="Goudy Old Style" w:hAnsi="Goudy Old Style"/>
          <w:sz w:val="23"/>
          <w:szCs w:val="23"/>
        </w:rPr>
      </w:pPr>
      <w:r w:rsidRPr="00BC1485">
        <w:rPr>
          <w:rFonts w:ascii="Goudy Old Style" w:hAnsi="Goudy Old Style"/>
          <w:sz w:val="23"/>
          <w:szCs w:val="23"/>
        </w:rPr>
        <w:t>Pubblicato l’11 febbraio 2022</w:t>
      </w:r>
    </w:p>
    <w:p w:rsidR="00FE06DF" w:rsidRPr="001A0DC7" w:rsidRDefault="00FE06DF" w:rsidP="00D47D5E">
      <w:pPr>
        <w:pStyle w:val="NormaleWeb"/>
        <w:shd w:val="clear" w:color="auto" w:fill="FFFFFF"/>
        <w:spacing w:before="0" w:beforeAutospacing="0" w:after="0" w:afterAutospacing="0"/>
        <w:jc w:val="both"/>
        <w:rPr>
          <w:rFonts w:ascii="Goudy Old Style" w:hAnsi="Goudy Old Style"/>
          <w:sz w:val="21"/>
          <w:szCs w:val="21"/>
          <w:shd w:val="clear" w:color="auto" w:fill="FFFFFF"/>
        </w:rPr>
      </w:pPr>
    </w:p>
    <w:p w:rsidR="002B6C29" w:rsidRPr="001A0DC7" w:rsidRDefault="002B6C29" w:rsidP="00D47D5E">
      <w:pPr>
        <w:pStyle w:val="NormaleWeb"/>
        <w:shd w:val="clear" w:color="auto" w:fill="FFFFFF"/>
        <w:spacing w:before="0" w:beforeAutospacing="0" w:after="0" w:afterAutospacing="0"/>
        <w:jc w:val="both"/>
        <w:rPr>
          <w:rFonts w:ascii="Goudy Old Style" w:hAnsi="Goudy Old Style"/>
          <w:sz w:val="21"/>
          <w:szCs w:val="21"/>
        </w:rPr>
      </w:pPr>
    </w:p>
    <w:p w:rsidR="00FE06DF" w:rsidRPr="001A0DC7" w:rsidRDefault="00FE06DF" w:rsidP="00D47D5E">
      <w:pPr>
        <w:pStyle w:val="NormaleWeb"/>
        <w:shd w:val="clear" w:color="auto" w:fill="FFFFFF"/>
        <w:spacing w:before="0" w:beforeAutospacing="0" w:after="0" w:afterAutospacing="0"/>
        <w:jc w:val="both"/>
        <w:rPr>
          <w:rFonts w:ascii="Goudy Old Style" w:hAnsi="Goudy Old Style"/>
          <w:sz w:val="21"/>
          <w:szCs w:val="21"/>
        </w:rPr>
      </w:pPr>
    </w:p>
    <w:p w:rsidR="00FE06DF" w:rsidRPr="001A0DC7" w:rsidRDefault="00FE06DF" w:rsidP="00D47D5E">
      <w:pPr>
        <w:pStyle w:val="NormaleWeb"/>
        <w:shd w:val="clear" w:color="auto" w:fill="FFFFFF"/>
        <w:spacing w:before="0" w:beforeAutospacing="0" w:after="0" w:afterAutospacing="0"/>
        <w:jc w:val="both"/>
        <w:rPr>
          <w:rFonts w:ascii="Goudy Old Style" w:hAnsi="Goudy Old Style"/>
          <w:sz w:val="21"/>
          <w:szCs w:val="21"/>
        </w:rPr>
      </w:pPr>
    </w:p>
    <w:sectPr w:rsidR="00FE06DF" w:rsidRPr="001A0DC7">
      <w:footerReference w:type="default" r:id="rId8"/>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A7B89" w:rsidRDefault="002A7B89" w:rsidP="005356C1">
      <w:pPr>
        <w:spacing w:after="0" w:line="240" w:lineRule="auto"/>
      </w:pPr>
      <w:r>
        <w:separator/>
      </w:r>
    </w:p>
  </w:endnote>
  <w:endnote w:type="continuationSeparator" w:id="0">
    <w:p w:rsidR="002A7B89" w:rsidRDefault="002A7B89" w:rsidP="005356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oudy Old Style">
    <w:panose1 w:val="02020502050305020303"/>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EUAlbertina">
    <w:altName w:val="Calibri"/>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87951489"/>
      <w:docPartObj>
        <w:docPartGallery w:val="Page Numbers (Bottom of Page)"/>
        <w:docPartUnique/>
      </w:docPartObj>
    </w:sdtPr>
    <w:sdtEndPr>
      <w:rPr>
        <w:sz w:val="16"/>
        <w:szCs w:val="16"/>
      </w:rPr>
    </w:sdtEndPr>
    <w:sdtContent>
      <w:p w:rsidR="007A6077" w:rsidRPr="00BC35E1" w:rsidRDefault="007A6077">
        <w:pPr>
          <w:pStyle w:val="Pidipagina"/>
          <w:jc w:val="center"/>
          <w:rPr>
            <w:sz w:val="16"/>
            <w:szCs w:val="16"/>
          </w:rPr>
        </w:pPr>
        <w:r w:rsidRPr="00BC35E1">
          <w:rPr>
            <w:sz w:val="16"/>
            <w:szCs w:val="16"/>
          </w:rPr>
          <w:fldChar w:fldCharType="begin"/>
        </w:r>
        <w:r w:rsidRPr="00BC35E1">
          <w:rPr>
            <w:sz w:val="16"/>
            <w:szCs w:val="16"/>
          </w:rPr>
          <w:instrText>PAGE   \* MERGEFORMAT</w:instrText>
        </w:r>
        <w:r w:rsidRPr="00BC35E1">
          <w:rPr>
            <w:sz w:val="16"/>
            <w:szCs w:val="16"/>
          </w:rPr>
          <w:fldChar w:fldCharType="separate"/>
        </w:r>
        <w:r w:rsidR="00BC1485">
          <w:rPr>
            <w:noProof/>
            <w:sz w:val="16"/>
            <w:szCs w:val="16"/>
          </w:rPr>
          <w:t>1</w:t>
        </w:r>
        <w:r w:rsidRPr="00BC35E1">
          <w:rPr>
            <w:sz w:val="16"/>
            <w:szCs w:val="16"/>
          </w:rPr>
          <w:fldChar w:fldCharType="end"/>
        </w:r>
      </w:p>
    </w:sdtContent>
  </w:sdt>
  <w:p w:rsidR="007A6077" w:rsidRDefault="007A6077">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A7B89" w:rsidRDefault="002A7B89" w:rsidP="005356C1">
      <w:pPr>
        <w:spacing w:after="0" w:line="240" w:lineRule="auto"/>
      </w:pPr>
      <w:r>
        <w:separator/>
      </w:r>
    </w:p>
  </w:footnote>
  <w:footnote w:type="continuationSeparator" w:id="0">
    <w:p w:rsidR="002A7B89" w:rsidRDefault="002A7B89" w:rsidP="005356C1">
      <w:pPr>
        <w:spacing w:after="0" w:line="240" w:lineRule="auto"/>
      </w:pPr>
      <w:r>
        <w:continuationSeparator/>
      </w:r>
    </w:p>
  </w:footnote>
  <w:footnote w:id="1">
    <w:p w:rsidR="005B3141" w:rsidRDefault="005B3141" w:rsidP="00A718A0">
      <w:pPr>
        <w:pStyle w:val="doc-ti"/>
        <w:shd w:val="clear" w:color="auto" w:fill="FFFFFF"/>
        <w:spacing w:before="0" w:beforeAutospacing="0" w:after="0" w:afterAutospacing="0"/>
        <w:jc w:val="both"/>
        <w:rPr>
          <w:rFonts w:ascii="Goudy Old Style" w:hAnsi="Goudy Old Style"/>
          <w:sz w:val="17"/>
          <w:szCs w:val="17"/>
        </w:rPr>
      </w:pPr>
      <w:r>
        <w:rPr>
          <w:rFonts w:ascii="Goudy Old Style" w:hAnsi="Goudy Old Style"/>
          <w:sz w:val="17"/>
          <w:szCs w:val="17"/>
        </w:rPr>
        <w:t>* Articolo pubblicato sulla Rivista “Diritto di Internet”, n. 1 del 2022</w:t>
      </w:r>
    </w:p>
    <w:p w:rsidR="007A6077" w:rsidRPr="00C44211" w:rsidRDefault="007A6077" w:rsidP="00A718A0">
      <w:pPr>
        <w:pStyle w:val="doc-ti"/>
        <w:shd w:val="clear" w:color="auto" w:fill="FFFFFF"/>
        <w:spacing w:before="0" w:beforeAutospacing="0" w:after="0" w:afterAutospacing="0"/>
        <w:jc w:val="both"/>
        <w:rPr>
          <w:rFonts w:ascii="Goudy Old Style" w:hAnsi="Goudy Old Style"/>
          <w:bCs/>
          <w:color w:val="000000" w:themeColor="text1"/>
          <w:sz w:val="17"/>
          <w:szCs w:val="17"/>
        </w:rPr>
      </w:pPr>
      <w:r w:rsidRPr="00C44211">
        <w:rPr>
          <w:rStyle w:val="Rimandonotaapidipagina"/>
          <w:rFonts w:ascii="Goudy Old Style" w:hAnsi="Goudy Old Style"/>
          <w:sz w:val="17"/>
          <w:szCs w:val="17"/>
        </w:rPr>
        <w:footnoteRef/>
      </w:r>
      <w:r w:rsidRPr="00C44211">
        <w:rPr>
          <w:rFonts w:ascii="Goudy Old Style" w:hAnsi="Goudy Old Style"/>
          <w:sz w:val="17"/>
          <w:szCs w:val="17"/>
        </w:rPr>
        <w:t xml:space="preserve"> Qualche dato può agevolare l’analisi: a) nel 2020 sono state accumulate più informazioni di quante ne siano state accu</w:t>
      </w:r>
      <w:r w:rsidR="00991E65">
        <w:rPr>
          <w:rFonts w:ascii="Goudy Old Style" w:hAnsi="Goudy Old Style"/>
          <w:sz w:val="17"/>
          <w:szCs w:val="17"/>
        </w:rPr>
        <w:t>mu</w:t>
      </w:r>
      <w:r w:rsidRPr="00C44211">
        <w:rPr>
          <w:rFonts w:ascii="Goudy Old Style" w:hAnsi="Goudy Old Style"/>
          <w:sz w:val="17"/>
          <w:szCs w:val="17"/>
        </w:rPr>
        <w:t>late nella storia sino al 2019 ed entro il 2030 la quantità di dati generati raddoppierà in dodici ore; b) nel 1991 il costo di 1 GB era di 7 mila dollari mentre il costo attuale è di appena 0,01 dollari (dati, questi, richiamati dal Presidente del Centro di coordinamento nazionale dei Comitati etici, Carlo Petrini, nella relazione tenuta in occasione del convegno “</w:t>
      </w:r>
      <w:r w:rsidRPr="00C44211">
        <w:rPr>
          <w:rFonts w:ascii="Goudy Old Style" w:hAnsi="Goudy Old Style"/>
          <w:i/>
          <w:sz w:val="17"/>
          <w:szCs w:val="17"/>
        </w:rPr>
        <w:t>Progresso tecnologico e cure. L’innovazione tra sapienza, urgenza e pazienza</w:t>
      </w:r>
      <w:r w:rsidRPr="00C44211">
        <w:rPr>
          <w:rFonts w:ascii="Goudy Old Style" w:hAnsi="Goudy Old Style"/>
          <w:sz w:val="17"/>
          <w:szCs w:val="17"/>
        </w:rPr>
        <w:t xml:space="preserve">”, organizzato dalla Fondazione </w:t>
      </w:r>
      <w:proofErr w:type="spellStart"/>
      <w:r w:rsidRPr="00C44211">
        <w:rPr>
          <w:rFonts w:ascii="Goudy Old Style" w:hAnsi="Goudy Old Style"/>
          <w:sz w:val="17"/>
          <w:szCs w:val="17"/>
        </w:rPr>
        <w:t>Noopolis</w:t>
      </w:r>
      <w:proofErr w:type="spellEnd"/>
      <w:r w:rsidRPr="00C44211">
        <w:rPr>
          <w:rFonts w:ascii="Goudy Old Style" w:hAnsi="Goudy Old Style"/>
          <w:sz w:val="17"/>
          <w:szCs w:val="17"/>
        </w:rPr>
        <w:t xml:space="preserve"> il 13 novembre 2021; cfr. anche il report “</w:t>
      </w:r>
      <w:r w:rsidRPr="00C44211">
        <w:rPr>
          <w:rFonts w:ascii="Goudy Old Style" w:hAnsi="Goudy Old Style"/>
          <w:i/>
          <w:sz w:val="17"/>
          <w:szCs w:val="17"/>
        </w:rPr>
        <w:t xml:space="preserve">National and </w:t>
      </w:r>
      <w:proofErr w:type="spellStart"/>
      <w:r w:rsidRPr="00C44211">
        <w:rPr>
          <w:rFonts w:ascii="Goudy Old Style" w:hAnsi="Goudy Old Style"/>
          <w:i/>
          <w:sz w:val="17"/>
          <w:szCs w:val="17"/>
        </w:rPr>
        <w:t>Transnational</w:t>
      </w:r>
      <w:proofErr w:type="spellEnd"/>
      <w:r w:rsidRPr="00C44211">
        <w:rPr>
          <w:rFonts w:ascii="Goudy Old Style" w:hAnsi="Goudy Old Style"/>
          <w:i/>
          <w:sz w:val="17"/>
          <w:szCs w:val="17"/>
        </w:rPr>
        <w:t xml:space="preserve"> Security </w:t>
      </w:r>
      <w:proofErr w:type="spellStart"/>
      <w:r w:rsidRPr="00C44211">
        <w:rPr>
          <w:rFonts w:ascii="Goudy Old Style" w:hAnsi="Goudy Old Style"/>
          <w:i/>
          <w:sz w:val="17"/>
          <w:szCs w:val="17"/>
        </w:rPr>
        <w:t>Implications</w:t>
      </w:r>
      <w:proofErr w:type="spellEnd"/>
      <w:r w:rsidRPr="00C44211">
        <w:rPr>
          <w:rFonts w:ascii="Goudy Old Style" w:hAnsi="Goudy Old Style"/>
          <w:i/>
          <w:sz w:val="17"/>
          <w:szCs w:val="17"/>
        </w:rPr>
        <w:t xml:space="preserve"> of Big Data in the Life </w:t>
      </w:r>
      <w:proofErr w:type="spellStart"/>
      <w:r w:rsidRPr="00C44211">
        <w:rPr>
          <w:rFonts w:ascii="Goudy Old Style" w:hAnsi="Goudy Old Style"/>
          <w:i/>
          <w:sz w:val="17"/>
          <w:szCs w:val="17"/>
        </w:rPr>
        <w:t>Sciences</w:t>
      </w:r>
      <w:proofErr w:type="spellEnd"/>
      <w:r w:rsidRPr="00C44211">
        <w:rPr>
          <w:rFonts w:ascii="Goudy Old Style" w:hAnsi="Goudy Old Style"/>
          <w:i/>
          <w:sz w:val="17"/>
          <w:szCs w:val="17"/>
        </w:rPr>
        <w:t>”</w:t>
      </w:r>
      <w:r w:rsidRPr="00C44211">
        <w:rPr>
          <w:rFonts w:ascii="Goudy Old Style" w:hAnsi="Goudy Old Style"/>
          <w:sz w:val="17"/>
          <w:szCs w:val="17"/>
        </w:rPr>
        <w:t xml:space="preserve"> – predisposto dall’American </w:t>
      </w:r>
      <w:proofErr w:type="spellStart"/>
      <w:r w:rsidRPr="00C44211">
        <w:rPr>
          <w:rFonts w:ascii="Goudy Old Style" w:hAnsi="Goudy Old Style"/>
          <w:sz w:val="17"/>
          <w:szCs w:val="17"/>
        </w:rPr>
        <w:t>Association</w:t>
      </w:r>
      <w:proofErr w:type="spellEnd"/>
      <w:r w:rsidRPr="00C44211">
        <w:rPr>
          <w:rFonts w:ascii="Goudy Old Style" w:hAnsi="Goudy Old Style"/>
          <w:sz w:val="17"/>
          <w:szCs w:val="17"/>
        </w:rPr>
        <w:t xml:space="preserve"> for the </w:t>
      </w:r>
      <w:proofErr w:type="spellStart"/>
      <w:r w:rsidRPr="00C44211">
        <w:rPr>
          <w:rFonts w:ascii="Goudy Old Style" w:hAnsi="Goudy Old Style"/>
          <w:sz w:val="17"/>
          <w:szCs w:val="17"/>
        </w:rPr>
        <w:t>Advancement</w:t>
      </w:r>
      <w:proofErr w:type="spellEnd"/>
      <w:r w:rsidRPr="00C44211">
        <w:rPr>
          <w:rFonts w:ascii="Goudy Old Style" w:hAnsi="Goudy Old Style"/>
          <w:sz w:val="17"/>
          <w:szCs w:val="17"/>
        </w:rPr>
        <w:t xml:space="preserve"> of Science (AAAS) Center for Science, Technology, and Security Policy (CSTSP), dal </w:t>
      </w:r>
      <w:proofErr w:type="spellStart"/>
      <w:r w:rsidRPr="00C44211">
        <w:rPr>
          <w:rFonts w:ascii="Goudy Old Style" w:hAnsi="Goudy Old Style"/>
          <w:sz w:val="17"/>
          <w:szCs w:val="17"/>
        </w:rPr>
        <w:t>Biological</w:t>
      </w:r>
      <w:proofErr w:type="spellEnd"/>
      <w:r w:rsidRPr="00C44211">
        <w:rPr>
          <w:rFonts w:ascii="Goudy Old Style" w:hAnsi="Goudy Old Style"/>
          <w:sz w:val="17"/>
          <w:szCs w:val="17"/>
        </w:rPr>
        <w:t xml:space="preserve"> </w:t>
      </w:r>
      <w:proofErr w:type="spellStart"/>
      <w:r w:rsidRPr="00C44211">
        <w:rPr>
          <w:rFonts w:ascii="Goudy Old Style" w:hAnsi="Goudy Old Style"/>
          <w:sz w:val="17"/>
          <w:szCs w:val="17"/>
        </w:rPr>
        <w:t>Countermeasures</w:t>
      </w:r>
      <w:proofErr w:type="spellEnd"/>
      <w:r w:rsidRPr="00C44211">
        <w:rPr>
          <w:rFonts w:ascii="Goudy Old Style" w:hAnsi="Goudy Old Style"/>
          <w:sz w:val="17"/>
          <w:szCs w:val="17"/>
        </w:rPr>
        <w:t xml:space="preserve"> Unit of the Federal Bureau of </w:t>
      </w:r>
      <w:proofErr w:type="spellStart"/>
      <w:r w:rsidRPr="00C44211">
        <w:rPr>
          <w:rFonts w:ascii="Goudy Old Style" w:hAnsi="Goudy Old Style"/>
          <w:sz w:val="17"/>
          <w:szCs w:val="17"/>
        </w:rPr>
        <w:t>Investigation</w:t>
      </w:r>
      <w:proofErr w:type="spellEnd"/>
      <w:r w:rsidRPr="00C44211">
        <w:rPr>
          <w:rFonts w:ascii="Goudy Old Style" w:hAnsi="Goudy Old Style"/>
          <w:sz w:val="17"/>
          <w:szCs w:val="17"/>
        </w:rPr>
        <w:t xml:space="preserve"> </w:t>
      </w:r>
      <w:proofErr w:type="spellStart"/>
      <w:r w:rsidRPr="00C44211">
        <w:rPr>
          <w:rFonts w:ascii="Goudy Old Style" w:hAnsi="Goudy Old Style"/>
          <w:sz w:val="17"/>
          <w:szCs w:val="17"/>
        </w:rPr>
        <w:t>Weapons</w:t>
      </w:r>
      <w:proofErr w:type="spellEnd"/>
      <w:r w:rsidRPr="00C44211">
        <w:rPr>
          <w:rFonts w:ascii="Goudy Old Style" w:hAnsi="Goudy Old Style"/>
          <w:sz w:val="17"/>
          <w:szCs w:val="17"/>
        </w:rPr>
        <w:t xml:space="preserve"> of Mass </w:t>
      </w:r>
      <w:proofErr w:type="spellStart"/>
      <w:r w:rsidRPr="00C44211">
        <w:rPr>
          <w:rFonts w:ascii="Goudy Old Style" w:hAnsi="Goudy Old Style"/>
          <w:sz w:val="17"/>
          <w:szCs w:val="17"/>
        </w:rPr>
        <w:t>Destruction</w:t>
      </w:r>
      <w:proofErr w:type="spellEnd"/>
      <w:r w:rsidRPr="00C44211">
        <w:rPr>
          <w:rFonts w:ascii="Goudy Old Style" w:hAnsi="Goudy Old Style"/>
          <w:sz w:val="17"/>
          <w:szCs w:val="17"/>
        </w:rPr>
        <w:t xml:space="preserve"> </w:t>
      </w:r>
      <w:proofErr w:type="spellStart"/>
      <w:r w:rsidRPr="00C44211">
        <w:rPr>
          <w:rFonts w:ascii="Goudy Old Style" w:hAnsi="Goudy Old Style"/>
          <w:sz w:val="17"/>
          <w:szCs w:val="17"/>
        </w:rPr>
        <w:t>Directorate</w:t>
      </w:r>
      <w:proofErr w:type="spellEnd"/>
      <w:r w:rsidRPr="00C44211">
        <w:rPr>
          <w:rFonts w:ascii="Goudy Old Style" w:hAnsi="Goudy Old Style"/>
          <w:sz w:val="17"/>
          <w:szCs w:val="17"/>
        </w:rPr>
        <w:t xml:space="preserve"> (FBI/WMDD/BCU), e dall’</w:t>
      </w:r>
      <w:proofErr w:type="spellStart"/>
      <w:r w:rsidRPr="00C44211">
        <w:rPr>
          <w:rFonts w:ascii="Goudy Old Style" w:hAnsi="Goudy Old Style"/>
          <w:sz w:val="17"/>
          <w:szCs w:val="17"/>
        </w:rPr>
        <w:t>United</w:t>
      </w:r>
      <w:proofErr w:type="spellEnd"/>
      <w:r w:rsidRPr="00C44211">
        <w:rPr>
          <w:rFonts w:ascii="Goudy Old Style" w:hAnsi="Goudy Old Style"/>
          <w:sz w:val="17"/>
          <w:szCs w:val="17"/>
        </w:rPr>
        <w:t xml:space="preserve"> Nations </w:t>
      </w:r>
      <w:proofErr w:type="spellStart"/>
      <w:r w:rsidRPr="00C44211">
        <w:rPr>
          <w:rFonts w:ascii="Goudy Old Style" w:hAnsi="Goudy Old Style"/>
          <w:sz w:val="17"/>
          <w:szCs w:val="17"/>
        </w:rPr>
        <w:t>Interregional</w:t>
      </w:r>
      <w:proofErr w:type="spellEnd"/>
      <w:r w:rsidRPr="00C44211">
        <w:rPr>
          <w:rFonts w:ascii="Goudy Old Style" w:hAnsi="Goudy Old Style"/>
          <w:sz w:val="17"/>
          <w:szCs w:val="17"/>
        </w:rPr>
        <w:t xml:space="preserve"> Crime and </w:t>
      </w:r>
      <w:proofErr w:type="spellStart"/>
      <w:r w:rsidRPr="00C44211">
        <w:rPr>
          <w:rFonts w:ascii="Goudy Old Style" w:hAnsi="Goudy Old Style"/>
          <w:sz w:val="17"/>
          <w:szCs w:val="17"/>
        </w:rPr>
        <w:t>Justice</w:t>
      </w:r>
      <w:proofErr w:type="spellEnd"/>
      <w:r w:rsidRPr="00C44211">
        <w:rPr>
          <w:rFonts w:ascii="Goudy Old Style" w:hAnsi="Goudy Old Style"/>
          <w:sz w:val="17"/>
          <w:szCs w:val="17"/>
        </w:rPr>
        <w:t xml:space="preserve"> </w:t>
      </w:r>
      <w:proofErr w:type="spellStart"/>
      <w:r w:rsidRPr="00C44211">
        <w:rPr>
          <w:rFonts w:ascii="Goudy Old Style" w:hAnsi="Goudy Old Style"/>
          <w:sz w:val="17"/>
          <w:szCs w:val="17"/>
        </w:rPr>
        <w:t>Research</w:t>
      </w:r>
      <w:proofErr w:type="spellEnd"/>
      <w:r w:rsidRPr="00C44211">
        <w:rPr>
          <w:rFonts w:ascii="Goudy Old Style" w:hAnsi="Goudy Old Style"/>
          <w:sz w:val="17"/>
          <w:szCs w:val="17"/>
        </w:rPr>
        <w:t xml:space="preserve"> </w:t>
      </w:r>
      <w:proofErr w:type="spellStart"/>
      <w:r w:rsidRPr="00C44211">
        <w:rPr>
          <w:rFonts w:ascii="Goudy Old Style" w:hAnsi="Goudy Old Style"/>
          <w:sz w:val="17"/>
          <w:szCs w:val="17"/>
        </w:rPr>
        <w:t>Institute</w:t>
      </w:r>
      <w:proofErr w:type="spellEnd"/>
      <w:r w:rsidRPr="00C44211">
        <w:rPr>
          <w:rFonts w:ascii="Goudy Old Style" w:hAnsi="Goudy Old Style"/>
          <w:sz w:val="17"/>
          <w:szCs w:val="17"/>
        </w:rPr>
        <w:t xml:space="preserve"> (UNICRI) – reperibile al link </w:t>
      </w:r>
      <w:r w:rsidR="00562F9A" w:rsidRPr="00C44211">
        <w:rPr>
          <w:rFonts w:ascii="Goudy Old Style" w:hAnsi="Goudy Old Style"/>
          <w:sz w:val="17"/>
          <w:szCs w:val="17"/>
        </w:rPr>
        <w:t>&lt;</w:t>
      </w:r>
      <w:hyperlink r:id="rId1" w:history="1">
        <w:r w:rsidRPr="00C44211">
          <w:rPr>
            <w:rStyle w:val="Collegamentoipertestuale"/>
            <w:rFonts w:ascii="Goudy Old Style" w:hAnsi="Goudy Old Style"/>
            <w:sz w:val="17"/>
            <w:szCs w:val="17"/>
          </w:rPr>
          <w:t>http://www.aaas.org/sites/default/files/AAAS-FBI-UNICRI_Big_Data_Report_111014.pdf</w:t>
        </w:r>
      </w:hyperlink>
      <w:r w:rsidR="00562F9A" w:rsidRPr="00C44211">
        <w:rPr>
          <w:rStyle w:val="Collegamentoipertestuale"/>
          <w:rFonts w:ascii="Goudy Old Style" w:hAnsi="Goudy Old Style"/>
          <w:sz w:val="17"/>
          <w:szCs w:val="17"/>
        </w:rPr>
        <w:t>&gt;</w:t>
      </w:r>
      <w:r w:rsidRPr="00C44211">
        <w:rPr>
          <w:rFonts w:ascii="Goudy Old Style" w:hAnsi="Goudy Old Style"/>
          <w:sz w:val="17"/>
          <w:szCs w:val="17"/>
        </w:rPr>
        <w:t xml:space="preserve">); c) la “galassia” </w:t>
      </w:r>
      <w:proofErr w:type="spellStart"/>
      <w:r w:rsidRPr="00C44211">
        <w:rPr>
          <w:rFonts w:ascii="Goudy Old Style" w:hAnsi="Goudy Old Style"/>
          <w:sz w:val="17"/>
          <w:szCs w:val="17"/>
        </w:rPr>
        <w:t>Fecebook</w:t>
      </w:r>
      <w:proofErr w:type="spellEnd"/>
      <w:r w:rsidRPr="00C44211">
        <w:rPr>
          <w:rFonts w:ascii="Goudy Old Style" w:hAnsi="Goudy Old Style"/>
          <w:sz w:val="17"/>
          <w:szCs w:val="17"/>
        </w:rPr>
        <w:t xml:space="preserve"> - ovvero </w:t>
      </w:r>
      <w:proofErr w:type="spellStart"/>
      <w:r w:rsidRPr="00C44211">
        <w:rPr>
          <w:rFonts w:ascii="Goudy Old Style" w:hAnsi="Goudy Old Style"/>
          <w:sz w:val="17"/>
          <w:szCs w:val="17"/>
        </w:rPr>
        <w:t>Facebook</w:t>
      </w:r>
      <w:proofErr w:type="spellEnd"/>
      <w:r w:rsidRPr="00C44211">
        <w:rPr>
          <w:rFonts w:ascii="Goudy Old Style" w:hAnsi="Goudy Old Style"/>
          <w:sz w:val="17"/>
          <w:szCs w:val="17"/>
        </w:rPr>
        <w:t xml:space="preserve">, </w:t>
      </w:r>
      <w:proofErr w:type="spellStart"/>
      <w:r w:rsidRPr="00C44211">
        <w:rPr>
          <w:rFonts w:ascii="Goudy Old Style" w:hAnsi="Goudy Old Style"/>
          <w:sz w:val="17"/>
          <w:szCs w:val="17"/>
        </w:rPr>
        <w:t>WhatsApp</w:t>
      </w:r>
      <w:proofErr w:type="spellEnd"/>
      <w:r w:rsidRPr="00C44211">
        <w:rPr>
          <w:rFonts w:ascii="Goudy Old Style" w:hAnsi="Goudy Old Style"/>
          <w:sz w:val="17"/>
          <w:szCs w:val="17"/>
        </w:rPr>
        <w:t xml:space="preserve">, </w:t>
      </w:r>
      <w:proofErr w:type="spellStart"/>
      <w:r w:rsidRPr="00C44211">
        <w:rPr>
          <w:rFonts w:ascii="Goudy Old Style" w:hAnsi="Goudy Old Style"/>
          <w:sz w:val="17"/>
          <w:szCs w:val="17"/>
        </w:rPr>
        <w:t>Instagram</w:t>
      </w:r>
      <w:proofErr w:type="spellEnd"/>
      <w:r w:rsidRPr="00C44211">
        <w:rPr>
          <w:rFonts w:ascii="Goudy Old Style" w:hAnsi="Goudy Old Style"/>
          <w:sz w:val="17"/>
          <w:szCs w:val="17"/>
        </w:rPr>
        <w:t xml:space="preserve"> e Messenger - conta circa 2,8 miliardi di utenti mensili attivi, dei quali 1,84 miliardi attivi quotidianamente,  e solo nell’ultimo quadrimestre del 2020 ha generalato 27,2 miliardi di dollari attraverso le inserzioni; d) in Italia 38,4 milioni sono gli utenti di </w:t>
      </w:r>
      <w:proofErr w:type="spellStart"/>
      <w:r w:rsidRPr="00C44211">
        <w:rPr>
          <w:rFonts w:ascii="Goudy Old Style" w:hAnsi="Goudy Old Style"/>
          <w:sz w:val="17"/>
          <w:szCs w:val="17"/>
        </w:rPr>
        <w:t>Facebook</w:t>
      </w:r>
      <w:proofErr w:type="spellEnd"/>
      <w:r w:rsidRPr="00C44211">
        <w:rPr>
          <w:rFonts w:ascii="Goudy Old Style" w:hAnsi="Goudy Old Style"/>
          <w:sz w:val="17"/>
          <w:szCs w:val="17"/>
        </w:rPr>
        <w:t xml:space="preserve">, 36,1 milioni quelli di </w:t>
      </w:r>
      <w:proofErr w:type="spellStart"/>
      <w:r w:rsidRPr="00C44211">
        <w:rPr>
          <w:rFonts w:ascii="Goudy Old Style" w:hAnsi="Goudy Old Style"/>
          <w:sz w:val="17"/>
          <w:szCs w:val="17"/>
        </w:rPr>
        <w:t>Youtube</w:t>
      </w:r>
      <w:proofErr w:type="spellEnd"/>
      <w:r w:rsidRPr="00C44211">
        <w:rPr>
          <w:rFonts w:ascii="Goudy Old Style" w:hAnsi="Goudy Old Style"/>
          <w:sz w:val="17"/>
          <w:szCs w:val="17"/>
        </w:rPr>
        <w:t xml:space="preserve">, 28,8 milioni quelli di </w:t>
      </w:r>
      <w:proofErr w:type="spellStart"/>
      <w:r w:rsidRPr="00C44211">
        <w:rPr>
          <w:rFonts w:ascii="Goudy Old Style" w:hAnsi="Goudy Old Style"/>
          <w:sz w:val="17"/>
          <w:szCs w:val="17"/>
        </w:rPr>
        <w:t>Instagram</w:t>
      </w:r>
      <w:proofErr w:type="spellEnd"/>
      <w:r w:rsidRPr="00C44211">
        <w:rPr>
          <w:rFonts w:ascii="Goudy Old Style" w:hAnsi="Goudy Old Style"/>
          <w:sz w:val="17"/>
          <w:szCs w:val="17"/>
        </w:rPr>
        <w:t>, solo per citare i primi tre social media; secondo i dati divulgati da AGCOM, il</w:t>
      </w:r>
      <w:r w:rsidRPr="00C44211">
        <w:rPr>
          <w:rFonts w:ascii="Goudy Old Style" w:hAnsi="Goudy Old Style"/>
          <w:bCs/>
          <w:sz w:val="17"/>
          <w:szCs w:val="17"/>
        </w:rPr>
        <w:t xml:space="preserve"> tempo medio passato dagli utenti italiani su </w:t>
      </w:r>
      <w:proofErr w:type="spellStart"/>
      <w:r w:rsidRPr="00C44211">
        <w:rPr>
          <w:rFonts w:ascii="Goudy Old Style" w:hAnsi="Goudy Old Style"/>
          <w:bCs/>
          <w:sz w:val="17"/>
          <w:szCs w:val="17"/>
        </w:rPr>
        <w:t>Facebook</w:t>
      </w:r>
      <w:proofErr w:type="spellEnd"/>
      <w:r w:rsidRPr="00C44211">
        <w:rPr>
          <w:rFonts w:ascii="Goudy Old Style" w:hAnsi="Goudy Old Style"/>
          <w:bCs/>
          <w:sz w:val="17"/>
          <w:szCs w:val="17"/>
        </w:rPr>
        <w:t xml:space="preserve"> equivale a circa 50 minuti al giorno, sia pure con differenziazioni per fasce di età degli utenti (</w:t>
      </w:r>
      <w:r w:rsidR="00562F9A" w:rsidRPr="00C44211">
        <w:rPr>
          <w:rFonts w:ascii="Goudy Old Style" w:hAnsi="Goudy Old Style"/>
          <w:bCs/>
          <w:sz w:val="17"/>
          <w:szCs w:val="17"/>
        </w:rPr>
        <w:t>&lt;</w:t>
      </w:r>
      <w:hyperlink r:id="rId2" w:history="1">
        <w:r w:rsidRPr="00C44211">
          <w:rPr>
            <w:rStyle w:val="Collegamentoipertestuale"/>
            <w:rFonts w:ascii="Goudy Old Style" w:hAnsi="Goudy Old Style"/>
            <w:bCs/>
            <w:sz w:val="17"/>
            <w:szCs w:val="17"/>
          </w:rPr>
          <w:t>https://www.contenutidigitali.net/statistiche-utilizzo-social-network</w:t>
        </w:r>
      </w:hyperlink>
      <w:r w:rsidR="00562F9A" w:rsidRPr="00C44211">
        <w:rPr>
          <w:rStyle w:val="Collegamentoipertestuale"/>
          <w:rFonts w:ascii="Goudy Old Style" w:hAnsi="Goudy Old Style"/>
          <w:bCs/>
          <w:sz w:val="17"/>
          <w:szCs w:val="17"/>
        </w:rPr>
        <w:t>&gt;</w:t>
      </w:r>
      <w:r w:rsidRPr="00C44211">
        <w:rPr>
          <w:rFonts w:ascii="Goudy Old Style" w:hAnsi="Goudy Old Style"/>
          <w:bCs/>
          <w:sz w:val="17"/>
          <w:szCs w:val="17"/>
        </w:rPr>
        <w:t>. Dati al marzo 2020)</w:t>
      </w:r>
      <w:r w:rsidRPr="00C44211">
        <w:rPr>
          <w:rFonts w:ascii="Goudy Old Style" w:hAnsi="Goudy Old Style"/>
          <w:color w:val="000000" w:themeColor="text1"/>
          <w:sz w:val="17"/>
          <w:szCs w:val="17"/>
          <w:shd w:val="clear" w:color="auto" w:fill="FFFFFF"/>
        </w:rPr>
        <w:t>.</w:t>
      </w:r>
    </w:p>
  </w:footnote>
  <w:footnote w:id="2">
    <w:p w:rsidR="007A6077" w:rsidRPr="00C44211" w:rsidRDefault="007A6077" w:rsidP="00562F9A">
      <w:pPr>
        <w:pStyle w:val="doc-ti"/>
        <w:shd w:val="clear" w:color="auto" w:fill="FFFFFF"/>
        <w:spacing w:before="0" w:beforeAutospacing="0" w:after="0" w:afterAutospacing="0"/>
        <w:jc w:val="both"/>
        <w:rPr>
          <w:rFonts w:ascii="Goudy Old Style" w:hAnsi="Goudy Old Style"/>
          <w:sz w:val="17"/>
          <w:szCs w:val="17"/>
        </w:rPr>
      </w:pPr>
      <w:r w:rsidRPr="00C44211">
        <w:rPr>
          <w:rStyle w:val="Rimandonotaapidipagina"/>
          <w:rFonts w:ascii="Goudy Old Style" w:hAnsi="Goudy Old Style"/>
          <w:sz w:val="17"/>
          <w:szCs w:val="17"/>
        </w:rPr>
        <w:footnoteRef/>
      </w:r>
      <w:r w:rsidRPr="00C44211">
        <w:rPr>
          <w:rFonts w:ascii="Goudy Old Style" w:hAnsi="Goudy Old Style"/>
          <w:sz w:val="17"/>
          <w:szCs w:val="17"/>
        </w:rPr>
        <w:t xml:space="preserve"> </w:t>
      </w:r>
      <w:r w:rsidRPr="00C44211">
        <w:rPr>
          <w:rFonts w:ascii="Goudy Old Style" w:hAnsi="Goudy Old Style"/>
          <w:smallCaps/>
          <w:sz w:val="17"/>
          <w:szCs w:val="17"/>
        </w:rPr>
        <w:t>Caravita</w:t>
      </w:r>
      <w:r w:rsidRPr="00C44211">
        <w:rPr>
          <w:rFonts w:ascii="Goudy Old Style" w:hAnsi="Goudy Old Style"/>
          <w:sz w:val="17"/>
          <w:szCs w:val="17"/>
        </w:rPr>
        <w:t xml:space="preserve">, </w:t>
      </w:r>
      <w:r w:rsidRPr="00C44211">
        <w:rPr>
          <w:rFonts w:ascii="Goudy Old Style" w:hAnsi="Goudy Old Style"/>
          <w:i/>
          <w:sz w:val="17"/>
          <w:szCs w:val="17"/>
        </w:rPr>
        <w:t>Social network, formazione del consenso, istituzioni politiche: quale regolamentazione possibile?</w:t>
      </w:r>
      <w:r w:rsidRPr="00C44211">
        <w:rPr>
          <w:rFonts w:ascii="Goudy Old Style" w:hAnsi="Goudy Old Style"/>
          <w:sz w:val="17"/>
          <w:szCs w:val="17"/>
        </w:rPr>
        <w:t xml:space="preserve"> in Federalismi.it, n. 2 del 2019; l’Autore, nell’evidenziare l’inesorabile impatto dei </w:t>
      </w:r>
      <w:r w:rsidRPr="00C44211">
        <w:rPr>
          <w:rFonts w:ascii="Goudy Old Style" w:hAnsi="Goudy Old Style"/>
          <w:i/>
          <w:sz w:val="17"/>
          <w:szCs w:val="17"/>
        </w:rPr>
        <w:t>social network</w:t>
      </w:r>
      <w:r w:rsidRPr="00C44211">
        <w:rPr>
          <w:rFonts w:ascii="Goudy Old Style" w:hAnsi="Goudy Old Style"/>
          <w:sz w:val="17"/>
          <w:szCs w:val="17"/>
        </w:rPr>
        <w:t xml:space="preserve"> ha </w:t>
      </w:r>
      <w:r w:rsidR="00226233" w:rsidRPr="00C44211">
        <w:rPr>
          <w:rFonts w:ascii="Goudy Old Style" w:hAnsi="Goudy Old Style"/>
          <w:sz w:val="17"/>
          <w:szCs w:val="17"/>
        </w:rPr>
        <w:t>sottolineato</w:t>
      </w:r>
      <w:r w:rsidRPr="00C44211">
        <w:rPr>
          <w:rFonts w:ascii="Goudy Old Style" w:hAnsi="Goudy Old Style"/>
          <w:sz w:val="17"/>
          <w:szCs w:val="17"/>
        </w:rPr>
        <w:t xml:space="preserve"> che: </w:t>
      </w:r>
      <w:r w:rsidRPr="00C44211">
        <w:rPr>
          <w:rFonts w:ascii="Goudy Old Style" w:hAnsi="Goudy Old Style"/>
          <w:i/>
          <w:sz w:val="17"/>
          <w:szCs w:val="17"/>
        </w:rPr>
        <w:t>“…la strada per la creazione del consenso, presupposto non aggirabile per il funzionamento degli ordinamenti democratici, non tornerà più ai comizi di piazza del dopoguerra, ma nemmeno alla carta stampata o alle televisioni tradizionali</w:t>
      </w:r>
      <w:r w:rsidRPr="00C44211">
        <w:rPr>
          <w:rFonts w:ascii="Goudy Old Style" w:hAnsi="Goudy Old Style"/>
          <w:sz w:val="17"/>
          <w:szCs w:val="17"/>
        </w:rPr>
        <w:t>”.</w:t>
      </w:r>
    </w:p>
  </w:footnote>
  <w:footnote w:id="3">
    <w:p w:rsidR="007A6077" w:rsidRPr="00C44211" w:rsidRDefault="007A6077" w:rsidP="0031162B">
      <w:pPr>
        <w:pStyle w:val="doc-ti"/>
        <w:shd w:val="clear" w:color="auto" w:fill="FFFFFF"/>
        <w:spacing w:before="0" w:beforeAutospacing="0" w:after="0" w:afterAutospacing="0"/>
        <w:jc w:val="both"/>
        <w:rPr>
          <w:rFonts w:ascii="Goudy Old Style" w:hAnsi="Goudy Old Style"/>
          <w:bCs/>
          <w:color w:val="000000" w:themeColor="text1"/>
          <w:sz w:val="17"/>
          <w:szCs w:val="17"/>
        </w:rPr>
      </w:pPr>
      <w:r w:rsidRPr="00C44211">
        <w:rPr>
          <w:rStyle w:val="Rimandonotaapidipagina"/>
          <w:rFonts w:ascii="Goudy Old Style" w:hAnsi="Goudy Old Style"/>
          <w:sz w:val="17"/>
          <w:szCs w:val="17"/>
        </w:rPr>
        <w:footnoteRef/>
      </w:r>
      <w:r w:rsidRPr="00C44211">
        <w:rPr>
          <w:rFonts w:ascii="Goudy Old Style" w:hAnsi="Goudy Old Style"/>
          <w:sz w:val="17"/>
          <w:szCs w:val="17"/>
        </w:rPr>
        <w:t xml:space="preserve"> Il riferimento è, segnatamente, agli artt. 38 bis, 38 quater e 39 bis, inseriti nel Titolo II del decreto legge indicato, dedicato alla “Transizione digitale” che, in linea con le priorità definite dal Piano Nazionale di Ripresa e Resilienza (PNRR), mirano a promuovere un forte impulso alla digitalizzazione, rilevante sia quale missione specifica (la prima di detto Piano) si in considerazione della declinazione in chiave digitale di tutte le altre missioni, a comprova della capacità di fungere da detonatore per promuovere un virtuosismo diversamente non traguardabile per intensità e durevolezza</w:t>
      </w:r>
      <w:r w:rsidRPr="00C44211">
        <w:rPr>
          <w:rFonts w:ascii="Goudy Old Style" w:hAnsi="Goudy Old Style"/>
          <w:color w:val="000000" w:themeColor="text1"/>
          <w:sz w:val="17"/>
          <w:szCs w:val="17"/>
          <w:shd w:val="clear" w:color="auto" w:fill="FFFFFF"/>
        </w:rPr>
        <w:t>.</w:t>
      </w:r>
    </w:p>
  </w:footnote>
  <w:footnote w:id="4">
    <w:p w:rsidR="007A6077" w:rsidRPr="00C44211" w:rsidRDefault="007A6077" w:rsidP="00674EE8">
      <w:pPr>
        <w:pStyle w:val="Testonotaapidipagina"/>
        <w:jc w:val="both"/>
        <w:rPr>
          <w:rFonts w:ascii="Goudy Old Style" w:hAnsi="Goudy Old Style" w:cs="Times New Roman"/>
          <w:sz w:val="17"/>
          <w:szCs w:val="17"/>
        </w:rPr>
      </w:pPr>
      <w:r w:rsidRPr="00C44211">
        <w:rPr>
          <w:rStyle w:val="Rimandonotaapidipagina"/>
          <w:rFonts w:ascii="Goudy Old Style" w:hAnsi="Goudy Old Style" w:cs="Times New Roman"/>
          <w:sz w:val="17"/>
          <w:szCs w:val="17"/>
        </w:rPr>
        <w:footnoteRef/>
      </w:r>
      <w:r w:rsidRPr="00C44211">
        <w:rPr>
          <w:rFonts w:ascii="Goudy Old Style" w:hAnsi="Goudy Old Style" w:cs="Times New Roman"/>
          <w:sz w:val="17"/>
          <w:szCs w:val="17"/>
        </w:rPr>
        <w:t xml:space="preserve"> Cfr. Corte </w:t>
      </w:r>
      <w:proofErr w:type="spellStart"/>
      <w:proofErr w:type="gramStart"/>
      <w:r w:rsidRPr="00C44211">
        <w:rPr>
          <w:rFonts w:ascii="Goudy Old Style" w:hAnsi="Goudy Old Style" w:cs="Times New Roman"/>
          <w:sz w:val="17"/>
          <w:szCs w:val="17"/>
        </w:rPr>
        <w:t>cost</w:t>
      </w:r>
      <w:proofErr w:type="spellEnd"/>
      <w:r w:rsidRPr="00C44211">
        <w:rPr>
          <w:rFonts w:ascii="Goudy Old Style" w:hAnsi="Goudy Old Style" w:cs="Times New Roman"/>
          <w:sz w:val="17"/>
          <w:szCs w:val="17"/>
        </w:rPr>
        <w:t>.,</w:t>
      </w:r>
      <w:proofErr w:type="gramEnd"/>
      <w:r w:rsidRPr="00C44211">
        <w:rPr>
          <w:rFonts w:ascii="Goudy Old Style" w:hAnsi="Goudy Old Style" w:cs="Times New Roman"/>
          <w:sz w:val="17"/>
          <w:szCs w:val="17"/>
        </w:rPr>
        <w:t xml:space="preserve"> 26 marzo 1993, n. 112, in </w:t>
      </w:r>
      <w:r w:rsidRPr="00C44211">
        <w:rPr>
          <w:rFonts w:ascii="Goudy Old Style" w:hAnsi="Goudy Old Style" w:cs="Times New Roman"/>
          <w:i/>
          <w:sz w:val="17"/>
          <w:szCs w:val="17"/>
        </w:rPr>
        <w:t>Dir.</w:t>
      </w:r>
      <w:r w:rsidR="00562F9A" w:rsidRPr="00C44211">
        <w:rPr>
          <w:rFonts w:ascii="Goudy Old Style" w:hAnsi="Goudy Old Style" w:cs="Times New Roman"/>
          <w:i/>
          <w:sz w:val="17"/>
          <w:szCs w:val="17"/>
        </w:rPr>
        <w:t xml:space="preserve"> </w:t>
      </w:r>
      <w:proofErr w:type="spellStart"/>
      <w:r w:rsidR="00562F9A" w:rsidRPr="00C44211">
        <w:rPr>
          <w:rFonts w:ascii="Goudy Old Style" w:hAnsi="Goudy Old Style" w:cs="Times New Roman"/>
          <w:i/>
          <w:sz w:val="17"/>
          <w:szCs w:val="17"/>
        </w:rPr>
        <w:t>inf</w:t>
      </w:r>
      <w:proofErr w:type="spellEnd"/>
      <w:r w:rsidR="00562F9A" w:rsidRPr="00C44211">
        <w:rPr>
          <w:rFonts w:ascii="Goudy Old Style" w:hAnsi="Goudy Old Style" w:cs="Times New Roman"/>
          <w:i/>
          <w:sz w:val="17"/>
          <w:szCs w:val="17"/>
        </w:rPr>
        <w:t xml:space="preserve">. e </w:t>
      </w:r>
      <w:proofErr w:type="spellStart"/>
      <w:r w:rsidR="00562F9A" w:rsidRPr="00C44211">
        <w:rPr>
          <w:rFonts w:ascii="Goudy Old Style" w:hAnsi="Goudy Old Style" w:cs="Times New Roman"/>
          <w:i/>
          <w:sz w:val="17"/>
          <w:szCs w:val="17"/>
        </w:rPr>
        <w:t>inf</w:t>
      </w:r>
      <w:proofErr w:type="spellEnd"/>
      <w:r w:rsidR="00562F9A" w:rsidRPr="00C44211">
        <w:rPr>
          <w:rFonts w:ascii="Goudy Old Style" w:hAnsi="Goudy Old Style" w:cs="Times New Roman"/>
          <w:i/>
          <w:sz w:val="17"/>
          <w:szCs w:val="17"/>
        </w:rPr>
        <w:t>.,</w:t>
      </w:r>
      <w:r w:rsidRPr="00C44211">
        <w:rPr>
          <w:rFonts w:ascii="Goudy Old Style" w:hAnsi="Goudy Old Style" w:cs="Times New Roman"/>
          <w:sz w:val="17"/>
          <w:szCs w:val="17"/>
        </w:rPr>
        <w:t xml:space="preserve"> 1993, 1055, con nota di </w:t>
      </w:r>
      <w:r w:rsidRPr="00C44211">
        <w:rPr>
          <w:rFonts w:ascii="Goudy Old Style" w:hAnsi="Goudy Old Style" w:cs="Times New Roman"/>
          <w:smallCaps/>
          <w:sz w:val="17"/>
          <w:szCs w:val="17"/>
        </w:rPr>
        <w:t>Votano</w:t>
      </w:r>
      <w:r w:rsidRPr="00C44211">
        <w:rPr>
          <w:rFonts w:ascii="Goudy Old Style" w:hAnsi="Goudy Old Style" w:cs="Times New Roman"/>
          <w:sz w:val="17"/>
          <w:szCs w:val="17"/>
        </w:rPr>
        <w:t>; tra le pronunce precedenti si segnalano anche: n. 122 del 1970; n. 105 del 1972; n. 1 del 1981; n. 194 del 1987 </w:t>
      </w:r>
      <w:r w:rsidRPr="00C44211">
        <w:rPr>
          <w:rFonts w:ascii="Goudy Old Style" w:hAnsi="Goudy Old Style" w:cs="Times New Roman"/>
          <w:bCs/>
          <w:color w:val="000000"/>
          <w:sz w:val="17"/>
          <w:szCs w:val="17"/>
        </w:rPr>
        <w:t>.</w:t>
      </w:r>
    </w:p>
  </w:footnote>
  <w:footnote w:id="5">
    <w:p w:rsidR="007A6077" w:rsidRPr="00C44211" w:rsidRDefault="007A6077" w:rsidP="00D8670A">
      <w:pPr>
        <w:pStyle w:val="doc-ti"/>
        <w:shd w:val="clear" w:color="auto" w:fill="FFFFFF"/>
        <w:spacing w:before="0" w:beforeAutospacing="0" w:after="0" w:afterAutospacing="0"/>
        <w:jc w:val="both"/>
        <w:rPr>
          <w:rFonts w:ascii="Goudy Old Style" w:hAnsi="Goudy Old Style"/>
          <w:bCs/>
          <w:color w:val="000000" w:themeColor="text1"/>
          <w:sz w:val="17"/>
          <w:szCs w:val="17"/>
        </w:rPr>
      </w:pPr>
      <w:r w:rsidRPr="00C44211">
        <w:rPr>
          <w:rStyle w:val="Rimandonotaapidipagina"/>
          <w:rFonts w:ascii="Goudy Old Style" w:hAnsi="Goudy Old Style"/>
          <w:sz w:val="17"/>
          <w:szCs w:val="17"/>
        </w:rPr>
        <w:footnoteRef/>
      </w:r>
      <w:r w:rsidRPr="00C44211">
        <w:rPr>
          <w:rFonts w:ascii="Goudy Old Style" w:hAnsi="Goudy Old Style"/>
          <w:sz w:val="17"/>
          <w:szCs w:val="17"/>
        </w:rPr>
        <w:t xml:space="preserve"> Sul tema: </w:t>
      </w:r>
      <w:proofErr w:type="spellStart"/>
      <w:r w:rsidRPr="00C44211">
        <w:rPr>
          <w:rFonts w:ascii="Goudy Old Style" w:hAnsi="Goudy Old Style"/>
          <w:smallCaps/>
          <w:sz w:val="17"/>
          <w:szCs w:val="17"/>
        </w:rPr>
        <w:t>Gallon</w:t>
      </w:r>
      <w:proofErr w:type="spellEnd"/>
      <w:r w:rsidRPr="00C44211">
        <w:rPr>
          <w:rFonts w:ascii="Goudy Old Style" w:hAnsi="Goudy Old Style"/>
          <w:sz w:val="17"/>
          <w:szCs w:val="17"/>
        </w:rPr>
        <w:t xml:space="preserve">, </w:t>
      </w:r>
      <w:r w:rsidRPr="00C44211">
        <w:rPr>
          <w:rFonts w:ascii="Goudy Old Style" w:hAnsi="Goudy Old Style"/>
          <w:i/>
          <w:sz w:val="17"/>
          <w:szCs w:val="17"/>
        </w:rPr>
        <w:t>I più importanti algoritmi di Google</w:t>
      </w:r>
      <w:r w:rsidRPr="00C44211">
        <w:rPr>
          <w:rFonts w:ascii="Goudy Old Style" w:hAnsi="Goudy Old Style"/>
          <w:sz w:val="17"/>
          <w:szCs w:val="17"/>
        </w:rPr>
        <w:t xml:space="preserve">, in </w:t>
      </w:r>
      <w:r w:rsidRPr="00C44211">
        <w:rPr>
          <w:rFonts w:ascii="Goudy Old Style" w:hAnsi="Goudy Old Style"/>
          <w:i/>
          <w:sz w:val="17"/>
          <w:szCs w:val="17"/>
        </w:rPr>
        <w:t>Social Media Expert</w:t>
      </w:r>
      <w:r w:rsidRPr="00C44211">
        <w:rPr>
          <w:rFonts w:ascii="Goudy Old Style" w:hAnsi="Goudy Old Style"/>
          <w:sz w:val="17"/>
          <w:szCs w:val="17"/>
        </w:rPr>
        <w:t xml:space="preserve">, 2 marzo 2019; </w:t>
      </w:r>
      <w:proofErr w:type="spellStart"/>
      <w:r w:rsidRPr="00C44211">
        <w:rPr>
          <w:rFonts w:ascii="Goudy Old Style" w:hAnsi="Goudy Old Style"/>
          <w:smallCaps/>
          <w:sz w:val="17"/>
          <w:szCs w:val="17"/>
        </w:rPr>
        <w:t>O’Neil</w:t>
      </w:r>
      <w:proofErr w:type="spellEnd"/>
      <w:r w:rsidRPr="00C44211">
        <w:rPr>
          <w:rFonts w:ascii="Goudy Old Style" w:hAnsi="Goudy Old Style"/>
          <w:sz w:val="17"/>
          <w:szCs w:val="17"/>
        </w:rPr>
        <w:t xml:space="preserve">, </w:t>
      </w:r>
      <w:r w:rsidRPr="00C44211">
        <w:rPr>
          <w:rFonts w:ascii="Goudy Old Style" w:hAnsi="Goudy Old Style"/>
          <w:i/>
          <w:sz w:val="17"/>
          <w:szCs w:val="17"/>
        </w:rPr>
        <w:t>Armi di distruzione matematica</w:t>
      </w:r>
      <w:r w:rsidRPr="00C44211">
        <w:rPr>
          <w:rFonts w:ascii="Goudy Old Style" w:hAnsi="Goudy Old Style"/>
          <w:sz w:val="17"/>
          <w:szCs w:val="17"/>
        </w:rPr>
        <w:t xml:space="preserve">, Firenze- Milano, 2017; </w:t>
      </w:r>
      <w:r w:rsidRPr="00C44211">
        <w:rPr>
          <w:rFonts w:ascii="Goudy Old Style" w:hAnsi="Goudy Old Style"/>
          <w:smallCaps/>
          <w:sz w:val="17"/>
          <w:szCs w:val="17"/>
        </w:rPr>
        <w:t>Corradino</w:t>
      </w:r>
      <w:r w:rsidRPr="00C44211">
        <w:rPr>
          <w:rFonts w:ascii="Goudy Old Style" w:hAnsi="Goudy Old Style"/>
          <w:sz w:val="17"/>
          <w:szCs w:val="17"/>
        </w:rPr>
        <w:t xml:space="preserve">, </w:t>
      </w:r>
      <w:r w:rsidRPr="00C44211">
        <w:rPr>
          <w:rFonts w:ascii="Goudy Old Style" w:hAnsi="Goudy Old Style"/>
          <w:i/>
          <w:sz w:val="17"/>
          <w:szCs w:val="17"/>
        </w:rPr>
        <w:t>Intelligenza artificiale e pubblica amministrazione: sfide concrete e prospettive future</w:t>
      </w:r>
      <w:r w:rsidRPr="00C44211">
        <w:rPr>
          <w:rFonts w:ascii="Goudy Old Style" w:hAnsi="Goudy Old Style"/>
          <w:sz w:val="17"/>
          <w:szCs w:val="17"/>
        </w:rPr>
        <w:t xml:space="preserve">, reperibile al link </w:t>
      </w:r>
      <w:hyperlink r:id="rId3" w:history="1">
        <w:r w:rsidRPr="00C44211">
          <w:rPr>
            <w:rStyle w:val="Collegamentoipertestuale"/>
            <w:rFonts w:ascii="Goudy Old Style" w:hAnsi="Goudy Old Style"/>
            <w:sz w:val="17"/>
            <w:szCs w:val="17"/>
          </w:rPr>
          <w:t>https://www.giustizia-amministrativa.it/web/guest/-/corradino-intelligenza-artificiale-e-pubblica-amministrazione-sfide-concrete-e-prospettive-future</w:t>
        </w:r>
      </w:hyperlink>
      <w:r w:rsidRPr="00C44211">
        <w:rPr>
          <w:rFonts w:ascii="Goudy Old Style" w:hAnsi="Goudy Old Style"/>
          <w:sz w:val="17"/>
          <w:szCs w:val="17"/>
        </w:rPr>
        <w:t xml:space="preserve">; </w:t>
      </w:r>
      <w:r w:rsidRPr="00C44211">
        <w:rPr>
          <w:rFonts w:ascii="Goudy Old Style" w:hAnsi="Goudy Old Style"/>
          <w:smallCaps/>
          <w:sz w:val="17"/>
          <w:szCs w:val="17"/>
        </w:rPr>
        <w:t>Pitruzzella</w:t>
      </w:r>
      <w:r w:rsidRPr="00C44211">
        <w:rPr>
          <w:rFonts w:ascii="Goudy Old Style" w:hAnsi="Goudy Old Style"/>
          <w:sz w:val="17"/>
          <w:szCs w:val="17"/>
        </w:rPr>
        <w:t xml:space="preserve">, </w:t>
      </w:r>
      <w:r w:rsidRPr="00C44211">
        <w:rPr>
          <w:rFonts w:ascii="Goudy Old Style" w:hAnsi="Goudy Old Style"/>
          <w:i/>
          <w:sz w:val="17"/>
          <w:szCs w:val="17"/>
        </w:rPr>
        <w:t>La libertà di informazione nell’era di internet</w:t>
      </w:r>
      <w:r w:rsidRPr="00C44211">
        <w:rPr>
          <w:rFonts w:ascii="Goudy Old Style" w:hAnsi="Goudy Old Style"/>
          <w:sz w:val="17"/>
          <w:szCs w:val="17"/>
        </w:rPr>
        <w:t xml:space="preserve">, </w:t>
      </w:r>
      <w:r w:rsidR="00D8670A" w:rsidRPr="00C44211">
        <w:rPr>
          <w:rFonts w:ascii="Goudy Old Style" w:hAnsi="Goudy Old Style"/>
          <w:color w:val="000000" w:themeColor="text1"/>
          <w:sz w:val="17"/>
          <w:szCs w:val="17"/>
          <w:shd w:val="clear" w:color="auto" w:fill="FFFFFF"/>
        </w:rPr>
        <w:t xml:space="preserve">in </w:t>
      </w:r>
      <w:r w:rsidR="00D8670A" w:rsidRPr="00C44211">
        <w:rPr>
          <w:rFonts w:ascii="Goudy Old Style" w:hAnsi="Goudy Old Style"/>
          <w:i/>
          <w:color w:val="000000" w:themeColor="text1"/>
          <w:sz w:val="17"/>
          <w:szCs w:val="17"/>
          <w:shd w:val="clear" w:color="auto" w:fill="FFFFFF"/>
        </w:rPr>
        <w:t xml:space="preserve">Rivista di diritto dei media, </w:t>
      </w:r>
      <w:r w:rsidR="00D8670A" w:rsidRPr="00C44211">
        <w:rPr>
          <w:rFonts w:ascii="Goudy Old Style" w:hAnsi="Goudy Old Style"/>
          <w:color w:val="000000" w:themeColor="text1"/>
          <w:sz w:val="17"/>
          <w:szCs w:val="17"/>
          <w:shd w:val="clear" w:color="auto" w:fill="FFFFFF"/>
        </w:rPr>
        <w:t xml:space="preserve">1, 2018; </w:t>
      </w:r>
      <w:proofErr w:type="spellStart"/>
      <w:r w:rsidR="00D8670A" w:rsidRPr="00C44211">
        <w:rPr>
          <w:rFonts w:ascii="Goudy Old Style" w:hAnsi="Goudy Old Style"/>
          <w:smallCaps/>
          <w:color w:val="000000" w:themeColor="text1"/>
          <w:sz w:val="17"/>
          <w:szCs w:val="17"/>
          <w:shd w:val="clear" w:color="auto" w:fill="FFFFFF"/>
        </w:rPr>
        <w:t>Grandinetti</w:t>
      </w:r>
      <w:proofErr w:type="spellEnd"/>
      <w:r w:rsidR="00D8670A" w:rsidRPr="00C44211">
        <w:rPr>
          <w:rFonts w:ascii="Goudy Old Style" w:hAnsi="Goudy Old Style"/>
          <w:color w:val="000000" w:themeColor="text1"/>
          <w:sz w:val="17"/>
          <w:szCs w:val="17"/>
          <w:shd w:val="clear" w:color="auto" w:fill="FFFFFF"/>
        </w:rPr>
        <w:t xml:space="preserve">, </w:t>
      </w:r>
      <w:r w:rsidR="00D8670A" w:rsidRPr="00C44211">
        <w:rPr>
          <w:rFonts w:ascii="Goudy Old Style" w:hAnsi="Goudy Old Style"/>
          <w:i/>
          <w:color w:val="000000" w:themeColor="text1"/>
          <w:sz w:val="17"/>
          <w:szCs w:val="17"/>
          <w:shd w:val="clear" w:color="auto" w:fill="FFFFFF"/>
        </w:rPr>
        <w:t>La par condicio al tempo dei social, tra i problemi “vecchi” e “nuovi ma, per ora, tutti attuali</w:t>
      </w:r>
      <w:r w:rsidR="00D8670A" w:rsidRPr="00C44211">
        <w:rPr>
          <w:rFonts w:ascii="Goudy Old Style" w:hAnsi="Goudy Old Style"/>
          <w:color w:val="000000" w:themeColor="text1"/>
          <w:sz w:val="17"/>
          <w:szCs w:val="17"/>
          <w:shd w:val="clear" w:color="auto" w:fill="FFFFFF"/>
        </w:rPr>
        <w:t xml:space="preserve">, in </w:t>
      </w:r>
      <w:r w:rsidR="00D8670A" w:rsidRPr="00C44211">
        <w:rPr>
          <w:rFonts w:ascii="Goudy Old Style" w:hAnsi="Goudy Old Style"/>
          <w:i/>
          <w:color w:val="000000" w:themeColor="text1"/>
          <w:sz w:val="17"/>
          <w:szCs w:val="17"/>
          <w:shd w:val="clear" w:color="auto" w:fill="FFFFFF"/>
        </w:rPr>
        <w:t xml:space="preserve">Rivista di diritto dei media, </w:t>
      </w:r>
      <w:r w:rsidR="00D8670A" w:rsidRPr="00C44211">
        <w:rPr>
          <w:rFonts w:ascii="Goudy Old Style" w:hAnsi="Goudy Old Style"/>
          <w:color w:val="000000" w:themeColor="text1"/>
          <w:sz w:val="17"/>
          <w:szCs w:val="17"/>
          <w:shd w:val="clear" w:color="auto" w:fill="FFFFFF"/>
        </w:rPr>
        <w:t>3, 2019, 116-117.</w:t>
      </w:r>
    </w:p>
  </w:footnote>
  <w:footnote w:id="6">
    <w:p w:rsidR="00D8670A" w:rsidRPr="00C44211" w:rsidRDefault="00D8670A" w:rsidP="00D8670A">
      <w:pPr>
        <w:pStyle w:val="Testonotaapidipagina"/>
        <w:jc w:val="both"/>
        <w:rPr>
          <w:rFonts w:ascii="Goudy Old Style" w:hAnsi="Goudy Old Style" w:cs="Times New Roman"/>
          <w:sz w:val="17"/>
          <w:szCs w:val="17"/>
        </w:rPr>
      </w:pPr>
      <w:r w:rsidRPr="00C44211">
        <w:rPr>
          <w:rStyle w:val="Rimandonotaapidipagina"/>
          <w:rFonts w:ascii="Goudy Old Style" w:hAnsi="Goudy Old Style" w:cs="Times New Roman"/>
          <w:sz w:val="17"/>
          <w:szCs w:val="17"/>
        </w:rPr>
        <w:footnoteRef/>
      </w:r>
      <w:r w:rsidRPr="00C44211">
        <w:rPr>
          <w:rFonts w:ascii="Goudy Old Style" w:hAnsi="Goudy Old Style" w:cs="Times New Roman"/>
          <w:sz w:val="17"/>
          <w:szCs w:val="17"/>
        </w:rPr>
        <w:t xml:space="preserve"> </w:t>
      </w:r>
      <w:r w:rsidRPr="00C44211">
        <w:rPr>
          <w:rFonts w:ascii="Goudy Old Style" w:hAnsi="Goudy Old Style" w:cs="Times New Roman"/>
          <w:smallCaps/>
          <w:sz w:val="17"/>
          <w:szCs w:val="17"/>
        </w:rPr>
        <w:t>Montaldo</w:t>
      </w:r>
      <w:r w:rsidRPr="00C44211">
        <w:rPr>
          <w:rFonts w:ascii="Goudy Old Style" w:hAnsi="Goudy Old Style" w:cs="Times New Roman"/>
          <w:sz w:val="17"/>
          <w:szCs w:val="17"/>
        </w:rPr>
        <w:t xml:space="preserve">, </w:t>
      </w:r>
      <w:r w:rsidRPr="00C44211">
        <w:rPr>
          <w:rFonts w:ascii="Goudy Old Style" w:hAnsi="Goudy Old Style" w:cs="Times New Roman"/>
          <w:i/>
          <w:sz w:val="17"/>
          <w:szCs w:val="17"/>
        </w:rPr>
        <w:t>La tutela del pluralismo informativo nelle piattaforme online</w:t>
      </w:r>
      <w:r w:rsidRPr="00C44211">
        <w:rPr>
          <w:rFonts w:ascii="Goudy Old Style" w:hAnsi="Goudy Old Style" w:cs="Times New Roman"/>
          <w:sz w:val="17"/>
          <w:szCs w:val="17"/>
        </w:rPr>
        <w:t>,</w:t>
      </w:r>
      <w:r w:rsidR="00D42344" w:rsidRPr="00C44211">
        <w:rPr>
          <w:rFonts w:ascii="Goudy Old Style" w:hAnsi="Goudy Old Style" w:cs="Times New Roman"/>
          <w:sz w:val="17"/>
          <w:szCs w:val="17"/>
        </w:rPr>
        <w:t xml:space="preserve"> reperibile al link </w:t>
      </w:r>
      <w:r w:rsidR="00562F9A" w:rsidRPr="00C44211">
        <w:rPr>
          <w:rFonts w:ascii="Goudy Old Style" w:hAnsi="Goudy Old Style" w:cs="Times New Roman"/>
          <w:sz w:val="17"/>
          <w:szCs w:val="17"/>
        </w:rPr>
        <w:t>&lt;</w:t>
      </w:r>
      <w:hyperlink r:id="rId4" w:history="1">
        <w:r w:rsidR="00D42344" w:rsidRPr="00C44211">
          <w:rPr>
            <w:rFonts w:ascii="Goudy Old Style" w:hAnsi="Goudy Old Style" w:cs="Times New Roman"/>
            <w:sz w:val="17"/>
            <w:szCs w:val="17"/>
          </w:rPr>
          <w:t>https://www.medialaws.eu/wp-content/uploads/2020/03/1-2020-Montaldo.pdf</w:t>
        </w:r>
      </w:hyperlink>
      <w:r w:rsidR="00D42344" w:rsidRPr="00C44211">
        <w:rPr>
          <w:rFonts w:ascii="Goudy Old Style" w:hAnsi="Goudy Old Style" w:cs="Times New Roman"/>
          <w:sz w:val="17"/>
          <w:szCs w:val="17"/>
        </w:rPr>
        <w:t xml:space="preserve">; </w:t>
      </w:r>
      <w:proofErr w:type="spellStart"/>
      <w:r w:rsidR="00D42344" w:rsidRPr="00C44211">
        <w:rPr>
          <w:rFonts w:ascii="Goudy Old Style" w:hAnsi="Goudy Old Style" w:cs="Times New Roman"/>
          <w:sz w:val="17"/>
          <w:szCs w:val="17"/>
        </w:rPr>
        <w:t>Sunstein</w:t>
      </w:r>
      <w:proofErr w:type="spellEnd"/>
      <w:r w:rsidR="00D42344" w:rsidRPr="00C44211">
        <w:rPr>
          <w:rFonts w:ascii="Goudy Old Style" w:hAnsi="Goudy Old Style" w:cs="Times New Roman"/>
          <w:sz w:val="17"/>
          <w:szCs w:val="17"/>
        </w:rPr>
        <w:t xml:space="preserve">, </w:t>
      </w:r>
      <w:r w:rsidR="00D42344" w:rsidRPr="00C44211">
        <w:rPr>
          <w:rFonts w:ascii="Goudy Old Style" w:hAnsi="Goudy Old Style" w:cs="Times New Roman"/>
          <w:i/>
          <w:sz w:val="17"/>
          <w:szCs w:val="17"/>
        </w:rPr>
        <w:t>#</w:t>
      </w:r>
      <w:proofErr w:type="spellStart"/>
      <w:r w:rsidR="00D42344" w:rsidRPr="00C44211">
        <w:rPr>
          <w:rFonts w:ascii="Goudy Old Style" w:hAnsi="Goudy Old Style" w:cs="Times New Roman"/>
          <w:i/>
          <w:sz w:val="17"/>
          <w:szCs w:val="17"/>
        </w:rPr>
        <w:t>republic</w:t>
      </w:r>
      <w:proofErr w:type="spellEnd"/>
      <w:r w:rsidR="00562F9A" w:rsidRPr="00C44211">
        <w:rPr>
          <w:rFonts w:ascii="Goudy Old Style" w:hAnsi="Goudy Old Style" w:cs="Times New Roman"/>
          <w:i/>
          <w:sz w:val="17"/>
          <w:szCs w:val="17"/>
        </w:rPr>
        <w:t>&gt;</w:t>
      </w:r>
      <w:r w:rsidR="00D42344" w:rsidRPr="00C44211">
        <w:rPr>
          <w:rFonts w:ascii="Goudy Old Style" w:hAnsi="Goudy Old Style" w:cs="Times New Roman"/>
          <w:i/>
          <w:sz w:val="17"/>
          <w:szCs w:val="17"/>
        </w:rPr>
        <w:t>. La democrazia nell’epoca dei social media</w:t>
      </w:r>
      <w:r w:rsidR="00D42344" w:rsidRPr="00C44211">
        <w:rPr>
          <w:rFonts w:ascii="Goudy Old Style" w:hAnsi="Goudy Old Style" w:cs="Times New Roman"/>
          <w:sz w:val="17"/>
          <w:szCs w:val="17"/>
        </w:rPr>
        <w:t xml:space="preserve">, Bologna, 2017, 13 </w:t>
      </w:r>
      <w:proofErr w:type="gramStart"/>
      <w:r w:rsidR="00226233" w:rsidRPr="00C44211">
        <w:rPr>
          <w:rFonts w:ascii="Goudy Old Style" w:hAnsi="Goudy Old Style" w:cs="Times New Roman"/>
          <w:sz w:val="17"/>
          <w:szCs w:val="17"/>
        </w:rPr>
        <w:t>ss..</w:t>
      </w:r>
      <w:proofErr w:type="gramEnd"/>
    </w:p>
  </w:footnote>
  <w:footnote w:id="7">
    <w:p w:rsidR="004B08AC" w:rsidRPr="00C44211" w:rsidRDefault="004B08AC" w:rsidP="0081220C">
      <w:pPr>
        <w:pStyle w:val="Testonotaapidipagina"/>
        <w:jc w:val="both"/>
      </w:pPr>
      <w:r w:rsidRPr="00C44211">
        <w:rPr>
          <w:rStyle w:val="Rimandonotaapidipagina"/>
          <w:rFonts w:ascii="Goudy Old Style" w:eastAsia="Times New Roman" w:hAnsi="Goudy Old Style" w:cs="Times New Roman"/>
          <w:bCs/>
          <w:kern w:val="36"/>
          <w:sz w:val="17"/>
          <w:szCs w:val="17"/>
          <w:lang w:eastAsia="it-IT"/>
        </w:rPr>
        <w:footnoteRef/>
      </w:r>
      <w:r w:rsidRPr="00C44211">
        <w:t xml:space="preserve"> </w:t>
      </w:r>
      <w:r w:rsidRPr="00C44211">
        <w:rPr>
          <w:rFonts w:ascii="Goudy Old Style" w:hAnsi="Goudy Old Style"/>
          <w:sz w:val="17"/>
          <w:szCs w:val="17"/>
        </w:rPr>
        <w:t xml:space="preserve">Herbert </w:t>
      </w:r>
      <w:proofErr w:type="spellStart"/>
      <w:r w:rsidRPr="00C44211">
        <w:rPr>
          <w:rFonts w:ascii="Goudy Old Style" w:hAnsi="Goudy Old Style"/>
          <w:sz w:val="17"/>
          <w:szCs w:val="17"/>
        </w:rPr>
        <w:t>Lin</w:t>
      </w:r>
      <w:proofErr w:type="spellEnd"/>
      <w:r w:rsidRPr="00C44211">
        <w:rPr>
          <w:rFonts w:ascii="Goudy Old Style" w:hAnsi="Goudy Old Style"/>
          <w:sz w:val="17"/>
          <w:szCs w:val="17"/>
        </w:rPr>
        <w:t xml:space="preserve"> and </w:t>
      </w:r>
      <w:proofErr w:type="spellStart"/>
      <w:r w:rsidRPr="00C44211">
        <w:rPr>
          <w:rFonts w:ascii="Goudy Old Style" w:hAnsi="Goudy Old Style"/>
          <w:sz w:val="17"/>
          <w:szCs w:val="17"/>
        </w:rPr>
        <w:t>Jaclyn</w:t>
      </w:r>
      <w:proofErr w:type="spellEnd"/>
      <w:r w:rsidRPr="00C44211">
        <w:rPr>
          <w:rFonts w:ascii="Goudy Old Style" w:hAnsi="Goudy Old Style"/>
          <w:sz w:val="17"/>
          <w:szCs w:val="17"/>
        </w:rPr>
        <w:t xml:space="preserve"> Kerr, </w:t>
      </w:r>
      <w:r w:rsidRPr="00C44211">
        <w:rPr>
          <w:rFonts w:ascii="Goudy Old Style" w:hAnsi="Goudy Old Style"/>
          <w:i/>
          <w:sz w:val="17"/>
          <w:szCs w:val="17"/>
        </w:rPr>
        <w:t>On Cyber-</w:t>
      </w:r>
      <w:proofErr w:type="spellStart"/>
      <w:r w:rsidRPr="00C44211">
        <w:rPr>
          <w:rFonts w:ascii="Goudy Old Style" w:hAnsi="Goudy Old Style"/>
          <w:i/>
          <w:sz w:val="17"/>
          <w:szCs w:val="17"/>
        </w:rPr>
        <w:t>Enabled</w:t>
      </w:r>
      <w:proofErr w:type="spellEnd"/>
      <w:r w:rsidRPr="00C44211">
        <w:rPr>
          <w:rFonts w:ascii="Goudy Old Style" w:hAnsi="Goudy Old Style"/>
          <w:i/>
          <w:sz w:val="17"/>
          <w:szCs w:val="17"/>
        </w:rPr>
        <w:t xml:space="preserve"> Information </w:t>
      </w:r>
      <w:proofErr w:type="spellStart"/>
      <w:r w:rsidRPr="00C44211">
        <w:rPr>
          <w:rFonts w:ascii="Goudy Old Style" w:hAnsi="Goudy Old Style"/>
          <w:i/>
          <w:sz w:val="17"/>
          <w:szCs w:val="17"/>
        </w:rPr>
        <w:t>Warfare</w:t>
      </w:r>
      <w:proofErr w:type="spellEnd"/>
      <w:r w:rsidRPr="00C44211">
        <w:rPr>
          <w:rFonts w:ascii="Goudy Old Style" w:hAnsi="Goudy Old Style"/>
          <w:i/>
          <w:sz w:val="17"/>
          <w:szCs w:val="17"/>
        </w:rPr>
        <w:t xml:space="preserve"> and Information Operations</w:t>
      </w:r>
      <w:r w:rsidRPr="00C44211">
        <w:rPr>
          <w:rFonts w:ascii="Goudy Old Style" w:hAnsi="Goudy Old Style"/>
          <w:sz w:val="17"/>
          <w:szCs w:val="17"/>
        </w:rPr>
        <w:t xml:space="preserve">, reperibile al link </w:t>
      </w:r>
      <w:r w:rsidR="00562F9A" w:rsidRPr="00C44211">
        <w:rPr>
          <w:rFonts w:ascii="Goudy Old Style" w:hAnsi="Goudy Old Style"/>
          <w:sz w:val="17"/>
          <w:szCs w:val="17"/>
        </w:rPr>
        <w:t>&lt;</w:t>
      </w:r>
      <w:r w:rsidRPr="00C44211">
        <w:rPr>
          <w:rFonts w:ascii="Goudy Old Style" w:hAnsi="Goudy Old Style"/>
          <w:sz w:val="17"/>
          <w:szCs w:val="17"/>
        </w:rPr>
        <w:t>https://www.oxfordhandbooks.com/view/10.1093/oxfordhb/9780198800682.001.0001/oxfordhb-9780198800682-e-15</w:t>
      </w:r>
      <w:r w:rsidR="00562F9A" w:rsidRPr="00C44211">
        <w:rPr>
          <w:rFonts w:ascii="Goudy Old Style" w:hAnsi="Goudy Old Style"/>
          <w:sz w:val="17"/>
          <w:szCs w:val="17"/>
        </w:rPr>
        <w:t>&gt;</w:t>
      </w:r>
      <w:r w:rsidR="0081220C" w:rsidRPr="00C44211">
        <w:rPr>
          <w:rFonts w:ascii="Goudy Old Style" w:hAnsi="Goudy Old Style"/>
          <w:sz w:val="17"/>
          <w:szCs w:val="17"/>
        </w:rPr>
        <w:t>.</w:t>
      </w:r>
    </w:p>
  </w:footnote>
  <w:footnote w:id="8">
    <w:p w:rsidR="0081220C" w:rsidRPr="00C44211" w:rsidRDefault="0081220C" w:rsidP="0081220C">
      <w:pPr>
        <w:pStyle w:val="Testonotaapidipagina"/>
        <w:jc w:val="both"/>
      </w:pPr>
      <w:r w:rsidRPr="00C44211">
        <w:rPr>
          <w:rStyle w:val="Rimandonotaapidipagina"/>
          <w:rFonts w:ascii="Goudy Old Style" w:eastAsia="Times New Roman" w:hAnsi="Goudy Old Style" w:cs="Times New Roman"/>
          <w:bCs/>
          <w:kern w:val="36"/>
          <w:sz w:val="17"/>
          <w:szCs w:val="17"/>
          <w:lang w:eastAsia="it-IT"/>
        </w:rPr>
        <w:footnoteRef/>
      </w:r>
      <w:r w:rsidRPr="00C44211">
        <w:t xml:space="preserve"> </w:t>
      </w:r>
      <w:r w:rsidRPr="00C44211">
        <w:rPr>
          <w:rFonts w:ascii="Goudy Old Style" w:hAnsi="Goudy Old Style"/>
          <w:sz w:val="17"/>
          <w:szCs w:val="17"/>
        </w:rPr>
        <w:t>Esempi dell'uso di queste tattiche includono: inondare i media con più versioni di una storia per confondere il pubblico; pubblicizzare informazioni false per screditare un avversario; distrarre l'opinione pubblica da situazioni negative, evidenziando o addirittura creando qualche altra crisi o scandalo; utilizzare profili di social media non autentici per attivare proteste nel mondo reale. Anche le tecnologie emergenti, come l’intelligenza artificiale, se non regolate, aprono la strada a potenziali attività geopolitiche, compresa la disinformazione. Un uso malevolo dell’IA è nella creazione di "</w:t>
      </w:r>
      <w:proofErr w:type="spellStart"/>
      <w:r w:rsidRPr="00C44211">
        <w:rPr>
          <w:rFonts w:ascii="Goudy Old Style" w:hAnsi="Goudy Old Style"/>
          <w:i/>
          <w:sz w:val="17"/>
          <w:szCs w:val="17"/>
        </w:rPr>
        <w:t>deepfakes</w:t>
      </w:r>
      <w:proofErr w:type="spellEnd"/>
      <w:r w:rsidRPr="00C44211">
        <w:rPr>
          <w:rFonts w:ascii="Goudy Old Style" w:hAnsi="Goudy Old Style"/>
          <w:sz w:val="17"/>
          <w:szCs w:val="17"/>
        </w:rPr>
        <w:t xml:space="preserve">", che sono immagini o video falsi di alta qualità, per screditare non solo un’azienda rivale o il bersaglio di una estorsione ma anche un avversario politico. In tale quadro, si rileva che </w:t>
      </w:r>
      <w:proofErr w:type="spellStart"/>
      <w:r w:rsidR="006C2053" w:rsidRPr="00C44211">
        <w:rPr>
          <w:rFonts w:ascii="Goudy Old Style" w:hAnsi="Goudy Old Style"/>
          <w:i/>
          <w:sz w:val="17"/>
          <w:szCs w:val="17"/>
        </w:rPr>
        <w:t>Newsguard</w:t>
      </w:r>
      <w:proofErr w:type="spellEnd"/>
      <w:r w:rsidR="006C2053" w:rsidRPr="00C44211">
        <w:rPr>
          <w:rFonts w:ascii="Goudy Old Style" w:hAnsi="Goudy Old Style"/>
          <w:i/>
          <w:sz w:val="17"/>
          <w:szCs w:val="17"/>
        </w:rPr>
        <w:t xml:space="preserve"> </w:t>
      </w:r>
      <w:r w:rsidR="006C2053" w:rsidRPr="00C44211">
        <w:rPr>
          <w:rFonts w:ascii="Goudy Old Style" w:hAnsi="Goudy Old Style"/>
          <w:sz w:val="17"/>
          <w:szCs w:val="17"/>
        </w:rPr>
        <w:t xml:space="preserve">(www.newsguardtech.com) assegna ai siti web che pubblicano notizie e informazioni un punteggio da 0 a 100, a seconda di quanti criteri di credibilità e trasparenza vengano rispettati dal sito stesso: un sito con un punteggio inferiore a 60 ottiene una valutazione rossa, ovvero è considerato generalmente inaffidabile. Nel 2020, </w:t>
      </w:r>
      <w:proofErr w:type="spellStart"/>
      <w:r w:rsidR="006C2053" w:rsidRPr="00C44211">
        <w:rPr>
          <w:rFonts w:ascii="Goudy Old Style" w:hAnsi="Goudy Old Style"/>
          <w:i/>
          <w:sz w:val="17"/>
          <w:szCs w:val="17"/>
        </w:rPr>
        <w:t>NewsGuard</w:t>
      </w:r>
      <w:proofErr w:type="spellEnd"/>
      <w:r w:rsidR="006C2053" w:rsidRPr="00C44211">
        <w:rPr>
          <w:rFonts w:ascii="Goudy Old Style" w:hAnsi="Goudy Old Style"/>
          <w:sz w:val="17"/>
          <w:szCs w:val="17"/>
        </w:rPr>
        <w:t xml:space="preserve"> ha segnalato 2.532 siti con il bollino rosso, e cioè siti che non rispettano gli standard di base di credibilità e trasparenza.</w:t>
      </w:r>
    </w:p>
  </w:footnote>
  <w:footnote w:id="9">
    <w:p w:rsidR="006C2053" w:rsidRPr="00C44211" w:rsidRDefault="006C2053">
      <w:pPr>
        <w:pStyle w:val="Testonotaapidipagina"/>
      </w:pPr>
      <w:r w:rsidRPr="00C44211">
        <w:rPr>
          <w:rStyle w:val="Rimandonotaapidipagina"/>
          <w:rFonts w:ascii="Goudy Old Style" w:eastAsia="Times New Roman" w:hAnsi="Goudy Old Style" w:cs="Times New Roman"/>
          <w:bCs/>
          <w:kern w:val="36"/>
          <w:sz w:val="17"/>
          <w:szCs w:val="17"/>
          <w:lang w:eastAsia="it-IT"/>
        </w:rPr>
        <w:footnoteRef/>
      </w:r>
      <w:r w:rsidRPr="00C44211">
        <w:rPr>
          <w:rStyle w:val="Rimandonotaapidipagina"/>
          <w:rFonts w:ascii="Goudy Old Style" w:eastAsia="Times New Roman" w:hAnsi="Goudy Old Style" w:cs="Times New Roman"/>
          <w:bCs/>
          <w:kern w:val="36"/>
          <w:sz w:val="17"/>
          <w:szCs w:val="17"/>
          <w:lang w:eastAsia="it-IT"/>
        </w:rPr>
        <w:t xml:space="preserve"> </w:t>
      </w:r>
      <w:r w:rsidRPr="00C44211">
        <w:rPr>
          <w:rFonts w:ascii="Goudy Old Style" w:hAnsi="Goudy Old Style"/>
          <w:sz w:val="17"/>
          <w:szCs w:val="17"/>
        </w:rPr>
        <w:t xml:space="preserve">Sia consentito rinviare a </w:t>
      </w:r>
      <w:r w:rsidRPr="00C44211">
        <w:rPr>
          <w:rFonts w:ascii="Goudy Old Style" w:hAnsi="Goudy Old Style"/>
          <w:smallCaps/>
          <w:sz w:val="17"/>
          <w:szCs w:val="17"/>
        </w:rPr>
        <w:t>Bruno</w:t>
      </w:r>
      <w:r w:rsidRPr="00C44211">
        <w:rPr>
          <w:rFonts w:ascii="Goudy Old Style" w:hAnsi="Goudy Old Style"/>
          <w:sz w:val="17"/>
          <w:szCs w:val="17"/>
        </w:rPr>
        <w:t xml:space="preserve">, </w:t>
      </w:r>
      <w:r w:rsidRPr="00C44211">
        <w:rPr>
          <w:rFonts w:ascii="Goudy Old Style" w:hAnsi="Goudy Old Style"/>
          <w:i/>
          <w:sz w:val="17"/>
          <w:szCs w:val="17"/>
        </w:rPr>
        <w:t>Pluralismo dell’informazione politica sui media. Criticità ed esigenze di regolazione del web</w:t>
      </w:r>
      <w:r w:rsidRPr="00C44211">
        <w:rPr>
          <w:rFonts w:ascii="Goudy Old Style" w:hAnsi="Goudy Old Style"/>
          <w:sz w:val="17"/>
          <w:szCs w:val="17"/>
        </w:rPr>
        <w:t xml:space="preserve">, in questa </w:t>
      </w:r>
      <w:r w:rsidRPr="00C44211">
        <w:rPr>
          <w:rFonts w:ascii="Goudy Old Style" w:hAnsi="Goudy Old Style"/>
          <w:b/>
          <w:i/>
          <w:sz w:val="17"/>
          <w:szCs w:val="17"/>
        </w:rPr>
        <w:t>Rivista</w:t>
      </w:r>
      <w:r w:rsidRPr="00C44211">
        <w:rPr>
          <w:rFonts w:ascii="Goudy Old Style" w:hAnsi="Goudy Old Style"/>
          <w:sz w:val="17"/>
          <w:szCs w:val="17"/>
        </w:rPr>
        <w:t xml:space="preserve">, 1, 2021. </w:t>
      </w:r>
    </w:p>
  </w:footnote>
  <w:footnote w:id="10">
    <w:p w:rsidR="00226233" w:rsidRPr="00C44211" w:rsidRDefault="00226233">
      <w:pPr>
        <w:pStyle w:val="Testonotaapidipagina"/>
        <w:rPr>
          <w:rFonts w:ascii="Goudy Old Style" w:hAnsi="Goudy Old Style"/>
          <w:sz w:val="17"/>
          <w:szCs w:val="17"/>
        </w:rPr>
      </w:pPr>
      <w:r w:rsidRPr="00C44211">
        <w:rPr>
          <w:rStyle w:val="Rimandonotaapidipagina"/>
          <w:rFonts w:ascii="Goudy Old Style" w:eastAsia="Times New Roman" w:hAnsi="Goudy Old Style" w:cs="Times New Roman"/>
          <w:bCs/>
          <w:smallCaps/>
          <w:kern w:val="36"/>
          <w:sz w:val="17"/>
          <w:szCs w:val="17"/>
          <w:lang w:eastAsia="it-IT"/>
        </w:rPr>
        <w:footnoteRef/>
      </w:r>
      <w:r w:rsidRPr="00C44211">
        <w:rPr>
          <w:smallCaps/>
        </w:rPr>
        <w:t xml:space="preserve"> </w:t>
      </w:r>
      <w:proofErr w:type="spellStart"/>
      <w:r w:rsidR="00960CA0" w:rsidRPr="00C44211">
        <w:rPr>
          <w:rFonts w:ascii="Goudy Old Style" w:hAnsi="Goudy Old Style"/>
          <w:smallCaps/>
          <w:color w:val="000000" w:themeColor="text1"/>
          <w:sz w:val="17"/>
          <w:szCs w:val="17"/>
          <w:shd w:val="clear" w:color="auto" w:fill="FFFFFF"/>
        </w:rPr>
        <w:t>Grandinetti</w:t>
      </w:r>
      <w:proofErr w:type="spellEnd"/>
      <w:r w:rsidR="00960CA0" w:rsidRPr="00C44211">
        <w:rPr>
          <w:rFonts w:ascii="Goudy Old Style" w:hAnsi="Goudy Old Style"/>
          <w:color w:val="000000" w:themeColor="text1"/>
          <w:sz w:val="17"/>
          <w:szCs w:val="17"/>
          <w:shd w:val="clear" w:color="auto" w:fill="FFFFFF"/>
        </w:rPr>
        <w:t xml:space="preserve">, </w:t>
      </w:r>
      <w:r w:rsidR="00960CA0" w:rsidRPr="00C44211">
        <w:rPr>
          <w:rFonts w:ascii="Goudy Old Style" w:hAnsi="Goudy Old Style"/>
          <w:i/>
          <w:color w:val="000000" w:themeColor="text1"/>
          <w:sz w:val="17"/>
          <w:szCs w:val="17"/>
          <w:shd w:val="clear" w:color="auto" w:fill="FFFFFF"/>
        </w:rPr>
        <w:t>La par condicio al tempo dei social, tra i problemi “vecchi” e “nuovi ma, per ora, tutti attuali</w:t>
      </w:r>
      <w:r w:rsidR="00960CA0" w:rsidRPr="00C44211">
        <w:rPr>
          <w:rFonts w:ascii="Goudy Old Style" w:hAnsi="Goudy Old Style"/>
          <w:color w:val="000000" w:themeColor="text1"/>
          <w:sz w:val="17"/>
          <w:szCs w:val="17"/>
          <w:shd w:val="clear" w:color="auto" w:fill="FFFFFF"/>
        </w:rPr>
        <w:t xml:space="preserve">, </w:t>
      </w:r>
      <w:r w:rsidR="00960CA0" w:rsidRPr="00C44211">
        <w:rPr>
          <w:rFonts w:ascii="Goudy Old Style" w:hAnsi="Goudy Old Style"/>
          <w:i/>
          <w:color w:val="000000" w:themeColor="text1"/>
          <w:sz w:val="17"/>
          <w:szCs w:val="17"/>
          <w:shd w:val="clear" w:color="auto" w:fill="FFFFFF"/>
        </w:rPr>
        <w:t>cit.</w:t>
      </w:r>
      <w:proofErr w:type="gramStart"/>
      <w:r w:rsidR="00960CA0" w:rsidRPr="00C44211">
        <w:rPr>
          <w:rFonts w:ascii="Goudy Old Style" w:hAnsi="Goudy Old Style"/>
          <w:color w:val="000000" w:themeColor="text1"/>
          <w:sz w:val="17"/>
          <w:szCs w:val="17"/>
          <w:shd w:val="clear" w:color="auto" w:fill="FFFFFF"/>
        </w:rPr>
        <w:t>,  96</w:t>
      </w:r>
      <w:proofErr w:type="gramEnd"/>
      <w:r w:rsidR="00960CA0" w:rsidRPr="00C44211">
        <w:rPr>
          <w:rFonts w:ascii="Goudy Old Style" w:hAnsi="Goudy Old Style"/>
          <w:color w:val="000000" w:themeColor="text1"/>
          <w:sz w:val="17"/>
          <w:szCs w:val="17"/>
          <w:shd w:val="clear" w:color="auto" w:fill="FFFFFF"/>
        </w:rPr>
        <w:t>.</w:t>
      </w:r>
    </w:p>
  </w:footnote>
  <w:footnote w:id="11">
    <w:p w:rsidR="00960CA0" w:rsidRPr="00C44211" w:rsidRDefault="00960CA0" w:rsidP="00960CA0">
      <w:pPr>
        <w:pStyle w:val="Testonotaapidipagina"/>
        <w:jc w:val="both"/>
      </w:pPr>
      <w:r w:rsidRPr="00C44211">
        <w:rPr>
          <w:rStyle w:val="Rimandonotaapidipagina"/>
          <w:rFonts w:ascii="Goudy Old Style" w:eastAsia="Times New Roman" w:hAnsi="Goudy Old Style" w:cs="Times New Roman"/>
          <w:bCs/>
          <w:kern w:val="36"/>
          <w:sz w:val="17"/>
          <w:szCs w:val="17"/>
          <w:lang w:eastAsia="it-IT"/>
        </w:rPr>
        <w:footnoteRef/>
      </w:r>
      <w:r w:rsidRPr="00C44211">
        <w:rPr>
          <w:rStyle w:val="Rimandonotaapidipagina"/>
          <w:rFonts w:ascii="Goudy Old Style" w:eastAsia="Times New Roman" w:hAnsi="Goudy Old Style" w:cs="Times New Roman"/>
          <w:bCs/>
          <w:kern w:val="36"/>
          <w:sz w:val="17"/>
          <w:szCs w:val="17"/>
          <w:lang w:eastAsia="it-IT"/>
        </w:rPr>
        <w:t xml:space="preserve"> </w:t>
      </w:r>
      <w:r w:rsidRPr="00C44211">
        <w:rPr>
          <w:rFonts w:ascii="Goudy Old Style" w:hAnsi="Goudy Old Style"/>
          <w:color w:val="000000" w:themeColor="text1"/>
          <w:sz w:val="17"/>
          <w:szCs w:val="17"/>
          <w:shd w:val="clear" w:color="auto" w:fill="FFFFFF"/>
        </w:rPr>
        <w:t>Corte di Giustizia, 3 settembre 2020, causa C</w:t>
      </w:r>
      <w:r w:rsidRPr="00C44211">
        <w:rPr>
          <w:rFonts w:ascii="Goudy Old Style" w:hAnsi="Goudy Old Style"/>
          <w:color w:val="000000" w:themeColor="text1"/>
          <w:sz w:val="17"/>
          <w:szCs w:val="17"/>
          <w:shd w:val="clear" w:color="auto" w:fill="FFFFFF"/>
        </w:rPr>
        <w:noBreakHyphen/>
        <w:t xml:space="preserve">719/18 (Vivendi contro Autorità per le Garanzie nelle Comunicazioni), reperibile al link: </w:t>
      </w:r>
      <w:r w:rsidR="00562F9A" w:rsidRPr="00C44211">
        <w:rPr>
          <w:rFonts w:ascii="Goudy Old Style" w:hAnsi="Goudy Old Style"/>
          <w:color w:val="000000" w:themeColor="text1"/>
          <w:sz w:val="17"/>
          <w:szCs w:val="17"/>
          <w:shd w:val="clear" w:color="auto" w:fill="FFFFFF"/>
        </w:rPr>
        <w:t>&lt;</w:t>
      </w:r>
      <w:r w:rsidRPr="00C44211">
        <w:rPr>
          <w:rFonts w:ascii="Goudy Old Style" w:hAnsi="Goudy Old Style"/>
          <w:color w:val="000000" w:themeColor="text1"/>
          <w:sz w:val="17"/>
          <w:szCs w:val="17"/>
          <w:shd w:val="clear" w:color="auto" w:fill="FFFFFF"/>
        </w:rPr>
        <w:t>https://curia.europa.eu/juris/document/document.jsf?text=&amp;docid=230608&amp;pageIndex=0&amp;doclang=IT&amp;mode=lst&amp;dir=&amp;occ=first&amp;part=1&amp;cid=1149708</w:t>
      </w:r>
      <w:r w:rsidR="00562F9A" w:rsidRPr="00C44211">
        <w:rPr>
          <w:rFonts w:ascii="Goudy Old Style" w:hAnsi="Goudy Old Style"/>
          <w:color w:val="000000" w:themeColor="text1"/>
          <w:sz w:val="17"/>
          <w:szCs w:val="17"/>
          <w:shd w:val="clear" w:color="auto" w:fill="FFFFFF"/>
        </w:rPr>
        <w:t>&gt;</w:t>
      </w:r>
      <w:r w:rsidR="00B71A61" w:rsidRPr="00C44211">
        <w:rPr>
          <w:rFonts w:ascii="Goudy Old Style" w:hAnsi="Goudy Old Style"/>
          <w:color w:val="000000" w:themeColor="text1"/>
          <w:sz w:val="17"/>
          <w:szCs w:val="17"/>
          <w:shd w:val="clear" w:color="auto" w:fill="FFFFFF"/>
        </w:rPr>
        <w:t>.</w:t>
      </w:r>
    </w:p>
  </w:footnote>
  <w:footnote w:id="12">
    <w:p w:rsidR="00B71A61" w:rsidRPr="00C44211" w:rsidRDefault="00B71A61" w:rsidP="00B71A61">
      <w:pPr>
        <w:pStyle w:val="Testonotaapidipagina"/>
        <w:jc w:val="both"/>
      </w:pPr>
      <w:r w:rsidRPr="00C44211">
        <w:rPr>
          <w:rStyle w:val="Rimandonotaapidipagina"/>
          <w:rFonts w:ascii="Goudy Old Style" w:eastAsia="Times New Roman" w:hAnsi="Goudy Old Style" w:cs="Times New Roman"/>
          <w:bCs/>
          <w:kern w:val="36"/>
          <w:sz w:val="17"/>
          <w:szCs w:val="17"/>
          <w:lang w:eastAsia="it-IT"/>
        </w:rPr>
        <w:footnoteRef/>
      </w:r>
      <w:r w:rsidRPr="00C44211">
        <w:t xml:space="preserve"> </w:t>
      </w:r>
      <w:r w:rsidRPr="00C44211">
        <w:rPr>
          <w:rFonts w:ascii="Goudy Old Style" w:hAnsi="Goudy Old Style"/>
          <w:smallCaps/>
          <w:sz w:val="17"/>
          <w:szCs w:val="17"/>
        </w:rPr>
        <w:t>Cassano</w:t>
      </w:r>
      <w:r w:rsidRPr="00C44211">
        <w:rPr>
          <w:rFonts w:ascii="Goudy Old Style" w:hAnsi="Goudy Old Style"/>
          <w:sz w:val="17"/>
          <w:szCs w:val="17"/>
        </w:rPr>
        <w:t xml:space="preserve">, </w:t>
      </w:r>
      <w:r w:rsidRPr="00C44211">
        <w:rPr>
          <w:rFonts w:ascii="Goudy Old Style" w:hAnsi="Goudy Old Style"/>
          <w:i/>
          <w:sz w:val="17"/>
          <w:szCs w:val="17"/>
        </w:rPr>
        <w:t>Il caso Trump, la cacciata dai social media ed il diritto positivo. Brevi note in tema di ostracismo nell’era digitale</w:t>
      </w:r>
      <w:r w:rsidRPr="00C44211">
        <w:rPr>
          <w:rFonts w:ascii="Goudy Old Style" w:hAnsi="Goudy Old Style"/>
          <w:sz w:val="17"/>
          <w:szCs w:val="17"/>
        </w:rPr>
        <w:t>,</w:t>
      </w:r>
      <w:r w:rsidRPr="00C44211">
        <w:t xml:space="preserve"> </w:t>
      </w:r>
      <w:r w:rsidRPr="00C44211">
        <w:rPr>
          <w:rFonts w:ascii="Goudy Old Style" w:hAnsi="Goudy Old Style"/>
          <w:sz w:val="17"/>
          <w:szCs w:val="17"/>
        </w:rPr>
        <w:t xml:space="preserve">in questa </w:t>
      </w:r>
      <w:r w:rsidRPr="00C44211">
        <w:rPr>
          <w:rFonts w:ascii="Goudy Old Style" w:hAnsi="Goudy Old Style"/>
          <w:b/>
          <w:i/>
          <w:sz w:val="17"/>
          <w:szCs w:val="17"/>
        </w:rPr>
        <w:t>Rivista</w:t>
      </w:r>
      <w:r w:rsidRPr="00C44211">
        <w:rPr>
          <w:rFonts w:ascii="Goudy Old Style" w:hAnsi="Goudy Old Style"/>
          <w:sz w:val="17"/>
          <w:szCs w:val="17"/>
        </w:rPr>
        <w:t xml:space="preserve">, 2, 2021. </w:t>
      </w:r>
    </w:p>
  </w:footnote>
  <w:footnote w:id="13">
    <w:p w:rsidR="00AB33C3" w:rsidRPr="00C44211" w:rsidRDefault="00AB33C3" w:rsidP="00AB33C3">
      <w:pPr>
        <w:pStyle w:val="Testonotaapidipagina"/>
        <w:jc w:val="both"/>
        <w:rPr>
          <w:lang w:val="en-US"/>
        </w:rPr>
      </w:pPr>
      <w:r w:rsidRPr="00C44211">
        <w:rPr>
          <w:rStyle w:val="Rimandonotaapidipagina"/>
          <w:rFonts w:ascii="Goudy Old Style" w:eastAsia="Times New Roman" w:hAnsi="Goudy Old Style" w:cs="Times New Roman"/>
          <w:bCs/>
          <w:kern w:val="36"/>
          <w:sz w:val="17"/>
          <w:szCs w:val="17"/>
          <w:lang w:eastAsia="it-IT"/>
        </w:rPr>
        <w:footnoteRef/>
      </w:r>
      <w:r w:rsidRPr="00C44211">
        <w:t xml:space="preserve"> </w:t>
      </w:r>
      <w:hyperlink r:id="rId5" w:history="1">
        <w:r w:rsidRPr="00C44211">
          <w:rPr>
            <w:rStyle w:val="Collegamentoipertestuale"/>
            <w:rFonts w:ascii="Goudy Old Style" w:hAnsi="Goudy Old Style"/>
            <w:sz w:val="17"/>
            <w:szCs w:val="17"/>
          </w:rPr>
          <w:t>https://www.axios.com/zuckerberg-facebook-section-230-shield-liability-ac9cfb3d-c98d-473b-b80a-722c79e68568.html</w:t>
        </w:r>
      </w:hyperlink>
      <w:r w:rsidRPr="00C44211">
        <w:rPr>
          <w:rFonts w:ascii="Goudy Old Style" w:hAnsi="Goudy Old Style"/>
          <w:sz w:val="17"/>
          <w:szCs w:val="17"/>
        </w:rPr>
        <w:t xml:space="preserve">. </w:t>
      </w:r>
      <w:r w:rsidRPr="00C44211">
        <w:rPr>
          <w:rFonts w:ascii="Goudy Old Style" w:hAnsi="Goudy Old Style"/>
          <w:sz w:val="17"/>
          <w:szCs w:val="17"/>
          <w:lang w:val="en-US"/>
        </w:rPr>
        <w:t xml:space="preserve">Con </w:t>
      </w:r>
      <w:proofErr w:type="spellStart"/>
      <w:r w:rsidRPr="00C44211">
        <w:rPr>
          <w:rFonts w:ascii="Goudy Old Style" w:hAnsi="Goudy Old Style"/>
          <w:sz w:val="17"/>
          <w:szCs w:val="17"/>
          <w:lang w:val="en-US"/>
        </w:rPr>
        <w:t>chiarezza</w:t>
      </w:r>
      <w:proofErr w:type="spellEnd"/>
      <w:r w:rsidRPr="00C44211">
        <w:rPr>
          <w:rFonts w:ascii="Goudy Old Style" w:hAnsi="Goudy Old Style"/>
          <w:sz w:val="17"/>
          <w:szCs w:val="17"/>
          <w:lang w:val="en-US"/>
        </w:rPr>
        <w:t xml:space="preserve"> </w:t>
      </w:r>
      <w:proofErr w:type="spellStart"/>
      <w:r w:rsidRPr="00C44211">
        <w:rPr>
          <w:rFonts w:ascii="Goudy Old Style" w:hAnsi="Goudy Old Style"/>
          <w:sz w:val="17"/>
          <w:szCs w:val="17"/>
          <w:lang w:val="en-US"/>
        </w:rPr>
        <w:t>il</w:t>
      </w:r>
      <w:proofErr w:type="spellEnd"/>
      <w:r w:rsidRPr="00C44211">
        <w:rPr>
          <w:rFonts w:ascii="Goudy Old Style" w:hAnsi="Goudy Old Style"/>
          <w:sz w:val="17"/>
          <w:szCs w:val="17"/>
          <w:lang w:val="en-US"/>
        </w:rPr>
        <w:t xml:space="preserve"> CEO di Facebook ha </w:t>
      </w:r>
      <w:proofErr w:type="spellStart"/>
      <w:r w:rsidRPr="00C44211">
        <w:rPr>
          <w:rFonts w:ascii="Goudy Old Style" w:hAnsi="Goudy Old Style"/>
          <w:sz w:val="17"/>
          <w:szCs w:val="17"/>
          <w:lang w:val="en-US"/>
        </w:rPr>
        <w:t>affermato</w:t>
      </w:r>
      <w:proofErr w:type="spellEnd"/>
      <w:r w:rsidRPr="00C44211">
        <w:rPr>
          <w:rFonts w:ascii="Goudy Old Style" w:hAnsi="Goudy Old Style"/>
          <w:sz w:val="17"/>
          <w:szCs w:val="17"/>
          <w:lang w:val="en-US"/>
        </w:rPr>
        <w:t>: “</w:t>
      </w:r>
      <w:r w:rsidRPr="00C44211">
        <w:rPr>
          <w:rFonts w:ascii="Goudy Old Style" w:hAnsi="Goudy Old Style"/>
          <w:i/>
          <w:sz w:val="17"/>
          <w:szCs w:val="17"/>
          <w:lang w:val="en-US"/>
        </w:rPr>
        <w:t>Platforms should not be held liable if a particular piece of content evades its detection—that would be impractical for platforms with billions of posts per day—but they should be required to have adequate systems in place to address unlawful content</w:t>
      </w:r>
      <w:r w:rsidRPr="00C44211">
        <w:rPr>
          <w:rFonts w:ascii="Goudy Old Style" w:hAnsi="Goudy Old Style"/>
          <w:sz w:val="17"/>
          <w:szCs w:val="17"/>
          <w:lang w:val="en-US"/>
        </w:rPr>
        <w:t>”.</w:t>
      </w:r>
    </w:p>
  </w:footnote>
  <w:footnote w:id="14">
    <w:p w:rsidR="00AB33C3" w:rsidRPr="00C44211" w:rsidRDefault="00AB33C3">
      <w:pPr>
        <w:pStyle w:val="Testonotaapidipagina"/>
        <w:rPr>
          <w:lang w:val="en-US"/>
        </w:rPr>
      </w:pPr>
      <w:r w:rsidRPr="00C44211">
        <w:rPr>
          <w:rStyle w:val="Rimandonotaapidipagina"/>
          <w:rFonts w:ascii="Goudy Old Style" w:eastAsia="Times New Roman" w:hAnsi="Goudy Old Style" w:cs="Times New Roman"/>
          <w:bCs/>
          <w:kern w:val="36"/>
          <w:sz w:val="17"/>
          <w:szCs w:val="17"/>
          <w:lang w:eastAsia="it-IT"/>
        </w:rPr>
        <w:footnoteRef/>
      </w:r>
      <w:r w:rsidRPr="00C44211">
        <w:rPr>
          <w:rStyle w:val="Rimandonotaapidipagina"/>
          <w:rFonts w:ascii="Goudy Old Style" w:eastAsia="Times New Roman" w:hAnsi="Goudy Old Style" w:cs="Times New Roman"/>
          <w:bCs/>
          <w:kern w:val="36"/>
          <w:sz w:val="17"/>
          <w:szCs w:val="17"/>
          <w:lang w:val="en-US" w:eastAsia="it-IT"/>
        </w:rPr>
        <w:t xml:space="preserve"> </w:t>
      </w:r>
      <w:r w:rsidR="00562F9A" w:rsidRPr="00C44211">
        <w:rPr>
          <w:rFonts w:ascii="Goudy Old Style" w:eastAsia="Times New Roman" w:hAnsi="Goudy Old Style" w:cs="Times New Roman"/>
          <w:bCs/>
          <w:kern w:val="36"/>
          <w:sz w:val="17"/>
          <w:szCs w:val="17"/>
          <w:lang w:val="en-US" w:eastAsia="it-IT"/>
        </w:rPr>
        <w:t>&lt;</w:t>
      </w:r>
      <w:r w:rsidRPr="00C44211">
        <w:rPr>
          <w:rFonts w:ascii="Goudy Old Style" w:hAnsi="Goudy Old Style"/>
          <w:sz w:val="17"/>
          <w:szCs w:val="17"/>
          <w:lang w:val="en-US"/>
        </w:rPr>
        <w:t>https://news.bloomberglaw.com/bloomberg-law-analysis/analysis-user-terms-may-dull-the-effect-of-a-section-230-change</w:t>
      </w:r>
      <w:r w:rsidR="00562F9A" w:rsidRPr="00C44211">
        <w:rPr>
          <w:rFonts w:ascii="Goudy Old Style" w:hAnsi="Goudy Old Style"/>
          <w:sz w:val="17"/>
          <w:szCs w:val="17"/>
          <w:lang w:val="en-US"/>
        </w:rPr>
        <w:t>&gt;</w:t>
      </w:r>
      <w:r w:rsidRPr="00C44211">
        <w:rPr>
          <w:rFonts w:ascii="Goudy Old Style" w:hAnsi="Goudy Old Style"/>
          <w:sz w:val="17"/>
          <w:szCs w:val="17"/>
          <w:lang w:val="en-US"/>
        </w:rPr>
        <w:t>.</w:t>
      </w:r>
    </w:p>
  </w:footnote>
  <w:footnote w:id="15">
    <w:p w:rsidR="00BE346A" w:rsidRPr="00C44211" w:rsidRDefault="00BE346A" w:rsidP="003628C3">
      <w:pPr>
        <w:pStyle w:val="Testonotaapidipagina"/>
        <w:jc w:val="both"/>
      </w:pPr>
      <w:r w:rsidRPr="00C44211">
        <w:rPr>
          <w:rStyle w:val="Rimandonotaapidipagina"/>
          <w:rFonts w:ascii="Goudy Old Style" w:eastAsia="Times New Roman" w:hAnsi="Goudy Old Style" w:cs="Times New Roman"/>
          <w:bCs/>
          <w:kern w:val="36"/>
          <w:sz w:val="17"/>
          <w:szCs w:val="17"/>
          <w:lang w:eastAsia="it-IT"/>
        </w:rPr>
        <w:footnoteRef/>
      </w:r>
      <w:r w:rsidRPr="00C44211">
        <w:t xml:space="preserve"> </w:t>
      </w:r>
      <w:r w:rsidRPr="00C44211">
        <w:rPr>
          <w:rFonts w:ascii="Goudy Old Style" w:hAnsi="Goudy Old Style"/>
          <w:sz w:val="17"/>
          <w:szCs w:val="17"/>
        </w:rPr>
        <w:t>Corte di giustizia dell’Unione europea, sentenza 23/03/2011, C-236/08 (</w:t>
      </w:r>
      <w:r w:rsidR="003628C3" w:rsidRPr="00C44211">
        <w:rPr>
          <w:rFonts w:ascii="Goudy Old Style" w:hAnsi="Goudy Old Style"/>
          <w:sz w:val="17"/>
          <w:szCs w:val="17"/>
        </w:rPr>
        <w:t xml:space="preserve">Google France SARL e Google </w:t>
      </w:r>
      <w:proofErr w:type="spellStart"/>
      <w:r w:rsidR="003628C3" w:rsidRPr="00C44211">
        <w:rPr>
          <w:rFonts w:ascii="Goudy Old Style" w:hAnsi="Goudy Old Style"/>
          <w:sz w:val="17"/>
          <w:szCs w:val="17"/>
        </w:rPr>
        <w:t>Inc</w:t>
      </w:r>
      <w:proofErr w:type="spellEnd"/>
      <w:r w:rsidR="003628C3" w:rsidRPr="00C44211">
        <w:rPr>
          <w:rFonts w:ascii="Goudy Old Style" w:hAnsi="Goudy Old Style"/>
          <w:sz w:val="17"/>
          <w:szCs w:val="17"/>
        </w:rPr>
        <w:t xml:space="preserve">. contro Louis Vuitton </w:t>
      </w:r>
      <w:proofErr w:type="spellStart"/>
      <w:r w:rsidR="003628C3" w:rsidRPr="00C44211">
        <w:rPr>
          <w:rFonts w:ascii="Goudy Old Style" w:hAnsi="Goudy Old Style"/>
          <w:sz w:val="17"/>
          <w:szCs w:val="17"/>
        </w:rPr>
        <w:t>Malletier</w:t>
      </w:r>
      <w:proofErr w:type="spellEnd"/>
      <w:r w:rsidR="003628C3" w:rsidRPr="00C44211">
        <w:rPr>
          <w:rFonts w:ascii="Goudy Old Style" w:hAnsi="Goudy Old Style"/>
          <w:sz w:val="17"/>
          <w:szCs w:val="17"/>
        </w:rPr>
        <w:t xml:space="preserve"> SA), reperibile al link </w:t>
      </w:r>
      <w:r w:rsidR="00562F9A" w:rsidRPr="00C44211">
        <w:rPr>
          <w:rFonts w:ascii="Goudy Old Style" w:hAnsi="Goudy Old Style"/>
          <w:sz w:val="17"/>
          <w:szCs w:val="17"/>
        </w:rPr>
        <w:t>&lt;</w:t>
      </w:r>
      <w:hyperlink r:id="rId6" w:history="1">
        <w:r w:rsidR="003628C3" w:rsidRPr="00C44211">
          <w:rPr>
            <w:rStyle w:val="Collegamentoipertestuale"/>
            <w:rFonts w:ascii="Goudy Old Style" w:hAnsi="Goudy Old Style"/>
            <w:sz w:val="17"/>
            <w:szCs w:val="17"/>
          </w:rPr>
          <w:t>https://eur-lex.europa.eu/legal-content/IT/ALL/?uri=CELEX:62008CJ0236</w:t>
        </w:r>
      </w:hyperlink>
      <w:r w:rsidR="00562F9A" w:rsidRPr="00C44211">
        <w:rPr>
          <w:rStyle w:val="Collegamentoipertestuale"/>
          <w:rFonts w:ascii="Goudy Old Style" w:hAnsi="Goudy Old Style"/>
          <w:sz w:val="17"/>
          <w:szCs w:val="17"/>
          <w:u w:val="none"/>
        </w:rPr>
        <w:t>&gt;</w:t>
      </w:r>
      <w:r w:rsidR="003628C3" w:rsidRPr="00C44211">
        <w:rPr>
          <w:rFonts w:ascii="Goudy Old Style" w:hAnsi="Goudy Old Style"/>
          <w:sz w:val="17"/>
          <w:szCs w:val="17"/>
        </w:rPr>
        <w:t xml:space="preserve">. Cfr. anche Corte di Giustizia, sez. III, 3 ottobre 2019, n. 18/2018. In dottrina v.: </w:t>
      </w:r>
      <w:r w:rsidR="003628C3" w:rsidRPr="00C44211">
        <w:rPr>
          <w:rFonts w:ascii="Goudy Old Style" w:hAnsi="Goudy Old Style"/>
          <w:smallCaps/>
          <w:sz w:val="17"/>
          <w:szCs w:val="17"/>
        </w:rPr>
        <w:t>Cassano</w:t>
      </w:r>
      <w:r w:rsidR="003628C3" w:rsidRPr="00C44211">
        <w:rPr>
          <w:rFonts w:ascii="Goudy Old Style" w:hAnsi="Goudy Old Style"/>
          <w:sz w:val="17"/>
          <w:szCs w:val="17"/>
        </w:rPr>
        <w:t xml:space="preserve">, </w:t>
      </w:r>
      <w:r w:rsidR="003628C3" w:rsidRPr="00C44211">
        <w:rPr>
          <w:rFonts w:ascii="Goudy Old Style" w:hAnsi="Goudy Old Style"/>
          <w:i/>
          <w:sz w:val="17"/>
          <w:szCs w:val="17"/>
        </w:rPr>
        <w:t>Il caso Trump, la cacciata dai social media ed il diritto positivo. Brevi note in tema di ostracismo nell’era digitale</w:t>
      </w:r>
      <w:r w:rsidR="003628C3" w:rsidRPr="00C44211">
        <w:rPr>
          <w:rFonts w:ascii="Goudy Old Style" w:hAnsi="Goudy Old Style"/>
          <w:sz w:val="17"/>
          <w:szCs w:val="17"/>
        </w:rPr>
        <w:t xml:space="preserve">, </w:t>
      </w:r>
      <w:r w:rsidR="003628C3" w:rsidRPr="00C44211">
        <w:rPr>
          <w:rFonts w:ascii="Goudy Old Style" w:hAnsi="Goudy Old Style"/>
          <w:i/>
          <w:sz w:val="17"/>
          <w:szCs w:val="17"/>
        </w:rPr>
        <w:t>cit.</w:t>
      </w:r>
      <w:proofErr w:type="gramStart"/>
      <w:r w:rsidR="003628C3" w:rsidRPr="00C44211">
        <w:rPr>
          <w:rFonts w:ascii="Goudy Old Style" w:hAnsi="Goudy Old Style"/>
          <w:sz w:val="17"/>
          <w:szCs w:val="17"/>
        </w:rPr>
        <w:t>,  224</w:t>
      </w:r>
      <w:proofErr w:type="gramEnd"/>
      <w:r w:rsidR="003628C3" w:rsidRPr="00C44211">
        <w:rPr>
          <w:rFonts w:ascii="Goudy Old Style" w:hAnsi="Goudy Old Style"/>
          <w:sz w:val="17"/>
          <w:szCs w:val="17"/>
        </w:rPr>
        <w:t xml:space="preserve">; </w:t>
      </w:r>
      <w:r w:rsidR="003628C3" w:rsidRPr="00C44211">
        <w:rPr>
          <w:rFonts w:ascii="Goudy Old Style" w:hAnsi="Goudy Old Style"/>
          <w:smallCaps/>
          <w:sz w:val="17"/>
          <w:szCs w:val="17"/>
        </w:rPr>
        <w:t xml:space="preserve">Di </w:t>
      </w:r>
      <w:proofErr w:type="spellStart"/>
      <w:r w:rsidR="003628C3" w:rsidRPr="00C44211">
        <w:rPr>
          <w:rFonts w:ascii="Goudy Old Style" w:hAnsi="Goudy Old Style"/>
          <w:smallCaps/>
          <w:sz w:val="17"/>
          <w:szCs w:val="17"/>
        </w:rPr>
        <w:t>Ciommo</w:t>
      </w:r>
      <w:proofErr w:type="spellEnd"/>
      <w:r w:rsidR="003628C3" w:rsidRPr="00C44211">
        <w:rPr>
          <w:rFonts w:ascii="Goudy Old Style" w:hAnsi="Goudy Old Style"/>
          <w:sz w:val="17"/>
          <w:szCs w:val="17"/>
        </w:rPr>
        <w:t xml:space="preserve">, </w:t>
      </w:r>
      <w:r w:rsidR="003628C3" w:rsidRPr="00C44211">
        <w:rPr>
          <w:rFonts w:ascii="Goudy Old Style" w:hAnsi="Goudy Old Style"/>
          <w:i/>
          <w:sz w:val="17"/>
          <w:szCs w:val="17"/>
        </w:rPr>
        <w:t>Google/Vivi Down, atto finale: l’hosting provider non risponde quale titolare del trattamento dei dati</w:t>
      </w:r>
      <w:r w:rsidR="003628C3" w:rsidRPr="00C44211">
        <w:rPr>
          <w:rFonts w:ascii="Goudy Old Style" w:hAnsi="Goudy Old Style"/>
          <w:sz w:val="17"/>
          <w:szCs w:val="17"/>
        </w:rPr>
        <w:t xml:space="preserve">, in </w:t>
      </w:r>
      <w:r w:rsidR="003628C3" w:rsidRPr="00C44211">
        <w:rPr>
          <w:rFonts w:ascii="Goudy Old Style" w:hAnsi="Goudy Old Style"/>
          <w:i/>
          <w:sz w:val="17"/>
          <w:szCs w:val="17"/>
        </w:rPr>
        <w:t xml:space="preserve">Giur. </w:t>
      </w:r>
      <w:proofErr w:type="spellStart"/>
      <w:proofErr w:type="gramStart"/>
      <w:r w:rsidR="003628C3" w:rsidRPr="00C44211">
        <w:rPr>
          <w:rFonts w:ascii="Goudy Old Style" w:hAnsi="Goudy Old Style"/>
          <w:i/>
          <w:sz w:val="17"/>
          <w:szCs w:val="17"/>
        </w:rPr>
        <w:t>it</w:t>
      </w:r>
      <w:proofErr w:type="spellEnd"/>
      <w:r w:rsidR="003628C3" w:rsidRPr="00C44211">
        <w:rPr>
          <w:rFonts w:ascii="Goudy Old Style" w:hAnsi="Goudy Old Style"/>
          <w:i/>
          <w:sz w:val="17"/>
          <w:szCs w:val="17"/>
        </w:rPr>
        <w:t>.</w:t>
      </w:r>
      <w:r w:rsidR="003628C3" w:rsidRPr="00C44211">
        <w:rPr>
          <w:rFonts w:ascii="Goudy Old Style" w:hAnsi="Goudy Old Style"/>
          <w:sz w:val="17"/>
          <w:szCs w:val="17"/>
        </w:rPr>
        <w:t>,</w:t>
      </w:r>
      <w:proofErr w:type="gramEnd"/>
      <w:r w:rsidR="003628C3" w:rsidRPr="00C44211">
        <w:rPr>
          <w:rFonts w:ascii="Goudy Old Style" w:hAnsi="Goudy Old Style"/>
          <w:sz w:val="17"/>
          <w:szCs w:val="17"/>
        </w:rPr>
        <w:t xml:space="preserve"> 2014, 2016 ss.; </w:t>
      </w:r>
      <w:r w:rsidR="003628C3" w:rsidRPr="00C44211">
        <w:rPr>
          <w:rFonts w:ascii="Goudy Old Style" w:hAnsi="Goudy Old Style"/>
          <w:smallCaps/>
          <w:sz w:val="17"/>
          <w:szCs w:val="17"/>
        </w:rPr>
        <w:t>Accinni</w:t>
      </w:r>
      <w:r w:rsidR="003628C3" w:rsidRPr="00C44211">
        <w:rPr>
          <w:rFonts w:ascii="Goudy Old Style" w:hAnsi="Goudy Old Style"/>
          <w:sz w:val="17"/>
          <w:szCs w:val="17"/>
        </w:rPr>
        <w:t xml:space="preserve">, </w:t>
      </w:r>
      <w:r w:rsidR="003628C3" w:rsidRPr="00C44211">
        <w:rPr>
          <w:rFonts w:ascii="Goudy Old Style" w:hAnsi="Goudy Old Style"/>
          <w:i/>
          <w:sz w:val="17"/>
          <w:szCs w:val="17"/>
        </w:rPr>
        <w:t>Profili di responsabilità dell’hosting provider “attivo”</w:t>
      </w:r>
      <w:r w:rsidR="003628C3" w:rsidRPr="00C44211">
        <w:rPr>
          <w:rFonts w:ascii="Goudy Old Style" w:hAnsi="Goudy Old Style"/>
          <w:sz w:val="17"/>
          <w:szCs w:val="17"/>
        </w:rPr>
        <w:t xml:space="preserve">, in </w:t>
      </w:r>
      <w:r w:rsidR="003628C3" w:rsidRPr="00C44211">
        <w:rPr>
          <w:rFonts w:ascii="Goudy Old Style" w:hAnsi="Goudy Old Style"/>
          <w:i/>
          <w:sz w:val="17"/>
          <w:szCs w:val="17"/>
        </w:rPr>
        <w:t xml:space="preserve">Arch. </w:t>
      </w:r>
      <w:proofErr w:type="spellStart"/>
      <w:r w:rsidR="003628C3" w:rsidRPr="00C44211">
        <w:rPr>
          <w:rFonts w:ascii="Goudy Old Style" w:hAnsi="Goudy Old Style"/>
          <w:i/>
          <w:sz w:val="17"/>
          <w:szCs w:val="17"/>
        </w:rPr>
        <w:t>pen</w:t>
      </w:r>
      <w:proofErr w:type="spellEnd"/>
      <w:r w:rsidR="003628C3" w:rsidRPr="00C44211">
        <w:rPr>
          <w:rFonts w:ascii="Goudy Old Style" w:hAnsi="Goudy Old Style"/>
          <w:sz w:val="17"/>
          <w:szCs w:val="17"/>
        </w:rPr>
        <w:t>., 2017, 2, 1 ss..</w:t>
      </w:r>
    </w:p>
  </w:footnote>
  <w:footnote w:id="16">
    <w:p w:rsidR="003628C3" w:rsidRPr="00C44211" w:rsidRDefault="003628C3" w:rsidP="003A1539">
      <w:pPr>
        <w:pStyle w:val="Testonotaapidipagina"/>
        <w:jc w:val="both"/>
      </w:pPr>
      <w:r w:rsidRPr="00C44211">
        <w:rPr>
          <w:rStyle w:val="Rimandonotaapidipagina"/>
        </w:rPr>
        <w:footnoteRef/>
      </w:r>
      <w:r w:rsidRPr="00C44211">
        <w:t xml:space="preserve"> </w:t>
      </w:r>
      <w:r w:rsidRPr="00C44211">
        <w:rPr>
          <w:rFonts w:ascii="Goudy Old Style" w:hAnsi="Goudy Old Style"/>
          <w:sz w:val="17"/>
          <w:szCs w:val="17"/>
        </w:rPr>
        <w:t xml:space="preserve">Tra le più recenti pronunce sul tema, </w:t>
      </w:r>
      <w:r w:rsidR="003A1539" w:rsidRPr="00C44211">
        <w:rPr>
          <w:rFonts w:ascii="Goudy Old Style" w:hAnsi="Goudy Old Style"/>
          <w:sz w:val="17"/>
          <w:szCs w:val="17"/>
        </w:rPr>
        <w:t>con riferimento</w:t>
      </w:r>
      <w:r w:rsidRPr="00C44211">
        <w:rPr>
          <w:rFonts w:ascii="Goudy Old Style" w:hAnsi="Goudy Old Style"/>
          <w:sz w:val="17"/>
          <w:szCs w:val="17"/>
        </w:rPr>
        <w:t xml:space="preserve"> </w:t>
      </w:r>
      <w:r w:rsidR="003A1539" w:rsidRPr="00C44211">
        <w:rPr>
          <w:rFonts w:ascii="Goudy Old Style" w:hAnsi="Goudy Old Style"/>
          <w:sz w:val="17"/>
          <w:szCs w:val="17"/>
        </w:rPr>
        <w:t xml:space="preserve">all’esercizio del potere sanzionatorio dell’AGCOM in relazione al servizio “Google ADS”, T.A.R. Lazio, sez. III ter, 28 ottobre 2021, n. 11036, in </w:t>
      </w:r>
      <w:hyperlink r:id="rId7" w:history="1">
        <w:r w:rsidR="003A1539" w:rsidRPr="00C44211">
          <w:rPr>
            <w:rStyle w:val="Collegamentoipertestuale"/>
            <w:rFonts w:ascii="Goudy Old Style" w:hAnsi="Goudy Old Style"/>
            <w:sz w:val="17"/>
            <w:szCs w:val="17"/>
          </w:rPr>
          <w:t>www.giustizia-amministrativa.it</w:t>
        </w:r>
      </w:hyperlink>
      <w:r w:rsidR="003A1539" w:rsidRPr="00C44211">
        <w:rPr>
          <w:rFonts w:ascii="Goudy Old Style" w:hAnsi="Goudy Old Style"/>
          <w:sz w:val="17"/>
          <w:szCs w:val="17"/>
        </w:rPr>
        <w:t>. Cfr. anche Cassazione civile sez. I, 16 settembre 2021, n. 25070; id. 19 marzo 2019, n. 7708.</w:t>
      </w:r>
    </w:p>
  </w:footnote>
  <w:footnote w:id="17">
    <w:p w:rsidR="00367229" w:rsidRPr="00C44211" w:rsidRDefault="00367229" w:rsidP="00C44211">
      <w:pPr>
        <w:pStyle w:val="Testonotaapidipagina"/>
        <w:jc w:val="both"/>
      </w:pPr>
      <w:r w:rsidRPr="00C44211">
        <w:rPr>
          <w:rStyle w:val="Rimandonotaapidipagina"/>
          <w:rFonts w:ascii="Goudy Old Style" w:eastAsia="Times New Roman" w:hAnsi="Goudy Old Style" w:cs="Times New Roman"/>
          <w:bCs/>
          <w:kern w:val="36"/>
          <w:sz w:val="17"/>
          <w:szCs w:val="17"/>
          <w:lang w:eastAsia="it-IT"/>
        </w:rPr>
        <w:footnoteRef/>
      </w:r>
      <w:r w:rsidRPr="00C44211">
        <w:t xml:space="preserve"> </w:t>
      </w:r>
      <w:r w:rsidRPr="00C44211">
        <w:rPr>
          <w:rFonts w:ascii="Goudy Old Style" w:hAnsi="Goudy Old Style"/>
          <w:sz w:val="17"/>
          <w:szCs w:val="17"/>
        </w:rPr>
        <w:t xml:space="preserve">Commissione Europea, Proposta di Regolamento del Parlamento Europeo e del Consiglio che stabilisce regole armonizzate sull’Intelligenza Artificiale (Legge sull’Intelligenza Artificiale) e Modifica ad alcuni Atti Legislativi dell’Unione, {SEC(2021) 167 </w:t>
      </w:r>
      <w:proofErr w:type="spellStart"/>
      <w:r w:rsidRPr="00C44211">
        <w:rPr>
          <w:rFonts w:ascii="Goudy Old Style" w:hAnsi="Goudy Old Style"/>
          <w:sz w:val="17"/>
          <w:szCs w:val="17"/>
        </w:rPr>
        <w:t>final</w:t>
      </w:r>
      <w:proofErr w:type="spellEnd"/>
      <w:r w:rsidRPr="00C44211">
        <w:rPr>
          <w:rFonts w:ascii="Goudy Old Style" w:hAnsi="Goudy Old Style"/>
          <w:sz w:val="17"/>
          <w:szCs w:val="17"/>
        </w:rPr>
        <w:t xml:space="preserve">} – {SWD(2021) 84 </w:t>
      </w:r>
      <w:proofErr w:type="spellStart"/>
      <w:r w:rsidRPr="00C44211">
        <w:rPr>
          <w:rFonts w:ascii="Goudy Old Style" w:hAnsi="Goudy Old Style"/>
          <w:sz w:val="17"/>
          <w:szCs w:val="17"/>
        </w:rPr>
        <w:t>final</w:t>
      </w:r>
      <w:proofErr w:type="spellEnd"/>
      <w:r w:rsidRPr="00C44211">
        <w:rPr>
          <w:rFonts w:ascii="Goudy Old Style" w:hAnsi="Goudy Old Style"/>
          <w:sz w:val="17"/>
          <w:szCs w:val="17"/>
        </w:rPr>
        <w:t xml:space="preserve">} – {SWD(2021) 85 </w:t>
      </w:r>
      <w:proofErr w:type="spellStart"/>
      <w:r w:rsidRPr="00C44211">
        <w:rPr>
          <w:rFonts w:ascii="Goudy Old Style" w:hAnsi="Goudy Old Style"/>
          <w:sz w:val="17"/>
          <w:szCs w:val="17"/>
        </w:rPr>
        <w:t>f</w:t>
      </w:r>
      <w:r w:rsidR="00511178" w:rsidRPr="00C44211">
        <w:rPr>
          <w:rFonts w:ascii="Goudy Old Style" w:hAnsi="Goudy Old Style"/>
          <w:sz w:val="17"/>
          <w:szCs w:val="17"/>
        </w:rPr>
        <w:t>inal</w:t>
      </w:r>
      <w:proofErr w:type="spellEnd"/>
      <w:r w:rsidR="00511178" w:rsidRPr="00C44211">
        <w:rPr>
          <w:rFonts w:ascii="Goudy Old Style" w:hAnsi="Goudy Old Style"/>
          <w:sz w:val="17"/>
          <w:szCs w:val="17"/>
        </w:rPr>
        <w:t>} Bruxelles, 21 aprile 2021:</w:t>
      </w:r>
      <w:r w:rsidRPr="00C44211">
        <w:rPr>
          <w:rFonts w:ascii="Goudy Old Style" w:hAnsi="Goudy Old Style"/>
          <w:sz w:val="17"/>
          <w:szCs w:val="17"/>
        </w:rPr>
        <w:t xml:space="preserve"> </w:t>
      </w:r>
      <w:r w:rsidR="00C44211" w:rsidRPr="00C44211">
        <w:rPr>
          <w:rFonts w:ascii="Goudy Old Style" w:hAnsi="Goudy Old Style"/>
          <w:sz w:val="17"/>
          <w:szCs w:val="17"/>
        </w:rPr>
        <w:t>&lt;</w:t>
      </w:r>
      <w:hyperlink r:id="rId8" w:history="1">
        <w:r w:rsidR="00C44211" w:rsidRPr="00C44211">
          <w:rPr>
            <w:rStyle w:val="Collegamentoipertestuale"/>
            <w:rFonts w:ascii="Goudy Old Style" w:hAnsi="Goudy Old Style"/>
            <w:sz w:val="17"/>
            <w:szCs w:val="17"/>
          </w:rPr>
          <w:t>https://eur-lex.europa.eu/resource.html?uri=cellar:e0649735-a372-11eb-9585-01aa75ed71a1.0006.02/DOC_1&amp;format=PDF</w:t>
        </w:r>
      </w:hyperlink>
      <w:r w:rsidR="00C44211" w:rsidRPr="00C44211">
        <w:rPr>
          <w:rFonts w:ascii="Goudy Old Style" w:hAnsi="Goudy Old Style"/>
          <w:sz w:val="17"/>
          <w:szCs w:val="17"/>
        </w:rPr>
        <w:t>&gt;</w:t>
      </w:r>
      <w:r w:rsidR="00511178" w:rsidRPr="00C44211">
        <w:rPr>
          <w:rFonts w:ascii="Goudy Old Style" w:hAnsi="Goudy Old Style"/>
          <w:sz w:val="17"/>
          <w:szCs w:val="17"/>
        </w:rPr>
        <w:t>.</w:t>
      </w:r>
      <w:r w:rsidR="00C44211" w:rsidRPr="00C44211">
        <w:rPr>
          <w:rFonts w:ascii="Goudy Old Style" w:hAnsi="Goudy Old Style"/>
          <w:sz w:val="17"/>
          <w:szCs w:val="17"/>
        </w:rPr>
        <w:t xml:space="preserve"> Di recente sul punto </w:t>
      </w:r>
      <w:r w:rsidR="00C44211" w:rsidRPr="00C44211">
        <w:rPr>
          <w:rFonts w:ascii="Goudy Old Style" w:hAnsi="Goudy Old Style"/>
          <w:smallCaps/>
          <w:sz w:val="17"/>
          <w:szCs w:val="17"/>
        </w:rPr>
        <w:t xml:space="preserve">Pizzetti, </w:t>
      </w:r>
      <w:r w:rsidR="00C44211" w:rsidRPr="00C44211">
        <w:rPr>
          <w:rFonts w:ascii="Goudy Old Style" w:hAnsi="Goudy Old Style"/>
          <w:i/>
          <w:sz w:val="17"/>
          <w:szCs w:val="17"/>
        </w:rPr>
        <w:t>La proposta di regolamento sull’</w:t>
      </w:r>
      <w:proofErr w:type="spellStart"/>
      <w:r w:rsidR="00C44211" w:rsidRPr="00C44211">
        <w:rPr>
          <w:rFonts w:ascii="Goudy Old Style" w:hAnsi="Goudy Old Style"/>
          <w:i/>
          <w:sz w:val="17"/>
          <w:szCs w:val="17"/>
        </w:rPr>
        <w:t>ia</w:t>
      </w:r>
      <w:proofErr w:type="spellEnd"/>
      <w:r w:rsidR="00C44211" w:rsidRPr="00C44211">
        <w:rPr>
          <w:rFonts w:ascii="Goudy Old Style" w:hAnsi="Goudy Old Style"/>
          <w:i/>
          <w:sz w:val="17"/>
          <w:szCs w:val="17"/>
        </w:rPr>
        <w:t xml:space="preserve"> della commissione europea presentata il 21.4.2021 (</w:t>
      </w:r>
      <w:proofErr w:type="spellStart"/>
      <w:r w:rsidR="00C44211" w:rsidRPr="00C44211">
        <w:rPr>
          <w:rFonts w:ascii="Goudy Old Style" w:hAnsi="Goudy Old Style"/>
          <w:i/>
          <w:sz w:val="17"/>
          <w:szCs w:val="17"/>
        </w:rPr>
        <w:t>com</w:t>
      </w:r>
      <w:proofErr w:type="spellEnd"/>
      <w:r w:rsidR="00C44211" w:rsidRPr="00C44211">
        <w:rPr>
          <w:rFonts w:ascii="Goudy Old Style" w:hAnsi="Goudy Old Style"/>
          <w:i/>
          <w:sz w:val="17"/>
          <w:szCs w:val="17"/>
        </w:rPr>
        <w:t xml:space="preserve"> (2021) 206 </w:t>
      </w:r>
      <w:proofErr w:type="spellStart"/>
      <w:r w:rsidR="00C44211" w:rsidRPr="00C44211">
        <w:rPr>
          <w:rFonts w:ascii="Goudy Old Style" w:hAnsi="Goudy Old Style"/>
          <w:i/>
          <w:sz w:val="17"/>
          <w:szCs w:val="17"/>
        </w:rPr>
        <w:t>final</w:t>
      </w:r>
      <w:proofErr w:type="spellEnd"/>
      <w:r w:rsidR="00C44211" w:rsidRPr="00C44211">
        <w:rPr>
          <w:rFonts w:ascii="Goudy Old Style" w:hAnsi="Goudy Old Style"/>
          <w:i/>
          <w:sz w:val="17"/>
          <w:szCs w:val="17"/>
        </w:rPr>
        <w:t>) tra mercato unico e competizione digitale globale</w:t>
      </w:r>
      <w:r w:rsidR="00C44211" w:rsidRPr="00C44211">
        <w:rPr>
          <w:rFonts w:ascii="Goudy Old Style" w:hAnsi="Goudy Old Style"/>
          <w:smallCaps/>
          <w:sz w:val="17"/>
          <w:szCs w:val="17"/>
        </w:rPr>
        <w:t>,</w:t>
      </w:r>
      <w:r w:rsidR="00C44211" w:rsidRPr="00C44211">
        <w:rPr>
          <w:rFonts w:ascii="Goudy Old Style" w:hAnsi="Goudy Old Style"/>
          <w:sz w:val="17"/>
          <w:szCs w:val="17"/>
        </w:rPr>
        <w:t xml:space="preserve"> in questa </w:t>
      </w:r>
      <w:r w:rsidR="00C44211" w:rsidRPr="00C44211">
        <w:rPr>
          <w:rFonts w:ascii="Goudy Old Style" w:hAnsi="Goudy Old Style"/>
          <w:b/>
          <w:i/>
          <w:sz w:val="17"/>
          <w:szCs w:val="17"/>
        </w:rPr>
        <w:t>Rivista</w:t>
      </w:r>
      <w:r w:rsidR="00C44211" w:rsidRPr="00C44211">
        <w:rPr>
          <w:rFonts w:ascii="Goudy Old Style" w:hAnsi="Goudy Old Style"/>
          <w:sz w:val="17"/>
          <w:szCs w:val="17"/>
        </w:rPr>
        <w:t>, 4, 2021, 591.</w:t>
      </w:r>
    </w:p>
  </w:footnote>
  <w:footnote w:id="18">
    <w:p w:rsidR="00511178" w:rsidRPr="00C44211" w:rsidRDefault="00511178" w:rsidP="00511178">
      <w:pPr>
        <w:pStyle w:val="Testonotaapidipagina"/>
        <w:jc w:val="both"/>
        <w:rPr>
          <w:rFonts w:ascii="Goudy Old Style" w:hAnsi="Goudy Old Style"/>
          <w:sz w:val="17"/>
          <w:szCs w:val="17"/>
        </w:rPr>
      </w:pPr>
      <w:r w:rsidRPr="00C44211">
        <w:rPr>
          <w:rStyle w:val="Rimandonotaapidipagina"/>
          <w:rFonts w:ascii="Goudy Old Style" w:eastAsia="Times New Roman" w:hAnsi="Goudy Old Style" w:cs="Times New Roman"/>
          <w:bCs/>
          <w:kern w:val="36"/>
          <w:sz w:val="17"/>
          <w:szCs w:val="17"/>
          <w:lang w:eastAsia="it-IT"/>
        </w:rPr>
        <w:footnoteRef/>
      </w:r>
      <w:r w:rsidRPr="00C44211">
        <w:t xml:space="preserve"> </w:t>
      </w:r>
      <w:r w:rsidRPr="00C44211">
        <w:rPr>
          <w:rFonts w:ascii="Goudy Old Style" w:hAnsi="Goudy Old Style"/>
          <w:sz w:val="17"/>
          <w:szCs w:val="17"/>
        </w:rPr>
        <w:t>Governo Italiano, Programma Strategico Intelligenza Artificiale 2022-2024, 24 novembre 2021: https://assets.innovazione.gov.it/1637777289-programma-strategico-iaweb.pdf.</w:t>
      </w:r>
    </w:p>
  </w:footnote>
  <w:footnote w:id="19">
    <w:p w:rsidR="00511178" w:rsidRPr="00C44211" w:rsidRDefault="00511178" w:rsidP="00511178">
      <w:pPr>
        <w:pStyle w:val="Testonotaapidipagina"/>
        <w:jc w:val="both"/>
      </w:pPr>
      <w:r w:rsidRPr="00C44211">
        <w:rPr>
          <w:rStyle w:val="Rimandonotaapidipagina"/>
          <w:rFonts w:ascii="Goudy Old Style" w:eastAsia="Times New Roman" w:hAnsi="Goudy Old Style" w:cs="Times New Roman"/>
          <w:bCs/>
          <w:kern w:val="36"/>
          <w:sz w:val="17"/>
          <w:szCs w:val="17"/>
          <w:lang w:eastAsia="it-IT"/>
        </w:rPr>
        <w:footnoteRef/>
      </w:r>
      <w:r w:rsidRPr="00C44211">
        <w:t xml:space="preserve"> </w:t>
      </w:r>
      <w:r w:rsidRPr="00C44211">
        <w:rPr>
          <w:rFonts w:ascii="Goudy Old Style" w:hAnsi="Goudy Old Style"/>
          <w:sz w:val="17"/>
          <w:szCs w:val="17"/>
        </w:rPr>
        <w:t>Il riferimento è alle pronunce del T.A.R. Lazio</w:t>
      </w:r>
      <w:r w:rsidRPr="00C44211">
        <w:rPr>
          <w:rFonts w:ascii="Goudy Old Style" w:hAnsi="Goudy Old Style" w:cs="Times New Roman"/>
          <w:sz w:val="17"/>
          <w:szCs w:val="17"/>
        </w:rPr>
        <w:t xml:space="preserve">, Roma, sez. I, 4 febbraio 2014, nn.1392 e 1394 e del Consiglio di Stato, sez. III, 10 dicembre 2014, </w:t>
      </w:r>
      <w:proofErr w:type="spellStart"/>
      <w:r w:rsidRPr="00C44211">
        <w:rPr>
          <w:rFonts w:ascii="Goudy Old Style" w:hAnsi="Goudy Old Style" w:cs="Times New Roman"/>
          <w:sz w:val="17"/>
          <w:szCs w:val="17"/>
        </w:rPr>
        <w:t>nn</w:t>
      </w:r>
      <w:proofErr w:type="spellEnd"/>
      <w:r w:rsidRPr="00C44211">
        <w:rPr>
          <w:rFonts w:ascii="Goudy Old Style" w:hAnsi="Goudy Old Style" w:cs="Times New Roman"/>
          <w:sz w:val="17"/>
          <w:szCs w:val="17"/>
        </w:rPr>
        <w:t>. 6066 e 6067, reperibili sul sito istituzionale della Giustizia amministrativa (</w:t>
      </w:r>
      <w:r w:rsidR="00562F9A" w:rsidRPr="00C44211">
        <w:rPr>
          <w:rFonts w:ascii="Goudy Old Style" w:hAnsi="Goudy Old Style" w:cs="Times New Roman"/>
          <w:sz w:val="17"/>
          <w:szCs w:val="17"/>
        </w:rPr>
        <w:t>&lt;</w:t>
      </w:r>
      <w:hyperlink r:id="rId9" w:history="1">
        <w:r w:rsidRPr="00C44211">
          <w:rPr>
            <w:rStyle w:val="Collegamentoipertestuale"/>
            <w:rFonts w:ascii="Goudy Old Style" w:hAnsi="Goudy Old Style"/>
            <w:sz w:val="17"/>
            <w:szCs w:val="17"/>
          </w:rPr>
          <w:t>www.giustizia-amministrativa.it</w:t>
        </w:r>
      </w:hyperlink>
      <w:r w:rsidR="00562F9A" w:rsidRPr="00C44211">
        <w:rPr>
          <w:rStyle w:val="Collegamentoipertestuale"/>
          <w:rFonts w:ascii="Goudy Old Style" w:hAnsi="Goudy Old Style"/>
          <w:sz w:val="17"/>
          <w:szCs w:val="17"/>
        </w:rPr>
        <w:t>&gt;</w:t>
      </w:r>
      <w:r w:rsidRPr="00C44211">
        <w:rPr>
          <w:rFonts w:ascii="Goudy Old Style" w:hAnsi="Goudy Old Style"/>
          <w:sz w:val="17"/>
          <w:szCs w:val="17"/>
        </w:rPr>
        <w:t>)</w:t>
      </w:r>
      <w:r w:rsidR="00562F9A" w:rsidRPr="00C44211">
        <w:rPr>
          <w:rFonts w:ascii="Goudy Old Style" w:hAnsi="Goudy Old Style"/>
          <w:sz w:val="17"/>
          <w:szCs w:val="17"/>
        </w:rPr>
        <w:t>.</w:t>
      </w:r>
    </w:p>
  </w:footnote>
  <w:footnote w:id="20">
    <w:p w:rsidR="00BC4291" w:rsidRPr="00C44211" w:rsidRDefault="00BC4291" w:rsidP="006D031F">
      <w:pPr>
        <w:pStyle w:val="Testonotaapidipagina"/>
        <w:jc w:val="both"/>
        <w:rPr>
          <w:lang w:val="en-US"/>
        </w:rPr>
      </w:pPr>
      <w:r w:rsidRPr="00C44211">
        <w:rPr>
          <w:rStyle w:val="Rimandonotaapidipagina"/>
          <w:rFonts w:ascii="Goudy Old Style" w:hAnsi="Goudy Old Style" w:cs="Times New Roman"/>
          <w:sz w:val="17"/>
          <w:szCs w:val="17"/>
        </w:rPr>
        <w:footnoteRef/>
      </w:r>
      <w:r w:rsidRPr="00C44211">
        <w:rPr>
          <w:lang w:val="en-US"/>
        </w:rPr>
        <w:t xml:space="preserve"> </w:t>
      </w:r>
      <w:proofErr w:type="spellStart"/>
      <w:r w:rsidRPr="00C44211">
        <w:rPr>
          <w:rFonts w:ascii="Goudy Old Style" w:hAnsi="Goudy Old Style"/>
          <w:sz w:val="17"/>
          <w:szCs w:val="17"/>
          <w:lang w:val="en-US"/>
        </w:rPr>
        <w:t>Conseil</w:t>
      </w:r>
      <w:proofErr w:type="spellEnd"/>
      <w:r w:rsidRPr="00C44211">
        <w:rPr>
          <w:rFonts w:ascii="Goudy Old Style" w:hAnsi="Goudy Old Style"/>
          <w:sz w:val="17"/>
          <w:szCs w:val="17"/>
          <w:lang w:val="en-US"/>
        </w:rPr>
        <w:t xml:space="preserve"> </w:t>
      </w:r>
      <w:proofErr w:type="spellStart"/>
      <w:r w:rsidRPr="00C44211">
        <w:rPr>
          <w:rFonts w:ascii="Goudy Old Style" w:hAnsi="Goudy Old Style"/>
          <w:sz w:val="17"/>
          <w:szCs w:val="17"/>
          <w:lang w:val="en-US"/>
        </w:rPr>
        <w:t>d'État</w:t>
      </w:r>
      <w:proofErr w:type="spellEnd"/>
      <w:r w:rsidRPr="00C44211">
        <w:rPr>
          <w:rFonts w:ascii="Goudy Old Style" w:hAnsi="Goudy Old Style"/>
          <w:sz w:val="17"/>
          <w:szCs w:val="17"/>
          <w:lang w:val="en-US"/>
        </w:rPr>
        <w:t xml:space="preserve">, 3ème </w:t>
      </w:r>
      <w:proofErr w:type="gramStart"/>
      <w:r w:rsidRPr="00C44211">
        <w:rPr>
          <w:rFonts w:ascii="Goudy Old Style" w:hAnsi="Goudy Old Style"/>
          <w:sz w:val="17"/>
          <w:szCs w:val="17"/>
          <w:lang w:val="en-US"/>
        </w:rPr>
        <w:t>et</w:t>
      </w:r>
      <w:proofErr w:type="gramEnd"/>
      <w:r w:rsidRPr="00C44211">
        <w:rPr>
          <w:rFonts w:ascii="Goudy Old Style" w:hAnsi="Goudy Old Style"/>
          <w:sz w:val="17"/>
          <w:szCs w:val="17"/>
          <w:lang w:val="en-US"/>
        </w:rPr>
        <w:t xml:space="preserve"> 8ème sous-sections </w:t>
      </w:r>
      <w:proofErr w:type="spellStart"/>
      <w:r w:rsidRPr="00C44211">
        <w:rPr>
          <w:rFonts w:ascii="Goudy Old Style" w:hAnsi="Goudy Old Style"/>
          <w:sz w:val="17"/>
          <w:szCs w:val="17"/>
          <w:lang w:val="en-US"/>
        </w:rPr>
        <w:t>réunies</w:t>
      </w:r>
      <w:proofErr w:type="spellEnd"/>
      <w:r w:rsidRPr="00C44211">
        <w:rPr>
          <w:rFonts w:ascii="Goudy Old Style" w:hAnsi="Goudy Old Style"/>
          <w:sz w:val="17"/>
          <w:szCs w:val="17"/>
          <w:lang w:val="en-US"/>
        </w:rPr>
        <w:t>, 13/02/2009, 317637</w:t>
      </w:r>
      <w:r w:rsidR="006D031F" w:rsidRPr="00C44211">
        <w:rPr>
          <w:rFonts w:ascii="Goudy Old Style" w:hAnsi="Goudy Old Style"/>
          <w:sz w:val="17"/>
          <w:szCs w:val="17"/>
          <w:lang w:val="en-US"/>
        </w:rPr>
        <w:t xml:space="preserve">, </w:t>
      </w:r>
      <w:proofErr w:type="spellStart"/>
      <w:r w:rsidR="006D031F" w:rsidRPr="00C44211">
        <w:rPr>
          <w:rFonts w:ascii="Goudy Old Style" w:hAnsi="Goudy Old Style"/>
          <w:sz w:val="17"/>
          <w:szCs w:val="17"/>
          <w:lang w:val="en-US"/>
        </w:rPr>
        <w:t>reperibile</w:t>
      </w:r>
      <w:proofErr w:type="spellEnd"/>
      <w:r w:rsidR="006D031F" w:rsidRPr="00C44211">
        <w:rPr>
          <w:rFonts w:ascii="Goudy Old Style" w:hAnsi="Goudy Old Style"/>
          <w:sz w:val="17"/>
          <w:szCs w:val="17"/>
          <w:lang w:val="en-US"/>
        </w:rPr>
        <w:t xml:space="preserve"> al link</w:t>
      </w:r>
      <w:r w:rsidR="00A62722" w:rsidRPr="00C44211">
        <w:rPr>
          <w:rFonts w:ascii="Goudy Old Style" w:hAnsi="Goudy Old Style"/>
          <w:sz w:val="17"/>
          <w:szCs w:val="17"/>
          <w:lang w:val="en-US"/>
        </w:rPr>
        <w:t>:</w:t>
      </w:r>
      <w:r w:rsidR="006D031F" w:rsidRPr="00C44211">
        <w:rPr>
          <w:rFonts w:ascii="Goudy Old Style" w:hAnsi="Goudy Old Style"/>
          <w:sz w:val="17"/>
          <w:szCs w:val="17"/>
          <w:lang w:val="en-US"/>
        </w:rPr>
        <w:t xml:space="preserve"> </w:t>
      </w:r>
      <w:r w:rsidR="00C44211" w:rsidRPr="00C44211">
        <w:rPr>
          <w:rFonts w:ascii="Goudy Old Style" w:hAnsi="Goudy Old Style"/>
          <w:sz w:val="17"/>
          <w:szCs w:val="17"/>
          <w:lang w:val="en-US"/>
        </w:rPr>
        <w:t>&lt;</w:t>
      </w:r>
      <w:hyperlink r:id="rId10" w:history="1">
        <w:r w:rsidR="00562F9A" w:rsidRPr="00C44211">
          <w:rPr>
            <w:rStyle w:val="Collegamentoipertestuale"/>
            <w:rFonts w:ascii="Goudy Old Style" w:hAnsi="Goudy Old Style"/>
            <w:sz w:val="17"/>
            <w:szCs w:val="17"/>
            <w:lang w:val="en-US"/>
          </w:rPr>
          <w:t>https://www.legifrance.gouv.fr/ceta/id/CETATEXT000020253073/</w:t>
        </w:r>
      </w:hyperlink>
      <w:r w:rsidR="00C44211" w:rsidRPr="00C44211">
        <w:rPr>
          <w:rFonts w:ascii="Goudy Old Style" w:hAnsi="Goudy Old Style"/>
          <w:sz w:val="17"/>
          <w:szCs w:val="17"/>
          <w:lang w:val="en-US"/>
        </w:rPr>
        <w:t>&gt;</w:t>
      </w:r>
      <w:r w:rsidR="00562F9A" w:rsidRPr="00C44211">
        <w:rPr>
          <w:rFonts w:ascii="Goudy Old Style" w:hAnsi="Goudy Old Style"/>
          <w:sz w:val="17"/>
          <w:szCs w:val="17"/>
          <w:lang w:val="en-US"/>
        </w:rPr>
        <w:t>.</w:t>
      </w:r>
    </w:p>
  </w:footnote>
  <w:footnote w:id="21">
    <w:p w:rsidR="006D031F" w:rsidRPr="00C44211" w:rsidRDefault="006D031F" w:rsidP="006D031F">
      <w:pPr>
        <w:pStyle w:val="Testonotaapidipagina"/>
        <w:jc w:val="both"/>
        <w:rPr>
          <w:lang w:val="en-US"/>
        </w:rPr>
      </w:pPr>
      <w:r w:rsidRPr="00C44211">
        <w:rPr>
          <w:rStyle w:val="Rimandonotaapidipagina"/>
          <w:rFonts w:ascii="Goudy Old Style" w:hAnsi="Goudy Old Style" w:cs="Times New Roman"/>
          <w:sz w:val="17"/>
          <w:szCs w:val="17"/>
        </w:rPr>
        <w:footnoteRef/>
      </w:r>
      <w:r w:rsidRPr="00C44211">
        <w:t xml:space="preserve"> </w:t>
      </w:r>
      <w:r w:rsidRPr="00C44211">
        <w:rPr>
          <w:rFonts w:ascii="Goudy Old Style" w:hAnsi="Goudy Old Style"/>
          <w:sz w:val="17"/>
          <w:szCs w:val="17"/>
        </w:rPr>
        <w:t xml:space="preserve">L’art. 1 della legge in argomento ha riformulato l’art. L. 163-2 del codice elettorale, il quale, in esito alle modifiche </w:t>
      </w:r>
      <w:r w:rsidR="00991E65">
        <w:rPr>
          <w:rFonts w:ascii="Goudy Old Style" w:hAnsi="Goudy Old Style"/>
          <w:sz w:val="17"/>
          <w:szCs w:val="17"/>
        </w:rPr>
        <w:t>dispone</w:t>
      </w:r>
      <w:r w:rsidRPr="00C44211">
        <w:rPr>
          <w:rFonts w:ascii="Goudy Old Style" w:hAnsi="Goudy Old Style"/>
          <w:sz w:val="17"/>
          <w:szCs w:val="17"/>
        </w:rPr>
        <w:t xml:space="preserve">: « </w:t>
      </w:r>
      <w:proofErr w:type="spellStart"/>
      <w:r w:rsidRPr="00C44211">
        <w:rPr>
          <w:rFonts w:ascii="Goudy Old Style" w:hAnsi="Goudy Old Style"/>
          <w:i/>
          <w:sz w:val="17"/>
          <w:szCs w:val="17"/>
        </w:rPr>
        <w:t>I.-Pendant</w:t>
      </w:r>
      <w:proofErr w:type="spellEnd"/>
      <w:r w:rsidRPr="00C44211">
        <w:rPr>
          <w:rFonts w:ascii="Goudy Old Style" w:hAnsi="Goudy Old Style"/>
          <w:i/>
          <w:sz w:val="17"/>
          <w:szCs w:val="17"/>
        </w:rPr>
        <w:t xml:space="preserve"> </w:t>
      </w:r>
      <w:proofErr w:type="spellStart"/>
      <w:r w:rsidRPr="00C44211">
        <w:rPr>
          <w:rFonts w:ascii="Goudy Old Style" w:hAnsi="Goudy Old Style"/>
          <w:i/>
          <w:sz w:val="17"/>
          <w:szCs w:val="17"/>
        </w:rPr>
        <w:t>les</w:t>
      </w:r>
      <w:proofErr w:type="spellEnd"/>
      <w:r w:rsidRPr="00C44211">
        <w:rPr>
          <w:rFonts w:ascii="Goudy Old Style" w:hAnsi="Goudy Old Style"/>
          <w:i/>
          <w:sz w:val="17"/>
          <w:szCs w:val="17"/>
        </w:rPr>
        <w:t xml:space="preserve"> </w:t>
      </w:r>
      <w:proofErr w:type="spellStart"/>
      <w:r w:rsidRPr="00C44211">
        <w:rPr>
          <w:rFonts w:ascii="Goudy Old Style" w:hAnsi="Goudy Old Style"/>
          <w:i/>
          <w:sz w:val="17"/>
          <w:szCs w:val="17"/>
        </w:rPr>
        <w:t>trois</w:t>
      </w:r>
      <w:proofErr w:type="spellEnd"/>
      <w:r w:rsidRPr="00C44211">
        <w:rPr>
          <w:rFonts w:ascii="Goudy Old Style" w:hAnsi="Goudy Old Style"/>
          <w:i/>
          <w:sz w:val="17"/>
          <w:szCs w:val="17"/>
        </w:rPr>
        <w:t xml:space="preserve"> </w:t>
      </w:r>
      <w:proofErr w:type="spellStart"/>
      <w:r w:rsidRPr="00C44211">
        <w:rPr>
          <w:rFonts w:ascii="Goudy Old Style" w:hAnsi="Goudy Old Style"/>
          <w:i/>
          <w:sz w:val="17"/>
          <w:szCs w:val="17"/>
        </w:rPr>
        <w:t>mois</w:t>
      </w:r>
      <w:proofErr w:type="spellEnd"/>
      <w:r w:rsidRPr="00C44211">
        <w:rPr>
          <w:rFonts w:ascii="Goudy Old Style" w:hAnsi="Goudy Old Style"/>
          <w:i/>
          <w:sz w:val="17"/>
          <w:szCs w:val="17"/>
        </w:rPr>
        <w:t xml:space="preserve"> </w:t>
      </w:r>
      <w:proofErr w:type="spellStart"/>
      <w:r w:rsidRPr="00C44211">
        <w:rPr>
          <w:rFonts w:ascii="Goudy Old Style" w:hAnsi="Goudy Old Style"/>
          <w:i/>
          <w:sz w:val="17"/>
          <w:szCs w:val="17"/>
        </w:rPr>
        <w:t>précédant</w:t>
      </w:r>
      <w:proofErr w:type="spellEnd"/>
      <w:r w:rsidRPr="00C44211">
        <w:rPr>
          <w:rFonts w:ascii="Goudy Old Style" w:hAnsi="Goudy Old Style"/>
          <w:i/>
          <w:sz w:val="17"/>
          <w:szCs w:val="17"/>
        </w:rPr>
        <w:t xml:space="preserve"> le premier jour </w:t>
      </w:r>
      <w:proofErr w:type="spellStart"/>
      <w:r w:rsidRPr="00C44211">
        <w:rPr>
          <w:rFonts w:ascii="Goudy Old Style" w:hAnsi="Goudy Old Style"/>
          <w:i/>
          <w:sz w:val="17"/>
          <w:szCs w:val="17"/>
        </w:rPr>
        <w:t>du</w:t>
      </w:r>
      <w:proofErr w:type="spellEnd"/>
      <w:r w:rsidRPr="00C44211">
        <w:rPr>
          <w:rFonts w:ascii="Goudy Old Style" w:hAnsi="Goudy Old Style"/>
          <w:i/>
          <w:sz w:val="17"/>
          <w:szCs w:val="17"/>
        </w:rPr>
        <w:t xml:space="preserve"> </w:t>
      </w:r>
      <w:proofErr w:type="spellStart"/>
      <w:r w:rsidRPr="00C44211">
        <w:rPr>
          <w:rFonts w:ascii="Goudy Old Style" w:hAnsi="Goudy Old Style"/>
          <w:i/>
          <w:sz w:val="17"/>
          <w:szCs w:val="17"/>
        </w:rPr>
        <w:t>mois</w:t>
      </w:r>
      <w:proofErr w:type="spellEnd"/>
      <w:r w:rsidRPr="00C44211">
        <w:rPr>
          <w:rFonts w:ascii="Goudy Old Style" w:hAnsi="Goudy Old Style"/>
          <w:i/>
          <w:sz w:val="17"/>
          <w:szCs w:val="17"/>
        </w:rPr>
        <w:t xml:space="preserve"> d'</w:t>
      </w:r>
      <w:proofErr w:type="spellStart"/>
      <w:r w:rsidRPr="00C44211">
        <w:rPr>
          <w:rFonts w:ascii="Goudy Old Style" w:hAnsi="Goudy Old Style"/>
          <w:i/>
          <w:sz w:val="17"/>
          <w:szCs w:val="17"/>
        </w:rPr>
        <w:t>élections</w:t>
      </w:r>
      <w:proofErr w:type="spellEnd"/>
      <w:r w:rsidRPr="00C44211">
        <w:rPr>
          <w:rFonts w:ascii="Goudy Old Style" w:hAnsi="Goudy Old Style"/>
          <w:i/>
          <w:sz w:val="17"/>
          <w:szCs w:val="17"/>
        </w:rPr>
        <w:t xml:space="preserve"> </w:t>
      </w:r>
      <w:proofErr w:type="spellStart"/>
      <w:r w:rsidRPr="00C44211">
        <w:rPr>
          <w:rFonts w:ascii="Goudy Old Style" w:hAnsi="Goudy Old Style"/>
          <w:i/>
          <w:sz w:val="17"/>
          <w:szCs w:val="17"/>
        </w:rPr>
        <w:t>générales</w:t>
      </w:r>
      <w:proofErr w:type="spellEnd"/>
      <w:r w:rsidRPr="00C44211">
        <w:rPr>
          <w:rFonts w:ascii="Goudy Old Style" w:hAnsi="Goudy Old Style"/>
          <w:i/>
          <w:sz w:val="17"/>
          <w:szCs w:val="17"/>
        </w:rPr>
        <w:t xml:space="preserve"> et </w:t>
      </w:r>
      <w:proofErr w:type="spellStart"/>
      <w:r w:rsidRPr="00C44211">
        <w:rPr>
          <w:rFonts w:ascii="Goudy Old Style" w:hAnsi="Goudy Old Style"/>
          <w:i/>
          <w:sz w:val="17"/>
          <w:szCs w:val="17"/>
        </w:rPr>
        <w:t>jusqu'à</w:t>
      </w:r>
      <w:proofErr w:type="spellEnd"/>
      <w:r w:rsidRPr="00C44211">
        <w:rPr>
          <w:rFonts w:ascii="Goudy Old Style" w:hAnsi="Goudy Old Style"/>
          <w:i/>
          <w:sz w:val="17"/>
          <w:szCs w:val="17"/>
        </w:rPr>
        <w:t xml:space="preserve"> la date </w:t>
      </w:r>
      <w:proofErr w:type="spellStart"/>
      <w:r w:rsidRPr="00C44211">
        <w:rPr>
          <w:rFonts w:ascii="Goudy Old Style" w:hAnsi="Goudy Old Style"/>
          <w:i/>
          <w:sz w:val="17"/>
          <w:szCs w:val="17"/>
        </w:rPr>
        <w:t>du</w:t>
      </w:r>
      <w:proofErr w:type="spellEnd"/>
      <w:r w:rsidRPr="00C44211">
        <w:rPr>
          <w:rFonts w:ascii="Goudy Old Style" w:hAnsi="Goudy Old Style"/>
          <w:i/>
          <w:sz w:val="17"/>
          <w:szCs w:val="17"/>
        </w:rPr>
        <w:t xml:space="preserve"> tour de </w:t>
      </w:r>
      <w:proofErr w:type="spellStart"/>
      <w:r w:rsidRPr="00C44211">
        <w:rPr>
          <w:rFonts w:ascii="Goudy Old Style" w:hAnsi="Goudy Old Style"/>
          <w:i/>
          <w:sz w:val="17"/>
          <w:szCs w:val="17"/>
        </w:rPr>
        <w:t>scrutin</w:t>
      </w:r>
      <w:proofErr w:type="spellEnd"/>
      <w:r w:rsidRPr="00C44211">
        <w:rPr>
          <w:rFonts w:ascii="Goudy Old Style" w:hAnsi="Goudy Old Style"/>
          <w:i/>
          <w:sz w:val="17"/>
          <w:szCs w:val="17"/>
        </w:rPr>
        <w:t xml:space="preserve"> </w:t>
      </w:r>
      <w:proofErr w:type="spellStart"/>
      <w:r w:rsidRPr="00C44211">
        <w:rPr>
          <w:rFonts w:ascii="Goudy Old Style" w:hAnsi="Goudy Old Style"/>
          <w:i/>
          <w:sz w:val="17"/>
          <w:szCs w:val="17"/>
        </w:rPr>
        <w:t>où</w:t>
      </w:r>
      <w:proofErr w:type="spellEnd"/>
      <w:r w:rsidRPr="00C44211">
        <w:rPr>
          <w:rFonts w:ascii="Goudy Old Style" w:hAnsi="Goudy Old Style"/>
          <w:i/>
          <w:sz w:val="17"/>
          <w:szCs w:val="17"/>
        </w:rPr>
        <w:t xml:space="preserve"> </w:t>
      </w:r>
      <w:proofErr w:type="spellStart"/>
      <w:r w:rsidRPr="00C44211">
        <w:rPr>
          <w:rFonts w:ascii="Goudy Old Style" w:hAnsi="Goudy Old Style"/>
          <w:i/>
          <w:sz w:val="17"/>
          <w:szCs w:val="17"/>
        </w:rPr>
        <w:t>celles</w:t>
      </w:r>
      <w:proofErr w:type="spellEnd"/>
      <w:r w:rsidRPr="00C44211">
        <w:rPr>
          <w:rFonts w:ascii="Goudy Old Style" w:hAnsi="Goudy Old Style"/>
          <w:i/>
          <w:sz w:val="17"/>
          <w:szCs w:val="17"/>
        </w:rPr>
        <w:t xml:space="preserve">-ci </w:t>
      </w:r>
      <w:proofErr w:type="spellStart"/>
      <w:r w:rsidRPr="00C44211">
        <w:rPr>
          <w:rFonts w:ascii="Goudy Old Style" w:hAnsi="Goudy Old Style"/>
          <w:i/>
          <w:sz w:val="17"/>
          <w:szCs w:val="17"/>
        </w:rPr>
        <w:t>sont</w:t>
      </w:r>
      <w:proofErr w:type="spellEnd"/>
      <w:r w:rsidRPr="00C44211">
        <w:rPr>
          <w:rFonts w:ascii="Goudy Old Style" w:hAnsi="Goudy Old Style"/>
          <w:i/>
          <w:sz w:val="17"/>
          <w:szCs w:val="17"/>
        </w:rPr>
        <w:t xml:space="preserve"> </w:t>
      </w:r>
      <w:proofErr w:type="spellStart"/>
      <w:r w:rsidRPr="00C44211">
        <w:rPr>
          <w:rFonts w:ascii="Goudy Old Style" w:hAnsi="Goudy Old Style"/>
          <w:i/>
          <w:sz w:val="17"/>
          <w:szCs w:val="17"/>
        </w:rPr>
        <w:t>acquises</w:t>
      </w:r>
      <w:proofErr w:type="spellEnd"/>
      <w:r w:rsidRPr="00C44211">
        <w:rPr>
          <w:rFonts w:ascii="Goudy Old Style" w:hAnsi="Goudy Old Style"/>
          <w:i/>
          <w:sz w:val="17"/>
          <w:szCs w:val="17"/>
        </w:rPr>
        <w:t xml:space="preserve">, </w:t>
      </w:r>
      <w:proofErr w:type="spellStart"/>
      <w:r w:rsidRPr="00C44211">
        <w:rPr>
          <w:rFonts w:ascii="Goudy Old Style" w:hAnsi="Goudy Old Style"/>
          <w:i/>
          <w:sz w:val="17"/>
          <w:szCs w:val="17"/>
        </w:rPr>
        <w:t>lorsque</w:t>
      </w:r>
      <w:proofErr w:type="spellEnd"/>
      <w:r w:rsidRPr="00C44211">
        <w:rPr>
          <w:rFonts w:ascii="Goudy Old Style" w:hAnsi="Goudy Old Style"/>
          <w:i/>
          <w:sz w:val="17"/>
          <w:szCs w:val="17"/>
        </w:rPr>
        <w:t xml:space="preserve"> </w:t>
      </w:r>
      <w:proofErr w:type="spellStart"/>
      <w:r w:rsidRPr="00C44211">
        <w:rPr>
          <w:rFonts w:ascii="Goudy Old Style" w:hAnsi="Goudy Old Style"/>
          <w:i/>
          <w:sz w:val="17"/>
          <w:szCs w:val="17"/>
        </w:rPr>
        <w:t>des</w:t>
      </w:r>
      <w:proofErr w:type="spellEnd"/>
      <w:r w:rsidRPr="00C44211">
        <w:rPr>
          <w:rFonts w:ascii="Goudy Old Style" w:hAnsi="Goudy Old Style"/>
          <w:i/>
          <w:sz w:val="17"/>
          <w:szCs w:val="17"/>
        </w:rPr>
        <w:t xml:space="preserve"> </w:t>
      </w:r>
      <w:proofErr w:type="spellStart"/>
      <w:r w:rsidRPr="00C44211">
        <w:rPr>
          <w:rFonts w:ascii="Goudy Old Style" w:hAnsi="Goudy Old Style"/>
          <w:i/>
          <w:sz w:val="17"/>
          <w:szCs w:val="17"/>
        </w:rPr>
        <w:t>allégations</w:t>
      </w:r>
      <w:proofErr w:type="spellEnd"/>
      <w:r w:rsidRPr="00C44211">
        <w:rPr>
          <w:rFonts w:ascii="Goudy Old Style" w:hAnsi="Goudy Old Style"/>
          <w:i/>
          <w:sz w:val="17"/>
          <w:szCs w:val="17"/>
        </w:rPr>
        <w:t xml:space="preserve"> </w:t>
      </w:r>
      <w:proofErr w:type="spellStart"/>
      <w:r w:rsidRPr="00C44211">
        <w:rPr>
          <w:rFonts w:ascii="Goudy Old Style" w:hAnsi="Goudy Old Style"/>
          <w:i/>
          <w:sz w:val="17"/>
          <w:szCs w:val="17"/>
        </w:rPr>
        <w:t>ou</w:t>
      </w:r>
      <w:proofErr w:type="spellEnd"/>
      <w:r w:rsidRPr="00C44211">
        <w:rPr>
          <w:rFonts w:ascii="Goudy Old Style" w:hAnsi="Goudy Old Style"/>
          <w:i/>
          <w:sz w:val="17"/>
          <w:szCs w:val="17"/>
        </w:rPr>
        <w:t xml:space="preserve"> </w:t>
      </w:r>
      <w:proofErr w:type="spellStart"/>
      <w:r w:rsidRPr="00C44211">
        <w:rPr>
          <w:rFonts w:ascii="Goudy Old Style" w:hAnsi="Goudy Old Style"/>
          <w:i/>
          <w:sz w:val="17"/>
          <w:szCs w:val="17"/>
        </w:rPr>
        <w:t>imputations</w:t>
      </w:r>
      <w:proofErr w:type="spellEnd"/>
      <w:r w:rsidRPr="00C44211">
        <w:rPr>
          <w:rFonts w:ascii="Goudy Old Style" w:hAnsi="Goudy Old Style"/>
          <w:i/>
          <w:sz w:val="17"/>
          <w:szCs w:val="17"/>
        </w:rPr>
        <w:t xml:space="preserve"> </w:t>
      </w:r>
      <w:proofErr w:type="spellStart"/>
      <w:r w:rsidRPr="00C44211">
        <w:rPr>
          <w:rFonts w:ascii="Goudy Old Style" w:hAnsi="Goudy Old Style"/>
          <w:i/>
          <w:sz w:val="17"/>
          <w:szCs w:val="17"/>
        </w:rPr>
        <w:t>inexactes</w:t>
      </w:r>
      <w:proofErr w:type="spellEnd"/>
      <w:r w:rsidRPr="00C44211">
        <w:rPr>
          <w:rFonts w:ascii="Goudy Old Style" w:hAnsi="Goudy Old Style"/>
          <w:i/>
          <w:sz w:val="17"/>
          <w:szCs w:val="17"/>
        </w:rPr>
        <w:t xml:space="preserve"> </w:t>
      </w:r>
      <w:proofErr w:type="spellStart"/>
      <w:r w:rsidRPr="00C44211">
        <w:rPr>
          <w:rFonts w:ascii="Goudy Old Style" w:hAnsi="Goudy Old Style"/>
          <w:i/>
          <w:sz w:val="17"/>
          <w:szCs w:val="17"/>
        </w:rPr>
        <w:t>ou</w:t>
      </w:r>
      <w:proofErr w:type="spellEnd"/>
      <w:r w:rsidRPr="00C44211">
        <w:rPr>
          <w:rFonts w:ascii="Goudy Old Style" w:hAnsi="Goudy Old Style"/>
          <w:i/>
          <w:sz w:val="17"/>
          <w:szCs w:val="17"/>
        </w:rPr>
        <w:t xml:space="preserve"> </w:t>
      </w:r>
      <w:proofErr w:type="spellStart"/>
      <w:r w:rsidRPr="00C44211">
        <w:rPr>
          <w:rFonts w:ascii="Goudy Old Style" w:hAnsi="Goudy Old Style"/>
          <w:i/>
          <w:sz w:val="17"/>
          <w:szCs w:val="17"/>
        </w:rPr>
        <w:t>trompeuses</w:t>
      </w:r>
      <w:proofErr w:type="spellEnd"/>
      <w:r w:rsidRPr="00C44211">
        <w:rPr>
          <w:rFonts w:ascii="Goudy Old Style" w:hAnsi="Goudy Old Style"/>
          <w:i/>
          <w:sz w:val="17"/>
          <w:szCs w:val="17"/>
        </w:rPr>
        <w:t xml:space="preserve"> d'un </w:t>
      </w:r>
      <w:proofErr w:type="spellStart"/>
      <w:r w:rsidRPr="00C44211">
        <w:rPr>
          <w:rFonts w:ascii="Goudy Old Style" w:hAnsi="Goudy Old Style"/>
          <w:i/>
          <w:sz w:val="17"/>
          <w:szCs w:val="17"/>
        </w:rPr>
        <w:t>fait</w:t>
      </w:r>
      <w:proofErr w:type="spellEnd"/>
      <w:r w:rsidRPr="00C44211">
        <w:rPr>
          <w:rFonts w:ascii="Goudy Old Style" w:hAnsi="Goudy Old Style"/>
          <w:i/>
          <w:sz w:val="17"/>
          <w:szCs w:val="17"/>
        </w:rPr>
        <w:t xml:space="preserve"> de nature à </w:t>
      </w:r>
      <w:proofErr w:type="spellStart"/>
      <w:r w:rsidRPr="00C44211">
        <w:rPr>
          <w:rFonts w:ascii="Goudy Old Style" w:hAnsi="Goudy Old Style"/>
          <w:i/>
          <w:sz w:val="17"/>
          <w:szCs w:val="17"/>
        </w:rPr>
        <w:t>altérer</w:t>
      </w:r>
      <w:proofErr w:type="spellEnd"/>
      <w:r w:rsidRPr="00C44211">
        <w:rPr>
          <w:rFonts w:ascii="Goudy Old Style" w:hAnsi="Goudy Old Style"/>
          <w:i/>
          <w:sz w:val="17"/>
          <w:szCs w:val="17"/>
        </w:rPr>
        <w:t xml:space="preserve"> la </w:t>
      </w:r>
      <w:proofErr w:type="spellStart"/>
      <w:r w:rsidRPr="00C44211">
        <w:rPr>
          <w:rFonts w:ascii="Goudy Old Style" w:hAnsi="Goudy Old Style"/>
          <w:i/>
          <w:sz w:val="17"/>
          <w:szCs w:val="17"/>
        </w:rPr>
        <w:t>sincérité</w:t>
      </w:r>
      <w:proofErr w:type="spellEnd"/>
      <w:r w:rsidRPr="00C44211">
        <w:rPr>
          <w:rFonts w:ascii="Goudy Old Style" w:hAnsi="Goudy Old Style"/>
          <w:i/>
          <w:sz w:val="17"/>
          <w:szCs w:val="17"/>
        </w:rPr>
        <w:t xml:space="preserve"> </w:t>
      </w:r>
      <w:proofErr w:type="spellStart"/>
      <w:r w:rsidRPr="00C44211">
        <w:rPr>
          <w:rFonts w:ascii="Goudy Old Style" w:hAnsi="Goudy Old Style"/>
          <w:i/>
          <w:sz w:val="17"/>
          <w:szCs w:val="17"/>
        </w:rPr>
        <w:t>du</w:t>
      </w:r>
      <w:proofErr w:type="spellEnd"/>
      <w:r w:rsidRPr="00C44211">
        <w:rPr>
          <w:rFonts w:ascii="Goudy Old Style" w:hAnsi="Goudy Old Style"/>
          <w:i/>
          <w:sz w:val="17"/>
          <w:szCs w:val="17"/>
        </w:rPr>
        <w:t xml:space="preserve"> </w:t>
      </w:r>
      <w:proofErr w:type="spellStart"/>
      <w:r w:rsidRPr="00C44211">
        <w:rPr>
          <w:rFonts w:ascii="Goudy Old Style" w:hAnsi="Goudy Old Style"/>
          <w:i/>
          <w:sz w:val="17"/>
          <w:szCs w:val="17"/>
        </w:rPr>
        <w:t>scrutin</w:t>
      </w:r>
      <w:proofErr w:type="spellEnd"/>
      <w:r w:rsidRPr="00C44211">
        <w:rPr>
          <w:rFonts w:ascii="Goudy Old Style" w:hAnsi="Goudy Old Style"/>
          <w:i/>
          <w:sz w:val="17"/>
          <w:szCs w:val="17"/>
        </w:rPr>
        <w:t xml:space="preserve"> à venir </w:t>
      </w:r>
      <w:proofErr w:type="spellStart"/>
      <w:r w:rsidRPr="00C44211">
        <w:rPr>
          <w:rFonts w:ascii="Goudy Old Style" w:hAnsi="Goudy Old Style"/>
          <w:i/>
          <w:sz w:val="17"/>
          <w:szCs w:val="17"/>
        </w:rPr>
        <w:t>sont</w:t>
      </w:r>
      <w:proofErr w:type="spellEnd"/>
      <w:r w:rsidRPr="00C44211">
        <w:rPr>
          <w:rFonts w:ascii="Goudy Old Style" w:hAnsi="Goudy Old Style"/>
          <w:i/>
          <w:sz w:val="17"/>
          <w:szCs w:val="17"/>
        </w:rPr>
        <w:t xml:space="preserve"> </w:t>
      </w:r>
      <w:proofErr w:type="spellStart"/>
      <w:r w:rsidRPr="00C44211">
        <w:rPr>
          <w:rFonts w:ascii="Goudy Old Style" w:hAnsi="Goudy Old Style"/>
          <w:i/>
          <w:sz w:val="17"/>
          <w:szCs w:val="17"/>
        </w:rPr>
        <w:t>diffusées</w:t>
      </w:r>
      <w:proofErr w:type="spellEnd"/>
      <w:r w:rsidRPr="00C44211">
        <w:rPr>
          <w:rFonts w:ascii="Goudy Old Style" w:hAnsi="Goudy Old Style"/>
          <w:i/>
          <w:sz w:val="17"/>
          <w:szCs w:val="17"/>
        </w:rPr>
        <w:t xml:space="preserve"> de </w:t>
      </w:r>
      <w:proofErr w:type="spellStart"/>
      <w:r w:rsidRPr="00C44211">
        <w:rPr>
          <w:rFonts w:ascii="Goudy Old Style" w:hAnsi="Goudy Old Style"/>
          <w:i/>
          <w:sz w:val="17"/>
          <w:szCs w:val="17"/>
        </w:rPr>
        <w:t>manière</w:t>
      </w:r>
      <w:proofErr w:type="spellEnd"/>
      <w:r w:rsidRPr="00C44211">
        <w:rPr>
          <w:rFonts w:ascii="Goudy Old Style" w:hAnsi="Goudy Old Style"/>
          <w:i/>
          <w:sz w:val="17"/>
          <w:szCs w:val="17"/>
        </w:rPr>
        <w:t xml:space="preserve"> </w:t>
      </w:r>
      <w:proofErr w:type="spellStart"/>
      <w:r w:rsidRPr="00C44211">
        <w:rPr>
          <w:rFonts w:ascii="Goudy Old Style" w:hAnsi="Goudy Old Style"/>
          <w:i/>
          <w:sz w:val="17"/>
          <w:szCs w:val="17"/>
        </w:rPr>
        <w:t>délibérée</w:t>
      </w:r>
      <w:proofErr w:type="spellEnd"/>
      <w:r w:rsidRPr="00C44211">
        <w:rPr>
          <w:rFonts w:ascii="Goudy Old Style" w:hAnsi="Goudy Old Style"/>
          <w:i/>
          <w:sz w:val="17"/>
          <w:szCs w:val="17"/>
        </w:rPr>
        <w:t xml:space="preserve">, </w:t>
      </w:r>
      <w:proofErr w:type="spellStart"/>
      <w:r w:rsidRPr="00C44211">
        <w:rPr>
          <w:rFonts w:ascii="Goudy Old Style" w:hAnsi="Goudy Old Style"/>
          <w:i/>
          <w:sz w:val="17"/>
          <w:szCs w:val="17"/>
        </w:rPr>
        <w:t>artificielle</w:t>
      </w:r>
      <w:proofErr w:type="spellEnd"/>
      <w:r w:rsidRPr="00C44211">
        <w:rPr>
          <w:rFonts w:ascii="Goudy Old Style" w:hAnsi="Goudy Old Style"/>
          <w:i/>
          <w:sz w:val="17"/>
          <w:szCs w:val="17"/>
        </w:rPr>
        <w:t xml:space="preserve"> </w:t>
      </w:r>
      <w:proofErr w:type="spellStart"/>
      <w:r w:rsidRPr="00C44211">
        <w:rPr>
          <w:rFonts w:ascii="Goudy Old Style" w:hAnsi="Goudy Old Style"/>
          <w:i/>
          <w:sz w:val="17"/>
          <w:szCs w:val="17"/>
        </w:rPr>
        <w:t>ou</w:t>
      </w:r>
      <w:proofErr w:type="spellEnd"/>
      <w:r w:rsidRPr="00C44211">
        <w:rPr>
          <w:rFonts w:ascii="Goudy Old Style" w:hAnsi="Goudy Old Style"/>
          <w:i/>
          <w:sz w:val="17"/>
          <w:szCs w:val="17"/>
        </w:rPr>
        <w:t xml:space="preserve"> </w:t>
      </w:r>
      <w:proofErr w:type="spellStart"/>
      <w:r w:rsidRPr="00C44211">
        <w:rPr>
          <w:rFonts w:ascii="Goudy Old Style" w:hAnsi="Goudy Old Style"/>
          <w:i/>
          <w:sz w:val="17"/>
          <w:szCs w:val="17"/>
        </w:rPr>
        <w:t>automatisée</w:t>
      </w:r>
      <w:proofErr w:type="spellEnd"/>
      <w:r w:rsidRPr="00C44211">
        <w:rPr>
          <w:rFonts w:ascii="Goudy Old Style" w:hAnsi="Goudy Old Style"/>
          <w:i/>
          <w:sz w:val="17"/>
          <w:szCs w:val="17"/>
        </w:rPr>
        <w:t xml:space="preserve"> et massive par le </w:t>
      </w:r>
      <w:proofErr w:type="spellStart"/>
      <w:r w:rsidRPr="00C44211">
        <w:rPr>
          <w:rFonts w:ascii="Goudy Old Style" w:hAnsi="Goudy Old Style"/>
          <w:i/>
          <w:sz w:val="17"/>
          <w:szCs w:val="17"/>
        </w:rPr>
        <w:t>biais</w:t>
      </w:r>
      <w:proofErr w:type="spellEnd"/>
      <w:r w:rsidRPr="00C44211">
        <w:rPr>
          <w:rFonts w:ascii="Goudy Old Style" w:hAnsi="Goudy Old Style"/>
          <w:i/>
          <w:sz w:val="17"/>
          <w:szCs w:val="17"/>
        </w:rPr>
        <w:t xml:space="preserve"> d'un service de </w:t>
      </w:r>
      <w:proofErr w:type="spellStart"/>
      <w:r w:rsidRPr="00C44211">
        <w:rPr>
          <w:rFonts w:ascii="Goudy Old Style" w:hAnsi="Goudy Old Style"/>
          <w:i/>
          <w:sz w:val="17"/>
          <w:szCs w:val="17"/>
        </w:rPr>
        <w:t>communication</w:t>
      </w:r>
      <w:proofErr w:type="spellEnd"/>
      <w:r w:rsidRPr="00C44211">
        <w:rPr>
          <w:rFonts w:ascii="Goudy Old Style" w:hAnsi="Goudy Old Style"/>
          <w:i/>
          <w:sz w:val="17"/>
          <w:szCs w:val="17"/>
        </w:rPr>
        <w:t xml:space="preserve"> </w:t>
      </w:r>
      <w:proofErr w:type="spellStart"/>
      <w:r w:rsidRPr="00C44211">
        <w:rPr>
          <w:rFonts w:ascii="Goudy Old Style" w:hAnsi="Goudy Old Style"/>
          <w:i/>
          <w:sz w:val="17"/>
          <w:szCs w:val="17"/>
        </w:rPr>
        <w:t>au</w:t>
      </w:r>
      <w:proofErr w:type="spellEnd"/>
      <w:r w:rsidRPr="00C44211">
        <w:rPr>
          <w:rFonts w:ascii="Goudy Old Style" w:hAnsi="Goudy Old Style"/>
          <w:i/>
          <w:sz w:val="17"/>
          <w:szCs w:val="17"/>
        </w:rPr>
        <w:t xml:space="preserve"> public en </w:t>
      </w:r>
      <w:proofErr w:type="spellStart"/>
      <w:r w:rsidRPr="00C44211">
        <w:rPr>
          <w:rFonts w:ascii="Goudy Old Style" w:hAnsi="Goudy Old Style"/>
          <w:i/>
          <w:sz w:val="17"/>
          <w:szCs w:val="17"/>
        </w:rPr>
        <w:t>ligne</w:t>
      </w:r>
      <w:proofErr w:type="spellEnd"/>
      <w:r w:rsidRPr="00C44211">
        <w:rPr>
          <w:rFonts w:ascii="Goudy Old Style" w:hAnsi="Goudy Old Style"/>
          <w:i/>
          <w:sz w:val="17"/>
          <w:szCs w:val="17"/>
        </w:rPr>
        <w:t xml:space="preserve">, le </w:t>
      </w:r>
      <w:proofErr w:type="spellStart"/>
      <w:r w:rsidRPr="00C44211">
        <w:rPr>
          <w:rFonts w:ascii="Goudy Old Style" w:hAnsi="Goudy Old Style"/>
          <w:i/>
          <w:sz w:val="17"/>
          <w:szCs w:val="17"/>
        </w:rPr>
        <w:t>juge</w:t>
      </w:r>
      <w:proofErr w:type="spellEnd"/>
      <w:r w:rsidRPr="00C44211">
        <w:rPr>
          <w:rFonts w:ascii="Goudy Old Style" w:hAnsi="Goudy Old Style"/>
          <w:i/>
          <w:sz w:val="17"/>
          <w:szCs w:val="17"/>
        </w:rPr>
        <w:t xml:space="preserve"> </w:t>
      </w:r>
      <w:proofErr w:type="spellStart"/>
      <w:r w:rsidRPr="00C44211">
        <w:rPr>
          <w:rFonts w:ascii="Goudy Old Style" w:hAnsi="Goudy Old Style"/>
          <w:i/>
          <w:sz w:val="17"/>
          <w:szCs w:val="17"/>
        </w:rPr>
        <w:t>des</w:t>
      </w:r>
      <w:proofErr w:type="spellEnd"/>
      <w:r w:rsidRPr="00C44211">
        <w:rPr>
          <w:rFonts w:ascii="Goudy Old Style" w:hAnsi="Goudy Old Style"/>
          <w:i/>
          <w:sz w:val="17"/>
          <w:szCs w:val="17"/>
        </w:rPr>
        <w:t xml:space="preserve"> </w:t>
      </w:r>
      <w:proofErr w:type="spellStart"/>
      <w:r w:rsidRPr="00C44211">
        <w:rPr>
          <w:rFonts w:ascii="Goudy Old Style" w:hAnsi="Goudy Old Style"/>
          <w:i/>
          <w:sz w:val="17"/>
          <w:szCs w:val="17"/>
        </w:rPr>
        <w:t>référés</w:t>
      </w:r>
      <w:proofErr w:type="spellEnd"/>
      <w:r w:rsidRPr="00C44211">
        <w:rPr>
          <w:rFonts w:ascii="Goudy Old Style" w:hAnsi="Goudy Old Style"/>
          <w:i/>
          <w:sz w:val="17"/>
          <w:szCs w:val="17"/>
        </w:rPr>
        <w:t xml:space="preserve"> </w:t>
      </w:r>
      <w:proofErr w:type="spellStart"/>
      <w:r w:rsidRPr="00C44211">
        <w:rPr>
          <w:rFonts w:ascii="Goudy Old Style" w:hAnsi="Goudy Old Style"/>
          <w:i/>
          <w:sz w:val="17"/>
          <w:szCs w:val="17"/>
        </w:rPr>
        <w:t>peut</w:t>
      </w:r>
      <w:proofErr w:type="spellEnd"/>
      <w:r w:rsidRPr="00C44211">
        <w:rPr>
          <w:rFonts w:ascii="Goudy Old Style" w:hAnsi="Goudy Old Style"/>
          <w:i/>
          <w:sz w:val="17"/>
          <w:szCs w:val="17"/>
        </w:rPr>
        <w:t xml:space="preserve">, à la </w:t>
      </w:r>
      <w:proofErr w:type="spellStart"/>
      <w:r w:rsidRPr="00C44211">
        <w:rPr>
          <w:rFonts w:ascii="Goudy Old Style" w:hAnsi="Goudy Old Style"/>
          <w:i/>
          <w:sz w:val="17"/>
          <w:szCs w:val="17"/>
        </w:rPr>
        <w:t>demande</w:t>
      </w:r>
      <w:proofErr w:type="spellEnd"/>
      <w:r w:rsidRPr="00C44211">
        <w:rPr>
          <w:rFonts w:ascii="Goudy Old Style" w:hAnsi="Goudy Old Style"/>
          <w:i/>
          <w:sz w:val="17"/>
          <w:szCs w:val="17"/>
        </w:rPr>
        <w:t xml:space="preserve"> </w:t>
      </w:r>
      <w:proofErr w:type="spellStart"/>
      <w:r w:rsidRPr="00C44211">
        <w:rPr>
          <w:rFonts w:ascii="Goudy Old Style" w:hAnsi="Goudy Old Style"/>
          <w:i/>
          <w:sz w:val="17"/>
          <w:szCs w:val="17"/>
        </w:rPr>
        <w:t>du</w:t>
      </w:r>
      <w:proofErr w:type="spellEnd"/>
      <w:r w:rsidRPr="00C44211">
        <w:rPr>
          <w:rFonts w:ascii="Goudy Old Style" w:hAnsi="Goudy Old Style"/>
          <w:i/>
          <w:sz w:val="17"/>
          <w:szCs w:val="17"/>
        </w:rPr>
        <w:t xml:space="preserve"> </w:t>
      </w:r>
      <w:proofErr w:type="spellStart"/>
      <w:r w:rsidRPr="00C44211">
        <w:rPr>
          <w:rFonts w:ascii="Goudy Old Style" w:hAnsi="Goudy Old Style"/>
          <w:i/>
          <w:sz w:val="17"/>
          <w:szCs w:val="17"/>
        </w:rPr>
        <w:t>ministère</w:t>
      </w:r>
      <w:proofErr w:type="spellEnd"/>
      <w:r w:rsidRPr="00C44211">
        <w:rPr>
          <w:rFonts w:ascii="Goudy Old Style" w:hAnsi="Goudy Old Style"/>
          <w:i/>
          <w:sz w:val="17"/>
          <w:szCs w:val="17"/>
        </w:rPr>
        <w:t xml:space="preserve"> public, de tout </w:t>
      </w:r>
      <w:proofErr w:type="spellStart"/>
      <w:r w:rsidRPr="00C44211">
        <w:rPr>
          <w:rFonts w:ascii="Goudy Old Style" w:hAnsi="Goudy Old Style"/>
          <w:i/>
          <w:sz w:val="17"/>
          <w:szCs w:val="17"/>
        </w:rPr>
        <w:t>candidat</w:t>
      </w:r>
      <w:proofErr w:type="spellEnd"/>
      <w:r w:rsidRPr="00C44211">
        <w:rPr>
          <w:rFonts w:ascii="Goudy Old Style" w:hAnsi="Goudy Old Style"/>
          <w:i/>
          <w:sz w:val="17"/>
          <w:szCs w:val="17"/>
        </w:rPr>
        <w:t xml:space="preserve">, de tout parti </w:t>
      </w:r>
      <w:proofErr w:type="spellStart"/>
      <w:r w:rsidRPr="00C44211">
        <w:rPr>
          <w:rFonts w:ascii="Goudy Old Style" w:hAnsi="Goudy Old Style"/>
          <w:i/>
          <w:sz w:val="17"/>
          <w:szCs w:val="17"/>
        </w:rPr>
        <w:t>ou</w:t>
      </w:r>
      <w:proofErr w:type="spellEnd"/>
      <w:r w:rsidRPr="00C44211">
        <w:rPr>
          <w:rFonts w:ascii="Goudy Old Style" w:hAnsi="Goudy Old Style"/>
          <w:i/>
          <w:sz w:val="17"/>
          <w:szCs w:val="17"/>
        </w:rPr>
        <w:t xml:space="preserve"> </w:t>
      </w:r>
      <w:proofErr w:type="spellStart"/>
      <w:r w:rsidRPr="00C44211">
        <w:rPr>
          <w:rFonts w:ascii="Goudy Old Style" w:hAnsi="Goudy Old Style"/>
          <w:i/>
          <w:sz w:val="17"/>
          <w:szCs w:val="17"/>
        </w:rPr>
        <w:t>groupement</w:t>
      </w:r>
      <w:proofErr w:type="spellEnd"/>
      <w:r w:rsidRPr="00C44211">
        <w:rPr>
          <w:rFonts w:ascii="Goudy Old Style" w:hAnsi="Goudy Old Style"/>
          <w:i/>
          <w:sz w:val="17"/>
          <w:szCs w:val="17"/>
        </w:rPr>
        <w:t xml:space="preserve"> </w:t>
      </w:r>
      <w:proofErr w:type="spellStart"/>
      <w:r w:rsidRPr="00C44211">
        <w:rPr>
          <w:rFonts w:ascii="Goudy Old Style" w:hAnsi="Goudy Old Style"/>
          <w:i/>
          <w:sz w:val="17"/>
          <w:szCs w:val="17"/>
        </w:rPr>
        <w:t>politique</w:t>
      </w:r>
      <w:proofErr w:type="spellEnd"/>
      <w:r w:rsidRPr="00C44211">
        <w:rPr>
          <w:rFonts w:ascii="Goudy Old Style" w:hAnsi="Goudy Old Style"/>
          <w:i/>
          <w:sz w:val="17"/>
          <w:szCs w:val="17"/>
        </w:rPr>
        <w:t xml:space="preserve"> </w:t>
      </w:r>
      <w:proofErr w:type="spellStart"/>
      <w:r w:rsidRPr="00C44211">
        <w:rPr>
          <w:rFonts w:ascii="Goudy Old Style" w:hAnsi="Goudy Old Style"/>
          <w:i/>
          <w:sz w:val="17"/>
          <w:szCs w:val="17"/>
        </w:rPr>
        <w:t>ou</w:t>
      </w:r>
      <w:proofErr w:type="spellEnd"/>
      <w:r w:rsidRPr="00C44211">
        <w:rPr>
          <w:rFonts w:ascii="Goudy Old Style" w:hAnsi="Goudy Old Style"/>
          <w:i/>
          <w:sz w:val="17"/>
          <w:szCs w:val="17"/>
        </w:rPr>
        <w:t xml:space="preserve"> de </w:t>
      </w:r>
      <w:proofErr w:type="spellStart"/>
      <w:r w:rsidRPr="00C44211">
        <w:rPr>
          <w:rFonts w:ascii="Goudy Old Style" w:hAnsi="Goudy Old Style"/>
          <w:i/>
          <w:sz w:val="17"/>
          <w:szCs w:val="17"/>
        </w:rPr>
        <w:t>toute</w:t>
      </w:r>
      <w:proofErr w:type="spellEnd"/>
      <w:r w:rsidRPr="00C44211">
        <w:rPr>
          <w:rFonts w:ascii="Goudy Old Style" w:hAnsi="Goudy Old Style"/>
          <w:i/>
          <w:sz w:val="17"/>
          <w:szCs w:val="17"/>
        </w:rPr>
        <w:t xml:space="preserve"> </w:t>
      </w:r>
      <w:proofErr w:type="spellStart"/>
      <w:r w:rsidRPr="00C44211">
        <w:rPr>
          <w:rFonts w:ascii="Goudy Old Style" w:hAnsi="Goudy Old Style"/>
          <w:i/>
          <w:sz w:val="17"/>
          <w:szCs w:val="17"/>
        </w:rPr>
        <w:t>personne</w:t>
      </w:r>
      <w:proofErr w:type="spellEnd"/>
      <w:r w:rsidRPr="00C44211">
        <w:rPr>
          <w:rFonts w:ascii="Goudy Old Style" w:hAnsi="Goudy Old Style"/>
          <w:i/>
          <w:sz w:val="17"/>
          <w:szCs w:val="17"/>
        </w:rPr>
        <w:t xml:space="preserve"> </w:t>
      </w:r>
      <w:proofErr w:type="spellStart"/>
      <w:r w:rsidRPr="00C44211">
        <w:rPr>
          <w:rFonts w:ascii="Goudy Old Style" w:hAnsi="Goudy Old Style"/>
          <w:i/>
          <w:sz w:val="17"/>
          <w:szCs w:val="17"/>
        </w:rPr>
        <w:t>ayant</w:t>
      </w:r>
      <w:proofErr w:type="spellEnd"/>
      <w:r w:rsidRPr="00C44211">
        <w:rPr>
          <w:rFonts w:ascii="Goudy Old Style" w:hAnsi="Goudy Old Style"/>
          <w:i/>
          <w:sz w:val="17"/>
          <w:szCs w:val="17"/>
        </w:rPr>
        <w:t xml:space="preserve"> </w:t>
      </w:r>
      <w:proofErr w:type="spellStart"/>
      <w:r w:rsidRPr="00C44211">
        <w:rPr>
          <w:rFonts w:ascii="Goudy Old Style" w:hAnsi="Goudy Old Style"/>
          <w:i/>
          <w:sz w:val="17"/>
          <w:szCs w:val="17"/>
        </w:rPr>
        <w:t>intérêt</w:t>
      </w:r>
      <w:proofErr w:type="spellEnd"/>
      <w:r w:rsidRPr="00C44211">
        <w:rPr>
          <w:rFonts w:ascii="Goudy Old Style" w:hAnsi="Goudy Old Style"/>
          <w:i/>
          <w:sz w:val="17"/>
          <w:szCs w:val="17"/>
        </w:rPr>
        <w:t xml:space="preserve"> à agir, et sans </w:t>
      </w:r>
      <w:proofErr w:type="spellStart"/>
      <w:r w:rsidRPr="00C44211">
        <w:rPr>
          <w:rFonts w:ascii="Goudy Old Style" w:hAnsi="Goudy Old Style"/>
          <w:i/>
          <w:sz w:val="17"/>
          <w:szCs w:val="17"/>
        </w:rPr>
        <w:t>préjudice</w:t>
      </w:r>
      <w:proofErr w:type="spellEnd"/>
      <w:r w:rsidRPr="00C44211">
        <w:rPr>
          <w:rFonts w:ascii="Goudy Old Style" w:hAnsi="Goudy Old Style"/>
          <w:i/>
          <w:sz w:val="17"/>
          <w:szCs w:val="17"/>
        </w:rPr>
        <w:t xml:space="preserve"> de la </w:t>
      </w:r>
      <w:proofErr w:type="spellStart"/>
      <w:r w:rsidRPr="00C44211">
        <w:rPr>
          <w:rFonts w:ascii="Goudy Old Style" w:hAnsi="Goudy Old Style"/>
          <w:i/>
          <w:sz w:val="17"/>
          <w:szCs w:val="17"/>
        </w:rPr>
        <w:t>réparation</w:t>
      </w:r>
      <w:proofErr w:type="spellEnd"/>
      <w:r w:rsidRPr="00C44211">
        <w:rPr>
          <w:rFonts w:ascii="Goudy Old Style" w:hAnsi="Goudy Old Style"/>
          <w:i/>
          <w:sz w:val="17"/>
          <w:szCs w:val="17"/>
        </w:rPr>
        <w:t xml:space="preserve"> </w:t>
      </w:r>
      <w:proofErr w:type="spellStart"/>
      <w:r w:rsidRPr="00C44211">
        <w:rPr>
          <w:rFonts w:ascii="Goudy Old Style" w:hAnsi="Goudy Old Style"/>
          <w:i/>
          <w:sz w:val="17"/>
          <w:szCs w:val="17"/>
        </w:rPr>
        <w:t>du</w:t>
      </w:r>
      <w:proofErr w:type="spellEnd"/>
      <w:r w:rsidRPr="00C44211">
        <w:rPr>
          <w:rFonts w:ascii="Goudy Old Style" w:hAnsi="Goudy Old Style"/>
          <w:i/>
          <w:sz w:val="17"/>
          <w:szCs w:val="17"/>
        </w:rPr>
        <w:t xml:space="preserve"> </w:t>
      </w:r>
      <w:proofErr w:type="spellStart"/>
      <w:r w:rsidRPr="00C44211">
        <w:rPr>
          <w:rFonts w:ascii="Goudy Old Style" w:hAnsi="Goudy Old Style"/>
          <w:i/>
          <w:sz w:val="17"/>
          <w:szCs w:val="17"/>
        </w:rPr>
        <w:t>dommage</w:t>
      </w:r>
      <w:proofErr w:type="spellEnd"/>
      <w:r w:rsidRPr="00C44211">
        <w:rPr>
          <w:rFonts w:ascii="Goudy Old Style" w:hAnsi="Goudy Old Style"/>
          <w:i/>
          <w:sz w:val="17"/>
          <w:szCs w:val="17"/>
        </w:rPr>
        <w:t xml:space="preserve"> </w:t>
      </w:r>
      <w:proofErr w:type="spellStart"/>
      <w:r w:rsidRPr="00C44211">
        <w:rPr>
          <w:rFonts w:ascii="Goudy Old Style" w:hAnsi="Goudy Old Style"/>
          <w:i/>
          <w:sz w:val="17"/>
          <w:szCs w:val="17"/>
        </w:rPr>
        <w:t>subi</w:t>
      </w:r>
      <w:proofErr w:type="spellEnd"/>
      <w:r w:rsidRPr="00C44211">
        <w:rPr>
          <w:rFonts w:ascii="Goudy Old Style" w:hAnsi="Goudy Old Style"/>
          <w:i/>
          <w:sz w:val="17"/>
          <w:szCs w:val="17"/>
        </w:rPr>
        <w:t xml:space="preserve">, </w:t>
      </w:r>
      <w:proofErr w:type="spellStart"/>
      <w:r w:rsidRPr="00C44211">
        <w:rPr>
          <w:rFonts w:ascii="Goudy Old Style" w:hAnsi="Goudy Old Style"/>
          <w:i/>
          <w:sz w:val="17"/>
          <w:szCs w:val="17"/>
        </w:rPr>
        <w:t>prescrire</w:t>
      </w:r>
      <w:proofErr w:type="spellEnd"/>
      <w:r w:rsidRPr="00C44211">
        <w:rPr>
          <w:rFonts w:ascii="Goudy Old Style" w:hAnsi="Goudy Old Style"/>
          <w:i/>
          <w:sz w:val="17"/>
          <w:szCs w:val="17"/>
        </w:rPr>
        <w:t xml:space="preserve"> </w:t>
      </w:r>
      <w:proofErr w:type="spellStart"/>
      <w:r w:rsidRPr="00C44211">
        <w:rPr>
          <w:rFonts w:ascii="Goudy Old Style" w:hAnsi="Goudy Old Style"/>
          <w:i/>
          <w:sz w:val="17"/>
          <w:szCs w:val="17"/>
        </w:rPr>
        <w:t>aux</w:t>
      </w:r>
      <w:proofErr w:type="spellEnd"/>
      <w:r w:rsidRPr="00C44211">
        <w:rPr>
          <w:rFonts w:ascii="Goudy Old Style" w:hAnsi="Goudy Old Style"/>
          <w:i/>
          <w:sz w:val="17"/>
          <w:szCs w:val="17"/>
        </w:rPr>
        <w:t xml:space="preserve"> </w:t>
      </w:r>
      <w:proofErr w:type="spellStart"/>
      <w:r w:rsidRPr="00C44211">
        <w:rPr>
          <w:rFonts w:ascii="Goudy Old Style" w:hAnsi="Goudy Old Style"/>
          <w:i/>
          <w:sz w:val="17"/>
          <w:szCs w:val="17"/>
        </w:rPr>
        <w:t>personnes</w:t>
      </w:r>
      <w:proofErr w:type="spellEnd"/>
      <w:r w:rsidRPr="00C44211">
        <w:rPr>
          <w:rFonts w:ascii="Goudy Old Style" w:hAnsi="Goudy Old Style"/>
          <w:i/>
          <w:sz w:val="17"/>
          <w:szCs w:val="17"/>
        </w:rPr>
        <w:t xml:space="preserve"> </w:t>
      </w:r>
      <w:proofErr w:type="spellStart"/>
      <w:r w:rsidRPr="00C44211">
        <w:rPr>
          <w:rFonts w:ascii="Goudy Old Style" w:hAnsi="Goudy Old Style"/>
          <w:i/>
          <w:sz w:val="17"/>
          <w:szCs w:val="17"/>
        </w:rPr>
        <w:t>physiques</w:t>
      </w:r>
      <w:proofErr w:type="spellEnd"/>
      <w:r w:rsidRPr="00C44211">
        <w:rPr>
          <w:rFonts w:ascii="Goudy Old Style" w:hAnsi="Goudy Old Style"/>
          <w:i/>
          <w:sz w:val="17"/>
          <w:szCs w:val="17"/>
        </w:rPr>
        <w:t xml:space="preserve"> </w:t>
      </w:r>
      <w:proofErr w:type="spellStart"/>
      <w:r w:rsidRPr="00C44211">
        <w:rPr>
          <w:rFonts w:ascii="Goudy Old Style" w:hAnsi="Goudy Old Style"/>
          <w:i/>
          <w:sz w:val="17"/>
          <w:szCs w:val="17"/>
        </w:rPr>
        <w:t>ou</w:t>
      </w:r>
      <w:proofErr w:type="spellEnd"/>
      <w:r w:rsidRPr="00C44211">
        <w:rPr>
          <w:rFonts w:ascii="Goudy Old Style" w:hAnsi="Goudy Old Style"/>
          <w:i/>
          <w:sz w:val="17"/>
          <w:szCs w:val="17"/>
        </w:rPr>
        <w:t xml:space="preserve"> </w:t>
      </w:r>
      <w:proofErr w:type="spellStart"/>
      <w:r w:rsidRPr="00C44211">
        <w:rPr>
          <w:rFonts w:ascii="Goudy Old Style" w:hAnsi="Goudy Old Style"/>
          <w:i/>
          <w:sz w:val="17"/>
          <w:szCs w:val="17"/>
        </w:rPr>
        <w:t>morales</w:t>
      </w:r>
      <w:proofErr w:type="spellEnd"/>
      <w:r w:rsidRPr="00C44211">
        <w:rPr>
          <w:rFonts w:ascii="Goudy Old Style" w:hAnsi="Goudy Old Style"/>
          <w:i/>
          <w:sz w:val="17"/>
          <w:szCs w:val="17"/>
        </w:rPr>
        <w:t xml:space="preserve"> </w:t>
      </w:r>
      <w:proofErr w:type="spellStart"/>
      <w:r w:rsidRPr="00C44211">
        <w:rPr>
          <w:rFonts w:ascii="Goudy Old Style" w:hAnsi="Goudy Old Style"/>
          <w:i/>
          <w:sz w:val="17"/>
          <w:szCs w:val="17"/>
        </w:rPr>
        <w:t>mentionnées</w:t>
      </w:r>
      <w:proofErr w:type="spellEnd"/>
      <w:r w:rsidRPr="00C44211">
        <w:rPr>
          <w:rFonts w:ascii="Goudy Old Style" w:hAnsi="Goudy Old Style"/>
          <w:i/>
          <w:sz w:val="17"/>
          <w:szCs w:val="17"/>
        </w:rPr>
        <w:t xml:space="preserve"> </w:t>
      </w:r>
      <w:proofErr w:type="spellStart"/>
      <w:r w:rsidRPr="00C44211">
        <w:rPr>
          <w:rFonts w:ascii="Goudy Old Style" w:hAnsi="Goudy Old Style"/>
          <w:i/>
          <w:sz w:val="17"/>
          <w:szCs w:val="17"/>
        </w:rPr>
        <w:t>au</w:t>
      </w:r>
      <w:proofErr w:type="spellEnd"/>
      <w:r w:rsidRPr="00C44211">
        <w:rPr>
          <w:rFonts w:ascii="Goudy Old Style" w:hAnsi="Goudy Old Style"/>
          <w:i/>
          <w:sz w:val="17"/>
          <w:szCs w:val="17"/>
        </w:rPr>
        <w:t xml:space="preserve"> 2 </w:t>
      </w:r>
      <w:proofErr w:type="spellStart"/>
      <w:r w:rsidRPr="00C44211">
        <w:rPr>
          <w:rFonts w:ascii="Goudy Old Style" w:hAnsi="Goudy Old Style"/>
          <w:i/>
          <w:sz w:val="17"/>
          <w:szCs w:val="17"/>
        </w:rPr>
        <w:t>du</w:t>
      </w:r>
      <w:proofErr w:type="spellEnd"/>
      <w:r w:rsidRPr="00C44211">
        <w:rPr>
          <w:rFonts w:ascii="Goudy Old Style" w:hAnsi="Goudy Old Style"/>
          <w:i/>
          <w:sz w:val="17"/>
          <w:szCs w:val="17"/>
        </w:rPr>
        <w:t xml:space="preserve"> I de l'</w:t>
      </w:r>
      <w:proofErr w:type="spellStart"/>
      <w:r w:rsidRPr="00C44211">
        <w:rPr>
          <w:rFonts w:ascii="Goudy Old Style" w:hAnsi="Goudy Old Style"/>
          <w:i/>
          <w:sz w:val="17"/>
          <w:szCs w:val="17"/>
        </w:rPr>
        <w:t>article</w:t>
      </w:r>
      <w:proofErr w:type="spellEnd"/>
      <w:r w:rsidRPr="00C44211">
        <w:rPr>
          <w:rFonts w:ascii="Goudy Old Style" w:hAnsi="Goudy Old Style"/>
          <w:i/>
          <w:sz w:val="17"/>
          <w:szCs w:val="17"/>
        </w:rPr>
        <w:t xml:space="preserve"> 6 de la </w:t>
      </w:r>
      <w:proofErr w:type="spellStart"/>
      <w:r w:rsidRPr="00C44211">
        <w:rPr>
          <w:rFonts w:ascii="Goudy Old Style" w:hAnsi="Goudy Old Style"/>
          <w:i/>
          <w:sz w:val="17"/>
          <w:szCs w:val="17"/>
        </w:rPr>
        <w:t>loi</w:t>
      </w:r>
      <w:proofErr w:type="spellEnd"/>
      <w:r w:rsidRPr="00C44211">
        <w:rPr>
          <w:rFonts w:ascii="Goudy Old Style" w:hAnsi="Goudy Old Style"/>
          <w:i/>
          <w:sz w:val="17"/>
          <w:szCs w:val="17"/>
        </w:rPr>
        <w:t xml:space="preserve"> n° 2004-575 </w:t>
      </w:r>
      <w:proofErr w:type="spellStart"/>
      <w:r w:rsidRPr="00C44211">
        <w:rPr>
          <w:rFonts w:ascii="Goudy Old Style" w:hAnsi="Goudy Old Style"/>
          <w:i/>
          <w:sz w:val="17"/>
          <w:szCs w:val="17"/>
        </w:rPr>
        <w:t>du</w:t>
      </w:r>
      <w:proofErr w:type="spellEnd"/>
      <w:r w:rsidRPr="00C44211">
        <w:rPr>
          <w:rFonts w:ascii="Goudy Old Style" w:hAnsi="Goudy Old Style"/>
          <w:i/>
          <w:sz w:val="17"/>
          <w:szCs w:val="17"/>
        </w:rPr>
        <w:t xml:space="preserve"> 21 </w:t>
      </w:r>
      <w:proofErr w:type="spellStart"/>
      <w:r w:rsidRPr="00C44211">
        <w:rPr>
          <w:rFonts w:ascii="Goudy Old Style" w:hAnsi="Goudy Old Style"/>
          <w:i/>
          <w:sz w:val="17"/>
          <w:szCs w:val="17"/>
        </w:rPr>
        <w:t>juin</w:t>
      </w:r>
      <w:proofErr w:type="spellEnd"/>
      <w:r w:rsidRPr="00C44211">
        <w:rPr>
          <w:rFonts w:ascii="Goudy Old Style" w:hAnsi="Goudy Old Style"/>
          <w:i/>
          <w:sz w:val="17"/>
          <w:szCs w:val="17"/>
        </w:rPr>
        <w:t xml:space="preserve"> 2004 pour la </w:t>
      </w:r>
      <w:proofErr w:type="spellStart"/>
      <w:r w:rsidRPr="00C44211">
        <w:rPr>
          <w:rFonts w:ascii="Goudy Old Style" w:hAnsi="Goudy Old Style"/>
          <w:i/>
          <w:sz w:val="17"/>
          <w:szCs w:val="17"/>
        </w:rPr>
        <w:t>confiance</w:t>
      </w:r>
      <w:proofErr w:type="spellEnd"/>
      <w:r w:rsidRPr="00C44211">
        <w:rPr>
          <w:rFonts w:ascii="Goudy Old Style" w:hAnsi="Goudy Old Style"/>
          <w:i/>
          <w:sz w:val="17"/>
          <w:szCs w:val="17"/>
        </w:rPr>
        <w:t xml:space="preserve"> </w:t>
      </w:r>
      <w:proofErr w:type="spellStart"/>
      <w:r w:rsidRPr="00C44211">
        <w:rPr>
          <w:rFonts w:ascii="Goudy Old Style" w:hAnsi="Goudy Old Style"/>
          <w:i/>
          <w:sz w:val="17"/>
          <w:szCs w:val="17"/>
        </w:rPr>
        <w:t>dans</w:t>
      </w:r>
      <w:proofErr w:type="spellEnd"/>
      <w:r w:rsidRPr="00C44211">
        <w:rPr>
          <w:rFonts w:ascii="Goudy Old Style" w:hAnsi="Goudy Old Style"/>
          <w:i/>
          <w:sz w:val="17"/>
          <w:szCs w:val="17"/>
        </w:rPr>
        <w:t xml:space="preserve"> l'</w:t>
      </w:r>
      <w:proofErr w:type="spellStart"/>
      <w:r w:rsidRPr="00C44211">
        <w:rPr>
          <w:rFonts w:ascii="Goudy Old Style" w:hAnsi="Goudy Old Style"/>
          <w:i/>
          <w:sz w:val="17"/>
          <w:szCs w:val="17"/>
        </w:rPr>
        <w:t>économie</w:t>
      </w:r>
      <w:proofErr w:type="spellEnd"/>
      <w:r w:rsidRPr="00C44211">
        <w:rPr>
          <w:rFonts w:ascii="Goudy Old Style" w:hAnsi="Goudy Old Style"/>
          <w:i/>
          <w:sz w:val="17"/>
          <w:szCs w:val="17"/>
        </w:rPr>
        <w:t xml:space="preserve"> </w:t>
      </w:r>
      <w:proofErr w:type="spellStart"/>
      <w:r w:rsidRPr="00C44211">
        <w:rPr>
          <w:rFonts w:ascii="Goudy Old Style" w:hAnsi="Goudy Old Style"/>
          <w:i/>
          <w:sz w:val="17"/>
          <w:szCs w:val="17"/>
        </w:rPr>
        <w:t>numérique</w:t>
      </w:r>
      <w:proofErr w:type="spellEnd"/>
      <w:r w:rsidRPr="00C44211">
        <w:rPr>
          <w:rFonts w:ascii="Goudy Old Style" w:hAnsi="Goudy Old Style"/>
          <w:i/>
          <w:sz w:val="17"/>
          <w:szCs w:val="17"/>
        </w:rPr>
        <w:t xml:space="preserve"> </w:t>
      </w:r>
      <w:proofErr w:type="spellStart"/>
      <w:r w:rsidRPr="00C44211">
        <w:rPr>
          <w:rFonts w:ascii="Goudy Old Style" w:hAnsi="Goudy Old Style"/>
          <w:i/>
          <w:sz w:val="17"/>
          <w:szCs w:val="17"/>
        </w:rPr>
        <w:t>ou</w:t>
      </w:r>
      <w:proofErr w:type="spellEnd"/>
      <w:r w:rsidRPr="00C44211">
        <w:rPr>
          <w:rFonts w:ascii="Goudy Old Style" w:hAnsi="Goudy Old Style"/>
          <w:i/>
          <w:sz w:val="17"/>
          <w:szCs w:val="17"/>
        </w:rPr>
        <w:t xml:space="preserve">, à </w:t>
      </w:r>
      <w:proofErr w:type="spellStart"/>
      <w:r w:rsidRPr="00C44211">
        <w:rPr>
          <w:rFonts w:ascii="Goudy Old Style" w:hAnsi="Goudy Old Style"/>
          <w:i/>
          <w:sz w:val="17"/>
          <w:szCs w:val="17"/>
        </w:rPr>
        <w:t>défaut</w:t>
      </w:r>
      <w:proofErr w:type="spellEnd"/>
      <w:r w:rsidRPr="00C44211">
        <w:rPr>
          <w:rFonts w:ascii="Goudy Old Style" w:hAnsi="Goudy Old Style"/>
          <w:i/>
          <w:sz w:val="17"/>
          <w:szCs w:val="17"/>
        </w:rPr>
        <w:t xml:space="preserve">, à </w:t>
      </w:r>
      <w:proofErr w:type="spellStart"/>
      <w:r w:rsidRPr="00C44211">
        <w:rPr>
          <w:rFonts w:ascii="Goudy Old Style" w:hAnsi="Goudy Old Style"/>
          <w:i/>
          <w:sz w:val="17"/>
          <w:szCs w:val="17"/>
        </w:rPr>
        <w:t>toute</w:t>
      </w:r>
      <w:proofErr w:type="spellEnd"/>
      <w:r w:rsidRPr="00C44211">
        <w:rPr>
          <w:rFonts w:ascii="Goudy Old Style" w:hAnsi="Goudy Old Style"/>
          <w:i/>
          <w:sz w:val="17"/>
          <w:szCs w:val="17"/>
        </w:rPr>
        <w:t xml:space="preserve"> </w:t>
      </w:r>
      <w:proofErr w:type="spellStart"/>
      <w:r w:rsidRPr="00C44211">
        <w:rPr>
          <w:rFonts w:ascii="Goudy Old Style" w:hAnsi="Goudy Old Style"/>
          <w:i/>
          <w:sz w:val="17"/>
          <w:szCs w:val="17"/>
        </w:rPr>
        <w:t>personne</w:t>
      </w:r>
      <w:proofErr w:type="spellEnd"/>
      <w:r w:rsidRPr="00C44211">
        <w:rPr>
          <w:rFonts w:ascii="Goudy Old Style" w:hAnsi="Goudy Old Style"/>
          <w:i/>
          <w:sz w:val="17"/>
          <w:szCs w:val="17"/>
        </w:rPr>
        <w:t xml:space="preserve"> </w:t>
      </w:r>
      <w:proofErr w:type="spellStart"/>
      <w:r w:rsidRPr="00C44211">
        <w:rPr>
          <w:rFonts w:ascii="Goudy Old Style" w:hAnsi="Goudy Old Style"/>
          <w:i/>
          <w:sz w:val="17"/>
          <w:szCs w:val="17"/>
        </w:rPr>
        <w:t>mentionnée</w:t>
      </w:r>
      <w:proofErr w:type="spellEnd"/>
      <w:r w:rsidRPr="00C44211">
        <w:rPr>
          <w:rFonts w:ascii="Goudy Old Style" w:hAnsi="Goudy Old Style"/>
          <w:i/>
          <w:sz w:val="17"/>
          <w:szCs w:val="17"/>
        </w:rPr>
        <w:t xml:space="preserve"> </w:t>
      </w:r>
      <w:proofErr w:type="spellStart"/>
      <w:r w:rsidRPr="00C44211">
        <w:rPr>
          <w:rFonts w:ascii="Goudy Old Style" w:hAnsi="Goudy Old Style"/>
          <w:i/>
          <w:sz w:val="17"/>
          <w:szCs w:val="17"/>
        </w:rPr>
        <w:t>au</w:t>
      </w:r>
      <w:proofErr w:type="spellEnd"/>
      <w:r w:rsidRPr="00C44211">
        <w:rPr>
          <w:rFonts w:ascii="Goudy Old Style" w:hAnsi="Goudy Old Style"/>
          <w:i/>
          <w:sz w:val="17"/>
          <w:szCs w:val="17"/>
        </w:rPr>
        <w:t xml:space="preserve"> 1 </w:t>
      </w:r>
      <w:proofErr w:type="spellStart"/>
      <w:r w:rsidRPr="00C44211">
        <w:rPr>
          <w:rFonts w:ascii="Goudy Old Style" w:hAnsi="Goudy Old Style"/>
          <w:i/>
          <w:sz w:val="17"/>
          <w:szCs w:val="17"/>
        </w:rPr>
        <w:t>du</w:t>
      </w:r>
      <w:proofErr w:type="spellEnd"/>
      <w:r w:rsidRPr="00C44211">
        <w:rPr>
          <w:rFonts w:ascii="Goudy Old Style" w:hAnsi="Goudy Old Style"/>
          <w:i/>
          <w:sz w:val="17"/>
          <w:szCs w:val="17"/>
        </w:rPr>
        <w:t xml:space="preserve"> </w:t>
      </w:r>
      <w:proofErr w:type="spellStart"/>
      <w:r w:rsidRPr="00C44211">
        <w:rPr>
          <w:rFonts w:ascii="Goudy Old Style" w:hAnsi="Goudy Old Style"/>
          <w:i/>
          <w:sz w:val="17"/>
          <w:szCs w:val="17"/>
        </w:rPr>
        <w:t>même</w:t>
      </w:r>
      <w:proofErr w:type="spellEnd"/>
      <w:r w:rsidRPr="00C44211">
        <w:rPr>
          <w:rFonts w:ascii="Goudy Old Style" w:hAnsi="Goudy Old Style"/>
          <w:i/>
          <w:sz w:val="17"/>
          <w:szCs w:val="17"/>
        </w:rPr>
        <w:t xml:space="preserve"> I </w:t>
      </w:r>
      <w:proofErr w:type="spellStart"/>
      <w:r w:rsidRPr="00C44211">
        <w:rPr>
          <w:rFonts w:ascii="Goudy Old Style" w:hAnsi="Goudy Old Style"/>
          <w:i/>
          <w:sz w:val="17"/>
          <w:szCs w:val="17"/>
        </w:rPr>
        <w:t>toutes</w:t>
      </w:r>
      <w:proofErr w:type="spellEnd"/>
      <w:r w:rsidRPr="00C44211">
        <w:rPr>
          <w:rFonts w:ascii="Goudy Old Style" w:hAnsi="Goudy Old Style"/>
          <w:i/>
          <w:sz w:val="17"/>
          <w:szCs w:val="17"/>
        </w:rPr>
        <w:t xml:space="preserve"> </w:t>
      </w:r>
      <w:proofErr w:type="spellStart"/>
      <w:r w:rsidRPr="00C44211">
        <w:rPr>
          <w:rFonts w:ascii="Goudy Old Style" w:hAnsi="Goudy Old Style"/>
          <w:i/>
          <w:sz w:val="17"/>
          <w:szCs w:val="17"/>
        </w:rPr>
        <w:t>mesures</w:t>
      </w:r>
      <w:proofErr w:type="spellEnd"/>
      <w:r w:rsidRPr="00C44211">
        <w:rPr>
          <w:rFonts w:ascii="Goudy Old Style" w:hAnsi="Goudy Old Style"/>
          <w:i/>
          <w:sz w:val="17"/>
          <w:szCs w:val="17"/>
        </w:rPr>
        <w:t xml:space="preserve"> </w:t>
      </w:r>
      <w:proofErr w:type="spellStart"/>
      <w:r w:rsidRPr="00C44211">
        <w:rPr>
          <w:rFonts w:ascii="Goudy Old Style" w:hAnsi="Goudy Old Style"/>
          <w:i/>
          <w:sz w:val="17"/>
          <w:szCs w:val="17"/>
        </w:rPr>
        <w:t>proportionnées</w:t>
      </w:r>
      <w:proofErr w:type="spellEnd"/>
      <w:r w:rsidRPr="00C44211">
        <w:rPr>
          <w:rFonts w:ascii="Goudy Old Style" w:hAnsi="Goudy Old Style"/>
          <w:i/>
          <w:sz w:val="17"/>
          <w:szCs w:val="17"/>
        </w:rPr>
        <w:t xml:space="preserve"> et nécessaires pour </w:t>
      </w:r>
      <w:proofErr w:type="spellStart"/>
      <w:r w:rsidRPr="00C44211">
        <w:rPr>
          <w:rFonts w:ascii="Goudy Old Style" w:hAnsi="Goudy Old Style"/>
          <w:i/>
          <w:sz w:val="17"/>
          <w:szCs w:val="17"/>
        </w:rPr>
        <w:t>faire</w:t>
      </w:r>
      <w:proofErr w:type="spellEnd"/>
      <w:r w:rsidRPr="00C44211">
        <w:rPr>
          <w:rFonts w:ascii="Goudy Old Style" w:hAnsi="Goudy Old Style"/>
          <w:i/>
          <w:sz w:val="17"/>
          <w:szCs w:val="17"/>
        </w:rPr>
        <w:t xml:space="preserve"> </w:t>
      </w:r>
      <w:proofErr w:type="spellStart"/>
      <w:r w:rsidRPr="00C44211">
        <w:rPr>
          <w:rFonts w:ascii="Goudy Old Style" w:hAnsi="Goudy Old Style"/>
          <w:i/>
          <w:sz w:val="17"/>
          <w:szCs w:val="17"/>
        </w:rPr>
        <w:t>cesser</w:t>
      </w:r>
      <w:proofErr w:type="spellEnd"/>
      <w:r w:rsidRPr="00C44211">
        <w:rPr>
          <w:rFonts w:ascii="Goudy Old Style" w:hAnsi="Goudy Old Style"/>
          <w:i/>
          <w:sz w:val="17"/>
          <w:szCs w:val="17"/>
        </w:rPr>
        <w:t xml:space="preserve"> </w:t>
      </w:r>
      <w:proofErr w:type="spellStart"/>
      <w:r w:rsidRPr="00C44211">
        <w:rPr>
          <w:rFonts w:ascii="Goudy Old Style" w:hAnsi="Goudy Old Style"/>
          <w:i/>
          <w:sz w:val="17"/>
          <w:szCs w:val="17"/>
        </w:rPr>
        <w:t>cette</w:t>
      </w:r>
      <w:proofErr w:type="spellEnd"/>
      <w:r w:rsidRPr="00C44211">
        <w:rPr>
          <w:rFonts w:ascii="Goudy Old Style" w:hAnsi="Goudy Old Style"/>
          <w:i/>
          <w:sz w:val="17"/>
          <w:szCs w:val="17"/>
        </w:rPr>
        <w:t xml:space="preserve"> </w:t>
      </w:r>
      <w:proofErr w:type="spellStart"/>
      <w:r w:rsidRPr="00C44211">
        <w:rPr>
          <w:rFonts w:ascii="Goudy Old Style" w:hAnsi="Goudy Old Style"/>
          <w:i/>
          <w:sz w:val="17"/>
          <w:szCs w:val="17"/>
        </w:rPr>
        <w:t>diffusion</w:t>
      </w:r>
      <w:proofErr w:type="spellEnd"/>
      <w:r w:rsidRPr="00C44211">
        <w:rPr>
          <w:rFonts w:ascii="Goudy Old Style" w:hAnsi="Goudy Old Style"/>
          <w:i/>
          <w:sz w:val="17"/>
          <w:szCs w:val="17"/>
        </w:rPr>
        <w:t xml:space="preserve">. </w:t>
      </w:r>
      <w:proofErr w:type="gramStart"/>
      <w:r w:rsidRPr="00C44211">
        <w:rPr>
          <w:rFonts w:ascii="Goudy Old Style" w:hAnsi="Goudy Old Style"/>
          <w:i/>
          <w:sz w:val="17"/>
          <w:szCs w:val="17"/>
        </w:rPr>
        <w:t>II.-</w:t>
      </w:r>
      <w:proofErr w:type="gramEnd"/>
      <w:r w:rsidRPr="00C44211">
        <w:rPr>
          <w:rFonts w:ascii="Goudy Old Style" w:hAnsi="Goudy Old Style"/>
          <w:i/>
          <w:sz w:val="17"/>
          <w:szCs w:val="17"/>
        </w:rPr>
        <w:t xml:space="preserve">Le </w:t>
      </w:r>
      <w:proofErr w:type="spellStart"/>
      <w:r w:rsidRPr="00C44211">
        <w:rPr>
          <w:rFonts w:ascii="Goudy Old Style" w:hAnsi="Goudy Old Style"/>
          <w:i/>
          <w:sz w:val="17"/>
          <w:szCs w:val="17"/>
        </w:rPr>
        <w:t>juge</w:t>
      </w:r>
      <w:proofErr w:type="spellEnd"/>
      <w:r w:rsidRPr="00C44211">
        <w:rPr>
          <w:rFonts w:ascii="Goudy Old Style" w:hAnsi="Goudy Old Style"/>
          <w:i/>
          <w:sz w:val="17"/>
          <w:szCs w:val="17"/>
        </w:rPr>
        <w:t xml:space="preserve"> </w:t>
      </w:r>
      <w:proofErr w:type="spellStart"/>
      <w:r w:rsidRPr="00C44211">
        <w:rPr>
          <w:rFonts w:ascii="Goudy Old Style" w:hAnsi="Goudy Old Style"/>
          <w:i/>
          <w:sz w:val="17"/>
          <w:szCs w:val="17"/>
        </w:rPr>
        <w:t>des</w:t>
      </w:r>
      <w:proofErr w:type="spellEnd"/>
      <w:r w:rsidRPr="00C44211">
        <w:rPr>
          <w:rFonts w:ascii="Goudy Old Style" w:hAnsi="Goudy Old Style"/>
          <w:i/>
          <w:sz w:val="17"/>
          <w:szCs w:val="17"/>
        </w:rPr>
        <w:t xml:space="preserve"> </w:t>
      </w:r>
      <w:proofErr w:type="spellStart"/>
      <w:r w:rsidRPr="00C44211">
        <w:rPr>
          <w:rFonts w:ascii="Goudy Old Style" w:hAnsi="Goudy Old Style"/>
          <w:i/>
          <w:sz w:val="17"/>
          <w:szCs w:val="17"/>
        </w:rPr>
        <w:t>référés</w:t>
      </w:r>
      <w:proofErr w:type="spellEnd"/>
      <w:r w:rsidRPr="00C44211">
        <w:rPr>
          <w:rFonts w:ascii="Goudy Old Style" w:hAnsi="Goudy Old Style"/>
          <w:i/>
          <w:sz w:val="17"/>
          <w:szCs w:val="17"/>
        </w:rPr>
        <w:t xml:space="preserve"> se </w:t>
      </w:r>
      <w:proofErr w:type="spellStart"/>
      <w:r w:rsidRPr="00C44211">
        <w:rPr>
          <w:rFonts w:ascii="Goudy Old Style" w:hAnsi="Goudy Old Style"/>
          <w:i/>
          <w:sz w:val="17"/>
          <w:szCs w:val="17"/>
        </w:rPr>
        <w:t>prononce</w:t>
      </w:r>
      <w:proofErr w:type="spellEnd"/>
      <w:r w:rsidRPr="00C44211">
        <w:rPr>
          <w:rFonts w:ascii="Goudy Old Style" w:hAnsi="Goudy Old Style"/>
          <w:i/>
          <w:sz w:val="17"/>
          <w:szCs w:val="17"/>
        </w:rPr>
        <w:t xml:space="preserve"> </w:t>
      </w:r>
      <w:proofErr w:type="spellStart"/>
      <w:r w:rsidRPr="00C44211">
        <w:rPr>
          <w:rFonts w:ascii="Goudy Old Style" w:hAnsi="Goudy Old Style"/>
          <w:i/>
          <w:sz w:val="17"/>
          <w:szCs w:val="17"/>
        </w:rPr>
        <w:t>dans</w:t>
      </w:r>
      <w:proofErr w:type="spellEnd"/>
      <w:r w:rsidRPr="00C44211">
        <w:rPr>
          <w:rFonts w:ascii="Goudy Old Style" w:hAnsi="Goudy Old Style"/>
          <w:i/>
          <w:sz w:val="17"/>
          <w:szCs w:val="17"/>
        </w:rPr>
        <w:t xml:space="preserve"> un </w:t>
      </w:r>
      <w:proofErr w:type="spellStart"/>
      <w:r w:rsidRPr="00C44211">
        <w:rPr>
          <w:rFonts w:ascii="Goudy Old Style" w:hAnsi="Goudy Old Style"/>
          <w:i/>
          <w:sz w:val="17"/>
          <w:szCs w:val="17"/>
        </w:rPr>
        <w:t>délai</w:t>
      </w:r>
      <w:proofErr w:type="spellEnd"/>
      <w:r w:rsidRPr="00C44211">
        <w:rPr>
          <w:rFonts w:ascii="Goudy Old Style" w:hAnsi="Goudy Old Style"/>
          <w:i/>
          <w:sz w:val="17"/>
          <w:szCs w:val="17"/>
        </w:rPr>
        <w:t xml:space="preserve"> de </w:t>
      </w:r>
      <w:proofErr w:type="spellStart"/>
      <w:r w:rsidRPr="00C44211">
        <w:rPr>
          <w:rFonts w:ascii="Goudy Old Style" w:hAnsi="Goudy Old Style"/>
          <w:i/>
          <w:sz w:val="17"/>
          <w:szCs w:val="17"/>
        </w:rPr>
        <w:t>quarante-huit</w:t>
      </w:r>
      <w:proofErr w:type="spellEnd"/>
      <w:r w:rsidRPr="00C44211">
        <w:rPr>
          <w:rFonts w:ascii="Goudy Old Style" w:hAnsi="Goudy Old Style"/>
          <w:i/>
          <w:sz w:val="17"/>
          <w:szCs w:val="17"/>
        </w:rPr>
        <w:t xml:space="preserve"> </w:t>
      </w:r>
      <w:proofErr w:type="spellStart"/>
      <w:r w:rsidRPr="00C44211">
        <w:rPr>
          <w:rFonts w:ascii="Goudy Old Style" w:hAnsi="Goudy Old Style"/>
          <w:i/>
          <w:sz w:val="17"/>
          <w:szCs w:val="17"/>
        </w:rPr>
        <w:t>heures</w:t>
      </w:r>
      <w:proofErr w:type="spellEnd"/>
      <w:r w:rsidRPr="00C44211">
        <w:rPr>
          <w:rFonts w:ascii="Goudy Old Style" w:hAnsi="Goudy Old Style"/>
          <w:i/>
          <w:sz w:val="17"/>
          <w:szCs w:val="17"/>
        </w:rPr>
        <w:t xml:space="preserve"> à </w:t>
      </w:r>
      <w:proofErr w:type="spellStart"/>
      <w:r w:rsidRPr="00C44211">
        <w:rPr>
          <w:rFonts w:ascii="Goudy Old Style" w:hAnsi="Goudy Old Style"/>
          <w:i/>
          <w:sz w:val="17"/>
          <w:szCs w:val="17"/>
        </w:rPr>
        <w:t>compter</w:t>
      </w:r>
      <w:proofErr w:type="spellEnd"/>
      <w:r w:rsidRPr="00C44211">
        <w:rPr>
          <w:rFonts w:ascii="Goudy Old Style" w:hAnsi="Goudy Old Style"/>
          <w:i/>
          <w:sz w:val="17"/>
          <w:szCs w:val="17"/>
        </w:rPr>
        <w:t xml:space="preserve"> de la </w:t>
      </w:r>
      <w:proofErr w:type="spellStart"/>
      <w:r w:rsidRPr="00C44211">
        <w:rPr>
          <w:rFonts w:ascii="Goudy Old Style" w:hAnsi="Goudy Old Style"/>
          <w:i/>
          <w:sz w:val="17"/>
          <w:szCs w:val="17"/>
        </w:rPr>
        <w:t>saisine</w:t>
      </w:r>
      <w:proofErr w:type="spellEnd"/>
      <w:r w:rsidRPr="00C44211">
        <w:rPr>
          <w:rFonts w:ascii="Goudy Old Style" w:hAnsi="Goudy Old Style"/>
          <w:i/>
          <w:sz w:val="17"/>
          <w:szCs w:val="17"/>
        </w:rPr>
        <w:t xml:space="preserve">. En </w:t>
      </w:r>
      <w:proofErr w:type="spellStart"/>
      <w:r w:rsidRPr="00C44211">
        <w:rPr>
          <w:rFonts w:ascii="Goudy Old Style" w:hAnsi="Goudy Old Style"/>
          <w:i/>
          <w:sz w:val="17"/>
          <w:szCs w:val="17"/>
        </w:rPr>
        <w:t>cas</w:t>
      </w:r>
      <w:proofErr w:type="spellEnd"/>
      <w:r w:rsidRPr="00C44211">
        <w:rPr>
          <w:rFonts w:ascii="Goudy Old Style" w:hAnsi="Goudy Old Style"/>
          <w:i/>
          <w:sz w:val="17"/>
          <w:szCs w:val="17"/>
        </w:rPr>
        <w:t xml:space="preserve"> </w:t>
      </w:r>
      <w:proofErr w:type="spellStart"/>
      <w:r w:rsidRPr="00C44211">
        <w:rPr>
          <w:rFonts w:ascii="Goudy Old Style" w:hAnsi="Goudy Old Style"/>
          <w:i/>
          <w:sz w:val="17"/>
          <w:szCs w:val="17"/>
        </w:rPr>
        <w:t>d'appel</w:t>
      </w:r>
      <w:proofErr w:type="spellEnd"/>
      <w:r w:rsidRPr="00C44211">
        <w:rPr>
          <w:rFonts w:ascii="Goudy Old Style" w:hAnsi="Goudy Old Style"/>
          <w:i/>
          <w:sz w:val="17"/>
          <w:szCs w:val="17"/>
        </w:rPr>
        <w:t xml:space="preserve">, la </w:t>
      </w:r>
      <w:proofErr w:type="spellStart"/>
      <w:r w:rsidRPr="00C44211">
        <w:rPr>
          <w:rFonts w:ascii="Goudy Old Style" w:hAnsi="Goudy Old Style"/>
          <w:i/>
          <w:sz w:val="17"/>
          <w:szCs w:val="17"/>
        </w:rPr>
        <w:t>cour</w:t>
      </w:r>
      <w:proofErr w:type="spellEnd"/>
      <w:r w:rsidRPr="00C44211">
        <w:rPr>
          <w:rFonts w:ascii="Goudy Old Style" w:hAnsi="Goudy Old Style"/>
          <w:i/>
          <w:sz w:val="17"/>
          <w:szCs w:val="17"/>
        </w:rPr>
        <w:t xml:space="preserve"> se </w:t>
      </w:r>
      <w:proofErr w:type="spellStart"/>
      <w:r w:rsidRPr="00C44211">
        <w:rPr>
          <w:rFonts w:ascii="Goudy Old Style" w:hAnsi="Goudy Old Style"/>
          <w:i/>
          <w:sz w:val="17"/>
          <w:szCs w:val="17"/>
        </w:rPr>
        <w:t>prononce</w:t>
      </w:r>
      <w:proofErr w:type="spellEnd"/>
      <w:r w:rsidRPr="00C44211">
        <w:rPr>
          <w:rFonts w:ascii="Goudy Old Style" w:hAnsi="Goudy Old Style"/>
          <w:i/>
          <w:sz w:val="17"/>
          <w:szCs w:val="17"/>
        </w:rPr>
        <w:t xml:space="preserve"> </w:t>
      </w:r>
      <w:proofErr w:type="spellStart"/>
      <w:r w:rsidRPr="00C44211">
        <w:rPr>
          <w:rFonts w:ascii="Goudy Old Style" w:hAnsi="Goudy Old Style"/>
          <w:i/>
          <w:sz w:val="17"/>
          <w:szCs w:val="17"/>
        </w:rPr>
        <w:t>dans</w:t>
      </w:r>
      <w:proofErr w:type="spellEnd"/>
      <w:r w:rsidRPr="00C44211">
        <w:rPr>
          <w:rFonts w:ascii="Goudy Old Style" w:hAnsi="Goudy Old Style"/>
          <w:i/>
          <w:sz w:val="17"/>
          <w:szCs w:val="17"/>
        </w:rPr>
        <w:t xml:space="preserve"> un </w:t>
      </w:r>
      <w:proofErr w:type="spellStart"/>
      <w:r w:rsidRPr="00C44211">
        <w:rPr>
          <w:rFonts w:ascii="Goudy Old Style" w:hAnsi="Goudy Old Style"/>
          <w:i/>
          <w:sz w:val="17"/>
          <w:szCs w:val="17"/>
        </w:rPr>
        <w:t>délai</w:t>
      </w:r>
      <w:proofErr w:type="spellEnd"/>
      <w:r w:rsidRPr="00C44211">
        <w:rPr>
          <w:rFonts w:ascii="Goudy Old Style" w:hAnsi="Goudy Old Style"/>
          <w:i/>
          <w:sz w:val="17"/>
          <w:szCs w:val="17"/>
        </w:rPr>
        <w:t xml:space="preserve"> de </w:t>
      </w:r>
      <w:proofErr w:type="spellStart"/>
      <w:r w:rsidRPr="00C44211">
        <w:rPr>
          <w:rFonts w:ascii="Goudy Old Style" w:hAnsi="Goudy Old Style"/>
          <w:i/>
          <w:sz w:val="17"/>
          <w:szCs w:val="17"/>
        </w:rPr>
        <w:t>quarante-huit</w:t>
      </w:r>
      <w:proofErr w:type="spellEnd"/>
      <w:r w:rsidRPr="00C44211">
        <w:rPr>
          <w:rFonts w:ascii="Goudy Old Style" w:hAnsi="Goudy Old Style"/>
          <w:i/>
          <w:sz w:val="17"/>
          <w:szCs w:val="17"/>
        </w:rPr>
        <w:t xml:space="preserve"> </w:t>
      </w:r>
      <w:proofErr w:type="spellStart"/>
      <w:r w:rsidRPr="00C44211">
        <w:rPr>
          <w:rFonts w:ascii="Goudy Old Style" w:hAnsi="Goudy Old Style"/>
          <w:i/>
          <w:sz w:val="17"/>
          <w:szCs w:val="17"/>
        </w:rPr>
        <w:t>heures</w:t>
      </w:r>
      <w:proofErr w:type="spellEnd"/>
      <w:r w:rsidRPr="00C44211">
        <w:rPr>
          <w:rFonts w:ascii="Goudy Old Style" w:hAnsi="Goudy Old Style"/>
          <w:i/>
          <w:sz w:val="17"/>
          <w:szCs w:val="17"/>
        </w:rPr>
        <w:t xml:space="preserve"> à </w:t>
      </w:r>
      <w:proofErr w:type="spellStart"/>
      <w:r w:rsidRPr="00C44211">
        <w:rPr>
          <w:rFonts w:ascii="Goudy Old Style" w:hAnsi="Goudy Old Style"/>
          <w:i/>
          <w:sz w:val="17"/>
          <w:szCs w:val="17"/>
        </w:rPr>
        <w:t>compter</w:t>
      </w:r>
      <w:proofErr w:type="spellEnd"/>
      <w:r w:rsidRPr="00C44211">
        <w:rPr>
          <w:rFonts w:ascii="Goudy Old Style" w:hAnsi="Goudy Old Style"/>
          <w:i/>
          <w:sz w:val="17"/>
          <w:szCs w:val="17"/>
        </w:rPr>
        <w:t xml:space="preserve"> de la </w:t>
      </w:r>
      <w:proofErr w:type="spellStart"/>
      <w:r w:rsidRPr="00C44211">
        <w:rPr>
          <w:rFonts w:ascii="Goudy Old Style" w:hAnsi="Goudy Old Style"/>
          <w:i/>
          <w:sz w:val="17"/>
          <w:szCs w:val="17"/>
        </w:rPr>
        <w:t>saisine</w:t>
      </w:r>
      <w:proofErr w:type="spellEnd"/>
      <w:r w:rsidRPr="00C44211">
        <w:rPr>
          <w:rFonts w:ascii="Goudy Old Style" w:hAnsi="Goudy Old Style"/>
          <w:i/>
          <w:sz w:val="17"/>
          <w:szCs w:val="17"/>
        </w:rPr>
        <w:t xml:space="preserve">. </w:t>
      </w:r>
      <w:r w:rsidRPr="00C44211">
        <w:rPr>
          <w:rFonts w:ascii="Goudy Old Style" w:hAnsi="Goudy Old Style"/>
          <w:i/>
          <w:sz w:val="17"/>
          <w:szCs w:val="17"/>
          <w:lang w:val="en-US"/>
        </w:rPr>
        <w:t xml:space="preserve">III.-Les actions </w:t>
      </w:r>
      <w:proofErr w:type="spellStart"/>
      <w:r w:rsidRPr="00C44211">
        <w:rPr>
          <w:rFonts w:ascii="Goudy Old Style" w:hAnsi="Goudy Old Style"/>
          <w:i/>
          <w:sz w:val="17"/>
          <w:szCs w:val="17"/>
          <w:lang w:val="en-US"/>
        </w:rPr>
        <w:t>fondées</w:t>
      </w:r>
      <w:proofErr w:type="spellEnd"/>
      <w:r w:rsidRPr="00C44211">
        <w:rPr>
          <w:rFonts w:ascii="Goudy Old Style" w:hAnsi="Goudy Old Style"/>
          <w:i/>
          <w:sz w:val="17"/>
          <w:szCs w:val="17"/>
          <w:lang w:val="en-US"/>
        </w:rPr>
        <w:t xml:space="preserve"> sur le </w:t>
      </w:r>
      <w:proofErr w:type="spellStart"/>
      <w:r w:rsidRPr="00C44211">
        <w:rPr>
          <w:rFonts w:ascii="Goudy Old Style" w:hAnsi="Goudy Old Style"/>
          <w:i/>
          <w:sz w:val="17"/>
          <w:szCs w:val="17"/>
          <w:lang w:val="en-US"/>
        </w:rPr>
        <w:t>présent</w:t>
      </w:r>
      <w:proofErr w:type="spellEnd"/>
      <w:r w:rsidRPr="00C44211">
        <w:rPr>
          <w:rFonts w:ascii="Goudy Old Style" w:hAnsi="Goudy Old Style"/>
          <w:i/>
          <w:sz w:val="17"/>
          <w:szCs w:val="17"/>
          <w:lang w:val="en-US"/>
        </w:rPr>
        <w:t xml:space="preserve"> article </w:t>
      </w:r>
      <w:proofErr w:type="spellStart"/>
      <w:r w:rsidRPr="00C44211">
        <w:rPr>
          <w:rFonts w:ascii="Goudy Old Style" w:hAnsi="Goudy Old Style"/>
          <w:i/>
          <w:sz w:val="17"/>
          <w:szCs w:val="17"/>
          <w:lang w:val="en-US"/>
        </w:rPr>
        <w:t>sont</w:t>
      </w:r>
      <w:proofErr w:type="spellEnd"/>
      <w:r w:rsidRPr="00C44211">
        <w:rPr>
          <w:rFonts w:ascii="Goudy Old Style" w:hAnsi="Goudy Old Style"/>
          <w:i/>
          <w:sz w:val="17"/>
          <w:szCs w:val="17"/>
          <w:lang w:val="en-US"/>
        </w:rPr>
        <w:t xml:space="preserve"> </w:t>
      </w:r>
      <w:proofErr w:type="spellStart"/>
      <w:r w:rsidRPr="00C44211">
        <w:rPr>
          <w:rFonts w:ascii="Goudy Old Style" w:hAnsi="Goudy Old Style"/>
          <w:i/>
          <w:sz w:val="17"/>
          <w:szCs w:val="17"/>
          <w:lang w:val="en-US"/>
        </w:rPr>
        <w:t>exclusivement</w:t>
      </w:r>
      <w:proofErr w:type="spellEnd"/>
      <w:r w:rsidRPr="00C44211">
        <w:rPr>
          <w:rFonts w:ascii="Goudy Old Style" w:hAnsi="Goudy Old Style"/>
          <w:i/>
          <w:sz w:val="17"/>
          <w:szCs w:val="17"/>
          <w:lang w:val="en-US"/>
        </w:rPr>
        <w:t xml:space="preserve"> </w:t>
      </w:r>
      <w:proofErr w:type="spellStart"/>
      <w:r w:rsidRPr="00C44211">
        <w:rPr>
          <w:rFonts w:ascii="Goudy Old Style" w:hAnsi="Goudy Old Style"/>
          <w:i/>
          <w:sz w:val="17"/>
          <w:szCs w:val="17"/>
          <w:lang w:val="en-US"/>
        </w:rPr>
        <w:t>portées</w:t>
      </w:r>
      <w:proofErr w:type="spellEnd"/>
      <w:r w:rsidRPr="00C44211">
        <w:rPr>
          <w:rFonts w:ascii="Goudy Old Style" w:hAnsi="Goudy Old Style"/>
          <w:i/>
          <w:sz w:val="17"/>
          <w:szCs w:val="17"/>
          <w:lang w:val="en-US"/>
        </w:rPr>
        <w:t xml:space="preserve"> </w:t>
      </w:r>
      <w:proofErr w:type="spellStart"/>
      <w:r w:rsidRPr="00C44211">
        <w:rPr>
          <w:rFonts w:ascii="Goudy Old Style" w:hAnsi="Goudy Old Style"/>
          <w:i/>
          <w:sz w:val="17"/>
          <w:szCs w:val="17"/>
          <w:lang w:val="en-US"/>
        </w:rPr>
        <w:t>devant</w:t>
      </w:r>
      <w:proofErr w:type="spellEnd"/>
      <w:r w:rsidRPr="00C44211">
        <w:rPr>
          <w:rFonts w:ascii="Goudy Old Style" w:hAnsi="Goudy Old Style"/>
          <w:i/>
          <w:sz w:val="17"/>
          <w:szCs w:val="17"/>
          <w:lang w:val="en-US"/>
        </w:rPr>
        <w:t xml:space="preserve"> un tribunal de </w:t>
      </w:r>
      <w:proofErr w:type="spellStart"/>
      <w:r w:rsidRPr="00C44211">
        <w:rPr>
          <w:rFonts w:ascii="Goudy Old Style" w:hAnsi="Goudy Old Style"/>
          <w:i/>
          <w:sz w:val="17"/>
          <w:szCs w:val="17"/>
          <w:lang w:val="en-US"/>
        </w:rPr>
        <w:t>grande</w:t>
      </w:r>
      <w:proofErr w:type="spellEnd"/>
      <w:r w:rsidRPr="00C44211">
        <w:rPr>
          <w:rFonts w:ascii="Goudy Old Style" w:hAnsi="Goudy Old Style"/>
          <w:i/>
          <w:sz w:val="17"/>
          <w:szCs w:val="17"/>
          <w:lang w:val="en-US"/>
        </w:rPr>
        <w:t xml:space="preserve"> instance et </w:t>
      </w:r>
      <w:proofErr w:type="spellStart"/>
      <w:r w:rsidRPr="00C44211">
        <w:rPr>
          <w:rFonts w:ascii="Goudy Old Style" w:hAnsi="Goudy Old Style"/>
          <w:i/>
          <w:sz w:val="17"/>
          <w:szCs w:val="17"/>
          <w:lang w:val="en-US"/>
        </w:rPr>
        <w:t>une</w:t>
      </w:r>
      <w:proofErr w:type="spellEnd"/>
      <w:r w:rsidRPr="00C44211">
        <w:rPr>
          <w:rFonts w:ascii="Goudy Old Style" w:hAnsi="Goudy Old Style"/>
          <w:i/>
          <w:sz w:val="17"/>
          <w:szCs w:val="17"/>
          <w:lang w:val="en-US"/>
        </w:rPr>
        <w:t xml:space="preserve"> </w:t>
      </w:r>
      <w:proofErr w:type="spellStart"/>
      <w:r w:rsidRPr="00C44211">
        <w:rPr>
          <w:rFonts w:ascii="Goudy Old Style" w:hAnsi="Goudy Old Style"/>
          <w:i/>
          <w:sz w:val="17"/>
          <w:szCs w:val="17"/>
          <w:lang w:val="en-US"/>
        </w:rPr>
        <w:t>cour</w:t>
      </w:r>
      <w:proofErr w:type="spellEnd"/>
      <w:r w:rsidRPr="00C44211">
        <w:rPr>
          <w:rFonts w:ascii="Goudy Old Style" w:hAnsi="Goudy Old Style"/>
          <w:i/>
          <w:sz w:val="17"/>
          <w:szCs w:val="17"/>
          <w:lang w:val="en-US"/>
        </w:rPr>
        <w:t xml:space="preserve"> </w:t>
      </w:r>
      <w:proofErr w:type="spellStart"/>
      <w:r w:rsidRPr="00C44211">
        <w:rPr>
          <w:rFonts w:ascii="Goudy Old Style" w:hAnsi="Goudy Old Style"/>
          <w:i/>
          <w:sz w:val="17"/>
          <w:szCs w:val="17"/>
          <w:lang w:val="en-US"/>
        </w:rPr>
        <w:t>d'appel</w:t>
      </w:r>
      <w:proofErr w:type="spellEnd"/>
      <w:r w:rsidRPr="00C44211">
        <w:rPr>
          <w:rFonts w:ascii="Goudy Old Style" w:hAnsi="Goudy Old Style"/>
          <w:i/>
          <w:sz w:val="17"/>
          <w:szCs w:val="17"/>
          <w:lang w:val="en-US"/>
        </w:rPr>
        <w:t xml:space="preserve"> </w:t>
      </w:r>
      <w:proofErr w:type="spellStart"/>
      <w:r w:rsidRPr="00C44211">
        <w:rPr>
          <w:rFonts w:ascii="Goudy Old Style" w:hAnsi="Goudy Old Style"/>
          <w:i/>
          <w:sz w:val="17"/>
          <w:szCs w:val="17"/>
          <w:lang w:val="en-US"/>
        </w:rPr>
        <w:t>déterminés</w:t>
      </w:r>
      <w:proofErr w:type="spellEnd"/>
      <w:r w:rsidRPr="00C44211">
        <w:rPr>
          <w:rFonts w:ascii="Goudy Old Style" w:hAnsi="Goudy Old Style"/>
          <w:i/>
          <w:sz w:val="17"/>
          <w:szCs w:val="17"/>
          <w:lang w:val="en-US"/>
        </w:rPr>
        <w:t xml:space="preserve"> par </w:t>
      </w:r>
      <w:proofErr w:type="spellStart"/>
      <w:r w:rsidRPr="00C44211">
        <w:rPr>
          <w:rFonts w:ascii="Goudy Old Style" w:hAnsi="Goudy Old Style"/>
          <w:i/>
          <w:sz w:val="17"/>
          <w:szCs w:val="17"/>
          <w:lang w:val="en-US"/>
        </w:rPr>
        <w:t>décret</w:t>
      </w:r>
      <w:proofErr w:type="spellEnd"/>
      <w:proofErr w:type="gramStart"/>
      <w:r w:rsidRPr="00C44211">
        <w:rPr>
          <w:rFonts w:ascii="Goudy Old Style" w:hAnsi="Goudy Old Style"/>
          <w:i/>
          <w:sz w:val="17"/>
          <w:szCs w:val="17"/>
          <w:lang w:val="en-US"/>
        </w:rPr>
        <w:t>.</w:t>
      </w:r>
      <w:r w:rsidRPr="00C44211">
        <w:rPr>
          <w:rFonts w:ascii="Goudy Old Style" w:hAnsi="Goudy Old Style"/>
          <w:sz w:val="17"/>
          <w:szCs w:val="17"/>
          <w:lang w:val="en-US"/>
        </w:rPr>
        <w:t>»</w:t>
      </w:r>
      <w:proofErr w:type="gramEnd"/>
      <w:r w:rsidRPr="00C44211">
        <w:rPr>
          <w:lang w:val="en-US"/>
        </w:rPr>
        <w:t xml:space="preserve">. </w:t>
      </w:r>
    </w:p>
  </w:footnote>
  <w:footnote w:id="22">
    <w:p w:rsidR="00A62722" w:rsidRPr="00C44211" w:rsidRDefault="00A62722">
      <w:pPr>
        <w:pStyle w:val="Testonotaapidipagina"/>
      </w:pPr>
      <w:r w:rsidRPr="00C44211">
        <w:rPr>
          <w:rStyle w:val="Rimandonotaapidipagina"/>
          <w:rFonts w:ascii="Goudy Old Style" w:hAnsi="Goudy Old Style" w:cs="Times New Roman"/>
          <w:sz w:val="17"/>
          <w:szCs w:val="17"/>
        </w:rPr>
        <w:footnoteRef/>
      </w:r>
      <w:r w:rsidRPr="00C44211">
        <w:t xml:space="preserve"> </w:t>
      </w:r>
      <w:r w:rsidRPr="00C44211">
        <w:rPr>
          <w:rFonts w:ascii="Goudy Old Style" w:hAnsi="Goudy Old Style"/>
          <w:sz w:val="17"/>
          <w:szCs w:val="17"/>
        </w:rPr>
        <w:t xml:space="preserve">Il riferimento è all’art. 6 della </w:t>
      </w:r>
      <w:r w:rsidRPr="00C44211">
        <w:rPr>
          <w:rFonts w:ascii="Goudy Old Style" w:hAnsi="Goudy Old Style" w:cs="Times New Roman"/>
          <w:sz w:val="17"/>
          <w:szCs w:val="17"/>
        </w:rPr>
        <w:t>legge n. 2018-1202</w:t>
      </w:r>
      <w:r w:rsidRPr="00C44211">
        <w:rPr>
          <w:rFonts w:ascii="Goudy Old Style" w:hAnsi="Goudy Old Style" w:cs="Times New Roman"/>
          <w:sz w:val="21"/>
          <w:szCs w:val="21"/>
        </w:rPr>
        <w:t>.</w:t>
      </w:r>
    </w:p>
  </w:footnote>
  <w:footnote w:id="23">
    <w:p w:rsidR="009003E4" w:rsidRPr="00C44211" w:rsidRDefault="009003E4" w:rsidP="001B7624">
      <w:pPr>
        <w:pStyle w:val="Testonotaapidipagina"/>
        <w:jc w:val="both"/>
      </w:pPr>
      <w:r w:rsidRPr="00C44211">
        <w:rPr>
          <w:rStyle w:val="Rimandonotaapidipagina"/>
          <w:rFonts w:ascii="Goudy Old Style" w:hAnsi="Goudy Old Style" w:cs="Times New Roman"/>
          <w:sz w:val="17"/>
          <w:szCs w:val="17"/>
        </w:rPr>
        <w:footnoteRef/>
      </w:r>
      <w:r w:rsidRPr="00C44211">
        <w:t xml:space="preserve"> </w:t>
      </w:r>
      <w:r w:rsidRPr="00C44211">
        <w:rPr>
          <w:rFonts w:ascii="Goudy Old Style" w:hAnsi="Goudy Old Style"/>
          <w:sz w:val="17"/>
          <w:szCs w:val="17"/>
        </w:rPr>
        <w:t>Il riferimento è al controverso caso Cambridge Analitica</w:t>
      </w:r>
      <w:r w:rsidR="001B7624" w:rsidRPr="00C44211">
        <w:rPr>
          <w:rFonts w:ascii="Goudy Old Style" w:hAnsi="Goudy Old Style"/>
          <w:sz w:val="17"/>
          <w:szCs w:val="17"/>
        </w:rPr>
        <w:t xml:space="preserve">; cfr. </w:t>
      </w:r>
      <w:proofErr w:type="spellStart"/>
      <w:r w:rsidR="001B7624" w:rsidRPr="00C44211">
        <w:rPr>
          <w:rFonts w:ascii="Goudy Old Style" w:hAnsi="Goudy Old Style"/>
          <w:sz w:val="17"/>
          <w:szCs w:val="17"/>
        </w:rPr>
        <w:t>Cadwalladr</w:t>
      </w:r>
      <w:proofErr w:type="spellEnd"/>
      <w:r w:rsidR="001B7624" w:rsidRPr="00C44211">
        <w:rPr>
          <w:rFonts w:ascii="Goudy Old Style" w:hAnsi="Goudy Old Style"/>
          <w:sz w:val="17"/>
          <w:szCs w:val="17"/>
        </w:rPr>
        <w:t xml:space="preserve">, Graham-Harrison, </w:t>
      </w:r>
      <w:proofErr w:type="spellStart"/>
      <w:r w:rsidR="001B7624" w:rsidRPr="00C44211">
        <w:rPr>
          <w:rFonts w:ascii="Goudy Old Style" w:hAnsi="Goudy Old Style"/>
          <w:i/>
          <w:sz w:val="17"/>
          <w:szCs w:val="17"/>
        </w:rPr>
        <w:t>Revealed</w:t>
      </w:r>
      <w:proofErr w:type="spellEnd"/>
      <w:r w:rsidR="001B7624" w:rsidRPr="00C44211">
        <w:rPr>
          <w:rFonts w:ascii="Goudy Old Style" w:hAnsi="Goudy Old Style"/>
          <w:i/>
          <w:sz w:val="17"/>
          <w:szCs w:val="17"/>
        </w:rPr>
        <w:t xml:space="preserve">: 50 </w:t>
      </w:r>
      <w:proofErr w:type="spellStart"/>
      <w:r w:rsidR="001B7624" w:rsidRPr="00C44211">
        <w:rPr>
          <w:rFonts w:ascii="Goudy Old Style" w:hAnsi="Goudy Old Style"/>
          <w:i/>
          <w:sz w:val="17"/>
          <w:szCs w:val="17"/>
        </w:rPr>
        <w:t>million</w:t>
      </w:r>
      <w:proofErr w:type="spellEnd"/>
      <w:r w:rsidR="001B7624" w:rsidRPr="00C44211">
        <w:rPr>
          <w:rFonts w:ascii="Goudy Old Style" w:hAnsi="Goudy Old Style"/>
          <w:i/>
          <w:sz w:val="17"/>
          <w:szCs w:val="17"/>
        </w:rPr>
        <w:t xml:space="preserve"> </w:t>
      </w:r>
      <w:proofErr w:type="spellStart"/>
      <w:r w:rsidR="001B7624" w:rsidRPr="00C44211">
        <w:rPr>
          <w:rFonts w:ascii="Goudy Old Style" w:hAnsi="Goudy Old Style"/>
          <w:i/>
          <w:sz w:val="17"/>
          <w:szCs w:val="17"/>
        </w:rPr>
        <w:t>Facebook</w:t>
      </w:r>
      <w:proofErr w:type="spellEnd"/>
      <w:r w:rsidR="001B7624" w:rsidRPr="00C44211">
        <w:rPr>
          <w:rFonts w:ascii="Goudy Old Style" w:hAnsi="Goudy Old Style"/>
          <w:i/>
          <w:sz w:val="17"/>
          <w:szCs w:val="17"/>
        </w:rPr>
        <w:t xml:space="preserve"> </w:t>
      </w:r>
      <w:proofErr w:type="spellStart"/>
      <w:r w:rsidR="001B7624" w:rsidRPr="00C44211">
        <w:rPr>
          <w:rFonts w:ascii="Goudy Old Style" w:hAnsi="Goudy Old Style"/>
          <w:i/>
          <w:sz w:val="17"/>
          <w:szCs w:val="17"/>
        </w:rPr>
        <w:t>profiles</w:t>
      </w:r>
      <w:proofErr w:type="spellEnd"/>
      <w:r w:rsidR="001B7624" w:rsidRPr="00C44211">
        <w:rPr>
          <w:rFonts w:ascii="Goudy Old Style" w:hAnsi="Goudy Old Style"/>
          <w:i/>
          <w:sz w:val="17"/>
          <w:szCs w:val="17"/>
        </w:rPr>
        <w:t xml:space="preserve"> </w:t>
      </w:r>
      <w:proofErr w:type="spellStart"/>
      <w:r w:rsidR="001B7624" w:rsidRPr="00C44211">
        <w:rPr>
          <w:rFonts w:ascii="Goudy Old Style" w:hAnsi="Goudy Old Style"/>
          <w:i/>
          <w:sz w:val="17"/>
          <w:szCs w:val="17"/>
        </w:rPr>
        <w:t>harvested</w:t>
      </w:r>
      <w:proofErr w:type="spellEnd"/>
      <w:r w:rsidR="001B7624" w:rsidRPr="00C44211">
        <w:rPr>
          <w:rFonts w:ascii="Goudy Old Style" w:hAnsi="Goudy Old Style"/>
          <w:i/>
          <w:sz w:val="17"/>
          <w:szCs w:val="17"/>
        </w:rPr>
        <w:t xml:space="preserve"> for Cambridge </w:t>
      </w:r>
      <w:proofErr w:type="spellStart"/>
      <w:r w:rsidR="001B7624" w:rsidRPr="00C44211">
        <w:rPr>
          <w:rFonts w:ascii="Goudy Old Style" w:hAnsi="Goudy Old Style"/>
          <w:i/>
          <w:sz w:val="17"/>
          <w:szCs w:val="17"/>
        </w:rPr>
        <w:t>Analytica</w:t>
      </w:r>
      <w:proofErr w:type="spellEnd"/>
      <w:r w:rsidR="001B7624" w:rsidRPr="00C44211">
        <w:rPr>
          <w:rFonts w:ascii="Goudy Old Style" w:hAnsi="Goudy Old Style"/>
          <w:i/>
          <w:sz w:val="17"/>
          <w:szCs w:val="17"/>
        </w:rPr>
        <w:t xml:space="preserve"> in major data </w:t>
      </w:r>
      <w:proofErr w:type="spellStart"/>
      <w:r w:rsidR="001B7624" w:rsidRPr="00C44211">
        <w:rPr>
          <w:rFonts w:ascii="Goudy Old Style" w:hAnsi="Goudy Old Style"/>
          <w:i/>
          <w:sz w:val="17"/>
          <w:szCs w:val="17"/>
        </w:rPr>
        <w:t>breach</w:t>
      </w:r>
      <w:proofErr w:type="spellEnd"/>
      <w:r w:rsidR="001B7624" w:rsidRPr="00C44211">
        <w:rPr>
          <w:rFonts w:ascii="Goudy Old Style" w:hAnsi="Goudy Old Style"/>
          <w:sz w:val="17"/>
          <w:szCs w:val="17"/>
        </w:rPr>
        <w:t xml:space="preserve">, in </w:t>
      </w:r>
      <w:r w:rsidR="001B7624" w:rsidRPr="00C44211">
        <w:rPr>
          <w:rFonts w:ascii="Goudy Old Style" w:hAnsi="Goudy Old Style"/>
          <w:i/>
          <w:sz w:val="17"/>
          <w:szCs w:val="17"/>
        </w:rPr>
        <w:t xml:space="preserve">The </w:t>
      </w:r>
      <w:proofErr w:type="spellStart"/>
      <w:r w:rsidR="001B7624" w:rsidRPr="00C44211">
        <w:rPr>
          <w:rFonts w:ascii="Goudy Old Style" w:hAnsi="Goudy Old Style"/>
          <w:i/>
          <w:sz w:val="17"/>
          <w:szCs w:val="17"/>
        </w:rPr>
        <w:t>Guardian</w:t>
      </w:r>
      <w:proofErr w:type="spellEnd"/>
      <w:r w:rsidR="001B7624" w:rsidRPr="00C44211">
        <w:rPr>
          <w:rFonts w:ascii="Goudy Old Style" w:hAnsi="Goudy Old Style"/>
          <w:sz w:val="17"/>
          <w:szCs w:val="17"/>
        </w:rPr>
        <w:t xml:space="preserve">, 17 marzo 2018, reperibile all'indirizzo </w:t>
      </w:r>
      <w:r w:rsidR="00562F9A" w:rsidRPr="00C44211">
        <w:rPr>
          <w:rFonts w:ascii="Goudy Old Style" w:hAnsi="Goudy Old Style"/>
          <w:sz w:val="17"/>
          <w:szCs w:val="17"/>
        </w:rPr>
        <w:t>&lt;</w:t>
      </w:r>
      <w:hyperlink r:id="rId11" w:history="1">
        <w:r w:rsidR="001B7624" w:rsidRPr="00C44211">
          <w:rPr>
            <w:rStyle w:val="Collegamentoipertestuale"/>
            <w:rFonts w:ascii="Goudy Old Style" w:hAnsi="Goudy Old Style"/>
            <w:sz w:val="17"/>
            <w:szCs w:val="17"/>
          </w:rPr>
          <w:t>https://www.theguardian.com/news/2018/mar/17/cambridge-analytica-facebook-influence-us-election</w:t>
        </w:r>
      </w:hyperlink>
      <w:r w:rsidR="00562F9A" w:rsidRPr="00C44211">
        <w:rPr>
          <w:rStyle w:val="Collegamentoipertestuale"/>
          <w:rFonts w:ascii="Goudy Old Style" w:hAnsi="Goudy Old Style"/>
          <w:sz w:val="17"/>
          <w:szCs w:val="17"/>
        </w:rPr>
        <w:t>&gt;</w:t>
      </w:r>
      <w:r w:rsidR="001B7624" w:rsidRPr="00C44211">
        <w:rPr>
          <w:rFonts w:ascii="Goudy Old Style" w:hAnsi="Goudy Old Style"/>
          <w:sz w:val="17"/>
          <w:szCs w:val="17"/>
        </w:rPr>
        <w:t xml:space="preserve">. Cfr. anche, </w:t>
      </w:r>
      <w:proofErr w:type="spellStart"/>
      <w:r w:rsidR="001B7624" w:rsidRPr="00C44211">
        <w:rPr>
          <w:rFonts w:ascii="Goudy Old Style" w:hAnsi="Goudy Old Style"/>
          <w:smallCaps/>
          <w:sz w:val="17"/>
          <w:szCs w:val="17"/>
        </w:rPr>
        <w:t>Mastrelia</w:t>
      </w:r>
      <w:proofErr w:type="spellEnd"/>
      <w:r w:rsidR="001B7624" w:rsidRPr="00C44211">
        <w:rPr>
          <w:rFonts w:ascii="Goudy Old Style" w:hAnsi="Goudy Old Style"/>
          <w:sz w:val="17"/>
          <w:szCs w:val="17"/>
        </w:rPr>
        <w:t xml:space="preserve">, </w:t>
      </w:r>
      <w:r w:rsidR="001B7624" w:rsidRPr="00C44211">
        <w:rPr>
          <w:rFonts w:ascii="Goudy Old Style" w:hAnsi="Goudy Old Style"/>
          <w:i/>
          <w:sz w:val="17"/>
          <w:szCs w:val="17"/>
        </w:rPr>
        <w:t xml:space="preserve">Gestione dei </w:t>
      </w:r>
      <w:proofErr w:type="spellStart"/>
      <w:r w:rsidR="001B7624" w:rsidRPr="00C44211">
        <w:rPr>
          <w:rFonts w:ascii="Goudy Old Style" w:hAnsi="Goudy Old Style"/>
          <w:i/>
          <w:sz w:val="17"/>
          <w:szCs w:val="17"/>
        </w:rPr>
        <w:t>bigdata</w:t>
      </w:r>
      <w:proofErr w:type="spellEnd"/>
      <w:r w:rsidR="001B7624" w:rsidRPr="00C44211">
        <w:rPr>
          <w:rFonts w:ascii="Goudy Old Style" w:hAnsi="Goudy Old Style"/>
          <w:i/>
          <w:sz w:val="17"/>
          <w:szCs w:val="17"/>
        </w:rPr>
        <w:t xml:space="preserve"> in una prospettiva orientata alla tutela della privacy degli individui</w:t>
      </w:r>
      <w:r w:rsidR="001B7624" w:rsidRPr="00C44211">
        <w:rPr>
          <w:rFonts w:ascii="Goudy Old Style" w:hAnsi="Goudy Old Style"/>
          <w:sz w:val="17"/>
          <w:szCs w:val="17"/>
        </w:rPr>
        <w:t xml:space="preserve">, in </w:t>
      </w:r>
      <w:r w:rsidR="001B7624" w:rsidRPr="00C44211">
        <w:rPr>
          <w:rFonts w:ascii="Goudy Old Style" w:hAnsi="Goudy Old Style"/>
          <w:i/>
          <w:sz w:val="17"/>
          <w:szCs w:val="17"/>
        </w:rPr>
        <w:t>Dir. Industriale</w:t>
      </w:r>
      <w:r w:rsidR="001B7624" w:rsidRPr="00C44211">
        <w:rPr>
          <w:rFonts w:ascii="Goudy Old Style" w:hAnsi="Goudy Old Style"/>
          <w:sz w:val="17"/>
          <w:szCs w:val="17"/>
        </w:rPr>
        <w:t>, 2018, 4, 364.</w:t>
      </w:r>
    </w:p>
  </w:footnote>
  <w:footnote w:id="24">
    <w:p w:rsidR="009003E4" w:rsidRPr="00C44211" w:rsidRDefault="009003E4" w:rsidP="00F52376">
      <w:pPr>
        <w:pStyle w:val="Testonotaapidipagina"/>
        <w:jc w:val="both"/>
        <w:rPr>
          <w:rFonts w:ascii="Goudy Old Style" w:hAnsi="Goudy Old Style"/>
          <w:sz w:val="17"/>
          <w:szCs w:val="17"/>
        </w:rPr>
      </w:pPr>
      <w:r w:rsidRPr="00C44211">
        <w:rPr>
          <w:rStyle w:val="Rimandonotaapidipagina"/>
          <w:rFonts w:ascii="Goudy Old Style" w:hAnsi="Goudy Old Style" w:cs="Times New Roman"/>
          <w:sz w:val="17"/>
          <w:szCs w:val="17"/>
        </w:rPr>
        <w:footnoteRef/>
      </w:r>
      <w:r w:rsidRPr="00C44211">
        <w:t xml:space="preserve"> </w:t>
      </w:r>
      <w:r w:rsidR="00F52376" w:rsidRPr="00C44211">
        <w:rPr>
          <w:rFonts w:ascii="Goudy Old Style" w:hAnsi="Goudy Old Style"/>
          <w:sz w:val="17"/>
          <w:szCs w:val="17"/>
        </w:rPr>
        <w:t>Per una e</w:t>
      </w:r>
      <w:r w:rsidR="0093348A">
        <w:rPr>
          <w:rFonts w:ascii="Goudy Old Style" w:hAnsi="Goudy Old Style"/>
          <w:sz w:val="17"/>
          <w:szCs w:val="17"/>
        </w:rPr>
        <w:t xml:space="preserve">fficace </w:t>
      </w:r>
      <w:r w:rsidR="001B7624" w:rsidRPr="00C44211">
        <w:rPr>
          <w:rFonts w:ascii="Goudy Old Style" w:hAnsi="Goudy Old Style"/>
          <w:sz w:val="17"/>
          <w:szCs w:val="17"/>
        </w:rPr>
        <w:t xml:space="preserve">illustrazione delle modalità di </w:t>
      </w:r>
      <w:r w:rsidR="00F52376" w:rsidRPr="00C44211">
        <w:rPr>
          <w:rFonts w:ascii="Goudy Old Style" w:hAnsi="Goudy Old Style"/>
          <w:sz w:val="17"/>
          <w:szCs w:val="17"/>
        </w:rPr>
        <w:t xml:space="preserve">possibile </w:t>
      </w:r>
      <w:r w:rsidR="001B7624" w:rsidRPr="00C44211">
        <w:rPr>
          <w:rFonts w:ascii="Goudy Old Style" w:hAnsi="Goudy Old Style"/>
          <w:sz w:val="17"/>
          <w:szCs w:val="17"/>
        </w:rPr>
        <w:t xml:space="preserve">conduzione di un attacco cibernetico e di </w:t>
      </w:r>
      <w:r w:rsidR="001B7624" w:rsidRPr="00C44211">
        <w:rPr>
          <w:rFonts w:ascii="Goudy Old Style" w:hAnsi="Goudy Old Style"/>
          <w:i/>
          <w:sz w:val="17"/>
          <w:szCs w:val="17"/>
        </w:rPr>
        <w:t xml:space="preserve">information </w:t>
      </w:r>
      <w:proofErr w:type="spellStart"/>
      <w:r w:rsidR="001B7624" w:rsidRPr="00C44211">
        <w:rPr>
          <w:rFonts w:ascii="Goudy Old Style" w:hAnsi="Goudy Old Style"/>
          <w:i/>
          <w:sz w:val="17"/>
          <w:szCs w:val="17"/>
        </w:rPr>
        <w:t>disorder</w:t>
      </w:r>
      <w:proofErr w:type="spellEnd"/>
      <w:r w:rsidR="00F52376" w:rsidRPr="00C44211">
        <w:rPr>
          <w:rFonts w:ascii="Goudy Old Style" w:hAnsi="Goudy Old Style"/>
          <w:sz w:val="17"/>
          <w:szCs w:val="17"/>
        </w:rPr>
        <w:t xml:space="preserve">, cfr. </w:t>
      </w:r>
      <w:r w:rsidR="00F52376" w:rsidRPr="00C44211">
        <w:rPr>
          <w:rFonts w:ascii="Goudy Old Style" w:hAnsi="Goudy Old Style"/>
          <w:smallCaps/>
          <w:sz w:val="17"/>
          <w:szCs w:val="17"/>
        </w:rPr>
        <w:t>Ielo</w:t>
      </w:r>
      <w:r w:rsidR="00F52376" w:rsidRPr="00C44211">
        <w:rPr>
          <w:rFonts w:ascii="Goudy Old Style" w:hAnsi="Goudy Old Style"/>
          <w:sz w:val="17"/>
          <w:szCs w:val="17"/>
        </w:rPr>
        <w:t xml:space="preserve">, </w:t>
      </w:r>
      <w:r w:rsidR="00F52376" w:rsidRPr="00C44211">
        <w:rPr>
          <w:rFonts w:ascii="Goudy Old Style" w:hAnsi="Goudy Old Style"/>
          <w:i/>
          <w:sz w:val="17"/>
          <w:szCs w:val="17"/>
        </w:rPr>
        <w:t xml:space="preserve">Riflessioni sul sindacato del giudice amministrativo sui cosiddetti “Golden </w:t>
      </w:r>
      <w:proofErr w:type="spellStart"/>
      <w:r w:rsidR="00F52376" w:rsidRPr="00C44211">
        <w:rPr>
          <w:rFonts w:ascii="Goudy Old Style" w:hAnsi="Goudy Old Style"/>
          <w:i/>
          <w:sz w:val="17"/>
          <w:szCs w:val="17"/>
        </w:rPr>
        <w:t>Powers</w:t>
      </w:r>
      <w:proofErr w:type="spellEnd"/>
      <w:r w:rsidR="00F52376" w:rsidRPr="00C44211">
        <w:rPr>
          <w:rFonts w:ascii="Goudy Old Style" w:hAnsi="Goudy Old Style"/>
          <w:i/>
          <w:sz w:val="17"/>
          <w:szCs w:val="17"/>
        </w:rPr>
        <w:t>”</w:t>
      </w:r>
      <w:r w:rsidR="00F52376" w:rsidRPr="00C44211">
        <w:rPr>
          <w:rFonts w:ascii="Goudy Old Style" w:hAnsi="Goudy Old Style"/>
          <w:sz w:val="17"/>
          <w:szCs w:val="17"/>
        </w:rPr>
        <w:t xml:space="preserve">, in </w:t>
      </w:r>
      <w:r w:rsidR="00F52376" w:rsidRPr="00C44211">
        <w:rPr>
          <w:rFonts w:ascii="Goudy Old Style" w:hAnsi="Goudy Old Style"/>
          <w:i/>
          <w:sz w:val="17"/>
          <w:szCs w:val="17"/>
        </w:rPr>
        <w:t>Rivista interdisciplinare sul diritto delle amministrazioni pubbliche</w:t>
      </w:r>
      <w:r w:rsidR="00F52376" w:rsidRPr="00C44211">
        <w:rPr>
          <w:rFonts w:ascii="Goudy Old Style" w:hAnsi="Goudy Old Style"/>
          <w:sz w:val="17"/>
          <w:szCs w:val="17"/>
        </w:rPr>
        <w:t xml:space="preserve">, 4, 2021,  66, ove si descrive un attacco </w:t>
      </w:r>
      <w:r w:rsidR="00F52376" w:rsidRPr="00C44211">
        <w:rPr>
          <w:rFonts w:ascii="Goudy Old Style" w:hAnsi="Goudy Old Style"/>
          <w:i/>
          <w:sz w:val="17"/>
          <w:szCs w:val="17"/>
        </w:rPr>
        <w:t xml:space="preserve">“per effetto del quale: (prima) siano penetrati importanti </w:t>
      </w:r>
      <w:proofErr w:type="spellStart"/>
      <w:r w:rsidR="00F52376" w:rsidRPr="00C44211">
        <w:rPr>
          <w:rFonts w:ascii="Goudy Old Style" w:hAnsi="Goudy Old Style"/>
          <w:i/>
          <w:sz w:val="17"/>
          <w:szCs w:val="17"/>
        </w:rPr>
        <w:t>datacenter</w:t>
      </w:r>
      <w:proofErr w:type="spellEnd"/>
      <w:r w:rsidR="00F52376" w:rsidRPr="00C44211">
        <w:rPr>
          <w:rFonts w:ascii="Goudy Old Style" w:hAnsi="Goudy Old Style"/>
          <w:i/>
          <w:sz w:val="17"/>
          <w:szCs w:val="17"/>
        </w:rPr>
        <w:t xml:space="preserve">; (poi), tramite intelligenza artificiale, anche mediante i dati trafugati, siano studiate tecniche manipolative di massa; (infine), siano veicolate in modo massiccio e pervasivo informazioni false e fortemente pericolose in termini di capacità manipolativa del consenso elettorale, perché elaborate tramite algoritmi di persuasione che fanno leva su debolezze e </w:t>
      </w:r>
      <w:proofErr w:type="spellStart"/>
      <w:r w:rsidR="00F52376" w:rsidRPr="00C44211">
        <w:rPr>
          <w:rFonts w:ascii="Goudy Old Style" w:hAnsi="Goudy Old Style"/>
          <w:i/>
          <w:sz w:val="17"/>
          <w:szCs w:val="17"/>
        </w:rPr>
        <w:t>bias</w:t>
      </w:r>
      <w:proofErr w:type="spellEnd"/>
      <w:r w:rsidR="00F52376" w:rsidRPr="00C44211">
        <w:rPr>
          <w:rFonts w:ascii="Goudy Old Style" w:hAnsi="Goudy Old Style"/>
          <w:i/>
          <w:sz w:val="17"/>
          <w:szCs w:val="17"/>
        </w:rPr>
        <w:t xml:space="preserve"> cognitivi della collettività. Se ben condotto (manipolazioni di questo tipo sono rivolte soprattutto alla categoria degli “indecisi”, sovente decisivi nel far pendere l’ago della bilancia), l’attacco ha come effetto un danno enorme alle fondamenta stessa dello stato democratico: il corretto svolgersi della dialettica rappresentativa nella sua fase genetica (le elezioni)</w:t>
      </w:r>
      <w:r w:rsidR="00F52376" w:rsidRPr="00C44211">
        <w:rPr>
          <w:rFonts w:ascii="Goudy Old Style" w:hAnsi="Goudy Old Style"/>
          <w:sz w:val="17"/>
          <w:szCs w:val="17"/>
        </w:rPr>
        <w:t>”.</w:t>
      </w:r>
    </w:p>
  </w:footnote>
  <w:footnote w:id="25">
    <w:p w:rsidR="00457893" w:rsidRPr="00C44211" w:rsidRDefault="00457893" w:rsidP="00E35325">
      <w:pPr>
        <w:pStyle w:val="Testonotaapidipagina"/>
        <w:jc w:val="both"/>
      </w:pPr>
      <w:r w:rsidRPr="00C44211">
        <w:rPr>
          <w:rStyle w:val="Rimandonotaapidipagina"/>
          <w:rFonts w:ascii="Goudy Old Style" w:hAnsi="Goudy Old Style" w:cs="Times New Roman"/>
          <w:sz w:val="17"/>
          <w:szCs w:val="17"/>
        </w:rPr>
        <w:footnoteRef/>
      </w:r>
      <w:r w:rsidRPr="00C44211">
        <w:t xml:space="preserve"> </w:t>
      </w:r>
      <w:r w:rsidR="002053AF" w:rsidRPr="00C44211">
        <w:rPr>
          <w:rFonts w:ascii="Goudy Old Style" w:hAnsi="Goudy Old Style"/>
          <w:sz w:val="17"/>
          <w:szCs w:val="17"/>
        </w:rPr>
        <w:t xml:space="preserve">Per una analisi della disciplina in argomento, si rinvia a </w:t>
      </w:r>
      <w:r w:rsidR="002053AF" w:rsidRPr="00C44211">
        <w:rPr>
          <w:rFonts w:ascii="Goudy Old Style" w:hAnsi="Goudy Old Style"/>
          <w:smallCaps/>
          <w:sz w:val="17"/>
          <w:szCs w:val="17"/>
        </w:rPr>
        <w:t>Bruno</w:t>
      </w:r>
      <w:r w:rsidR="002053AF" w:rsidRPr="00C44211">
        <w:rPr>
          <w:rFonts w:ascii="Goudy Old Style" w:hAnsi="Goudy Old Style"/>
          <w:sz w:val="17"/>
          <w:szCs w:val="17"/>
        </w:rPr>
        <w:t xml:space="preserve">, </w:t>
      </w:r>
      <w:proofErr w:type="spellStart"/>
      <w:r w:rsidR="002053AF" w:rsidRPr="00C44211">
        <w:rPr>
          <w:rFonts w:ascii="Goudy Old Style" w:hAnsi="Goudy Old Style"/>
          <w:i/>
          <w:sz w:val="17"/>
          <w:szCs w:val="17"/>
        </w:rPr>
        <w:t>Cybersecurity</w:t>
      </w:r>
      <w:proofErr w:type="spellEnd"/>
      <w:r w:rsidR="002053AF" w:rsidRPr="00C44211">
        <w:rPr>
          <w:rFonts w:ascii="Goudy Old Style" w:hAnsi="Goudy Old Style"/>
          <w:i/>
          <w:sz w:val="17"/>
          <w:szCs w:val="17"/>
        </w:rPr>
        <w:t xml:space="preserve"> tra legislazioni, interessi nazionali e mercato</w:t>
      </w:r>
      <w:r w:rsidR="002053AF" w:rsidRPr="00C44211">
        <w:rPr>
          <w:rFonts w:ascii="Goudy Old Style" w:hAnsi="Goudy Old Style"/>
          <w:sz w:val="17"/>
          <w:szCs w:val="17"/>
        </w:rPr>
        <w:t xml:space="preserve">, in </w:t>
      </w:r>
      <w:r w:rsidR="00562F9A" w:rsidRPr="00C44211">
        <w:rPr>
          <w:rFonts w:ascii="Goudy Old Style" w:hAnsi="Goudy Old Style"/>
          <w:sz w:val="17"/>
          <w:szCs w:val="17"/>
        </w:rPr>
        <w:t>&lt;</w:t>
      </w:r>
      <w:r w:rsidR="002053AF" w:rsidRPr="00C44211">
        <w:rPr>
          <w:rFonts w:ascii="Goudy Old Style" w:hAnsi="Goudy Old Style"/>
          <w:sz w:val="17"/>
          <w:szCs w:val="17"/>
        </w:rPr>
        <w:t>Federalismi.it</w:t>
      </w:r>
      <w:r w:rsidR="00562F9A" w:rsidRPr="00C44211">
        <w:rPr>
          <w:rFonts w:ascii="Goudy Old Style" w:hAnsi="Goudy Old Style"/>
          <w:sz w:val="17"/>
          <w:szCs w:val="17"/>
        </w:rPr>
        <w:t>&gt;</w:t>
      </w:r>
      <w:r w:rsidR="002053AF" w:rsidRPr="00C44211">
        <w:rPr>
          <w:rFonts w:ascii="Goudy Old Style" w:hAnsi="Goudy Old Style"/>
          <w:sz w:val="17"/>
          <w:szCs w:val="17"/>
        </w:rPr>
        <w:t>, n. 14, 13 maggio 2020</w:t>
      </w:r>
      <w:r w:rsidR="00E35325" w:rsidRPr="00C44211">
        <w:rPr>
          <w:rFonts w:ascii="Goudy Old Style" w:hAnsi="Goudy Old Style"/>
          <w:sz w:val="17"/>
          <w:szCs w:val="17"/>
        </w:rPr>
        <w:t xml:space="preserve">, ove, nel rimarcare l’erosione dell’ambito di operatività dei poteri speciali, non più circoscritto a specifici </w:t>
      </w:r>
      <w:proofErr w:type="spellStart"/>
      <w:r w:rsidR="00E35325" w:rsidRPr="00C44211">
        <w:rPr>
          <w:rFonts w:ascii="Goudy Old Style" w:hAnsi="Goudy Old Style"/>
          <w:sz w:val="17"/>
          <w:szCs w:val="17"/>
        </w:rPr>
        <w:t>asset</w:t>
      </w:r>
      <w:proofErr w:type="spellEnd"/>
      <w:r w:rsidR="00E35325" w:rsidRPr="00C44211">
        <w:rPr>
          <w:rFonts w:ascii="Goudy Old Style" w:hAnsi="Goudy Old Style"/>
          <w:sz w:val="17"/>
          <w:szCs w:val="17"/>
        </w:rPr>
        <w:t xml:space="preserve"> ma involgente interi settori, vengono sottolineate le tendenze affiorate nell’ultimo decennio che hanno evidenziato una fragilità delle maggiori istituzioni multilaterali ad assicurare un adeguato livello di equilibrio e la speculare emersione di dinamiche dei rapporti tra gli attori internazionali che tradiscono una tendenza verso saldature tattiche più che strategiche, in relazione agli specifici interessi di volta in volta considerati, nel quadro di un crescente attivismo della Cina in settori economici di valenza strategica</w:t>
      </w:r>
      <w:r w:rsidR="002053AF" w:rsidRPr="00C44211">
        <w:rPr>
          <w:rFonts w:ascii="Goudy Old Style" w:hAnsi="Goudy Old Style"/>
          <w:sz w:val="17"/>
          <w:szCs w:val="17"/>
        </w:rPr>
        <w:t>.</w:t>
      </w:r>
    </w:p>
  </w:footnote>
  <w:footnote w:id="26">
    <w:p w:rsidR="002053AF" w:rsidRPr="00C44211" w:rsidRDefault="002053AF" w:rsidP="00E35325">
      <w:pPr>
        <w:pStyle w:val="Testonotaapidipagina"/>
        <w:jc w:val="both"/>
      </w:pPr>
      <w:r w:rsidRPr="00C44211">
        <w:rPr>
          <w:rStyle w:val="Rimandonotaapidipagina"/>
          <w:rFonts w:ascii="Goudy Old Style" w:hAnsi="Goudy Old Style" w:cs="Times New Roman"/>
          <w:sz w:val="17"/>
          <w:szCs w:val="17"/>
        </w:rPr>
        <w:footnoteRef/>
      </w:r>
      <w:r w:rsidRPr="00C44211">
        <w:t xml:space="preserve"> </w:t>
      </w:r>
      <w:r w:rsidR="00E35325" w:rsidRPr="00C44211">
        <w:rPr>
          <w:rFonts w:ascii="Goudy Old Style" w:hAnsi="Goudy Old Style"/>
          <w:sz w:val="17"/>
          <w:szCs w:val="17"/>
        </w:rPr>
        <w:t xml:space="preserve">Sul tema della dotazione infrastrutturale delle reti di comunicazione elettronica, </w:t>
      </w:r>
      <w:r w:rsidR="00E35325" w:rsidRPr="00C44211">
        <w:rPr>
          <w:rFonts w:ascii="Goudy Old Style" w:hAnsi="Goudy Old Style"/>
          <w:smallCaps/>
          <w:sz w:val="17"/>
          <w:szCs w:val="17"/>
        </w:rPr>
        <w:t>Bruno</w:t>
      </w:r>
      <w:r w:rsidR="00E35325" w:rsidRPr="00C44211">
        <w:rPr>
          <w:rFonts w:ascii="Goudy Old Style" w:hAnsi="Goudy Old Style"/>
          <w:sz w:val="17"/>
          <w:szCs w:val="17"/>
        </w:rPr>
        <w:t xml:space="preserve">, </w:t>
      </w:r>
      <w:r w:rsidR="00E35325" w:rsidRPr="00C44211">
        <w:rPr>
          <w:rFonts w:ascii="Goudy Old Style" w:hAnsi="Goudy Old Style"/>
          <w:i/>
          <w:sz w:val="17"/>
          <w:szCs w:val="17"/>
        </w:rPr>
        <w:t>Reti di comunicazione elettronica ad alta velocità</w:t>
      </w:r>
      <w:r w:rsidR="00E35325" w:rsidRPr="00C44211">
        <w:rPr>
          <w:rFonts w:ascii="Goudy Old Style" w:hAnsi="Goudy Old Style"/>
          <w:sz w:val="17"/>
          <w:szCs w:val="17"/>
        </w:rPr>
        <w:t xml:space="preserve">, in </w:t>
      </w:r>
      <w:r w:rsidR="00E35325" w:rsidRPr="00C44211">
        <w:rPr>
          <w:rFonts w:ascii="Goudy Old Style" w:hAnsi="Goudy Old Style"/>
          <w:i/>
          <w:sz w:val="17"/>
          <w:szCs w:val="17"/>
        </w:rPr>
        <w:t>Manuale di diritto delle comunicazioni</w:t>
      </w:r>
      <w:r w:rsidR="00E35325" w:rsidRPr="00C44211">
        <w:rPr>
          <w:rFonts w:ascii="Goudy Old Style" w:hAnsi="Goudy Old Style"/>
          <w:sz w:val="17"/>
          <w:szCs w:val="17"/>
        </w:rPr>
        <w:t xml:space="preserve">, a cura di </w:t>
      </w:r>
      <w:r w:rsidR="00E35325" w:rsidRPr="00C44211">
        <w:rPr>
          <w:rFonts w:ascii="Goudy Old Style" w:hAnsi="Goudy Old Style"/>
          <w:smallCaps/>
          <w:sz w:val="17"/>
          <w:szCs w:val="17"/>
        </w:rPr>
        <w:t>G. Bruno</w:t>
      </w:r>
      <w:r w:rsidR="00E35325" w:rsidRPr="00C44211">
        <w:rPr>
          <w:rFonts w:ascii="Goudy Old Style" w:hAnsi="Goudy Old Style"/>
          <w:sz w:val="17"/>
          <w:szCs w:val="17"/>
        </w:rPr>
        <w:t xml:space="preserve">, </w:t>
      </w:r>
      <w:r w:rsidR="00562F9A" w:rsidRPr="00C44211">
        <w:rPr>
          <w:rFonts w:ascii="Goudy Old Style" w:hAnsi="Goudy Old Style"/>
          <w:sz w:val="17"/>
          <w:szCs w:val="17"/>
        </w:rPr>
        <w:t>Torino</w:t>
      </w:r>
      <w:r w:rsidR="00E35325" w:rsidRPr="00C44211">
        <w:rPr>
          <w:rFonts w:ascii="Goudy Old Style" w:hAnsi="Goudy Old Style"/>
          <w:sz w:val="17"/>
          <w:szCs w:val="17"/>
        </w:rPr>
        <w:t>,2019</w:t>
      </w:r>
      <w:r w:rsidR="00E35325" w:rsidRPr="00C44211">
        <w:t>.</w:t>
      </w:r>
    </w:p>
  </w:footnote>
  <w:footnote w:id="27">
    <w:p w:rsidR="00457893" w:rsidRPr="00457893" w:rsidRDefault="00457893" w:rsidP="002053AF">
      <w:pPr>
        <w:pStyle w:val="Testonotaapidipagina"/>
        <w:jc w:val="both"/>
      </w:pPr>
      <w:r w:rsidRPr="00C44211">
        <w:rPr>
          <w:rStyle w:val="Rimandonotaapidipagina"/>
          <w:rFonts w:ascii="Goudy Old Style" w:hAnsi="Goudy Old Style" w:cs="Times New Roman"/>
          <w:sz w:val="17"/>
          <w:szCs w:val="17"/>
        </w:rPr>
        <w:footnoteRef/>
      </w:r>
      <w:r w:rsidRPr="00C44211">
        <w:t xml:space="preserve"> </w:t>
      </w:r>
      <w:r w:rsidRPr="00C44211">
        <w:rPr>
          <w:rFonts w:ascii="Goudy Old Style" w:hAnsi="Goudy Old Style"/>
          <w:smallCaps/>
          <w:sz w:val="17"/>
          <w:szCs w:val="17"/>
        </w:rPr>
        <w:t>Ielo</w:t>
      </w:r>
      <w:r w:rsidRPr="00C44211">
        <w:rPr>
          <w:rFonts w:ascii="Goudy Old Style" w:hAnsi="Goudy Old Style"/>
          <w:sz w:val="17"/>
          <w:szCs w:val="17"/>
        </w:rPr>
        <w:t xml:space="preserve">, </w:t>
      </w:r>
      <w:r w:rsidRPr="00C44211">
        <w:rPr>
          <w:rFonts w:ascii="Goudy Old Style" w:hAnsi="Goudy Old Style"/>
          <w:i/>
          <w:sz w:val="17"/>
          <w:szCs w:val="17"/>
        </w:rPr>
        <w:t xml:space="preserve">Riflessioni sul sindacato del giudice amministrativo sui cosiddetti “Golden </w:t>
      </w:r>
      <w:proofErr w:type="spellStart"/>
      <w:r w:rsidRPr="00C44211">
        <w:rPr>
          <w:rFonts w:ascii="Goudy Old Style" w:hAnsi="Goudy Old Style"/>
          <w:i/>
          <w:sz w:val="17"/>
          <w:szCs w:val="17"/>
        </w:rPr>
        <w:t>Powers</w:t>
      </w:r>
      <w:proofErr w:type="spellEnd"/>
      <w:r w:rsidRPr="00C44211">
        <w:rPr>
          <w:rFonts w:ascii="Goudy Old Style" w:hAnsi="Goudy Old Style"/>
          <w:i/>
          <w:sz w:val="17"/>
          <w:szCs w:val="17"/>
        </w:rPr>
        <w:t>”</w:t>
      </w:r>
      <w:r w:rsidRPr="00C44211">
        <w:rPr>
          <w:rFonts w:ascii="Goudy Old Style" w:hAnsi="Goudy Old Style"/>
          <w:sz w:val="17"/>
          <w:szCs w:val="17"/>
        </w:rPr>
        <w:t xml:space="preserve">, in </w:t>
      </w:r>
      <w:r w:rsidRPr="00C44211">
        <w:rPr>
          <w:rFonts w:ascii="Goudy Old Style" w:hAnsi="Goudy Old Style"/>
          <w:i/>
          <w:sz w:val="17"/>
          <w:szCs w:val="17"/>
        </w:rPr>
        <w:t>Rivista interdisciplinare sul diritto delle amministrazioni pubbliche, cit.</w:t>
      </w:r>
      <w:proofErr w:type="gramStart"/>
      <w:r w:rsidRPr="00C44211">
        <w:rPr>
          <w:rFonts w:ascii="Goudy Old Style" w:hAnsi="Goudy Old Style"/>
          <w:i/>
          <w:sz w:val="17"/>
          <w:szCs w:val="17"/>
        </w:rPr>
        <w:t xml:space="preserve">, </w:t>
      </w:r>
      <w:r w:rsidR="002053AF" w:rsidRPr="00C44211">
        <w:rPr>
          <w:rFonts w:ascii="Goudy Old Style" w:hAnsi="Goudy Old Style"/>
          <w:sz w:val="17"/>
          <w:szCs w:val="17"/>
        </w:rPr>
        <w:t xml:space="preserve"> 71</w:t>
      </w:r>
      <w:proofErr w:type="gramEnd"/>
      <w:r w:rsidR="002053AF" w:rsidRPr="00C44211">
        <w:rPr>
          <w:rFonts w:ascii="Goudy Old Style" w:hAnsi="Goudy Old Style"/>
          <w:sz w:val="17"/>
          <w:szCs w:val="17"/>
        </w:rPr>
        <w:t>, al quale si rinvia per l’accurata analisi del controllo giurisdizionale in materia di esercizio dei c.d. poteri speciali</w:t>
      </w:r>
      <w:r w:rsidR="002053AF" w:rsidRPr="00C44211">
        <w:rPr>
          <w:rFonts w:ascii="Goudy Old Style" w:hAnsi="Goudy Old Style"/>
          <w:i/>
          <w:sz w:val="17"/>
          <w:szCs w:val="17"/>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A67CE6"/>
    <w:multiLevelType w:val="hybridMultilevel"/>
    <w:tmpl w:val="B8F2D010"/>
    <w:lvl w:ilvl="0" w:tplc="D1F0741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3C6413F5"/>
    <w:multiLevelType w:val="hybridMultilevel"/>
    <w:tmpl w:val="FC20F952"/>
    <w:lvl w:ilvl="0" w:tplc="716CC150">
      <w:start w:val="1"/>
      <w:numFmt w:val="upperRoman"/>
      <w:lvlText w:val="%1."/>
      <w:lvlJc w:val="left"/>
      <w:pPr>
        <w:ind w:left="720" w:hanging="360"/>
      </w:pPr>
      <w:rPr>
        <w:rFonts w:ascii="Goudy Old Style" w:eastAsia="Times New Roman" w:hAnsi="Goudy Old Style" w:cs="Times New Roman"/>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4C174BAF"/>
    <w:multiLevelType w:val="multilevel"/>
    <w:tmpl w:val="20547D7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2EEA"/>
    <w:rsid w:val="00003033"/>
    <w:rsid w:val="000033FC"/>
    <w:rsid w:val="00012274"/>
    <w:rsid w:val="00017BE8"/>
    <w:rsid w:val="000211EE"/>
    <w:rsid w:val="00026F68"/>
    <w:rsid w:val="00042EEA"/>
    <w:rsid w:val="00043C74"/>
    <w:rsid w:val="00045F66"/>
    <w:rsid w:val="00052E4E"/>
    <w:rsid w:val="00065A20"/>
    <w:rsid w:val="00070ADB"/>
    <w:rsid w:val="00097F6E"/>
    <w:rsid w:val="000A60BF"/>
    <w:rsid w:val="000B017E"/>
    <w:rsid w:val="000B3307"/>
    <w:rsid w:val="000B34E6"/>
    <w:rsid w:val="000D2D97"/>
    <w:rsid w:val="000D55ED"/>
    <w:rsid w:val="000E6BA8"/>
    <w:rsid w:val="000E70C0"/>
    <w:rsid w:val="000F69A1"/>
    <w:rsid w:val="00102EB2"/>
    <w:rsid w:val="00110999"/>
    <w:rsid w:val="00112C22"/>
    <w:rsid w:val="001206B1"/>
    <w:rsid w:val="00121420"/>
    <w:rsid w:val="00121F24"/>
    <w:rsid w:val="00122D34"/>
    <w:rsid w:val="00123584"/>
    <w:rsid w:val="0012744E"/>
    <w:rsid w:val="001442CD"/>
    <w:rsid w:val="001577C8"/>
    <w:rsid w:val="001630DE"/>
    <w:rsid w:val="00174955"/>
    <w:rsid w:val="001812B5"/>
    <w:rsid w:val="001A0DC7"/>
    <w:rsid w:val="001A1225"/>
    <w:rsid w:val="001A1A8B"/>
    <w:rsid w:val="001B3D2E"/>
    <w:rsid w:val="001B7624"/>
    <w:rsid w:val="001C7E44"/>
    <w:rsid w:val="001D7BA4"/>
    <w:rsid w:val="001E05D8"/>
    <w:rsid w:val="001E2855"/>
    <w:rsid w:val="001E5C79"/>
    <w:rsid w:val="001F1303"/>
    <w:rsid w:val="001F4461"/>
    <w:rsid w:val="002053AF"/>
    <w:rsid w:val="00207543"/>
    <w:rsid w:val="00210CC3"/>
    <w:rsid w:val="002154E7"/>
    <w:rsid w:val="002208C2"/>
    <w:rsid w:val="00221B40"/>
    <w:rsid w:val="00226233"/>
    <w:rsid w:val="002304CD"/>
    <w:rsid w:val="00251F15"/>
    <w:rsid w:val="002543CA"/>
    <w:rsid w:val="0026475D"/>
    <w:rsid w:val="00266B32"/>
    <w:rsid w:val="0027455E"/>
    <w:rsid w:val="00277F5B"/>
    <w:rsid w:val="00280508"/>
    <w:rsid w:val="002810F5"/>
    <w:rsid w:val="00281A54"/>
    <w:rsid w:val="002842A2"/>
    <w:rsid w:val="0028715E"/>
    <w:rsid w:val="00291B5D"/>
    <w:rsid w:val="002A6D05"/>
    <w:rsid w:val="002A7B89"/>
    <w:rsid w:val="002B6C29"/>
    <w:rsid w:val="002C1201"/>
    <w:rsid w:val="002C1BCE"/>
    <w:rsid w:val="002C2A81"/>
    <w:rsid w:val="002E14C6"/>
    <w:rsid w:val="002E200A"/>
    <w:rsid w:val="002E7ECC"/>
    <w:rsid w:val="002F6F51"/>
    <w:rsid w:val="002F799C"/>
    <w:rsid w:val="003072EE"/>
    <w:rsid w:val="0031162B"/>
    <w:rsid w:val="00320141"/>
    <w:rsid w:val="00322DEA"/>
    <w:rsid w:val="00337D5C"/>
    <w:rsid w:val="003548DF"/>
    <w:rsid w:val="003549BF"/>
    <w:rsid w:val="0035567A"/>
    <w:rsid w:val="003628C3"/>
    <w:rsid w:val="00367229"/>
    <w:rsid w:val="00370AB8"/>
    <w:rsid w:val="00370F70"/>
    <w:rsid w:val="003801DF"/>
    <w:rsid w:val="0038469F"/>
    <w:rsid w:val="003928A6"/>
    <w:rsid w:val="003937D7"/>
    <w:rsid w:val="003956F3"/>
    <w:rsid w:val="00395CB6"/>
    <w:rsid w:val="003A1539"/>
    <w:rsid w:val="003C1780"/>
    <w:rsid w:val="003C24CF"/>
    <w:rsid w:val="003D2773"/>
    <w:rsid w:val="003D3F72"/>
    <w:rsid w:val="003F1F0D"/>
    <w:rsid w:val="00411F2E"/>
    <w:rsid w:val="004240A3"/>
    <w:rsid w:val="004250BC"/>
    <w:rsid w:val="004323D7"/>
    <w:rsid w:val="004376D2"/>
    <w:rsid w:val="0044140C"/>
    <w:rsid w:val="00444E8F"/>
    <w:rsid w:val="00447E1A"/>
    <w:rsid w:val="00451A68"/>
    <w:rsid w:val="0045356C"/>
    <w:rsid w:val="0045457C"/>
    <w:rsid w:val="00457893"/>
    <w:rsid w:val="004662FE"/>
    <w:rsid w:val="004724F3"/>
    <w:rsid w:val="00481F7C"/>
    <w:rsid w:val="00483D15"/>
    <w:rsid w:val="004909C0"/>
    <w:rsid w:val="004A64FE"/>
    <w:rsid w:val="004B08AC"/>
    <w:rsid w:val="004B2E91"/>
    <w:rsid w:val="004B66DF"/>
    <w:rsid w:val="004C112C"/>
    <w:rsid w:val="004C65F4"/>
    <w:rsid w:val="004E4A98"/>
    <w:rsid w:val="004E6BA6"/>
    <w:rsid w:val="00511178"/>
    <w:rsid w:val="005120A1"/>
    <w:rsid w:val="005169D3"/>
    <w:rsid w:val="00532C38"/>
    <w:rsid w:val="005356C1"/>
    <w:rsid w:val="00556FE9"/>
    <w:rsid w:val="0056098F"/>
    <w:rsid w:val="00562F9A"/>
    <w:rsid w:val="005645BB"/>
    <w:rsid w:val="00564D68"/>
    <w:rsid w:val="00572AE1"/>
    <w:rsid w:val="005A654D"/>
    <w:rsid w:val="005B3141"/>
    <w:rsid w:val="005B796C"/>
    <w:rsid w:val="005C1341"/>
    <w:rsid w:val="005C1F1D"/>
    <w:rsid w:val="005C34E7"/>
    <w:rsid w:val="005D0B90"/>
    <w:rsid w:val="005D2CDA"/>
    <w:rsid w:val="005D552F"/>
    <w:rsid w:val="005E07B0"/>
    <w:rsid w:val="005E348E"/>
    <w:rsid w:val="005E7043"/>
    <w:rsid w:val="005E7A71"/>
    <w:rsid w:val="00600AFE"/>
    <w:rsid w:val="0061271B"/>
    <w:rsid w:val="00616ED7"/>
    <w:rsid w:val="00622A26"/>
    <w:rsid w:val="00643C45"/>
    <w:rsid w:val="00654C0D"/>
    <w:rsid w:val="00657562"/>
    <w:rsid w:val="00661F1D"/>
    <w:rsid w:val="00674EE8"/>
    <w:rsid w:val="00686513"/>
    <w:rsid w:val="00691D0C"/>
    <w:rsid w:val="00696204"/>
    <w:rsid w:val="00696CE1"/>
    <w:rsid w:val="006A21E0"/>
    <w:rsid w:val="006A5CD7"/>
    <w:rsid w:val="006B733F"/>
    <w:rsid w:val="006B7D6A"/>
    <w:rsid w:val="006C1DED"/>
    <w:rsid w:val="006C2053"/>
    <w:rsid w:val="006C5289"/>
    <w:rsid w:val="006D031F"/>
    <w:rsid w:val="006D4BEE"/>
    <w:rsid w:val="006D7AAF"/>
    <w:rsid w:val="006E2B25"/>
    <w:rsid w:val="007004E5"/>
    <w:rsid w:val="00715105"/>
    <w:rsid w:val="00731471"/>
    <w:rsid w:val="00737B07"/>
    <w:rsid w:val="00742F2D"/>
    <w:rsid w:val="00752A5F"/>
    <w:rsid w:val="00781648"/>
    <w:rsid w:val="00781DA6"/>
    <w:rsid w:val="00797A2B"/>
    <w:rsid w:val="007A6077"/>
    <w:rsid w:val="007B0F08"/>
    <w:rsid w:val="007B3B66"/>
    <w:rsid w:val="007C467A"/>
    <w:rsid w:val="007D2B3E"/>
    <w:rsid w:val="007D6664"/>
    <w:rsid w:val="007E5853"/>
    <w:rsid w:val="007F0105"/>
    <w:rsid w:val="007F1D56"/>
    <w:rsid w:val="007F1ECE"/>
    <w:rsid w:val="00806486"/>
    <w:rsid w:val="00806E9D"/>
    <w:rsid w:val="0081220C"/>
    <w:rsid w:val="00821FFB"/>
    <w:rsid w:val="00833D69"/>
    <w:rsid w:val="00837FFE"/>
    <w:rsid w:val="00841E2E"/>
    <w:rsid w:val="008514AF"/>
    <w:rsid w:val="0087094E"/>
    <w:rsid w:val="008713B1"/>
    <w:rsid w:val="008752E3"/>
    <w:rsid w:val="008778A9"/>
    <w:rsid w:val="00877F45"/>
    <w:rsid w:val="00886AD5"/>
    <w:rsid w:val="00896F13"/>
    <w:rsid w:val="008C0B96"/>
    <w:rsid w:val="008C227D"/>
    <w:rsid w:val="008C34BF"/>
    <w:rsid w:val="008C408C"/>
    <w:rsid w:val="008C425E"/>
    <w:rsid w:val="008D3560"/>
    <w:rsid w:val="008E4274"/>
    <w:rsid w:val="008F54AB"/>
    <w:rsid w:val="008F6BD6"/>
    <w:rsid w:val="009003E4"/>
    <w:rsid w:val="0090301A"/>
    <w:rsid w:val="009057BE"/>
    <w:rsid w:val="0093059C"/>
    <w:rsid w:val="0093348A"/>
    <w:rsid w:val="00940592"/>
    <w:rsid w:val="00957A92"/>
    <w:rsid w:val="00960CA0"/>
    <w:rsid w:val="009808F2"/>
    <w:rsid w:val="009810C7"/>
    <w:rsid w:val="00987B4E"/>
    <w:rsid w:val="00991E65"/>
    <w:rsid w:val="0099606B"/>
    <w:rsid w:val="009963E3"/>
    <w:rsid w:val="00997205"/>
    <w:rsid w:val="00997252"/>
    <w:rsid w:val="009A4FE9"/>
    <w:rsid w:val="009B7572"/>
    <w:rsid w:val="009D6E20"/>
    <w:rsid w:val="009E3D9E"/>
    <w:rsid w:val="00A02FD6"/>
    <w:rsid w:val="00A26DED"/>
    <w:rsid w:val="00A3085B"/>
    <w:rsid w:val="00A32818"/>
    <w:rsid w:val="00A36361"/>
    <w:rsid w:val="00A403A5"/>
    <w:rsid w:val="00A51AAB"/>
    <w:rsid w:val="00A62722"/>
    <w:rsid w:val="00A718A0"/>
    <w:rsid w:val="00A90AB7"/>
    <w:rsid w:val="00AB1136"/>
    <w:rsid w:val="00AB29A1"/>
    <w:rsid w:val="00AB33C3"/>
    <w:rsid w:val="00AF39E7"/>
    <w:rsid w:val="00AF59D2"/>
    <w:rsid w:val="00B105AC"/>
    <w:rsid w:val="00B16F6B"/>
    <w:rsid w:val="00B17B47"/>
    <w:rsid w:val="00B22F9A"/>
    <w:rsid w:val="00B24237"/>
    <w:rsid w:val="00B261D3"/>
    <w:rsid w:val="00B41C83"/>
    <w:rsid w:val="00B510D6"/>
    <w:rsid w:val="00B554AA"/>
    <w:rsid w:val="00B71A61"/>
    <w:rsid w:val="00B802FA"/>
    <w:rsid w:val="00B80EA1"/>
    <w:rsid w:val="00B812DC"/>
    <w:rsid w:val="00B86F2A"/>
    <w:rsid w:val="00B91F33"/>
    <w:rsid w:val="00B95181"/>
    <w:rsid w:val="00B95AC4"/>
    <w:rsid w:val="00B969DD"/>
    <w:rsid w:val="00B96B6B"/>
    <w:rsid w:val="00B96DF9"/>
    <w:rsid w:val="00BA314F"/>
    <w:rsid w:val="00BA4221"/>
    <w:rsid w:val="00BA4709"/>
    <w:rsid w:val="00BB1099"/>
    <w:rsid w:val="00BB7B5E"/>
    <w:rsid w:val="00BC1485"/>
    <w:rsid w:val="00BC35E1"/>
    <w:rsid w:val="00BC4291"/>
    <w:rsid w:val="00BD61F3"/>
    <w:rsid w:val="00BE346A"/>
    <w:rsid w:val="00BF30DC"/>
    <w:rsid w:val="00C03698"/>
    <w:rsid w:val="00C44211"/>
    <w:rsid w:val="00C52B91"/>
    <w:rsid w:val="00C561A2"/>
    <w:rsid w:val="00C65D0D"/>
    <w:rsid w:val="00C71366"/>
    <w:rsid w:val="00C80A53"/>
    <w:rsid w:val="00C86606"/>
    <w:rsid w:val="00C92863"/>
    <w:rsid w:val="00C96639"/>
    <w:rsid w:val="00CA0221"/>
    <w:rsid w:val="00CA2952"/>
    <w:rsid w:val="00CB502F"/>
    <w:rsid w:val="00CC6AE9"/>
    <w:rsid w:val="00CD237D"/>
    <w:rsid w:val="00CD7388"/>
    <w:rsid w:val="00CE6142"/>
    <w:rsid w:val="00CF2A05"/>
    <w:rsid w:val="00D05EC5"/>
    <w:rsid w:val="00D12AE8"/>
    <w:rsid w:val="00D17501"/>
    <w:rsid w:val="00D27F96"/>
    <w:rsid w:val="00D311E8"/>
    <w:rsid w:val="00D42344"/>
    <w:rsid w:val="00D435AC"/>
    <w:rsid w:val="00D47D5E"/>
    <w:rsid w:val="00D63B11"/>
    <w:rsid w:val="00D66E72"/>
    <w:rsid w:val="00D8307A"/>
    <w:rsid w:val="00D8670A"/>
    <w:rsid w:val="00D90525"/>
    <w:rsid w:val="00DA5820"/>
    <w:rsid w:val="00DA6948"/>
    <w:rsid w:val="00DB4222"/>
    <w:rsid w:val="00DC60A0"/>
    <w:rsid w:val="00DD77C8"/>
    <w:rsid w:val="00DE3737"/>
    <w:rsid w:val="00DE6222"/>
    <w:rsid w:val="00DF1624"/>
    <w:rsid w:val="00DF2C2D"/>
    <w:rsid w:val="00DF78FB"/>
    <w:rsid w:val="00E06FB8"/>
    <w:rsid w:val="00E1003E"/>
    <w:rsid w:val="00E15C50"/>
    <w:rsid w:val="00E21F90"/>
    <w:rsid w:val="00E35325"/>
    <w:rsid w:val="00E377AE"/>
    <w:rsid w:val="00E378CD"/>
    <w:rsid w:val="00E47176"/>
    <w:rsid w:val="00E562DE"/>
    <w:rsid w:val="00E6312A"/>
    <w:rsid w:val="00E72934"/>
    <w:rsid w:val="00E839BA"/>
    <w:rsid w:val="00EB33A2"/>
    <w:rsid w:val="00EB438D"/>
    <w:rsid w:val="00EB6D83"/>
    <w:rsid w:val="00EC061F"/>
    <w:rsid w:val="00EC1D60"/>
    <w:rsid w:val="00EC5907"/>
    <w:rsid w:val="00EC7294"/>
    <w:rsid w:val="00EC77EE"/>
    <w:rsid w:val="00ED7EDD"/>
    <w:rsid w:val="00EE4597"/>
    <w:rsid w:val="00EF3EFB"/>
    <w:rsid w:val="00EF6FD2"/>
    <w:rsid w:val="00F031EB"/>
    <w:rsid w:val="00F03AEB"/>
    <w:rsid w:val="00F21CD0"/>
    <w:rsid w:val="00F22922"/>
    <w:rsid w:val="00F22B28"/>
    <w:rsid w:val="00F32020"/>
    <w:rsid w:val="00F4087B"/>
    <w:rsid w:val="00F44591"/>
    <w:rsid w:val="00F52036"/>
    <w:rsid w:val="00F52376"/>
    <w:rsid w:val="00F560DE"/>
    <w:rsid w:val="00F60FF3"/>
    <w:rsid w:val="00F62FB1"/>
    <w:rsid w:val="00F638B6"/>
    <w:rsid w:val="00F64D58"/>
    <w:rsid w:val="00F662C3"/>
    <w:rsid w:val="00F7323E"/>
    <w:rsid w:val="00F85FBE"/>
    <w:rsid w:val="00F93054"/>
    <w:rsid w:val="00FA0CC9"/>
    <w:rsid w:val="00FB1C6D"/>
    <w:rsid w:val="00FD1A36"/>
    <w:rsid w:val="00FE06DF"/>
    <w:rsid w:val="00FF1981"/>
    <w:rsid w:val="00FF2F3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C828533-CE06-4C0A-94EC-2088372C12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paragraph" w:styleId="Titolo1">
    <w:name w:val="heading 1"/>
    <w:basedOn w:val="Normale"/>
    <w:link w:val="Titolo1Carattere"/>
    <w:uiPriority w:val="9"/>
    <w:qFormat/>
    <w:rsid w:val="00CF2A0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it-IT"/>
    </w:rPr>
  </w:style>
  <w:style w:type="paragraph" w:styleId="Titolo2">
    <w:name w:val="heading 2"/>
    <w:basedOn w:val="Normale"/>
    <w:next w:val="Normale"/>
    <w:link w:val="Titolo2Carattere"/>
    <w:uiPriority w:val="9"/>
    <w:unhideWhenUsed/>
    <w:qFormat/>
    <w:rsid w:val="001D7BA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042EEA"/>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Collegamentoipertestuale">
    <w:name w:val="Hyperlink"/>
    <w:basedOn w:val="Carpredefinitoparagrafo"/>
    <w:uiPriority w:val="99"/>
    <w:unhideWhenUsed/>
    <w:rsid w:val="00042EEA"/>
    <w:rPr>
      <w:color w:val="0000FF"/>
      <w:u w:val="single"/>
    </w:rPr>
  </w:style>
  <w:style w:type="character" w:styleId="Enfasigrassetto">
    <w:name w:val="Strong"/>
    <w:basedOn w:val="Carpredefinitoparagrafo"/>
    <w:uiPriority w:val="22"/>
    <w:qFormat/>
    <w:rsid w:val="00042EEA"/>
    <w:rPr>
      <w:b/>
      <w:bCs/>
    </w:rPr>
  </w:style>
  <w:style w:type="character" w:styleId="Enfasicorsivo">
    <w:name w:val="Emphasis"/>
    <w:basedOn w:val="Carpredefinitoparagrafo"/>
    <w:uiPriority w:val="20"/>
    <w:qFormat/>
    <w:rsid w:val="00F031EB"/>
    <w:rPr>
      <w:i/>
      <w:iCs/>
    </w:rPr>
  </w:style>
  <w:style w:type="paragraph" w:customStyle="1" w:styleId="Default">
    <w:name w:val="Default"/>
    <w:rsid w:val="005356C1"/>
    <w:pPr>
      <w:autoSpaceDE w:val="0"/>
      <w:autoSpaceDN w:val="0"/>
      <w:adjustRightInd w:val="0"/>
      <w:spacing w:after="0" w:line="240" w:lineRule="auto"/>
    </w:pPr>
    <w:rPr>
      <w:rFonts w:ascii="EUAlbertina" w:hAnsi="EUAlbertina" w:cs="EUAlbertina"/>
      <w:color w:val="000000"/>
      <w:sz w:val="24"/>
      <w:szCs w:val="24"/>
    </w:rPr>
  </w:style>
  <w:style w:type="paragraph" w:styleId="Testonotaapidipagina">
    <w:name w:val="footnote text"/>
    <w:basedOn w:val="Normale"/>
    <w:link w:val="TestonotaapidipaginaCarattere"/>
    <w:uiPriority w:val="99"/>
    <w:unhideWhenUsed/>
    <w:rsid w:val="005356C1"/>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rsid w:val="005356C1"/>
    <w:rPr>
      <w:sz w:val="20"/>
      <w:szCs w:val="20"/>
    </w:rPr>
  </w:style>
  <w:style w:type="character" w:styleId="Rimandonotaapidipagina">
    <w:name w:val="footnote reference"/>
    <w:basedOn w:val="Carpredefinitoparagrafo"/>
    <w:uiPriority w:val="99"/>
    <w:unhideWhenUsed/>
    <w:rsid w:val="005356C1"/>
    <w:rPr>
      <w:vertAlign w:val="superscript"/>
    </w:rPr>
  </w:style>
  <w:style w:type="paragraph" w:styleId="Paragrafoelenco">
    <w:name w:val="List Paragraph"/>
    <w:basedOn w:val="Normale"/>
    <w:uiPriority w:val="34"/>
    <w:qFormat/>
    <w:rsid w:val="005356C1"/>
    <w:pPr>
      <w:ind w:left="720"/>
      <w:contextualSpacing/>
    </w:pPr>
  </w:style>
  <w:style w:type="character" w:customStyle="1" w:styleId="Titolo1Carattere">
    <w:name w:val="Titolo 1 Carattere"/>
    <w:basedOn w:val="Carpredefinitoparagrafo"/>
    <w:link w:val="Titolo1"/>
    <w:uiPriority w:val="9"/>
    <w:rsid w:val="00CF2A05"/>
    <w:rPr>
      <w:rFonts w:ascii="Times New Roman" w:eastAsia="Times New Roman" w:hAnsi="Times New Roman" w:cs="Times New Roman"/>
      <w:b/>
      <w:bCs/>
      <w:kern w:val="36"/>
      <w:sz w:val="48"/>
      <w:szCs w:val="48"/>
      <w:lang w:eastAsia="it-IT"/>
    </w:rPr>
  </w:style>
  <w:style w:type="paragraph" w:customStyle="1" w:styleId="doc-ti">
    <w:name w:val="doc-ti"/>
    <w:basedOn w:val="Normale"/>
    <w:rsid w:val="00B510D6"/>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Normale1">
    <w:name w:val="Normale1"/>
    <w:basedOn w:val="Normale"/>
    <w:rsid w:val="005B796C"/>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sti-art">
    <w:name w:val="sti-art"/>
    <w:basedOn w:val="Normale"/>
    <w:rsid w:val="005B796C"/>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styleId="PreformattatoHTML">
    <w:name w:val="HTML Preformatted"/>
    <w:basedOn w:val="Normale"/>
    <w:link w:val="PreformattatoHTMLCarattere"/>
    <w:uiPriority w:val="99"/>
    <w:unhideWhenUsed/>
    <w:rsid w:val="006575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t-IT"/>
    </w:rPr>
  </w:style>
  <w:style w:type="character" w:customStyle="1" w:styleId="PreformattatoHTMLCarattere">
    <w:name w:val="Preformattato HTML Carattere"/>
    <w:basedOn w:val="Carpredefinitoparagrafo"/>
    <w:link w:val="PreformattatoHTML"/>
    <w:uiPriority w:val="99"/>
    <w:rsid w:val="00657562"/>
    <w:rPr>
      <w:rFonts w:ascii="Courier New" w:eastAsia="Times New Roman" w:hAnsi="Courier New" w:cs="Courier New"/>
      <w:sz w:val="20"/>
      <w:szCs w:val="20"/>
      <w:lang w:eastAsia="it-IT"/>
    </w:rPr>
  </w:style>
  <w:style w:type="paragraph" w:customStyle="1" w:styleId="ti-art">
    <w:name w:val="ti-art"/>
    <w:basedOn w:val="Normale"/>
    <w:rsid w:val="00D8307A"/>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Normale2">
    <w:name w:val="Normale2"/>
    <w:basedOn w:val="Normale"/>
    <w:rsid w:val="00370AB8"/>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styleId="Intestazione">
    <w:name w:val="header"/>
    <w:basedOn w:val="Normale"/>
    <w:link w:val="IntestazioneCarattere"/>
    <w:uiPriority w:val="99"/>
    <w:unhideWhenUsed/>
    <w:rsid w:val="00251F15"/>
    <w:pPr>
      <w:tabs>
        <w:tab w:val="center" w:pos="4153"/>
        <w:tab w:val="right" w:pos="8306"/>
      </w:tabs>
      <w:spacing w:after="0" w:line="240" w:lineRule="auto"/>
    </w:pPr>
    <w:rPr>
      <w:rFonts w:eastAsiaTheme="minorEastAsia"/>
      <w:sz w:val="24"/>
      <w:szCs w:val="24"/>
    </w:rPr>
  </w:style>
  <w:style w:type="character" w:customStyle="1" w:styleId="IntestazioneCarattere">
    <w:name w:val="Intestazione Carattere"/>
    <w:basedOn w:val="Carpredefinitoparagrafo"/>
    <w:link w:val="Intestazione"/>
    <w:uiPriority w:val="99"/>
    <w:rsid w:val="00251F15"/>
    <w:rPr>
      <w:rFonts w:eastAsiaTheme="minorEastAsia"/>
      <w:sz w:val="24"/>
      <w:szCs w:val="24"/>
    </w:rPr>
  </w:style>
  <w:style w:type="character" w:customStyle="1" w:styleId="Menzionenonrisolta1">
    <w:name w:val="Menzione non risolta1"/>
    <w:basedOn w:val="Carpredefinitoparagrafo"/>
    <w:uiPriority w:val="99"/>
    <w:semiHidden/>
    <w:unhideWhenUsed/>
    <w:rsid w:val="003937D7"/>
    <w:rPr>
      <w:color w:val="605E5C"/>
      <w:shd w:val="clear" w:color="auto" w:fill="E1DFDD"/>
    </w:rPr>
  </w:style>
  <w:style w:type="character" w:customStyle="1" w:styleId="corsivo">
    <w:name w:val="corsivo"/>
    <w:basedOn w:val="Carpredefinitoparagrafo"/>
    <w:rsid w:val="000211EE"/>
  </w:style>
  <w:style w:type="paragraph" w:styleId="Pidipagina">
    <w:name w:val="footer"/>
    <w:basedOn w:val="Normale"/>
    <w:link w:val="PidipaginaCarattere"/>
    <w:uiPriority w:val="99"/>
    <w:unhideWhenUsed/>
    <w:rsid w:val="00BC35E1"/>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BC35E1"/>
  </w:style>
  <w:style w:type="paragraph" w:customStyle="1" w:styleId="titolodocumentosingolo">
    <w:name w:val="titolo_documento_singolo"/>
    <w:basedOn w:val="Normale"/>
    <w:rsid w:val="00EB438D"/>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nota">
    <w:name w:val="nota"/>
    <w:basedOn w:val="Normale"/>
    <w:rsid w:val="00EB438D"/>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Normale3">
    <w:name w:val="Normale3"/>
    <w:basedOn w:val="Normale"/>
    <w:rsid w:val="00654C0D"/>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super">
    <w:name w:val="super"/>
    <w:basedOn w:val="Carpredefinitoparagrafo"/>
    <w:rsid w:val="00654C0D"/>
  </w:style>
  <w:style w:type="character" w:customStyle="1" w:styleId="smallcaps">
    <w:name w:val="smallcaps"/>
    <w:basedOn w:val="Carpredefinitoparagrafo"/>
    <w:rsid w:val="002E7ECC"/>
  </w:style>
  <w:style w:type="character" w:customStyle="1" w:styleId="fn">
    <w:name w:val="fn"/>
    <w:basedOn w:val="Carpredefinitoparagrafo"/>
    <w:rsid w:val="002810F5"/>
  </w:style>
  <w:style w:type="character" w:customStyle="1" w:styleId="Sottotitolo1">
    <w:name w:val="Sottotitolo1"/>
    <w:basedOn w:val="Carpredefinitoparagrafo"/>
    <w:rsid w:val="002810F5"/>
  </w:style>
  <w:style w:type="character" w:customStyle="1" w:styleId="italic">
    <w:name w:val="italic"/>
    <w:basedOn w:val="Carpredefinitoparagrafo"/>
    <w:rsid w:val="00C71366"/>
  </w:style>
  <w:style w:type="paragraph" w:customStyle="1" w:styleId="docsubtitlelevel1bis">
    <w:name w:val="doc_subtitle_level1_bis"/>
    <w:basedOn w:val="Normale"/>
    <w:rsid w:val="00C71366"/>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docsubtitlelevel2bis">
    <w:name w:val="doc_subtitle_level2_bis"/>
    <w:basedOn w:val="Normale"/>
    <w:rsid w:val="00C71366"/>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Titolo2Carattere">
    <w:name w:val="Titolo 2 Carattere"/>
    <w:basedOn w:val="Carpredefinitoparagrafo"/>
    <w:link w:val="Titolo2"/>
    <w:uiPriority w:val="9"/>
    <w:rsid w:val="001D7BA4"/>
    <w:rPr>
      <w:rFonts w:asciiTheme="majorHAnsi" w:eastAsiaTheme="majorEastAsia" w:hAnsiTheme="majorHAnsi" w:cstheme="majorBidi"/>
      <w:color w:val="2F5496" w:themeColor="accent1" w:themeShade="BF"/>
      <w:sz w:val="26"/>
      <w:szCs w:val="26"/>
    </w:rPr>
  </w:style>
  <w:style w:type="paragraph" w:styleId="Testofumetto">
    <w:name w:val="Balloon Text"/>
    <w:basedOn w:val="Normale"/>
    <w:link w:val="TestofumettoCarattere"/>
    <w:uiPriority w:val="99"/>
    <w:semiHidden/>
    <w:unhideWhenUsed/>
    <w:rsid w:val="00F44591"/>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F4459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58670">
      <w:bodyDiv w:val="1"/>
      <w:marLeft w:val="0"/>
      <w:marRight w:val="0"/>
      <w:marTop w:val="0"/>
      <w:marBottom w:val="0"/>
      <w:divBdr>
        <w:top w:val="none" w:sz="0" w:space="0" w:color="auto"/>
        <w:left w:val="none" w:sz="0" w:space="0" w:color="auto"/>
        <w:bottom w:val="none" w:sz="0" w:space="0" w:color="auto"/>
        <w:right w:val="none" w:sz="0" w:space="0" w:color="auto"/>
      </w:divBdr>
    </w:div>
    <w:div w:id="25643213">
      <w:bodyDiv w:val="1"/>
      <w:marLeft w:val="0"/>
      <w:marRight w:val="0"/>
      <w:marTop w:val="0"/>
      <w:marBottom w:val="0"/>
      <w:divBdr>
        <w:top w:val="none" w:sz="0" w:space="0" w:color="auto"/>
        <w:left w:val="none" w:sz="0" w:space="0" w:color="auto"/>
        <w:bottom w:val="none" w:sz="0" w:space="0" w:color="auto"/>
        <w:right w:val="none" w:sz="0" w:space="0" w:color="auto"/>
      </w:divBdr>
    </w:div>
    <w:div w:id="41559679">
      <w:bodyDiv w:val="1"/>
      <w:marLeft w:val="0"/>
      <w:marRight w:val="0"/>
      <w:marTop w:val="0"/>
      <w:marBottom w:val="0"/>
      <w:divBdr>
        <w:top w:val="none" w:sz="0" w:space="0" w:color="auto"/>
        <w:left w:val="none" w:sz="0" w:space="0" w:color="auto"/>
        <w:bottom w:val="none" w:sz="0" w:space="0" w:color="auto"/>
        <w:right w:val="none" w:sz="0" w:space="0" w:color="auto"/>
      </w:divBdr>
    </w:div>
    <w:div w:id="57094086">
      <w:bodyDiv w:val="1"/>
      <w:marLeft w:val="0"/>
      <w:marRight w:val="0"/>
      <w:marTop w:val="0"/>
      <w:marBottom w:val="0"/>
      <w:divBdr>
        <w:top w:val="none" w:sz="0" w:space="0" w:color="auto"/>
        <w:left w:val="none" w:sz="0" w:space="0" w:color="auto"/>
        <w:bottom w:val="none" w:sz="0" w:space="0" w:color="auto"/>
        <w:right w:val="none" w:sz="0" w:space="0" w:color="auto"/>
      </w:divBdr>
    </w:div>
    <w:div w:id="105126438">
      <w:bodyDiv w:val="1"/>
      <w:marLeft w:val="0"/>
      <w:marRight w:val="0"/>
      <w:marTop w:val="0"/>
      <w:marBottom w:val="0"/>
      <w:divBdr>
        <w:top w:val="none" w:sz="0" w:space="0" w:color="auto"/>
        <w:left w:val="none" w:sz="0" w:space="0" w:color="auto"/>
        <w:bottom w:val="none" w:sz="0" w:space="0" w:color="auto"/>
        <w:right w:val="none" w:sz="0" w:space="0" w:color="auto"/>
      </w:divBdr>
      <w:divsChild>
        <w:div w:id="463930087">
          <w:marLeft w:val="0"/>
          <w:marRight w:val="0"/>
          <w:marTop w:val="0"/>
          <w:marBottom w:val="0"/>
          <w:divBdr>
            <w:top w:val="none" w:sz="0" w:space="0" w:color="auto"/>
            <w:left w:val="none" w:sz="0" w:space="0" w:color="auto"/>
            <w:bottom w:val="none" w:sz="0" w:space="0" w:color="auto"/>
            <w:right w:val="none" w:sz="0" w:space="0" w:color="auto"/>
          </w:divBdr>
        </w:div>
        <w:div w:id="1641878499">
          <w:marLeft w:val="0"/>
          <w:marRight w:val="0"/>
          <w:marTop w:val="0"/>
          <w:marBottom w:val="0"/>
          <w:divBdr>
            <w:top w:val="none" w:sz="0" w:space="0" w:color="auto"/>
            <w:left w:val="none" w:sz="0" w:space="0" w:color="auto"/>
            <w:bottom w:val="none" w:sz="0" w:space="0" w:color="auto"/>
            <w:right w:val="none" w:sz="0" w:space="0" w:color="auto"/>
          </w:divBdr>
        </w:div>
        <w:div w:id="1718164391">
          <w:marLeft w:val="0"/>
          <w:marRight w:val="0"/>
          <w:marTop w:val="0"/>
          <w:marBottom w:val="0"/>
          <w:divBdr>
            <w:top w:val="none" w:sz="0" w:space="0" w:color="auto"/>
            <w:left w:val="none" w:sz="0" w:space="0" w:color="auto"/>
            <w:bottom w:val="none" w:sz="0" w:space="0" w:color="auto"/>
            <w:right w:val="none" w:sz="0" w:space="0" w:color="auto"/>
          </w:divBdr>
        </w:div>
      </w:divsChild>
    </w:div>
    <w:div w:id="128521380">
      <w:bodyDiv w:val="1"/>
      <w:marLeft w:val="0"/>
      <w:marRight w:val="0"/>
      <w:marTop w:val="0"/>
      <w:marBottom w:val="0"/>
      <w:divBdr>
        <w:top w:val="none" w:sz="0" w:space="0" w:color="auto"/>
        <w:left w:val="none" w:sz="0" w:space="0" w:color="auto"/>
        <w:bottom w:val="none" w:sz="0" w:space="0" w:color="auto"/>
        <w:right w:val="none" w:sz="0" w:space="0" w:color="auto"/>
      </w:divBdr>
    </w:div>
    <w:div w:id="341050042">
      <w:bodyDiv w:val="1"/>
      <w:marLeft w:val="0"/>
      <w:marRight w:val="0"/>
      <w:marTop w:val="0"/>
      <w:marBottom w:val="0"/>
      <w:divBdr>
        <w:top w:val="none" w:sz="0" w:space="0" w:color="auto"/>
        <w:left w:val="none" w:sz="0" w:space="0" w:color="auto"/>
        <w:bottom w:val="none" w:sz="0" w:space="0" w:color="auto"/>
        <w:right w:val="none" w:sz="0" w:space="0" w:color="auto"/>
      </w:divBdr>
    </w:div>
    <w:div w:id="363212114">
      <w:bodyDiv w:val="1"/>
      <w:marLeft w:val="0"/>
      <w:marRight w:val="0"/>
      <w:marTop w:val="0"/>
      <w:marBottom w:val="0"/>
      <w:divBdr>
        <w:top w:val="none" w:sz="0" w:space="0" w:color="auto"/>
        <w:left w:val="none" w:sz="0" w:space="0" w:color="auto"/>
        <w:bottom w:val="none" w:sz="0" w:space="0" w:color="auto"/>
        <w:right w:val="none" w:sz="0" w:space="0" w:color="auto"/>
      </w:divBdr>
    </w:div>
    <w:div w:id="370962816">
      <w:bodyDiv w:val="1"/>
      <w:marLeft w:val="0"/>
      <w:marRight w:val="0"/>
      <w:marTop w:val="0"/>
      <w:marBottom w:val="0"/>
      <w:divBdr>
        <w:top w:val="none" w:sz="0" w:space="0" w:color="auto"/>
        <w:left w:val="none" w:sz="0" w:space="0" w:color="auto"/>
        <w:bottom w:val="none" w:sz="0" w:space="0" w:color="auto"/>
        <w:right w:val="none" w:sz="0" w:space="0" w:color="auto"/>
      </w:divBdr>
    </w:div>
    <w:div w:id="491986510">
      <w:bodyDiv w:val="1"/>
      <w:marLeft w:val="0"/>
      <w:marRight w:val="0"/>
      <w:marTop w:val="0"/>
      <w:marBottom w:val="0"/>
      <w:divBdr>
        <w:top w:val="none" w:sz="0" w:space="0" w:color="auto"/>
        <w:left w:val="none" w:sz="0" w:space="0" w:color="auto"/>
        <w:bottom w:val="none" w:sz="0" w:space="0" w:color="auto"/>
        <w:right w:val="none" w:sz="0" w:space="0" w:color="auto"/>
      </w:divBdr>
    </w:div>
    <w:div w:id="585649497">
      <w:bodyDiv w:val="1"/>
      <w:marLeft w:val="0"/>
      <w:marRight w:val="0"/>
      <w:marTop w:val="0"/>
      <w:marBottom w:val="0"/>
      <w:divBdr>
        <w:top w:val="none" w:sz="0" w:space="0" w:color="auto"/>
        <w:left w:val="none" w:sz="0" w:space="0" w:color="auto"/>
        <w:bottom w:val="none" w:sz="0" w:space="0" w:color="auto"/>
        <w:right w:val="none" w:sz="0" w:space="0" w:color="auto"/>
      </w:divBdr>
    </w:div>
    <w:div w:id="626815545">
      <w:bodyDiv w:val="1"/>
      <w:marLeft w:val="0"/>
      <w:marRight w:val="0"/>
      <w:marTop w:val="0"/>
      <w:marBottom w:val="0"/>
      <w:divBdr>
        <w:top w:val="none" w:sz="0" w:space="0" w:color="auto"/>
        <w:left w:val="none" w:sz="0" w:space="0" w:color="auto"/>
        <w:bottom w:val="none" w:sz="0" w:space="0" w:color="auto"/>
        <w:right w:val="none" w:sz="0" w:space="0" w:color="auto"/>
      </w:divBdr>
    </w:div>
    <w:div w:id="663121921">
      <w:bodyDiv w:val="1"/>
      <w:marLeft w:val="0"/>
      <w:marRight w:val="0"/>
      <w:marTop w:val="0"/>
      <w:marBottom w:val="0"/>
      <w:divBdr>
        <w:top w:val="none" w:sz="0" w:space="0" w:color="auto"/>
        <w:left w:val="none" w:sz="0" w:space="0" w:color="auto"/>
        <w:bottom w:val="none" w:sz="0" w:space="0" w:color="auto"/>
        <w:right w:val="none" w:sz="0" w:space="0" w:color="auto"/>
      </w:divBdr>
      <w:divsChild>
        <w:div w:id="496771217">
          <w:marLeft w:val="0"/>
          <w:marRight w:val="0"/>
          <w:marTop w:val="0"/>
          <w:marBottom w:val="0"/>
          <w:divBdr>
            <w:top w:val="none" w:sz="0" w:space="0" w:color="auto"/>
            <w:left w:val="none" w:sz="0" w:space="0" w:color="auto"/>
            <w:bottom w:val="none" w:sz="0" w:space="0" w:color="auto"/>
            <w:right w:val="none" w:sz="0" w:space="0" w:color="auto"/>
          </w:divBdr>
        </w:div>
        <w:div w:id="1548033027">
          <w:marLeft w:val="0"/>
          <w:marRight w:val="0"/>
          <w:marTop w:val="0"/>
          <w:marBottom w:val="0"/>
          <w:divBdr>
            <w:top w:val="none" w:sz="0" w:space="0" w:color="auto"/>
            <w:left w:val="none" w:sz="0" w:space="0" w:color="auto"/>
            <w:bottom w:val="none" w:sz="0" w:space="0" w:color="auto"/>
            <w:right w:val="none" w:sz="0" w:space="0" w:color="auto"/>
          </w:divBdr>
        </w:div>
      </w:divsChild>
    </w:div>
    <w:div w:id="677929146">
      <w:bodyDiv w:val="1"/>
      <w:marLeft w:val="0"/>
      <w:marRight w:val="0"/>
      <w:marTop w:val="0"/>
      <w:marBottom w:val="0"/>
      <w:divBdr>
        <w:top w:val="none" w:sz="0" w:space="0" w:color="auto"/>
        <w:left w:val="none" w:sz="0" w:space="0" w:color="auto"/>
        <w:bottom w:val="none" w:sz="0" w:space="0" w:color="auto"/>
        <w:right w:val="none" w:sz="0" w:space="0" w:color="auto"/>
      </w:divBdr>
    </w:div>
    <w:div w:id="688481793">
      <w:bodyDiv w:val="1"/>
      <w:marLeft w:val="0"/>
      <w:marRight w:val="0"/>
      <w:marTop w:val="0"/>
      <w:marBottom w:val="0"/>
      <w:divBdr>
        <w:top w:val="none" w:sz="0" w:space="0" w:color="auto"/>
        <w:left w:val="none" w:sz="0" w:space="0" w:color="auto"/>
        <w:bottom w:val="none" w:sz="0" w:space="0" w:color="auto"/>
        <w:right w:val="none" w:sz="0" w:space="0" w:color="auto"/>
      </w:divBdr>
      <w:divsChild>
        <w:div w:id="1766921318">
          <w:marLeft w:val="0"/>
          <w:marRight w:val="0"/>
          <w:marTop w:val="0"/>
          <w:marBottom w:val="0"/>
          <w:divBdr>
            <w:top w:val="none" w:sz="0" w:space="0" w:color="auto"/>
            <w:left w:val="none" w:sz="0" w:space="0" w:color="auto"/>
            <w:bottom w:val="none" w:sz="0" w:space="0" w:color="auto"/>
            <w:right w:val="none" w:sz="0" w:space="0" w:color="auto"/>
          </w:divBdr>
        </w:div>
      </w:divsChild>
    </w:div>
    <w:div w:id="731003647">
      <w:bodyDiv w:val="1"/>
      <w:marLeft w:val="0"/>
      <w:marRight w:val="0"/>
      <w:marTop w:val="0"/>
      <w:marBottom w:val="0"/>
      <w:divBdr>
        <w:top w:val="none" w:sz="0" w:space="0" w:color="auto"/>
        <w:left w:val="none" w:sz="0" w:space="0" w:color="auto"/>
        <w:bottom w:val="none" w:sz="0" w:space="0" w:color="auto"/>
        <w:right w:val="none" w:sz="0" w:space="0" w:color="auto"/>
      </w:divBdr>
      <w:divsChild>
        <w:div w:id="689600901">
          <w:marLeft w:val="0"/>
          <w:marRight w:val="0"/>
          <w:marTop w:val="0"/>
          <w:marBottom w:val="0"/>
          <w:divBdr>
            <w:top w:val="none" w:sz="0" w:space="0" w:color="auto"/>
            <w:left w:val="none" w:sz="0" w:space="0" w:color="auto"/>
            <w:bottom w:val="none" w:sz="0" w:space="0" w:color="auto"/>
            <w:right w:val="none" w:sz="0" w:space="0" w:color="auto"/>
          </w:divBdr>
        </w:div>
        <w:div w:id="523060493">
          <w:marLeft w:val="0"/>
          <w:marRight w:val="0"/>
          <w:marTop w:val="0"/>
          <w:marBottom w:val="0"/>
          <w:divBdr>
            <w:top w:val="none" w:sz="0" w:space="0" w:color="auto"/>
            <w:left w:val="none" w:sz="0" w:space="0" w:color="auto"/>
            <w:bottom w:val="none" w:sz="0" w:space="0" w:color="auto"/>
            <w:right w:val="none" w:sz="0" w:space="0" w:color="auto"/>
          </w:divBdr>
        </w:div>
        <w:div w:id="290749608">
          <w:marLeft w:val="0"/>
          <w:marRight w:val="0"/>
          <w:marTop w:val="0"/>
          <w:marBottom w:val="0"/>
          <w:divBdr>
            <w:top w:val="none" w:sz="0" w:space="0" w:color="auto"/>
            <w:left w:val="none" w:sz="0" w:space="0" w:color="auto"/>
            <w:bottom w:val="none" w:sz="0" w:space="0" w:color="auto"/>
            <w:right w:val="none" w:sz="0" w:space="0" w:color="auto"/>
          </w:divBdr>
        </w:div>
        <w:div w:id="1899633332">
          <w:marLeft w:val="0"/>
          <w:marRight w:val="0"/>
          <w:marTop w:val="0"/>
          <w:marBottom w:val="0"/>
          <w:divBdr>
            <w:top w:val="none" w:sz="0" w:space="0" w:color="auto"/>
            <w:left w:val="none" w:sz="0" w:space="0" w:color="auto"/>
            <w:bottom w:val="none" w:sz="0" w:space="0" w:color="auto"/>
            <w:right w:val="none" w:sz="0" w:space="0" w:color="auto"/>
          </w:divBdr>
        </w:div>
        <w:div w:id="1860507999">
          <w:marLeft w:val="0"/>
          <w:marRight w:val="0"/>
          <w:marTop w:val="0"/>
          <w:marBottom w:val="0"/>
          <w:divBdr>
            <w:top w:val="none" w:sz="0" w:space="0" w:color="auto"/>
            <w:left w:val="none" w:sz="0" w:space="0" w:color="auto"/>
            <w:bottom w:val="none" w:sz="0" w:space="0" w:color="auto"/>
            <w:right w:val="none" w:sz="0" w:space="0" w:color="auto"/>
          </w:divBdr>
        </w:div>
        <w:div w:id="1456023521">
          <w:marLeft w:val="0"/>
          <w:marRight w:val="0"/>
          <w:marTop w:val="0"/>
          <w:marBottom w:val="0"/>
          <w:divBdr>
            <w:top w:val="none" w:sz="0" w:space="0" w:color="auto"/>
            <w:left w:val="none" w:sz="0" w:space="0" w:color="auto"/>
            <w:bottom w:val="none" w:sz="0" w:space="0" w:color="auto"/>
            <w:right w:val="none" w:sz="0" w:space="0" w:color="auto"/>
          </w:divBdr>
        </w:div>
        <w:div w:id="1715080594">
          <w:marLeft w:val="0"/>
          <w:marRight w:val="0"/>
          <w:marTop w:val="0"/>
          <w:marBottom w:val="0"/>
          <w:divBdr>
            <w:top w:val="none" w:sz="0" w:space="0" w:color="auto"/>
            <w:left w:val="none" w:sz="0" w:space="0" w:color="auto"/>
            <w:bottom w:val="none" w:sz="0" w:space="0" w:color="auto"/>
            <w:right w:val="none" w:sz="0" w:space="0" w:color="auto"/>
          </w:divBdr>
        </w:div>
      </w:divsChild>
    </w:div>
    <w:div w:id="742871593">
      <w:bodyDiv w:val="1"/>
      <w:marLeft w:val="0"/>
      <w:marRight w:val="0"/>
      <w:marTop w:val="0"/>
      <w:marBottom w:val="0"/>
      <w:divBdr>
        <w:top w:val="none" w:sz="0" w:space="0" w:color="auto"/>
        <w:left w:val="none" w:sz="0" w:space="0" w:color="auto"/>
        <w:bottom w:val="none" w:sz="0" w:space="0" w:color="auto"/>
        <w:right w:val="none" w:sz="0" w:space="0" w:color="auto"/>
      </w:divBdr>
    </w:div>
    <w:div w:id="749011016">
      <w:bodyDiv w:val="1"/>
      <w:marLeft w:val="0"/>
      <w:marRight w:val="0"/>
      <w:marTop w:val="0"/>
      <w:marBottom w:val="0"/>
      <w:divBdr>
        <w:top w:val="none" w:sz="0" w:space="0" w:color="auto"/>
        <w:left w:val="none" w:sz="0" w:space="0" w:color="auto"/>
        <w:bottom w:val="none" w:sz="0" w:space="0" w:color="auto"/>
        <w:right w:val="none" w:sz="0" w:space="0" w:color="auto"/>
      </w:divBdr>
      <w:divsChild>
        <w:div w:id="622418034">
          <w:marLeft w:val="0"/>
          <w:marRight w:val="0"/>
          <w:marTop w:val="0"/>
          <w:marBottom w:val="0"/>
          <w:divBdr>
            <w:top w:val="none" w:sz="0" w:space="0" w:color="auto"/>
            <w:left w:val="none" w:sz="0" w:space="0" w:color="auto"/>
            <w:bottom w:val="none" w:sz="0" w:space="0" w:color="auto"/>
            <w:right w:val="none" w:sz="0" w:space="0" w:color="auto"/>
          </w:divBdr>
        </w:div>
      </w:divsChild>
    </w:div>
    <w:div w:id="751052371">
      <w:bodyDiv w:val="1"/>
      <w:marLeft w:val="0"/>
      <w:marRight w:val="0"/>
      <w:marTop w:val="0"/>
      <w:marBottom w:val="0"/>
      <w:divBdr>
        <w:top w:val="none" w:sz="0" w:space="0" w:color="auto"/>
        <w:left w:val="none" w:sz="0" w:space="0" w:color="auto"/>
        <w:bottom w:val="none" w:sz="0" w:space="0" w:color="auto"/>
        <w:right w:val="none" w:sz="0" w:space="0" w:color="auto"/>
      </w:divBdr>
    </w:div>
    <w:div w:id="800002696">
      <w:bodyDiv w:val="1"/>
      <w:marLeft w:val="0"/>
      <w:marRight w:val="0"/>
      <w:marTop w:val="0"/>
      <w:marBottom w:val="0"/>
      <w:divBdr>
        <w:top w:val="none" w:sz="0" w:space="0" w:color="auto"/>
        <w:left w:val="none" w:sz="0" w:space="0" w:color="auto"/>
        <w:bottom w:val="none" w:sz="0" w:space="0" w:color="auto"/>
        <w:right w:val="none" w:sz="0" w:space="0" w:color="auto"/>
      </w:divBdr>
    </w:div>
    <w:div w:id="804129157">
      <w:bodyDiv w:val="1"/>
      <w:marLeft w:val="0"/>
      <w:marRight w:val="0"/>
      <w:marTop w:val="0"/>
      <w:marBottom w:val="0"/>
      <w:divBdr>
        <w:top w:val="none" w:sz="0" w:space="0" w:color="auto"/>
        <w:left w:val="none" w:sz="0" w:space="0" w:color="auto"/>
        <w:bottom w:val="none" w:sz="0" w:space="0" w:color="auto"/>
        <w:right w:val="none" w:sz="0" w:space="0" w:color="auto"/>
      </w:divBdr>
    </w:div>
    <w:div w:id="843667709">
      <w:bodyDiv w:val="1"/>
      <w:marLeft w:val="0"/>
      <w:marRight w:val="0"/>
      <w:marTop w:val="0"/>
      <w:marBottom w:val="0"/>
      <w:divBdr>
        <w:top w:val="none" w:sz="0" w:space="0" w:color="auto"/>
        <w:left w:val="none" w:sz="0" w:space="0" w:color="auto"/>
        <w:bottom w:val="none" w:sz="0" w:space="0" w:color="auto"/>
        <w:right w:val="none" w:sz="0" w:space="0" w:color="auto"/>
      </w:divBdr>
    </w:div>
    <w:div w:id="920605644">
      <w:bodyDiv w:val="1"/>
      <w:marLeft w:val="0"/>
      <w:marRight w:val="0"/>
      <w:marTop w:val="0"/>
      <w:marBottom w:val="0"/>
      <w:divBdr>
        <w:top w:val="none" w:sz="0" w:space="0" w:color="auto"/>
        <w:left w:val="none" w:sz="0" w:space="0" w:color="auto"/>
        <w:bottom w:val="none" w:sz="0" w:space="0" w:color="auto"/>
        <w:right w:val="none" w:sz="0" w:space="0" w:color="auto"/>
      </w:divBdr>
    </w:div>
    <w:div w:id="943607617">
      <w:bodyDiv w:val="1"/>
      <w:marLeft w:val="0"/>
      <w:marRight w:val="0"/>
      <w:marTop w:val="0"/>
      <w:marBottom w:val="0"/>
      <w:divBdr>
        <w:top w:val="none" w:sz="0" w:space="0" w:color="auto"/>
        <w:left w:val="none" w:sz="0" w:space="0" w:color="auto"/>
        <w:bottom w:val="none" w:sz="0" w:space="0" w:color="auto"/>
        <w:right w:val="none" w:sz="0" w:space="0" w:color="auto"/>
      </w:divBdr>
    </w:div>
    <w:div w:id="946546877">
      <w:bodyDiv w:val="1"/>
      <w:marLeft w:val="0"/>
      <w:marRight w:val="0"/>
      <w:marTop w:val="0"/>
      <w:marBottom w:val="0"/>
      <w:divBdr>
        <w:top w:val="none" w:sz="0" w:space="0" w:color="auto"/>
        <w:left w:val="none" w:sz="0" w:space="0" w:color="auto"/>
        <w:bottom w:val="none" w:sz="0" w:space="0" w:color="auto"/>
        <w:right w:val="none" w:sz="0" w:space="0" w:color="auto"/>
      </w:divBdr>
    </w:div>
    <w:div w:id="954288070">
      <w:bodyDiv w:val="1"/>
      <w:marLeft w:val="0"/>
      <w:marRight w:val="0"/>
      <w:marTop w:val="0"/>
      <w:marBottom w:val="0"/>
      <w:divBdr>
        <w:top w:val="none" w:sz="0" w:space="0" w:color="auto"/>
        <w:left w:val="none" w:sz="0" w:space="0" w:color="auto"/>
        <w:bottom w:val="none" w:sz="0" w:space="0" w:color="auto"/>
        <w:right w:val="none" w:sz="0" w:space="0" w:color="auto"/>
      </w:divBdr>
    </w:div>
    <w:div w:id="1016689855">
      <w:bodyDiv w:val="1"/>
      <w:marLeft w:val="0"/>
      <w:marRight w:val="0"/>
      <w:marTop w:val="0"/>
      <w:marBottom w:val="0"/>
      <w:divBdr>
        <w:top w:val="none" w:sz="0" w:space="0" w:color="auto"/>
        <w:left w:val="none" w:sz="0" w:space="0" w:color="auto"/>
        <w:bottom w:val="none" w:sz="0" w:space="0" w:color="auto"/>
        <w:right w:val="none" w:sz="0" w:space="0" w:color="auto"/>
      </w:divBdr>
    </w:div>
    <w:div w:id="1028024589">
      <w:bodyDiv w:val="1"/>
      <w:marLeft w:val="0"/>
      <w:marRight w:val="0"/>
      <w:marTop w:val="0"/>
      <w:marBottom w:val="0"/>
      <w:divBdr>
        <w:top w:val="none" w:sz="0" w:space="0" w:color="auto"/>
        <w:left w:val="none" w:sz="0" w:space="0" w:color="auto"/>
        <w:bottom w:val="none" w:sz="0" w:space="0" w:color="auto"/>
        <w:right w:val="none" w:sz="0" w:space="0" w:color="auto"/>
      </w:divBdr>
    </w:div>
    <w:div w:id="1062681833">
      <w:bodyDiv w:val="1"/>
      <w:marLeft w:val="0"/>
      <w:marRight w:val="0"/>
      <w:marTop w:val="0"/>
      <w:marBottom w:val="0"/>
      <w:divBdr>
        <w:top w:val="none" w:sz="0" w:space="0" w:color="auto"/>
        <w:left w:val="none" w:sz="0" w:space="0" w:color="auto"/>
        <w:bottom w:val="none" w:sz="0" w:space="0" w:color="auto"/>
        <w:right w:val="none" w:sz="0" w:space="0" w:color="auto"/>
      </w:divBdr>
    </w:div>
    <w:div w:id="1095712963">
      <w:bodyDiv w:val="1"/>
      <w:marLeft w:val="0"/>
      <w:marRight w:val="0"/>
      <w:marTop w:val="0"/>
      <w:marBottom w:val="0"/>
      <w:divBdr>
        <w:top w:val="none" w:sz="0" w:space="0" w:color="auto"/>
        <w:left w:val="none" w:sz="0" w:space="0" w:color="auto"/>
        <w:bottom w:val="none" w:sz="0" w:space="0" w:color="auto"/>
        <w:right w:val="none" w:sz="0" w:space="0" w:color="auto"/>
      </w:divBdr>
    </w:div>
    <w:div w:id="1103692713">
      <w:bodyDiv w:val="1"/>
      <w:marLeft w:val="0"/>
      <w:marRight w:val="0"/>
      <w:marTop w:val="0"/>
      <w:marBottom w:val="0"/>
      <w:divBdr>
        <w:top w:val="none" w:sz="0" w:space="0" w:color="auto"/>
        <w:left w:val="none" w:sz="0" w:space="0" w:color="auto"/>
        <w:bottom w:val="none" w:sz="0" w:space="0" w:color="auto"/>
        <w:right w:val="none" w:sz="0" w:space="0" w:color="auto"/>
      </w:divBdr>
    </w:div>
    <w:div w:id="1104958684">
      <w:bodyDiv w:val="1"/>
      <w:marLeft w:val="0"/>
      <w:marRight w:val="0"/>
      <w:marTop w:val="0"/>
      <w:marBottom w:val="0"/>
      <w:divBdr>
        <w:top w:val="none" w:sz="0" w:space="0" w:color="auto"/>
        <w:left w:val="none" w:sz="0" w:space="0" w:color="auto"/>
        <w:bottom w:val="none" w:sz="0" w:space="0" w:color="auto"/>
        <w:right w:val="none" w:sz="0" w:space="0" w:color="auto"/>
      </w:divBdr>
    </w:div>
    <w:div w:id="1125932147">
      <w:bodyDiv w:val="1"/>
      <w:marLeft w:val="0"/>
      <w:marRight w:val="0"/>
      <w:marTop w:val="0"/>
      <w:marBottom w:val="0"/>
      <w:divBdr>
        <w:top w:val="none" w:sz="0" w:space="0" w:color="auto"/>
        <w:left w:val="none" w:sz="0" w:space="0" w:color="auto"/>
        <w:bottom w:val="none" w:sz="0" w:space="0" w:color="auto"/>
        <w:right w:val="none" w:sz="0" w:space="0" w:color="auto"/>
      </w:divBdr>
    </w:div>
    <w:div w:id="1198465396">
      <w:bodyDiv w:val="1"/>
      <w:marLeft w:val="0"/>
      <w:marRight w:val="0"/>
      <w:marTop w:val="0"/>
      <w:marBottom w:val="0"/>
      <w:divBdr>
        <w:top w:val="none" w:sz="0" w:space="0" w:color="auto"/>
        <w:left w:val="none" w:sz="0" w:space="0" w:color="auto"/>
        <w:bottom w:val="none" w:sz="0" w:space="0" w:color="auto"/>
        <w:right w:val="none" w:sz="0" w:space="0" w:color="auto"/>
      </w:divBdr>
    </w:div>
    <w:div w:id="1219585351">
      <w:bodyDiv w:val="1"/>
      <w:marLeft w:val="0"/>
      <w:marRight w:val="0"/>
      <w:marTop w:val="0"/>
      <w:marBottom w:val="0"/>
      <w:divBdr>
        <w:top w:val="none" w:sz="0" w:space="0" w:color="auto"/>
        <w:left w:val="none" w:sz="0" w:space="0" w:color="auto"/>
        <w:bottom w:val="none" w:sz="0" w:space="0" w:color="auto"/>
        <w:right w:val="none" w:sz="0" w:space="0" w:color="auto"/>
      </w:divBdr>
    </w:div>
    <w:div w:id="1220509014">
      <w:bodyDiv w:val="1"/>
      <w:marLeft w:val="0"/>
      <w:marRight w:val="0"/>
      <w:marTop w:val="0"/>
      <w:marBottom w:val="0"/>
      <w:divBdr>
        <w:top w:val="none" w:sz="0" w:space="0" w:color="auto"/>
        <w:left w:val="none" w:sz="0" w:space="0" w:color="auto"/>
        <w:bottom w:val="none" w:sz="0" w:space="0" w:color="auto"/>
        <w:right w:val="none" w:sz="0" w:space="0" w:color="auto"/>
      </w:divBdr>
    </w:div>
    <w:div w:id="1230655078">
      <w:bodyDiv w:val="1"/>
      <w:marLeft w:val="0"/>
      <w:marRight w:val="0"/>
      <w:marTop w:val="0"/>
      <w:marBottom w:val="0"/>
      <w:divBdr>
        <w:top w:val="none" w:sz="0" w:space="0" w:color="auto"/>
        <w:left w:val="none" w:sz="0" w:space="0" w:color="auto"/>
        <w:bottom w:val="none" w:sz="0" w:space="0" w:color="auto"/>
        <w:right w:val="none" w:sz="0" w:space="0" w:color="auto"/>
      </w:divBdr>
    </w:div>
    <w:div w:id="1247501308">
      <w:bodyDiv w:val="1"/>
      <w:marLeft w:val="0"/>
      <w:marRight w:val="0"/>
      <w:marTop w:val="0"/>
      <w:marBottom w:val="0"/>
      <w:divBdr>
        <w:top w:val="none" w:sz="0" w:space="0" w:color="auto"/>
        <w:left w:val="none" w:sz="0" w:space="0" w:color="auto"/>
        <w:bottom w:val="none" w:sz="0" w:space="0" w:color="auto"/>
        <w:right w:val="none" w:sz="0" w:space="0" w:color="auto"/>
      </w:divBdr>
    </w:div>
    <w:div w:id="1258438707">
      <w:bodyDiv w:val="1"/>
      <w:marLeft w:val="0"/>
      <w:marRight w:val="0"/>
      <w:marTop w:val="0"/>
      <w:marBottom w:val="0"/>
      <w:divBdr>
        <w:top w:val="none" w:sz="0" w:space="0" w:color="auto"/>
        <w:left w:val="none" w:sz="0" w:space="0" w:color="auto"/>
        <w:bottom w:val="none" w:sz="0" w:space="0" w:color="auto"/>
        <w:right w:val="none" w:sz="0" w:space="0" w:color="auto"/>
      </w:divBdr>
    </w:div>
    <w:div w:id="1297643583">
      <w:bodyDiv w:val="1"/>
      <w:marLeft w:val="0"/>
      <w:marRight w:val="0"/>
      <w:marTop w:val="0"/>
      <w:marBottom w:val="0"/>
      <w:divBdr>
        <w:top w:val="none" w:sz="0" w:space="0" w:color="auto"/>
        <w:left w:val="none" w:sz="0" w:space="0" w:color="auto"/>
        <w:bottom w:val="none" w:sz="0" w:space="0" w:color="auto"/>
        <w:right w:val="none" w:sz="0" w:space="0" w:color="auto"/>
      </w:divBdr>
    </w:div>
    <w:div w:id="1387794921">
      <w:bodyDiv w:val="1"/>
      <w:marLeft w:val="0"/>
      <w:marRight w:val="0"/>
      <w:marTop w:val="0"/>
      <w:marBottom w:val="0"/>
      <w:divBdr>
        <w:top w:val="none" w:sz="0" w:space="0" w:color="auto"/>
        <w:left w:val="none" w:sz="0" w:space="0" w:color="auto"/>
        <w:bottom w:val="none" w:sz="0" w:space="0" w:color="auto"/>
        <w:right w:val="none" w:sz="0" w:space="0" w:color="auto"/>
      </w:divBdr>
    </w:div>
    <w:div w:id="1583568807">
      <w:bodyDiv w:val="1"/>
      <w:marLeft w:val="0"/>
      <w:marRight w:val="0"/>
      <w:marTop w:val="0"/>
      <w:marBottom w:val="0"/>
      <w:divBdr>
        <w:top w:val="none" w:sz="0" w:space="0" w:color="auto"/>
        <w:left w:val="none" w:sz="0" w:space="0" w:color="auto"/>
        <w:bottom w:val="none" w:sz="0" w:space="0" w:color="auto"/>
        <w:right w:val="none" w:sz="0" w:space="0" w:color="auto"/>
      </w:divBdr>
    </w:div>
    <w:div w:id="1646466432">
      <w:bodyDiv w:val="1"/>
      <w:marLeft w:val="0"/>
      <w:marRight w:val="0"/>
      <w:marTop w:val="0"/>
      <w:marBottom w:val="0"/>
      <w:divBdr>
        <w:top w:val="none" w:sz="0" w:space="0" w:color="auto"/>
        <w:left w:val="none" w:sz="0" w:space="0" w:color="auto"/>
        <w:bottom w:val="none" w:sz="0" w:space="0" w:color="auto"/>
        <w:right w:val="none" w:sz="0" w:space="0" w:color="auto"/>
      </w:divBdr>
    </w:div>
    <w:div w:id="1657758296">
      <w:bodyDiv w:val="1"/>
      <w:marLeft w:val="0"/>
      <w:marRight w:val="0"/>
      <w:marTop w:val="0"/>
      <w:marBottom w:val="0"/>
      <w:divBdr>
        <w:top w:val="none" w:sz="0" w:space="0" w:color="auto"/>
        <w:left w:val="none" w:sz="0" w:space="0" w:color="auto"/>
        <w:bottom w:val="none" w:sz="0" w:space="0" w:color="auto"/>
        <w:right w:val="none" w:sz="0" w:space="0" w:color="auto"/>
      </w:divBdr>
    </w:div>
    <w:div w:id="1674720267">
      <w:bodyDiv w:val="1"/>
      <w:marLeft w:val="0"/>
      <w:marRight w:val="0"/>
      <w:marTop w:val="0"/>
      <w:marBottom w:val="0"/>
      <w:divBdr>
        <w:top w:val="none" w:sz="0" w:space="0" w:color="auto"/>
        <w:left w:val="none" w:sz="0" w:space="0" w:color="auto"/>
        <w:bottom w:val="none" w:sz="0" w:space="0" w:color="auto"/>
        <w:right w:val="none" w:sz="0" w:space="0" w:color="auto"/>
      </w:divBdr>
    </w:div>
    <w:div w:id="1705666178">
      <w:bodyDiv w:val="1"/>
      <w:marLeft w:val="0"/>
      <w:marRight w:val="0"/>
      <w:marTop w:val="0"/>
      <w:marBottom w:val="0"/>
      <w:divBdr>
        <w:top w:val="none" w:sz="0" w:space="0" w:color="auto"/>
        <w:left w:val="none" w:sz="0" w:space="0" w:color="auto"/>
        <w:bottom w:val="none" w:sz="0" w:space="0" w:color="auto"/>
        <w:right w:val="none" w:sz="0" w:space="0" w:color="auto"/>
      </w:divBdr>
    </w:div>
    <w:div w:id="1707101774">
      <w:bodyDiv w:val="1"/>
      <w:marLeft w:val="0"/>
      <w:marRight w:val="0"/>
      <w:marTop w:val="0"/>
      <w:marBottom w:val="0"/>
      <w:divBdr>
        <w:top w:val="none" w:sz="0" w:space="0" w:color="auto"/>
        <w:left w:val="none" w:sz="0" w:space="0" w:color="auto"/>
        <w:bottom w:val="none" w:sz="0" w:space="0" w:color="auto"/>
        <w:right w:val="none" w:sz="0" w:space="0" w:color="auto"/>
      </w:divBdr>
    </w:div>
    <w:div w:id="1745563377">
      <w:bodyDiv w:val="1"/>
      <w:marLeft w:val="0"/>
      <w:marRight w:val="0"/>
      <w:marTop w:val="0"/>
      <w:marBottom w:val="0"/>
      <w:divBdr>
        <w:top w:val="none" w:sz="0" w:space="0" w:color="auto"/>
        <w:left w:val="none" w:sz="0" w:space="0" w:color="auto"/>
        <w:bottom w:val="none" w:sz="0" w:space="0" w:color="auto"/>
        <w:right w:val="none" w:sz="0" w:space="0" w:color="auto"/>
      </w:divBdr>
    </w:div>
    <w:div w:id="1752461637">
      <w:bodyDiv w:val="1"/>
      <w:marLeft w:val="0"/>
      <w:marRight w:val="0"/>
      <w:marTop w:val="0"/>
      <w:marBottom w:val="0"/>
      <w:divBdr>
        <w:top w:val="none" w:sz="0" w:space="0" w:color="auto"/>
        <w:left w:val="none" w:sz="0" w:space="0" w:color="auto"/>
        <w:bottom w:val="none" w:sz="0" w:space="0" w:color="auto"/>
        <w:right w:val="none" w:sz="0" w:space="0" w:color="auto"/>
      </w:divBdr>
    </w:div>
    <w:div w:id="1785885690">
      <w:bodyDiv w:val="1"/>
      <w:marLeft w:val="0"/>
      <w:marRight w:val="0"/>
      <w:marTop w:val="0"/>
      <w:marBottom w:val="0"/>
      <w:divBdr>
        <w:top w:val="none" w:sz="0" w:space="0" w:color="auto"/>
        <w:left w:val="none" w:sz="0" w:space="0" w:color="auto"/>
        <w:bottom w:val="none" w:sz="0" w:space="0" w:color="auto"/>
        <w:right w:val="none" w:sz="0" w:space="0" w:color="auto"/>
      </w:divBdr>
    </w:div>
    <w:div w:id="1812016740">
      <w:bodyDiv w:val="1"/>
      <w:marLeft w:val="0"/>
      <w:marRight w:val="0"/>
      <w:marTop w:val="0"/>
      <w:marBottom w:val="0"/>
      <w:divBdr>
        <w:top w:val="none" w:sz="0" w:space="0" w:color="auto"/>
        <w:left w:val="none" w:sz="0" w:space="0" w:color="auto"/>
        <w:bottom w:val="none" w:sz="0" w:space="0" w:color="auto"/>
        <w:right w:val="none" w:sz="0" w:space="0" w:color="auto"/>
      </w:divBdr>
    </w:div>
    <w:div w:id="1834879510">
      <w:bodyDiv w:val="1"/>
      <w:marLeft w:val="0"/>
      <w:marRight w:val="0"/>
      <w:marTop w:val="0"/>
      <w:marBottom w:val="0"/>
      <w:divBdr>
        <w:top w:val="none" w:sz="0" w:space="0" w:color="auto"/>
        <w:left w:val="none" w:sz="0" w:space="0" w:color="auto"/>
        <w:bottom w:val="none" w:sz="0" w:space="0" w:color="auto"/>
        <w:right w:val="none" w:sz="0" w:space="0" w:color="auto"/>
      </w:divBdr>
    </w:div>
    <w:div w:id="1930114809">
      <w:bodyDiv w:val="1"/>
      <w:marLeft w:val="0"/>
      <w:marRight w:val="0"/>
      <w:marTop w:val="0"/>
      <w:marBottom w:val="0"/>
      <w:divBdr>
        <w:top w:val="none" w:sz="0" w:space="0" w:color="auto"/>
        <w:left w:val="none" w:sz="0" w:space="0" w:color="auto"/>
        <w:bottom w:val="none" w:sz="0" w:space="0" w:color="auto"/>
        <w:right w:val="none" w:sz="0" w:space="0" w:color="auto"/>
      </w:divBdr>
    </w:div>
    <w:div w:id="1945068595">
      <w:bodyDiv w:val="1"/>
      <w:marLeft w:val="0"/>
      <w:marRight w:val="0"/>
      <w:marTop w:val="0"/>
      <w:marBottom w:val="0"/>
      <w:divBdr>
        <w:top w:val="none" w:sz="0" w:space="0" w:color="auto"/>
        <w:left w:val="none" w:sz="0" w:space="0" w:color="auto"/>
        <w:bottom w:val="none" w:sz="0" w:space="0" w:color="auto"/>
        <w:right w:val="none" w:sz="0" w:space="0" w:color="auto"/>
      </w:divBdr>
    </w:div>
    <w:div w:id="2020041657">
      <w:bodyDiv w:val="1"/>
      <w:marLeft w:val="0"/>
      <w:marRight w:val="0"/>
      <w:marTop w:val="0"/>
      <w:marBottom w:val="0"/>
      <w:divBdr>
        <w:top w:val="none" w:sz="0" w:space="0" w:color="auto"/>
        <w:left w:val="none" w:sz="0" w:space="0" w:color="auto"/>
        <w:bottom w:val="none" w:sz="0" w:space="0" w:color="auto"/>
        <w:right w:val="none" w:sz="0" w:space="0" w:color="auto"/>
      </w:divBdr>
    </w:div>
    <w:div w:id="2045010311">
      <w:bodyDiv w:val="1"/>
      <w:marLeft w:val="0"/>
      <w:marRight w:val="0"/>
      <w:marTop w:val="0"/>
      <w:marBottom w:val="0"/>
      <w:divBdr>
        <w:top w:val="none" w:sz="0" w:space="0" w:color="auto"/>
        <w:left w:val="none" w:sz="0" w:space="0" w:color="auto"/>
        <w:bottom w:val="none" w:sz="0" w:space="0" w:color="auto"/>
        <w:right w:val="none" w:sz="0" w:space="0" w:color="auto"/>
      </w:divBdr>
      <w:divsChild>
        <w:div w:id="1180854846">
          <w:marLeft w:val="0"/>
          <w:marRight w:val="0"/>
          <w:marTop w:val="0"/>
          <w:marBottom w:val="0"/>
          <w:divBdr>
            <w:top w:val="none" w:sz="0" w:space="0" w:color="auto"/>
            <w:left w:val="none" w:sz="0" w:space="0" w:color="auto"/>
            <w:bottom w:val="none" w:sz="0" w:space="0" w:color="auto"/>
            <w:right w:val="none" w:sz="0" w:space="0" w:color="auto"/>
          </w:divBdr>
        </w:div>
        <w:div w:id="19639177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s://eur-lex.europa.eu/resource.html?uri=cellar:e0649735-a372-11eb-9585-01aa75ed71a1.0006.02/DOC_1&amp;format=PDF" TargetMode="External"/><Relationship Id="rId3" Type="http://schemas.openxmlformats.org/officeDocument/2006/relationships/hyperlink" Target="https://www.giustizia-amministrativa.it/web/guest/-/corradino-intelligenza-artificiale-e-pubblica-amministrazione-sfide-concrete-e-prospettive-future" TargetMode="External"/><Relationship Id="rId7" Type="http://schemas.openxmlformats.org/officeDocument/2006/relationships/hyperlink" Target="http://www.giustizia-amministrativa.it" TargetMode="External"/><Relationship Id="rId2" Type="http://schemas.openxmlformats.org/officeDocument/2006/relationships/hyperlink" Target="https://www.contenutidigitali.net/statistiche-utilizzo-social-network" TargetMode="External"/><Relationship Id="rId1" Type="http://schemas.openxmlformats.org/officeDocument/2006/relationships/hyperlink" Target="http://www.aaas.org/sites/default/files/AAAS-FBI-UNICRI_Big_Data_Report_111014.pdf" TargetMode="External"/><Relationship Id="rId6" Type="http://schemas.openxmlformats.org/officeDocument/2006/relationships/hyperlink" Target="https://eur-lex.europa.eu/legal-content/IT/ALL/?uri=CELEX:62008CJ0236" TargetMode="External"/><Relationship Id="rId11" Type="http://schemas.openxmlformats.org/officeDocument/2006/relationships/hyperlink" Target="https://www.theguardian.com/news/2018/mar/17/cambridge-analytica-facebook-influence-us-election" TargetMode="External"/><Relationship Id="rId5" Type="http://schemas.openxmlformats.org/officeDocument/2006/relationships/hyperlink" Target="https://www.axios.com/zuckerberg-facebook-section-230-shield-liability-ac9cfb3d-c98d-473b-b80a-722c79e68568.html" TargetMode="External"/><Relationship Id="rId10" Type="http://schemas.openxmlformats.org/officeDocument/2006/relationships/hyperlink" Target="https://www.legifrance.gouv.fr/ceta/id/CETATEXT000020253073/" TargetMode="External"/><Relationship Id="rId4" Type="http://schemas.openxmlformats.org/officeDocument/2006/relationships/hyperlink" Target="https://www.medialaws.eu/wp-content/uploads/2020/03/1-2020-Montaldo.pdf" TargetMode="External"/><Relationship Id="rId9" Type="http://schemas.openxmlformats.org/officeDocument/2006/relationships/hyperlink" Target="http://www.giustizia-amministrativa.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9E6361-D55D-44D6-868B-7900E1D2BD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5391</Words>
  <Characters>30732</Characters>
  <Application>Microsoft Office Word</Application>
  <DocSecurity>0</DocSecurity>
  <Lines>256</Lines>
  <Paragraphs>72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36051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Roberto Flor</dc:creator>
  <cp:keywords/>
  <dc:description/>
  <cp:lastModifiedBy>FERRARI Giulia</cp:lastModifiedBy>
  <cp:revision>3</cp:revision>
  <cp:lastPrinted>2022-01-10T09:49:00Z</cp:lastPrinted>
  <dcterms:created xsi:type="dcterms:W3CDTF">2022-02-10T21:14:00Z</dcterms:created>
  <dcterms:modified xsi:type="dcterms:W3CDTF">2022-02-10T21:15:00Z</dcterms:modified>
</cp:coreProperties>
</file>