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B6A" w:rsidRDefault="008572A1" w:rsidP="00050752">
      <w:pPr>
        <w:jc w:val="both"/>
        <w:rPr>
          <w:rFonts w:ascii="Garamond" w:hAnsi="Garamond"/>
          <w:b/>
          <w:sz w:val="36"/>
          <w:szCs w:val="36"/>
        </w:rPr>
      </w:pPr>
      <w:r w:rsidRPr="008572A1">
        <w:rPr>
          <w:rFonts w:ascii="Garamond" w:hAnsi="Garamond"/>
          <w:b/>
          <w:sz w:val="36"/>
          <w:szCs w:val="36"/>
        </w:rPr>
        <w:t xml:space="preserve">Brevi note in tema di riforma delle </w:t>
      </w:r>
      <w:proofErr w:type="spellStart"/>
      <w:r w:rsidRPr="008572A1">
        <w:rPr>
          <w:rFonts w:ascii="Garamond" w:hAnsi="Garamond"/>
          <w:b/>
          <w:sz w:val="36"/>
          <w:szCs w:val="36"/>
        </w:rPr>
        <w:t>interdittive</w:t>
      </w:r>
      <w:proofErr w:type="spellEnd"/>
      <w:r w:rsidRPr="008572A1">
        <w:rPr>
          <w:rFonts w:ascii="Garamond" w:hAnsi="Garamond"/>
          <w:b/>
          <w:sz w:val="36"/>
          <w:szCs w:val="36"/>
        </w:rPr>
        <w:t xml:space="preserve"> antimafia contenuta nel </w:t>
      </w:r>
      <w:proofErr w:type="spellStart"/>
      <w:r w:rsidR="00424176">
        <w:rPr>
          <w:rFonts w:ascii="Garamond" w:hAnsi="Garamond"/>
          <w:b/>
          <w:sz w:val="36"/>
          <w:szCs w:val="36"/>
        </w:rPr>
        <w:t>d.l.</w:t>
      </w:r>
      <w:proofErr w:type="spellEnd"/>
      <w:r w:rsidR="00B3409C">
        <w:rPr>
          <w:rFonts w:ascii="Garamond" w:hAnsi="Garamond"/>
          <w:b/>
          <w:sz w:val="36"/>
          <w:szCs w:val="36"/>
        </w:rPr>
        <w:t xml:space="preserve"> 6 novembre 2021</w:t>
      </w:r>
      <w:r w:rsidR="00424176">
        <w:rPr>
          <w:rFonts w:ascii="Garamond" w:hAnsi="Garamond"/>
          <w:b/>
          <w:sz w:val="36"/>
          <w:szCs w:val="36"/>
        </w:rPr>
        <w:t>,</w:t>
      </w:r>
      <w:r w:rsidR="00B3409C">
        <w:rPr>
          <w:rFonts w:ascii="Garamond" w:hAnsi="Garamond"/>
          <w:b/>
          <w:sz w:val="36"/>
          <w:szCs w:val="36"/>
        </w:rPr>
        <w:t xml:space="preserve"> n. 152</w:t>
      </w:r>
      <w:r w:rsidR="00424176">
        <w:rPr>
          <w:rFonts w:ascii="Garamond" w:hAnsi="Garamond"/>
          <w:b/>
          <w:sz w:val="36"/>
          <w:szCs w:val="36"/>
        </w:rPr>
        <w:t>,</w:t>
      </w:r>
      <w:r w:rsidR="009E767B">
        <w:rPr>
          <w:rFonts w:ascii="Garamond" w:hAnsi="Garamond"/>
          <w:b/>
          <w:sz w:val="36"/>
          <w:szCs w:val="36"/>
        </w:rPr>
        <w:t xml:space="preserve"> convertito dalla l</w:t>
      </w:r>
      <w:r w:rsidR="00424176">
        <w:rPr>
          <w:rFonts w:ascii="Garamond" w:hAnsi="Garamond"/>
          <w:b/>
          <w:sz w:val="36"/>
          <w:szCs w:val="36"/>
        </w:rPr>
        <w:t>.</w:t>
      </w:r>
      <w:r w:rsidR="009E767B">
        <w:rPr>
          <w:rFonts w:ascii="Garamond" w:hAnsi="Garamond"/>
          <w:b/>
          <w:sz w:val="36"/>
          <w:szCs w:val="36"/>
        </w:rPr>
        <w:t xml:space="preserve"> </w:t>
      </w:r>
      <w:r w:rsidR="009E767B" w:rsidRPr="009E767B">
        <w:rPr>
          <w:rFonts w:ascii="Garamond" w:hAnsi="Garamond"/>
          <w:b/>
          <w:sz w:val="36"/>
          <w:szCs w:val="36"/>
        </w:rPr>
        <w:t>29 dicembre 2021, n. 233</w:t>
      </w:r>
      <w:r w:rsidR="00E32D4F">
        <w:rPr>
          <w:rFonts w:ascii="Garamond" w:hAnsi="Garamond"/>
          <w:b/>
          <w:sz w:val="36"/>
          <w:szCs w:val="36"/>
        </w:rPr>
        <w:t xml:space="preserve"> per l’attuazione del PNRR</w:t>
      </w:r>
    </w:p>
    <w:p w:rsidR="008572A1" w:rsidRPr="00424176" w:rsidRDefault="008572A1" w:rsidP="008D5B6A">
      <w:pPr>
        <w:jc w:val="center"/>
        <w:rPr>
          <w:rFonts w:ascii="Garamond" w:hAnsi="Garamond"/>
          <w:sz w:val="20"/>
          <w:szCs w:val="20"/>
        </w:rPr>
      </w:pPr>
      <w:r w:rsidRPr="00424176">
        <w:rPr>
          <w:rFonts w:ascii="Garamond" w:hAnsi="Garamond"/>
          <w:sz w:val="20"/>
          <w:szCs w:val="20"/>
        </w:rPr>
        <w:t xml:space="preserve">Relazione al convegno </w:t>
      </w:r>
      <w:r w:rsidR="006D4194" w:rsidRPr="00424176">
        <w:rPr>
          <w:rFonts w:ascii="Garamond" w:hAnsi="Garamond"/>
          <w:sz w:val="20"/>
          <w:szCs w:val="20"/>
        </w:rPr>
        <w:t>“</w:t>
      </w:r>
      <w:r w:rsidRPr="00424176">
        <w:rPr>
          <w:rFonts w:ascii="Garamond" w:hAnsi="Garamond"/>
          <w:sz w:val="20"/>
          <w:szCs w:val="20"/>
        </w:rPr>
        <w:t>Pubblica Amministrazione e Giustizia Amministrativa, tra misure di semplificazione e pro concorrenziali, interventi di sostegno dell’economia e riforme del PNRR</w:t>
      </w:r>
      <w:r w:rsidR="006D4194" w:rsidRPr="00424176">
        <w:rPr>
          <w:rFonts w:ascii="Garamond" w:hAnsi="Garamond"/>
          <w:sz w:val="20"/>
          <w:szCs w:val="20"/>
        </w:rPr>
        <w:t>”</w:t>
      </w:r>
      <w:r w:rsidRPr="00424176">
        <w:rPr>
          <w:rFonts w:ascii="Garamond" w:hAnsi="Garamond"/>
          <w:sz w:val="20"/>
          <w:szCs w:val="20"/>
        </w:rPr>
        <w:t xml:space="preserve"> tenutosi alla SPISA di Bologna</w:t>
      </w:r>
      <w:r w:rsidR="00050752" w:rsidRPr="00424176">
        <w:rPr>
          <w:rFonts w:ascii="Garamond" w:hAnsi="Garamond"/>
          <w:sz w:val="20"/>
          <w:szCs w:val="20"/>
        </w:rPr>
        <w:t xml:space="preserve"> il 24-25 gennaio 2022.</w:t>
      </w:r>
      <w:r w:rsidRPr="00424176">
        <w:rPr>
          <w:rFonts w:ascii="Garamond" w:hAnsi="Garamond"/>
          <w:sz w:val="20"/>
          <w:szCs w:val="20"/>
        </w:rPr>
        <w:t xml:space="preserve"> </w:t>
      </w:r>
    </w:p>
    <w:p w:rsidR="008572A1" w:rsidRDefault="008572A1" w:rsidP="00680F1E">
      <w:pPr>
        <w:jc w:val="both"/>
        <w:rPr>
          <w:rFonts w:ascii="Garamond" w:hAnsi="Garamond"/>
          <w:sz w:val="28"/>
          <w:szCs w:val="28"/>
          <w:highlight w:val="yellow"/>
        </w:rPr>
      </w:pPr>
    </w:p>
    <w:p w:rsidR="008572A1" w:rsidRPr="00A309E0" w:rsidRDefault="00A309E0" w:rsidP="00645801">
      <w:pPr>
        <w:jc w:val="both"/>
        <w:rPr>
          <w:rFonts w:ascii="Garamond" w:hAnsi="Garamond"/>
          <w:sz w:val="28"/>
          <w:szCs w:val="28"/>
        </w:rPr>
      </w:pPr>
      <w:r>
        <w:rPr>
          <w:rFonts w:ascii="Garamond" w:hAnsi="Garamond"/>
          <w:sz w:val="28"/>
          <w:szCs w:val="28"/>
        </w:rPr>
        <w:t>Sommario:</w:t>
      </w:r>
      <w:r w:rsidRPr="00A309E0">
        <w:rPr>
          <w:rFonts w:ascii="Garamond" w:hAnsi="Garamond"/>
          <w:sz w:val="28"/>
          <w:szCs w:val="28"/>
        </w:rPr>
        <w:t xml:space="preserve"> </w:t>
      </w:r>
      <w:r w:rsidR="00645801" w:rsidRPr="00A309E0">
        <w:rPr>
          <w:rFonts w:ascii="Garamond" w:hAnsi="Garamond"/>
          <w:sz w:val="28"/>
          <w:szCs w:val="28"/>
        </w:rPr>
        <w:t xml:space="preserve">Premessa. 1. </w:t>
      </w:r>
      <w:r w:rsidR="00050752" w:rsidRPr="00A309E0">
        <w:rPr>
          <w:rFonts w:ascii="Garamond" w:hAnsi="Garamond"/>
          <w:sz w:val="28"/>
          <w:szCs w:val="28"/>
        </w:rPr>
        <w:t xml:space="preserve">- </w:t>
      </w:r>
      <w:r w:rsidR="00645801" w:rsidRPr="00A309E0">
        <w:rPr>
          <w:rFonts w:ascii="Garamond" w:hAnsi="Garamond"/>
          <w:sz w:val="28"/>
          <w:szCs w:val="28"/>
        </w:rPr>
        <w:t xml:space="preserve">La disciplina delle </w:t>
      </w:r>
      <w:proofErr w:type="spellStart"/>
      <w:r w:rsidR="00645801" w:rsidRPr="00A309E0">
        <w:rPr>
          <w:rFonts w:ascii="Garamond" w:hAnsi="Garamond"/>
          <w:sz w:val="28"/>
          <w:szCs w:val="28"/>
        </w:rPr>
        <w:t>interdittive</w:t>
      </w:r>
      <w:proofErr w:type="spellEnd"/>
      <w:r w:rsidR="00645801" w:rsidRPr="00A309E0">
        <w:rPr>
          <w:rFonts w:ascii="Garamond" w:hAnsi="Garamond"/>
          <w:sz w:val="28"/>
          <w:szCs w:val="28"/>
        </w:rPr>
        <w:t xml:space="preserve"> nel c.d. diritto vivente. 2. </w:t>
      </w:r>
      <w:r w:rsidR="00050752" w:rsidRPr="00A309E0">
        <w:rPr>
          <w:rFonts w:ascii="Garamond" w:hAnsi="Garamond"/>
          <w:sz w:val="28"/>
          <w:szCs w:val="28"/>
        </w:rPr>
        <w:t xml:space="preserve">- </w:t>
      </w:r>
      <w:proofErr w:type="spellStart"/>
      <w:r w:rsidR="00645801" w:rsidRPr="00A309E0">
        <w:rPr>
          <w:rFonts w:ascii="Garamond" w:hAnsi="Garamond"/>
          <w:sz w:val="28"/>
          <w:szCs w:val="28"/>
        </w:rPr>
        <w:t>Interdittive</w:t>
      </w:r>
      <w:proofErr w:type="spellEnd"/>
      <w:r w:rsidR="00645801" w:rsidRPr="00A309E0">
        <w:rPr>
          <w:rFonts w:ascii="Garamond" w:hAnsi="Garamond"/>
          <w:sz w:val="28"/>
          <w:szCs w:val="28"/>
        </w:rPr>
        <w:t xml:space="preserve"> antimafia e giusto procedimento.</w:t>
      </w:r>
      <w:r w:rsidR="00645801" w:rsidRPr="00A309E0">
        <w:t xml:space="preserve"> 3. </w:t>
      </w:r>
      <w:r w:rsidR="00050752" w:rsidRPr="00A309E0">
        <w:t xml:space="preserve">- </w:t>
      </w:r>
      <w:r w:rsidR="00645801" w:rsidRPr="00A309E0">
        <w:rPr>
          <w:rFonts w:ascii="Garamond" w:hAnsi="Garamond"/>
          <w:sz w:val="28"/>
          <w:szCs w:val="28"/>
        </w:rPr>
        <w:t xml:space="preserve">Il contraddittorio procedimentale nel diritto amministrativo europeo. 4. </w:t>
      </w:r>
      <w:r w:rsidR="00050752" w:rsidRPr="00A309E0">
        <w:rPr>
          <w:rFonts w:ascii="Garamond" w:hAnsi="Garamond"/>
          <w:sz w:val="28"/>
          <w:szCs w:val="28"/>
        </w:rPr>
        <w:t xml:space="preserve">- </w:t>
      </w:r>
      <w:r w:rsidR="00645801" w:rsidRPr="00A309E0">
        <w:rPr>
          <w:rFonts w:ascii="Garamond" w:hAnsi="Garamond"/>
          <w:sz w:val="28"/>
          <w:szCs w:val="28"/>
        </w:rPr>
        <w:t xml:space="preserve">Il nuovo istituto della prevenzione collaborativa. 5. </w:t>
      </w:r>
      <w:r w:rsidR="00050752" w:rsidRPr="00A309E0">
        <w:rPr>
          <w:rFonts w:ascii="Garamond" w:hAnsi="Garamond"/>
          <w:sz w:val="28"/>
          <w:szCs w:val="28"/>
        </w:rPr>
        <w:t>-</w:t>
      </w:r>
      <w:r w:rsidR="00645801" w:rsidRPr="00A309E0">
        <w:rPr>
          <w:rFonts w:ascii="Garamond" w:hAnsi="Garamond"/>
          <w:sz w:val="28"/>
          <w:szCs w:val="28"/>
        </w:rPr>
        <w:t xml:space="preserve">Problemi aperti. </w:t>
      </w:r>
      <w:r w:rsidR="00050752" w:rsidRPr="00A309E0">
        <w:rPr>
          <w:rFonts w:ascii="Garamond" w:hAnsi="Garamond"/>
          <w:sz w:val="28"/>
          <w:szCs w:val="28"/>
        </w:rPr>
        <w:t xml:space="preserve"> </w:t>
      </w:r>
      <w:r w:rsidR="00645801" w:rsidRPr="00A309E0">
        <w:rPr>
          <w:rFonts w:ascii="Garamond" w:hAnsi="Garamond"/>
          <w:sz w:val="28"/>
          <w:szCs w:val="28"/>
        </w:rPr>
        <w:t>Conclusioni.</w:t>
      </w:r>
    </w:p>
    <w:p w:rsidR="005B5D38" w:rsidRPr="00897CE1" w:rsidRDefault="00897CE1" w:rsidP="00680F1E">
      <w:pPr>
        <w:jc w:val="both"/>
        <w:rPr>
          <w:rFonts w:ascii="Garamond" w:hAnsi="Garamond"/>
          <w:b/>
          <w:sz w:val="28"/>
          <w:szCs w:val="28"/>
        </w:rPr>
      </w:pPr>
      <w:r w:rsidRPr="00897CE1">
        <w:rPr>
          <w:rFonts w:ascii="Garamond" w:hAnsi="Garamond"/>
          <w:b/>
          <w:sz w:val="28"/>
          <w:szCs w:val="28"/>
        </w:rPr>
        <w:t>Premessa</w:t>
      </w:r>
    </w:p>
    <w:p w:rsidR="008572A1" w:rsidRDefault="008572A1" w:rsidP="00680F1E">
      <w:pPr>
        <w:jc w:val="both"/>
        <w:rPr>
          <w:rFonts w:ascii="Garamond" w:hAnsi="Garamond"/>
          <w:sz w:val="28"/>
          <w:szCs w:val="28"/>
        </w:rPr>
      </w:pPr>
      <w:r>
        <w:rPr>
          <w:rFonts w:ascii="Garamond" w:hAnsi="Garamond"/>
          <w:sz w:val="28"/>
          <w:szCs w:val="28"/>
        </w:rPr>
        <w:t>Il decreto legge n. 152 del 6 novembre 2021 “</w:t>
      </w:r>
      <w:proofErr w:type="spellStart"/>
      <w:r>
        <w:rPr>
          <w:rFonts w:ascii="Garamond" w:hAnsi="Garamond"/>
          <w:sz w:val="28"/>
          <w:szCs w:val="28"/>
        </w:rPr>
        <w:t>Dispozioni</w:t>
      </w:r>
      <w:proofErr w:type="spellEnd"/>
      <w:r>
        <w:rPr>
          <w:rFonts w:ascii="Garamond" w:hAnsi="Garamond"/>
          <w:sz w:val="28"/>
          <w:szCs w:val="28"/>
        </w:rPr>
        <w:t xml:space="preserve"> urgenti per l’attuazione del PNRR e per la prevenzione dalle infiltrazioni mafiose”</w:t>
      </w:r>
      <w:r w:rsidR="009E767B">
        <w:rPr>
          <w:rFonts w:ascii="Garamond" w:hAnsi="Garamond"/>
          <w:sz w:val="28"/>
          <w:szCs w:val="28"/>
        </w:rPr>
        <w:t xml:space="preserve"> convertito dalla</w:t>
      </w:r>
      <w:r w:rsidRPr="008572A1">
        <w:rPr>
          <w:rFonts w:ascii="Garamond" w:hAnsi="Garamond"/>
          <w:sz w:val="28"/>
          <w:szCs w:val="28"/>
        </w:rPr>
        <w:t xml:space="preserve"> legge</w:t>
      </w:r>
      <w:r w:rsidR="00B3409C">
        <w:rPr>
          <w:rFonts w:ascii="Garamond" w:hAnsi="Garamond"/>
          <w:sz w:val="28"/>
          <w:szCs w:val="28"/>
        </w:rPr>
        <w:t xml:space="preserve"> 29 dicembre 2021 n. 233 </w:t>
      </w:r>
      <w:r>
        <w:rPr>
          <w:rFonts w:ascii="Garamond" w:hAnsi="Garamond"/>
          <w:sz w:val="28"/>
          <w:szCs w:val="28"/>
        </w:rPr>
        <w:t>ha apportato rilevanti modifiche al sistema di prevenzione antimafia disciplinato dal vigente decreto legislativo n. 159/2011.</w:t>
      </w:r>
    </w:p>
    <w:p w:rsidR="008572A1" w:rsidRDefault="008572A1" w:rsidP="00680F1E">
      <w:pPr>
        <w:jc w:val="both"/>
        <w:rPr>
          <w:rFonts w:ascii="Garamond" w:hAnsi="Garamond"/>
          <w:sz w:val="28"/>
          <w:szCs w:val="28"/>
        </w:rPr>
      </w:pPr>
      <w:r>
        <w:rPr>
          <w:rFonts w:ascii="Garamond" w:hAnsi="Garamond"/>
          <w:sz w:val="28"/>
          <w:szCs w:val="28"/>
        </w:rPr>
        <w:t>In particola</w:t>
      </w:r>
      <w:r w:rsidR="007B5894">
        <w:rPr>
          <w:rFonts w:ascii="Garamond" w:hAnsi="Garamond"/>
          <w:sz w:val="28"/>
          <w:szCs w:val="28"/>
        </w:rPr>
        <w:t>re per quel che qui interessa la m</w:t>
      </w:r>
      <w:r w:rsidR="006D4194">
        <w:rPr>
          <w:rFonts w:ascii="Garamond" w:hAnsi="Garamond"/>
          <w:sz w:val="28"/>
          <w:szCs w:val="28"/>
        </w:rPr>
        <w:t>odifica ha riguardato l’</w:t>
      </w:r>
      <w:r w:rsidR="007B5894">
        <w:rPr>
          <w:rFonts w:ascii="Garamond" w:hAnsi="Garamond"/>
          <w:sz w:val="28"/>
          <w:szCs w:val="28"/>
        </w:rPr>
        <w:t>articolo</w:t>
      </w:r>
      <w:r>
        <w:rPr>
          <w:rFonts w:ascii="Garamond" w:hAnsi="Garamond"/>
          <w:sz w:val="28"/>
          <w:szCs w:val="28"/>
        </w:rPr>
        <w:t xml:space="preserve"> 92 in tema di procedimento di rilascio dell’</w:t>
      </w:r>
      <w:proofErr w:type="spellStart"/>
      <w:r w:rsidR="007B5894">
        <w:rPr>
          <w:rFonts w:ascii="Garamond" w:hAnsi="Garamond"/>
          <w:sz w:val="28"/>
          <w:szCs w:val="28"/>
        </w:rPr>
        <w:t>interdittiva</w:t>
      </w:r>
      <w:proofErr w:type="spellEnd"/>
      <w:r w:rsidR="007B5894">
        <w:rPr>
          <w:rFonts w:ascii="Garamond" w:hAnsi="Garamond"/>
          <w:sz w:val="28"/>
          <w:szCs w:val="28"/>
        </w:rPr>
        <w:t xml:space="preserve"> antimafia nonché l’introduzione del nuovo </w:t>
      </w:r>
      <w:r w:rsidR="00A309E0">
        <w:rPr>
          <w:rFonts w:ascii="Garamond" w:hAnsi="Garamond"/>
          <w:sz w:val="28"/>
          <w:szCs w:val="28"/>
        </w:rPr>
        <w:t>articolo 94 bis recante il</w:t>
      </w:r>
      <w:r w:rsidR="007B5894">
        <w:rPr>
          <w:rFonts w:ascii="Garamond" w:hAnsi="Garamond"/>
          <w:sz w:val="28"/>
          <w:szCs w:val="28"/>
        </w:rPr>
        <w:t xml:space="preserve"> nuovo istituto</w:t>
      </w:r>
      <w:r w:rsidR="00C15D58">
        <w:rPr>
          <w:rFonts w:ascii="Garamond" w:hAnsi="Garamond"/>
          <w:sz w:val="28"/>
          <w:szCs w:val="28"/>
        </w:rPr>
        <w:t>,</w:t>
      </w:r>
      <w:r w:rsidR="007B5894">
        <w:rPr>
          <w:rFonts w:ascii="Garamond" w:hAnsi="Garamond"/>
          <w:sz w:val="28"/>
          <w:szCs w:val="28"/>
        </w:rPr>
        <w:t xml:space="preserve"> alternativo all’</w:t>
      </w:r>
      <w:proofErr w:type="spellStart"/>
      <w:r w:rsidR="007B5894">
        <w:rPr>
          <w:rFonts w:ascii="Garamond" w:hAnsi="Garamond"/>
          <w:sz w:val="28"/>
          <w:szCs w:val="28"/>
        </w:rPr>
        <w:t>interdittiva</w:t>
      </w:r>
      <w:proofErr w:type="spellEnd"/>
      <w:r w:rsidR="00C15D58">
        <w:rPr>
          <w:rFonts w:ascii="Garamond" w:hAnsi="Garamond"/>
          <w:sz w:val="28"/>
          <w:szCs w:val="28"/>
        </w:rPr>
        <w:t>,</w:t>
      </w:r>
      <w:r w:rsidR="007B5894">
        <w:rPr>
          <w:rFonts w:ascii="Garamond" w:hAnsi="Garamond"/>
          <w:sz w:val="28"/>
          <w:szCs w:val="28"/>
        </w:rPr>
        <w:t xml:space="preserve"> della prevenzione collaborativa.</w:t>
      </w:r>
    </w:p>
    <w:p w:rsidR="007B5894" w:rsidRDefault="007B5894" w:rsidP="00680F1E">
      <w:pPr>
        <w:jc w:val="both"/>
        <w:rPr>
          <w:rFonts w:ascii="Garamond" w:hAnsi="Garamond"/>
          <w:sz w:val="28"/>
          <w:szCs w:val="28"/>
        </w:rPr>
      </w:pPr>
      <w:r>
        <w:rPr>
          <w:rFonts w:ascii="Garamond" w:hAnsi="Garamond"/>
          <w:sz w:val="28"/>
          <w:szCs w:val="28"/>
        </w:rPr>
        <w:t>Trattasi anzitutto</w:t>
      </w:r>
      <w:r w:rsidR="006D4194">
        <w:rPr>
          <w:rFonts w:ascii="Garamond" w:hAnsi="Garamond"/>
          <w:sz w:val="28"/>
          <w:szCs w:val="28"/>
        </w:rPr>
        <w:t>,</w:t>
      </w:r>
      <w:r>
        <w:rPr>
          <w:rFonts w:ascii="Garamond" w:hAnsi="Garamond"/>
          <w:sz w:val="28"/>
          <w:szCs w:val="28"/>
        </w:rPr>
        <w:t xml:space="preserve"> diversamente da altre norme contenute nel panorama normativo connesso all’attuazione del PNRR</w:t>
      </w:r>
      <w:r w:rsidR="00A309E0">
        <w:rPr>
          <w:rFonts w:ascii="Garamond" w:hAnsi="Garamond"/>
          <w:sz w:val="28"/>
          <w:szCs w:val="28"/>
        </w:rPr>
        <w:t>,</w:t>
      </w:r>
      <w:r>
        <w:rPr>
          <w:rFonts w:ascii="Garamond" w:hAnsi="Garamond"/>
          <w:sz w:val="28"/>
          <w:szCs w:val="28"/>
        </w:rPr>
        <w:t xml:space="preserve"> di disposizioni a regime che dunque saranno applicabili a tutti i procedimenti e non solo a quelli per l’attuazione in tutto o in parte del PNRR stesso, come ad esempio la disciplina speciale in materia di appalti </w:t>
      </w:r>
      <w:r w:rsidR="00FB1FD1">
        <w:rPr>
          <w:rFonts w:ascii="Garamond" w:hAnsi="Garamond"/>
          <w:sz w:val="28"/>
          <w:szCs w:val="28"/>
        </w:rPr>
        <w:t xml:space="preserve">di cui agli articoli </w:t>
      </w:r>
      <w:r w:rsidR="00FB1FD1" w:rsidRPr="00FB1FD1">
        <w:rPr>
          <w:rFonts w:ascii="Garamond" w:hAnsi="Garamond"/>
          <w:sz w:val="28"/>
          <w:szCs w:val="28"/>
        </w:rPr>
        <w:t>47, 48, 50 e</w:t>
      </w:r>
      <w:r w:rsidR="00FB1FD1">
        <w:rPr>
          <w:rFonts w:ascii="Garamond" w:hAnsi="Garamond"/>
          <w:sz w:val="28"/>
          <w:szCs w:val="28"/>
        </w:rPr>
        <w:t xml:space="preserve"> 53 del decreto legge</w:t>
      </w:r>
      <w:r w:rsidR="00FB1FD1" w:rsidRPr="00FB1FD1">
        <w:rPr>
          <w:rFonts w:ascii="Garamond" w:hAnsi="Garamond"/>
          <w:sz w:val="28"/>
          <w:szCs w:val="28"/>
        </w:rPr>
        <w:t xml:space="preserve"> 77</w:t>
      </w:r>
      <w:r w:rsidR="00FB1FD1">
        <w:rPr>
          <w:rFonts w:ascii="Garamond" w:hAnsi="Garamond"/>
          <w:sz w:val="28"/>
          <w:szCs w:val="28"/>
        </w:rPr>
        <w:t>/2021</w:t>
      </w:r>
      <w:r w:rsidR="00A309E0">
        <w:rPr>
          <w:rFonts w:ascii="Garamond" w:hAnsi="Garamond"/>
          <w:sz w:val="28"/>
          <w:szCs w:val="28"/>
        </w:rPr>
        <w:t xml:space="preserve"> (c.d. semplificazioni bis)</w:t>
      </w:r>
      <w:r w:rsidR="00FB1FD1">
        <w:rPr>
          <w:rFonts w:ascii="Garamond" w:hAnsi="Garamond"/>
          <w:sz w:val="28"/>
          <w:szCs w:val="28"/>
        </w:rPr>
        <w:t xml:space="preserve"> convertito dalla legge 29 luglio 2021 n</w:t>
      </w:r>
      <w:r w:rsidR="00B3409C">
        <w:rPr>
          <w:rFonts w:ascii="Garamond" w:hAnsi="Garamond"/>
          <w:sz w:val="28"/>
          <w:szCs w:val="28"/>
        </w:rPr>
        <w:t xml:space="preserve"> 108</w:t>
      </w:r>
      <w:r w:rsidR="008A0E8E">
        <w:rPr>
          <w:rStyle w:val="Rimandonotaapidipagina"/>
          <w:rFonts w:ascii="Garamond" w:hAnsi="Garamond"/>
          <w:sz w:val="28"/>
          <w:szCs w:val="28"/>
        </w:rPr>
        <w:footnoteReference w:id="1"/>
      </w:r>
      <w:r w:rsidR="00B3409C">
        <w:rPr>
          <w:rFonts w:ascii="Garamond" w:hAnsi="Garamond"/>
          <w:sz w:val="28"/>
          <w:szCs w:val="28"/>
        </w:rPr>
        <w:t>.</w:t>
      </w:r>
    </w:p>
    <w:p w:rsidR="007B5894" w:rsidRDefault="007B5894" w:rsidP="00680F1E">
      <w:pPr>
        <w:jc w:val="both"/>
        <w:rPr>
          <w:rFonts w:ascii="Garamond" w:hAnsi="Garamond"/>
          <w:sz w:val="28"/>
          <w:szCs w:val="28"/>
        </w:rPr>
      </w:pPr>
      <w:r>
        <w:rPr>
          <w:rFonts w:ascii="Garamond" w:hAnsi="Garamond"/>
          <w:sz w:val="28"/>
          <w:szCs w:val="28"/>
        </w:rPr>
        <w:t>Le nuove disposizioni appaino applicabili anche ai procedimenti in corso alla data di entrata in vigore del decreto</w:t>
      </w:r>
      <w:r w:rsidR="006D4194">
        <w:rPr>
          <w:rFonts w:ascii="Garamond" w:hAnsi="Garamond"/>
          <w:sz w:val="28"/>
          <w:szCs w:val="28"/>
        </w:rPr>
        <w:t>,</w:t>
      </w:r>
      <w:r>
        <w:rPr>
          <w:rFonts w:ascii="Garamond" w:hAnsi="Garamond"/>
          <w:sz w:val="28"/>
          <w:szCs w:val="28"/>
        </w:rPr>
        <w:t xml:space="preserve"> ai sensi dell’art. 52 del </w:t>
      </w:r>
      <w:proofErr w:type="spellStart"/>
      <w:r>
        <w:rPr>
          <w:rFonts w:ascii="Garamond" w:hAnsi="Garamond"/>
          <w:sz w:val="28"/>
          <w:szCs w:val="28"/>
        </w:rPr>
        <w:t>d.l.</w:t>
      </w:r>
      <w:proofErr w:type="spellEnd"/>
      <w:r>
        <w:rPr>
          <w:rFonts w:ascii="Garamond" w:hAnsi="Garamond"/>
          <w:sz w:val="28"/>
          <w:szCs w:val="28"/>
        </w:rPr>
        <w:t xml:space="preserve"> 152/21 stesso</w:t>
      </w:r>
      <w:r w:rsidR="006D4194">
        <w:rPr>
          <w:rFonts w:ascii="Garamond" w:hAnsi="Garamond"/>
          <w:sz w:val="28"/>
          <w:szCs w:val="28"/>
        </w:rPr>
        <w:t>,</w:t>
      </w:r>
      <w:r>
        <w:rPr>
          <w:rFonts w:ascii="Garamond" w:hAnsi="Garamond"/>
          <w:sz w:val="28"/>
          <w:szCs w:val="28"/>
        </w:rPr>
        <w:t xml:space="preserve"> non essendo dettate specifiche disposizioni transitorie. </w:t>
      </w:r>
    </w:p>
    <w:p w:rsidR="00F4024A" w:rsidRDefault="007B5894" w:rsidP="006110F6">
      <w:pPr>
        <w:jc w:val="both"/>
        <w:rPr>
          <w:rFonts w:ascii="Garamond" w:hAnsi="Garamond"/>
          <w:sz w:val="28"/>
          <w:szCs w:val="28"/>
        </w:rPr>
      </w:pPr>
      <w:r>
        <w:rPr>
          <w:rFonts w:ascii="Garamond" w:hAnsi="Garamond"/>
          <w:sz w:val="28"/>
          <w:szCs w:val="28"/>
        </w:rPr>
        <w:t xml:space="preserve">Le modifiche apportate al </w:t>
      </w:r>
      <w:r w:rsidR="00F4024A">
        <w:rPr>
          <w:rFonts w:ascii="Garamond" w:hAnsi="Garamond"/>
          <w:sz w:val="28"/>
          <w:szCs w:val="28"/>
        </w:rPr>
        <w:t>Codice antimafia</w:t>
      </w:r>
      <w:r w:rsidR="00B3409C">
        <w:rPr>
          <w:rFonts w:ascii="Garamond" w:hAnsi="Garamond"/>
          <w:sz w:val="28"/>
          <w:szCs w:val="28"/>
        </w:rPr>
        <w:t>,</w:t>
      </w:r>
      <w:r>
        <w:rPr>
          <w:rFonts w:ascii="Garamond" w:hAnsi="Garamond"/>
          <w:sz w:val="28"/>
          <w:szCs w:val="28"/>
        </w:rPr>
        <w:t xml:space="preserve"> ad un primo commento</w:t>
      </w:r>
      <w:r w:rsidR="00B3409C">
        <w:rPr>
          <w:rFonts w:ascii="Garamond" w:hAnsi="Garamond"/>
          <w:sz w:val="28"/>
          <w:szCs w:val="28"/>
        </w:rPr>
        <w:t xml:space="preserve"> personale,</w:t>
      </w:r>
      <w:r>
        <w:rPr>
          <w:rFonts w:ascii="Garamond" w:hAnsi="Garamond"/>
          <w:sz w:val="28"/>
          <w:szCs w:val="28"/>
        </w:rPr>
        <w:t xml:space="preserve"> sono</w:t>
      </w:r>
      <w:r w:rsidR="00F4024A">
        <w:rPr>
          <w:rFonts w:ascii="Garamond" w:hAnsi="Garamond"/>
          <w:sz w:val="28"/>
          <w:szCs w:val="28"/>
        </w:rPr>
        <w:t xml:space="preserve"> </w:t>
      </w:r>
      <w:r w:rsidR="0021489B">
        <w:rPr>
          <w:rFonts w:ascii="Garamond" w:hAnsi="Garamond"/>
          <w:sz w:val="28"/>
          <w:szCs w:val="28"/>
        </w:rPr>
        <w:t>così sintetiz</w:t>
      </w:r>
      <w:r w:rsidR="006D4194">
        <w:rPr>
          <w:rFonts w:ascii="Garamond" w:hAnsi="Garamond"/>
          <w:sz w:val="28"/>
          <w:szCs w:val="28"/>
        </w:rPr>
        <w:t>zabili:</w:t>
      </w:r>
    </w:p>
    <w:p w:rsidR="00F4024A" w:rsidRDefault="00F4024A" w:rsidP="00BC1413">
      <w:pPr>
        <w:pStyle w:val="Paragrafoelenco"/>
        <w:numPr>
          <w:ilvl w:val="0"/>
          <w:numId w:val="4"/>
        </w:numPr>
        <w:jc w:val="both"/>
        <w:rPr>
          <w:rFonts w:ascii="Garamond" w:hAnsi="Garamond"/>
          <w:sz w:val="28"/>
          <w:szCs w:val="28"/>
        </w:rPr>
      </w:pPr>
      <w:r>
        <w:rPr>
          <w:rFonts w:ascii="Garamond" w:hAnsi="Garamond"/>
          <w:sz w:val="28"/>
          <w:szCs w:val="28"/>
        </w:rPr>
        <w:t xml:space="preserve">Introduzione di un contraddittorio procedimentale </w:t>
      </w:r>
      <w:r w:rsidRPr="006D4194">
        <w:rPr>
          <w:rFonts w:ascii="Garamond" w:hAnsi="Garamond"/>
          <w:sz w:val="28"/>
          <w:szCs w:val="28"/>
        </w:rPr>
        <w:t>obbligatorio e non più eventuale a discrezione del Prefetto</w:t>
      </w:r>
      <w:r w:rsidR="00640E1A" w:rsidRPr="006D4194">
        <w:rPr>
          <w:rFonts w:ascii="Garamond" w:hAnsi="Garamond"/>
          <w:sz w:val="28"/>
          <w:szCs w:val="28"/>
        </w:rPr>
        <w:t xml:space="preserve"> (</w:t>
      </w:r>
      <w:r w:rsidR="007B5894" w:rsidRPr="006D4194">
        <w:rPr>
          <w:rFonts w:ascii="Garamond" w:hAnsi="Garamond"/>
          <w:sz w:val="28"/>
          <w:szCs w:val="28"/>
        </w:rPr>
        <w:t xml:space="preserve">potremo dire </w:t>
      </w:r>
      <w:r w:rsidR="00640E1A" w:rsidRPr="006D4194">
        <w:rPr>
          <w:rFonts w:ascii="Garamond" w:hAnsi="Garamond"/>
          <w:sz w:val="28"/>
          <w:szCs w:val="28"/>
        </w:rPr>
        <w:t xml:space="preserve">una sorta di </w:t>
      </w:r>
      <w:r w:rsidR="007B5894" w:rsidRPr="006D4194">
        <w:rPr>
          <w:rFonts w:ascii="Garamond" w:hAnsi="Garamond"/>
          <w:sz w:val="28"/>
          <w:szCs w:val="28"/>
        </w:rPr>
        <w:t>“</w:t>
      </w:r>
      <w:r w:rsidR="00640E1A" w:rsidRPr="006D4194">
        <w:rPr>
          <w:rFonts w:ascii="Garamond" w:hAnsi="Garamond"/>
          <w:sz w:val="28"/>
          <w:szCs w:val="28"/>
        </w:rPr>
        <w:t xml:space="preserve">preavviso di </w:t>
      </w:r>
      <w:proofErr w:type="spellStart"/>
      <w:r w:rsidR="00640E1A" w:rsidRPr="006D4194">
        <w:rPr>
          <w:rFonts w:ascii="Garamond" w:hAnsi="Garamond"/>
          <w:sz w:val="28"/>
          <w:szCs w:val="28"/>
        </w:rPr>
        <w:lastRenderedPageBreak/>
        <w:t>interdittiva</w:t>
      </w:r>
      <w:proofErr w:type="spellEnd"/>
      <w:r w:rsidR="007B5894" w:rsidRPr="006D4194">
        <w:rPr>
          <w:rFonts w:ascii="Garamond" w:hAnsi="Garamond"/>
          <w:sz w:val="28"/>
          <w:szCs w:val="28"/>
        </w:rPr>
        <w:t>”</w:t>
      </w:r>
      <w:r w:rsidR="00640E1A" w:rsidRPr="006D4194">
        <w:rPr>
          <w:rFonts w:ascii="Garamond" w:hAnsi="Garamond"/>
          <w:sz w:val="28"/>
          <w:szCs w:val="28"/>
        </w:rPr>
        <w:t>)</w:t>
      </w:r>
      <w:r w:rsidR="00C15D58">
        <w:rPr>
          <w:rFonts w:ascii="Garamond" w:hAnsi="Garamond"/>
          <w:sz w:val="28"/>
          <w:szCs w:val="28"/>
        </w:rPr>
        <w:t xml:space="preserve"> </w:t>
      </w:r>
      <w:r w:rsidR="00B5256C">
        <w:rPr>
          <w:rFonts w:ascii="Garamond" w:hAnsi="Garamond"/>
          <w:sz w:val="28"/>
          <w:szCs w:val="28"/>
        </w:rPr>
        <w:t>fatta s</w:t>
      </w:r>
      <w:r w:rsidR="006D4194">
        <w:rPr>
          <w:rFonts w:ascii="Garamond" w:hAnsi="Garamond"/>
          <w:sz w:val="28"/>
          <w:szCs w:val="28"/>
        </w:rPr>
        <w:t>alve “esigenze di particolari</w:t>
      </w:r>
      <w:r w:rsidR="00B5256C">
        <w:rPr>
          <w:rFonts w:ascii="Garamond" w:hAnsi="Garamond"/>
          <w:sz w:val="28"/>
          <w:szCs w:val="28"/>
        </w:rPr>
        <w:t xml:space="preserve"> celerità del pr</w:t>
      </w:r>
      <w:r w:rsidR="00B3409C">
        <w:rPr>
          <w:rFonts w:ascii="Garamond" w:hAnsi="Garamond"/>
          <w:sz w:val="28"/>
          <w:szCs w:val="28"/>
        </w:rPr>
        <w:t xml:space="preserve">ocedimento” nonché </w:t>
      </w:r>
      <w:r w:rsidR="00B5256C">
        <w:rPr>
          <w:rFonts w:ascii="Garamond" w:hAnsi="Garamond"/>
          <w:sz w:val="28"/>
          <w:szCs w:val="28"/>
        </w:rPr>
        <w:t xml:space="preserve">per </w:t>
      </w:r>
      <w:r w:rsidR="006D4194">
        <w:rPr>
          <w:rFonts w:ascii="Garamond" w:hAnsi="Garamond"/>
          <w:sz w:val="28"/>
          <w:szCs w:val="28"/>
        </w:rPr>
        <w:t>elementi il cui disvelamento</w:t>
      </w:r>
      <w:r w:rsidR="00B3409C">
        <w:rPr>
          <w:rFonts w:ascii="Garamond" w:hAnsi="Garamond"/>
          <w:sz w:val="28"/>
          <w:szCs w:val="28"/>
        </w:rPr>
        <w:t xml:space="preserve"> </w:t>
      </w:r>
      <w:r w:rsidR="00BC1413">
        <w:rPr>
          <w:rFonts w:ascii="Garamond" w:hAnsi="Garamond"/>
          <w:sz w:val="28"/>
          <w:szCs w:val="28"/>
        </w:rPr>
        <w:t>“</w:t>
      </w:r>
      <w:r w:rsidR="00BC1413" w:rsidRPr="00BC1413">
        <w:rPr>
          <w:rFonts w:ascii="Garamond" w:hAnsi="Garamond"/>
          <w:sz w:val="28"/>
          <w:szCs w:val="28"/>
        </w:rPr>
        <w:t>sia idoneo a pregiudicare procedimenti amministrativi o attività processuali in corso, ovvero l'esito di altri accertamenti finalizzati alla prevenzione delle infiltrazioni mafiose</w:t>
      </w:r>
      <w:r w:rsidR="00645801">
        <w:rPr>
          <w:rFonts w:ascii="Garamond" w:hAnsi="Garamond"/>
          <w:sz w:val="28"/>
          <w:szCs w:val="28"/>
        </w:rPr>
        <w:t>;</w:t>
      </w:r>
      <w:r w:rsidR="00BC1413">
        <w:rPr>
          <w:rFonts w:ascii="Garamond" w:hAnsi="Garamond"/>
          <w:sz w:val="28"/>
          <w:szCs w:val="28"/>
        </w:rPr>
        <w:t>”</w:t>
      </w:r>
    </w:p>
    <w:p w:rsidR="008346F1" w:rsidRPr="00C15D58" w:rsidRDefault="00B5256C" w:rsidP="00F4024A">
      <w:pPr>
        <w:pStyle w:val="Paragrafoelenco"/>
        <w:numPr>
          <w:ilvl w:val="0"/>
          <w:numId w:val="4"/>
        </w:numPr>
        <w:jc w:val="both"/>
        <w:rPr>
          <w:rFonts w:ascii="Garamond" w:hAnsi="Garamond"/>
          <w:sz w:val="28"/>
          <w:szCs w:val="28"/>
        </w:rPr>
      </w:pPr>
      <w:r w:rsidRPr="00C15D58">
        <w:rPr>
          <w:rFonts w:ascii="Garamond" w:hAnsi="Garamond"/>
          <w:sz w:val="28"/>
          <w:szCs w:val="28"/>
        </w:rPr>
        <w:t xml:space="preserve">Previsione </w:t>
      </w:r>
      <w:r w:rsidR="00BA31E1" w:rsidRPr="00C15D58">
        <w:rPr>
          <w:rFonts w:ascii="Garamond" w:hAnsi="Garamond"/>
          <w:sz w:val="28"/>
          <w:szCs w:val="28"/>
        </w:rPr>
        <w:t>in chiave collaborativa</w:t>
      </w:r>
      <w:r w:rsidR="00AB5769" w:rsidRPr="00C15D58">
        <w:rPr>
          <w:rFonts w:ascii="Garamond" w:hAnsi="Garamond"/>
          <w:sz w:val="28"/>
          <w:szCs w:val="28"/>
        </w:rPr>
        <w:t xml:space="preserve"> per l’impresa sospetta</w:t>
      </w:r>
      <w:r w:rsidR="003B6A4A" w:rsidRPr="00C15D58">
        <w:rPr>
          <w:rFonts w:ascii="Garamond" w:hAnsi="Garamond"/>
          <w:sz w:val="28"/>
          <w:szCs w:val="28"/>
        </w:rPr>
        <w:t>ta</w:t>
      </w:r>
      <w:r w:rsidR="00AB5769" w:rsidRPr="00C15D58">
        <w:rPr>
          <w:rFonts w:ascii="Garamond" w:hAnsi="Garamond"/>
          <w:sz w:val="28"/>
          <w:szCs w:val="28"/>
        </w:rPr>
        <w:t xml:space="preserve"> di</w:t>
      </w:r>
      <w:r w:rsidR="003B6A4A" w:rsidRPr="00C15D58">
        <w:rPr>
          <w:rFonts w:ascii="Garamond" w:hAnsi="Garamond"/>
          <w:sz w:val="28"/>
          <w:szCs w:val="28"/>
        </w:rPr>
        <w:t xml:space="preserve"> essere esposta al pericolo</w:t>
      </w:r>
      <w:r w:rsidR="00BA31E1" w:rsidRPr="00C15D58">
        <w:rPr>
          <w:rFonts w:ascii="Garamond" w:hAnsi="Garamond"/>
          <w:sz w:val="28"/>
          <w:szCs w:val="28"/>
        </w:rPr>
        <w:t xml:space="preserve"> di</w:t>
      </w:r>
      <w:r w:rsidR="00AB5769" w:rsidRPr="00C15D58">
        <w:rPr>
          <w:rFonts w:ascii="Garamond" w:hAnsi="Garamond"/>
          <w:sz w:val="28"/>
          <w:szCs w:val="28"/>
        </w:rPr>
        <w:t xml:space="preserve"> subire influenze dalla criminalità organizzata di adottare</w:t>
      </w:r>
      <w:r w:rsidR="00F963AD" w:rsidRPr="00C15D58">
        <w:rPr>
          <w:rFonts w:ascii="Garamond" w:hAnsi="Garamond"/>
          <w:sz w:val="28"/>
          <w:szCs w:val="28"/>
        </w:rPr>
        <w:t xml:space="preserve"> - in seguito al contraddittorio -</w:t>
      </w:r>
      <w:r w:rsidR="00AB5769" w:rsidRPr="00C15D58">
        <w:rPr>
          <w:rFonts w:ascii="Garamond" w:hAnsi="Garamond"/>
          <w:sz w:val="28"/>
          <w:szCs w:val="28"/>
        </w:rPr>
        <w:t xml:space="preserve"> misure idonee (quali la</w:t>
      </w:r>
      <w:r w:rsidR="007015A8" w:rsidRPr="00C15D58">
        <w:rPr>
          <w:rFonts w:ascii="Garamond" w:hAnsi="Garamond"/>
          <w:sz w:val="28"/>
          <w:szCs w:val="28"/>
        </w:rPr>
        <w:t xml:space="preserve"> modifica della</w:t>
      </w:r>
      <w:r w:rsidR="00AB5769" w:rsidRPr="00C15D58">
        <w:rPr>
          <w:rFonts w:ascii="Garamond" w:hAnsi="Garamond"/>
          <w:sz w:val="28"/>
          <w:szCs w:val="28"/>
        </w:rPr>
        <w:t xml:space="preserve"> composizione degli organi di amministraz</w:t>
      </w:r>
      <w:r w:rsidR="00F963AD" w:rsidRPr="00C15D58">
        <w:rPr>
          <w:rFonts w:ascii="Garamond" w:hAnsi="Garamond"/>
          <w:sz w:val="28"/>
          <w:szCs w:val="28"/>
        </w:rPr>
        <w:t>ione</w:t>
      </w:r>
      <w:r w:rsidR="00B3409C">
        <w:rPr>
          <w:rFonts w:ascii="Garamond" w:hAnsi="Garamond"/>
          <w:sz w:val="28"/>
          <w:szCs w:val="28"/>
        </w:rPr>
        <w:t xml:space="preserve"> o la sostituzione degli organi sociali</w:t>
      </w:r>
      <w:r w:rsidR="00F963AD" w:rsidRPr="00C15D58">
        <w:rPr>
          <w:rFonts w:ascii="Garamond" w:hAnsi="Garamond"/>
          <w:sz w:val="28"/>
          <w:szCs w:val="28"/>
        </w:rPr>
        <w:t xml:space="preserve">) al fine di evitare </w:t>
      </w:r>
      <w:r w:rsidR="00AB5769" w:rsidRPr="00C15D58">
        <w:rPr>
          <w:rFonts w:ascii="Garamond" w:hAnsi="Garamond"/>
          <w:sz w:val="28"/>
          <w:szCs w:val="28"/>
        </w:rPr>
        <w:t>l’</w:t>
      </w:r>
      <w:proofErr w:type="spellStart"/>
      <w:r w:rsidR="00AB5769" w:rsidRPr="00C15D58">
        <w:rPr>
          <w:rFonts w:ascii="Garamond" w:hAnsi="Garamond"/>
          <w:sz w:val="28"/>
          <w:szCs w:val="28"/>
        </w:rPr>
        <w:t>interdittiva</w:t>
      </w:r>
      <w:proofErr w:type="spellEnd"/>
      <w:r w:rsidR="007B5894" w:rsidRPr="00C15D58">
        <w:rPr>
          <w:rFonts w:ascii="Garamond" w:hAnsi="Garamond"/>
          <w:sz w:val="28"/>
          <w:szCs w:val="28"/>
        </w:rPr>
        <w:t>. P</w:t>
      </w:r>
      <w:r w:rsidR="00CA04E8" w:rsidRPr="00C15D58">
        <w:rPr>
          <w:rFonts w:ascii="Garamond" w:hAnsi="Garamond"/>
          <w:sz w:val="28"/>
          <w:szCs w:val="28"/>
        </w:rPr>
        <w:t>er fare</w:t>
      </w:r>
      <w:r w:rsidR="007B5894" w:rsidRPr="00C15D58">
        <w:rPr>
          <w:rFonts w:ascii="Garamond" w:hAnsi="Garamond"/>
          <w:sz w:val="28"/>
          <w:szCs w:val="28"/>
        </w:rPr>
        <w:t xml:space="preserve"> un parallelo con la disciplina in tema di</w:t>
      </w:r>
      <w:r w:rsidR="00CA04E8" w:rsidRPr="00C15D58">
        <w:rPr>
          <w:rFonts w:ascii="Garamond" w:hAnsi="Garamond"/>
          <w:sz w:val="28"/>
          <w:szCs w:val="28"/>
        </w:rPr>
        <w:t xml:space="preserve"> appalti</w:t>
      </w:r>
      <w:r w:rsidR="007B5894" w:rsidRPr="00C15D58">
        <w:rPr>
          <w:rFonts w:ascii="Garamond" w:hAnsi="Garamond"/>
          <w:sz w:val="28"/>
          <w:szCs w:val="28"/>
        </w:rPr>
        <w:t xml:space="preserve"> di cui al vi</w:t>
      </w:r>
      <w:r w:rsidR="008346F1" w:rsidRPr="00C15D58">
        <w:rPr>
          <w:rFonts w:ascii="Garamond" w:hAnsi="Garamond"/>
          <w:sz w:val="28"/>
          <w:szCs w:val="28"/>
        </w:rPr>
        <w:t>gente decreto legislativo n. 50/</w:t>
      </w:r>
      <w:r w:rsidR="007B5894" w:rsidRPr="00C15D58">
        <w:rPr>
          <w:rFonts w:ascii="Garamond" w:hAnsi="Garamond"/>
          <w:sz w:val="28"/>
          <w:szCs w:val="28"/>
        </w:rPr>
        <w:t>2016</w:t>
      </w:r>
      <w:r w:rsidR="008346F1" w:rsidRPr="00C15D58">
        <w:rPr>
          <w:rStyle w:val="Rimandonotaapidipagina"/>
          <w:rFonts w:ascii="Garamond" w:hAnsi="Garamond"/>
          <w:sz w:val="28"/>
          <w:szCs w:val="28"/>
        </w:rPr>
        <w:footnoteReference w:id="2"/>
      </w:r>
      <w:r w:rsidR="00CA04E8" w:rsidRPr="00C15D58">
        <w:rPr>
          <w:rFonts w:ascii="Garamond" w:hAnsi="Garamond"/>
          <w:sz w:val="28"/>
          <w:szCs w:val="28"/>
        </w:rPr>
        <w:t xml:space="preserve"> una sorta di “self </w:t>
      </w:r>
      <w:proofErr w:type="spellStart"/>
      <w:r w:rsidR="00CA04E8" w:rsidRPr="00C15D58">
        <w:rPr>
          <w:rFonts w:ascii="Garamond" w:hAnsi="Garamond"/>
          <w:sz w:val="28"/>
          <w:szCs w:val="28"/>
        </w:rPr>
        <w:t>cleaning</w:t>
      </w:r>
      <w:proofErr w:type="spellEnd"/>
      <w:r w:rsidR="00CA04E8" w:rsidRPr="00C15D58">
        <w:rPr>
          <w:rFonts w:ascii="Garamond" w:hAnsi="Garamond"/>
          <w:sz w:val="28"/>
          <w:szCs w:val="28"/>
        </w:rPr>
        <w:t>”</w:t>
      </w:r>
      <w:r w:rsidR="00456FA1" w:rsidRPr="00C15D58">
        <w:rPr>
          <w:rFonts w:ascii="Garamond" w:hAnsi="Garamond"/>
          <w:sz w:val="28"/>
          <w:szCs w:val="28"/>
        </w:rPr>
        <w:t xml:space="preserve"> dell’operatore economico</w:t>
      </w:r>
      <w:r w:rsidR="00CA04E8" w:rsidRPr="00C15D58">
        <w:rPr>
          <w:rFonts w:ascii="Garamond" w:hAnsi="Garamond"/>
          <w:sz w:val="28"/>
          <w:szCs w:val="28"/>
        </w:rPr>
        <w:t xml:space="preserve"> al fine di evitare </w:t>
      </w:r>
      <w:r w:rsidR="008346F1" w:rsidRPr="00C15D58">
        <w:rPr>
          <w:rFonts w:ascii="Garamond" w:hAnsi="Garamond"/>
          <w:sz w:val="28"/>
          <w:szCs w:val="28"/>
        </w:rPr>
        <w:t>l’</w:t>
      </w:r>
      <w:proofErr w:type="spellStart"/>
      <w:r w:rsidR="008346F1" w:rsidRPr="00C15D58">
        <w:rPr>
          <w:rFonts w:ascii="Garamond" w:hAnsi="Garamond"/>
          <w:sz w:val="28"/>
          <w:szCs w:val="28"/>
        </w:rPr>
        <w:t>interdittiva</w:t>
      </w:r>
      <w:proofErr w:type="spellEnd"/>
      <w:r w:rsidR="008346F1" w:rsidRPr="00C15D58">
        <w:rPr>
          <w:rFonts w:ascii="Garamond" w:hAnsi="Garamond"/>
          <w:sz w:val="28"/>
          <w:szCs w:val="28"/>
        </w:rPr>
        <w:t xml:space="preserve">, </w:t>
      </w:r>
      <w:r w:rsidR="00456FA1" w:rsidRPr="00C15D58">
        <w:rPr>
          <w:rFonts w:ascii="Garamond" w:hAnsi="Garamond"/>
          <w:sz w:val="28"/>
          <w:szCs w:val="28"/>
        </w:rPr>
        <w:t>quale</w:t>
      </w:r>
      <w:r w:rsidR="008346F1" w:rsidRPr="00C15D58">
        <w:rPr>
          <w:rFonts w:ascii="Garamond" w:hAnsi="Garamond"/>
          <w:sz w:val="28"/>
          <w:szCs w:val="28"/>
        </w:rPr>
        <w:t xml:space="preserve"> misura nella logica della novella normativa ricondotta ad</w:t>
      </w:r>
      <w:r w:rsidR="00C15D58" w:rsidRPr="00C15D58">
        <w:rPr>
          <w:rFonts w:ascii="Garamond" w:hAnsi="Garamond"/>
          <w:sz w:val="28"/>
          <w:szCs w:val="28"/>
        </w:rPr>
        <w:t xml:space="preserve"> “</w:t>
      </w:r>
      <w:proofErr w:type="spellStart"/>
      <w:r w:rsidR="00C15D58" w:rsidRPr="00C15D58">
        <w:rPr>
          <w:rFonts w:ascii="Garamond" w:hAnsi="Garamond"/>
          <w:sz w:val="28"/>
          <w:szCs w:val="28"/>
        </w:rPr>
        <w:t>extrema</w:t>
      </w:r>
      <w:proofErr w:type="spellEnd"/>
      <w:r w:rsidR="00C15D58" w:rsidRPr="00C15D58">
        <w:rPr>
          <w:rFonts w:ascii="Garamond" w:hAnsi="Garamond"/>
          <w:sz w:val="28"/>
          <w:szCs w:val="28"/>
        </w:rPr>
        <w:t xml:space="preserve"> ratio”;</w:t>
      </w:r>
    </w:p>
    <w:p w:rsidR="008346F1" w:rsidRPr="00C15D58" w:rsidRDefault="00137E39" w:rsidP="00F4024A">
      <w:pPr>
        <w:pStyle w:val="Paragrafoelenco"/>
        <w:numPr>
          <w:ilvl w:val="0"/>
          <w:numId w:val="4"/>
        </w:numPr>
        <w:jc w:val="both"/>
        <w:rPr>
          <w:rFonts w:ascii="Garamond" w:hAnsi="Garamond"/>
          <w:sz w:val="28"/>
          <w:szCs w:val="28"/>
          <w:u w:val="single"/>
        </w:rPr>
      </w:pPr>
      <w:r w:rsidRPr="00C15D58">
        <w:rPr>
          <w:rFonts w:ascii="Garamond" w:hAnsi="Garamond"/>
          <w:sz w:val="28"/>
          <w:szCs w:val="28"/>
        </w:rPr>
        <w:t xml:space="preserve">Introduzione del nuovo </w:t>
      </w:r>
      <w:r w:rsidR="00AB5769" w:rsidRPr="00C15D58">
        <w:rPr>
          <w:rFonts w:ascii="Garamond" w:hAnsi="Garamond"/>
          <w:sz w:val="28"/>
          <w:szCs w:val="28"/>
        </w:rPr>
        <w:t xml:space="preserve">istituto della </w:t>
      </w:r>
      <w:r w:rsidR="00150C3A" w:rsidRPr="00C15D58">
        <w:rPr>
          <w:rFonts w:ascii="Garamond" w:hAnsi="Garamond"/>
          <w:sz w:val="28"/>
          <w:szCs w:val="28"/>
        </w:rPr>
        <w:t>“</w:t>
      </w:r>
      <w:r w:rsidR="00AB5769" w:rsidRPr="00C15D58">
        <w:rPr>
          <w:rFonts w:ascii="Garamond" w:hAnsi="Garamond"/>
          <w:sz w:val="28"/>
          <w:szCs w:val="28"/>
        </w:rPr>
        <w:t>prevenzione collaborativa</w:t>
      </w:r>
      <w:r w:rsidR="00150C3A" w:rsidRPr="00C15D58">
        <w:rPr>
          <w:rFonts w:ascii="Garamond" w:hAnsi="Garamond"/>
          <w:sz w:val="28"/>
          <w:szCs w:val="28"/>
        </w:rPr>
        <w:t>”</w:t>
      </w:r>
      <w:r w:rsidR="00AB5769" w:rsidRPr="00C15D58">
        <w:rPr>
          <w:rFonts w:ascii="Garamond" w:hAnsi="Garamond"/>
          <w:sz w:val="28"/>
          <w:szCs w:val="28"/>
        </w:rPr>
        <w:t xml:space="preserve"> adottato dal Prefetto qualora i tentativi di infiltrazione siano riconducibili a situazioni occasionali</w:t>
      </w:r>
      <w:r w:rsidR="008346F1" w:rsidRPr="00C15D58">
        <w:rPr>
          <w:rFonts w:ascii="Garamond" w:hAnsi="Garamond"/>
          <w:sz w:val="28"/>
          <w:szCs w:val="28"/>
        </w:rPr>
        <w:t>,</w:t>
      </w:r>
      <w:r w:rsidR="00AB5769" w:rsidRPr="00C15D58">
        <w:rPr>
          <w:rFonts w:ascii="Garamond" w:hAnsi="Garamond"/>
          <w:sz w:val="28"/>
          <w:szCs w:val="28"/>
        </w:rPr>
        <w:t xml:space="preserve"> dando vita ad una cogestione aziendale </w:t>
      </w:r>
      <w:r w:rsidR="00ED39CE" w:rsidRPr="00C15D58">
        <w:rPr>
          <w:rFonts w:ascii="Garamond" w:hAnsi="Garamond"/>
          <w:sz w:val="28"/>
          <w:szCs w:val="28"/>
        </w:rPr>
        <w:t>alternativa</w:t>
      </w:r>
      <w:r w:rsidR="00AB5769" w:rsidRPr="00C15D58">
        <w:rPr>
          <w:rFonts w:ascii="Garamond" w:hAnsi="Garamond"/>
          <w:sz w:val="28"/>
          <w:szCs w:val="28"/>
        </w:rPr>
        <w:t xml:space="preserve"> all’</w:t>
      </w:r>
      <w:proofErr w:type="spellStart"/>
      <w:r w:rsidR="00AB5769" w:rsidRPr="00C15D58">
        <w:rPr>
          <w:rFonts w:ascii="Garamond" w:hAnsi="Garamond"/>
          <w:sz w:val="28"/>
          <w:szCs w:val="28"/>
        </w:rPr>
        <w:t>interdittiva</w:t>
      </w:r>
      <w:proofErr w:type="spellEnd"/>
      <w:r w:rsidR="009061D8" w:rsidRPr="00C15D58">
        <w:rPr>
          <w:rFonts w:ascii="Garamond" w:hAnsi="Garamond"/>
          <w:sz w:val="28"/>
          <w:szCs w:val="28"/>
        </w:rPr>
        <w:t xml:space="preserve"> </w:t>
      </w:r>
      <w:r w:rsidR="00AB5769" w:rsidRPr="00C15D58">
        <w:rPr>
          <w:rFonts w:ascii="Garamond" w:hAnsi="Garamond"/>
          <w:sz w:val="28"/>
          <w:szCs w:val="28"/>
        </w:rPr>
        <w:t>analoga</w:t>
      </w:r>
      <w:r w:rsidR="003751AB" w:rsidRPr="00C15D58">
        <w:rPr>
          <w:rFonts w:ascii="Garamond" w:hAnsi="Garamond"/>
          <w:sz w:val="28"/>
          <w:szCs w:val="28"/>
        </w:rPr>
        <w:t xml:space="preserve"> ma diversa rispetto</w:t>
      </w:r>
      <w:r w:rsidR="00AB5769" w:rsidRPr="00C15D58">
        <w:rPr>
          <w:rFonts w:ascii="Garamond" w:hAnsi="Garamond"/>
          <w:sz w:val="28"/>
          <w:szCs w:val="28"/>
        </w:rPr>
        <w:t xml:space="preserve"> a</w:t>
      </w:r>
      <w:r w:rsidR="008346F1" w:rsidRPr="00C15D58">
        <w:rPr>
          <w:rFonts w:ascii="Garamond" w:hAnsi="Garamond"/>
          <w:sz w:val="28"/>
          <w:szCs w:val="28"/>
        </w:rPr>
        <w:t>l controllo giudiziario previsto dall’</w:t>
      </w:r>
      <w:r w:rsidR="00F87DB1" w:rsidRPr="00C15D58">
        <w:rPr>
          <w:rFonts w:ascii="Garamond" w:hAnsi="Garamond"/>
          <w:sz w:val="28"/>
          <w:szCs w:val="28"/>
        </w:rPr>
        <w:t xml:space="preserve">art 34 bis codice antimafia </w:t>
      </w:r>
      <w:r w:rsidR="00A309E0">
        <w:rPr>
          <w:rFonts w:ascii="Garamond" w:hAnsi="Garamond"/>
          <w:sz w:val="28"/>
          <w:szCs w:val="28"/>
        </w:rPr>
        <w:t>disposto</w:t>
      </w:r>
      <w:r w:rsidR="00ED39CE" w:rsidRPr="00C15D58">
        <w:rPr>
          <w:rFonts w:ascii="Garamond" w:hAnsi="Garamond"/>
          <w:sz w:val="28"/>
          <w:szCs w:val="28"/>
        </w:rPr>
        <w:t xml:space="preserve"> </w:t>
      </w:r>
      <w:proofErr w:type="spellStart"/>
      <w:r w:rsidR="00ED39CE" w:rsidRPr="00C15D58">
        <w:rPr>
          <w:rFonts w:ascii="Garamond" w:hAnsi="Garamond"/>
          <w:sz w:val="28"/>
          <w:szCs w:val="28"/>
        </w:rPr>
        <w:t>dall’a.g.o.</w:t>
      </w:r>
      <w:proofErr w:type="spellEnd"/>
      <w:r w:rsidR="008346F1" w:rsidRPr="00C15D58">
        <w:rPr>
          <w:rFonts w:ascii="Garamond" w:hAnsi="Garamond"/>
          <w:sz w:val="28"/>
          <w:szCs w:val="28"/>
        </w:rPr>
        <w:t xml:space="preserve">, </w:t>
      </w:r>
      <w:r w:rsidR="003751AB" w:rsidRPr="00C15D58">
        <w:rPr>
          <w:rFonts w:ascii="Garamond" w:hAnsi="Garamond"/>
          <w:sz w:val="28"/>
          <w:szCs w:val="28"/>
        </w:rPr>
        <w:t>il quale</w:t>
      </w:r>
      <w:r w:rsidR="008346F1" w:rsidRPr="00C15D58">
        <w:rPr>
          <w:rFonts w:ascii="Garamond" w:hAnsi="Garamond"/>
          <w:sz w:val="28"/>
          <w:szCs w:val="28"/>
        </w:rPr>
        <w:t xml:space="preserve"> come noto interviene dopo l’</w:t>
      </w:r>
      <w:proofErr w:type="spellStart"/>
      <w:r w:rsidR="008346F1" w:rsidRPr="00C15D58">
        <w:rPr>
          <w:rFonts w:ascii="Garamond" w:hAnsi="Garamond"/>
          <w:sz w:val="28"/>
          <w:szCs w:val="28"/>
        </w:rPr>
        <w:t>interdittiva</w:t>
      </w:r>
      <w:proofErr w:type="spellEnd"/>
      <w:r w:rsidR="008346F1" w:rsidRPr="00C15D58">
        <w:rPr>
          <w:rFonts w:ascii="Garamond" w:hAnsi="Garamond"/>
          <w:sz w:val="28"/>
          <w:szCs w:val="28"/>
        </w:rPr>
        <w:t xml:space="preserve">, facendone venir meno gli effetti con efficacia </w:t>
      </w:r>
      <w:r w:rsidR="006D4194" w:rsidRPr="00C15D58">
        <w:rPr>
          <w:rFonts w:ascii="Garamond" w:hAnsi="Garamond"/>
          <w:sz w:val="28"/>
          <w:szCs w:val="28"/>
        </w:rPr>
        <w:t>“</w:t>
      </w:r>
      <w:r w:rsidR="008346F1" w:rsidRPr="00C15D58">
        <w:rPr>
          <w:rFonts w:ascii="Garamond" w:hAnsi="Garamond"/>
          <w:sz w:val="28"/>
          <w:szCs w:val="28"/>
        </w:rPr>
        <w:t xml:space="preserve">ex </w:t>
      </w:r>
      <w:proofErr w:type="spellStart"/>
      <w:r w:rsidR="008346F1" w:rsidRPr="00C15D58">
        <w:rPr>
          <w:rFonts w:ascii="Garamond" w:hAnsi="Garamond"/>
          <w:sz w:val="28"/>
          <w:szCs w:val="28"/>
        </w:rPr>
        <w:t>nunc</w:t>
      </w:r>
      <w:proofErr w:type="spellEnd"/>
      <w:r w:rsidR="008346F1" w:rsidRPr="00C15D58">
        <w:rPr>
          <w:rStyle w:val="Rimandonotaapidipagina"/>
          <w:rFonts w:ascii="Garamond" w:hAnsi="Garamond"/>
          <w:sz w:val="28"/>
          <w:szCs w:val="28"/>
        </w:rPr>
        <w:footnoteReference w:id="3"/>
      </w:r>
      <w:r w:rsidR="00A309E0">
        <w:rPr>
          <w:rFonts w:ascii="Garamond" w:hAnsi="Garamond"/>
          <w:sz w:val="28"/>
          <w:szCs w:val="28"/>
        </w:rPr>
        <w:t>.”</w:t>
      </w:r>
    </w:p>
    <w:p w:rsidR="00150C3A" w:rsidRDefault="00150C3A" w:rsidP="00150C3A">
      <w:pPr>
        <w:jc w:val="both"/>
        <w:rPr>
          <w:rFonts w:ascii="Garamond" w:hAnsi="Garamond"/>
          <w:sz w:val="28"/>
          <w:szCs w:val="28"/>
        </w:rPr>
      </w:pPr>
      <w:r w:rsidRPr="00C15D58">
        <w:rPr>
          <w:rFonts w:ascii="Garamond" w:hAnsi="Garamond"/>
          <w:sz w:val="28"/>
          <w:szCs w:val="28"/>
        </w:rPr>
        <w:t>Sono disposizioni</w:t>
      </w:r>
      <w:r w:rsidR="001A6020" w:rsidRPr="00C15D58">
        <w:rPr>
          <w:rFonts w:ascii="Garamond" w:hAnsi="Garamond"/>
          <w:sz w:val="28"/>
          <w:szCs w:val="28"/>
        </w:rPr>
        <w:t xml:space="preserve"> indubbiamente fortemente</w:t>
      </w:r>
      <w:r w:rsidRPr="00C15D58">
        <w:rPr>
          <w:rFonts w:ascii="Garamond" w:hAnsi="Garamond"/>
          <w:sz w:val="28"/>
          <w:szCs w:val="28"/>
        </w:rPr>
        <w:t xml:space="preserve"> innovative rispetto al quadro normativo</w:t>
      </w:r>
      <w:r>
        <w:rPr>
          <w:rFonts w:ascii="Garamond" w:hAnsi="Garamond"/>
          <w:sz w:val="28"/>
          <w:szCs w:val="28"/>
        </w:rPr>
        <w:t xml:space="preserve"> previgente come interpretato dalla giurisprudenza del </w:t>
      </w:r>
      <w:proofErr w:type="spellStart"/>
      <w:r>
        <w:rPr>
          <w:rFonts w:ascii="Garamond" w:hAnsi="Garamond"/>
          <w:sz w:val="28"/>
          <w:szCs w:val="28"/>
        </w:rPr>
        <w:t>g.a</w:t>
      </w:r>
      <w:proofErr w:type="spellEnd"/>
      <w:r>
        <w:rPr>
          <w:rFonts w:ascii="Garamond" w:hAnsi="Garamond"/>
          <w:sz w:val="28"/>
          <w:szCs w:val="28"/>
        </w:rPr>
        <w:t>.</w:t>
      </w:r>
    </w:p>
    <w:p w:rsidR="00CC64A1" w:rsidRDefault="00CC64A1" w:rsidP="00150C3A">
      <w:pPr>
        <w:jc w:val="both"/>
        <w:rPr>
          <w:rFonts w:ascii="Garamond" w:hAnsi="Garamond"/>
          <w:b/>
          <w:sz w:val="28"/>
          <w:szCs w:val="28"/>
        </w:rPr>
      </w:pPr>
    </w:p>
    <w:p w:rsidR="00CC64A1" w:rsidRDefault="00753032" w:rsidP="00286C47">
      <w:pPr>
        <w:jc w:val="both"/>
        <w:rPr>
          <w:rFonts w:ascii="Garamond" w:hAnsi="Garamond"/>
          <w:b/>
          <w:sz w:val="28"/>
          <w:szCs w:val="28"/>
        </w:rPr>
      </w:pPr>
      <w:proofErr w:type="gramStart"/>
      <w:r>
        <w:rPr>
          <w:rFonts w:ascii="Garamond" w:hAnsi="Garamond"/>
          <w:b/>
          <w:sz w:val="28"/>
          <w:szCs w:val="28"/>
        </w:rPr>
        <w:t>1.-</w:t>
      </w:r>
      <w:proofErr w:type="gramEnd"/>
      <w:r>
        <w:rPr>
          <w:rFonts w:ascii="Garamond" w:hAnsi="Garamond"/>
          <w:b/>
          <w:sz w:val="28"/>
          <w:szCs w:val="28"/>
        </w:rPr>
        <w:t xml:space="preserve"> </w:t>
      </w:r>
      <w:r w:rsidR="001A6020" w:rsidRPr="001A6020">
        <w:rPr>
          <w:rFonts w:ascii="Garamond" w:hAnsi="Garamond"/>
          <w:b/>
          <w:sz w:val="28"/>
          <w:szCs w:val="28"/>
        </w:rPr>
        <w:t xml:space="preserve">La disciplina delle </w:t>
      </w:r>
      <w:proofErr w:type="spellStart"/>
      <w:r w:rsidR="001A6020" w:rsidRPr="001A6020">
        <w:rPr>
          <w:rFonts w:ascii="Garamond" w:hAnsi="Garamond"/>
          <w:b/>
          <w:sz w:val="28"/>
          <w:szCs w:val="28"/>
        </w:rPr>
        <w:t>interdittive</w:t>
      </w:r>
      <w:proofErr w:type="spellEnd"/>
      <w:r w:rsidR="001A6020" w:rsidRPr="001A6020">
        <w:rPr>
          <w:rFonts w:ascii="Garamond" w:hAnsi="Garamond"/>
          <w:b/>
          <w:sz w:val="28"/>
          <w:szCs w:val="28"/>
        </w:rPr>
        <w:t xml:space="preserve"> nel c.d. diritto vivente.</w:t>
      </w:r>
    </w:p>
    <w:p w:rsidR="00286C47" w:rsidRPr="00CC64A1" w:rsidRDefault="00286C47" w:rsidP="00286C47">
      <w:pPr>
        <w:jc w:val="both"/>
        <w:rPr>
          <w:rFonts w:ascii="Garamond" w:hAnsi="Garamond"/>
          <w:b/>
          <w:sz w:val="28"/>
          <w:szCs w:val="28"/>
        </w:rPr>
      </w:pPr>
      <w:r>
        <w:rPr>
          <w:rFonts w:ascii="Garamond" w:hAnsi="Garamond"/>
          <w:sz w:val="28"/>
          <w:szCs w:val="28"/>
        </w:rPr>
        <w:t>S</w:t>
      </w:r>
      <w:r w:rsidR="00B3409C">
        <w:rPr>
          <w:rFonts w:ascii="Garamond" w:hAnsi="Garamond"/>
          <w:sz w:val="28"/>
          <w:szCs w:val="28"/>
        </w:rPr>
        <w:t xml:space="preserve">econdo la giurisprudenza - in estrema sintesi - </w:t>
      </w:r>
      <w:r w:rsidRPr="00286C47">
        <w:rPr>
          <w:rFonts w:ascii="Garamond" w:hAnsi="Garamond"/>
          <w:sz w:val="28"/>
          <w:szCs w:val="28"/>
        </w:rPr>
        <w:t>l'</w:t>
      </w:r>
      <w:proofErr w:type="spellStart"/>
      <w:r w:rsidRPr="00286C47">
        <w:rPr>
          <w:rFonts w:ascii="Garamond" w:hAnsi="Garamond"/>
          <w:sz w:val="28"/>
          <w:szCs w:val="28"/>
        </w:rPr>
        <w:t>interdittiva</w:t>
      </w:r>
      <w:proofErr w:type="spellEnd"/>
      <w:r w:rsidRPr="00286C47">
        <w:rPr>
          <w:rFonts w:ascii="Garamond" w:hAnsi="Garamond"/>
          <w:sz w:val="28"/>
          <w:szCs w:val="28"/>
        </w:rPr>
        <w:t xml:space="preserve"> prefettizia antimafia di cui all’art. 89 bis d.lgs. 159/2011 costituisce una misura preventiva volta a colpire l'azione della criminalità organizzata, impedendole di avere rapporti contrattuali con la pubblica amministrazione; trattandosi quindi di una misura </w:t>
      </w:r>
      <w:r w:rsidR="00B3409C">
        <w:rPr>
          <w:rFonts w:ascii="Garamond" w:hAnsi="Garamond"/>
          <w:sz w:val="28"/>
          <w:szCs w:val="28"/>
        </w:rPr>
        <w:t>“</w:t>
      </w:r>
      <w:r w:rsidRPr="00286C47">
        <w:rPr>
          <w:rFonts w:ascii="Garamond" w:hAnsi="Garamond"/>
          <w:sz w:val="28"/>
          <w:szCs w:val="28"/>
        </w:rPr>
        <w:t>a carattere preventivo</w:t>
      </w:r>
      <w:r w:rsidR="00B3409C">
        <w:rPr>
          <w:rFonts w:ascii="Garamond" w:hAnsi="Garamond"/>
          <w:sz w:val="28"/>
          <w:szCs w:val="28"/>
        </w:rPr>
        <w:t>”</w:t>
      </w:r>
      <w:r w:rsidRPr="00286C47">
        <w:rPr>
          <w:rFonts w:ascii="Garamond" w:hAnsi="Garamond"/>
          <w:sz w:val="28"/>
          <w:szCs w:val="28"/>
        </w:rPr>
        <w:t xml:space="preserve">, prescinde dall'accertamento di singole responsabilità penali nei confronti dei soggetti che, nell'esercizio di attività imprenditoriali, hanno rapporti con la pubblica amministrazione e si fonda sugli accertamenti compiuti dai diversi organi di polizia valutati, per la loro rilevanza, dal Prefetto territorialmente competente; essendo il potere esercitato espressione della logica di anticipazione della soglia di difesa sociale, finalizzata ad assicurare una tutela avanzata nel campo del contrasto alle attività della criminalità organizzata, la misura </w:t>
      </w:r>
      <w:proofErr w:type="spellStart"/>
      <w:r w:rsidRPr="00286C47">
        <w:rPr>
          <w:rFonts w:ascii="Garamond" w:hAnsi="Garamond"/>
          <w:sz w:val="28"/>
          <w:szCs w:val="28"/>
        </w:rPr>
        <w:t>interdittiva</w:t>
      </w:r>
      <w:proofErr w:type="spellEnd"/>
      <w:r w:rsidRPr="00286C47">
        <w:rPr>
          <w:rFonts w:ascii="Garamond" w:hAnsi="Garamond"/>
          <w:sz w:val="28"/>
          <w:szCs w:val="28"/>
        </w:rPr>
        <w:t xml:space="preserve"> non deve necessariamente collegarsi ad accertamenti in </w:t>
      </w:r>
      <w:r w:rsidRPr="00286C47">
        <w:rPr>
          <w:rFonts w:ascii="Garamond" w:hAnsi="Garamond"/>
          <w:sz w:val="28"/>
          <w:szCs w:val="28"/>
        </w:rPr>
        <w:lastRenderedPageBreak/>
        <w:t>sede penale di carattere definitivo e certi sull'esistenza della contiguità dell'impresa con organizzazione malavitose, e quindi del condizionamento in atto dell'attività di impresa, ma può essere sorretta da elementi sintomatici e indiziari da cui emergano sufficienti elementi del pericolo che possa verificarsi il tentativo di ingerenza nell'attività imprenditoriale della criminalità organizzata; pertanto, si è in presenza di una valutazione che costituisce espressione di ampia discrezionalità, che può essere assoggettata al sindacato del giudice amministrativo sotto il profilo della sua logicità in relazione alla rilevanza dei fatti accertati</w:t>
      </w:r>
      <w:r w:rsidR="00613E16">
        <w:rPr>
          <w:rStyle w:val="Rimandonotaapidipagina"/>
          <w:rFonts w:ascii="Garamond" w:hAnsi="Garamond"/>
          <w:sz w:val="28"/>
          <w:szCs w:val="28"/>
        </w:rPr>
        <w:footnoteReference w:id="4"/>
      </w:r>
      <w:r w:rsidR="00613E16">
        <w:rPr>
          <w:rFonts w:ascii="Garamond" w:hAnsi="Garamond"/>
          <w:sz w:val="28"/>
          <w:szCs w:val="28"/>
        </w:rPr>
        <w:t>.</w:t>
      </w:r>
    </w:p>
    <w:p w:rsidR="00286C47" w:rsidRPr="00286C47" w:rsidRDefault="00286C47" w:rsidP="00286C47">
      <w:pPr>
        <w:jc w:val="both"/>
        <w:rPr>
          <w:rFonts w:ascii="Garamond" w:hAnsi="Garamond"/>
          <w:sz w:val="28"/>
          <w:szCs w:val="28"/>
        </w:rPr>
      </w:pPr>
      <w:r w:rsidRPr="00286C47">
        <w:rPr>
          <w:rFonts w:ascii="Garamond" w:hAnsi="Garamond"/>
          <w:sz w:val="28"/>
          <w:szCs w:val="28"/>
        </w:rPr>
        <w:t xml:space="preserve">L’istituto della misura </w:t>
      </w:r>
      <w:proofErr w:type="spellStart"/>
      <w:r w:rsidRPr="00286C47">
        <w:rPr>
          <w:rFonts w:ascii="Garamond" w:hAnsi="Garamond"/>
          <w:sz w:val="28"/>
          <w:szCs w:val="28"/>
        </w:rPr>
        <w:t>interdittiva</w:t>
      </w:r>
      <w:proofErr w:type="spellEnd"/>
      <w:r w:rsidRPr="00286C47">
        <w:rPr>
          <w:rFonts w:ascii="Garamond" w:hAnsi="Garamond"/>
          <w:sz w:val="28"/>
          <w:szCs w:val="28"/>
        </w:rPr>
        <w:t xml:space="preserve"> antimafia si colloca, dunque, al centro di esigenze contrapposte ovvero tra il contrasto in modo efficace della criminalità organizzata ed il rispetto della libertà di iniziativa economica costituzionalmente garantita nonché la stessa dignità ed onorabilità delle persone.</w:t>
      </w:r>
    </w:p>
    <w:p w:rsidR="00286C47" w:rsidRPr="00286C47" w:rsidRDefault="00286C47" w:rsidP="00286C47">
      <w:pPr>
        <w:jc w:val="both"/>
        <w:rPr>
          <w:rFonts w:ascii="Garamond" w:hAnsi="Garamond"/>
          <w:sz w:val="28"/>
          <w:szCs w:val="28"/>
        </w:rPr>
      </w:pPr>
      <w:r w:rsidRPr="00286C47">
        <w:rPr>
          <w:rFonts w:ascii="Garamond" w:hAnsi="Garamond"/>
          <w:sz w:val="28"/>
          <w:szCs w:val="28"/>
        </w:rPr>
        <w:t xml:space="preserve">Le esigenze di ordine pubblico compendiate in particolare nel Codice antimafia hanno determinato una forte anticipazione della soglia di difesa sociale, non essendo richiesta a presupposto dell’esercizio del potere </w:t>
      </w:r>
      <w:proofErr w:type="spellStart"/>
      <w:r w:rsidRPr="00286C47">
        <w:rPr>
          <w:rFonts w:ascii="Garamond" w:hAnsi="Garamond"/>
          <w:sz w:val="28"/>
          <w:szCs w:val="28"/>
        </w:rPr>
        <w:t>interdittivo</w:t>
      </w:r>
      <w:proofErr w:type="spellEnd"/>
      <w:r w:rsidRPr="00286C47">
        <w:rPr>
          <w:rFonts w:ascii="Garamond" w:hAnsi="Garamond"/>
          <w:sz w:val="28"/>
          <w:szCs w:val="28"/>
        </w:rPr>
        <w:t xml:space="preserve"> la prova della concreta infiltrazione mafiosa</w:t>
      </w:r>
      <w:r w:rsidR="00B3409C">
        <w:rPr>
          <w:rFonts w:ascii="Garamond" w:hAnsi="Garamond"/>
          <w:sz w:val="28"/>
          <w:szCs w:val="28"/>
        </w:rPr>
        <w:t>,</w:t>
      </w:r>
      <w:r w:rsidRPr="00286C47">
        <w:rPr>
          <w:rFonts w:ascii="Garamond" w:hAnsi="Garamond"/>
          <w:sz w:val="28"/>
          <w:szCs w:val="28"/>
        </w:rPr>
        <w:t xml:space="preserve"> bastando il solo “tentativo”.</w:t>
      </w:r>
    </w:p>
    <w:p w:rsidR="00286C47" w:rsidRPr="00286C47" w:rsidRDefault="00286C47" w:rsidP="00286C47">
      <w:pPr>
        <w:jc w:val="both"/>
        <w:rPr>
          <w:rFonts w:ascii="Garamond" w:hAnsi="Garamond"/>
          <w:sz w:val="28"/>
          <w:szCs w:val="28"/>
        </w:rPr>
      </w:pPr>
      <w:r w:rsidRPr="00286C47">
        <w:rPr>
          <w:rFonts w:ascii="Garamond" w:hAnsi="Garamond"/>
          <w:sz w:val="28"/>
          <w:szCs w:val="28"/>
        </w:rPr>
        <w:t xml:space="preserve">In considerazione, tuttavia, della delicatezza degli interessi in gioco e della tutela del diritto di iniziativa economica (art. 41 </w:t>
      </w:r>
      <w:proofErr w:type="spellStart"/>
      <w:r w:rsidRPr="00286C47">
        <w:rPr>
          <w:rFonts w:ascii="Garamond" w:hAnsi="Garamond"/>
          <w:sz w:val="28"/>
          <w:szCs w:val="28"/>
        </w:rPr>
        <w:t>Cost</w:t>
      </w:r>
      <w:proofErr w:type="spellEnd"/>
      <w:r w:rsidRPr="00286C47">
        <w:rPr>
          <w:rFonts w:ascii="Garamond" w:hAnsi="Garamond"/>
          <w:sz w:val="28"/>
          <w:szCs w:val="28"/>
        </w:rPr>
        <w:t xml:space="preserve">.) oltre che di ulteriori valori costituzionali (2, 3, 27, 97, 111, 113 e 117 c. 1, </w:t>
      </w:r>
      <w:proofErr w:type="spellStart"/>
      <w:r w:rsidRPr="00286C47">
        <w:rPr>
          <w:rFonts w:ascii="Garamond" w:hAnsi="Garamond"/>
          <w:sz w:val="28"/>
          <w:szCs w:val="28"/>
        </w:rPr>
        <w:t>Cost</w:t>
      </w:r>
      <w:proofErr w:type="spellEnd"/>
      <w:r w:rsidRPr="00286C47">
        <w:rPr>
          <w:rFonts w:ascii="Garamond" w:hAnsi="Garamond"/>
          <w:sz w:val="28"/>
          <w:szCs w:val="28"/>
        </w:rPr>
        <w:t>.) deve essere ricercato un giusto punto di equilibrio tra le esigenze di precauzione e di garanzia dei diritti fondamentali costituzionalmente garantiti</w:t>
      </w:r>
      <w:r w:rsidR="00613E16">
        <w:rPr>
          <w:rStyle w:val="Rimandonotaapidipagina"/>
          <w:rFonts w:ascii="Garamond" w:hAnsi="Garamond"/>
          <w:sz w:val="28"/>
          <w:szCs w:val="28"/>
        </w:rPr>
        <w:footnoteReference w:id="5"/>
      </w:r>
      <w:r w:rsidRPr="00286C47">
        <w:rPr>
          <w:rFonts w:ascii="Garamond" w:hAnsi="Garamond"/>
          <w:sz w:val="28"/>
          <w:szCs w:val="28"/>
        </w:rPr>
        <w:t xml:space="preserve"> non essendo sufficienti meri sospetti bensì elementi obiettivi e univoci tali da denotare il rischio concreto di condizionamenti mafiosi nella conduzione dell'impresa. </w:t>
      </w:r>
    </w:p>
    <w:p w:rsidR="00286C47" w:rsidRDefault="00CC64A1" w:rsidP="00286C47">
      <w:pPr>
        <w:jc w:val="both"/>
        <w:rPr>
          <w:rFonts w:ascii="Garamond" w:hAnsi="Garamond"/>
          <w:sz w:val="28"/>
          <w:szCs w:val="28"/>
        </w:rPr>
      </w:pPr>
      <w:r>
        <w:rPr>
          <w:rFonts w:ascii="Garamond" w:hAnsi="Garamond"/>
          <w:sz w:val="28"/>
          <w:szCs w:val="28"/>
        </w:rPr>
        <w:t>La giurisprudenza ma soprattutto</w:t>
      </w:r>
      <w:r w:rsidR="00897CE1">
        <w:rPr>
          <w:rFonts w:ascii="Garamond" w:hAnsi="Garamond"/>
          <w:sz w:val="28"/>
          <w:szCs w:val="28"/>
        </w:rPr>
        <w:t xml:space="preserve"> invero</w:t>
      </w:r>
      <w:r>
        <w:rPr>
          <w:rFonts w:ascii="Garamond" w:hAnsi="Garamond"/>
          <w:sz w:val="28"/>
          <w:szCs w:val="28"/>
        </w:rPr>
        <w:t xml:space="preserve"> la dottrina</w:t>
      </w:r>
      <w:r>
        <w:rPr>
          <w:rStyle w:val="Rimandonotaapidipagina"/>
          <w:rFonts w:ascii="Garamond" w:hAnsi="Garamond"/>
          <w:sz w:val="28"/>
          <w:szCs w:val="28"/>
        </w:rPr>
        <w:footnoteReference w:id="6"/>
      </w:r>
      <w:r>
        <w:rPr>
          <w:rFonts w:ascii="Garamond" w:hAnsi="Garamond"/>
          <w:sz w:val="28"/>
          <w:szCs w:val="28"/>
        </w:rPr>
        <w:t xml:space="preserve"> invoca da tempo </w:t>
      </w:r>
      <w:r w:rsidR="00286C47" w:rsidRPr="00286C47">
        <w:rPr>
          <w:rFonts w:ascii="Garamond" w:hAnsi="Garamond"/>
          <w:sz w:val="28"/>
          <w:szCs w:val="28"/>
        </w:rPr>
        <w:t xml:space="preserve">una interpretazione costituzionalmente orientata con particolare riferimento agli artt. 2, 3, 27, 41, 97, 111, 113 e 117 c. 1, </w:t>
      </w:r>
      <w:proofErr w:type="spellStart"/>
      <w:proofErr w:type="gramStart"/>
      <w:r w:rsidR="00286C47" w:rsidRPr="00286C47">
        <w:rPr>
          <w:rFonts w:ascii="Garamond" w:hAnsi="Garamond"/>
          <w:sz w:val="28"/>
          <w:szCs w:val="28"/>
        </w:rPr>
        <w:t>Cost</w:t>
      </w:r>
      <w:proofErr w:type="spellEnd"/>
      <w:r w:rsidR="00286C47" w:rsidRPr="00286C47">
        <w:rPr>
          <w:rFonts w:ascii="Garamond" w:hAnsi="Garamond"/>
          <w:sz w:val="28"/>
          <w:szCs w:val="28"/>
        </w:rPr>
        <w:t>.,</w:t>
      </w:r>
      <w:proofErr w:type="gramEnd"/>
      <w:r w:rsidR="00286C47" w:rsidRPr="00286C47">
        <w:rPr>
          <w:rFonts w:ascii="Garamond" w:hAnsi="Garamond"/>
          <w:sz w:val="28"/>
          <w:szCs w:val="28"/>
        </w:rPr>
        <w:t xml:space="preserve"> specie tenendo presente come la Consulta solo di recente abbia affrontato la questione di costituzionalità seppur in riferimento agli artt. 89-bis e 92, commi 3 e 4, d.lgs. 6 settembre 2011, n. 159, censurati per violazi</w:t>
      </w:r>
      <w:r w:rsidR="00B83ECC">
        <w:rPr>
          <w:rFonts w:ascii="Garamond" w:hAnsi="Garamond"/>
          <w:sz w:val="28"/>
          <w:szCs w:val="28"/>
        </w:rPr>
        <w:t xml:space="preserve">one dei soli artt. 3 e 41 </w:t>
      </w:r>
      <w:proofErr w:type="spellStart"/>
      <w:r w:rsidR="00B83ECC">
        <w:rPr>
          <w:rFonts w:ascii="Garamond" w:hAnsi="Garamond"/>
          <w:sz w:val="28"/>
          <w:szCs w:val="28"/>
        </w:rPr>
        <w:t>Cost</w:t>
      </w:r>
      <w:proofErr w:type="spellEnd"/>
      <w:r w:rsidR="00B83ECC">
        <w:rPr>
          <w:rFonts w:ascii="Garamond" w:hAnsi="Garamond"/>
          <w:sz w:val="28"/>
          <w:szCs w:val="28"/>
        </w:rPr>
        <w:t>.</w:t>
      </w:r>
      <w:r>
        <w:rPr>
          <w:rStyle w:val="Rimandonotaapidipagina"/>
          <w:rFonts w:ascii="Garamond" w:hAnsi="Garamond"/>
          <w:sz w:val="28"/>
          <w:szCs w:val="28"/>
        </w:rPr>
        <w:footnoteReference w:id="7"/>
      </w:r>
    </w:p>
    <w:p w:rsidR="009A4996" w:rsidRDefault="009A4996" w:rsidP="00286C47">
      <w:pPr>
        <w:jc w:val="both"/>
        <w:rPr>
          <w:rFonts w:ascii="Garamond" w:hAnsi="Garamond"/>
          <w:sz w:val="28"/>
          <w:szCs w:val="28"/>
        </w:rPr>
      </w:pPr>
      <w:r>
        <w:rPr>
          <w:rFonts w:ascii="Garamond" w:hAnsi="Garamond"/>
          <w:sz w:val="28"/>
          <w:szCs w:val="28"/>
        </w:rPr>
        <w:t>La Corte Costituzionale ha ritenuto infondata</w:t>
      </w:r>
      <w:r w:rsidRPr="009A4996">
        <w:rPr>
          <w:rFonts w:ascii="Garamond" w:hAnsi="Garamond"/>
          <w:sz w:val="28"/>
          <w:szCs w:val="28"/>
        </w:rPr>
        <w:t xml:space="preserve"> le questioni di legittimità p</w:t>
      </w:r>
      <w:r>
        <w:rPr>
          <w:rFonts w:ascii="Garamond" w:hAnsi="Garamond"/>
          <w:sz w:val="28"/>
          <w:szCs w:val="28"/>
        </w:rPr>
        <w:t xml:space="preserve">erché in sintesi pur comportando il potere di </w:t>
      </w:r>
      <w:proofErr w:type="spellStart"/>
      <w:r>
        <w:rPr>
          <w:rFonts w:ascii="Garamond" w:hAnsi="Garamond"/>
          <w:sz w:val="28"/>
          <w:szCs w:val="28"/>
        </w:rPr>
        <w:t>interdittiva</w:t>
      </w:r>
      <w:proofErr w:type="spellEnd"/>
      <w:r w:rsidRPr="009A4996">
        <w:rPr>
          <w:rFonts w:ascii="Garamond" w:hAnsi="Garamond"/>
          <w:sz w:val="28"/>
          <w:szCs w:val="28"/>
        </w:rPr>
        <w:t xml:space="preserve"> un grave sacrificio della libertà di impresa (nella specie era in gioco l'iscrizione all'albo delle imprese artigiane), esso è giustificato dall'estrema pericolosità del fenomeno mafioso e dal rischio di una lesione della concorrenza e della stessa dignità e libertà umana.</w:t>
      </w:r>
    </w:p>
    <w:p w:rsidR="00286C47" w:rsidRPr="00286C47" w:rsidRDefault="00CC64A1" w:rsidP="00286C47">
      <w:pPr>
        <w:jc w:val="both"/>
        <w:rPr>
          <w:rFonts w:ascii="Garamond" w:hAnsi="Garamond"/>
          <w:sz w:val="28"/>
          <w:szCs w:val="28"/>
        </w:rPr>
      </w:pPr>
      <w:r>
        <w:rPr>
          <w:rFonts w:ascii="Garamond" w:hAnsi="Garamond"/>
          <w:sz w:val="28"/>
          <w:szCs w:val="28"/>
        </w:rPr>
        <w:t>Come si dirà poi più avanti n</w:t>
      </w:r>
      <w:r w:rsidR="009A4996">
        <w:rPr>
          <w:rFonts w:ascii="Garamond" w:hAnsi="Garamond"/>
          <w:sz w:val="28"/>
          <w:szCs w:val="28"/>
        </w:rPr>
        <w:t>on va</w:t>
      </w:r>
      <w:r w:rsidR="00286C47" w:rsidRPr="00286C47">
        <w:rPr>
          <w:rFonts w:ascii="Garamond" w:hAnsi="Garamond"/>
          <w:sz w:val="28"/>
          <w:szCs w:val="28"/>
        </w:rPr>
        <w:t xml:space="preserve"> tac</w:t>
      </w:r>
      <w:r>
        <w:rPr>
          <w:rFonts w:ascii="Garamond" w:hAnsi="Garamond"/>
          <w:sz w:val="28"/>
          <w:szCs w:val="28"/>
        </w:rPr>
        <w:t xml:space="preserve">iuto </w:t>
      </w:r>
      <w:r w:rsidR="00286C47" w:rsidRPr="00286C47">
        <w:rPr>
          <w:rFonts w:ascii="Garamond" w:hAnsi="Garamond"/>
          <w:sz w:val="28"/>
          <w:szCs w:val="28"/>
        </w:rPr>
        <w:t>che secondo l’art. 6 (diritto ad un processo equo) della Convenzione EDU, come interpretato dalla Corte di Strasburgo, la qualificazione secondo il diritto interno di tali misure come di prevenzione non ne impedisce, almeno in ipotesi, la qualificazione in chiave convenzionale quali misure di tipo afflittivo ovvero di pene in senso sostanziale</w:t>
      </w:r>
      <w:r w:rsidR="00535C7D">
        <w:rPr>
          <w:rFonts w:ascii="Garamond" w:hAnsi="Garamond"/>
          <w:sz w:val="28"/>
          <w:szCs w:val="28"/>
        </w:rPr>
        <w:t>.</w:t>
      </w:r>
      <w:r w:rsidR="00535C7D">
        <w:rPr>
          <w:rStyle w:val="Rimandonotaapidipagina"/>
          <w:rFonts w:ascii="Garamond" w:hAnsi="Garamond"/>
          <w:sz w:val="28"/>
          <w:szCs w:val="28"/>
        </w:rPr>
        <w:footnoteReference w:id="8"/>
      </w:r>
    </w:p>
    <w:p w:rsidR="00286C47" w:rsidRPr="00286C47" w:rsidRDefault="00CC64A1" w:rsidP="00286C47">
      <w:pPr>
        <w:jc w:val="both"/>
        <w:rPr>
          <w:rFonts w:ascii="Garamond" w:hAnsi="Garamond"/>
          <w:sz w:val="28"/>
          <w:szCs w:val="28"/>
        </w:rPr>
      </w:pPr>
      <w:r>
        <w:rPr>
          <w:rFonts w:ascii="Garamond" w:hAnsi="Garamond"/>
          <w:sz w:val="28"/>
          <w:szCs w:val="28"/>
        </w:rPr>
        <w:t>Secondo una giurisprudenza del tutto pacifica</w:t>
      </w:r>
      <w:r w:rsidR="00286C47" w:rsidRPr="00286C47">
        <w:rPr>
          <w:rFonts w:ascii="Garamond" w:hAnsi="Garamond"/>
          <w:sz w:val="28"/>
          <w:szCs w:val="28"/>
        </w:rPr>
        <w:t xml:space="preserve"> il Prefetto può ravvisare l’insorgenza di tentativi di infiltrazione mafiosa</w:t>
      </w:r>
      <w:r w:rsidR="00535C7D">
        <w:rPr>
          <w:rFonts w:ascii="Garamond" w:hAnsi="Garamond"/>
          <w:sz w:val="28"/>
          <w:szCs w:val="28"/>
        </w:rPr>
        <w:t xml:space="preserve"> - oltre che dai c.d. reati spia</w:t>
      </w:r>
      <w:r w:rsidR="00535C7D">
        <w:rPr>
          <w:rStyle w:val="Rimandonotaapidipagina"/>
          <w:rFonts w:ascii="Garamond" w:hAnsi="Garamond"/>
          <w:sz w:val="28"/>
          <w:szCs w:val="28"/>
        </w:rPr>
        <w:footnoteReference w:id="9"/>
      </w:r>
      <w:r w:rsidR="00535C7D">
        <w:rPr>
          <w:rFonts w:ascii="Garamond" w:hAnsi="Garamond"/>
          <w:sz w:val="28"/>
          <w:szCs w:val="28"/>
        </w:rPr>
        <w:t>-</w:t>
      </w:r>
      <w:r w:rsidR="00286C47" w:rsidRPr="00286C47">
        <w:rPr>
          <w:rFonts w:ascii="Garamond" w:hAnsi="Garamond"/>
          <w:sz w:val="28"/>
          <w:szCs w:val="28"/>
        </w:rPr>
        <w:t xml:space="preserve"> da specifici ed obiettivi elementi indiziari, quali ad esempio dichiarazioni di pentiti, frequentazioni elettive, rapporti di parentela con soggetti malavitosi, ove al dato dell’appartenenza familiare si accompagni la frequentazione, la convivenza o la comunanza di interessi con l’individuo sospetto</w:t>
      </w:r>
      <w:r>
        <w:rPr>
          <w:rStyle w:val="Rimandonotaapidipagina"/>
          <w:rFonts w:ascii="Garamond" w:hAnsi="Garamond"/>
          <w:sz w:val="28"/>
          <w:szCs w:val="28"/>
        </w:rPr>
        <w:footnoteReference w:id="10"/>
      </w:r>
      <w:r w:rsidR="00286C47" w:rsidRPr="00286C47">
        <w:rPr>
          <w:rFonts w:ascii="Garamond" w:hAnsi="Garamond"/>
          <w:sz w:val="28"/>
          <w:szCs w:val="28"/>
        </w:rPr>
        <w:t xml:space="preserve"> non risultando invece sufficiente ai fini dell’adozione della misura di prevenzione il mero dato dei rapporti di parentela con esponenti della criminalità organizzata</w:t>
      </w:r>
      <w:r>
        <w:rPr>
          <w:rStyle w:val="Rimandonotaapidipagina"/>
          <w:rFonts w:ascii="Garamond" w:hAnsi="Garamond"/>
          <w:sz w:val="28"/>
          <w:szCs w:val="28"/>
        </w:rPr>
        <w:footnoteReference w:id="11"/>
      </w:r>
      <w:r>
        <w:rPr>
          <w:rFonts w:ascii="Garamond" w:hAnsi="Garamond"/>
          <w:sz w:val="28"/>
          <w:szCs w:val="28"/>
        </w:rPr>
        <w:t xml:space="preserve"> </w:t>
      </w:r>
      <w:r w:rsidR="00286C47" w:rsidRPr="00286C47">
        <w:rPr>
          <w:rFonts w:ascii="Garamond" w:hAnsi="Garamond"/>
          <w:sz w:val="28"/>
          <w:szCs w:val="28"/>
        </w:rPr>
        <w:t>se non accompagnati da ulteriori elementi indiziari circostanziati.</w:t>
      </w:r>
    </w:p>
    <w:p w:rsidR="00286C47" w:rsidRDefault="00286C47" w:rsidP="00286C47">
      <w:pPr>
        <w:jc w:val="both"/>
        <w:rPr>
          <w:rFonts w:ascii="Garamond" w:hAnsi="Garamond"/>
          <w:sz w:val="28"/>
          <w:szCs w:val="28"/>
        </w:rPr>
      </w:pPr>
      <w:r w:rsidRPr="00286C47">
        <w:rPr>
          <w:rFonts w:ascii="Garamond" w:hAnsi="Garamond"/>
          <w:sz w:val="28"/>
          <w:szCs w:val="28"/>
        </w:rPr>
        <w:t>In particolare, quanto ai legami familiari, deve però evidenziarsi che parte della giurispruden</w:t>
      </w:r>
      <w:r w:rsidR="00CC64A1">
        <w:rPr>
          <w:rFonts w:ascii="Garamond" w:hAnsi="Garamond"/>
          <w:sz w:val="28"/>
          <w:szCs w:val="28"/>
        </w:rPr>
        <w:t xml:space="preserve">za </w:t>
      </w:r>
      <w:r w:rsidRPr="00286C47">
        <w:rPr>
          <w:rFonts w:ascii="Garamond" w:hAnsi="Garamond"/>
          <w:sz w:val="28"/>
          <w:szCs w:val="28"/>
        </w:rPr>
        <w:t xml:space="preserve">non ha mancato di rilevare che “specialmente nei contesti sociali in cui attecchisce il fenomeno mafioso, all’interno della famiglia si può verificare una influenza reciproca di comportamenti e possono sorgere legami di cointeressenza, di solidarietà, di copertura o quanto meno di soggezione o di tolleranza. Una tale influenza può essere desunta non dalla considerazione (che sarebbe in sé errata e in contrasto con i principi costituzionali) che il parente di un mafioso sia anch’egli un mafioso, ma per la doverosa considerazione, per converso, che la complessa organizzazione della mafia ha una struttura clanica, si fonda e si articola, a livello particellare, sul nucleo fondante della famiglia, </w:t>
      </w:r>
      <w:proofErr w:type="spellStart"/>
      <w:r w:rsidRPr="00286C47">
        <w:rPr>
          <w:rFonts w:ascii="Garamond" w:hAnsi="Garamond"/>
          <w:sz w:val="28"/>
          <w:szCs w:val="28"/>
        </w:rPr>
        <w:t>sicchè</w:t>
      </w:r>
      <w:proofErr w:type="spellEnd"/>
      <w:r w:rsidRPr="00286C47">
        <w:rPr>
          <w:rFonts w:ascii="Garamond" w:hAnsi="Garamond"/>
          <w:sz w:val="28"/>
          <w:szCs w:val="28"/>
        </w:rPr>
        <w:t xml:space="preserve"> in una famiglia mafiosa anche il soggetto che non sia attinto da pregiudizio mafioso può subire, nolente, l’influenza del capofamiglia e dell’associazione</w:t>
      </w:r>
      <w:r w:rsidR="009A4996">
        <w:rPr>
          <w:rFonts w:ascii="Garamond" w:hAnsi="Garamond"/>
          <w:sz w:val="28"/>
          <w:szCs w:val="28"/>
        </w:rPr>
        <w:t>.</w:t>
      </w:r>
      <w:r w:rsidR="00CC64A1">
        <w:rPr>
          <w:rStyle w:val="Rimandonotaapidipagina"/>
          <w:rFonts w:ascii="Garamond" w:hAnsi="Garamond"/>
          <w:sz w:val="28"/>
          <w:szCs w:val="28"/>
        </w:rPr>
        <w:footnoteReference w:id="12"/>
      </w:r>
      <w:r w:rsidR="009A4996">
        <w:rPr>
          <w:rFonts w:ascii="Garamond" w:hAnsi="Garamond"/>
          <w:sz w:val="28"/>
          <w:szCs w:val="28"/>
        </w:rPr>
        <w:t>”</w:t>
      </w:r>
    </w:p>
    <w:p w:rsidR="00A47202" w:rsidRDefault="00A47202" w:rsidP="00286C47">
      <w:pPr>
        <w:jc w:val="both"/>
        <w:rPr>
          <w:rFonts w:ascii="Garamond" w:hAnsi="Garamond"/>
          <w:b/>
          <w:sz w:val="28"/>
          <w:szCs w:val="28"/>
        </w:rPr>
      </w:pPr>
    </w:p>
    <w:p w:rsidR="00A47202" w:rsidRPr="00A47202" w:rsidRDefault="00535C7D" w:rsidP="00286C47">
      <w:pPr>
        <w:jc w:val="both"/>
        <w:rPr>
          <w:rFonts w:ascii="Garamond" w:hAnsi="Garamond"/>
          <w:b/>
          <w:sz w:val="28"/>
          <w:szCs w:val="28"/>
        </w:rPr>
      </w:pPr>
      <w:proofErr w:type="gramStart"/>
      <w:r>
        <w:rPr>
          <w:rFonts w:ascii="Garamond" w:hAnsi="Garamond"/>
          <w:b/>
          <w:sz w:val="28"/>
          <w:szCs w:val="28"/>
        </w:rPr>
        <w:t>2.-</w:t>
      </w:r>
      <w:proofErr w:type="gramEnd"/>
      <w:r>
        <w:rPr>
          <w:rFonts w:ascii="Garamond" w:hAnsi="Garamond"/>
          <w:b/>
          <w:sz w:val="28"/>
          <w:szCs w:val="28"/>
        </w:rPr>
        <w:t xml:space="preserve"> </w:t>
      </w:r>
      <w:proofErr w:type="spellStart"/>
      <w:r w:rsidR="00A47202" w:rsidRPr="00A47202">
        <w:rPr>
          <w:rFonts w:ascii="Garamond" w:hAnsi="Garamond"/>
          <w:b/>
          <w:sz w:val="28"/>
          <w:szCs w:val="28"/>
        </w:rPr>
        <w:t>Interdittive</w:t>
      </w:r>
      <w:proofErr w:type="spellEnd"/>
      <w:r w:rsidR="00A47202" w:rsidRPr="00A47202">
        <w:rPr>
          <w:rFonts w:ascii="Garamond" w:hAnsi="Garamond"/>
          <w:b/>
          <w:sz w:val="28"/>
          <w:szCs w:val="28"/>
        </w:rPr>
        <w:t xml:space="preserve"> antimafia e giusto procedimento</w:t>
      </w:r>
    </w:p>
    <w:p w:rsidR="00286C47" w:rsidRDefault="00A47202" w:rsidP="00286C47">
      <w:pPr>
        <w:jc w:val="both"/>
        <w:rPr>
          <w:rFonts w:ascii="Garamond" w:hAnsi="Garamond"/>
          <w:sz w:val="28"/>
          <w:szCs w:val="28"/>
        </w:rPr>
      </w:pPr>
      <w:r>
        <w:rPr>
          <w:rFonts w:ascii="Garamond" w:hAnsi="Garamond"/>
          <w:sz w:val="28"/>
          <w:szCs w:val="28"/>
        </w:rPr>
        <w:t>In riferimento alle garanzie partecipative nel procedimento di applicazione d</w:t>
      </w:r>
      <w:r w:rsidR="001008B0">
        <w:rPr>
          <w:rFonts w:ascii="Garamond" w:hAnsi="Garamond"/>
          <w:sz w:val="28"/>
          <w:szCs w:val="28"/>
        </w:rPr>
        <w:t xml:space="preserve">elle misure </w:t>
      </w:r>
      <w:proofErr w:type="spellStart"/>
      <w:r w:rsidR="001008B0">
        <w:rPr>
          <w:rFonts w:ascii="Garamond" w:hAnsi="Garamond"/>
          <w:sz w:val="28"/>
          <w:szCs w:val="28"/>
        </w:rPr>
        <w:t>interdittive</w:t>
      </w:r>
      <w:proofErr w:type="spellEnd"/>
      <w:r w:rsidR="001008B0">
        <w:rPr>
          <w:rFonts w:ascii="Garamond" w:hAnsi="Garamond"/>
          <w:sz w:val="28"/>
          <w:szCs w:val="28"/>
        </w:rPr>
        <w:t xml:space="preserve"> nel periodo antecedente l’entrata </w:t>
      </w:r>
      <w:r w:rsidR="000E3C5F">
        <w:rPr>
          <w:rFonts w:ascii="Garamond" w:hAnsi="Garamond"/>
          <w:sz w:val="28"/>
          <w:szCs w:val="28"/>
        </w:rPr>
        <w:t xml:space="preserve">in vigore del decreto legge 152/2021 </w:t>
      </w:r>
      <w:r w:rsidR="001008B0">
        <w:rPr>
          <w:rFonts w:ascii="Garamond" w:hAnsi="Garamond"/>
          <w:sz w:val="28"/>
          <w:szCs w:val="28"/>
        </w:rPr>
        <w:t>la giurisprudenza amministrativa si è mostrata compatta nel valorizzare il dato normativo del carattere eventuale del contradditorio sulla base sia delle esigenze di celerità e riservatezza</w:t>
      </w:r>
      <w:r w:rsidR="001008B0">
        <w:rPr>
          <w:rStyle w:val="Rimandonotaapidipagina"/>
          <w:rFonts w:ascii="Garamond" w:hAnsi="Garamond"/>
          <w:sz w:val="28"/>
          <w:szCs w:val="28"/>
        </w:rPr>
        <w:footnoteReference w:id="13"/>
      </w:r>
      <w:r w:rsidR="001008B0">
        <w:rPr>
          <w:rFonts w:ascii="Garamond" w:hAnsi="Garamond"/>
          <w:sz w:val="28"/>
          <w:szCs w:val="28"/>
        </w:rPr>
        <w:t xml:space="preserve"> che dello stesso rischio di</w:t>
      </w:r>
      <w:r w:rsidR="001008B0" w:rsidRPr="001008B0">
        <w:rPr>
          <w:rFonts w:ascii="Garamond" w:hAnsi="Garamond"/>
          <w:sz w:val="28"/>
          <w:szCs w:val="28"/>
        </w:rPr>
        <w:t xml:space="preserve"> frustrare la finalità della legislazione antimafia di prevenire il tentativo di infiltrazione mafiosa da parte delle organizzazioni criminali</w:t>
      </w:r>
      <w:r w:rsidR="000028BC">
        <w:rPr>
          <w:rFonts w:ascii="Garamond" w:hAnsi="Garamond"/>
          <w:sz w:val="28"/>
          <w:szCs w:val="28"/>
        </w:rPr>
        <w:t>.</w:t>
      </w:r>
      <w:r w:rsidR="001008B0">
        <w:rPr>
          <w:rStyle w:val="Rimandonotaapidipagina"/>
          <w:rFonts w:ascii="Garamond" w:hAnsi="Garamond"/>
          <w:sz w:val="28"/>
          <w:szCs w:val="28"/>
        </w:rPr>
        <w:footnoteReference w:id="14"/>
      </w:r>
    </w:p>
    <w:p w:rsidR="001008B0" w:rsidRDefault="001008B0" w:rsidP="00286C47">
      <w:pPr>
        <w:jc w:val="both"/>
        <w:rPr>
          <w:rFonts w:ascii="Garamond" w:hAnsi="Garamond"/>
          <w:sz w:val="28"/>
          <w:szCs w:val="28"/>
        </w:rPr>
      </w:pPr>
      <w:r>
        <w:rPr>
          <w:rFonts w:ascii="Garamond" w:hAnsi="Garamond"/>
          <w:sz w:val="28"/>
          <w:szCs w:val="28"/>
        </w:rPr>
        <w:t xml:space="preserve">In virtù di tali esigenze si è diffusa potremo dire una sorta di incompatibilità intrinseca tra </w:t>
      </w:r>
      <w:proofErr w:type="spellStart"/>
      <w:r>
        <w:rPr>
          <w:rFonts w:ascii="Garamond" w:hAnsi="Garamond"/>
          <w:sz w:val="28"/>
          <w:szCs w:val="28"/>
        </w:rPr>
        <w:t>interdittive</w:t>
      </w:r>
      <w:proofErr w:type="spellEnd"/>
      <w:r>
        <w:rPr>
          <w:rFonts w:ascii="Garamond" w:hAnsi="Garamond"/>
          <w:sz w:val="28"/>
          <w:szCs w:val="28"/>
        </w:rPr>
        <w:t xml:space="preserve"> e garanzie partecipative</w:t>
      </w:r>
      <w:r w:rsidR="00FF1394">
        <w:rPr>
          <w:rFonts w:ascii="Garamond" w:hAnsi="Garamond"/>
          <w:sz w:val="28"/>
          <w:szCs w:val="28"/>
        </w:rPr>
        <w:t>, non richiedendosi al Prefetto un particolare sforzo</w:t>
      </w:r>
      <w:r w:rsidR="0080365E">
        <w:rPr>
          <w:rFonts w:ascii="Garamond" w:hAnsi="Garamond"/>
          <w:sz w:val="28"/>
          <w:szCs w:val="28"/>
        </w:rPr>
        <w:t xml:space="preserve"> motivazionale nell’attestazione</w:t>
      </w:r>
      <w:r w:rsidR="00FF1394">
        <w:rPr>
          <w:rFonts w:ascii="Garamond" w:hAnsi="Garamond"/>
          <w:sz w:val="28"/>
          <w:szCs w:val="28"/>
        </w:rPr>
        <w:t xml:space="preserve"> delle ragioni derogatorie di urgenza, diversamente da quanto desumibile invece dalla legge generale sul procedimento amministrativo, secondo cui</w:t>
      </w:r>
      <w:r w:rsidR="0080365E">
        <w:rPr>
          <w:rFonts w:ascii="Garamond" w:hAnsi="Garamond"/>
          <w:sz w:val="28"/>
          <w:szCs w:val="28"/>
        </w:rPr>
        <w:t xml:space="preserve"> ai sensi dell’art. 7 L.241/90</w:t>
      </w:r>
      <w:r w:rsidR="00FF1394">
        <w:rPr>
          <w:rFonts w:ascii="Garamond" w:hAnsi="Garamond"/>
          <w:sz w:val="28"/>
          <w:szCs w:val="28"/>
        </w:rPr>
        <w:t xml:space="preserve"> è richiesta</w:t>
      </w:r>
      <w:r w:rsidR="009A4996">
        <w:rPr>
          <w:rFonts w:ascii="Garamond" w:hAnsi="Garamond"/>
          <w:sz w:val="28"/>
          <w:szCs w:val="28"/>
        </w:rPr>
        <w:t xml:space="preserve"> in tema di comunicazione di avvio del procedimento</w:t>
      </w:r>
      <w:r w:rsidR="00FF1394">
        <w:rPr>
          <w:rFonts w:ascii="Garamond" w:hAnsi="Garamond"/>
          <w:sz w:val="28"/>
          <w:szCs w:val="28"/>
        </w:rPr>
        <w:t xml:space="preserve"> un’urgenza qualificata da indicare in motivazione.</w:t>
      </w:r>
      <w:r w:rsidR="00FF1394">
        <w:rPr>
          <w:rStyle w:val="Rimandonotaapidipagina"/>
          <w:rFonts w:ascii="Garamond" w:hAnsi="Garamond"/>
          <w:sz w:val="28"/>
          <w:szCs w:val="28"/>
        </w:rPr>
        <w:footnoteReference w:id="15"/>
      </w:r>
      <w:r w:rsidR="00FF1394">
        <w:rPr>
          <w:rFonts w:ascii="Garamond" w:hAnsi="Garamond"/>
          <w:sz w:val="28"/>
          <w:szCs w:val="28"/>
        </w:rPr>
        <w:t xml:space="preserve"> </w:t>
      </w:r>
    </w:p>
    <w:p w:rsidR="00FF1394" w:rsidRDefault="00FF1394" w:rsidP="00286C47">
      <w:pPr>
        <w:jc w:val="both"/>
        <w:rPr>
          <w:rFonts w:ascii="Garamond" w:hAnsi="Garamond"/>
          <w:sz w:val="28"/>
          <w:szCs w:val="28"/>
        </w:rPr>
      </w:pPr>
      <w:r>
        <w:rPr>
          <w:rFonts w:ascii="Garamond" w:hAnsi="Garamond"/>
          <w:sz w:val="28"/>
          <w:szCs w:val="28"/>
        </w:rPr>
        <w:t xml:space="preserve">E’ pertanto ipotizzabile un applicazione “timida” del disposto di cui al nuovo comma 2 bis dell’art. 92 d.lgs. 159/2011 </w:t>
      </w:r>
      <w:r w:rsidR="00325B50">
        <w:rPr>
          <w:rFonts w:ascii="Garamond" w:hAnsi="Garamond"/>
          <w:sz w:val="28"/>
          <w:szCs w:val="28"/>
        </w:rPr>
        <w:t>che invece è chiaro nell’imporre la tempestiva comunicazione dell’avvio del procedimento al soggetto interessato, salvo ricorrano “particolari esigenz</w:t>
      </w:r>
      <w:r w:rsidR="000E3C5F">
        <w:rPr>
          <w:rFonts w:ascii="Garamond" w:hAnsi="Garamond"/>
          <w:sz w:val="28"/>
          <w:szCs w:val="28"/>
        </w:rPr>
        <w:t xml:space="preserve">e di celerità del procedimento” oppure </w:t>
      </w:r>
      <w:r w:rsidR="000E3C5F" w:rsidRPr="000E3C5F">
        <w:rPr>
          <w:rFonts w:ascii="Garamond" w:hAnsi="Garamond"/>
          <w:sz w:val="28"/>
          <w:szCs w:val="28"/>
        </w:rPr>
        <w:t>elementi il cui disvelamento “sia idoneo a pregiudicare procedimenti amministrativi o attività processuali in corso, ovvero l'esito di altri accertamenti finalizzati alla prevenzione delle infiltrazioni mafiose</w:t>
      </w:r>
      <w:r w:rsidR="000E3C5F">
        <w:rPr>
          <w:rFonts w:ascii="Garamond" w:hAnsi="Garamond"/>
          <w:sz w:val="28"/>
          <w:szCs w:val="28"/>
        </w:rPr>
        <w:t>.”</w:t>
      </w:r>
    </w:p>
    <w:p w:rsidR="00325B50" w:rsidRDefault="00325B50" w:rsidP="00286C47">
      <w:pPr>
        <w:jc w:val="both"/>
        <w:rPr>
          <w:rFonts w:ascii="Garamond" w:hAnsi="Garamond"/>
          <w:sz w:val="28"/>
          <w:szCs w:val="28"/>
        </w:rPr>
      </w:pPr>
      <w:r>
        <w:rPr>
          <w:rFonts w:ascii="Garamond" w:hAnsi="Garamond"/>
          <w:sz w:val="28"/>
          <w:szCs w:val="28"/>
        </w:rPr>
        <w:t xml:space="preserve">A parere dello scrivente il contraddittorio in questione non può rilegarsi a strumento di mero carattere formale nell’ambito di un fenomeno da tempo in atto di complessiva </w:t>
      </w:r>
      <w:proofErr w:type="spellStart"/>
      <w:r>
        <w:rPr>
          <w:rFonts w:ascii="Garamond" w:hAnsi="Garamond"/>
          <w:sz w:val="28"/>
          <w:szCs w:val="28"/>
        </w:rPr>
        <w:t>dequotazione</w:t>
      </w:r>
      <w:proofErr w:type="spellEnd"/>
      <w:r>
        <w:rPr>
          <w:rFonts w:ascii="Garamond" w:hAnsi="Garamond"/>
          <w:sz w:val="28"/>
          <w:szCs w:val="28"/>
        </w:rPr>
        <w:t xml:space="preserve"> delle garanzie procedimentali</w:t>
      </w:r>
      <w:r w:rsidR="0080365E">
        <w:rPr>
          <w:rStyle w:val="Rimandonotaapidipagina"/>
          <w:rFonts w:ascii="Garamond" w:hAnsi="Garamond"/>
          <w:sz w:val="28"/>
          <w:szCs w:val="28"/>
        </w:rPr>
        <w:footnoteReference w:id="16"/>
      </w:r>
      <w:r>
        <w:rPr>
          <w:rFonts w:ascii="Garamond" w:hAnsi="Garamond"/>
          <w:sz w:val="28"/>
          <w:szCs w:val="28"/>
        </w:rPr>
        <w:t xml:space="preserve"> e degli istituti partecipativi</w:t>
      </w:r>
      <w:r w:rsidR="00045556">
        <w:rPr>
          <w:rFonts w:ascii="Garamond" w:hAnsi="Garamond"/>
          <w:sz w:val="28"/>
          <w:szCs w:val="28"/>
        </w:rPr>
        <w:t xml:space="preserve">, presentando invece </w:t>
      </w:r>
      <w:r w:rsidR="00E535C7">
        <w:rPr>
          <w:rFonts w:ascii="Garamond" w:hAnsi="Garamond"/>
          <w:sz w:val="28"/>
          <w:szCs w:val="28"/>
        </w:rPr>
        <w:t>valenza sostanziale, in considerazione dell’ampiezza degli apprezzamenti demandati al Prefetto e del collegamento</w:t>
      </w:r>
      <w:r w:rsidR="0080365E">
        <w:rPr>
          <w:rFonts w:ascii="Garamond" w:hAnsi="Garamond"/>
          <w:sz w:val="28"/>
          <w:szCs w:val="28"/>
        </w:rPr>
        <w:t xml:space="preserve"> funzionale</w:t>
      </w:r>
      <w:r w:rsidR="00E535C7">
        <w:rPr>
          <w:rFonts w:ascii="Garamond" w:hAnsi="Garamond"/>
          <w:sz w:val="28"/>
          <w:szCs w:val="28"/>
        </w:rPr>
        <w:t xml:space="preserve"> tra contraddittorio e le previste misure di </w:t>
      </w:r>
      <w:r w:rsidR="00897CE1">
        <w:rPr>
          <w:rFonts w:ascii="Garamond" w:hAnsi="Garamond"/>
          <w:sz w:val="28"/>
          <w:szCs w:val="28"/>
        </w:rPr>
        <w:t>“</w:t>
      </w:r>
      <w:r w:rsidR="00E535C7">
        <w:rPr>
          <w:rFonts w:ascii="Garamond" w:hAnsi="Garamond"/>
          <w:sz w:val="28"/>
          <w:szCs w:val="28"/>
        </w:rPr>
        <w:t xml:space="preserve">self </w:t>
      </w:r>
      <w:proofErr w:type="spellStart"/>
      <w:r w:rsidR="00E535C7">
        <w:rPr>
          <w:rFonts w:ascii="Garamond" w:hAnsi="Garamond"/>
          <w:sz w:val="28"/>
          <w:szCs w:val="28"/>
        </w:rPr>
        <w:t>cleaning</w:t>
      </w:r>
      <w:proofErr w:type="spellEnd"/>
      <w:r w:rsidR="00897CE1">
        <w:rPr>
          <w:rFonts w:ascii="Garamond" w:hAnsi="Garamond"/>
          <w:sz w:val="28"/>
          <w:szCs w:val="28"/>
        </w:rPr>
        <w:t>”</w:t>
      </w:r>
      <w:r w:rsidR="00E535C7">
        <w:rPr>
          <w:rFonts w:ascii="Garamond" w:hAnsi="Garamond"/>
          <w:sz w:val="28"/>
          <w:szCs w:val="28"/>
        </w:rPr>
        <w:t>.</w:t>
      </w:r>
    </w:p>
    <w:p w:rsidR="00FF1394" w:rsidRDefault="00E535C7" w:rsidP="00286C47">
      <w:pPr>
        <w:jc w:val="both"/>
        <w:rPr>
          <w:rFonts w:ascii="Garamond" w:hAnsi="Garamond"/>
          <w:sz w:val="28"/>
          <w:szCs w:val="28"/>
        </w:rPr>
      </w:pPr>
      <w:r>
        <w:rPr>
          <w:rFonts w:ascii="Garamond" w:hAnsi="Garamond"/>
          <w:sz w:val="28"/>
          <w:szCs w:val="28"/>
        </w:rPr>
        <w:t>D’altronde la prassi giudiziale insegna come spesso</w:t>
      </w:r>
      <w:r w:rsidRPr="00E535C7">
        <w:rPr>
          <w:rFonts w:ascii="Garamond" w:hAnsi="Garamond"/>
          <w:sz w:val="28"/>
          <w:szCs w:val="28"/>
        </w:rPr>
        <w:t xml:space="preserve"> la permeabilità mafiosa</w:t>
      </w:r>
      <w:r w:rsidR="00897CE1">
        <w:rPr>
          <w:rFonts w:ascii="Garamond" w:hAnsi="Garamond"/>
          <w:sz w:val="28"/>
          <w:szCs w:val="28"/>
        </w:rPr>
        <w:t xml:space="preserve"> desunta molto spesso da elementi indiziari</w:t>
      </w:r>
      <w:r w:rsidR="000E3C5F">
        <w:rPr>
          <w:rFonts w:ascii="Garamond" w:hAnsi="Garamond"/>
          <w:sz w:val="28"/>
          <w:szCs w:val="28"/>
        </w:rPr>
        <w:t>,</w:t>
      </w:r>
      <w:r w:rsidRPr="00E535C7">
        <w:rPr>
          <w:rFonts w:ascii="Garamond" w:hAnsi="Garamond"/>
          <w:sz w:val="28"/>
          <w:szCs w:val="28"/>
        </w:rPr>
        <w:t xml:space="preserve"> ap</w:t>
      </w:r>
      <w:r w:rsidR="000E3C5F">
        <w:rPr>
          <w:rFonts w:ascii="Garamond" w:hAnsi="Garamond"/>
          <w:sz w:val="28"/>
          <w:szCs w:val="28"/>
        </w:rPr>
        <w:t xml:space="preserve">paia dubbia anche secondo l’ormai </w:t>
      </w:r>
      <w:r w:rsidR="0065051D">
        <w:rPr>
          <w:rFonts w:ascii="Garamond" w:hAnsi="Garamond"/>
          <w:sz w:val="28"/>
          <w:szCs w:val="28"/>
        </w:rPr>
        <w:t>consueto criterio pretorio del “più probabile che non”</w:t>
      </w:r>
      <w:r w:rsidR="00897CE1">
        <w:rPr>
          <w:rFonts w:ascii="Garamond" w:hAnsi="Garamond"/>
          <w:sz w:val="28"/>
          <w:szCs w:val="28"/>
        </w:rPr>
        <w:t xml:space="preserve"> </w:t>
      </w:r>
      <w:r>
        <w:rPr>
          <w:rFonts w:ascii="Garamond" w:hAnsi="Garamond"/>
          <w:sz w:val="28"/>
          <w:szCs w:val="28"/>
        </w:rPr>
        <w:t xml:space="preserve">si che </w:t>
      </w:r>
      <w:r w:rsidRPr="00E535C7">
        <w:rPr>
          <w:rFonts w:ascii="Garamond" w:hAnsi="Garamond"/>
          <w:sz w:val="28"/>
          <w:szCs w:val="28"/>
        </w:rPr>
        <w:t>l’apporto proce</w:t>
      </w:r>
      <w:r>
        <w:rPr>
          <w:rFonts w:ascii="Garamond" w:hAnsi="Garamond"/>
          <w:sz w:val="28"/>
          <w:szCs w:val="28"/>
        </w:rPr>
        <w:t>dimentale potrebbe fornire</w:t>
      </w:r>
      <w:r w:rsidRPr="00E535C7">
        <w:rPr>
          <w:rFonts w:ascii="Garamond" w:hAnsi="Garamond"/>
          <w:sz w:val="28"/>
          <w:szCs w:val="28"/>
        </w:rPr>
        <w:t xml:space="preserve"> elementi</w:t>
      </w:r>
      <w:r w:rsidR="005B4054">
        <w:rPr>
          <w:rFonts w:ascii="Garamond" w:hAnsi="Garamond"/>
          <w:sz w:val="28"/>
          <w:szCs w:val="28"/>
        </w:rPr>
        <w:t xml:space="preserve"> utili anche nella successiva fase giudiziale.</w:t>
      </w:r>
    </w:p>
    <w:p w:rsidR="00E535C7" w:rsidRDefault="00E535C7" w:rsidP="00286C47">
      <w:pPr>
        <w:jc w:val="both"/>
        <w:rPr>
          <w:rFonts w:ascii="Garamond" w:hAnsi="Garamond"/>
          <w:sz w:val="28"/>
          <w:szCs w:val="28"/>
        </w:rPr>
      </w:pPr>
      <w:r>
        <w:rPr>
          <w:rFonts w:ascii="Garamond" w:hAnsi="Garamond"/>
          <w:sz w:val="28"/>
          <w:szCs w:val="28"/>
        </w:rPr>
        <w:t xml:space="preserve">Pur </w:t>
      </w:r>
      <w:r w:rsidR="00F35F4E">
        <w:rPr>
          <w:rFonts w:ascii="Garamond" w:hAnsi="Garamond"/>
          <w:sz w:val="28"/>
          <w:szCs w:val="28"/>
        </w:rPr>
        <w:t xml:space="preserve">in un quadro ordinamentale ove </w:t>
      </w:r>
      <w:r>
        <w:rPr>
          <w:rFonts w:ascii="Garamond" w:hAnsi="Garamond"/>
          <w:sz w:val="28"/>
          <w:szCs w:val="28"/>
        </w:rPr>
        <w:t>il contraddittorio procedimentale risulta privo di valenza costituzionale</w:t>
      </w:r>
      <w:r w:rsidR="00F35F4E">
        <w:rPr>
          <w:rFonts w:ascii="Garamond" w:hAnsi="Garamond"/>
          <w:sz w:val="28"/>
          <w:szCs w:val="28"/>
        </w:rPr>
        <w:t xml:space="preserve"> -</w:t>
      </w:r>
      <w:r>
        <w:rPr>
          <w:rFonts w:ascii="Garamond" w:hAnsi="Garamond"/>
          <w:sz w:val="28"/>
          <w:szCs w:val="28"/>
        </w:rPr>
        <w:t xml:space="preserve"> come anche recentemente affermato dalla Consulta</w:t>
      </w:r>
      <w:r>
        <w:rPr>
          <w:rStyle w:val="Rimandonotaapidipagina"/>
          <w:rFonts w:ascii="Garamond" w:hAnsi="Garamond"/>
          <w:sz w:val="28"/>
          <w:szCs w:val="28"/>
        </w:rPr>
        <w:footnoteReference w:id="17"/>
      </w:r>
      <w:r w:rsidR="00F35F4E">
        <w:rPr>
          <w:rFonts w:ascii="Garamond" w:hAnsi="Garamond"/>
          <w:sz w:val="28"/>
          <w:szCs w:val="28"/>
        </w:rPr>
        <w:t xml:space="preserve"> - e di lettura sostanzialistica degli istituti partecipativi confermata dall’art 21</w:t>
      </w:r>
      <w:r w:rsidR="000028BC">
        <w:rPr>
          <w:rFonts w:ascii="Garamond" w:hAnsi="Garamond"/>
          <w:sz w:val="28"/>
          <w:szCs w:val="28"/>
        </w:rPr>
        <w:t>-</w:t>
      </w:r>
      <w:r w:rsidR="00F35F4E">
        <w:rPr>
          <w:rFonts w:ascii="Garamond" w:hAnsi="Garamond"/>
          <w:sz w:val="28"/>
          <w:szCs w:val="28"/>
        </w:rPr>
        <w:t>octies L.241/90</w:t>
      </w:r>
      <w:r w:rsidR="003C6DBA">
        <w:rPr>
          <w:rStyle w:val="Rimandonotaapidipagina"/>
          <w:rFonts w:ascii="Garamond" w:hAnsi="Garamond"/>
          <w:sz w:val="28"/>
          <w:szCs w:val="28"/>
        </w:rPr>
        <w:footnoteReference w:id="18"/>
      </w:r>
      <w:r w:rsidR="00F35F4E">
        <w:rPr>
          <w:rFonts w:ascii="Garamond" w:hAnsi="Garamond"/>
          <w:sz w:val="28"/>
          <w:szCs w:val="28"/>
        </w:rPr>
        <w:t xml:space="preserve"> esso rimane un principio fondamentale, potendo il legislatore </w:t>
      </w:r>
      <w:r w:rsidRPr="00E535C7">
        <w:rPr>
          <w:rFonts w:ascii="Garamond" w:hAnsi="Garamond"/>
          <w:sz w:val="28"/>
          <w:szCs w:val="28"/>
        </w:rPr>
        <w:t xml:space="preserve">valorizzare il contraddittorio nell’ambito di procedimenti ove vengono in </w:t>
      </w:r>
      <w:r>
        <w:rPr>
          <w:rFonts w:ascii="Garamond" w:hAnsi="Garamond"/>
          <w:sz w:val="28"/>
          <w:szCs w:val="28"/>
        </w:rPr>
        <w:t xml:space="preserve">rilievo diritti fondamentali, come ad esempio nel </w:t>
      </w:r>
      <w:r w:rsidRPr="00E535C7">
        <w:rPr>
          <w:rFonts w:ascii="Garamond" w:hAnsi="Garamond"/>
          <w:sz w:val="28"/>
          <w:szCs w:val="28"/>
        </w:rPr>
        <w:t>procedimento</w:t>
      </w:r>
      <w:r>
        <w:rPr>
          <w:rFonts w:ascii="Garamond" w:hAnsi="Garamond"/>
          <w:sz w:val="28"/>
          <w:szCs w:val="28"/>
        </w:rPr>
        <w:t xml:space="preserve"> espropriativo laddove sia il testo unico </w:t>
      </w:r>
      <w:r w:rsidR="00DC2376">
        <w:rPr>
          <w:rFonts w:ascii="Garamond" w:hAnsi="Garamond"/>
          <w:sz w:val="28"/>
          <w:szCs w:val="28"/>
        </w:rPr>
        <w:t>espropriazioni</w:t>
      </w:r>
      <w:r w:rsidRPr="00E535C7">
        <w:rPr>
          <w:rFonts w:ascii="Garamond" w:hAnsi="Garamond"/>
          <w:sz w:val="28"/>
          <w:szCs w:val="28"/>
        </w:rPr>
        <w:t xml:space="preserve"> che la giurisprudenza</w:t>
      </w:r>
      <w:r>
        <w:rPr>
          <w:rFonts w:ascii="Garamond" w:hAnsi="Garamond"/>
          <w:sz w:val="28"/>
          <w:szCs w:val="28"/>
        </w:rPr>
        <w:t xml:space="preserve"> lo elevano a presupposto di legittimità sia nella fase di apposizione del vincolo</w:t>
      </w:r>
      <w:r>
        <w:rPr>
          <w:rStyle w:val="Rimandonotaapidipagina"/>
          <w:rFonts w:ascii="Garamond" w:hAnsi="Garamond"/>
          <w:sz w:val="28"/>
          <w:szCs w:val="28"/>
        </w:rPr>
        <w:footnoteReference w:id="19"/>
      </w:r>
      <w:r>
        <w:rPr>
          <w:rFonts w:ascii="Garamond" w:hAnsi="Garamond"/>
          <w:sz w:val="28"/>
          <w:szCs w:val="28"/>
        </w:rPr>
        <w:t xml:space="preserve"> che in quella di dichiarazione della pubblica utilità.</w:t>
      </w:r>
      <w:r>
        <w:rPr>
          <w:rStyle w:val="Rimandonotaapidipagina"/>
          <w:rFonts w:ascii="Garamond" w:hAnsi="Garamond"/>
          <w:sz w:val="28"/>
          <w:szCs w:val="28"/>
        </w:rPr>
        <w:footnoteReference w:id="20"/>
      </w:r>
    </w:p>
    <w:p w:rsidR="00DC2376" w:rsidRDefault="00DC2376" w:rsidP="00150C3A">
      <w:pPr>
        <w:jc w:val="both"/>
        <w:rPr>
          <w:rFonts w:ascii="Garamond" w:hAnsi="Garamond"/>
          <w:sz w:val="28"/>
          <w:szCs w:val="28"/>
        </w:rPr>
      </w:pPr>
      <w:r>
        <w:rPr>
          <w:rFonts w:ascii="Garamond" w:hAnsi="Garamond"/>
          <w:sz w:val="28"/>
          <w:szCs w:val="28"/>
        </w:rPr>
        <w:t>Da notare che lo stesso Consiglio di Stato</w:t>
      </w:r>
      <w:r>
        <w:rPr>
          <w:rStyle w:val="Rimandonotaapidipagina"/>
          <w:rFonts w:ascii="Garamond" w:hAnsi="Garamond"/>
          <w:sz w:val="28"/>
          <w:szCs w:val="28"/>
        </w:rPr>
        <w:footnoteReference w:id="21"/>
      </w:r>
      <w:r>
        <w:rPr>
          <w:rFonts w:ascii="Garamond" w:hAnsi="Garamond"/>
          <w:sz w:val="28"/>
          <w:szCs w:val="28"/>
        </w:rPr>
        <w:t xml:space="preserve"> sep</w:t>
      </w:r>
      <w:r w:rsidRPr="00DC2376">
        <w:rPr>
          <w:rFonts w:ascii="Garamond" w:hAnsi="Garamond"/>
          <w:sz w:val="28"/>
          <w:szCs w:val="28"/>
        </w:rPr>
        <w:t>pur negando l’obbligatorietà del contraddittorio ha sollecitato il legislatore</w:t>
      </w:r>
      <w:r>
        <w:rPr>
          <w:rFonts w:ascii="Garamond" w:hAnsi="Garamond"/>
          <w:sz w:val="28"/>
          <w:szCs w:val="28"/>
        </w:rPr>
        <w:t xml:space="preserve"> a potenziarlo</w:t>
      </w:r>
      <w:r w:rsidRPr="00DC2376">
        <w:rPr>
          <w:rFonts w:ascii="Garamond" w:hAnsi="Garamond"/>
          <w:sz w:val="28"/>
          <w:szCs w:val="28"/>
        </w:rPr>
        <w:t xml:space="preserve"> </w:t>
      </w:r>
      <w:r>
        <w:rPr>
          <w:rFonts w:ascii="Garamond" w:hAnsi="Garamond"/>
          <w:sz w:val="28"/>
          <w:szCs w:val="28"/>
        </w:rPr>
        <w:t>“</w:t>
      </w:r>
      <w:r w:rsidRPr="00DC2376">
        <w:rPr>
          <w:rFonts w:ascii="Garamond" w:hAnsi="Garamond"/>
          <w:sz w:val="28"/>
          <w:szCs w:val="28"/>
        </w:rPr>
        <w:t>specie in tutte quelle ipotesi ove la permeabilità mafiosa appaia dubbia rispetto alle quali l’apporto procedimentale potrebbe fornire utili elementi, contraddittorio d’altronde utile al fine dell’adozi</w:t>
      </w:r>
      <w:r>
        <w:rPr>
          <w:rFonts w:ascii="Garamond" w:hAnsi="Garamond"/>
          <w:sz w:val="28"/>
          <w:szCs w:val="28"/>
        </w:rPr>
        <w:t xml:space="preserve">one di misure di </w:t>
      </w:r>
      <w:r w:rsidR="000E52B9">
        <w:rPr>
          <w:rFonts w:ascii="Garamond" w:hAnsi="Garamond"/>
          <w:sz w:val="28"/>
          <w:szCs w:val="28"/>
        </w:rPr>
        <w:t>“</w:t>
      </w:r>
      <w:r>
        <w:rPr>
          <w:rFonts w:ascii="Garamond" w:hAnsi="Garamond"/>
          <w:sz w:val="28"/>
          <w:szCs w:val="28"/>
        </w:rPr>
        <w:t xml:space="preserve">self </w:t>
      </w:r>
      <w:proofErr w:type="spellStart"/>
      <w:r>
        <w:rPr>
          <w:rFonts w:ascii="Garamond" w:hAnsi="Garamond"/>
          <w:sz w:val="28"/>
          <w:szCs w:val="28"/>
        </w:rPr>
        <w:t>cleaning</w:t>
      </w:r>
      <w:proofErr w:type="spellEnd"/>
      <w:r w:rsidR="000E52B9">
        <w:rPr>
          <w:rFonts w:ascii="Garamond" w:hAnsi="Garamond"/>
          <w:sz w:val="28"/>
          <w:szCs w:val="28"/>
        </w:rPr>
        <w:t>”</w:t>
      </w:r>
      <w:r>
        <w:rPr>
          <w:rFonts w:ascii="Garamond" w:hAnsi="Garamond"/>
          <w:sz w:val="28"/>
          <w:szCs w:val="28"/>
        </w:rPr>
        <w:t>”</w:t>
      </w:r>
      <w:r w:rsidRPr="00DC2376">
        <w:rPr>
          <w:rFonts w:ascii="Garamond" w:hAnsi="Garamond"/>
          <w:sz w:val="28"/>
          <w:szCs w:val="28"/>
        </w:rPr>
        <w:t xml:space="preserve"> Nella stes</w:t>
      </w:r>
      <w:r>
        <w:rPr>
          <w:rFonts w:ascii="Garamond" w:hAnsi="Garamond"/>
          <w:sz w:val="28"/>
          <w:szCs w:val="28"/>
        </w:rPr>
        <w:t>sa interessante pronuncia si è rilevato</w:t>
      </w:r>
      <w:r w:rsidRPr="00DC2376">
        <w:rPr>
          <w:rFonts w:ascii="Garamond" w:hAnsi="Garamond"/>
          <w:sz w:val="28"/>
          <w:szCs w:val="28"/>
        </w:rPr>
        <w:t xml:space="preserve"> sempre </w:t>
      </w:r>
      <w:r>
        <w:rPr>
          <w:rFonts w:ascii="Garamond" w:hAnsi="Garamond"/>
          <w:sz w:val="28"/>
          <w:szCs w:val="28"/>
        </w:rPr>
        <w:t>“</w:t>
      </w:r>
      <w:r w:rsidRPr="00DC2376">
        <w:rPr>
          <w:rFonts w:ascii="Garamond" w:hAnsi="Garamond"/>
          <w:sz w:val="28"/>
          <w:szCs w:val="28"/>
        </w:rPr>
        <w:t>de iure condendo</w:t>
      </w:r>
      <w:r>
        <w:rPr>
          <w:rFonts w:ascii="Garamond" w:hAnsi="Garamond"/>
          <w:sz w:val="28"/>
          <w:szCs w:val="28"/>
        </w:rPr>
        <w:t>” l’opportunità di</w:t>
      </w:r>
      <w:r w:rsidRPr="00DC2376">
        <w:rPr>
          <w:rFonts w:ascii="Garamond" w:hAnsi="Garamond"/>
          <w:sz w:val="28"/>
          <w:szCs w:val="28"/>
        </w:rPr>
        <w:t xml:space="preserve"> una riforma in grado di relegare l’</w:t>
      </w:r>
      <w:proofErr w:type="spellStart"/>
      <w:r w:rsidRPr="00DC2376">
        <w:rPr>
          <w:rFonts w:ascii="Garamond" w:hAnsi="Garamond"/>
          <w:sz w:val="28"/>
          <w:szCs w:val="28"/>
        </w:rPr>
        <w:t>interdittiva</w:t>
      </w:r>
      <w:proofErr w:type="spellEnd"/>
      <w:r w:rsidRPr="00DC2376">
        <w:rPr>
          <w:rFonts w:ascii="Garamond" w:hAnsi="Garamond"/>
          <w:sz w:val="28"/>
          <w:szCs w:val="28"/>
        </w:rPr>
        <w:t xml:space="preserve"> ad </w:t>
      </w:r>
      <w:r>
        <w:rPr>
          <w:rFonts w:ascii="Garamond" w:hAnsi="Garamond"/>
          <w:sz w:val="28"/>
          <w:szCs w:val="28"/>
        </w:rPr>
        <w:t>“</w:t>
      </w:r>
      <w:proofErr w:type="spellStart"/>
      <w:r w:rsidRPr="00DC2376">
        <w:rPr>
          <w:rFonts w:ascii="Garamond" w:hAnsi="Garamond"/>
          <w:sz w:val="28"/>
          <w:szCs w:val="28"/>
        </w:rPr>
        <w:t>extrema</w:t>
      </w:r>
      <w:proofErr w:type="spellEnd"/>
      <w:r w:rsidRPr="00DC2376">
        <w:rPr>
          <w:rFonts w:ascii="Garamond" w:hAnsi="Garamond"/>
          <w:sz w:val="28"/>
          <w:szCs w:val="28"/>
        </w:rPr>
        <w:t xml:space="preserve"> ratio</w:t>
      </w:r>
      <w:r>
        <w:rPr>
          <w:rFonts w:ascii="Garamond" w:hAnsi="Garamond"/>
          <w:sz w:val="28"/>
          <w:szCs w:val="28"/>
        </w:rPr>
        <w:t>”</w:t>
      </w:r>
      <w:r w:rsidRPr="00DC2376">
        <w:rPr>
          <w:rFonts w:ascii="Garamond" w:hAnsi="Garamond"/>
          <w:sz w:val="28"/>
          <w:szCs w:val="28"/>
        </w:rPr>
        <w:t xml:space="preserve"> solo a fronte di situazioni “chiare ed i</w:t>
      </w:r>
      <w:r>
        <w:rPr>
          <w:rFonts w:ascii="Garamond" w:hAnsi="Garamond"/>
          <w:sz w:val="28"/>
          <w:szCs w:val="28"/>
        </w:rPr>
        <w:t>nequivocabili”. Ciò sempre per i giudici di Palazzo Spada</w:t>
      </w:r>
      <w:r w:rsidRPr="00DC2376">
        <w:rPr>
          <w:rFonts w:ascii="Garamond" w:hAnsi="Garamond"/>
          <w:sz w:val="28"/>
          <w:szCs w:val="28"/>
        </w:rPr>
        <w:t xml:space="preserve"> consentirebbe al </w:t>
      </w:r>
      <w:proofErr w:type="spellStart"/>
      <w:r w:rsidRPr="00DC2376">
        <w:rPr>
          <w:rFonts w:ascii="Garamond" w:hAnsi="Garamond"/>
          <w:sz w:val="28"/>
          <w:szCs w:val="28"/>
        </w:rPr>
        <w:t>g.a</w:t>
      </w:r>
      <w:proofErr w:type="spellEnd"/>
      <w:r w:rsidRPr="00DC2376">
        <w:rPr>
          <w:rFonts w:ascii="Garamond" w:hAnsi="Garamond"/>
          <w:sz w:val="28"/>
          <w:szCs w:val="28"/>
        </w:rPr>
        <w:t xml:space="preserve">. </w:t>
      </w:r>
      <w:r>
        <w:rPr>
          <w:rFonts w:ascii="Garamond" w:hAnsi="Garamond"/>
          <w:sz w:val="28"/>
          <w:szCs w:val="28"/>
        </w:rPr>
        <w:t>“</w:t>
      </w:r>
      <w:r w:rsidRPr="00DC2376">
        <w:rPr>
          <w:rFonts w:ascii="Garamond" w:hAnsi="Garamond"/>
          <w:sz w:val="28"/>
          <w:szCs w:val="28"/>
        </w:rPr>
        <w:t>di esercitare con maggior pienezza il proprio sindacato</w:t>
      </w:r>
      <w:r>
        <w:rPr>
          <w:rFonts w:ascii="Garamond" w:hAnsi="Garamond"/>
          <w:sz w:val="28"/>
          <w:szCs w:val="28"/>
        </w:rPr>
        <w:t>”</w:t>
      </w:r>
      <w:r w:rsidR="000028BC">
        <w:rPr>
          <w:rFonts w:ascii="Garamond" w:hAnsi="Garamond"/>
          <w:sz w:val="28"/>
          <w:szCs w:val="28"/>
        </w:rPr>
        <w:t>.</w:t>
      </w:r>
    </w:p>
    <w:p w:rsidR="00286C47" w:rsidRDefault="0065051D" w:rsidP="00150C3A">
      <w:pPr>
        <w:jc w:val="both"/>
        <w:rPr>
          <w:rFonts w:ascii="Garamond" w:hAnsi="Garamond"/>
          <w:sz w:val="28"/>
          <w:szCs w:val="28"/>
        </w:rPr>
      </w:pPr>
      <w:r>
        <w:rPr>
          <w:rFonts w:ascii="Garamond" w:hAnsi="Garamond"/>
          <w:sz w:val="28"/>
          <w:szCs w:val="28"/>
        </w:rPr>
        <w:t xml:space="preserve">Il decreto legge n. 15272021 </w:t>
      </w:r>
      <w:r w:rsidR="00DC2376">
        <w:rPr>
          <w:rFonts w:ascii="Garamond" w:hAnsi="Garamond"/>
          <w:sz w:val="28"/>
          <w:szCs w:val="28"/>
        </w:rPr>
        <w:t xml:space="preserve">in commento </w:t>
      </w:r>
      <w:r w:rsidR="00DC2376" w:rsidRPr="00DC2376">
        <w:rPr>
          <w:rFonts w:ascii="Garamond" w:hAnsi="Garamond"/>
          <w:sz w:val="28"/>
          <w:szCs w:val="28"/>
        </w:rPr>
        <w:t>ha</w:t>
      </w:r>
      <w:r w:rsidR="00DC2376">
        <w:rPr>
          <w:rFonts w:ascii="Garamond" w:hAnsi="Garamond"/>
          <w:sz w:val="28"/>
          <w:szCs w:val="28"/>
        </w:rPr>
        <w:t xml:space="preserve"> dunque</w:t>
      </w:r>
      <w:r w:rsidR="00DC2376" w:rsidRPr="00DC2376">
        <w:rPr>
          <w:rFonts w:ascii="Garamond" w:hAnsi="Garamond"/>
          <w:sz w:val="28"/>
          <w:szCs w:val="28"/>
        </w:rPr>
        <w:t xml:space="preserve"> esattamen</w:t>
      </w:r>
      <w:r w:rsidR="00DC2376">
        <w:rPr>
          <w:rFonts w:ascii="Garamond" w:hAnsi="Garamond"/>
          <w:sz w:val="28"/>
          <w:szCs w:val="28"/>
        </w:rPr>
        <w:t>te realizzato quanto auspicato nella citata pronuncia.</w:t>
      </w:r>
    </w:p>
    <w:p w:rsidR="00286C47" w:rsidRDefault="00286C47" w:rsidP="00150C3A">
      <w:pPr>
        <w:jc w:val="both"/>
        <w:rPr>
          <w:rFonts w:ascii="Garamond" w:hAnsi="Garamond"/>
          <w:sz w:val="28"/>
          <w:szCs w:val="28"/>
        </w:rPr>
      </w:pPr>
    </w:p>
    <w:p w:rsidR="00DC2376" w:rsidRPr="00DC2376" w:rsidRDefault="00092908" w:rsidP="00150C3A">
      <w:pPr>
        <w:jc w:val="both"/>
        <w:rPr>
          <w:rFonts w:ascii="Garamond" w:hAnsi="Garamond"/>
          <w:b/>
          <w:sz w:val="28"/>
          <w:szCs w:val="28"/>
        </w:rPr>
      </w:pPr>
      <w:proofErr w:type="gramStart"/>
      <w:r>
        <w:rPr>
          <w:rFonts w:ascii="Garamond" w:hAnsi="Garamond"/>
          <w:b/>
          <w:sz w:val="28"/>
          <w:szCs w:val="28"/>
        </w:rPr>
        <w:t>3.-</w:t>
      </w:r>
      <w:proofErr w:type="gramEnd"/>
      <w:r>
        <w:rPr>
          <w:rFonts w:ascii="Garamond" w:hAnsi="Garamond"/>
          <w:b/>
          <w:sz w:val="28"/>
          <w:szCs w:val="28"/>
        </w:rPr>
        <w:t xml:space="preserve"> </w:t>
      </w:r>
      <w:r w:rsidR="00DC2376" w:rsidRPr="00DC2376">
        <w:rPr>
          <w:rFonts w:ascii="Garamond" w:hAnsi="Garamond"/>
          <w:b/>
          <w:sz w:val="28"/>
          <w:szCs w:val="28"/>
        </w:rPr>
        <w:t>Il contraddittorio procedimentale nel diritto amministrativo europeo.</w:t>
      </w:r>
    </w:p>
    <w:p w:rsidR="00DC2376" w:rsidRDefault="0021791A" w:rsidP="00150C3A">
      <w:pPr>
        <w:jc w:val="both"/>
        <w:rPr>
          <w:rFonts w:ascii="Garamond" w:hAnsi="Garamond"/>
          <w:sz w:val="28"/>
          <w:szCs w:val="28"/>
        </w:rPr>
      </w:pPr>
      <w:r>
        <w:rPr>
          <w:rFonts w:ascii="Garamond" w:hAnsi="Garamond"/>
          <w:sz w:val="28"/>
          <w:szCs w:val="28"/>
        </w:rPr>
        <w:t>A favore della</w:t>
      </w:r>
      <w:r w:rsidR="0098207D">
        <w:rPr>
          <w:rFonts w:ascii="Garamond" w:hAnsi="Garamond"/>
          <w:sz w:val="28"/>
          <w:szCs w:val="28"/>
        </w:rPr>
        <w:t xml:space="preserve"> lettura</w:t>
      </w:r>
      <w:r>
        <w:rPr>
          <w:rFonts w:ascii="Garamond" w:hAnsi="Garamond"/>
          <w:sz w:val="28"/>
          <w:szCs w:val="28"/>
        </w:rPr>
        <w:t xml:space="preserve"> della necessità del contraddittorio</w:t>
      </w:r>
      <w:r w:rsidR="00DC2376">
        <w:rPr>
          <w:rFonts w:ascii="Garamond" w:hAnsi="Garamond"/>
          <w:sz w:val="28"/>
          <w:szCs w:val="28"/>
        </w:rPr>
        <w:t xml:space="preserve"> nel procedimento di rilascio dell’</w:t>
      </w:r>
      <w:proofErr w:type="spellStart"/>
      <w:r w:rsidR="00DC2376">
        <w:rPr>
          <w:rFonts w:ascii="Garamond" w:hAnsi="Garamond"/>
          <w:sz w:val="28"/>
          <w:szCs w:val="28"/>
        </w:rPr>
        <w:t>interdittiva</w:t>
      </w:r>
      <w:proofErr w:type="spellEnd"/>
      <w:r w:rsidR="00DC2376">
        <w:rPr>
          <w:rFonts w:ascii="Garamond" w:hAnsi="Garamond"/>
          <w:sz w:val="28"/>
          <w:szCs w:val="28"/>
        </w:rPr>
        <w:t xml:space="preserve"> antimafia</w:t>
      </w:r>
      <w:r w:rsidR="00C63217">
        <w:rPr>
          <w:rFonts w:ascii="Garamond" w:hAnsi="Garamond"/>
          <w:sz w:val="28"/>
          <w:szCs w:val="28"/>
        </w:rPr>
        <w:t>,</w:t>
      </w:r>
      <w:r w:rsidR="0098207D">
        <w:rPr>
          <w:rFonts w:ascii="Garamond" w:hAnsi="Garamond"/>
          <w:sz w:val="28"/>
          <w:szCs w:val="28"/>
        </w:rPr>
        <w:t xml:space="preserve"> a mio avviso</w:t>
      </w:r>
      <w:r w:rsidR="00C63217">
        <w:rPr>
          <w:rFonts w:ascii="Garamond" w:hAnsi="Garamond"/>
          <w:sz w:val="28"/>
          <w:szCs w:val="28"/>
        </w:rPr>
        <w:t>,</w:t>
      </w:r>
      <w:r w:rsidR="0098207D">
        <w:rPr>
          <w:rFonts w:ascii="Garamond" w:hAnsi="Garamond"/>
          <w:sz w:val="28"/>
          <w:szCs w:val="28"/>
        </w:rPr>
        <w:t xml:space="preserve"> </w:t>
      </w:r>
      <w:r w:rsidR="0098207D" w:rsidRPr="00DC2376">
        <w:rPr>
          <w:rFonts w:ascii="Garamond" w:hAnsi="Garamond"/>
          <w:sz w:val="28"/>
          <w:szCs w:val="28"/>
        </w:rPr>
        <w:t xml:space="preserve">depongono ulteriori argomenti </w:t>
      </w:r>
      <w:r w:rsidR="0098207D">
        <w:rPr>
          <w:rFonts w:ascii="Garamond" w:hAnsi="Garamond"/>
          <w:sz w:val="28"/>
          <w:szCs w:val="28"/>
        </w:rPr>
        <w:t>ovvero l’art 41 “diritto ad una buona amministrazione” della Carta</w:t>
      </w:r>
      <w:r w:rsidR="00DC2376">
        <w:rPr>
          <w:rFonts w:ascii="Garamond" w:hAnsi="Garamond"/>
          <w:sz w:val="28"/>
          <w:szCs w:val="28"/>
        </w:rPr>
        <w:t xml:space="preserve"> dei diritti fondamentali</w:t>
      </w:r>
      <w:r w:rsidR="0098207D">
        <w:rPr>
          <w:rFonts w:ascii="Garamond" w:hAnsi="Garamond"/>
          <w:sz w:val="28"/>
          <w:szCs w:val="28"/>
        </w:rPr>
        <w:t xml:space="preserve"> di Nizza</w:t>
      </w:r>
      <w:r w:rsidR="00DC2376">
        <w:rPr>
          <w:rStyle w:val="Rimandonotaapidipagina"/>
          <w:rFonts w:ascii="Garamond" w:hAnsi="Garamond"/>
          <w:sz w:val="28"/>
          <w:szCs w:val="28"/>
        </w:rPr>
        <w:footnoteReference w:id="22"/>
      </w:r>
      <w:r w:rsidR="0098207D">
        <w:rPr>
          <w:rFonts w:ascii="Garamond" w:hAnsi="Garamond"/>
          <w:sz w:val="28"/>
          <w:szCs w:val="28"/>
        </w:rPr>
        <w:t xml:space="preserve"> e l’art 6 “d</w:t>
      </w:r>
      <w:r w:rsidR="00DC2376">
        <w:rPr>
          <w:rFonts w:ascii="Garamond" w:hAnsi="Garamond"/>
          <w:sz w:val="28"/>
          <w:szCs w:val="28"/>
        </w:rPr>
        <w:t>iritto ad un processo equo” della Convenzione EDU</w:t>
      </w:r>
      <w:r w:rsidR="00D6156F">
        <w:rPr>
          <w:rFonts w:ascii="Garamond" w:hAnsi="Garamond"/>
          <w:sz w:val="28"/>
          <w:szCs w:val="28"/>
        </w:rPr>
        <w:t>.</w:t>
      </w:r>
      <w:r w:rsidR="000028BC">
        <w:rPr>
          <w:rStyle w:val="Rimandonotaapidipagina"/>
          <w:rFonts w:ascii="Garamond" w:hAnsi="Garamond"/>
          <w:sz w:val="28"/>
          <w:szCs w:val="28"/>
        </w:rPr>
        <w:footnoteReference w:id="23"/>
      </w:r>
    </w:p>
    <w:p w:rsidR="00F90743" w:rsidRDefault="00DC2376" w:rsidP="00F90743">
      <w:pPr>
        <w:jc w:val="both"/>
        <w:rPr>
          <w:rFonts w:ascii="Garamond" w:hAnsi="Garamond"/>
          <w:sz w:val="28"/>
          <w:szCs w:val="28"/>
        </w:rPr>
      </w:pPr>
      <w:r>
        <w:rPr>
          <w:rFonts w:ascii="Garamond" w:hAnsi="Garamond"/>
          <w:sz w:val="28"/>
          <w:szCs w:val="28"/>
        </w:rPr>
        <w:t>Quanto all’a</w:t>
      </w:r>
      <w:r w:rsidR="0098207D">
        <w:rPr>
          <w:rFonts w:ascii="Garamond" w:hAnsi="Garamond"/>
          <w:sz w:val="28"/>
          <w:szCs w:val="28"/>
        </w:rPr>
        <w:t>rt 41</w:t>
      </w:r>
      <w:r>
        <w:rPr>
          <w:rFonts w:ascii="Garamond" w:hAnsi="Garamond"/>
          <w:sz w:val="28"/>
          <w:szCs w:val="28"/>
        </w:rPr>
        <w:t xml:space="preserve"> della</w:t>
      </w:r>
      <w:r w:rsidR="0098207D">
        <w:rPr>
          <w:rFonts w:ascii="Garamond" w:hAnsi="Garamond"/>
          <w:sz w:val="28"/>
          <w:szCs w:val="28"/>
        </w:rPr>
        <w:t xml:space="preserve"> Carta Nizza</w:t>
      </w:r>
      <w:r w:rsidR="00F90743">
        <w:rPr>
          <w:rFonts w:ascii="Garamond" w:hAnsi="Garamond"/>
          <w:sz w:val="28"/>
          <w:szCs w:val="28"/>
        </w:rPr>
        <w:t xml:space="preserve"> è noto che il </w:t>
      </w:r>
      <w:r w:rsidR="0021791A" w:rsidRPr="00F90743">
        <w:rPr>
          <w:rFonts w:ascii="Garamond" w:hAnsi="Garamond"/>
          <w:sz w:val="28"/>
          <w:szCs w:val="28"/>
        </w:rPr>
        <w:t>TAR</w:t>
      </w:r>
      <w:r w:rsidR="00F90743">
        <w:rPr>
          <w:rFonts w:ascii="Garamond" w:hAnsi="Garamond"/>
          <w:sz w:val="28"/>
          <w:szCs w:val="28"/>
        </w:rPr>
        <w:t xml:space="preserve"> per la</w:t>
      </w:r>
      <w:r w:rsidR="0021791A" w:rsidRPr="00F90743">
        <w:rPr>
          <w:rFonts w:ascii="Garamond" w:hAnsi="Garamond"/>
          <w:sz w:val="28"/>
          <w:szCs w:val="28"/>
        </w:rPr>
        <w:t xml:space="preserve"> Puglia</w:t>
      </w:r>
      <w:r w:rsidR="00F90743">
        <w:rPr>
          <w:rFonts w:ascii="Garamond" w:hAnsi="Garamond"/>
          <w:sz w:val="28"/>
          <w:szCs w:val="28"/>
        </w:rPr>
        <w:t xml:space="preserve"> con</w:t>
      </w:r>
      <w:r w:rsidR="0021791A" w:rsidRPr="00F90743">
        <w:rPr>
          <w:rFonts w:ascii="Garamond" w:hAnsi="Garamond"/>
          <w:sz w:val="28"/>
          <w:szCs w:val="28"/>
        </w:rPr>
        <w:t xml:space="preserve"> </w:t>
      </w:r>
      <w:r w:rsidR="00EB5A2A" w:rsidRPr="00F90743">
        <w:rPr>
          <w:rFonts w:ascii="Garamond" w:hAnsi="Garamond"/>
          <w:sz w:val="28"/>
          <w:szCs w:val="28"/>
        </w:rPr>
        <w:t>ordinanza n. 28 del</w:t>
      </w:r>
      <w:r w:rsidR="00C63217">
        <w:rPr>
          <w:rFonts w:ascii="Garamond" w:hAnsi="Garamond"/>
          <w:sz w:val="28"/>
          <w:szCs w:val="28"/>
        </w:rPr>
        <w:t xml:space="preserve"> 13 gennaio </w:t>
      </w:r>
      <w:r w:rsidR="00EB5A2A" w:rsidRPr="00F90743">
        <w:rPr>
          <w:rFonts w:ascii="Garamond" w:hAnsi="Garamond"/>
          <w:sz w:val="28"/>
          <w:szCs w:val="28"/>
        </w:rPr>
        <w:t xml:space="preserve">2020 </w:t>
      </w:r>
      <w:r w:rsidR="0021791A" w:rsidRPr="00F90743">
        <w:rPr>
          <w:rFonts w:ascii="Garamond" w:hAnsi="Garamond"/>
          <w:sz w:val="28"/>
          <w:szCs w:val="28"/>
        </w:rPr>
        <w:t>ha rimesso</w:t>
      </w:r>
      <w:r w:rsidR="00F90743">
        <w:rPr>
          <w:rFonts w:ascii="Garamond" w:hAnsi="Garamond"/>
          <w:sz w:val="28"/>
          <w:szCs w:val="28"/>
        </w:rPr>
        <w:t xml:space="preserve"> ex art 267 TFUE </w:t>
      </w:r>
      <w:r w:rsidR="0021791A" w:rsidRPr="00F90743">
        <w:rPr>
          <w:rFonts w:ascii="Garamond" w:hAnsi="Garamond"/>
          <w:sz w:val="28"/>
          <w:szCs w:val="28"/>
        </w:rPr>
        <w:t>la questione pregiudiziale di compatibilità del procedimento di adozione dell’</w:t>
      </w:r>
      <w:proofErr w:type="spellStart"/>
      <w:r w:rsidR="0021791A" w:rsidRPr="00F90743">
        <w:rPr>
          <w:rFonts w:ascii="Garamond" w:hAnsi="Garamond"/>
          <w:sz w:val="28"/>
          <w:szCs w:val="28"/>
        </w:rPr>
        <w:t>interdittiva</w:t>
      </w:r>
      <w:proofErr w:type="spellEnd"/>
      <w:r w:rsidR="0021791A" w:rsidRPr="00F90743">
        <w:rPr>
          <w:rFonts w:ascii="Garamond" w:hAnsi="Garamond"/>
          <w:sz w:val="28"/>
          <w:szCs w:val="28"/>
        </w:rPr>
        <w:t xml:space="preserve"> con </w:t>
      </w:r>
      <w:r w:rsidR="00F90743">
        <w:rPr>
          <w:rFonts w:ascii="Garamond" w:hAnsi="Garamond"/>
          <w:sz w:val="28"/>
          <w:szCs w:val="28"/>
        </w:rPr>
        <w:t>l’</w:t>
      </w:r>
      <w:r w:rsidR="0021791A" w:rsidRPr="00F90743">
        <w:rPr>
          <w:rFonts w:ascii="Garamond" w:hAnsi="Garamond"/>
          <w:sz w:val="28"/>
          <w:szCs w:val="28"/>
        </w:rPr>
        <w:t>art 41</w:t>
      </w:r>
      <w:r w:rsidR="00F90743">
        <w:rPr>
          <w:rFonts w:ascii="Garamond" w:hAnsi="Garamond"/>
          <w:sz w:val="28"/>
          <w:szCs w:val="28"/>
        </w:rPr>
        <w:t xml:space="preserve"> della Carta e che la Corte di Giustizia</w:t>
      </w:r>
      <w:r w:rsidR="00F90743">
        <w:rPr>
          <w:rStyle w:val="Rimandonotaapidipagina"/>
          <w:rFonts w:ascii="Garamond" w:hAnsi="Garamond"/>
          <w:sz w:val="28"/>
          <w:szCs w:val="28"/>
        </w:rPr>
        <w:footnoteReference w:id="24"/>
      </w:r>
      <w:r w:rsidR="00F90743">
        <w:rPr>
          <w:rFonts w:ascii="Garamond" w:hAnsi="Garamond"/>
          <w:sz w:val="28"/>
          <w:szCs w:val="28"/>
        </w:rPr>
        <w:t xml:space="preserve"> ha dichiarato la questione irricevibile per difetto di rilevanza</w:t>
      </w:r>
      <w:r w:rsidR="005B4054">
        <w:rPr>
          <w:rFonts w:ascii="Garamond" w:hAnsi="Garamond"/>
          <w:sz w:val="28"/>
          <w:szCs w:val="28"/>
        </w:rPr>
        <w:t>,</w:t>
      </w:r>
      <w:r w:rsidR="00F90743">
        <w:rPr>
          <w:rFonts w:ascii="Garamond" w:hAnsi="Garamond"/>
          <w:sz w:val="28"/>
          <w:szCs w:val="28"/>
        </w:rPr>
        <w:t xml:space="preserve"> non avendo il giudice remittente </w:t>
      </w:r>
      <w:r w:rsidR="007405E0" w:rsidRPr="00F90743">
        <w:rPr>
          <w:rFonts w:ascii="Garamond" w:hAnsi="Garamond"/>
          <w:sz w:val="28"/>
          <w:szCs w:val="28"/>
        </w:rPr>
        <w:t xml:space="preserve">dimostrato il collegamento tra </w:t>
      </w:r>
      <w:r w:rsidR="00F90743">
        <w:rPr>
          <w:rFonts w:ascii="Garamond" w:hAnsi="Garamond"/>
          <w:sz w:val="28"/>
          <w:szCs w:val="28"/>
        </w:rPr>
        <w:t>il diritto UE e l’</w:t>
      </w:r>
      <w:proofErr w:type="spellStart"/>
      <w:r w:rsidR="00F90743">
        <w:rPr>
          <w:rFonts w:ascii="Garamond" w:hAnsi="Garamond"/>
          <w:sz w:val="28"/>
          <w:szCs w:val="28"/>
        </w:rPr>
        <w:t>interdittiva</w:t>
      </w:r>
      <w:proofErr w:type="spellEnd"/>
      <w:r w:rsidR="00F90743">
        <w:rPr>
          <w:rFonts w:ascii="Garamond" w:hAnsi="Garamond"/>
          <w:sz w:val="28"/>
          <w:szCs w:val="28"/>
        </w:rPr>
        <w:t>.</w:t>
      </w:r>
    </w:p>
    <w:p w:rsidR="0021791A" w:rsidRDefault="00F90743" w:rsidP="00F90743">
      <w:pPr>
        <w:jc w:val="both"/>
        <w:rPr>
          <w:rFonts w:ascii="Garamond" w:hAnsi="Garamond"/>
          <w:sz w:val="28"/>
          <w:szCs w:val="28"/>
        </w:rPr>
      </w:pPr>
      <w:r>
        <w:rPr>
          <w:rFonts w:ascii="Garamond" w:hAnsi="Garamond"/>
          <w:sz w:val="28"/>
          <w:szCs w:val="28"/>
        </w:rPr>
        <w:t xml:space="preserve">Ritengo che </w:t>
      </w:r>
      <w:r w:rsidR="007405E0" w:rsidRPr="00F90743">
        <w:rPr>
          <w:rFonts w:ascii="Garamond" w:hAnsi="Garamond"/>
          <w:sz w:val="28"/>
          <w:szCs w:val="28"/>
        </w:rPr>
        <w:t xml:space="preserve">il </w:t>
      </w:r>
      <w:r w:rsidR="0021791A" w:rsidRPr="00F90743">
        <w:rPr>
          <w:rFonts w:ascii="Garamond" w:hAnsi="Garamond"/>
          <w:sz w:val="28"/>
          <w:szCs w:val="28"/>
        </w:rPr>
        <w:t>problema</w:t>
      </w:r>
      <w:r>
        <w:rPr>
          <w:rFonts w:ascii="Garamond" w:hAnsi="Garamond"/>
          <w:sz w:val="28"/>
          <w:szCs w:val="28"/>
        </w:rPr>
        <w:t xml:space="preserve"> evidenziato dal Tribunale Amministrativo rim</w:t>
      </w:r>
      <w:r w:rsidR="00C90F79">
        <w:rPr>
          <w:rFonts w:ascii="Garamond" w:hAnsi="Garamond"/>
          <w:sz w:val="28"/>
          <w:szCs w:val="28"/>
        </w:rPr>
        <w:t xml:space="preserve">anga però assolutamente attuale, non avendo peraltro il giudice comunitario escluso </w:t>
      </w:r>
      <w:r w:rsidR="00446D81">
        <w:rPr>
          <w:rFonts w:ascii="Garamond" w:hAnsi="Garamond"/>
          <w:sz w:val="28"/>
          <w:szCs w:val="28"/>
        </w:rPr>
        <w:t>“</w:t>
      </w:r>
      <w:r w:rsidR="00C90F79">
        <w:rPr>
          <w:rFonts w:ascii="Garamond" w:hAnsi="Garamond"/>
          <w:sz w:val="28"/>
          <w:szCs w:val="28"/>
        </w:rPr>
        <w:t>tout court</w:t>
      </w:r>
      <w:r w:rsidR="00446D81">
        <w:rPr>
          <w:rFonts w:ascii="Garamond" w:hAnsi="Garamond"/>
          <w:sz w:val="28"/>
          <w:szCs w:val="28"/>
        </w:rPr>
        <w:t>”</w:t>
      </w:r>
      <w:r w:rsidR="00C90F79">
        <w:rPr>
          <w:rFonts w:ascii="Garamond" w:hAnsi="Garamond"/>
          <w:sz w:val="28"/>
          <w:szCs w:val="28"/>
        </w:rPr>
        <w:t xml:space="preserve"> la rilevanza ma soltanto evidenziato</w:t>
      </w:r>
      <w:r w:rsidR="00C63217">
        <w:rPr>
          <w:rFonts w:ascii="Garamond" w:hAnsi="Garamond"/>
          <w:sz w:val="28"/>
          <w:szCs w:val="28"/>
        </w:rPr>
        <w:t>ne</w:t>
      </w:r>
      <w:r w:rsidR="00C90F79">
        <w:rPr>
          <w:rFonts w:ascii="Garamond" w:hAnsi="Garamond"/>
          <w:sz w:val="28"/>
          <w:szCs w:val="28"/>
        </w:rPr>
        <w:t xml:space="preserve"> la mancata dimostrazione da parte del giudice remittente.</w:t>
      </w:r>
    </w:p>
    <w:p w:rsidR="00F90743" w:rsidRDefault="00C63217" w:rsidP="00F90743">
      <w:pPr>
        <w:jc w:val="both"/>
        <w:rPr>
          <w:rFonts w:ascii="Garamond" w:hAnsi="Garamond"/>
          <w:sz w:val="28"/>
          <w:szCs w:val="28"/>
        </w:rPr>
      </w:pPr>
      <w:r>
        <w:rPr>
          <w:rFonts w:ascii="Garamond" w:hAnsi="Garamond"/>
          <w:sz w:val="28"/>
          <w:szCs w:val="28"/>
        </w:rPr>
        <w:t>Secondo</w:t>
      </w:r>
      <w:r w:rsidR="008D1C36">
        <w:rPr>
          <w:rFonts w:ascii="Garamond" w:hAnsi="Garamond"/>
          <w:sz w:val="28"/>
          <w:szCs w:val="28"/>
        </w:rPr>
        <w:t xml:space="preserve"> la</w:t>
      </w:r>
      <w:r>
        <w:rPr>
          <w:rFonts w:ascii="Garamond" w:hAnsi="Garamond"/>
          <w:sz w:val="28"/>
          <w:szCs w:val="28"/>
        </w:rPr>
        <w:t xml:space="preserve"> stessa</w:t>
      </w:r>
      <w:r w:rsidR="008D1C36">
        <w:rPr>
          <w:rFonts w:ascii="Garamond" w:hAnsi="Garamond"/>
          <w:sz w:val="28"/>
          <w:szCs w:val="28"/>
        </w:rPr>
        <w:t xml:space="preserve"> Consulta p</w:t>
      </w:r>
      <w:r w:rsidR="00F90743" w:rsidRPr="00F90743">
        <w:rPr>
          <w:rFonts w:ascii="Garamond" w:hAnsi="Garamond"/>
          <w:sz w:val="28"/>
          <w:szCs w:val="28"/>
        </w:rPr>
        <w:t>resupposto di applicabilità della Carta dei diritti fondamentali di Nizza</w:t>
      </w:r>
      <w:r>
        <w:rPr>
          <w:rFonts w:ascii="Garamond" w:hAnsi="Garamond"/>
          <w:sz w:val="28"/>
          <w:szCs w:val="28"/>
        </w:rPr>
        <w:t xml:space="preserve"> -</w:t>
      </w:r>
      <w:r w:rsidR="003C6DBA">
        <w:rPr>
          <w:rFonts w:ascii="Garamond" w:hAnsi="Garamond"/>
          <w:sz w:val="28"/>
          <w:szCs w:val="28"/>
        </w:rPr>
        <w:t xml:space="preserve"> </w:t>
      </w:r>
      <w:r w:rsidR="003C6DBA" w:rsidRPr="003C6DBA">
        <w:rPr>
          <w:rFonts w:ascii="Garamond" w:hAnsi="Garamond"/>
          <w:sz w:val="28"/>
          <w:szCs w:val="28"/>
        </w:rPr>
        <w:t>equiparata al valore giuridico dei Trattati per effetto del Trattato di riforma firmato a Lisbona nel 2007 e ratificato dall'Italia con l'approvazi</w:t>
      </w:r>
      <w:r w:rsidR="003C6DBA">
        <w:rPr>
          <w:rFonts w:ascii="Garamond" w:hAnsi="Garamond"/>
          <w:sz w:val="28"/>
          <w:szCs w:val="28"/>
        </w:rPr>
        <w:t>one della Legge n. 130 del 2008</w:t>
      </w:r>
      <w:r w:rsidR="00F90743">
        <w:rPr>
          <w:rStyle w:val="Rimandonotaapidipagina"/>
          <w:rFonts w:ascii="Garamond" w:hAnsi="Garamond"/>
          <w:sz w:val="28"/>
          <w:szCs w:val="28"/>
        </w:rPr>
        <w:footnoteReference w:id="25"/>
      </w:r>
      <w:r>
        <w:rPr>
          <w:rFonts w:ascii="Garamond" w:hAnsi="Garamond"/>
          <w:sz w:val="28"/>
          <w:szCs w:val="28"/>
        </w:rPr>
        <w:t xml:space="preserve">- </w:t>
      </w:r>
      <w:r w:rsidR="00F90743" w:rsidRPr="00F90743">
        <w:rPr>
          <w:rFonts w:ascii="Garamond" w:hAnsi="Garamond"/>
          <w:sz w:val="28"/>
          <w:szCs w:val="28"/>
        </w:rPr>
        <w:t xml:space="preserve"> è che la fattispecie sottoposta all'esame del giudice sia disciplinata dal diritto europeo e non già da sole norme nazionali prive di ogni legame con tale diritto</w:t>
      </w:r>
      <w:r w:rsidR="008D1C36">
        <w:rPr>
          <w:rFonts w:ascii="Garamond" w:hAnsi="Garamond"/>
          <w:sz w:val="28"/>
          <w:szCs w:val="28"/>
        </w:rPr>
        <w:t>.</w:t>
      </w:r>
      <w:r w:rsidR="00F90743">
        <w:rPr>
          <w:rStyle w:val="Rimandonotaapidipagina"/>
          <w:rFonts w:ascii="Garamond" w:hAnsi="Garamond"/>
          <w:sz w:val="28"/>
          <w:szCs w:val="28"/>
        </w:rPr>
        <w:footnoteReference w:id="26"/>
      </w:r>
    </w:p>
    <w:p w:rsidR="008D1C36" w:rsidRDefault="008D1C36" w:rsidP="008D1C36">
      <w:pPr>
        <w:jc w:val="both"/>
        <w:rPr>
          <w:rFonts w:ascii="Garamond" w:hAnsi="Garamond"/>
          <w:sz w:val="28"/>
          <w:szCs w:val="28"/>
        </w:rPr>
      </w:pPr>
      <w:r>
        <w:rPr>
          <w:rFonts w:ascii="Garamond" w:hAnsi="Garamond"/>
          <w:sz w:val="28"/>
          <w:szCs w:val="28"/>
        </w:rPr>
        <w:t>E’ discussa in dottrina l’applic</w:t>
      </w:r>
      <w:r w:rsidR="00000999">
        <w:rPr>
          <w:rFonts w:ascii="Garamond" w:hAnsi="Garamond"/>
          <w:sz w:val="28"/>
          <w:szCs w:val="28"/>
        </w:rPr>
        <w:t>abilità dell’art 41 anche agli S</w:t>
      </w:r>
      <w:r>
        <w:rPr>
          <w:rFonts w:ascii="Garamond" w:hAnsi="Garamond"/>
          <w:sz w:val="28"/>
          <w:szCs w:val="28"/>
        </w:rPr>
        <w:t>tati membri o solamente alle istituzioni euro</w:t>
      </w:r>
      <w:r w:rsidR="00250E82">
        <w:rPr>
          <w:rFonts w:ascii="Garamond" w:hAnsi="Garamond"/>
          <w:sz w:val="28"/>
          <w:szCs w:val="28"/>
        </w:rPr>
        <w:t>-</w:t>
      </w:r>
      <w:r>
        <w:rPr>
          <w:rFonts w:ascii="Garamond" w:hAnsi="Garamond"/>
          <w:sz w:val="28"/>
          <w:szCs w:val="28"/>
        </w:rPr>
        <w:t>unitarie.</w:t>
      </w:r>
    </w:p>
    <w:p w:rsidR="008D1C36" w:rsidRDefault="008D1C36" w:rsidP="008D1C36">
      <w:pPr>
        <w:jc w:val="both"/>
        <w:rPr>
          <w:rFonts w:ascii="Garamond" w:hAnsi="Garamond"/>
          <w:sz w:val="28"/>
          <w:szCs w:val="28"/>
        </w:rPr>
      </w:pPr>
      <w:r w:rsidRPr="000C00FD">
        <w:rPr>
          <w:rFonts w:ascii="Garamond" w:hAnsi="Garamond"/>
          <w:sz w:val="28"/>
          <w:szCs w:val="28"/>
        </w:rPr>
        <w:t>S</w:t>
      </w:r>
      <w:r w:rsidR="0021791A" w:rsidRPr="000C00FD">
        <w:rPr>
          <w:rFonts w:ascii="Garamond" w:hAnsi="Garamond"/>
          <w:sz w:val="28"/>
          <w:szCs w:val="28"/>
        </w:rPr>
        <w:t>econda una</w:t>
      </w:r>
      <w:r w:rsidRPr="000C00FD">
        <w:rPr>
          <w:rFonts w:ascii="Garamond" w:hAnsi="Garamond"/>
          <w:sz w:val="28"/>
          <w:szCs w:val="28"/>
        </w:rPr>
        <w:t xml:space="preserve"> prima</w:t>
      </w:r>
      <w:r w:rsidR="0021791A" w:rsidRPr="000C00FD">
        <w:rPr>
          <w:rFonts w:ascii="Garamond" w:hAnsi="Garamond"/>
          <w:sz w:val="28"/>
          <w:szCs w:val="28"/>
        </w:rPr>
        <w:t xml:space="preserve"> tesi</w:t>
      </w:r>
      <w:r w:rsidR="005B4054">
        <w:rPr>
          <w:rStyle w:val="Rimandonotaapidipagina"/>
          <w:rFonts w:ascii="Garamond" w:hAnsi="Garamond"/>
          <w:sz w:val="28"/>
          <w:szCs w:val="28"/>
        </w:rPr>
        <w:footnoteReference w:id="27"/>
      </w:r>
      <w:r w:rsidR="0021791A" w:rsidRPr="000C00FD">
        <w:rPr>
          <w:rFonts w:ascii="Garamond" w:hAnsi="Garamond"/>
          <w:sz w:val="28"/>
          <w:szCs w:val="28"/>
        </w:rPr>
        <w:t xml:space="preserve"> </w:t>
      </w:r>
      <w:r w:rsidR="00446D81" w:rsidRPr="000C00FD">
        <w:rPr>
          <w:rFonts w:ascii="Garamond" w:hAnsi="Garamond"/>
          <w:sz w:val="28"/>
          <w:szCs w:val="28"/>
        </w:rPr>
        <w:t>l’ambito di applicazione sarebbe ristretto</w:t>
      </w:r>
      <w:r w:rsidR="0021791A" w:rsidRPr="000C00FD">
        <w:rPr>
          <w:rFonts w:ascii="Garamond" w:hAnsi="Garamond"/>
          <w:sz w:val="28"/>
          <w:szCs w:val="28"/>
        </w:rPr>
        <w:t xml:space="preserve"> alle istituzioni</w:t>
      </w:r>
      <w:r w:rsidR="0021791A" w:rsidRPr="008D1C36">
        <w:rPr>
          <w:rFonts w:ascii="Garamond" w:hAnsi="Garamond"/>
          <w:sz w:val="28"/>
          <w:szCs w:val="28"/>
        </w:rPr>
        <w:t xml:space="preserve"> euro</w:t>
      </w:r>
      <w:r w:rsidR="00250E82">
        <w:rPr>
          <w:rFonts w:ascii="Garamond" w:hAnsi="Garamond"/>
          <w:sz w:val="28"/>
          <w:szCs w:val="28"/>
        </w:rPr>
        <w:t>-</w:t>
      </w:r>
      <w:r w:rsidR="0021791A" w:rsidRPr="008D1C36">
        <w:rPr>
          <w:rFonts w:ascii="Garamond" w:hAnsi="Garamond"/>
          <w:sz w:val="28"/>
          <w:szCs w:val="28"/>
        </w:rPr>
        <w:t xml:space="preserve">unitarie perché </w:t>
      </w:r>
      <w:r>
        <w:rPr>
          <w:rFonts w:ascii="Garamond" w:hAnsi="Garamond"/>
          <w:sz w:val="28"/>
          <w:szCs w:val="28"/>
        </w:rPr>
        <w:t>l’</w:t>
      </w:r>
      <w:r w:rsidR="0021791A" w:rsidRPr="008D1C36">
        <w:rPr>
          <w:rFonts w:ascii="Garamond" w:hAnsi="Garamond"/>
          <w:sz w:val="28"/>
          <w:szCs w:val="28"/>
        </w:rPr>
        <w:t>art 41 primo paragrafo v</w:t>
      </w:r>
      <w:r>
        <w:rPr>
          <w:rFonts w:ascii="Garamond" w:hAnsi="Garamond"/>
          <w:sz w:val="28"/>
          <w:szCs w:val="28"/>
        </w:rPr>
        <w:t xml:space="preserve">i fa espresso riferimento ed </w:t>
      </w:r>
      <w:r w:rsidR="0021791A" w:rsidRPr="008D1C36">
        <w:rPr>
          <w:rFonts w:ascii="Garamond" w:hAnsi="Garamond"/>
          <w:sz w:val="28"/>
          <w:szCs w:val="28"/>
        </w:rPr>
        <w:t>in questo senso</w:t>
      </w:r>
      <w:r>
        <w:rPr>
          <w:rFonts w:ascii="Garamond" w:hAnsi="Garamond"/>
          <w:sz w:val="28"/>
          <w:szCs w:val="28"/>
        </w:rPr>
        <w:t xml:space="preserve"> a dire il vero</w:t>
      </w:r>
      <w:r w:rsidR="0021791A" w:rsidRPr="008D1C36">
        <w:rPr>
          <w:rFonts w:ascii="Garamond" w:hAnsi="Garamond"/>
          <w:sz w:val="28"/>
          <w:szCs w:val="28"/>
        </w:rPr>
        <w:t xml:space="preserve"> pare andare anche la stessa</w:t>
      </w:r>
      <w:r>
        <w:rPr>
          <w:rFonts w:ascii="Garamond" w:hAnsi="Garamond"/>
          <w:sz w:val="28"/>
          <w:szCs w:val="28"/>
        </w:rPr>
        <w:t xml:space="preserve"> Corte di Giustizia U.E</w:t>
      </w:r>
      <w:r w:rsidR="00C43D0F">
        <w:rPr>
          <w:rFonts w:ascii="Garamond" w:hAnsi="Garamond"/>
          <w:sz w:val="28"/>
          <w:szCs w:val="28"/>
        </w:rPr>
        <w:t>.</w:t>
      </w:r>
      <w:r w:rsidR="00C63217">
        <w:rPr>
          <w:rStyle w:val="Rimandonotaapidipagina"/>
          <w:rFonts w:ascii="Garamond" w:hAnsi="Garamond"/>
          <w:sz w:val="28"/>
          <w:szCs w:val="28"/>
        </w:rPr>
        <w:footnoteReference w:id="28"/>
      </w:r>
      <w:r w:rsidR="00C43D0F">
        <w:rPr>
          <w:rFonts w:ascii="Garamond" w:hAnsi="Garamond"/>
          <w:sz w:val="28"/>
          <w:szCs w:val="28"/>
        </w:rPr>
        <w:t xml:space="preserve"> </w:t>
      </w:r>
      <w:r>
        <w:rPr>
          <w:rFonts w:ascii="Garamond" w:hAnsi="Garamond"/>
          <w:sz w:val="28"/>
          <w:szCs w:val="28"/>
        </w:rPr>
        <w:t xml:space="preserve"> </w:t>
      </w:r>
      <w:r w:rsidRPr="00011E21">
        <w:rPr>
          <w:rFonts w:ascii="Garamond" w:hAnsi="Garamond"/>
          <w:sz w:val="28"/>
          <w:szCs w:val="28"/>
        </w:rPr>
        <w:t>S</w:t>
      </w:r>
      <w:r w:rsidR="0021791A" w:rsidRPr="00011E21">
        <w:rPr>
          <w:rFonts w:ascii="Garamond" w:hAnsi="Garamond"/>
          <w:sz w:val="28"/>
          <w:szCs w:val="28"/>
        </w:rPr>
        <w:t>econdo altra tesi</w:t>
      </w:r>
      <w:r w:rsidR="005B4054">
        <w:rPr>
          <w:rStyle w:val="Rimandonotaapidipagina"/>
          <w:rFonts w:ascii="Garamond" w:hAnsi="Garamond"/>
          <w:sz w:val="28"/>
          <w:szCs w:val="28"/>
        </w:rPr>
        <w:footnoteReference w:id="29"/>
      </w:r>
      <w:r w:rsidR="00446D81">
        <w:rPr>
          <w:rFonts w:ascii="Garamond" w:hAnsi="Garamond"/>
          <w:sz w:val="28"/>
          <w:szCs w:val="28"/>
        </w:rPr>
        <w:t xml:space="preserve"> </w:t>
      </w:r>
      <w:r w:rsidR="0021791A" w:rsidRPr="008D1C36">
        <w:rPr>
          <w:rFonts w:ascii="Garamond" w:hAnsi="Garamond"/>
          <w:sz w:val="28"/>
          <w:szCs w:val="28"/>
        </w:rPr>
        <w:t>invece</w:t>
      </w:r>
      <w:r w:rsidR="00446D81">
        <w:rPr>
          <w:rFonts w:ascii="Garamond" w:hAnsi="Garamond"/>
          <w:sz w:val="28"/>
          <w:szCs w:val="28"/>
        </w:rPr>
        <w:t>,</w:t>
      </w:r>
      <w:r w:rsidR="0021791A" w:rsidRPr="008D1C36">
        <w:rPr>
          <w:rFonts w:ascii="Garamond" w:hAnsi="Garamond"/>
          <w:sz w:val="28"/>
          <w:szCs w:val="28"/>
        </w:rPr>
        <w:t xml:space="preserve"> </w:t>
      </w:r>
      <w:r>
        <w:rPr>
          <w:rFonts w:ascii="Garamond" w:hAnsi="Garamond"/>
          <w:sz w:val="28"/>
          <w:szCs w:val="28"/>
        </w:rPr>
        <w:t>l’</w:t>
      </w:r>
      <w:r w:rsidR="0021791A" w:rsidRPr="008D1C36">
        <w:rPr>
          <w:rFonts w:ascii="Garamond" w:hAnsi="Garamond"/>
          <w:sz w:val="28"/>
          <w:szCs w:val="28"/>
        </w:rPr>
        <w:t>art 41 deve essere letto alla luce del successivo art 51</w:t>
      </w:r>
      <w:r>
        <w:rPr>
          <w:rFonts w:ascii="Garamond" w:hAnsi="Garamond"/>
          <w:sz w:val="28"/>
          <w:szCs w:val="28"/>
        </w:rPr>
        <w:t xml:space="preserve"> della Carta</w:t>
      </w:r>
      <w:r w:rsidR="0021791A" w:rsidRPr="008D1C36">
        <w:rPr>
          <w:rFonts w:ascii="Garamond" w:hAnsi="Garamond"/>
          <w:sz w:val="28"/>
          <w:szCs w:val="28"/>
        </w:rPr>
        <w:t xml:space="preserve"> che </w:t>
      </w:r>
      <w:r>
        <w:rPr>
          <w:rFonts w:ascii="Garamond" w:hAnsi="Garamond"/>
          <w:sz w:val="28"/>
          <w:szCs w:val="28"/>
        </w:rPr>
        <w:t xml:space="preserve">ne </w:t>
      </w:r>
      <w:r w:rsidR="0021791A" w:rsidRPr="008D1C36">
        <w:rPr>
          <w:rFonts w:ascii="Garamond" w:hAnsi="Garamond"/>
          <w:sz w:val="28"/>
          <w:szCs w:val="28"/>
        </w:rPr>
        <w:t xml:space="preserve">estende </w:t>
      </w:r>
      <w:r>
        <w:rPr>
          <w:rFonts w:ascii="Garamond" w:hAnsi="Garamond"/>
          <w:sz w:val="28"/>
          <w:szCs w:val="28"/>
        </w:rPr>
        <w:t>l’</w:t>
      </w:r>
      <w:r w:rsidR="0021791A" w:rsidRPr="008D1C36">
        <w:rPr>
          <w:rFonts w:ascii="Garamond" w:hAnsi="Garamond"/>
          <w:sz w:val="28"/>
          <w:szCs w:val="28"/>
        </w:rPr>
        <w:t xml:space="preserve">ambito </w:t>
      </w:r>
      <w:r>
        <w:rPr>
          <w:rFonts w:ascii="Garamond" w:hAnsi="Garamond"/>
          <w:sz w:val="28"/>
          <w:szCs w:val="28"/>
        </w:rPr>
        <w:t>di applicazione</w:t>
      </w:r>
      <w:r w:rsidR="0021791A" w:rsidRPr="008D1C36">
        <w:rPr>
          <w:rFonts w:ascii="Garamond" w:hAnsi="Garamond"/>
          <w:sz w:val="28"/>
          <w:szCs w:val="28"/>
        </w:rPr>
        <w:t xml:space="preserve"> oltre che all</w:t>
      </w:r>
      <w:r w:rsidR="00000999">
        <w:rPr>
          <w:rFonts w:ascii="Garamond" w:hAnsi="Garamond"/>
          <w:sz w:val="28"/>
          <w:szCs w:val="28"/>
        </w:rPr>
        <w:t xml:space="preserve">e istituzioni comunitarie agli </w:t>
      </w:r>
      <w:r w:rsidR="00000999" w:rsidRPr="00000999">
        <w:rPr>
          <w:rFonts w:ascii="Garamond" w:hAnsi="Garamond"/>
          <w:sz w:val="28"/>
          <w:szCs w:val="28"/>
        </w:rPr>
        <w:t>S</w:t>
      </w:r>
      <w:r w:rsidR="0021791A" w:rsidRPr="008D1C36">
        <w:rPr>
          <w:rFonts w:ascii="Garamond" w:hAnsi="Garamond"/>
          <w:sz w:val="28"/>
          <w:szCs w:val="28"/>
        </w:rPr>
        <w:t>tati membri seppur nell’attuazione del diritto dell’UE.</w:t>
      </w:r>
      <w:r w:rsidR="00607395" w:rsidRPr="008D1C36">
        <w:rPr>
          <w:rFonts w:ascii="Garamond" w:hAnsi="Garamond"/>
          <w:sz w:val="28"/>
          <w:szCs w:val="28"/>
        </w:rPr>
        <w:t xml:space="preserve"> </w:t>
      </w:r>
    </w:p>
    <w:p w:rsidR="008D1C36" w:rsidRDefault="008D1C36" w:rsidP="008D1C36">
      <w:pPr>
        <w:jc w:val="both"/>
        <w:rPr>
          <w:rFonts w:ascii="Garamond" w:hAnsi="Garamond"/>
          <w:sz w:val="28"/>
          <w:szCs w:val="28"/>
        </w:rPr>
      </w:pPr>
      <w:r>
        <w:rPr>
          <w:rFonts w:ascii="Garamond" w:hAnsi="Garamond"/>
          <w:sz w:val="28"/>
          <w:szCs w:val="28"/>
        </w:rPr>
        <w:t>Si impone a questo punto la</w:t>
      </w:r>
      <w:r w:rsidR="00446D81">
        <w:rPr>
          <w:rFonts w:ascii="Garamond" w:hAnsi="Garamond"/>
          <w:sz w:val="28"/>
          <w:szCs w:val="28"/>
        </w:rPr>
        <w:t xml:space="preserve"> pregiudiziale</w:t>
      </w:r>
      <w:r>
        <w:rPr>
          <w:rFonts w:ascii="Garamond" w:hAnsi="Garamond"/>
          <w:sz w:val="28"/>
          <w:szCs w:val="28"/>
        </w:rPr>
        <w:t xml:space="preserve"> necessità di stabilire</w:t>
      </w:r>
      <w:r w:rsidR="00000999">
        <w:rPr>
          <w:rFonts w:ascii="Garamond" w:hAnsi="Garamond"/>
          <w:sz w:val="28"/>
          <w:szCs w:val="28"/>
        </w:rPr>
        <w:t xml:space="preserve"> in concreto</w:t>
      </w:r>
      <w:r>
        <w:rPr>
          <w:rFonts w:ascii="Garamond" w:hAnsi="Garamond"/>
          <w:sz w:val="28"/>
          <w:szCs w:val="28"/>
        </w:rPr>
        <w:t xml:space="preserve"> se la disciplina in tema di </w:t>
      </w:r>
      <w:proofErr w:type="spellStart"/>
      <w:r>
        <w:rPr>
          <w:rFonts w:ascii="Garamond" w:hAnsi="Garamond"/>
          <w:sz w:val="28"/>
          <w:szCs w:val="28"/>
        </w:rPr>
        <w:t>interdittive</w:t>
      </w:r>
      <w:proofErr w:type="spellEnd"/>
      <w:r>
        <w:rPr>
          <w:rFonts w:ascii="Garamond" w:hAnsi="Garamond"/>
          <w:sz w:val="28"/>
          <w:szCs w:val="28"/>
        </w:rPr>
        <w:t xml:space="preserve"> antimafia contenuta nel vigente Codice approvato con d.lgs. 159/2011 presenti o meno un legame con il diritto dell’U.E.</w:t>
      </w:r>
    </w:p>
    <w:p w:rsidR="00C90F79" w:rsidRDefault="008D1C36" w:rsidP="008D1C36">
      <w:pPr>
        <w:jc w:val="both"/>
        <w:rPr>
          <w:rFonts w:ascii="Garamond" w:hAnsi="Garamond"/>
          <w:sz w:val="28"/>
          <w:szCs w:val="28"/>
        </w:rPr>
      </w:pPr>
      <w:r w:rsidRPr="008D1C36">
        <w:rPr>
          <w:rFonts w:ascii="Garamond" w:hAnsi="Garamond"/>
          <w:sz w:val="28"/>
          <w:szCs w:val="28"/>
        </w:rPr>
        <w:t xml:space="preserve">Se è vero che le </w:t>
      </w:r>
      <w:proofErr w:type="spellStart"/>
      <w:r w:rsidRPr="008D1C36">
        <w:rPr>
          <w:rFonts w:ascii="Garamond" w:hAnsi="Garamond"/>
          <w:sz w:val="28"/>
          <w:szCs w:val="28"/>
        </w:rPr>
        <w:t>i</w:t>
      </w:r>
      <w:r w:rsidR="00607395" w:rsidRPr="008D1C36">
        <w:rPr>
          <w:rFonts w:ascii="Garamond" w:hAnsi="Garamond"/>
          <w:sz w:val="28"/>
          <w:szCs w:val="28"/>
        </w:rPr>
        <w:t>n</w:t>
      </w:r>
      <w:r w:rsidR="00D6156F">
        <w:rPr>
          <w:rFonts w:ascii="Garamond" w:hAnsi="Garamond"/>
          <w:sz w:val="28"/>
          <w:szCs w:val="28"/>
        </w:rPr>
        <w:t>terdittive</w:t>
      </w:r>
      <w:proofErr w:type="spellEnd"/>
      <w:r w:rsidRPr="008D1C36">
        <w:rPr>
          <w:rFonts w:ascii="Garamond" w:hAnsi="Garamond"/>
          <w:sz w:val="28"/>
          <w:szCs w:val="28"/>
        </w:rPr>
        <w:t xml:space="preserve"> </w:t>
      </w:r>
      <w:r w:rsidR="00607395" w:rsidRPr="008D1C36">
        <w:rPr>
          <w:rFonts w:ascii="Garamond" w:hAnsi="Garamond"/>
          <w:sz w:val="28"/>
          <w:szCs w:val="28"/>
        </w:rPr>
        <w:t>sono rette</w:t>
      </w:r>
      <w:r w:rsidR="00000999">
        <w:rPr>
          <w:rFonts w:ascii="Garamond" w:hAnsi="Garamond"/>
          <w:sz w:val="28"/>
          <w:szCs w:val="28"/>
        </w:rPr>
        <w:t xml:space="preserve"> compiutamente</w:t>
      </w:r>
      <w:r w:rsidR="00607395" w:rsidRPr="008D1C36">
        <w:rPr>
          <w:rFonts w:ascii="Garamond" w:hAnsi="Garamond"/>
          <w:sz w:val="28"/>
          <w:szCs w:val="28"/>
        </w:rPr>
        <w:t xml:space="preserve"> dal diritto interno</w:t>
      </w:r>
      <w:r w:rsidR="00446D81">
        <w:rPr>
          <w:rFonts w:ascii="Garamond" w:hAnsi="Garamond"/>
          <w:sz w:val="28"/>
          <w:szCs w:val="28"/>
        </w:rPr>
        <w:t xml:space="preserve"> quale istituto peculiare del nostro ordinamento,</w:t>
      </w:r>
      <w:r w:rsidR="00607395" w:rsidRPr="008D1C36">
        <w:rPr>
          <w:rFonts w:ascii="Garamond" w:hAnsi="Garamond"/>
          <w:sz w:val="28"/>
          <w:szCs w:val="28"/>
        </w:rPr>
        <w:t xml:space="preserve"> </w:t>
      </w:r>
      <w:r w:rsidR="00C90F79">
        <w:rPr>
          <w:rFonts w:ascii="Garamond" w:hAnsi="Garamond"/>
          <w:sz w:val="28"/>
          <w:szCs w:val="28"/>
        </w:rPr>
        <w:t xml:space="preserve">mi pare indiscutibile la </w:t>
      </w:r>
      <w:r w:rsidR="00607395" w:rsidRPr="008D1C36">
        <w:rPr>
          <w:rFonts w:ascii="Garamond" w:hAnsi="Garamond"/>
          <w:sz w:val="28"/>
          <w:szCs w:val="28"/>
        </w:rPr>
        <w:t>rilevanza</w:t>
      </w:r>
      <w:r w:rsidR="00C90F79">
        <w:rPr>
          <w:rFonts w:ascii="Garamond" w:hAnsi="Garamond"/>
          <w:sz w:val="28"/>
          <w:szCs w:val="28"/>
        </w:rPr>
        <w:t xml:space="preserve"> almeno</w:t>
      </w:r>
      <w:r w:rsidR="00607395" w:rsidRPr="008D1C36">
        <w:rPr>
          <w:rFonts w:ascii="Garamond" w:hAnsi="Garamond"/>
          <w:sz w:val="28"/>
          <w:szCs w:val="28"/>
        </w:rPr>
        <w:t xml:space="preserve"> indiretta con</w:t>
      </w:r>
      <w:r w:rsidR="00446D81">
        <w:rPr>
          <w:rFonts w:ascii="Garamond" w:hAnsi="Garamond"/>
          <w:sz w:val="28"/>
          <w:szCs w:val="28"/>
        </w:rPr>
        <w:t xml:space="preserve"> diritt</w:t>
      </w:r>
      <w:r w:rsidR="00D6156F">
        <w:rPr>
          <w:rFonts w:ascii="Garamond" w:hAnsi="Garamond"/>
          <w:sz w:val="28"/>
          <w:szCs w:val="28"/>
        </w:rPr>
        <w:t xml:space="preserve">i fondamentali ed interessi di </w:t>
      </w:r>
      <w:r w:rsidR="00446D81">
        <w:rPr>
          <w:rFonts w:ascii="Garamond" w:hAnsi="Garamond"/>
          <w:sz w:val="28"/>
          <w:szCs w:val="28"/>
        </w:rPr>
        <w:t>matrice comunitaria</w:t>
      </w:r>
      <w:r w:rsidR="00000999">
        <w:rPr>
          <w:rFonts w:ascii="Garamond" w:hAnsi="Garamond"/>
          <w:sz w:val="28"/>
          <w:szCs w:val="28"/>
        </w:rPr>
        <w:t xml:space="preserve"> in quanto funzionale</w:t>
      </w:r>
      <w:r w:rsidR="00607395" w:rsidRPr="008D1C36">
        <w:rPr>
          <w:rFonts w:ascii="Garamond" w:hAnsi="Garamond"/>
          <w:sz w:val="28"/>
          <w:szCs w:val="28"/>
        </w:rPr>
        <w:t xml:space="preserve"> </w:t>
      </w:r>
      <w:r w:rsidR="00446D81">
        <w:rPr>
          <w:rFonts w:ascii="Garamond" w:hAnsi="Garamond"/>
          <w:sz w:val="28"/>
          <w:szCs w:val="28"/>
        </w:rPr>
        <w:t>ad impedire turbative del mercato ed espungere</w:t>
      </w:r>
      <w:r w:rsidR="00607395" w:rsidRPr="008D1C36">
        <w:rPr>
          <w:rFonts w:ascii="Garamond" w:hAnsi="Garamond"/>
          <w:sz w:val="28"/>
          <w:szCs w:val="28"/>
        </w:rPr>
        <w:t xml:space="preserve"> le imprese esposte ad infiltrazione mafiosa</w:t>
      </w:r>
      <w:r w:rsidR="00C90F79">
        <w:rPr>
          <w:rFonts w:ascii="Garamond" w:hAnsi="Garamond"/>
          <w:sz w:val="28"/>
          <w:szCs w:val="28"/>
        </w:rPr>
        <w:t xml:space="preserve"> in grad</w:t>
      </w:r>
      <w:r w:rsidR="00446D81">
        <w:rPr>
          <w:rFonts w:ascii="Garamond" w:hAnsi="Garamond"/>
          <w:sz w:val="28"/>
          <w:szCs w:val="28"/>
        </w:rPr>
        <w:t>o di inquinare il confronto competitivo</w:t>
      </w:r>
      <w:r w:rsidR="00C90F79">
        <w:rPr>
          <w:rFonts w:ascii="Garamond" w:hAnsi="Garamond"/>
          <w:sz w:val="28"/>
          <w:szCs w:val="28"/>
        </w:rPr>
        <w:t>, come peraltro già ben evidenziato da parte della dottrina.</w:t>
      </w:r>
      <w:r w:rsidR="00C90F79">
        <w:rPr>
          <w:rStyle w:val="Rimandonotaapidipagina"/>
          <w:rFonts w:ascii="Garamond" w:hAnsi="Garamond"/>
          <w:sz w:val="28"/>
          <w:szCs w:val="28"/>
        </w:rPr>
        <w:footnoteReference w:id="30"/>
      </w:r>
    </w:p>
    <w:p w:rsidR="0021791A" w:rsidRDefault="00C90F79" w:rsidP="00C90F79">
      <w:pPr>
        <w:jc w:val="both"/>
        <w:rPr>
          <w:rFonts w:ascii="Garamond" w:hAnsi="Garamond"/>
          <w:sz w:val="28"/>
          <w:szCs w:val="28"/>
        </w:rPr>
      </w:pPr>
      <w:r>
        <w:rPr>
          <w:rFonts w:ascii="Garamond" w:hAnsi="Garamond"/>
          <w:sz w:val="28"/>
          <w:szCs w:val="28"/>
        </w:rPr>
        <w:t xml:space="preserve">Il </w:t>
      </w:r>
      <w:r w:rsidR="00446D81">
        <w:rPr>
          <w:rFonts w:ascii="Garamond" w:hAnsi="Garamond"/>
          <w:sz w:val="28"/>
          <w:szCs w:val="28"/>
        </w:rPr>
        <w:t>d</w:t>
      </w:r>
      <w:r w:rsidR="00607395" w:rsidRPr="00C90F79">
        <w:rPr>
          <w:rFonts w:ascii="Garamond" w:hAnsi="Garamond"/>
          <w:sz w:val="28"/>
          <w:szCs w:val="28"/>
        </w:rPr>
        <w:t>i</w:t>
      </w:r>
      <w:r>
        <w:rPr>
          <w:rFonts w:ascii="Garamond" w:hAnsi="Garamond"/>
          <w:sz w:val="28"/>
          <w:szCs w:val="28"/>
        </w:rPr>
        <w:t>ritto al contraddittorio poi è in ogni caso</w:t>
      </w:r>
      <w:r w:rsidR="00607395" w:rsidRPr="00C90F79">
        <w:rPr>
          <w:rFonts w:ascii="Garamond" w:hAnsi="Garamond"/>
          <w:sz w:val="28"/>
          <w:szCs w:val="28"/>
        </w:rPr>
        <w:t xml:space="preserve"> princip</w:t>
      </w:r>
      <w:r w:rsidR="007405E0" w:rsidRPr="00C90F79">
        <w:rPr>
          <w:rFonts w:ascii="Garamond" w:hAnsi="Garamond"/>
          <w:sz w:val="28"/>
          <w:szCs w:val="28"/>
        </w:rPr>
        <w:t>io generale del diritt</w:t>
      </w:r>
      <w:r>
        <w:rPr>
          <w:rFonts w:ascii="Garamond" w:hAnsi="Garamond"/>
          <w:sz w:val="28"/>
          <w:szCs w:val="28"/>
        </w:rPr>
        <w:t>o dell’UE secondo la stessa Corte di Giustizia</w:t>
      </w:r>
      <w:r w:rsidR="00A557BF">
        <w:rPr>
          <w:rFonts w:ascii="Garamond" w:hAnsi="Garamond"/>
          <w:sz w:val="28"/>
          <w:szCs w:val="28"/>
        </w:rPr>
        <w:t xml:space="preserve"> almeno ogni qualvolta gli S</w:t>
      </w:r>
      <w:r w:rsidR="007405E0" w:rsidRPr="00C90F79">
        <w:rPr>
          <w:rFonts w:ascii="Garamond" w:hAnsi="Garamond"/>
          <w:sz w:val="28"/>
          <w:szCs w:val="28"/>
        </w:rPr>
        <w:t>tati membri adottano provvedimenti che rientrano nella sfera di applicazione del diritto UE</w:t>
      </w:r>
      <w:r>
        <w:rPr>
          <w:rStyle w:val="Rimandonotaapidipagina"/>
          <w:rFonts w:ascii="Garamond" w:hAnsi="Garamond"/>
          <w:sz w:val="28"/>
          <w:szCs w:val="28"/>
        </w:rPr>
        <w:footnoteReference w:id="31"/>
      </w:r>
      <w:r>
        <w:rPr>
          <w:rFonts w:ascii="Garamond" w:hAnsi="Garamond"/>
          <w:sz w:val="28"/>
          <w:szCs w:val="28"/>
        </w:rPr>
        <w:t xml:space="preserve"> a testimonianza dell’importanza della questione della rilevanza o meno delle misure </w:t>
      </w:r>
      <w:proofErr w:type="spellStart"/>
      <w:r>
        <w:rPr>
          <w:rFonts w:ascii="Garamond" w:hAnsi="Garamond"/>
          <w:sz w:val="28"/>
          <w:szCs w:val="28"/>
        </w:rPr>
        <w:t>interdittive</w:t>
      </w:r>
      <w:proofErr w:type="spellEnd"/>
      <w:r>
        <w:rPr>
          <w:rFonts w:ascii="Garamond" w:hAnsi="Garamond"/>
          <w:sz w:val="28"/>
          <w:szCs w:val="28"/>
        </w:rPr>
        <w:t xml:space="preserve"> per il diritto comunitario.</w:t>
      </w:r>
    </w:p>
    <w:p w:rsidR="00C90F79" w:rsidRDefault="00C90F79" w:rsidP="00C90F79">
      <w:pPr>
        <w:jc w:val="both"/>
        <w:rPr>
          <w:rFonts w:ascii="Garamond" w:hAnsi="Garamond"/>
          <w:sz w:val="28"/>
          <w:szCs w:val="28"/>
        </w:rPr>
      </w:pPr>
      <w:r>
        <w:rPr>
          <w:rFonts w:ascii="Garamond" w:hAnsi="Garamond"/>
          <w:sz w:val="28"/>
          <w:szCs w:val="28"/>
        </w:rPr>
        <w:t xml:space="preserve">Sul </w:t>
      </w:r>
      <w:r w:rsidR="002F14BE">
        <w:rPr>
          <w:rFonts w:ascii="Garamond" w:hAnsi="Garamond"/>
          <w:sz w:val="28"/>
          <w:szCs w:val="28"/>
        </w:rPr>
        <w:t xml:space="preserve">diverso </w:t>
      </w:r>
      <w:r>
        <w:rPr>
          <w:rFonts w:ascii="Garamond" w:hAnsi="Garamond"/>
          <w:sz w:val="28"/>
          <w:szCs w:val="28"/>
        </w:rPr>
        <w:t xml:space="preserve">versante invece della </w:t>
      </w:r>
      <w:r w:rsidR="002C3EB3">
        <w:rPr>
          <w:rFonts w:ascii="Garamond" w:hAnsi="Garamond"/>
          <w:sz w:val="28"/>
          <w:szCs w:val="28"/>
        </w:rPr>
        <w:t>Convenzione EDU</w:t>
      </w:r>
      <w:r w:rsidR="002F14BE">
        <w:rPr>
          <w:rFonts w:ascii="Garamond" w:hAnsi="Garamond"/>
          <w:sz w:val="28"/>
          <w:szCs w:val="28"/>
        </w:rPr>
        <w:t xml:space="preserve"> la quale come noto ha valore di norma costituzionale interposta ex art. 117 c. 1</w:t>
      </w:r>
      <w:r w:rsidR="00A557BF">
        <w:rPr>
          <w:rFonts w:ascii="Garamond" w:hAnsi="Garamond"/>
          <w:sz w:val="28"/>
          <w:szCs w:val="28"/>
        </w:rPr>
        <w:t xml:space="preserve">, </w:t>
      </w:r>
      <w:proofErr w:type="spellStart"/>
      <w:r w:rsidR="00A557BF">
        <w:rPr>
          <w:rFonts w:ascii="Garamond" w:hAnsi="Garamond"/>
          <w:sz w:val="28"/>
          <w:szCs w:val="28"/>
        </w:rPr>
        <w:t>c</w:t>
      </w:r>
      <w:r w:rsidR="002F14BE">
        <w:rPr>
          <w:rFonts w:ascii="Garamond" w:hAnsi="Garamond"/>
          <w:sz w:val="28"/>
          <w:szCs w:val="28"/>
        </w:rPr>
        <w:t>ost</w:t>
      </w:r>
      <w:proofErr w:type="spellEnd"/>
      <w:r w:rsidR="002F14BE">
        <w:rPr>
          <w:rFonts w:ascii="Garamond" w:hAnsi="Garamond"/>
          <w:sz w:val="28"/>
          <w:szCs w:val="28"/>
        </w:rPr>
        <w:t>.</w:t>
      </w:r>
      <w:r w:rsidR="002F14BE">
        <w:rPr>
          <w:rStyle w:val="Rimandonotaapidipagina"/>
          <w:rFonts w:ascii="Garamond" w:hAnsi="Garamond"/>
          <w:sz w:val="28"/>
          <w:szCs w:val="28"/>
        </w:rPr>
        <w:footnoteReference w:id="32"/>
      </w:r>
      <w:r w:rsidR="002C3EB3">
        <w:rPr>
          <w:rFonts w:ascii="Garamond" w:hAnsi="Garamond"/>
          <w:sz w:val="28"/>
          <w:szCs w:val="28"/>
        </w:rPr>
        <w:t xml:space="preserve"> </w:t>
      </w:r>
      <w:proofErr w:type="gramStart"/>
      <w:r w:rsidR="002C3EB3">
        <w:rPr>
          <w:rFonts w:ascii="Garamond" w:hAnsi="Garamond"/>
          <w:sz w:val="28"/>
          <w:szCs w:val="28"/>
        </w:rPr>
        <w:t>vengono</w:t>
      </w:r>
      <w:proofErr w:type="gramEnd"/>
      <w:r w:rsidR="002C3EB3">
        <w:rPr>
          <w:rFonts w:ascii="Garamond" w:hAnsi="Garamond"/>
          <w:sz w:val="28"/>
          <w:szCs w:val="28"/>
        </w:rPr>
        <w:t xml:space="preserve"> in rilievo oltre l’art 1 del Primo </w:t>
      </w:r>
      <w:proofErr w:type="spellStart"/>
      <w:r w:rsidR="002C3EB3">
        <w:rPr>
          <w:rFonts w:ascii="Garamond" w:hAnsi="Garamond"/>
          <w:sz w:val="28"/>
          <w:szCs w:val="28"/>
        </w:rPr>
        <w:t>Procollo</w:t>
      </w:r>
      <w:proofErr w:type="spellEnd"/>
      <w:r w:rsidR="002C3EB3">
        <w:rPr>
          <w:rFonts w:ascii="Garamond" w:hAnsi="Garamond"/>
          <w:sz w:val="28"/>
          <w:szCs w:val="28"/>
        </w:rPr>
        <w:t xml:space="preserve"> addizionale</w:t>
      </w:r>
      <w:r w:rsidR="002C3EB3" w:rsidRPr="002C3EB3">
        <w:rPr>
          <w:rFonts w:ascii="Garamond" w:hAnsi="Garamond"/>
          <w:sz w:val="28"/>
          <w:szCs w:val="28"/>
        </w:rPr>
        <w:t xml:space="preserve"> sulla tutela dei beni nel senso ampio</w:t>
      </w:r>
      <w:r w:rsidR="002C3EB3">
        <w:rPr>
          <w:rFonts w:ascii="Garamond" w:hAnsi="Garamond"/>
          <w:sz w:val="28"/>
          <w:szCs w:val="28"/>
        </w:rPr>
        <w:t xml:space="preserve"> interpretato dalla Corte di Strasburgo</w:t>
      </w:r>
      <w:r w:rsidR="00446D81">
        <w:rPr>
          <w:rStyle w:val="Rimandonotaapidipagina"/>
          <w:rFonts w:ascii="Garamond" w:hAnsi="Garamond"/>
          <w:sz w:val="28"/>
          <w:szCs w:val="28"/>
        </w:rPr>
        <w:footnoteReference w:id="33"/>
      </w:r>
      <w:r w:rsidR="002C3EB3">
        <w:rPr>
          <w:rFonts w:ascii="Garamond" w:hAnsi="Garamond"/>
          <w:sz w:val="28"/>
          <w:szCs w:val="28"/>
        </w:rPr>
        <w:t xml:space="preserve"> l’art 6 in tema di diritto ad un processo equo. </w:t>
      </w:r>
    </w:p>
    <w:p w:rsidR="00607395" w:rsidRDefault="009716A3" w:rsidP="009716A3">
      <w:pPr>
        <w:jc w:val="both"/>
        <w:rPr>
          <w:rFonts w:ascii="Garamond" w:hAnsi="Garamond"/>
          <w:sz w:val="28"/>
          <w:szCs w:val="28"/>
        </w:rPr>
      </w:pPr>
      <w:r>
        <w:rPr>
          <w:rFonts w:ascii="Garamond" w:hAnsi="Garamond"/>
          <w:sz w:val="28"/>
          <w:szCs w:val="28"/>
        </w:rPr>
        <w:t xml:space="preserve">E’ noto anche qui come la </w:t>
      </w:r>
      <w:r w:rsidRPr="009716A3">
        <w:rPr>
          <w:rFonts w:ascii="Garamond" w:hAnsi="Garamond"/>
          <w:sz w:val="28"/>
          <w:szCs w:val="28"/>
        </w:rPr>
        <w:t>Corte di Strasburg</w:t>
      </w:r>
      <w:r>
        <w:rPr>
          <w:rFonts w:ascii="Garamond" w:hAnsi="Garamond"/>
          <w:sz w:val="28"/>
          <w:szCs w:val="28"/>
        </w:rPr>
        <w:t>o</w:t>
      </w:r>
      <w:r w:rsidR="006518AF">
        <w:rPr>
          <w:rStyle w:val="Rimandonotaapidipagina"/>
          <w:rFonts w:ascii="Garamond" w:hAnsi="Garamond"/>
          <w:sz w:val="28"/>
          <w:szCs w:val="28"/>
        </w:rPr>
        <w:footnoteReference w:id="34"/>
      </w:r>
      <w:r>
        <w:rPr>
          <w:rFonts w:ascii="Garamond" w:hAnsi="Garamond"/>
          <w:sz w:val="28"/>
          <w:szCs w:val="28"/>
        </w:rPr>
        <w:t xml:space="preserve"> abbia d</w:t>
      </w:r>
      <w:r w:rsidR="000231D8" w:rsidRPr="009716A3">
        <w:rPr>
          <w:rFonts w:ascii="Garamond" w:hAnsi="Garamond"/>
          <w:sz w:val="28"/>
          <w:szCs w:val="28"/>
        </w:rPr>
        <w:t>a tempo ritenuto a</w:t>
      </w:r>
      <w:r w:rsidR="00336139" w:rsidRPr="009716A3">
        <w:rPr>
          <w:rFonts w:ascii="Garamond" w:hAnsi="Garamond"/>
          <w:sz w:val="28"/>
          <w:szCs w:val="28"/>
        </w:rPr>
        <w:t>pplicabile</w:t>
      </w:r>
      <w:r w:rsidR="00D6156F">
        <w:rPr>
          <w:rFonts w:ascii="Garamond" w:hAnsi="Garamond"/>
          <w:sz w:val="28"/>
          <w:szCs w:val="28"/>
        </w:rPr>
        <w:t xml:space="preserve"> tale norma oltre che nella sede giudiziale</w:t>
      </w:r>
      <w:r w:rsidR="006518AF">
        <w:rPr>
          <w:rFonts w:ascii="Garamond" w:hAnsi="Garamond"/>
          <w:sz w:val="28"/>
          <w:szCs w:val="28"/>
        </w:rPr>
        <w:t xml:space="preserve"> </w:t>
      </w:r>
      <w:r w:rsidR="00336139" w:rsidRPr="009716A3">
        <w:rPr>
          <w:rFonts w:ascii="Garamond" w:hAnsi="Garamond"/>
          <w:sz w:val="28"/>
          <w:szCs w:val="28"/>
        </w:rPr>
        <w:t>anche ai procedimenti</w:t>
      </w:r>
      <w:r w:rsidR="00D6156F">
        <w:rPr>
          <w:rFonts w:ascii="Garamond" w:hAnsi="Garamond"/>
          <w:sz w:val="28"/>
          <w:szCs w:val="28"/>
        </w:rPr>
        <w:t xml:space="preserve"> amministrativi</w:t>
      </w:r>
      <w:r w:rsidR="00336139" w:rsidRPr="009716A3">
        <w:rPr>
          <w:rFonts w:ascii="Garamond" w:hAnsi="Garamond"/>
          <w:sz w:val="28"/>
          <w:szCs w:val="28"/>
        </w:rPr>
        <w:t xml:space="preserve"> preordinati all’applicazione di sanzioni afflittive </w:t>
      </w:r>
      <w:r w:rsidR="006518AF">
        <w:rPr>
          <w:rFonts w:ascii="Garamond" w:hAnsi="Garamond"/>
          <w:sz w:val="28"/>
          <w:szCs w:val="28"/>
        </w:rPr>
        <w:t xml:space="preserve">secondo un </w:t>
      </w:r>
      <w:r w:rsidR="003C336B" w:rsidRPr="009716A3">
        <w:rPr>
          <w:rFonts w:ascii="Garamond" w:hAnsi="Garamond"/>
          <w:sz w:val="28"/>
          <w:szCs w:val="28"/>
        </w:rPr>
        <w:t>concetto di pena in senso sostanziale</w:t>
      </w:r>
      <w:r w:rsidR="006518AF">
        <w:rPr>
          <w:rFonts w:ascii="Garamond" w:hAnsi="Garamond"/>
          <w:sz w:val="28"/>
          <w:szCs w:val="28"/>
        </w:rPr>
        <w:t>, risultando afflittive le sanzioni “severe</w:t>
      </w:r>
      <w:r w:rsidR="006518AF" w:rsidRPr="006518AF">
        <w:rPr>
          <w:rFonts w:ascii="Garamond" w:hAnsi="Garamond"/>
          <w:sz w:val="28"/>
          <w:szCs w:val="28"/>
        </w:rPr>
        <w:t>” ovvero implicante “conse</w:t>
      </w:r>
      <w:r w:rsidR="006518AF">
        <w:rPr>
          <w:rFonts w:ascii="Garamond" w:hAnsi="Garamond"/>
          <w:sz w:val="28"/>
          <w:szCs w:val="28"/>
        </w:rPr>
        <w:t>guenze patrimoniali importanti” a prescindere dalla diversa qualificazione operata dal diritto interno.</w:t>
      </w:r>
    </w:p>
    <w:p w:rsidR="006518AF" w:rsidRDefault="006518AF" w:rsidP="009716A3">
      <w:pPr>
        <w:jc w:val="both"/>
        <w:rPr>
          <w:rFonts w:ascii="Garamond" w:hAnsi="Garamond"/>
          <w:sz w:val="28"/>
          <w:szCs w:val="28"/>
        </w:rPr>
      </w:pPr>
      <w:r>
        <w:rPr>
          <w:rFonts w:ascii="Garamond" w:hAnsi="Garamond"/>
          <w:sz w:val="28"/>
          <w:szCs w:val="28"/>
        </w:rPr>
        <w:t>Ad esempio è stata ritenuta afflittiva la sanzione</w:t>
      </w:r>
      <w:r w:rsidRPr="006518AF">
        <w:rPr>
          <w:rFonts w:ascii="Garamond" w:hAnsi="Garamond"/>
          <w:sz w:val="28"/>
          <w:szCs w:val="28"/>
        </w:rPr>
        <w:t xml:space="preserve"> con valenza disciplinare, attesane la natura punitiva</w:t>
      </w:r>
      <w:r w:rsidR="00C63217">
        <w:rPr>
          <w:rStyle w:val="Rimandonotaapidipagina"/>
          <w:rFonts w:ascii="Garamond" w:hAnsi="Garamond"/>
          <w:sz w:val="28"/>
          <w:szCs w:val="28"/>
        </w:rPr>
        <w:footnoteReference w:id="35"/>
      </w:r>
      <w:r>
        <w:rPr>
          <w:rFonts w:ascii="Garamond" w:hAnsi="Garamond"/>
          <w:sz w:val="28"/>
          <w:szCs w:val="28"/>
        </w:rPr>
        <w:t xml:space="preserve"> se lesiva </w:t>
      </w:r>
      <w:r w:rsidRPr="006518AF">
        <w:rPr>
          <w:rFonts w:ascii="Garamond" w:hAnsi="Garamond"/>
          <w:sz w:val="28"/>
          <w:szCs w:val="28"/>
        </w:rPr>
        <w:t>di un diritto “civile” del ricorrente, quale la sospensione o la cessazione dell’attività professionale</w:t>
      </w:r>
      <w:r>
        <w:rPr>
          <w:rFonts w:ascii="Garamond" w:hAnsi="Garamond"/>
          <w:sz w:val="28"/>
          <w:szCs w:val="28"/>
        </w:rPr>
        <w:t>.</w:t>
      </w:r>
      <w:r>
        <w:rPr>
          <w:rStyle w:val="Rimandonotaapidipagina"/>
          <w:rFonts w:ascii="Garamond" w:hAnsi="Garamond"/>
          <w:sz w:val="28"/>
          <w:szCs w:val="28"/>
        </w:rPr>
        <w:footnoteReference w:id="36"/>
      </w:r>
      <w:r>
        <w:rPr>
          <w:rFonts w:ascii="Garamond" w:hAnsi="Garamond"/>
          <w:sz w:val="28"/>
          <w:szCs w:val="28"/>
        </w:rPr>
        <w:t xml:space="preserve"> </w:t>
      </w:r>
    </w:p>
    <w:p w:rsidR="005B2A12" w:rsidRDefault="005B2A12" w:rsidP="009716A3">
      <w:pPr>
        <w:jc w:val="both"/>
        <w:rPr>
          <w:rFonts w:ascii="Garamond" w:hAnsi="Garamond"/>
          <w:sz w:val="28"/>
          <w:szCs w:val="28"/>
        </w:rPr>
      </w:pPr>
      <w:r>
        <w:rPr>
          <w:rFonts w:ascii="Garamond" w:hAnsi="Garamond"/>
          <w:sz w:val="28"/>
          <w:szCs w:val="28"/>
        </w:rPr>
        <w:t>Ma nella logica convenzionale può ben essere afflittiva anche una misura</w:t>
      </w:r>
      <w:r w:rsidR="00446D81">
        <w:rPr>
          <w:rFonts w:ascii="Garamond" w:hAnsi="Garamond"/>
          <w:sz w:val="28"/>
          <w:szCs w:val="28"/>
        </w:rPr>
        <w:t xml:space="preserve"> secondo il diritto interno</w:t>
      </w:r>
      <w:r>
        <w:rPr>
          <w:rFonts w:ascii="Garamond" w:hAnsi="Garamond"/>
          <w:sz w:val="28"/>
          <w:szCs w:val="28"/>
        </w:rPr>
        <w:t xml:space="preserve"> priva </w:t>
      </w:r>
      <w:r w:rsidR="00A51AA1">
        <w:rPr>
          <w:rFonts w:ascii="Garamond" w:hAnsi="Garamond"/>
          <w:sz w:val="28"/>
          <w:szCs w:val="28"/>
        </w:rPr>
        <w:t>di carattere sanzionatorio ma con valenza</w:t>
      </w:r>
      <w:r>
        <w:rPr>
          <w:rFonts w:ascii="Garamond" w:hAnsi="Garamond"/>
          <w:sz w:val="28"/>
          <w:szCs w:val="28"/>
        </w:rPr>
        <w:t xml:space="preserve"> ripristinatoria</w:t>
      </w:r>
      <w:r w:rsidR="00446D81">
        <w:rPr>
          <w:rFonts w:ascii="Garamond" w:hAnsi="Garamond"/>
          <w:sz w:val="28"/>
          <w:szCs w:val="28"/>
        </w:rPr>
        <w:t>,</w:t>
      </w:r>
      <w:r>
        <w:rPr>
          <w:rFonts w:ascii="Garamond" w:hAnsi="Garamond"/>
          <w:sz w:val="28"/>
          <w:szCs w:val="28"/>
        </w:rPr>
        <w:t xml:space="preserve"> secondo la nota distinzione da sempre affermata dalla giurisprudenza domestica</w:t>
      </w:r>
      <w:r>
        <w:rPr>
          <w:rStyle w:val="Rimandonotaapidipagina"/>
          <w:rFonts w:ascii="Garamond" w:hAnsi="Garamond"/>
          <w:sz w:val="28"/>
          <w:szCs w:val="28"/>
        </w:rPr>
        <w:footnoteReference w:id="37"/>
      </w:r>
      <w:r>
        <w:rPr>
          <w:rFonts w:ascii="Garamond" w:hAnsi="Garamond"/>
          <w:sz w:val="28"/>
          <w:szCs w:val="28"/>
        </w:rPr>
        <w:t xml:space="preserve"> dando la stura a nuovi approdi anche sul versante delle misure ripristinato</w:t>
      </w:r>
      <w:r w:rsidR="00A51AA1">
        <w:rPr>
          <w:rFonts w:ascii="Garamond" w:hAnsi="Garamond"/>
          <w:sz w:val="28"/>
          <w:szCs w:val="28"/>
        </w:rPr>
        <w:t>rie specie in campo urbanistico-</w:t>
      </w:r>
      <w:r>
        <w:rPr>
          <w:rFonts w:ascii="Garamond" w:hAnsi="Garamond"/>
          <w:sz w:val="28"/>
          <w:szCs w:val="28"/>
        </w:rPr>
        <w:t xml:space="preserve">edilizio, come nell’ipotesi della demolizione in seguito a diniego della sanatoria formale di cui al vigente art 36 </w:t>
      </w:r>
      <w:proofErr w:type="spellStart"/>
      <w:r>
        <w:rPr>
          <w:rFonts w:ascii="Garamond" w:hAnsi="Garamond"/>
          <w:sz w:val="28"/>
          <w:szCs w:val="28"/>
        </w:rPr>
        <w:t>t.u.</w:t>
      </w:r>
      <w:proofErr w:type="spellEnd"/>
      <w:r>
        <w:rPr>
          <w:rFonts w:ascii="Garamond" w:hAnsi="Garamond"/>
          <w:sz w:val="28"/>
          <w:szCs w:val="28"/>
        </w:rPr>
        <w:t xml:space="preserve"> edilizia per opera conforme </w:t>
      </w:r>
      <w:r w:rsidR="00C63217">
        <w:rPr>
          <w:rFonts w:ascii="Garamond" w:hAnsi="Garamond"/>
          <w:sz w:val="28"/>
          <w:szCs w:val="28"/>
        </w:rPr>
        <w:t>nel solo</w:t>
      </w:r>
      <w:r w:rsidR="000260BB">
        <w:rPr>
          <w:rFonts w:ascii="Garamond" w:hAnsi="Garamond"/>
          <w:sz w:val="28"/>
          <w:szCs w:val="28"/>
        </w:rPr>
        <w:t xml:space="preserve"> momento della presentazione della domanda.</w:t>
      </w:r>
      <w:r w:rsidR="00D40C15">
        <w:rPr>
          <w:rStyle w:val="Rimandonotaapidipagina"/>
          <w:rFonts w:ascii="Garamond" w:hAnsi="Garamond"/>
          <w:sz w:val="28"/>
          <w:szCs w:val="28"/>
        </w:rPr>
        <w:footnoteReference w:id="38"/>
      </w:r>
    </w:p>
    <w:p w:rsidR="00D40C15" w:rsidRDefault="007038AD" w:rsidP="009716A3">
      <w:pPr>
        <w:jc w:val="both"/>
        <w:rPr>
          <w:rFonts w:ascii="Garamond" w:hAnsi="Garamond"/>
          <w:sz w:val="28"/>
          <w:szCs w:val="28"/>
        </w:rPr>
      </w:pPr>
      <w:r>
        <w:rPr>
          <w:rFonts w:ascii="Garamond" w:hAnsi="Garamond"/>
          <w:sz w:val="28"/>
          <w:szCs w:val="28"/>
        </w:rPr>
        <w:t>Sorge dunque spontaneo l’interrogativo</w:t>
      </w:r>
      <w:r w:rsidR="00446D81">
        <w:rPr>
          <w:rFonts w:ascii="Garamond" w:hAnsi="Garamond"/>
          <w:sz w:val="28"/>
          <w:szCs w:val="28"/>
        </w:rPr>
        <w:t>,</w:t>
      </w:r>
      <w:r>
        <w:rPr>
          <w:rFonts w:ascii="Garamond" w:hAnsi="Garamond"/>
          <w:sz w:val="28"/>
          <w:szCs w:val="28"/>
        </w:rPr>
        <w:t xml:space="preserve"> invero problematico</w:t>
      </w:r>
      <w:r w:rsidR="00446D81">
        <w:rPr>
          <w:rFonts w:ascii="Garamond" w:hAnsi="Garamond"/>
          <w:sz w:val="28"/>
          <w:szCs w:val="28"/>
        </w:rPr>
        <w:t>,</w:t>
      </w:r>
      <w:r w:rsidR="00D40C15">
        <w:rPr>
          <w:rFonts w:ascii="Garamond" w:hAnsi="Garamond"/>
          <w:sz w:val="28"/>
          <w:szCs w:val="28"/>
        </w:rPr>
        <w:t xml:space="preserve"> se le misure </w:t>
      </w:r>
      <w:proofErr w:type="spellStart"/>
      <w:r w:rsidR="00D40C15">
        <w:rPr>
          <w:rFonts w:ascii="Garamond" w:hAnsi="Garamond"/>
          <w:sz w:val="28"/>
          <w:szCs w:val="28"/>
        </w:rPr>
        <w:t>interdittive</w:t>
      </w:r>
      <w:proofErr w:type="spellEnd"/>
      <w:r w:rsidR="00D40C15">
        <w:rPr>
          <w:rFonts w:ascii="Garamond" w:hAnsi="Garamond"/>
          <w:sz w:val="28"/>
          <w:szCs w:val="28"/>
        </w:rPr>
        <w:t xml:space="preserve"> antimafia possano o meno rientrare nel novero delle sanzioni afflittive in chiave CEDU.</w:t>
      </w:r>
    </w:p>
    <w:p w:rsidR="00D40C15" w:rsidRDefault="00D40C15" w:rsidP="009716A3">
      <w:pPr>
        <w:jc w:val="both"/>
        <w:rPr>
          <w:rFonts w:ascii="Garamond" w:hAnsi="Garamond"/>
          <w:sz w:val="28"/>
          <w:szCs w:val="28"/>
        </w:rPr>
      </w:pPr>
      <w:r>
        <w:rPr>
          <w:rFonts w:ascii="Garamond" w:hAnsi="Garamond"/>
          <w:sz w:val="28"/>
          <w:szCs w:val="28"/>
        </w:rPr>
        <w:t>Se la giurisprudenza</w:t>
      </w:r>
      <w:r w:rsidR="003104DD">
        <w:rPr>
          <w:rFonts w:ascii="Garamond" w:hAnsi="Garamond"/>
          <w:sz w:val="28"/>
          <w:szCs w:val="28"/>
        </w:rPr>
        <w:t xml:space="preserve"> domestica</w:t>
      </w:r>
      <w:r>
        <w:rPr>
          <w:rFonts w:ascii="Garamond" w:hAnsi="Garamond"/>
          <w:sz w:val="28"/>
          <w:szCs w:val="28"/>
        </w:rPr>
        <w:t xml:space="preserve"> ha sin ora assunto posizioni del tutto negazioniste</w:t>
      </w:r>
      <w:r w:rsidR="003104DD">
        <w:rPr>
          <w:rFonts w:ascii="Garamond" w:hAnsi="Garamond"/>
          <w:sz w:val="28"/>
          <w:szCs w:val="28"/>
        </w:rPr>
        <w:t xml:space="preserve"> e la stessa Corte EDU</w:t>
      </w:r>
      <w:r w:rsidR="00A51AA1">
        <w:rPr>
          <w:rFonts w:ascii="Garamond" w:hAnsi="Garamond"/>
          <w:sz w:val="28"/>
          <w:szCs w:val="28"/>
        </w:rPr>
        <w:t xml:space="preserve"> (è bene dirlo)</w:t>
      </w:r>
      <w:r w:rsidR="003104DD">
        <w:rPr>
          <w:rFonts w:ascii="Garamond" w:hAnsi="Garamond"/>
          <w:sz w:val="28"/>
          <w:szCs w:val="28"/>
        </w:rPr>
        <w:t xml:space="preserve"> non ha affermato</w:t>
      </w:r>
      <w:r w:rsidR="007038AD">
        <w:rPr>
          <w:rFonts w:ascii="Garamond" w:hAnsi="Garamond"/>
          <w:sz w:val="28"/>
          <w:szCs w:val="28"/>
        </w:rPr>
        <w:t xml:space="preserve"> sin qui</w:t>
      </w:r>
      <w:r w:rsidR="003104DD">
        <w:rPr>
          <w:rFonts w:ascii="Garamond" w:hAnsi="Garamond"/>
          <w:sz w:val="28"/>
          <w:szCs w:val="28"/>
        </w:rPr>
        <w:t xml:space="preserve"> la riconducibilità delle </w:t>
      </w:r>
      <w:proofErr w:type="spellStart"/>
      <w:r w:rsidR="003104DD">
        <w:rPr>
          <w:rFonts w:ascii="Garamond" w:hAnsi="Garamond"/>
          <w:sz w:val="28"/>
          <w:szCs w:val="28"/>
        </w:rPr>
        <w:t>interdittive</w:t>
      </w:r>
      <w:proofErr w:type="spellEnd"/>
      <w:r w:rsidR="003104DD">
        <w:rPr>
          <w:rFonts w:ascii="Garamond" w:hAnsi="Garamond"/>
          <w:sz w:val="28"/>
          <w:szCs w:val="28"/>
        </w:rPr>
        <w:t xml:space="preserve"> al diritto punitivo,</w:t>
      </w:r>
      <w:r>
        <w:rPr>
          <w:rFonts w:ascii="Garamond" w:hAnsi="Garamond"/>
          <w:sz w:val="28"/>
          <w:szCs w:val="28"/>
        </w:rPr>
        <w:t xml:space="preserve"> parte della dottrina mostra invero</w:t>
      </w:r>
      <w:r w:rsidR="00446D81">
        <w:rPr>
          <w:rFonts w:ascii="Garamond" w:hAnsi="Garamond"/>
          <w:sz w:val="28"/>
          <w:szCs w:val="28"/>
        </w:rPr>
        <w:t xml:space="preserve"> argomentate</w:t>
      </w:r>
      <w:r>
        <w:rPr>
          <w:rFonts w:ascii="Garamond" w:hAnsi="Garamond"/>
          <w:sz w:val="28"/>
          <w:szCs w:val="28"/>
        </w:rPr>
        <w:t xml:space="preserve"> aperture, negando apertamente la ricostruzione dell’</w:t>
      </w:r>
      <w:proofErr w:type="spellStart"/>
      <w:r>
        <w:rPr>
          <w:rFonts w:ascii="Garamond" w:hAnsi="Garamond"/>
          <w:sz w:val="28"/>
          <w:szCs w:val="28"/>
        </w:rPr>
        <w:t>interdittiva</w:t>
      </w:r>
      <w:proofErr w:type="spellEnd"/>
      <w:r>
        <w:rPr>
          <w:rFonts w:ascii="Garamond" w:hAnsi="Garamond"/>
          <w:sz w:val="28"/>
          <w:szCs w:val="28"/>
        </w:rPr>
        <w:t xml:space="preserve"> quale misura cautelare</w:t>
      </w:r>
      <w:r w:rsidR="00A51AA1">
        <w:rPr>
          <w:rFonts w:ascii="Garamond" w:hAnsi="Garamond"/>
          <w:sz w:val="28"/>
          <w:szCs w:val="28"/>
        </w:rPr>
        <w:t>, risultando essa</w:t>
      </w:r>
      <w:r>
        <w:rPr>
          <w:rFonts w:ascii="Garamond" w:hAnsi="Garamond"/>
          <w:sz w:val="28"/>
          <w:szCs w:val="28"/>
        </w:rPr>
        <w:t xml:space="preserve"> </w:t>
      </w:r>
      <w:r w:rsidR="00C82E55">
        <w:rPr>
          <w:rFonts w:ascii="Garamond" w:hAnsi="Garamond"/>
          <w:sz w:val="28"/>
          <w:szCs w:val="28"/>
        </w:rPr>
        <w:t>idonea a determinare effetti</w:t>
      </w:r>
      <w:r w:rsidR="00A51AA1">
        <w:rPr>
          <w:rFonts w:ascii="Garamond" w:hAnsi="Garamond"/>
          <w:sz w:val="28"/>
          <w:szCs w:val="28"/>
        </w:rPr>
        <w:t xml:space="preserve"> spesso</w:t>
      </w:r>
      <w:r w:rsidR="00C82E55">
        <w:rPr>
          <w:rFonts w:ascii="Garamond" w:hAnsi="Garamond"/>
          <w:sz w:val="28"/>
          <w:szCs w:val="28"/>
        </w:rPr>
        <w:t xml:space="preserve"> irreversibili</w:t>
      </w:r>
      <w:r w:rsidR="00593045">
        <w:rPr>
          <w:rFonts w:ascii="Garamond" w:hAnsi="Garamond"/>
          <w:sz w:val="28"/>
          <w:szCs w:val="28"/>
        </w:rPr>
        <w:t xml:space="preserve"> sull’impresa sospettata di subire tentativi di infiltrazione da parte della criminalità organizzata.</w:t>
      </w:r>
      <w:r w:rsidR="00C82E55">
        <w:rPr>
          <w:rStyle w:val="Rimandonotaapidipagina"/>
          <w:rFonts w:ascii="Garamond" w:hAnsi="Garamond"/>
          <w:sz w:val="28"/>
          <w:szCs w:val="28"/>
        </w:rPr>
        <w:footnoteReference w:id="39"/>
      </w:r>
    </w:p>
    <w:p w:rsidR="006E7037" w:rsidRDefault="006E7037" w:rsidP="009716A3">
      <w:pPr>
        <w:jc w:val="both"/>
        <w:rPr>
          <w:rFonts w:ascii="Garamond" w:hAnsi="Garamond"/>
          <w:sz w:val="28"/>
          <w:szCs w:val="28"/>
        </w:rPr>
      </w:pPr>
      <w:r>
        <w:rPr>
          <w:rFonts w:ascii="Garamond" w:hAnsi="Garamond"/>
          <w:sz w:val="28"/>
          <w:szCs w:val="28"/>
        </w:rPr>
        <w:t>E’ certo che ove in una prospettiva futura ma</w:t>
      </w:r>
      <w:r w:rsidR="00446D81">
        <w:rPr>
          <w:rFonts w:ascii="Garamond" w:hAnsi="Garamond"/>
          <w:sz w:val="28"/>
          <w:szCs w:val="28"/>
        </w:rPr>
        <w:t xml:space="preserve"> forse</w:t>
      </w:r>
      <w:r>
        <w:rPr>
          <w:rFonts w:ascii="Garamond" w:hAnsi="Garamond"/>
          <w:sz w:val="28"/>
          <w:szCs w:val="28"/>
        </w:rPr>
        <w:t xml:space="preserve"> non tanto lontana dovesse riconoscersi la nozione di pena in senso sostanziale</w:t>
      </w:r>
      <w:r w:rsidR="00446D81">
        <w:rPr>
          <w:rFonts w:ascii="Garamond" w:hAnsi="Garamond"/>
          <w:sz w:val="28"/>
          <w:szCs w:val="28"/>
        </w:rPr>
        <w:t>,</w:t>
      </w:r>
      <w:r w:rsidR="00DE5EA8">
        <w:rPr>
          <w:rFonts w:ascii="Garamond" w:hAnsi="Garamond"/>
          <w:sz w:val="28"/>
          <w:szCs w:val="28"/>
        </w:rPr>
        <w:t xml:space="preserve"> sarebbero</w:t>
      </w:r>
      <w:r w:rsidR="00A557BF">
        <w:rPr>
          <w:rFonts w:ascii="Garamond" w:hAnsi="Garamond"/>
          <w:sz w:val="28"/>
          <w:szCs w:val="28"/>
        </w:rPr>
        <w:t xml:space="preserve"> dirompenti</w:t>
      </w:r>
      <w:r w:rsidR="00DE5EA8">
        <w:rPr>
          <w:rFonts w:ascii="Garamond" w:hAnsi="Garamond"/>
          <w:sz w:val="28"/>
          <w:szCs w:val="28"/>
        </w:rPr>
        <w:t xml:space="preserve"> le ricadute nel nostro ordinamento in tema di prevenzion</w:t>
      </w:r>
      <w:r w:rsidR="00A51AA1">
        <w:rPr>
          <w:rFonts w:ascii="Garamond" w:hAnsi="Garamond"/>
          <w:sz w:val="28"/>
          <w:szCs w:val="28"/>
        </w:rPr>
        <w:t>e antimafia. In necessaria</w:t>
      </w:r>
      <w:r w:rsidR="007038AD">
        <w:rPr>
          <w:rFonts w:ascii="Garamond" w:hAnsi="Garamond"/>
          <w:sz w:val="28"/>
          <w:szCs w:val="28"/>
        </w:rPr>
        <w:t xml:space="preserve"> sintesi</w:t>
      </w:r>
      <w:r w:rsidR="00A557BF">
        <w:rPr>
          <w:rFonts w:ascii="Garamond" w:hAnsi="Garamond"/>
          <w:sz w:val="28"/>
          <w:szCs w:val="28"/>
        </w:rPr>
        <w:t xml:space="preserve"> tra le tante</w:t>
      </w:r>
      <w:r w:rsidR="007038AD">
        <w:rPr>
          <w:rFonts w:ascii="Garamond" w:hAnsi="Garamond"/>
          <w:sz w:val="28"/>
          <w:szCs w:val="28"/>
        </w:rPr>
        <w:t>,</w:t>
      </w:r>
      <w:r w:rsidR="00A51AA1">
        <w:rPr>
          <w:rFonts w:ascii="Garamond" w:hAnsi="Garamond"/>
          <w:sz w:val="28"/>
          <w:szCs w:val="28"/>
        </w:rPr>
        <w:t xml:space="preserve"> </w:t>
      </w:r>
      <w:r w:rsidR="007038AD">
        <w:rPr>
          <w:rFonts w:ascii="Garamond" w:hAnsi="Garamond"/>
          <w:sz w:val="28"/>
          <w:szCs w:val="28"/>
        </w:rPr>
        <w:t>la</w:t>
      </w:r>
      <w:r w:rsidR="00DE5EA8">
        <w:rPr>
          <w:rFonts w:ascii="Garamond" w:hAnsi="Garamond"/>
          <w:sz w:val="28"/>
          <w:szCs w:val="28"/>
        </w:rPr>
        <w:t xml:space="preserve"> tassativit</w:t>
      </w:r>
      <w:r w:rsidR="007038AD">
        <w:rPr>
          <w:rFonts w:ascii="Garamond" w:hAnsi="Garamond"/>
          <w:sz w:val="28"/>
          <w:szCs w:val="28"/>
        </w:rPr>
        <w:t>à in senso sostanziale</w:t>
      </w:r>
      <w:r w:rsidR="00446D81">
        <w:rPr>
          <w:rFonts w:ascii="Garamond" w:hAnsi="Garamond"/>
          <w:sz w:val="28"/>
          <w:szCs w:val="28"/>
        </w:rPr>
        <w:t xml:space="preserve">, </w:t>
      </w:r>
      <w:r w:rsidR="00096DD3">
        <w:rPr>
          <w:rFonts w:ascii="Garamond" w:hAnsi="Garamond"/>
          <w:sz w:val="28"/>
          <w:szCs w:val="28"/>
        </w:rPr>
        <w:t xml:space="preserve">la </w:t>
      </w:r>
      <w:r w:rsidR="00C73DD7">
        <w:rPr>
          <w:rFonts w:ascii="Garamond" w:hAnsi="Garamond"/>
          <w:sz w:val="28"/>
          <w:szCs w:val="28"/>
        </w:rPr>
        <w:t xml:space="preserve">netta </w:t>
      </w:r>
      <w:r w:rsidR="00096DD3">
        <w:rPr>
          <w:rFonts w:ascii="Garamond" w:hAnsi="Garamond"/>
          <w:sz w:val="28"/>
          <w:szCs w:val="28"/>
        </w:rPr>
        <w:t>distinzione tra</w:t>
      </w:r>
      <w:r w:rsidR="004B7E6C">
        <w:rPr>
          <w:rFonts w:ascii="Garamond" w:hAnsi="Garamond"/>
          <w:sz w:val="28"/>
          <w:szCs w:val="28"/>
        </w:rPr>
        <w:t xml:space="preserve"> fase istruttoria e decisoria, </w:t>
      </w:r>
      <w:r w:rsidR="00446D81">
        <w:rPr>
          <w:rFonts w:ascii="Garamond" w:hAnsi="Garamond"/>
          <w:sz w:val="28"/>
          <w:szCs w:val="28"/>
        </w:rPr>
        <w:t>la garanzia della</w:t>
      </w:r>
      <w:r w:rsidR="002A06DA">
        <w:rPr>
          <w:rFonts w:ascii="Garamond" w:hAnsi="Garamond"/>
          <w:sz w:val="28"/>
          <w:szCs w:val="28"/>
        </w:rPr>
        <w:t xml:space="preserve"> </w:t>
      </w:r>
      <w:r w:rsidR="004B7E6C">
        <w:rPr>
          <w:rFonts w:ascii="Garamond" w:hAnsi="Garamond"/>
          <w:sz w:val="28"/>
          <w:szCs w:val="28"/>
        </w:rPr>
        <w:t xml:space="preserve">“full </w:t>
      </w:r>
      <w:proofErr w:type="spellStart"/>
      <w:r w:rsidR="004B7E6C">
        <w:rPr>
          <w:rFonts w:ascii="Garamond" w:hAnsi="Garamond"/>
          <w:sz w:val="28"/>
          <w:szCs w:val="28"/>
        </w:rPr>
        <w:t>j</w:t>
      </w:r>
      <w:r w:rsidR="00A51AA1">
        <w:rPr>
          <w:rFonts w:ascii="Garamond" w:hAnsi="Garamond"/>
          <w:sz w:val="28"/>
          <w:szCs w:val="28"/>
        </w:rPr>
        <w:t>urisdiction</w:t>
      </w:r>
      <w:proofErr w:type="spellEnd"/>
      <w:r w:rsidR="00A51AA1">
        <w:rPr>
          <w:rFonts w:ascii="Garamond" w:hAnsi="Garamond"/>
          <w:sz w:val="28"/>
          <w:szCs w:val="28"/>
        </w:rPr>
        <w:t xml:space="preserve">” </w:t>
      </w:r>
      <w:r w:rsidR="00446D81" w:rsidRPr="00446D81">
        <w:rPr>
          <w:rFonts w:ascii="Garamond" w:hAnsi="Garamond"/>
          <w:sz w:val="28"/>
          <w:szCs w:val="28"/>
        </w:rPr>
        <w:t xml:space="preserve">in sede </w:t>
      </w:r>
      <w:r w:rsidR="004B7E6C">
        <w:rPr>
          <w:rFonts w:ascii="Garamond" w:hAnsi="Garamond"/>
          <w:sz w:val="28"/>
          <w:szCs w:val="28"/>
        </w:rPr>
        <w:t>giudiziale</w:t>
      </w:r>
      <w:r w:rsidR="00446D81">
        <w:rPr>
          <w:rFonts w:ascii="Garamond" w:hAnsi="Garamond"/>
          <w:sz w:val="28"/>
          <w:szCs w:val="28"/>
        </w:rPr>
        <w:t xml:space="preserve"> </w:t>
      </w:r>
      <w:r w:rsidR="00DE5EA8">
        <w:rPr>
          <w:rFonts w:ascii="Garamond" w:hAnsi="Garamond"/>
          <w:sz w:val="28"/>
          <w:szCs w:val="28"/>
        </w:rPr>
        <w:t>e</w:t>
      </w:r>
      <w:r w:rsidR="004B7E6C">
        <w:rPr>
          <w:rFonts w:ascii="Garamond" w:hAnsi="Garamond"/>
          <w:sz w:val="28"/>
          <w:szCs w:val="28"/>
        </w:rPr>
        <w:t>,</w:t>
      </w:r>
      <w:r w:rsidR="00DE5EA8">
        <w:rPr>
          <w:rFonts w:ascii="Garamond" w:hAnsi="Garamond"/>
          <w:sz w:val="28"/>
          <w:szCs w:val="28"/>
        </w:rPr>
        <w:t xml:space="preserve"> appunto</w:t>
      </w:r>
      <w:r w:rsidR="004B7E6C">
        <w:rPr>
          <w:rFonts w:ascii="Garamond" w:hAnsi="Garamond"/>
          <w:sz w:val="28"/>
          <w:szCs w:val="28"/>
        </w:rPr>
        <w:t>,</w:t>
      </w:r>
      <w:r w:rsidR="00A51AA1">
        <w:rPr>
          <w:rFonts w:ascii="Garamond" w:hAnsi="Garamond"/>
          <w:sz w:val="28"/>
          <w:szCs w:val="28"/>
        </w:rPr>
        <w:t xml:space="preserve"> il </w:t>
      </w:r>
      <w:r w:rsidR="00DE5EA8">
        <w:rPr>
          <w:rFonts w:ascii="Garamond" w:hAnsi="Garamond"/>
          <w:sz w:val="28"/>
          <w:szCs w:val="28"/>
        </w:rPr>
        <w:t>necessario ri</w:t>
      </w:r>
      <w:r w:rsidR="001831C0">
        <w:rPr>
          <w:rFonts w:ascii="Garamond" w:hAnsi="Garamond"/>
          <w:sz w:val="28"/>
          <w:szCs w:val="28"/>
        </w:rPr>
        <w:t>spetto del “giusto procedimento”.</w:t>
      </w:r>
    </w:p>
    <w:p w:rsidR="00096DD3" w:rsidRDefault="00A557BF" w:rsidP="009716A3">
      <w:pPr>
        <w:jc w:val="both"/>
        <w:rPr>
          <w:rFonts w:ascii="Garamond" w:hAnsi="Garamond"/>
          <w:sz w:val="28"/>
          <w:szCs w:val="28"/>
        </w:rPr>
      </w:pPr>
      <w:r>
        <w:rPr>
          <w:rFonts w:ascii="Garamond" w:hAnsi="Garamond"/>
          <w:sz w:val="28"/>
          <w:szCs w:val="28"/>
        </w:rPr>
        <w:t>Quanto al sindacato giudiziale -</w:t>
      </w:r>
      <w:r w:rsidR="00096DD3">
        <w:rPr>
          <w:rFonts w:ascii="Garamond" w:hAnsi="Garamond"/>
          <w:sz w:val="28"/>
          <w:szCs w:val="28"/>
        </w:rPr>
        <w:t xml:space="preserve"> tema che neces</w:t>
      </w:r>
      <w:r>
        <w:rPr>
          <w:rFonts w:ascii="Garamond" w:hAnsi="Garamond"/>
          <w:sz w:val="28"/>
          <w:szCs w:val="28"/>
        </w:rPr>
        <w:t>siterebbe di ben più attenzione -</w:t>
      </w:r>
      <w:r w:rsidR="00096DD3">
        <w:rPr>
          <w:rFonts w:ascii="Garamond" w:hAnsi="Garamond"/>
          <w:sz w:val="28"/>
          <w:szCs w:val="28"/>
        </w:rPr>
        <w:t xml:space="preserve"> la giurisprudenza amministrativa è pacifica nel ritenere che </w:t>
      </w:r>
      <w:r w:rsidR="00096DD3" w:rsidRPr="00096DD3">
        <w:rPr>
          <w:rFonts w:ascii="Garamond" w:hAnsi="Garamond"/>
          <w:sz w:val="28"/>
          <w:szCs w:val="28"/>
        </w:rPr>
        <w:t>l'ampia discrezionalità di apprezzamento riservata al Prefetto, a tutela delle condizioni di sicurezza ed ordine pubblico, può essere soggetta al sindacato del giudice amministrativo, solo sotto il profilo della sua logicità, in relazione alla rilevanza dei fatti accertati e, pertanto, nei soli limiti di evidenti vizi di eccesso di potere, dei profili della manifesta illogicità e dell'erronea e travisata valutazione dei presupposti</w:t>
      </w:r>
      <w:r w:rsidR="00785713">
        <w:rPr>
          <w:rFonts w:ascii="Garamond" w:hAnsi="Garamond"/>
          <w:sz w:val="28"/>
          <w:szCs w:val="28"/>
        </w:rPr>
        <w:t>.</w:t>
      </w:r>
      <w:r w:rsidR="00096DD3">
        <w:rPr>
          <w:rStyle w:val="Rimandonotaapidipagina"/>
          <w:rFonts w:ascii="Garamond" w:hAnsi="Garamond"/>
          <w:sz w:val="28"/>
          <w:szCs w:val="28"/>
        </w:rPr>
        <w:footnoteReference w:id="40"/>
      </w:r>
    </w:p>
    <w:p w:rsidR="00785713" w:rsidRDefault="00785713" w:rsidP="009716A3">
      <w:pPr>
        <w:jc w:val="both"/>
        <w:rPr>
          <w:rFonts w:ascii="Garamond" w:hAnsi="Garamond"/>
          <w:sz w:val="28"/>
          <w:szCs w:val="28"/>
        </w:rPr>
      </w:pPr>
      <w:r>
        <w:rPr>
          <w:rFonts w:ascii="Garamond" w:hAnsi="Garamond"/>
          <w:sz w:val="28"/>
          <w:szCs w:val="28"/>
        </w:rPr>
        <w:t>Si tratta dunque</w:t>
      </w:r>
      <w:r w:rsidR="0061655E">
        <w:rPr>
          <w:rFonts w:ascii="Garamond" w:hAnsi="Garamond"/>
          <w:sz w:val="28"/>
          <w:szCs w:val="28"/>
        </w:rPr>
        <w:t xml:space="preserve"> di un sindacato di tipo estrinseco</w:t>
      </w:r>
      <w:r w:rsidR="002A06DA">
        <w:rPr>
          <w:rFonts w:ascii="Garamond" w:hAnsi="Garamond"/>
          <w:sz w:val="28"/>
          <w:szCs w:val="28"/>
        </w:rPr>
        <w:t>,</w:t>
      </w:r>
      <w:r w:rsidR="0061655E">
        <w:rPr>
          <w:rFonts w:ascii="Garamond" w:hAnsi="Garamond"/>
          <w:sz w:val="28"/>
          <w:szCs w:val="28"/>
        </w:rPr>
        <w:t xml:space="preserve"> </w:t>
      </w:r>
      <w:r>
        <w:rPr>
          <w:rFonts w:ascii="Garamond" w:hAnsi="Garamond"/>
          <w:sz w:val="28"/>
          <w:szCs w:val="28"/>
        </w:rPr>
        <w:t>come rilevato nella stessa ordinanza</w:t>
      </w:r>
      <w:r w:rsidR="00A51AA1">
        <w:rPr>
          <w:rFonts w:ascii="Garamond" w:hAnsi="Garamond"/>
          <w:sz w:val="28"/>
          <w:szCs w:val="28"/>
        </w:rPr>
        <w:t xml:space="preserve"> n. 28/2020 </w:t>
      </w:r>
      <w:r>
        <w:rPr>
          <w:rFonts w:ascii="Garamond" w:hAnsi="Garamond"/>
          <w:sz w:val="28"/>
          <w:szCs w:val="28"/>
        </w:rPr>
        <w:t>di rimessione</w:t>
      </w:r>
      <w:r w:rsidR="00F67319">
        <w:rPr>
          <w:rFonts w:ascii="Garamond" w:hAnsi="Garamond"/>
          <w:sz w:val="28"/>
          <w:szCs w:val="28"/>
        </w:rPr>
        <w:t xml:space="preserve"> ex art 267 TFUE</w:t>
      </w:r>
      <w:r>
        <w:rPr>
          <w:rFonts w:ascii="Garamond" w:hAnsi="Garamond"/>
          <w:sz w:val="28"/>
          <w:szCs w:val="28"/>
        </w:rPr>
        <w:t xml:space="preserve"> da parte del TAR Puglia</w:t>
      </w:r>
      <w:r w:rsidR="002A06DA">
        <w:rPr>
          <w:rFonts w:ascii="Garamond" w:hAnsi="Garamond"/>
          <w:sz w:val="28"/>
          <w:szCs w:val="28"/>
        </w:rPr>
        <w:t>,</w:t>
      </w:r>
      <w:r>
        <w:rPr>
          <w:rFonts w:ascii="Garamond" w:hAnsi="Garamond"/>
          <w:sz w:val="28"/>
          <w:szCs w:val="28"/>
        </w:rPr>
        <w:t xml:space="preserve"> su apprezzamenti che sempre la giurisprudenza qualifica come discrezionali tecnici</w:t>
      </w:r>
      <w:r>
        <w:rPr>
          <w:rStyle w:val="Rimandonotaapidipagina"/>
          <w:rFonts w:ascii="Garamond" w:hAnsi="Garamond"/>
          <w:sz w:val="28"/>
          <w:szCs w:val="28"/>
        </w:rPr>
        <w:footnoteReference w:id="41"/>
      </w:r>
      <w:r w:rsidR="002A06DA">
        <w:rPr>
          <w:rFonts w:ascii="Garamond" w:hAnsi="Garamond"/>
          <w:sz w:val="28"/>
          <w:szCs w:val="28"/>
        </w:rPr>
        <w:t xml:space="preserve"> se non</w:t>
      </w:r>
      <w:r>
        <w:rPr>
          <w:rFonts w:ascii="Garamond" w:hAnsi="Garamond"/>
          <w:sz w:val="28"/>
          <w:szCs w:val="28"/>
        </w:rPr>
        <w:t xml:space="preserve"> addirittura espressione di discrezionalità amministrativa.</w:t>
      </w:r>
    </w:p>
    <w:p w:rsidR="002A06DA" w:rsidRDefault="002A06DA" w:rsidP="009716A3">
      <w:pPr>
        <w:jc w:val="both"/>
        <w:rPr>
          <w:rFonts w:ascii="Garamond" w:hAnsi="Garamond"/>
          <w:sz w:val="28"/>
          <w:szCs w:val="28"/>
        </w:rPr>
      </w:pPr>
    </w:p>
    <w:p w:rsidR="00645801" w:rsidRDefault="002A06DA" w:rsidP="009716A3">
      <w:pPr>
        <w:jc w:val="both"/>
        <w:rPr>
          <w:rFonts w:ascii="Garamond" w:hAnsi="Garamond"/>
          <w:b/>
          <w:sz w:val="28"/>
          <w:szCs w:val="28"/>
        </w:rPr>
      </w:pPr>
      <w:proofErr w:type="gramStart"/>
      <w:r>
        <w:rPr>
          <w:rFonts w:ascii="Garamond" w:hAnsi="Garamond"/>
          <w:b/>
          <w:sz w:val="28"/>
          <w:szCs w:val="28"/>
        </w:rPr>
        <w:t>4.-</w:t>
      </w:r>
      <w:proofErr w:type="gramEnd"/>
      <w:r>
        <w:rPr>
          <w:rFonts w:ascii="Garamond" w:hAnsi="Garamond"/>
          <w:b/>
          <w:sz w:val="28"/>
          <w:szCs w:val="28"/>
        </w:rPr>
        <w:t xml:space="preserve"> </w:t>
      </w:r>
      <w:r w:rsidR="00645801" w:rsidRPr="00645801">
        <w:rPr>
          <w:rFonts w:ascii="Garamond" w:hAnsi="Garamond"/>
          <w:b/>
          <w:sz w:val="28"/>
          <w:szCs w:val="28"/>
        </w:rPr>
        <w:t>Il nuovo istituto della prevenzione collaborativa.</w:t>
      </w:r>
    </w:p>
    <w:p w:rsidR="00645801" w:rsidRDefault="00645801" w:rsidP="00645801">
      <w:pPr>
        <w:jc w:val="both"/>
        <w:rPr>
          <w:rFonts w:ascii="Garamond" w:hAnsi="Garamond"/>
          <w:sz w:val="28"/>
          <w:szCs w:val="28"/>
        </w:rPr>
      </w:pPr>
      <w:r w:rsidRPr="00645801">
        <w:rPr>
          <w:rFonts w:ascii="Garamond" w:hAnsi="Garamond"/>
          <w:sz w:val="28"/>
          <w:szCs w:val="28"/>
        </w:rPr>
        <w:t xml:space="preserve">Il nuovo </w:t>
      </w:r>
      <w:r w:rsidR="008D69CC">
        <w:rPr>
          <w:rFonts w:ascii="Garamond" w:hAnsi="Garamond"/>
          <w:sz w:val="28"/>
          <w:szCs w:val="28"/>
        </w:rPr>
        <w:t>art. 94-</w:t>
      </w:r>
      <w:r>
        <w:rPr>
          <w:rFonts w:ascii="Garamond" w:hAnsi="Garamond"/>
          <w:sz w:val="28"/>
          <w:szCs w:val="28"/>
        </w:rPr>
        <w:t xml:space="preserve">bis </w:t>
      </w:r>
      <w:proofErr w:type="spellStart"/>
      <w:r>
        <w:rPr>
          <w:rFonts w:ascii="Garamond" w:hAnsi="Garamond"/>
          <w:sz w:val="28"/>
          <w:szCs w:val="28"/>
        </w:rPr>
        <w:t>d.l</w:t>
      </w:r>
      <w:r w:rsidR="00A557BF">
        <w:rPr>
          <w:rFonts w:ascii="Garamond" w:hAnsi="Garamond"/>
          <w:sz w:val="28"/>
          <w:szCs w:val="28"/>
        </w:rPr>
        <w:t>.</w:t>
      </w:r>
      <w:proofErr w:type="spellEnd"/>
      <w:r w:rsidR="00A557BF">
        <w:rPr>
          <w:rFonts w:ascii="Garamond" w:hAnsi="Garamond"/>
          <w:sz w:val="28"/>
          <w:szCs w:val="28"/>
        </w:rPr>
        <w:t xml:space="preserve"> n. 152/</w:t>
      </w:r>
      <w:r w:rsidR="004553DA">
        <w:rPr>
          <w:rFonts w:ascii="Garamond" w:hAnsi="Garamond"/>
          <w:sz w:val="28"/>
          <w:szCs w:val="28"/>
        </w:rPr>
        <w:t xml:space="preserve">2021 </w:t>
      </w:r>
      <w:r>
        <w:rPr>
          <w:rFonts w:ascii="Garamond" w:hAnsi="Garamond"/>
          <w:sz w:val="28"/>
          <w:szCs w:val="28"/>
        </w:rPr>
        <w:t xml:space="preserve">come detto crea il </w:t>
      </w:r>
      <w:r w:rsidRPr="00645801">
        <w:rPr>
          <w:rFonts w:ascii="Garamond" w:hAnsi="Garamond"/>
          <w:sz w:val="28"/>
          <w:szCs w:val="28"/>
        </w:rPr>
        <w:t>nuovo istituto de</w:t>
      </w:r>
      <w:r>
        <w:rPr>
          <w:rFonts w:ascii="Garamond" w:hAnsi="Garamond"/>
          <w:sz w:val="28"/>
          <w:szCs w:val="28"/>
        </w:rPr>
        <w:t>lla “prevenzione col</w:t>
      </w:r>
      <w:r w:rsidR="00BA409C">
        <w:rPr>
          <w:rFonts w:ascii="Garamond" w:hAnsi="Garamond"/>
          <w:sz w:val="28"/>
          <w:szCs w:val="28"/>
        </w:rPr>
        <w:t>laborativa”, applicabile sin dall’entrata in vigore (7 novembre 2021) ai procedimenti in corso per i quali è stato effettuato l’accesso alla banca dati nazionale unica ma non ancora rilasciata l’informazione antimafia.</w:t>
      </w:r>
      <w:r w:rsidR="00BA409C">
        <w:rPr>
          <w:rStyle w:val="Rimandonotaapidipagina"/>
          <w:rFonts w:ascii="Garamond" w:hAnsi="Garamond"/>
          <w:sz w:val="28"/>
          <w:szCs w:val="28"/>
        </w:rPr>
        <w:footnoteReference w:id="42"/>
      </w:r>
    </w:p>
    <w:p w:rsidR="008D69CC" w:rsidRDefault="00645801" w:rsidP="00CF5F57">
      <w:pPr>
        <w:spacing w:line="240" w:lineRule="auto"/>
        <w:jc w:val="both"/>
        <w:rPr>
          <w:rFonts w:ascii="Garamond" w:hAnsi="Garamond"/>
          <w:sz w:val="28"/>
          <w:szCs w:val="28"/>
        </w:rPr>
      </w:pPr>
      <w:r>
        <w:rPr>
          <w:rFonts w:ascii="Garamond" w:hAnsi="Garamond"/>
          <w:sz w:val="28"/>
          <w:szCs w:val="28"/>
        </w:rPr>
        <w:t xml:space="preserve">Presupposto per l’adozione di tale strumento </w:t>
      </w:r>
      <w:r w:rsidR="008D69CC">
        <w:rPr>
          <w:rFonts w:ascii="Garamond" w:hAnsi="Garamond"/>
          <w:sz w:val="28"/>
          <w:szCs w:val="28"/>
        </w:rPr>
        <w:t>è la riconducibilità de</w:t>
      </w:r>
      <w:r w:rsidRPr="00645801">
        <w:rPr>
          <w:rFonts w:ascii="Garamond" w:hAnsi="Garamond"/>
          <w:sz w:val="28"/>
          <w:szCs w:val="28"/>
        </w:rPr>
        <w:t>i tentativi di in</w:t>
      </w:r>
      <w:r w:rsidR="008D69CC">
        <w:rPr>
          <w:rFonts w:ascii="Garamond" w:hAnsi="Garamond"/>
          <w:sz w:val="28"/>
          <w:szCs w:val="28"/>
        </w:rPr>
        <w:t xml:space="preserve">filtrazione </w:t>
      </w:r>
      <w:r w:rsidRPr="00645801">
        <w:rPr>
          <w:rFonts w:ascii="Garamond" w:hAnsi="Garamond"/>
          <w:sz w:val="28"/>
          <w:szCs w:val="28"/>
        </w:rPr>
        <w:t xml:space="preserve">a situazioni occasionali, </w:t>
      </w:r>
      <w:r w:rsidR="008D69CC">
        <w:rPr>
          <w:rFonts w:ascii="Garamond" w:hAnsi="Garamond"/>
          <w:sz w:val="28"/>
          <w:szCs w:val="28"/>
        </w:rPr>
        <w:t>nella pro</w:t>
      </w:r>
      <w:r w:rsidR="00BA409C">
        <w:rPr>
          <w:rFonts w:ascii="Garamond" w:hAnsi="Garamond"/>
          <w:sz w:val="28"/>
          <w:szCs w:val="28"/>
        </w:rPr>
        <w:t>spettiva di un loro superamento, con l’imposizione all’impresa di misure cautelative elencate nella norma, quali l’adozione di misure organizzative (anche ai sensi degli articoli 6.7 e 24 ter d.lgs. 231/2001) o l’utilizzo di un conto corrente dedicato. Il Prefetto può altresì nominare uno o più esperti con il compito di svolgere funzioni di supporto, con oneri a carico dell’impresa, similmente a quanto previsto dall’art. 32</w:t>
      </w:r>
      <w:r w:rsidR="00CF5F57">
        <w:rPr>
          <w:rFonts w:ascii="Garamond" w:hAnsi="Garamond"/>
          <w:sz w:val="28"/>
          <w:szCs w:val="28"/>
        </w:rPr>
        <w:t xml:space="preserve"> D.L. n. 90/</w:t>
      </w:r>
      <w:proofErr w:type="gramStart"/>
      <w:r w:rsidR="00CF5F57">
        <w:rPr>
          <w:rFonts w:ascii="Garamond" w:hAnsi="Garamond"/>
          <w:sz w:val="28"/>
          <w:szCs w:val="28"/>
        </w:rPr>
        <w:t>2014 ”</w:t>
      </w:r>
      <w:r w:rsidR="00CF5F57" w:rsidRPr="00CF5F57">
        <w:rPr>
          <w:rFonts w:ascii="Garamond" w:hAnsi="Garamond"/>
          <w:sz w:val="28"/>
          <w:szCs w:val="28"/>
        </w:rPr>
        <w:t>Misure</w:t>
      </w:r>
      <w:proofErr w:type="gramEnd"/>
      <w:r w:rsidR="00CF5F57" w:rsidRPr="00CF5F57">
        <w:rPr>
          <w:rFonts w:ascii="Garamond" w:hAnsi="Garamond"/>
          <w:sz w:val="28"/>
          <w:szCs w:val="28"/>
        </w:rPr>
        <w:t xml:space="preserve"> straordinarie di gestione, sostegno e monitoraggio di imprese nell'ambito del</w:t>
      </w:r>
      <w:r w:rsidR="00CF5F57">
        <w:rPr>
          <w:rFonts w:ascii="Garamond" w:hAnsi="Garamond"/>
          <w:sz w:val="28"/>
          <w:szCs w:val="28"/>
        </w:rPr>
        <w:t>la prevenzione della corruzione.”</w:t>
      </w:r>
    </w:p>
    <w:p w:rsidR="00645801" w:rsidRPr="00645801" w:rsidRDefault="008D69CC" w:rsidP="00645801">
      <w:pPr>
        <w:jc w:val="both"/>
        <w:rPr>
          <w:rFonts w:ascii="Garamond" w:hAnsi="Garamond"/>
          <w:sz w:val="28"/>
          <w:szCs w:val="28"/>
        </w:rPr>
      </w:pPr>
      <w:r>
        <w:rPr>
          <w:rFonts w:ascii="Garamond" w:hAnsi="Garamond"/>
          <w:sz w:val="28"/>
          <w:szCs w:val="28"/>
        </w:rPr>
        <w:t xml:space="preserve">Si </w:t>
      </w:r>
      <w:proofErr w:type="spellStart"/>
      <w:r>
        <w:rPr>
          <w:rFonts w:ascii="Garamond" w:hAnsi="Garamond"/>
          <w:sz w:val="28"/>
          <w:szCs w:val="28"/>
        </w:rPr>
        <w:t>da</w:t>
      </w:r>
      <w:proofErr w:type="spellEnd"/>
      <w:r>
        <w:rPr>
          <w:rFonts w:ascii="Garamond" w:hAnsi="Garamond"/>
          <w:sz w:val="28"/>
          <w:szCs w:val="28"/>
        </w:rPr>
        <w:t xml:space="preserve"> così</w:t>
      </w:r>
      <w:r w:rsidR="00645801" w:rsidRPr="00645801">
        <w:rPr>
          <w:rFonts w:ascii="Garamond" w:hAnsi="Garamond"/>
          <w:sz w:val="28"/>
          <w:szCs w:val="28"/>
        </w:rPr>
        <w:t xml:space="preserve"> vita ad una</w:t>
      </w:r>
      <w:r w:rsidR="00AD6F38">
        <w:rPr>
          <w:rFonts w:ascii="Garamond" w:hAnsi="Garamond"/>
          <w:sz w:val="28"/>
          <w:szCs w:val="28"/>
        </w:rPr>
        <w:t xml:space="preserve"> temporanea</w:t>
      </w:r>
      <w:r w:rsidR="00645801" w:rsidRPr="00645801">
        <w:rPr>
          <w:rFonts w:ascii="Garamond" w:hAnsi="Garamond"/>
          <w:sz w:val="28"/>
          <w:szCs w:val="28"/>
        </w:rPr>
        <w:t xml:space="preserve"> cogestione aziendale</w:t>
      </w:r>
      <w:r w:rsidR="002A06DA">
        <w:rPr>
          <w:rFonts w:ascii="Garamond" w:hAnsi="Garamond"/>
          <w:sz w:val="28"/>
          <w:szCs w:val="28"/>
        </w:rPr>
        <w:t xml:space="preserve"> del tutto</w:t>
      </w:r>
      <w:r w:rsidR="00645801" w:rsidRPr="00645801">
        <w:rPr>
          <w:rFonts w:ascii="Garamond" w:hAnsi="Garamond"/>
          <w:sz w:val="28"/>
          <w:szCs w:val="28"/>
        </w:rPr>
        <w:t xml:space="preserve"> alternativa all’</w:t>
      </w:r>
      <w:proofErr w:type="spellStart"/>
      <w:r w:rsidR="00645801" w:rsidRPr="00645801">
        <w:rPr>
          <w:rFonts w:ascii="Garamond" w:hAnsi="Garamond"/>
          <w:sz w:val="28"/>
          <w:szCs w:val="28"/>
        </w:rPr>
        <w:t>interdittiva</w:t>
      </w:r>
      <w:proofErr w:type="spellEnd"/>
      <w:r w:rsidR="00645801" w:rsidRPr="00645801">
        <w:rPr>
          <w:rFonts w:ascii="Garamond" w:hAnsi="Garamond"/>
          <w:sz w:val="28"/>
          <w:szCs w:val="28"/>
        </w:rPr>
        <w:t xml:space="preserve"> analoga ma diversa rispetto al controllo giudiziario</w:t>
      </w:r>
      <w:r>
        <w:rPr>
          <w:rFonts w:ascii="Garamond" w:hAnsi="Garamond"/>
          <w:sz w:val="28"/>
          <w:szCs w:val="28"/>
        </w:rPr>
        <w:t xml:space="preserve"> già</w:t>
      </w:r>
      <w:r w:rsidR="00645801" w:rsidRPr="00645801">
        <w:rPr>
          <w:rFonts w:ascii="Garamond" w:hAnsi="Garamond"/>
          <w:sz w:val="28"/>
          <w:szCs w:val="28"/>
        </w:rPr>
        <w:t xml:space="preserve"> previsto dall’art 34 bis codice</w:t>
      </w:r>
      <w:r w:rsidR="00784E1F">
        <w:rPr>
          <w:rFonts w:ascii="Garamond" w:hAnsi="Garamond"/>
          <w:sz w:val="28"/>
          <w:szCs w:val="28"/>
        </w:rPr>
        <w:t xml:space="preserve"> </w:t>
      </w:r>
      <w:r w:rsidR="00645801" w:rsidRPr="00645801">
        <w:rPr>
          <w:rFonts w:ascii="Garamond" w:hAnsi="Garamond"/>
          <w:sz w:val="28"/>
          <w:szCs w:val="28"/>
        </w:rPr>
        <w:t>antimafia</w:t>
      </w:r>
      <w:r>
        <w:rPr>
          <w:rStyle w:val="Rimandonotaapidipagina"/>
          <w:rFonts w:ascii="Garamond" w:hAnsi="Garamond"/>
          <w:sz w:val="28"/>
          <w:szCs w:val="28"/>
        </w:rPr>
        <w:footnoteReference w:id="43"/>
      </w:r>
      <w:r w:rsidR="00645801" w:rsidRPr="00645801">
        <w:rPr>
          <w:rFonts w:ascii="Garamond" w:hAnsi="Garamond"/>
          <w:sz w:val="28"/>
          <w:szCs w:val="28"/>
        </w:rPr>
        <w:t xml:space="preserve"> disposta </w:t>
      </w:r>
      <w:proofErr w:type="spellStart"/>
      <w:r w:rsidR="00645801" w:rsidRPr="00645801">
        <w:rPr>
          <w:rFonts w:ascii="Garamond" w:hAnsi="Garamond"/>
          <w:sz w:val="28"/>
          <w:szCs w:val="28"/>
        </w:rPr>
        <w:t>dall’a.g.o.</w:t>
      </w:r>
      <w:proofErr w:type="spellEnd"/>
      <w:r w:rsidR="00645801" w:rsidRPr="00645801">
        <w:rPr>
          <w:rFonts w:ascii="Garamond" w:hAnsi="Garamond"/>
          <w:sz w:val="28"/>
          <w:szCs w:val="28"/>
        </w:rPr>
        <w:t>, il quale come noto interviene</w:t>
      </w:r>
      <w:r w:rsidR="00AD6F38">
        <w:rPr>
          <w:rFonts w:ascii="Garamond" w:hAnsi="Garamond"/>
          <w:sz w:val="28"/>
          <w:szCs w:val="28"/>
        </w:rPr>
        <w:t xml:space="preserve"> invece</w:t>
      </w:r>
      <w:r w:rsidR="00645801" w:rsidRPr="00645801">
        <w:rPr>
          <w:rFonts w:ascii="Garamond" w:hAnsi="Garamond"/>
          <w:sz w:val="28"/>
          <w:szCs w:val="28"/>
        </w:rPr>
        <w:t xml:space="preserve"> dopo l’</w:t>
      </w:r>
      <w:proofErr w:type="spellStart"/>
      <w:r w:rsidR="00645801" w:rsidRPr="00645801">
        <w:rPr>
          <w:rFonts w:ascii="Garamond" w:hAnsi="Garamond"/>
          <w:sz w:val="28"/>
          <w:szCs w:val="28"/>
        </w:rPr>
        <w:t>interdittiva</w:t>
      </w:r>
      <w:proofErr w:type="spellEnd"/>
      <w:r w:rsidR="00645801" w:rsidRPr="00645801">
        <w:rPr>
          <w:rFonts w:ascii="Garamond" w:hAnsi="Garamond"/>
          <w:sz w:val="28"/>
          <w:szCs w:val="28"/>
        </w:rPr>
        <w:t>, facendone venir meno gli e</w:t>
      </w:r>
      <w:r>
        <w:rPr>
          <w:rFonts w:ascii="Garamond" w:hAnsi="Garamond"/>
          <w:sz w:val="28"/>
          <w:szCs w:val="28"/>
        </w:rPr>
        <w:t xml:space="preserve">ffetti con efficacia “ex </w:t>
      </w:r>
      <w:proofErr w:type="spellStart"/>
      <w:r>
        <w:rPr>
          <w:rFonts w:ascii="Garamond" w:hAnsi="Garamond"/>
          <w:sz w:val="28"/>
          <w:szCs w:val="28"/>
        </w:rPr>
        <w:t>nunc</w:t>
      </w:r>
      <w:proofErr w:type="spellEnd"/>
      <w:r>
        <w:rPr>
          <w:rFonts w:ascii="Garamond" w:hAnsi="Garamond"/>
          <w:sz w:val="28"/>
          <w:szCs w:val="28"/>
        </w:rPr>
        <w:t>”.</w:t>
      </w:r>
      <w:r w:rsidR="00D6156F">
        <w:rPr>
          <w:rStyle w:val="Rimandonotaapidipagina"/>
          <w:rFonts w:ascii="Garamond" w:hAnsi="Garamond"/>
          <w:sz w:val="28"/>
          <w:szCs w:val="28"/>
        </w:rPr>
        <w:footnoteReference w:id="44"/>
      </w:r>
    </w:p>
    <w:p w:rsidR="00645801" w:rsidRDefault="008D69CC" w:rsidP="00645801">
      <w:pPr>
        <w:jc w:val="both"/>
        <w:rPr>
          <w:rFonts w:ascii="Garamond" w:hAnsi="Garamond"/>
          <w:sz w:val="28"/>
          <w:szCs w:val="28"/>
        </w:rPr>
      </w:pPr>
      <w:r>
        <w:rPr>
          <w:rFonts w:ascii="Garamond" w:hAnsi="Garamond"/>
          <w:sz w:val="28"/>
          <w:szCs w:val="28"/>
        </w:rPr>
        <w:t>L’i</w:t>
      </w:r>
      <w:r w:rsidR="00645801" w:rsidRPr="00645801">
        <w:rPr>
          <w:rFonts w:ascii="Garamond" w:hAnsi="Garamond"/>
          <w:sz w:val="28"/>
          <w:szCs w:val="28"/>
        </w:rPr>
        <w:t>mpresa sottoposta a prevenzione collaborativa dunque non perde sin dall’inizio la c</w:t>
      </w:r>
      <w:r>
        <w:rPr>
          <w:rFonts w:ascii="Garamond" w:hAnsi="Garamond"/>
          <w:sz w:val="28"/>
          <w:szCs w:val="28"/>
        </w:rPr>
        <w:t>apacità a contrattare con la PA potendo concorrere all’affidamento</w:t>
      </w:r>
      <w:r w:rsidR="00B473D1">
        <w:rPr>
          <w:rFonts w:ascii="Garamond" w:hAnsi="Garamond"/>
          <w:sz w:val="28"/>
          <w:szCs w:val="28"/>
        </w:rPr>
        <w:t xml:space="preserve"> di contratti pubblici ed</w:t>
      </w:r>
      <w:r>
        <w:rPr>
          <w:rFonts w:ascii="Garamond" w:hAnsi="Garamond"/>
          <w:sz w:val="28"/>
          <w:szCs w:val="28"/>
        </w:rPr>
        <w:t xml:space="preserve"> esercitare tutte le attività economiche oggetto di autorizzazione o di SCIA.</w:t>
      </w:r>
    </w:p>
    <w:p w:rsidR="008D69CC" w:rsidRPr="00645801" w:rsidRDefault="008D69CC" w:rsidP="00645801">
      <w:pPr>
        <w:jc w:val="both"/>
        <w:rPr>
          <w:rFonts w:ascii="Garamond" w:hAnsi="Garamond"/>
          <w:sz w:val="28"/>
          <w:szCs w:val="28"/>
        </w:rPr>
      </w:pPr>
      <w:r>
        <w:rPr>
          <w:rFonts w:ascii="Garamond" w:hAnsi="Garamond"/>
          <w:sz w:val="28"/>
          <w:szCs w:val="28"/>
        </w:rPr>
        <w:t>Appare dunque molto chiara la volontà del legislatore di relegare l’</w:t>
      </w:r>
      <w:proofErr w:type="spellStart"/>
      <w:r>
        <w:rPr>
          <w:rFonts w:ascii="Garamond" w:hAnsi="Garamond"/>
          <w:sz w:val="28"/>
          <w:szCs w:val="28"/>
        </w:rPr>
        <w:t>interdittiva</w:t>
      </w:r>
      <w:proofErr w:type="spellEnd"/>
      <w:r>
        <w:rPr>
          <w:rFonts w:ascii="Garamond" w:hAnsi="Garamond"/>
          <w:sz w:val="28"/>
          <w:szCs w:val="28"/>
        </w:rPr>
        <w:t xml:space="preserve"> ad “</w:t>
      </w:r>
      <w:proofErr w:type="spellStart"/>
      <w:r>
        <w:rPr>
          <w:rFonts w:ascii="Garamond" w:hAnsi="Garamond"/>
          <w:sz w:val="28"/>
          <w:szCs w:val="28"/>
        </w:rPr>
        <w:t>extrema</w:t>
      </w:r>
      <w:proofErr w:type="spellEnd"/>
      <w:r>
        <w:rPr>
          <w:rFonts w:ascii="Garamond" w:hAnsi="Garamond"/>
          <w:sz w:val="28"/>
          <w:szCs w:val="28"/>
        </w:rPr>
        <w:t xml:space="preserve"> ratio”, come peraltro auspicato almeno in una pronuncia dello stesso Consiglio di Stato</w:t>
      </w:r>
      <w:r>
        <w:rPr>
          <w:rStyle w:val="Rimandonotaapidipagina"/>
          <w:rFonts w:ascii="Garamond" w:hAnsi="Garamond"/>
          <w:sz w:val="28"/>
          <w:szCs w:val="28"/>
        </w:rPr>
        <w:footnoteReference w:id="45"/>
      </w:r>
      <w:r w:rsidR="00B473D1">
        <w:rPr>
          <w:rFonts w:ascii="Garamond" w:hAnsi="Garamond"/>
          <w:sz w:val="28"/>
          <w:szCs w:val="28"/>
        </w:rPr>
        <w:t xml:space="preserve"> </w:t>
      </w:r>
      <w:r>
        <w:rPr>
          <w:rFonts w:ascii="Garamond" w:hAnsi="Garamond"/>
          <w:sz w:val="28"/>
          <w:szCs w:val="28"/>
        </w:rPr>
        <w:t>in omaggio al principio comunitario di proporzionalità, potendosi la libertà di iniziativa economica sa</w:t>
      </w:r>
      <w:r w:rsidR="00B473D1">
        <w:rPr>
          <w:rFonts w:ascii="Garamond" w:hAnsi="Garamond"/>
          <w:sz w:val="28"/>
          <w:szCs w:val="28"/>
        </w:rPr>
        <w:t>crificare con misure meno lesive</w:t>
      </w:r>
      <w:r>
        <w:rPr>
          <w:rFonts w:ascii="Garamond" w:hAnsi="Garamond"/>
          <w:sz w:val="28"/>
          <w:szCs w:val="28"/>
        </w:rPr>
        <w:t xml:space="preserve"> ed altrettanto funzionali alla tutela degli interessi pubblici alla base della prevenzione antimafia</w:t>
      </w:r>
      <w:r w:rsidR="003E280D">
        <w:rPr>
          <w:rStyle w:val="Rimandonotaapidipagina"/>
          <w:rFonts w:ascii="Garamond" w:hAnsi="Garamond"/>
          <w:sz w:val="28"/>
          <w:szCs w:val="28"/>
        </w:rPr>
        <w:footnoteReference w:id="46"/>
      </w:r>
      <w:r>
        <w:rPr>
          <w:rFonts w:ascii="Garamond" w:hAnsi="Garamond"/>
          <w:sz w:val="28"/>
          <w:szCs w:val="28"/>
        </w:rPr>
        <w:t>.</w:t>
      </w:r>
    </w:p>
    <w:p w:rsidR="00645801" w:rsidRPr="00645801" w:rsidRDefault="008D69CC" w:rsidP="00645801">
      <w:pPr>
        <w:jc w:val="both"/>
        <w:rPr>
          <w:rFonts w:ascii="Garamond" w:hAnsi="Garamond"/>
          <w:sz w:val="28"/>
          <w:szCs w:val="28"/>
        </w:rPr>
      </w:pPr>
      <w:r>
        <w:rPr>
          <w:rFonts w:ascii="Garamond" w:hAnsi="Garamond"/>
          <w:sz w:val="28"/>
          <w:szCs w:val="28"/>
        </w:rPr>
        <w:t>Si conferma dunque</w:t>
      </w:r>
      <w:r w:rsidR="00645801" w:rsidRPr="00645801">
        <w:rPr>
          <w:rFonts w:ascii="Garamond" w:hAnsi="Garamond"/>
          <w:sz w:val="28"/>
          <w:szCs w:val="28"/>
        </w:rPr>
        <w:t xml:space="preserve"> l’assunto</w:t>
      </w:r>
      <w:r>
        <w:rPr>
          <w:rFonts w:ascii="Garamond" w:hAnsi="Garamond"/>
          <w:sz w:val="28"/>
          <w:szCs w:val="28"/>
        </w:rPr>
        <w:t xml:space="preserve"> già espresso dal</w:t>
      </w:r>
      <w:r w:rsidR="004553DA">
        <w:rPr>
          <w:rFonts w:ascii="Garamond" w:hAnsi="Garamond"/>
          <w:sz w:val="28"/>
          <w:szCs w:val="28"/>
        </w:rPr>
        <w:t xml:space="preserve">l’art 32 del decreto legge n. 90/2014 </w:t>
      </w:r>
      <w:r w:rsidR="00645801" w:rsidRPr="00645801">
        <w:rPr>
          <w:rFonts w:ascii="Garamond" w:hAnsi="Garamond"/>
          <w:sz w:val="28"/>
          <w:szCs w:val="28"/>
        </w:rPr>
        <w:t>per cui anche</w:t>
      </w:r>
      <w:r w:rsidR="004553DA">
        <w:rPr>
          <w:rFonts w:ascii="Garamond" w:hAnsi="Garamond"/>
          <w:sz w:val="28"/>
          <w:szCs w:val="28"/>
        </w:rPr>
        <w:t xml:space="preserve"> l’impresa</w:t>
      </w:r>
      <w:r w:rsidR="00CF5F57">
        <w:rPr>
          <w:rFonts w:ascii="Garamond" w:hAnsi="Garamond"/>
          <w:sz w:val="28"/>
          <w:szCs w:val="28"/>
        </w:rPr>
        <w:t xml:space="preserve"> aggiudicataria di appalti</w:t>
      </w:r>
      <w:r w:rsidR="004553DA">
        <w:rPr>
          <w:rFonts w:ascii="Garamond" w:hAnsi="Garamond"/>
          <w:sz w:val="28"/>
          <w:szCs w:val="28"/>
        </w:rPr>
        <w:t xml:space="preserve"> pubblici presuntivamente responsabile di </w:t>
      </w:r>
      <w:r w:rsidR="00CF5F57">
        <w:rPr>
          <w:rFonts w:ascii="Garamond" w:hAnsi="Garamond"/>
          <w:sz w:val="28"/>
          <w:szCs w:val="28"/>
        </w:rPr>
        <w:t xml:space="preserve">gravi </w:t>
      </w:r>
      <w:r w:rsidR="004553DA">
        <w:rPr>
          <w:rFonts w:ascii="Garamond" w:hAnsi="Garamond"/>
          <w:sz w:val="28"/>
          <w:szCs w:val="28"/>
        </w:rPr>
        <w:t xml:space="preserve">condotte illecite </w:t>
      </w:r>
      <w:r w:rsidR="00CF5F57">
        <w:rPr>
          <w:rFonts w:ascii="Garamond" w:hAnsi="Garamond"/>
          <w:sz w:val="28"/>
          <w:szCs w:val="28"/>
        </w:rPr>
        <w:t>può dare esecuzione al contratto</w:t>
      </w:r>
      <w:r w:rsidR="00645801" w:rsidRPr="00645801">
        <w:rPr>
          <w:rFonts w:ascii="Garamond" w:hAnsi="Garamond"/>
          <w:sz w:val="28"/>
          <w:szCs w:val="28"/>
        </w:rPr>
        <w:t xml:space="preserve"> se as</w:t>
      </w:r>
      <w:r w:rsidR="000C2DC4">
        <w:rPr>
          <w:rFonts w:ascii="Garamond" w:hAnsi="Garamond"/>
          <w:sz w:val="28"/>
          <w:szCs w:val="28"/>
        </w:rPr>
        <w:t>sistita da un supporto esterno, pur suscitando anche tale forma di commissariamento pi</w:t>
      </w:r>
      <w:r w:rsidR="00482C3D">
        <w:rPr>
          <w:rFonts w:ascii="Garamond" w:hAnsi="Garamond"/>
          <w:sz w:val="28"/>
          <w:szCs w:val="28"/>
        </w:rPr>
        <w:t>ù di una “sofferenza” sul piano costituzionale.</w:t>
      </w:r>
      <w:r w:rsidR="00482C3D">
        <w:rPr>
          <w:rStyle w:val="Rimandonotaapidipagina"/>
          <w:rFonts w:ascii="Garamond" w:hAnsi="Garamond"/>
          <w:sz w:val="28"/>
          <w:szCs w:val="28"/>
        </w:rPr>
        <w:footnoteReference w:id="47"/>
      </w:r>
    </w:p>
    <w:p w:rsidR="00D6156F" w:rsidRDefault="00D6156F" w:rsidP="009716A3">
      <w:pPr>
        <w:jc w:val="both"/>
        <w:rPr>
          <w:rFonts w:ascii="Garamond" w:hAnsi="Garamond"/>
          <w:b/>
          <w:sz w:val="28"/>
          <w:szCs w:val="28"/>
        </w:rPr>
      </w:pPr>
    </w:p>
    <w:p w:rsidR="00D40C15" w:rsidRDefault="00820B1A" w:rsidP="009716A3">
      <w:pPr>
        <w:jc w:val="both"/>
        <w:rPr>
          <w:rFonts w:ascii="Garamond" w:hAnsi="Garamond"/>
          <w:b/>
          <w:sz w:val="28"/>
          <w:szCs w:val="28"/>
        </w:rPr>
      </w:pPr>
      <w:proofErr w:type="gramStart"/>
      <w:r>
        <w:rPr>
          <w:rFonts w:ascii="Garamond" w:hAnsi="Garamond"/>
          <w:b/>
          <w:sz w:val="28"/>
          <w:szCs w:val="28"/>
        </w:rPr>
        <w:t>5.-</w:t>
      </w:r>
      <w:proofErr w:type="gramEnd"/>
      <w:r>
        <w:rPr>
          <w:rFonts w:ascii="Garamond" w:hAnsi="Garamond"/>
          <w:b/>
          <w:sz w:val="28"/>
          <w:szCs w:val="28"/>
        </w:rPr>
        <w:t xml:space="preserve"> </w:t>
      </w:r>
      <w:r w:rsidR="00785713" w:rsidRPr="00785713">
        <w:rPr>
          <w:rFonts w:ascii="Garamond" w:hAnsi="Garamond"/>
          <w:b/>
          <w:sz w:val="28"/>
          <w:szCs w:val="28"/>
        </w:rPr>
        <w:t>Problemi aperti</w:t>
      </w:r>
    </w:p>
    <w:p w:rsidR="00785713" w:rsidRDefault="00785713" w:rsidP="009716A3">
      <w:pPr>
        <w:jc w:val="both"/>
        <w:rPr>
          <w:rFonts w:ascii="Garamond" w:hAnsi="Garamond"/>
          <w:sz w:val="28"/>
          <w:szCs w:val="28"/>
        </w:rPr>
      </w:pPr>
      <w:r w:rsidRPr="00785713">
        <w:rPr>
          <w:rFonts w:ascii="Garamond" w:hAnsi="Garamond"/>
          <w:sz w:val="28"/>
          <w:szCs w:val="28"/>
        </w:rPr>
        <w:t xml:space="preserve">Sulle </w:t>
      </w:r>
      <w:proofErr w:type="spellStart"/>
      <w:r>
        <w:rPr>
          <w:rFonts w:ascii="Garamond" w:hAnsi="Garamond"/>
          <w:sz w:val="28"/>
          <w:szCs w:val="28"/>
        </w:rPr>
        <w:t>interdittive</w:t>
      </w:r>
      <w:proofErr w:type="spellEnd"/>
      <w:r>
        <w:rPr>
          <w:rFonts w:ascii="Garamond" w:hAnsi="Garamond"/>
          <w:sz w:val="28"/>
          <w:szCs w:val="28"/>
        </w:rPr>
        <w:t xml:space="preserve"> antimafia anche dopo la novella normativa </w:t>
      </w:r>
      <w:r w:rsidR="008E2D9B">
        <w:rPr>
          <w:rFonts w:ascii="Garamond" w:hAnsi="Garamond"/>
          <w:sz w:val="28"/>
          <w:szCs w:val="28"/>
        </w:rPr>
        <w:t>rimangono irrisolte numerose questioni, limitandomi solo ad accennarne alcune.</w:t>
      </w:r>
    </w:p>
    <w:p w:rsidR="00327E31" w:rsidRDefault="008E2D9B" w:rsidP="009716A3">
      <w:pPr>
        <w:jc w:val="both"/>
        <w:rPr>
          <w:rFonts w:ascii="Garamond" w:hAnsi="Garamond"/>
          <w:sz w:val="28"/>
          <w:szCs w:val="28"/>
        </w:rPr>
      </w:pPr>
      <w:r>
        <w:rPr>
          <w:rFonts w:ascii="Garamond" w:hAnsi="Garamond"/>
          <w:sz w:val="28"/>
          <w:szCs w:val="28"/>
        </w:rPr>
        <w:t xml:space="preserve">Anzitutto è fortemente dubbia la stessa natura di misura </w:t>
      </w:r>
      <w:r w:rsidR="001831C0">
        <w:rPr>
          <w:rFonts w:ascii="Garamond" w:hAnsi="Garamond"/>
          <w:sz w:val="28"/>
          <w:szCs w:val="28"/>
        </w:rPr>
        <w:t>“</w:t>
      </w:r>
      <w:r>
        <w:rPr>
          <w:rFonts w:ascii="Garamond" w:hAnsi="Garamond"/>
          <w:sz w:val="28"/>
          <w:szCs w:val="28"/>
        </w:rPr>
        <w:t>cautelare preventiva</w:t>
      </w:r>
      <w:r w:rsidR="001831C0">
        <w:rPr>
          <w:rFonts w:ascii="Garamond" w:hAnsi="Garamond"/>
          <w:sz w:val="28"/>
          <w:szCs w:val="28"/>
        </w:rPr>
        <w:t>”</w:t>
      </w:r>
      <w:r>
        <w:rPr>
          <w:rFonts w:ascii="Garamond" w:hAnsi="Garamond"/>
          <w:sz w:val="28"/>
          <w:szCs w:val="28"/>
        </w:rPr>
        <w:t xml:space="preserve"> pacificamente affermata dalla giurisprudenza</w:t>
      </w:r>
      <w:r w:rsidR="009B34F0">
        <w:rPr>
          <w:rFonts w:ascii="Garamond" w:hAnsi="Garamond"/>
          <w:sz w:val="28"/>
          <w:szCs w:val="28"/>
        </w:rPr>
        <w:t xml:space="preserve"> anche costituzionale</w:t>
      </w:r>
      <w:r>
        <w:rPr>
          <w:rStyle w:val="Rimandonotaapidipagina"/>
          <w:rFonts w:ascii="Garamond" w:hAnsi="Garamond"/>
          <w:sz w:val="28"/>
          <w:szCs w:val="28"/>
        </w:rPr>
        <w:footnoteReference w:id="48"/>
      </w:r>
      <w:r w:rsidR="00327E31">
        <w:rPr>
          <w:rFonts w:ascii="Garamond" w:hAnsi="Garamond"/>
          <w:sz w:val="28"/>
          <w:szCs w:val="28"/>
        </w:rPr>
        <w:t xml:space="preserve"> determinando in realtà le </w:t>
      </w:r>
      <w:proofErr w:type="spellStart"/>
      <w:r w:rsidR="00327E31">
        <w:rPr>
          <w:rFonts w:ascii="Garamond" w:hAnsi="Garamond"/>
          <w:sz w:val="28"/>
          <w:szCs w:val="28"/>
        </w:rPr>
        <w:t>interdittive</w:t>
      </w:r>
      <w:proofErr w:type="spellEnd"/>
      <w:r w:rsidR="00327E31">
        <w:rPr>
          <w:rFonts w:ascii="Garamond" w:hAnsi="Garamond"/>
          <w:sz w:val="28"/>
          <w:szCs w:val="28"/>
        </w:rPr>
        <w:t xml:space="preserve"> effetti duraturi e spesso irreversibili ovvero la “</w:t>
      </w:r>
      <w:proofErr w:type="spellStart"/>
      <w:r w:rsidR="00327E31">
        <w:rPr>
          <w:rFonts w:ascii="Garamond" w:hAnsi="Garamond"/>
          <w:sz w:val="28"/>
          <w:szCs w:val="28"/>
        </w:rPr>
        <w:t>capitis</w:t>
      </w:r>
      <w:proofErr w:type="spellEnd"/>
      <w:r w:rsidR="00327E31">
        <w:rPr>
          <w:rFonts w:ascii="Garamond" w:hAnsi="Garamond"/>
          <w:sz w:val="28"/>
          <w:szCs w:val="28"/>
        </w:rPr>
        <w:t xml:space="preserve"> </w:t>
      </w:r>
      <w:proofErr w:type="spellStart"/>
      <w:r w:rsidR="00327E31">
        <w:rPr>
          <w:rFonts w:ascii="Garamond" w:hAnsi="Garamond"/>
          <w:sz w:val="28"/>
          <w:szCs w:val="28"/>
        </w:rPr>
        <w:t>deminutio</w:t>
      </w:r>
      <w:proofErr w:type="spellEnd"/>
      <w:r w:rsidR="00327E31">
        <w:rPr>
          <w:rFonts w:ascii="Garamond" w:hAnsi="Garamond"/>
          <w:sz w:val="28"/>
          <w:szCs w:val="28"/>
        </w:rPr>
        <w:t>” dell’impresa</w:t>
      </w:r>
      <w:r w:rsidR="00D6156F">
        <w:rPr>
          <w:rFonts w:ascii="Garamond" w:hAnsi="Garamond"/>
          <w:sz w:val="28"/>
          <w:szCs w:val="28"/>
        </w:rPr>
        <w:t>.</w:t>
      </w:r>
      <w:r w:rsidR="00327E31">
        <w:rPr>
          <w:rStyle w:val="Rimandonotaapidipagina"/>
          <w:rFonts w:ascii="Garamond" w:hAnsi="Garamond"/>
          <w:sz w:val="28"/>
          <w:szCs w:val="28"/>
        </w:rPr>
        <w:footnoteReference w:id="49"/>
      </w:r>
      <w:r w:rsidR="00820B1A">
        <w:rPr>
          <w:rFonts w:ascii="Garamond" w:hAnsi="Garamond"/>
          <w:sz w:val="28"/>
          <w:szCs w:val="28"/>
        </w:rPr>
        <w:t xml:space="preserve"> </w:t>
      </w:r>
      <w:r w:rsidR="00327E31">
        <w:rPr>
          <w:rFonts w:ascii="Garamond" w:hAnsi="Garamond"/>
          <w:sz w:val="28"/>
          <w:szCs w:val="28"/>
        </w:rPr>
        <w:t xml:space="preserve">L’appartenenza delle </w:t>
      </w:r>
      <w:proofErr w:type="spellStart"/>
      <w:r w:rsidR="00327E31">
        <w:rPr>
          <w:rFonts w:ascii="Garamond" w:hAnsi="Garamond"/>
          <w:sz w:val="28"/>
          <w:szCs w:val="28"/>
        </w:rPr>
        <w:t>interdittive</w:t>
      </w:r>
      <w:proofErr w:type="spellEnd"/>
      <w:r w:rsidR="00327E31">
        <w:rPr>
          <w:rFonts w:ascii="Garamond" w:hAnsi="Garamond"/>
          <w:sz w:val="28"/>
          <w:szCs w:val="28"/>
        </w:rPr>
        <w:t xml:space="preserve"> secondo l’ordinamento interno al diritto della prevenzione non fa venir meno tale basilare considerazione, dando ulteriori elementi per avallare la stessa tesi del carattere afflittivo ai sensi dell’art. 6 CEDU.</w:t>
      </w:r>
    </w:p>
    <w:p w:rsidR="0070232C" w:rsidRDefault="0070232C" w:rsidP="009716A3">
      <w:pPr>
        <w:jc w:val="both"/>
        <w:rPr>
          <w:rFonts w:ascii="Garamond" w:hAnsi="Garamond"/>
          <w:sz w:val="28"/>
          <w:szCs w:val="28"/>
        </w:rPr>
      </w:pPr>
      <w:r w:rsidRPr="0070232C">
        <w:rPr>
          <w:rFonts w:ascii="Garamond" w:hAnsi="Garamond"/>
          <w:sz w:val="28"/>
          <w:szCs w:val="28"/>
        </w:rPr>
        <w:t>Altra questio</w:t>
      </w:r>
      <w:r>
        <w:rPr>
          <w:rFonts w:ascii="Garamond" w:hAnsi="Garamond"/>
          <w:sz w:val="28"/>
          <w:szCs w:val="28"/>
        </w:rPr>
        <w:t>ne aperta</w:t>
      </w:r>
      <w:r w:rsidRPr="0070232C">
        <w:rPr>
          <w:rFonts w:ascii="Garamond" w:hAnsi="Garamond"/>
          <w:sz w:val="28"/>
          <w:szCs w:val="28"/>
        </w:rPr>
        <w:t xml:space="preserve"> è</w:t>
      </w:r>
      <w:r>
        <w:rPr>
          <w:rFonts w:ascii="Garamond" w:hAnsi="Garamond"/>
          <w:sz w:val="28"/>
          <w:szCs w:val="28"/>
        </w:rPr>
        <w:t xml:space="preserve"> data dallo stabilire </w:t>
      </w:r>
      <w:r w:rsidRPr="0070232C">
        <w:rPr>
          <w:rFonts w:ascii="Garamond" w:hAnsi="Garamond"/>
          <w:sz w:val="28"/>
          <w:szCs w:val="28"/>
        </w:rPr>
        <w:t>se la discrezionalità in capo al Prefetto sia davvero di tipo te</w:t>
      </w:r>
      <w:r>
        <w:rPr>
          <w:rFonts w:ascii="Garamond" w:hAnsi="Garamond"/>
          <w:sz w:val="28"/>
          <w:szCs w:val="28"/>
        </w:rPr>
        <w:t>cnico come</w:t>
      </w:r>
      <w:r w:rsidR="003B2803">
        <w:rPr>
          <w:rFonts w:ascii="Garamond" w:hAnsi="Garamond"/>
          <w:sz w:val="28"/>
          <w:szCs w:val="28"/>
        </w:rPr>
        <w:t xml:space="preserve"> sostenuto dalla prevalente giurisprudenza</w:t>
      </w:r>
      <w:r w:rsidR="003B2803">
        <w:rPr>
          <w:rStyle w:val="Rimandonotaapidipagina"/>
          <w:rFonts w:ascii="Garamond" w:hAnsi="Garamond"/>
          <w:sz w:val="28"/>
          <w:szCs w:val="28"/>
        </w:rPr>
        <w:footnoteReference w:id="50"/>
      </w:r>
      <w:r>
        <w:rPr>
          <w:rFonts w:ascii="Garamond" w:hAnsi="Garamond"/>
          <w:sz w:val="28"/>
          <w:szCs w:val="28"/>
        </w:rPr>
        <w:t xml:space="preserve"> recentemente</w:t>
      </w:r>
      <w:r w:rsidR="003B2803">
        <w:rPr>
          <w:rFonts w:ascii="Garamond" w:hAnsi="Garamond"/>
          <w:sz w:val="28"/>
          <w:szCs w:val="28"/>
        </w:rPr>
        <w:t xml:space="preserve"> avallata</w:t>
      </w:r>
      <w:r w:rsidRPr="0070232C">
        <w:rPr>
          <w:rFonts w:ascii="Garamond" w:hAnsi="Garamond"/>
          <w:sz w:val="28"/>
          <w:szCs w:val="28"/>
        </w:rPr>
        <w:t xml:space="preserve"> </w:t>
      </w:r>
      <w:r>
        <w:rPr>
          <w:rFonts w:ascii="Garamond" w:hAnsi="Garamond"/>
          <w:sz w:val="28"/>
          <w:szCs w:val="28"/>
        </w:rPr>
        <w:t>dal</w:t>
      </w:r>
      <w:r w:rsidRPr="0070232C">
        <w:rPr>
          <w:rFonts w:ascii="Garamond" w:hAnsi="Garamond"/>
          <w:sz w:val="28"/>
          <w:szCs w:val="28"/>
        </w:rPr>
        <w:t>la</w:t>
      </w:r>
      <w:r w:rsidR="003B2803">
        <w:rPr>
          <w:rFonts w:ascii="Garamond" w:hAnsi="Garamond"/>
          <w:sz w:val="28"/>
          <w:szCs w:val="28"/>
        </w:rPr>
        <w:t xml:space="preserve"> stessa</w:t>
      </w:r>
      <w:r w:rsidRPr="0070232C">
        <w:rPr>
          <w:rFonts w:ascii="Garamond" w:hAnsi="Garamond"/>
          <w:sz w:val="28"/>
          <w:szCs w:val="28"/>
        </w:rPr>
        <w:t xml:space="preserve"> Consulta (</w:t>
      </w:r>
      <w:proofErr w:type="spellStart"/>
      <w:r w:rsidRPr="0070232C">
        <w:rPr>
          <w:rFonts w:ascii="Garamond" w:hAnsi="Garamond"/>
          <w:sz w:val="28"/>
          <w:szCs w:val="28"/>
        </w:rPr>
        <w:t>sent</w:t>
      </w:r>
      <w:proofErr w:type="spellEnd"/>
      <w:r w:rsidRPr="0070232C">
        <w:rPr>
          <w:rFonts w:ascii="Garamond" w:hAnsi="Garamond"/>
          <w:sz w:val="28"/>
          <w:szCs w:val="28"/>
        </w:rPr>
        <w:t xml:space="preserve"> n. 57 del 26 marzo 2020) o se invece</w:t>
      </w:r>
      <w:r>
        <w:rPr>
          <w:rFonts w:ascii="Garamond" w:hAnsi="Garamond"/>
          <w:sz w:val="28"/>
          <w:szCs w:val="28"/>
        </w:rPr>
        <w:t>,</w:t>
      </w:r>
      <w:r w:rsidRPr="0070232C">
        <w:rPr>
          <w:rFonts w:ascii="Garamond" w:hAnsi="Garamond"/>
          <w:sz w:val="28"/>
          <w:szCs w:val="28"/>
        </w:rPr>
        <w:t xml:space="preserve"> come sostiene autorevole dottrina</w:t>
      </w:r>
      <w:r w:rsidR="00D6156F">
        <w:rPr>
          <w:rFonts w:ascii="Garamond" w:hAnsi="Garamond"/>
          <w:sz w:val="28"/>
          <w:szCs w:val="28"/>
        </w:rPr>
        <w:t>,</w:t>
      </w:r>
      <w:r>
        <w:rPr>
          <w:rStyle w:val="Rimandonotaapidipagina"/>
          <w:rFonts w:ascii="Garamond" w:hAnsi="Garamond"/>
          <w:sz w:val="28"/>
          <w:szCs w:val="28"/>
        </w:rPr>
        <w:footnoteReference w:id="51"/>
      </w:r>
      <w:r w:rsidR="009B34F0">
        <w:rPr>
          <w:rFonts w:ascii="Garamond" w:hAnsi="Garamond"/>
          <w:sz w:val="28"/>
          <w:szCs w:val="28"/>
        </w:rPr>
        <w:t xml:space="preserve"> </w:t>
      </w:r>
      <w:r>
        <w:rPr>
          <w:rFonts w:ascii="Garamond" w:hAnsi="Garamond"/>
          <w:sz w:val="28"/>
          <w:szCs w:val="28"/>
        </w:rPr>
        <w:t xml:space="preserve">ci si trovi al cospetto </w:t>
      </w:r>
      <w:r w:rsidRPr="0070232C">
        <w:rPr>
          <w:rFonts w:ascii="Garamond" w:hAnsi="Garamond"/>
          <w:sz w:val="28"/>
          <w:szCs w:val="28"/>
        </w:rPr>
        <w:t>di</w:t>
      </w:r>
      <w:r>
        <w:rPr>
          <w:rFonts w:ascii="Garamond" w:hAnsi="Garamond"/>
          <w:sz w:val="28"/>
          <w:szCs w:val="28"/>
        </w:rPr>
        <w:t xml:space="preserve"> un</w:t>
      </w:r>
      <w:r w:rsidRPr="0070232C">
        <w:rPr>
          <w:rFonts w:ascii="Garamond" w:hAnsi="Garamond"/>
          <w:sz w:val="28"/>
          <w:szCs w:val="28"/>
        </w:rPr>
        <w:t xml:space="preserve"> mero accertame</w:t>
      </w:r>
      <w:r w:rsidR="004B7E6C">
        <w:rPr>
          <w:rFonts w:ascii="Garamond" w:hAnsi="Garamond"/>
          <w:sz w:val="28"/>
          <w:szCs w:val="28"/>
        </w:rPr>
        <w:t>nto di un quadro fattuale rappresentato da</w:t>
      </w:r>
      <w:r w:rsidRPr="0070232C">
        <w:rPr>
          <w:rFonts w:ascii="Garamond" w:hAnsi="Garamond"/>
          <w:sz w:val="28"/>
          <w:szCs w:val="28"/>
        </w:rPr>
        <w:t xml:space="preserve"> elementi molto spesso di tipo indiziario in chiave prognostica</w:t>
      </w:r>
      <w:r w:rsidR="009B34F0">
        <w:rPr>
          <w:rFonts w:ascii="Garamond" w:hAnsi="Garamond"/>
          <w:sz w:val="28"/>
          <w:szCs w:val="28"/>
        </w:rPr>
        <w:t>,</w:t>
      </w:r>
      <w:r w:rsidRPr="0070232C">
        <w:rPr>
          <w:rFonts w:ascii="Garamond" w:hAnsi="Garamond"/>
          <w:sz w:val="28"/>
          <w:szCs w:val="28"/>
        </w:rPr>
        <w:t xml:space="preserve"> molto simile a quello demandato al giudice penale in tema di applicazione di misure di sicurez</w:t>
      </w:r>
      <w:r w:rsidR="0061655E">
        <w:rPr>
          <w:rFonts w:ascii="Garamond" w:hAnsi="Garamond"/>
          <w:sz w:val="28"/>
          <w:szCs w:val="28"/>
        </w:rPr>
        <w:t>za/prevenzione personali, tuttavia senza le relative garanzie apprestate dall’ordinamento.</w:t>
      </w:r>
      <w:r w:rsidR="0061655E">
        <w:rPr>
          <w:rStyle w:val="Rimandonotaapidipagina"/>
          <w:rFonts w:ascii="Garamond" w:hAnsi="Garamond"/>
          <w:sz w:val="28"/>
          <w:szCs w:val="28"/>
        </w:rPr>
        <w:footnoteReference w:id="52"/>
      </w:r>
    </w:p>
    <w:p w:rsidR="0070232C" w:rsidRDefault="0070232C" w:rsidP="009716A3">
      <w:pPr>
        <w:jc w:val="both"/>
        <w:rPr>
          <w:rFonts w:ascii="Garamond" w:hAnsi="Garamond"/>
          <w:sz w:val="28"/>
          <w:szCs w:val="28"/>
        </w:rPr>
      </w:pPr>
      <w:r>
        <w:rPr>
          <w:rFonts w:ascii="Garamond" w:hAnsi="Garamond"/>
          <w:sz w:val="28"/>
          <w:szCs w:val="28"/>
        </w:rPr>
        <w:t>In effetti se la discrezionalità tecnica consiste nell’applicazione</w:t>
      </w:r>
      <w:r w:rsidR="00995CC6">
        <w:rPr>
          <w:rFonts w:ascii="Garamond" w:hAnsi="Garamond"/>
          <w:sz w:val="28"/>
          <w:szCs w:val="28"/>
        </w:rPr>
        <w:t xml:space="preserve"> da parte dell’Amministrazione</w:t>
      </w:r>
      <w:r>
        <w:rPr>
          <w:rFonts w:ascii="Garamond" w:hAnsi="Garamond"/>
          <w:sz w:val="28"/>
          <w:szCs w:val="28"/>
        </w:rPr>
        <w:t xml:space="preserve"> di regole tecniche elastiche o opinabili</w:t>
      </w:r>
      <w:r>
        <w:rPr>
          <w:rStyle w:val="Rimandonotaapidipagina"/>
          <w:rFonts w:ascii="Garamond" w:hAnsi="Garamond"/>
          <w:sz w:val="28"/>
          <w:szCs w:val="28"/>
        </w:rPr>
        <w:footnoteReference w:id="53"/>
      </w:r>
      <w:r>
        <w:rPr>
          <w:rFonts w:ascii="Garamond" w:hAnsi="Garamond"/>
          <w:sz w:val="28"/>
          <w:szCs w:val="28"/>
        </w:rPr>
        <w:t xml:space="preserve"> co</w:t>
      </w:r>
      <w:r w:rsidR="003B2803">
        <w:rPr>
          <w:rFonts w:ascii="Garamond" w:hAnsi="Garamond"/>
          <w:sz w:val="28"/>
          <w:szCs w:val="28"/>
        </w:rPr>
        <w:t>me si verifica ad esempio nei giudizi espressi dalle commissioni di concorso o di gara, le valutazioni compiute dal Prefetto in ordine alla diagnosi dei fatti rilevanti circa il pericolo del tentativo di infiltrazione della criminalità organizzata e la prognosi di permeabilità criminale sembrano</w:t>
      </w:r>
      <w:r w:rsidR="009B34F0">
        <w:rPr>
          <w:rFonts w:ascii="Garamond" w:hAnsi="Garamond"/>
          <w:sz w:val="28"/>
          <w:szCs w:val="28"/>
        </w:rPr>
        <w:t xml:space="preserve"> del tutto</w:t>
      </w:r>
      <w:r w:rsidR="003B2803">
        <w:rPr>
          <w:rFonts w:ascii="Garamond" w:hAnsi="Garamond"/>
          <w:sz w:val="28"/>
          <w:szCs w:val="28"/>
        </w:rPr>
        <w:t xml:space="preserve"> estranee all’ambito</w:t>
      </w:r>
      <w:r w:rsidR="009B34F0">
        <w:rPr>
          <w:rFonts w:ascii="Garamond" w:hAnsi="Garamond"/>
          <w:sz w:val="28"/>
          <w:szCs w:val="28"/>
        </w:rPr>
        <w:t xml:space="preserve"> proprio</w:t>
      </w:r>
      <w:r w:rsidR="003B2803">
        <w:rPr>
          <w:rFonts w:ascii="Garamond" w:hAnsi="Garamond"/>
          <w:sz w:val="28"/>
          <w:szCs w:val="28"/>
        </w:rPr>
        <w:t xml:space="preserve"> della discrezionalità tecnica.</w:t>
      </w:r>
    </w:p>
    <w:p w:rsidR="003B2803" w:rsidRDefault="003B2803" w:rsidP="009716A3">
      <w:pPr>
        <w:jc w:val="both"/>
        <w:rPr>
          <w:rFonts w:ascii="Garamond" w:hAnsi="Garamond"/>
          <w:sz w:val="28"/>
          <w:szCs w:val="28"/>
        </w:rPr>
      </w:pPr>
      <w:r>
        <w:rPr>
          <w:rFonts w:ascii="Garamond" w:hAnsi="Garamond"/>
          <w:sz w:val="28"/>
          <w:szCs w:val="28"/>
        </w:rPr>
        <w:t xml:space="preserve">Allo stesso modo gli apprezzamenti a fondamento dell’applicazione delle misure in questione non sembrano poter rientrare nel campo della discrezionalità amministrativa pura, risultando carenti i tratti distintivi ovvero </w:t>
      </w:r>
      <w:r w:rsidR="00907CDC">
        <w:rPr>
          <w:rFonts w:ascii="Garamond" w:hAnsi="Garamond"/>
          <w:sz w:val="28"/>
          <w:szCs w:val="28"/>
        </w:rPr>
        <w:t xml:space="preserve">la scelta </w:t>
      </w:r>
      <w:proofErr w:type="spellStart"/>
      <w:r w:rsidR="00907CDC">
        <w:rPr>
          <w:rFonts w:ascii="Garamond" w:hAnsi="Garamond"/>
          <w:sz w:val="28"/>
          <w:szCs w:val="28"/>
        </w:rPr>
        <w:t>dell’an</w:t>
      </w:r>
      <w:proofErr w:type="spellEnd"/>
      <w:r w:rsidR="00907CDC">
        <w:rPr>
          <w:rFonts w:ascii="Garamond" w:hAnsi="Garamond"/>
          <w:sz w:val="28"/>
          <w:szCs w:val="28"/>
        </w:rPr>
        <w:t xml:space="preserve"> e del </w:t>
      </w:r>
      <w:proofErr w:type="spellStart"/>
      <w:r w:rsidR="00907CDC">
        <w:rPr>
          <w:rFonts w:ascii="Garamond" w:hAnsi="Garamond"/>
          <w:sz w:val="28"/>
          <w:szCs w:val="28"/>
        </w:rPr>
        <w:t>quomodo</w:t>
      </w:r>
      <w:proofErr w:type="spellEnd"/>
      <w:r w:rsidR="00907CDC">
        <w:rPr>
          <w:rFonts w:ascii="Garamond" w:hAnsi="Garamond"/>
          <w:sz w:val="28"/>
          <w:szCs w:val="28"/>
        </w:rPr>
        <w:t xml:space="preserve"> dell’azione e la ponderazione dei diversi interessi in gioco</w:t>
      </w:r>
      <w:r w:rsidR="00995CC6">
        <w:rPr>
          <w:rFonts w:ascii="Garamond" w:hAnsi="Garamond"/>
          <w:sz w:val="28"/>
          <w:szCs w:val="28"/>
        </w:rPr>
        <w:t>.</w:t>
      </w:r>
      <w:r w:rsidR="00907CDC">
        <w:rPr>
          <w:rStyle w:val="Rimandonotaapidipagina"/>
          <w:rFonts w:ascii="Garamond" w:hAnsi="Garamond"/>
          <w:sz w:val="28"/>
          <w:szCs w:val="28"/>
        </w:rPr>
        <w:footnoteReference w:id="54"/>
      </w:r>
    </w:p>
    <w:p w:rsidR="007509D4" w:rsidRDefault="007509D4" w:rsidP="009716A3">
      <w:pPr>
        <w:jc w:val="both"/>
        <w:rPr>
          <w:rFonts w:ascii="Garamond" w:hAnsi="Garamond"/>
          <w:sz w:val="28"/>
          <w:szCs w:val="28"/>
        </w:rPr>
      </w:pPr>
      <w:r>
        <w:rPr>
          <w:rFonts w:ascii="Garamond" w:hAnsi="Garamond"/>
          <w:sz w:val="28"/>
          <w:szCs w:val="28"/>
        </w:rPr>
        <w:t>C</w:t>
      </w:r>
      <w:r w:rsidR="0070232C" w:rsidRPr="0070232C">
        <w:rPr>
          <w:rFonts w:ascii="Garamond" w:hAnsi="Garamond"/>
          <w:sz w:val="28"/>
          <w:szCs w:val="28"/>
        </w:rPr>
        <w:t>osì opinando do</w:t>
      </w:r>
      <w:r>
        <w:rPr>
          <w:rFonts w:ascii="Garamond" w:hAnsi="Garamond"/>
          <w:sz w:val="28"/>
          <w:szCs w:val="28"/>
        </w:rPr>
        <w:t>vrebbe essere del tutto estraneo</w:t>
      </w:r>
      <w:r w:rsidR="0070232C" w:rsidRPr="0070232C">
        <w:rPr>
          <w:rFonts w:ascii="Garamond" w:hAnsi="Garamond"/>
          <w:sz w:val="28"/>
          <w:szCs w:val="28"/>
        </w:rPr>
        <w:t xml:space="preserve"> al problema il dibattito sulla natura del sindacato</w:t>
      </w:r>
      <w:r>
        <w:rPr>
          <w:rFonts w:ascii="Garamond" w:hAnsi="Garamond"/>
          <w:sz w:val="28"/>
          <w:szCs w:val="28"/>
        </w:rPr>
        <w:t xml:space="preserve"> giudiziale</w:t>
      </w:r>
      <w:r w:rsidR="0070232C" w:rsidRPr="0070232C">
        <w:rPr>
          <w:rFonts w:ascii="Garamond" w:hAnsi="Garamond"/>
          <w:sz w:val="28"/>
          <w:szCs w:val="28"/>
        </w:rPr>
        <w:t xml:space="preserve"> (forte o debole) sulla discrezionalità tecnica</w:t>
      </w:r>
      <w:r>
        <w:rPr>
          <w:rFonts w:ascii="Garamond" w:hAnsi="Garamond"/>
          <w:sz w:val="28"/>
          <w:szCs w:val="28"/>
        </w:rPr>
        <w:t>.</w:t>
      </w:r>
    </w:p>
    <w:p w:rsidR="007509D4" w:rsidRDefault="007509D4" w:rsidP="009716A3">
      <w:pPr>
        <w:jc w:val="both"/>
        <w:rPr>
          <w:rFonts w:ascii="Garamond" w:hAnsi="Garamond"/>
          <w:sz w:val="28"/>
          <w:szCs w:val="28"/>
        </w:rPr>
      </w:pPr>
      <w:r>
        <w:rPr>
          <w:rFonts w:ascii="Garamond" w:hAnsi="Garamond"/>
          <w:sz w:val="28"/>
          <w:szCs w:val="28"/>
        </w:rPr>
        <w:t>Infine qualche perplessità suscita anche il criterio allo stato comunemente utilizzato</w:t>
      </w:r>
      <w:r w:rsidRPr="007509D4">
        <w:t xml:space="preserve"> </w:t>
      </w:r>
      <w:r w:rsidRPr="007509D4">
        <w:rPr>
          <w:rFonts w:ascii="Garamond" w:hAnsi="Garamond"/>
          <w:sz w:val="28"/>
          <w:szCs w:val="28"/>
        </w:rPr>
        <w:t>ai fini dell'adozione dell'</w:t>
      </w:r>
      <w:proofErr w:type="spellStart"/>
      <w:r w:rsidRPr="007509D4">
        <w:rPr>
          <w:rFonts w:ascii="Garamond" w:hAnsi="Garamond"/>
          <w:sz w:val="28"/>
          <w:szCs w:val="28"/>
        </w:rPr>
        <w:t>interdittiva</w:t>
      </w:r>
      <w:proofErr w:type="spellEnd"/>
      <w:r w:rsidR="00995CC6">
        <w:rPr>
          <w:rFonts w:ascii="Garamond" w:hAnsi="Garamond"/>
          <w:sz w:val="28"/>
          <w:szCs w:val="28"/>
        </w:rPr>
        <w:t>,</w:t>
      </w:r>
      <w:r>
        <w:rPr>
          <w:rFonts w:ascii="Garamond" w:hAnsi="Garamond"/>
          <w:sz w:val="28"/>
          <w:szCs w:val="28"/>
        </w:rPr>
        <w:t xml:space="preserve"> del “più probabile che non” circa </w:t>
      </w:r>
      <w:r w:rsidR="000E05C6">
        <w:rPr>
          <w:rFonts w:ascii="Garamond" w:hAnsi="Garamond"/>
          <w:sz w:val="28"/>
          <w:szCs w:val="28"/>
        </w:rPr>
        <w:t>la deduzione</w:t>
      </w:r>
      <w:r w:rsidR="00AD2DF7">
        <w:rPr>
          <w:rFonts w:ascii="Garamond" w:hAnsi="Garamond"/>
          <w:sz w:val="28"/>
          <w:szCs w:val="28"/>
        </w:rPr>
        <w:t xml:space="preserve"> da elementi presuntivi del</w:t>
      </w:r>
      <w:r w:rsidR="00AD2DF7" w:rsidRPr="00AD2DF7">
        <w:rPr>
          <w:rFonts w:ascii="Garamond" w:hAnsi="Garamond"/>
          <w:sz w:val="28"/>
          <w:szCs w:val="28"/>
        </w:rPr>
        <w:t xml:space="preserve"> pericolo di ingerenza da part</w:t>
      </w:r>
      <w:r w:rsidR="00AD2DF7">
        <w:rPr>
          <w:rFonts w:ascii="Garamond" w:hAnsi="Garamond"/>
          <w:sz w:val="28"/>
          <w:szCs w:val="28"/>
        </w:rPr>
        <w:t>e della criminalità organizzata</w:t>
      </w:r>
      <w:r w:rsidR="003E2E7F">
        <w:rPr>
          <w:rFonts w:ascii="Garamond" w:hAnsi="Garamond"/>
          <w:sz w:val="28"/>
          <w:szCs w:val="28"/>
        </w:rPr>
        <w:t>.</w:t>
      </w:r>
      <w:r w:rsidR="00AD2DF7">
        <w:rPr>
          <w:rStyle w:val="Rimandonotaapidipagina"/>
          <w:rFonts w:ascii="Garamond" w:hAnsi="Garamond"/>
          <w:sz w:val="28"/>
          <w:szCs w:val="28"/>
        </w:rPr>
        <w:footnoteReference w:id="55"/>
      </w:r>
    </w:p>
    <w:p w:rsidR="00AD2DF7" w:rsidRDefault="00AD2DF7" w:rsidP="009716A3">
      <w:pPr>
        <w:jc w:val="both"/>
        <w:rPr>
          <w:rFonts w:ascii="Garamond" w:hAnsi="Garamond"/>
          <w:sz w:val="28"/>
          <w:szCs w:val="28"/>
        </w:rPr>
      </w:pPr>
      <w:r>
        <w:rPr>
          <w:rFonts w:ascii="Garamond" w:hAnsi="Garamond"/>
          <w:sz w:val="28"/>
          <w:szCs w:val="28"/>
        </w:rPr>
        <w:t>Trattasi di criterio civilistico sul nesso di causalità in tema di illecito aquiliano contrapposto a quello valevole nell’ambito penale</w:t>
      </w:r>
      <w:r>
        <w:rPr>
          <w:rStyle w:val="Rimandonotaapidipagina"/>
          <w:rFonts w:ascii="Garamond" w:hAnsi="Garamond"/>
          <w:sz w:val="28"/>
          <w:szCs w:val="28"/>
        </w:rPr>
        <w:footnoteReference w:id="56"/>
      </w:r>
      <w:r>
        <w:rPr>
          <w:rFonts w:ascii="Garamond" w:hAnsi="Garamond"/>
          <w:sz w:val="28"/>
          <w:szCs w:val="28"/>
        </w:rPr>
        <w:t xml:space="preserve"> in ossequio ad un fenomeno di trasposizione di istituti squisitamente civilistici nel</w:t>
      </w:r>
      <w:r w:rsidR="00FF1177">
        <w:rPr>
          <w:rFonts w:ascii="Garamond" w:hAnsi="Garamond"/>
          <w:sz w:val="28"/>
          <w:szCs w:val="28"/>
        </w:rPr>
        <w:t xml:space="preserve"> settore del</w:t>
      </w:r>
      <w:r>
        <w:rPr>
          <w:rFonts w:ascii="Garamond" w:hAnsi="Garamond"/>
          <w:sz w:val="28"/>
          <w:szCs w:val="28"/>
        </w:rPr>
        <w:t xml:space="preserve"> diritto amministrativo spesso foriero di contraddizioni e non ultimo di contrasti con il diritto euro</w:t>
      </w:r>
      <w:r w:rsidR="00FF1177">
        <w:rPr>
          <w:rFonts w:ascii="Garamond" w:hAnsi="Garamond"/>
          <w:sz w:val="28"/>
          <w:szCs w:val="28"/>
        </w:rPr>
        <w:t>-</w:t>
      </w:r>
      <w:r>
        <w:rPr>
          <w:rFonts w:ascii="Garamond" w:hAnsi="Garamond"/>
          <w:sz w:val="28"/>
          <w:szCs w:val="28"/>
        </w:rPr>
        <w:t>unitario, come nell’ipotesi della affermata eterointegrazione</w:t>
      </w:r>
      <w:r w:rsidR="004B7E6C">
        <w:rPr>
          <w:rFonts w:ascii="Garamond" w:hAnsi="Garamond"/>
          <w:sz w:val="28"/>
          <w:szCs w:val="28"/>
        </w:rPr>
        <w:t xml:space="preserve"> (art</w:t>
      </w:r>
      <w:r w:rsidR="00C2091C">
        <w:rPr>
          <w:rFonts w:ascii="Garamond" w:hAnsi="Garamond"/>
          <w:sz w:val="28"/>
          <w:szCs w:val="28"/>
        </w:rPr>
        <w:t>. 1374 c.c.</w:t>
      </w:r>
      <w:r w:rsidR="004B7E6C">
        <w:rPr>
          <w:rFonts w:ascii="Garamond" w:hAnsi="Garamond"/>
          <w:sz w:val="28"/>
          <w:szCs w:val="28"/>
        </w:rPr>
        <w:t xml:space="preserve">) </w:t>
      </w:r>
      <w:r>
        <w:rPr>
          <w:rFonts w:ascii="Garamond" w:hAnsi="Garamond"/>
          <w:sz w:val="28"/>
          <w:szCs w:val="28"/>
        </w:rPr>
        <w:t>dei bandi di gara</w:t>
      </w:r>
      <w:r w:rsidR="004B7E6C">
        <w:rPr>
          <w:rFonts w:ascii="Garamond" w:hAnsi="Garamond"/>
          <w:sz w:val="28"/>
          <w:szCs w:val="28"/>
        </w:rPr>
        <w:t xml:space="preserve"> da parte della normativa</w:t>
      </w:r>
      <w:r w:rsidR="00FF1177">
        <w:rPr>
          <w:rFonts w:ascii="Garamond" w:hAnsi="Garamond"/>
          <w:sz w:val="28"/>
          <w:szCs w:val="28"/>
        </w:rPr>
        <w:t xml:space="preserve"> imperativa</w:t>
      </w:r>
      <w:r w:rsidR="004B7E6C">
        <w:rPr>
          <w:rFonts w:ascii="Garamond" w:hAnsi="Garamond"/>
          <w:sz w:val="28"/>
          <w:szCs w:val="28"/>
        </w:rPr>
        <w:t xml:space="preserve"> vigente</w:t>
      </w:r>
      <w:r>
        <w:rPr>
          <w:rFonts w:ascii="Garamond" w:hAnsi="Garamond"/>
          <w:sz w:val="28"/>
          <w:szCs w:val="28"/>
        </w:rPr>
        <w:t xml:space="preserve"> anche in “</w:t>
      </w:r>
      <w:proofErr w:type="spellStart"/>
      <w:r>
        <w:rPr>
          <w:rFonts w:ascii="Garamond" w:hAnsi="Garamond"/>
          <w:sz w:val="28"/>
          <w:szCs w:val="28"/>
        </w:rPr>
        <w:t>malam</w:t>
      </w:r>
      <w:proofErr w:type="spellEnd"/>
      <w:r>
        <w:rPr>
          <w:rFonts w:ascii="Garamond" w:hAnsi="Garamond"/>
          <w:sz w:val="28"/>
          <w:szCs w:val="28"/>
        </w:rPr>
        <w:t xml:space="preserve"> </w:t>
      </w:r>
      <w:proofErr w:type="spellStart"/>
      <w:r>
        <w:rPr>
          <w:rFonts w:ascii="Garamond" w:hAnsi="Garamond"/>
          <w:sz w:val="28"/>
          <w:szCs w:val="28"/>
        </w:rPr>
        <w:t>partem</w:t>
      </w:r>
      <w:proofErr w:type="spellEnd"/>
      <w:r>
        <w:rPr>
          <w:rFonts w:ascii="Garamond" w:hAnsi="Garamond"/>
          <w:sz w:val="28"/>
          <w:szCs w:val="28"/>
        </w:rPr>
        <w:t>” ovvero a supporto dell’esclusione dalle procedure di affidamento di appalti pubblici.</w:t>
      </w:r>
      <w:r w:rsidR="00817F1A">
        <w:rPr>
          <w:rStyle w:val="Rimandonotaapidipagina"/>
          <w:rFonts w:ascii="Garamond" w:hAnsi="Garamond"/>
          <w:sz w:val="28"/>
          <w:szCs w:val="28"/>
        </w:rPr>
        <w:footnoteReference w:id="57"/>
      </w:r>
    </w:p>
    <w:p w:rsidR="004B7E6C" w:rsidRDefault="004B7E6C" w:rsidP="009716A3">
      <w:pPr>
        <w:jc w:val="both"/>
        <w:rPr>
          <w:rFonts w:ascii="Garamond" w:hAnsi="Garamond"/>
          <w:b/>
          <w:sz w:val="28"/>
          <w:szCs w:val="28"/>
        </w:rPr>
      </w:pPr>
    </w:p>
    <w:p w:rsidR="00817F1A" w:rsidRDefault="00817F1A" w:rsidP="009716A3">
      <w:pPr>
        <w:jc w:val="both"/>
        <w:rPr>
          <w:rFonts w:ascii="Garamond" w:hAnsi="Garamond"/>
          <w:b/>
          <w:sz w:val="28"/>
          <w:szCs w:val="28"/>
        </w:rPr>
      </w:pPr>
      <w:r w:rsidRPr="00817F1A">
        <w:rPr>
          <w:rFonts w:ascii="Garamond" w:hAnsi="Garamond"/>
          <w:b/>
          <w:sz w:val="28"/>
          <w:szCs w:val="28"/>
        </w:rPr>
        <w:t>Conclusioni</w:t>
      </w:r>
    </w:p>
    <w:p w:rsidR="00817F1A" w:rsidRPr="00817F1A" w:rsidRDefault="00817F1A" w:rsidP="009716A3">
      <w:pPr>
        <w:jc w:val="both"/>
        <w:rPr>
          <w:rFonts w:ascii="Garamond" w:hAnsi="Garamond"/>
          <w:sz w:val="28"/>
          <w:szCs w:val="28"/>
        </w:rPr>
      </w:pPr>
      <w:r w:rsidRPr="00817F1A">
        <w:rPr>
          <w:rFonts w:ascii="Garamond" w:hAnsi="Garamond"/>
          <w:sz w:val="28"/>
          <w:szCs w:val="28"/>
        </w:rPr>
        <w:t xml:space="preserve">A conclusione </w:t>
      </w:r>
      <w:r>
        <w:rPr>
          <w:rFonts w:ascii="Garamond" w:hAnsi="Garamond"/>
          <w:sz w:val="28"/>
          <w:szCs w:val="28"/>
        </w:rPr>
        <w:t>di questo breve interve</w:t>
      </w:r>
      <w:r w:rsidR="004B7E6C">
        <w:rPr>
          <w:rFonts w:ascii="Garamond" w:hAnsi="Garamond"/>
          <w:sz w:val="28"/>
          <w:szCs w:val="28"/>
        </w:rPr>
        <w:t>nto possono trarsi alcune prime considerazioni</w:t>
      </w:r>
      <w:r>
        <w:rPr>
          <w:rFonts w:ascii="Garamond" w:hAnsi="Garamond"/>
          <w:sz w:val="28"/>
          <w:szCs w:val="28"/>
        </w:rPr>
        <w:t>.</w:t>
      </w:r>
    </w:p>
    <w:p w:rsidR="00817F1A" w:rsidRDefault="00817F1A" w:rsidP="00817F1A">
      <w:pPr>
        <w:jc w:val="both"/>
        <w:rPr>
          <w:rFonts w:ascii="Garamond" w:hAnsi="Garamond"/>
          <w:sz w:val="28"/>
          <w:szCs w:val="28"/>
        </w:rPr>
      </w:pPr>
      <w:r>
        <w:rPr>
          <w:rFonts w:ascii="Garamond" w:hAnsi="Garamond"/>
          <w:sz w:val="28"/>
          <w:szCs w:val="28"/>
        </w:rPr>
        <w:t>In primo luogo la r</w:t>
      </w:r>
      <w:r w:rsidRPr="00817F1A">
        <w:rPr>
          <w:rFonts w:ascii="Garamond" w:hAnsi="Garamond"/>
          <w:sz w:val="28"/>
          <w:szCs w:val="28"/>
        </w:rPr>
        <w:t xml:space="preserve">iforma delle </w:t>
      </w:r>
      <w:proofErr w:type="spellStart"/>
      <w:r w:rsidRPr="00817F1A">
        <w:rPr>
          <w:rFonts w:ascii="Garamond" w:hAnsi="Garamond"/>
          <w:sz w:val="28"/>
          <w:szCs w:val="28"/>
        </w:rPr>
        <w:t>interdittive</w:t>
      </w:r>
      <w:proofErr w:type="spellEnd"/>
      <w:r w:rsidRPr="00817F1A">
        <w:rPr>
          <w:rFonts w:ascii="Garamond" w:hAnsi="Garamond"/>
          <w:sz w:val="28"/>
          <w:szCs w:val="28"/>
        </w:rPr>
        <w:t xml:space="preserve"> va letta a mio avviso in conformità al diritto europeo, </w:t>
      </w:r>
      <w:r>
        <w:rPr>
          <w:rFonts w:ascii="Garamond" w:hAnsi="Garamond"/>
          <w:sz w:val="28"/>
          <w:szCs w:val="28"/>
        </w:rPr>
        <w:t xml:space="preserve">dal momento che la </w:t>
      </w:r>
      <w:r w:rsidRPr="00817F1A">
        <w:rPr>
          <w:rFonts w:ascii="Garamond" w:hAnsi="Garamond"/>
          <w:sz w:val="28"/>
          <w:szCs w:val="28"/>
        </w:rPr>
        <w:t xml:space="preserve">necessità di tutela del preminente interesse pubblico alla base delle </w:t>
      </w:r>
      <w:proofErr w:type="spellStart"/>
      <w:r w:rsidRPr="00817F1A">
        <w:rPr>
          <w:rFonts w:ascii="Garamond" w:hAnsi="Garamond"/>
          <w:sz w:val="28"/>
          <w:szCs w:val="28"/>
        </w:rPr>
        <w:t>interdittive</w:t>
      </w:r>
      <w:proofErr w:type="spellEnd"/>
      <w:r w:rsidR="00250E82">
        <w:rPr>
          <w:rFonts w:ascii="Garamond" w:hAnsi="Garamond"/>
          <w:sz w:val="28"/>
          <w:szCs w:val="28"/>
        </w:rPr>
        <w:t xml:space="preserve"> di tutela avanzata nel contrasto alla criminalità organizzata</w:t>
      </w:r>
      <w:r w:rsidRPr="00817F1A">
        <w:rPr>
          <w:rFonts w:ascii="Garamond" w:hAnsi="Garamond"/>
          <w:sz w:val="28"/>
          <w:szCs w:val="28"/>
        </w:rPr>
        <w:t xml:space="preserve"> </w:t>
      </w:r>
      <w:r w:rsidR="000C00FD">
        <w:rPr>
          <w:rFonts w:ascii="Garamond" w:hAnsi="Garamond"/>
          <w:sz w:val="28"/>
          <w:szCs w:val="28"/>
        </w:rPr>
        <w:t>deve essere</w:t>
      </w:r>
      <w:r>
        <w:rPr>
          <w:rFonts w:ascii="Garamond" w:hAnsi="Garamond"/>
          <w:sz w:val="28"/>
          <w:szCs w:val="28"/>
        </w:rPr>
        <w:t xml:space="preserve"> contemperata con le </w:t>
      </w:r>
      <w:r w:rsidRPr="00817F1A">
        <w:rPr>
          <w:rFonts w:ascii="Garamond" w:hAnsi="Garamond"/>
          <w:sz w:val="28"/>
          <w:szCs w:val="28"/>
        </w:rPr>
        <w:t>garanzie</w:t>
      </w:r>
      <w:r>
        <w:rPr>
          <w:rFonts w:ascii="Garamond" w:hAnsi="Garamond"/>
          <w:sz w:val="28"/>
          <w:szCs w:val="28"/>
        </w:rPr>
        <w:t xml:space="preserve"> anche procedimentali</w:t>
      </w:r>
      <w:r w:rsidRPr="00817F1A">
        <w:rPr>
          <w:rFonts w:ascii="Garamond" w:hAnsi="Garamond"/>
          <w:sz w:val="28"/>
          <w:szCs w:val="28"/>
        </w:rPr>
        <w:t xml:space="preserve"> pr</w:t>
      </w:r>
      <w:r>
        <w:rPr>
          <w:rFonts w:ascii="Garamond" w:hAnsi="Garamond"/>
          <w:sz w:val="28"/>
          <w:szCs w:val="28"/>
        </w:rPr>
        <w:t>oprie di uno Stato di diritto</w:t>
      </w:r>
      <w:r w:rsidR="00250E82">
        <w:rPr>
          <w:rFonts w:ascii="Garamond" w:hAnsi="Garamond"/>
          <w:sz w:val="28"/>
          <w:szCs w:val="28"/>
        </w:rPr>
        <w:t>,</w:t>
      </w:r>
      <w:r>
        <w:rPr>
          <w:rFonts w:ascii="Garamond" w:hAnsi="Garamond"/>
          <w:sz w:val="28"/>
          <w:szCs w:val="28"/>
        </w:rPr>
        <w:t xml:space="preserve"> come ora</w:t>
      </w:r>
      <w:r w:rsidR="000C00FD">
        <w:rPr>
          <w:rFonts w:ascii="Garamond" w:hAnsi="Garamond"/>
          <w:sz w:val="28"/>
          <w:szCs w:val="28"/>
        </w:rPr>
        <w:t xml:space="preserve"> ben</w:t>
      </w:r>
      <w:r>
        <w:rPr>
          <w:rFonts w:ascii="Garamond" w:hAnsi="Garamond"/>
          <w:sz w:val="28"/>
          <w:szCs w:val="28"/>
        </w:rPr>
        <w:t xml:space="preserve"> enucleate dal decreto legge</w:t>
      </w:r>
      <w:r w:rsidR="000C00FD">
        <w:rPr>
          <w:rFonts w:ascii="Garamond" w:hAnsi="Garamond"/>
          <w:sz w:val="28"/>
          <w:szCs w:val="28"/>
        </w:rPr>
        <w:t xml:space="preserve"> n. 152/2021.</w:t>
      </w:r>
      <w:r w:rsidR="004B7E6C">
        <w:rPr>
          <w:rFonts w:ascii="Garamond" w:hAnsi="Garamond"/>
          <w:sz w:val="28"/>
          <w:szCs w:val="28"/>
        </w:rPr>
        <w:t xml:space="preserve"> E questo anche in chiave di compensazione con un sindacato giurisdizionale che non sembra aderire al parametro della “full </w:t>
      </w:r>
      <w:proofErr w:type="spellStart"/>
      <w:proofErr w:type="gramStart"/>
      <w:r w:rsidR="004B7E6C">
        <w:rPr>
          <w:rFonts w:ascii="Garamond" w:hAnsi="Garamond"/>
          <w:sz w:val="28"/>
          <w:szCs w:val="28"/>
        </w:rPr>
        <w:t>jiurisdiction”conseguente</w:t>
      </w:r>
      <w:proofErr w:type="spellEnd"/>
      <w:proofErr w:type="gramEnd"/>
      <w:r w:rsidR="004B7E6C">
        <w:rPr>
          <w:rFonts w:ascii="Garamond" w:hAnsi="Garamond"/>
          <w:sz w:val="28"/>
          <w:szCs w:val="28"/>
        </w:rPr>
        <w:t xml:space="preserve"> alla ipotizzata applicazione dell’art. 6 CEDU. </w:t>
      </w:r>
    </w:p>
    <w:p w:rsidR="00817F1A" w:rsidRDefault="00817F1A" w:rsidP="00817F1A">
      <w:pPr>
        <w:jc w:val="both"/>
        <w:rPr>
          <w:rFonts w:ascii="Garamond" w:hAnsi="Garamond"/>
          <w:sz w:val="28"/>
          <w:szCs w:val="28"/>
        </w:rPr>
      </w:pPr>
      <w:r>
        <w:rPr>
          <w:rFonts w:ascii="Garamond" w:hAnsi="Garamond"/>
          <w:sz w:val="28"/>
          <w:szCs w:val="28"/>
        </w:rPr>
        <w:t>Anche il nuovo istituto della prevenzione collaborativa</w:t>
      </w:r>
      <w:r w:rsidRPr="00817F1A">
        <w:rPr>
          <w:rFonts w:ascii="Garamond" w:hAnsi="Garamond"/>
          <w:sz w:val="28"/>
          <w:szCs w:val="28"/>
        </w:rPr>
        <w:t xml:space="preserve"> pare utile strumento di contemperamento tra interesse pubblico e </w:t>
      </w:r>
      <w:r w:rsidR="004B7E6C">
        <w:rPr>
          <w:rFonts w:ascii="Garamond" w:hAnsi="Garamond"/>
          <w:sz w:val="28"/>
          <w:szCs w:val="28"/>
        </w:rPr>
        <w:t>la libertà di iniziativa economica</w:t>
      </w:r>
      <w:r w:rsidRPr="00817F1A">
        <w:rPr>
          <w:rFonts w:ascii="Garamond" w:hAnsi="Garamond"/>
          <w:sz w:val="28"/>
          <w:szCs w:val="28"/>
        </w:rPr>
        <w:t xml:space="preserve"> </w:t>
      </w:r>
      <w:r>
        <w:rPr>
          <w:rFonts w:ascii="Garamond" w:hAnsi="Garamond"/>
          <w:sz w:val="28"/>
          <w:szCs w:val="28"/>
        </w:rPr>
        <w:t xml:space="preserve">quale </w:t>
      </w:r>
      <w:r w:rsidRPr="00817F1A">
        <w:rPr>
          <w:rFonts w:ascii="Garamond" w:hAnsi="Garamond"/>
          <w:sz w:val="28"/>
          <w:szCs w:val="28"/>
        </w:rPr>
        <w:t xml:space="preserve">segno </w:t>
      </w:r>
      <w:r>
        <w:rPr>
          <w:rFonts w:ascii="Garamond" w:hAnsi="Garamond"/>
          <w:sz w:val="28"/>
          <w:szCs w:val="28"/>
        </w:rPr>
        <w:t xml:space="preserve">emblematico </w:t>
      </w:r>
      <w:r w:rsidRPr="00817F1A">
        <w:rPr>
          <w:rFonts w:ascii="Garamond" w:hAnsi="Garamond"/>
          <w:sz w:val="28"/>
          <w:szCs w:val="28"/>
        </w:rPr>
        <w:t>di un “cambiamento di pa</w:t>
      </w:r>
      <w:r>
        <w:rPr>
          <w:rFonts w:ascii="Garamond" w:hAnsi="Garamond"/>
          <w:sz w:val="28"/>
          <w:szCs w:val="28"/>
        </w:rPr>
        <w:t>sso” da parte dell’ordinamento</w:t>
      </w:r>
      <w:r w:rsidR="004B7E6C">
        <w:rPr>
          <w:rFonts w:ascii="Garamond" w:hAnsi="Garamond"/>
          <w:sz w:val="28"/>
          <w:szCs w:val="28"/>
        </w:rPr>
        <w:t xml:space="preserve"> nazionale</w:t>
      </w:r>
      <w:r>
        <w:rPr>
          <w:rFonts w:ascii="Garamond" w:hAnsi="Garamond"/>
          <w:sz w:val="28"/>
          <w:szCs w:val="28"/>
        </w:rPr>
        <w:t xml:space="preserve"> che poi costituisce l’essenza della stessa disciplina di attuazione del PNRR come evidenziato anche negli interventi che mi hanno preceduto.</w:t>
      </w:r>
    </w:p>
    <w:p w:rsidR="00817F1A" w:rsidRPr="00817F1A" w:rsidRDefault="00817F1A" w:rsidP="00817F1A">
      <w:pPr>
        <w:jc w:val="both"/>
        <w:rPr>
          <w:rFonts w:ascii="Garamond" w:hAnsi="Garamond"/>
          <w:sz w:val="28"/>
          <w:szCs w:val="28"/>
        </w:rPr>
      </w:pPr>
      <w:r>
        <w:rPr>
          <w:rFonts w:ascii="Garamond" w:hAnsi="Garamond"/>
          <w:sz w:val="28"/>
          <w:szCs w:val="28"/>
        </w:rPr>
        <w:t xml:space="preserve">Le </w:t>
      </w:r>
      <w:proofErr w:type="spellStart"/>
      <w:r>
        <w:rPr>
          <w:rFonts w:ascii="Garamond" w:hAnsi="Garamond"/>
          <w:sz w:val="28"/>
          <w:szCs w:val="28"/>
        </w:rPr>
        <w:t>i</w:t>
      </w:r>
      <w:r w:rsidRPr="00817F1A">
        <w:rPr>
          <w:rFonts w:ascii="Garamond" w:hAnsi="Garamond"/>
          <w:sz w:val="28"/>
          <w:szCs w:val="28"/>
        </w:rPr>
        <w:t>nterdittive</w:t>
      </w:r>
      <w:proofErr w:type="spellEnd"/>
      <w:r>
        <w:rPr>
          <w:rFonts w:ascii="Garamond" w:hAnsi="Garamond"/>
          <w:sz w:val="28"/>
          <w:szCs w:val="28"/>
        </w:rPr>
        <w:t xml:space="preserve"> antimafia ora diventano misure di</w:t>
      </w:r>
      <w:r w:rsidRPr="00817F1A">
        <w:rPr>
          <w:rFonts w:ascii="Garamond" w:hAnsi="Garamond"/>
          <w:sz w:val="28"/>
          <w:szCs w:val="28"/>
        </w:rPr>
        <w:t xml:space="preserve"> “</w:t>
      </w:r>
      <w:proofErr w:type="spellStart"/>
      <w:r w:rsidRPr="00817F1A">
        <w:rPr>
          <w:rFonts w:ascii="Garamond" w:hAnsi="Garamond"/>
          <w:sz w:val="28"/>
          <w:szCs w:val="28"/>
        </w:rPr>
        <w:t>extema</w:t>
      </w:r>
      <w:proofErr w:type="spellEnd"/>
      <w:r w:rsidRPr="00817F1A">
        <w:rPr>
          <w:rFonts w:ascii="Garamond" w:hAnsi="Garamond"/>
          <w:sz w:val="28"/>
          <w:szCs w:val="28"/>
        </w:rPr>
        <w:t xml:space="preserve"> ratio” </w:t>
      </w:r>
      <w:r>
        <w:rPr>
          <w:rFonts w:ascii="Garamond" w:hAnsi="Garamond"/>
          <w:sz w:val="28"/>
          <w:szCs w:val="28"/>
        </w:rPr>
        <w:t xml:space="preserve">dato il </w:t>
      </w:r>
      <w:r w:rsidR="00C2091C">
        <w:rPr>
          <w:rFonts w:ascii="Garamond" w:hAnsi="Garamond"/>
          <w:sz w:val="28"/>
          <w:szCs w:val="28"/>
        </w:rPr>
        <w:t>“</w:t>
      </w:r>
      <w:proofErr w:type="spellStart"/>
      <w:r w:rsidRPr="00817F1A">
        <w:rPr>
          <w:rFonts w:ascii="Garamond" w:hAnsi="Garamond"/>
          <w:sz w:val="28"/>
          <w:szCs w:val="28"/>
        </w:rPr>
        <w:t>fav</w:t>
      </w:r>
      <w:r>
        <w:rPr>
          <w:rFonts w:ascii="Garamond" w:hAnsi="Garamond"/>
          <w:sz w:val="28"/>
          <w:szCs w:val="28"/>
        </w:rPr>
        <w:t>or</w:t>
      </w:r>
      <w:proofErr w:type="spellEnd"/>
      <w:r w:rsidR="00C2091C">
        <w:rPr>
          <w:rFonts w:ascii="Garamond" w:hAnsi="Garamond"/>
          <w:sz w:val="28"/>
          <w:szCs w:val="28"/>
        </w:rPr>
        <w:t>”</w:t>
      </w:r>
      <w:r>
        <w:rPr>
          <w:rFonts w:ascii="Garamond" w:hAnsi="Garamond"/>
          <w:sz w:val="28"/>
          <w:szCs w:val="28"/>
        </w:rPr>
        <w:t xml:space="preserve"> del legislatore per l’applicazione di</w:t>
      </w:r>
      <w:r w:rsidRPr="00817F1A">
        <w:rPr>
          <w:rFonts w:ascii="Garamond" w:hAnsi="Garamond"/>
          <w:sz w:val="28"/>
          <w:szCs w:val="28"/>
        </w:rPr>
        <w:t xml:space="preserve"> misure meno imp</w:t>
      </w:r>
      <w:r w:rsidR="000C00FD">
        <w:rPr>
          <w:rFonts w:ascii="Garamond" w:hAnsi="Garamond"/>
          <w:sz w:val="28"/>
          <w:szCs w:val="28"/>
        </w:rPr>
        <w:t>attanti sulle imprese</w:t>
      </w:r>
      <w:r w:rsidR="00872DF0">
        <w:rPr>
          <w:rFonts w:ascii="Garamond" w:hAnsi="Garamond"/>
          <w:sz w:val="28"/>
          <w:szCs w:val="28"/>
        </w:rPr>
        <w:t>,</w:t>
      </w:r>
      <w:r w:rsidR="000C00FD">
        <w:rPr>
          <w:rFonts w:ascii="Garamond" w:hAnsi="Garamond"/>
          <w:sz w:val="28"/>
          <w:szCs w:val="28"/>
        </w:rPr>
        <w:t xml:space="preserve"> le quali presuppongono un dialogo con il potere amministrativo sin qui praticamente sconosciuto.</w:t>
      </w:r>
    </w:p>
    <w:p w:rsidR="00AD2DF7" w:rsidRPr="009716A3" w:rsidRDefault="00AD2DF7" w:rsidP="00424176">
      <w:pPr>
        <w:jc w:val="right"/>
        <w:rPr>
          <w:rFonts w:ascii="Garamond" w:hAnsi="Garamond"/>
          <w:sz w:val="28"/>
          <w:szCs w:val="28"/>
        </w:rPr>
      </w:pPr>
    </w:p>
    <w:p w:rsidR="00645801" w:rsidRPr="00645801" w:rsidRDefault="00645801" w:rsidP="00424176">
      <w:pPr>
        <w:jc w:val="right"/>
        <w:rPr>
          <w:rFonts w:ascii="Garamond" w:hAnsi="Garamond"/>
          <w:b/>
          <w:sz w:val="28"/>
          <w:szCs w:val="28"/>
        </w:rPr>
      </w:pPr>
      <w:r w:rsidRPr="00645801">
        <w:rPr>
          <w:rFonts w:ascii="Garamond" w:hAnsi="Garamond"/>
          <w:b/>
          <w:sz w:val="28"/>
          <w:szCs w:val="28"/>
        </w:rPr>
        <w:t xml:space="preserve">Paolo </w:t>
      </w:r>
      <w:proofErr w:type="spellStart"/>
      <w:r w:rsidRPr="00645801">
        <w:rPr>
          <w:rFonts w:ascii="Garamond" w:hAnsi="Garamond"/>
          <w:b/>
          <w:sz w:val="28"/>
          <w:szCs w:val="28"/>
        </w:rPr>
        <w:t>Amovilli</w:t>
      </w:r>
      <w:proofErr w:type="spellEnd"/>
    </w:p>
    <w:p w:rsidR="0098207D" w:rsidRDefault="00645801" w:rsidP="00424176">
      <w:pPr>
        <w:jc w:val="right"/>
        <w:rPr>
          <w:rFonts w:ascii="Garamond" w:hAnsi="Garamond"/>
          <w:sz w:val="28"/>
          <w:szCs w:val="28"/>
        </w:rPr>
      </w:pPr>
      <w:r>
        <w:rPr>
          <w:rFonts w:ascii="Garamond" w:hAnsi="Garamond"/>
          <w:sz w:val="28"/>
          <w:szCs w:val="28"/>
        </w:rPr>
        <w:t>Consigliere T</w:t>
      </w:r>
      <w:r w:rsidR="00424176">
        <w:rPr>
          <w:rFonts w:ascii="Garamond" w:hAnsi="Garamond"/>
          <w:sz w:val="28"/>
          <w:szCs w:val="28"/>
        </w:rPr>
        <w:t>ar</w:t>
      </w:r>
      <w:r>
        <w:rPr>
          <w:rFonts w:ascii="Garamond" w:hAnsi="Garamond"/>
          <w:sz w:val="28"/>
          <w:szCs w:val="28"/>
        </w:rPr>
        <w:t xml:space="preserve"> Bologna</w:t>
      </w:r>
      <w:r w:rsidR="0098207D">
        <w:rPr>
          <w:rFonts w:ascii="Garamond" w:hAnsi="Garamond"/>
          <w:sz w:val="28"/>
          <w:szCs w:val="28"/>
        </w:rPr>
        <w:t xml:space="preserve">  </w:t>
      </w:r>
    </w:p>
    <w:p w:rsidR="00424176" w:rsidRDefault="00424176" w:rsidP="00424176">
      <w:pPr>
        <w:jc w:val="right"/>
        <w:rPr>
          <w:rFonts w:ascii="Garamond" w:hAnsi="Garamond"/>
          <w:sz w:val="28"/>
          <w:szCs w:val="28"/>
        </w:rPr>
      </w:pPr>
    </w:p>
    <w:p w:rsidR="00424176" w:rsidRPr="00150C3A" w:rsidRDefault="00424176" w:rsidP="00424176">
      <w:pPr>
        <w:jc w:val="right"/>
        <w:rPr>
          <w:rFonts w:ascii="Garamond" w:hAnsi="Garamond"/>
          <w:sz w:val="28"/>
          <w:szCs w:val="28"/>
        </w:rPr>
      </w:pPr>
      <w:r>
        <w:rPr>
          <w:rFonts w:ascii="Garamond" w:hAnsi="Garamond"/>
          <w:sz w:val="28"/>
          <w:szCs w:val="28"/>
        </w:rPr>
        <w:t>Pubblicato il 31 gennaio 2022</w:t>
      </w:r>
      <w:bookmarkStart w:id="0" w:name="_GoBack"/>
      <w:bookmarkEnd w:id="0"/>
    </w:p>
    <w:p w:rsidR="00AB5769" w:rsidRPr="00AB5769" w:rsidRDefault="00AB5769" w:rsidP="00AB5769">
      <w:pPr>
        <w:ind w:left="360"/>
        <w:jc w:val="both"/>
        <w:rPr>
          <w:rFonts w:ascii="Garamond" w:hAnsi="Garamond"/>
          <w:sz w:val="28"/>
          <w:szCs w:val="28"/>
        </w:rPr>
      </w:pPr>
    </w:p>
    <w:p w:rsidR="00F4024A" w:rsidRDefault="00F4024A" w:rsidP="006110F6">
      <w:pPr>
        <w:jc w:val="both"/>
        <w:rPr>
          <w:rFonts w:ascii="Garamond" w:hAnsi="Garamond"/>
          <w:sz w:val="28"/>
          <w:szCs w:val="28"/>
        </w:rPr>
      </w:pPr>
    </w:p>
    <w:p w:rsidR="00FE085F" w:rsidRPr="00680F1E" w:rsidRDefault="00FE085F" w:rsidP="00680F1E">
      <w:pPr>
        <w:jc w:val="both"/>
        <w:rPr>
          <w:rFonts w:ascii="Garamond" w:hAnsi="Garamond"/>
          <w:sz w:val="28"/>
          <w:szCs w:val="28"/>
        </w:rPr>
      </w:pPr>
    </w:p>
    <w:sectPr w:rsidR="00FE085F" w:rsidRPr="00680F1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0B7" w:rsidRDefault="00B240B7" w:rsidP="005C3D79">
      <w:pPr>
        <w:spacing w:after="0" w:line="240" w:lineRule="auto"/>
      </w:pPr>
      <w:r>
        <w:separator/>
      </w:r>
    </w:p>
  </w:endnote>
  <w:endnote w:type="continuationSeparator" w:id="0">
    <w:p w:rsidR="00B240B7" w:rsidRDefault="00B240B7" w:rsidP="005C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551458"/>
      <w:docPartObj>
        <w:docPartGallery w:val="Page Numbers (Bottom of Page)"/>
        <w:docPartUnique/>
      </w:docPartObj>
    </w:sdtPr>
    <w:sdtEndPr/>
    <w:sdtContent>
      <w:p w:rsidR="000260BB" w:rsidRDefault="000260BB">
        <w:pPr>
          <w:pStyle w:val="Pidipagina"/>
          <w:jc w:val="center"/>
        </w:pPr>
        <w:r>
          <w:fldChar w:fldCharType="begin"/>
        </w:r>
        <w:r>
          <w:instrText>PAGE   \* MERGEFORMAT</w:instrText>
        </w:r>
        <w:r>
          <w:fldChar w:fldCharType="separate"/>
        </w:r>
        <w:r w:rsidR="00424176">
          <w:rPr>
            <w:noProof/>
          </w:rPr>
          <w:t>13</w:t>
        </w:r>
        <w:r>
          <w:fldChar w:fldCharType="end"/>
        </w:r>
      </w:p>
    </w:sdtContent>
  </w:sdt>
  <w:p w:rsidR="000260BB" w:rsidRDefault="000260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0B7" w:rsidRDefault="00B240B7" w:rsidP="005C3D79">
      <w:pPr>
        <w:spacing w:after="0" w:line="240" w:lineRule="auto"/>
      </w:pPr>
      <w:r>
        <w:separator/>
      </w:r>
    </w:p>
  </w:footnote>
  <w:footnote w:type="continuationSeparator" w:id="0">
    <w:p w:rsidR="00B240B7" w:rsidRDefault="00B240B7" w:rsidP="005C3D79">
      <w:pPr>
        <w:spacing w:after="0" w:line="240" w:lineRule="auto"/>
      </w:pPr>
      <w:r>
        <w:continuationSeparator/>
      </w:r>
    </w:p>
  </w:footnote>
  <w:footnote w:id="1">
    <w:p w:rsidR="008A0E8E" w:rsidRDefault="008A0E8E" w:rsidP="008A0E8E">
      <w:pPr>
        <w:pStyle w:val="Testonotaapidipagina"/>
        <w:jc w:val="both"/>
      </w:pPr>
      <w:r>
        <w:rPr>
          <w:rStyle w:val="Rimandonotaapidipagina"/>
        </w:rPr>
        <w:footnoteRef/>
      </w:r>
      <w:r>
        <w:t xml:space="preserve"> Con le quali si </w:t>
      </w:r>
      <w:proofErr w:type="spellStart"/>
      <w:r>
        <w:t>da</w:t>
      </w:r>
      <w:proofErr w:type="spellEnd"/>
      <w:r>
        <w:t xml:space="preserve"> vita ad una sorta di sottoinsieme normativo con una vera e propria “fuga” dal Codice degli appalti approvato con d.lgs. 50/2016 ed in attesa dell’entrata in vigore nel 2022 del nuovo Codice di cui al disegno di legge delega già approvato dal Governo. </w:t>
      </w:r>
    </w:p>
  </w:footnote>
  <w:footnote w:id="2">
    <w:p w:rsidR="000260BB" w:rsidRDefault="000260BB" w:rsidP="00B3409C">
      <w:pPr>
        <w:pStyle w:val="Testonotaapidipagina"/>
        <w:jc w:val="both"/>
      </w:pPr>
      <w:r>
        <w:rPr>
          <w:rStyle w:val="Rimandonotaapidipagina"/>
        </w:rPr>
        <w:footnoteRef/>
      </w:r>
      <w:r>
        <w:t xml:space="preserve"> Vedi l’art. 80 c. 7  secondo cui </w:t>
      </w:r>
      <w:r w:rsidRPr="00B3409C">
        <w:t xml:space="preserve">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w:t>
      </w:r>
      <w:proofErr w:type="spellStart"/>
      <w:r w:rsidRPr="00B3409C">
        <w:t>e'</w:t>
      </w:r>
      <w:proofErr w:type="spellEnd"/>
      <w:r w:rsidRPr="00B3409C">
        <w:t xml:space="preserve"> ammesso a provare di aver risarcito o di essersi impegnato a risarcire qualunque danno causato dal reato o dall'illecito e di aver adottato provvedimenti concreti di carattere tecnico, organizzativo e relativi al personale idonei a prevenire ulteriori reati o illecit</w:t>
      </w:r>
      <w:r>
        <w:t>i.</w:t>
      </w:r>
    </w:p>
  </w:footnote>
  <w:footnote w:id="3">
    <w:p w:rsidR="000260BB" w:rsidRDefault="000260BB" w:rsidP="00D6156F">
      <w:pPr>
        <w:pStyle w:val="Testonotaapidipagina"/>
        <w:jc w:val="both"/>
      </w:pPr>
      <w:r>
        <w:rPr>
          <w:rStyle w:val="Rimandonotaapidipagina"/>
        </w:rPr>
        <w:footnoteRef/>
      </w:r>
      <w:r>
        <w:t xml:space="preserve"> </w:t>
      </w:r>
      <w:r w:rsidRPr="00B3409C">
        <w:t>T.A.R.</w:t>
      </w:r>
      <w:r>
        <w:t xml:space="preserve"> Campania Napoli, sez. I, 1 dicembre </w:t>
      </w:r>
      <w:r w:rsidRPr="00B3409C">
        <w:t>2020, n.</w:t>
      </w:r>
      <w:r>
        <w:t xml:space="preserve"> 5690; T.A.R. Emilia-</w:t>
      </w:r>
      <w:r w:rsidRPr="00B3409C">
        <w:t>Roma</w:t>
      </w:r>
      <w:r w:rsidR="00D6156F">
        <w:t>gna Bologna sez. I, 6 dicembre 2021, n. 997.</w:t>
      </w:r>
    </w:p>
  </w:footnote>
  <w:footnote w:id="4">
    <w:p w:rsidR="000260BB" w:rsidRDefault="000260BB">
      <w:pPr>
        <w:pStyle w:val="Testonotaapidipagina"/>
      </w:pPr>
      <w:r>
        <w:rPr>
          <w:rStyle w:val="Rimandonotaapidipagina"/>
        </w:rPr>
        <w:footnoteRef/>
      </w:r>
      <w:r>
        <w:t xml:space="preserve">  Tra le tante </w:t>
      </w:r>
      <w:r w:rsidRPr="00613E16">
        <w:t>Consiglio di Stato, sez. III, 11 settembre 2017, n. 4286; id. sez. III, 22 marzo 2017, n. 1312</w:t>
      </w:r>
      <w:r>
        <w:t>.</w:t>
      </w:r>
    </w:p>
  </w:footnote>
  <w:footnote w:id="5">
    <w:p w:rsidR="000260BB" w:rsidRDefault="000260BB">
      <w:pPr>
        <w:pStyle w:val="Testonotaapidipagina"/>
      </w:pPr>
      <w:r>
        <w:rPr>
          <w:rStyle w:val="Rimandonotaapidipagina"/>
        </w:rPr>
        <w:footnoteRef/>
      </w:r>
      <w:r>
        <w:t xml:space="preserve"> </w:t>
      </w:r>
      <w:r w:rsidR="00A309E0">
        <w:t xml:space="preserve">Ex </w:t>
      </w:r>
      <w:proofErr w:type="spellStart"/>
      <w:r w:rsidR="00A309E0">
        <w:t>plurimis</w:t>
      </w:r>
      <w:proofErr w:type="spellEnd"/>
      <w:r w:rsidR="00A309E0">
        <w:t xml:space="preserve"> </w:t>
      </w:r>
      <w:r w:rsidRPr="00613E16">
        <w:t xml:space="preserve">T.A.R. Emilia-Romagna Parma 2 dicembre </w:t>
      </w:r>
      <w:proofErr w:type="gramStart"/>
      <w:r w:rsidRPr="00613E16">
        <w:t>2015</w:t>
      </w:r>
      <w:r>
        <w:t>,</w:t>
      </w:r>
      <w:r w:rsidRPr="00613E16">
        <w:t>,</w:t>
      </w:r>
      <w:proofErr w:type="gramEnd"/>
      <w:r w:rsidRPr="00613E16">
        <w:t xml:space="preserve"> n. 1060</w:t>
      </w:r>
    </w:p>
  </w:footnote>
  <w:footnote w:id="6">
    <w:p w:rsidR="000260BB" w:rsidRDefault="000260BB" w:rsidP="00B3409C">
      <w:pPr>
        <w:pStyle w:val="Testonotaapidipagina"/>
        <w:jc w:val="both"/>
      </w:pPr>
      <w:r>
        <w:rPr>
          <w:rStyle w:val="Rimandonotaapidipagina"/>
        </w:rPr>
        <w:footnoteRef/>
      </w:r>
      <w:r>
        <w:t xml:space="preserve"> F.G. </w:t>
      </w:r>
      <w:proofErr w:type="spellStart"/>
      <w:r>
        <w:t>Scoca</w:t>
      </w:r>
      <w:proofErr w:type="spellEnd"/>
      <w:r>
        <w:t xml:space="preserve"> “Razionalità e costituzionalità della documentazione antimafia in materia di appalti pubblici” in </w:t>
      </w:r>
      <w:proofErr w:type="spellStart"/>
      <w:r>
        <w:t>wwwgiustiziaamministrativa</w:t>
      </w:r>
      <w:proofErr w:type="spellEnd"/>
      <w:r>
        <w:t xml:space="preserve"> n. 6/2013; L. </w:t>
      </w:r>
      <w:proofErr w:type="spellStart"/>
      <w:r>
        <w:t>Bordin</w:t>
      </w:r>
      <w:proofErr w:type="spellEnd"/>
      <w:r>
        <w:t xml:space="preserve"> “Contraddittorio </w:t>
      </w:r>
      <w:proofErr w:type="spellStart"/>
      <w:r>
        <w:t>endoprocedimentale</w:t>
      </w:r>
      <w:proofErr w:type="spellEnd"/>
      <w:r>
        <w:t xml:space="preserve"> e </w:t>
      </w:r>
      <w:proofErr w:type="spellStart"/>
      <w:r>
        <w:t>interdittive</w:t>
      </w:r>
      <w:proofErr w:type="spellEnd"/>
      <w:r>
        <w:t xml:space="preserve"> antimafia: la questione rimessa alla Corte di Giustizia. E se il problema fosse altrove?  In wwwfederalismi.it n. 22/2020; A. Longo “La massima anticipazione di tutela. </w:t>
      </w:r>
      <w:proofErr w:type="spellStart"/>
      <w:r>
        <w:t>Interdittive</w:t>
      </w:r>
      <w:proofErr w:type="spellEnd"/>
      <w:r>
        <w:t xml:space="preserve"> antimafia e sofferenze costituzionali” In wwwfederalismi.it n. 19/2019</w:t>
      </w:r>
      <w:r w:rsidR="00753032">
        <w:t>.</w:t>
      </w:r>
    </w:p>
  </w:footnote>
  <w:footnote w:id="7">
    <w:p w:rsidR="000260BB" w:rsidRDefault="000260BB">
      <w:pPr>
        <w:pStyle w:val="Testonotaapidipagina"/>
      </w:pPr>
      <w:r>
        <w:rPr>
          <w:rStyle w:val="Rimandonotaapidipagina"/>
        </w:rPr>
        <w:footnoteRef/>
      </w:r>
      <w:r>
        <w:t xml:space="preserve"> </w:t>
      </w:r>
      <w:r w:rsidRPr="00CC64A1">
        <w:t>Corte Costituzion</w:t>
      </w:r>
      <w:r>
        <w:t xml:space="preserve">ale </w:t>
      </w:r>
      <w:proofErr w:type="spellStart"/>
      <w:r>
        <w:t>sent</w:t>
      </w:r>
      <w:proofErr w:type="spellEnd"/>
      <w:r>
        <w:t>. 26 marzo 2020, n. 57.</w:t>
      </w:r>
    </w:p>
  </w:footnote>
  <w:footnote w:id="8">
    <w:p w:rsidR="00535C7D" w:rsidRDefault="00535C7D">
      <w:pPr>
        <w:pStyle w:val="Testonotaapidipagina"/>
      </w:pPr>
      <w:r>
        <w:rPr>
          <w:rStyle w:val="Rimandonotaapidipagina"/>
        </w:rPr>
        <w:footnoteRef/>
      </w:r>
      <w:r>
        <w:t xml:space="preserve"> </w:t>
      </w:r>
      <w:r w:rsidRPr="00535C7D">
        <w:t xml:space="preserve">Corte EDU 8 giugno 1976 Engel e </w:t>
      </w:r>
      <w:proofErr w:type="spellStart"/>
      <w:r w:rsidRPr="00535C7D">
        <w:t>a.c.</w:t>
      </w:r>
      <w:proofErr w:type="spellEnd"/>
      <w:r w:rsidRPr="00535C7D">
        <w:t xml:space="preserve"> paesi Bassi; Id sez. I, 10 dicembre 2020 Edizi</w:t>
      </w:r>
      <w:r w:rsidR="00C2091C">
        <w:t xml:space="preserve">oni del Roma </w:t>
      </w:r>
      <w:proofErr w:type="spellStart"/>
      <w:r w:rsidR="00C2091C">
        <w:t>s.c.r.l</w:t>
      </w:r>
      <w:proofErr w:type="spellEnd"/>
      <w:r w:rsidR="00C2091C">
        <w:t>. c/Italia</w:t>
      </w:r>
    </w:p>
  </w:footnote>
  <w:footnote w:id="9">
    <w:p w:rsidR="00535C7D" w:rsidRDefault="00535C7D">
      <w:pPr>
        <w:pStyle w:val="Testonotaapidipagina"/>
      </w:pPr>
      <w:r>
        <w:rPr>
          <w:rStyle w:val="Rimandonotaapidipagina"/>
        </w:rPr>
        <w:footnoteRef/>
      </w:r>
      <w:r>
        <w:t xml:space="preserve"> </w:t>
      </w:r>
      <w:r w:rsidRPr="00535C7D">
        <w:t xml:space="preserve">T.A.R. </w:t>
      </w:r>
      <w:r>
        <w:t xml:space="preserve">Sicilia </w:t>
      </w:r>
      <w:proofErr w:type="gramStart"/>
      <w:r>
        <w:t>Catania,  sez.</w:t>
      </w:r>
      <w:proofErr w:type="gramEnd"/>
      <w:r>
        <w:t xml:space="preserve"> IV, 19 aprile </w:t>
      </w:r>
      <w:r w:rsidRPr="00535C7D">
        <w:t>2021, n.1229</w:t>
      </w:r>
    </w:p>
  </w:footnote>
  <w:footnote w:id="10">
    <w:p w:rsidR="000260BB" w:rsidRDefault="000260BB">
      <w:pPr>
        <w:pStyle w:val="Testonotaapidipagina"/>
      </w:pPr>
      <w:r>
        <w:rPr>
          <w:rStyle w:val="Rimandonotaapidipagina"/>
        </w:rPr>
        <w:footnoteRef/>
      </w:r>
      <w:r>
        <w:t xml:space="preserve"> E</w:t>
      </w:r>
      <w:r w:rsidRPr="00CC64A1">
        <w:t xml:space="preserve">x </w:t>
      </w:r>
      <w:proofErr w:type="spellStart"/>
      <w:r w:rsidRPr="00CC64A1">
        <w:t>multis</w:t>
      </w:r>
      <w:proofErr w:type="spellEnd"/>
      <w:r w:rsidRPr="00CC64A1">
        <w:t xml:space="preserve"> Consiglio di Stato sez</w:t>
      </w:r>
      <w:r>
        <w:t>. VI, 19 ottobre 2009, n. 6380.</w:t>
      </w:r>
    </w:p>
  </w:footnote>
  <w:footnote w:id="11">
    <w:p w:rsidR="000260BB" w:rsidRDefault="000260BB" w:rsidP="00182E07">
      <w:pPr>
        <w:pStyle w:val="Testonotaapidipagina"/>
        <w:jc w:val="both"/>
      </w:pPr>
      <w:r>
        <w:rPr>
          <w:rStyle w:val="Rimandonotaapidipagina"/>
        </w:rPr>
        <w:footnoteRef/>
      </w:r>
      <w:r>
        <w:t xml:space="preserve"> </w:t>
      </w:r>
      <w:r w:rsidRPr="00CC64A1">
        <w:t>T.A.R. Emilia-Romagna, Parma, 2 dicembre 2015, n. 1060; T.A.R. Sicilia, Catania, sez. IV, 7 novembre 2016, n. 2866; Consiglio di Stato, sez. III, 5 aprile 2016, n. 1328</w:t>
      </w:r>
    </w:p>
  </w:footnote>
  <w:footnote w:id="12">
    <w:p w:rsidR="000260BB" w:rsidRDefault="000260BB" w:rsidP="00182E07">
      <w:pPr>
        <w:pStyle w:val="Testonotaapidipagina"/>
        <w:jc w:val="both"/>
      </w:pPr>
      <w:r>
        <w:rPr>
          <w:rStyle w:val="Rimandonotaapidipagina"/>
        </w:rPr>
        <w:footnoteRef/>
      </w:r>
      <w:r>
        <w:t xml:space="preserve"> Così Consiglio di Stato, </w:t>
      </w:r>
      <w:proofErr w:type="spellStart"/>
      <w:r>
        <w:t>sez</w:t>
      </w:r>
      <w:proofErr w:type="spellEnd"/>
      <w:r>
        <w:t xml:space="preserve"> III, </w:t>
      </w:r>
      <w:r w:rsidRPr="00CC64A1">
        <w:t>3 maggio 2016, n. 1743; T.A.R. Emilia - Romagna, Bologna, sez. I, 9 luglio 2020, n. 481; T.A.R. Campania Napoli se</w:t>
      </w:r>
      <w:r w:rsidR="00C2091C">
        <w:t>z. I, 1 settembre 2020, n. 3706</w:t>
      </w:r>
      <w:r w:rsidRPr="00CC64A1">
        <w:t>.</w:t>
      </w:r>
    </w:p>
  </w:footnote>
  <w:footnote w:id="13">
    <w:p w:rsidR="000260BB" w:rsidRDefault="000260BB" w:rsidP="00182E07">
      <w:pPr>
        <w:pStyle w:val="Testonotaapidipagina"/>
        <w:jc w:val="both"/>
      </w:pPr>
      <w:r>
        <w:rPr>
          <w:rStyle w:val="Rimandonotaapidipagina"/>
        </w:rPr>
        <w:footnoteRef/>
      </w:r>
      <w:r>
        <w:t xml:space="preserve"> Da ultimo </w:t>
      </w:r>
      <w:r w:rsidRPr="001008B0">
        <w:t xml:space="preserve">T.A.R. </w:t>
      </w:r>
      <w:r>
        <w:t xml:space="preserve">Campania Napoli, sez. I, 10 giugno </w:t>
      </w:r>
      <w:r w:rsidRPr="001008B0">
        <w:t>2021, n. 3925</w:t>
      </w:r>
      <w:r>
        <w:t>;</w:t>
      </w:r>
      <w:r w:rsidRPr="001008B0">
        <w:t xml:space="preserve"> Con</w:t>
      </w:r>
      <w:r>
        <w:t xml:space="preserve">siglio di Stato sez. III, 22 giugno </w:t>
      </w:r>
      <w:r w:rsidRPr="001008B0">
        <w:t xml:space="preserve">2020, n. 3959  </w:t>
      </w:r>
    </w:p>
  </w:footnote>
  <w:footnote w:id="14">
    <w:p w:rsidR="000260BB" w:rsidRDefault="000260BB" w:rsidP="00182E07">
      <w:pPr>
        <w:pStyle w:val="Testonotaapidipagina"/>
        <w:jc w:val="both"/>
      </w:pPr>
      <w:r>
        <w:rPr>
          <w:rStyle w:val="Rimandonotaapidipagina"/>
        </w:rPr>
        <w:footnoteRef/>
      </w:r>
      <w:r>
        <w:t xml:space="preserve"> </w:t>
      </w:r>
      <w:r w:rsidRPr="001008B0">
        <w:t>Consiglio di Stato sez. III, 31 gennaio 2020</w:t>
      </w:r>
      <w:r w:rsidR="00535C7D">
        <w:t>,</w:t>
      </w:r>
      <w:r w:rsidRPr="001008B0">
        <w:t xml:space="preserve"> n. 820</w:t>
      </w:r>
    </w:p>
  </w:footnote>
  <w:footnote w:id="15">
    <w:p w:rsidR="000260BB" w:rsidRDefault="000260BB" w:rsidP="00182E07">
      <w:pPr>
        <w:pStyle w:val="Testonotaapidipagina"/>
        <w:jc w:val="both"/>
      </w:pPr>
      <w:r>
        <w:rPr>
          <w:rStyle w:val="Rimandonotaapidipagina"/>
        </w:rPr>
        <w:footnoteRef/>
      </w:r>
      <w:r>
        <w:t xml:space="preserve"> </w:t>
      </w:r>
      <w:r w:rsidRPr="00FF1394">
        <w:t xml:space="preserve">T.A.R. </w:t>
      </w:r>
      <w:r>
        <w:t xml:space="preserve">Lombardia Milano, sez. III, 5 novembre </w:t>
      </w:r>
      <w:r w:rsidRPr="00FF1394">
        <w:t>2020, n.</w:t>
      </w:r>
      <w:r>
        <w:t xml:space="preserve"> 2064; T.A.R. Puglia Bari sez. I, 4 gennaio 2021, n. 16, T.A.R. Sicilia Catania sez. III, 24 aprile 2020, n. 798.</w:t>
      </w:r>
    </w:p>
  </w:footnote>
  <w:footnote w:id="16">
    <w:p w:rsidR="0080365E" w:rsidRDefault="0080365E">
      <w:pPr>
        <w:pStyle w:val="Testonotaapidipagina"/>
      </w:pPr>
      <w:r>
        <w:rPr>
          <w:rStyle w:val="Rimandonotaapidipagina"/>
        </w:rPr>
        <w:footnoteRef/>
      </w:r>
      <w:r>
        <w:t xml:space="preserve"> G. Montedoro</w:t>
      </w:r>
      <w:r w:rsidRPr="0080365E">
        <w:t xml:space="preserve"> </w:t>
      </w:r>
      <w:r>
        <w:t>“</w:t>
      </w:r>
      <w:r w:rsidRPr="0080365E">
        <w:t>Potere amministrativo, sindacato del giudice e difetto di motivazione</w:t>
      </w:r>
      <w:r>
        <w:t>”</w:t>
      </w:r>
      <w:r w:rsidRPr="0080365E">
        <w:t>, in www.Giustamm.it</w:t>
      </w:r>
    </w:p>
  </w:footnote>
  <w:footnote w:id="17">
    <w:p w:rsidR="000260BB" w:rsidRDefault="000260BB">
      <w:pPr>
        <w:pStyle w:val="Testonotaapidipagina"/>
      </w:pPr>
      <w:r>
        <w:rPr>
          <w:rStyle w:val="Rimandonotaapidipagina"/>
        </w:rPr>
        <w:footnoteRef/>
      </w:r>
      <w:r>
        <w:t xml:space="preserve"> Corte Costituzionale </w:t>
      </w:r>
      <w:proofErr w:type="spellStart"/>
      <w:r w:rsidRPr="00DC2376">
        <w:t>sent</w:t>
      </w:r>
      <w:proofErr w:type="spellEnd"/>
      <w:r w:rsidRPr="00DC2376">
        <w:t>. n. 71/2015 sull’art 41 bis TU espropriazioni</w:t>
      </w:r>
      <w:r>
        <w:t>.</w:t>
      </w:r>
    </w:p>
  </w:footnote>
  <w:footnote w:id="18">
    <w:p w:rsidR="000260BB" w:rsidRDefault="000260BB">
      <w:pPr>
        <w:pStyle w:val="Testonotaapidipagina"/>
      </w:pPr>
      <w:r>
        <w:rPr>
          <w:rStyle w:val="Rimandonotaapidipagina"/>
        </w:rPr>
        <w:footnoteRef/>
      </w:r>
      <w:r>
        <w:t xml:space="preserve"> E</w:t>
      </w:r>
      <w:r w:rsidRPr="003C6DBA">
        <w:t xml:space="preserve">x </w:t>
      </w:r>
      <w:proofErr w:type="spellStart"/>
      <w:r w:rsidRPr="003C6DBA">
        <w:t>multis</w:t>
      </w:r>
      <w:proofErr w:type="spellEnd"/>
      <w:r>
        <w:t xml:space="preserve"> </w:t>
      </w:r>
      <w:r w:rsidRPr="003C6DBA">
        <w:t>Consiglio di Stato se</w:t>
      </w:r>
      <w:r>
        <w:t>z. IV, 12 ottobre 2016, n. 4213</w:t>
      </w:r>
    </w:p>
  </w:footnote>
  <w:footnote w:id="19">
    <w:p w:rsidR="000260BB" w:rsidRDefault="000260BB" w:rsidP="00C2091C">
      <w:pPr>
        <w:pStyle w:val="Testonotaapidipagina"/>
        <w:jc w:val="both"/>
      </w:pPr>
      <w:r>
        <w:rPr>
          <w:rStyle w:val="Rimandonotaapidipagina"/>
        </w:rPr>
        <w:footnoteRef/>
      </w:r>
      <w:r>
        <w:t xml:space="preserve"> In relazione giusto il disposto dell’art. 11 </w:t>
      </w:r>
      <w:proofErr w:type="spellStart"/>
      <w:r>
        <w:t>D.p.r</w:t>
      </w:r>
      <w:proofErr w:type="spellEnd"/>
      <w:r w:rsidR="004D0547">
        <w:t xml:space="preserve"> 327/2001 </w:t>
      </w:r>
      <w:r>
        <w:t>alle varianti limitate o a</w:t>
      </w:r>
      <w:r w:rsidR="00C2091C">
        <w:t xml:space="preserve">d oggetto specifico cfr. T.A.R. </w:t>
      </w:r>
      <w:r>
        <w:t xml:space="preserve">Sardegna sez. II, 23 febbraio 2017, n. 136. </w:t>
      </w:r>
    </w:p>
  </w:footnote>
  <w:footnote w:id="20">
    <w:p w:rsidR="000260BB" w:rsidRDefault="000260BB">
      <w:pPr>
        <w:pStyle w:val="Testonotaapidipagina"/>
      </w:pPr>
      <w:r>
        <w:rPr>
          <w:rStyle w:val="Rimandonotaapidipagina"/>
        </w:rPr>
        <w:footnoteRef/>
      </w:r>
      <w:r>
        <w:t xml:space="preserve"> T.A.R. Lazi</w:t>
      </w:r>
      <w:r w:rsidR="004D0547">
        <w:t>o Latina 7 giugno 2010</w:t>
      </w:r>
      <w:r w:rsidR="00C2091C">
        <w:t>,</w:t>
      </w:r>
      <w:r w:rsidR="004D0547">
        <w:t xml:space="preserve"> n. 1005; </w:t>
      </w:r>
      <w:r>
        <w:t>Consiglio di Stato</w:t>
      </w:r>
      <w:r w:rsidR="00092908">
        <w:t xml:space="preserve"> sez. IV, 30 giugno 2010, n. 4176.</w:t>
      </w:r>
    </w:p>
  </w:footnote>
  <w:footnote w:id="21">
    <w:p w:rsidR="000260BB" w:rsidRDefault="000260BB">
      <w:pPr>
        <w:pStyle w:val="Testonotaapidipagina"/>
      </w:pPr>
      <w:r>
        <w:rPr>
          <w:rStyle w:val="Rimandonotaapidipagina"/>
        </w:rPr>
        <w:footnoteRef/>
      </w:r>
      <w:r>
        <w:t xml:space="preserve"> </w:t>
      </w:r>
      <w:r w:rsidRPr="00DC2376">
        <w:t>Consiglio di Stato</w:t>
      </w:r>
      <w:r w:rsidR="00092908">
        <w:t xml:space="preserve"> sez. III,</w:t>
      </w:r>
      <w:r>
        <w:t xml:space="preserve"> 10 agosto 2020 n. 4979 </w:t>
      </w:r>
    </w:p>
  </w:footnote>
  <w:footnote w:id="22">
    <w:p w:rsidR="000260BB" w:rsidRDefault="000260BB" w:rsidP="003C6DBA">
      <w:pPr>
        <w:pStyle w:val="Testonotaapidipagina"/>
        <w:jc w:val="both"/>
      </w:pPr>
      <w:r>
        <w:rPr>
          <w:rStyle w:val="Rimandonotaapidipagina"/>
        </w:rPr>
        <w:footnoteRef/>
      </w:r>
      <w:r w:rsidRPr="003C6DBA">
        <w:t xml:space="preserve"> 1. Ogni persona ha diritto a che le questioni che la riguardano siano trattate in modo imparziale ed equo ed entro un termine ragionevole dalle istituzioni, organi e organismi dell'Unione. 2. Tale diritto comprende in particolare: a) il diritto di ogni persona di essere ascoltata prima che nei suoi confronti venga adottato un provvedimento individuale che le rechi pregiudizio; b) il diritto di ogni persona di accedere al fascicolo che la riguarda, nel rispetto dei legittimi interessi della riservatezza e del segreto professionale e commerciale; c) l'obbligo per l'amministrazione di motivare le proprie decisioni. 3. Ogni persona ha diritto al risarcimento da parte dell'Unione dei danni cagionati dalle sue istituzioni o dai suoi agenti nell'esercizio delle loro funzioni, conformemente ai principi generali comuni agli ordinamenti degli Stati membri. 4. Ogni persona può rivolgersi alle istituzioni dell'Unione in una delle lingue dei trattati e deve ricevere una risposta nella stessa lingua.</w:t>
      </w:r>
    </w:p>
  </w:footnote>
  <w:footnote w:id="23">
    <w:p w:rsidR="000260BB" w:rsidRDefault="000260BB" w:rsidP="000028BC">
      <w:pPr>
        <w:pStyle w:val="Testonotaapidipagina"/>
        <w:jc w:val="both"/>
      </w:pPr>
      <w:r>
        <w:rPr>
          <w:rStyle w:val="Rimandonotaapidipagina"/>
        </w:rPr>
        <w:footnoteRef/>
      </w:r>
      <w:r>
        <w:t xml:space="preserve"> 1. Ogni persona ha diritto ad un'equa e pubblica udienza entro un termine ragionevole, davanti ad un tribunale indipendente e imparziale e costituito per legge, che decide sia in ordine alla controversia sui suoi diritti e obblighi di natura civile, sia sul fondamento di ogni accusa in materia penale derivata contro di lei. La sentenza deve essere resa pubblicamente, ma l'accesso alla sala d'udienza può essere vietato alla stampa e al pubblico durante tutto o una parte del processo nell'interesse della morale, dell'ordine pubblico o della sicurezza nazionale in una società democratica, quando lo esigono gli interessi dei minori o la tutela della vita privata delle parti in causa, nella misura ritenuta strettamente necessaria dal tribunale quando, in speciali circostanze, la pubblicità potrebbe pregiudicare gli interessi della giustizia.</w:t>
      </w:r>
    </w:p>
    <w:p w:rsidR="000260BB" w:rsidRDefault="000260BB" w:rsidP="000028BC">
      <w:pPr>
        <w:pStyle w:val="Testonotaapidipagina"/>
        <w:jc w:val="both"/>
      </w:pPr>
      <w:r>
        <w:t>2. Ogni persona accusata di un reato si presume innocente sino a quando la sua colpevolezza non sia stata legalmente accertata.</w:t>
      </w:r>
    </w:p>
    <w:p w:rsidR="000260BB" w:rsidRDefault="000260BB" w:rsidP="000028BC">
      <w:pPr>
        <w:pStyle w:val="Testonotaapidipagina"/>
        <w:jc w:val="both"/>
      </w:pPr>
      <w:r>
        <w:t>3. Ogni accusato ha diritto soprattutto a:</w:t>
      </w:r>
    </w:p>
    <w:p w:rsidR="000260BB" w:rsidRDefault="000260BB" w:rsidP="000028BC">
      <w:pPr>
        <w:pStyle w:val="Testonotaapidipagina"/>
        <w:jc w:val="both"/>
      </w:pPr>
      <w:r>
        <w:t>a) essere informato, nel più breve tempo possibile, in una lingua a lui comprensibile e in modo dettagliato, della natura e dei motivi dell'accusa elevata a suo carico;</w:t>
      </w:r>
    </w:p>
    <w:p w:rsidR="000260BB" w:rsidRDefault="000260BB" w:rsidP="000028BC">
      <w:pPr>
        <w:pStyle w:val="Testonotaapidipagina"/>
        <w:jc w:val="both"/>
      </w:pPr>
      <w:r>
        <w:t>b) disporre del tempo e dei mezzi necessari per preparare la sua difesa;</w:t>
      </w:r>
    </w:p>
    <w:p w:rsidR="000260BB" w:rsidRDefault="000260BB" w:rsidP="000028BC">
      <w:pPr>
        <w:pStyle w:val="Testonotaapidipagina"/>
        <w:jc w:val="both"/>
      </w:pPr>
      <w:r>
        <w:t>c) difendersi personalmente o con l'assistenza di un difensore di propria scelta e, se non ha i mezzi per pagare un difensore, poter essere assistito gratuitamente da un avvocato d'ufficio, quando lo esigono gli interessi della giustizia;</w:t>
      </w:r>
    </w:p>
    <w:p w:rsidR="000260BB" w:rsidRDefault="000260BB" w:rsidP="000028BC">
      <w:pPr>
        <w:pStyle w:val="Testonotaapidipagina"/>
        <w:jc w:val="both"/>
      </w:pPr>
      <w:r>
        <w:t>d) interrogare o far interrogare i testimoni a carico ed ottenere la citazione e l'interrogatorio dei testimoni a discarico a pari condizioni dei testimoni a carico;</w:t>
      </w:r>
    </w:p>
    <w:p w:rsidR="000260BB" w:rsidRDefault="000260BB" w:rsidP="000028BC">
      <w:pPr>
        <w:pStyle w:val="Testonotaapidipagina"/>
        <w:jc w:val="both"/>
      </w:pPr>
      <w:r>
        <w:t>e) farsi assistere gratuitamente da un interprete se non comprende o non parla la lingua usata nell'udienza.</w:t>
      </w:r>
    </w:p>
  </w:footnote>
  <w:footnote w:id="24">
    <w:p w:rsidR="000260BB" w:rsidRDefault="000260BB">
      <w:pPr>
        <w:pStyle w:val="Testonotaapidipagina"/>
      </w:pPr>
      <w:r>
        <w:rPr>
          <w:rStyle w:val="Rimandonotaapidipagina"/>
        </w:rPr>
        <w:footnoteRef/>
      </w:r>
      <w:r>
        <w:t xml:space="preserve"> </w:t>
      </w:r>
      <w:r w:rsidRPr="00F90743">
        <w:t>C</w:t>
      </w:r>
      <w:r>
        <w:t>.</w:t>
      </w:r>
      <w:r w:rsidRPr="00F90743">
        <w:t>G</w:t>
      </w:r>
      <w:r>
        <w:t>.</w:t>
      </w:r>
      <w:r w:rsidRPr="00F90743">
        <w:t>U</w:t>
      </w:r>
      <w:r>
        <w:t>.</w:t>
      </w:r>
      <w:r w:rsidRPr="00F90743">
        <w:t>E</w:t>
      </w:r>
      <w:r>
        <w:t>.</w:t>
      </w:r>
      <w:r w:rsidRPr="00F90743">
        <w:t xml:space="preserve"> </w:t>
      </w:r>
      <w:proofErr w:type="spellStart"/>
      <w:r w:rsidRPr="00F90743">
        <w:t>ord</w:t>
      </w:r>
      <w:proofErr w:type="spellEnd"/>
      <w:r w:rsidRPr="00F90743">
        <w:t>. 28 maggio 2020</w:t>
      </w:r>
    </w:p>
  </w:footnote>
  <w:footnote w:id="25">
    <w:p w:rsidR="000260BB" w:rsidRDefault="000260BB">
      <w:pPr>
        <w:pStyle w:val="Testonotaapidipagina"/>
      </w:pPr>
      <w:r>
        <w:rPr>
          <w:rStyle w:val="Rimandonotaapidipagina"/>
        </w:rPr>
        <w:footnoteRef/>
      </w:r>
      <w:r>
        <w:t xml:space="preserve"> </w:t>
      </w:r>
      <w:r w:rsidRPr="00BC343C">
        <w:t xml:space="preserve">T.A.R. Umbria 21 febbraio 2013, n. 105; T.A.R. Lombardia, Brescia </w:t>
      </w:r>
      <w:r w:rsidR="00092908">
        <w:t>sez. I, 29 maggio 2013, n. 522)</w:t>
      </w:r>
    </w:p>
  </w:footnote>
  <w:footnote w:id="26">
    <w:p w:rsidR="000260BB" w:rsidRDefault="000260BB">
      <w:pPr>
        <w:pStyle w:val="Testonotaapidipagina"/>
      </w:pPr>
      <w:r>
        <w:rPr>
          <w:rStyle w:val="Rimandonotaapidipagina"/>
        </w:rPr>
        <w:footnoteRef/>
      </w:r>
      <w:r>
        <w:t xml:space="preserve"> </w:t>
      </w:r>
      <w:r w:rsidRPr="00F90743">
        <w:t xml:space="preserve">Corte Costituzionale 11 marzo 2011 n. 80    </w:t>
      </w:r>
    </w:p>
  </w:footnote>
  <w:footnote w:id="27">
    <w:p w:rsidR="005B4054" w:rsidRDefault="005B4054">
      <w:pPr>
        <w:pStyle w:val="Testonotaapidipagina"/>
      </w:pPr>
      <w:r>
        <w:rPr>
          <w:rStyle w:val="Rimandonotaapidipagina"/>
        </w:rPr>
        <w:footnoteRef/>
      </w:r>
      <w:r>
        <w:t xml:space="preserve"> D. </w:t>
      </w:r>
      <w:proofErr w:type="spellStart"/>
      <w:r>
        <w:t>Sorace</w:t>
      </w:r>
      <w:proofErr w:type="spellEnd"/>
      <w:r>
        <w:t xml:space="preserve"> “L’Amministrazione europea secondo il Trattato di Lisbona” in Dir. </w:t>
      </w:r>
      <w:proofErr w:type="spellStart"/>
      <w:r>
        <w:t>Pubbl</w:t>
      </w:r>
      <w:proofErr w:type="spellEnd"/>
      <w:r>
        <w:t>. 2013,1.</w:t>
      </w:r>
    </w:p>
  </w:footnote>
  <w:footnote w:id="28">
    <w:p w:rsidR="000260BB" w:rsidRDefault="000260BB">
      <w:pPr>
        <w:pStyle w:val="Testonotaapidipagina"/>
      </w:pPr>
      <w:r>
        <w:rPr>
          <w:rStyle w:val="Rimandonotaapidipagina"/>
        </w:rPr>
        <w:footnoteRef/>
      </w:r>
      <w:r w:rsidR="00C43D0F">
        <w:t xml:space="preserve"> Tra le tante vedi</w:t>
      </w:r>
      <w:r>
        <w:t xml:space="preserve"> </w:t>
      </w:r>
      <w:r w:rsidR="00C43D0F">
        <w:t>C.G.U.E. 5 novembre 2014, C-166/13.</w:t>
      </w:r>
    </w:p>
  </w:footnote>
  <w:footnote w:id="29">
    <w:p w:rsidR="005B4054" w:rsidRDefault="005B4054" w:rsidP="00832374">
      <w:pPr>
        <w:pStyle w:val="Testonotaapidipagina"/>
        <w:jc w:val="both"/>
      </w:pPr>
      <w:r>
        <w:rPr>
          <w:rStyle w:val="Rimandonotaapidipagina"/>
        </w:rPr>
        <w:footnoteRef/>
      </w:r>
      <w:r>
        <w:t xml:space="preserve"> D.U. </w:t>
      </w:r>
      <w:proofErr w:type="spellStart"/>
      <w:r>
        <w:t>Galetta</w:t>
      </w:r>
      <w:proofErr w:type="spellEnd"/>
      <w:r>
        <w:t xml:space="preserve"> “Il diritto ad una buona amministrazione </w:t>
      </w:r>
      <w:r w:rsidR="00832374">
        <w:t xml:space="preserve">nei procedimenti amministrativi oggi (anche alla luce delle discussioni sull’ambito di applicazione dell’art. 41 della Carta dei diritti UE)” in Riv.it. </w:t>
      </w:r>
      <w:proofErr w:type="gramStart"/>
      <w:r w:rsidR="00832374">
        <w:t>dir</w:t>
      </w:r>
      <w:proofErr w:type="gramEnd"/>
      <w:r w:rsidR="00832374">
        <w:t xml:space="preserve">. </w:t>
      </w:r>
      <w:proofErr w:type="spellStart"/>
      <w:r w:rsidR="00832374">
        <w:t>Publ</w:t>
      </w:r>
      <w:proofErr w:type="spellEnd"/>
      <w:r w:rsidR="00832374">
        <w:t xml:space="preserve">. </w:t>
      </w:r>
      <w:proofErr w:type="spellStart"/>
      <w:r w:rsidR="00832374">
        <w:t>Comunit</w:t>
      </w:r>
      <w:proofErr w:type="spellEnd"/>
      <w:r w:rsidR="00832374">
        <w:t>. 2019,2.</w:t>
      </w:r>
    </w:p>
  </w:footnote>
  <w:footnote w:id="30">
    <w:p w:rsidR="000260BB" w:rsidRDefault="000260BB">
      <w:pPr>
        <w:pStyle w:val="Testonotaapidipagina"/>
      </w:pPr>
      <w:r>
        <w:rPr>
          <w:rStyle w:val="Rimandonotaapidipagina"/>
        </w:rPr>
        <w:footnoteRef/>
      </w:r>
      <w:r>
        <w:t xml:space="preserve"> L. </w:t>
      </w:r>
      <w:proofErr w:type="spellStart"/>
      <w:r>
        <w:t>Bordin</w:t>
      </w:r>
      <w:proofErr w:type="spellEnd"/>
      <w:r>
        <w:t xml:space="preserve"> op ci</w:t>
      </w:r>
      <w:r w:rsidR="00C2091C">
        <w:t>t.</w:t>
      </w:r>
      <w:r w:rsidR="0061655E">
        <w:t xml:space="preserve">, F.G. </w:t>
      </w:r>
      <w:proofErr w:type="spellStart"/>
      <w:r w:rsidR="0061655E">
        <w:t>Scoca</w:t>
      </w:r>
      <w:proofErr w:type="spellEnd"/>
      <w:r w:rsidR="0061655E">
        <w:t xml:space="preserve"> op cit.</w:t>
      </w:r>
    </w:p>
  </w:footnote>
  <w:footnote w:id="31">
    <w:p w:rsidR="000260BB" w:rsidRDefault="000260BB">
      <w:pPr>
        <w:pStyle w:val="Testonotaapidipagina"/>
      </w:pPr>
      <w:r>
        <w:rPr>
          <w:rStyle w:val="Rimandonotaapidipagina"/>
        </w:rPr>
        <w:footnoteRef/>
      </w:r>
      <w:r>
        <w:t xml:space="preserve"> C</w:t>
      </w:r>
      <w:r w:rsidR="00000999">
        <w:t>.</w:t>
      </w:r>
      <w:r>
        <w:t>G</w:t>
      </w:r>
      <w:r w:rsidR="00000999">
        <w:t>.</w:t>
      </w:r>
      <w:r>
        <w:t>U</w:t>
      </w:r>
      <w:r w:rsidR="00000999">
        <w:t>.</w:t>
      </w:r>
      <w:r>
        <w:t>E</w:t>
      </w:r>
      <w:r w:rsidR="00000999">
        <w:t>.</w:t>
      </w:r>
      <w:r>
        <w:t xml:space="preserve"> </w:t>
      </w:r>
      <w:proofErr w:type="spellStart"/>
      <w:r>
        <w:t>sent</w:t>
      </w:r>
      <w:proofErr w:type="spellEnd"/>
      <w:r>
        <w:t xml:space="preserve"> 5 novembre 2014 C-166/13</w:t>
      </w:r>
    </w:p>
  </w:footnote>
  <w:footnote w:id="32">
    <w:p w:rsidR="002F14BE" w:rsidRDefault="002F14BE">
      <w:pPr>
        <w:pStyle w:val="Testonotaapidipagina"/>
      </w:pPr>
      <w:r>
        <w:rPr>
          <w:rStyle w:val="Rimandonotaapidipagina"/>
        </w:rPr>
        <w:footnoteRef/>
      </w:r>
      <w:r>
        <w:t xml:space="preserve"> Corte Costituzionale </w:t>
      </w:r>
      <w:r w:rsidR="00A84BFD" w:rsidRPr="00A84BFD">
        <w:t>sentenza 24 ottobre 2007</w:t>
      </w:r>
      <w:r w:rsidR="00C2091C">
        <w:t>,</w:t>
      </w:r>
      <w:r w:rsidR="00A84BFD" w:rsidRPr="00A84BFD">
        <w:t xml:space="preserve"> n. 348  </w:t>
      </w:r>
    </w:p>
  </w:footnote>
  <w:footnote w:id="33">
    <w:p w:rsidR="000260BB" w:rsidRDefault="000260BB" w:rsidP="00624122">
      <w:pPr>
        <w:pStyle w:val="Testonotaapidipagina"/>
        <w:jc w:val="both"/>
      </w:pPr>
      <w:r>
        <w:rPr>
          <w:rStyle w:val="Rimandonotaapidipagina"/>
        </w:rPr>
        <w:footnoteRef/>
      </w:r>
      <w:r>
        <w:t xml:space="preserve"> </w:t>
      </w:r>
      <w:r w:rsidR="00624122">
        <w:t xml:space="preserve">Comprensivo oltre che della proprietà di beni immobili ed immobili anche </w:t>
      </w:r>
      <w:r w:rsidR="00A557BF">
        <w:t>de</w:t>
      </w:r>
      <w:r w:rsidR="00624122">
        <w:t xml:space="preserve">gli interessi derivanti da concessioni amministrative, da licenze di sfruttamento, dalla registrazione di un marchio o di brevetti o i diritti derivanti da autorizzazione alla somministrazione di alcolici cfr. </w:t>
      </w:r>
      <w:proofErr w:type="spellStart"/>
      <w:r w:rsidR="00624122">
        <w:t>sent</w:t>
      </w:r>
      <w:proofErr w:type="spellEnd"/>
      <w:r w:rsidR="00624122">
        <w:t>. Corte EDU 25 marzo 1999 n. 31107/96</w:t>
      </w:r>
      <w:r w:rsidR="00A557BF">
        <w:t xml:space="preserve"> -</w:t>
      </w:r>
      <w:r w:rsidR="00624122">
        <w:t xml:space="preserve"> </w:t>
      </w:r>
      <w:proofErr w:type="spellStart"/>
      <w:r w:rsidR="00624122">
        <w:t>Iatridis</w:t>
      </w:r>
      <w:proofErr w:type="spellEnd"/>
      <w:r w:rsidR="00624122">
        <w:t xml:space="preserve"> c. Grecia.</w:t>
      </w:r>
    </w:p>
  </w:footnote>
  <w:footnote w:id="34">
    <w:p w:rsidR="000260BB" w:rsidRDefault="000260BB">
      <w:pPr>
        <w:pStyle w:val="Testonotaapidipagina"/>
      </w:pPr>
      <w:r>
        <w:rPr>
          <w:rStyle w:val="Rimandonotaapidipagina"/>
        </w:rPr>
        <w:footnoteRef/>
      </w:r>
      <w:r>
        <w:t xml:space="preserve"> A partire</w:t>
      </w:r>
      <w:r w:rsidR="003104DD">
        <w:t xml:space="preserve"> dalla nota sentenza 8 giugno 1976 Engel e </w:t>
      </w:r>
      <w:proofErr w:type="spellStart"/>
      <w:r w:rsidR="003104DD">
        <w:t>a.c.</w:t>
      </w:r>
      <w:proofErr w:type="spellEnd"/>
      <w:r w:rsidR="003104DD">
        <w:t xml:space="preserve"> Paesi Bassi.</w:t>
      </w:r>
    </w:p>
  </w:footnote>
  <w:footnote w:id="35">
    <w:p w:rsidR="000260BB" w:rsidRDefault="000260BB" w:rsidP="00C63217">
      <w:pPr>
        <w:pStyle w:val="Testonotaapidipagina"/>
        <w:jc w:val="both"/>
      </w:pPr>
      <w:r>
        <w:rPr>
          <w:rStyle w:val="Rimandonotaapidipagina"/>
        </w:rPr>
        <w:footnoteRef/>
      </w:r>
      <w:r>
        <w:t xml:space="preserve"> </w:t>
      </w:r>
      <w:proofErr w:type="spellStart"/>
      <w:r w:rsidR="00D6156F">
        <w:t>S</w:t>
      </w:r>
      <w:r w:rsidRPr="00C63217">
        <w:t>ent</w:t>
      </w:r>
      <w:proofErr w:type="spellEnd"/>
      <w:r w:rsidRPr="00C63217">
        <w:t xml:space="preserve">. 28 giugno 1978, ric. n. 6232/73 </w:t>
      </w:r>
      <w:proofErr w:type="spellStart"/>
      <w:r w:rsidRPr="00C63217">
        <w:t>Konig</w:t>
      </w:r>
      <w:proofErr w:type="spellEnd"/>
      <w:r w:rsidRPr="00C63217">
        <w:t xml:space="preserve"> c. Repubblica Federale Tedesca; 26 settembre 1995. ric. n. 18160/91 </w:t>
      </w:r>
      <w:proofErr w:type="spellStart"/>
      <w:r w:rsidRPr="00C63217">
        <w:t>Diennet</w:t>
      </w:r>
      <w:proofErr w:type="spellEnd"/>
      <w:r w:rsidRPr="00C63217">
        <w:t xml:space="preserve"> c. Francia</w:t>
      </w:r>
    </w:p>
  </w:footnote>
  <w:footnote w:id="36">
    <w:p w:rsidR="000260BB" w:rsidRDefault="000260BB">
      <w:pPr>
        <w:pStyle w:val="Testonotaapidipagina"/>
      </w:pPr>
      <w:r>
        <w:rPr>
          <w:rStyle w:val="Rimandonotaapidipagina"/>
        </w:rPr>
        <w:footnoteRef/>
      </w:r>
      <w:r>
        <w:t xml:space="preserve"> </w:t>
      </w:r>
      <w:r w:rsidRPr="006518AF">
        <w:t>T.A.R. Emilia-Romagna, Bologna, sez. I, 13 ottobre 2020, n</w:t>
      </w:r>
      <w:r w:rsidR="004553DA">
        <w:t>. 612</w:t>
      </w:r>
    </w:p>
  </w:footnote>
  <w:footnote w:id="37">
    <w:p w:rsidR="000260BB" w:rsidRDefault="000260BB">
      <w:pPr>
        <w:pStyle w:val="Testonotaapidipagina"/>
      </w:pPr>
      <w:r>
        <w:rPr>
          <w:rStyle w:val="Rimandonotaapidipagina"/>
        </w:rPr>
        <w:footnoteRef/>
      </w:r>
      <w:r w:rsidR="00E31315">
        <w:t xml:space="preserve"> T.A.R. </w:t>
      </w:r>
      <w:r w:rsidR="004553DA">
        <w:t>Campania Napoli sez. VIII, 3 giugno 2021 n. 3717; T.A.R. Lombardia Brescia sez. I, 27 settembre 2018, n. 917.</w:t>
      </w:r>
    </w:p>
  </w:footnote>
  <w:footnote w:id="38">
    <w:p w:rsidR="000260BB" w:rsidRDefault="000260BB" w:rsidP="004553DA">
      <w:pPr>
        <w:pStyle w:val="Testonotaapidipagina"/>
        <w:jc w:val="both"/>
      </w:pPr>
      <w:r>
        <w:rPr>
          <w:rStyle w:val="Rimandonotaapidipagina"/>
        </w:rPr>
        <w:footnoteRef/>
      </w:r>
      <w:r>
        <w:t xml:space="preserve"> Vedasi all’uopo le considerazioni del</w:t>
      </w:r>
      <w:r w:rsidR="004553DA">
        <w:t xml:space="preserve"> prof. G. Morbidelli nella relazione al Convegno della </w:t>
      </w:r>
      <w:proofErr w:type="spellStart"/>
      <w:r w:rsidR="004553DA">
        <w:t>Giustiza</w:t>
      </w:r>
      <w:proofErr w:type="spellEnd"/>
      <w:r w:rsidR="004553DA">
        <w:t xml:space="preserve"> Amministrativa “Il diritto amministrativo tra giudizio comune e giudizio costituzionale” Roma 1-2 ottobre 2020.</w:t>
      </w:r>
    </w:p>
  </w:footnote>
  <w:footnote w:id="39">
    <w:p w:rsidR="000260BB" w:rsidRDefault="000260BB" w:rsidP="00C2091C">
      <w:pPr>
        <w:pStyle w:val="Testonotaapidipagina"/>
        <w:jc w:val="both"/>
      </w:pPr>
      <w:r>
        <w:rPr>
          <w:rStyle w:val="Rimandonotaapidipagina"/>
        </w:rPr>
        <w:footnoteRef/>
      </w:r>
      <w:r w:rsidR="00593045">
        <w:t xml:space="preserve"> Vedi </w:t>
      </w:r>
      <w:proofErr w:type="gramStart"/>
      <w:r w:rsidR="00593045">
        <w:t xml:space="preserve">soprattutto </w:t>
      </w:r>
      <w:r w:rsidR="004553DA">
        <w:t xml:space="preserve"> A.</w:t>
      </w:r>
      <w:proofErr w:type="gramEnd"/>
      <w:r w:rsidR="004553DA">
        <w:t xml:space="preserve"> Longo </w:t>
      </w:r>
      <w:r w:rsidR="00C2091C">
        <w:t>op cit</w:t>
      </w:r>
      <w:r w:rsidR="004553DA">
        <w:t>.</w:t>
      </w:r>
      <w:r w:rsidR="00802465">
        <w:t xml:space="preserve"> </w:t>
      </w:r>
      <w:r w:rsidR="00A557BF">
        <w:t xml:space="preserve"> </w:t>
      </w:r>
      <w:r w:rsidR="00802465">
        <w:t>Sostiene la natura sostanzialmente penale dell’</w:t>
      </w:r>
      <w:proofErr w:type="spellStart"/>
      <w:r w:rsidR="00802465">
        <w:t>interdittiva</w:t>
      </w:r>
      <w:proofErr w:type="spellEnd"/>
      <w:r w:rsidR="00802465">
        <w:t xml:space="preserve"> anche P. Provenzano “Note minime in tema di sanzioni amministrative e materia penale” in </w:t>
      </w:r>
      <w:proofErr w:type="spellStart"/>
      <w:r w:rsidR="00802465">
        <w:t>Riv</w:t>
      </w:r>
      <w:proofErr w:type="spellEnd"/>
      <w:r w:rsidR="00802465">
        <w:t xml:space="preserve">. </w:t>
      </w:r>
      <w:proofErr w:type="spellStart"/>
      <w:r w:rsidR="00802465">
        <w:t>It</w:t>
      </w:r>
      <w:proofErr w:type="spellEnd"/>
      <w:r w:rsidR="00802465">
        <w:t xml:space="preserve">. Dir. </w:t>
      </w:r>
      <w:proofErr w:type="spellStart"/>
      <w:r w:rsidR="00802465">
        <w:t>Pubbl</w:t>
      </w:r>
      <w:proofErr w:type="spellEnd"/>
      <w:r w:rsidR="00802465">
        <w:t xml:space="preserve">. </w:t>
      </w:r>
      <w:proofErr w:type="spellStart"/>
      <w:proofErr w:type="gramStart"/>
      <w:r w:rsidR="00802465">
        <w:t>comunit</w:t>
      </w:r>
      <w:proofErr w:type="spellEnd"/>
      <w:proofErr w:type="gramEnd"/>
      <w:r w:rsidR="00802465">
        <w:t>. 2018,6.</w:t>
      </w:r>
    </w:p>
  </w:footnote>
  <w:footnote w:id="40">
    <w:p w:rsidR="000260BB" w:rsidRDefault="000260BB" w:rsidP="00D6156F">
      <w:pPr>
        <w:pStyle w:val="Testonotaapidipagina"/>
        <w:jc w:val="both"/>
      </w:pPr>
      <w:r>
        <w:rPr>
          <w:rStyle w:val="Rimandonotaapidipagina"/>
        </w:rPr>
        <w:footnoteRef/>
      </w:r>
      <w:r w:rsidR="00A51AA1">
        <w:t xml:space="preserve"> Ex </w:t>
      </w:r>
      <w:proofErr w:type="spellStart"/>
      <w:r w:rsidR="00A51AA1">
        <w:t>multis</w:t>
      </w:r>
      <w:proofErr w:type="spellEnd"/>
      <w:r w:rsidR="00A51AA1">
        <w:t xml:space="preserve"> T.A.R. Lombardia Milano</w:t>
      </w:r>
      <w:r>
        <w:t xml:space="preserve"> sez. I,</w:t>
      </w:r>
      <w:r w:rsidR="00A51AA1">
        <w:t xml:space="preserve"> 24 ottobre </w:t>
      </w:r>
      <w:r w:rsidR="004B7E6C">
        <w:t>2018, n. 2398 cfr. Consiglio di Stato</w:t>
      </w:r>
      <w:r>
        <w:t>, sez. III, 25 giugno 2014 n. 3208; id., sez. I</w:t>
      </w:r>
      <w:r w:rsidR="004B7E6C">
        <w:t>II, 1 dicembre 2015</w:t>
      </w:r>
      <w:r w:rsidR="00A51AA1">
        <w:t>,</w:t>
      </w:r>
      <w:r w:rsidR="004B7E6C">
        <w:t xml:space="preserve"> n. 5437; T.A.R.</w:t>
      </w:r>
      <w:r>
        <w:t xml:space="preserve"> Campania, Napoli, sez. I, 6 novembre 2017</w:t>
      </w:r>
      <w:r w:rsidR="00A51AA1">
        <w:t>,</w:t>
      </w:r>
      <w:r>
        <w:t xml:space="preserve"> n, 5167   </w:t>
      </w:r>
    </w:p>
  </w:footnote>
  <w:footnote w:id="41">
    <w:p w:rsidR="000260BB" w:rsidRDefault="000260BB">
      <w:pPr>
        <w:pStyle w:val="Testonotaapidipagina"/>
      </w:pPr>
      <w:r>
        <w:rPr>
          <w:rStyle w:val="Rimandonotaapidipagina"/>
        </w:rPr>
        <w:footnoteRef/>
      </w:r>
      <w:r>
        <w:t xml:space="preserve"> </w:t>
      </w:r>
      <w:r w:rsidR="002A06DA">
        <w:t xml:space="preserve">T.A.R. Campania Napoli sez. VIII, 2 novembre </w:t>
      </w:r>
      <w:r w:rsidR="002A06DA" w:rsidRPr="002A06DA">
        <w:t>2016, n.</w:t>
      </w:r>
      <w:r w:rsidR="002A06DA">
        <w:t xml:space="preserve"> </w:t>
      </w:r>
      <w:r w:rsidR="002A06DA" w:rsidRPr="002A06DA">
        <w:t>5030</w:t>
      </w:r>
      <w:r w:rsidR="002A06DA">
        <w:t xml:space="preserve">; </w:t>
      </w:r>
    </w:p>
  </w:footnote>
  <w:footnote w:id="42">
    <w:p w:rsidR="00BA409C" w:rsidRDefault="00BA409C">
      <w:pPr>
        <w:pStyle w:val="Testonotaapidipagina"/>
      </w:pPr>
      <w:r>
        <w:rPr>
          <w:rStyle w:val="Rimandonotaapidipagina"/>
        </w:rPr>
        <w:footnoteRef/>
      </w:r>
      <w:r>
        <w:t xml:space="preserve">  Vedi l’ultimo comma dell’art. 49 del decreto legge n. 152/2021.</w:t>
      </w:r>
    </w:p>
  </w:footnote>
  <w:footnote w:id="43">
    <w:p w:rsidR="000260BB" w:rsidRDefault="000260BB" w:rsidP="00BC343C">
      <w:pPr>
        <w:pStyle w:val="Testonotaapidipagina"/>
        <w:jc w:val="both"/>
      </w:pPr>
      <w:r>
        <w:rPr>
          <w:rStyle w:val="Rimandonotaapidipagina"/>
        </w:rPr>
        <w:footnoteRef/>
      </w:r>
      <w:r>
        <w:t xml:space="preserve"> </w:t>
      </w:r>
      <w:r w:rsidRPr="00BC343C">
        <w:t xml:space="preserve">1. Quando l'agevolazione prevista dal comma 1 dell'articolo 34 risulta occasionale, il tribunale dispone, anche d'ufficio, il controllo giudiziario delle </w:t>
      </w:r>
      <w:proofErr w:type="spellStart"/>
      <w:r w:rsidRPr="00BC343C">
        <w:t>attivita'</w:t>
      </w:r>
      <w:proofErr w:type="spellEnd"/>
      <w:r w:rsidRPr="00BC343C">
        <w:t xml:space="preserve"> economiche e delle aziende di cui al medesimo comma 1, se sussistono circostanze di fatto da cui si possa desumere il pericolo concreto di infiltrazioni mafiose idonee a condizionarne </w:t>
      </w:r>
      <w:proofErr w:type="spellStart"/>
      <w:r w:rsidRPr="00BC343C">
        <w:t>l'attivita'</w:t>
      </w:r>
      <w:proofErr w:type="spellEnd"/>
      <w:r w:rsidRPr="00BC343C">
        <w:t>. Nel caso in cui risultino applicate le misure previste dall'articolo 94-bis, il tribunale valuta se adottare in loro sostituzione il provvedimento di</w:t>
      </w:r>
      <w:r>
        <w:t xml:space="preserve"> cui al comma 2 lettera b) ………… </w:t>
      </w:r>
      <w:r w:rsidRPr="00BC343C">
        <w:rPr>
          <w:i/>
        </w:rPr>
        <w:t>omissis…</w:t>
      </w:r>
      <w:r>
        <w:t>………</w:t>
      </w:r>
    </w:p>
  </w:footnote>
  <w:footnote w:id="44">
    <w:p w:rsidR="00D6156F" w:rsidRDefault="00D6156F" w:rsidP="002A06DA">
      <w:pPr>
        <w:pStyle w:val="Testonotaapidipagina"/>
        <w:jc w:val="both"/>
      </w:pPr>
      <w:r>
        <w:rPr>
          <w:rStyle w:val="Rimandonotaapidipagina"/>
        </w:rPr>
        <w:footnoteRef/>
      </w:r>
      <w:r>
        <w:t xml:space="preserve"> </w:t>
      </w:r>
      <w:r w:rsidR="002A06DA">
        <w:t>T.</w:t>
      </w:r>
      <w:r w:rsidR="002A06DA" w:rsidRPr="002A06DA">
        <w:t>A.R. Campania Napoli, sez. I, 1 dicembre 2020, n. 5690; T.A.R. Emilia-Romagna Bologna sez. I, 6 dicembre 2021, n. 997.</w:t>
      </w:r>
    </w:p>
  </w:footnote>
  <w:footnote w:id="45">
    <w:p w:rsidR="000260BB" w:rsidRDefault="000260BB">
      <w:pPr>
        <w:pStyle w:val="Testonotaapidipagina"/>
      </w:pPr>
      <w:r>
        <w:rPr>
          <w:rStyle w:val="Rimandonotaapidipagina"/>
        </w:rPr>
        <w:footnoteRef/>
      </w:r>
      <w:r>
        <w:t xml:space="preserve"> </w:t>
      </w:r>
      <w:r w:rsidR="00995CC6">
        <w:t>Consiglio di Stato sez. III, 10 agosto 2020, n. 4979.</w:t>
      </w:r>
    </w:p>
  </w:footnote>
  <w:footnote w:id="46">
    <w:p w:rsidR="003E280D" w:rsidRDefault="003E280D" w:rsidP="003E280D">
      <w:pPr>
        <w:pStyle w:val="Testonotaapidipagina"/>
        <w:jc w:val="both"/>
      </w:pPr>
      <w:r>
        <w:rPr>
          <w:rStyle w:val="Rimandonotaapidipagina"/>
        </w:rPr>
        <w:footnoteRef/>
      </w:r>
      <w:r>
        <w:t xml:space="preserve"> Sottolinea questi aspetti anche P.</w:t>
      </w:r>
      <w:r w:rsidR="00B473D1">
        <w:t xml:space="preserve"> </w:t>
      </w:r>
      <w:r>
        <w:t>Quinto “La riforma dell’</w:t>
      </w:r>
      <w:proofErr w:type="spellStart"/>
      <w:r>
        <w:t>interdittiva</w:t>
      </w:r>
      <w:proofErr w:type="spellEnd"/>
      <w:r>
        <w:t xml:space="preserve"> antimafia per l’attuazione degli interventi del </w:t>
      </w:r>
      <w:proofErr w:type="spellStart"/>
      <w:proofErr w:type="gramStart"/>
      <w:r>
        <w:t>PNRR”</w:t>
      </w:r>
      <w:r w:rsidR="00AD6F38">
        <w:t>in</w:t>
      </w:r>
      <w:proofErr w:type="spellEnd"/>
      <w:proofErr w:type="gramEnd"/>
      <w:r w:rsidR="00AD6F38">
        <w:t xml:space="preserve"> wwwL</w:t>
      </w:r>
      <w:r>
        <w:t>exitalia.it 12/2021</w:t>
      </w:r>
      <w:r w:rsidR="00763B46">
        <w:t xml:space="preserve"> nonché C. Pasquariello “Prevenzione collaborativa e contraddittorio per le </w:t>
      </w:r>
      <w:proofErr w:type="spellStart"/>
      <w:r w:rsidR="00763B46">
        <w:t>interdittive</w:t>
      </w:r>
      <w:proofErr w:type="spellEnd"/>
      <w:r w:rsidR="00763B46">
        <w:t xml:space="preserve"> antimafia” in www.moltocomuni.it</w:t>
      </w:r>
    </w:p>
  </w:footnote>
  <w:footnote w:id="47">
    <w:p w:rsidR="00482C3D" w:rsidRDefault="00482C3D" w:rsidP="00482C3D">
      <w:pPr>
        <w:pStyle w:val="Testonotaapidipagina"/>
        <w:jc w:val="both"/>
      </w:pPr>
      <w:r>
        <w:rPr>
          <w:rStyle w:val="Rimandonotaapidipagina"/>
        </w:rPr>
        <w:footnoteRef/>
      </w:r>
      <w:r>
        <w:t xml:space="preserve"> N.M. Maiello “Traffico di influenze illecite e misure di commissariamento dell’impresa: le ragioni di una relazione problematica” in Cassazione Penale, 12/2018.</w:t>
      </w:r>
    </w:p>
  </w:footnote>
  <w:footnote w:id="48">
    <w:p w:rsidR="000260BB" w:rsidRDefault="000260BB">
      <w:pPr>
        <w:pStyle w:val="Testonotaapidipagina"/>
      </w:pPr>
      <w:r>
        <w:rPr>
          <w:rStyle w:val="Rimandonotaapidipagina"/>
        </w:rPr>
        <w:footnoteRef/>
      </w:r>
      <w:r>
        <w:t xml:space="preserve"> Tra le tante </w:t>
      </w:r>
      <w:r w:rsidR="004553DA">
        <w:t xml:space="preserve">T.A.R. </w:t>
      </w:r>
      <w:r w:rsidRPr="008E2D9B">
        <w:t>Campania</w:t>
      </w:r>
      <w:r w:rsidR="004553DA">
        <w:t xml:space="preserve"> Napoli sez. I, 10 giugno </w:t>
      </w:r>
      <w:r w:rsidRPr="008E2D9B">
        <w:t>2021, n. 3925</w:t>
      </w:r>
      <w:r w:rsidR="009B34F0">
        <w:t>; Corte Costituzionale 26 marzo 2020 n. 57.</w:t>
      </w:r>
    </w:p>
  </w:footnote>
  <w:footnote w:id="49">
    <w:p w:rsidR="000260BB" w:rsidRDefault="000260BB" w:rsidP="00820B1A">
      <w:pPr>
        <w:pStyle w:val="Testonotaapidipagina"/>
        <w:jc w:val="both"/>
      </w:pPr>
      <w:r>
        <w:rPr>
          <w:rStyle w:val="Rimandonotaapidipagina"/>
        </w:rPr>
        <w:footnoteRef/>
      </w:r>
      <w:r>
        <w:t xml:space="preserve"> Vedi in dottrina</w:t>
      </w:r>
      <w:r w:rsidR="004553DA">
        <w:t xml:space="preserve"> A.</w:t>
      </w:r>
      <w:r>
        <w:t xml:space="preserve"> Longo </w:t>
      </w:r>
      <w:r w:rsidR="004553DA">
        <w:t>op.</w:t>
      </w:r>
      <w:r w:rsidR="00820B1A">
        <w:t xml:space="preserve"> cit.</w:t>
      </w:r>
      <w:r w:rsidR="004553DA">
        <w:t xml:space="preserve"> </w:t>
      </w:r>
      <w:proofErr w:type="spellStart"/>
      <w:r>
        <w:t>nonchè</w:t>
      </w:r>
      <w:proofErr w:type="spellEnd"/>
      <w:r>
        <w:t xml:space="preserve"> la stessa citata ordinanza</w:t>
      </w:r>
      <w:r w:rsidR="00820B1A">
        <w:t xml:space="preserve"> n. 28/</w:t>
      </w:r>
      <w:proofErr w:type="gramStart"/>
      <w:r w:rsidR="00820B1A">
        <w:t xml:space="preserve">2020 </w:t>
      </w:r>
      <w:r w:rsidR="009B34F0">
        <w:t xml:space="preserve"> del</w:t>
      </w:r>
      <w:proofErr w:type="gramEnd"/>
      <w:r>
        <w:t xml:space="preserve"> T</w:t>
      </w:r>
      <w:r w:rsidR="009B34F0">
        <w:t>.</w:t>
      </w:r>
      <w:r>
        <w:t>A</w:t>
      </w:r>
      <w:r w:rsidR="009B34F0">
        <w:t>.</w:t>
      </w:r>
      <w:r>
        <w:t>R</w:t>
      </w:r>
      <w:r w:rsidR="009B34F0">
        <w:t>.</w:t>
      </w:r>
      <w:r>
        <w:t xml:space="preserve"> Puglia Bari</w:t>
      </w:r>
      <w:r w:rsidR="00820B1A">
        <w:t>.</w:t>
      </w:r>
      <w:r>
        <w:t xml:space="preserve"> </w:t>
      </w:r>
      <w:r w:rsidR="00820B1A">
        <w:t xml:space="preserve"> Ancora F.G. </w:t>
      </w:r>
      <w:proofErr w:type="spellStart"/>
      <w:r w:rsidR="00820B1A">
        <w:t>Scoca</w:t>
      </w:r>
      <w:proofErr w:type="spellEnd"/>
      <w:r w:rsidR="00820B1A">
        <w:t xml:space="preserve"> op. </w:t>
      </w:r>
      <w:proofErr w:type="spellStart"/>
      <w:r w:rsidR="00820B1A">
        <w:t>cit</w:t>
      </w:r>
      <w:proofErr w:type="spellEnd"/>
      <w:r w:rsidR="0061655E">
        <w:t xml:space="preserve"> parla di </w:t>
      </w:r>
      <w:r w:rsidR="00C2091C">
        <w:t>“</w:t>
      </w:r>
      <w:r w:rsidR="0061655E">
        <w:t>condanna a more dell’impresa</w:t>
      </w:r>
      <w:r w:rsidR="00C2091C">
        <w:t>”</w:t>
      </w:r>
      <w:r w:rsidR="0061655E">
        <w:t>.</w:t>
      </w:r>
    </w:p>
  </w:footnote>
  <w:footnote w:id="50">
    <w:p w:rsidR="000260BB" w:rsidRDefault="000260BB">
      <w:pPr>
        <w:pStyle w:val="Testonotaapidipagina"/>
      </w:pPr>
      <w:r>
        <w:rPr>
          <w:rStyle w:val="Rimandonotaapidipagina"/>
        </w:rPr>
        <w:footnoteRef/>
      </w:r>
      <w:r>
        <w:t xml:space="preserve"> </w:t>
      </w:r>
      <w:r w:rsidR="00995CC6">
        <w:t xml:space="preserve">T.A.R. Campania Napoli sez. VIII, 2 novembre </w:t>
      </w:r>
      <w:r w:rsidRPr="00B81EAC">
        <w:t>2016, n.5030</w:t>
      </w:r>
    </w:p>
  </w:footnote>
  <w:footnote w:id="51">
    <w:p w:rsidR="000260BB" w:rsidRDefault="000260BB" w:rsidP="0061655E">
      <w:pPr>
        <w:pStyle w:val="Testonotaapidipagina"/>
        <w:jc w:val="both"/>
      </w:pPr>
      <w:r>
        <w:rPr>
          <w:rStyle w:val="Rimandonotaapidipagina"/>
        </w:rPr>
        <w:footnoteRef/>
      </w:r>
      <w:r w:rsidR="00995CC6">
        <w:t>A.</w:t>
      </w:r>
      <w:r>
        <w:t xml:space="preserve"> Longo </w:t>
      </w:r>
      <w:r w:rsidR="00C2091C">
        <w:t xml:space="preserve">op. </w:t>
      </w:r>
      <w:proofErr w:type="gramStart"/>
      <w:r w:rsidR="00C2091C">
        <w:t>cit.</w:t>
      </w:r>
      <w:r w:rsidR="00995CC6">
        <w:t>.</w:t>
      </w:r>
      <w:proofErr w:type="gramEnd"/>
      <w:r w:rsidR="0061655E">
        <w:t xml:space="preserve"> Anche F.G. </w:t>
      </w:r>
      <w:proofErr w:type="spellStart"/>
      <w:r w:rsidR="0061655E">
        <w:t>Scoca</w:t>
      </w:r>
      <w:proofErr w:type="spellEnd"/>
      <w:r w:rsidR="0061655E">
        <w:t xml:space="preserve"> op cit. ritiene che il Prefetto compia in </w:t>
      </w:r>
      <w:proofErr w:type="spellStart"/>
      <w:r w:rsidR="0061655E">
        <w:t>subiecta</w:t>
      </w:r>
      <w:proofErr w:type="spellEnd"/>
      <w:r w:rsidR="0061655E">
        <w:t xml:space="preserve"> materia valutazioni tecniche ma senza spendita di discrezionalità di tipo tecnico o amministrativo.</w:t>
      </w:r>
    </w:p>
  </w:footnote>
  <w:footnote w:id="52">
    <w:p w:rsidR="0061655E" w:rsidRDefault="0061655E">
      <w:pPr>
        <w:pStyle w:val="Testonotaapidipagina"/>
      </w:pPr>
      <w:r>
        <w:rPr>
          <w:rStyle w:val="Rimandonotaapidipagina"/>
        </w:rPr>
        <w:footnoteRef/>
      </w:r>
      <w:r>
        <w:t xml:space="preserve"> </w:t>
      </w:r>
      <w:r w:rsidR="00C2091C">
        <w:t>A. Longo op. cit.</w:t>
      </w:r>
    </w:p>
  </w:footnote>
  <w:footnote w:id="53">
    <w:p w:rsidR="000260BB" w:rsidRDefault="000260BB" w:rsidP="00995CC6">
      <w:pPr>
        <w:pStyle w:val="Testonotaapidipagina"/>
        <w:jc w:val="both"/>
      </w:pPr>
      <w:r>
        <w:rPr>
          <w:rStyle w:val="Rimandonotaapidipagina"/>
        </w:rPr>
        <w:footnoteRef/>
      </w:r>
      <w:r>
        <w:t xml:space="preserve"> </w:t>
      </w:r>
      <w:r w:rsidRPr="0070232C">
        <w:t xml:space="preserve">Consiglio di </w:t>
      </w:r>
      <w:r w:rsidR="00995CC6">
        <w:t xml:space="preserve">Stato sez. IV, 9 febbraio </w:t>
      </w:r>
      <w:r>
        <w:t>2015, n</w:t>
      </w:r>
      <w:r w:rsidR="00995CC6">
        <w:t xml:space="preserve"> .657;</w:t>
      </w:r>
      <w:r w:rsidRPr="0070232C">
        <w:t xml:space="preserve"> Co</w:t>
      </w:r>
      <w:r w:rsidR="00995CC6">
        <w:t xml:space="preserve">nsiglio di Stato sez. VI, 22 dicembre </w:t>
      </w:r>
      <w:r w:rsidRPr="0070232C">
        <w:t>2020, n</w:t>
      </w:r>
      <w:r w:rsidR="00995CC6">
        <w:t xml:space="preserve"> </w:t>
      </w:r>
      <w:r w:rsidRPr="0070232C">
        <w:t>.8225 T.A.R.</w:t>
      </w:r>
      <w:r w:rsidR="00995CC6">
        <w:t xml:space="preserve"> </w:t>
      </w:r>
      <w:proofErr w:type="gramStart"/>
      <w:r w:rsidR="00995CC6">
        <w:t>Puglia  Lecce</w:t>
      </w:r>
      <w:proofErr w:type="gramEnd"/>
      <w:r w:rsidR="00995CC6">
        <w:t xml:space="preserve">, sez. II, 11 novembre </w:t>
      </w:r>
      <w:r w:rsidRPr="0070232C">
        <w:t>2015, n.</w:t>
      </w:r>
      <w:r w:rsidR="00995CC6">
        <w:t xml:space="preserve"> </w:t>
      </w:r>
      <w:r w:rsidRPr="0070232C">
        <w:t>3250</w:t>
      </w:r>
    </w:p>
  </w:footnote>
  <w:footnote w:id="54">
    <w:p w:rsidR="000260BB" w:rsidRDefault="000260BB">
      <w:pPr>
        <w:pStyle w:val="Testonotaapidipagina"/>
      </w:pPr>
      <w:r>
        <w:rPr>
          <w:rStyle w:val="Rimandonotaapidipagina"/>
        </w:rPr>
        <w:footnoteRef/>
      </w:r>
      <w:r>
        <w:t xml:space="preserve"> </w:t>
      </w:r>
      <w:r w:rsidR="00D35567">
        <w:t xml:space="preserve">Ex </w:t>
      </w:r>
      <w:proofErr w:type="spellStart"/>
      <w:r w:rsidR="00D35567">
        <w:t>plurimis</w:t>
      </w:r>
      <w:proofErr w:type="spellEnd"/>
      <w:r w:rsidR="00D35567">
        <w:t xml:space="preserve"> </w:t>
      </w:r>
      <w:r w:rsidRPr="00907CDC">
        <w:t xml:space="preserve">T.A.R. </w:t>
      </w:r>
      <w:r w:rsidR="00995CC6">
        <w:t xml:space="preserve">Campania Napoli, sez. VIII, 26 ottobre </w:t>
      </w:r>
      <w:r w:rsidRPr="00907CDC">
        <w:t>2011, n.</w:t>
      </w:r>
      <w:r w:rsidR="00995CC6">
        <w:t xml:space="preserve"> </w:t>
      </w:r>
      <w:r w:rsidRPr="00907CDC">
        <w:t>4942</w:t>
      </w:r>
    </w:p>
  </w:footnote>
  <w:footnote w:id="55">
    <w:p w:rsidR="000260BB" w:rsidRDefault="000260BB" w:rsidP="00AD2DF7">
      <w:pPr>
        <w:pStyle w:val="Testonotaapidipagina"/>
        <w:jc w:val="both"/>
      </w:pPr>
      <w:r>
        <w:rPr>
          <w:rStyle w:val="Rimandonotaapidipagina"/>
        </w:rPr>
        <w:footnoteRef/>
      </w:r>
      <w:r>
        <w:t xml:space="preserve"> Ex </w:t>
      </w:r>
      <w:proofErr w:type="spellStart"/>
      <w:r>
        <w:t>multis</w:t>
      </w:r>
      <w:proofErr w:type="spellEnd"/>
      <w:r>
        <w:t xml:space="preserve"> </w:t>
      </w:r>
      <w:r w:rsidR="00995CC6">
        <w:t xml:space="preserve">T.A.R. Campania Napoli sez. I, 11 ottobre </w:t>
      </w:r>
      <w:r w:rsidRPr="00AD2DF7">
        <w:t>2021, n.</w:t>
      </w:r>
      <w:r w:rsidR="00995CC6">
        <w:t xml:space="preserve"> </w:t>
      </w:r>
      <w:r w:rsidRPr="00AD2DF7">
        <w:t>6386</w:t>
      </w:r>
      <w:r>
        <w:t xml:space="preserve"> secondo cui  </w:t>
      </w:r>
      <w:r w:rsidRPr="00AD2DF7">
        <w:t>ai fini dell'adozione dell'</w:t>
      </w:r>
      <w:proofErr w:type="spellStart"/>
      <w:r w:rsidRPr="00AD2DF7">
        <w:t>interdittiva</w:t>
      </w:r>
      <w:proofErr w:type="spellEnd"/>
      <w:r w:rsidRPr="00AD2DF7">
        <w:t>, da un lato, occorre non già provare l'intervenuta infiltrazione mafiosa, bensì soltanto la sussistenza di elementi sintomatico - presuntivi dai quali - secondo un giudizio prognostico discrezionale, legato al criterio del "più probabile che non" - sia deducibile il pericolo di ingerenza da parte della criminalità organizzata; d'altro lato, detti elementi vanno considerati secondo una prospettiva unitaria e non frammentaria, nel senso che ognuno di essi acquista valenza in collegamento con altri.</w:t>
      </w:r>
    </w:p>
  </w:footnote>
  <w:footnote w:id="56">
    <w:p w:rsidR="000260BB" w:rsidRDefault="000260BB">
      <w:pPr>
        <w:pStyle w:val="Testonotaapidipagina"/>
      </w:pPr>
      <w:r>
        <w:rPr>
          <w:rStyle w:val="Rimandonotaapidipagina"/>
        </w:rPr>
        <w:footnoteRef/>
      </w:r>
      <w:r>
        <w:t xml:space="preserve"> </w:t>
      </w:r>
      <w:r w:rsidR="00995CC6">
        <w:t xml:space="preserve">Cassazione civile sez. I, 30 giugno </w:t>
      </w:r>
      <w:r w:rsidRPr="00AD2DF7">
        <w:t xml:space="preserve">2021, n.18584   </w:t>
      </w:r>
    </w:p>
  </w:footnote>
  <w:footnote w:id="57">
    <w:p w:rsidR="000260BB" w:rsidRDefault="000260BB" w:rsidP="00160FA9">
      <w:pPr>
        <w:pStyle w:val="Testonotaapidipagina"/>
        <w:jc w:val="both"/>
      </w:pPr>
      <w:r>
        <w:rPr>
          <w:rStyle w:val="Rimandonotaapidipagina"/>
        </w:rPr>
        <w:footnoteRef/>
      </w:r>
      <w:r>
        <w:t xml:space="preserve"> C.G.U.E. sentenza 2 giugno 2016, C-27/15 Pippo Pizzo, </w:t>
      </w:r>
      <w:r w:rsidRPr="00160FA9">
        <w:t>che ha rilevato il contrasto con l'ordinamento europeo di un'esclusione disposta per inadempimento ad obblighi non espressamente previsti dai documenti di gara o dal diritto nazionale vigente, ma ricavati in via interpretativa ed applicati alla specifica procedura attraverso un meccanismo di eterointegrazione della legge di gara.</w:t>
      </w:r>
      <w:r>
        <w:t xml:space="preserve"> Vedi sul punto anche </w:t>
      </w:r>
      <w:r w:rsidRPr="00160FA9">
        <w:t>C</w:t>
      </w:r>
      <w:r w:rsidR="00C2091C">
        <w:t xml:space="preserve">onsiglio di Stato sez. V, 28 ottobre </w:t>
      </w:r>
      <w:r w:rsidRPr="00160FA9">
        <w:t>2016, n.4553</w:t>
      </w:r>
      <w:r>
        <w:t xml:space="preserve"> secondo cui d</w:t>
      </w:r>
      <w:r w:rsidRPr="00160FA9">
        <w:t>i regola, le condizioni di partecipazione alle procedure di affidamento di contratti pubblici devono tutte essere indicate nel bando di gara, la cui eterointegrazione con obblighi imposti da norme di legge si deve ritenere ammessa in casi eccezionali, poiché l'enucleazione di cause di esclusione non conosciute o conoscibili dai concorrenti contrasta con i principi europei di certezza giuridica e di massima concorrenza.</w:t>
      </w:r>
      <w:r>
        <w:t xml:space="preserve"> Da ultimo vedi </w:t>
      </w:r>
      <w:r w:rsidRPr="00160FA9">
        <w:t>T.A.R. Puglia Lecce, sez. II, 22 gennaio 2021, n. 11</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010D3"/>
    <w:multiLevelType w:val="hybridMultilevel"/>
    <w:tmpl w:val="89283264"/>
    <w:lvl w:ilvl="0" w:tplc="54B403F0">
      <w:start w:val="20"/>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72D94"/>
    <w:multiLevelType w:val="hybridMultilevel"/>
    <w:tmpl w:val="D24AD6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11C52"/>
    <w:multiLevelType w:val="hybridMultilevel"/>
    <w:tmpl w:val="4E323B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84F32F8"/>
    <w:multiLevelType w:val="hybridMultilevel"/>
    <w:tmpl w:val="C076E5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43E7C6C"/>
    <w:multiLevelType w:val="hybridMultilevel"/>
    <w:tmpl w:val="95CC5D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AD125ED"/>
    <w:multiLevelType w:val="hybridMultilevel"/>
    <w:tmpl w:val="0A745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B1A20FA"/>
    <w:multiLevelType w:val="hybridMultilevel"/>
    <w:tmpl w:val="D9121C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56"/>
    <w:rsid w:val="00000999"/>
    <w:rsid w:val="000028BC"/>
    <w:rsid w:val="00011E21"/>
    <w:rsid w:val="000231D8"/>
    <w:rsid w:val="000260BB"/>
    <w:rsid w:val="00032519"/>
    <w:rsid w:val="00045556"/>
    <w:rsid w:val="00050752"/>
    <w:rsid w:val="00092908"/>
    <w:rsid w:val="00096DD3"/>
    <w:rsid w:val="000B5CEA"/>
    <w:rsid w:val="000C00FD"/>
    <w:rsid w:val="000C2DC4"/>
    <w:rsid w:val="000E05C6"/>
    <w:rsid w:val="000E1F55"/>
    <w:rsid w:val="000E3C5F"/>
    <w:rsid w:val="000E52B9"/>
    <w:rsid w:val="001008B0"/>
    <w:rsid w:val="00137E39"/>
    <w:rsid w:val="00150C3A"/>
    <w:rsid w:val="0015200F"/>
    <w:rsid w:val="00154202"/>
    <w:rsid w:val="0015448B"/>
    <w:rsid w:val="00160FA9"/>
    <w:rsid w:val="00182E07"/>
    <w:rsid w:val="00183061"/>
    <w:rsid w:val="001831C0"/>
    <w:rsid w:val="001A6020"/>
    <w:rsid w:val="001D1B29"/>
    <w:rsid w:val="0021489B"/>
    <w:rsid w:val="0021791A"/>
    <w:rsid w:val="00223026"/>
    <w:rsid w:val="0023287E"/>
    <w:rsid w:val="00232EE6"/>
    <w:rsid w:val="00250E82"/>
    <w:rsid w:val="002738B9"/>
    <w:rsid w:val="00286C47"/>
    <w:rsid w:val="00297413"/>
    <w:rsid w:val="002A06DA"/>
    <w:rsid w:val="002A5C30"/>
    <w:rsid w:val="002C3EB3"/>
    <w:rsid w:val="002D215A"/>
    <w:rsid w:val="002F14BE"/>
    <w:rsid w:val="003104DD"/>
    <w:rsid w:val="00316B26"/>
    <w:rsid w:val="00321FB8"/>
    <w:rsid w:val="00325B50"/>
    <w:rsid w:val="00327E31"/>
    <w:rsid w:val="00336139"/>
    <w:rsid w:val="00344269"/>
    <w:rsid w:val="003540DB"/>
    <w:rsid w:val="00362FFC"/>
    <w:rsid w:val="003751AB"/>
    <w:rsid w:val="003B2803"/>
    <w:rsid w:val="003B4E87"/>
    <w:rsid w:val="003B6A4A"/>
    <w:rsid w:val="003C336B"/>
    <w:rsid w:val="003C6DBA"/>
    <w:rsid w:val="003E280D"/>
    <w:rsid w:val="003E2E7F"/>
    <w:rsid w:val="003E4866"/>
    <w:rsid w:val="00424176"/>
    <w:rsid w:val="004278CD"/>
    <w:rsid w:val="00441049"/>
    <w:rsid w:val="00446D81"/>
    <w:rsid w:val="004553DA"/>
    <w:rsid w:val="00456FA1"/>
    <w:rsid w:val="00463170"/>
    <w:rsid w:val="00482C3D"/>
    <w:rsid w:val="004B7E6C"/>
    <w:rsid w:val="004C000B"/>
    <w:rsid w:val="004D0547"/>
    <w:rsid w:val="004E5D88"/>
    <w:rsid w:val="00514373"/>
    <w:rsid w:val="00522414"/>
    <w:rsid w:val="00535C7D"/>
    <w:rsid w:val="00593045"/>
    <w:rsid w:val="005B18CE"/>
    <w:rsid w:val="005B2A12"/>
    <w:rsid w:val="005B4054"/>
    <w:rsid w:val="005B5D38"/>
    <w:rsid w:val="005C3D79"/>
    <w:rsid w:val="005D0E06"/>
    <w:rsid w:val="00607395"/>
    <w:rsid w:val="006110F6"/>
    <w:rsid w:val="00613E16"/>
    <w:rsid w:val="0061655E"/>
    <w:rsid w:val="00624122"/>
    <w:rsid w:val="00640E1A"/>
    <w:rsid w:val="00645801"/>
    <w:rsid w:val="0065051D"/>
    <w:rsid w:val="006518AF"/>
    <w:rsid w:val="00672816"/>
    <w:rsid w:val="00677968"/>
    <w:rsid w:val="00680F1E"/>
    <w:rsid w:val="00681556"/>
    <w:rsid w:val="006D4194"/>
    <w:rsid w:val="006E0383"/>
    <w:rsid w:val="006E7037"/>
    <w:rsid w:val="007015A8"/>
    <w:rsid w:val="0070232C"/>
    <w:rsid w:val="007038AD"/>
    <w:rsid w:val="0070620B"/>
    <w:rsid w:val="007176E9"/>
    <w:rsid w:val="007405E0"/>
    <w:rsid w:val="007509D4"/>
    <w:rsid w:val="00753032"/>
    <w:rsid w:val="00763B46"/>
    <w:rsid w:val="00784E1F"/>
    <w:rsid w:val="00785713"/>
    <w:rsid w:val="007967CA"/>
    <w:rsid w:val="007A0E59"/>
    <w:rsid w:val="007A7BCD"/>
    <w:rsid w:val="007B1EA9"/>
    <w:rsid w:val="007B5894"/>
    <w:rsid w:val="007D3680"/>
    <w:rsid w:val="007E2C85"/>
    <w:rsid w:val="007F72BA"/>
    <w:rsid w:val="00802465"/>
    <w:rsid w:val="0080365E"/>
    <w:rsid w:val="00817F1A"/>
    <w:rsid w:val="00820B1A"/>
    <w:rsid w:val="00832374"/>
    <w:rsid w:val="008326AB"/>
    <w:rsid w:val="00833DAB"/>
    <w:rsid w:val="008346F1"/>
    <w:rsid w:val="00844543"/>
    <w:rsid w:val="0085393F"/>
    <w:rsid w:val="008567B9"/>
    <w:rsid w:val="008572A1"/>
    <w:rsid w:val="00864F92"/>
    <w:rsid w:val="00872DF0"/>
    <w:rsid w:val="008824D2"/>
    <w:rsid w:val="00897CE1"/>
    <w:rsid w:val="008A0E8E"/>
    <w:rsid w:val="008D1C36"/>
    <w:rsid w:val="008D5B6A"/>
    <w:rsid w:val="008D69CC"/>
    <w:rsid w:val="008E17C3"/>
    <w:rsid w:val="008E2D9B"/>
    <w:rsid w:val="008F4677"/>
    <w:rsid w:val="009061D8"/>
    <w:rsid w:val="00907CDC"/>
    <w:rsid w:val="00932AD7"/>
    <w:rsid w:val="0095620A"/>
    <w:rsid w:val="00964118"/>
    <w:rsid w:val="009716A3"/>
    <w:rsid w:val="00974FBD"/>
    <w:rsid w:val="0098207D"/>
    <w:rsid w:val="009926E7"/>
    <w:rsid w:val="00995CC6"/>
    <w:rsid w:val="009A4996"/>
    <w:rsid w:val="009B34F0"/>
    <w:rsid w:val="009D334E"/>
    <w:rsid w:val="009E767B"/>
    <w:rsid w:val="00A05FB5"/>
    <w:rsid w:val="00A27FB2"/>
    <w:rsid w:val="00A309E0"/>
    <w:rsid w:val="00A34AB3"/>
    <w:rsid w:val="00A47202"/>
    <w:rsid w:val="00A51AA1"/>
    <w:rsid w:val="00A557BF"/>
    <w:rsid w:val="00A60926"/>
    <w:rsid w:val="00A64113"/>
    <w:rsid w:val="00A842DA"/>
    <w:rsid w:val="00A84BFD"/>
    <w:rsid w:val="00AA5951"/>
    <w:rsid w:val="00AB19DA"/>
    <w:rsid w:val="00AB5769"/>
    <w:rsid w:val="00AD14EC"/>
    <w:rsid w:val="00AD2981"/>
    <w:rsid w:val="00AD2DF7"/>
    <w:rsid w:val="00AD6F38"/>
    <w:rsid w:val="00AF4B13"/>
    <w:rsid w:val="00B0593B"/>
    <w:rsid w:val="00B240B7"/>
    <w:rsid w:val="00B3409C"/>
    <w:rsid w:val="00B473D1"/>
    <w:rsid w:val="00B5002E"/>
    <w:rsid w:val="00B5256C"/>
    <w:rsid w:val="00B81EAC"/>
    <w:rsid w:val="00B83ECC"/>
    <w:rsid w:val="00B92352"/>
    <w:rsid w:val="00B92DE2"/>
    <w:rsid w:val="00BA31E1"/>
    <w:rsid w:val="00BA409C"/>
    <w:rsid w:val="00BC1413"/>
    <w:rsid w:val="00BC209B"/>
    <w:rsid w:val="00BC343C"/>
    <w:rsid w:val="00BC40A8"/>
    <w:rsid w:val="00BF0A60"/>
    <w:rsid w:val="00C15D58"/>
    <w:rsid w:val="00C2091C"/>
    <w:rsid w:val="00C41978"/>
    <w:rsid w:val="00C43115"/>
    <w:rsid w:val="00C43D0F"/>
    <w:rsid w:val="00C63217"/>
    <w:rsid w:val="00C6460F"/>
    <w:rsid w:val="00C708DE"/>
    <w:rsid w:val="00C73DD7"/>
    <w:rsid w:val="00C82E55"/>
    <w:rsid w:val="00C90F79"/>
    <w:rsid w:val="00CA04E8"/>
    <w:rsid w:val="00CA3686"/>
    <w:rsid w:val="00CC20DF"/>
    <w:rsid w:val="00CC64A1"/>
    <w:rsid w:val="00CE0E1F"/>
    <w:rsid w:val="00CF5F57"/>
    <w:rsid w:val="00D0156C"/>
    <w:rsid w:val="00D24A92"/>
    <w:rsid w:val="00D35567"/>
    <w:rsid w:val="00D40C15"/>
    <w:rsid w:val="00D6156F"/>
    <w:rsid w:val="00D876B8"/>
    <w:rsid w:val="00DA7247"/>
    <w:rsid w:val="00DC2376"/>
    <w:rsid w:val="00DE5EA8"/>
    <w:rsid w:val="00E11AF5"/>
    <w:rsid w:val="00E200FB"/>
    <w:rsid w:val="00E2453E"/>
    <w:rsid w:val="00E31315"/>
    <w:rsid w:val="00E32D4F"/>
    <w:rsid w:val="00E40E88"/>
    <w:rsid w:val="00E535C7"/>
    <w:rsid w:val="00E9035A"/>
    <w:rsid w:val="00EA02EB"/>
    <w:rsid w:val="00EB4EE3"/>
    <w:rsid w:val="00EB5A2A"/>
    <w:rsid w:val="00ED39CE"/>
    <w:rsid w:val="00F35F4E"/>
    <w:rsid w:val="00F4024A"/>
    <w:rsid w:val="00F502E1"/>
    <w:rsid w:val="00F67319"/>
    <w:rsid w:val="00F752EC"/>
    <w:rsid w:val="00F87DB1"/>
    <w:rsid w:val="00F90743"/>
    <w:rsid w:val="00F963AD"/>
    <w:rsid w:val="00FB1FD1"/>
    <w:rsid w:val="00FB7D01"/>
    <w:rsid w:val="00FD7903"/>
    <w:rsid w:val="00FE085F"/>
    <w:rsid w:val="00FE19CF"/>
    <w:rsid w:val="00FF1177"/>
    <w:rsid w:val="00FF1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480C4-21B0-4EFC-9EB7-D4FD9B90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3D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3D79"/>
  </w:style>
  <w:style w:type="paragraph" w:styleId="Pidipagina">
    <w:name w:val="footer"/>
    <w:basedOn w:val="Normale"/>
    <w:link w:val="PidipaginaCarattere"/>
    <w:uiPriority w:val="99"/>
    <w:unhideWhenUsed/>
    <w:rsid w:val="005C3D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3D79"/>
  </w:style>
  <w:style w:type="paragraph" w:styleId="Paragrafoelenco">
    <w:name w:val="List Paragraph"/>
    <w:basedOn w:val="Normale"/>
    <w:uiPriority w:val="34"/>
    <w:qFormat/>
    <w:rsid w:val="00864F92"/>
    <w:pPr>
      <w:ind w:left="720"/>
      <w:contextualSpacing/>
    </w:pPr>
  </w:style>
  <w:style w:type="paragraph" w:styleId="Testofumetto">
    <w:name w:val="Balloon Text"/>
    <w:basedOn w:val="Normale"/>
    <w:link w:val="TestofumettoCarattere"/>
    <w:uiPriority w:val="99"/>
    <w:semiHidden/>
    <w:unhideWhenUsed/>
    <w:rsid w:val="00AD14E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14EC"/>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346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46F1"/>
    <w:rPr>
      <w:sz w:val="20"/>
      <w:szCs w:val="20"/>
    </w:rPr>
  </w:style>
  <w:style w:type="character" w:styleId="Rimandonotaapidipagina">
    <w:name w:val="footnote reference"/>
    <w:basedOn w:val="Carpredefinitoparagrafo"/>
    <w:uiPriority w:val="99"/>
    <w:semiHidden/>
    <w:unhideWhenUsed/>
    <w:rsid w:val="00834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9AE5-0819-4705-ABD0-F549333B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4072</Words>
  <Characters>23211</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AMOVILLI Paolo</dc:creator>
  <cp:keywords/>
  <dc:description/>
  <cp:lastModifiedBy>FERRARI Giulia</cp:lastModifiedBy>
  <cp:revision>2</cp:revision>
  <cp:lastPrinted>2022-01-30T09:12:00Z</cp:lastPrinted>
  <dcterms:created xsi:type="dcterms:W3CDTF">2022-01-30T20:25:00Z</dcterms:created>
  <dcterms:modified xsi:type="dcterms:W3CDTF">2022-01-30T20:25:00Z</dcterms:modified>
</cp:coreProperties>
</file>