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4A" w:rsidRDefault="00204E4A" w:rsidP="00204E4A">
      <w:pPr>
        <w:pStyle w:val="xxmsonormal"/>
        <w:jc w:val="center"/>
      </w:pPr>
      <w:r>
        <w:rPr>
          <w:rFonts w:ascii="Palatino Linotype" w:hAnsi="Palatino Linotype"/>
          <w:noProof/>
          <w:color w:val="2E74B5"/>
          <w:sz w:val="96"/>
          <w:szCs w:val="96"/>
        </w:rPr>
        <w:drawing>
          <wp:inline distT="0" distB="0" distL="0" distR="0" wp14:anchorId="661D1291" wp14:editId="045E43C2">
            <wp:extent cx="1133475" cy="1295400"/>
            <wp:effectExtent l="0" t="0" r="9525" b="0"/>
            <wp:docPr id="1" name="Immagine 1" descr="cid:image001.jpg@01D766B6.07528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66B6.07528A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33475" cy="1295400"/>
                    </a:xfrm>
                    <a:prstGeom prst="rect">
                      <a:avLst/>
                    </a:prstGeom>
                    <a:noFill/>
                    <a:ln>
                      <a:noFill/>
                    </a:ln>
                  </pic:spPr>
                </pic:pic>
              </a:graphicData>
            </a:graphic>
          </wp:inline>
        </w:drawing>
      </w:r>
    </w:p>
    <w:p w:rsidR="00204E4A" w:rsidRDefault="00204E4A" w:rsidP="00204E4A">
      <w:pPr>
        <w:pStyle w:val="xxmsonormal"/>
        <w:jc w:val="center"/>
      </w:pPr>
    </w:p>
    <w:p w:rsidR="00631DA0" w:rsidRDefault="00204E4A" w:rsidP="00631DA0">
      <w:pPr>
        <w:pStyle w:val="xxmsonormal"/>
        <w:jc w:val="center"/>
      </w:pPr>
      <w:r>
        <w:rPr>
          <w:rFonts w:ascii="Palatino Linotype" w:hAnsi="Palatino Linotype"/>
          <w:b/>
          <w:bCs/>
          <w:color w:val="993300"/>
          <w:sz w:val="28"/>
          <w:szCs w:val="28"/>
        </w:rPr>
        <w:t> </w:t>
      </w:r>
      <w:r w:rsidR="00631DA0">
        <w:rPr>
          <w:rFonts w:ascii="Palatino Linotype" w:hAnsi="Palatino Linotype"/>
          <w:b/>
          <w:bCs/>
          <w:color w:val="993300"/>
          <w:sz w:val="28"/>
          <w:szCs w:val="28"/>
        </w:rPr>
        <w:t>Newsletter della Giustizia amministrativa</w:t>
      </w:r>
    </w:p>
    <w:p w:rsidR="00631DA0" w:rsidRDefault="00C0640B" w:rsidP="00631DA0">
      <w:pPr>
        <w:pStyle w:val="xxmsonormal"/>
        <w:jc w:val="center"/>
        <w:rPr>
          <w:rFonts w:ascii="Palatino Linotype" w:hAnsi="Palatino Linotype"/>
          <w:b/>
          <w:bCs/>
          <w:color w:val="993300"/>
          <w:sz w:val="28"/>
          <w:szCs w:val="28"/>
        </w:rPr>
      </w:pPr>
      <w:r>
        <w:rPr>
          <w:rFonts w:ascii="Palatino Linotype" w:hAnsi="Palatino Linotype"/>
          <w:b/>
          <w:bCs/>
          <w:color w:val="993300"/>
          <w:sz w:val="28"/>
          <w:szCs w:val="28"/>
        </w:rPr>
        <w:t>a cura dell’Ufficio per il</w:t>
      </w:r>
      <w:r w:rsidR="00631DA0">
        <w:rPr>
          <w:rFonts w:ascii="Palatino Linotype" w:hAnsi="Palatino Linotype"/>
          <w:b/>
          <w:bCs/>
          <w:color w:val="993300"/>
          <w:sz w:val="28"/>
          <w:szCs w:val="28"/>
        </w:rPr>
        <w:t xml:space="preserve"> massimario</w:t>
      </w:r>
    </w:p>
    <w:p w:rsidR="008235B9" w:rsidRDefault="008235B9" w:rsidP="00631DA0">
      <w:pPr>
        <w:pStyle w:val="xxmsonormal"/>
        <w:jc w:val="center"/>
      </w:pPr>
    </w:p>
    <w:p w:rsidR="006E5AB7" w:rsidRDefault="006E5AB7" w:rsidP="00631DA0">
      <w:pPr>
        <w:pStyle w:val="xxmsonormal"/>
        <w:jc w:val="center"/>
      </w:pPr>
    </w:p>
    <w:p w:rsidR="00204E4A" w:rsidRDefault="00204E4A" w:rsidP="00204E4A">
      <w:pPr>
        <w:pStyle w:val="xxmsonormal"/>
        <w:jc w:val="center"/>
      </w:pPr>
    </w:p>
    <w:tbl>
      <w:tblPr>
        <w:tblW w:w="0" w:type="auto"/>
        <w:jc w:val="center"/>
        <w:tblCellMar>
          <w:left w:w="0" w:type="dxa"/>
          <w:right w:w="0" w:type="dxa"/>
        </w:tblCellMar>
        <w:tblLook w:val="04A0" w:firstRow="1" w:lastRow="0" w:firstColumn="1" w:lastColumn="0" w:noHBand="0" w:noVBand="1"/>
      </w:tblPr>
      <w:tblGrid>
        <w:gridCol w:w="9547"/>
      </w:tblGrid>
      <w:tr w:rsidR="009C288A" w:rsidTr="009C288A">
        <w:trPr>
          <w:trHeight w:val="418"/>
          <w:jc w:val="center"/>
        </w:trPr>
        <w:tc>
          <w:tcPr>
            <w:tcW w:w="95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C288A" w:rsidRDefault="009C288A">
            <w:pPr>
              <w:spacing w:line="252" w:lineRule="auto"/>
              <w:jc w:val="both"/>
              <w:rPr>
                <w:rFonts w:ascii="Palatino Linotype" w:hAnsi="Palatino Linotype"/>
              </w:rPr>
            </w:pPr>
            <w:r>
              <w:rPr>
                <w:rFonts w:ascii="Palatino Linotype" w:hAnsi="Palatino Linotype"/>
              </w:rPr>
              <w:t> </w:t>
            </w:r>
          </w:p>
          <w:p w:rsidR="009C288A" w:rsidRDefault="009C288A">
            <w:pPr>
              <w:spacing w:line="252" w:lineRule="auto"/>
              <w:jc w:val="center"/>
              <w:rPr>
                <w:rFonts w:ascii="Palatino Linotype" w:hAnsi="Palatino Linotype"/>
                <w:b/>
                <w:bCs/>
                <w:color w:val="2F5496"/>
                <w:sz w:val="32"/>
                <w:szCs w:val="32"/>
              </w:rPr>
            </w:pPr>
            <w:r>
              <w:rPr>
                <w:rFonts w:ascii="Palatino Linotype" w:hAnsi="Palatino Linotype"/>
                <w:b/>
                <w:bCs/>
                <w:color w:val="2F5496"/>
                <w:sz w:val="32"/>
                <w:szCs w:val="32"/>
              </w:rPr>
              <w:t>Indice</w:t>
            </w:r>
          </w:p>
          <w:p w:rsidR="000014DB" w:rsidRDefault="000014DB" w:rsidP="00BC39F0">
            <w:pPr>
              <w:spacing w:line="252" w:lineRule="auto"/>
              <w:jc w:val="both"/>
              <w:rPr>
                <w:rFonts w:ascii="Palatino Linotype" w:hAnsi="Palatino Linotype"/>
                <w:b/>
                <w:bCs/>
                <w:color w:val="2F5496"/>
                <w:sz w:val="28"/>
                <w:szCs w:val="28"/>
              </w:rPr>
            </w:pPr>
          </w:p>
          <w:p w:rsidR="00D87F6D" w:rsidRDefault="00D87F6D" w:rsidP="00BC39F0">
            <w:pPr>
              <w:spacing w:line="252" w:lineRule="auto"/>
              <w:jc w:val="both"/>
              <w:rPr>
                <w:rFonts w:ascii="Palatino Linotype" w:hAnsi="Palatino Linotype"/>
                <w:b/>
                <w:bCs/>
                <w:color w:val="2F5496"/>
                <w:sz w:val="28"/>
                <w:szCs w:val="28"/>
              </w:rPr>
            </w:pPr>
          </w:p>
          <w:p w:rsidR="007D3E05" w:rsidRDefault="007D3E05" w:rsidP="00BC39F0">
            <w:pPr>
              <w:spacing w:line="252" w:lineRule="auto"/>
              <w:jc w:val="both"/>
              <w:rPr>
                <w:rFonts w:ascii="Palatino Linotype" w:hAnsi="Palatino Linotype"/>
                <w:b/>
                <w:bCs/>
                <w:color w:val="2F5496"/>
                <w:sz w:val="28"/>
                <w:szCs w:val="28"/>
              </w:rPr>
            </w:pPr>
            <w:r>
              <w:rPr>
                <w:rFonts w:ascii="Palatino Linotype" w:hAnsi="Palatino Linotype"/>
                <w:b/>
                <w:bCs/>
                <w:color w:val="2F5496"/>
                <w:sz w:val="28"/>
                <w:szCs w:val="28"/>
              </w:rPr>
              <w:t>Corte costituzionale</w:t>
            </w:r>
          </w:p>
          <w:p w:rsidR="007D3E05" w:rsidRDefault="007D3E05" w:rsidP="00BC39F0">
            <w:pPr>
              <w:spacing w:line="252" w:lineRule="auto"/>
              <w:jc w:val="both"/>
              <w:rPr>
                <w:rFonts w:ascii="Palatino Linotype" w:hAnsi="Palatino Linotype"/>
                <w:b/>
                <w:bCs/>
                <w:color w:val="2F5496"/>
                <w:sz w:val="28"/>
                <w:szCs w:val="28"/>
              </w:rPr>
            </w:pPr>
          </w:p>
          <w:p w:rsidR="005D3CA0" w:rsidRPr="005D3CA0" w:rsidRDefault="005D3CA0" w:rsidP="005D3CA0">
            <w:pPr>
              <w:pStyle w:val="xxxxxmsonormal0"/>
              <w:numPr>
                <w:ilvl w:val="0"/>
                <w:numId w:val="10"/>
              </w:numPr>
              <w:shd w:val="clear" w:color="auto" w:fill="FFFFFF"/>
              <w:spacing w:line="252" w:lineRule="auto"/>
              <w:jc w:val="both"/>
              <w:rPr>
                <w:rFonts w:ascii="Palatino Linotype" w:hAnsi="Palatino Linotype"/>
                <w:b/>
                <w:bCs/>
                <w:color w:val="2F5496"/>
                <w:sz w:val="28"/>
                <w:szCs w:val="28"/>
              </w:rPr>
            </w:pPr>
            <w:r w:rsidRPr="005D3CA0">
              <w:rPr>
                <w:rFonts w:ascii="Palatino Linotype" w:hAnsi="Palatino Linotype"/>
                <w:b/>
                <w:bCs/>
                <w:color w:val="2F5496"/>
              </w:rPr>
              <w:t xml:space="preserve">Corte </w:t>
            </w:r>
            <w:proofErr w:type="spellStart"/>
            <w:r w:rsidRPr="005D3CA0">
              <w:rPr>
                <w:rFonts w:ascii="Palatino Linotype" w:hAnsi="Palatino Linotype"/>
                <w:b/>
                <w:bCs/>
                <w:color w:val="2F5496"/>
              </w:rPr>
              <w:t>cost</w:t>
            </w:r>
            <w:proofErr w:type="spellEnd"/>
            <w:r w:rsidRPr="005D3CA0">
              <w:rPr>
                <w:rFonts w:ascii="Palatino Linotype" w:hAnsi="Palatino Linotype"/>
                <w:b/>
                <w:bCs/>
                <w:color w:val="2F5496"/>
              </w:rPr>
              <w:t xml:space="preserve">., 22 ottobre 2022, n. 221, </w:t>
            </w:r>
            <w:r>
              <w:rPr>
                <w:rFonts w:ascii="Palatino Linotype" w:hAnsi="Palatino Linotype"/>
                <w:b/>
                <w:bCs/>
              </w:rPr>
              <w:t>s</w:t>
            </w:r>
            <w:r w:rsidRPr="005D3CA0">
              <w:rPr>
                <w:rFonts w:ascii="Palatino Linotype" w:hAnsi="Palatino Linotype"/>
                <w:b/>
                <w:bCs/>
              </w:rPr>
              <w:t>ul procedimento di autorizzazione alla costruzione e all’esercizio di impianti di produzione di energia elettrica da fonti rinnovabili</w:t>
            </w:r>
            <w:r>
              <w:rPr>
                <w:rFonts w:ascii="Palatino Linotype" w:hAnsi="Palatino Linotype"/>
                <w:b/>
                <w:bCs/>
                <w:color w:val="2F5496"/>
                <w:sz w:val="28"/>
                <w:szCs w:val="28"/>
              </w:rPr>
              <w:t>;</w:t>
            </w:r>
          </w:p>
          <w:p w:rsidR="00D323B6" w:rsidRPr="00F05F9C" w:rsidRDefault="007D3E05" w:rsidP="00F3679C">
            <w:pPr>
              <w:pStyle w:val="xxxxxmsonormal0"/>
              <w:numPr>
                <w:ilvl w:val="0"/>
                <w:numId w:val="10"/>
              </w:numPr>
              <w:shd w:val="clear" w:color="auto" w:fill="FFFFFF"/>
              <w:spacing w:line="252" w:lineRule="auto"/>
              <w:jc w:val="both"/>
              <w:rPr>
                <w:rFonts w:ascii="Palatino Linotype" w:hAnsi="Palatino Linotype"/>
                <w:b/>
                <w:bCs/>
                <w:color w:val="2F5496"/>
                <w:sz w:val="28"/>
                <w:szCs w:val="28"/>
              </w:rPr>
            </w:pPr>
            <w:r w:rsidRPr="00C76497">
              <w:rPr>
                <w:rFonts w:ascii="Palatino Linotype" w:hAnsi="Palatino Linotype"/>
                <w:b/>
                <w:bCs/>
                <w:color w:val="1F4E79" w:themeColor="accent1" w:themeShade="80"/>
              </w:rPr>
              <w:t xml:space="preserve">Corte </w:t>
            </w:r>
            <w:proofErr w:type="spellStart"/>
            <w:r w:rsidR="00DF61F4" w:rsidRPr="00C76497">
              <w:rPr>
                <w:rFonts w:ascii="Palatino Linotype" w:hAnsi="Palatino Linotype"/>
                <w:b/>
                <w:bCs/>
                <w:color w:val="1F4E79" w:themeColor="accent1" w:themeShade="80"/>
              </w:rPr>
              <w:t>cost</w:t>
            </w:r>
            <w:proofErr w:type="spellEnd"/>
            <w:r w:rsidR="00DF61F4" w:rsidRPr="00C76497">
              <w:rPr>
                <w:rFonts w:ascii="Palatino Linotype" w:hAnsi="Palatino Linotype"/>
                <w:b/>
                <w:bCs/>
                <w:color w:val="1F4E79" w:themeColor="accent1" w:themeShade="80"/>
              </w:rPr>
              <w:t>., 2</w:t>
            </w:r>
            <w:r w:rsidR="00F3679C">
              <w:rPr>
                <w:rFonts w:ascii="Palatino Linotype" w:hAnsi="Palatino Linotype"/>
                <w:b/>
                <w:bCs/>
                <w:color w:val="1F4E79" w:themeColor="accent1" w:themeShade="80"/>
              </w:rPr>
              <w:t>1 ottobre 2022, n. 217</w:t>
            </w:r>
            <w:r w:rsidR="00070D6F" w:rsidRPr="00C76497">
              <w:rPr>
                <w:rFonts w:ascii="Palatino Linotype" w:hAnsi="Palatino Linotype"/>
                <w:b/>
                <w:bCs/>
              </w:rPr>
              <w:t>,</w:t>
            </w:r>
            <w:r w:rsidRPr="00C76497">
              <w:rPr>
                <w:rFonts w:ascii="Palatino Linotype" w:hAnsi="Palatino Linotype"/>
                <w:b/>
                <w:bCs/>
                <w:color w:val="1F4E79" w:themeColor="accent1" w:themeShade="80"/>
              </w:rPr>
              <w:t xml:space="preserve"> </w:t>
            </w:r>
            <w:r w:rsidR="00F3679C" w:rsidRPr="00F3679C">
              <w:rPr>
                <w:rFonts w:ascii="Palatino Linotype" w:hAnsi="Palatino Linotype"/>
                <w:b/>
                <w:bCs/>
              </w:rPr>
              <w:t xml:space="preserve">individua la natura e l’ambito applicativo dell’art. 9 </w:t>
            </w:r>
            <w:r w:rsidR="00F3679C" w:rsidRPr="00F85276">
              <w:rPr>
                <w:rFonts w:ascii="Palatino Linotype" w:hAnsi="Palatino Linotype"/>
                <w:b/>
                <w:bCs/>
                <w:i/>
              </w:rPr>
              <w:t xml:space="preserve">bis </w:t>
            </w:r>
            <w:proofErr w:type="spellStart"/>
            <w:r w:rsidR="00F3679C" w:rsidRPr="00F3679C">
              <w:rPr>
                <w:rFonts w:ascii="Palatino Linotype" w:hAnsi="Palatino Linotype"/>
                <w:b/>
                <w:bCs/>
              </w:rPr>
              <w:t>t.u.</w:t>
            </w:r>
            <w:proofErr w:type="spellEnd"/>
            <w:r w:rsidR="00F3679C" w:rsidRPr="00F3679C">
              <w:rPr>
                <w:rFonts w:ascii="Palatino Linotype" w:hAnsi="Palatino Linotype"/>
                <w:b/>
                <w:bCs/>
              </w:rPr>
              <w:t xml:space="preserve"> edilizia nella parte in cui definisce lo</w:t>
            </w:r>
            <w:r w:rsidR="00F3679C">
              <w:rPr>
                <w:rFonts w:ascii="Palatino Linotype" w:hAnsi="Palatino Linotype"/>
                <w:b/>
                <w:bCs/>
              </w:rPr>
              <w:t xml:space="preserve"> stato legittimo degli immobili;</w:t>
            </w:r>
          </w:p>
          <w:p w:rsidR="00F05F9C" w:rsidRPr="00F3679C" w:rsidRDefault="00F05F9C" w:rsidP="00F05F9C">
            <w:pPr>
              <w:pStyle w:val="xxxxxmsonormal0"/>
              <w:numPr>
                <w:ilvl w:val="0"/>
                <w:numId w:val="10"/>
              </w:numPr>
              <w:shd w:val="clear" w:color="auto" w:fill="FFFFFF"/>
              <w:spacing w:line="252" w:lineRule="auto"/>
              <w:jc w:val="both"/>
              <w:rPr>
                <w:rFonts w:ascii="Palatino Linotype" w:hAnsi="Palatino Linotype"/>
                <w:b/>
                <w:bCs/>
                <w:color w:val="2F5496"/>
                <w:sz w:val="28"/>
                <w:szCs w:val="28"/>
              </w:rPr>
            </w:pPr>
            <w:r>
              <w:rPr>
                <w:rFonts w:ascii="Palatino Linotype" w:hAnsi="Palatino Linotype"/>
                <w:b/>
                <w:bCs/>
                <w:color w:val="1F4E79" w:themeColor="accent1" w:themeShade="80"/>
              </w:rPr>
              <w:t xml:space="preserve">Corte </w:t>
            </w:r>
            <w:proofErr w:type="spellStart"/>
            <w:r>
              <w:rPr>
                <w:rFonts w:ascii="Palatino Linotype" w:hAnsi="Palatino Linotype"/>
                <w:b/>
                <w:bCs/>
                <w:color w:val="1F4E79" w:themeColor="accent1" w:themeShade="80"/>
              </w:rPr>
              <w:t>cost</w:t>
            </w:r>
            <w:proofErr w:type="spellEnd"/>
            <w:r>
              <w:rPr>
                <w:rFonts w:ascii="Palatino Linotype" w:hAnsi="Palatino Linotype"/>
                <w:b/>
                <w:bCs/>
                <w:color w:val="1F4E79" w:themeColor="accent1" w:themeShade="80"/>
              </w:rPr>
              <w:t xml:space="preserve">., 26 ottobre 2022, n. 216, </w:t>
            </w:r>
            <w:r w:rsidRPr="00F05F9C">
              <w:rPr>
                <w:rFonts w:ascii="Palatino Linotype" w:hAnsi="Palatino Linotype"/>
                <w:b/>
                <w:bCs/>
              </w:rPr>
              <w:t>sulla individuazione dei criteri per il corretto inserimento nel paesaggio degli impianti alimentati da fonti di energia alternativa localizzazione</w:t>
            </w:r>
            <w:r>
              <w:rPr>
                <w:rFonts w:ascii="Palatino Linotype" w:hAnsi="Palatino Linotype"/>
                <w:b/>
                <w:bCs/>
              </w:rPr>
              <w:t>;</w:t>
            </w:r>
          </w:p>
          <w:p w:rsidR="00F3679C" w:rsidRPr="00674342" w:rsidRDefault="00F3679C" w:rsidP="002839F1">
            <w:pPr>
              <w:pStyle w:val="xxxxxmsonormal0"/>
              <w:numPr>
                <w:ilvl w:val="0"/>
                <w:numId w:val="10"/>
              </w:numPr>
              <w:shd w:val="clear" w:color="auto" w:fill="FFFFFF"/>
              <w:spacing w:line="252" w:lineRule="auto"/>
              <w:jc w:val="both"/>
              <w:rPr>
                <w:rFonts w:ascii="Palatino Linotype" w:hAnsi="Palatino Linotype"/>
                <w:b/>
                <w:bCs/>
                <w:color w:val="2F5496"/>
                <w:sz w:val="28"/>
                <w:szCs w:val="28"/>
              </w:rPr>
            </w:pPr>
            <w:r w:rsidRPr="00C76497">
              <w:rPr>
                <w:rFonts w:ascii="Palatino Linotype" w:hAnsi="Palatino Linotype"/>
                <w:b/>
                <w:bCs/>
                <w:color w:val="1F4E79" w:themeColor="accent1" w:themeShade="80"/>
              </w:rPr>
              <w:t xml:space="preserve">Corte </w:t>
            </w:r>
            <w:proofErr w:type="spellStart"/>
            <w:r>
              <w:rPr>
                <w:rFonts w:ascii="Palatino Linotype" w:hAnsi="Palatino Linotype"/>
                <w:b/>
                <w:bCs/>
                <w:color w:val="1F4E79" w:themeColor="accent1" w:themeShade="80"/>
              </w:rPr>
              <w:t>cost</w:t>
            </w:r>
            <w:proofErr w:type="spellEnd"/>
            <w:r>
              <w:rPr>
                <w:rFonts w:ascii="Palatino Linotype" w:hAnsi="Palatino Linotype"/>
                <w:b/>
                <w:bCs/>
                <w:color w:val="1F4E79" w:themeColor="accent1" w:themeShade="80"/>
              </w:rPr>
              <w:t>., 18 ottobre 2022, n. 213</w:t>
            </w:r>
            <w:r w:rsidRPr="00C76497">
              <w:rPr>
                <w:rFonts w:ascii="Palatino Linotype" w:hAnsi="Palatino Linotype"/>
                <w:b/>
                <w:bCs/>
              </w:rPr>
              <w:t>,</w:t>
            </w:r>
            <w:r w:rsidRPr="00C76497">
              <w:rPr>
                <w:rFonts w:ascii="Palatino Linotype" w:hAnsi="Palatino Linotype"/>
                <w:b/>
                <w:bCs/>
                <w:color w:val="1F4E79" w:themeColor="accent1" w:themeShade="80"/>
              </w:rPr>
              <w:t xml:space="preserve"> </w:t>
            </w:r>
            <w:r w:rsidR="002839F1">
              <w:rPr>
                <w:rFonts w:ascii="Palatino Linotype" w:hAnsi="Palatino Linotype"/>
                <w:b/>
                <w:bCs/>
              </w:rPr>
              <w:t>l</w:t>
            </w:r>
            <w:r w:rsidR="002839F1" w:rsidRPr="002839F1">
              <w:rPr>
                <w:rFonts w:ascii="Palatino Linotype" w:hAnsi="Palatino Linotype"/>
                <w:b/>
                <w:bCs/>
              </w:rPr>
              <w:t xml:space="preserve">a Corte costituzionale dichiara inammissibili le questioni sollevate dal </w:t>
            </w:r>
            <w:proofErr w:type="spellStart"/>
            <w:r w:rsidR="002839F1" w:rsidRPr="002839F1">
              <w:rPr>
                <w:rFonts w:ascii="Palatino Linotype" w:hAnsi="Palatino Linotype"/>
                <w:b/>
                <w:bCs/>
              </w:rPr>
              <w:t>T.a.r</w:t>
            </w:r>
            <w:proofErr w:type="spellEnd"/>
            <w:r w:rsidR="002839F1" w:rsidRPr="002839F1">
              <w:rPr>
                <w:rFonts w:ascii="Palatino Linotype" w:hAnsi="Palatino Linotype"/>
                <w:b/>
                <w:bCs/>
              </w:rPr>
              <w:t>. in relazione all’art. 7, comma 3, della legge della Regione Liguria 7 febbraio 2008, n. 2, relativamente alle resi</w:t>
            </w:r>
            <w:r w:rsidR="002839F1">
              <w:rPr>
                <w:rFonts w:ascii="Palatino Linotype" w:hAnsi="Palatino Linotype"/>
                <w:b/>
                <w:bCs/>
              </w:rPr>
              <w:t>denze turistico-alberghiere.</w:t>
            </w:r>
          </w:p>
          <w:p w:rsidR="00674342" w:rsidRDefault="00674342" w:rsidP="00674342">
            <w:pPr>
              <w:pStyle w:val="xxxxxmsonormal0"/>
              <w:shd w:val="clear" w:color="auto" w:fill="FFFFFF"/>
              <w:spacing w:line="252" w:lineRule="auto"/>
              <w:jc w:val="both"/>
              <w:rPr>
                <w:rFonts w:ascii="Palatino Linotype" w:hAnsi="Palatino Linotype"/>
                <w:b/>
                <w:bCs/>
                <w:color w:val="2F5496"/>
                <w:sz w:val="28"/>
                <w:szCs w:val="28"/>
              </w:rPr>
            </w:pPr>
          </w:p>
          <w:p w:rsidR="00674342" w:rsidRDefault="00674342" w:rsidP="00674342">
            <w:pPr>
              <w:pStyle w:val="xxxxxmsonormal0"/>
              <w:shd w:val="clear" w:color="auto" w:fill="FFFFFF"/>
              <w:spacing w:line="252" w:lineRule="auto"/>
              <w:jc w:val="both"/>
              <w:rPr>
                <w:rFonts w:ascii="Palatino Linotype" w:hAnsi="Palatino Linotype"/>
                <w:b/>
                <w:bCs/>
                <w:color w:val="2F5496"/>
                <w:sz w:val="28"/>
                <w:szCs w:val="28"/>
              </w:rPr>
            </w:pPr>
            <w:r>
              <w:rPr>
                <w:rFonts w:ascii="Palatino Linotype" w:hAnsi="Palatino Linotype"/>
                <w:b/>
                <w:bCs/>
                <w:color w:val="2F5496"/>
                <w:sz w:val="28"/>
                <w:szCs w:val="28"/>
              </w:rPr>
              <w:t>Corte di cassazione, sezioni unite civili</w:t>
            </w:r>
          </w:p>
          <w:p w:rsidR="00674342" w:rsidRPr="00674342" w:rsidRDefault="00674342" w:rsidP="00674342">
            <w:pPr>
              <w:pStyle w:val="xxxxxmsonormal0"/>
              <w:numPr>
                <w:ilvl w:val="0"/>
                <w:numId w:val="10"/>
              </w:numPr>
              <w:shd w:val="clear" w:color="auto" w:fill="FFFFFF"/>
              <w:spacing w:line="252" w:lineRule="auto"/>
              <w:jc w:val="both"/>
              <w:rPr>
                <w:rFonts w:ascii="Palatino Linotype" w:hAnsi="Palatino Linotype"/>
                <w:b/>
                <w:bCs/>
                <w:color w:val="2F5496"/>
              </w:rPr>
            </w:pPr>
            <w:proofErr w:type="spellStart"/>
            <w:r w:rsidRPr="00674342">
              <w:rPr>
                <w:rFonts w:ascii="Palatino Linotype" w:hAnsi="Palatino Linotype"/>
                <w:b/>
                <w:bCs/>
                <w:color w:val="2F5496"/>
              </w:rPr>
              <w:t>Cass</w:t>
            </w:r>
            <w:proofErr w:type="spellEnd"/>
            <w:r w:rsidRPr="00674342">
              <w:rPr>
                <w:rFonts w:ascii="Palatino Linotype" w:hAnsi="Palatino Linotype"/>
                <w:b/>
                <w:bCs/>
                <w:color w:val="2F5496"/>
              </w:rPr>
              <w:t>. civ., sez. un., 31 ottobre 2022 n. 32121</w:t>
            </w:r>
            <w:r>
              <w:rPr>
                <w:rFonts w:ascii="Palatino Linotype" w:hAnsi="Palatino Linotype"/>
                <w:b/>
                <w:bCs/>
                <w:color w:val="2F5496"/>
              </w:rPr>
              <w:t xml:space="preserve">, </w:t>
            </w:r>
            <w:r w:rsidRPr="00674342">
              <w:rPr>
                <w:rFonts w:ascii="Palatino Linotype" w:hAnsi="Palatino Linotype"/>
                <w:b/>
                <w:bCs/>
              </w:rPr>
              <w:t xml:space="preserve">sulla giurisdizione del </w:t>
            </w:r>
            <w:proofErr w:type="spellStart"/>
            <w:r w:rsidRPr="00674342">
              <w:rPr>
                <w:rFonts w:ascii="Palatino Linotype" w:hAnsi="Palatino Linotype"/>
                <w:b/>
                <w:bCs/>
              </w:rPr>
              <w:t>g.o</w:t>
            </w:r>
            <w:proofErr w:type="spellEnd"/>
            <w:r w:rsidRPr="00674342">
              <w:rPr>
                <w:rFonts w:ascii="Palatino Linotype" w:hAnsi="Palatino Linotype"/>
                <w:b/>
                <w:bCs/>
              </w:rPr>
              <w:t>. in relazione al contributo per utilizzo temporaneo di frequenze radio correlate ad autorizzazioni ministeriali</w:t>
            </w:r>
            <w:r>
              <w:rPr>
                <w:rFonts w:ascii="Palatino Linotype" w:hAnsi="Palatino Linotype"/>
                <w:b/>
                <w:bCs/>
              </w:rPr>
              <w:t>.</w:t>
            </w:r>
          </w:p>
          <w:p w:rsidR="00F3679C" w:rsidRPr="00C76497" w:rsidRDefault="00F3679C" w:rsidP="00F3679C">
            <w:pPr>
              <w:pStyle w:val="xxxxxmsonormal0"/>
              <w:shd w:val="clear" w:color="auto" w:fill="FFFFFF"/>
              <w:spacing w:line="252" w:lineRule="auto"/>
              <w:ind w:left="720"/>
              <w:jc w:val="both"/>
              <w:rPr>
                <w:rFonts w:ascii="Palatino Linotype" w:hAnsi="Palatino Linotype"/>
                <w:b/>
                <w:bCs/>
                <w:color w:val="2F5496"/>
                <w:sz w:val="28"/>
                <w:szCs w:val="28"/>
              </w:rPr>
            </w:pPr>
          </w:p>
          <w:p w:rsidR="000D0099" w:rsidRPr="00D323B6" w:rsidRDefault="009C288A" w:rsidP="00D323B6">
            <w:pPr>
              <w:spacing w:line="252" w:lineRule="auto"/>
              <w:jc w:val="both"/>
              <w:rPr>
                <w:rFonts w:ascii="Palatino Linotype" w:hAnsi="Palatino Linotype"/>
                <w:b/>
                <w:bCs/>
                <w:color w:val="2F5496"/>
                <w:sz w:val="28"/>
                <w:szCs w:val="28"/>
              </w:rPr>
            </w:pPr>
            <w:r w:rsidRPr="00D323B6">
              <w:rPr>
                <w:rFonts w:ascii="Palatino Linotype" w:hAnsi="Palatino Linotype"/>
                <w:b/>
                <w:bCs/>
                <w:color w:val="2F5496"/>
                <w:sz w:val="28"/>
                <w:szCs w:val="28"/>
              </w:rPr>
              <w:t>Consiglio di Stato, Consiglio di giustizia amministrativa per la Regione sicili</w:t>
            </w:r>
            <w:r w:rsidR="007B4547" w:rsidRPr="00D323B6">
              <w:rPr>
                <w:rFonts w:ascii="Palatino Linotype" w:hAnsi="Palatino Linotype"/>
                <w:b/>
                <w:bCs/>
                <w:color w:val="2F5496"/>
                <w:sz w:val="28"/>
                <w:szCs w:val="28"/>
              </w:rPr>
              <w:t>ana e Tribunali amministrativi r</w:t>
            </w:r>
            <w:r w:rsidRPr="00D323B6">
              <w:rPr>
                <w:rFonts w:ascii="Palatino Linotype" w:hAnsi="Palatino Linotype"/>
                <w:b/>
                <w:bCs/>
                <w:color w:val="2F5496"/>
                <w:sz w:val="28"/>
                <w:szCs w:val="28"/>
              </w:rPr>
              <w:t>egionali</w:t>
            </w:r>
          </w:p>
          <w:p w:rsidR="00F87BAC" w:rsidRDefault="00F87BAC" w:rsidP="00BC39F0">
            <w:pPr>
              <w:spacing w:line="252" w:lineRule="auto"/>
              <w:jc w:val="both"/>
              <w:rPr>
                <w:rFonts w:ascii="Palatino Linotype" w:hAnsi="Palatino Linotype"/>
                <w:b/>
                <w:bCs/>
                <w:color w:val="2F5496"/>
                <w:sz w:val="28"/>
                <w:szCs w:val="28"/>
              </w:rPr>
            </w:pPr>
          </w:p>
          <w:p w:rsidR="00E11054" w:rsidRPr="00E11054" w:rsidRDefault="00E11054" w:rsidP="00E11054">
            <w:pPr>
              <w:pStyle w:val="Paragrafoelenco"/>
              <w:numPr>
                <w:ilvl w:val="0"/>
                <w:numId w:val="10"/>
              </w:numPr>
              <w:jc w:val="both"/>
              <w:rPr>
                <w:rFonts w:ascii="Palatino Linotype" w:hAnsi="Palatino Linotype"/>
                <w:b/>
                <w:bCs/>
              </w:rPr>
            </w:pPr>
            <w:proofErr w:type="spellStart"/>
            <w:r w:rsidRPr="00E11054">
              <w:rPr>
                <w:rFonts w:ascii="Palatino Linotype" w:hAnsi="Palatino Linotype"/>
                <w:b/>
                <w:bCs/>
                <w:color w:val="1F4E79" w:themeColor="accent1" w:themeShade="80"/>
              </w:rPr>
              <w:lastRenderedPageBreak/>
              <w:t>Cons</w:t>
            </w:r>
            <w:proofErr w:type="spellEnd"/>
            <w:r w:rsidRPr="00E11054">
              <w:rPr>
                <w:rFonts w:ascii="Palatino Linotype" w:hAnsi="Palatino Linotype"/>
                <w:b/>
                <w:bCs/>
                <w:color w:val="1F4E79" w:themeColor="accent1" w:themeShade="80"/>
              </w:rPr>
              <w:t xml:space="preserve">. Stato, sez. VI, 2 novembre 2022, n. 9541, </w:t>
            </w:r>
            <w:r w:rsidR="008F14E9">
              <w:rPr>
                <w:rFonts w:ascii="Palatino Linotype" w:hAnsi="Palatino Linotype"/>
                <w:b/>
                <w:bCs/>
              </w:rPr>
              <w:t xml:space="preserve">la </w:t>
            </w:r>
            <w:r w:rsidRPr="00E11054">
              <w:rPr>
                <w:rFonts w:ascii="Palatino Linotype" w:hAnsi="Palatino Linotype"/>
                <w:b/>
                <w:bCs/>
              </w:rPr>
              <w:t>V</w:t>
            </w:r>
            <w:r w:rsidR="008F14E9">
              <w:rPr>
                <w:rFonts w:ascii="Palatino Linotype" w:hAnsi="Palatino Linotype"/>
                <w:b/>
                <w:bCs/>
              </w:rPr>
              <w:t>I</w:t>
            </w:r>
            <w:r w:rsidRPr="00E11054">
              <w:rPr>
                <w:rFonts w:ascii="Palatino Linotype" w:hAnsi="Palatino Linotype"/>
                <w:b/>
                <w:bCs/>
              </w:rPr>
              <w:t xml:space="preserve"> sezione affronta diverse questioni relative allo scioglimento della società cooperativa giustificato dal mancato perseguimento dello scopo mutualistico, soffermandosi anche sulla prevalenza della sostanza sulla forma </w:t>
            </w:r>
            <w:r w:rsidR="002839F1">
              <w:rPr>
                <w:rFonts w:ascii="Palatino Linotype" w:hAnsi="Palatino Linotype"/>
                <w:b/>
                <w:bCs/>
              </w:rPr>
              <w:t>nel procedimento amministrativo;</w:t>
            </w:r>
          </w:p>
          <w:p w:rsidR="00C76497" w:rsidRPr="00F3679C" w:rsidRDefault="00F3679C" w:rsidP="00E11054">
            <w:pPr>
              <w:pStyle w:val="Paragrafoelenco"/>
              <w:numPr>
                <w:ilvl w:val="0"/>
                <w:numId w:val="10"/>
              </w:numPr>
              <w:jc w:val="both"/>
              <w:rPr>
                <w:rFonts w:ascii="Palatino Linotype" w:hAnsi="Palatino Linotype"/>
                <w:b/>
                <w:bCs/>
                <w:color w:val="1F4E79" w:themeColor="accent1" w:themeShade="80"/>
              </w:rPr>
            </w:pPr>
            <w:proofErr w:type="spellStart"/>
            <w:r>
              <w:rPr>
                <w:rFonts w:ascii="Palatino Linotype" w:hAnsi="Palatino Linotype"/>
                <w:b/>
                <w:bCs/>
                <w:color w:val="1F4E79" w:themeColor="accent1" w:themeShade="80"/>
              </w:rPr>
              <w:t>Cons</w:t>
            </w:r>
            <w:proofErr w:type="spellEnd"/>
            <w:r>
              <w:rPr>
                <w:rFonts w:ascii="Palatino Linotype" w:hAnsi="Palatino Linotype"/>
                <w:b/>
                <w:bCs/>
                <w:color w:val="1F4E79" w:themeColor="accent1" w:themeShade="80"/>
              </w:rPr>
              <w:t>. Stato, sez. IV, 31 ottobre 2022, n. 9428</w:t>
            </w:r>
            <w:r>
              <w:rPr>
                <w:rFonts w:ascii="Palatino Linotype" w:hAnsi="Palatino Linotype"/>
                <w:b/>
                <w:bCs/>
                <w:bdr w:val="none" w:sz="0" w:space="0" w:color="auto" w:frame="1"/>
              </w:rPr>
              <w:t>, i</w:t>
            </w:r>
            <w:r w:rsidRPr="00F3679C">
              <w:rPr>
                <w:rFonts w:ascii="Palatino Linotype" w:hAnsi="Palatino Linotype"/>
                <w:b/>
                <w:bCs/>
                <w:bdr w:val="none" w:sz="0" w:space="0" w:color="auto" w:frame="1"/>
              </w:rPr>
              <w:t>l requisito tecnico professionale relativo al possesso di un determinato fatturato è soddisfatto anche se il contratto a suo tempo stipulato viene successivamente caducato, purché le prestazioni sian</w:t>
            </w:r>
            <w:r>
              <w:rPr>
                <w:rFonts w:ascii="Palatino Linotype" w:hAnsi="Palatino Linotype"/>
                <w:b/>
                <w:bCs/>
                <w:bdr w:val="none" w:sz="0" w:space="0" w:color="auto" w:frame="1"/>
              </w:rPr>
              <w:t>o state effettivamente eseguite;</w:t>
            </w:r>
          </w:p>
          <w:p w:rsidR="00E11054" w:rsidRPr="00E11054" w:rsidRDefault="00F3679C" w:rsidP="00E11054">
            <w:pPr>
              <w:pStyle w:val="Paragrafoelenco"/>
              <w:numPr>
                <w:ilvl w:val="0"/>
                <w:numId w:val="10"/>
              </w:numPr>
              <w:jc w:val="both"/>
              <w:rPr>
                <w:rFonts w:ascii="Palatino Linotype" w:hAnsi="Palatino Linotype"/>
                <w:b/>
                <w:bCs/>
                <w:bdr w:val="none" w:sz="0" w:space="0" w:color="auto" w:frame="1"/>
              </w:rPr>
            </w:pPr>
            <w:proofErr w:type="spellStart"/>
            <w:r w:rsidRPr="00F3679C">
              <w:rPr>
                <w:rFonts w:ascii="Palatino Linotype" w:hAnsi="Palatino Linotype"/>
                <w:b/>
                <w:bCs/>
                <w:color w:val="1F4E79" w:themeColor="accent1" w:themeShade="80"/>
              </w:rPr>
              <w:t>Cons</w:t>
            </w:r>
            <w:proofErr w:type="spellEnd"/>
            <w:r w:rsidRPr="00F3679C">
              <w:rPr>
                <w:rFonts w:ascii="Palatino Linotype" w:hAnsi="Palatino Linotype"/>
                <w:b/>
                <w:bCs/>
                <w:color w:val="1F4E79" w:themeColor="accent1" w:themeShade="80"/>
              </w:rPr>
              <w:t>. Stato, sez. IV, 31 ottobre 2022, n. 9426</w:t>
            </w:r>
            <w:r>
              <w:rPr>
                <w:rFonts w:ascii="Palatino Linotype" w:hAnsi="Palatino Linotype"/>
                <w:b/>
                <w:bCs/>
                <w:bdr w:val="none" w:sz="0" w:space="0" w:color="auto" w:frame="1"/>
              </w:rPr>
              <w:t>, a</w:t>
            </w:r>
            <w:r w:rsidRPr="00F3679C">
              <w:rPr>
                <w:rFonts w:ascii="Palatino Linotype" w:hAnsi="Palatino Linotype"/>
                <w:b/>
                <w:bCs/>
                <w:bdr w:val="none" w:sz="0" w:space="0" w:color="auto" w:frame="1"/>
              </w:rPr>
              <w:t xml:space="preserve">deguamento del corrispettivo di un appalto di servizi in assenza di una espressa clausola </w:t>
            </w:r>
            <w:r>
              <w:rPr>
                <w:rFonts w:ascii="Palatino Linotype" w:hAnsi="Palatino Linotype"/>
                <w:b/>
                <w:bCs/>
                <w:bdr w:val="none" w:sz="0" w:space="0" w:color="auto" w:frame="1"/>
              </w:rPr>
              <w:t>di revisione dei prezzi;</w:t>
            </w:r>
          </w:p>
          <w:p w:rsidR="00F3679C" w:rsidRPr="0026567E" w:rsidRDefault="00F3679C" w:rsidP="00E11054">
            <w:pPr>
              <w:pStyle w:val="Paragrafoelenco"/>
              <w:numPr>
                <w:ilvl w:val="0"/>
                <w:numId w:val="10"/>
              </w:numPr>
              <w:jc w:val="both"/>
              <w:rPr>
                <w:rFonts w:ascii="Palatino Linotype" w:hAnsi="Palatino Linotype"/>
                <w:b/>
                <w:bCs/>
                <w:color w:val="1F4E79" w:themeColor="accent1" w:themeShade="80"/>
              </w:rPr>
            </w:pPr>
            <w:proofErr w:type="spellStart"/>
            <w:r>
              <w:rPr>
                <w:rFonts w:ascii="Palatino Linotype" w:hAnsi="Palatino Linotype"/>
                <w:b/>
                <w:bCs/>
                <w:color w:val="1F4E79" w:themeColor="accent1" w:themeShade="80"/>
              </w:rPr>
              <w:t>Cons</w:t>
            </w:r>
            <w:proofErr w:type="spellEnd"/>
            <w:r>
              <w:rPr>
                <w:rFonts w:ascii="Palatino Linotype" w:hAnsi="Palatino Linotype"/>
                <w:b/>
                <w:bCs/>
                <w:color w:val="1F4E79" w:themeColor="accent1" w:themeShade="80"/>
              </w:rPr>
              <w:t xml:space="preserve">. Stato, sez. </w:t>
            </w:r>
            <w:r w:rsidRPr="00F3679C">
              <w:rPr>
                <w:rFonts w:ascii="Palatino Linotype" w:hAnsi="Palatino Linotype"/>
                <w:b/>
                <w:bCs/>
                <w:color w:val="1F4E79" w:themeColor="accent1" w:themeShade="80"/>
              </w:rPr>
              <w:t>V</w:t>
            </w:r>
            <w:r>
              <w:rPr>
                <w:rFonts w:ascii="Palatino Linotype" w:hAnsi="Palatino Linotype"/>
                <w:b/>
                <w:bCs/>
                <w:color w:val="1F4E79" w:themeColor="accent1" w:themeShade="80"/>
              </w:rPr>
              <w:t>II, 28 ottobre 2022, n. 9328</w:t>
            </w:r>
            <w:r>
              <w:rPr>
                <w:rFonts w:ascii="Palatino Linotype" w:hAnsi="Palatino Linotype"/>
                <w:b/>
                <w:bCs/>
                <w:bdr w:val="none" w:sz="0" w:space="0" w:color="auto" w:frame="1"/>
              </w:rPr>
              <w:t>, l</w:t>
            </w:r>
            <w:r w:rsidRPr="00F3679C">
              <w:rPr>
                <w:rFonts w:ascii="Palatino Linotype" w:hAnsi="Palatino Linotype"/>
                <w:b/>
                <w:bCs/>
                <w:bdr w:val="none" w:sz="0" w:space="0" w:color="auto" w:frame="1"/>
              </w:rPr>
              <w:t xml:space="preserve">’art. 10 co. 3 </w:t>
            </w:r>
            <w:proofErr w:type="spellStart"/>
            <w:r w:rsidRPr="00F3679C">
              <w:rPr>
                <w:rFonts w:ascii="Palatino Linotype" w:hAnsi="Palatino Linotype"/>
                <w:b/>
                <w:bCs/>
                <w:bdr w:val="none" w:sz="0" w:space="0" w:color="auto" w:frame="1"/>
              </w:rPr>
              <w:t>d.P.R.</w:t>
            </w:r>
            <w:proofErr w:type="spellEnd"/>
            <w:r w:rsidRPr="00F3679C">
              <w:rPr>
                <w:rFonts w:ascii="Palatino Linotype" w:hAnsi="Palatino Linotype"/>
                <w:b/>
                <w:bCs/>
                <w:bdr w:val="none" w:sz="0" w:space="0" w:color="auto" w:frame="1"/>
              </w:rPr>
              <w:t xml:space="preserve"> n. 509 del 1997, che prevede la possibilità di proroga delle concessioni portuali, è norma eccezionale e di stretta interpretazione</w:t>
            </w:r>
            <w:r>
              <w:rPr>
                <w:rFonts w:ascii="Palatino Linotype" w:hAnsi="Palatino Linotype"/>
                <w:b/>
                <w:bCs/>
                <w:bdr w:val="none" w:sz="0" w:space="0" w:color="auto" w:frame="1"/>
              </w:rPr>
              <w:t>;</w:t>
            </w:r>
          </w:p>
          <w:p w:rsidR="00641340" w:rsidRPr="00641340" w:rsidRDefault="0026567E" w:rsidP="00E11054">
            <w:pPr>
              <w:pStyle w:val="Paragrafoelenco"/>
              <w:numPr>
                <w:ilvl w:val="0"/>
                <w:numId w:val="10"/>
              </w:numPr>
              <w:rPr>
                <w:rFonts w:ascii="Palatino Linotype" w:hAnsi="Palatino Linotype"/>
                <w:b/>
                <w:bCs/>
              </w:rPr>
            </w:pPr>
            <w:proofErr w:type="spellStart"/>
            <w:r w:rsidRPr="00641340">
              <w:rPr>
                <w:rFonts w:ascii="Palatino Linotype" w:hAnsi="Palatino Linotype"/>
                <w:b/>
                <w:bCs/>
                <w:color w:val="1F4E79" w:themeColor="accent1" w:themeShade="80"/>
              </w:rPr>
              <w:t>T.</w:t>
            </w:r>
            <w:r w:rsidR="00641340">
              <w:rPr>
                <w:rFonts w:ascii="Palatino Linotype" w:hAnsi="Palatino Linotype"/>
                <w:b/>
                <w:bCs/>
                <w:color w:val="1F4E79" w:themeColor="accent1" w:themeShade="80"/>
              </w:rPr>
              <w:t>a.r</w:t>
            </w:r>
            <w:proofErr w:type="spellEnd"/>
            <w:r w:rsidR="00641340">
              <w:rPr>
                <w:rFonts w:ascii="Palatino Linotype" w:hAnsi="Palatino Linotype"/>
                <w:b/>
                <w:bCs/>
                <w:color w:val="1F4E79" w:themeColor="accent1" w:themeShade="80"/>
              </w:rPr>
              <w:t>. per la Campania, Salerno, s</w:t>
            </w:r>
            <w:r w:rsidRPr="00641340">
              <w:rPr>
                <w:rFonts w:ascii="Palatino Linotype" w:hAnsi="Palatino Linotype"/>
                <w:b/>
                <w:bCs/>
                <w:color w:val="1F4E79" w:themeColor="accent1" w:themeShade="80"/>
              </w:rPr>
              <w:t>ez. II, 02 novem</w:t>
            </w:r>
            <w:r w:rsidR="00641340">
              <w:rPr>
                <w:rFonts w:ascii="Palatino Linotype" w:hAnsi="Palatino Linotype"/>
                <w:b/>
                <w:bCs/>
                <w:color w:val="1F4E79" w:themeColor="accent1" w:themeShade="80"/>
              </w:rPr>
              <w:t xml:space="preserve">bre 2022 n. 2896, </w:t>
            </w:r>
            <w:r w:rsidR="00641340" w:rsidRPr="00641340">
              <w:rPr>
                <w:rFonts w:ascii="Palatino Linotype" w:hAnsi="Palatino Linotype"/>
                <w:b/>
                <w:bCs/>
              </w:rPr>
              <w:t>silenzio assenso</w:t>
            </w:r>
            <w:r w:rsidR="002839F1">
              <w:rPr>
                <w:rFonts w:ascii="Palatino Linotype" w:hAnsi="Palatino Linotype"/>
                <w:b/>
                <w:bCs/>
              </w:rPr>
              <w:t>,</w:t>
            </w:r>
            <w:r w:rsidR="00641340">
              <w:rPr>
                <w:rFonts w:ascii="Palatino Linotype" w:hAnsi="Palatino Linotype"/>
                <w:b/>
                <w:bCs/>
              </w:rPr>
              <w:t xml:space="preserve"> ai sensi dell’art. 17 </w:t>
            </w:r>
            <w:r w:rsidR="00641340" w:rsidRPr="00641340">
              <w:rPr>
                <w:rFonts w:ascii="Palatino Linotype" w:hAnsi="Palatino Linotype"/>
                <w:b/>
                <w:bCs/>
                <w:i/>
              </w:rPr>
              <w:t>bis</w:t>
            </w:r>
            <w:r w:rsidR="002839F1">
              <w:rPr>
                <w:rFonts w:ascii="Palatino Linotype" w:hAnsi="Palatino Linotype"/>
                <w:b/>
                <w:bCs/>
              </w:rPr>
              <w:t xml:space="preserve"> l. 241 del 1990, </w:t>
            </w:r>
            <w:r w:rsidR="00641340">
              <w:rPr>
                <w:rFonts w:ascii="Palatino Linotype" w:hAnsi="Palatino Linotype"/>
                <w:b/>
                <w:bCs/>
              </w:rPr>
              <w:t xml:space="preserve">e </w:t>
            </w:r>
            <w:r w:rsidR="00641340" w:rsidRPr="00641340">
              <w:rPr>
                <w:rFonts w:ascii="Palatino Linotype" w:hAnsi="Palatino Linotype"/>
                <w:b/>
                <w:bCs/>
              </w:rPr>
              <w:t>autorizzazione paesaggistica</w:t>
            </w:r>
            <w:r w:rsidR="00641340">
              <w:rPr>
                <w:rFonts w:ascii="Palatino Linotype" w:hAnsi="Palatino Linotype"/>
                <w:b/>
                <w:bCs/>
              </w:rPr>
              <w:t>;</w:t>
            </w:r>
          </w:p>
          <w:p w:rsidR="00AD66F6" w:rsidRPr="00F3679C" w:rsidRDefault="00AD66F6" w:rsidP="00E11054">
            <w:pPr>
              <w:pStyle w:val="Paragrafoelenco"/>
              <w:numPr>
                <w:ilvl w:val="0"/>
                <w:numId w:val="10"/>
              </w:numPr>
              <w:jc w:val="both"/>
              <w:rPr>
                <w:rFonts w:ascii="Palatino Linotype" w:hAnsi="Palatino Linotype"/>
                <w:b/>
                <w:bCs/>
                <w:color w:val="1F4E79" w:themeColor="accent1" w:themeShade="80"/>
              </w:rPr>
            </w:pPr>
            <w:proofErr w:type="spellStart"/>
            <w:r w:rsidRPr="00AD66F6">
              <w:rPr>
                <w:rFonts w:ascii="Palatino Linotype" w:hAnsi="Palatino Linotype"/>
                <w:b/>
                <w:bCs/>
                <w:color w:val="1F4E79" w:themeColor="accent1" w:themeShade="80"/>
              </w:rPr>
              <w:t>T.a.r</w:t>
            </w:r>
            <w:proofErr w:type="spellEnd"/>
            <w:r w:rsidRPr="00AD66F6">
              <w:rPr>
                <w:rFonts w:ascii="Palatino Linotype" w:hAnsi="Palatino Linotype"/>
                <w:b/>
                <w:bCs/>
                <w:color w:val="1F4E79" w:themeColor="accent1" w:themeShade="80"/>
              </w:rPr>
              <w:t xml:space="preserve">. per </w:t>
            </w:r>
            <w:r w:rsidR="00F3679C">
              <w:rPr>
                <w:rFonts w:ascii="Palatino Linotype" w:hAnsi="Palatino Linotype"/>
                <w:b/>
                <w:bCs/>
                <w:color w:val="1F4E79" w:themeColor="accent1" w:themeShade="80"/>
              </w:rPr>
              <w:t>la Sicilia, Catania, sez. II, 27 ottobre 2022, n. 2848</w:t>
            </w:r>
            <w:r w:rsidRPr="00AD66F6">
              <w:rPr>
                <w:rFonts w:ascii="Palatino Linotype" w:hAnsi="Palatino Linotype"/>
                <w:b/>
                <w:bCs/>
                <w:color w:val="1F4E79" w:themeColor="accent1" w:themeShade="80"/>
              </w:rPr>
              <w:t>,</w:t>
            </w:r>
            <w:r>
              <w:t xml:space="preserve"> </w:t>
            </w:r>
            <w:r w:rsidR="00F3679C">
              <w:t>s</w:t>
            </w:r>
            <w:r w:rsidR="00F3679C" w:rsidRPr="00F3679C">
              <w:rPr>
                <w:rFonts w:ascii="Palatino Linotype" w:hAnsi="Palatino Linotype"/>
                <w:b/>
                <w:bCs/>
              </w:rPr>
              <w:t>ospensione impropria del giudizio e pendenza della question</w:t>
            </w:r>
            <w:r w:rsidR="00F3679C">
              <w:rPr>
                <w:rFonts w:ascii="Palatino Linotype" w:hAnsi="Palatino Linotype"/>
                <w:b/>
                <w:bCs/>
              </w:rPr>
              <w:t>e di legittimità costituzionale;</w:t>
            </w:r>
          </w:p>
          <w:p w:rsidR="00F3679C" w:rsidRDefault="00F3679C" w:rsidP="00E11054">
            <w:pPr>
              <w:pStyle w:val="Paragrafoelenco"/>
              <w:numPr>
                <w:ilvl w:val="0"/>
                <w:numId w:val="10"/>
              </w:numPr>
              <w:jc w:val="both"/>
              <w:rPr>
                <w:rFonts w:ascii="Palatino Linotype" w:hAnsi="Palatino Linotype"/>
                <w:b/>
                <w:bCs/>
              </w:rPr>
            </w:pPr>
            <w:proofErr w:type="spellStart"/>
            <w:r w:rsidRPr="00C71AD9">
              <w:rPr>
                <w:rFonts w:ascii="Palatino Linotype" w:hAnsi="Palatino Linotype"/>
                <w:b/>
                <w:bCs/>
                <w:color w:val="1F4E79" w:themeColor="accent1" w:themeShade="80"/>
              </w:rPr>
              <w:t>T.a.r</w:t>
            </w:r>
            <w:proofErr w:type="spellEnd"/>
            <w:r w:rsidRPr="00C71AD9">
              <w:rPr>
                <w:rFonts w:ascii="Palatino Linotype" w:hAnsi="Palatino Linotype"/>
                <w:b/>
                <w:bCs/>
                <w:color w:val="1F4E79" w:themeColor="accent1" w:themeShade="80"/>
              </w:rPr>
              <w:t xml:space="preserve">. per la </w:t>
            </w:r>
            <w:r w:rsidR="00C71AD9">
              <w:rPr>
                <w:rFonts w:ascii="Palatino Linotype" w:hAnsi="Palatino Linotype"/>
                <w:b/>
                <w:bCs/>
                <w:color w:val="1F4E79" w:themeColor="accent1" w:themeShade="80"/>
              </w:rPr>
              <w:t>Campania</w:t>
            </w:r>
            <w:r w:rsidRPr="00C71AD9">
              <w:rPr>
                <w:rFonts w:ascii="Palatino Linotype" w:hAnsi="Palatino Linotype"/>
                <w:b/>
                <w:bCs/>
                <w:color w:val="1F4E79" w:themeColor="accent1" w:themeShade="80"/>
              </w:rPr>
              <w:t xml:space="preserve">, </w:t>
            </w:r>
            <w:r w:rsidR="00C71AD9">
              <w:rPr>
                <w:rFonts w:ascii="Palatino Linotype" w:hAnsi="Palatino Linotype"/>
                <w:b/>
                <w:bCs/>
                <w:color w:val="1F4E79" w:themeColor="accent1" w:themeShade="80"/>
              </w:rPr>
              <w:t>Napoli</w:t>
            </w:r>
            <w:r w:rsidRPr="00C71AD9">
              <w:rPr>
                <w:rFonts w:ascii="Palatino Linotype" w:hAnsi="Palatino Linotype"/>
                <w:b/>
                <w:bCs/>
                <w:color w:val="1F4E79" w:themeColor="accent1" w:themeShade="80"/>
              </w:rPr>
              <w:t>, s</w:t>
            </w:r>
            <w:r w:rsidR="00C71AD9">
              <w:rPr>
                <w:rFonts w:ascii="Palatino Linotype" w:hAnsi="Palatino Linotype"/>
                <w:b/>
                <w:bCs/>
                <w:color w:val="1F4E79" w:themeColor="accent1" w:themeShade="80"/>
              </w:rPr>
              <w:t>ez. VII, 24 ottobre 2022, n. 6303</w:t>
            </w:r>
            <w:r w:rsidRPr="00C71AD9">
              <w:rPr>
                <w:rFonts w:ascii="Palatino Linotype" w:hAnsi="Palatino Linotype"/>
                <w:b/>
                <w:bCs/>
                <w:color w:val="1F4E79" w:themeColor="accent1" w:themeShade="80"/>
              </w:rPr>
              <w:t>,</w:t>
            </w:r>
            <w:r>
              <w:t xml:space="preserve"> </w:t>
            </w:r>
            <w:r w:rsidR="00740853">
              <w:t>p</w:t>
            </w:r>
            <w:r w:rsidR="00C71AD9" w:rsidRPr="00C71AD9">
              <w:rPr>
                <w:rFonts w:ascii="Palatino Linotype" w:hAnsi="Palatino Linotype"/>
                <w:b/>
                <w:bCs/>
              </w:rPr>
              <w:t>arer</w:t>
            </w:r>
            <w:r w:rsidR="002839F1">
              <w:rPr>
                <w:rFonts w:ascii="Palatino Linotype" w:hAnsi="Palatino Linotype"/>
                <w:b/>
                <w:bCs/>
              </w:rPr>
              <w:t>e regionale di conformità al P.u.t.</w:t>
            </w:r>
            <w:r w:rsidR="00C71AD9" w:rsidRPr="00C71AD9">
              <w:rPr>
                <w:rFonts w:ascii="Palatino Linotype" w:hAnsi="Palatino Linotype"/>
                <w:b/>
                <w:bCs/>
              </w:rPr>
              <w:t xml:space="preserve"> e silenzio assenso ex art. 17 </w:t>
            </w:r>
            <w:r w:rsidR="00C71AD9" w:rsidRPr="00C71AD9">
              <w:rPr>
                <w:rFonts w:ascii="Palatino Linotype" w:hAnsi="Palatino Linotype"/>
                <w:b/>
                <w:bCs/>
                <w:i/>
              </w:rPr>
              <w:t>bis</w:t>
            </w:r>
            <w:r w:rsidR="00C71AD9" w:rsidRPr="00C71AD9">
              <w:rPr>
                <w:rFonts w:ascii="Palatino Linotype" w:hAnsi="Palatino Linotype"/>
                <w:b/>
                <w:bCs/>
              </w:rPr>
              <w:t xml:space="preserve"> l. 241 del 1990.</w:t>
            </w:r>
          </w:p>
          <w:p w:rsidR="002839F1" w:rsidRDefault="002839F1" w:rsidP="00E11054">
            <w:pPr>
              <w:jc w:val="both"/>
              <w:rPr>
                <w:rFonts w:ascii="Palatino Linotype" w:hAnsi="Palatino Linotype"/>
                <w:b/>
                <w:bCs/>
                <w:color w:val="1F4E79" w:themeColor="accent1" w:themeShade="80"/>
                <w:sz w:val="28"/>
                <w:szCs w:val="28"/>
              </w:rPr>
            </w:pPr>
          </w:p>
          <w:p w:rsidR="00E11054" w:rsidRPr="00E11054" w:rsidRDefault="00E11054" w:rsidP="00E11054">
            <w:pPr>
              <w:jc w:val="both"/>
              <w:rPr>
                <w:rFonts w:ascii="Palatino Linotype" w:hAnsi="Palatino Linotype"/>
                <w:b/>
                <w:bCs/>
                <w:color w:val="1F4E79" w:themeColor="accent1" w:themeShade="80"/>
                <w:sz w:val="28"/>
                <w:szCs w:val="28"/>
              </w:rPr>
            </w:pPr>
            <w:r w:rsidRPr="00E11054">
              <w:rPr>
                <w:rFonts w:ascii="Palatino Linotype" w:hAnsi="Palatino Linotype"/>
                <w:b/>
                <w:bCs/>
                <w:color w:val="1F4E79" w:themeColor="accent1" w:themeShade="80"/>
                <w:sz w:val="28"/>
                <w:szCs w:val="28"/>
              </w:rPr>
              <w:t>Consiglio di Stato – Pareri</w:t>
            </w:r>
          </w:p>
          <w:p w:rsidR="00E11054" w:rsidRDefault="00E11054" w:rsidP="00E11054">
            <w:pPr>
              <w:pStyle w:val="Paragrafoelenco"/>
              <w:numPr>
                <w:ilvl w:val="0"/>
                <w:numId w:val="10"/>
              </w:numPr>
              <w:jc w:val="both"/>
              <w:rPr>
                <w:rFonts w:ascii="Palatino Linotype" w:hAnsi="Palatino Linotype"/>
                <w:b/>
                <w:bCs/>
              </w:rPr>
            </w:pPr>
            <w:proofErr w:type="spellStart"/>
            <w:r w:rsidRPr="00E11054">
              <w:rPr>
                <w:rFonts w:ascii="Palatino Linotype" w:hAnsi="Palatino Linotype"/>
                <w:b/>
                <w:bCs/>
                <w:color w:val="1F4E79" w:themeColor="accent1" w:themeShade="80"/>
              </w:rPr>
              <w:t>C.g.a</w:t>
            </w:r>
            <w:proofErr w:type="spellEnd"/>
            <w:r w:rsidRPr="00E11054">
              <w:rPr>
                <w:rFonts w:ascii="Palatino Linotype" w:hAnsi="Palatino Linotype"/>
                <w:b/>
                <w:bCs/>
                <w:color w:val="1F4E79" w:themeColor="accent1" w:themeShade="80"/>
              </w:rPr>
              <w:t xml:space="preserve">., sez. </w:t>
            </w:r>
            <w:proofErr w:type="spellStart"/>
            <w:r w:rsidRPr="00E11054">
              <w:rPr>
                <w:rFonts w:ascii="Palatino Linotype" w:hAnsi="Palatino Linotype"/>
                <w:b/>
                <w:bCs/>
                <w:color w:val="1F4E79" w:themeColor="accent1" w:themeShade="80"/>
              </w:rPr>
              <w:t>riun</w:t>
            </w:r>
            <w:proofErr w:type="spellEnd"/>
            <w:r w:rsidRPr="00E11054">
              <w:rPr>
                <w:rFonts w:ascii="Palatino Linotype" w:hAnsi="Palatino Linotype"/>
                <w:b/>
                <w:bCs/>
                <w:color w:val="1F4E79" w:themeColor="accent1" w:themeShade="80"/>
              </w:rPr>
              <w:t>., 31 ottobre 2022, n. 531</w:t>
            </w:r>
            <w:r w:rsidRPr="00E11054">
              <w:rPr>
                <w:rFonts w:ascii="Palatino Linotype" w:hAnsi="Palatino Linotype"/>
                <w:b/>
                <w:bCs/>
              </w:rPr>
              <w:t>, legittima la scelta della Regione di affrontare il futuro incremento di domanda di prestazioni odontoiatriche con il</w:t>
            </w:r>
            <w:r>
              <w:t xml:space="preserve"> </w:t>
            </w:r>
            <w:r w:rsidRPr="00E11054">
              <w:rPr>
                <w:rFonts w:ascii="Palatino Linotype" w:hAnsi="Palatino Linotype"/>
                <w:b/>
                <w:bCs/>
              </w:rPr>
              <w:t>potenziamento dell’efficienza delle strutture pubbliche, piuttosto che accreditare altre strutture sanitarie.</w:t>
            </w:r>
          </w:p>
          <w:p w:rsidR="002839F1" w:rsidRDefault="002839F1" w:rsidP="00674342">
            <w:pPr>
              <w:jc w:val="both"/>
              <w:rPr>
                <w:rFonts w:ascii="Palatino Linotype" w:hAnsi="Palatino Linotype"/>
                <w:b/>
                <w:bCs/>
                <w:color w:val="1F4E79" w:themeColor="accent1" w:themeShade="80"/>
                <w:sz w:val="28"/>
                <w:szCs w:val="28"/>
              </w:rPr>
            </w:pPr>
          </w:p>
          <w:p w:rsidR="00674342" w:rsidRPr="00674342" w:rsidRDefault="00674342" w:rsidP="00674342">
            <w:pPr>
              <w:jc w:val="both"/>
              <w:rPr>
                <w:rFonts w:ascii="Palatino Linotype" w:hAnsi="Palatino Linotype"/>
                <w:b/>
                <w:bCs/>
                <w:color w:val="1F4E79" w:themeColor="accent1" w:themeShade="80"/>
                <w:sz w:val="28"/>
                <w:szCs w:val="28"/>
              </w:rPr>
            </w:pPr>
            <w:r w:rsidRPr="00674342">
              <w:rPr>
                <w:rFonts w:ascii="Palatino Linotype" w:hAnsi="Palatino Linotype"/>
                <w:b/>
                <w:bCs/>
                <w:color w:val="1F4E79" w:themeColor="accent1" w:themeShade="80"/>
                <w:sz w:val="28"/>
                <w:szCs w:val="28"/>
              </w:rPr>
              <w:t>Normativa e altre attività di interesse</w:t>
            </w:r>
          </w:p>
          <w:p w:rsidR="005D3CA0" w:rsidRPr="005D3CA0" w:rsidRDefault="005D3CA0" w:rsidP="005D3CA0">
            <w:pPr>
              <w:pStyle w:val="Paragrafoelenco"/>
              <w:numPr>
                <w:ilvl w:val="0"/>
                <w:numId w:val="10"/>
              </w:numPr>
              <w:jc w:val="both"/>
              <w:rPr>
                <w:rFonts w:ascii="Palatino Linotype" w:hAnsi="Palatino Linotype"/>
                <w:b/>
                <w:bCs/>
              </w:rPr>
            </w:pPr>
            <w:r w:rsidRPr="005D3CA0">
              <w:rPr>
                <w:rFonts w:ascii="Palatino Linotype" w:hAnsi="Palatino Linotype"/>
                <w:b/>
                <w:bCs/>
                <w:color w:val="1F4E79" w:themeColor="accent1" w:themeShade="80"/>
              </w:rPr>
              <w:t xml:space="preserve">Decreto del Presidente del consiglio dei ministri 1 settembre 2022, n. 166 </w:t>
            </w:r>
            <w:r w:rsidRPr="005D3CA0">
              <w:rPr>
                <w:rFonts w:ascii="Palatino Linotype" w:hAnsi="Palatino Linotype"/>
                <w:b/>
                <w:bCs/>
              </w:rPr>
              <w:t xml:space="preserve">-Regolamento recante le procedure per la stipula di contratti di appalti di lavori, servizi e forniture per le attività dell'Agenzia per la </w:t>
            </w:r>
            <w:proofErr w:type="spellStart"/>
            <w:r w:rsidRPr="005D3CA0">
              <w:rPr>
                <w:rFonts w:ascii="Palatino Linotype" w:hAnsi="Palatino Linotype"/>
                <w:b/>
                <w:bCs/>
              </w:rPr>
              <w:t>cybersicurezza</w:t>
            </w:r>
            <w:proofErr w:type="spellEnd"/>
            <w:r w:rsidRPr="005D3CA0">
              <w:rPr>
                <w:rFonts w:ascii="Palatino Linotype" w:hAnsi="Palatino Linotype"/>
                <w:b/>
                <w:bCs/>
              </w:rPr>
              <w:t xml:space="preserve"> nazionale finalizzate alla tutela della sicurezza nazionale nello spazio cibernetico. (22G00173) (GU Serie Generale n.258 del 04-11-2022);</w:t>
            </w:r>
          </w:p>
          <w:p w:rsidR="00674342" w:rsidRPr="002839F1" w:rsidRDefault="00674342" w:rsidP="005D3CA0">
            <w:pPr>
              <w:pStyle w:val="Paragrafoelenco"/>
              <w:numPr>
                <w:ilvl w:val="0"/>
                <w:numId w:val="10"/>
              </w:numPr>
              <w:jc w:val="both"/>
              <w:rPr>
                <w:rFonts w:ascii="Palatino Linotype" w:hAnsi="Palatino Linotype"/>
                <w:b/>
                <w:bCs/>
              </w:rPr>
            </w:pPr>
            <w:r w:rsidRPr="002839F1">
              <w:rPr>
                <w:rFonts w:ascii="Palatino Linotype" w:hAnsi="Palatino Linotype"/>
                <w:b/>
                <w:bCs/>
                <w:color w:val="1F4E79" w:themeColor="accent1" w:themeShade="80"/>
              </w:rPr>
              <w:t xml:space="preserve">Decreto legislativo 5 ottobre 2022, n. 163 </w:t>
            </w:r>
            <w:r w:rsidRPr="002839F1">
              <w:rPr>
                <w:rFonts w:ascii="Palatino Linotype" w:hAnsi="Palatino Linotype"/>
                <w:b/>
                <w:bCs/>
              </w:rPr>
              <w:t>(in G.U. n. 256 del 2 novembre 2022; in vigore dal 17 novembre 2022) – Disposizioni integrative e correttive del decreto legislativo 28 febbraio 2021, n. 36, in attuazione dell’articolo 5 della legge 8 agosto 2019, n. 86, recante riordino e riforma delle disposizioni in materia di enti sportivi professionistici e dilettantistici, nonché di lavoro sportivo.</w:t>
            </w:r>
          </w:p>
        </w:tc>
      </w:tr>
    </w:tbl>
    <w:p w:rsidR="008235B9" w:rsidRDefault="008235B9" w:rsidP="009C288A">
      <w:pPr>
        <w:jc w:val="both"/>
      </w:pPr>
    </w:p>
    <w:p w:rsidR="006E5AB7" w:rsidRDefault="006E5AB7" w:rsidP="009C288A">
      <w:pPr>
        <w:jc w:val="both"/>
      </w:pPr>
    </w:p>
    <w:tbl>
      <w:tblPr>
        <w:tblStyle w:val="Grigliatabella"/>
        <w:tblW w:w="0" w:type="auto"/>
        <w:jc w:val="center"/>
        <w:tblLook w:val="04A0" w:firstRow="1" w:lastRow="0" w:firstColumn="1" w:lastColumn="0" w:noHBand="0" w:noVBand="1"/>
      </w:tblPr>
      <w:tblGrid>
        <w:gridCol w:w="9628"/>
      </w:tblGrid>
      <w:tr w:rsidR="009604A2" w:rsidTr="009604A2">
        <w:trPr>
          <w:jc w:val="center"/>
        </w:trPr>
        <w:tc>
          <w:tcPr>
            <w:tcW w:w="9628" w:type="dxa"/>
          </w:tcPr>
          <w:p w:rsidR="00BA1C7C" w:rsidRDefault="00BA1C7C" w:rsidP="00BA1C7C">
            <w:pPr>
              <w:jc w:val="center"/>
              <w:rPr>
                <w:rFonts w:ascii="Palatino Linotype" w:hAnsi="Palatino Linotype"/>
                <w:b/>
                <w:bCs/>
                <w:color w:val="2F5496"/>
                <w:sz w:val="32"/>
                <w:szCs w:val="32"/>
              </w:rPr>
            </w:pPr>
            <w:r>
              <w:rPr>
                <w:rFonts w:ascii="Palatino Linotype" w:hAnsi="Palatino Linotype"/>
                <w:b/>
                <w:bCs/>
                <w:color w:val="2F5496"/>
                <w:sz w:val="32"/>
                <w:szCs w:val="32"/>
              </w:rPr>
              <w:t>Corte costituzionale</w:t>
            </w:r>
          </w:p>
          <w:p w:rsidR="00BA1C7C" w:rsidRDefault="00BA1C7C" w:rsidP="00F05F51">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F05F51">
              <w:rPr>
                <w:rFonts w:ascii="Palatino Linotype" w:hAnsi="Palatino Linotype"/>
                <w:b/>
                <w:bCs/>
                <w:color w:val="BF8F00"/>
                <w:sz w:val="32"/>
                <w:szCs w:val="32"/>
              </w:rPr>
              <w:t>(1</w:t>
            </w:r>
            <w:r>
              <w:rPr>
                <w:rFonts w:ascii="Palatino Linotype" w:hAnsi="Palatino Linotype"/>
                <w:b/>
                <w:bCs/>
                <w:color w:val="BF8F00"/>
                <w:sz w:val="32"/>
                <w:szCs w:val="32"/>
              </w:rPr>
              <w:t>)</w:t>
            </w:r>
          </w:p>
          <w:p w:rsidR="00BA1C7C" w:rsidRPr="00F05F9C" w:rsidRDefault="005D3CA0" w:rsidP="005D3CA0">
            <w:pPr>
              <w:jc w:val="both"/>
              <w:rPr>
                <w:rFonts w:ascii="Palatino Linotype" w:hAnsi="Palatino Linotype"/>
                <w:b/>
                <w:bCs/>
                <w:sz w:val="28"/>
                <w:szCs w:val="28"/>
              </w:rPr>
            </w:pPr>
            <w:r w:rsidRPr="00F05F9C">
              <w:rPr>
                <w:rFonts w:ascii="Palatino Linotype" w:hAnsi="Palatino Linotype"/>
                <w:b/>
                <w:bCs/>
                <w:sz w:val="28"/>
                <w:szCs w:val="28"/>
              </w:rPr>
              <w:lastRenderedPageBreak/>
              <w:t>Sul procedimento di autorizzazione alla costruzione e all’esercizio di impianti di produzione di energia elettrica da fonti rinnovabili.</w:t>
            </w:r>
          </w:p>
          <w:p w:rsidR="005D3CA0" w:rsidRPr="00F05F9C" w:rsidRDefault="005D3CA0" w:rsidP="005D3CA0">
            <w:pPr>
              <w:jc w:val="both"/>
              <w:rPr>
                <w:rFonts w:ascii="Palatino Linotype" w:hAnsi="Palatino Linotype"/>
                <w:b/>
                <w:bCs/>
                <w:sz w:val="28"/>
                <w:szCs w:val="28"/>
              </w:rPr>
            </w:pPr>
          </w:p>
          <w:p w:rsidR="005D3CA0" w:rsidRPr="005D3CA0" w:rsidRDefault="005D3CA0" w:rsidP="00C0640B">
            <w:pPr>
              <w:pStyle w:val="xxxxmsonormal"/>
              <w:shd w:val="clear" w:color="auto" w:fill="FFFFFF"/>
              <w:jc w:val="both"/>
              <w:rPr>
                <w:rFonts w:ascii="Palatino Linotype" w:hAnsi="Palatino Linotype"/>
                <w:b/>
                <w:color w:val="1F4E79" w:themeColor="accent1" w:themeShade="80"/>
                <w:sz w:val="28"/>
                <w:szCs w:val="28"/>
              </w:rPr>
            </w:pPr>
            <w:r w:rsidRPr="005D3CA0">
              <w:rPr>
                <w:rFonts w:ascii="Palatino Linotype" w:hAnsi="Palatino Linotype"/>
                <w:b/>
                <w:color w:val="1F4E79" w:themeColor="accent1" w:themeShade="80"/>
                <w:sz w:val="28"/>
                <w:szCs w:val="28"/>
              </w:rPr>
              <w:t xml:space="preserve">Corte costituzionale, 27 ottobre 2022, n. 221, </w:t>
            </w:r>
            <w:proofErr w:type="spellStart"/>
            <w:r w:rsidRPr="005D3CA0">
              <w:rPr>
                <w:rFonts w:ascii="Palatino Linotype" w:hAnsi="Palatino Linotype"/>
                <w:b/>
                <w:color w:val="1F4E79" w:themeColor="accent1" w:themeShade="80"/>
                <w:sz w:val="28"/>
                <w:szCs w:val="28"/>
              </w:rPr>
              <w:t>Pres</w:t>
            </w:r>
            <w:proofErr w:type="spellEnd"/>
            <w:r w:rsidRPr="005D3CA0">
              <w:rPr>
                <w:rFonts w:ascii="Palatino Linotype" w:hAnsi="Palatino Linotype"/>
                <w:b/>
                <w:color w:val="1F4E79" w:themeColor="accent1" w:themeShade="80"/>
                <w:sz w:val="28"/>
                <w:szCs w:val="28"/>
              </w:rPr>
              <w:t xml:space="preserve">. Sciarra, </w:t>
            </w:r>
            <w:proofErr w:type="spellStart"/>
            <w:r w:rsidRPr="005D3CA0">
              <w:rPr>
                <w:rFonts w:ascii="Palatino Linotype" w:hAnsi="Palatino Linotype"/>
                <w:b/>
                <w:color w:val="1F4E79" w:themeColor="accent1" w:themeShade="80"/>
                <w:sz w:val="28"/>
                <w:szCs w:val="28"/>
              </w:rPr>
              <w:t>Rel</w:t>
            </w:r>
            <w:proofErr w:type="spellEnd"/>
            <w:r w:rsidRPr="005D3CA0">
              <w:rPr>
                <w:rFonts w:ascii="Palatino Linotype" w:hAnsi="Palatino Linotype"/>
                <w:b/>
                <w:color w:val="1F4E79" w:themeColor="accent1" w:themeShade="80"/>
                <w:sz w:val="28"/>
                <w:szCs w:val="28"/>
              </w:rPr>
              <w:t>. Patroni Griffi</w:t>
            </w:r>
          </w:p>
          <w:p w:rsidR="005D3CA0" w:rsidRDefault="005D3CA0" w:rsidP="00C0640B">
            <w:pPr>
              <w:pStyle w:val="xxxxmsonormal"/>
              <w:shd w:val="clear" w:color="auto" w:fill="FFFFFF"/>
              <w:jc w:val="both"/>
              <w:rPr>
                <w:rFonts w:ascii="Palatino Linotype" w:hAnsi="Palatino Linotype"/>
                <w:sz w:val="28"/>
                <w:szCs w:val="28"/>
              </w:rPr>
            </w:pPr>
          </w:p>
          <w:p w:rsidR="005D3CA0" w:rsidRDefault="005D3CA0" w:rsidP="00C0640B">
            <w:pPr>
              <w:pStyle w:val="xxxxmsonormal"/>
              <w:shd w:val="clear" w:color="auto" w:fill="FFFFFF"/>
              <w:jc w:val="both"/>
              <w:rPr>
                <w:rFonts w:ascii="Palatino Linotype" w:hAnsi="Palatino Linotype"/>
                <w:sz w:val="28"/>
                <w:szCs w:val="28"/>
              </w:rPr>
            </w:pPr>
            <w:r>
              <w:rPr>
                <w:rFonts w:ascii="Palatino Linotype" w:hAnsi="Palatino Linotype"/>
                <w:sz w:val="28"/>
                <w:szCs w:val="28"/>
              </w:rPr>
              <w:t>La</w:t>
            </w:r>
            <w:r w:rsidRPr="005D3CA0">
              <w:rPr>
                <w:rFonts w:ascii="Palatino Linotype" w:hAnsi="Palatino Linotype"/>
                <w:sz w:val="28"/>
                <w:szCs w:val="28"/>
              </w:rPr>
              <w:t xml:space="preserve"> Corte</w:t>
            </w:r>
            <w:r>
              <w:rPr>
                <w:rFonts w:ascii="Palatino Linotype" w:hAnsi="Palatino Linotype"/>
                <w:sz w:val="28"/>
                <w:szCs w:val="28"/>
              </w:rPr>
              <w:t xml:space="preserve"> costituzionale</w:t>
            </w:r>
            <w:r w:rsidRPr="005D3CA0">
              <w:rPr>
                <w:rFonts w:ascii="Palatino Linotype" w:hAnsi="Palatino Linotype"/>
                <w:sz w:val="28"/>
                <w:szCs w:val="28"/>
              </w:rPr>
              <w:t xml:space="preserve"> ha affermato che l’art. 12 del d.lgs. n. 387 del 2003 – nel prevedere che l’autorizzazione alla costruzione e all’esercizio di impianti di produzione di energia elettrica da fonti rinnovabili sia rilasciata nell’ambito di un procedimento unico, cui partecipano tutte le amministrazioni interessate, che deve concludersi entro novanta giorni – esprime un principio fondamentale in materia di «produzione, trasporto e distribuzione nazionale dell’energia». Esso è «funzionale al raggiungimento degli obiettivi di massima diffusione delle fonti energetiche rinnovabili sancito dalla normativa europea» (sentenza n. 46 del 2021) ed è volto a bilanciare l’esigenza di potenziare le fonti rinnovabili con quella di tutelare il territorio nella dimensione paesaggistica, storico-culturale e della biodiversità (sentenza n. 121 del 2022). Le finalità cui mira la normativa statale, pertanto, non tollerano eccezioni sull’intero territorio nazionale, sicché le regioni non possono sospendere le procedure di autorizzazione, né subordinarle a vincoli o condizioni non previste dalla normativa statale (</w:t>
            </w:r>
            <w:r w:rsidRPr="005D3CA0">
              <w:rPr>
                <w:rFonts w:ascii="Palatino Linotype" w:hAnsi="Palatino Linotype"/>
                <w:i/>
                <w:sz w:val="28"/>
                <w:szCs w:val="28"/>
              </w:rPr>
              <w:t xml:space="preserve">ex </w:t>
            </w:r>
            <w:proofErr w:type="spellStart"/>
            <w:r w:rsidRPr="005D3CA0">
              <w:rPr>
                <w:rFonts w:ascii="Palatino Linotype" w:hAnsi="Palatino Linotype"/>
                <w:i/>
                <w:sz w:val="28"/>
                <w:szCs w:val="28"/>
              </w:rPr>
              <w:t>multis</w:t>
            </w:r>
            <w:proofErr w:type="spellEnd"/>
            <w:r w:rsidRPr="005D3CA0">
              <w:rPr>
                <w:rFonts w:ascii="Palatino Linotype" w:hAnsi="Palatino Linotype"/>
                <w:sz w:val="28"/>
                <w:szCs w:val="28"/>
              </w:rPr>
              <w:t xml:space="preserve">, sentenze n. 77 del 2022, n. 177 del 2021, n. 258 del 2020 e n. 177 del 2018): è soltanto nella sede del procedimento unico delineato dall’art. 12 del d.lgs. n. 387 del 2003, infatti, che «può e deve avvenire la valutazione sincronica degli interessi pubblici coinvolti e meritevoli di tutela, a confronto sia con l’interesse del soggetto privato operatore economico, sia ancora (e non da ultimo) con ulteriori interessi di cui sono titolari singoli cittadini e comunità, e che trovano nei principi costituzionali la loro previsione e tutela. La struttura del procedimento amministrativo, infatti, rende possibili l’emersione di tali interessi, la loro adeguata prospettazione, nonché la pubblicità e la trasparenza della loro valutazione» (sentenze n. 69 del 2018 e n. 177 del 2021; in senso analogo, sentenza n. 177 del 2018, nonché, più in generale, con riferimento alle competenze primarie delle regioni a statuto speciale e delle province autonome, sentenza n. 117 del 2022). Le disposizioni censurate – senza che le diverse formulazioni adoperate dal legislatore regionale rendano significativamente differente il loro contenuto normativo – determinano, invece, una sospensione dei procedimenti autorizzativi per </w:t>
            </w:r>
            <w:r w:rsidRPr="005D3CA0">
              <w:rPr>
                <w:rFonts w:ascii="Palatino Linotype" w:hAnsi="Palatino Linotype"/>
                <w:sz w:val="28"/>
                <w:szCs w:val="28"/>
              </w:rPr>
              <w:lastRenderedPageBreak/>
              <w:t>la costruzione e l’esercizio di impianti alimentati da fonti rinnovabili, così ponendosi in evidente contrasto con la richiamata normativa statale. Non assume alcun rilievo la circostanza, sulla quale ha insistito in atti la Regione Lazio, che tale sospensione sia temporalmente circoscritta, anche con la fissazione di un termine massimo di otto mesi, il quale peraltro, al di là d’ogni altra considerazione, è di gran lunga superiore a quello, di novanta giorni, che l’art. 12 del d.lgs. n. 387 del 2003 prescrive per la conclusione del procedimento unico ivi previsto</w:t>
            </w:r>
            <w:r w:rsidR="00F05F9C">
              <w:rPr>
                <w:rFonts w:ascii="Palatino Linotype" w:hAnsi="Palatino Linotype"/>
                <w:sz w:val="28"/>
                <w:szCs w:val="28"/>
              </w:rPr>
              <w:t>.</w:t>
            </w:r>
          </w:p>
          <w:p w:rsidR="008F14E9" w:rsidRDefault="008F14E9" w:rsidP="00F05F9C">
            <w:pPr>
              <w:pStyle w:val="xxxxmsonormal"/>
              <w:shd w:val="clear" w:color="auto" w:fill="FFFFFF"/>
              <w:jc w:val="both"/>
              <w:rPr>
                <w:rFonts w:ascii="Palatino Linotype" w:hAnsi="Palatino Linotype"/>
                <w:sz w:val="28"/>
                <w:szCs w:val="28"/>
              </w:rPr>
            </w:pPr>
          </w:p>
          <w:p w:rsidR="00F05F9C" w:rsidRDefault="00F05F9C" w:rsidP="00F05F9C">
            <w:pPr>
              <w:pStyle w:val="xxxxmsonormal"/>
              <w:shd w:val="clear" w:color="auto" w:fill="FFFFFF"/>
              <w:jc w:val="both"/>
              <w:rPr>
                <w:rFonts w:ascii="Palatino Linotype" w:hAnsi="Palatino Linotype"/>
                <w:sz w:val="28"/>
                <w:szCs w:val="28"/>
              </w:rPr>
            </w:pPr>
            <w:bookmarkStart w:id="0" w:name="_GoBack"/>
            <w:bookmarkEnd w:id="0"/>
            <w:r>
              <w:rPr>
                <w:rFonts w:ascii="Palatino Linotype" w:hAnsi="Palatino Linotype"/>
                <w:sz w:val="28"/>
                <w:szCs w:val="28"/>
              </w:rPr>
              <w:t>Per questi motivi la Corte costituzionale ha dichiarato:</w:t>
            </w:r>
          </w:p>
          <w:p w:rsidR="00F05F9C" w:rsidRPr="00F05F9C" w:rsidRDefault="00F05F9C" w:rsidP="00F05F9C">
            <w:pPr>
              <w:pStyle w:val="xxxxmsonormal"/>
              <w:shd w:val="clear" w:color="auto" w:fill="FFFFFF"/>
              <w:jc w:val="both"/>
              <w:rPr>
                <w:rFonts w:ascii="Palatino Linotype" w:hAnsi="Palatino Linotype"/>
                <w:sz w:val="28"/>
                <w:szCs w:val="28"/>
              </w:rPr>
            </w:pPr>
            <w:r>
              <w:rPr>
                <w:rFonts w:ascii="Palatino Linotype" w:hAnsi="Palatino Linotype"/>
                <w:sz w:val="28"/>
                <w:szCs w:val="28"/>
              </w:rPr>
              <w:t>a)</w:t>
            </w:r>
            <w:r w:rsidRPr="00F05F9C">
              <w:rPr>
                <w:rFonts w:ascii="Palatino Linotype" w:hAnsi="Palatino Linotype"/>
                <w:sz w:val="28"/>
                <w:szCs w:val="28"/>
              </w:rPr>
              <w:t xml:space="preserve"> l’illegittimità costituzionale dell’art. 75, comma 1, lettera b), numero 5), della legge della</w:t>
            </w:r>
            <w:r>
              <w:rPr>
                <w:rFonts w:ascii="Palatino Linotype" w:hAnsi="Palatino Linotype"/>
                <w:sz w:val="28"/>
                <w:szCs w:val="28"/>
              </w:rPr>
              <w:t xml:space="preserve"> </w:t>
            </w:r>
            <w:r w:rsidRPr="00F05F9C">
              <w:rPr>
                <w:rFonts w:ascii="Palatino Linotype" w:hAnsi="Palatino Linotype"/>
                <w:sz w:val="28"/>
                <w:szCs w:val="28"/>
              </w:rPr>
              <w:t>Regione Lazio 11 agosto 2021, n. 14 (Disposizioni collegate alla legge di stabilità regionale 2021 e</w:t>
            </w:r>
            <w:r>
              <w:rPr>
                <w:rFonts w:ascii="Palatino Linotype" w:hAnsi="Palatino Linotype"/>
                <w:sz w:val="28"/>
                <w:szCs w:val="28"/>
              </w:rPr>
              <w:t xml:space="preserve"> </w:t>
            </w:r>
            <w:r w:rsidRPr="00F05F9C">
              <w:rPr>
                <w:rFonts w:ascii="Palatino Linotype" w:hAnsi="Palatino Linotype"/>
                <w:sz w:val="28"/>
                <w:szCs w:val="28"/>
              </w:rPr>
              <w:t>modifiche di leggi regionali), nella parte in cui introduce i commi 5-</w:t>
            </w:r>
            <w:r w:rsidRPr="008F14E9">
              <w:rPr>
                <w:rFonts w:ascii="Palatino Linotype" w:hAnsi="Palatino Linotype"/>
                <w:i/>
                <w:sz w:val="28"/>
                <w:szCs w:val="28"/>
              </w:rPr>
              <w:t>quater</w:t>
            </w:r>
            <w:r w:rsidRPr="00F05F9C">
              <w:rPr>
                <w:rFonts w:ascii="Palatino Linotype" w:hAnsi="Palatino Linotype"/>
                <w:sz w:val="28"/>
                <w:szCs w:val="28"/>
              </w:rPr>
              <w:t xml:space="preserve"> e 5-</w:t>
            </w:r>
            <w:r w:rsidRPr="008F14E9">
              <w:rPr>
                <w:rFonts w:ascii="Palatino Linotype" w:hAnsi="Palatino Linotype"/>
                <w:i/>
                <w:sz w:val="28"/>
                <w:szCs w:val="28"/>
              </w:rPr>
              <w:t>quinquies</w:t>
            </w:r>
            <w:r w:rsidRPr="00F05F9C">
              <w:rPr>
                <w:rFonts w:ascii="Palatino Linotype" w:hAnsi="Palatino Linotype"/>
                <w:sz w:val="28"/>
                <w:szCs w:val="28"/>
              </w:rPr>
              <w:t xml:space="preserve"> dell’art. 3.1 della</w:t>
            </w:r>
            <w:r>
              <w:rPr>
                <w:rFonts w:ascii="Palatino Linotype" w:hAnsi="Palatino Linotype"/>
                <w:sz w:val="28"/>
                <w:szCs w:val="28"/>
              </w:rPr>
              <w:t xml:space="preserve"> </w:t>
            </w:r>
            <w:r w:rsidRPr="00F05F9C">
              <w:rPr>
                <w:rFonts w:ascii="Palatino Linotype" w:hAnsi="Palatino Linotype"/>
                <w:sz w:val="28"/>
                <w:szCs w:val="28"/>
              </w:rPr>
              <w:t>legge della Regione Lazio 16 dicembre 2011, n. 16 (Norme in materia ambientale e di fonti rinnovabili);</w:t>
            </w:r>
          </w:p>
          <w:p w:rsidR="00F05F9C" w:rsidRPr="00F05F9C" w:rsidRDefault="00F05F9C" w:rsidP="00F05F9C">
            <w:pPr>
              <w:pStyle w:val="xxxxmsonormal"/>
              <w:shd w:val="clear" w:color="auto" w:fill="FFFFFF"/>
              <w:jc w:val="both"/>
              <w:rPr>
                <w:rFonts w:ascii="Palatino Linotype" w:hAnsi="Palatino Linotype"/>
                <w:sz w:val="28"/>
                <w:szCs w:val="28"/>
              </w:rPr>
            </w:pPr>
            <w:r>
              <w:rPr>
                <w:rFonts w:ascii="Palatino Linotype" w:hAnsi="Palatino Linotype"/>
                <w:sz w:val="28"/>
                <w:szCs w:val="28"/>
              </w:rPr>
              <w:t>b</w:t>
            </w:r>
            <w:r w:rsidRPr="00F05F9C">
              <w:rPr>
                <w:rFonts w:ascii="Palatino Linotype" w:hAnsi="Palatino Linotype"/>
                <w:sz w:val="28"/>
                <w:szCs w:val="28"/>
              </w:rPr>
              <w:t>) dell’art. 6 della legge della Regione Lazio 30 dicembre 2021, n.</w:t>
            </w:r>
            <w:r>
              <w:rPr>
                <w:rFonts w:ascii="Palatino Linotype" w:hAnsi="Palatino Linotype"/>
                <w:sz w:val="28"/>
                <w:szCs w:val="28"/>
              </w:rPr>
              <w:t xml:space="preserve"> </w:t>
            </w:r>
            <w:r w:rsidRPr="00F05F9C">
              <w:rPr>
                <w:rFonts w:ascii="Palatino Linotype" w:hAnsi="Palatino Linotype"/>
                <w:sz w:val="28"/>
                <w:szCs w:val="28"/>
              </w:rPr>
              <w:t>20 (Legge di stabilità regionale 2022);</w:t>
            </w:r>
          </w:p>
          <w:p w:rsidR="00F05F9C" w:rsidRPr="005D3CA0" w:rsidRDefault="00F05F9C" w:rsidP="00F05F9C">
            <w:pPr>
              <w:pStyle w:val="xxxxmsonormal"/>
              <w:shd w:val="clear" w:color="auto" w:fill="FFFFFF"/>
              <w:jc w:val="both"/>
              <w:rPr>
                <w:rFonts w:ascii="Palatino Linotype" w:hAnsi="Palatino Linotype"/>
                <w:b/>
                <w:bCs/>
                <w:color w:val="000000"/>
                <w:sz w:val="28"/>
                <w:szCs w:val="28"/>
                <w:bdr w:val="none" w:sz="0" w:space="0" w:color="auto" w:frame="1"/>
              </w:rPr>
            </w:pPr>
            <w:r>
              <w:rPr>
                <w:rFonts w:ascii="Palatino Linotype" w:hAnsi="Palatino Linotype"/>
                <w:sz w:val="28"/>
                <w:szCs w:val="28"/>
              </w:rPr>
              <w:t>c</w:t>
            </w:r>
            <w:r w:rsidRPr="00F05F9C">
              <w:rPr>
                <w:rFonts w:ascii="Palatino Linotype" w:hAnsi="Palatino Linotype"/>
                <w:sz w:val="28"/>
                <w:szCs w:val="28"/>
              </w:rPr>
              <w:t xml:space="preserve">) </w:t>
            </w:r>
            <w:r>
              <w:rPr>
                <w:rFonts w:ascii="Palatino Linotype" w:hAnsi="Palatino Linotype"/>
                <w:sz w:val="28"/>
                <w:szCs w:val="28"/>
              </w:rPr>
              <w:t xml:space="preserve">dell’art. 81 della legge </w:t>
            </w:r>
            <w:r w:rsidR="008F14E9">
              <w:rPr>
                <w:rFonts w:ascii="Palatino Linotype" w:hAnsi="Palatino Linotype"/>
                <w:sz w:val="28"/>
                <w:szCs w:val="28"/>
              </w:rPr>
              <w:t xml:space="preserve">della </w:t>
            </w:r>
            <w:r>
              <w:rPr>
                <w:rFonts w:ascii="Palatino Linotype" w:hAnsi="Palatino Linotype"/>
                <w:sz w:val="28"/>
                <w:szCs w:val="28"/>
              </w:rPr>
              <w:t>Regione</w:t>
            </w:r>
            <w:r w:rsidRPr="00F05F9C">
              <w:rPr>
                <w:rFonts w:ascii="Palatino Linotype" w:hAnsi="Palatino Linotype"/>
                <w:sz w:val="28"/>
                <w:szCs w:val="28"/>
              </w:rPr>
              <w:t xml:space="preserve"> Lazio n. 14 del 2021</w:t>
            </w:r>
            <w:r>
              <w:rPr>
                <w:rFonts w:ascii="Palatino Linotype" w:hAnsi="Palatino Linotype"/>
                <w:sz w:val="28"/>
                <w:szCs w:val="28"/>
              </w:rPr>
              <w:t>.</w:t>
            </w:r>
          </w:p>
          <w:p w:rsidR="005D3CA0" w:rsidRDefault="005D3CA0" w:rsidP="00C0640B">
            <w:pPr>
              <w:pStyle w:val="xxxxmsonormal"/>
              <w:shd w:val="clear" w:color="auto" w:fill="FFFFFF"/>
              <w:jc w:val="both"/>
              <w:rPr>
                <w:rFonts w:ascii="Palatino Linotype" w:hAnsi="Palatino Linotype"/>
                <w:b/>
                <w:bCs/>
                <w:color w:val="000000"/>
                <w:sz w:val="28"/>
                <w:szCs w:val="28"/>
                <w:bdr w:val="none" w:sz="0" w:space="0" w:color="auto" w:frame="1"/>
              </w:rPr>
            </w:pPr>
          </w:p>
          <w:p w:rsidR="005D3CA0" w:rsidRDefault="005D3CA0" w:rsidP="00F05F9C">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F05F9C">
              <w:rPr>
                <w:rFonts w:ascii="Palatino Linotype" w:hAnsi="Palatino Linotype"/>
                <w:b/>
                <w:bCs/>
                <w:color w:val="BF8F00"/>
                <w:sz w:val="32"/>
                <w:szCs w:val="32"/>
              </w:rPr>
              <w:t>(2</w:t>
            </w:r>
            <w:r>
              <w:rPr>
                <w:rFonts w:ascii="Palatino Linotype" w:hAnsi="Palatino Linotype"/>
                <w:b/>
                <w:bCs/>
                <w:color w:val="BF8F00"/>
                <w:sz w:val="32"/>
                <w:szCs w:val="32"/>
              </w:rPr>
              <w:t>)</w:t>
            </w:r>
          </w:p>
          <w:p w:rsidR="005D3CA0" w:rsidRDefault="005D3CA0" w:rsidP="00C0640B">
            <w:pPr>
              <w:pStyle w:val="xxxxmsonormal"/>
              <w:shd w:val="clear" w:color="auto" w:fill="FFFFFF"/>
              <w:jc w:val="both"/>
              <w:rPr>
                <w:rFonts w:ascii="Palatino Linotype" w:hAnsi="Palatino Linotype"/>
                <w:b/>
                <w:bCs/>
                <w:color w:val="000000"/>
                <w:sz w:val="28"/>
                <w:szCs w:val="28"/>
                <w:bdr w:val="none" w:sz="0" w:space="0" w:color="auto" w:frame="1"/>
              </w:rPr>
            </w:pPr>
          </w:p>
          <w:p w:rsidR="00C55BEB" w:rsidRDefault="009C4A18" w:rsidP="00C0640B">
            <w:pPr>
              <w:pStyle w:val="xxxxmsonormal"/>
              <w:shd w:val="clear" w:color="auto" w:fill="FFFFFF"/>
              <w:jc w:val="both"/>
              <w:rPr>
                <w:rFonts w:ascii="Palatino Linotype" w:hAnsi="Palatino Linotype"/>
                <w:b/>
                <w:bCs/>
                <w:color w:val="000000"/>
                <w:sz w:val="28"/>
                <w:szCs w:val="28"/>
                <w:bdr w:val="none" w:sz="0" w:space="0" w:color="auto" w:frame="1"/>
              </w:rPr>
            </w:pPr>
            <w:r w:rsidRPr="009C4A18">
              <w:rPr>
                <w:rFonts w:ascii="Palatino Linotype" w:hAnsi="Palatino Linotype"/>
                <w:b/>
                <w:bCs/>
                <w:color w:val="000000"/>
                <w:sz w:val="28"/>
                <w:szCs w:val="28"/>
                <w:bdr w:val="none" w:sz="0" w:space="0" w:color="auto" w:frame="1"/>
              </w:rPr>
              <w:t xml:space="preserve">La Corte costituzionale individua la natura e l’ambito applicativo dell’art. 9 </w:t>
            </w:r>
            <w:r w:rsidRPr="009C4A18">
              <w:rPr>
                <w:rFonts w:ascii="Palatino Linotype" w:hAnsi="Palatino Linotype"/>
                <w:b/>
                <w:bCs/>
                <w:i/>
                <w:color w:val="000000"/>
                <w:sz w:val="28"/>
                <w:szCs w:val="28"/>
                <w:bdr w:val="none" w:sz="0" w:space="0" w:color="auto" w:frame="1"/>
              </w:rPr>
              <w:t>bis</w:t>
            </w:r>
            <w:r w:rsidRPr="009C4A18">
              <w:rPr>
                <w:rFonts w:ascii="Palatino Linotype" w:hAnsi="Palatino Linotype"/>
                <w:b/>
                <w:bCs/>
                <w:color w:val="000000"/>
                <w:sz w:val="28"/>
                <w:szCs w:val="28"/>
                <w:bdr w:val="none" w:sz="0" w:space="0" w:color="auto" w:frame="1"/>
              </w:rPr>
              <w:t xml:space="preserve"> </w:t>
            </w:r>
            <w:proofErr w:type="spellStart"/>
            <w:r w:rsidRPr="009C4A18">
              <w:rPr>
                <w:rFonts w:ascii="Palatino Linotype" w:hAnsi="Palatino Linotype"/>
                <w:b/>
                <w:bCs/>
                <w:color w:val="000000"/>
                <w:sz w:val="28"/>
                <w:szCs w:val="28"/>
                <w:bdr w:val="none" w:sz="0" w:space="0" w:color="auto" w:frame="1"/>
              </w:rPr>
              <w:t>t.u.</w:t>
            </w:r>
            <w:proofErr w:type="spellEnd"/>
            <w:r w:rsidRPr="009C4A18">
              <w:rPr>
                <w:rFonts w:ascii="Palatino Linotype" w:hAnsi="Palatino Linotype"/>
                <w:b/>
                <w:bCs/>
                <w:color w:val="000000"/>
                <w:sz w:val="28"/>
                <w:szCs w:val="28"/>
                <w:bdr w:val="none" w:sz="0" w:space="0" w:color="auto" w:frame="1"/>
              </w:rPr>
              <w:t xml:space="preserve"> edilizia nella parte in cui definisce lo stato legittimo degli immobili</w:t>
            </w:r>
            <w:r w:rsidR="00191CB5">
              <w:rPr>
                <w:rFonts w:ascii="Palatino Linotype" w:hAnsi="Palatino Linotype"/>
                <w:b/>
                <w:bCs/>
                <w:color w:val="000000"/>
                <w:sz w:val="28"/>
                <w:szCs w:val="28"/>
                <w:bdr w:val="none" w:sz="0" w:space="0" w:color="auto" w:frame="1"/>
              </w:rPr>
              <w:t>.</w:t>
            </w:r>
          </w:p>
          <w:p w:rsidR="00191CB5" w:rsidRPr="00C55BEB" w:rsidRDefault="00191CB5" w:rsidP="00C0640B">
            <w:pPr>
              <w:pStyle w:val="xxxxmsonormal"/>
              <w:shd w:val="clear" w:color="auto" w:fill="FFFFFF"/>
              <w:jc w:val="both"/>
              <w:rPr>
                <w:rFonts w:ascii="Palatino Linotype" w:hAnsi="Palatino Linotype"/>
                <w:bCs/>
                <w:color w:val="000000"/>
                <w:sz w:val="28"/>
                <w:szCs w:val="28"/>
                <w:bdr w:val="none" w:sz="0" w:space="0" w:color="auto" w:frame="1"/>
              </w:rPr>
            </w:pPr>
          </w:p>
          <w:p w:rsidR="00C55BEB" w:rsidRPr="00C55BEB" w:rsidRDefault="00C55BEB" w:rsidP="00C55BEB">
            <w:pPr>
              <w:jc w:val="both"/>
              <w:rPr>
                <w:rFonts w:ascii="Palatino Linotype" w:hAnsi="Palatino Linotype"/>
                <w:bCs/>
                <w:color w:val="000000"/>
                <w:sz w:val="28"/>
                <w:szCs w:val="28"/>
                <w:bdr w:val="none" w:sz="0" w:space="0" w:color="auto" w:frame="1"/>
              </w:rPr>
            </w:pPr>
            <w:r w:rsidRPr="00C55BEB">
              <w:rPr>
                <w:rFonts w:ascii="Palatino Linotype" w:hAnsi="Palatino Linotype"/>
                <w:bCs/>
                <w:color w:val="000000"/>
                <w:sz w:val="28"/>
                <w:szCs w:val="28"/>
                <w:bdr w:val="none" w:sz="0" w:space="0" w:color="auto" w:frame="1"/>
              </w:rPr>
              <w:t xml:space="preserve"> </w:t>
            </w:r>
          </w:p>
          <w:p w:rsidR="00C55BEB" w:rsidRPr="00C55BEB" w:rsidRDefault="008F14E9" w:rsidP="00C55BEB">
            <w:pPr>
              <w:pStyle w:val="xxxxmsonormal"/>
              <w:shd w:val="clear" w:color="auto" w:fill="FFFFFF"/>
              <w:jc w:val="both"/>
              <w:rPr>
                <w:rStyle w:val="Collegamentoipertestuale"/>
                <w:rFonts w:ascii="Palatino Linotype" w:hAnsi="Palatino Linotype"/>
                <w:b/>
                <w:bCs/>
                <w:sz w:val="28"/>
                <w:szCs w:val="28"/>
                <w:bdr w:val="none" w:sz="0" w:space="0" w:color="auto" w:frame="1"/>
              </w:rPr>
            </w:pPr>
            <w:hyperlink r:id="rId8" w:history="1">
              <w:r w:rsidR="00C55BEB" w:rsidRPr="00191CB5">
                <w:rPr>
                  <w:rStyle w:val="Collegamentoipertestuale"/>
                  <w:rFonts w:ascii="Palatino Linotype" w:hAnsi="Palatino Linotype"/>
                  <w:b/>
                  <w:bCs/>
                  <w:sz w:val="28"/>
                  <w:szCs w:val="28"/>
                  <w:bdr w:val="none" w:sz="0" w:space="0" w:color="auto" w:frame="1"/>
                </w:rPr>
                <w:t>Corte cost</w:t>
              </w:r>
              <w:r w:rsidR="009C4A18" w:rsidRPr="00191CB5">
                <w:rPr>
                  <w:rStyle w:val="Collegamentoipertestuale"/>
                  <w:rFonts w:ascii="Palatino Linotype" w:hAnsi="Palatino Linotype"/>
                  <w:b/>
                  <w:bCs/>
                  <w:sz w:val="28"/>
                  <w:szCs w:val="28"/>
                  <w:bdr w:val="none" w:sz="0" w:space="0" w:color="auto" w:frame="1"/>
                </w:rPr>
                <w:t>ituzionale, 21</w:t>
              </w:r>
              <w:r w:rsidR="00C55BEB" w:rsidRPr="00191CB5">
                <w:rPr>
                  <w:rStyle w:val="Collegamentoipertestuale"/>
                  <w:rFonts w:ascii="Palatino Linotype" w:hAnsi="Palatino Linotype"/>
                  <w:b/>
                  <w:bCs/>
                  <w:sz w:val="28"/>
                  <w:szCs w:val="28"/>
                  <w:bdr w:val="none" w:sz="0" w:space="0" w:color="auto" w:frame="1"/>
                </w:rPr>
                <w:t xml:space="preserve"> ottob</w:t>
              </w:r>
              <w:r w:rsidR="009C4A18" w:rsidRPr="00191CB5">
                <w:rPr>
                  <w:rStyle w:val="Collegamentoipertestuale"/>
                  <w:rFonts w:ascii="Palatino Linotype" w:hAnsi="Palatino Linotype"/>
                  <w:b/>
                  <w:bCs/>
                  <w:sz w:val="28"/>
                  <w:szCs w:val="28"/>
                  <w:bdr w:val="none" w:sz="0" w:space="0" w:color="auto" w:frame="1"/>
                </w:rPr>
                <w:t>re 2022, n. 217</w:t>
              </w:r>
              <w:r w:rsidR="00F03B23" w:rsidRPr="00191CB5">
                <w:rPr>
                  <w:rStyle w:val="Collegamentoipertestuale"/>
                  <w:rFonts w:ascii="Palatino Linotype" w:hAnsi="Palatino Linotype"/>
                  <w:b/>
                  <w:bCs/>
                  <w:sz w:val="28"/>
                  <w:szCs w:val="28"/>
                  <w:bdr w:val="none" w:sz="0" w:space="0" w:color="auto" w:frame="1"/>
                </w:rPr>
                <w:t xml:space="preserve"> – Pres. Sciarra,</w:t>
              </w:r>
              <w:r w:rsidR="009C4A18" w:rsidRPr="00191CB5">
                <w:rPr>
                  <w:rStyle w:val="Collegamentoipertestuale"/>
                  <w:rFonts w:ascii="Palatino Linotype" w:hAnsi="Palatino Linotype"/>
                  <w:b/>
                  <w:bCs/>
                  <w:sz w:val="28"/>
                  <w:szCs w:val="28"/>
                  <w:bdr w:val="none" w:sz="0" w:space="0" w:color="auto" w:frame="1"/>
                </w:rPr>
                <w:t xml:space="preserve"> </w:t>
              </w:r>
              <w:proofErr w:type="spellStart"/>
              <w:r w:rsidR="009C4A18" w:rsidRPr="00191CB5">
                <w:rPr>
                  <w:rStyle w:val="Collegamentoipertestuale"/>
                  <w:rFonts w:ascii="Palatino Linotype" w:hAnsi="Palatino Linotype"/>
                  <w:b/>
                  <w:bCs/>
                  <w:sz w:val="28"/>
                  <w:szCs w:val="28"/>
                  <w:bdr w:val="none" w:sz="0" w:space="0" w:color="auto" w:frame="1"/>
                </w:rPr>
                <w:t>Red</w:t>
              </w:r>
              <w:proofErr w:type="spellEnd"/>
              <w:r w:rsidR="009C4A18" w:rsidRPr="00191CB5">
                <w:rPr>
                  <w:rStyle w:val="Collegamentoipertestuale"/>
                  <w:rFonts w:ascii="Palatino Linotype" w:hAnsi="Palatino Linotype"/>
                  <w:b/>
                  <w:bCs/>
                  <w:sz w:val="28"/>
                  <w:szCs w:val="28"/>
                  <w:bdr w:val="none" w:sz="0" w:space="0" w:color="auto" w:frame="1"/>
                </w:rPr>
                <w:t xml:space="preserve">. </w:t>
              </w:r>
              <w:proofErr w:type="spellStart"/>
              <w:r w:rsidR="009C4A18" w:rsidRPr="00191CB5">
                <w:rPr>
                  <w:rStyle w:val="Collegamentoipertestuale"/>
                  <w:rFonts w:ascii="Palatino Linotype" w:hAnsi="Palatino Linotype"/>
                  <w:b/>
                  <w:bCs/>
                  <w:sz w:val="28"/>
                  <w:szCs w:val="28"/>
                  <w:bdr w:val="none" w:sz="0" w:space="0" w:color="auto" w:frame="1"/>
                </w:rPr>
                <w:t>Navarretta</w:t>
              </w:r>
              <w:proofErr w:type="spellEnd"/>
            </w:hyperlink>
            <w:r w:rsidR="00C55BEB" w:rsidRPr="00C55BEB">
              <w:rPr>
                <w:rStyle w:val="Collegamentoipertestuale"/>
                <w:rFonts w:ascii="Palatino Linotype" w:hAnsi="Palatino Linotype"/>
                <w:b/>
                <w:bCs/>
                <w:sz w:val="28"/>
                <w:szCs w:val="28"/>
                <w:bdr w:val="none" w:sz="0" w:space="0" w:color="auto" w:frame="1"/>
              </w:rPr>
              <w:t xml:space="preserve"> </w:t>
            </w:r>
          </w:p>
          <w:p w:rsidR="00191CB5" w:rsidRDefault="00C55BEB" w:rsidP="00C55BEB">
            <w:pPr>
              <w:jc w:val="both"/>
              <w:rPr>
                <w:rFonts w:ascii="Palatino Linotype" w:hAnsi="Palatino Linotype"/>
                <w:bCs/>
                <w:color w:val="000000"/>
                <w:sz w:val="28"/>
                <w:szCs w:val="28"/>
                <w:bdr w:val="none" w:sz="0" w:space="0" w:color="auto" w:frame="1"/>
              </w:rPr>
            </w:pPr>
            <w:r>
              <w:rPr>
                <w:rFonts w:ascii="Palatino Linotype" w:hAnsi="Palatino Linotype"/>
                <w:bCs/>
                <w:color w:val="000000"/>
                <w:sz w:val="28"/>
                <w:szCs w:val="28"/>
                <w:bdr w:val="none" w:sz="0" w:space="0" w:color="auto" w:frame="1"/>
              </w:rPr>
              <w:t xml:space="preserve"> </w:t>
            </w:r>
          </w:p>
          <w:p w:rsidR="00C55BEB" w:rsidRPr="00C55BEB" w:rsidRDefault="00C55BEB" w:rsidP="00C55BEB">
            <w:pPr>
              <w:jc w:val="both"/>
              <w:rPr>
                <w:rFonts w:ascii="Palatino Linotype" w:hAnsi="Palatino Linotype"/>
                <w:bCs/>
                <w:color w:val="000000"/>
                <w:sz w:val="28"/>
                <w:szCs w:val="28"/>
                <w:bdr w:val="none" w:sz="0" w:space="0" w:color="auto" w:frame="1"/>
              </w:rPr>
            </w:pPr>
            <w:r w:rsidRPr="00C55BEB">
              <w:rPr>
                <w:rFonts w:ascii="Palatino Linotype" w:hAnsi="Palatino Linotype"/>
                <w:bCs/>
                <w:color w:val="000000"/>
                <w:sz w:val="28"/>
                <w:szCs w:val="28"/>
                <w:bdr w:val="none" w:sz="0" w:space="0" w:color="auto" w:frame="1"/>
              </w:rPr>
              <w:t xml:space="preserve"> </w:t>
            </w:r>
          </w:p>
          <w:p w:rsidR="00F85276" w:rsidRPr="00F85276" w:rsidRDefault="00F85276" w:rsidP="00F85276">
            <w:pPr>
              <w:jc w:val="both"/>
              <w:rPr>
                <w:rFonts w:ascii="Palatino Linotype" w:hAnsi="Palatino Linotype"/>
                <w:bCs/>
                <w:color w:val="000000"/>
                <w:sz w:val="28"/>
                <w:szCs w:val="28"/>
                <w:bdr w:val="none" w:sz="0" w:space="0" w:color="auto" w:frame="1"/>
              </w:rPr>
            </w:pPr>
            <w:r>
              <w:rPr>
                <w:rFonts w:ascii="Palatino Linotype" w:hAnsi="Palatino Linotype"/>
                <w:bCs/>
                <w:color w:val="000000"/>
                <w:sz w:val="28"/>
                <w:szCs w:val="28"/>
                <w:bdr w:val="none" w:sz="0" w:space="0" w:color="auto" w:frame="1"/>
              </w:rPr>
              <w:t xml:space="preserve">La Corte costituzionale ha ritenuto sussistente </w:t>
            </w:r>
            <w:r w:rsidRPr="00F85276">
              <w:rPr>
                <w:rFonts w:ascii="Palatino Linotype" w:hAnsi="Palatino Linotype"/>
                <w:bCs/>
                <w:color w:val="000000"/>
                <w:sz w:val="28"/>
                <w:szCs w:val="28"/>
                <w:bdr w:val="none" w:sz="0" w:space="0" w:color="auto" w:frame="1"/>
              </w:rPr>
              <w:t>il contrasto dell’art. 93-</w:t>
            </w:r>
            <w:r w:rsidRPr="00F85276">
              <w:rPr>
                <w:rFonts w:ascii="Palatino Linotype" w:hAnsi="Palatino Linotype"/>
                <w:bCs/>
                <w:i/>
                <w:color w:val="000000"/>
                <w:sz w:val="28"/>
                <w:szCs w:val="28"/>
                <w:bdr w:val="none" w:sz="0" w:space="0" w:color="auto" w:frame="1"/>
              </w:rPr>
              <w:t>bis</w:t>
            </w:r>
            <w:r w:rsidRPr="00F85276">
              <w:rPr>
                <w:rFonts w:ascii="Palatino Linotype" w:hAnsi="Palatino Linotype"/>
                <w:bCs/>
                <w:color w:val="000000"/>
                <w:sz w:val="28"/>
                <w:szCs w:val="28"/>
                <w:bdr w:val="none" w:sz="0" w:space="0" w:color="auto" w:frame="1"/>
              </w:rPr>
              <w:t>, comma 1, della legge reg. Veneto n. 61 del 1985 rispetto all’art. 9-</w:t>
            </w:r>
            <w:r w:rsidRPr="00F85276">
              <w:rPr>
                <w:rFonts w:ascii="Palatino Linotype" w:hAnsi="Palatino Linotype"/>
                <w:bCs/>
                <w:i/>
                <w:color w:val="000000"/>
                <w:sz w:val="28"/>
                <w:szCs w:val="28"/>
                <w:bdr w:val="none" w:sz="0" w:space="0" w:color="auto" w:frame="1"/>
              </w:rPr>
              <w:t>bis</w:t>
            </w:r>
            <w:r w:rsidRPr="00F85276">
              <w:rPr>
                <w:rFonts w:ascii="Palatino Linotype" w:hAnsi="Palatino Linotype"/>
                <w:bCs/>
                <w:color w:val="000000"/>
                <w:sz w:val="28"/>
                <w:szCs w:val="28"/>
                <w:bdr w:val="none" w:sz="0" w:space="0" w:color="auto" w:frame="1"/>
              </w:rPr>
              <w:t>, comma 1-</w:t>
            </w:r>
            <w:r w:rsidRPr="00F85276">
              <w:rPr>
                <w:rFonts w:ascii="Palatino Linotype" w:hAnsi="Palatino Linotype"/>
                <w:bCs/>
                <w:i/>
                <w:color w:val="000000"/>
                <w:sz w:val="28"/>
                <w:szCs w:val="28"/>
                <w:bdr w:val="none" w:sz="0" w:space="0" w:color="auto" w:frame="1"/>
              </w:rPr>
              <w:t>bis</w:t>
            </w:r>
            <w:r w:rsidRPr="00F85276">
              <w:rPr>
                <w:rFonts w:ascii="Palatino Linotype" w:hAnsi="Palatino Linotype"/>
                <w:bCs/>
                <w:color w:val="000000"/>
                <w:sz w:val="28"/>
                <w:szCs w:val="28"/>
                <w:bdr w:val="none" w:sz="0" w:space="0" w:color="auto" w:frame="1"/>
              </w:rPr>
              <w:t xml:space="preserve">, </w:t>
            </w:r>
            <w:proofErr w:type="spellStart"/>
            <w:r w:rsidRPr="00F85276">
              <w:rPr>
                <w:rFonts w:ascii="Palatino Linotype" w:hAnsi="Palatino Linotype"/>
                <w:bCs/>
                <w:color w:val="000000"/>
                <w:sz w:val="28"/>
                <w:szCs w:val="28"/>
                <w:bdr w:val="none" w:sz="0" w:space="0" w:color="auto" w:frame="1"/>
              </w:rPr>
              <w:t>t.u.</w:t>
            </w:r>
            <w:proofErr w:type="spellEnd"/>
            <w:r w:rsidRPr="00F85276">
              <w:rPr>
                <w:rFonts w:ascii="Palatino Linotype" w:hAnsi="Palatino Linotype"/>
                <w:bCs/>
                <w:color w:val="000000"/>
                <w:sz w:val="28"/>
                <w:szCs w:val="28"/>
                <w:bdr w:val="none" w:sz="0" w:space="0" w:color="auto" w:frame="1"/>
              </w:rPr>
              <w:t xml:space="preserve"> edilizia, là dove, con riferimento a fattispecie per le quali la norma statale richiede il titolo abilitativo edilizio, affida la dimostrazione dello stato legittimo dell’immobile al ben diverso documento costituito dal certificato di abitabilità o di agibilità.</w:t>
            </w:r>
          </w:p>
          <w:p w:rsidR="00F85276" w:rsidRPr="00F85276" w:rsidRDefault="00F85276" w:rsidP="00F85276">
            <w:pPr>
              <w:jc w:val="both"/>
              <w:rPr>
                <w:rFonts w:ascii="Palatino Linotype" w:hAnsi="Palatino Linotype"/>
                <w:bCs/>
                <w:color w:val="000000"/>
                <w:sz w:val="28"/>
                <w:szCs w:val="28"/>
                <w:bdr w:val="none" w:sz="0" w:space="0" w:color="auto" w:frame="1"/>
              </w:rPr>
            </w:pPr>
          </w:p>
          <w:p w:rsidR="00F85276" w:rsidRPr="00F85276" w:rsidRDefault="00F85276" w:rsidP="00F85276">
            <w:pPr>
              <w:jc w:val="both"/>
              <w:rPr>
                <w:rFonts w:ascii="Palatino Linotype" w:hAnsi="Palatino Linotype"/>
                <w:bCs/>
                <w:color w:val="000000"/>
                <w:sz w:val="28"/>
                <w:szCs w:val="28"/>
                <w:bdr w:val="none" w:sz="0" w:space="0" w:color="auto" w:frame="1"/>
              </w:rPr>
            </w:pPr>
            <w:r w:rsidRPr="00F85276">
              <w:rPr>
                <w:rFonts w:ascii="Palatino Linotype" w:hAnsi="Palatino Linotype"/>
                <w:bCs/>
                <w:color w:val="000000"/>
                <w:sz w:val="28"/>
                <w:szCs w:val="28"/>
                <w:bdr w:val="none" w:sz="0" w:space="0" w:color="auto" w:frame="1"/>
              </w:rPr>
              <w:t xml:space="preserve">In particolare, se è certamente vero che, in base all’art. 221 del </w:t>
            </w:r>
            <w:proofErr w:type="spellStart"/>
            <w:r w:rsidRPr="00F85276">
              <w:rPr>
                <w:rFonts w:ascii="Palatino Linotype" w:hAnsi="Palatino Linotype"/>
                <w:bCs/>
                <w:color w:val="000000"/>
                <w:sz w:val="28"/>
                <w:szCs w:val="28"/>
                <w:bdr w:val="none" w:sz="0" w:space="0" w:color="auto" w:frame="1"/>
              </w:rPr>
              <w:t>r.d.</w:t>
            </w:r>
            <w:proofErr w:type="spellEnd"/>
            <w:r w:rsidRPr="00F85276">
              <w:rPr>
                <w:rFonts w:ascii="Palatino Linotype" w:hAnsi="Palatino Linotype"/>
                <w:bCs/>
                <w:color w:val="000000"/>
                <w:sz w:val="28"/>
                <w:szCs w:val="28"/>
                <w:bdr w:val="none" w:sz="0" w:space="0" w:color="auto" w:frame="1"/>
              </w:rPr>
              <w:t xml:space="preserve"> n. 1265 del 1934 (vigente nel periodo cui si riferisce la disposizione regionale), tale certificato doveva essere rilasciato solo dopo aver verificato che la costruzione fosse stata eseguita in conformità al progetto approvato, nondimeno, questo non giustifica che tale documento possa surrogarsi al titolo abilitativo edilizio.</w:t>
            </w:r>
          </w:p>
          <w:p w:rsidR="00F85276" w:rsidRPr="00F85276" w:rsidRDefault="00F85276" w:rsidP="00F85276">
            <w:pPr>
              <w:jc w:val="both"/>
              <w:rPr>
                <w:rFonts w:ascii="Palatino Linotype" w:hAnsi="Palatino Linotype"/>
                <w:bCs/>
                <w:color w:val="000000"/>
                <w:sz w:val="28"/>
                <w:szCs w:val="28"/>
                <w:bdr w:val="none" w:sz="0" w:space="0" w:color="auto" w:frame="1"/>
              </w:rPr>
            </w:pPr>
          </w:p>
          <w:p w:rsidR="00F85276" w:rsidRDefault="00F85276" w:rsidP="00F85276">
            <w:pPr>
              <w:jc w:val="both"/>
              <w:rPr>
                <w:rFonts w:ascii="Palatino Linotype" w:hAnsi="Palatino Linotype"/>
                <w:bCs/>
                <w:color w:val="000000"/>
                <w:sz w:val="28"/>
                <w:szCs w:val="28"/>
                <w:bdr w:val="none" w:sz="0" w:space="0" w:color="auto" w:frame="1"/>
              </w:rPr>
            </w:pPr>
            <w:r w:rsidRPr="00F85276">
              <w:rPr>
                <w:rFonts w:ascii="Palatino Linotype" w:hAnsi="Palatino Linotype"/>
                <w:bCs/>
                <w:color w:val="000000"/>
                <w:sz w:val="28"/>
                <w:szCs w:val="28"/>
                <w:bdr w:val="none" w:sz="0" w:space="0" w:color="auto" w:frame="1"/>
              </w:rPr>
              <w:t>Come più volte ha osservato la giurisprudenza amministrativa, la conformità edilizio-urbanistica costituisce presupposto indispensabile per il legittimo rilascio del certificato che oggi si definisce di agibilità, ma «tale considerazione non può […] essere strumentalmente piegata a ragionamenti del tutto speculativi e sillogistici al fine di affermare che il rilascio dei certificati di agibilità implica un giudizio (presupposto ed implicito) circa la natura non abusiva delle opere». «[S]</w:t>
            </w:r>
            <w:proofErr w:type="spellStart"/>
            <w:r w:rsidRPr="00F85276">
              <w:rPr>
                <w:rFonts w:ascii="Palatino Linotype" w:hAnsi="Palatino Linotype"/>
                <w:bCs/>
                <w:color w:val="000000"/>
                <w:sz w:val="28"/>
                <w:szCs w:val="28"/>
                <w:bdr w:val="none" w:sz="0" w:space="0" w:color="auto" w:frame="1"/>
              </w:rPr>
              <w:t>emmai</w:t>
            </w:r>
            <w:proofErr w:type="spellEnd"/>
            <w:r w:rsidRPr="00F85276">
              <w:rPr>
                <w:rFonts w:ascii="Palatino Linotype" w:hAnsi="Palatino Linotype"/>
                <w:bCs/>
                <w:color w:val="000000"/>
                <w:sz w:val="28"/>
                <w:szCs w:val="28"/>
                <w:bdr w:val="none" w:sz="0" w:space="0" w:color="auto" w:frame="1"/>
              </w:rPr>
              <w:t>, all’inverso, l’interprete si dovrebbe interrogare sulla legittimità di tali certificati, non già desumere dal rilascio di essi una qualità – la conformità edilizio-urbanistica – da essi indipendente e</w:t>
            </w:r>
            <w:r>
              <w:rPr>
                <w:rFonts w:ascii="Palatino Linotype" w:hAnsi="Palatino Linotype"/>
                <w:bCs/>
                <w:color w:val="000000"/>
                <w:sz w:val="28"/>
                <w:szCs w:val="28"/>
                <w:bdr w:val="none" w:sz="0" w:space="0" w:color="auto" w:frame="1"/>
              </w:rPr>
              <w:t xml:space="preserve"> anzi presupposta» (</w:t>
            </w:r>
            <w:proofErr w:type="spellStart"/>
            <w:r>
              <w:rPr>
                <w:rFonts w:ascii="Palatino Linotype" w:hAnsi="Palatino Linotype"/>
                <w:bCs/>
                <w:color w:val="000000"/>
                <w:sz w:val="28"/>
                <w:szCs w:val="28"/>
                <w:bdr w:val="none" w:sz="0" w:space="0" w:color="auto" w:frame="1"/>
              </w:rPr>
              <w:t>Cons</w:t>
            </w:r>
            <w:proofErr w:type="spellEnd"/>
            <w:r>
              <w:rPr>
                <w:rFonts w:ascii="Palatino Linotype" w:hAnsi="Palatino Linotype"/>
                <w:bCs/>
                <w:color w:val="000000"/>
                <w:sz w:val="28"/>
                <w:szCs w:val="28"/>
                <w:bdr w:val="none" w:sz="0" w:space="0" w:color="auto" w:frame="1"/>
              </w:rPr>
              <w:t>.</w:t>
            </w:r>
            <w:r w:rsidRPr="00F85276">
              <w:rPr>
                <w:rFonts w:ascii="Palatino Linotype" w:hAnsi="Palatino Linotype"/>
                <w:bCs/>
                <w:color w:val="000000"/>
                <w:sz w:val="28"/>
                <w:szCs w:val="28"/>
                <w:bdr w:val="none" w:sz="0" w:space="0" w:color="auto" w:frame="1"/>
              </w:rPr>
              <w:t xml:space="preserve"> Stato, sez</w:t>
            </w:r>
            <w:r>
              <w:rPr>
                <w:rFonts w:ascii="Palatino Linotype" w:hAnsi="Palatino Linotype"/>
                <w:bCs/>
                <w:color w:val="000000"/>
                <w:sz w:val="28"/>
                <w:szCs w:val="28"/>
                <w:bdr w:val="none" w:sz="0" w:space="0" w:color="auto" w:frame="1"/>
              </w:rPr>
              <w:t>.</w:t>
            </w:r>
            <w:r w:rsidRPr="00F85276">
              <w:rPr>
                <w:rFonts w:ascii="Palatino Linotype" w:hAnsi="Palatino Linotype"/>
                <w:bCs/>
                <w:color w:val="000000"/>
                <w:sz w:val="28"/>
                <w:szCs w:val="28"/>
                <w:bdr w:val="none" w:sz="0" w:space="0" w:color="auto" w:frame="1"/>
              </w:rPr>
              <w:t xml:space="preserve"> </w:t>
            </w:r>
            <w:r>
              <w:rPr>
                <w:rFonts w:ascii="Palatino Linotype" w:hAnsi="Palatino Linotype"/>
                <w:bCs/>
                <w:color w:val="000000"/>
                <w:sz w:val="28"/>
                <w:szCs w:val="28"/>
                <w:bdr w:val="none" w:sz="0" w:space="0" w:color="auto" w:frame="1"/>
              </w:rPr>
              <w:t>IV</w:t>
            </w:r>
            <w:r w:rsidRPr="00F85276">
              <w:rPr>
                <w:rFonts w:ascii="Palatino Linotype" w:hAnsi="Palatino Linotype"/>
                <w:bCs/>
                <w:color w:val="000000"/>
                <w:sz w:val="28"/>
                <w:szCs w:val="28"/>
                <w:bdr w:val="none" w:sz="0" w:space="0" w:color="auto" w:frame="1"/>
              </w:rPr>
              <w:t>,</w:t>
            </w:r>
            <w:r>
              <w:rPr>
                <w:rFonts w:ascii="Palatino Linotype" w:hAnsi="Palatino Linotype"/>
                <w:bCs/>
                <w:color w:val="000000"/>
                <w:sz w:val="28"/>
                <w:szCs w:val="28"/>
                <w:bdr w:val="none" w:sz="0" w:space="0" w:color="auto" w:frame="1"/>
              </w:rPr>
              <w:t xml:space="preserve"> </w:t>
            </w:r>
            <w:r w:rsidRPr="00F85276">
              <w:rPr>
                <w:rFonts w:ascii="Palatino Linotype" w:hAnsi="Palatino Linotype"/>
                <w:bCs/>
                <w:color w:val="000000"/>
                <w:sz w:val="28"/>
                <w:szCs w:val="28"/>
                <w:bdr w:val="none" w:sz="0" w:space="0" w:color="auto" w:frame="1"/>
              </w:rPr>
              <w:t>2 maggio 2017, n. 1996). E, infatti, «non v’è necessaria identità di “disciplina” tra titolo abilitativo edilizio e certificato di agibilità», che «sono collegati a presupposti diversi e danno vita a conseguenze disciplinari non sovrapponibili». In particolare, «il certificato di agibilità ha la funzione di accertare che l’immobile al quale si riferisce è stato realizzato nel rispetto delle norme tecniche vigenti in materia di sicurezza, salubrità, igiene, risparmio energetico degli edifici e degli impianti (come espr</w:t>
            </w:r>
            <w:r>
              <w:rPr>
                <w:rFonts w:ascii="Palatino Linotype" w:hAnsi="Palatino Linotype"/>
                <w:bCs/>
                <w:color w:val="000000"/>
                <w:sz w:val="28"/>
                <w:szCs w:val="28"/>
                <w:bdr w:val="none" w:sz="0" w:space="0" w:color="auto" w:frame="1"/>
              </w:rPr>
              <w:t>essamente recita l’art. 24 del t</w:t>
            </w:r>
            <w:r w:rsidRPr="00F85276">
              <w:rPr>
                <w:rFonts w:ascii="Palatino Linotype" w:hAnsi="Palatino Linotype"/>
                <w:bCs/>
                <w:color w:val="000000"/>
                <w:sz w:val="28"/>
                <w:szCs w:val="28"/>
                <w:bdr w:val="none" w:sz="0" w:space="0" w:color="auto" w:frame="1"/>
              </w:rPr>
              <w:t>esto unico dell’edilizia), mentre il rispetto delle norme edilizie ed urbanistiche è oggetto della specifica funzione del titolo edilizio. Il che comporta che i diversi piani ben possano convivere sia nella forma fisiologica della conformità dell’edificio ad entrambe le tipologie normative, sia in quella patologica di una lor</w:t>
            </w:r>
            <w:r>
              <w:rPr>
                <w:rFonts w:ascii="Palatino Linotype" w:hAnsi="Palatino Linotype"/>
                <w:bCs/>
                <w:color w:val="000000"/>
                <w:sz w:val="28"/>
                <w:szCs w:val="28"/>
                <w:bdr w:val="none" w:sz="0" w:space="0" w:color="auto" w:frame="1"/>
              </w:rPr>
              <w:t>o divergenza» (</w:t>
            </w:r>
            <w:proofErr w:type="spellStart"/>
            <w:r>
              <w:rPr>
                <w:rFonts w:ascii="Palatino Linotype" w:hAnsi="Palatino Linotype"/>
                <w:bCs/>
                <w:color w:val="000000"/>
                <w:sz w:val="28"/>
                <w:szCs w:val="28"/>
                <w:bdr w:val="none" w:sz="0" w:space="0" w:color="auto" w:frame="1"/>
              </w:rPr>
              <w:t>Cons</w:t>
            </w:r>
            <w:proofErr w:type="spellEnd"/>
            <w:r>
              <w:rPr>
                <w:rFonts w:ascii="Palatino Linotype" w:hAnsi="Palatino Linotype"/>
                <w:bCs/>
                <w:color w:val="000000"/>
                <w:sz w:val="28"/>
                <w:szCs w:val="28"/>
                <w:bdr w:val="none" w:sz="0" w:space="0" w:color="auto" w:frame="1"/>
              </w:rPr>
              <w:t>. Stato, sez.</w:t>
            </w:r>
            <w:r w:rsidRPr="00F85276">
              <w:rPr>
                <w:rFonts w:ascii="Palatino Linotype" w:hAnsi="Palatino Linotype"/>
                <w:bCs/>
                <w:color w:val="000000"/>
                <w:sz w:val="28"/>
                <w:szCs w:val="28"/>
                <w:bdr w:val="none" w:sz="0" w:space="0" w:color="auto" w:frame="1"/>
              </w:rPr>
              <w:t xml:space="preserve"> </w:t>
            </w:r>
            <w:r>
              <w:rPr>
                <w:rFonts w:ascii="Palatino Linotype" w:hAnsi="Palatino Linotype"/>
                <w:bCs/>
                <w:color w:val="000000"/>
                <w:sz w:val="28"/>
                <w:szCs w:val="28"/>
                <w:bdr w:val="none" w:sz="0" w:space="0" w:color="auto" w:frame="1"/>
              </w:rPr>
              <w:t>IV</w:t>
            </w:r>
            <w:r w:rsidRPr="00F85276">
              <w:rPr>
                <w:rFonts w:ascii="Palatino Linotype" w:hAnsi="Palatino Linotype"/>
                <w:bCs/>
                <w:color w:val="000000"/>
                <w:sz w:val="28"/>
                <w:szCs w:val="28"/>
                <w:bdr w:val="none" w:sz="0" w:space="0" w:color="auto" w:frame="1"/>
              </w:rPr>
              <w:t>, 26 agosto 2014, n. 4309; nello stesso senso, sentenze 24 aprile 2018, n. 2456, 22 mar</w:t>
            </w:r>
            <w:r>
              <w:rPr>
                <w:rFonts w:ascii="Palatino Linotype" w:hAnsi="Palatino Linotype"/>
                <w:bCs/>
                <w:color w:val="000000"/>
                <w:sz w:val="28"/>
                <w:szCs w:val="28"/>
                <w:bdr w:val="none" w:sz="0" w:space="0" w:color="auto" w:frame="1"/>
              </w:rPr>
              <w:t>zo 2014, n. 1220, nonché sez.</w:t>
            </w:r>
            <w:r w:rsidRPr="00F85276">
              <w:rPr>
                <w:rFonts w:ascii="Palatino Linotype" w:hAnsi="Palatino Linotype"/>
                <w:bCs/>
                <w:color w:val="000000"/>
                <w:sz w:val="28"/>
                <w:szCs w:val="28"/>
                <w:bdr w:val="none" w:sz="0" w:space="0" w:color="auto" w:frame="1"/>
              </w:rPr>
              <w:t xml:space="preserve"> </w:t>
            </w:r>
            <w:r>
              <w:rPr>
                <w:rFonts w:ascii="Palatino Linotype" w:hAnsi="Palatino Linotype"/>
                <w:bCs/>
                <w:color w:val="000000"/>
                <w:sz w:val="28"/>
                <w:szCs w:val="28"/>
                <w:bdr w:val="none" w:sz="0" w:space="0" w:color="auto" w:frame="1"/>
              </w:rPr>
              <w:t>V</w:t>
            </w:r>
            <w:r w:rsidRPr="00F85276">
              <w:rPr>
                <w:rFonts w:ascii="Palatino Linotype" w:hAnsi="Palatino Linotype"/>
                <w:bCs/>
                <w:color w:val="000000"/>
                <w:sz w:val="28"/>
                <w:szCs w:val="28"/>
                <w:bdr w:val="none" w:sz="0" w:space="0" w:color="auto" w:frame="1"/>
              </w:rPr>
              <w:t>, decisione 4 febbraio 2004, n. 365).</w:t>
            </w:r>
            <w:r>
              <w:rPr>
                <w:rFonts w:ascii="Palatino Linotype" w:hAnsi="Palatino Linotype"/>
                <w:bCs/>
                <w:color w:val="000000"/>
                <w:sz w:val="28"/>
                <w:szCs w:val="28"/>
                <w:bdr w:val="none" w:sz="0" w:space="0" w:color="auto" w:frame="1"/>
              </w:rPr>
              <w:t xml:space="preserve"> </w:t>
            </w:r>
          </w:p>
          <w:p w:rsidR="00F85276" w:rsidRDefault="00F85276" w:rsidP="00F85276">
            <w:pPr>
              <w:jc w:val="both"/>
              <w:rPr>
                <w:rFonts w:ascii="Palatino Linotype" w:hAnsi="Palatino Linotype"/>
                <w:bCs/>
                <w:color w:val="000000"/>
                <w:sz w:val="28"/>
                <w:szCs w:val="28"/>
                <w:bdr w:val="none" w:sz="0" w:space="0" w:color="auto" w:frame="1"/>
              </w:rPr>
            </w:pPr>
          </w:p>
          <w:p w:rsidR="00C76497" w:rsidRDefault="00F85276" w:rsidP="00F85276">
            <w:pPr>
              <w:jc w:val="both"/>
              <w:rPr>
                <w:rFonts w:ascii="Palatino Linotype" w:hAnsi="Palatino Linotype"/>
                <w:bCs/>
                <w:color w:val="000000"/>
                <w:sz w:val="28"/>
                <w:szCs w:val="28"/>
                <w:bdr w:val="none" w:sz="0" w:space="0" w:color="auto" w:frame="1"/>
              </w:rPr>
            </w:pPr>
            <w:r>
              <w:rPr>
                <w:rFonts w:ascii="Palatino Linotype" w:hAnsi="Palatino Linotype"/>
                <w:bCs/>
                <w:color w:val="000000"/>
                <w:sz w:val="28"/>
                <w:szCs w:val="28"/>
                <w:bdr w:val="none" w:sz="0" w:space="0" w:color="auto" w:frame="1"/>
              </w:rPr>
              <w:t xml:space="preserve">Per tali motivi la Corte costituzionale ha </w:t>
            </w:r>
            <w:r w:rsidR="009C4A18" w:rsidRPr="009C4A18">
              <w:rPr>
                <w:rFonts w:ascii="Palatino Linotype" w:hAnsi="Palatino Linotype"/>
                <w:bCs/>
                <w:color w:val="000000"/>
                <w:sz w:val="28"/>
                <w:szCs w:val="28"/>
                <w:bdr w:val="none" w:sz="0" w:space="0" w:color="auto" w:frame="1"/>
              </w:rPr>
              <w:t>dichiara</w:t>
            </w:r>
            <w:r>
              <w:rPr>
                <w:rFonts w:ascii="Palatino Linotype" w:hAnsi="Palatino Linotype"/>
                <w:bCs/>
                <w:color w:val="000000"/>
                <w:sz w:val="28"/>
                <w:szCs w:val="28"/>
                <w:bdr w:val="none" w:sz="0" w:space="0" w:color="auto" w:frame="1"/>
              </w:rPr>
              <w:t>to</w:t>
            </w:r>
            <w:r w:rsidR="009C4A18" w:rsidRPr="009C4A18">
              <w:rPr>
                <w:rFonts w:ascii="Palatino Linotype" w:hAnsi="Palatino Linotype"/>
                <w:bCs/>
                <w:color w:val="000000"/>
                <w:sz w:val="28"/>
                <w:szCs w:val="28"/>
                <w:bdr w:val="none" w:sz="0" w:space="0" w:color="auto" w:frame="1"/>
              </w:rPr>
              <w:t xml:space="preserve"> l’illegittimità costituzionale dell’art. 7 della legge della Regione Veneto 30 giugno 2021, n. 19 (Semplificazioni in materia urbanistica ed edilizia per il rilancio del settore delle costruzioni e la promozione della rigenerazione urbana e del </w:t>
            </w:r>
            <w:r w:rsidR="009C4A18" w:rsidRPr="009C4A18">
              <w:rPr>
                <w:rFonts w:ascii="Palatino Linotype" w:hAnsi="Palatino Linotype"/>
                <w:bCs/>
                <w:color w:val="000000"/>
                <w:sz w:val="28"/>
                <w:szCs w:val="28"/>
                <w:bdr w:val="none" w:sz="0" w:space="0" w:color="auto" w:frame="1"/>
              </w:rPr>
              <w:lastRenderedPageBreak/>
              <w:t>contenimento del consumo di suolo – “Veneto cantiere veloce”), che ha introdotto l’art. 93-</w:t>
            </w:r>
            <w:r w:rsidR="009C4A18" w:rsidRPr="00F85276">
              <w:rPr>
                <w:rFonts w:ascii="Palatino Linotype" w:hAnsi="Palatino Linotype"/>
                <w:bCs/>
                <w:i/>
                <w:color w:val="000000"/>
                <w:sz w:val="28"/>
                <w:szCs w:val="28"/>
                <w:bdr w:val="none" w:sz="0" w:space="0" w:color="auto" w:frame="1"/>
              </w:rPr>
              <w:t>bis</w:t>
            </w:r>
            <w:r w:rsidR="009C4A18" w:rsidRPr="009C4A18">
              <w:rPr>
                <w:rFonts w:ascii="Palatino Linotype" w:hAnsi="Palatino Linotype"/>
                <w:bCs/>
                <w:color w:val="000000"/>
                <w:sz w:val="28"/>
                <w:szCs w:val="28"/>
                <w:bdr w:val="none" w:sz="0" w:space="0" w:color="auto" w:frame="1"/>
              </w:rPr>
              <w:t xml:space="preserve"> nella legge della Regione Veneto 27 giugno 1985, n. 61 (Norme per l’</w:t>
            </w:r>
            <w:r>
              <w:rPr>
                <w:rFonts w:ascii="Palatino Linotype" w:hAnsi="Palatino Linotype"/>
                <w:bCs/>
                <w:color w:val="000000"/>
                <w:sz w:val="28"/>
                <w:szCs w:val="28"/>
                <w:bdr w:val="none" w:sz="0" w:space="0" w:color="auto" w:frame="1"/>
              </w:rPr>
              <w:t>assetto e l’uso del territorio)</w:t>
            </w:r>
            <w:r w:rsidR="009C4A18" w:rsidRPr="009C4A18">
              <w:rPr>
                <w:rFonts w:ascii="Palatino Linotype" w:hAnsi="Palatino Linotype"/>
                <w:bCs/>
                <w:color w:val="000000"/>
                <w:sz w:val="28"/>
                <w:szCs w:val="28"/>
                <w:bdr w:val="none" w:sz="0" w:space="0" w:color="auto" w:frame="1"/>
              </w:rPr>
              <w:t>.</w:t>
            </w:r>
          </w:p>
          <w:p w:rsidR="00191CB5" w:rsidRDefault="00191CB5" w:rsidP="009C4A18">
            <w:pPr>
              <w:jc w:val="both"/>
              <w:rPr>
                <w:rFonts w:ascii="Palatino Linotype" w:hAnsi="Palatino Linotype"/>
                <w:bCs/>
                <w:color w:val="000000"/>
                <w:sz w:val="28"/>
                <w:szCs w:val="28"/>
                <w:bdr w:val="none" w:sz="0" w:space="0" w:color="auto" w:frame="1"/>
              </w:rPr>
            </w:pPr>
          </w:p>
          <w:p w:rsidR="00F05F9C" w:rsidRDefault="00191CB5" w:rsidP="00F05F9C">
            <w:pPr>
              <w:shd w:val="clear" w:color="auto" w:fill="FFFFFF"/>
              <w:spacing w:before="100" w:beforeAutospacing="1" w:after="100" w:afterAutospacing="1" w:line="252" w:lineRule="auto"/>
              <w:jc w:val="center"/>
              <w:rPr>
                <w:rFonts w:ascii="Palatino Linotype" w:hAnsi="Palatino Linotype"/>
                <w:b/>
                <w:bCs/>
                <w:color w:val="000000"/>
                <w:sz w:val="28"/>
                <w:szCs w:val="28"/>
                <w:bdr w:val="none" w:sz="0" w:space="0" w:color="auto" w:frame="1"/>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F05F9C">
              <w:rPr>
                <w:rFonts w:ascii="Palatino Linotype" w:hAnsi="Palatino Linotype"/>
                <w:b/>
                <w:bCs/>
                <w:color w:val="BF8F00"/>
                <w:sz w:val="32"/>
                <w:szCs w:val="32"/>
              </w:rPr>
              <w:t>(3</w:t>
            </w:r>
            <w:r>
              <w:rPr>
                <w:rFonts w:ascii="Palatino Linotype" w:hAnsi="Palatino Linotype"/>
                <w:b/>
                <w:bCs/>
                <w:color w:val="BF8F00"/>
                <w:sz w:val="32"/>
                <w:szCs w:val="32"/>
              </w:rPr>
              <w:t>)</w:t>
            </w:r>
          </w:p>
          <w:p w:rsidR="00F05F9C" w:rsidRDefault="00F05F9C" w:rsidP="00191CB5">
            <w:pPr>
              <w:pStyle w:val="xxxxmsonormal"/>
              <w:shd w:val="clear" w:color="auto" w:fill="FFFFFF"/>
              <w:jc w:val="both"/>
              <w:rPr>
                <w:rFonts w:ascii="Palatino Linotype" w:hAnsi="Palatino Linotype"/>
                <w:b/>
                <w:bCs/>
                <w:color w:val="000000"/>
                <w:sz w:val="28"/>
                <w:szCs w:val="28"/>
                <w:bdr w:val="none" w:sz="0" w:space="0" w:color="auto" w:frame="1"/>
              </w:rPr>
            </w:pPr>
          </w:p>
          <w:p w:rsidR="00F05F9C" w:rsidRPr="00F05F9C" w:rsidRDefault="00F05F9C" w:rsidP="00F05F9C">
            <w:pPr>
              <w:pStyle w:val="dt"/>
              <w:shd w:val="clear" w:color="auto" w:fill="FFFFFF"/>
              <w:spacing w:before="0" w:beforeAutospacing="0" w:after="0" w:afterAutospacing="0"/>
              <w:jc w:val="both"/>
              <w:rPr>
                <w:rFonts w:ascii="Palatino Linotype" w:hAnsi="Palatino Linotype"/>
                <w:b/>
                <w:color w:val="1F4E79" w:themeColor="accent1" w:themeShade="80"/>
                <w:sz w:val="28"/>
                <w:szCs w:val="28"/>
              </w:rPr>
            </w:pPr>
            <w:r w:rsidRPr="00F05F9C">
              <w:rPr>
                <w:rFonts w:ascii="Palatino Linotype" w:hAnsi="Palatino Linotype"/>
                <w:b/>
                <w:sz w:val="28"/>
                <w:szCs w:val="28"/>
              </w:rPr>
              <w:t>Sulla</w:t>
            </w:r>
            <w:r w:rsidRPr="00F05F9C">
              <w:rPr>
                <w:b/>
              </w:rPr>
              <w:t xml:space="preserve"> </w:t>
            </w:r>
            <w:r w:rsidRPr="00F05F9C">
              <w:rPr>
                <w:rFonts w:ascii="Palatino Linotype" w:hAnsi="Palatino Linotype"/>
                <w:b/>
                <w:sz w:val="28"/>
                <w:szCs w:val="28"/>
              </w:rPr>
              <w:t xml:space="preserve">individuazione dei criteri per il corretto inserimento nel paesaggio degli impianti alimentati da fonti di energia alternativa localizzazione </w:t>
            </w:r>
            <w:r w:rsidRPr="00F05F9C">
              <w:rPr>
                <w:rFonts w:ascii="Palatino Linotype" w:hAnsi="Palatino Linotype"/>
                <w:b/>
                <w:color w:val="666666"/>
                <w:sz w:val="28"/>
                <w:szCs w:val="28"/>
              </w:rPr>
              <w:br/>
            </w:r>
          </w:p>
          <w:p w:rsidR="00F05F9C" w:rsidRPr="00F05F9C" w:rsidRDefault="00F05F9C" w:rsidP="00F05F9C">
            <w:pPr>
              <w:pStyle w:val="dt"/>
              <w:shd w:val="clear" w:color="auto" w:fill="FFFFFF"/>
              <w:spacing w:before="0" w:beforeAutospacing="0" w:after="0" w:afterAutospacing="0"/>
              <w:jc w:val="both"/>
              <w:rPr>
                <w:rFonts w:ascii="Palatino Linotype" w:hAnsi="Palatino Linotype"/>
                <w:b/>
                <w:color w:val="666666"/>
                <w:sz w:val="28"/>
                <w:szCs w:val="28"/>
              </w:rPr>
            </w:pPr>
            <w:r w:rsidRPr="00F05F9C">
              <w:rPr>
                <w:rFonts w:ascii="Palatino Linotype" w:hAnsi="Palatino Linotype"/>
                <w:b/>
                <w:color w:val="1F4E79" w:themeColor="accent1" w:themeShade="80"/>
                <w:sz w:val="28"/>
                <w:szCs w:val="28"/>
              </w:rPr>
              <w:t xml:space="preserve">Corte costituzionale, 26 ottobre 2022, n. 216, </w:t>
            </w:r>
            <w:proofErr w:type="spellStart"/>
            <w:r w:rsidRPr="00F05F9C">
              <w:rPr>
                <w:rFonts w:ascii="Palatino Linotype" w:hAnsi="Palatino Linotype"/>
                <w:b/>
                <w:color w:val="1F4E79" w:themeColor="accent1" w:themeShade="80"/>
                <w:sz w:val="28"/>
                <w:szCs w:val="28"/>
              </w:rPr>
              <w:t>Pres</w:t>
            </w:r>
            <w:proofErr w:type="spellEnd"/>
            <w:r w:rsidRPr="00F05F9C">
              <w:rPr>
                <w:rFonts w:ascii="Palatino Linotype" w:hAnsi="Palatino Linotype"/>
                <w:b/>
                <w:color w:val="1F4E79" w:themeColor="accent1" w:themeShade="80"/>
                <w:sz w:val="28"/>
                <w:szCs w:val="28"/>
              </w:rPr>
              <w:t>. Sciarra, Est. Viganò</w:t>
            </w:r>
          </w:p>
          <w:p w:rsidR="00F05F9C" w:rsidRDefault="00F05F9C" w:rsidP="00F05F9C">
            <w:pPr>
              <w:pStyle w:val="dt"/>
              <w:shd w:val="clear" w:color="auto" w:fill="FFFFFF"/>
              <w:spacing w:before="0" w:beforeAutospacing="0" w:after="0" w:afterAutospacing="0"/>
              <w:jc w:val="both"/>
              <w:rPr>
                <w:rFonts w:ascii="Palatino Linotype" w:hAnsi="Palatino Linotype"/>
                <w:color w:val="666666"/>
                <w:sz w:val="28"/>
                <w:szCs w:val="28"/>
              </w:rPr>
            </w:pPr>
          </w:p>
          <w:p w:rsidR="00F05F9C" w:rsidRPr="00F05F9C" w:rsidRDefault="00F05F9C" w:rsidP="00F05F9C">
            <w:pPr>
              <w:pStyle w:val="dt"/>
              <w:shd w:val="clear" w:color="auto" w:fill="FFFFFF"/>
              <w:spacing w:before="0" w:beforeAutospacing="0" w:after="0" w:afterAutospacing="0"/>
              <w:jc w:val="both"/>
              <w:rPr>
                <w:rFonts w:ascii="Palatino Linotype" w:hAnsi="Palatino Linotype"/>
                <w:sz w:val="28"/>
                <w:szCs w:val="28"/>
              </w:rPr>
            </w:pPr>
            <w:r w:rsidRPr="00F05F9C">
              <w:rPr>
                <w:rFonts w:ascii="Palatino Linotype" w:hAnsi="Palatino Linotype"/>
                <w:sz w:val="28"/>
                <w:szCs w:val="28"/>
              </w:rPr>
              <w:t xml:space="preserve">La Corte costituzionale ha affermato che, sulla base del quadro normativo delineato dalle linee guida, nella materia del sostegno alla produzione di energia derivante da fonti alternative, non può riconoscersi alle regioni il potere di provvedere autonomamente, per legge, «“alla individuazione di criteri per il corretto inserimento nel paesaggio degli impianti alimentati da fonti di energia alternativa” (sentenza n. 168 del 2010; in termini simili anche le sentenze n. 106 del 2020, n. 298 del 2013 e n. 308 del 2011), né </w:t>
            </w:r>
            <w:r w:rsidRPr="00F05F9C">
              <w:rPr>
                <w:rFonts w:ascii="Palatino Linotype" w:hAnsi="Palatino Linotype"/>
                <w:i/>
                <w:sz w:val="28"/>
                <w:szCs w:val="28"/>
              </w:rPr>
              <w:t>a fortiori</w:t>
            </w:r>
            <w:r w:rsidRPr="00F05F9C">
              <w:rPr>
                <w:rFonts w:ascii="Palatino Linotype" w:hAnsi="Palatino Linotype"/>
                <w:sz w:val="28"/>
                <w:szCs w:val="28"/>
              </w:rPr>
              <w:t xml:space="preserve"> quello di creare preclusioni assolute e aprioristiche che inibiscano ogni accertamento in concreto da effettuare in sede autorizzativa (sentenze n. 106 del 2020 e n. 286 del 2019)» (sentenza n. 121 del 2022).</w:t>
            </w:r>
          </w:p>
          <w:p w:rsidR="00F05F9C" w:rsidRPr="00F05F9C" w:rsidRDefault="00F05F9C" w:rsidP="008F14E9">
            <w:pPr>
              <w:pStyle w:val="dt"/>
              <w:shd w:val="clear" w:color="auto" w:fill="FFFFFF"/>
              <w:spacing w:before="0" w:beforeAutospacing="0" w:after="0" w:afterAutospacing="0"/>
              <w:jc w:val="both"/>
              <w:rPr>
                <w:rFonts w:ascii="Palatino Linotype" w:hAnsi="Palatino Linotype"/>
                <w:sz w:val="28"/>
                <w:szCs w:val="28"/>
              </w:rPr>
            </w:pPr>
            <w:r w:rsidRPr="00F05F9C">
              <w:rPr>
                <w:rFonts w:ascii="Palatino Linotype" w:hAnsi="Palatino Linotype"/>
                <w:sz w:val="28"/>
                <w:szCs w:val="28"/>
              </w:rPr>
              <w:t xml:space="preserve">Invero, attraverso le linee guida, adottate in Conferenza unificata in attuazione del principio di leale collaborazione, lo Stato e le regioni hanno congiuntamente definito una serie di criteri funzionali alla individuazione di punti di equilibrio sostenibili fra un largo spettro di interessi: il rispetto dei «vincoli imposti dalla normativa dell’Unione europea, così come degli obblighi assunti a livello internazionale con la legge 1° giugno 2002, n. 120 (Ratifica ed esecuzione del Protocollo di Kyoto alla Convenzione quadro delle Nazioni Unite sui cambiamenti climatici, fatto a Kyoto l’11 dicembre 1997) e con la legge 4 novembre 2016, n. 204 (Ratifica ed esecuzione dell’Accordo di Parigi collegato alla Convenzione quadro delle Nazioni Unite sui cambiamenti climatici, adottato a Parigi il 12 dicembre 2015), nel comune intento “di ridurre le emissioni di gas ad effetto serra” (sentenza n. 275 del 2012; nello stesso senso, sentenze n. 46 del 2021, n. 237 del 2020, n. 148 del 2019 e n. 85 del 2012), onde contrastare il riscaldamento globale e i cambiamenti climatici (sentenza n. 77 del 2022)» (sentenza n. 121 del 2022); </w:t>
            </w:r>
            <w:r w:rsidRPr="00F05F9C">
              <w:rPr>
                <w:rFonts w:ascii="Palatino Linotype" w:hAnsi="Palatino Linotype"/>
                <w:sz w:val="28"/>
                <w:szCs w:val="28"/>
              </w:rPr>
              <w:lastRenderedPageBreak/>
              <w:t>la tutela del paesaggio e del territorio; la necessità di assicurare l’effettività della tutela giurisdizionale ai soggetti privati interessati alla realizzazione degli impianti.</w:t>
            </w:r>
          </w:p>
          <w:p w:rsidR="00F05F9C" w:rsidRPr="00F05F9C" w:rsidRDefault="00F05F9C" w:rsidP="00F05F9C">
            <w:pPr>
              <w:pStyle w:val="dt"/>
              <w:shd w:val="clear" w:color="auto" w:fill="FFFFFF"/>
              <w:spacing w:before="0" w:beforeAutospacing="0" w:after="0" w:afterAutospacing="0"/>
              <w:ind w:firstLine="397"/>
              <w:jc w:val="both"/>
              <w:rPr>
                <w:rFonts w:ascii="Palatino Linotype" w:hAnsi="Palatino Linotype"/>
                <w:sz w:val="28"/>
                <w:szCs w:val="28"/>
              </w:rPr>
            </w:pPr>
            <w:r w:rsidRPr="00F05F9C">
              <w:rPr>
                <w:rFonts w:ascii="Palatino Linotype" w:hAnsi="Palatino Linotype"/>
                <w:sz w:val="28"/>
                <w:szCs w:val="28"/>
              </w:rPr>
              <w:t>Ampio spazio è inoltre riconosciuto all’autonomia delle regioni a valle delle linee guida. Esse sono, infatti, chiamate a concretizzare tali complessi bilanciamenti nell’ambito dei singoli territori regionali, attraverso procedimenti amministrativi destinati a sfociare negli atti di programmazione menzionati dal paragrafo 17 delle linee guida, nei quali ben possono essere individuate le aree non idonee alla installazione degli impianti; atti a loro volta destinati a orientare la discrezionalità amministrativa nei procedimenti relativi alle domande di autorizzazione dei singoli impianti.</w:t>
            </w:r>
          </w:p>
          <w:p w:rsidR="00F05F9C" w:rsidRPr="00F05F9C" w:rsidRDefault="00F05F9C" w:rsidP="00F05F9C">
            <w:pPr>
              <w:pStyle w:val="dt"/>
              <w:shd w:val="clear" w:color="auto" w:fill="FFFFFF"/>
              <w:spacing w:before="0" w:beforeAutospacing="0" w:after="0" w:afterAutospacing="0"/>
              <w:ind w:firstLine="397"/>
              <w:jc w:val="both"/>
              <w:rPr>
                <w:rFonts w:ascii="Palatino Linotype" w:hAnsi="Palatino Linotype"/>
                <w:sz w:val="28"/>
                <w:szCs w:val="28"/>
              </w:rPr>
            </w:pPr>
            <w:r w:rsidRPr="00F05F9C">
              <w:rPr>
                <w:rFonts w:ascii="Palatino Linotype" w:hAnsi="Palatino Linotype"/>
                <w:sz w:val="28"/>
                <w:szCs w:val="28"/>
              </w:rPr>
              <w:t>Ciò che invece, nel vigore dell’attuale quadro normativo, non è consentito alle regioni è dettare direttamente per legge criteri generali per la localizzazione degli impianti ulteriori rispetto a quelli già previsti dalla legislazione statale e dalle stesse linee guida: ancor più quando tali criteri si risolvano, in pratica, in divieti assoluti di concedere autorizzazioni in singole porzioni del territorio regionale, come accade con riferimento alle previsioni di cui alla lettera d).</w:t>
            </w:r>
          </w:p>
          <w:p w:rsidR="00F05F9C" w:rsidRPr="00F05F9C" w:rsidRDefault="00F05F9C" w:rsidP="00F05F9C">
            <w:pPr>
              <w:pStyle w:val="dt"/>
              <w:shd w:val="clear" w:color="auto" w:fill="FFFFFF"/>
              <w:jc w:val="both"/>
              <w:rPr>
                <w:rFonts w:ascii="Palatino Linotype" w:hAnsi="Palatino Linotype"/>
                <w:sz w:val="28"/>
                <w:szCs w:val="28"/>
              </w:rPr>
            </w:pPr>
            <w:r w:rsidRPr="00F05F9C">
              <w:rPr>
                <w:rFonts w:ascii="Palatino Linotype" w:hAnsi="Palatino Linotype"/>
                <w:sz w:val="28"/>
                <w:szCs w:val="28"/>
              </w:rPr>
              <w:t>Per questi motivi la Corte costituzionale ha dichiarato:</w:t>
            </w:r>
          </w:p>
          <w:p w:rsidR="00F05F9C" w:rsidRPr="00F05F9C" w:rsidRDefault="00F05F9C" w:rsidP="00F05F9C">
            <w:pPr>
              <w:pStyle w:val="dt"/>
              <w:shd w:val="clear" w:color="auto" w:fill="FFFFFF"/>
              <w:jc w:val="both"/>
              <w:rPr>
                <w:rFonts w:ascii="Palatino Linotype" w:hAnsi="Palatino Linotype"/>
                <w:sz w:val="28"/>
                <w:szCs w:val="28"/>
              </w:rPr>
            </w:pPr>
            <w:r w:rsidRPr="00F05F9C">
              <w:rPr>
                <w:rFonts w:ascii="Palatino Linotype" w:hAnsi="Palatino Linotype"/>
                <w:sz w:val="28"/>
                <w:szCs w:val="28"/>
              </w:rPr>
              <w:t>a) l’illegittimità costituzionale dell’art. 4, comma 17, della legge della Regione Friuli-Venezia Giulia 2 novembre 2021, n. 16 (Misure finanziarie intersettoriali);</w:t>
            </w:r>
          </w:p>
          <w:p w:rsidR="00F05F9C" w:rsidRPr="00F05F9C" w:rsidRDefault="00F05F9C" w:rsidP="00F05F9C">
            <w:pPr>
              <w:pStyle w:val="dt"/>
              <w:shd w:val="clear" w:color="auto" w:fill="FFFFFF"/>
              <w:spacing w:before="0" w:beforeAutospacing="0" w:after="0" w:afterAutospacing="0"/>
              <w:jc w:val="both"/>
              <w:rPr>
                <w:rFonts w:ascii="Palatino Linotype" w:hAnsi="Palatino Linotype"/>
                <w:sz w:val="28"/>
                <w:szCs w:val="28"/>
              </w:rPr>
            </w:pPr>
            <w:r w:rsidRPr="00F05F9C">
              <w:rPr>
                <w:rFonts w:ascii="Palatino Linotype" w:hAnsi="Palatino Linotype"/>
                <w:sz w:val="28"/>
                <w:szCs w:val="28"/>
              </w:rPr>
              <w:t>2) l’illegittimità costituzionale dell’art. 4, comma 18, lett</w:t>
            </w:r>
            <w:r w:rsidR="008F14E9">
              <w:rPr>
                <w:rFonts w:ascii="Palatino Linotype" w:hAnsi="Palatino Linotype"/>
                <w:sz w:val="28"/>
                <w:szCs w:val="28"/>
              </w:rPr>
              <w:t>ere a), d) e f), della legge della Regione</w:t>
            </w:r>
            <w:r w:rsidRPr="00F05F9C">
              <w:rPr>
                <w:rFonts w:ascii="Palatino Linotype" w:hAnsi="Palatino Linotype"/>
                <w:sz w:val="28"/>
                <w:szCs w:val="28"/>
              </w:rPr>
              <w:t xml:space="preserve"> Friuli-Venezia Giulia n. 16 del 2021. </w:t>
            </w:r>
          </w:p>
          <w:p w:rsidR="00F05F9C" w:rsidRDefault="00F05F9C" w:rsidP="00191CB5">
            <w:pPr>
              <w:pStyle w:val="xxxxmsonormal"/>
              <w:shd w:val="clear" w:color="auto" w:fill="FFFFFF"/>
              <w:jc w:val="both"/>
              <w:rPr>
                <w:rFonts w:ascii="Palatino Linotype" w:hAnsi="Palatino Linotype"/>
                <w:b/>
                <w:bCs/>
                <w:color w:val="000000"/>
                <w:sz w:val="28"/>
                <w:szCs w:val="28"/>
                <w:bdr w:val="none" w:sz="0" w:space="0" w:color="auto" w:frame="1"/>
              </w:rPr>
            </w:pPr>
          </w:p>
          <w:p w:rsidR="00F05F9C" w:rsidRDefault="00F05F9C" w:rsidP="00F05F9C">
            <w:pPr>
              <w:shd w:val="clear" w:color="auto" w:fill="FFFFFF"/>
              <w:spacing w:before="100" w:beforeAutospacing="1" w:after="100" w:afterAutospacing="1" w:line="252" w:lineRule="auto"/>
              <w:jc w:val="center"/>
              <w:rPr>
                <w:rFonts w:ascii="Palatino Linotype" w:hAnsi="Palatino Linotype"/>
                <w:b/>
                <w:bCs/>
                <w:color w:val="000000"/>
                <w:sz w:val="28"/>
                <w:szCs w:val="28"/>
                <w:bdr w:val="none" w:sz="0" w:space="0" w:color="auto" w:frame="1"/>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Pr>
                <w:rFonts w:ascii="Palatino Linotype" w:hAnsi="Palatino Linotype"/>
                <w:b/>
                <w:bCs/>
                <w:color w:val="BF8F00"/>
                <w:sz w:val="32"/>
                <w:szCs w:val="32"/>
              </w:rPr>
              <w:t>(4)</w:t>
            </w:r>
          </w:p>
          <w:p w:rsidR="00F05F9C" w:rsidRDefault="00F05F9C" w:rsidP="00191CB5">
            <w:pPr>
              <w:pStyle w:val="xxxxmsonormal"/>
              <w:shd w:val="clear" w:color="auto" w:fill="FFFFFF"/>
              <w:jc w:val="both"/>
              <w:rPr>
                <w:rFonts w:ascii="Palatino Linotype" w:hAnsi="Palatino Linotype"/>
                <w:b/>
                <w:bCs/>
                <w:color w:val="000000"/>
                <w:sz w:val="28"/>
                <w:szCs w:val="28"/>
                <w:bdr w:val="none" w:sz="0" w:space="0" w:color="auto" w:frame="1"/>
              </w:rPr>
            </w:pPr>
          </w:p>
          <w:p w:rsidR="00191CB5" w:rsidRDefault="00191CB5" w:rsidP="00191CB5">
            <w:pPr>
              <w:pStyle w:val="xxxxmsonormal"/>
              <w:shd w:val="clear" w:color="auto" w:fill="FFFFFF"/>
              <w:jc w:val="both"/>
              <w:rPr>
                <w:rFonts w:ascii="Palatino Linotype" w:hAnsi="Palatino Linotype"/>
                <w:b/>
                <w:bCs/>
                <w:color w:val="000000"/>
                <w:sz w:val="28"/>
                <w:szCs w:val="28"/>
                <w:bdr w:val="none" w:sz="0" w:space="0" w:color="auto" w:frame="1"/>
              </w:rPr>
            </w:pPr>
            <w:r w:rsidRPr="009C4A18">
              <w:rPr>
                <w:rFonts w:ascii="Palatino Linotype" w:hAnsi="Palatino Linotype"/>
                <w:b/>
                <w:bCs/>
                <w:color w:val="000000"/>
                <w:sz w:val="28"/>
                <w:szCs w:val="28"/>
                <w:bdr w:val="none" w:sz="0" w:space="0" w:color="auto" w:frame="1"/>
              </w:rPr>
              <w:t xml:space="preserve">La Corte costituzionale </w:t>
            </w:r>
            <w:r w:rsidR="002839F1">
              <w:rPr>
                <w:rFonts w:ascii="Palatino Linotype" w:hAnsi="Palatino Linotype"/>
                <w:b/>
                <w:bCs/>
                <w:color w:val="000000"/>
                <w:sz w:val="28"/>
                <w:szCs w:val="28"/>
                <w:bdr w:val="none" w:sz="0" w:space="0" w:color="auto" w:frame="1"/>
              </w:rPr>
              <w:t xml:space="preserve">dichiara inammissibili le questioni sollevate dal </w:t>
            </w:r>
            <w:proofErr w:type="spellStart"/>
            <w:r w:rsidR="002839F1">
              <w:rPr>
                <w:rFonts w:ascii="Palatino Linotype" w:hAnsi="Palatino Linotype"/>
                <w:b/>
                <w:bCs/>
                <w:color w:val="000000"/>
                <w:sz w:val="28"/>
                <w:szCs w:val="28"/>
                <w:bdr w:val="none" w:sz="0" w:space="0" w:color="auto" w:frame="1"/>
              </w:rPr>
              <w:t>T.a.r</w:t>
            </w:r>
            <w:proofErr w:type="spellEnd"/>
            <w:r w:rsidR="002839F1">
              <w:rPr>
                <w:rFonts w:ascii="Palatino Linotype" w:hAnsi="Palatino Linotype"/>
                <w:b/>
                <w:bCs/>
                <w:color w:val="000000"/>
                <w:sz w:val="28"/>
                <w:szCs w:val="28"/>
                <w:bdr w:val="none" w:sz="0" w:space="0" w:color="auto" w:frame="1"/>
              </w:rPr>
              <w:t>. in relazione all’ar</w:t>
            </w:r>
            <w:r w:rsidR="00E81DFC" w:rsidRPr="00191CB5">
              <w:rPr>
                <w:rFonts w:ascii="Palatino Linotype" w:hAnsi="Palatino Linotype"/>
                <w:b/>
                <w:bCs/>
                <w:color w:val="000000"/>
                <w:sz w:val="28"/>
                <w:szCs w:val="28"/>
                <w:bdr w:val="none" w:sz="0" w:space="0" w:color="auto" w:frame="1"/>
              </w:rPr>
              <w:t>t. 7, comma 3, della legge della Regione Liguria 7 febbraio 2008, n. 2 (Testo unico in materia di strutture turistico-ricettive e balneari)</w:t>
            </w:r>
            <w:r w:rsidR="00E81DFC">
              <w:rPr>
                <w:rFonts w:ascii="Palatino Linotype" w:hAnsi="Palatino Linotype"/>
                <w:b/>
                <w:bCs/>
                <w:color w:val="000000"/>
                <w:sz w:val="28"/>
                <w:szCs w:val="28"/>
                <w:bdr w:val="none" w:sz="0" w:space="0" w:color="auto" w:frame="1"/>
              </w:rPr>
              <w:t xml:space="preserve">, relativamente alle </w:t>
            </w:r>
            <w:r w:rsidRPr="00191CB5">
              <w:rPr>
                <w:rFonts w:ascii="Palatino Linotype" w:hAnsi="Palatino Linotype"/>
                <w:b/>
                <w:bCs/>
                <w:color w:val="000000"/>
                <w:sz w:val="28"/>
                <w:szCs w:val="28"/>
                <w:bdr w:val="none" w:sz="0" w:space="0" w:color="auto" w:frame="1"/>
              </w:rPr>
              <w:t>residenze tur</w:t>
            </w:r>
            <w:r w:rsidR="00E81DFC">
              <w:rPr>
                <w:rFonts w:ascii="Palatino Linotype" w:hAnsi="Palatino Linotype"/>
                <w:b/>
                <w:bCs/>
                <w:color w:val="000000"/>
                <w:sz w:val="28"/>
                <w:szCs w:val="28"/>
                <w:bdr w:val="none" w:sz="0" w:space="0" w:color="auto" w:frame="1"/>
              </w:rPr>
              <w:t>istico-alberghiere (RTA).</w:t>
            </w:r>
          </w:p>
          <w:p w:rsidR="00E81DFC" w:rsidRPr="00C55BEB" w:rsidRDefault="00E81DFC" w:rsidP="00191CB5">
            <w:pPr>
              <w:pStyle w:val="xxxxmsonormal"/>
              <w:shd w:val="clear" w:color="auto" w:fill="FFFFFF"/>
              <w:jc w:val="both"/>
              <w:rPr>
                <w:rFonts w:ascii="Palatino Linotype" w:hAnsi="Palatino Linotype"/>
                <w:bCs/>
                <w:color w:val="000000"/>
                <w:sz w:val="28"/>
                <w:szCs w:val="28"/>
                <w:bdr w:val="none" w:sz="0" w:space="0" w:color="auto" w:frame="1"/>
              </w:rPr>
            </w:pPr>
          </w:p>
          <w:p w:rsidR="00191CB5" w:rsidRPr="00C55BEB" w:rsidRDefault="00191CB5" w:rsidP="00191CB5">
            <w:pPr>
              <w:jc w:val="both"/>
              <w:rPr>
                <w:rFonts w:ascii="Palatino Linotype" w:hAnsi="Palatino Linotype"/>
                <w:bCs/>
                <w:color w:val="000000"/>
                <w:sz w:val="28"/>
                <w:szCs w:val="28"/>
                <w:bdr w:val="none" w:sz="0" w:space="0" w:color="auto" w:frame="1"/>
              </w:rPr>
            </w:pPr>
            <w:r w:rsidRPr="00C55BEB">
              <w:rPr>
                <w:rFonts w:ascii="Palatino Linotype" w:hAnsi="Palatino Linotype"/>
                <w:bCs/>
                <w:color w:val="000000"/>
                <w:sz w:val="28"/>
                <w:szCs w:val="28"/>
                <w:bdr w:val="none" w:sz="0" w:space="0" w:color="auto" w:frame="1"/>
              </w:rPr>
              <w:lastRenderedPageBreak/>
              <w:t xml:space="preserve"> </w:t>
            </w:r>
          </w:p>
          <w:p w:rsidR="00191CB5" w:rsidRPr="00C55BEB" w:rsidRDefault="008F14E9" w:rsidP="00191CB5">
            <w:pPr>
              <w:pStyle w:val="xxxxmsonormal"/>
              <w:shd w:val="clear" w:color="auto" w:fill="FFFFFF"/>
              <w:jc w:val="both"/>
              <w:rPr>
                <w:rStyle w:val="Collegamentoipertestuale"/>
                <w:rFonts w:ascii="Palatino Linotype" w:hAnsi="Palatino Linotype"/>
                <w:b/>
                <w:bCs/>
                <w:sz w:val="28"/>
                <w:szCs w:val="28"/>
                <w:bdr w:val="none" w:sz="0" w:space="0" w:color="auto" w:frame="1"/>
              </w:rPr>
            </w:pPr>
            <w:hyperlink r:id="rId9" w:history="1">
              <w:r w:rsidR="00191CB5" w:rsidRPr="00191CB5">
                <w:rPr>
                  <w:rStyle w:val="Collegamentoipertestuale"/>
                  <w:rFonts w:ascii="Palatino Linotype" w:hAnsi="Palatino Linotype"/>
                  <w:b/>
                  <w:bCs/>
                  <w:sz w:val="28"/>
                  <w:szCs w:val="28"/>
                  <w:bdr w:val="none" w:sz="0" w:space="0" w:color="auto" w:frame="1"/>
                </w:rPr>
                <w:t>Corte cost</w:t>
              </w:r>
              <w:r w:rsidR="00191CB5">
                <w:rPr>
                  <w:rStyle w:val="Collegamentoipertestuale"/>
                  <w:rFonts w:ascii="Palatino Linotype" w:hAnsi="Palatino Linotype"/>
                  <w:b/>
                  <w:bCs/>
                  <w:sz w:val="28"/>
                  <w:szCs w:val="28"/>
                  <w:bdr w:val="none" w:sz="0" w:space="0" w:color="auto" w:frame="1"/>
                </w:rPr>
                <w:t xml:space="preserve">ituzionale, </w:t>
              </w:r>
              <w:r w:rsidR="00191CB5" w:rsidRPr="00191CB5">
                <w:rPr>
                  <w:rStyle w:val="Collegamentoipertestuale"/>
                  <w:rFonts w:ascii="Palatino Linotype" w:hAnsi="Palatino Linotype"/>
                  <w:b/>
                  <w:bCs/>
                  <w:sz w:val="28"/>
                  <w:szCs w:val="28"/>
                  <w:bdr w:val="none" w:sz="0" w:space="0" w:color="auto" w:frame="1"/>
                </w:rPr>
                <w:t>1</w:t>
              </w:r>
              <w:r w:rsidR="00191CB5">
                <w:rPr>
                  <w:rStyle w:val="Collegamentoipertestuale"/>
                  <w:rFonts w:ascii="Palatino Linotype" w:hAnsi="Palatino Linotype"/>
                  <w:b/>
                  <w:bCs/>
                  <w:sz w:val="28"/>
                  <w:szCs w:val="28"/>
                  <w:bdr w:val="none" w:sz="0" w:space="0" w:color="auto" w:frame="1"/>
                </w:rPr>
                <w:t>8</w:t>
              </w:r>
              <w:r w:rsidR="00191CB5" w:rsidRPr="00191CB5">
                <w:rPr>
                  <w:rStyle w:val="Collegamentoipertestuale"/>
                  <w:rFonts w:ascii="Palatino Linotype" w:hAnsi="Palatino Linotype"/>
                  <w:b/>
                  <w:bCs/>
                  <w:sz w:val="28"/>
                  <w:szCs w:val="28"/>
                  <w:bdr w:val="none" w:sz="0" w:space="0" w:color="auto" w:frame="1"/>
                </w:rPr>
                <w:t xml:space="preserve"> ottob</w:t>
              </w:r>
              <w:r w:rsidR="00191CB5">
                <w:rPr>
                  <w:rStyle w:val="Collegamentoipertestuale"/>
                  <w:rFonts w:ascii="Palatino Linotype" w:hAnsi="Palatino Linotype"/>
                  <w:b/>
                  <w:bCs/>
                  <w:sz w:val="28"/>
                  <w:szCs w:val="28"/>
                  <w:bdr w:val="none" w:sz="0" w:space="0" w:color="auto" w:frame="1"/>
                </w:rPr>
                <w:t>re 2022, n. 213</w:t>
              </w:r>
              <w:r w:rsidR="00191CB5" w:rsidRPr="00191CB5">
                <w:rPr>
                  <w:rStyle w:val="Collegamentoipertestuale"/>
                  <w:rFonts w:ascii="Palatino Linotype" w:hAnsi="Palatino Linotype"/>
                  <w:b/>
                  <w:bCs/>
                  <w:sz w:val="28"/>
                  <w:szCs w:val="28"/>
                  <w:bdr w:val="none" w:sz="0" w:space="0" w:color="auto" w:frame="1"/>
                </w:rPr>
                <w:t xml:space="preserve"> – Pres. Sciarra, </w:t>
              </w:r>
              <w:proofErr w:type="spellStart"/>
              <w:r w:rsidR="00191CB5" w:rsidRPr="00191CB5">
                <w:rPr>
                  <w:rStyle w:val="Collegamentoipertestuale"/>
                  <w:rFonts w:ascii="Palatino Linotype" w:hAnsi="Palatino Linotype"/>
                  <w:b/>
                  <w:bCs/>
                  <w:sz w:val="28"/>
                  <w:szCs w:val="28"/>
                  <w:bdr w:val="none" w:sz="0" w:space="0" w:color="auto" w:frame="1"/>
                </w:rPr>
                <w:t>Red</w:t>
              </w:r>
              <w:proofErr w:type="spellEnd"/>
              <w:r w:rsidR="00191CB5" w:rsidRPr="00191CB5">
                <w:rPr>
                  <w:rStyle w:val="Collegamentoipertestuale"/>
                  <w:rFonts w:ascii="Palatino Linotype" w:hAnsi="Palatino Linotype"/>
                  <w:b/>
                  <w:bCs/>
                  <w:sz w:val="28"/>
                  <w:szCs w:val="28"/>
                  <w:bdr w:val="none" w:sz="0" w:space="0" w:color="auto" w:frame="1"/>
                </w:rPr>
                <w:t xml:space="preserve">. </w:t>
              </w:r>
              <w:r w:rsidR="00191CB5">
                <w:rPr>
                  <w:rStyle w:val="Collegamentoipertestuale"/>
                  <w:rFonts w:ascii="Palatino Linotype" w:hAnsi="Palatino Linotype"/>
                  <w:b/>
                  <w:bCs/>
                  <w:sz w:val="28"/>
                  <w:szCs w:val="28"/>
                  <w:bdr w:val="none" w:sz="0" w:space="0" w:color="auto" w:frame="1"/>
                </w:rPr>
                <w:t xml:space="preserve">De </w:t>
              </w:r>
              <w:proofErr w:type="spellStart"/>
              <w:r w:rsidR="00191CB5">
                <w:rPr>
                  <w:rStyle w:val="Collegamentoipertestuale"/>
                  <w:rFonts w:ascii="Palatino Linotype" w:hAnsi="Palatino Linotype"/>
                  <w:b/>
                  <w:bCs/>
                  <w:sz w:val="28"/>
                  <w:szCs w:val="28"/>
                  <w:bdr w:val="none" w:sz="0" w:space="0" w:color="auto" w:frame="1"/>
                </w:rPr>
                <w:t>Pretis</w:t>
              </w:r>
              <w:proofErr w:type="spellEnd"/>
            </w:hyperlink>
            <w:r w:rsidR="00191CB5" w:rsidRPr="00C55BEB">
              <w:rPr>
                <w:rStyle w:val="Collegamentoipertestuale"/>
                <w:rFonts w:ascii="Palatino Linotype" w:hAnsi="Palatino Linotype"/>
                <w:b/>
                <w:bCs/>
                <w:sz w:val="28"/>
                <w:szCs w:val="28"/>
                <w:bdr w:val="none" w:sz="0" w:space="0" w:color="auto" w:frame="1"/>
              </w:rPr>
              <w:t xml:space="preserve"> </w:t>
            </w:r>
          </w:p>
          <w:p w:rsidR="00191CB5" w:rsidRDefault="00191CB5" w:rsidP="00191CB5">
            <w:pPr>
              <w:jc w:val="both"/>
              <w:rPr>
                <w:rFonts w:ascii="Palatino Linotype" w:hAnsi="Palatino Linotype"/>
                <w:bCs/>
                <w:color w:val="000000"/>
                <w:sz w:val="28"/>
                <w:szCs w:val="28"/>
                <w:bdr w:val="none" w:sz="0" w:space="0" w:color="auto" w:frame="1"/>
              </w:rPr>
            </w:pPr>
            <w:r>
              <w:rPr>
                <w:rFonts w:ascii="Palatino Linotype" w:hAnsi="Palatino Linotype"/>
                <w:bCs/>
                <w:color w:val="000000"/>
                <w:sz w:val="28"/>
                <w:szCs w:val="28"/>
                <w:bdr w:val="none" w:sz="0" w:space="0" w:color="auto" w:frame="1"/>
              </w:rPr>
              <w:t xml:space="preserve"> </w:t>
            </w:r>
          </w:p>
          <w:p w:rsidR="00191CB5" w:rsidRPr="00C55BEB" w:rsidRDefault="00191CB5" w:rsidP="00191CB5">
            <w:pPr>
              <w:jc w:val="both"/>
              <w:rPr>
                <w:rFonts w:ascii="Palatino Linotype" w:hAnsi="Palatino Linotype"/>
                <w:bCs/>
                <w:color w:val="000000"/>
                <w:sz w:val="28"/>
                <w:szCs w:val="28"/>
                <w:bdr w:val="none" w:sz="0" w:space="0" w:color="auto" w:frame="1"/>
              </w:rPr>
            </w:pPr>
            <w:r w:rsidRPr="00C55BEB">
              <w:rPr>
                <w:rFonts w:ascii="Palatino Linotype" w:hAnsi="Palatino Linotype"/>
                <w:bCs/>
                <w:color w:val="000000"/>
                <w:sz w:val="28"/>
                <w:szCs w:val="28"/>
                <w:bdr w:val="none" w:sz="0" w:space="0" w:color="auto" w:frame="1"/>
              </w:rPr>
              <w:t xml:space="preserve"> </w:t>
            </w:r>
          </w:p>
          <w:p w:rsidR="00191CB5" w:rsidRDefault="00191CB5" w:rsidP="0026567E">
            <w:pPr>
              <w:jc w:val="both"/>
              <w:rPr>
                <w:rFonts w:ascii="Palatino Linotype" w:hAnsi="Palatino Linotype"/>
                <w:bCs/>
                <w:color w:val="000000"/>
                <w:sz w:val="28"/>
                <w:szCs w:val="28"/>
                <w:bdr w:val="none" w:sz="0" w:space="0" w:color="auto" w:frame="1"/>
              </w:rPr>
            </w:pPr>
            <w:r>
              <w:rPr>
                <w:rFonts w:ascii="Palatino Linotype" w:hAnsi="Palatino Linotype"/>
                <w:bCs/>
                <w:color w:val="000000"/>
                <w:sz w:val="28"/>
                <w:szCs w:val="28"/>
                <w:bdr w:val="none" w:sz="0" w:space="0" w:color="auto" w:frame="1"/>
              </w:rPr>
              <w:t>La Corte</w:t>
            </w:r>
            <w:r w:rsidR="00E81DFC">
              <w:rPr>
                <w:rFonts w:ascii="Palatino Linotype" w:hAnsi="Palatino Linotype"/>
                <w:bCs/>
                <w:color w:val="000000"/>
                <w:sz w:val="28"/>
                <w:szCs w:val="28"/>
                <w:bdr w:val="none" w:sz="0" w:space="0" w:color="auto" w:frame="1"/>
              </w:rPr>
              <w:t xml:space="preserve"> </w:t>
            </w:r>
            <w:r w:rsidR="00E81DFC" w:rsidRPr="00E81DFC">
              <w:rPr>
                <w:rFonts w:ascii="Palatino Linotype" w:hAnsi="Palatino Linotype"/>
                <w:bCs/>
                <w:color w:val="000000"/>
                <w:sz w:val="28"/>
                <w:szCs w:val="28"/>
                <w:bdr w:val="none" w:sz="0" w:space="0" w:color="auto" w:frame="1"/>
              </w:rPr>
              <w:t>dichiara inammissibili le questioni di legittimità costituzionale dell’art. 7, comma 3, della legge della Regione Liguria 7 febbraio 2008, n. 2 (Testo unico in materia di strutture turistico-ricettive e balneari), come modificato dall’art. 4, comma 1, della legge della Regione Liguria 11 maggio 2009, n. 16 (Disposizioni urgenti di adeguamento della normativa regionale), sollevate, in riferimento agli artt. 3, 41 e 42 della Costituzione</w:t>
            </w:r>
            <w:r w:rsidR="00F85276">
              <w:rPr>
                <w:rFonts w:ascii="Palatino Linotype" w:hAnsi="Palatino Linotype"/>
                <w:bCs/>
                <w:color w:val="000000"/>
                <w:sz w:val="28"/>
                <w:szCs w:val="28"/>
                <w:bdr w:val="none" w:sz="0" w:space="0" w:color="auto" w:frame="1"/>
              </w:rPr>
              <w:t xml:space="preserve">, </w:t>
            </w:r>
            <w:r w:rsidR="0026567E">
              <w:rPr>
                <w:rFonts w:ascii="Palatino Linotype" w:hAnsi="Palatino Linotype"/>
                <w:bCs/>
                <w:color w:val="000000"/>
                <w:sz w:val="28"/>
                <w:szCs w:val="28"/>
                <w:bdr w:val="none" w:sz="0" w:space="0" w:color="auto" w:frame="1"/>
              </w:rPr>
              <w:t>per</w:t>
            </w:r>
            <w:r w:rsidR="00F85276">
              <w:rPr>
                <w:rFonts w:ascii="Palatino Linotype" w:hAnsi="Palatino Linotype"/>
                <w:bCs/>
                <w:color w:val="000000"/>
                <w:sz w:val="28"/>
                <w:szCs w:val="28"/>
                <w:bdr w:val="none" w:sz="0" w:space="0" w:color="auto" w:frame="1"/>
              </w:rPr>
              <w:t xml:space="preserve"> </w:t>
            </w:r>
            <w:r w:rsidR="0026567E">
              <w:rPr>
                <w:rFonts w:ascii="Palatino Linotype" w:hAnsi="Palatino Linotype"/>
                <w:bCs/>
                <w:color w:val="000000"/>
                <w:sz w:val="28"/>
                <w:szCs w:val="28"/>
                <w:bdr w:val="none" w:sz="0" w:space="0" w:color="auto" w:frame="1"/>
              </w:rPr>
              <w:t>l</w:t>
            </w:r>
            <w:r w:rsidR="00F85276" w:rsidRPr="00F85276">
              <w:rPr>
                <w:rFonts w:ascii="Palatino Linotype" w:hAnsi="Palatino Linotype"/>
                <w:bCs/>
                <w:color w:val="000000"/>
                <w:sz w:val="28"/>
                <w:szCs w:val="28"/>
                <w:bdr w:val="none" w:sz="0" w:space="0" w:color="auto" w:frame="1"/>
              </w:rPr>
              <w:t>’assenza di una congrua e completa ricostruzione del quadro no</w:t>
            </w:r>
            <w:r w:rsidR="0026567E">
              <w:rPr>
                <w:rFonts w:ascii="Palatino Linotype" w:hAnsi="Palatino Linotype"/>
                <w:bCs/>
                <w:color w:val="000000"/>
                <w:sz w:val="28"/>
                <w:szCs w:val="28"/>
                <w:bdr w:val="none" w:sz="0" w:space="0" w:color="auto" w:frame="1"/>
              </w:rPr>
              <w:t>rmativo</w:t>
            </w:r>
            <w:r w:rsidR="00F85276" w:rsidRPr="00F85276">
              <w:rPr>
                <w:rFonts w:ascii="Palatino Linotype" w:hAnsi="Palatino Linotype"/>
                <w:bCs/>
                <w:color w:val="000000"/>
                <w:sz w:val="28"/>
                <w:szCs w:val="28"/>
                <w:bdr w:val="none" w:sz="0" w:space="0" w:color="auto" w:frame="1"/>
              </w:rPr>
              <w:t xml:space="preserve"> </w:t>
            </w:r>
            <w:r w:rsidR="0026567E">
              <w:rPr>
                <w:rFonts w:ascii="Palatino Linotype" w:hAnsi="Palatino Linotype"/>
                <w:bCs/>
                <w:color w:val="000000"/>
                <w:sz w:val="28"/>
                <w:szCs w:val="28"/>
                <w:bdr w:val="none" w:sz="0" w:space="0" w:color="auto" w:frame="1"/>
              </w:rPr>
              <w:t>da parte del giudice</w:t>
            </w:r>
            <w:r w:rsidR="0026567E" w:rsidRPr="0026567E">
              <w:rPr>
                <w:rFonts w:ascii="Palatino Linotype" w:hAnsi="Palatino Linotype"/>
                <w:bCs/>
                <w:i/>
                <w:color w:val="000000"/>
                <w:sz w:val="28"/>
                <w:szCs w:val="28"/>
                <w:bdr w:val="none" w:sz="0" w:space="0" w:color="auto" w:frame="1"/>
              </w:rPr>
              <w:t xml:space="preserve"> a quo</w:t>
            </w:r>
            <w:r w:rsidR="00F85276" w:rsidRPr="00F85276">
              <w:rPr>
                <w:rFonts w:ascii="Palatino Linotype" w:hAnsi="Palatino Linotype"/>
                <w:bCs/>
                <w:color w:val="000000"/>
                <w:sz w:val="28"/>
                <w:szCs w:val="28"/>
                <w:bdr w:val="none" w:sz="0" w:space="0" w:color="auto" w:frame="1"/>
              </w:rPr>
              <w:t>.</w:t>
            </w:r>
          </w:p>
          <w:p w:rsidR="0026567E" w:rsidRDefault="0026567E" w:rsidP="0026567E">
            <w:pPr>
              <w:jc w:val="both"/>
              <w:rPr>
                <w:rFonts w:ascii="Palatino Linotype" w:hAnsi="Palatino Linotype"/>
                <w:bCs/>
                <w:color w:val="000000"/>
                <w:sz w:val="28"/>
                <w:szCs w:val="28"/>
                <w:bdr w:val="none" w:sz="0" w:space="0" w:color="auto" w:frame="1"/>
              </w:rPr>
            </w:pPr>
          </w:p>
          <w:p w:rsidR="0026567E" w:rsidRPr="0026567E" w:rsidRDefault="0026567E" w:rsidP="0026567E">
            <w:pPr>
              <w:jc w:val="both"/>
              <w:rPr>
                <w:rFonts w:ascii="Palatino Linotype" w:hAnsi="Palatino Linotype"/>
                <w:b/>
                <w:bCs/>
                <w:color w:val="833C0B" w:themeColor="accent2" w:themeShade="80"/>
                <w:sz w:val="28"/>
                <w:szCs w:val="28"/>
                <w:bdr w:val="none" w:sz="0" w:space="0" w:color="auto" w:frame="1"/>
              </w:rPr>
            </w:pPr>
            <w:r w:rsidRPr="0026567E">
              <w:rPr>
                <w:rFonts w:ascii="Palatino Linotype" w:hAnsi="Palatino Linotype"/>
                <w:b/>
                <w:bCs/>
                <w:color w:val="833C0B" w:themeColor="accent2" w:themeShade="80"/>
                <w:sz w:val="28"/>
                <w:szCs w:val="28"/>
                <w:bdr w:val="none" w:sz="0" w:space="0" w:color="auto" w:frame="1"/>
              </w:rPr>
              <w:t>La presente sentenza sarà oggetto di apposita News da parte dell’Ufficio per il massimario</w:t>
            </w:r>
            <w:r>
              <w:rPr>
                <w:rFonts w:ascii="Palatino Linotype" w:hAnsi="Palatino Linotype"/>
                <w:b/>
                <w:bCs/>
                <w:color w:val="833C0B" w:themeColor="accent2" w:themeShade="80"/>
                <w:sz w:val="28"/>
                <w:szCs w:val="28"/>
                <w:bdr w:val="none" w:sz="0" w:space="0" w:color="auto" w:frame="1"/>
              </w:rPr>
              <w:t>.</w:t>
            </w:r>
          </w:p>
          <w:p w:rsidR="009604A2" w:rsidRDefault="009604A2" w:rsidP="00C76497">
            <w:pPr>
              <w:jc w:val="both"/>
            </w:pPr>
          </w:p>
        </w:tc>
      </w:tr>
    </w:tbl>
    <w:p w:rsidR="00C17A11" w:rsidRDefault="00C17A11" w:rsidP="009C288A">
      <w:pPr>
        <w:jc w:val="both"/>
      </w:pPr>
    </w:p>
    <w:p w:rsidR="00E974BB" w:rsidRDefault="00E974BB" w:rsidP="009C288A">
      <w:pPr>
        <w:jc w:val="both"/>
      </w:pPr>
    </w:p>
    <w:tbl>
      <w:tblPr>
        <w:tblStyle w:val="Grigliatabella"/>
        <w:tblW w:w="0" w:type="auto"/>
        <w:jc w:val="center"/>
        <w:tblLook w:val="04A0" w:firstRow="1" w:lastRow="0" w:firstColumn="1" w:lastColumn="0" w:noHBand="0" w:noVBand="1"/>
      </w:tblPr>
      <w:tblGrid>
        <w:gridCol w:w="9628"/>
      </w:tblGrid>
      <w:tr w:rsidR="003D1BF9" w:rsidTr="003D1BF9">
        <w:trPr>
          <w:jc w:val="center"/>
        </w:trPr>
        <w:tc>
          <w:tcPr>
            <w:tcW w:w="9628" w:type="dxa"/>
          </w:tcPr>
          <w:p w:rsidR="00674342" w:rsidRDefault="00674342" w:rsidP="00674342">
            <w:pPr>
              <w:shd w:val="clear" w:color="auto" w:fill="FFFFFF"/>
              <w:spacing w:before="100" w:beforeAutospacing="1" w:after="100" w:afterAutospacing="1" w:line="252" w:lineRule="auto"/>
              <w:jc w:val="center"/>
              <w:rPr>
                <w:rFonts w:ascii="Palatino Linotype" w:hAnsi="Palatino Linotype"/>
                <w:b/>
                <w:bCs/>
                <w:color w:val="2F5496"/>
                <w:sz w:val="32"/>
                <w:szCs w:val="32"/>
              </w:rPr>
            </w:pPr>
            <w:r>
              <w:rPr>
                <w:rFonts w:ascii="Palatino Linotype" w:hAnsi="Palatino Linotype"/>
                <w:b/>
                <w:bCs/>
                <w:color w:val="2F5496"/>
                <w:sz w:val="32"/>
                <w:szCs w:val="32"/>
              </w:rPr>
              <w:t>Corte di cassazione sezioni unite civili</w:t>
            </w:r>
          </w:p>
          <w:p w:rsidR="00674342" w:rsidRDefault="00674342" w:rsidP="00674342">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2553FA">
              <w:rPr>
                <w:rFonts w:ascii="Palatino Linotype" w:hAnsi="Palatino Linotype"/>
                <w:b/>
                <w:bCs/>
                <w:color w:val="BF8F00"/>
                <w:sz w:val="32"/>
                <w:szCs w:val="32"/>
              </w:rPr>
              <w:t>(5</w:t>
            </w:r>
            <w:r>
              <w:rPr>
                <w:rFonts w:ascii="Palatino Linotype" w:hAnsi="Palatino Linotype"/>
                <w:b/>
                <w:bCs/>
                <w:color w:val="BF8F00"/>
                <w:sz w:val="32"/>
                <w:szCs w:val="32"/>
              </w:rPr>
              <w:t>)</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
                <w:bCs/>
                <w:color w:val="2F5496"/>
                <w:sz w:val="28"/>
                <w:szCs w:val="28"/>
              </w:rPr>
            </w:pPr>
            <w:r>
              <w:rPr>
                <w:rFonts w:ascii="Palatino Linotype" w:hAnsi="Palatino Linotype"/>
                <w:b/>
                <w:bCs/>
                <w:sz w:val="28"/>
                <w:szCs w:val="28"/>
              </w:rPr>
              <w:t>S</w:t>
            </w:r>
            <w:r w:rsidRPr="00674342">
              <w:rPr>
                <w:rFonts w:ascii="Palatino Linotype" w:hAnsi="Palatino Linotype"/>
                <w:b/>
                <w:bCs/>
                <w:sz w:val="28"/>
                <w:szCs w:val="28"/>
              </w:rPr>
              <w:t xml:space="preserve">ulla giurisdizione del </w:t>
            </w:r>
            <w:proofErr w:type="spellStart"/>
            <w:r w:rsidRPr="00674342">
              <w:rPr>
                <w:rFonts w:ascii="Palatino Linotype" w:hAnsi="Palatino Linotype"/>
                <w:b/>
                <w:bCs/>
                <w:sz w:val="28"/>
                <w:szCs w:val="28"/>
              </w:rPr>
              <w:t>g.o</w:t>
            </w:r>
            <w:proofErr w:type="spellEnd"/>
            <w:r w:rsidRPr="00674342">
              <w:rPr>
                <w:rFonts w:ascii="Palatino Linotype" w:hAnsi="Palatino Linotype"/>
                <w:b/>
                <w:bCs/>
                <w:sz w:val="28"/>
                <w:szCs w:val="28"/>
              </w:rPr>
              <w:t>. in relazione al contributo per utilizzo temporaneo di frequenze radio correlate ad autorizzazioni ministeriali</w:t>
            </w:r>
            <w:r>
              <w:rPr>
                <w:rFonts w:ascii="Palatino Linotype" w:hAnsi="Palatino Linotype"/>
                <w:b/>
                <w:bCs/>
                <w:sz w:val="28"/>
                <w:szCs w:val="28"/>
              </w:rPr>
              <w:t>.</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
                <w:bCs/>
                <w:color w:val="2F5496"/>
                <w:sz w:val="28"/>
                <w:szCs w:val="28"/>
              </w:rPr>
            </w:pPr>
            <w:r>
              <w:rPr>
                <w:rFonts w:ascii="Palatino Linotype" w:hAnsi="Palatino Linotype"/>
                <w:b/>
                <w:bCs/>
                <w:color w:val="2F5496"/>
                <w:sz w:val="28"/>
                <w:szCs w:val="28"/>
              </w:rPr>
              <w:t>Corte di cassazione, sezioni</w:t>
            </w:r>
            <w:r w:rsidRPr="00674342">
              <w:rPr>
                <w:rFonts w:ascii="Palatino Linotype" w:hAnsi="Palatino Linotype"/>
                <w:b/>
                <w:bCs/>
                <w:color w:val="2F5496"/>
                <w:sz w:val="28"/>
                <w:szCs w:val="28"/>
              </w:rPr>
              <w:t xml:space="preserve"> unite civili</w:t>
            </w:r>
            <w:r>
              <w:rPr>
                <w:rFonts w:ascii="Palatino Linotype" w:hAnsi="Palatino Linotype"/>
                <w:b/>
                <w:bCs/>
                <w:color w:val="2F5496"/>
                <w:sz w:val="28"/>
                <w:szCs w:val="28"/>
              </w:rPr>
              <w:t>,</w:t>
            </w:r>
            <w:r w:rsidRPr="00674342">
              <w:rPr>
                <w:rFonts w:ascii="Palatino Linotype" w:hAnsi="Palatino Linotype"/>
                <w:b/>
                <w:bCs/>
                <w:color w:val="2F5496"/>
                <w:sz w:val="28"/>
                <w:szCs w:val="28"/>
              </w:rPr>
              <w:t xml:space="preserve"> 31 ottobre 2022 n. 32121 – </w:t>
            </w:r>
            <w:proofErr w:type="spellStart"/>
            <w:r w:rsidRPr="00674342">
              <w:rPr>
                <w:rFonts w:ascii="Palatino Linotype" w:hAnsi="Palatino Linotype"/>
                <w:b/>
                <w:bCs/>
                <w:color w:val="2F5496"/>
                <w:sz w:val="28"/>
                <w:szCs w:val="28"/>
              </w:rPr>
              <w:t>Pres</w:t>
            </w:r>
            <w:proofErr w:type="spellEnd"/>
            <w:r w:rsidRPr="00674342">
              <w:rPr>
                <w:rFonts w:ascii="Palatino Linotype" w:hAnsi="Palatino Linotype"/>
                <w:b/>
                <w:bCs/>
                <w:color w:val="2F5496"/>
                <w:sz w:val="28"/>
                <w:szCs w:val="28"/>
              </w:rPr>
              <w:t>. Virgilio, Est. Stalla</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Pr>
                <w:rFonts w:ascii="Palatino Linotype" w:hAnsi="Palatino Linotype"/>
                <w:bCs/>
                <w:sz w:val="28"/>
                <w:szCs w:val="28"/>
              </w:rPr>
              <w:t>Le sezioni unite hanno evidenziato che</w:t>
            </w:r>
            <w:r w:rsidRPr="00674342">
              <w:rPr>
                <w:rFonts w:ascii="Palatino Linotype" w:hAnsi="Palatino Linotype"/>
                <w:bCs/>
                <w:sz w:val="28"/>
                <w:szCs w:val="28"/>
              </w:rPr>
              <w:t>, in considerazione di quanto stabilito anche in numer</w:t>
            </w:r>
            <w:r>
              <w:rPr>
                <w:rFonts w:ascii="Palatino Linotype" w:hAnsi="Palatino Linotype"/>
                <w:bCs/>
                <w:sz w:val="28"/>
                <w:szCs w:val="28"/>
              </w:rPr>
              <w:t>ose altre pronunce della Corte c</w:t>
            </w:r>
            <w:r w:rsidRPr="00674342">
              <w:rPr>
                <w:rFonts w:ascii="Palatino Linotype" w:hAnsi="Palatino Linotype"/>
                <w:bCs/>
                <w:sz w:val="28"/>
                <w:szCs w:val="28"/>
              </w:rPr>
              <w:t>ostituzionale (da ultimo,</w:t>
            </w:r>
            <w:r>
              <w:rPr>
                <w:rFonts w:ascii="Palatino Linotype" w:hAnsi="Palatino Linotype"/>
                <w:bCs/>
                <w:sz w:val="28"/>
                <w:szCs w:val="28"/>
              </w:rPr>
              <w:t xml:space="preserve"> Corte </w:t>
            </w:r>
            <w:proofErr w:type="spellStart"/>
            <w:r>
              <w:rPr>
                <w:rFonts w:ascii="Palatino Linotype" w:hAnsi="Palatino Linotype"/>
                <w:bCs/>
                <w:sz w:val="28"/>
                <w:szCs w:val="28"/>
              </w:rPr>
              <w:t>cost</w:t>
            </w:r>
            <w:proofErr w:type="spellEnd"/>
            <w:r>
              <w:rPr>
                <w:rFonts w:ascii="Palatino Linotype" w:hAnsi="Palatino Linotype"/>
                <w:bCs/>
                <w:sz w:val="28"/>
                <w:szCs w:val="28"/>
              </w:rPr>
              <w:t>. n. 167</w:t>
            </w:r>
            <w:r w:rsidR="000A0133">
              <w:rPr>
                <w:rFonts w:ascii="Palatino Linotype" w:hAnsi="Palatino Linotype"/>
                <w:bCs/>
                <w:sz w:val="28"/>
                <w:szCs w:val="28"/>
              </w:rPr>
              <w:t xml:space="preserve"> del 2018</w:t>
            </w:r>
            <w:r>
              <w:rPr>
                <w:rFonts w:ascii="Palatino Linotype" w:hAnsi="Palatino Linotype"/>
                <w:bCs/>
                <w:sz w:val="28"/>
                <w:szCs w:val="28"/>
              </w:rPr>
              <w:t>),</w:t>
            </w:r>
            <w:r w:rsidRPr="00674342">
              <w:rPr>
                <w:rFonts w:ascii="Palatino Linotype" w:hAnsi="Palatino Linotype"/>
                <w:bCs/>
                <w:sz w:val="28"/>
                <w:szCs w:val="28"/>
              </w:rPr>
              <w:t xml:space="preserve"> una fattispecie deve ritenersi di natura tributaria, indipendentemente dalla qualificazione offerta dal legislatore, laddove si riscontrino tre indefettibili requisiti:</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t>– la disciplina legale deve essere diretta, in via prevalente, a procurare una definitiva decurtazione patrimoniale a carico del soggetto passivo;</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lastRenderedPageBreak/>
              <w:t>– la decurtazione non deve integrare una modifica di un rapporto sinallagmatico;</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t>– le risorse, connesse ad un presupposto economicamente rilevante e derivanti dalla suddetta decurtazione, debbono essere destinate a sovvenire pubbliche spese.</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t>Caratteri identificativi generali del tributo debbono pertanto essere individuati n</w:t>
            </w:r>
            <w:r>
              <w:rPr>
                <w:rFonts w:ascii="Palatino Linotype" w:hAnsi="Palatino Linotype"/>
                <w:bCs/>
                <w:sz w:val="28"/>
                <w:szCs w:val="28"/>
              </w:rPr>
              <w:t>ei seguenti elementi tipizzanti:</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t xml:space="preserve">– “la matrice legislativa della prestazione imposta, in quanto il tributo nasce direttamente in forza della legge, risultando irrilevante l’autonomia contrattuale (Corte </w:t>
            </w:r>
            <w:proofErr w:type="spellStart"/>
            <w:r>
              <w:rPr>
                <w:rFonts w:ascii="Palatino Linotype" w:hAnsi="Palatino Linotype"/>
                <w:bCs/>
                <w:sz w:val="28"/>
                <w:szCs w:val="28"/>
              </w:rPr>
              <w:t>c</w:t>
            </w:r>
            <w:r w:rsidRPr="00674342">
              <w:rPr>
                <w:rFonts w:ascii="Palatino Linotype" w:hAnsi="Palatino Linotype"/>
                <w:bCs/>
                <w:sz w:val="28"/>
                <w:szCs w:val="28"/>
              </w:rPr>
              <w:t>ost</w:t>
            </w:r>
            <w:proofErr w:type="spellEnd"/>
            <w:r w:rsidRPr="00674342">
              <w:rPr>
                <w:rFonts w:ascii="Palatino Linotype" w:hAnsi="Palatino Linotype"/>
                <w:bCs/>
                <w:sz w:val="28"/>
                <w:szCs w:val="28"/>
              </w:rPr>
              <w:t>., n. 58 del 2015)”;</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t>– “la dover</w:t>
            </w:r>
            <w:r>
              <w:rPr>
                <w:rFonts w:ascii="Palatino Linotype" w:hAnsi="Palatino Linotype"/>
                <w:bCs/>
                <w:sz w:val="28"/>
                <w:szCs w:val="28"/>
              </w:rPr>
              <w:t xml:space="preserve">osità della prestazione (Corte </w:t>
            </w:r>
            <w:proofErr w:type="spellStart"/>
            <w:r>
              <w:rPr>
                <w:rFonts w:ascii="Palatino Linotype" w:hAnsi="Palatino Linotype"/>
                <w:bCs/>
                <w:sz w:val="28"/>
                <w:szCs w:val="28"/>
              </w:rPr>
              <w:t>c</w:t>
            </w:r>
            <w:r w:rsidRPr="00674342">
              <w:rPr>
                <w:rFonts w:ascii="Palatino Linotype" w:hAnsi="Palatino Linotype"/>
                <w:bCs/>
                <w:sz w:val="28"/>
                <w:szCs w:val="28"/>
              </w:rPr>
              <w:t>ost</w:t>
            </w:r>
            <w:proofErr w:type="spellEnd"/>
            <w:r w:rsidRPr="00674342">
              <w:rPr>
                <w:rFonts w:ascii="Palatino Linotype" w:hAnsi="Palatino Linotype"/>
                <w:bCs/>
                <w:sz w:val="28"/>
                <w:szCs w:val="28"/>
              </w:rPr>
              <w:t>., n. 141 del 2009, n. 64 del 2008, n. 334 del 2006, n. 73 del 2005), che comporta un’ablazione delle somme con attribuzione delle ste</w:t>
            </w:r>
            <w:r>
              <w:rPr>
                <w:rFonts w:ascii="Palatino Linotype" w:hAnsi="Palatino Linotype"/>
                <w:bCs/>
                <w:sz w:val="28"/>
                <w:szCs w:val="28"/>
              </w:rPr>
              <w:t xml:space="preserve">sse ad un ente pubblico (Corte </w:t>
            </w:r>
            <w:proofErr w:type="spellStart"/>
            <w:r>
              <w:rPr>
                <w:rFonts w:ascii="Palatino Linotype" w:hAnsi="Palatino Linotype"/>
                <w:bCs/>
                <w:sz w:val="28"/>
                <w:szCs w:val="28"/>
              </w:rPr>
              <w:t>c</w:t>
            </w:r>
            <w:r w:rsidRPr="00674342">
              <w:rPr>
                <w:rFonts w:ascii="Palatino Linotype" w:hAnsi="Palatino Linotype"/>
                <w:bCs/>
                <w:sz w:val="28"/>
                <w:szCs w:val="28"/>
              </w:rPr>
              <w:t>ost</w:t>
            </w:r>
            <w:proofErr w:type="spellEnd"/>
            <w:r w:rsidRPr="00674342">
              <w:rPr>
                <w:rFonts w:ascii="Palatino Linotype" w:hAnsi="Palatino Linotype"/>
                <w:bCs/>
                <w:sz w:val="28"/>
                <w:szCs w:val="28"/>
              </w:rPr>
              <w:t>., n. 37 del 1997, n. 11 e n. 2 del 1995 e n. 26 del 1982)”;</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t>– “la circostanza che i soggetti tenuti al pagamento del contributo non possono sottrarsi a tale obbligo e la legge non dà alcun sostanziale rilievo, genetico o funzionale, a</w:t>
            </w:r>
            <w:r>
              <w:rPr>
                <w:rFonts w:ascii="Palatino Linotype" w:hAnsi="Palatino Linotype"/>
                <w:bCs/>
                <w:sz w:val="28"/>
                <w:szCs w:val="28"/>
              </w:rPr>
              <w:t xml:space="preserve">lla volontà delle parti (Corte </w:t>
            </w:r>
            <w:proofErr w:type="spellStart"/>
            <w:r>
              <w:rPr>
                <w:rFonts w:ascii="Palatino Linotype" w:hAnsi="Palatino Linotype"/>
                <w:bCs/>
                <w:sz w:val="28"/>
                <w:szCs w:val="28"/>
              </w:rPr>
              <w:t>c</w:t>
            </w:r>
            <w:r w:rsidRPr="00674342">
              <w:rPr>
                <w:rFonts w:ascii="Palatino Linotype" w:hAnsi="Palatino Linotype"/>
                <w:bCs/>
                <w:sz w:val="28"/>
                <w:szCs w:val="28"/>
              </w:rPr>
              <w:t>ost</w:t>
            </w:r>
            <w:proofErr w:type="spellEnd"/>
            <w:r w:rsidRPr="00674342">
              <w:rPr>
                <w:rFonts w:ascii="Palatino Linotype" w:hAnsi="Palatino Linotype"/>
                <w:bCs/>
                <w:sz w:val="28"/>
                <w:szCs w:val="28"/>
              </w:rPr>
              <w:t xml:space="preserve">., n. 238 del 2009, punto 7.2.3.2, nonché, in relazione al contributo al SSN, </w:t>
            </w:r>
            <w:proofErr w:type="spellStart"/>
            <w:r w:rsidRPr="00674342">
              <w:rPr>
                <w:rFonts w:ascii="Palatino Linotype" w:hAnsi="Palatino Linotype"/>
                <w:bCs/>
                <w:sz w:val="28"/>
                <w:szCs w:val="28"/>
              </w:rPr>
              <w:t>Cass</w:t>
            </w:r>
            <w:proofErr w:type="spellEnd"/>
            <w:r w:rsidRPr="00674342">
              <w:rPr>
                <w:rFonts w:ascii="Palatino Linotype" w:hAnsi="Palatino Linotype"/>
                <w:bCs/>
                <w:sz w:val="28"/>
                <w:szCs w:val="28"/>
              </w:rPr>
              <w:t>.</w:t>
            </w:r>
            <w:r>
              <w:rPr>
                <w:rFonts w:ascii="Palatino Linotype" w:hAnsi="Palatino Linotype"/>
                <w:bCs/>
                <w:sz w:val="28"/>
                <w:szCs w:val="28"/>
              </w:rPr>
              <w:t xml:space="preserve"> civ., sez. un., n. 123 del 20</w:t>
            </w:r>
            <w:r w:rsidRPr="00674342">
              <w:rPr>
                <w:rFonts w:ascii="Palatino Linotype" w:hAnsi="Palatino Linotype"/>
                <w:bCs/>
                <w:sz w:val="28"/>
                <w:szCs w:val="28"/>
              </w:rPr>
              <w:t>07, che ne ha affermato la natura tributaria)”;</w:t>
            </w:r>
          </w:p>
          <w:p w:rsid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sidRPr="00674342">
              <w:rPr>
                <w:rFonts w:ascii="Palatino Linotype" w:hAnsi="Palatino Linotype"/>
                <w:bCs/>
                <w:sz w:val="28"/>
                <w:szCs w:val="28"/>
              </w:rPr>
              <w:t>– “il nesso con la spesa pubblica, nel senso che la prestazione è destinata allo scopo di apprestare i mezzi per il fabbisogno finanziar</w:t>
            </w:r>
            <w:r>
              <w:rPr>
                <w:rFonts w:ascii="Palatino Linotype" w:hAnsi="Palatino Linotype"/>
                <w:bCs/>
                <w:sz w:val="28"/>
                <w:szCs w:val="28"/>
              </w:rPr>
              <w:t xml:space="preserve">io dell’ente impositore (Corte </w:t>
            </w:r>
            <w:proofErr w:type="spellStart"/>
            <w:r>
              <w:rPr>
                <w:rFonts w:ascii="Palatino Linotype" w:hAnsi="Palatino Linotype"/>
                <w:bCs/>
                <w:sz w:val="28"/>
                <w:szCs w:val="28"/>
              </w:rPr>
              <w:t>c</w:t>
            </w:r>
            <w:r w:rsidRPr="00674342">
              <w:rPr>
                <w:rFonts w:ascii="Palatino Linotype" w:hAnsi="Palatino Linotype"/>
                <w:bCs/>
                <w:sz w:val="28"/>
                <w:szCs w:val="28"/>
              </w:rPr>
              <w:t>ost</w:t>
            </w:r>
            <w:proofErr w:type="spellEnd"/>
            <w:r w:rsidRPr="00674342">
              <w:rPr>
                <w:rFonts w:ascii="Palatino Linotype" w:hAnsi="Palatino Linotype"/>
                <w:bCs/>
                <w:sz w:val="28"/>
                <w:szCs w:val="28"/>
              </w:rPr>
              <w:t xml:space="preserve">., n. 37 del 1997, n. 11 e n. 2 del 1995, n. 26 del 1982, nonché, tra le altre, </w:t>
            </w:r>
            <w:proofErr w:type="spellStart"/>
            <w:r w:rsidRPr="00674342">
              <w:rPr>
                <w:rFonts w:ascii="Palatino Linotype" w:hAnsi="Palatino Linotype"/>
                <w:bCs/>
                <w:sz w:val="28"/>
                <w:szCs w:val="28"/>
              </w:rPr>
              <w:t>Cass</w:t>
            </w:r>
            <w:proofErr w:type="spellEnd"/>
            <w:r w:rsidRPr="00674342">
              <w:rPr>
                <w:rFonts w:ascii="Palatino Linotype" w:hAnsi="Palatino Linotype"/>
                <w:bCs/>
                <w:sz w:val="28"/>
                <w:szCs w:val="28"/>
              </w:rPr>
              <w:t>.</w:t>
            </w:r>
            <w:r>
              <w:rPr>
                <w:rFonts w:ascii="Palatino Linotype" w:hAnsi="Palatino Linotype"/>
                <w:bCs/>
                <w:sz w:val="28"/>
                <w:szCs w:val="28"/>
              </w:rPr>
              <w:t xml:space="preserve"> civ., sez. un., n. 21950 del 2015 e n. 13431 del 20</w:t>
            </w:r>
            <w:r w:rsidRPr="00674342">
              <w:rPr>
                <w:rFonts w:ascii="Palatino Linotype" w:hAnsi="Palatino Linotype"/>
                <w:bCs/>
                <w:sz w:val="28"/>
                <w:szCs w:val="28"/>
              </w:rPr>
              <w:t>14)”.</w:t>
            </w:r>
          </w:p>
          <w:p w:rsid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Pr>
                <w:rFonts w:ascii="Palatino Linotype" w:hAnsi="Palatino Linotype"/>
                <w:bCs/>
                <w:sz w:val="28"/>
                <w:szCs w:val="28"/>
              </w:rPr>
              <w:t>Da ciò e</w:t>
            </w:r>
            <w:r w:rsidRPr="00674342">
              <w:rPr>
                <w:rFonts w:ascii="Palatino Linotype" w:hAnsi="Palatino Linotype"/>
                <w:bCs/>
                <w:sz w:val="28"/>
                <w:szCs w:val="28"/>
              </w:rPr>
              <w:t xml:space="preserve">merge nitidamente come nel caso del tributo (in particolare della tassa) la correlazione tra prelievo e fruizione del bene o del servizio pubblico non si ponga sul piano della stretta corrispettività o </w:t>
            </w:r>
            <w:proofErr w:type="spellStart"/>
            <w:r w:rsidRPr="00674342">
              <w:rPr>
                <w:rFonts w:ascii="Palatino Linotype" w:hAnsi="Palatino Linotype"/>
                <w:bCs/>
                <w:sz w:val="28"/>
                <w:szCs w:val="28"/>
              </w:rPr>
              <w:t>sinallagmaticità</w:t>
            </w:r>
            <w:proofErr w:type="spellEnd"/>
            <w:r w:rsidRPr="00674342">
              <w:rPr>
                <w:rFonts w:ascii="Palatino Linotype" w:hAnsi="Palatino Linotype"/>
                <w:bCs/>
                <w:sz w:val="28"/>
                <w:szCs w:val="28"/>
              </w:rPr>
              <w:t xml:space="preserve"> giuridica ed economica, quanto su quello della mera messa a disposizione del bene o servizio stesso, inteso quale   occasione di spesa pubblica differenziata e divisibile.</w:t>
            </w:r>
          </w:p>
          <w:p w:rsidR="00674342" w:rsidRPr="00674342" w:rsidRDefault="00674342" w:rsidP="00674342">
            <w:pPr>
              <w:shd w:val="clear" w:color="auto" w:fill="FFFFFF"/>
              <w:spacing w:before="100" w:beforeAutospacing="1" w:after="100" w:afterAutospacing="1" w:line="252" w:lineRule="auto"/>
              <w:jc w:val="both"/>
              <w:rPr>
                <w:rFonts w:ascii="Palatino Linotype" w:hAnsi="Palatino Linotype"/>
                <w:bCs/>
                <w:sz w:val="28"/>
                <w:szCs w:val="28"/>
              </w:rPr>
            </w:pPr>
            <w:r>
              <w:rPr>
                <w:rFonts w:ascii="Palatino Linotype" w:hAnsi="Palatino Linotype"/>
                <w:bCs/>
                <w:sz w:val="28"/>
                <w:szCs w:val="28"/>
              </w:rPr>
              <w:lastRenderedPageBreak/>
              <w:t>Alla luce di tali coordinate ermeneutiche r</w:t>
            </w:r>
            <w:r w:rsidRPr="00674342">
              <w:rPr>
                <w:rFonts w:ascii="Palatino Linotype" w:hAnsi="Palatino Linotype"/>
                <w:bCs/>
                <w:sz w:val="28"/>
                <w:szCs w:val="28"/>
              </w:rPr>
              <w:t xml:space="preserve">ientra nella giurisdizione del giudice ordinario e non già in quella del giudice amministrativo – risultando non applicabile l’art. 133, comma 1, </w:t>
            </w:r>
            <w:proofErr w:type="spellStart"/>
            <w:r w:rsidRPr="00674342">
              <w:rPr>
                <w:rFonts w:ascii="Palatino Linotype" w:hAnsi="Palatino Linotype"/>
                <w:bCs/>
                <w:sz w:val="28"/>
                <w:szCs w:val="28"/>
              </w:rPr>
              <w:t>lett</w:t>
            </w:r>
            <w:proofErr w:type="spellEnd"/>
            <w:r w:rsidRPr="00674342">
              <w:rPr>
                <w:rFonts w:ascii="Palatino Linotype" w:hAnsi="Palatino Linotype"/>
                <w:bCs/>
                <w:sz w:val="28"/>
                <w:szCs w:val="28"/>
              </w:rPr>
              <w:t>. b) e m), d.lgs. n. 104 del 2010 – una controversia promossa dalla RAI, Radio televisione italiana nei</w:t>
            </w:r>
            <w:r w:rsidR="002839F1">
              <w:rPr>
                <w:rFonts w:ascii="Palatino Linotype" w:hAnsi="Palatino Linotype"/>
                <w:bCs/>
                <w:sz w:val="28"/>
                <w:szCs w:val="28"/>
              </w:rPr>
              <w:t xml:space="preserve"> confronti del Ministero dello sviluppo e</w:t>
            </w:r>
            <w:r w:rsidRPr="00674342">
              <w:rPr>
                <w:rFonts w:ascii="Palatino Linotype" w:hAnsi="Palatino Linotype"/>
                <w:bCs/>
                <w:sz w:val="28"/>
                <w:szCs w:val="28"/>
              </w:rPr>
              <w:t>conomico, avente a</w:t>
            </w:r>
            <w:r w:rsidR="002839F1">
              <w:rPr>
                <w:rFonts w:ascii="Palatino Linotype" w:hAnsi="Palatino Linotype"/>
                <w:bCs/>
                <w:sz w:val="28"/>
                <w:szCs w:val="28"/>
              </w:rPr>
              <w:t>d oggetto l’impugnazione</w:t>
            </w:r>
            <w:r w:rsidRPr="00674342">
              <w:rPr>
                <w:rFonts w:ascii="Palatino Linotype" w:hAnsi="Palatino Linotype"/>
                <w:bCs/>
                <w:sz w:val="28"/>
                <w:szCs w:val="28"/>
              </w:rPr>
              <w:t xml:space="preserve"> del provvedimento </w:t>
            </w:r>
            <w:r w:rsidR="00FB0E5D">
              <w:rPr>
                <w:rFonts w:ascii="Palatino Linotype" w:hAnsi="Palatino Linotype"/>
                <w:bCs/>
                <w:sz w:val="28"/>
                <w:szCs w:val="28"/>
              </w:rPr>
              <w:t>recante la</w:t>
            </w:r>
            <w:r w:rsidRPr="00674342">
              <w:rPr>
                <w:rFonts w:ascii="Palatino Linotype" w:hAnsi="Palatino Linotype"/>
                <w:bCs/>
                <w:sz w:val="28"/>
                <w:szCs w:val="28"/>
              </w:rPr>
              <w:t xml:space="preserve"> richiesta e/o </w:t>
            </w:r>
            <w:r w:rsidR="002839F1">
              <w:rPr>
                <w:rFonts w:ascii="Palatino Linotype" w:hAnsi="Palatino Linotype"/>
                <w:bCs/>
                <w:sz w:val="28"/>
                <w:szCs w:val="28"/>
              </w:rPr>
              <w:t>l’</w:t>
            </w:r>
            <w:r w:rsidRPr="00674342">
              <w:rPr>
                <w:rFonts w:ascii="Palatino Linotype" w:hAnsi="Palatino Linotype"/>
                <w:bCs/>
                <w:sz w:val="28"/>
                <w:szCs w:val="28"/>
              </w:rPr>
              <w:t>avviso di pagamento, a titolo di conguaglio contributi integrativi, dovuti ex art. 38 dell’allegato 25 al d.lgs. n. 259 del 2003, per l’utilizzo temporaneo di frequenze radio correlate ad autorizzazioni ministeriali generali già rilasciate.</w:t>
            </w:r>
          </w:p>
          <w:p w:rsidR="00674342" w:rsidRDefault="00674342" w:rsidP="00674342">
            <w:pPr>
              <w:shd w:val="clear" w:color="auto" w:fill="FFFFFF"/>
              <w:spacing w:before="100" w:beforeAutospacing="1" w:after="100" w:afterAutospacing="1" w:line="252" w:lineRule="auto"/>
              <w:jc w:val="both"/>
              <w:rPr>
                <w:rFonts w:ascii="Palatino Linotype" w:hAnsi="Palatino Linotype"/>
                <w:b/>
                <w:bCs/>
                <w:color w:val="2F5496"/>
                <w:sz w:val="32"/>
                <w:szCs w:val="32"/>
              </w:rPr>
            </w:pPr>
          </w:p>
          <w:p w:rsidR="00463F2B" w:rsidRDefault="00463F2B" w:rsidP="00674342">
            <w:pPr>
              <w:shd w:val="clear" w:color="auto" w:fill="FFFFFF"/>
              <w:spacing w:before="100" w:beforeAutospacing="1" w:after="100" w:afterAutospacing="1" w:line="252" w:lineRule="auto"/>
              <w:jc w:val="both"/>
              <w:rPr>
                <w:rFonts w:ascii="Palatino Linotype" w:hAnsi="Palatino Linotype"/>
                <w:b/>
                <w:bCs/>
                <w:color w:val="2F5496"/>
                <w:sz w:val="32"/>
                <w:szCs w:val="32"/>
              </w:rPr>
            </w:pPr>
            <w:r>
              <w:rPr>
                <w:rFonts w:ascii="Palatino Linotype" w:hAnsi="Palatino Linotype"/>
                <w:b/>
                <w:bCs/>
                <w:color w:val="2F5496"/>
                <w:sz w:val="32"/>
                <w:szCs w:val="32"/>
              </w:rPr>
              <w:t>Consiglio di Stato, Consiglio di giustizia amministrativa per la Regione siciliana e Tribunali Amministrativi Regionali</w:t>
            </w:r>
          </w:p>
          <w:p w:rsidR="001F275D" w:rsidRDefault="004854C9" w:rsidP="00E11054">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2553FA">
              <w:rPr>
                <w:rFonts w:ascii="Palatino Linotype" w:hAnsi="Palatino Linotype"/>
                <w:b/>
                <w:bCs/>
                <w:color w:val="BF8F00"/>
                <w:sz w:val="32"/>
                <w:szCs w:val="32"/>
              </w:rPr>
              <w:t>(6</w:t>
            </w:r>
            <w:r>
              <w:rPr>
                <w:rFonts w:ascii="Palatino Linotype" w:hAnsi="Palatino Linotype"/>
                <w:b/>
                <w:bCs/>
                <w:color w:val="BF8F00"/>
                <w:sz w:val="32"/>
                <w:szCs w:val="32"/>
              </w:rPr>
              <w:t>)</w:t>
            </w:r>
          </w:p>
          <w:p w:rsidR="005134B7" w:rsidRDefault="005134B7" w:rsidP="00E11054">
            <w:pPr>
              <w:shd w:val="clear" w:color="auto" w:fill="FFFFFF"/>
              <w:spacing w:before="100" w:beforeAutospacing="1" w:after="100" w:afterAutospacing="1" w:line="252" w:lineRule="auto"/>
              <w:jc w:val="center"/>
              <w:rPr>
                <w:rFonts w:ascii="Palatino Linotype" w:hAnsi="Palatino Linotype"/>
                <w:b/>
                <w:bCs/>
                <w:color w:val="BF8F00"/>
                <w:sz w:val="32"/>
                <w:szCs w:val="32"/>
              </w:rPr>
            </w:pPr>
          </w:p>
          <w:p w:rsidR="00E11054" w:rsidRPr="00E11054" w:rsidRDefault="008F14E9" w:rsidP="00E11054">
            <w:pPr>
              <w:shd w:val="clear" w:color="auto" w:fill="FFFFFF"/>
              <w:jc w:val="both"/>
              <w:rPr>
                <w:rFonts w:ascii="Palatino Linotype" w:hAnsi="Palatino Linotype"/>
                <w:b/>
                <w:sz w:val="28"/>
                <w:szCs w:val="28"/>
              </w:rPr>
            </w:pPr>
            <w:r>
              <w:rPr>
                <w:rFonts w:ascii="Palatino Linotype" w:hAnsi="Palatino Linotype"/>
                <w:b/>
                <w:sz w:val="28"/>
                <w:szCs w:val="28"/>
              </w:rPr>
              <w:t>La VI</w:t>
            </w:r>
            <w:r w:rsidR="00E11054" w:rsidRPr="00E11054">
              <w:rPr>
                <w:rFonts w:ascii="Palatino Linotype" w:hAnsi="Palatino Linotype"/>
                <w:b/>
                <w:sz w:val="28"/>
                <w:szCs w:val="28"/>
              </w:rPr>
              <w:t xml:space="preserve"> sezione affronta diverse questioni relative allo scioglimento della società cooperativa giustificato dal mancato persegu</w:t>
            </w:r>
            <w:r w:rsidR="00E11054">
              <w:rPr>
                <w:rFonts w:ascii="Palatino Linotype" w:hAnsi="Palatino Linotype"/>
                <w:b/>
                <w:sz w:val="28"/>
                <w:szCs w:val="28"/>
              </w:rPr>
              <w:t>im</w:t>
            </w:r>
            <w:r w:rsidR="00FB0E5D">
              <w:rPr>
                <w:rFonts w:ascii="Palatino Linotype" w:hAnsi="Palatino Linotype"/>
                <w:b/>
                <w:sz w:val="28"/>
                <w:szCs w:val="28"/>
              </w:rPr>
              <w:t xml:space="preserve">ento dello scopo mutualistico, </w:t>
            </w:r>
            <w:r w:rsidR="00FB0E5D" w:rsidRPr="00FB0E5D">
              <w:rPr>
                <w:rFonts w:ascii="Palatino Linotype" w:hAnsi="Palatino Linotype"/>
                <w:b/>
                <w:sz w:val="28"/>
                <w:szCs w:val="28"/>
              </w:rPr>
              <w:t xml:space="preserve">approfondendo i tratti rilevanti </w:t>
            </w:r>
            <w:r w:rsidR="00FB0E5D">
              <w:rPr>
                <w:rFonts w:ascii="Palatino Linotype" w:hAnsi="Palatino Linotype"/>
                <w:b/>
                <w:sz w:val="28"/>
                <w:szCs w:val="28"/>
              </w:rPr>
              <w:t>dell’amministrazione di sostegno</w:t>
            </w:r>
            <w:r w:rsidR="00FB0E5D" w:rsidRPr="00FB0E5D">
              <w:rPr>
                <w:rFonts w:ascii="Palatino Linotype" w:hAnsi="Palatino Linotype"/>
                <w:b/>
                <w:sz w:val="28"/>
                <w:szCs w:val="28"/>
              </w:rPr>
              <w:t xml:space="preserve"> </w:t>
            </w:r>
            <w:r w:rsidR="00FB0E5D">
              <w:rPr>
                <w:rFonts w:ascii="Palatino Linotype" w:hAnsi="Palatino Linotype"/>
                <w:b/>
                <w:sz w:val="28"/>
                <w:szCs w:val="28"/>
              </w:rPr>
              <w:t xml:space="preserve">e soffermandosi </w:t>
            </w:r>
            <w:r w:rsidR="00E11054">
              <w:rPr>
                <w:rFonts w:ascii="Palatino Linotype" w:hAnsi="Palatino Linotype"/>
                <w:b/>
                <w:sz w:val="28"/>
                <w:szCs w:val="28"/>
              </w:rPr>
              <w:t xml:space="preserve">anche sulla prevalenza della sostanza sulla forma </w:t>
            </w:r>
            <w:r w:rsidR="002839F1">
              <w:rPr>
                <w:rFonts w:ascii="Palatino Linotype" w:hAnsi="Palatino Linotype"/>
                <w:b/>
                <w:sz w:val="28"/>
                <w:szCs w:val="28"/>
              </w:rPr>
              <w:t>nel procedimento amministrativo.</w:t>
            </w:r>
          </w:p>
          <w:p w:rsidR="00E11054" w:rsidRPr="00E11054" w:rsidRDefault="00E11054" w:rsidP="00E11054">
            <w:pPr>
              <w:shd w:val="clear" w:color="auto" w:fill="FFFFFF"/>
              <w:jc w:val="both"/>
              <w:rPr>
                <w:rFonts w:ascii="Palatino Linotype" w:hAnsi="Palatino Linotype"/>
                <w:b/>
                <w:sz w:val="28"/>
                <w:szCs w:val="28"/>
              </w:rPr>
            </w:pPr>
          </w:p>
          <w:p w:rsidR="00E11054" w:rsidRPr="00E11054" w:rsidRDefault="00E11054" w:rsidP="00E11054">
            <w:pPr>
              <w:shd w:val="clear" w:color="auto" w:fill="FFFFFF"/>
              <w:jc w:val="both"/>
              <w:rPr>
                <w:rFonts w:ascii="Palatino Linotype" w:hAnsi="Palatino Linotype"/>
                <w:b/>
                <w:color w:val="1F4E79" w:themeColor="accent1" w:themeShade="80"/>
                <w:sz w:val="28"/>
                <w:szCs w:val="28"/>
              </w:rPr>
            </w:pPr>
            <w:r w:rsidRPr="00E11054">
              <w:rPr>
                <w:rFonts w:ascii="Palatino Linotype" w:hAnsi="Palatino Linotype"/>
                <w:b/>
                <w:color w:val="1F4E79" w:themeColor="accent1" w:themeShade="80"/>
                <w:sz w:val="28"/>
                <w:szCs w:val="28"/>
              </w:rPr>
              <w:t xml:space="preserve">Consiglio di Stato, sezione VI, 2 novembre 2022, n. 9541, </w:t>
            </w:r>
            <w:proofErr w:type="spellStart"/>
            <w:r w:rsidRPr="00E11054">
              <w:rPr>
                <w:rFonts w:ascii="Palatino Linotype" w:hAnsi="Palatino Linotype"/>
                <w:b/>
                <w:color w:val="1F4E79" w:themeColor="accent1" w:themeShade="80"/>
                <w:sz w:val="28"/>
                <w:szCs w:val="28"/>
              </w:rPr>
              <w:t>Pres</w:t>
            </w:r>
            <w:proofErr w:type="spellEnd"/>
            <w:r w:rsidRPr="00E11054">
              <w:rPr>
                <w:rFonts w:ascii="Palatino Linotype" w:hAnsi="Palatino Linotype"/>
                <w:b/>
                <w:color w:val="1F4E79" w:themeColor="accent1" w:themeShade="80"/>
                <w:sz w:val="28"/>
                <w:szCs w:val="28"/>
              </w:rPr>
              <w:t xml:space="preserve">. Volpe, Est. </w:t>
            </w:r>
            <w:proofErr w:type="spellStart"/>
            <w:r w:rsidRPr="00E11054">
              <w:rPr>
                <w:rFonts w:ascii="Palatino Linotype" w:hAnsi="Palatino Linotype"/>
                <w:b/>
                <w:color w:val="1F4E79" w:themeColor="accent1" w:themeShade="80"/>
                <w:sz w:val="28"/>
                <w:szCs w:val="28"/>
              </w:rPr>
              <w:t>Cordì</w:t>
            </w:r>
            <w:proofErr w:type="spellEnd"/>
          </w:p>
          <w:p w:rsidR="00E11054" w:rsidRPr="00E11054" w:rsidRDefault="00E11054" w:rsidP="00E11054">
            <w:pPr>
              <w:shd w:val="clear" w:color="auto" w:fill="FFFFFF"/>
              <w:jc w:val="both"/>
              <w:rPr>
                <w:rFonts w:ascii="Palatino Linotype" w:hAnsi="Palatino Linotype"/>
                <w:b/>
                <w:color w:val="1F4E79" w:themeColor="accent1" w:themeShade="80"/>
                <w:sz w:val="28"/>
                <w:szCs w:val="28"/>
              </w:rPr>
            </w:pPr>
          </w:p>
          <w:p w:rsidR="00E11054" w:rsidRDefault="00E11054" w:rsidP="00E11054">
            <w:pPr>
              <w:shd w:val="clear" w:color="auto" w:fill="FFFFFF"/>
              <w:jc w:val="both"/>
              <w:rPr>
                <w:rFonts w:ascii="Palatino Linotype" w:hAnsi="Palatino Linotype"/>
                <w:b/>
                <w:sz w:val="28"/>
                <w:szCs w:val="28"/>
              </w:rPr>
            </w:pPr>
          </w:p>
          <w:p w:rsidR="00E11054" w:rsidRPr="00E11054" w:rsidRDefault="00E11054" w:rsidP="00E11054">
            <w:pPr>
              <w:shd w:val="clear" w:color="auto" w:fill="FFFFFF"/>
              <w:jc w:val="both"/>
              <w:rPr>
                <w:rFonts w:ascii="Palatino Linotype" w:hAnsi="Palatino Linotype"/>
                <w:b/>
                <w:sz w:val="28"/>
                <w:szCs w:val="28"/>
              </w:rPr>
            </w:pPr>
            <w:r w:rsidRPr="00E11054">
              <w:rPr>
                <w:rFonts w:ascii="Palatino Linotype" w:hAnsi="Palatino Linotype"/>
                <w:sz w:val="28"/>
                <w:szCs w:val="28"/>
              </w:rPr>
              <w:t>Nella logica del sistema dell'amministrazione di sostegno è il giudice tutelare che, con il decreto di nomina, individua l’oggetto dell'incarico e gli atti che l'amministratore ha il potere di compiere in nome e per conto del beneficiario. Spetta al giudice, pertanto, il compito di individuare e circoscrivere nel decreto tali poteri secondo l’apprezzamento della situazione concreta alla luce delle coordinate generali sopra tracciate</w:t>
            </w:r>
            <w:r w:rsidRPr="00E11054">
              <w:rPr>
                <w:rFonts w:ascii="Palatino Linotype" w:hAnsi="Palatino Linotype"/>
                <w:b/>
                <w:sz w:val="28"/>
                <w:szCs w:val="28"/>
              </w:rPr>
              <w:t xml:space="preserve">. </w:t>
            </w:r>
          </w:p>
          <w:p w:rsidR="00E11054" w:rsidRPr="00E11054" w:rsidRDefault="00E11054" w:rsidP="00E11054">
            <w:pPr>
              <w:shd w:val="clear" w:color="auto" w:fill="FFFFFF"/>
              <w:jc w:val="both"/>
              <w:rPr>
                <w:rFonts w:ascii="Palatino Linotype" w:hAnsi="Palatino Linotype"/>
                <w:sz w:val="28"/>
                <w:szCs w:val="28"/>
              </w:rPr>
            </w:pPr>
            <w:r w:rsidRPr="00E11054">
              <w:rPr>
                <w:rFonts w:ascii="Palatino Linotype" w:hAnsi="Palatino Linotype"/>
                <w:sz w:val="28"/>
                <w:szCs w:val="28"/>
              </w:rPr>
              <w:t xml:space="preserve">Qualora dal decreto del giudice tutelare che conferisce i poteri  all’amministratore di sostegno non risulti che lo stesso è abilitato a delegare </w:t>
            </w:r>
            <w:r w:rsidRPr="00E11054">
              <w:rPr>
                <w:rFonts w:ascii="Palatino Linotype" w:hAnsi="Palatino Linotype"/>
                <w:sz w:val="28"/>
                <w:szCs w:val="28"/>
              </w:rPr>
              <w:lastRenderedPageBreak/>
              <w:t>un terzo al compimento di atti di gestione del patrimonio, ai fini del valido conferimento della delega, deve essere richiesto al giudice tutelare un adeguamento dei poteri conferiti, consentendo, al contempo, allo stesso di verificare le ragioni a sostegno dell’istanza, nonché l’eventuale adozione delle misure ritenute dallo stesso necessarie al fine di meglio tutelare le esigenze dell’amministrato</w:t>
            </w:r>
            <w:r w:rsidR="00FB0E5D">
              <w:rPr>
                <w:rFonts w:ascii="Palatino Linotype" w:hAnsi="Palatino Linotype"/>
                <w:sz w:val="28"/>
                <w:szCs w:val="28"/>
              </w:rPr>
              <w:t>.</w:t>
            </w:r>
          </w:p>
          <w:p w:rsidR="00E11054" w:rsidRPr="00E11054" w:rsidRDefault="00E11054" w:rsidP="00E11054">
            <w:pPr>
              <w:shd w:val="clear" w:color="auto" w:fill="FFFFFF"/>
              <w:jc w:val="both"/>
              <w:rPr>
                <w:rFonts w:ascii="Palatino Linotype" w:hAnsi="Palatino Linotype"/>
                <w:sz w:val="28"/>
                <w:szCs w:val="28"/>
              </w:rPr>
            </w:pPr>
          </w:p>
          <w:p w:rsidR="00E11054" w:rsidRPr="00E11054" w:rsidRDefault="00E11054" w:rsidP="00E11054">
            <w:pPr>
              <w:shd w:val="clear" w:color="auto" w:fill="FFFFFF"/>
              <w:jc w:val="both"/>
              <w:rPr>
                <w:rFonts w:ascii="Palatino Linotype" w:hAnsi="Palatino Linotype"/>
                <w:sz w:val="28"/>
                <w:szCs w:val="28"/>
              </w:rPr>
            </w:pPr>
            <w:r>
              <w:rPr>
                <w:rFonts w:ascii="Palatino Linotype" w:hAnsi="Palatino Linotype"/>
                <w:sz w:val="28"/>
                <w:szCs w:val="28"/>
              </w:rPr>
              <w:t>Ha, inoltre, precisato la IV sezione che l</w:t>
            </w:r>
            <w:r w:rsidRPr="00E11054">
              <w:rPr>
                <w:rFonts w:ascii="Palatino Linotype" w:hAnsi="Palatino Linotype"/>
                <w:sz w:val="28"/>
                <w:szCs w:val="28"/>
              </w:rPr>
              <w:t>e garanzie procedimentali non possono ridursi a mero rituale formalistico, con la conseguenza che, nella prospettiva del buon andamento dell'azione amministrativa, il privato non può limitarsi a denunciare la lesione delle pretese partecipative, ma è anche tenuto ad indicare o allegare, specificamente, gli elementi, fattuali o valutativi, che, se introdotti in fase procedimentale, avrebbero potuto influire sul contenuto finale del provvedimento.</w:t>
            </w:r>
          </w:p>
          <w:p w:rsidR="00E11054" w:rsidRPr="00E11054" w:rsidRDefault="00E11054" w:rsidP="00E11054">
            <w:pPr>
              <w:shd w:val="clear" w:color="auto" w:fill="FFFFFF"/>
              <w:jc w:val="both"/>
              <w:rPr>
                <w:rFonts w:ascii="Palatino Linotype" w:hAnsi="Palatino Linotype"/>
                <w:b/>
                <w:sz w:val="28"/>
                <w:szCs w:val="28"/>
              </w:rPr>
            </w:pPr>
          </w:p>
          <w:p w:rsidR="00E11054" w:rsidRPr="00E11054" w:rsidRDefault="00E11054" w:rsidP="00E11054">
            <w:pPr>
              <w:shd w:val="clear" w:color="auto" w:fill="FFFFFF"/>
              <w:jc w:val="both"/>
              <w:rPr>
                <w:rFonts w:ascii="Palatino Linotype" w:hAnsi="Palatino Linotype"/>
                <w:sz w:val="28"/>
                <w:szCs w:val="28"/>
              </w:rPr>
            </w:pPr>
          </w:p>
          <w:p w:rsidR="00E11054" w:rsidRPr="00E11054" w:rsidRDefault="00E11054" w:rsidP="00E11054">
            <w:pPr>
              <w:shd w:val="clear" w:color="auto" w:fill="FFFFFF"/>
              <w:jc w:val="both"/>
              <w:rPr>
                <w:rFonts w:ascii="Palatino Linotype" w:hAnsi="Palatino Linotype"/>
                <w:sz w:val="28"/>
                <w:szCs w:val="28"/>
              </w:rPr>
            </w:pPr>
            <w:r>
              <w:rPr>
                <w:rFonts w:ascii="Palatino Linotype" w:hAnsi="Palatino Linotype"/>
                <w:sz w:val="28"/>
                <w:szCs w:val="28"/>
              </w:rPr>
              <w:t>Ha concluso la IV sezione che t</w:t>
            </w:r>
            <w:r w:rsidRPr="00E11054">
              <w:rPr>
                <w:rFonts w:ascii="Palatino Linotype" w:hAnsi="Palatino Linotype"/>
                <w:sz w:val="28"/>
                <w:szCs w:val="28"/>
              </w:rPr>
              <w:t>ra le cause di scioglimento della società cooperative e gli enti mutualistici per atto dell'autorità governativa, l’art. 2545-</w:t>
            </w:r>
            <w:r w:rsidRPr="00E11054">
              <w:rPr>
                <w:rFonts w:ascii="Palatino Linotype" w:hAnsi="Palatino Linotype"/>
                <w:i/>
                <w:sz w:val="28"/>
                <w:szCs w:val="28"/>
              </w:rPr>
              <w:t>septiesdecies</w:t>
            </w:r>
            <w:r w:rsidRPr="00E11054">
              <w:rPr>
                <w:rFonts w:ascii="Palatino Linotype" w:hAnsi="Palatino Linotype"/>
                <w:sz w:val="28"/>
                <w:szCs w:val="28"/>
              </w:rPr>
              <w:t xml:space="preserve"> c.c. anno</w:t>
            </w:r>
            <w:r>
              <w:rPr>
                <w:rFonts w:ascii="Palatino Linotype" w:hAnsi="Palatino Linotype"/>
                <w:sz w:val="28"/>
                <w:szCs w:val="28"/>
              </w:rPr>
              <w:t>vera il non perseguimento dello</w:t>
            </w:r>
            <w:r w:rsidRPr="00E11054">
              <w:rPr>
                <w:rFonts w:ascii="Palatino Linotype" w:hAnsi="Palatino Linotype"/>
                <w:sz w:val="28"/>
                <w:szCs w:val="28"/>
              </w:rPr>
              <w:t xml:space="preserve"> scopo mutualistico, il non essere in condizione di raggiungere gli scopi per cui sono stati costituiti, il mancato deposito del bilancio di esercizio o l’omesso compimento di atti di gestione per due anni consecutivi.</w:t>
            </w:r>
          </w:p>
          <w:p w:rsidR="00E11054" w:rsidRDefault="00E11054" w:rsidP="005134B7">
            <w:pPr>
              <w:shd w:val="clear" w:color="auto" w:fill="FFFFFF"/>
              <w:jc w:val="both"/>
              <w:rPr>
                <w:rFonts w:ascii="Palatino Linotype" w:hAnsi="Palatino Linotype"/>
                <w:b/>
                <w:sz w:val="28"/>
                <w:szCs w:val="28"/>
              </w:rPr>
            </w:pPr>
          </w:p>
          <w:p w:rsidR="00E11054" w:rsidRDefault="00E11054" w:rsidP="002839F1">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2839F1">
              <w:rPr>
                <w:rFonts w:ascii="Palatino Linotype" w:hAnsi="Palatino Linotype"/>
                <w:b/>
                <w:bCs/>
                <w:color w:val="BF8F00"/>
                <w:sz w:val="32"/>
                <w:szCs w:val="32"/>
              </w:rPr>
              <w:t>(</w:t>
            </w:r>
            <w:r w:rsidR="002553FA">
              <w:rPr>
                <w:rFonts w:ascii="Palatino Linotype" w:hAnsi="Palatino Linotype"/>
                <w:b/>
                <w:bCs/>
                <w:color w:val="BF8F00"/>
                <w:sz w:val="32"/>
                <w:szCs w:val="32"/>
              </w:rPr>
              <w:t>7</w:t>
            </w:r>
            <w:r>
              <w:rPr>
                <w:rFonts w:ascii="Palatino Linotype" w:hAnsi="Palatino Linotype"/>
                <w:b/>
                <w:bCs/>
                <w:color w:val="BF8F00"/>
                <w:sz w:val="32"/>
                <w:szCs w:val="32"/>
              </w:rPr>
              <w:t>)</w:t>
            </w:r>
          </w:p>
          <w:p w:rsidR="00E11054" w:rsidRDefault="00E11054" w:rsidP="005134B7">
            <w:pPr>
              <w:shd w:val="clear" w:color="auto" w:fill="FFFFFF"/>
              <w:jc w:val="both"/>
              <w:rPr>
                <w:rFonts w:ascii="Palatino Linotype" w:hAnsi="Palatino Linotype"/>
                <w:b/>
                <w:sz w:val="28"/>
                <w:szCs w:val="28"/>
              </w:rPr>
            </w:pPr>
          </w:p>
          <w:p w:rsidR="005134B7" w:rsidRPr="001F275D" w:rsidRDefault="005134B7" w:rsidP="005134B7">
            <w:pPr>
              <w:shd w:val="clear" w:color="auto" w:fill="FFFFFF"/>
              <w:jc w:val="both"/>
              <w:rPr>
                <w:rFonts w:ascii="Palatino Linotype" w:hAnsi="Palatino Linotype"/>
                <w:b/>
                <w:sz w:val="28"/>
                <w:szCs w:val="28"/>
              </w:rPr>
            </w:pPr>
            <w:r w:rsidRPr="005134B7">
              <w:rPr>
                <w:rFonts w:ascii="Palatino Linotype" w:hAnsi="Palatino Linotype"/>
                <w:b/>
                <w:sz w:val="28"/>
                <w:szCs w:val="28"/>
              </w:rPr>
              <w:t>Il requisito tecnico professionale relativo al possesso di un determinato fatturato è soddisfatto anche se il contratto a suo tempo stipulato viene successivamente caducato, purché le prestazioni siano state effettivamente eseguite</w:t>
            </w:r>
            <w:r>
              <w:rPr>
                <w:rFonts w:ascii="Palatino Linotype" w:hAnsi="Palatino Linotype"/>
                <w:b/>
                <w:sz w:val="28"/>
                <w:szCs w:val="28"/>
              </w:rPr>
              <w:t>.</w:t>
            </w:r>
          </w:p>
          <w:p w:rsidR="0003677A" w:rsidRPr="001F275D" w:rsidRDefault="0003677A" w:rsidP="001F275D">
            <w:pPr>
              <w:shd w:val="clear" w:color="auto" w:fill="FFFFFF"/>
              <w:jc w:val="both"/>
              <w:rPr>
                <w:rFonts w:ascii="Palatino Linotype" w:hAnsi="Palatino Linotype"/>
                <w:b/>
                <w:sz w:val="28"/>
                <w:szCs w:val="28"/>
              </w:rPr>
            </w:pPr>
          </w:p>
          <w:p w:rsidR="001F275D" w:rsidRPr="001F275D" w:rsidRDefault="001F275D" w:rsidP="001F275D">
            <w:pPr>
              <w:spacing w:line="259" w:lineRule="auto"/>
              <w:rPr>
                <w:sz w:val="22"/>
                <w:szCs w:val="22"/>
                <w:lang w:eastAsia="en-US"/>
              </w:rPr>
            </w:pPr>
          </w:p>
          <w:p w:rsidR="00C76497" w:rsidRDefault="008F14E9" w:rsidP="0003677A">
            <w:pPr>
              <w:shd w:val="clear" w:color="auto" w:fill="FFFFFF"/>
              <w:jc w:val="both"/>
              <w:rPr>
                <w:rFonts w:ascii="Palatino Linotype" w:hAnsi="Palatino Linotype"/>
                <w:b/>
                <w:sz w:val="28"/>
                <w:szCs w:val="28"/>
              </w:rPr>
            </w:pPr>
            <w:hyperlink r:id="rId10" w:history="1">
              <w:r w:rsidR="0003677A" w:rsidRPr="005134B7">
                <w:rPr>
                  <w:rStyle w:val="Collegamentoipertestuale"/>
                  <w:rFonts w:ascii="Palatino Linotype" w:hAnsi="Palatino Linotype"/>
                  <w:b/>
                  <w:sz w:val="28"/>
                  <w:szCs w:val="28"/>
                </w:rPr>
                <w:t>Consiglio di Stato, sezi</w:t>
              </w:r>
              <w:r w:rsidR="005134B7" w:rsidRPr="005134B7">
                <w:rPr>
                  <w:rStyle w:val="Collegamentoipertestuale"/>
                  <w:rFonts w:ascii="Palatino Linotype" w:hAnsi="Palatino Linotype"/>
                  <w:b/>
                  <w:sz w:val="28"/>
                  <w:szCs w:val="28"/>
                </w:rPr>
                <w:t>one IV, 31 ottobre 2022, n. 9428</w:t>
              </w:r>
              <w:r w:rsidR="0003677A" w:rsidRPr="005134B7">
                <w:rPr>
                  <w:rStyle w:val="Collegamentoipertestuale"/>
                  <w:rFonts w:ascii="Palatino Linotype" w:hAnsi="Palatino Linotype"/>
                  <w:b/>
                  <w:sz w:val="28"/>
                  <w:szCs w:val="28"/>
                </w:rPr>
                <w:t xml:space="preserve"> - Pres. Poli</w:t>
              </w:r>
              <w:r w:rsidR="005134B7" w:rsidRPr="005134B7">
                <w:rPr>
                  <w:rStyle w:val="Collegamentoipertestuale"/>
                  <w:rFonts w:ascii="Palatino Linotype" w:hAnsi="Palatino Linotype"/>
                  <w:b/>
                  <w:sz w:val="28"/>
                  <w:szCs w:val="28"/>
                </w:rPr>
                <w:t xml:space="preserve">, Est. </w:t>
              </w:r>
              <w:proofErr w:type="spellStart"/>
              <w:r w:rsidR="005134B7" w:rsidRPr="005134B7">
                <w:rPr>
                  <w:rStyle w:val="Collegamentoipertestuale"/>
                  <w:rFonts w:ascii="Palatino Linotype" w:hAnsi="Palatino Linotype"/>
                  <w:b/>
                  <w:sz w:val="28"/>
                  <w:szCs w:val="28"/>
                </w:rPr>
                <w:t>Gambato</w:t>
              </w:r>
              <w:proofErr w:type="spellEnd"/>
              <w:r w:rsidR="005134B7" w:rsidRPr="005134B7">
                <w:rPr>
                  <w:rStyle w:val="Collegamentoipertestuale"/>
                  <w:rFonts w:ascii="Palatino Linotype" w:hAnsi="Palatino Linotype"/>
                  <w:b/>
                  <w:sz w:val="28"/>
                  <w:szCs w:val="28"/>
                </w:rPr>
                <w:t xml:space="preserve"> </w:t>
              </w:r>
              <w:proofErr w:type="spellStart"/>
              <w:r w:rsidR="005134B7" w:rsidRPr="005134B7">
                <w:rPr>
                  <w:rStyle w:val="Collegamentoipertestuale"/>
                  <w:rFonts w:ascii="Palatino Linotype" w:hAnsi="Palatino Linotype"/>
                  <w:b/>
                  <w:sz w:val="28"/>
                  <w:szCs w:val="28"/>
                </w:rPr>
                <w:t>Spisani</w:t>
              </w:r>
              <w:proofErr w:type="spellEnd"/>
            </w:hyperlink>
          </w:p>
          <w:p w:rsidR="005134B7" w:rsidRPr="0003677A" w:rsidRDefault="005134B7" w:rsidP="0003677A">
            <w:pPr>
              <w:shd w:val="clear" w:color="auto" w:fill="FFFFFF"/>
              <w:jc w:val="both"/>
              <w:rPr>
                <w:rFonts w:ascii="Palatino Linotype" w:hAnsi="Palatino Linotype"/>
                <w:b/>
                <w:color w:val="0563C1"/>
                <w:sz w:val="28"/>
                <w:szCs w:val="28"/>
                <w:u w:val="single"/>
              </w:rPr>
            </w:pPr>
          </w:p>
          <w:p w:rsidR="0003677A" w:rsidRDefault="0003677A" w:rsidP="0003677A">
            <w:pPr>
              <w:shd w:val="clear" w:color="auto" w:fill="FFFFFF"/>
              <w:jc w:val="both"/>
              <w:rPr>
                <w:rFonts w:ascii="Helvetica" w:eastAsia="Times New Roman" w:hAnsi="Helvetica" w:cs="Helvetica"/>
                <w:b/>
                <w:bCs/>
                <w:color w:val="333333"/>
                <w:sz w:val="33"/>
                <w:szCs w:val="33"/>
              </w:rPr>
            </w:pPr>
            <w:r>
              <w:rPr>
                <w:rFonts w:ascii="Helvetica" w:eastAsia="Times New Roman" w:hAnsi="Helvetica" w:cs="Helvetica"/>
                <w:b/>
                <w:bCs/>
                <w:color w:val="333333"/>
                <w:sz w:val="33"/>
                <w:szCs w:val="33"/>
              </w:rPr>
              <w:t>​</w:t>
            </w:r>
          </w:p>
          <w:p w:rsidR="005134B7" w:rsidRPr="005134B7" w:rsidRDefault="005134B7" w:rsidP="005134B7">
            <w:pPr>
              <w:jc w:val="both"/>
              <w:rPr>
                <w:rFonts w:ascii="Palatino Linotype" w:hAnsi="Palatino Linotype"/>
                <w:bCs/>
                <w:color w:val="000000"/>
                <w:sz w:val="28"/>
                <w:szCs w:val="28"/>
                <w:bdr w:val="none" w:sz="0" w:space="0" w:color="auto" w:frame="1"/>
              </w:rPr>
            </w:pPr>
            <w:r w:rsidRPr="005134B7">
              <w:rPr>
                <w:rFonts w:ascii="Palatino Linotype" w:hAnsi="Palatino Linotype"/>
                <w:bCs/>
                <w:color w:val="000000"/>
                <w:sz w:val="28"/>
                <w:szCs w:val="28"/>
                <w:bdr w:val="none" w:sz="0" w:space="0" w:color="auto" w:frame="1"/>
              </w:rPr>
              <w:lastRenderedPageBreak/>
              <w:t>Il requisito tecnico professionale relativo al possesso di un determinato fatturato è soddisfatto anche se il contratto a suo tempo stipulato viene successivamente caducato, purché le prestazioni contrattuali siano state effettivamente e regolarmente eseguite, atteso che la caducazione del contratto non ha efficacia retroattiva.</w:t>
            </w:r>
          </w:p>
          <w:p w:rsidR="005134B7" w:rsidRPr="005134B7" w:rsidRDefault="002839F1" w:rsidP="005134B7">
            <w:pPr>
              <w:jc w:val="both"/>
              <w:rPr>
                <w:rFonts w:ascii="Palatino Linotype" w:hAnsi="Palatino Linotype"/>
                <w:bCs/>
                <w:color w:val="000000"/>
                <w:sz w:val="28"/>
                <w:szCs w:val="28"/>
                <w:bdr w:val="none" w:sz="0" w:space="0" w:color="auto" w:frame="1"/>
              </w:rPr>
            </w:pPr>
            <w:r>
              <w:rPr>
                <w:rFonts w:ascii="Palatino Linotype" w:hAnsi="Palatino Linotype"/>
                <w:bCs/>
                <w:color w:val="000000"/>
                <w:sz w:val="28"/>
                <w:szCs w:val="28"/>
                <w:bdr w:val="none" w:sz="0" w:space="0" w:color="auto" w:frame="1"/>
              </w:rPr>
              <w:t>L’</w:t>
            </w:r>
            <w:proofErr w:type="spellStart"/>
            <w:r>
              <w:rPr>
                <w:rFonts w:ascii="Palatino Linotype" w:hAnsi="Palatino Linotype"/>
                <w:bCs/>
                <w:color w:val="000000"/>
                <w:sz w:val="28"/>
                <w:szCs w:val="28"/>
                <w:bdr w:val="none" w:sz="0" w:space="0" w:color="auto" w:frame="1"/>
              </w:rPr>
              <w:t>A.t.i</w:t>
            </w:r>
            <w:proofErr w:type="spellEnd"/>
            <w:r>
              <w:rPr>
                <w:rFonts w:ascii="Palatino Linotype" w:hAnsi="Palatino Linotype"/>
                <w:bCs/>
                <w:color w:val="000000"/>
                <w:sz w:val="28"/>
                <w:szCs w:val="28"/>
                <w:bdr w:val="none" w:sz="0" w:space="0" w:color="auto" w:frame="1"/>
              </w:rPr>
              <w:t xml:space="preserve">. </w:t>
            </w:r>
            <w:r w:rsidR="005134B7" w:rsidRPr="005134B7">
              <w:rPr>
                <w:rFonts w:ascii="Palatino Linotype" w:hAnsi="Palatino Linotype"/>
                <w:bCs/>
                <w:color w:val="000000"/>
                <w:sz w:val="28"/>
                <w:szCs w:val="28"/>
                <w:bdr w:val="none" w:sz="0" w:space="0" w:color="auto" w:frame="1"/>
              </w:rPr>
              <w:t>impegnata in un appalto di servizi di igiene urbana per un ambito che comprenda più comuni ben può ripartire il servizio in base al criterio geografico, avuto riguardo al territorio del singolo comune, senza per questo violare gli obblighi di possesso dei requisiti richiesti dalla legge di gara.</w:t>
            </w:r>
          </w:p>
          <w:p w:rsidR="005134B7" w:rsidRPr="005134B7" w:rsidRDefault="005134B7" w:rsidP="005134B7">
            <w:pPr>
              <w:jc w:val="both"/>
              <w:rPr>
                <w:rFonts w:ascii="Palatino Linotype" w:hAnsi="Palatino Linotype"/>
                <w:bCs/>
                <w:color w:val="000000"/>
                <w:sz w:val="28"/>
                <w:szCs w:val="28"/>
                <w:bdr w:val="none" w:sz="0" w:space="0" w:color="auto" w:frame="1"/>
              </w:rPr>
            </w:pPr>
            <w:r w:rsidRPr="005134B7">
              <w:rPr>
                <w:rFonts w:ascii="Palatino Linotype" w:hAnsi="Palatino Linotype"/>
                <w:bCs/>
                <w:color w:val="000000"/>
                <w:sz w:val="28"/>
                <w:szCs w:val="28"/>
                <w:bdr w:val="none" w:sz="0" w:space="0" w:color="auto" w:frame="1"/>
              </w:rPr>
              <w:t>La commissione di gara gode di un’ampia discrezionalità tecnica nella valutazione delle offerte; pertanto, sono inammissibili le censure che riguardano il merito di questa valutazione– salvo il caso di scelte all’evidenza abnormi- perché s</w:t>
            </w:r>
            <w:r w:rsidR="0026567E">
              <w:rPr>
                <w:rFonts w:ascii="Palatino Linotype" w:hAnsi="Palatino Linotype"/>
                <w:bCs/>
                <w:color w:val="000000"/>
                <w:sz w:val="28"/>
                <w:szCs w:val="28"/>
                <w:bdr w:val="none" w:sz="0" w:space="0" w:color="auto" w:frame="1"/>
              </w:rPr>
              <w:t>ollecitano, nella sostanza, il giudice a sostituirsi all’a</w:t>
            </w:r>
            <w:r w:rsidRPr="005134B7">
              <w:rPr>
                <w:rFonts w:ascii="Palatino Linotype" w:hAnsi="Palatino Linotype"/>
                <w:bCs/>
                <w:color w:val="000000"/>
                <w:sz w:val="28"/>
                <w:szCs w:val="28"/>
                <w:bdr w:val="none" w:sz="0" w:space="0" w:color="auto" w:frame="1"/>
              </w:rPr>
              <w:t>mministrazione; dunque, per disattendere il giudizio della commissione stessa, non basta dedurre che esso non è condivisibile per taluni aspetti, ma si deve dimostrare che esso è palesemente inattendibile, e comporta risultati tecnici insostenibili.</w:t>
            </w:r>
          </w:p>
          <w:p w:rsidR="009517BE" w:rsidRDefault="009517BE" w:rsidP="00761D0C">
            <w:pPr>
              <w:shd w:val="clear" w:color="auto" w:fill="FFFFFF"/>
              <w:spacing w:after="150"/>
              <w:rPr>
                <w:rFonts w:ascii="Palatino Linotype" w:hAnsi="Palatino Linotype"/>
                <w:sz w:val="28"/>
                <w:szCs w:val="28"/>
              </w:rPr>
            </w:pPr>
          </w:p>
          <w:p w:rsidR="005134B7" w:rsidRDefault="005134B7" w:rsidP="002839F1">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BE2855">
              <w:rPr>
                <w:rFonts w:ascii="Palatino Linotype" w:hAnsi="Palatino Linotype"/>
                <w:b/>
                <w:bCs/>
                <w:color w:val="BF8F00"/>
                <w:sz w:val="32"/>
                <w:szCs w:val="32"/>
              </w:rPr>
              <w:t>(</w:t>
            </w:r>
            <w:r w:rsidR="002553FA">
              <w:rPr>
                <w:rFonts w:ascii="Palatino Linotype" w:hAnsi="Palatino Linotype"/>
                <w:b/>
                <w:bCs/>
                <w:color w:val="BF8F00"/>
                <w:sz w:val="32"/>
                <w:szCs w:val="32"/>
              </w:rPr>
              <w:t>8</w:t>
            </w:r>
            <w:r>
              <w:rPr>
                <w:rFonts w:ascii="Palatino Linotype" w:hAnsi="Palatino Linotype"/>
                <w:b/>
                <w:bCs/>
                <w:color w:val="BF8F00"/>
                <w:sz w:val="32"/>
                <w:szCs w:val="32"/>
              </w:rPr>
              <w:t>)</w:t>
            </w:r>
          </w:p>
          <w:p w:rsidR="00F3679C" w:rsidRDefault="00F3679C" w:rsidP="005134B7">
            <w:pPr>
              <w:shd w:val="clear" w:color="auto" w:fill="FFFFFF"/>
              <w:spacing w:before="100" w:beforeAutospacing="1" w:after="100" w:afterAutospacing="1" w:line="252" w:lineRule="auto"/>
              <w:jc w:val="center"/>
              <w:rPr>
                <w:rFonts w:ascii="Palatino Linotype" w:hAnsi="Palatino Linotype"/>
                <w:b/>
                <w:bCs/>
                <w:color w:val="BF8F00"/>
                <w:sz w:val="32"/>
                <w:szCs w:val="32"/>
              </w:rPr>
            </w:pPr>
          </w:p>
          <w:p w:rsidR="005134B7" w:rsidRDefault="005134B7" w:rsidP="005134B7">
            <w:pPr>
              <w:shd w:val="clear" w:color="auto" w:fill="FFFFFF"/>
              <w:jc w:val="both"/>
              <w:rPr>
                <w:rFonts w:ascii="Palatino Linotype" w:hAnsi="Palatino Linotype"/>
                <w:b/>
                <w:sz w:val="28"/>
                <w:szCs w:val="28"/>
              </w:rPr>
            </w:pPr>
            <w:r w:rsidRPr="0003677A">
              <w:rPr>
                <w:rFonts w:ascii="Palatino Linotype" w:hAnsi="Palatino Linotype"/>
                <w:b/>
                <w:sz w:val="28"/>
                <w:szCs w:val="28"/>
              </w:rPr>
              <w:t>Adeguamento del corrispettivo di un appalto di servizi in assenza di una espressa clausola di revisione dei prezzi.</w:t>
            </w:r>
          </w:p>
          <w:p w:rsidR="005134B7" w:rsidRDefault="005134B7" w:rsidP="005134B7">
            <w:pPr>
              <w:shd w:val="clear" w:color="auto" w:fill="FFFFFF"/>
              <w:jc w:val="both"/>
              <w:rPr>
                <w:rFonts w:ascii="Palatino Linotype" w:hAnsi="Palatino Linotype"/>
                <w:b/>
                <w:sz w:val="28"/>
                <w:szCs w:val="28"/>
              </w:rPr>
            </w:pPr>
          </w:p>
          <w:p w:rsidR="005134B7" w:rsidRPr="001F275D" w:rsidRDefault="005134B7" w:rsidP="005134B7">
            <w:pPr>
              <w:spacing w:line="259" w:lineRule="auto"/>
              <w:rPr>
                <w:sz w:val="22"/>
                <w:szCs w:val="22"/>
                <w:lang w:eastAsia="en-US"/>
              </w:rPr>
            </w:pPr>
          </w:p>
          <w:p w:rsidR="005134B7" w:rsidRPr="0003677A" w:rsidRDefault="008F14E9" w:rsidP="005134B7">
            <w:pPr>
              <w:shd w:val="clear" w:color="auto" w:fill="FFFFFF"/>
              <w:jc w:val="both"/>
              <w:rPr>
                <w:rFonts w:ascii="Palatino Linotype" w:hAnsi="Palatino Linotype"/>
                <w:b/>
                <w:color w:val="0563C1"/>
                <w:sz w:val="28"/>
                <w:szCs w:val="28"/>
                <w:u w:val="single"/>
              </w:rPr>
            </w:pPr>
            <w:hyperlink r:id="rId11" w:history="1">
              <w:r w:rsidR="005134B7" w:rsidRPr="005134B7">
                <w:rPr>
                  <w:rStyle w:val="Collegamentoipertestuale"/>
                  <w:rFonts w:ascii="Palatino Linotype" w:hAnsi="Palatino Linotype"/>
                  <w:b/>
                  <w:sz w:val="28"/>
                  <w:szCs w:val="28"/>
                </w:rPr>
                <w:t>Co</w:t>
              </w:r>
              <w:r w:rsidR="005134B7">
                <w:rPr>
                  <w:rStyle w:val="Collegamentoipertestuale"/>
                  <w:rFonts w:ascii="Palatino Linotype" w:hAnsi="Palatino Linotype"/>
                  <w:b/>
                  <w:sz w:val="28"/>
                  <w:szCs w:val="28"/>
                </w:rPr>
                <w:t>nsiglio di Stato, sezione IV, 31</w:t>
              </w:r>
              <w:r w:rsidR="005134B7" w:rsidRPr="005134B7">
                <w:rPr>
                  <w:rStyle w:val="Collegamentoipertestuale"/>
                  <w:rFonts w:ascii="Palatino Linotype" w:hAnsi="Palatino Linotype"/>
                  <w:b/>
                  <w:sz w:val="28"/>
                  <w:szCs w:val="28"/>
                </w:rPr>
                <w:t xml:space="preserve"> ottobre 2022, n. 9426 - Pres. Poli, Est. Conforti</w:t>
              </w:r>
            </w:hyperlink>
          </w:p>
          <w:p w:rsidR="005134B7" w:rsidRPr="0003677A" w:rsidRDefault="005134B7" w:rsidP="005134B7">
            <w:pPr>
              <w:shd w:val="clear" w:color="auto" w:fill="FFFFFF"/>
              <w:jc w:val="both"/>
              <w:rPr>
                <w:rFonts w:ascii="Palatino Linotype" w:hAnsi="Palatino Linotype"/>
                <w:b/>
                <w:color w:val="0563C1"/>
                <w:sz w:val="28"/>
                <w:szCs w:val="28"/>
                <w:u w:val="single"/>
              </w:rPr>
            </w:pPr>
            <w:r>
              <w:rPr>
                <w:rFonts w:ascii="Helvetica" w:eastAsia="Times New Roman" w:hAnsi="Helvetica" w:cs="Helvetica"/>
                <w:b/>
                <w:bCs/>
                <w:color w:val="333333"/>
                <w:sz w:val="33"/>
                <w:szCs w:val="33"/>
              </w:rPr>
              <w:t>​</w:t>
            </w:r>
          </w:p>
          <w:p w:rsidR="005134B7" w:rsidRDefault="005134B7" w:rsidP="005134B7">
            <w:pPr>
              <w:shd w:val="clear" w:color="auto" w:fill="FFFFFF"/>
              <w:jc w:val="both"/>
              <w:rPr>
                <w:rFonts w:ascii="Palatino Linotype" w:hAnsi="Palatino Linotype"/>
                <w:bCs/>
                <w:sz w:val="28"/>
                <w:szCs w:val="28"/>
              </w:rPr>
            </w:pPr>
          </w:p>
          <w:p w:rsidR="005134B7" w:rsidRPr="005134B7" w:rsidRDefault="005134B7" w:rsidP="005134B7">
            <w:pPr>
              <w:shd w:val="clear" w:color="auto" w:fill="FFFFFF"/>
              <w:jc w:val="both"/>
              <w:rPr>
                <w:rFonts w:ascii="Palatino Linotype" w:hAnsi="Palatino Linotype"/>
                <w:bCs/>
                <w:sz w:val="28"/>
                <w:szCs w:val="28"/>
              </w:rPr>
            </w:pPr>
            <w:r w:rsidRPr="005134B7">
              <w:rPr>
                <w:rFonts w:ascii="Palatino Linotype" w:hAnsi="Palatino Linotype"/>
                <w:bCs/>
                <w:sz w:val="28"/>
                <w:szCs w:val="28"/>
              </w:rPr>
              <w:t>A fronte di un’istanza, formulata dall’appaltatore, di adeguamento del corrispettivo dei servizi da svolgere ed in carenza di un’espressa clausola di revisione dei prezzi, si applica la lettera a), e non la lettera c), dell’art. 106 del codice dei contratti pubblici, il quale, al comma 1, scandisce i casi di modifica dei contratti di appalto, nei settori ordinari e nei settori speciali, senza una nuova procedura di affidamento.</w:t>
            </w:r>
          </w:p>
          <w:p w:rsidR="005134B7" w:rsidRPr="005134B7" w:rsidRDefault="005134B7" w:rsidP="005134B7">
            <w:pPr>
              <w:shd w:val="clear" w:color="auto" w:fill="FFFFFF"/>
              <w:jc w:val="both"/>
              <w:rPr>
                <w:rFonts w:ascii="Palatino Linotype" w:hAnsi="Palatino Linotype"/>
                <w:bCs/>
                <w:sz w:val="28"/>
                <w:szCs w:val="28"/>
              </w:rPr>
            </w:pPr>
            <w:r w:rsidRPr="005134B7">
              <w:rPr>
                <w:rFonts w:ascii="Palatino Linotype" w:hAnsi="Palatino Linotype"/>
                <w:bCs/>
                <w:sz w:val="28"/>
                <w:szCs w:val="28"/>
              </w:rPr>
              <w:t>Ciò in quanto:</w:t>
            </w:r>
          </w:p>
          <w:p w:rsidR="005134B7" w:rsidRPr="005134B7" w:rsidRDefault="005134B7" w:rsidP="005134B7">
            <w:pPr>
              <w:shd w:val="clear" w:color="auto" w:fill="FFFFFF"/>
              <w:jc w:val="both"/>
              <w:rPr>
                <w:rFonts w:ascii="Palatino Linotype" w:hAnsi="Palatino Linotype"/>
                <w:bCs/>
                <w:sz w:val="28"/>
                <w:szCs w:val="28"/>
              </w:rPr>
            </w:pPr>
            <w:r w:rsidRPr="005134B7">
              <w:rPr>
                <w:rFonts w:ascii="Palatino Linotype" w:hAnsi="Palatino Linotype"/>
                <w:bCs/>
                <w:sz w:val="28"/>
                <w:szCs w:val="28"/>
              </w:rPr>
              <w:lastRenderedPageBreak/>
              <w:t>- la lettera c) fa testuale ed espresso riferimento a quelle “modifiche dell’oggetto del contratto” che si correlano alle “varianti in corso d’opera”, specificamente inerenti l’oggetto del contratto sul versante dei lavori da eseguire;</w:t>
            </w:r>
          </w:p>
          <w:p w:rsidR="005134B7" w:rsidRPr="005134B7" w:rsidRDefault="005134B7" w:rsidP="005134B7">
            <w:pPr>
              <w:shd w:val="clear" w:color="auto" w:fill="FFFFFF"/>
              <w:jc w:val="both"/>
              <w:rPr>
                <w:rFonts w:ascii="Palatino Linotype" w:hAnsi="Palatino Linotype"/>
                <w:bCs/>
                <w:sz w:val="28"/>
                <w:szCs w:val="28"/>
              </w:rPr>
            </w:pPr>
            <w:r w:rsidRPr="005134B7">
              <w:rPr>
                <w:rFonts w:ascii="Palatino Linotype" w:hAnsi="Palatino Linotype"/>
                <w:bCs/>
                <w:sz w:val="28"/>
                <w:szCs w:val="28"/>
              </w:rPr>
              <w:t xml:space="preserve">- la lettera a), invece, nel contemplare le “variazioni dei prezzi e dei costi standard”, disciplina gli aspetti economici del contratto; segnatamente, àncora ad una rigorosa previsione di clausole di revisione dei prezzi le modifiche dell’oggetto del contratto, sul versante del corrispettivo, che l’appaltatore trae dall’esecuzione del contratto. </w:t>
            </w:r>
          </w:p>
          <w:p w:rsidR="00C0640B" w:rsidRDefault="0026567E" w:rsidP="005134B7">
            <w:pPr>
              <w:shd w:val="clear" w:color="auto" w:fill="FFFFFF"/>
              <w:jc w:val="both"/>
              <w:rPr>
                <w:rFonts w:ascii="Palatino Linotype" w:hAnsi="Palatino Linotype"/>
                <w:bCs/>
                <w:sz w:val="28"/>
                <w:szCs w:val="28"/>
              </w:rPr>
            </w:pPr>
            <w:r w:rsidRPr="0026567E">
              <w:rPr>
                <w:rFonts w:ascii="Palatino Linotype" w:hAnsi="Palatino Linotype"/>
                <w:bCs/>
                <w:sz w:val="28"/>
                <w:szCs w:val="28"/>
              </w:rPr>
              <w:t>Peraltro, dalla stessa giurisprudenza della Corte di giustizia (sentenze 19 aprile 2018, C-152/17; 7 settembre 2016, C-549-14), si trae una sostanziale neutralità del diritto europeo rispetto agli eventuali rimedi manutentivi che gli ordinamenti nazionali approntano per fronteggiare le sopravvenienze che incidono sugli aspetti economici del contratto, fermo il disfavore per soluzioni che alterino surrettiziamente il gioco della concorrenza attraverso affidamenti diretti senza gara.</w:t>
            </w:r>
          </w:p>
          <w:p w:rsidR="00F30D63" w:rsidRDefault="00F30D63" w:rsidP="005134B7">
            <w:pPr>
              <w:shd w:val="clear" w:color="auto" w:fill="FFFFFF"/>
              <w:jc w:val="both"/>
              <w:rPr>
                <w:rFonts w:ascii="Palatino Linotype" w:hAnsi="Palatino Linotype"/>
                <w:bCs/>
                <w:sz w:val="28"/>
                <w:szCs w:val="28"/>
              </w:rPr>
            </w:pPr>
          </w:p>
          <w:p w:rsidR="0059004D" w:rsidRDefault="0059004D" w:rsidP="0059004D">
            <w:pPr>
              <w:shd w:val="clear" w:color="auto" w:fill="FFFFFF"/>
              <w:spacing w:before="100" w:beforeAutospacing="1" w:after="100" w:afterAutospacing="1" w:line="252" w:lineRule="auto"/>
              <w:jc w:val="center"/>
              <w:rPr>
                <w:rFonts w:ascii="Palatino Linotype" w:hAnsi="Palatino Linotype"/>
                <w:b/>
                <w:bCs/>
                <w:color w:val="BF8F00"/>
                <w:sz w:val="32"/>
                <w:szCs w:val="32"/>
              </w:rPr>
            </w:pPr>
            <w:r w:rsidRPr="000D442E">
              <w:rPr>
                <w:rFonts w:ascii="Palatino Linotype" w:hAnsi="Palatino Linotype"/>
                <w:color w:val="000000"/>
                <w:sz w:val="28"/>
                <w:szCs w:val="28"/>
                <w:bdr w:val="none" w:sz="0" w:space="0" w:color="auto" w:frame="1"/>
              </w:rPr>
              <w:t>​​​​​​​​​​​​​​​​​​​​​​​​​​​​​​​​​​​​​​​​​​​​​​​​​​​​​​​​​​​​​​​​​​​​​​​​​​​​​​​​​​​​​​​​​​​​​​​​​​​​​​​​​​​​​​​​​​​​​​​​​​​​​​​​​​​​​​​​​​​​​​​​​​​​​​​​​​​​​​​​​​​​​​​​​​​​​​​​​​​​​​​​​​​​​​​​​​​​​​​​​​​​​​​​​​​​​​​​​​​​​​​​​​​​​​​​​​​​​​​​​​​​​​​​​​​​​​​​​​​​​​​​​​​​​​​​​​​​​​​​​​​​​​​​​​​​​​​​​​​​​​​​​​​​​​​​​​​​​​​​​​​​​​​​​​​​​​​​​​​​​​​​​​​​​​​​​​​​​​​​​​​​​​​​​​​​​​​​​​​​​​​​​​​​​​​​​​​​​​​​​​​​​​​​​​​​​​​​​​​​​​​​​​​​​​​​​​​​​​​​​​​​​​​​​​​​​​​​​​​​​​​​​​​​​​​​​​​​​​​​​​​</w:t>
            </w:r>
            <w:r>
              <w:rPr>
                <w:rFonts w:ascii="Palatino Linotype" w:hAnsi="Palatino Linotype"/>
                <w:color w:val="000000"/>
                <w:sz w:val="28"/>
                <w:szCs w:val="28"/>
                <w:bdr w:val="none" w:sz="0" w:space="0" w:color="auto" w:frame="1"/>
              </w:rPr>
              <w:t>​​​​​​​​​​​​​​​​</w:t>
            </w:r>
            <w:r w:rsidR="002553FA">
              <w:rPr>
                <w:rFonts w:ascii="Palatino Linotype" w:hAnsi="Palatino Linotype"/>
                <w:b/>
                <w:bCs/>
                <w:color w:val="BF8F00"/>
                <w:sz w:val="32"/>
                <w:szCs w:val="32"/>
              </w:rPr>
              <w:t>(9</w:t>
            </w:r>
            <w:r>
              <w:rPr>
                <w:rFonts w:ascii="Palatino Linotype" w:hAnsi="Palatino Linotype"/>
                <w:b/>
                <w:bCs/>
                <w:color w:val="BF8F00"/>
                <w:sz w:val="32"/>
                <w:szCs w:val="32"/>
              </w:rPr>
              <w:t>)</w:t>
            </w:r>
          </w:p>
          <w:p w:rsidR="0059004D" w:rsidRDefault="0059004D" w:rsidP="0059004D">
            <w:pPr>
              <w:shd w:val="clear" w:color="auto" w:fill="FFFFFF"/>
              <w:jc w:val="both"/>
              <w:rPr>
                <w:rFonts w:ascii="Palatino Linotype" w:hAnsi="Palatino Linotype"/>
                <w:b/>
                <w:sz w:val="28"/>
                <w:szCs w:val="28"/>
              </w:rPr>
            </w:pPr>
            <w:r>
              <w:rPr>
                <w:rFonts w:ascii="Palatino Linotype" w:hAnsi="Palatino Linotype"/>
                <w:b/>
                <w:sz w:val="28"/>
                <w:szCs w:val="28"/>
              </w:rPr>
              <w:t>L</w:t>
            </w:r>
            <w:r w:rsidRPr="0059004D">
              <w:rPr>
                <w:rFonts w:ascii="Palatino Linotype" w:hAnsi="Palatino Linotype"/>
                <w:b/>
                <w:sz w:val="28"/>
                <w:szCs w:val="28"/>
              </w:rPr>
              <w:t xml:space="preserve">’art. 10 co. 3 </w:t>
            </w:r>
            <w:proofErr w:type="spellStart"/>
            <w:r w:rsidRPr="0059004D">
              <w:rPr>
                <w:rFonts w:ascii="Palatino Linotype" w:hAnsi="Palatino Linotype"/>
                <w:b/>
                <w:sz w:val="28"/>
                <w:szCs w:val="28"/>
              </w:rPr>
              <w:t>d.P.R.</w:t>
            </w:r>
            <w:proofErr w:type="spellEnd"/>
            <w:r w:rsidRPr="0059004D">
              <w:rPr>
                <w:rFonts w:ascii="Palatino Linotype" w:hAnsi="Palatino Linotype"/>
                <w:b/>
                <w:sz w:val="28"/>
                <w:szCs w:val="28"/>
              </w:rPr>
              <w:t xml:space="preserve"> n. 509 del 1997, che prevede la possibilità di proroga delle concessioni portuali, è norma eccezionale e di stretta interpretazione</w:t>
            </w:r>
            <w:r>
              <w:rPr>
                <w:rFonts w:ascii="Palatino Linotype" w:hAnsi="Palatino Linotype"/>
                <w:b/>
                <w:sz w:val="28"/>
                <w:szCs w:val="28"/>
              </w:rPr>
              <w:t>.</w:t>
            </w:r>
          </w:p>
          <w:p w:rsidR="00F3679C" w:rsidRDefault="00F3679C" w:rsidP="0059004D">
            <w:pPr>
              <w:shd w:val="clear" w:color="auto" w:fill="FFFFFF"/>
              <w:jc w:val="both"/>
              <w:rPr>
                <w:rFonts w:ascii="Palatino Linotype" w:hAnsi="Palatino Linotype"/>
                <w:b/>
                <w:sz w:val="28"/>
                <w:szCs w:val="28"/>
              </w:rPr>
            </w:pPr>
          </w:p>
          <w:p w:rsidR="0059004D" w:rsidRPr="001F275D" w:rsidRDefault="0059004D" w:rsidP="0059004D">
            <w:pPr>
              <w:spacing w:line="259" w:lineRule="auto"/>
              <w:rPr>
                <w:sz w:val="22"/>
                <w:szCs w:val="22"/>
                <w:lang w:eastAsia="en-US"/>
              </w:rPr>
            </w:pPr>
          </w:p>
          <w:p w:rsidR="0059004D" w:rsidRPr="0003677A" w:rsidRDefault="008F14E9" w:rsidP="0059004D">
            <w:pPr>
              <w:shd w:val="clear" w:color="auto" w:fill="FFFFFF"/>
              <w:jc w:val="both"/>
              <w:rPr>
                <w:rFonts w:ascii="Palatino Linotype" w:hAnsi="Palatino Linotype"/>
                <w:b/>
                <w:color w:val="0563C1"/>
                <w:sz w:val="28"/>
                <w:szCs w:val="28"/>
                <w:u w:val="single"/>
              </w:rPr>
            </w:pPr>
            <w:hyperlink r:id="rId12" w:history="1">
              <w:r w:rsidR="0059004D" w:rsidRPr="0059004D">
                <w:rPr>
                  <w:rStyle w:val="Collegamentoipertestuale"/>
                  <w:rFonts w:ascii="Palatino Linotype" w:hAnsi="Palatino Linotype"/>
                  <w:b/>
                  <w:sz w:val="28"/>
                  <w:szCs w:val="28"/>
                </w:rPr>
                <w:t xml:space="preserve">Consiglio di Stato, sezione VII, 28 ottobre 2022, n. 9328 - Pres. </w:t>
              </w:r>
              <w:proofErr w:type="spellStart"/>
              <w:r w:rsidR="0059004D" w:rsidRPr="0059004D">
                <w:rPr>
                  <w:rStyle w:val="Collegamentoipertestuale"/>
                  <w:rFonts w:ascii="Palatino Linotype" w:hAnsi="Palatino Linotype"/>
                  <w:b/>
                  <w:sz w:val="28"/>
                  <w:szCs w:val="28"/>
                </w:rPr>
                <w:t>Giovagnoli</w:t>
              </w:r>
              <w:proofErr w:type="spellEnd"/>
              <w:r w:rsidR="0059004D" w:rsidRPr="0059004D">
                <w:rPr>
                  <w:rStyle w:val="Collegamentoipertestuale"/>
                  <w:rFonts w:ascii="Palatino Linotype" w:hAnsi="Palatino Linotype"/>
                  <w:b/>
                  <w:sz w:val="28"/>
                  <w:szCs w:val="28"/>
                </w:rPr>
                <w:t xml:space="preserve">, Est. </w:t>
              </w:r>
              <w:proofErr w:type="spellStart"/>
              <w:r w:rsidR="0059004D" w:rsidRPr="0059004D">
                <w:rPr>
                  <w:rStyle w:val="Collegamentoipertestuale"/>
                  <w:rFonts w:ascii="Palatino Linotype" w:hAnsi="Palatino Linotype"/>
                  <w:b/>
                  <w:sz w:val="28"/>
                  <w:szCs w:val="28"/>
                </w:rPr>
                <w:t>Francola</w:t>
              </w:r>
              <w:proofErr w:type="spellEnd"/>
            </w:hyperlink>
          </w:p>
          <w:p w:rsidR="0059004D" w:rsidRPr="0003677A" w:rsidRDefault="0059004D" w:rsidP="0059004D">
            <w:pPr>
              <w:shd w:val="clear" w:color="auto" w:fill="FFFFFF"/>
              <w:jc w:val="both"/>
              <w:rPr>
                <w:rFonts w:ascii="Palatino Linotype" w:hAnsi="Palatino Linotype"/>
                <w:b/>
                <w:color w:val="0563C1"/>
                <w:sz w:val="28"/>
                <w:szCs w:val="28"/>
                <w:u w:val="single"/>
              </w:rPr>
            </w:pPr>
            <w:r>
              <w:rPr>
                <w:rFonts w:ascii="Helvetica" w:eastAsia="Times New Roman" w:hAnsi="Helvetica" w:cs="Helvetica"/>
                <w:b/>
                <w:bCs/>
                <w:color w:val="333333"/>
                <w:sz w:val="33"/>
                <w:szCs w:val="33"/>
              </w:rPr>
              <w:t>​</w:t>
            </w:r>
          </w:p>
          <w:p w:rsidR="0059004D" w:rsidRDefault="0059004D" w:rsidP="0059004D">
            <w:pPr>
              <w:shd w:val="clear" w:color="auto" w:fill="FFFFFF"/>
              <w:jc w:val="both"/>
              <w:rPr>
                <w:rFonts w:ascii="Palatino Linotype" w:hAnsi="Palatino Linotype"/>
                <w:bCs/>
                <w:sz w:val="28"/>
                <w:szCs w:val="28"/>
              </w:rPr>
            </w:pPr>
          </w:p>
          <w:p w:rsidR="0059004D" w:rsidRPr="0059004D" w:rsidRDefault="0059004D" w:rsidP="0059004D">
            <w:pPr>
              <w:shd w:val="clear" w:color="auto" w:fill="FFFFFF"/>
              <w:jc w:val="both"/>
              <w:rPr>
                <w:rFonts w:ascii="Palatino Linotype" w:hAnsi="Palatino Linotype"/>
                <w:bCs/>
                <w:sz w:val="28"/>
                <w:szCs w:val="28"/>
              </w:rPr>
            </w:pPr>
            <w:r w:rsidRPr="0059004D">
              <w:rPr>
                <w:rFonts w:ascii="Palatino Linotype" w:hAnsi="Palatino Linotype"/>
                <w:bCs/>
                <w:sz w:val="28"/>
                <w:szCs w:val="28"/>
              </w:rPr>
              <w:t xml:space="preserve">L’art. 10 co. 3 </w:t>
            </w:r>
            <w:proofErr w:type="spellStart"/>
            <w:r w:rsidRPr="0059004D">
              <w:rPr>
                <w:rFonts w:ascii="Palatino Linotype" w:hAnsi="Palatino Linotype"/>
                <w:bCs/>
                <w:sz w:val="28"/>
                <w:szCs w:val="28"/>
              </w:rPr>
              <w:t>d.P.R.</w:t>
            </w:r>
            <w:proofErr w:type="spellEnd"/>
            <w:r w:rsidRPr="0059004D">
              <w:rPr>
                <w:rFonts w:ascii="Palatino Linotype" w:hAnsi="Palatino Linotype"/>
                <w:bCs/>
                <w:sz w:val="28"/>
                <w:szCs w:val="28"/>
              </w:rPr>
              <w:t xml:space="preserve"> n. 509 del 1997, nella parte in cui prevede la possibilità di proroga delle concessioni portuali, attribuisce alla p.a. una discrezionalità non solo tecnica – finalizzata all’accertamento dei presupposti indicati dalla norma – ma anche amministrativa, atteso che l’Amministrazione ha il potere di valutare l’opportunità della proroga e la sua rispondenza all’interesse pubblico.</w:t>
            </w:r>
          </w:p>
          <w:p w:rsidR="0059004D" w:rsidRPr="0059004D" w:rsidRDefault="0059004D" w:rsidP="0059004D">
            <w:pPr>
              <w:shd w:val="clear" w:color="auto" w:fill="FFFFFF"/>
              <w:jc w:val="both"/>
              <w:rPr>
                <w:rFonts w:ascii="Palatino Linotype" w:hAnsi="Palatino Linotype"/>
                <w:bCs/>
                <w:sz w:val="28"/>
                <w:szCs w:val="28"/>
              </w:rPr>
            </w:pPr>
          </w:p>
          <w:p w:rsidR="0059004D" w:rsidRPr="0059004D" w:rsidRDefault="0059004D" w:rsidP="0059004D">
            <w:pPr>
              <w:shd w:val="clear" w:color="auto" w:fill="FFFFFF"/>
              <w:jc w:val="both"/>
              <w:rPr>
                <w:rFonts w:ascii="Palatino Linotype" w:hAnsi="Palatino Linotype"/>
                <w:bCs/>
                <w:sz w:val="28"/>
                <w:szCs w:val="28"/>
              </w:rPr>
            </w:pPr>
            <w:r w:rsidRPr="0059004D">
              <w:rPr>
                <w:rFonts w:ascii="Palatino Linotype" w:hAnsi="Palatino Linotype"/>
                <w:bCs/>
                <w:sz w:val="28"/>
                <w:szCs w:val="28"/>
              </w:rPr>
              <w:t xml:space="preserve">Benché la direttiva 2006/123/CE (cd. direttiva </w:t>
            </w:r>
            <w:proofErr w:type="spellStart"/>
            <w:r w:rsidRPr="0026567E">
              <w:rPr>
                <w:rFonts w:ascii="Palatino Linotype" w:hAnsi="Palatino Linotype"/>
                <w:bCs/>
                <w:i/>
                <w:sz w:val="28"/>
                <w:szCs w:val="28"/>
              </w:rPr>
              <w:t>Bolkestein</w:t>
            </w:r>
            <w:proofErr w:type="spellEnd"/>
            <w:r w:rsidRPr="0059004D">
              <w:rPr>
                <w:rFonts w:ascii="Palatino Linotype" w:hAnsi="Palatino Linotype"/>
                <w:bCs/>
                <w:sz w:val="28"/>
                <w:szCs w:val="28"/>
              </w:rPr>
              <w:t xml:space="preserve">) non sia applicabile ai servizi portuali, il diritto dell’Unione Europea, ed in particolare la direttiva </w:t>
            </w:r>
            <w:r w:rsidRPr="0059004D">
              <w:rPr>
                <w:rFonts w:ascii="Palatino Linotype" w:hAnsi="Palatino Linotype"/>
                <w:bCs/>
                <w:sz w:val="28"/>
                <w:szCs w:val="28"/>
              </w:rPr>
              <w:lastRenderedPageBreak/>
              <w:t>2014/25/UE, è comunque incompatibile con la proroga automatica delle concessioni dei servizi portuali.</w:t>
            </w:r>
          </w:p>
          <w:p w:rsidR="0059004D" w:rsidRPr="0059004D" w:rsidRDefault="0059004D" w:rsidP="0059004D">
            <w:pPr>
              <w:shd w:val="clear" w:color="auto" w:fill="FFFFFF"/>
              <w:jc w:val="both"/>
              <w:rPr>
                <w:rFonts w:ascii="Palatino Linotype" w:hAnsi="Palatino Linotype"/>
                <w:bCs/>
                <w:sz w:val="28"/>
                <w:szCs w:val="28"/>
              </w:rPr>
            </w:pPr>
          </w:p>
          <w:p w:rsidR="0059004D" w:rsidRDefault="0059004D" w:rsidP="0059004D">
            <w:pPr>
              <w:shd w:val="clear" w:color="auto" w:fill="FFFFFF"/>
              <w:jc w:val="both"/>
              <w:rPr>
                <w:rFonts w:ascii="Palatino Linotype" w:hAnsi="Palatino Linotype"/>
                <w:bCs/>
                <w:sz w:val="28"/>
                <w:szCs w:val="28"/>
              </w:rPr>
            </w:pPr>
            <w:r w:rsidRPr="0059004D">
              <w:rPr>
                <w:rFonts w:ascii="Palatino Linotype" w:hAnsi="Palatino Linotype"/>
                <w:bCs/>
                <w:sz w:val="28"/>
                <w:szCs w:val="28"/>
              </w:rPr>
              <w:t xml:space="preserve">L’art. 10 co. 3 </w:t>
            </w:r>
            <w:proofErr w:type="spellStart"/>
            <w:r w:rsidRPr="0059004D">
              <w:rPr>
                <w:rFonts w:ascii="Palatino Linotype" w:hAnsi="Palatino Linotype"/>
                <w:bCs/>
                <w:sz w:val="28"/>
                <w:szCs w:val="28"/>
              </w:rPr>
              <w:t>d.P.R.</w:t>
            </w:r>
            <w:proofErr w:type="spellEnd"/>
            <w:r w:rsidRPr="0059004D">
              <w:rPr>
                <w:rFonts w:ascii="Palatino Linotype" w:hAnsi="Palatino Linotype"/>
                <w:bCs/>
                <w:sz w:val="28"/>
                <w:szCs w:val="28"/>
              </w:rPr>
              <w:t xml:space="preserve"> n. 509 del 1997, che prevede la possibilità di proroga delle concessioni portuali, è norma eccezionale e di stretta interpretazione; ne consegue che è il rilascio della proroga ad esigere una motivazione rafforzata, mentre il diniego della stessa esige una motivazione semplicemente adeguata, essendo immanenti nell’ordinamento giuridico le ragioni di ordine generale giustificanti la decisione, a fronte dei prevedibili vantaggi scaturenti per l’Amministrazione e la collettività dall’eventuale instaurazione di un nuovo rapporto con un concessionario scelto all’esito di una procedura comparativa.</w:t>
            </w:r>
          </w:p>
          <w:p w:rsidR="002839F1" w:rsidRDefault="002839F1" w:rsidP="00F30D63">
            <w:pPr>
              <w:shd w:val="clear" w:color="auto" w:fill="FFFFFF"/>
              <w:spacing w:before="100" w:beforeAutospacing="1" w:after="100" w:afterAutospacing="1" w:line="252" w:lineRule="auto"/>
              <w:jc w:val="center"/>
              <w:rPr>
                <w:rFonts w:ascii="Palatino Linotype" w:hAnsi="Palatino Linotype"/>
                <w:b/>
                <w:bCs/>
                <w:color w:val="BF8F00"/>
                <w:sz w:val="32"/>
                <w:szCs w:val="32"/>
              </w:rPr>
            </w:pPr>
          </w:p>
          <w:p w:rsidR="002839F1" w:rsidRDefault="002839F1" w:rsidP="00F30D63">
            <w:pPr>
              <w:shd w:val="clear" w:color="auto" w:fill="FFFFFF"/>
              <w:spacing w:before="100" w:beforeAutospacing="1" w:after="100" w:afterAutospacing="1" w:line="252" w:lineRule="auto"/>
              <w:jc w:val="center"/>
              <w:rPr>
                <w:rFonts w:ascii="Palatino Linotype" w:hAnsi="Palatino Linotype"/>
                <w:b/>
                <w:bCs/>
                <w:color w:val="BF8F00"/>
                <w:sz w:val="32"/>
                <w:szCs w:val="32"/>
              </w:rPr>
            </w:pPr>
          </w:p>
          <w:p w:rsidR="00F30D63" w:rsidRDefault="002839F1" w:rsidP="00F30D63">
            <w:pPr>
              <w:shd w:val="clear" w:color="auto" w:fill="FFFFFF"/>
              <w:spacing w:before="100" w:beforeAutospacing="1" w:after="100" w:afterAutospacing="1" w:line="252" w:lineRule="auto"/>
              <w:jc w:val="center"/>
              <w:rPr>
                <w:rFonts w:ascii="Palatino Linotype" w:hAnsi="Palatino Linotype"/>
                <w:b/>
                <w:bCs/>
                <w:color w:val="BF8F00"/>
                <w:sz w:val="32"/>
                <w:szCs w:val="32"/>
              </w:rPr>
            </w:pPr>
            <w:r>
              <w:rPr>
                <w:rFonts w:ascii="Palatino Linotype" w:hAnsi="Palatino Linotype"/>
                <w:b/>
                <w:bCs/>
                <w:color w:val="BF8F00"/>
                <w:sz w:val="32"/>
                <w:szCs w:val="32"/>
              </w:rPr>
              <w:t>(</w:t>
            </w:r>
            <w:r w:rsidR="002553FA">
              <w:rPr>
                <w:rFonts w:ascii="Palatino Linotype" w:hAnsi="Palatino Linotype"/>
                <w:b/>
                <w:bCs/>
                <w:color w:val="BF8F00"/>
                <w:sz w:val="32"/>
                <w:szCs w:val="32"/>
              </w:rPr>
              <w:t>10</w:t>
            </w:r>
            <w:r w:rsidR="00F30D63">
              <w:rPr>
                <w:rFonts w:ascii="Palatino Linotype" w:hAnsi="Palatino Linotype"/>
                <w:b/>
                <w:bCs/>
                <w:color w:val="BF8F00"/>
                <w:sz w:val="32"/>
                <w:szCs w:val="32"/>
              </w:rPr>
              <w:t>)</w:t>
            </w:r>
          </w:p>
          <w:p w:rsidR="0026567E" w:rsidRPr="0026567E" w:rsidRDefault="00641340" w:rsidP="002839F1">
            <w:pPr>
              <w:pStyle w:val="Titolo1"/>
              <w:shd w:val="clear" w:color="auto" w:fill="FFFFFF"/>
              <w:jc w:val="both"/>
              <w:outlineLvl w:val="0"/>
              <w:rPr>
                <w:rFonts w:ascii="Palatino Linotype" w:hAnsi="Palatino Linotype"/>
                <w:sz w:val="28"/>
                <w:szCs w:val="28"/>
              </w:rPr>
            </w:pPr>
            <w:r>
              <w:rPr>
                <w:rFonts w:ascii="Palatino Linotype" w:hAnsi="Palatino Linotype"/>
                <w:sz w:val="28"/>
                <w:szCs w:val="28"/>
              </w:rPr>
              <w:t>S</w:t>
            </w:r>
            <w:r w:rsidR="0026567E" w:rsidRPr="0026567E">
              <w:rPr>
                <w:rFonts w:ascii="Palatino Linotype" w:hAnsi="Palatino Linotype"/>
                <w:sz w:val="28"/>
                <w:szCs w:val="28"/>
              </w:rPr>
              <w:t>ilenzio assenso</w:t>
            </w:r>
            <w:r>
              <w:rPr>
                <w:rFonts w:ascii="Palatino Linotype" w:hAnsi="Palatino Linotype"/>
                <w:sz w:val="28"/>
                <w:szCs w:val="28"/>
              </w:rPr>
              <w:t xml:space="preserve"> ai sensi dell’art. 17 </w:t>
            </w:r>
            <w:r w:rsidRPr="00641340">
              <w:rPr>
                <w:rFonts w:ascii="Palatino Linotype" w:hAnsi="Palatino Linotype"/>
                <w:i/>
                <w:sz w:val="28"/>
                <w:szCs w:val="28"/>
              </w:rPr>
              <w:t>bis</w:t>
            </w:r>
            <w:r>
              <w:rPr>
                <w:rFonts w:ascii="Palatino Linotype" w:hAnsi="Palatino Linotype"/>
                <w:sz w:val="28"/>
                <w:szCs w:val="28"/>
              </w:rPr>
              <w:t xml:space="preserve"> l. 241 del 1990 e </w:t>
            </w:r>
            <w:r w:rsidR="0026567E" w:rsidRPr="0026567E">
              <w:rPr>
                <w:rFonts w:ascii="Palatino Linotype" w:hAnsi="Palatino Linotype"/>
                <w:sz w:val="28"/>
                <w:szCs w:val="28"/>
              </w:rPr>
              <w:t>autorizzazione paesaggistica</w:t>
            </w:r>
            <w:r>
              <w:rPr>
                <w:rFonts w:ascii="Palatino Linotype" w:hAnsi="Palatino Linotype"/>
                <w:sz w:val="28"/>
                <w:szCs w:val="28"/>
              </w:rPr>
              <w:t>.</w:t>
            </w:r>
          </w:p>
          <w:p w:rsidR="0026567E" w:rsidRPr="0026567E" w:rsidRDefault="0026567E" w:rsidP="00641340">
            <w:pPr>
              <w:pStyle w:val="Titolo1"/>
              <w:shd w:val="clear" w:color="auto" w:fill="FFFFFF"/>
              <w:jc w:val="both"/>
              <w:outlineLvl w:val="0"/>
              <w:rPr>
                <w:rFonts w:ascii="Palatino Linotype" w:hAnsi="Palatino Linotype"/>
                <w:color w:val="1F4E79" w:themeColor="accent1" w:themeShade="80"/>
                <w:sz w:val="28"/>
                <w:szCs w:val="28"/>
              </w:rPr>
            </w:pPr>
            <w:proofErr w:type="spellStart"/>
            <w:r w:rsidRPr="0026567E">
              <w:rPr>
                <w:rFonts w:ascii="Palatino Linotype" w:hAnsi="Palatino Linotype"/>
                <w:color w:val="1F4E79" w:themeColor="accent1" w:themeShade="80"/>
                <w:sz w:val="28"/>
                <w:szCs w:val="28"/>
              </w:rPr>
              <w:t>T.a.r</w:t>
            </w:r>
            <w:proofErr w:type="spellEnd"/>
            <w:r w:rsidRPr="0026567E">
              <w:rPr>
                <w:rFonts w:ascii="Palatino Linotype" w:hAnsi="Palatino Linotype"/>
                <w:color w:val="1F4E79" w:themeColor="accent1" w:themeShade="80"/>
                <w:sz w:val="28"/>
                <w:szCs w:val="28"/>
              </w:rPr>
              <w:t xml:space="preserve">. per la </w:t>
            </w:r>
            <w:r w:rsidR="00641340">
              <w:rPr>
                <w:rFonts w:ascii="Palatino Linotype" w:hAnsi="Palatino Linotype"/>
                <w:color w:val="1F4E79" w:themeColor="accent1" w:themeShade="80"/>
                <w:sz w:val="28"/>
                <w:szCs w:val="28"/>
              </w:rPr>
              <w:t>Campania, Salerno, sezione</w:t>
            </w:r>
            <w:r w:rsidRPr="0026567E">
              <w:rPr>
                <w:rFonts w:ascii="Palatino Linotype" w:hAnsi="Palatino Linotype"/>
                <w:color w:val="1F4E79" w:themeColor="accent1" w:themeShade="80"/>
                <w:sz w:val="28"/>
                <w:szCs w:val="28"/>
              </w:rPr>
              <w:t xml:space="preserve"> II, 02 novembre 2022 n. 2896</w:t>
            </w:r>
            <w:r w:rsidR="00641340">
              <w:rPr>
                <w:rFonts w:ascii="Palatino Linotype" w:hAnsi="Palatino Linotype"/>
                <w:color w:val="1F4E79" w:themeColor="accent1" w:themeShade="80"/>
                <w:sz w:val="28"/>
                <w:szCs w:val="28"/>
              </w:rPr>
              <w:t xml:space="preserve"> - </w:t>
            </w:r>
            <w:proofErr w:type="spellStart"/>
            <w:r w:rsidR="00641340">
              <w:rPr>
                <w:rFonts w:ascii="Palatino Linotype" w:hAnsi="Palatino Linotype"/>
                <w:color w:val="1F4E79" w:themeColor="accent1" w:themeShade="80"/>
                <w:sz w:val="28"/>
                <w:szCs w:val="28"/>
              </w:rPr>
              <w:t>Pres</w:t>
            </w:r>
            <w:proofErr w:type="spellEnd"/>
            <w:r w:rsidR="00641340">
              <w:rPr>
                <w:rFonts w:ascii="Palatino Linotype" w:hAnsi="Palatino Linotype"/>
                <w:color w:val="1F4E79" w:themeColor="accent1" w:themeShade="80"/>
                <w:sz w:val="28"/>
                <w:szCs w:val="28"/>
              </w:rPr>
              <w:t>. ed</w:t>
            </w:r>
            <w:r w:rsidRPr="0026567E">
              <w:rPr>
                <w:rFonts w:ascii="Palatino Linotype" w:hAnsi="Palatino Linotype"/>
                <w:color w:val="1F4E79" w:themeColor="accent1" w:themeShade="80"/>
                <w:sz w:val="28"/>
                <w:szCs w:val="28"/>
              </w:rPr>
              <w:t xml:space="preserve"> Est. Durante</w:t>
            </w:r>
          </w:p>
          <w:p w:rsidR="0026567E" w:rsidRPr="00641340" w:rsidRDefault="0026567E" w:rsidP="0026567E">
            <w:pPr>
              <w:pStyle w:val="Titolo1"/>
              <w:shd w:val="clear" w:color="auto" w:fill="FFFFFF"/>
              <w:spacing w:before="300" w:after="150"/>
              <w:jc w:val="both"/>
              <w:outlineLvl w:val="0"/>
              <w:rPr>
                <w:rFonts w:ascii="Palatino Linotype" w:hAnsi="Palatino Linotype"/>
                <w:b w:val="0"/>
                <w:sz w:val="28"/>
                <w:szCs w:val="28"/>
              </w:rPr>
            </w:pPr>
            <w:r w:rsidRPr="00641340">
              <w:rPr>
                <w:rFonts w:ascii="Palatino Linotype" w:hAnsi="Palatino Linotype"/>
                <w:b w:val="0"/>
                <w:sz w:val="28"/>
                <w:szCs w:val="28"/>
              </w:rPr>
              <w:t>Il meccanismo del silenzio assenso, di cui all’art. 17-</w:t>
            </w:r>
            <w:r w:rsidRPr="00641340">
              <w:rPr>
                <w:rFonts w:ascii="Palatino Linotype" w:hAnsi="Palatino Linotype"/>
                <w:b w:val="0"/>
                <w:i/>
                <w:sz w:val="28"/>
                <w:szCs w:val="28"/>
              </w:rPr>
              <w:t xml:space="preserve">bis </w:t>
            </w:r>
            <w:r w:rsidRPr="00641340">
              <w:rPr>
                <w:rFonts w:ascii="Palatino Linotype" w:hAnsi="Palatino Linotype"/>
                <w:b w:val="0"/>
                <w:sz w:val="28"/>
                <w:szCs w:val="28"/>
              </w:rPr>
              <w:t xml:space="preserve">della legge n. 241 del 1990, si attaglia ai soli procedimenti c.d. “orizzontali”, aventi cioè una fase decisoria </w:t>
            </w:r>
            <w:proofErr w:type="spellStart"/>
            <w:r w:rsidRPr="00641340">
              <w:rPr>
                <w:rFonts w:ascii="Palatino Linotype" w:hAnsi="Palatino Linotype"/>
                <w:b w:val="0"/>
                <w:sz w:val="28"/>
                <w:szCs w:val="28"/>
              </w:rPr>
              <w:t>pluristrutturata</w:t>
            </w:r>
            <w:proofErr w:type="spellEnd"/>
            <w:r w:rsidRPr="00641340">
              <w:rPr>
                <w:rFonts w:ascii="Palatino Linotype" w:hAnsi="Palatino Linotype"/>
                <w:b w:val="0"/>
                <w:sz w:val="28"/>
                <w:szCs w:val="28"/>
              </w:rPr>
              <w:t>, nel senso che le due amministrazioni (quella titolare del procedimento e quella interpellata) devono condividere la funzione decisoria ed essere titolari di un p</w:t>
            </w:r>
            <w:r w:rsidR="00641340">
              <w:rPr>
                <w:rFonts w:ascii="Palatino Linotype" w:hAnsi="Palatino Linotype"/>
                <w:b w:val="0"/>
                <w:sz w:val="28"/>
                <w:szCs w:val="28"/>
              </w:rPr>
              <w:t xml:space="preserve">otere decisorio sostanziale. </w:t>
            </w:r>
          </w:p>
          <w:p w:rsidR="0026567E" w:rsidRPr="00641340" w:rsidRDefault="0026567E" w:rsidP="0026567E">
            <w:pPr>
              <w:pStyle w:val="Titolo1"/>
              <w:shd w:val="clear" w:color="auto" w:fill="FFFFFF"/>
              <w:spacing w:before="300" w:after="150"/>
              <w:jc w:val="both"/>
              <w:outlineLvl w:val="0"/>
              <w:rPr>
                <w:rFonts w:ascii="Palatino Linotype" w:hAnsi="Palatino Linotype"/>
                <w:b w:val="0"/>
                <w:sz w:val="28"/>
                <w:szCs w:val="28"/>
              </w:rPr>
            </w:pPr>
            <w:r w:rsidRPr="00641340">
              <w:rPr>
                <w:rFonts w:ascii="Palatino Linotype" w:hAnsi="Palatino Linotype"/>
                <w:b w:val="0"/>
                <w:sz w:val="28"/>
                <w:szCs w:val="28"/>
              </w:rPr>
              <w:t xml:space="preserve">Diversamente, nel caso in cui un’amministrazione abbia un ruolo meramente formale, nel senso che raccoglie e trasmette l’istanza all’altra amministrazione, unica decidente, la decisione risulta </w:t>
            </w:r>
            <w:proofErr w:type="spellStart"/>
            <w:r w:rsidRPr="00641340">
              <w:rPr>
                <w:rFonts w:ascii="Palatino Linotype" w:hAnsi="Palatino Linotype"/>
                <w:b w:val="0"/>
                <w:sz w:val="28"/>
                <w:szCs w:val="28"/>
              </w:rPr>
              <w:t>monostrutturata</w:t>
            </w:r>
            <w:proofErr w:type="spellEnd"/>
            <w:r w:rsidRPr="00641340">
              <w:rPr>
                <w:rFonts w:ascii="Palatino Linotype" w:hAnsi="Palatino Linotype"/>
                <w:b w:val="0"/>
                <w:sz w:val="28"/>
                <w:szCs w:val="28"/>
              </w:rPr>
              <w:t xml:space="preserve"> ed il beneficiario del provvedimento va individuato nel solo soggetto privato (proce</w:t>
            </w:r>
            <w:r w:rsidR="00641340">
              <w:rPr>
                <w:rFonts w:ascii="Palatino Linotype" w:hAnsi="Palatino Linotype"/>
                <w:b w:val="0"/>
                <w:sz w:val="28"/>
                <w:szCs w:val="28"/>
              </w:rPr>
              <w:t xml:space="preserve">dimento c.d. “orizzontale”). </w:t>
            </w:r>
          </w:p>
          <w:p w:rsidR="0026567E" w:rsidRPr="0026567E" w:rsidRDefault="0026567E" w:rsidP="00FB0E5D">
            <w:pPr>
              <w:pStyle w:val="Titolo1"/>
              <w:shd w:val="clear" w:color="auto" w:fill="FFFFFF"/>
              <w:jc w:val="both"/>
              <w:outlineLvl w:val="0"/>
              <w:rPr>
                <w:rFonts w:ascii="Palatino Linotype" w:hAnsi="Palatino Linotype"/>
                <w:sz w:val="28"/>
                <w:szCs w:val="28"/>
              </w:rPr>
            </w:pPr>
            <w:r w:rsidRPr="00641340">
              <w:rPr>
                <w:rFonts w:ascii="Palatino Linotype" w:hAnsi="Palatino Linotype"/>
                <w:b w:val="0"/>
                <w:sz w:val="28"/>
                <w:szCs w:val="28"/>
              </w:rPr>
              <w:t>In merito all’applicabilità del meccanismo del silenzio assenso, di cui all’art. 17-</w:t>
            </w:r>
            <w:r w:rsidRPr="00641340">
              <w:rPr>
                <w:rFonts w:ascii="Palatino Linotype" w:hAnsi="Palatino Linotype"/>
                <w:b w:val="0"/>
                <w:i/>
                <w:sz w:val="28"/>
                <w:szCs w:val="28"/>
              </w:rPr>
              <w:t>bis</w:t>
            </w:r>
            <w:r w:rsidRPr="00641340">
              <w:rPr>
                <w:rFonts w:ascii="Palatino Linotype" w:hAnsi="Palatino Linotype"/>
                <w:b w:val="0"/>
                <w:sz w:val="28"/>
                <w:szCs w:val="28"/>
              </w:rPr>
              <w:t xml:space="preserve"> della legge n. 241 del 1990, all’autorizzazione paesaggistica </w:t>
            </w:r>
            <w:r w:rsidR="00FB0E5D">
              <w:rPr>
                <w:rFonts w:ascii="Palatino Linotype" w:hAnsi="Palatino Linotype"/>
                <w:b w:val="0"/>
                <w:sz w:val="28"/>
                <w:szCs w:val="28"/>
              </w:rPr>
              <w:t xml:space="preserve">disciplinata </w:t>
            </w:r>
            <w:r w:rsidR="00FB0E5D">
              <w:rPr>
                <w:rFonts w:ascii="Palatino Linotype" w:hAnsi="Palatino Linotype"/>
                <w:b w:val="0"/>
                <w:sz w:val="28"/>
                <w:szCs w:val="28"/>
              </w:rPr>
              <w:lastRenderedPageBreak/>
              <w:t>dall’art. 146 del d</w:t>
            </w:r>
            <w:r w:rsidRPr="00641340">
              <w:rPr>
                <w:rFonts w:ascii="Palatino Linotype" w:hAnsi="Palatino Linotype"/>
                <w:b w:val="0"/>
                <w:sz w:val="28"/>
                <w:szCs w:val="28"/>
              </w:rPr>
              <w:t>.lgs. n. 42/2004, sussiste un articolato</w:t>
            </w:r>
            <w:r w:rsidRPr="0026567E">
              <w:rPr>
                <w:rFonts w:ascii="Palatino Linotype" w:hAnsi="Palatino Linotype"/>
                <w:sz w:val="28"/>
                <w:szCs w:val="28"/>
              </w:rPr>
              <w:t xml:space="preserve"> </w:t>
            </w:r>
            <w:r w:rsidRPr="00641340">
              <w:rPr>
                <w:rFonts w:ascii="Palatino Linotype" w:hAnsi="Palatino Linotype"/>
                <w:b w:val="0"/>
                <w:sz w:val="28"/>
                <w:szCs w:val="28"/>
              </w:rPr>
              <w:t>contrasto</w:t>
            </w:r>
            <w:r w:rsidRPr="0026567E">
              <w:rPr>
                <w:rFonts w:ascii="Palatino Linotype" w:hAnsi="Palatino Linotype"/>
                <w:sz w:val="28"/>
                <w:szCs w:val="28"/>
              </w:rPr>
              <w:t xml:space="preserve"> </w:t>
            </w:r>
            <w:r w:rsidRPr="00641340">
              <w:rPr>
                <w:rFonts w:ascii="Palatino Linotype" w:hAnsi="Palatino Linotype"/>
                <w:b w:val="0"/>
                <w:sz w:val="28"/>
                <w:szCs w:val="28"/>
              </w:rPr>
              <w:t>nella giurisprudenza amministrativa, laddove sono riscontrabili due, se non addirittura tre, orientamenti:</w:t>
            </w:r>
          </w:p>
          <w:p w:rsidR="0026567E" w:rsidRPr="0026567E" w:rsidRDefault="0026567E" w:rsidP="0026567E">
            <w:pPr>
              <w:pStyle w:val="Titolo1"/>
              <w:shd w:val="clear" w:color="auto" w:fill="FFFFFF"/>
              <w:spacing w:before="300" w:after="150"/>
              <w:jc w:val="both"/>
              <w:outlineLvl w:val="0"/>
              <w:rPr>
                <w:rFonts w:ascii="Palatino Linotype" w:hAnsi="Palatino Linotype"/>
                <w:sz w:val="28"/>
                <w:szCs w:val="28"/>
              </w:rPr>
            </w:pPr>
          </w:p>
          <w:p w:rsidR="0026567E" w:rsidRPr="00641340" w:rsidRDefault="0026567E" w:rsidP="0026567E">
            <w:pPr>
              <w:pStyle w:val="Titolo1"/>
              <w:shd w:val="clear" w:color="auto" w:fill="FFFFFF"/>
              <w:spacing w:before="300" w:after="150"/>
              <w:jc w:val="both"/>
              <w:outlineLvl w:val="0"/>
              <w:rPr>
                <w:rFonts w:ascii="Palatino Linotype" w:hAnsi="Palatino Linotype"/>
                <w:b w:val="0"/>
                <w:sz w:val="28"/>
                <w:szCs w:val="28"/>
              </w:rPr>
            </w:pPr>
            <w:r w:rsidRPr="00641340">
              <w:rPr>
                <w:rFonts w:ascii="Palatino Linotype" w:hAnsi="Palatino Linotype"/>
                <w:b w:val="0"/>
                <w:sz w:val="28"/>
                <w:szCs w:val="28"/>
              </w:rPr>
              <w:t xml:space="preserve">1) un primo orientamento, di segno negativo, muove dal fatto che l’autorizzazione paesaggistica costituisce un provvedimento </w:t>
            </w:r>
            <w:proofErr w:type="spellStart"/>
            <w:r w:rsidRPr="00641340">
              <w:rPr>
                <w:rFonts w:ascii="Palatino Linotype" w:hAnsi="Palatino Linotype"/>
                <w:b w:val="0"/>
                <w:sz w:val="28"/>
                <w:szCs w:val="28"/>
              </w:rPr>
              <w:t>monostrutturato</w:t>
            </w:r>
            <w:proofErr w:type="spellEnd"/>
            <w:r w:rsidRPr="00641340">
              <w:rPr>
                <w:rFonts w:ascii="Palatino Linotype" w:hAnsi="Palatino Linotype"/>
                <w:b w:val="0"/>
                <w:sz w:val="28"/>
                <w:szCs w:val="28"/>
              </w:rPr>
              <w:t>, essendo il relativo procedimento attivato ad istanza della parte privata interessata e non della P.</w:t>
            </w:r>
            <w:r w:rsidR="00641340">
              <w:rPr>
                <w:rFonts w:ascii="Palatino Linotype" w:hAnsi="Palatino Linotype"/>
                <w:b w:val="0"/>
                <w:sz w:val="28"/>
                <w:szCs w:val="28"/>
              </w:rPr>
              <w:t>A. procedente. Il rapporto tra regione/e</w:t>
            </w:r>
            <w:r w:rsidRPr="00641340">
              <w:rPr>
                <w:rFonts w:ascii="Palatino Linotype" w:hAnsi="Palatino Linotype"/>
                <w:b w:val="0"/>
                <w:sz w:val="28"/>
                <w:szCs w:val="28"/>
              </w:rPr>
              <w:t>nte locale e Soprintendenza è meramente interno, ossia finalizzato a co-gestire non la fase decisoria, ma quella istruttoria. Viene rimarcata, inoltre, l’estraneità alla funzione di tutela del paesaggio di “ogni forma di attenuazione determinata dal bilanciamento o dalla comparazione con altri interessi”, atteso che il parere è “atto strettamente espressivo di discrezionalità tecnica”, in cui il giudizio di compatibilità paesaggistica “deve essere … tecnico e proprio del caso concreto”. Pertanto, il parere reso tardivamente non è ineffi</w:t>
            </w:r>
            <w:r w:rsidR="00641340">
              <w:rPr>
                <w:rFonts w:ascii="Palatino Linotype" w:hAnsi="Palatino Linotype"/>
                <w:b w:val="0"/>
                <w:sz w:val="28"/>
                <w:szCs w:val="28"/>
              </w:rPr>
              <w:t>cace. Esso però non vincola la p.a</w:t>
            </w:r>
            <w:r w:rsidRPr="00641340">
              <w:rPr>
                <w:rFonts w:ascii="Palatino Linotype" w:hAnsi="Palatino Linotype"/>
                <w:b w:val="0"/>
                <w:sz w:val="28"/>
                <w:szCs w:val="28"/>
              </w:rPr>
              <w:t xml:space="preserve">. procedente, alla quale tocca tenerne conto, valutando motivatamente ed in concreto anche gli aspetti paesaggistici (cfr. </w:t>
            </w:r>
            <w:proofErr w:type="spellStart"/>
            <w:r w:rsidRPr="00641340">
              <w:rPr>
                <w:rFonts w:ascii="Palatino Linotype" w:hAnsi="Palatino Linotype"/>
                <w:b w:val="0"/>
                <w:sz w:val="28"/>
                <w:szCs w:val="28"/>
              </w:rPr>
              <w:t>Cons</w:t>
            </w:r>
            <w:proofErr w:type="spellEnd"/>
            <w:r w:rsidRPr="00641340">
              <w:rPr>
                <w:rFonts w:ascii="Palatino Linotype" w:hAnsi="Palatino Linotype"/>
                <w:b w:val="0"/>
                <w:sz w:val="28"/>
                <w:szCs w:val="28"/>
              </w:rPr>
              <w:t>. Stato, sez. IV</w:t>
            </w:r>
            <w:r w:rsidR="00641340">
              <w:rPr>
                <w:rFonts w:ascii="Palatino Linotype" w:hAnsi="Palatino Linotype"/>
                <w:b w:val="0"/>
                <w:sz w:val="28"/>
                <w:szCs w:val="28"/>
              </w:rPr>
              <w:t>, 27 luglio 2020, n. 4765;</w:t>
            </w:r>
            <w:r w:rsidRPr="00641340">
              <w:rPr>
                <w:rFonts w:ascii="Palatino Linotype" w:hAnsi="Palatino Linotype"/>
                <w:b w:val="0"/>
                <w:sz w:val="28"/>
                <w:szCs w:val="28"/>
              </w:rPr>
              <w:t xml:space="preserve"> 29 marzo 2021, n. 2640; 7 aprile 2022, n. 2584) e tanto, in applicazione del comma 9 dell’art. 146, in base al quale, “decorsi inutilmente sessanta giorni dalla ricezione degli atti da parte del Soprintendente, senza che questi abbia reso il prescritto parere, l’amministrazione competente provvede comunque sulla domanda di autorizzazione”: norma non espressamente abrogata dall’art. 17-</w:t>
            </w:r>
            <w:r w:rsidRPr="00641340">
              <w:rPr>
                <w:rFonts w:ascii="Palatino Linotype" w:hAnsi="Palatino Linotype"/>
                <w:b w:val="0"/>
                <w:i/>
                <w:sz w:val="28"/>
                <w:szCs w:val="28"/>
              </w:rPr>
              <w:t>bis</w:t>
            </w:r>
            <w:r w:rsidR="00641340">
              <w:rPr>
                <w:rFonts w:ascii="Palatino Linotype" w:hAnsi="Palatino Linotype"/>
                <w:b w:val="0"/>
                <w:sz w:val="28"/>
                <w:szCs w:val="28"/>
              </w:rPr>
              <w:t xml:space="preserve"> della legge n. 241 del </w:t>
            </w:r>
            <w:r w:rsidRPr="00641340">
              <w:rPr>
                <w:rFonts w:ascii="Palatino Linotype" w:hAnsi="Palatino Linotype"/>
                <w:b w:val="0"/>
                <w:sz w:val="28"/>
                <w:szCs w:val="28"/>
              </w:rPr>
              <w:t>1990, la quale istituisce una forma di silenzio devolutivo, per definizione incompatib</w:t>
            </w:r>
            <w:r w:rsidR="00641340">
              <w:rPr>
                <w:rFonts w:ascii="Palatino Linotype" w:hAnsi="Palatino Linotype"/>
                <w:b w:val="0"/>
                <w:sz w:val="28"/>
                <w:szCs w:val="28"/>
              </w:rPr>
              <w:t>ile con il silenzio assenso;</w:t>
            </w:r>
          </w:p>
          <w:p w:rsidR="0026567E" w:rsidRPr="00641340" w:rsidRDefault="0026567E" w:rsidP="00641340">
            <w:pPr>
              <w:pStyle w:val="Titolo1"/>
              <w:shd w:val="clear" w:color="auto" w:fill="FFFFFF"/>
              <w:jc w:val="both"/>
              <w:outlineLvl w:val="0"/>
              <w:rPr>
                <w:rFonts w:ascii="Palatino Linotype" w:hAnsi="Palatino Linotype"/>
                <w:b w:val="0"/>
                <w:sz w:val="28"/>
                <w:szCs w:val="28"/>
              </w:rPr>
            </w:pPr>
            <w:r w:rsidRPr="00641340">
              <w:rPr>
                <w:rFonts w:ascii="Palatino Linotype" w:hAnsi="Palatino Linotype"/>
                <w:b w:val="0"/>
                <w:sz w:val="28"/>
                <w:szCs w:val="28"/>
              </w:rPr>
              <w:t>2) un secondo orientamento di segno contrario, del tutto originale perché dotato di ricadute pratiche alquanto simili all’art. 17-</w:t>
            </w:r>
            <w:r w:rsidRPr="00641340">
              <w:rPr>
                <w:rFonts w:ascii="Palatino Linotype" w:hAnsi="Palatino Linotype"/>
                <w:b w:val="0"/>
                <w:i/>
                <w:sz w:val="28"/>
                <w:szCs w:val="28"/>
              </w:rPr>
              <w:t>bis</w:t>
            </w:r>
            <w:r w:rsidRPr="00641340">
              <w:rPr>
                <w:rFonts w:ascii="Palatino Linotype" w:hAnsi="Palatino Linotype"/>
                <w:b w:val="0"/>
                <w:sz w:val="28"/>
                <w:szCs w:val="28"/>
              </w:rPr>
              <w:t xml:space="preserve">, ritiene che l’ostacolo all’applicazione della norma semplificatoria sia costituito non dall’assenza di un potere </w:t>
            </w:r>
            <w:proofErr w:type="spellStart"/>
            <w:r w:rsidRPr="00641340">
              <w:rPr>
                <w:rFonts w:ascii="Palatino Linotype" w:hAnsi="Palatino Linotype"/>
                <w:b w:val="0"/>
                <w:sz w:val="28"/>
                <w:szCs w:val="28"/>
              </w:rPr>
              <w:t>codecisorio</w:t>
            </w:r>
            <w:proofErr w:type="spellEnd"/>
            <w:r w:rsidRPr="00641340">
              <w:rPr>
                <w:rFonts w:ascii="Palatino Linotype" w:hAnsi="Palatino Linotype"/>
                <w:b w:val="0"/>
                <w:sz w:val="28"/>
                <w:szCs w:val="28"/>
              </w:rPr>
              <w:t xml:space="preserve">, ma dalla peculiare scansione procedimentale dettata dal comma 9 dell’art. 146, secondo cui “l’amministrazione competente” - cioè </w:t>
            </w:r>
            <w:r w:rsidR="00641340">
              <w:rPr>
                <w:rFonts w:ascii="Palatino Linotype" w:hAnsi="Palatino Linotype"/>
                <w:b w:val="0"/>
                <w:sz w:val="28"/>
                <w:szCs w:val="28"/>
              </w:rPr>
              <w:t>regione/e</w:t>
            </w:r>
            <w:r w:rsidRPr="00641340">
              <w:rPr>
                <w:rFonts w:ascii="Palatino Linotype" w:hAnsi="Palatino Linotype"/>
                <w:b w:val="0"/>
                <w:sz w:val="28"/>
                <w:szCs w:val="28"/>
              </w:rPr>
              <w:t>nte locale delegato - “provvede comunque”. Ciò nondimeno, dal punto di vista pratico, cambia poco rispetto alla fattispecie del silenzio assenso ex art. 17-</w:t>
            </w:r>
            <w:r w:rsidRPr="00641340">
              <w:rPr>
                <w:rFonts w:ascii="Palatino Linotype" w:hAnsi="Palatino Linotype"/>
                <w:b w:val="0"/>
                <w:i/>
                <w:sz w:val="28"/>
                <w:szCs w:val="28"/>
              </w:rPr>
              <w:t>bis</w:t>
            </w:r>
            <w:r w:rsidRPr="00641340">
              <w:rPr>
                <w:rFonts w:ascii="Palatino Linotype" w:hAnsi="Palatino Linotype"/>
                <w:b w:val="0"/>
                <w:sz w:val="28"/>
                <w:szCs w:val="28"/>
              </w:rPr>
              <w:t xml:space="preserve">, perché è evidente che il provvedimento finale, anche in tal caso, deve rispecchiare la proposta originaria trasmessa alla Soprintendenza: diversamente il provvedimento adottato risulterebbe </w:t>
            </w:r>
            <w:r w:rsidRPr="00641340">
              <w:rPr>
                <w:rFonts w:ascii="Palatino Linotype" w:hAnsi="Palatino Linotype"/>
                <w:b w:val="0"/>
                <w:sz w:val="28"/>
                <w:szCs w:val="28"/>
              </w:rPr>
              <w:lastRenderedPageBreak/>
              <w:t>illegittimo in quanto emesso</w:t>
            </w:r>
            <w:r w:rsidRPr="0026567E">
              <w:rPr>
                <w:rFonts w:ascii="Palatino Linotype" w:hAnsi="Palatino Linotype"/>
                <w:sz w:val="28"/>
                <w:szCs w:val="28"/>
              </w:rPr>
              <w:t xml:space="preserve"> </w:t>
            </w:r>
            <w:r w:rsidRPr="00641340">
              <w:rPr>
                <w:rFonts w:ascii="Palatino Linotype" w:hAnsi="Palatino Linotype"/>
                <w:b w:val="0"/>
                <w:sz w:val="28"/>
                <w:szCs w:val="28"/>
              </w:rPr>
              <w:t xml:space="preserve">su una proposta non precedentemente sottoposta al parere della Soprintendenza (cfr. </w:t>
            </w:r>
            <w:proofErr w:type="spellStart"/>
            <w:r w:rsidRPr="00641340">
              <w:rPr>
                <w:rFonts w:ascii="Palatino Linotype" w:hAnsi="Palatino Linotype"/>
                <w:b w:val="0"/>
                <w:sz w:val="28"/>
                <w:szCs w:val="28"/>
              </w:rPr>
              <w:t>Cons</w:t>
            </w:r>
            <w:proofErr w:type="spellEnd"/>
            <w:r w:rsidRPr="00641340">
              <w:rPr>
                <w:rFonts w:ascii="Palatino Linotype" w:hAnsi="Palatino Linotype"/>
                <w:b w:val="0"/>
                <w:sz w:val="28"/>
                <w:szCs w:val="28"/>
              </w:rPr>
              <w:t>. Stato, sez. VI, n. 5799</w:t>
            </w:r>
            <w:r w:rsidRPr="0026567E">
              <w:rPr>
                <w:rFonts w:ascii="Palatino Linotype" w:hAnsi="Palatino Linotype"/>
                <w:sz w:val="28"/>
                <w:szCs w:val="28"/>
              </w:rPr>
              <w:t xml:space="preserve"> </w:t>
            </w:r>
            <w:r w:rsidRPr="00641340">
              <w:rPr>
                <w:rFonts w:ascii="Palatino Linotype" w:hAnsi="Palatino Linotype"/>
                <w:b w:val="0"/>
                <w:sz w:val="28"/>
                <w:szCs w:val="28"/>
              </w:rPr>
              <w:t xml:space="preserve">dell’11 dicembre 2017). Viceversa, ove l’amministrazione procedente avesse un ripensamento, non essendosi formato un silenzio assenso da parte della Soprintendenza, potrebbe riformulare la proposta originaria, senza incorrere in un provvedimento in autotutela, non essendosi ancora formato un provvedimento definitivo. Pertanto, l’atto finale dell’amministrazione procedente, a meno di un “ripensamento” circa la propria posizione originaria, non potrà che essere favorevole al privato, pena l’illegittimità di un diniego, che sarebbe emesso in assenza di una precedente proposta in tal senso sottoposta al parere della Soprintendenza (cfr. </w:t>
            </w:r>
            <w:proofErr w:type="spellStart"/>
            <w:r w:rsidRPr="00641340">
              <w:rPr>
                <w:rFonts w:ascii="Palatino Linotype" w:hAnsi="Palatino Linotype"/>
                <w:b w:val="0"/>
                <w:sz w:val="28"/>
                <w:szCs w:val="28"/>
              </w:rPr>
              <w:t>Cons</w:t>
            </w:r>
            <w:proofErr w:type="spellEnd"/>
            <w:r w:rsidRPr="00641340">
              <w:rPr>
                <w:rFonts w:ascii="Palatino Linotype" w:hAnsi="Palatino Linotype"/>
                <w:b w:val="0"/>
                <w:sz w:val="28"/>
                <w:szCs w:val="28"/>
              </w:rPr>
              <w:t>. Stato, sez. V</w:t>
            </w:r>
            <w:r w:rsidR="00641340">
              <w:rPr>
                <w:rFonts w:ascii="Palatino Linotype" w:hAnsi="Palatino Linotype"/>
                <w:b w:val="0"/>
                <w:sz w:val="28"/>
                <w:szCs w:val="28"/>
              </w:rPr>
              <w:t xml:space="preserve">I, 24 maggio 2022, n. 4098); </w:t>
            </w:r>
          </w:p>
          <w:p w:rsidR="0026567E" w:rsidRPr="00641340" w:rsidRDefault="0026567E" w:rsidP="0026567E">
            <w:pPr>
              <w:pStyle w:val="Titolo1"/>
              <w:shd w:val="clear" w:color="auto" w:fill="FFFFFF"/>
              <w:spacing w:before="300" w:beforeAutospacing="0" w:after="150" w:afterAutospacing="0"/>
              <w:jc w:val="both"/>
              <w:outlineLvl w:val="0"/>
              <w:rPr>
                <w:rFonts w:ascii="Palatino Linotype" w:hAnsi="Palatino Linotype"/>
                <w:b w:val="0"/>
                <w:sz w:val="28"/>
                <w:szCs w:val="28"/>
              </w:rPr>
            </w:pPr>
            <w:r w:rsidRPr="00641340">
              <w:rPr>
                <w:rFonts w:ascii="Palatino Linotype" w:hAnsi="Palatino Linotype"/>
                <w:b w:val="0"/>
                <w:sz w:val="28"/>
                <w:szCs w:val="28"/>
              </w:rPr>
              <w:t xml:space="preserve">3) un terzo orientamento, di segno positivo “senza condizioni” all’applicabilità dell’istituto del silenzio assenso al parere della Soprintendenza, muove dalla considerazione per cui tutti i pareri vincolanti partecipano alla formazione di un provvedimento finale </w:t>
            </w:r>
            <w:proofErr w:type="spellStart"/>
            <w:r w:rsidRPr="00641340">
              <w:rPr>
                <w:rFonts w:ascii="Palatino Linotype" w:hAnsi="Palatino Linotype"/>
                <w:b w:val="0"/>
                <w:sz w:val="28"/>
                <w:szCs w:val="28"/>
              </w:rPr>
              <w:t>pluristrutturato</w:t>
            </w:r>
            <w:proofErr w:type="spellEnd"/>
            <w:r w:rsidRPr="00641340">
              <w:rPr>
                <w:rFonts w:ascii="Palatino Linotype" w:hAnsi="Palatino Linotype"/>
                <w:b w:val="0"/>
                <w:sz w:val="28"/>
                <w:szCs w:val="28"/>
              </w:rPr>
              <w:t>, in quanto la decisione dell’amministrazione procedente richiede per legge l’assenso vincolante di un’altra amministrazione. A tali pareri, si applica pertanto l’art. 17-</w:t>
            </w:r>
            <w:r w:rsidRPr="00641340">
              <w:rPr>
                <w:rFonts w:ascii="Palatino Linotype" w:hAnsi="Palatino Linotype"/>
                <w:b w:val="0"/>
                <w:i/>
                <w:sz w:val="28"/>
                <w:szCs w:val="28"/>
              </w:rPr>
              <w:t>bis</w:t>
            </w:r>
            <w:r w:rsidR="00641340">
              <w:rPr>
                <w:rFonts w:ascii="Palatino Linotype" w:hAnsi="Palatino Linotype"/>
                <w:b w:val="0"/>
                <w:sz w:val="28"/>
                <w:szCs w:val="28"/>
              </w:rPr>
              <w:t xml:space="preserve"> della legge n. 241 del </w:t>
            </w:r>
            <w:r w:rsidRPr="00641340">
              <w:rPr>
                <w:rFonts w:ascii="Palatino Linotype" w:hAnsi="Palatino Linotype"/>
                <w:b w:val="0"/>
                <w:sz w:val="28"/>
                <w:szCs w:val="28"/>
              </w:rPr>
              <w:t>1990, diversamente che ai pareri consultivi (non vincolanti), che restano assoggettati alla disciplina di cui agli artt. 16 e 17. Dunque, la formulazione testuale del comma 3 dell’art. 17-</w:t>
            </w:r>
            <w:r w:rsidRPr="00641340">
              <w:rPr>
                <w:rFonts w:ascii="Palatino Linotype" w:hAnsi="Palatino Linotype"/>
                <w:b w:val="0"/>
                <w:i/>
                <w:sz w:val="28"/>
                <w:szCs w:val="28"/>
              </w:rPr>
              <w:t>bis</w:t>
            </w:r>
            <w:r w:rsidRPr="00641340">
              <w:rPr>
                <w:rFonts w:ascii="Palatino Linotype" w:hAnsi="Palatino Linotype"/>
                <w:b w:val="0"/>
                <w:sz w:val="28"/>
                <w:szCs w:val="28"/>
              </w:rPr>
              <w:t xml:space="preserve"> consente di estendere il meccanismo del silenzio assenso anche ai procedimenti di competenza di amministrazioni preposte alla tutela di interessi sensibili, ivi compresi i beni culturali e la salute dei cittadini, di modo che, scaduto il termine fissato dalla normativa di settore, vale la regola generale del silenzio assenso (cfr. </w:t>
            </w:r>
            <w:proofErr w:type="spellStart"/>
            <w:r w:rsidRPr="00641340">
              <w:rPr>
                <w:rFonts w:ascii="Palatino Linotype" w:hAnsi="Palatino Linotype"/>
                <w:b w:val="0"/>
                <w:sz w:val="28"/>
                <w:szCs w:val="28"/>
              </w:rPr>
              <w:t>Cons</w:t>
            </w:r>
            <w:proofErr w:type="spellEnd"/>
            <w:r w:rsidRPr="00641340">
              <w:rPr>
                <w:rFonts w:ascii="Palatino Linotype" w:hAnsi="Palatino Linotype"/>
                <w:b w:val="0"/>
                <w:sz w:val="28"/>
                <w:szCs w:val="28"/>
              </w:rPr>
              <w:t>. Stato, comm. spec., 23 giugno 2016, n. 1640, reso su uno specifico quesito posto dal Ministro per la semplificazione e la pubblica ammin</w:t>
            </w:r>
            <w:r w:rsidR="00641340">
              <w:rPr>
                <w:rFonts w:ascii="Palatino Linotype" w:hAnsi="Palatino Linotype"/>
                <w:b w:val="0"/>
                <w:sz w:val="28"/>
                <w:szCs w:val="28"/>
              </w:rPr>
              <w:t xml:space="preserve">istrazione; </w:t>
            </w:r>
            <w:r w:rsidRPr="00641340">
              <w:rPr>
                <w:rFonts w:ascii="Palatino Linotype" w:hAnsi="Palatino Linotype"/>
                <w:b w:val="0"/>
                <w:sz w:val="28"/>
                <w:szCs w:val="28"/>
              </w:rPr>
              <w:t>sez. V</w:t>
            </w:r>
            <w:r w:rsidR="00641340">
              <w:rPr>
                <w:rFonts w:ascii="Palatino Linotype" w:hAnsi="Palatino Linotype"/>
                <w:b w:val="0"/>
                <w:sz w:val="28"/>
                <w:szCs w:val="28"/>
              </w:rPr>
              <w:t>I, 1 ottobre 2019, n. 6556;</w:t>
            </w:r>
            <w:r w:rsidRPr="00641340">
              <w:rPr>
                <w:rFonts w:ascii="Palatino Linotype" w:hAnsi="Palatino Linotype"/>
                <w:b w:val="0"/>
                <w:sz w:val="28"/>
                <w:szCs w:val="28"/>
              </w:rPr>
              <w:t xml:space="preserve"> sez. IV,</w:t>
            </w:r>
            <w:r w:rsidR="00641340">
              <w:rPr>
                <w:rFonts w:ascii="Palatino Linotype" w:hAnsi="Palatino Linotype"/>
                <w:b w:val="0"/>
                <w:sz w:val="28"/>
                <w:szCs w:val="28"/>
              </w:rPr>
              <w:t xml:space="preserve"> 14 luglio 2020, n. 4559; </w:t>
            </w:r>
            <w:r w:rsidRPr="00641340">
              <w:rPr>
                <w:rFonts w:ascii="Palatino Linotype" w:hAnsi="Palatino Linotype"/>
                <w:b w:val="0"/>
                <w:sz w:val="28"/>
                <w:szCs w:val="28"/>
              </w:rPr>
              <w:t>sez. V, 14 gennaio 2022, n. 255</w:t>
            </w:r>
            <w:r w:rsidR="00641340">
              <w:rPr>
                <w:rFonts w:ascii="Palatino Linotype" w:hAnsi="Palatino Linotype"/>
                <w:b w:val="0"/>
                <w:sz w:val="28"/>
                <w:szCs w:val="28"/>
              </w:rPr>
              <w:t xml:space="preserve">). </w:t>
            </w:r>
          </w:p>
          <w:p w:rsidR="00641340" w:rsidRDefault="002553FA" w:rsidP="00641340">
            <w:pPr>
              <w:shd w:val="clear" w:color="auto" w:fill="FFFFFF"/>
              <w:spacing w:before="100" w:beforeAutospacing="1" w:after="100" w:afterAutospacing="1" w:line="252" w:lineRule="auto"/>
              <w:jc w:val="center"/>
              <w:rPr>
                <w:rFonts w:ascii="Palatino Linotype" w:hAnsi="Palatino Linotype"/>
                <w:b/>
                <w:bCs/>
                <w:color w:val="BF8F00"/>
                <w:sz w:val="32"/>
                <w:szCs w:val="32"/>
              </w:rPr>
            </w:pPr>
            <w:r>
              <w:rPr>
                <w:rFonts w:ascii="Palatino Linotype" w:hAnsi="Palatino Linotype"/>
                <w:b/>
                <w:bCs/>
                <w:color w:val="BF8F00"/>
                <w:sz w:val="32"/>
                <w:szCs w:val="32"/>
              </w:rPr>
              <w:t>(11</w:t>
            </w:r>
            <w:r w:rsidR="00641340">
              <w:rPr>
                <w:rFonts w:ascii="Palatino Linotype" w:hAnsi="Palatino Linotype"/>
                <w:b/>
                <w:bCs/>
                <w:color w:val="BF8F00"/>
                <w:sz w:val="32"/>
                <w:szCs w:val="32"/>
              </w:rPr>
              <w:t>)</w:t>
            </w:r>
          </w:p>
          <w:p w:rsidR="0026567E" w:rsidRDefault="0026567E" w:rsidP="00BE2855">
            <w:pPr>
              <w:pStyle w:val="Titolo1"/>
              <w:shd w:val="clear" w:color="auto" w:fill="FFFFFF"/>
              <w:spacing w:before="300" w:beforeAutospacing="0" w:after="150" w:afterAutospacing="0"/>
              <w:jc w:val="both"/>
              <w:outlineLvl w:val="0"/>
              <w:rPr>
                <w:rFonts w:ascii="Palatino Linotype" w:hAnsi="Palatino Linotype"/>
                <w:sz w:val="28"/>
                <w:szCs w:val="28"/>
              </w:rPr>
            </w:pPr>
          </w:p>
          <w:p w:rsidR="00F30D63" w:rsidRPr="00F30D63" w:rsidRDefault="00F30D63" w:rsidP="00BE2855">
            <w:pPr>
              <w:pStyle w:val="Titolo1"/>
              <w:shd w:val="clear" w:color="auto" w:fill="FFFFFF"/>
              <w:spacing w:before="300" w:beforeAutospacing="0" w:after="150" w:afterAutospacing="0"/>
              <w:jc w:val="both"/>
              <w:outlineLvl w:val="0"/>
              <w:rPr>
                <w:rFonts w:ascii="Palatino Linotype" w:hAnsi="Palatino Linotype"/>
                <w:sz w:val="28"/>
                <w:szCs w:val="28"/>
              </w:rPr>
            </w:pPr>
            <w:r w:rsidRPr="00F30D63">
              <w:rPr>
                <w:rFonts w:ascii="Palatino Linotype" w:hAnsi="Palatino Linotype"/>
                <w:sz w:val="28"/>
                <w:szCs w:val="28"/>
              </w:rPr>
              <w:t>Sospensione impropria del giudizio e pendenza della questione di legittimità costituzionale</w:t>
            </w:r>
            <w:r>
              <w:rPr>
                <w:rFonts w:ascii="Palatino Linotype" w:hAnsi="Palatino Linotype"/>
                <w:sz w:val="28"/>
                <w:szCs w:val="28"/>
              </w:rPr>
              <w:t>.</w:t>
            </w:r>
          </w:p>
          <w:p w:rsidR="00F30D63" w:rsidRDefault="00F30D63" w:rsidP="00F30D63">
            <w:pPr>
              <w:shd w:val="clear" w:color="auto" w:fill="FFFFFF"/>
              <w:jc w:val="both"/>
              <w:rPr>
                <w:rFonts w:ascii="Palatino Linotype" w:hAnsi="Palatino Linotype"/>
                <w:b/>
                <w:sz w:val="28"/>
                <w:szCs w:val="28"/>
              </w:rPr>
            </w:pPr>
          </w:p>
          <w:p w:rsidR="00F30D63" w:rsidRPr="00AD66F6" w:rsidRDefault="008F14E9" w:rsidP="00F30D63">
            <w:pPr>
              <w:shd w:val="clear" w:color="auto" w:fill="FFFFFF"/>
              <w:jc w:val="both"/>
              <w:rPr>
                <w:rFonts w:ascii="Palatino Linotype" w:hAnsi="Palatino Linotype"/>
                <w:b/>
                <w:color w:val="1F4E79" w:themeColor="accent1" w:themeShade="80"/>
                <w:sz w:val="28"/>
                <w:szCs w:val="28"/>
              </w:rPr>
            </w:pPr>
            <w:hyperlink r:id="rId13" w:history="1">
              <w:proofErr w:type="spellStart"/>
              <w:r w:rsidR="00F30D63" w:rsidRPr="00F30D63">
                <w:rPr>
                  <w:rStyle w:val="Collegamentoipertestuale"/>
                  <w:rFonts w:ascii="Palatino Linotype" w:hAnsi="Palatino Linotype"/>
                  <w:b/>
                  <w:sz w:val="28"/>
                  <w:szCs w:val="28"/>
                </w:rPr>
                <w:t>T.a.r</w:t>
              </w:r>
              <w:proofErr w:type="spellEnd"/>
              <w:r w:rsidR="00F30D63" w:rsidRPr="00F30D63">
                <w:rPr>
                  <w:rStyle w:val="Collegamentoipertestuale"/>
                  <w:rFonts w:ascii="Palatino Linotype" w:hAnsi="Palatino Linotype"/>
                  <w:b/>
                  <w:sz w:val="28"/>
                  <w:szCs w:val="28"/>
                </w:rPr>
                <w:t xml:space="preserve">. per la Sicilia, Catania, sezione II, ordinanza 27 ottobre 2022, n. 2848, Pres. </w:t>
              </w:r>
              <w:proofErr w:type="spellStart"/>
              <w:r w:rsidR="00F30D63" w:rsidRPr="00F30D63">
                <w:rPr>
                  <w:rStyle w:val="Collegamentoipertestuale"/>
                  <w:rFonts w:ascii="Palatino Linotype" w:hAnsi="Palatino Linotype"/>
                  <w:b/>
                  <w:sz w:val="28"/>
                  <w:szCs w:val="28"/>
                </w:rPr>
                <w:t>Brugaletta</w:t>
              </w:r>
              <w:proofErr w:type="spellEnd"/>
              <w:r w:rsidR="00F30D63" w:rsidRPr="00F30D63">
                <w:rPr>
                  <w:rStyle w:val="Collegamentoipertestuale"/>
                  <w:rFonts w:ascii="Palatino Linotype" w:hAnsi="Palatino Linotype"/>
                  <w:b/>
                  <w:sz w:val="28"/>
                  <w:szCs w:val="28"/>
                </w:rPr>
                <w:t>, Est. Dato</w:t>
              </w:r>
            </w:hyperlink>
          </w:p>
          <w:p w:rsidR="00F30D63" w:rsidRPr="00C0640B" w:rsidRDefault="00F30D63" w:rsidP="00F30D63">
            <w:pPr>
              <w:shd w:val="clear" w:color="auto" w:fill="FFFFFF"/>
              <w:jc w:val="both"/>
              <w:rPr>
                <w:rFonts w:ascii="Palatino Linotype" w:hAnsi="Palatino Linotype"/>
                <w:sz w:val="28"/>
                <w:szCs w:val="28"/>
              </w:rPr>
            </w:pPr>
          </w:p>
          <w:p w:rsidR="00F30D63" w:rsidRDefault="00F30D63" w:rsidP="00F30D63">
            <w:pPr>
              <w:shd w:val="clear" w:color="auto" w:fill="FFFFFF"/>
              <w:jc w:val="both"/>
              <w:rPr>
                <w:rFonts w:ascii="Palatino Linotype" w:hAnsi="Palatino Linotype"/>
                <w:sz w:val="28"/>
                <w:szCs w:val="28"/>
              </w:rPr>
            </w:pPr>
          </w:p>
          <w:p w:rsidR="00F30D63" w:rsidRPr="00F30D63" w:rsidRDefault="00F30D63" w:rsidP="00F30D63">
            <w:pPr>
              <w:shd w:val="clear" w:color="auto" w:fill="FFFFFF"/>
              <w:jc w:val="both"/>
              <w:rPr>
                <w:rFonts w:ascii="Palatino Linotype" w:hAnsi="Palatino Linotype"/>
                <w:sz w:val="28"/>
                <w:szCs w:val="28"/>
              </w:rPr>
            </w:pPr>
            <w:r>
              <w:rPr>
                <w:rFonts w:ascii="Palatino Linotype" w:hAnsi="Palatino Linotype"/>
                <w:sz w:val="28"/>
                <w:szCs w:val="28"/>
              </w:rPr>
              <w:t>N</w:t>
            </w:r>
            <w:r w:rsidRPr="00F30D63">
              <w:rPr>
                <w:rFonts w:ascii="Palatino Linotype" w:hAnsi="Palatino Linotype"/>
                <w:sz w:val="28"/>
                <w:szCs w:val="28"/>
              </w:rPr>
              <w:t>el processo amministrativo trova ingresso la sospensione impropria del giudizio principale, stante la pendenza della questione di legittimità costituzionale di una norma sollevata in una diversa causa.</w:t>
            </w:r>
          </w:p>
          <w:p w:rsidR="00F30D63" w:rsidRPr="00F30D63" w:rsidRDefault="00F30D63" w:rsidP="00F30D63">
            <w:pPr>
              <w:shd w:val="clear" w:color="auto" w:fill="FFFFFF"/>
              <w:jc w:val="both"/>
              <w:rPr>
                <w:rFonts w:ascii="Palatino Linotype" w:hAnsi="Palatino Linotype"/>
                <w:sz w:val="28"/>
                <w:szCs w:val="28"/>
              </w:rPr>
            </w:pPr>
          </w:p>
          <w:p w:rsidR="00F30D63" w:rsidRDefault="00F30D63" w:rsidP="00F30D63">
            <w:pPr>
              <w:shd w:val="clear" w:color="auto" w:fill="FFFFFF"/>
              <w:jc w:val="both"/>
              <w:rPr>
                <w:rFonts w:ascii="Palatino Linotype" w:hAnsi="Palatino Linotype"/>
                <w:b/>
                <w:color w:val="833C0B" w:themeColor="accent2" w:themeShade="80"/>
                <w:sz w:val="28"/>
                <w:szCs w:val="28"/>
              </w:rPr>
            </w:pPr>
            <w:r w:rsidRPr="00F30D63">
              <w:rPr>
                <w:rFonts w:ascii="Palatino Linotype" w:hAnsi="Palatino Linotype"/>
                <w:sz w:val="28"/>
                <w:szCs w:val="28"/>
              </w:rPr>
              <w:t xml:space="preserve">Ai fini della prosecuzione del giudizio sospeso, deve essere presentata l’istanza di fissazione di udienza entro il termine </w:t>
            </w:r>
            <w:proofErr w:type="spellStart"/>
            <w:r w:rsidRPr="00F30D63">
              <w:rPr>
                <w:rFonts w:ascii="Palatino Linotype" w:hAnsi="Palatino Linotype"/>
                <w:sz w:val="28"/>
                <w:szCs w:val="28"/>
              </w:rPr>
              <w:t>decadenziale</w:t>
            </w:r>
            <w:proofErr w:type="spellEnd"/>
            <w:r w:rsidRPr="00F30D63">
              <w:rPr>
                <w:rFonts w:ascii="Palatino Linotype" w:hAnsi="Palatino Linotype"/>
                <w:sz w:val="28"/>
                <w:szCs w:val="28"/>
              </w:rPr>
              <w:t xml:space="preserve"> di 90 giorni, decorr</w:t>
            </w:r>
            <w:r w:rsidR="0026567E">
              <w:rPr>
                <w:rFonts w:ascii="Palatino Linotype" w:hAnsi="Palatino Linotype"/>
                <w:sz w:val="28"/>
                <w:szCs w:val="28"/>
              </w:rPr>
              <w:t>enti dalla pubblicazione nella g</w:t>
            </w:r>
            <w:r w:rsidRPr="00F30D63">
              <w:rPr>
                <w:rFonts w:ascii="Palatino Linotype" w:hAnsi="Palatino Linotype"/>
                <w:sz w:val="28"/>
                <w:szCs w:val="28"/>
              </w:rPr>
              <w:t xml:space="preserve">azzetta ufficiale del provvedimento della Corte costituzionale, pena l’estinzione del giudizio, ex art. 35, comma 2, </w:t>
            </w:r>
            <w:proofErr w:type="spellStart"/>
            <w:r w:rsidRPr="00F30D63">
              <w:rPr>
                <w:rFonts w:ascii="Palatino Linotype" w:hAnsi="Palatino Linotype"/>
                <w:sz w:val="28"/>
                <w:szCs w:val="28"/>
              </w:rPr>
              <w:t>lett</w:t>
            </w:r>
            <w:proofErr w:type="spellEnd"/>
            <w:r w:rsidRPr="00F30D63">
              <w:rPr>
                <w:rFonts w:ascii="Palatino Linotype" w:hAnsi="Palatino Linotype"/>
                <w:sz w:val="28"/>
                <w:szCs w:val="28"/>
              </w:rPr>
              <w:t xml:space="preserve">. a), </w:t>
            </w:r>
            <w:proofErr w:type="spellStart"/>
            <w:r w:rsidRPr="00F30D63">
              <w:rPr>
                <w:rFonts w:ascii="Palatino Linotype" w:hAnsi="Palatino Linotype"/>
                <w:sz w:val="28"/>
                <w:szCs w:val="28"/>
              </w:rPr>
              <w:t>c.p.a</w:t>
            </w:r>
            <w:proofErr w:type="spellEnd"/>
            <w:r w:rsidRPr="00F30D63">
              <w:rPr>
                <w:rFonts w:ascii="Palatino Linotype" w:hAnsi="Palatino Linotype"/>
                <w:sz w:val="28"/>
                <w:szCs w:val="28"/>
              </w:rPr>
              <w:t>.</w:t>
            </w:r>
          </w:p>
          <w:p w:rsidR="002839F1" w:rsidRDefault="002839F1" w:rsidP="00641340">
            <w:pPr>
              <w:shd w:val="clear" w:color="auto" w:fill="FFFFFF"/>
              <w:spacing w:before="100" w:beforeAutospacing="1" w:after="100" w:afterAutospacing="1" w:line="252" w:lineRule="auto"/>
              <w:jc w:val="center"/>
              <w:rPr>
                <w:rFonts w:ascii="Palatino Linotype" w:hAnsi="Palatino Linotype"/>
                <w:b/>
                <w:bCs/>
                <w:color w:val="BF8F00"/>
                <w:sz w:val="32"/>
                <w:szCs w:val="32"/>
              </w:rPr>
            </w:pPr>
          </w:p>
          <w:p w:rsidR="00C0640B" w:rsidRDefault="002553FA" w:rsidP="00641340">
            <w:pPr>
              <w:shd w:val="clear" w:color="auto" w:fill="FFFFFF"/>
              <w:spacing w:before="100" w:beforeAutospacing="1" w:after="100" w:afterAutospacing="1" w:line="252" w:lineRule="auto"/>
              <w:jc w:val="center"/>
              <w:rPr>
                <w:rFonts w:ascii="Palatino Linotype" w:hAnsi="Palatino Linotype"/>
                <w:b/>
                <w:bCs/>
                <w:color w:val="BF8F00"/>
                <w:sz w:val="32"/>
                <w:szCs w:val="32"/>
              </w:rPr>
            </w:pPr>
            <w:r>
              <w:rPr>
                <w:rFonts w:ascii="Palatino Linotype" w:hAnsi="Palatino Linotype"/>
                <w:b/>
                <w:bCs/>
                <w:color w:val="BF8F00"/>
                <w:sz w:val="32"/>
                <w:szCs w:val="32"/>
              </w:rPr>
              <w:t>(12</w:t>
            </w:r>
            <w:r w:rsidR="00C0640B">
              <w:rPr>
                <w:rFonts w:ascii="Palatino Linotype" w:hAnsi="Palatino Linotype"/>
                <w:b/>
                <w:bCs/>
                <w:color w:val="BF8F00"/>
                <w:sz w:val="32"/>
                <w:szCs w:val="32"/>
              </w:rPr>
              <w:t>)</w:t>
            </w:r>
          </w:p>
          <w:p w:rsidR="00C0640B" w:rsidRPr="00C0640B" w:rsidRDefault="00C0640B" w:rsidP="009517BE">
            <w:pPr>
              <w:shd w:val="clear" w:color="auto" w:fill="FFFFFF"/>
              <w:jc w:val="both"/>
              <w:rPr>
                <w:rFonts w:ascii="Palatino Linotype" w:hAnsi="Palatino Linotype"/>
                <w:b/>
                <w:color w:val="833C0B" w:themeColor="accent2" w:themeShade="80"/>
                <w:sz w:val="28"/>
                <w:szCs w:val="28"/>
              </w:rPr>
            </w:pPr>
          </w:p>
          <w:p w:rsidR="00C76497" w:rsidRDefault="005134B7" w:rsidP="00C0640B">
            <w:pPr>
              <w:shd w:val="clear" w:color="auto" w:fill="FFFFFF"/>
              <w:jc w:val="both"/>
              <w:rPr>
                <w:rFonts w:ascii="Palatino Linotype" w:hAnsi="Palatino Linotype"/>
                <w:b/>
                <w:sz w:val="28"/>
                <w:szCs w:val="28"/>
              </w:rPr>
            </w:pPr>
            <w:r w:rsidRPr="005134B7">
              <w:rPr>
                <w:rFonts w:ascii="Palatino Linotype" w:hAnsi="Palatino Linotype"/>
                <w:b/>
                <w:sz w:val="28"/>
                <w:szCs w:val="28"/>
              </w:rPr>
              <w:t xml:space="preserve">Parere regionale di conformità al PUT e silenzio assenso ex art. 17 </w:t>
            </w:r>
            <w:r w:rsidRPr="005134B7">
              <w:rPr>
                <w:rFonts w:ascii="Palatino Linotype" w:hAnsi="Palatino Linotype"/>
                <w:b/>
                <w:i/>
                <w:sz w:val="28"/>
                <w:szCs w:val="28"/>
              </w:rPr>
              <w:t>bis</w:t>
            </w:r>
            <w:r w:rsidRPr="005134B7">
              <w:rPr>
                <w:rFonts w:ascii="Palatino Linotype" w:hAnsi="Palatino Linotype"/>
                <w:b/>
                <w:sz w:val="28"/>
                <w:szCs w:val="28"/>
              </w:rPr>
              <w:t xml:space="preserve"> l. 241 del 1990</w:t>
            </w:r>
            <w:r>
              <w:rPr>
                <w:rFonts w:ascii="Palatino Linotype" w:hAnsi="Palatino Linotype"/>
                <w:b/>
                <w:sz w:val="28"/>
                <w:szCs w:val="28"/>
              </w:rPr>
              <w:t>.</w:t>
            </w:r>
          </w:p>
          <w:p w:rsidR="00C76497" w:rsidRDefault="00C76497" w:rsidP="00C0640B">
            <w:pPr>
              <w:shd w:val="clear" w:color="auto" w:fill="FFFFFF"/>
              <w:jc w:val="both"/>
              <w:rPr>
                <w:rFonts w:ascii="Palatino Linotype" w:hAnsi="Palatino Linotype"/>
                <w:b/>
                <w:sz w:val="28"/>
                <w:szCs w:val="28"/>
              </w:rPr>
            </w:pPr>
          </w:p>
          <w:p w:rsidR="005134B7" w:rsidRDefault="005134B7" w:rsidP="00C0640B">
            <w:pPr>
              <w:shd w:val="clear" w:color="auto" w:fill="FFFFFF"/>
              <w:jc w:val="both"/>
              <w:rPr>
                <w:rFonts w:ascii="Palatino Linotype" w:hAnsi="Palatino Linotype"/>
                <w:b/>
                <w:sz w:val="28"/>
                <w:szCs w:val="28"/>
              </w:rPr>
            </w:pPr>
          </w:p>
          <w:p w:rsidR="00C0640B" w:rsidRPr="00AD66F6" w:rsidRDefault="008F14E9" w:rsidP="00C0640B">
            <w:pPr>
              <w:shd w:val="clear" w:color="auto" w:fill="FFFFFF"/>
              <w:jc w:val="both"/>
              <w:rPr>
                <w:rFonts w:ascii="Palatino Linotype" w:hAnsi="Palatino Linotype"/>
                <w:b/>
                <w:color w:val="1F4E79" w:themeColor="accent1" w:themeShade="80"/>
                <w:sz w:val="28"/>
                <w:szCs w:val="28"/>
              </w:rPr>
            </w:pPr>
            <w:hyperlink r:id="rId14" w:history="1">
              <w:proofErr w:type="spellStart"/>
              <w:r w:rsidR="00CB58A2" w:rsidRPr="005134B7">
                <w:rPr>
                  <w:rStyle w:val="Collegamentoipertestuale"/>
                  <w:rFonts w:ascii="Palatino Linotype" w:hAnsi="Palatino Linotype"/>
                  <w:b/>
                  <w:sz w:val="28"/>
                  <w:szCs w:val="28"/>
                </w:rPr>
                <w:t>T.a.r</w:t>
              </w:r>
              <w:proofErr w:type="spellEnd"/>
              <w:r w:rsidR="00CB58A2" w:rsidRPr="005134B7">
                <w:rPr>
                  <w:rStyle w:val="Collegamentoipertestuale"/>
                  <w:rFonts w:ascii="Palatino Linotype" w:hAnsi="Palatino Linotype"/>
                  <w:b/>
                  <w:sz w:val="28"/>
                  <w:szCs w:val="28"/>
                </w:rPr>
                <w:t>.</w:t>
              </w:r>
              <w:r w:rsidR="00C0640B" w:rsidRPr="005134B7">
                <w:rPr>
                  <w:rStyle w:val="Collegamentoipertestuale"/>
                  <w:rFonts w:ascii="Palatino Linotype" w:hAnsi="Palatino Linotype"/>
                  <w:b/>
                  <w:sz w:val="28"/>
                  <w:szCs w:val="28"/>
                </w:rPr>
                <w:t xml:space="preserve"> per </w:t>
              </w:r>
              <w:r w:rsidR="005134B7" w:rsidRPr="005134B7">
                <w:rPr>
                  <w:rStyle w:val="Collegamentoipertestuale"/>
                  <w:rFonts w:ascii="Palatino Linotype" w:hAnsi="Palatino Linotype"/>
                  <w:b/>
                  <w:sz w:val="28"/>
                  <w:szCs w:val="28"/>
                </w:rPr>
                <w:t>la Campania, Napoli</w:t>
              </w:r>
              <w:r w:rsidR="00AB0A2A" w:rsidRPr="005134B7">
                <w:rPr>
                  <w:rStyle w:val="Collegamentoipertestuale"/>
                  <w:rFonts w:ascii="Palatino Linotype" w:hAnsi="Palatino Linotype"/>
                  <w:b/>
                  <w:sz w:val="28"/>
                  <w:szCs w:val="28"/>
                </w:rPr>
                <w:t xml:space="preserve">, </w:t>
              </w:r>
              <w:r w:rsidR="00C0640B" w:rsidRPr="005134B7">
                <w:rPr>
                  <w:rStyle w:val="Collegamentoipertestuale"/>
                  <w:rFonts w:ascii="Palatino Linotype" w:hAnsi="Palatino Linotype"/>
                  <w:b/>
                  <w:sz w:val="28"/>
                  <w:szCs w:val="28"/>
                </w:rPr>
                <w:t>sezione V</w:t>
              </w:r>
              <w:r w:rsidR="005134B7" w:rsidRPr="005134B7">
                <w:rPr>
                  <w:rStyle w:val="Collegamentoipertestuale"/>
                  <w:rFonts w:ascii="Palatino Linotype" w:hAnsi="Palatino Linotype"/>
                  <w:b/>
                  <w:sz w:val="28"/>
                  <w:szCs w:val="28"/>
                </w:rPr>
                <w:t>II, 24 ottobre 2022, n. 6303</w:t>
              </w:r>
              <w:r w:rsidR="00C0640B" w:rsidRPr="005134B7">
                <w:rPr>
                  <w:rStyle w:val="Collegamentoipertestuale"/>
                  <w:rFonts w:ascii="Palatino Linotype" w:hAnsi="Palatino Linotype"/>
                  <w:b/>
                  <w:sz w:val="28"/>
                  <w:szCs w:val="28"/>
                </w:rPr>
                <w:t xml:space="preserve">, </w:t>
              </w:r>
              <w:r w:rsidR="005134B7" w:rsidRPr="005134B7">
                <w:rPr>
                  <w:rStyle w:val="Collegamentoipertestuale"/>
                  <w:rFonts w:ascii="Palatino Linotype" w:hAnsi="Palatino Linotype"/>
                  <w:b/>
                  <w:sz w:val="28"/>
                  <w:szCs w:val="28"/>
                </w:rPr>
                <w:t>Pres. Liguori, Est. Lenzi</w:t>
              </w:r>
            </w:hyperlink>
          </w:p>
          <w:p w:rsidR="00C0640B" w:rsidRPr="00C0640B" w:rsidRDefault="00C0640B" w:rsidP="00C0640B">
            <w:pPr>
              <w:shd w:val="clear" w:color="auto" w:fill="FFFFFF"/>
              <w:jc w:val="both"/>
              <w:rPr>
                <w:rFonts w:ascii="Palatino Linotype" w:hAnsi="Palatino Linotype"/>
                <w:sz w:val="28"/>
                <w:szCs w:val="28"/>
              </w:rPr>
            </w:pPr>
          </w:p>
          <w:p w:rsidR="005134B7" w:rsidRDefault="005134B7" w:rsidP="005134B7">
            <w:pPr>
              <w:shd w:val="clear" w:color="auto" w:fill="FFFFFF"/>
              <w:jc w:val="both"/>
              <w:rPr>
                <w:rFonts w:ascii="Palatino Linotype" w:hAnsi="Palatino Linotype"/>
                <w:sz w:val="28"/>
                <w:szCs w:val="28"/>
              </w:rPr>
            </w:pPr>
          </w:p>
          <w:p w:rsidR="005134B7" w:rsidRPr="005134B7" w:rsidRDefault="005134B7" w:rsidP="005134B7">
            <w:pPr>
              <w:shd w:val="clear" w:color="auto" w:fill="FFFFFF"/>
              <w:jc w:val="both"/>
              <w:rPr>
                <w:rFonts w:ascii="Palatino Linotype" w:hAnsi="Palatino Linotype"/>
                <w:sz w:val="28"/>
                <w:szCs w:val="28"/>
              </w:rPr>
            </w:pPr>
            <w:r w:rsidRPr="005134B7">
              <w:rPr>
                <w:rFonts w:ascii="Palatino Linotype" w:hAnsi="Palatino Linotype"/>
                <w:sz w:val="28"/>
                <w:szCs w:val="28"/>
              </w:rPr>
              <w:t xml:space="preserve">In tema di parere regionale di conformità al PUT di un’opera pubblica comunale, non può configurarsi la formazione del cd. silenzio assenso orizzontale, secondo il meccanismo previsto dall’art. 17 </w:t>
            </w:r>
            <w:r w:rsidRPr="0026567E">
              <w:rPr>
                <w:rFonts w:ascii="Palatino Linotype" w:hAnsi="Palatino Linotype"/>
                <w:i/>
                <w:sz w:val="28"/>
                <w:szCs w:val="28"/>
              </w:rPr>
              <w:t>bis</w:t>
            </w:r>
            <w:r w:rsidRPr="005134B7">
              <w:rPr>
                <w:rFonts w:ascii="Palatino Linotype" w:hAnsi="Palatino Linotype"/>
                <w:sz w:val="28"/>
                <w:szCs w:val="28"/>
              </w:rPr>
              <w:t>, comma 3, della legge n. 241 del 1990, qualora non sia stato predisposto e trasmesso dall’amministrazione comunale lo schema di provvedimento, cui la normativa fa riferimento, all’autorità coinvolta nel procedimento.</w:t>
            </w:r>
          </w:p>
          <w:p w:rsidR="005134B7" w:rsidRPr="005134B7" w:rsidRDefault="005134B7" w:rsidP="005134B7">
            <w:pPr>
              <w:shd w:val="clear" w:color="auto" w:fill="FFFFFF"/>
              <w:jc w:val="both"/>
              <w:rPr>
                <w:rFonts w:ascii="Palatino Linotype" w:hAnsi="Palatino Linotype"/>
                <w:sz w:val="28"/>
                <w:szCs w:val="28"/>
              </w:rPr>
            </w:pPr>
          </w:p>
          <w:p w:rsidR="00C0640B" w:rsidRDefault="005134B7" w:rsidP="00BE2855">
            <w:pPr>
              <w:shd w:val="clear" w:color="auto" w:fill="FFFFFF"/>
              <w:jc w:val="both"/>
              <w:rPr>
                <w:rFonts w:ascii="Palatino Linotype" w:hAnsi="Palatino Linotype"/>
                <w:sz w:val="28"/>
                <w:szCs w:val="28"/>
              </w:rPr>
            </w:pPr>
            <w:r w:rsidRPr="005134B7">
              <w:rPr>
                <w:rFonts w:ascii="Palatino Linotype" w:hAnsi="Palatino Linotype"/>
                <w:sz w:val="28"/>
                <w:szCs w:val="28"/>
              </w:rPr>
              <w:t xml:space="preserve">Nei rapporti orizzontali tra pubbliche amministrazioni, il legislatore ha predisposto un istituto di semplificazione, con l’intento di evitare che, ove il procedimento debba concludersi con l’adozione di una decisione </w:t>
            </w:r>
            <w:proofErr w:type="spellStart"/>
            <w:r w:rsidRPr="005134B7">
              <w:rPr>
                <w:rFonts w:ascii="Palatino Linotype" w:hAnsi="Palatino Linotype"/>
                <w:sz w:val="28"/>
                <w:szCs w:val="28"/>
              </w:rPr>
              <w:t>pluristrutturata</w:t>
            </w:r>
            <w:proofErr w:type="spellEnd"/>
            <w:r w:rsidRPr="005134B7">
              <w:rPr>
                <w:rFonts w:ascii="Palatino Linotype" w:hAnsi="Palatino Linotype"/>
                <w:sz w:val="28"/>
                <w:szCs w:val="28"/>
              </w:rPr>
              <w:t xml:space="preserve"> implicante un accordo tra più amministrazioni co-decidenti, </w:t>
            </w:r>
            <w:r w:rsidRPr="005134B7">
              <w:rPr>
                <w:rFonts w:ascii="Palatino Linotype" w:hAnsi="Palatino Linotype"/>
                <w:sz w:val="28"/>
                <w:szCs w:val="28"/>
              </w:rPr>
              <w:lastRenderedPageBreak/>
              <w:t>la condotta inerte dell’amministrazione interpellata possa produrre un arresto del procedimento, impedendo la tempestiva adozione della determinazione conclusiva. Tale esigenza viene contemperata dalla necessità che l’amministrazione procedente abbia predisposto e trasmesso uno “schema di provvedimento” all’amministrazione competente a rendere il proprio assenso, in modo da responsabilizzare l’amministrazione co-decidente e valorizzarne l’inerzia mantenuta per il termine previsto. Ne discende che un “tacito assenso” può formarsi solo alla tassativa condizione che l’Amministrazione coinvolta abbia piena e completa cognizione del tipo di provvedimento che si intende assumere</w:t>
            </w:r>
            <w:r w:rsidR="00BE2855">
              <w:rPr>
                <w:rFonts w:ascii="Palatino Linotype" w:hAnsi="Palatino Linotype"/>
                <w:sz w:val="28"/>
                <w:szCs w:val="28"/>
              </w:rPr>
              <w:t>.</w:t>
            </w:r>
          </w:p>
          <w:p w:rsidR="00E11054" w:rsidRDefault="00E11054" w:rsidP="00BE2855">
            <w:pPr>
              <w:shd w:val="clear" w:color="auto" w:fill="FFFFFF"/>
              <w:jc w:val="both"/>
              <w:rPr>
                <w:rFonts w:ascii="Palatino Linotype" w:hAnsi="Palatino Linotype"/>
                <w:sz w:val="28"/>
                <w:szCs w:val="28"/>
              </w:rPr>
            </w:pPr>
          </w:p>
          <w:p w:rsidR="00E11054" w:rsidRDefault="00E11054" w:rsidP="00E11054">
            <w:pPr>
              <w:shd w:val="clear" w:color="auto" w:fill="FFFFFF"/>
              <w:jc w:val="center"/>
              <w:rPr>
                <w:rFonts w:ascii="Palatino Linotype" w:hAnsi="Palatino Linotype"/>
                <w:b/>
                <w:color w:val="1F4E79" w:themeColor="accent1" w:themeShade="80"/>
                <w:sz w:val="28"/>
                <w:szCs w:val="28"/>
              </w:rPr>
            </w:pPr>
          </w:p>
          <w:p w:rsidR="00E11054" w:rsidRDefault="00E11054" w:rsidP="00E11054">
            <w:pPr>
              <w:shd w:val="clear" w:color="auto" w:fill="FFFFFF"/>
              <w:jc w:val="center"/>
              <w:rPr>
                <w:rFonts w:ascii="Palatino Linotype" w:hAnsi="Palatino Linotype"/>
                <w:b/>
                <w:color w:val="1F4E79" w:themeColor="accent1" w:themeShade="80"/>
                <w:sz w:val="32"/>
                <w:szCs w:val="32"/>
              </w:rPr>
            </w:pPr>
            <w:r w:rsidRPr="00E11054">
              <w:rPr>
                <w:rFonts w:ascii="Palatino Linotype" w:hAnsi="Palatino Linotype"/>
                <w:b/>
                <w:color w:val="1F4E79" w:themeColor="accent1" w:themeShade="80"/>
                <w:sz w:val="32"/>
                <w:szCs w:val="32"/>
              </w:rPr>
              <w:t>Consiglio di Stato – Pareri</w:t>
            </w:r>
          </w:p>
          <w:p w:rsidR="002839F1" w:rsidRDefault="002839F1" w:rsidP="002839F1">
            <w:pPr>
              <w:shd w:val="clear" w:color="auto" w:fill="FFFFFF"/>
              <w:spacing w:before="100" w:beforeAutospacing="1" w:after="100" w:afterAutospacing="1" w:line="252" w:lineRule="auto"/>
              <w:jc w:val="center"/>
              <w:rPr>
                <w:rFonts w:ascii="Palatino Linotype" w:hAnsi="Palatino Linotype"/>
                <w:b/>
                <w:bCs/>
                <w:color w:val="BF8F00"/>
                <w:sz w:val="32"/>
                <w:szCs w:val="32"/>
              </w:rPr>
            </w:pPr>
            <w:r>
              <w:rPr>
                <w:rFonts w:ascii="Palatino Linotype" w:hAnsi="Palatino Linotype"/>
                <w:b/>
                <w:bCs/>
                <w:color w:val="BF8F00"/>
                <w:sz w:val="32"/>
                <w:szCs w:val="32"/>
              </w:rPr>
              <w:t>(1</w:t>
            </w:r>
            <w:r w:rsidR="002553FA">
              <w:rPr>
                <w:rFonts w:ascii="Palatino Linotype" w:hAnsi="Palatino Linotype"/>
                <w:b/>
                <w:bCs/>
                <w:color w:val="BF8F00"/>
                <w:sz w:val="32"/>
                <w:szCs w:val="32"/>
              </w:rPr>
              <w:t>3</w:t>
            </w:r>
            <w:r>
              <w:rPr>
                <w:rFonts w:ascii="Palatino Linotype" w:hAnsi="Palatino Linotype"/>
                <w:b/>
                <w:bCs/>
                <w:color w:val="BF8F00"/>
                <w:sz w:val="32"/>
                <w:szCs w:val="32"/>
              </w:rPr>
              <w:t>)</w:t>
            </w:r>
          </w:p>
          <w:p w:rsidR="00E11054" w:rsidRPr="00E11054" w:rsidRDefault="00E11054" w:rsidP="00E11054">
            <w:pPr>
              <w:shd w:val="clear" w:color="auto" w:fill="FFFFFF"/>
              <w:jc w:val="both"/>
              <w:rPr>
                <w:rFonts w:ascii="Palatino Linotype" w:hAnsi="Palatino Linotype"/>
                <w:b/>
                <w:sz w:val="28"/>
                <w:szCs w:val="28"/>
              </w:rPr>
            </w:pPr>
            <w:r w:rsidRPr="00E11054">
              <w:rPr>
                <w:rFonts w:ascii="Palatino Linotype" w:hAnsi="Palatino Linotype"/>
                <w:b/>
                <w:sz w:val="28"/>
                <w:szCs w:val="28"/>
              </w:rPr>
              <w:t xml:space="preserve">Il </w:t>
            </w:r>
            <w:proofErr w:type="spellStart"/>
            <w:r w:rsidRPr="00E11054">
              <w:rPr>
                <w:rFonts w:ascii="Palatino Linotype" w:hAnsi="Palatino Linotype"/>
                <w:b/>
                <w:sz w:val="28"/>
                <w:szCs w:val="28"/>
              </w:rPr>
              <w:t>C.g.a</w:t>
            </w:r>
            <w:proofErr w:type="spellEnd"/>
            <w:r w:rsidRPr="00E11054">
              <w:rPr>
                <w:rFonts w:ascii="Palatino Linotype" w:hAnsi="Palatino Linotype"/>
                <w:b/>
                <w:sz w:val="28"/>
                <w:szCs w:val="28"/>
              </w:rPr>
              <w:t>. ritiene legittima la scelta della Regione di affrontare il futuro incremento di domanda di prestazioni odontoiatriche con il potenziamento dell’efficienza delle strutture pubbliche, piuttosto che accreditare altre strutture sanitarie.</w:t>
            </w:r>
          </w:p>
          <w:p w:rsidR="00E11054" w:rsidRPr="00E11054" w:rsidRDefault="00E11054" w:rsidP="00E11054">
            <w:pPr>
              <w:shd w:val="clear" w:color="auto" w:fill="FFFFFF"/>
              <w:jc w:val="both"/>
              <w:rPr>
                <w:rFonts w:ascii="Palatino Linotype" w:hAnsi="Palatino Linotype"/>
                <w:b/>
                <w:sz w:val="28"/>
                <w:szCs w:val="28"/>
              </w:rPr>
            </w:pPr>
          </w:p>
          <w:p w:rsidR="00E11054" w:rsidRPr="00E11054" w:rsidRDefault="00E11054" w:rsidP="00E11054">
            <w:pPr>
              <w:shd w:val="clear" w:color="auto" w:fill="FFFFFF"/>
              <w:jc w:val="both"/>
              <w:rPr>
                <w:rFonts w:ascii="Palatino Linotype" w:hAnsi="Palatino Linotype"/>
                <w:b/>
                <w:color w:val="1F4E79" w:themeColor="accent1" w:themeShade="80"/>
                <w:sz w:val="28"/>
                <w:szCs w:val="28"/>
              </w:rPr>
            </w:pPr>
            <w:r w:rsidRPr="00E11054">
              <w:rPr>
                <w:rFonts w:ascii="Palatino Linotype" w:hAnsi="Palatino Linotype"/>
                <w:b/>
                <w:color w:val="1F4E79" w:themeColor="accent1" w:themeShade="80"/>
                <w:sz w:val="28"/>
                <w:szCs w:val="28"/>
              </w:rPr>
              <w:t xml:space="preserve">Consiglio di giustizia amministrativa per la Regione Siciliana, sezioni riunite, 31 ottobre 2022, n. 531 - </w:t>
            </w:r>
            <w:proofErr w:type="spellStart"/>
            <w:r w:rsidRPr="00E11054">
              <w:rPr>
                <w:rFonts w:ascii="Palatino Linotype" w:hAnsi="Palatino Linotype"/>
                <w:b/>
                <w:color w:val="1F4E79" w:themeColor="accent1" w:themeShade="80"/>
                <w:sz w:val="28"/>
                <w:szCs w:val="28"/>
              </w:rPr>
              <w:t>Pres</w:t>
            </w:r>
            <w:proofErr w:type="spellEnd"/>
            <w:r w:rsidRPr="00E11054">
              <w:rPr>
                <w:rFonts w:ascii="Palatino Linotype" w:hAnsi="Palatino Linotype"/>
                <w:b/>
                <w:color w:val="1F4E79" w:themeColor="accent1" w:themeShade="80"/>
                <w:sz w:val="28"/>
                <w:szCs w:val="28"/>
              </w:rPr>
              <w:t>. Carlotti, Est. La Ganga</w:t>
            </w:r>
          </w:p>
          <w:p w:rsidR="00E11054" w:rsidRPr="00E11054" w:rsidRDefault="00E11054" w:rsidP="00E11054">
            <w:pPr>
              <w:shd w:val="clear" w:color="auto" w:fill="FFFFFF"/>
              <w:jc w:val="both"/>
              <w:rPr>
                <w:rFonts w:ascii="Palatino Linotype" w:hAnsi="Palatino Linotype"/>
                <w:b/>
                <w:color w:val="1F4E79" w:themeColor="accent1" w:themeShade="80"/>
                <w:sz w:val="28"/>
                <w:szCs w:val="28"/>
              </w:rPr>
            </w:pPr>
          </w:p>
          <w:p w:rsidR="00E11054" w:rsidRPr="00E11054" w:rsidRDefault="00E11054" w:rsidP="00E11054">
            <w:pPr>
              <w:shd w:val="clear" w:color="auto" w:fill="FFFFFF"/>
              <w:jc w:val="both"/>
              <w:rPr>
                <w:rFonts w:ascii="Palatino Linotype" w:hAnsi="Palatino Linotype"/>
                <w:sz w:val="28"/>
                <w:szCs w:val="28"/>
              </w:rPr>
            </w:pPr>
            <w:r w:rsidRPr="00E11054">
              <w:rPr>
                <w:rFonts w:ascii="Palatino Linotype" w:hAnsi="Palatino Linotype"/>
                <w:sz w:val="28"/>
                <w:szCs w:val="28"/>
              </w:rPr>
              <w:t xml:space="preserve">Il decreto assessoriale che approva il “Piano di valutazione del fabbisogno di specialistica ambulatoriale per la branca di odontoiatria” è espressione della discrezionalità amministrativa riservata alla </w:t>
            </w:r>
            <w:r>
              <w:rPr>
                <w:rFonts w:ascii="Palatino Linotype" w:hAnsi="Palatino Linotype"/>
                <w:sz w:val="28"/>
                <w:szCs w:val="28"/>
              </w:rPr>
              <w:t>R</w:t>
            </w:r>
            <w:r w:rsidRPr="00E11054">
              <w:rPr>
                <w:rFonts w:ascii="Palatino Linotype" w:hAnsi="Palatino Linotype"/>
                <w:sz w:val="28"/>
                <w:szCs w:val="28"/>
              </w:rPr>
              <w:t>egione in detta materia, le cui scelte sono sottratte al controllo di legittimità del giudice amministrativo, salvo che si rivelino manifestamente illogiche, ovvero arbitrarie oppure affette da travisamento dei fatti o palese disparità di trattamento.</w:t>
            </w:r>
          </w:p>
          <w:p w:rsidR="00E11054" w:rsidRPr="00E11054" w:rsidRDefault="00E11054" w:rsidP="00E11054">
            <w:pPr>
              <w:shd w:val="clear" w:color="auto" w:fill="FFFFFF"/>
              <w:jc w:val="both"/>
              <w:rPr>
                <w:rFonts w:ascii="Palatino Linotype" w:hAnsi="Palatino Linotype"/>
                <w:sz w:val="28"/>
                <w:szCs w:val="28"/>
              </w:rPr>
            </w:pPr>
            <w:r w:rsidRPr="00E11054">
              <w:rPr>
                <w:rFonts w:ascii="Palatino Linotype" w:hAnsi="Palatino Linotype"/>
                <w:sz w:val="28"/>
                <w:szCs w:val="28"/>
              </w:rPr>
              <w:t>È tutto legittima la scelta della Regione Sicilia di affrontare nei prossimi anni il probabile incremento di domanda di prestazioni odontoiatriche attraverso il potenziamento dell’efficienza delle strutture pubbliche, piuttosto che accreditare altre strutture sanitarie; questa valutazione è, infatti, estrinsecazione del potere di programmazione ad essa attribuito e ai cui principi è subordinato l’accreditamento delle strutture private, ai sensi dell’art. 8 quater del d.lgs. n. 502 del 1992.</w:t>
            </w:r>
          </w:p>
          <w:p w:rsidR="00E11054" w:rsidRDefault="00E11054" w:rsidP="00E11054">
            <w:pPr>
              <w:shd w:val="clear" w:color="auto" w:fill="FFFFFF"/>
              <w:jc w:val="both"/>
              <w:rPr>
                <w:rFonts w:ascii="Palatino Linotype" w:hAnsi="Palatino Linotype"/>
                <w:sz w:val="28"/>
                <w:szCs w:val="28"/>
              </w:rPr>
            </w:pPr>
            <w:r w:rsidRPr="00E11054">
              <w:rPr>
                <w:rFonts w:ascii="Palatino Linotype" w:hAnsi="Palatino Linotype"/>
                <w:sz w:val="28"/>
                <w:szCs w:val="28"/>
              </w:rPr>
              <w:lastRenderedPageBreak/>
              <w:t>Né in detta materia si verte nell’ambito di una discrezionalità tecnica in cui l’analisi dei fatti deve essere supportata da regole tecniche (ingegneristiche, mediche, biologiche, ecc.) e la scelta della soluzione più opportuna è già effettuata a monte dal legislatore che ha valutato gli interessi prioritari.</w:t>
            </w:r>
          </w:p>
          <w:p w:rsidR="00E11054" w:rsidRDefault="00E11054" w:rsidP="00E11054">
            <w:pPr>
              <w:shd w:val="clear" w:color="auto" w:fill="FFFFFF"/>
              <w:jc w:val="both"/>
              <w:rPr>
                <w:rFonts w:ascii="Palatino Linotype" w:hAnsi="Palatino Linotype"/>
                <w:sz w:val="28"/>
                <w:szCs w:val="28"/>
              </w:rPr>
            </w:pPr>
          </w:p>
          <w:p w:rsidR="00E11054" w:rsidRDefault="00E11054" w:rsidP="00E11054">
            <w:pPr>
              <w:shd w:val="clear" w:color="auto" w:fill="FFFFFF"/>
              <w:jc w:val="center"/>
              <w:rPr>
                <w:rFonts w:ascii="Palatino Linotype" w:hAnsi="Palatino Linotype"/>
                <w:b/>
                <w:color w:val="1F4E79" w:themeColor="accent1" w:themeShade="80"/>
                <w:sz w:val="32"/>
                <w:szCs w:val="32"/>
              </w:rPr>
            </w:pPr>
            <w:r w:rsidRPr="00E11054">
              <w:rPr>
                <w:rFonts w:ascii="Palatino Linotype" w:hAnsi="Palatino Linotype"/>
                <w:b/>
                <w:color w:val="1F4E79" w:themeColor="accent1" w:themeShade="80"/>
                <w:sz w:val="32"/>
                <w:szCs w:val="32"/>
              </w:rPr>
              <w:t>Normativa e altre attività di interesse</w:t>
            </w:r>
          </w:p>
          <w:p w:rsidR="002839F1" w:rsidRDefault="002553FA" w:rsidP="005D3CA0">
            <w:pPr>
              <w:shd w:val="clear" w:color="auto" w:fill="FFFFFF"/>
              <w:spacing w:before="100" w:beforeAutospacing="1" w:after="100" w:afterAutospacing="1" w:line="252" w:lineRule="auto"/>
              <w:jc w:val="center"/>
              <w:rPr>
                <w:rFonts w:ascii="Palatino Linotype" w:hAnsi="Palatino Linotype"/>
                <w:b/>
                <w:bCs/>
                <w:color w:val="BF8F00"/>
                <w:sz w:val="32"/>
                <w:szCs w:val="32"/>
              </w:rPr>
            </w:pPr>
            <w:r>
              <w:rPr>
                <w:rFonts w:ascii="Palatino Linotype" w:hAnsi="Palatino Linotype"/>
                <w:b/>
                <w:bCs/>
                <w:color w:val="BF8F00"/>
                <w:sz w:val="32"/>
                <w:szCs w:val="32"/>
              </w:rPr>
              <w:t>(14</w:t>
            </w:r>
            <w:r w:rsidR="002839F1">
              <w:rPr>
                <w:rFonts w:ascii="Palatino Linotype" w:hAnsi="Palatino Linotype"/>
                <w:b/>
                <w:bCs/>
                <w:color w:val="BF8F00"/>
                <w:sz w:val="32"/>
                <w:szCs w:val="32"/>
              </w:rPr>
              <w:t>)</w:t>
            </w:r>
          </w:p>
          <w:p w:rsidR="002839F1" w:rsidRDefault="002839F1" w:rsidP="00E11054">
            <w:pPr>
              <w:shd w:val="clear" w:color="auto" w:fill="FFFFFF"/>
              <w:jc w:val="center"/>
              <w:rPr>
                <w:rFonts w:ascii="Palatino Linotype" w:hAnsi="Palatino Linotype"/>
                <w:b/>
                <w:color w:val="1F4E79" w:themeColor="accent1" w:themeShade="80"/>
                <w:sz w:val="32"/>
                <w:szCs w:val="32"/>
              </w:rPr>
            </w:pPr>
          </w:p>
          <w:p w:rsidR="005D3CA0" w:rsidRDefault="005D3CA0" w:rsidP="00E11054">
            <w:pPr>
              <w:shd w:val="clear" w:color="auto" w:fill="FFFFFF"/>
              <w:jc w:val="both"/>
              <w:rPr>
                <w:rFonts w:ascii="Palatino Linotype" w:hAnsi="Palatino Linotype"/>
                <w:b/>
                <w:sz w:val="28"/>
                <w:szCs w:val="28"/>
              </w:rPr>
            </w:pPr>
            <w:r w:rsidRPr="005D3CA0">
              <w:rPr>
                <w:rFonts w:ascii="Palatino Linotype" w:hAnsi="Palatino Linotype"/>
                <w:b/>
                <w:color w:val="1F4E79" w:themeColor="accent1" w:themeShade="80"/>
                <w:sz w:val="28"/>
                <w:szCs w:val="28"/>
              </w:rPr>
              <w:t>Decreto del Presidente del consiglio dei ministri 1 settembre 2022, n. 166 -</w:t>
            </w:r>
            <w:r>
              <w:rPr>
                <w:rFonts w:ascii="Palatino Linotype" w:hAnsi="Palatino Linotype"/>
                <w:b/>
                <w:color w:val="1F4E79" w:themeColor="accent1" w:themeShade="80"/>
                <w:sz w:val="28"/>
                <w:szCs w:val="28"/>
              </w:rPr>
              <w:t xml:space="preserve"> </w:t>
            </w:r>
            <w:r w:rsidRPr="005D3CA0">
              <w:rPr>
                <w:rFonts w:ascii="Palatino Linotype" w:hAnsi="Palatino Linotype"/>
                <w:b/>
                <w:sz w:val="28"/>
                <w:szCs w:val="28"/>
              </w:rPr>
              <w:t xml:space="preserve">Regolamento recante le procedure per la stipula di contratti di appalti di lavori, servizi e forniture per le attività dell'Agenzia per la </w:t>
            </w:r>
            <w:proofErr w:type="spellStart"/>
            <w:r w:rsidRPr="005D3CA0">
              <w:rPr>
                <w:rFonts w:ascii="Palatino Linotype" w:hAnsi="Palatino Linotype"/>
                <w:b/>
                <w:sz w:val="28"/>
                <w:szCs w:val="28"/>
              </w:rPr>
              <w:t>cybersicurezza</w:t>
            </w:r>
            <w:proofErr w:type="spellEnd"/>
            <w:r w:rsidRPr="005D3CA0">
              <w:rPr>
                <w:rFonts w:ascii="Palatino Linotype" w:hAnsi="Palatino Linotype"/>
                <w:b/>
                <w:sz w:val="28"/>
                <w:szCs w:val="28"/>
              </w:rPr>
              <w:t xml:space="preserve"> nazionale finalizzate alla tutela della sicurezza nazionale nello spazio cibernetico. (22G00173) (GU Serie</w:t>
            </w:r>
            <w:r>
              <w:rPr>
                <w:rFonts w:ascii="Palatino Linotype" w:hAnsi="Palatino Linotype"/>
                <w:b/>
                <w:sz w:val="28"/>
                <w:szCs w:val="28"/>
              </w:rPr>
              <w:t xml:space="preserve"> Generale n.258 del 04-11-2022).</w:t>
            </w:r>
          </w:p>
          <w:p w:rsidR="005D3CA0" w:rsidRDefault="002553FA" w:rsidP="0058558C">
            <w:pPr>
              <w:shd w:val="clear" w:color="auto" w:fill="FFFFFF"/>
              <w:spacing w:before="100" w:beforeAutospacing="1" w:after="100" w:afterAutospacing="1" w:line="252" w:lineRule="auto"/>
              <w:jc w:val="center"/>
              <w:rPr>
                <w:rFonts w:ascii="Palatino Linotype" w:hAnsi="Palatino Linotype"/>
                <w:b/>
                <w:bCs/>
                <w:color w:val="BF8F00"/>
                <w:sz w:val="32"/>
                <w:szCs w:val="32"/>
              </w:rPr>
            </w:pPr>
            <w:r>
              <w:rPr>
                <w:rFonts w:ascii="Palatino Linotype" w:hAnsi="Palatino Linotype"/>
                <w:b/>
                <w:bCs/>
                <w:color w:val="BF8F00"/>
                <w:sz w:val="32"/>
                <w:szCs w:val="32"/>
              </w:rPr>
              <w:t>(15</w:t>
            </w:r>
            <w:r w:rsidR="005D3CA0">
              <w:rPr>
                <w:rFonts w:ascii="Palatino Linotype" w:hAnsi="Palatino Linotype"/>
                <w:b/>
                <w:bCs/>
                <w:color w:val="BF8F00"/>
                <w:sz w:val="32"/>
                <w:szCs w:val="32"/>
              </w:rPr>
              <w:t>)</w:t>
            </w:r>
          </w:p>
          <w:p w:rsidR="005D3CA0" w:rsidRPr="005D3CA0" w:rsidRDefault="005D3CA0" w:rsidP="00E11054">
            <w:pPr>
              <w:shd w:val="clear" w:color="auto" w:fill="FFFFFF"/>
              <w:jc w:val="both"/>
              <w:rPr>
                <w:rFonts w:ascii="Palatino Linotype" w:hAnsi="Palatino Linotype"/>
                <w:b/>
                <w:sz w:val="28"/>
                <w:szCs w:val="28"/>
              </w:rPr>
            </w:pPr>
          </w:p>
          <w:p w:rsidR="00E11054" w:rsidRPr="00E11054" w:rsidRDefault="00E11054" w:rsidP="00E11054">
            <w:pPr>
              <w:shd w:val="clear" w:color="auto" w:fill="FFFFFF"/>
              <w:jc w:val="both"/>
              <w:rPr>
                <w:rFonts w:ascii="Palatino Linotype" w:hAnsi="Palatino Linotype"/>
                <w:b/>
                <w:sz w:val="28"/>
                <w:szCs w:val="28"/>
              </w:rPr>
            </w:pPr>
            <w:r>
              <w:rPr>
                <w:rFonts w:ascii="Palatino Linotype" w:hAnsi="Palatino Linotype"/>
                <w:b/>
                <w:color w:val="1F4E79" w:themeColor="accent1" w:themeShade="80"/>
                <w:sz w:val="28"/>
                <w:szCs w:val="28"/>
              </w:rPr>
              <w:t>D</w:t>
            </w:r>
            <w:r w:rsidRPr="00E11054">
              <w:rPr>
                <w:rFonts w:ascii="Palatino Linotype" w:hAnsi="Palatino Linotype"/>
                <w:b/>
                <w:color w:val="1F4E79" w:themeColor="accent1" w:themeShade="80"/>
                <w:sz w:val="28"/>
                <w:szCs w:val="28"/>
              </w:rPr>
              <w:t xml:space="preserve">ecreto legislativo 5 ottobre 2022, n. 163 </w:t>
            </w:r>
            <w:r w:rsidRPr="00E11054">
              <w:rPr>
                <w:rFonts w:ascii="Palatino Linotype" w:hAnsi="Palatino Linotype"/>
                <w:b/>
                <w:sz w:val="28"/>
                <w:szCs w:val="28"/>
              </w:rPr>
              <w:t>(in G.U. n. 256 del 2 novembre 2022; in vigore dal 17 novembre 2022) – Disposizioni integrative e correttive del decreto legislativo 28 febbraio 2021, n. 36, in attuazione dell’articolo 5 della legge 8 agosto 2019, n. 86, recante riordino e riforma delle disposizioni in materia di enti sportivi profession</w:t>
            </w:r>
            <w:r w:rsidR="00674342">
              <w:rPr>
                <w:rFonts w:ascii="Palatino Linotype" w:hAnsi="Palatino Linotype"/>
                <w:b/>
                <w:sz w:val="28"/>
                <w:szCs w:val="28"/>
              </w:rPr>
              <w:t>istici e dilettantistici, nonché</w:t>
            </w:r>
            <w:r w:rsidRPr="00E11054">
              <w:rPr>
                <w:rFonts w:ascii="Palatino Linotype" w:hAnsi="Palatino Linotype"/>
                <w:b/>
                <w:sz w:val="28"/>
                <w:szCs w:val="28"/>
              </w:rPr>
              <w:t xml:space="preserve"> di lavoro sportivo</w:t>
            </w:r>
            <w:r w:rsidR="00674342">
              <w:rPr>
                <w:rFonts w:ascii="Palatino Linotype" w:hAnsi="Palatino Linotype"/>
                <w:b/>
                <w:sz w:val="28"/>
                <w:szCs w:val="28"/>
              </w:rPr>
              <w:t>.</w:t>
            </w:r>
          </w:p>
          <w:p w:rsidR="00E11054" w:rsidRPr="00E11054" w:rsidRDefault="00E11054" w:rsidP="00BE2855">
            <w:pPr>
              <w:shd w:val="clear" w:color="auto" w:fill="FFFFFF"/>
              <w:jc w:val="both"/>
              <w:rPr>
                <w:rFonts w:ascii="Palatino Linotype" w:hAnsi="Palatino Linotype"/>
                <w:b/>
                <w:sz w:val="28"/>
                <w:szCs w:val="28"/>
              </w:rPr>
            </w:pPr>
          </w:p>
        </w:tc>
      </w:tr>
    </w:tbl>
    <w:p w:rsidR="00AD2A10" w:rsidRDefault="00AD2A10" w:rsidP="006726F2">
      <w:pPr>
        <w:jc w:val="both"/>
      </w:pPr>
    </w:p>
    <w:p w:rsidR="00352780" w:rsidRDefault="00352780" w:rsidP="00352780">
      <w:pPr>
        <w:autoSpaceDE w:val="0"/>
        <w:autoSpaceDN w:val="0"/>
        <w:adjustRightInd w:val="0"/>
        <w:rPr>
          <w:rFonts w:ascii="ColonnaMT" w:hAnsi="ColonnaMT" w:cs="ColonnaMT"/>
          <w:color w:val="000000"/>
          <w:sz w:val="27"/>
          <w:szCs w:val="27"/>
          <w:lang w:eastAsia="en-US"/>
        </w:rPr>
      </w:pPr>
    </w:p>
    <w:p w:rsidR="00330878" w:rsidRDefault="00330878" w:rsidP="00352780">
      <w:pPr>
        <w:autoSpaceDE w:val="0"/>
        <w:autoSpaceDN w:val="0"/>
        <w:adjustRightInd w:val="0"/>
        <w:rPr>
          <w:rFonts w:ascii="ColonnaMT" w:hAnsi="ColonnaMT" w:cs="ColonnaMT"/>
          <w:color w:val="000000"/>
          <w:sz w:val="27"/>
          <w:szCs w:val="27"/>
          <w:lang w:eastAsia="en-US"/>
        </w:rPr>
      </w:pPr>
    </w:p>
    <w:p w:rsidR="00352780" w:rsidRDefault="00352780" w:rsidP="00352780">
      <w:pPr>
        <w:autoSpaceDE w:val="0"/>
        <w:autoSpaceDN w:val="0"/>
        <w:adjustRightInd w:val="0"/>
        <w:rPr>
          <w:rFonts w:ascii="ColonnaMT" w:hAnsi="ColonnaMT" w:cs="ColonnaMT"/>
          <w:color w:val="000000"/>
          <w:sz w:val="27"/>
          <w:szCs w:val="27"/>
          <w:lang w:eastAsia="en-US"/>
        </w:rPr>
      </w:pPr>
    </w:p>
    <w:p w:rsidR="00352780" w:rsidRDefault="00352780" w:rsidP="00352780">
      <w:pPr>
        <w:autoSpaceDE w:val="0"/>
        <w:autoSpaceDN w:val="0"/>
        <w:adjustRightInd w:val="0"/>
        <w:rPr>
          <w:rFonts w:ascii="ColonnaMT" w:hAnsi="ColonnaMT" w:cs="ColonnaMT"/>
          <w:color w:val="000000"/>
          <w:sz w:val="27"/>
          <w:szCs w:val="27"/>
          <w:lang w:eastAsia="en-US"/>
        </w:rPr>
      </w:pPr>
    </w:p>
    <w:p w:rsidR="00352780" w:rsidRDefault="00352780" w:rsidP="00352780">
      <w:pPr>
        <w:autoSpaceDE w:val="0"/>
        <w:autoSpaceDN w:val="0"/>
        <w:adjustRightInd w:val="0"/>
        <w:rPr>
          <w:rFonts w:ascii="ColonnaMT" w:hAnsi="ColonnaMT" w:cs="ColonnaMT"/>
          <w:color w:val="000000"/>
          <w:sz w:val="27"/>
          <w:szCs w:val="27"/>
          <w:lang w:eastAsia="en-US"/>
        </w:rPr>
      </w:pPr>
    </w:p>
    <w:sectPr w:rsidR="003527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lonnaMT">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FF0"/>
    <w:multiLevelType w:val="hybridMultilevel"/>
    <w:tmpl w:val="9A4A98C8"/>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04042"/>
    <w:multiLevelType w:val="hybridMultilevel"/>
    <w:tmpl w:val="22569A50"/>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4C0D51"/>
    <w:multiLevelType w:val="hybridMultilevel"/>
    <w:tmpl w:val="CA2EC8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B531FF"/>
    <w:multiLevelType w:val="hybridMultilevel"/>
    <w:tmpl w:val="22569A50"/>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DD0397"/>
    <w:multiLevelType w:val="multilevel"/>
    <w:tmpl w:val="B9D48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A2E2A"/>
    <w:multiLevelType w:val="multilevel"/>
    <w:tmpl w:val="702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24D11"/>
    <w:multiLevelType w:val="hybridMultilevel"/>
    <w:tmpl w:val="A6BE2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752072"/>
    <w:multiLevelType w:val="multilevel"/>
    <w:tmpl w:val="D4763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40347"/>
    <w:multiLevelType w:val="hybridMultilevel"/>
    <w:tmpl w:val="F782CC68"/>
    <w:lvl w:ilvl="0" w:tplc="CD06EC04">
      <w:start w:val="1"/>
      <w:numFmt w:val="decimal"/>
      <w:lvlText w:val="%1."/>
      <w:lvlJc w:val="left"/>
      <w:pPr>
        <w:ind w:left="720" w:hanging="360"/>
      </w:pPr>
      <w:rPr>
        <w:rFonts w:hint="default"/>
        <w:b/>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7C1A84"/>
    <w:multiLevelType w:val="hybridMultilevel"/>
    <w:tmpl w:val="FCAAA6BE"/>
    <w:lvl w:ilvl="0" w:tplc="6DA26B7C">
      <w:start w:val="1"/>
      <w:numFmt w:val="decimal"/>
      <w:lvlText w:val="%1."/>
      <w:lvlJc w:val="left"/>
      <w:pPr>
        <w:ind w:left="720" w:hanging="360"/>
      </w:pPr>
      <w:rPr>
        <w:rFonts w:hint="default"/>
        <w:color w:val="1F4E79" w:themeColor="accent1" w:themeShade="8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135993"/>
    <w:multiLevelType w:val="hybridMultilevel"/>
    <w:tmpl w:val="8998FD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4E39AB"/>
    <w:multiLevelType w:val="multilevel"/>
    <w:tmpl w:val="28FA8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57450"/>
    <w:multiLevelType w:val="hybridMultilevel"/>
    <w:tmpl w:val="F33272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4A60D9"/>
    <w:multiLevelType w:val="multilevel"/>
    <w:tmpl w:val="55923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21852"/>
    <w:multiLevelType w:val="multilevel"/>
    <w:tmpl w:val="6B0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91F1A"/>
    <w:multiLevelType w:val="hybridMultilevel"/>
    <w:tmpl w:val="22569A50"/>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CE3E6C"/>
    <w:multiLevelType w:val="hybridMultilevel"/>
    <w:tmpl w:val="F4029AF8"/>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CB5F51"/>
    <w:multiLevelType w:val="multilevel"/>
    <w:tmpl w:val="ED0A5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393E5A"/>
    <w:multiLevelType w:val="hybridMultilevel"/>
    <w:tmpl w:val="F4029AF8"/>
    <w:lvl w:ilvl="0" w:tplc="AE822200">
      <w:start w:val="1"/>
      <w:numFmt w:val="decimal"/>
      <w:lvlText w:val="%1."/>
      <w:lvlJc w:val="left"/>
      <w:pPr>
        <w:ind w:left="720" w:hanging="360"/>
      </w:pPr>
      <w:rPr>
        <w:rFonts w:hint="default"/>
        <w:color w:val="2F5496"/>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16116E"/>
    <w:multiLevelType w:val="hybridMultilevel"/>
    <w:tmpl w:val="97CACE06"/>
    <w:lvl w:ilvl="0" w:tplc="7BAE5D64">
      <w:start w:val="1"/>
      <w:numFmt w:val="decimal"/>
      <w:lvlText w:val="%1."/>
      <w:lvlJc w:val="left"/>
      <w:pPr>
        <w:ind w:left="720" w:hanging="360"/>
      </w:pPr>
      <w:rPr>
        <w:rFonts w:hint="default"/>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76978A4"/>
    <w:multiLevelType w:val="multilevel"/>
    <w:tmpl w:val="FEC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D36D5"/>
    <w:multiLevelType w:val="hybridMultilevel"/>
    <w:tmpl w:val="5944FF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9"/>
  </w:num>
  <w:num w:numId="3">
    <w:abstractNumId w:val="14"/>
  </w:num>
  <w:num w:numId="4">
    <w:abstractNumId w:val="5"/>
  </w:num>
  <w:num w:numId="5">
    <w:abstractNumId w:val="20"/>
  </w:num>
  <w:num w:numId="6">
    <w:abstractNumId w:val="9"/>
  </w:num>
  <w:num w:numId="7">
    <w:abstractNumId w:val="10"/>
  </w:num>
  <w:num w:numId="8">
    <w:abstractNumId w:val="7"/>
  </w:num>
  <w:num w:numId="9">
    <w:abstractNumId w:val="2"/>
  </w:num>
  <w:num w:numId="10">
    <w:abstractNumId w:val="3"/>
  </w:num>
  <w:num w:numId="11">
    <w:abstractNumId w:val="16"/>
  </w:num>
  <w:num w:numId="12">
    <w:abstractNumId w:val="12"/>
  </w:num>
  <w:num w:numId="13">
    <w:abstractNumId w:val="18"/>
  </w:num>
  <w:num w:numId="14">
    <w:abstractNumId w:val="0"/>
  </w:num>
  <w:num w:numId="15">
    <w:abstractNumId w:val="21"/>
  </w:num>
  <w:num w:numId="16">
    <w:abstractNumId w:val="13"/>
  </w:num>
  <w:num w:numId="17">
    <w:abstractNumId w:val="17"/>
  </w:num>
  <w:num w:numId="18">
    <w:abstractNumId w:val="11"/>
  </w:num>
  <w:num w:numId="19">
    <w:abstractNumId w:val="4"/>
  </w:num>
  <w:num w:numId="20">
    <w:abstractNumId w:val="6"/>
  </w:num>
  <w:num w:numId="21">
    <w:abstractNumId w:val="15"/>
  </w:num>
  <w:num w:numId="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4A"/>
    <w:rsid w:val="00000BB8"/>
    <w:rsid w:val="000014DB"/>
    <w:rsid w:val="000033E5"/>
    <w:rsid w:val="000075B0"/>
    <w:rsid w:val="00012741"/>
    <w:rsid w:val="00012E92"/>
    <w:rsid w:val="00012EF7"/>
    <w:rsid w:val="00014B95"/>
    <w:rsid w:val="00015D3A"/>
    <w:rsid w:val="00017EC1"/>
    <w:rsid w:val="000225E2"/>
    <w:rsid w:val="00024F2E"/>
    <w:rsid w:val="00025FED"/>
    <w:rsid w:val="000270A1"/>
    <w:rsid w:val="00027E94"/>
    <w:rsid w:val="00031568"/>
    <w:rsid w:val="00032FE3"/>
    <w:rsid w:val="000342E8"/>
    <w:rsid w:val="000354EA"/>
    <w:rsid w:val="00036663"/>
    <w:rsid w:val="0003677A"/>
    <w:rsid w:val="00043319"/>
    <w:rsid w:val="000451C2"/>
    <w:rsid w:val="00045BE5"/>
    <w:rsid w:val="000464E7"/>
    <w:rsid w:val="00047B51"/>
    <w:rsid w:val="0005058C"/>
    <w:rsid w:val="00050BDC"/>
    <w:rsid w:val="00052794"/>
    <w:rsid w:val="00053C77"/>
    <w:rsid w:val="00054496"/>
    <w:rsid w:val="00056504"/>
    <w:rsid w:val="00057566"/>
    <w:rsid w:val="00057FDB"/>
    <w:rsid w:val="00063206"/>
    <w:rsid w:val="000644CD"/>
    <w:rsid w:val="000648F8"/>
    <w:rsid w:val="00065C66"/>
    <w:rsid w:val="000706F7"/>
    <w:rsid w:val="00070C94"/>
    <w:rsid w:val="00070D6F"/>
    <w:rsid w:val="000711DC"/>
    <w:rsid w:val="0007287F"/>
    <w:rsid w:val="00080319"/>
    <w:rsid w:val="000837B3"/>
    <w:rsid w:val="000838D4"/>
    <w:rsid w:val="00083DD4"/>
    <w:rsid w:val="00085902"/>
    <w:rsid w:val="00087265"/>
    <w:rsid w:val="00087911"/>
    <w:rsid w:val="00090351"/>
    <w:rsid w:val="000919CD"/>
    <w:rsid w:val="00093A6F"/>
    <w:rsid w:val="00093DD9"/>
    <w:rsid w:val="00094709"/>
    <w:rsid w:val="00094967"/>
    <w:rsid w:val="0009584B"/>
    <w:rsid w:val="00095856"/>
    <w:rsid w:val="00097542"/>
    <w:rsid w:val="000A0133"/>
    <w:rsid w:val="000A10E7"/>
    <w:rsid w:val="000A39DB"/>
    <w:rsid w:val="000A4AE6"/>
    <w:rsid w:val="000A4EBF"/>
    <w:rsid w:val="000A7A4E"/>
    <w:rsid w:val="000B3234"/>
    <w:rsid w:val="000B3512"/>
    <w:rsid w:val="000B4349"/>
    <w:rsid w:val="000B4C63"/>
    <w:rsid w:val="000B5953"/>
    <w:rsid w:val="000B5C06"/>
    <w:rsid w:val="000B5EB1"/>
    <w:rsid w:val="000C24CF"/>
    <w:rsid w:val="000C32AE"/>
    <w:rsid w:val="000C3D42"/>
    <w:rsid w:val="000C4A83"/>
    <w:rsid w:val="000C5383"/>
    <w:rsid w:val="000C5BEF"/>
    <w:rsid w:val="000C5C02"/>
    <w:rsid w:val="000D0099"/>
    <w:rsid w:val="000D18CC"/>
    <w:rsid w:val="000D1EBD"/>
    <w:rsid w:val="000D2790"/>
    <w:rsid w:val="000D30DC"/>
    <w:rsid w:val="000D346F"/>
    <w:rsid w:val="000D442E"/>
    <w:rsid w:val="000D57BC"/>
    <w:rsid w:val="000D6C7E"/>
    <w:rsid w:val="000D7E83"/>
    <w:rsid w:val="000E0132"/>
    <w:rsid w:val="000E198C"/>
    <w:rsid w:val="000E1FFB"/>
    <w:rsid w:val="000E31CD"/>
    <w:rsid w:val="000E3E05"/>
    <w:rsid w:val="000E4BD6"/>
    <w:rsid w:val="000E5135"/>
    <w:rsid w:val="000E5895"/>
    <w:rsid w:val="000E620B"/>
    <w:rsid w:val="000F093C"/>
    <w:rsid w:val="000F0D68"/>
    <w:rsid w:val="000F1E62"/>
    <w:rsid w:val="000F2162"/>
    <w:rsid w:val="000F5EFD"/>
    <w:rsid w:val="000F6505"/>
    <w:rsid w:val="000F75BD"/>
    <w:rsid w:val="001003AE"/>
    <w:rsid w:val="00100916"/>
    <w:rsid w:val="00101455"/>
    <w:rsid w:val="001036CB"/>
    <w:rsid w:val="00103B38"/>
    <w:rsid w:val="00104CF9"/>
    <w:rsid w:val="00106BC5"/>
    <w:rsid w:val="00110011"/>
    <w:rsid w:val="00112931"/>
    <w:rsid w:val="001141A8"/>
    <w:rsid w:val="0011676F"/>
    <w:rsid w:val="00116961"/>
    <w:rsid w:val="001169AB"/>
    <w:rsid w:val="00116BF5"/>
    <w:rsid w:val="001172DE"/>
    <w:rsid w:val="00117DE4"/>
    <w:rsid w:val="001220AE"/>
    <w:rsid w:val="00122A05"/>
    <w:rsid w:val="00125A75"/>
    <w:rsid w:val="00125FB7"/>
    <w:rsid w:val="0012786B"/>
    <w:rsid w:val="001302B6"/>
    <w:rsid w:val="0013236A"/>
    <w:rsid w:val="00133CD2"/>
    <w:rsid w:val="00133FF4"/>
    <w:rsid w:val="0013432A"/>
    <w:rsid w:val="00135E3C"/>
    <w:rsid w:val="00136461"/>
    <w:rsid w:val="00140407"/>
    <w:rsid w:val="00140780"/>
    <w:rsid w:val="00140783"/>
    <w:rsid w:val="00140ACE"/>
    <w:rsid w:val="00142CFF"/>
    <w:rsid w:val="00143A16"/>
    <w:rsid w:val="00144C58"/>
    <w:rsid w:val="00145419"/>
    <w:rsid w:val="001454F5"/>
    <w:rsid w:val="00146288"/>
    <w:rsid w:val="00147083"/>
    <w:rsid w:val="0015081C"/>
    <w:rsid w:val="001543D4"/>
    <w:rsid w:val="0015481C"/>
    <w:rsid w:val="00155DC7"/>
    <w:rsid w:val="00155DEA"/>
    <w:rsid w:val="00156DF7"/>
    <w:rsid w:val="00157EE8"/>
    <w:rsid w:val="00160292"/>
    <w:rsid w:val="00160701"/>
    <w:rsid w:val="00161C43"/>
    <w:rsid w:val="001626E5"/>
    <w:rsid w:val="0016336E"/>
    <w:rsid w:val="00165255"/>
    <w:rsid w:val="00166C92"/>
    <w:rsid w:val="00167121"/>
    <w:rsid w:val="001671C1"/>
    <w:rsid w:val="00167201"/>
    <w:rsid w:val="0016784B"/>
    <w:rsid w:val="00167DAF"/>
    <w:rsid w:val="0017044D"/>
    <w:rsid w:val="00171C08"/>
    <w:rsid w:val="00172CC4"/>
    <w:rsid w:val="001737B4"/>
    <w:rsid w:val="00174304"/>
    <w:rsid w:val="00174428"/>
    <w:rsid w:val="0017508B"/>
    <w:rsid w:val="00176349"/>
    <w:rsid w:val="00180EDB"/>
    <w:rsid w:val="00181308"/>
    <w:rsid w:val="001813BC"/>
    <w:rsid w:val="001847EC"/>
    <w:rsid w:val="00186A3E"/>
    <w:rsid w:val="001872EC"/>
    <w:rsid w:val="00187CE9"/>
    <w:rsid w:val="001902C2"/>
    <w:rsid w:val="001914B2"/>
    <w:rsid w:val="00191B3F"/>
    <w:rsid w:val="00191CB5"/>
    <w:rsid w:val="0019337E"/>
    <w:rsid w:val="00193EC0"/>
    <w:rsid w:val="0019459E"/>
    <w:rsid w:val="001959B1"/>
    <w:rsid w:val="001959C0"/>
    <w:rsid w:val="001A05EE"/>
    <w:rsid w:val="001A1FBC"/>
    <w:rsid w:val="001A3429"/>
    <w:rsid w:val="001A35CE"/>
    <w:rsid w:val="001A4B9A"/>
    <w:rsid w:val="001A73A4"/>
    <w:rsid w:val="001B0CED"/>
    <w:rsid w:val="001B16BF"/>
    <w:rsid w:val="001B22DB"/>
    <w:rsid w:val="001B2639"/>
    <w:rsid w:val="001B2C65"/>
    <w:rsid w:val="001B3FB8"/>
    <w:rsid w:val="001B5291"/>
    <w:rsid w:val="001B6BB3"/>
    <w:rsid w:val="001C00BC"/>
    <w:rsid w:val="001C0F38"/>
    <w:rsid w:val="001C432D"/>
    <w:rsid w:val="001C4CEB"/>
    <w:rsid w:val="001C5A93"/>
    <w:rsid w:val="001D2569"/>
    <w:rsid w:val="001D2980"/>
    <w:rsid w:val="001D2C1E"/>
    <w:rsid w:val="001D2D07"/>
    <w:rsid w:val="001D4C86"/>
    <w:rsid w:val="001D5FD7"/>
    <w:rsid w:val="001D6EA8"/>
    <w:rsid w:val="001E1357"/>
    <w:rsid w:val="001E13EF"/>
    <w:rsid w:val="001E148C"/>
    <w:rsid w:val="001E2942"/>
    <w:rsid w:val="001E34A2"/>
    <w:rsid w:val="001E3B6D"/>
    <w:rsid w:val="001E4B2A"/>
    <w:rsid w:val="001E5757"/>
    <w:rsid w:val="001E68A1"/>
    <w:rsid w:val="001E6E72"/>
    <w:rsid w:val="001F0428"/>
    <w:rsid w:val="001F0DB2"/>
    <w:rsid w:val="001F1556"/>
    <w:rsid w:val="001F275D"/>
    <w:rsid w:val="001F3027"/>
    <w:rsid w:val="001F45C8"/>
    <w:rsid w:val="001F6DF6"/>
    <w:rsid w:val="002010A2"/>
    <w:rsid w:val="00202289"/>
    <w:rsid w:val="002024FA"/>
    <w:rsid w:val="0020331B"/>
    <w:rsid w:val="002042DD"/>
    <w:rsid w:val="002046E7"/>
    <w:rsid w:val="00204E4A"/>
    <w:rsid w:val="00205100"/>
    <w:rsid w:val="00205CAD"/>
    <w:rsid w:val="00212BB3"/>
    <w:rsid w:val="002155AF"/>
    <w:rsid w:val="00215FB7"/>
    <w:rsid w:val="002176D1"/>
    <w:rsid w:val="00217C2E"/>
    <w:rsid w:val="00220CBA"/>
    <w:rsid w:val="00226909"/>
    <w:rsid w:val="00226BDF"/>
    <w:rsid w:val="002303D5"/>
    <w:rsid w:val="00230D9C"/>
    <w:rsid w:val="00230DB2"/>
    <w:rsid w:val="002314C1"/>
    <w:rsid w:val="00231571"/>
    <w:rsid w:val="002320A9"/>
    <w:rsid w:val="00234C54"/>
    <w:rsid w:val="00235015"/>
    <w:rsid w:val="00236447"/>
    <w:rsid w:val="0024040F"/>
    <w:rsid w:val="0024528A"/>
    <w:rsid w:val="00245898"/>
    <w:rsid w:val="00246CD5"/>
    <w:rsid w:val="002512B0"/>
    <w:rsid w:val="00251D1C"/>
    <w:rsid w:val="00252376"/>
    <w:rsid w:val="00254A08"/>
    <w:rsid w:val="002553FA"/>
    <w:rsid w:val="00256782"/>
    <w:rsid w:val="00260871"/>
    <w:rsid w:val="00260CB2"/>
    <w:rsid w:val="00261AB9"/>
    <w:rsid w:val="0026237E"/>
    <w:rsid w:val="002649BF"/>
    <w:rsid w:val="0026567E"/>
    <w:rsid w:val="00265F71"/>
    <w:rsid w:val="0026642D"/>
    <w:rsid w:val="0026748D"/>
    <w:rsid w:val="0027240D"/>
    <w:rsid w:val="002726BF"/>
    <w:rsid w:val="00272C8E"/>
    <w:rsid w:val="00273041"/>
    <w:rsid w:val="00275A70"/>
    <w:rsid w:val="00275F7B"/>
    <w:rsid w:val="0028083B"/>
    <w:rsid w:val="00281F9A"/>
    <w:rsid w:val="002835A1"/>
    <w:rsid w:val="002839F1"/>
    <w:rsid w:val="00284B02"/>
    <w:rsid w:val="0028637E"/>
    <w:rsid w:val="002866D3"/>
    <w:rsid w:val="0028724A"/>
    <w:rsid w:val="002902C8"/>
    <w:rsid w:val="002925E9"/>
    <w:rsid w:val="00292BCA"/>
    <w:rsid w:val="00294C12"/>
    <w:rsid w:val="002958BE"/>
    <w:rsid w:val="00295AD0"/>
    <w:rsid w:val="002971B7"/>
    <w:rsid w:val="002A0034"/>
    <w:rsid w:val="002A0B58"/>
    <w:rsid w:val="002A0EAD"/>
    <w:rsid w:val="002A2F5C"/>
    <w:rsid w:val="002A2FA3"/>
    <w:rsid w:val="002A3CD2"/>
    <w:rsid w:val="002A42B2"/>
    <w:rsid w:val="002A4A6D"/>
    <w:rsid w:val="002A558A"/>
    <w:rsid w:val="002A55AA"/>
    <w:rsid w:val="002A624C"/>
    <w:rsid w:val="002A6751"/>
    <w:rsid w:val="002A7342"/>
    <w:rsid w:val="002A7D60"/>
    <w:rsid w:val="002B198A"/>
    <w:rsid w:val="002B2716"/>
    <w:rsid w:val="002B2C4A"/>
    <w:rsid w:val="002B48C2"/>
    <w:rsid w:val="002B72E7"/>
    <w:rsid w:val="002B784D"/>
    <w:rsid w:val="002B78F9"/>
    <w:rsid w:val="002B7A7D"/>
    <w:rsid w:val="002C08C2"/>
    <w:rsid w:val="002C0B2F"/>
    <w:rsid w:val="002C0E21"/>
    <w:rsid w:val="002C2447"/>
    <w:rsid w:val="002C4391"/>
    <w:rsid w:val="002C4A3A"/>
    <w:rsid w:val="002C5536"/>
    <w:rsid w:val="002C62D7"/>
    <w:rsid w:val="002C66B0"/>
    <w:rsid w:val="002D1901"/>
    <w:rsid w:val="002D1C66"/>
    <w:rsid w:val="002D1C87"/>
    <w:rsid w:val="002D1D2B"/>
    <w:rsid w:val="002D2254"/>
    <w:rsid w:val="002D3FB0"/>
    <w:rsid w:val="002D49BC"/>
    <w:rsid w:val="002D4CBE"/>
    <w:rsid w:val="002D509C"/>
    <w:rsid w:val="002D6756"/>
    <w:rsid w:val="002D6F72"/>
    <w:rsid w:val="002D733E"/>
    <w:rsid w:val="002D7584"/>
    <w:rsid w:val="002E043E"/>
    <w:rsid w:val="002E1F1A"/>
    <w:rsid w:val="002E5374"/>
    <w:rsid w:val="002E66E7"/>
    <w:rsid w:val="002E6CDC"/>
    <w:rsid w:val="002E7BD6"/>
    <w:rsid w:val="002F0884"/>
    <w:rsid w:val="002F0EBC"/>
    <w:rsid w:val="002F256B"/>
    <w:rsid w:val="002F3472"/>
    <w:rsid w:val="002F617E"/>
    <w:rsid w:val="002F6F17"/>
    <w:rsid w:val="002F71AA"/>
    <w:rsid w:val="002F75CC"/>
    <w:rsid w:val="003013FB"/>
    <w:rsid w:val="00302DE2"/>
    <w:rsid w:val="00304D6D"/>
    <w:rsid w:val="0030501F"/>
    <w:rsid w:val="003052A2"/>
    <w:rsid w:val="00306FD6"/>
    <w:rsid w:val="00307ADC"/>
    <w:rsid w:val="0031082D"/>
    <w:rsid w:val="003122DC"/>
    <w:rsid w:val="00312CC6"/>
    <w:rsid w:val="0031312A"/>
    <w:rsid w:val="00315616"/>
    <w:rsid w:val="003160AE"/>
    <w:rsid w:val="003161E7"/>
    <w:rsid w:val="00316842"/>
    <w:rsid w:val="00316F48"/>
    <w:rsid w:val="00317B05"/>
    <w:rsid w:val="00317EB0"/>
    <w:rsid w:val="00320DEE"/>
    <w:rsid w:val="00320E77"/>
    <w:rsid w:val="00321D66"/>
    <w:rsid w:val="00323ADA"/>
    <w:rsid w:val="003249E7"/>
    <w:rsid w:val="0032516B"/>
    <w:rsid w:val="003252A7"/>
    <w:rsid w:val="003252AF"/>
    <w:rsid w:val="00325446"/>
    <w:rsid w:val="003256C8"/>
    <w:rsid w:val="00326C02"/>
    <w:rsid w:val="00330878"/>
    <w:rsid w:val="00330924"/>
    <w:rsid w:val="00330AA9"/>
    <w:rsid w:val="00330C4F"/>
    <w:rsid w:val="00330DB7"/>
    <w:rsid w:val="00331E94"/>
    <w:rsid w:val="00332463"/>
    <w:rsid w:val="0033318D"/>
    <w:rsid w:val="003353DF"/>
    <w:rsid w:val="00336B43"/>
    <w:rsid w:val="00336D78"/>
    <w:rsid w:val="00342C8E"/>
    <w:rsid w:val="00343814"/>
    <w:rsid w:val="003455D4"/>
    <w:rsid w:val="00345AE8"/>
    <w:rsid w:val="003515B2"/>
    <w:rsid w:val="003523F9"/>
    <w:rsid w:val="00352780"/>
    <w:rsid w:val="00353D1E"/>
    <w:rsid w:val="0035428E"/>
    <w:rsid w:val="00357436"/>
    <w:rsid w:val="00357578"/>
    <w:rsid w:val="00360E07"/>
    <w:rsid w:val="00361D31"/>
    <w:rsid w:val="00361F7E"/>
    <w:rsid w:val="0036227D"/>
    <w:rsid w:val="003624F7"/>
    <w:rsid w:val="0036310E"/>
    <w:rsid w:val="00363A5C"/>
    <w:rsid w:val="00363D9C"/>
    <w:rsid w:val="00363F83"/>
    <w:rsid w:val="00364193"/>
    <w:rsid w:val="0036562B"/>
    <w:rsid w:val="0036642D"/>
    <w:rsid w:val="003665EC"/>
    <w:rsid w:val="00367E2B"/>
    <w:rsid w:val="003707F8"/>
    <w:rsid w:val="00370C85"/>
    <w:rsid w:val="00370D9A"/>
    <w:rsid w:val="0037198D"/>
    <w:rsid w:val="00371F55"/>
    <w:rsid w:val="00372251"/>
    <w:rsid w:val="0037327B"/>
    <w:rsid w:val="00373A0C"/>
    <w:rsid w:val="00373BE0"/>
    <w:rsid w:val="00373F8D"/>
    <w:rsid w:val="0037424D"/>
    <w:rsid w:val="003753E4"/>
    <w:rsid w:val="0037570E"/>
    <w:rsid w:val="00375BA9"/>
    <w:rsid w:val="00377AB5"/>
    <w:rsid w:val="003809A8"/>
    <w:rsid w:val="00380F35"/>
    <w:rsid w:val="003818DA"/>
    <w:rsid w:val="00383B13"/>
    <w:rsid w:val="003842A8"/>
    <w:rsid w:val="003847C0"/>
    <w:rsid w:val="00386817"/>
    <w:rsid w:val="00386AA5"/>
    <w:rsid w:val="00387188"/>
    <w:rsid w:val="00387D1C"/>
    <w:rsid w:val="00387DAC"/>
    <w:rsid w:val="00387F14"/>
    <w:rsid w:val="00390182"/>
    <w:rsid w:val="003905B7"/>
    <w:rsid w:val="00390E13"/>
    <w:rsid w:val="00390EBF"/>
    <w:rsid w:val="003923F6"/>
    <w:rsid w:val="00394E84"/>
    <w:rsid w:val="00396062"/>
    <w:rsid w:val="00396BE7"/>
    <w:rsid w:val="003A0166"/>
    <w:rsid w:val="003A0418"/>
    <w:rsid w:val="003A0BA6"/>
    <w:rsid w:val="003A1506"/>
    <w:rsid w:val="003A2160"/>
    <w:rsid w:val="003A3A60"/>
    <w:rsid w:val="003A4D09"/>
    <w:rsid w:val="003A5BA4"/>
    <w:rsid w:val="003A79FE"/>
    <w:rsid w:val="003B29A5"/>
    <w:rsid w:val="003B40BD"/>
    <w:rsid w:val="003B5022"/>
    <w:rsid w:val="003B64CB"/>
    <w:rsid w:val="003B6E6E"/>
    <w:rsid w:val="003C0976"/>
    <w:rsid w:val="003C0FCB"/>
    <w:rsid w:val="003C1A71"/>
    <w:rsid w:val="003C222B"/>
    <w:rsid w:val="003C4808"/>
    <w:rsid w:val="003C4A53"/>
    <w:rsid w:val="003C65DD"/>
    <w:rsid w:val="003D0DBE"/>
    <w:rsid w:val="003D1188"/>
    <w:rsid w:val="003D1BF9"/>
    <w:rsid w:val="003D4C00"/>
    <w:rsid w:val="003D4D55"/>
    <w:rsid w:val="003D577E"/>
    <w:rsid w:val="003D68B3"/>
    <w:rsid w:val="003D6D3C"/>
    <w:rsid w:val="003D6E90"/>
    <w:rsid w:val="003E0402"/>
    <w:rsid w:val="003E1CCE"/>
    <w:rsid w:val="003E4CE5"/>
    <w:rsid w:val="003E798E"/>
    <w:rsid w:val="003E79F4"/>
    <w:rsid w:val="003F2285"/>
    <w:rsid w:val="003F3F40"/>
    <w:rsid w:val="003F6552"/>
    <w:rsid w:val="003F7C27"/>
    <w:rsid w:val="003F7F60"/>
    <w:rsid w:val="00402917"/>
    <w:rsid w:val="00402FCB"/>
    <w:rsid w:val="0040367F"/>
    <w:rsid w:val="00404C4F"/>
    <w:rsid w:val="00406E3B"/>
    <w:rsid w:val="00407793"/>
    <w:rsid w:val="004117E9"/>
    <w:rsid w:val="00411AEF"/>
    <w:rsid w:val="00411C26"/>
    <w:rsid w:val="00412CBA"/>
    <w:rsid w:val="004130DE"/>
    <w:rsid w:val="00415443"/>
    <w:rsid w:val="00416FB0"/>
    <w:rsid w:val="00420165"/>
    <w:rsid w:val="00420982"/>
    <w:rsid w:val="00420E00"/>
    <w:rsid w:val="00423431"/>
    <w:rsid w:val="00424725"/>
    <w:rsid w:val="004258AD"/>
    <w:rsid w:val="00425907"/>
    <w:rsid w:val="0042638A"/>
    <w:rsid w:val="00431045"/>
    <w:rsid w:val="00433236"/>
    <w:rsid w:val="00433C8F"/>
    <w:rsid w:val="00434770"/>
    <w:rsid w:val="00436A19"/>
    <w:rsid w:val="00436C8C"/>
    <w:rsid w:val="004419FA"/>
    <w:rsid w:val="004420F3"/>
    <w:rsid w:val="00443D6F"/>
    <w:rsid w:val="00443E31"/>
    <w:rsid w:val="00446018"/>
    <w:rsid w:val="0045329C"/>
    <w:rsid w:val="00454DE2"/>
    <w:rsid w:val="00455C13"/>
    <w:rsid w:val="0046070B"/>
    <w:rsid w:val="00460A6A"/>
    <w:rsid w:val="00460B25"/>
    <w:rsid w:val="00461126"/>
    <w:rsid w:val="00461A25"/>
    <w:rsid w:val="00462A32"/>
    <w:rsid w:val="00462A54"/>
    <w:rsid w:val="00463098"/>
    <w:rsid w:val="00463662"/>
    <w:rsid w:val="00463F2B"/>
    <w:rsid w:val="00464EFC"/>
    <w:rsid w:val="00465357"/>
    <w:rsid w:val="00466A69"/>
    <w:rsid w:val="00466C8B"/>
    <w:rsid w:val="00466E8E"/>
    <w:rsid w:val="00471D2E"/>
    <w:rsid w:val="00473C8D"/>
    <w:rsid w:val="0048047D"/>
    <w:rsid w:val="00482D20"/>
    <w:rsid w:val="004854C9"/>
    <w:rsid w:val="0049023B"/>
    <w:rsid w:val="00490327"/>
    <w:rsid w:val="00491F16"/>
    <w:rsid w:val="00491F4A"/>
    <w:rsid w:val="00493A20"/>
    <w:rsid w:val="00493BE1"/>
    <w:rsid w:val="00494863"/>
    <w:rsid w:val="00494B9A"/>
    <w:rsid w:val="00496018"/>
    <w:rsid w:val="00497048"/>
    <w:rsid w:val="00497321"/>
    <w:rsid w:val="00497BF5"/>
    <w:rsid w:val="004A0E8C"/>
    <w:rsid w:val="004A259A"/>
    <w:rsid w:val="004A35BD"/>
    <w:rsid w:val="004A4762"/>
    <w:rsid w:val="004A4DB9"/>
    <w:rsid w:val="004A5CE2"/>
    <w:rsid w:val="004A61AB"/>
    <w:rsid w:val="004A7204"/>
    <w:rsid w:val="004A762C"/>
    <w:rsid w:val="004B1EA6"/>
    <w:rsid w:val="004B205C"/>
    <w:rsid w:val="004B24E9"/>
    <w:rsid w:val="004B43E6"/>
    <w:rsid w:val="004B74C2"/>
    <w:rsid w:val="004C3368"/>
    <w:rsid w:val="004C3B68"/>
    <w:rsid w:val="004C3FCF"/>
    <w:rsid w:val="004C4DB9"/>
    <w:rsid w:val="004C5836"/>
    <w:rsid w:val="004C5C79"/>
    <w:rsid w:val="004C6A4A"/>
    <w:rsid w:val="004D07B3"/>
    <w:rsid w:val="004D3580"/>
    <w:rsid w:val="004D6D88"/>
    <w:rsid w:val="004D6DEA"/>
    <w:rsid w:val="004D6E68"/>
    <w:rsid w:val="004D7311"/>
    <w:rsid w:val="004E1AF7"/>
    <w:rsid w:val="004E39D8"/>
    <w:rsid w:val="004E45B2"/>
    <w:rsid w:val="004E54B5"/>
    <w:rsid w:val="004E7695"/>
    <w:rsid w:val="004E7C5D"/>
    <w:rsid w:val="004F086F"/>
    <w:rsid w:val="004F1984"/>
    <w:rsid w:val="004F6B18"/>
    <w:rsid w:val="004F6B83"/>
    <w:rsid w:val="004F6D24"/>
    <w:rsid w:val="004F71B1"/>
    <w:rsid w:val="004F7383"/>
    <w:rsid w:val="0050029E"/>
    <w:rsid w:val="0050045E"/>
    <w:rsid w:val="005022AC"/>
    <w:rsid w:val="00502537"/>
    <w:rsid w:val="0050396A"/>
    <w:rsid w:val="00505BFC"/>
    <w:rsid w:val="00507889"/>
    <w:rsid w:val="0051211F"/>
    <w:rsid w:val="005134B7"/>
    <w:rsid w:val="00513B42"/>
    <w:rsid w:val="005150C6"/>
    <w:rsid w:val="00515F7D"/>
    <w:rsid w:val="005169F9"/>
    <w:rsid w:val="00517EED"/>
    <w:rsid w:val="0052439A"/>
    <w:rsid w:val="005244F8"/>
    <w:rsid w:val="0052614E"/>
    <w:rsid w:val="0052627F"/>
    <w:rsid w:val="00530BB5"/>
    <w:rsid w:val="00530D51"/>
    <w:rsid w:val="00530DF1"/>
    <w:rsid w:val="00531E5C"/>
    <w:rsid w:val="00532A92"/>
    <w:rsid w:val="005342F9"/>
    <w:rsid w:val="00534FA1"/>
    <w:rsid w:val="00537A8C"/>
    <w:rsid w:val="00540C48"/>
    <w:rsid w:val="00541B1F"/>
    <w:rsid w:val="00542AAB"/>
    <w:rsid w:val="005430B9"/>
    <w:rsid w:val="00543AA3"/>
    <w:rsid w:val="00543C60"/>
    <w:rsid w:val="005445EF"/>
    <w:rsid w:val="00545DE2"/>
    <w:rsid w:val="00545EB7"/>
    <w:rsid w:val="00546A3A"/>
    <w:rsid w:val="00546FCE"/>
    <w:rsid w:val="00547354"/>
    <w:rsid w:val="00547CC4"/>
    <w:rsid w:val="00551FDA"/>
    <w:rsid w:val="0055456E"/>
    <w:rsid w:val="00554C3D"/>
    <w:rsid w:val="005574B4"/>
    <w:rsid w:val="005574E3"/>
    <w:rsid w:val="0056116F"/>
    <w:rsid w:val="0056391B"/>
    <w:rsid w:val="00563B51"/>
    <w:rsid w:val="005668D2"/>
    <w:rsid w:val="005672AC"/>
    <w:rsid w:val="005676A0"/>
    <w:rsid w:val="00567A10"/>
    <w:rsid w:val="00570616"/>
    <w:rsid w:val="00570966"/>
    <w:rsid w:val="0057165D"/>
    <w:rsid w:val="00574FCB"/>
    <w:rsid w:val="005753C6"/>
    <w:rsid w:val="00575581"/>
    <w:rsid w:val="005758B6"/>
    <w:rsid w:val="005765CE"/>
    <w:rsid w:val="00577205"/>
    <w:rsid w:val="0058048B"/>
    <w:rsid w:val="00581DC7"/>
    <w:rsid w:val="0058558C"/>
    <w:rsid w:val="00586719"/>
    <w:rsid w:val="00586B1B"/>
    <w:rsid w:val="0059004D"/>
    <w:rsid w:val="00591338"/>
    <w:rsid w:val="00592DB9"/>
    <w:rsid w:val="005936BF"/>
    <w:rsid w:val="005944F7"/>
    <w:rsid w:val="00594E00"/>
    <w:rsid w:val="00595CEB"/>
    <w:rsid w:val="00595F07"/>
    <w:rsid w:val="00595F8A"/>
    <w:rsid w:val="0059793A"/>
    <w:rsid w:val="005A109F"/>
    <w:rsid w:val="005A204F"/>
    <w:rsid w:val="005A2C8E"/>
    <w:rsid w:val="005A5BED"/>
    <w:rsid w:val="005A7896"/>
    <w:rsid w:val="005A7E5B"/>
    <w:rsid w:val="005B0014"/>
    <w:rsid w:val="005B1A7D"/>
    <w:rsid w:val="005B1B23"/>
    <w:rsid w:val="005B1E5D"/>
    <w:rsid w:val="005B24B7"/>
    <w:rsid w:val="005B32ED"/>
    <w:rsid w:val="005B37FE"/>
    <w:rsid w:val="005B4A56"/>
    <w:rsid w:val="005B57B5"/>
    <w:rsid w:val="005B5AF8"/>
    <w:rsid w:val="005B714A"/>
    <w:rsid w:val="005B7B6E"/>
    <w:rsid w:val="005C30CE"/>
    <w:rsid w:val="005C427F"/>
    <w:rsid w:val="005C5B66"/>
    <w:rsid w:val="005C7E98"/>
    <w:rsid w:val="005D3506"/>
    <w:rsid w:val="005D3CA0"/>
    <w:rsid w:val="005D4D2B"/>
    <w:rsid w:val="005D515D"/>
    <w:rsid w:val="005E0D16"/>
    <w:rsid w:val="005E0F40"/>
    <w:rsid w:val="005E1382"/>
    <w:rsid w:val="005E1784"/>
    <w:rsid w:val="005E2D4B"/>
    <w:rsid w:val="005E2F9B"/>
    <w:rsid w:val="005E6508"/>
    <w:rsid w:val="005E755D"/>
    <w:rsid w:val="005F0516"/>
    <w:rsid w:val="005F1B0C"/>
    <w:rsid w:val="005F2D77"/>
    <w:rsid w:val="005F3E92"/>
    <w:rsid w:val="005F412F"/>
    <w:rsid w:val="005F5135"/>
    <w:rsid w:val="005F5778"/>
    <w:rsid w:val="005F7B16"/>
    <w:rsid w:val="006018AF"/>
    <w:rsid w:val="0060214D"/>
    <w:rsid w:val="00602619"/>
    <w:rsid w:val="00602AED"/>
    <w:rsid w:val="00603EC1"/>
    <w:rsid w:val="00605FC8"/>
    <w:rsid w:val="0060609A"/>
    <w:rsid w:val="00606508"/>
    <w:rsid w:val="00607248"/>
    <w:rsid w:val="00610914"/>
    <w:rsid w:val="0061307C"/>
    <w:rsid w:val="00614F12"/>
    <w:rsid w:val="006159D0"/>
    <w:rsid w:val="00621DFE"/>
    <w:rsid w:val="006227C8"/>
    <w:rsid w:val="00623EA8"/>
    <w:rsid w:val="00625703"/>
    <w:rsid w:val="006268E6"/>
    <w:rsid w:val="0062711C"/>
    <w:rsid w:val="00631B2E"/>
    <w:rsid w:val="00631DA0"/>
    <w:rsid w:val="00631E1A"/>
    <w:rsid w:val="00632508"/>
    <w:rsid w:val="00632E8E"/>
    <w:rsid w:val="0063317B"/>
    <w:rsid w:val="00637763"/>
    <w:rsid w:val="00637B2C"/>
    <w:rsid w:val="00637B4A"/>
    <w:rsid w:val="006407CB"/>
    <w:rsid w:val="00641340"/>
    <w:rsid w:val="00642063"/>
    <w:rsid w:val="00645793"/>
    <w:rsid w:val="00645B64"/>
    <w:rsid w:val="006513C6"/>
    <w:rsid w:val="00651891"/>
    <w:rsid w:val="00652056"/>
    <w:rsid w:val="00652590"/>
    <w:rsid w:val="0065317B"/>
    <w:rsid w:val="006537B0"/>
    <w:rsid w:val="00654236"/>
    <w:rsid w:val="00654DC0"/>
    <w:rsid w:val="00655479"/>
    <w:rsid w:val="00656473"/>
    <w:rsid w:val="00657CAB"/>
    <w:rsid w:val="00661ACC"/>
    <w:rsid w:val="00664358"/>
    <w:rsid w:val="00664457"/>
    <w:rsid w:val="00664F4F"/>
    <w:rsid w:val="006658C1"/>
    <w:rsid w:val="00670398"/>
    <w:rsid w:val="0067119C"/>
    <w:rsid w:val="006726F2"/>
    <w:rsid w:val="00672B9E"/>
    <w:rsid w:val="00672F98"/>
    <w:rsid w:val="00673BDE"/>
    <w:rsid w:val="00673EE6"/>
    <w:rsid w:val="00674342"/>
    <w:rsid w:val="00674391"/>
    <w:rsid w:val="0067458F"/>
    <w:rsid w:val="006748B5"/>
    <w:rsid w:val="00674A9B"/>
    <w:rsid w:val="00674AE6"/>
    <w:rsid w:val="00674CC5"/>
    <w:rsid w:val="006765BA"/>
    <w:rsid w:val="00677868"/>
    <w:rsid w:val="00677B0D"/>
    <w:rsid w:val="00680B48"/>
    <w:rsid w:val="00684EB8"/>
    <w:rsid w:val="0068532B"/>
    <w:rsid w:val="0068558E"/>
    <w:rsid w:val="00685F52"/>
    <w:rsid w:val="006860C6"/>
    <w:rsid w:val="0068629F"/>
    <w:rsid w:val="00686315"/>
    <w:rsid w:val="0068696A"/>
    <w:rsid w:val="00686B39"/>
    <w:rsid w:val="006912BC"/>
    <w:rsid w:val="00691E78"/>
    <w:rsid w:val="00693404"/>
    <w:rsid w:val="0069479A"/>
    <w:rsid w:val="00694806"/>
    <w:rsid w:val="006949E6"/>
    <w:rsid w:val="00694BF7"/>
    <w:rsid w:val="006951C3"/>
    <w:rsid w:val="006957E2"/>
    <w:rsid w:val="006969FB"/>
    <w:rsid w:val="00697C91"/>
    <w:rsid w:val="006A259A"/>
    <w:rsid w:val="006A39E6"/>
    <w:rsid w:val="006A4BC3"/>
    <w:rsid w:val="006A4F01"/>
    <w:rsid w:val="006A58BA"/>
    <w:rsid w:val="006B0BCC"/>
    <w:rsid w:val="006B215A"/>
    <w:rsid w:val="006B2FFB"/>
    <w:rsid w:val="006B5D32"/>
    <w:rsid w:val="006B71B5"/>
    <w:rsid w:val="006B7934"/>
    <w:rsid w:val="006B7D7B"/>
    <w:rsid w:val="006C0A01"/>
    <w:rsid w:val="006C2D16"/>
    <w:rsid w:val="006C44FB"/>
    <w:rsid w:val="006C4AEB"/>
    <w:rsid w:val="006C4DC9"/>
    <w:rsid w:val="006C578F"/>
    <w:rsid w:val="006C5F5F"/>
    <w:rsid w:val="006D074E"/>
    <w:rsid w:val="006D1C2B"/>
    <w:rsid w:val="006D5F3A"/>
    <w:rsid w:val="006D6336"/>
    <w:rsid w:val="006E001D"/>
    <w:rsid w:val="006E0076"/>
    <w:rsid w:val="006E035F"/>
    <w:rsid w:val="006E08F9"/>
    <w:rsid w:val="006E1871"/>
    <w:rsid w:val="006E299F"/>
    <w:rsid w:val="006E2F75"/>
    <w:rsid w:val="006E4D98"/>
    <w:rsid w:val="006E4FC3"/>
    <w:rsid w:val="006E52A8"/>
    <w:rsid w:val="006E5AB7"/>
    <w:rsid w:val="006E5D37"/>
    <w:rsid w:val="006E793F"/>
    <w:rsid w:val="006F039C"/>
    <w:rsid w:val="006F0A80"/>
    <w:rsid w:val="006F1044"/>
    <w:rsid w:val="006F2452"/>
    <w:rsid w:val="006F287C"/>
    <w:rsid w:val="006F48A9"/>
    <w:rsid w:val="006F4955"/>
    <w:rsid w:val="006F4DA1"/>
    <w:rsid w:val="006F502B"/>
    <w:rsid w:val="006F51CE"/>
    <w:rsid w:val="006F5609"/>
    <w:rsid w:val="006F6A73"/>
    <w:rsid w:val="006F7375"/>
    <w:rsid w:val="0070069C"/>
    <w:rsid w:val="0070112A"/>
    <w:rsid w:val="00702543"/>
    <w:rsid w:val="00702972"/>
    <w:rsid w:val="00705CBD"/>
    <w:rsid w:val="00706134"/>
    <w:rsid w:val="00707347"/>
    <w:rsid w:val="00710891"/>
    <w:rsid w:val="00710EEA"/>
    <w:rsid w:val="0071263E"/>
    <w:rsid w:val="00713FCB"/>
    <w:rsid w:val="00716E87"/>
    <w:rsid w:val="00720A2E"/>
    <w:rsid w:val="00724611"/>
    <w:rsid w:val="00725AC0"/>
    <w:rsid w:val="00725BF6"/>
    <w:rsid w:val="0072691D"/>
    <w:rsid w:val="007300AB"/>
    <w:rsid w:val="00731EC9"/>
    <w:rsid w:val="007321DD"/>
    <w:rsid w:val="00732750"/>
    <w:rsid w:val="007328B8"/>
    <w:rsid w:val="00732CDB"/>
    <w:rsid w:val="007334A3"/>
    <w:rsid w:val="00733CCC"/>
    <w:rsid w:val="00736927"/>
    <w:rsid w:val="00736A85"/>
    <w:rsid w:val="00736A93"/>
    <w:rsid w:val="0074075A"/>
    <w:rsid w:val="00740853"/>
    <w:rsid w:val="00740916"/>
    <w:rsid w:val="00741C59"/>
    <w:rsid w:val="00741F3A"/>
    <w:rsid w:val="00742934"/>
    <w:rsid w:val="00746BE5"/>
    <w:rsid w:val="00747070"/>
    <w:rsid w:val="00752B47"/>
    <w:rsid w:val="007533F0"/>
    <w:rsid w:val="00753A98"/>
    <w:rsid w:val="00761D0C"/>
    <w:rsid w:val="007642D8"/>
    <w:rsid w:val="00764645"/>
    <w:rsid w:val="007655B0"/>
    <w:rsid w:val="00766073"/>
    <w:rsid w:val="00766218"/>
    <w:rsid w:val="00767A6C"/>
    <w:rsid w:val="00770D7B"/>
    <w:rsid w:val="00772126"/>
    <w:rsid w:val="00772145"/>
    <w:rsid w:val="007748C9"/>
    <w:rsid w:val="00774F66"/>
    <w:rsid w:val="00777E51"/>
    <w:rsid w:val="00780D17"/>
    <w:rsid w:val="00780DBA"/>
    <w:rsid w:val="00781367"/>
    <w:rsid w:val="00781E0D"/>
    <w:rsid w:val="007828C1"/>
    <w:rsid w:val="00785282"/>
    <w:rsid w:val="00785768"/>
    <w:rsid w:val="00786567"/>
    <w:rsid w:val="00786725"/>
    <w:rsid w:val="00787554"/>
    <w:rsid w:val="00787935"/>
    <w:rsid w:val="00787A4B"/>
    <w:rsid w:val="00790C56"/>
    <w:rsid w:val="007A0201"/>
    <w:rsid w:val="007A102E"/>
    <w:rsid w:val="007A13C3"/>
    <w:rsid w:val="007A3456"/>
    <w:rsid w:val="007A34EE"/>
    <w:rsid w:val="007A41D7"/>
    <w:rsid w:val="007A7AC1"/>
    <w:rsid w:val="007B26F3"/>
    <w:rsid w:val="007B400E"/>
    <w:rsid w:val="007B4547"/>
    <w:rsid w:val="007B5082"/>
    <w:rsid w:val="007B5D9C"/>
    <w:rsid w:val="007B6747"/>
    <w:rsid w:val="007B7DEA"/>
    <w:rsid w:val="007C2570"/>
    <w:rsid w:val="007C28DB"/>
    <w:rsid w:val="007C3700"/>
    <w:rsid w:val="007C43CD"/>
    <w:rsid w:val="007C48E6"/>
    <w:rsid w:val="007C543E"/>
    <w:rsid w:val="007C603E"/>
    <w:rsid w:val="007C703C"/>
    <w:rsid w:val="007C7233"/>
    <w:rsid w:val="007C755F"/>
    <w:rsid w:val="007C7D83"/>
    <w:rsid w:val="007D1BF6"/>
    <w:rsid w:val="007D3E05"/>
    <w:rsid w:val="007D68EA"/>
    <w:rsid w:val="007D763E"/>
    <w:rsid w:val="007E005E"/>
    <w:rsid w:val="007E0AA9"/>
    <w:rsid w:val="007E2AC6"/>
    <w:rsid w:val="007E3D7B"/>
    <w:rsid w:val="007E4FF7"/>
    <w:rsid w:val="007E5A28"/>
    <w:rsid w:val="007E7C34"/>
    <w:rsid w:val="007F0265"/>
    <w:rsid w:val="007F066C"/>
    <w:rsid w:val="007F0C60"/>
    <w:rsid w:val="007F2F15"/>
    <w:rsid w:val="007F31E3"/>
    <w:rsid w:val="007F51A0"/>
    <w:rsid w:val="007F5EDE"/>
    <w:rsid w:val="007F6656"/>
    <w:rsid w:val="007F6C4F"/>
    <w:rsid w:val="007F7B93"/>
    <w:rsid w:val="008008D7"/>
    <w:rsid w:val="00803130"/>
    <w:rsid w:val="00804740"/>
    <w:rsid w:val="008065CB"/>
    <w:rsid w:val="008072FC"/>
    <w:rsid w:val="008106E9"/>
    <w:rsid w:val="00810A84"/>
    <w:rsid w:val="0081117C"/>
    <w:rsid w:val="00812490"/>
    <w:rsid w:val="00813932"/>
    <w:rsid w:val="008172BE"/>
    <w:rsid w:val="00820F75"/>
    <w:rsid w:val="00821135"/>
    <w:rsid w:val="008213B2"/>
    <w:rsid w:val="0082307A"/>
    <w:rsid w:val="0082328E"/>
    <w:rsid w:val="008235B9"/>
    <w:rsid w:val="00823ED6"/>
    <w:rsid w:val="0082524F"/>
    <w:rsid w:val="0082709E"/>
    <w:rsid w:val="00827A32"/>
    <w:rsid w:val="0083072E"/>
    <w:rsid w:val="008313EA"/>
    <w:rsid w:val="00832580"/>
    <w:rsid w:val="00832EDB"/>
    <w:rsid w:val="00833ED0"/>
    <w:rsid w:val="00834103"/>
    <w:rsid w:val="00835B37"/>
    <w:rsid w:val="008447E4"/>
    <w:rsid w:val="00846BFD"/>
    <w:rsid w:val="00846C0F"/>
    <w:rsid w:val="0084753F"/>
    <w:rsid w:val="008502E2"/>
    <w:rsid w:val="008534EF"/>
    <w:rsid w:val="00855E1F"/>
    <w:rsid w:val="00856799"/>
    <w:rsid w:val="00857899"/>
    <w:rsid w:val="00860B1C"/>
    <w:rsid w:val="0086342F"/>
    <w:rsid w:val="00864AC5"/>
    <w:rsid w:val="00865DF9"/>
    <w:rsid w:val="00870041"/>
    <w:rsid w:val="00870890"/>
    <w:rsid w:val="00870E75"/>
    <w:rsid w:val="00871A2C"/>
    <w:rsid w:val="00871F10"/>
    <w:rsid w:val="0087302F"/>
    <w:rsid w:val="008747E3"/>
    <w:rsid w:val="00876A6F"/>
    <w:rsid w:val="00876B8A"/>
    <w:rsid w:val="00881766"/>
    <w:rsid w:val="0088181F"/>
    <w:rsid w:val="00881AA6"/>
    <w:rsid w:val="00881F42"/>
    <w:rsid w:val="0088211B"/>
    <w:rsid w:val="00882F98"/>
    <w:rsid w:val="0088314C"/>
    <w:rsid w:val="008832B8"/>
    <w:rsid w:val="00883682"/>
    <w:rsid w:val="00885351"/>
    <w:rsid w:val="00885DA8"/>
    <w:rsid w:val="00886AA3"/>
    <w:rsid w:val="00886EB9"/>
    <w:rsid w:val="00887DC4"/>
    <w:rsid w:val="008904E4"/>
    <w:rsid w:val="008907DE"/>
    <w:rsid w:val="00892EE7"/>
    <w:rsid w:val="00893807"/>
    <w:rsid w:val="0089430E"/>
    <w:rsid w:val="00894430"/>
    <w:rsid w:val="008A15E9"/>
    <w:rsid w:val="008A28EA"/>
    <w:rsid w:val="008A3E13"/>
    <w:rsid w:val="008A418D"/>
    <w:rsid w:val="008A6F18"/>
    <w:rsid w:val="008B2E0C"/>
    <w:rsid w:val="008B6B40"/>
    <w:rsid w:val="008C0861"/>
    <w:rsid w:val="008C22C9"/>
    <w:rsid w:val="008C3855"/>
    <w:rsid w:val="008C48B3"/>
    <w:rsid w:val="008C5423"/>
    <w:rsid w:val="008C606A"/>
    <w:rsid w:val="008C60B0"/>
    <w:rsid w:val="008C6E81"/>
    <w:rsid w:val="008C746F"/>
    <w:rsid w:val="008C7A82"/>
    <w:rsid w:val="008D04F9"/>
    <w:rsid w:val="008D065F"/>
    <w:rsid w:val="008D094C"/>
    <w:rsid w:val="008D12C4"/>
    <w:rsid w:val="008D1BD6"/>
    <w:rsid w:val="008D2A77"/>
    <w:rsid w:val="008D3D8D"/>
    <w:rsid w:val="008D3EC7"/>
    <w:rsid w:val="008D4600"/>
    <w:rsid w:val="008D5FD2"/>
    <w:rsid w:val="008D6748"/>
    <w:rsid w:val="008D6BF9"/>
    <w:rsid w:val="008D73EB"/>
    <w:rsid w:val="008E1923"/>
    <w:rsid w:val="008E33DE"/>
    <w:rsid w:val="008E4079"/>
    <w:rsid w:val="008E50E5"/>
    <w:rsid w:val="008E580C"/>
    <w:rsid w:val="008E669E"/>
    <w:rsid w:val="008E67BE"/>
    <w:rsid w:val="008E6AB6"/>
    <w:rsid w:val="008E7DE6"/>
    <w:rsid w:val="008F14E9"/>
    <w:rsid w:val="008F3953"/>
    <w:rsid w:val="008F39BA"/>
    <w:rsid w:val="008F3A49"/>
    <w:rsid w:val="008F4CBC"/>
    <w:rsid w:val="008F574C"/>
    <w:rsid w:val="008F5D94"/>
    <w:rsid w:val="008F6A9E"/>
    <w:rsid w:val="008F755E"/>
    <w:rsid w:val="0090376E"/>
    <w:rsid w:val="009041CD"/>
    <w:rsid w:val="009044B3"/>
    <w:rsid w:val="00904C70"/>
    <w:rsid w:val="0090562B"/>
    <w:rsid w:val="00905B84"/>
    <w:rsid w:val="00907F6E"/>
    <w:rsid w:val="00910BCD"/>
    <w:rsid w:val="00915926"/>
    <w:rsid w:val="0091729E"/>
    <w:rsid w:val="00921DF9"/>
    <w:rsid w:val="009228C9"/>
    <w:rsid w:val="009230BB"/>
    <w:rsid w:val="009235FA"/>
    <w:rsid w:val="0092504A"/>
    <w:rsid w:val="00925C38"/>
    <w:rsid w:val="00926BAF"/>
    <w:rsid w:val="00927DB6"/>
    <w:rsid w:val="0093018B"/>
    <w:rsid w:val="00930318"/>
    <w:rsid w:val="00930878"/>
    <w:rsid w:val="00930F69"/>
    <w:rsid w:val="009312EB"/>
    <w:rsid w:val="00931B57"/>
    <w:rsid w:val="0093360B"/>
    <w:rsid w:val="009350B6"/>
    <w:rsid w:val="00935E8F"/>
    <w:rsid w:val="00936642"/>
    <w:rsid w:val="0094009D"/>
    <w:rsid w:val="00940DC9"/>
    <w:rsid w:val="009418CF"/>
    <w:rsid w:val="00942F49"/>
    <w:rsid w:val="009431C9"/>
    <w:rsid w:val="0094375C"/>
    <w:rsid w:val="00943788"/>
    <w:rsid w:val="009448E9"/>
    <w:rsid w:val="00945AE7"/>
    <w:rsid w:val="00946B97"/>
    <w:rsid w:val="009517BE"/>
    <w:rsid w:val="00952465"/>
    <w:rsid w:val="00952DC9"/>
    <w:rsid w:val="00955410"/>
    <w:rsid w:val="0095572A"/>
    <w:rsid w:val="009569A4"/>
    <w:rsid w:val="00957475"/>
    <w:rsid w:val="009574BF"/>
    <w:rsid w:val="009576E6"/>
    <w:rsid w:val="009604A2"/>
    <w:rsid w:val="009657E4"/>
    <w:rsid w:val="00967CDC"/>
    <w:rsid w:val="009714FA"/>
    <w:rsid w:val="00971D98"/>
    <w:rsid w:val="00971FF8"/>
    <w:rsid w:val="00972604"/>
    <w:rsid w:val="00977CB0"/>
    <w:rsid w:val="009842A6"/>
    <w:rsid w:val="00984CA3"/>
    <w:rsid w:val="0098746D"/>
    <w:rsid w:val="00990862"/>
    <w:rsid w:val="00991249"/>
    <w:rsid w:val="009913D3"/>
    <w:rsid w:val="00993522"/>
    <w:rsid w:val="0099357C"/>
    <w:rsid w:val="00994D4F"/>
    <w:rsid w:val="00994DAC"/>
    <w:rsid w:val="0099525D"/>
    <w:rsid w:val="009969E9"/>
    <w:rsid w:val="009A107C"/>
    <w:rsid w:val="009A5F05"/>
    <w:rsid w:val="009B03F8"/>
    <w:rsid w:val="009B056A"/>
    <w:rsid w:val="009B0815"/>
    <w:rsid w:val="009B1477"/>
    <w:rsid w:val="009B1D6F"/>
    <w:rsid w:val="009B383F"/>
    <w:rsid w:val="009B6419"/>
    <w:rsid w:val="009C051D"/>
    <w:rsid w:val="009C1AE7"/>
    <w:rsid w:val="009C288A"/>
    <w:rsid w:val="009C2BCD"/>
    <w:rsid w:val="009C30F9"/>
    <w:rsid w:val="009C3E86"/>
    <w:rsid w:val="009C4A18"/>
    <w:rsid w:val="009C5170"/>
    <w:rsid w:val="009C60E6"/>
    <w:rsid w:val="009C7072"/>
    <w:rsid w:val="009D0173"/>
    <w:rsid w:val="009D451C"/>
    <w:rsid w:val="009D6AE2"/>
    <w:rsid w:val="009E0961"/>
    <w:rsid w:val="009E2038"/>
    <w:rsid w:val="009E31FA"/>
    <w:rsid w:val="009E3600"/>
    <w:rsid w:val="009E4381"/>
    <w:rsid w:val="009E45D4"/>
    <w:rsid w:val="009E5E3F"/>
    <w:rsid w:val="009F06A8"/>
    <w:rsid w:val="009F1082"/>
    <w:rsid w:val="009F10BF"/>
    <w:rsid w:val="009F18C1"/>
    <w:rsid w:val="009F4092"/>
    <w:rsid w:val="009F4810"/>
    <w:rsid w:val="009F61BD"/>
    <w:rsid w:val="00A00609"/>
    <w:rsid w:val="00A010FD"/>
    <w:rsid w:val="00A01386"/>
    <w:rsid w:val="00A01679"/>
    <w:rsid w:val="00A02109"/>
    <w:rsid w:val="00A02385"/>
    <w:rsid w:val="00A06660"/>
    <w:rsid w:val="00A0693C"/>
    <w:rsid w:val="00A07C6D"/>
    <w:rsid w:val="00A11681"/>
    <w:rsid w:val="00A1345D"/>
    <w:rsid w:val="00A15529"/>
    <w:rsid w:val="00A15F54"/>
    <w:rsid w:val="00A164B6"/>
    <w:rsid w:val="00A17BBC"/>
    <w:rsid w:val="00A20C39"/>
    <w:rsid w:val="00A21136"/>
    <w:rsid w:val="00A22DA8"/>
    <w:rsid w:val="00A25DA3"/>
    <w:rsid w:val="00A265F0"/>
    <w:rsid w:val="00A2735B"/>
    <w:rsid w:val="00A2742A"/>
    <w:rsid w:val="00A276B1"/>
    <w:rsid w:val="00A310A4"/>
    <w:rsid w:val="00A31C91"/>
    <w:rsid w:val="00A32EB3"/>
    <w:rsid w:val="00A3317D"/>
    <w:rsid w:val="00A3384D"/>
    <w:rsid w:val="00A34C6E"/>
    <w:rsid w:val="00A356E6"/>
    <w:rsid w:val="00A36FFE"/>
    <w:rsid w:val="00A37C7F"/>
    <w:rsid w:val="00A40CB4"/>
    <w:rsid w:val="00A41100"/>
    <w:rsid w:val="00A4247B"/>
    <w:rsid w:val="00A42C94"/>
    <w:rsid w:val="00A433B1"/>
    <w:rsid w:val="00A447CF"/>
    <w:rsid w:val="00A44CEB"/>
    <w:rsid w:val="00A45531"/>
    <w:rsid w:val="00A45949"/>
    <w:rsid w:val="00A46325"/>
    <w:rsid w:val="00A46D76"/>
    <w:rsid w:val="00A4705D"/>
    <w:rsid w:val="00A4715E"/>
    <w:rsid w:val="00A47649"/>
    <w:rsid w:val="00A51070"/>
    <w:rsid w:val="00A5111E"/>
    <w:rsid w:val="00A511D5"/>
    <w:rsid w:val="00A548BC"/>
    <w:rsid w:val="00A554B6"/>
    <w:rsid w:val="00A56FB3"/>
    <w:rsid w:val="00A612CF"/>
    <w:rsid w:val="00A632A6"/>
    <w:rsid w:val="00A63318"/>
    <w:rsid w:val="00A652E9"/>
    <w:rsid w:val="00A6600B"/>
    <w:rsid w:val="00A6638A"/>
    <w:rsid w:val="00A70047"/>
    <w:rsid w:val="00A706B8"/>
    <w:rsid w:val="00A70A85"/>
    <w:rsid w:val="00A70FD0"/>
    <w:rsid w:val="00A7160C"/>
    <w:rsid w:val="00A74732"/>
    <w:rsid w:val="00A74775"/>
    <w:rsid w:val="00A74FC4"/>
    <w:rsid w:val="00A7648C"/>
    <w:rsid w:val="00A80513"/>
    <w:rsid w:val="00A80DD0"/>
    <w:rsid w:val="00A82CD8"/>
    <w:rsid w:val="00A8317E"/>
    <w:rsid w:val="00A83576"/>
    <w:rsid w:val="00A8362A"/>
    <w:rsid w:val="00A86999"/>
    <w:rsid w:val="00A874ED"/>
    <w:rsid w:val="00A90F6C"/>
    <w:rsid w:val="00A91A7C"/>
    <w:rsid w:val="00A920BC"/>
    <w:rsid w:val="00A92540"/>
    <w:rsid w:val="00A937EF"/>
    <w:rsid w:val="00A93F58"/>
    <w:rsid w:val="00A93F8C"/>
    <w:rsid w:val="00A942C9"/>
    <w:rsid w:val="00A94584"/>
    <w:rsid w:val="00A9459A"/>
    <w:rsid w:val="00A95551"/>
    <w:rsid w:val="00A961A7"/>
    <w:rsid w:val="00AA41D0"/>
    <w:rsid w:val="00AA4B84"/>
    <w:rsid w:val="00AA63AD"/>
    <w:rsid w:val="00AA73D5"/>
    <w:rsid w:val="00AB05CA"/>
    <w:rsid w:val="00AB0A2A"/>
    <w:rsid w:val="00AB1BE0"/>
    <w:rsid w:val="00AB41D5"/>
    <w:rsid w:val="00AB4AC9"/>
    <w:rsid w:val="00AB5129"/>
    <w:rsid w:val="00AB5E00"/>
    <w:rsid w:val="00AB6A9F"/>
    <w:rsid w:val="00AC0C8B"/>
    <w:rsid w:val="00AC396B"/>
    <w:rsid w:val="00AC4C14"/>
    <w:rsid w:val="00AC75F1"/>
    <w:rsid w:val="00AC7CF1"/>
    <w:rsid w:val="00AD0C88"/>
    <w:rsid w:val="00AD2174"/>
    <w:rsid w:val="00AD23CD"/>
    <w:rsid w:val="00AD2A10"/>
    <w:rsid w:val="00AD3111"/>
    <w:rsid w:val="00AD66F6"/>
    <w:rsid w:val="00AD70A3"/>
    <w:rsid w:val="00AD72C2"/>
    <w:rsid w:val="00AD7EE1"/>
    <w:rsid w:val="00AE0FF7"/>
    <w:rsid w:val="00AE113D"/>
    <w:rsid w:val="00AE17B4"/>
    <w:rsid w:val="00AE31F1"/>
    <w:rsid w:val="00AE3615"/>
    <w:rsid w:val="00AE4294"/>
    <w:rsid w:val="00AE5790"/>
    <w:rsid w:val="00AE6019"/>
    <w:rsid w:val="00AE7CF2"/>
    <w:rsid w:val="00AF3E78"/>
    <w:rsid w:val="00AF43A6"/>
    <w:rsid w:val="00AF647C"/>
    <w:rsid w:val="00B00744"/>
    <w:rsid w:val="00B0162C"/>
    <w:rsid w:val="00B01F20"/>
    <w:rsid w:val="00B03599"/>
    <w:rsid w:val="00B072AF"/>
    <w:rsid w:val="00B12579"/>
    <w:rsid w:val="00B15D11"/>
    <w:rsid w:val="00B1709E"/>
    <w:rsid w:val="00B215E6"/>
    <w:rsid w:val="00B25E36"/>
    <w:rsid w:val="00B26375"/>
    <w:rsid w:val="00B3222C"/>
    <w:rsid w:val="00B41378"/>
    <w:rsid w:val="00B41403"/>
    <w:rsid w:val="00B4202F"/>
    <w:rsid w:val="00B42FA4"/>
    <w:rsid w:val="00B45193"/>
    <w:rsid w:val="00B451E6"/>
    <w:rsid w:val="00B47F89"/>
    <w:rsid w:val="00B50E10"/>
    <w:rsid w:val="00B5282C"/>
    <w:rsid w:val="00B533B0"/>
    <w:rsid w:val="00B53DF3"/>
    <w:rsid w:val="00B55258"/>
    <w:rsid w:val="00B5698A"/>
    <w:rsid w:val="00B57E65"/>
    <w:rsid w:val="00B60344"/>
    <w:rsid w:val="00B62152"/>
    <w:rsid w:val="00B63513"/>
    <w:rsid w:val="00B6470F"/>
    <w:rsid w:val="00B65631"/>
    <w:rsid w:val="00B66F72"/>
    <w:rsid w:val="00B674A9"/>
    <w:rsid w:val="00B67B22"/>
    <w:rsid w:val="00B70A4B"/>
    <w:rsid w:val="00B71024"/>
    <w:rsid w:val="00B737FD"/>
    <w:rsid w:val="00B73B01"/>
    <w:rsid w:val="00B75C46"/>
    <w:rsid w:val="00B75CBF"/>
    <w:rsid w:val="00B7607F"/>
    <w:rsid w:val="00B76D21"/>
    <w:rsid w:val="00B77094"/>
    <w:rsid w:val="00B77FF3"/>
    <w:rsid w:val="00B80DFF"/>
    <w:rsid w:val="00B81A9A"/>
    <w:rsid w:val="00B82667"/>
    <w:rsid w:val="00B846AB"/>
    <w:rsid w:val="00B854A3"/>
    <w:rsid w:val="00B86C5F"/>
    <w:rsid w:val="00B876FE"/>
    <w:rsid w:val="00B92525"/>
    <w:rsid w:val="00B9444E"/>
    <w:rsid w:val="00B946A3"/>
    <w:rsid w:val="00B94751"/>
    <w:rsid w:val="00B9605D"/>
    <w:rsid w:val="00B96E72"/>
    <w:rsid w:val="00B97037"/>
    <w:rsid w:val="00B97638"/>
    <w:rsid w:val="00BA0336"/>
    <w:rsid w:val="00BA0FC5"/>
    <w:rsid w:val="00BA1C7C"/>
    <w:rsid w:val="00BA23EF"/>
    <w:rsid w:val="00BA74E7"/>
    <w:rsid w:val="00BA7C6F"/>
    <w:rsid w:val="00BB0A9D"/>
    <w:rsid w:val="00BB0FCB"/>
    <w:rsid w:val="00BB103A"/>
    <w:rsid w:val="00BB189C"/>
    <w:rsid w:val="00BB1C67"/>
    <w:rsid w:val="00BB3906"/>
    <w:rsid w:val="00BB3F28"/>
    <w:rsid w:val="00BB3F36"/>
    <w:rsid w:val="00BB428D"/>
    <w:rsid w:val="00BB6D3C"/>
    <w:rsid w:val="00BB724E"/>
    <w:rsid w:val="00BB7766"/>
    <w:rsid w:val="00BC11DE"/>
    <w:rsid w:val="00BC39F0"/>
    <w:rsid w:val="00BC5DAD"/>
    <w:rsid w:val="00BC610D"/>
    <w:rsid w:val="00BD3592"/>
    <w:rsid w:val="00BD4408"/>
    <w:rsid w:val="00BD66AF"/>
    <w:rsid w:val="00BD6B3F"/>
    <w:rsid w:val="00BD7F0F"/>
    <w:rsid w:val="00BE1C81"/>
    <w:rsid w:val="00BE1DC7"/>
    <w:rsid w:val="00BE2855"/>
    <w:rsid w:val="00BE351D"/>
    <w:rsid w:val="00BE3CB5"/>
    <w:rsid w:val="00BE4B26"/>
    <w:rsid w:val="00BE732F"/>
    <w:rsid w:val="00BE7664"/>
    <w:rsid w:val="00BF0055"/>
    <w:rsid w:val="00BF248A"/>
    <w:rsid w:val="00BF256C"/>
    <w:rsid w:val="00BF35D0"/>
    <w:rsid w:val="00BF40A9"/>
    <w:rsid w:val="00BF47D8"/>
    <w:rsid w:val="00BF489C"/>
    <w:rsid w:val="00BF4F56"/>
    <w:rsid w:val="00BF5FDD"/>
    <w:rsid w:val="00BF609B"/>
    <w:rsid w:val="00C04658"/>
    <w:rsid w:val="00C06203"/>
    <w:rsid w:val="00C0640B"/>
    <w:rsid w:val="00C06B80"/>
    <w:rsid w:val="00C06BE5"/>
    <w:rsid w:val="00C10333"/>
    <w:rsid w:val="00C1170B"/>
    <w:rsid w:val="00C1255F"/>
    <w:rsid w:val="00C12C2A"/>
    <w:rsid w:val="00C13128"/>
    <w:rsid w:val="00C14974"/>
    <w:rsid w:val="00C15048"/>
    <w:rsid w:val="00C17A11"/>
    <w:rsid w:val="00C17F65"/>
    <w:rsid w:val="00C20689"/>
    <w:rsid w:val="00C21FA3"/>
    <w:rsid w:val="00C2435C"/>
    <w:rsid w:val="00C2653F"/>
    <w:rsid w:val="00C26B38"/>
    <w:rsid w:val="00C3012F"/>
    <w:rsid w:val="00C32623"/>
    <w:rsid w:val="00C33F4B"/>
    <w:rsid w:val="00C36E66"/>
    <w:rsid w:val="00C40421"/>
    <w:rsid w:val="00C40B37"/>
    <w:rsid w:val="00C4141D"/>
    <w:rsid w:val="00C43503"/>
    <w:rsid w:val="00C439E1"/>
    <w:rsid w:val="00C44EA4"/>
    <w:rsid w:val="00C45460"/>
    <w:rsid w:val="00C46A9C"/>
    <w:rsid w:val="00C46D79"/>
    <w:rsid w:val="00C46EED"/>
    <w:rsid w:val="00C47EF2"/>
    <w:rsid w:val="00C504AF"/>
    <w:rsid w:val="00C50595"/>
    <w:rsid w:val="00C541D6"/>
    <w:rsid w:val="00C55BB7"/>
    <w:rsid w:val="00C55BEB"/>
    <w:rsid w:val="00C56A2C"/>
    <w:rsid w:val="00C5708E"/>
    <w:rsid w:val="00C6032A"/>
    <w:rsid w:val="00C607EC"/>
    <w:rsid w:val="00C6127C"/>
    <w:rsid w:val="00C6140D"/>
    <w:rsid w:val="00C6261B"/>
    <w:rsid w:val="00C638BA"/>
    <w:rsid w:val="00C655A1"/>
    <w:rsid w:val="00C6698F"/>
    <w:rsid w:val="00C704F3"/>
    <w:rsid w:val="00C71AD9"/>
    <w:rsid w:val="00C76261"/>
    <w:rsid w:val="00C76497"/>
    <w:rsid w:val="00C8027C"/>
    <w:rsid w:val="00C8028B"/>
    <w:rsid w:val="00C81052"/>
    <w:rsid w:val="00C81F6E"/>
    <w:rsid w:val="00C82FB4"/>
    <w:rsid w:val="00C839C0"/>
    <w:rsid w:val="00C85463"/>
    <w:rsid w:val="00C879EE"/>
    <w:rsid w:val="00C91055"/>
    <w:rsid w:val="00C91FC8"/>
    <w:rsid w:val="00C92A8B"/>
    <w:rsid w:val="00C93F15"/>
    <w:rsid w:val="00C940AD"/>
    <w:rsid w:val="00C951E1"/>
    <w:rsid w:val="00C9630A"/>
    <w:rsid w:val="00C9778F"/>
    <w:rsid w:val="00CA0141"/>
    <w:rsid w:val="00CA2D4E"/>
    <w:rsid w:val="00CA5B2A"/>
    <w:rsid w:val="00CA5F2E"/>
    <w:rsid w:val="00CB02C6"/>
    <w:rsid w:val="00CB395C"/>
    <w:rsid w:val="00CB4CD5"/>
    <w:rsid w:val="00CB58A2"/>
    <w:rsid w:val="00CB5E1C"/>
    <w:rsid w:val="00CB747C"/>
    <w:rsid w:val="00CB79D4"/>
    <w:rsid w:val="00CC031E"/>
    <w:rsid w:val="00CC0818"/>
    <w:rsid w:val="00CC3184"/>
    <w:rsid w:val="00CC5244"/>
    <w:rsid w:val="00CC66EB"/>
    <w:rsid w:val="00CD0829"/>
    <w:rsid w:val="00CD12A8"/>
    <w:rsid w:val="00CD1969"/>
    <w:rsid w:val="00CD2A2B"/>
    <w:rsid w:val="00CD32E1"/>
    <w:rsid w:val="00CD4210"/>
    <w:rsid w:val="00CD4F4D"/>
    <w:rsid w:val="00CD5BB7"/>
    <w:rsid w:val="00CD6192"/>
    <w:rsid w:val="00CE0B01"/>
    <w:rsid w:val="00CE1B3C"/>
    <w:rsid w:val="00CE1F0E"/>
    <w:rsid w:val="00CE3771"/>
    <w:rsid w:val="00CE4C3C"/>
    <w:rsid w:val="00CE71D7"/>
    <w:rsid w:val="00CE7E7F"/>
    <w:rsid w:val="00CF14C8"/>
    <w:rsid w:val="00CF2DAF"/>
    <w:rsid w:val="00CF2EFD"/>
    <w:rsid w:val="00CF46F9"/>
    <w:rsid w:val="00CF4D4B"/>
    <w:rsid w:val="00CF4DC4"/>
    <w:rsid w:val="00CF51AB"/>
    <w:rsid w:val="00CF53E1"/>
    <w:rsid w:val="00CF5BF7"/>
    <w:rsid w:val="00CF7A40"/>
    <w:rsid w:val="00D01410"/>
    <w:rsid w:val="00D01855"/>
    <w:rsid w:val="00D01C5D"/>
    <w:rsid w:val="00D051E0"/>
    <w:rsid w:val="00D07174"/>
    <w:rsid w:val="00D124D6"/>
    <w:rsid w:val="00D15AC1"/>
    <w:rsid w:val="00D15D6D"/>
    <w:rsid w:val="00D17DF5"/>
    <w:rsid w:val="00D21168"/>
    <w:rsid w:val="00D21258"/>
    <w:rsid w:val="00D26C47"/>
    <w:rsid w:val="00D273E6"/>
    <w:rsid w:val="00D27E84"/>
    <w:rsid w:val="00D3057B"/>
    <w:rsid w:val="00D313DE"/>
    <w:rsid w:val="00D31DF1"/>
    <w:rsid w:val="00D31F3B"/>
    <w:rsid w:val="00D323B6"/>
    <w:rsid w:val="00D32687"/>
    <w:rsid w:val="00D333BE"/>
    <w:rsid w:val="00D35942"/>
    <w:rsid w:val="00D36FF9"/>
    <w:rsid w:val="00D42775"/>
    <w:rsid w:val="00D435A6"/>
    <w:rsid w:val="00D43704"/>
    <w:rsid w:val="00D536CE"/>
    <w:rsid w:val="00D53CE8"/>
    <w:rsid w:val="00D53E02"/>
    <w:rsid w:val="00D60075"/>
    <w:rsid w:val="00D636FD"/>
    <w:rsid w:val="00D650A4"/>
    <w:rsid w:val="00D65543"/>
    <w:rsid w:val="00D65712"/>
    <w:rsid w:val="00D659C4"/>
    <w:rsid w:val="00D70821"/>
    <w:rsid w:val="00D7098B"/>
    <w:rsid w:val="00D70AAA"/>
    <w:rsid w:val="00D73615"/>
    <w:rsid w:val="00D747B0"/>
    <w:rsid w:val="00D74B81"/>
    <w:rsid w:val="00D74C5C"/>
    <w:rsid w:val="00D762C2"/>
    <w:rsid w:val="00D76543"/>
    <w:rsid w:val="00D76A58"/>
    <w:rsid w:val="00D778FB"/>
    <w:rsid w:val="00D77A71"/>
    <w:rsid w:val="00D80442"/>
    <w:rsid w:val="00D81062"/>
    <w:rsid w:val="00D81800"/>
    <w:rsid w:val="00D81F4F"/>
    <w:rsid w:val="00D82AC4"/>
    <w:rsid w:val="00D84001"/>
    <w:rsid w:val="00D84A5D"/>
    <w:rsid w:val="00D85048"/>
    <w:rsid w:val="00D8647A"/>
    <w:rsid w:val="00D864CC"/>
    <w:rsid w:val="00D86839"/>
    <w:rsid w:val="00D86902"/>
    <w:rsid w:val="00D87F6D"/>
    <w:rsid w:val="00D91BD0"/>
    <w:rsid w:val="00D92404"/>
    <w:rsid w:val="00D93EDA"/>
    <w:rsid w:val="00D9436E"/>
    <w:rsid w:val="00D94BE8"/>
    <w:rsid w:val="00D94C94"/>
    <w:rsid w:val="00D978AA"/>
    <w:rsid w:val="00DA04AB"/>
    <w:rsid w:val="00DA1523"/>
    <w:rsid w:val="00DA2B53"/>
    <w:rsid w:val="00DA4237"/>
    <w:rsid w:val="00DA6050"/>
    <w:rsid w:val="00DB1BE4"/>
    <w:rsid w:val="00DB26D3"/>
    <w:rsid w:val="00DB5103"/>
    <w:rsid w:val="00DB77BB"/>
    <w:rsid w:val="00DC1106"/>
    <w:rsid w:val="00DC6048"/>
    <w:rsid w:val="00DC6363"/>
    <w:rsid w:val="00DC7F66"/>
    <w:rsid w:val="00DD0619"/>
    <w:rsid w:val="00DD193B"/>
    <w:rsid w:val="00DD2223"/>
    <w:rsid w:val="00DD41E8"/>
    <w:rsid w:val="00DD4667"/>
    <w:rsid w:val="00DD4809"/>
    <w:rsid w:val="00DD4C0C"/>
    <w:rsid w:val="00DD6771"/>
    <w:rsid w:val="00DD69A1"/>
    <w:rsid w:val="00DE03D1"/>
    <w:rsid w:val="00DE0AAE"/>
    <w:rsid w:val="00DE235C"/>
    <w:rsid w:val="00DE3C9D"/>
    <w:rsid w:val="00DE4A1F"/>
    <w:rsid w:val="00DE73B1"/>
    <w:rsid w:val="00DF5313"/>
    <w:rsid w:val="00DF61F4"/>
    <w:rsid w:val="00DF6733"/>
    <w:rsid w:val="00E00492"/>
    <w:rsid w:val="00E0269D"/>
    <w:rsid w:val="00E03ADC"/>
    <w:rsid w:val="00E03C49"/>
    <w:rsid w:val="00E059A8"/>
    <w:rsid w:val="00E0709D"/>
    <w:rsid w:val="00E11054"/>
    <w:rsid w:val="00E11EB7"/>
    <w:rsid w:val="00E13904"/>
    <w:rsid w:val="00E13C1B"/>
    <w:rsid w:val="00E140FE"/>
    <w:rsid w:val="00E1687D"/>
    <w:rsid w:val="00E22098"/>
    <w:rsid w:val="00E22444"/>
    <w:rsid w:val="00E2469C"/>
    <w:rsid w:val="00E24C0B"/>
    <w:rsid w:val="00E24E87"/>
    <w:rsid w:val="00E25FBB"/>
    <w:rsid w:val="00E264EE"/>
    <w:rsid w:val="00E27DCD"/>
    <w:rsid w:val="00E31513"/>
    <w:rsid w:val="00E319DF"/>
    <w:rsid w:val="00E3287A"/>
    <w:rsid w:val="00E328FD"/>
    <w:rsid w:val="00E33CA2"/>
    <w:rsid w:val="00E34892"/>
    <w:rsid w:val="00E353FA"/>
    <w:rsid w:val="00E3598D"/>
    <w:rsid w:val="00E36216"/>
    <w:rsid w:val="00E36947"/>
    <w:rsid w:val="00E37F42"/>
    <w:rsid w:val="00E40772"/>
    <w:rsid w:val="00E42736"/>
    <w:rsid w:val="00E44AB5"/>
    <w:rsid w:val="00E453BC"/>
    <w:rsid w:val="00E521D5"/>
    <w:rsid w:val="00E557A1"/>
    <w:rsid w:val="00E56296"/>
    <w:rsid w:val="00E56464"/>
    <w:rsid w:val="00E607E3"/>
    <w:rsid w:val="00E60CA2"/>
    <w:rsid w:val="00E614A8"/>
    <w:rsid w:val="00E62601"/>
    <w:rsid w:val="00E63A9D"/>
    <w:rsid w:val="00E642C5"/>
    <w:rsid w:val="00E64F71"/>
    <w:rsid w:val="00E65355"/>
    <w:rsid w:val="00E664A3"/>
    <w:rsid w:val="00E66DE4"/>
    <w:rsid w:val="00E67F14"/>
    <w:rsid w:val="00E70427"/>
    <w:rsid w:val="00E70440"/>
    <w:rsid w:val="00E709D5"/>
    <w:rsid w:val="00E711FC"/>
    <w:rsid w:val="00E719A0"/>
    <w:rsid w:val="00E719EC"/>
    <w:rsid w:val="00E74B44"/>
    <w:rsid w:val="00E76268"/>
    <w:rsid w:val="00E80D09"/>
    <w:rsid w:val="00E81DFC"/>
    <w:rsid w:val="00E828AE"/>
    <w:rsid w:val="00E83062"/>
    <w:rsid w:val="00E84EEF"/>
    <w:rsid w:val="00E863F2"/>
    <w:rsid w:val="00E86D43"/>
    <w:rsid w:val="00E87218"/>
    <w:rsid w:val="00E87B54"/>
    <w:rsid w:val="00E90910"/>
    <w:rsid w:val="00E91E8D"/>
    <w:rsid w:val="00E92C40"/>
    <w:rsid w:val="00E941A7"/>
    <w:rsid w:val="00E94C9C"/>
    <w:rsid w:val="00E95260"/>
    <w:rsid w:val="00E95599"/>
    <w:rsid w:val="00E95D6C"/>
    <w:rsid w:val="00E9681B"/>
    <w:rsid w:val="00E974BB"/>
    <w:rsid w:val="00E97560"/>
    <w:rsid w:val="00EA000E"/>
    <w:rsid w:val="00EA0F49"/>
    <w:rsid w:val="00EA1343"/>
    <w:rsid w:val="00EA1B5F"/>
    <w:rsid w:val="00EA22FA"/>
    <w:rsid w:val="00EA28BF"/>
    <w:rsid w:val="00EA4314"/>
    <w:rsid w:val="00EA5F06"/>
    <w:rsid w:val="00EA7BD5"/>
    <w:rsid w:val="00EA7E6A"/>
    <w:rsid w:val="00EA7F75"/>
    <w:rsid w:val="00EB15B3"/>
    <w:rsid w:val="00EB2409"/>
    <w:rsid w:val="00EB277F"/>
    <w:rsid w:val="00EB3B1D"/>
    <w:rsid w:val="00EB5C1C"/>
    <w:rsid w:val="00EB71E0"/>
    <w:rsid w:val="00EB75AD"/>
    <w:rsid w:val="00EC14CB"/>
    <w:rsid w:val="00EC19D0"/>
    <w:rsid w:val="00EC1AE4"/>
    <w:rsid w:val="00EC52A6"/>
    <w:rsid w:val="00EC560E"/>
    <w:rsid w:val="00EC7FEA"/>
    <w:rsid w:val="00ED3169"/>
    <w:rsid w:val="00ED3D82"/>
    <w:rsid w:val="00ED4C25"/>
    <w:rsid w:val="00ED58B5"/>
    <w:rsid w:val="00EE0666"/>
    <w:rsid w:val="00EE1D9B"/>
    <w:rsid w:val="00EE2B75"/>
    <w:rsid w:val="00EF2991"/>
    <w:rsid w:val="00EF2B38"/>
    <w:rsid w:val="00EF3907"/>
    <w:rsid w:val="00EF4C3D"/>
    <w:rsid w:val="00EF5AEF"/>
    <w:rsid w:val="00EF6076"/>
    <w:rsid w:val="00EF64B2"/>
    <w:rsid w:val="00F004DB"/>
    <w:rsid w:val="00F00559"/>
    <w:rsid w:val="00F01BBA"/>
    <w:rsid w:val="00F02C3D"/>
    <w:rsid w:val="00F03B23"/>
    <w:rsid w:val="00F05F51"/>
    <w:rsid w:val="00F05F9C"/>
    <w:rsid w:val="00F06184"/>
    <w:rsid w:val="00F06640"/>
    <w:rsid w:val="00F0784B"/>
    <w:rsid w:val="00F11887"/>
    <w:rsid w:val="00F1322A"/>
    <w:rsid w:val="00F139C2"/>
    <w:rsid w:val="00F148C9"/>
    <w:rsid w:val="00F14F03"/>
    <w:rsid w:val="00F151BD"/>
    <w:rsid w:val="00F16361"/>
    <w:rsid w:val="00F174E6"/>
    <w:rsid w:val="00F17B15"/>
    <w:rsid w:val="00F17C45"/>
    <w:rsid w:val="00F20CA7"/>
    <w:rsid w:val="00F22C93"/>
    <w:rsid w:val="00F237FC"/>
    <w:rsid w:val="00F26562"/>
    <w:rsid w:val="00F27074"/>
    <w:rsid w:val="00F30CFF"/>
    <w:rsid w:val="00F30D63"/>
    <w:rsid w:val="00F32E30"/>
    <w:rsid w:val="00F34BF2"/>
    <w:rsid w:val="00F34F95"/>
    <w:rsid w:val="00F35F43"/>
    <w:rsid w:val="00F36000"/>
    <w:rsid w:val="00F3655B"/>
    <w:rsid w:val="00F366CB"/>
    <w:rsid w:val="00F3679C"/>
    <w:rsid w:val="00F37122"/>
    <w:rsid w:val="00F37203"/>
    <w:rsid w:val="00F37DB5"/>
    <w:rsid w:val="00F400AC"/>
    <w:rsid w:val="00F40D26"/>
    <w:rsid w:val="00F413C4"/>
    <w:rsid w:val="00F41CA9"/>
    <w:rsid w:val="00F440F6"/>
    <w:rsid w:val="00F47871"/>
    <w:rsid w:val="00F47A6B"/>
    <w:rsid w:val="00F509C7"/>
    <w:rsid w:val="00F5287E"/>
    <w:rsid w:val="00F55E5D"/>
    <w:rsid w:val="00F566E2"/>
    <w:rsid w:val="00F60496"/>
    <w:rsid w:val="00F61806"/>
    <w:rsid w:val="00F619BD"/>
    <w:rsid w:val="00F63842"/>
    <w:rsid w:val="00F65370"/>
    <w:rsid w:val="00F671B6"/>
    <w:rsid w:val="00F702F3"/>
    <w:rsid w:val="00F71CE8"/>
    <w:rsid w:val="00F71E6F"/>
    <w:rsid w:val="00F720CB"/>
    <w:rsid w:val="00F72D71"/>
    <w:rsid w:val="00F72E04"/>
    <w:rsid w:val="00F74668"/>
    <w:rsid w:val="00F76374"/>
    <w:rsid w:val="00F76BA3"/>
    <w:rsid w:val="00F8073A"/>
    <w:rsid w:val="00F808CB"/>
    <w:rsid w:val="00F81A9D"/>
    <w:rsid w:val="00F82D3F"/>
    <w:rsid w:val="00F84262"/>
    <w:rsid w:val="00F84EE0"/>
    <w:rsid w:val="00F850AA"/>
    <w:rsid w:val="00F85276"/>
    <w:rsid w:val="00F87A67"/>
    <w:rsid w:val="00F87BAC"/>
    <w:rsid w:val="00F92F01"/>
    <w:rsid w:val="00F93915"/>
    <w:rsid w:val="00F93CB1"/>
    <w:rsid w:val="00F94078"/>
    <w:rsid w:val="00F96D32"/>
    <w:rsid w:val="00F97A51"/>
    <w:rsid w:val="00FA03C3"/>
    <w:rsid w:val="00FA12A3"/>
    <w:rsid w:val="00FA38A4"/>
    <w:rsid w:val="00FA4BCE"/>
    <w:rsid w:val="00FA5836"/>
    <w:rsid w:val="00FA5D56"/>
    <w:rsid w:val="00FA7490"/>
    <w:rsid w:val="00FB0C07"/>
    <w:rsid w:val="00FB0E5D"/>
    <w:rsid w:val="00FB1019"/>
    <w:rsid w:val="00FB1F26"/>
    <w:rsid w:val="00FB77DB"/>
    <w:rsid w:val="00FC139D"/>
    <w:rsid w:val="00FC1B4B"/>
    <w:rsid w:val="00FC1E31"/>
    <w:rsid w:val="00FC2812"/>
    <w:rsid w:val="00FC50D9"/>
    <w:rsid w:val="00FC56C8"/>
    <w:rsid w:val="00FC74C4"/>
    <w:rsid w:val="00FC74DA"/>
    <w:rsid w:val="00FD3304"/>
    <w:rsid w:val="00FD4CFD"/>
    <w:rsid w:val="00FD522E"/>
    <w:rsid w:val="00FD54E9"/>
    <w:rsid w:val="00FD58B3"/>
    <w:rsid w:val="00FE047D"/>
    <w:rsid w:val="00FE04DB"/>
    <w:rsid w:val="00FE213E"/>
    <w:rsid w:val="00FE36DD"/>
    <w:rsid w:val="00FE4A9A"/>
    <w:rsid w:val="00FE57EC"/>
    <w:rsid w:val="00FF0066"/>
    <w:rsid w:val="00FF14A4"/>
    <w:rsid w:val="00FF1B45"/>
    <w:rsid w:val="00FF24BE"/>
    <w:rsid w:val="00FF296A"/>
    <w:rsid w:val="00FF39B9"/>
    <w:rsid w:val="00FF485C"/>
    <w:rsid w:val="00FF4B37"/>
    <w:rsid w:val="00FF64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148AD"/>
  <w15:docId w15:val="{360EAFFF-FC01-4045-ADD9-FDCFFF53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4342"/>
    <w:pPr>
      <w:spacing w:after="0" w:line="240" w:lineRule="auto"/>
    </w:pPr>
    <w:rPr>
      <w:rFonts w:ascii="Times New Roman" w:hAnsi="Times New Roman" w:cs="Times New Roman"/>
      <w:sz w:val="24"/>
      <w:szCs w:val="24"/>
      <w:lang w:eastAsia="it-IT"/>
    </w:rPr>
  </w:style>
  <w:style w:type="paragraph" w:styleId="Titolo1">
    <w:name w:val="heading 1"/>
    <w:basedOn w:val="Normale"/>
    <w:link w:val="Titolo1Carattere"/>
    <w:uiPriority w:val="9"/>
    <w:qFormat/>
    <w:rsid w:val="00204E4A"/>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942F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942F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A920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4E4A"/>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204E4A"/>
    <w:rPr>
      <w:color w:val="0563C1"/>
      <w:u w:val="single"/>
    </w:rPr>
  </w:style>
  <w:style w:type="paragraph" w:styleId="NormaleWeb">
    <w:name w:val="Normal (Web)"/>
    <w:basedOn w:val="Normale"/>
    <w:uiPriority w:val="99"/>
    <w:unhideWhenUsed/>
    <w:rsid w:val="00204E4A"/>
    <w:pPr>
      <w:spacing w:before="100" w:beforeAutospacing="1" w:after="100" w:afterAutospacing="1"/>
    </w:pPr>
    <w:rPr>
      <w:rFonts w:ascii="Times" w:hAnsi="Times" w:cs="Times"/>
      <w:sz w:val="20"/>
      <w:szCs w:val="20"/>
    </w:rPr>
  </w:style>
  <w:style w:type="paragraph" w:styleId="Paragrafoelenco">
    <w:name w:val="List Paragraph"/>
    <w:basedOn w:val="Normale"/>
    <w:uiPriority w:val="34"/>
    <w:qFormat/>
    <w:rsid w:val="00204E4A"/>
  </w:style>
  <w:style w:type="paragraph" w:customStyle="1" w:styleId="xxmsonormal">
    <w:name w:val="xxmsonormal"/>
    <w:basedOn w:val="Normale"/>
    <w:uiPriority w:val="99"/>
    <w:rsid w:val="00204E4A"/>
  </w:style>
  <w:style w:type="paragraph" w:customStyle="1" w:styleId="xmsonormal">
    <w:name w:val="xmsonormal"/>
    <w:basedOn w:val="Normale"/>
    <w:uiPriority w:val="99"/>
    <w:semiHidden/>
    <w:rsid w:val="00204E4A"/>
  </w:style>
  <w:style w:type="paragraph" w:customStyle="1" w:styleId="xxc02alineaalta">
    <w:name w:val="x_xc02alineaalta"/>
    <w:basedOn w:val="Normale"/>
    <w:rsid w:val="00204E4A"/>
  </w:style>
  <w:style w:type="paragraph" w:customStyle="1" w:styleId="xxxxmsonormal">
    <w:name w:val="x_xxxmsonormal"/>
    <w:basedOn w:val="Normale"/>
    <w:rsid w:val="00204E4A"/>
  </w:style>
  <w:style w:type="character" w:customStyle="1" w:styleId="xxmsohyperlink">
    <w:name w:val="x_xmsohyperlink"/>
    <w:basedOn w:val="Carpredefinitoparagrafo"/>
    <w:rsid w:val="00204E4A"/>
  </w:style>
  <w:style w:type="character" w:styleId="Enfasigrassetto">
    <w:name w:val="Strong"/>
    <w:basedOn w:val="Carpredefinitoparagrafo"/>
    <w:uiPriority w:val="22"/>
    <w:qFormat/>
    <w:rsid w:val="00623EA8"/>
    <w:rPr>
      <w:b/>
      <w:bCs/>
    </w:rPr>
  </w:style>
  <w:style w:type="character" w:styleId="Enfasicorsivo">
    <w:name w:val="Emphasis"/>
    <w:basedOn w:val="Carpredefinitoparagrafo"/>
    <w:uiPriority w:val="20"/>
    <w:qFormat/>
    <w:rsid w:val="00AA63AD"/>
    <w:rPr>
      <w:i/>
      <w:iCs/>
    </w:rPr>
  </w:style>
  <w:style w:type="table" w:styleId="Grigliatabella">
    <w:name w:val="Table Grid"/>
    <w:basedOn w:val="Tabellanormale"/>
    <w:uiPriority w:val="39"/>
    <w:rsid w:val="0036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C541D6"/>
    <w:rPr>
      <w:color w:val="954F72" w:themeColor="followedHyperlink"/>
      <w:u w:val="single"/>
    </w:rPr>
  </w:style>
  <w:style w:type="paragraph" w:customStyle="1" w:styleId="xxxmsonormal">
    <w:name w:val="xxxmsonormal"/>
    <w:basedOn w:val="Normale"/>
    <w:rsid w:val="00202289"/>
  </w:style>
  <w:style w:type="paragraph" w:customStyle="1" w:styleId="xc02alineaalta">
    <w:name w:val="xc02alineaalta"/>
    <w:basedOn w:val="Normale"/>
    <w:rsid w:val="00202289"/>
  </w:style>
  <w:style w:type="character" w:customStyle="1" w:styleId="xmsohyperlink">
    <w:name w:val="xmsohyperlink"/>
    <w:basedOn w:val="Carpredefinitoparagrafo"/>
    <w:rsid w:val="00202289"/>
  </w:style>
  <w:style w:type="paragraph" w:customStyle="1" w:styleId="Default">
    <w:name w:val="Default"/>
    <w:rsid w:val="006B215A"/>
    <w:pPr>
      <w:autoSpaceDE w:val="0"/>
      <w:autoSpaceDN w:val="0"/>
      <w:adjustRightInd w:val="0"/>
      <w:spacing w:after="0" w:line="240" w:lineRule="auto"/>
    </w:pPr>
    <w:rPr>
      <w:rFonts w:ascii="Garamond" w:hAnsi="Garamond" w:cs="Garamond"/>
      <w:color w:val="000000"/>
      <w:sz w:val="24"/>
      <w:szCs w:val="24"/>
    </w:rPr>
  </w:style>
  <w:style w:type="character" w:customStyle="1" w:styleId="Titolo2Carattere">
    <w:name w:val="Titolo 2 Carattere"/>
    <w:basedOn w:val="Carpredefinitoparagrafo"/>
    <w:link w:val="Titolo2"/>
    <w:uiPriority w:val="9"/>
    <w:semiHidden/>
    <w:rsid w:val="00942F49"/>
    <w:rPr>
      <w:rFonts w:asciiTheme="majorHAnsi" w:eastAsiaTheme="majorEastAsia" w:hAnsiTheme="majorHAnsi" w:cstheme="majorBidi"/>
      <w:color w:val="2E74B5" w:themeColor="accent1" w:themeShade="BF"/>
      <w:sz w:val="26"/>
      <w:szCs w:val="26"/>
      <w:lang w:eastAsia="it-IT"/>
    </w:rPr>
  </w:style>
  <w:style w:type="character" w:customStyle="1" w:styleId="Titolo3Carattere">
    <w:name w:val="Titolo 3 Carattere"/>
    <w:basedOn w:val="Carpredefinitoparagrafo"/>
    <w:link w:val="Titolo3"/>
    <w:uiPriority w:val="9"/>
    <w:semiHidden/>
    <w:rsid w:val="00942F49"/>
    <w:rPr>
      <w:rFonts w:asciiTheme="majorHAnsi" w:eastAsiaTheme="majorEastAsia" w:hAnsiTheme="majorHAnsi" w:cstheme="majorBidi"/>
      <w:color w:val="1F4D78" w:themeColor="accent1" w:themeShade="7F"/>
      <w:sz w:val="24"/>
      <w:szCs w:val="24"/>
      <w:lang w:eastAsia="it-IT"/>
    </w:rPr>
  </w:style>
  <w:style w:type="character" w:customStyle="1" w:styleId="text-uppercase">
    <w:name w:val="text-uppercase"/>
    <w:basedOn w:val="Carpredefinitoparagrafo"/>
    <w:rsid w:val="003A0166"/>
  </w:style>
  <w:style w:type="character" w:customStyle="1" w:styleId="xmsohyperlink0">
    <w:name w:val="x_msohyperlink"/>
    <w:basedOn w:val="Carpredefinitoparagrafo"/>
    <w:rsid w:val="00F34F95"/>
  </w:style>
  <w:style w:type="paragraph" w:customStyle="1" w:styleId="xxxxxmsonormal">
    <w:name w:val="x_x_xxxmsonormal"/>
    <w:basedOn w:val="Normale"/>
    <w:rsid w:val="00A961A7"/>
  </w:style>
  <w:style w:type="paragraph" w:customStyle="1" w:styleId="xxxc02alineaalta">
    <w:name w:val="x_x_xc02alineaalta"/>
    <w:basedOn w:val="Normale"/>
    <w:rsid w:val="00A961A7"/>
  </w:style>
  <w:style w:type="paragraph" w:customStyle="1" w:styleId="xxmsonormal0">
    <w:name w:val="x_xmsonormal"/>
    <w:basedOn w:val="Normale"/>
    <w:rsid w:val="000919CD"/>
  </w:style>
  <w:style w:type="character" w:customStyle="1" w:styleId="xmarkytwlf6683">
    <w:name w:val="x_markytwlf6683"/>
    <w:basedOn w:val="Carpredefinitoparagrafo"/>
    <w:rsid w:val="000919CD"/>
  </w:style>
  <w:style w:type="paragraph" w:customStyle="1" w:styleId="xmsonormal0">
    <w:name w:val="x_msonormal"/>
    <w:basedOn w:val="Normale"/>
    <w:rsid w:val="00EA0F49"/>
  </w:style>
  <w:style w:type="character" w:customStyle="1" w:styleId="Titolo4Carattere">
    <w:name w:val="Titolo 4 Carattere"/>
    <w:basedOn w:val="Carpredefinitoparagrafo"/>
    <w:link w:val="Titolo4"/>
    <w:uiPriority w:val="9"/>
    <w:semiHidden/>
    <w:rsid w:val="00A920BC"/>
    <w:rPr>
      <w:rFonts w:asciiTheme="majorHAnsi" w:eastAsiaTheme="majorEastAsia" w:hAnsiTheme="majorHAnsi" w:cstheme="majorBidi"/>
      <w:i/>
      <w:iCs/>
      <w:color w:val="2E74B5" w:themeColor="accent1" w:themeShade="BF"/>
      <w:sz w:val="24"/>
      <w:szCs w:val="24"/>
      <w:lang w:eastAsia="it-IT"/>
    </w:rPr>
  </w:style>
  <w:style w:type="character" w:customStyle="1" w:styleId="xxmsohyperlink0">
    <w:name w:val="x_x_msohyperlink"/>
    <w:basedOn w:val="Carpredefinitoparagrafo"/>
    <w:rsid w:val="00A9459A"/>
  </w:style>
  <w:style w:type="character" w:customStyle="1" w:styleId="xxxmsohyperlink">
    <w:name w:val="x_x_xmsohyperlink"/>
    <w:basedOn w:val="Carpredefinitoparagrafo"/>
    <w:rsid w:val="00A9459A"/>
  </w:style>
  <w:style w:type="paragraph" w:customStyle="1" w:styleId="c02alineaalta">
    <w:name w:val="c02alineaalta"/>
    <w:basedOn w:val="Normale"/>
    <w:rsid w:val="005B1B23"/>
    <w:pPr>
      <w:spacing w:before="100" w:beforeAutospacing="1" w:after="100" w:afterAutospacing="1"/>
    </w:pPr>
    <w:rPr>
      <w:rFonts w:eastAsia="Times New Roman"/>
    </w:rPr>
  </w:style>
  <w:style w:type="paragraph" w:customStyle="1" w:styleId="c41dispositifintroduction">
    <w:name w:val="c41dispositifintroduction"/>
    <w:basedOn w:val="Normale"/>
    <w:rsid w:val="004A5CE2"/>
    <w:pPr>
      <w:spacing w:before="100" w:beforeAutospacing="1" w:after="100" w:afterAutospacing="1"/>
    </w:pPr>
    <w:rPr>
      <w:rFonts w:eastAsia="Times New Roman"/>
    </w:rPr>
  </w:style>
  <w:style w:type="paragraph" w:customStyle="1" w:styleId="c08dispositif">
    <w:name w:val="c08dispositif"/>
    <w:basedOn w:val="Normale"/>
    <w:rsid w:val="004A5CE2"/>
    <w:pPr>
      <w:spacing w:before="100" w:beforeAutospacing="1" w:after="100" w:afterAutospacing="1"/>
    </w:pPr>
    <w:rPr>
      <w:rFonts w:eastAsia="Times New Roman"/>
    </w:rPr>
  </w:style>
  <w:style w:type="paragraph" w:customStyle="1" w:styleId="c34dispositifmarge1avectiretlong">
    <w:name w:val="c34dispositifmarge1avectiretlong"/>
    <w:basedOn w:val="Normale"/>
    <w:rsid w:val="004A5CE2"/>
    <w:pPr>
      <w:spacing w:before="100" w:beforeAutospacing="1" w:after="100" w:afterAutospacing="1"/>
    </w:pPr>
    <w:rPr>
      <w:rFonts w:eastAsia="Times New Roman"/>
    </w:rPr>
  </w:style>
  <w:style w:type="paragraph" w:customStyle="1" w:styleId="c41alineajustifiegras">
    <w:name w:val="c41alineajustifiegras"/>
    <w:basedOn w:val="Normale"/>
    <w:rsid w:val="004A5CE2"/>
    <w:pPr>
      <w:spacing w:before="100" w:beforeAutospacing="1" w:after="100" w:afterAutospacing="1"/>
    </w:pPr>
    <w:rPr>
      <w:rFonts w:eastAsia="Times New Roman"/>
    </w:rPr>
  </w:style>
  <w:style w:type="paragraph" w:styleId="Testofumetto">
    <w:name w:val="Balloon Text"/>
    <w:basedOn w:val="Normale"/>
    <w:link w:val="TestofumettoCarattere"/>
    <w:uiPriority w:val="99"/>
    <w:semiHidden/>
    <w:unhideWhenUsed/>
    <w:rsid w:val="00F1188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F11887"/>
    <w:rPr>
      <w:rFonts w:ascii="Lucida Grande" w:hAnsi="Lucida Grande" w:cs="Times New Roman"/>
      <w:sz w:val="18"/>
      <w:szCs w:val="18"/>
      <w:lang w:eastAsia="it-IT"/>
    </w:rPr>
  </w:style>
  <w:style w:type="paragraph" w:customStyle="1" w:styleId="xxxxxxmsonormal">
    <w:name w:val="x_x_xxxxmsonormal"/>
    <w:basedOn w:val="Normale"/>
    <w:rsid w:val="00BB1C67"/>
  </w:style>
  <w:style w:type="paragraph" w:customStyle="1" w:styleId="xxxxc02alineaalta">
    <w:name w:val="x_x_xxc02alineaalta"/>
    <w:basedOn w:val="Normale"/>
    <w:rsid w:val="00BB1C67"/>
  </w:style>
  <w:style w:type="paragraph" w:customStyle="1" w:styleId="xxxxxxmsonormal0">
    <w:name w:val="x_xxxxxmsonormal"/>
    <w:basedOn w:val="Normale"/>
    <w:rsid w:val="0059793A"/>
  </w:style>
  <w:style w:type="paragraph" w:customStyle="1" w:styleId="xxxxc02alineaalta0">
    <w:name w:val="x_xxxc02alineaalta"/>
    <w:basedOn w:val="Normale"/>
    <w:rsid w:val="0059793A"/>
  </w:style>
  <w:style w:type="paragraph" w:customStyle="1" w:styleId="xxxxxmsonormal0">
    <w:name w:val="x_xxxxmsonormal"/>
    <w:basedOn w:val="Normale"/>
    <w:rsid w:val="00EA5F06"/>
  </w:style>
  <w:style w:type="paragraph" w:customStyle="1" w:styleId="xxxc02alineaalta0">
    <w:name w:val="x_xxc02alineaalta"/>
    <w:basedOn w:val="Normale"/>
    <w:rsid w:val="00EA5F06"/>
  </w:style>
  <w:style w:type="paragraph" w:customStyle="1" w:styleId="xmsonospacing">
    <w:name w:val="x_msonospacing"/>
    <w:basedOn w:val="Normale"/>
    <w:rsid w:val="00E03ADC"/>
    <w:rPr>
      <w:rFonts w:ascii="Calibri" w:hAnsi="Calibri" w:cs="Calibri"/>
      <w:sz w:val="22"/>
      <w:szCs w:val="22"/>
    </w:rPr>
  </w:style>
  <w:style w:type="paragraph" w:customStyle="1" w:styleId="xdefault">
    <w:name w:val="x_default"/>
    <w:basedOn w:val="Normale"/>
    <w:rsid w:val="00E03ADC"/>
    <w:pPr>
      <w:autoSpaceDE w:val="0"/>
      <w:autoSpaceDN w:val="0"/>
    </w:pPr>
    <w:rPr>
      <w:rFonts w:ascii="Garamond" w:hAnsi="Garamond"/>
      <w:color w:val="000000"/>
    </w:rPr>
  </w:style>
  <w:style w:type="character" w:customStyle="1" w:styleId="xxxmsohyperlink0">
    <w:name w:val="x_xxmsohyperlink"/>
    <w:basedOn w:val="Carpredefinitoparagrafo"/>
    <w:rsid w:val="00E03ADC"/>
  </w:style>
  <w:style w:type="paragraph" w:customStyle="1" w:styleId="xxxxxxxxxmsonormal">
    <w:name w:val="x_x_x_x_x_xxxxmsonormal"/>
    <w:basedOn w:val="Normale"/>
    <w:rsid w:val="00443E31"/>
  </w:style>
  <w:style w:type="paragraph" w:customStyle="1" w:styleId="xxxxxxxc02alineaalta">
    <w:name w:val="x_x_x_x_x_xxc02alineaalta"/>
    <w:basedOn w:val="Normale"/>
    <w:rsid w:val="00443E31"/>
  </w:style>
  <w:style w:type="character" w:customStyle="1" w:styleId="xdata">
    <w:name w:val="x_data"/>
    <w:basedOn w:val="Carpredefinitoparagrafo"/>
    <w:rsid w:val="0028083B"/>
  </w:style>
  <w:style w:type="character" w:customStyle="1" w:styleId="contentpasted0">
    <w:name w:val="contentpasted0"/>
    <w:basedOn w:val="Carpredefinitoparagrafo"/>
    <w:rsid w:val="00125FB7"/>
  </w:style>
  <w:style w:type="paragraph" w:customStyle="1" w:styleId="meta">
    <w:name w:val="meta"/>
    <w:basedOn w:val="Normale"/>
    <w:rsid w:val="00BA1C7C"/>
  </w:style>
  <w:style w:type="paragraph" w:customStyle="1" w:styleId="contentpasted01">
    <w:name w:val="contentpasted01"/>
    <w:basedOn w:val="Normale"/>
    <w:rsid w:val="00BA1C7C"/>
  </w:style>
  <w:style w:type="paragraph" w:customStyle="1" w:styleId="dt">
    <w:name w:val="dt"/>
    <w:basedOn w:val="Normale"/>
    <w:rsid w:val="00F05F9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087">
      <w:bodyDiv w:val="1"/>
      <w:marLeft w:val="0"/>
      <w:marRight w:val="0"/>
      <w:marTop w:val="0"/>
      <w:marBottom w:val="0"/>
      <w:divBdr>
        <w:top w:val="none" w:sz="0" w:space="0" w:color="auto"/>
        <w:left w:val="none" w:sz="0" w:space="0" w:color="auto"/>
        <w:bottom w:val="none" w:sz="0" w:space="0" w:color="auto"/>
        <w:right w:val="none" w:sz="0" w:space="0" w:color="auto"/>
      </w:divBdr>
    </w:div>
    <w:div w:id="35738739">
      <w:bodyDiv w:val="1"/>
      <w:marLeft w:val="0"/>
      <w:marRight w:val="0"/>
      <w:marTop w:val="0"/>
      <w:marBottom w:val="0"/>
      <w:divBdr>
        <w:top w:val="none" w:sz="0" w:space="0" w:color="auto"/>
        <w:left w:val="none" w:sz="0" w:space="0" w:color="auto"/>
        <w:bottom w:val="none" w:sz="0" w:space="0" w:color="auto"/>
        <w:right w:val="none" w:sz="0" w:space="0" w:color="auto"/>
      </w:divBdr>
    </w:div>
    <w:div w:id="42212883">
      <w:bodyDiv w:val="1"/>
      <w:marLeft w:val="0"/>
      <w:marRight w:val="0"/>
      <w:marTop w:val="0"/>
      <w:marBottom w:val="0"/>
      <w:divBdr>
        <w:top w:val="none" w:sz="0" w:space="0" w:color="auto"/>
        <w:left w:val="none" w:sz="0" w:space="0" w:color="auto"/>
        <w:bottom w:val="none" w:sz="0" w:space="0" w:color="auto"/>
        <w:right w:val="none" w:sz="0" w:space="0" w:color="auto"/>
      </w:divBdr>
    </w:div>
    <w:div w:id="48458622">
      <w:bodyDiv w:val="1"/>
      <w:marLeft w:val="0"/>
      <w:marRight w:val="0"/>
      <w:marTop w:val="0"/>
      <w:marBottom w:val="0"/>
      <w:divBdr>
        <w:top w:val="none" w:sz="0" w:space="0" w:color="auto"/>
        <w:left w:val="none" w:sz="0" w:space="0" w:color="auto"/>
        <w:bottom w:val="none" w:sz="0" w:space="0" w:color="auto"/>
        <w:right w:val="none" w:sz="0" w:space="0" w:color="auto"/>
      </w:divBdr>
    </w:div>
    <w:div w:id="51777983">
      <w:bodyDiv w:val="1"/>
      <w:marLeft w:val="0"/>
      <w:marRight w:val="0"/>
      <w:marTop w:val="0"/>
      <w:marBottom w:val="0"/>
      <w:divBdr>
        <w:top w:val="none" w:sz="0" w:space="0" w:color="auto"/>
        <w:left w:val="none" w:sz="0" w:space="0" w:color="auto"/>
        <w:bottom w:val="none" w:sz="0" w:space="0" w:color="auto"/>
        <w:right w:val="none" w:sz="0" w:space="0" w:color="auto"/>
      </w:divBdr>
    </w:div>
    <w:div w:id="52238616">
      <w:bodyDiv w:val="1"/>
      <w:marLeft w:val="0"/>
      <w:marRight w:val="0"/>
      <w:marTop w:val="0"/>
      <w:marBottom w:val="0"/>
      <w:divBdr>
        <w:top w:val="none" w:sz="0" w:space="0" w:color="auto"/>
        <w:left w:val="none" w:sz="0" w:space="0" w:color="auto"/>
        <w:bottom w:val="none" w:sz="0" w:space="0" w:color="auto"/>
        <w:right w:val="none" w:sz="0" w:space="0" w:color="auto"/>
      </w:divBdr>
    </w:div>
    <w:div w:id="80685072">
      <w:bodyDiv w:val="1"/>
      <w:marLeft w:val="0"/>
      <w:marRight w:val="0"/>
      <w:marTop w:val="0"/>
      <w:marBottom w:val="0"/>
      <w:divBdr>
        <w:top w:val="none" w:sz="0" w:space="0" w:color="auto"/>
        <w:left w:val="none" w:sz="0" w:space="0" w:color="auto"/>
        <w:bottom w:val="none" w:sz="0" w:space="0" w:color="auto"/>
        <w:right w:val="none" w:sz="0" w:space="0" w:color="auto"/>
      </w:divBdr>
    </w:div>
    <w:div w:id="88166798">
      <w:bodyDiv w:val="1"/>
      <w:marLeft w:val="0"/>
      <w:marRight w:val="0"/>
      <w:marTop w:val="0"/>
      <w:marBottom w:val="0"/>
      <w:divBdr>
        <w:top w:val="none" w:sz="0" w:space="0" w:color="auto"/>
        <w:left w:val="none" w:sz="0" w:space="0" w:color="auto"/>
        <w:bottom w:val="none" w:sz="0" w:space="0" w:color="auto"/>
        <w:right w:val="none" w:sz="0" w:space="0" w:color="auto"/>
      </w:divBdr>
    </w:div>
    <w:div w:id="160508533">
      <w:bodyDiv w:val="1"/>
      <w:marLeft w:val="0"/>
      <w:marRight w:val="0"/>
      <w:marTop w:val="0"/>
      <w:marBottom w:val="0"/>
      <w:divBdr>
        <w:top w:val="none" w:sz="0" w:space="0" w:color="auto"/>
        <w:left w:val="none" w:sz="0" w:space="0" w:color="auto"/>
        <w:bottom w:val="none" w:sz="0" w:space="0" w:color="auto"/>
        <w:right w:val="none" w:sz="0" w:space="0" w:color="auto"/>
      </w:divBdr>
    </w:div>
    <w:div w:id="196696638">
      <w:bodyDiv w:val="1"/>
      <w:marLeft w:val="0"/>
      <w:marRight w:val="0"/>
      <w:marTop w:val="0"/>
      <w:marBottom w:val="0"/>
      <w:divBdr>
        <w:top w:val="none" w:sz="0" w:space="0" w:color="auto"/>
        <w:left w:val="none" w:sz="0" w:space="0" w:color="auto"/>
        <w:bottom w:val="none" w:sz="0" w:space="0" w:color="auto"/>
        <w:right w:val="none" w:sz="0" w:space="0" w:color="auto"/>
      </w:divBdr>
    </w:div>
    <w:div w:id="208956959">
      <w:bodyDiv w:val="1"/>
      <w:marLeft w:val="0"/>
      <w:marRight w:val="0"/>
      <w:marTop w:val="0"/>
      <w:marBottom w:val="0"/>
      <w:divBdr>
        <w:top w:val="none" w:sz="0" w:space="0" w:color="auto"/>
        <w:left w:val="none" w:sz="0" w:space="0" w:color="auto"/>
        <w:bottom w:val="none" w:sz="0" w:space="0" w:color="auto"/>
        <w:right w:val="none" w:sz="0" w:space="0" w:color="auto"/>
      </w:divBdr>
    </w:div>
    <w:div w:id="231039248">
      <w:bodyDiv w:val="1"/>
      <w:marLeft w:val="0"/>
      <w:marRight w:val="0"/>
      <w:marTop w:val="0"/>
      <w:marBottom w:val="0"/>
      <w:divBdr>
        <w:top w:val="none" w:sz="0" w:space="0" w:color="auto"/>
        <w:left w:val="none" w:sz="0" w:space="0" w:color="auto"/>
        <w:bottom w:val="none" w:sz="0" w:space="0" w:color="auto"/>
        <w:right w:val="none" w:sz="0" w:space="0" w:color="auto"/>
      </w:divBdr>
    </w:div>
    <w:div w:id="238445800">
      <w:bodyDiv w:val="1"/>
      <w:marLeft w:val="0"/>
      <w:marRight w:val="0"/>
      <w:marTop w:val="0"/>
      <w:marBottom w:val="0"/>
      <w:divBdr>
        <w:top w:val="none" w:sz="0" w:space="0" w:color="auto"/>
        <w:left w:val="none" w:sz="0" w:space="0" w:color="auto"/>
        <w:bottom w:val="none" w:sz="0" w:space="0" w:color="auto"/>
        <w:right w:val="none" w:sz="0" w:space="0" w:color="auto"/>
      </w:divBdr>
    </w:div>
    <w:div w:id="240913878">
      <w:bodyDiv w:val="1"/>
      <w:marLeft w:val="0"/>
      <w:marRight w:val="0"/>
      <w:marTop w:val="0"/>
      <w:marBottom w:val="0"/>
      <w:divBdr>
        <w:top w:val="none" w:sz="0" w:space="0" w:color="auto"/>
        <w:left w:val="none" w:sz="0" w:space="0" w:color="auto"/>
        <w:bottom w:val="none" w:sz="0" w:space="0" w:color="auto"/>
        <w:right w:val="none" w:sz="0" w:space="0" w:color="auto"/>
      </w:divBdr>
    </w:div>
    <w:div w:id="253365813">
      <w:bodyDiv w:val="1"/>
      <w:marLeft w:val="0"/>
      <w:marRight w:val="0"/>
      <w:marTop w:val="0"/>
      <w:marBottom w:val="0"/>
      <w:divBdr>
        <w:top w:val="none" w:sz="0" w:space="0" w:color="auto"/>
        <w:left w:val="none" w:sz="0" w:space="0" w:color="auto"/>
        <w:bottom w:val="none" w:sz="0" w:space="0" w:color="auto"/>
        <w:right w:val="none" w:sz="0" w:space="0" w:color="auto"/>
      </w:divBdr>
    </w:div>
    <w:div w:id="255401663">
      <w:bodyDiv w:val="1"/>
      <w:marLeft w:val="0"/>
      <w:marRight w:val="0"/>
      <w:marTop w:val="0"/>
      <w:marBottom w:val="0"/>
      <w:divBdr>
        <w:top w:val="none" w:sz="0" w:space="0" w:color="auto"/>
        <w:left w:val="none" w:sz="0" w:space="0" w:color="auto"/>
        <w:bottom w:val="none" w:sz="0" w:space="0" w:color="auto"/>
        <w:right w:val="none" w:sz="0" w:space="0" w:color="auto"/>
      </w:divBdr>
    </w:div>
    <w:div w:id="268393199">
      <w:bodyDiv w:val="1"/>
      <w:marLeft w:val="0"/>
      <w:marRight w:val="0"/>
      <w:marTop w:val="0"/>
      <w:marBottom w:val="0"/>
      <w:divBdr>
        <w:top w:val="none" w:sz="0" w:space="0" w:color="auto"/>
        <w:left w:val="none" w:sz="0" w:space="0" w:color="auto"/>
        <w:bottom w:val="none" w:sz="0" w:space="0" w:color="auto"/>
        <w:right w:val="none" w:sz="0" w:space="0" w:color="auto"/>
      </w:divBdr>
    </w:div>
    <w:div w:id="284780005">
      <w:bodyDiv w:val="1"/>
      <w:marLeft w:val="0"/>
      <w:marRight w:val="0"/>
      <w:marTop w:val="0"/>
      <w:marBottom w:val="0"/>
      <w:divBdr>
        <w:top w:val="none" w:sz="0" w:space="0" w:color="auto"/>
        <w:left w:val="none" w:sz="0" w:space="0" w:color="auto"/>
        <w:bottom w:val="none" w:sz="0" w:space="0" w:color="auto"/>
        <w:right w:val="none" w:sz="0" w:space="0" w:color="auto"/>
      </w:divBdr>
      <w:divsChild>
        <w:div w:id="1082533267">
          <w:marLeft w:val="0"/>
          <w:marRight w:val="0"/>
          <w:marTop w:val="0"/>
          <w:marBottom w:val="0"/>
          <w:divBdr>
            <w:top w:val="none" w:sz="0" w:space="0" w:color="auto"/>
            <w:left w:val="none" w:sz="0" w:space="0" w:color="auto"/>
            <w:bottom w:val="none" w:sz="0" w:space="0" w:color="auto"/>
            <w:right w:val="none" w:sz="0" w:space="0" w:color="auto"/>
          </w:divBdr>
          <w:divsChild>
            <w:div w:id="130751848">
              <w:marLeft w:val="0"/>
              <w:marRight w:val="0"/>
              <w:marTop w:val="0"/>
              <w:marBottom w:val="0"/>
              <w:divBdr>
                <w:top w:val="none" w:sz="0" w:space="0" w:color="auto"/>
                <w:left w:val="none" w:sz="0" w:space="0" w:color="auto"/>
                <w:bottom w:val="none" w:sz="0" w:space="0" w:color="auto"/>
                <w:right w:val="none" w:sz="0" w:space="0" w:color="auto"/>
              </w:divBdr>
              <w:divsChild>
                <w:div w:id="1404334435">
                  <w:marLeft w:val="0"/>
                  <w:marRight w:val="0"/>
                  <w:marTop w:val="0"/>
                  <w:marBottom w:val="0"/>
                  <w:divBdr>
                    <w:top w:val="none" w:sz="0" w:space="0" w:color="auto"/>
                    <w:left w:val="none" w:sz="0" w:space="0" w:color="auto"/>
                    <w:bottom w:val="none" w:sz="0" w:space="0" w:color="auto"/>
                    <w:right w:val="none" w:sz="0" w:space="0" w:color="auto"/>
                  </w:divBdr>
                  <w:divsChild>
                    <w:div w:id="16365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27716">
      <w:bodyDiv w:val="1"/>
      <w:marLeft w:val="0"/>
      <w:marRight w:val="0"/>
      <w:marTop w:val="0"/>
      <w:marBottom w:val="0"/>
      <w:divBdr>
        <w:top w:val="none" w:sz="0" w:space="0" w:color="auto"/>
        <w:left w:val="none" w:sz="0" w:space="0" w:color="auto"/>
        <w:bottom w:val="none" w:sz="0" w:space="0" w:color="auto"/>
        <w:right w:val="none" w:sz="0" w:space="0" w:color="auto"/>
      </w:divBdr>
    </w:div>
    <w:div w:id="346293433">
      <w:bodyDiv w:val="1"/>
      <w:marLeft w:val="0"/>
      <w:marRight w:val="0"/>
      <w:marTop w:val="0"/>
      <w:marBottom w:val="0"/>
      <w:divBdr>
        <w:top w:val="none" w:sz="0" w:space="0" w:color="auto"/>
        <w:left w:val="none" w:sz="0" w:space="0" w:color="auto"/>
        <w:bottom w:val="none" w:sz="0" w:space="0" w:color="auto"/>
        <w:right w:val="none" w:sz="0" w:space="0" w:color="auto"/>
      </w:divBdr>
    </w:div>
    <w:div w:id="353001739">
      <w:bodyDiv w:val="1"/>
      <w:marLeft w:val="0"/>
      <w:marRight w:val="0"/>
      <w:marTop w:val="0"/>
      <w:marBottom w:val="0"/>
      <w:divBdr>
        <w:top w:val="none" w:sz="0" w:space="0" w:color="auto"/>
        <w:left w:val="none" w:sz="0" w:space="0" w:color="auto"/>
        <w:bottom w:val="none" w:sz="0" w:space="0" w:color="auto"/>
        <w:right w:val="none" w:sz="0" w:space="0" w:color="auto"/>
      </w:divBdr>
    </w:div>
    <w:div w:id="371537078">
      <w:bodyDiv w:val="1"/>
      <w:marLeft w:val="0"/>
      <w:marRight w:val="0"/>
      <w:marTop w:val="0"/>
      <w:marBottom w:val="0"/>
      <w:divBdr>
        <w:top w:val="none" w:sz="0" w:space="0" w:color="auto"/>
        <w:left w:val="none" w:sz="0" w:space="0" w:color="auto"/>
        <w:bottom w:val="none" w:sz="0" w:space="0" w:color="auto"/>
        <w:right w:val="none" w:sz="0" w:space="0" w:color="auto"/>
      </w:divBdr>
      <w:divsChild>
        <w:div w:id="603654625">
          <w:marLeft w:val="0"/>
          <w:marRight w:val="0"/>
          <w:marTop w:val="0"/>
          <w:marBottom w:val="0"/>
          <w:divBdr>
            <w:top w:val="none" w:sz="0" w:space="0" w:color="auto"/>
            <w:left w:val="none" w:sz="0" w:space="0" w:color="auto"/>
            <w:bottom w:val="none" w:sz="0" w:space="0" w:color="auto"/>
            <w:right w:val="none" w:sz="0" w:space="0" w:color="auto"/>
          </w:divBdr>
          <w:divsChild>
            <w:div w:id="1722358937">
              <w:marLeft w:val="0"/>
              <w:marRight w:val="0"/>
              <w:marTop w:val="0"/>
              <w:marBottom w:val="0"/>
              <w:divBdr>
                <w:top w:val="none" w:sz="0" w:space="0" w:color="auto"/>
                <w:left w:val="none" w:sz="0" w:space="0" w:color="auto"/>
                <w:bottom w:val="none" w:sz="0" w:space="0" w:color="auto"/>
                <w:right w:val="none" w:sz="0" w:space="0" w:color="auto"/>
              </w:divBdr>
              <w:divsChild>
                <w:div w:id="1059281512">
                  <w:marLeft w:val="0"/>
                  <w:marRight w:val="0"/>
                  <w:marTop w:val="0"/>
                  <w:marBottom w:val="0"/>
                  <w:divBdr>
                    <w:top w:val="none" w:sz="0" w:space="0" w:color="auto"/>
                    <w:left w:val="none" w:sz="0" w:space="0" w:color="auto"/>
                    <w:bottom w:val="none" w:sz="0" w:space="0" w:color="auto"/>
                    <w:right w:val="none" w:sz="0" w:space="0" w:color="auto"/>
                  </w:divBdr>
                  <w:divsChild>
                    <w:div w:id="867571305">
                      <w:marLeft w:val="0"/>
                      <w:marRight w:val="0"/>
                      <w:marTop w:val="0"/>
                      <w:marBottom w:val="0"/>
                      <w:divBdr>
                        <w:top w:val="none" w:sz="0" w:space="0" w:color="auto"/>
                        <w:left w:val="none" w:sz="0" w:space="0" w:color="auto"/>
                        <w:bottom w:val="none" w:sz="0" w:space="0" w:color="auto"/>
                        <w:right w:val="none" w:sz="0" w:space="0" w:color="auto"/>
                      </w:divBdr>
                      <w:divsChild>
                        <w:div w:id="771899938">
                          <w:marLeft w:val="0"/>
                          <w:marRight w:val="0"/>
                          <w:marTop w:val="0"/>
                          <w:marBottom w:val="0"/>
                          <w:divBdr>
                            <w:top w:val="none" w:sz="0" w:space="0" w:color="auto"/>
                            <w:left w:val="none" w:sz="0" w:space="0" w:color="auto"/>
                            <w:bottom w:val="none" w:sz="0" w:space="0" w:color="auto"/>
                            <w:right w:val="none" w:sz="0" w:space="0" w:color="auto"/>
                          </w:divBdr>
                          <w:divsChild>
                            <w:div w:id="1446970162">
                              <w:marLeft w:val="0"/>
                              <w:marRight w:val="0"/>
                              <w:marTop w:val="0"/>
                              <w:marBottom w:val="0"/>
                              <w:divBdr>
                                <w:top w:val="none" w:sz="0" w:space="0" w:color="auto"/>
                                <w:left w:val="none" w:sz="0" w:space="0" w:color="auto"/>
                                <w:bottom w:val="none" w:sz="0" w:space="0" w:color="auto"/>
                                <w:right w:val="none" w:sz="0" w:space="0" w:color="auto"/>
                              </w:divBdr>
                              <w:divsChild>
                                <w:div w:id="1736901991">
                                  <w:marLeft w:val="0"/>
                                  <w:marRight w:val="0"/>
                                  <w:marTop w:val="0"/>
                                  <w:marBottom w:val="0"/>
                                  <w:divBdr>
                                    <w:top w:val="none" w:sz="0" w:space="0" w:color="auto"/>
                                    <w:left w:val="none" w:sz="0" w:space="0" w:color="auto"/>
                                    <w:bottom w:val="none" w:sz="0" w:space="0" w:color="auto"/>
                                    <w:right w:val="none" w:sz="0" w:space="0" w:color="auto"/>
                                  </w:divBdr>
                                  <w:divsChild>
                                    <w:div w:id="1474175895">
                                      <w:marLeft w:val="0"/>
                                      <w:marRight w:val="0"/>
                                      <w:marTop w:val="0"/>
                                      <w:marBottom w:val="0"/>
                                      <w:divBdr>
                                        <w:top w:val="none" w:sz="0" w:space="0" w:color="auto"/>
                                        <w:left w:val="none" w:sz="0" w:space="0" w:color="auto"/>
                                        <w:bottom w:val="none" w:sz="0" w:space="0" w:color="auto"/>
                                        <w:right w:val="none" w:sz="0" w:space="0" w:color="auto"/>
                                      </w:divBdr>
                                      <w:divsChild>
                                        <w:div w:id="264849682">
                                          <w:marLeft w:val="0"/>
                                          <w:marRight w:val="0"/>
                                          <w:marTop w:val="0"/>
                                          <w:marBottom w:val="0"/>
                                          <w:divBdr>
                                            <w:top w:val="none" w:sz="0" w:space="0" w:color="auto"/>
                                            <w:left w:val="none" w:sz="0" w:space="0" w:color="auto"/>
                                            <w:bottom w:val="none" w:sz="0" w:space="0" w:color="auto"/>
                                            <w:right w:val="none" w:sz="0" w:space="0" w:color="auto"/>
                                          </w:divBdr>
                                          <w:divsChild>
                                            <w:div w:id="1912496182">
                                              <w:marLeft w:val="0"/>
                                              <w:marRight w:val="0"/>
                                              <w:marTop w:val="0"/>
                                              <w:marBottom w:val="0"/>
                                              <w:divBdr>
                                                <w:top w:val="none" w:sz="0" w:space="0" w:color="auto"/>
                                                <w:left w:val="none" w:sz="0" w:space="0" w:color="auto"/>
                                                <w:bottom w:val="none" w:sz="0" w:space="0" w:color="auto"/>
                                                <w:right w:val="none" w:sz="0" w:space="0" w:color="auto"/>
                                              </w:divBdr>
                                              <w:divsChild>
                                                <w:div w:id="1794784183">
                                                  <w:marLeft w:val="0"/>
                                                  <w:marRight w:val="0"/>
                                                  <w:marTop w:val="0"/>
                                                  <w:marBottom w:val="0"/>
                                                  <w:divBdr>
                                                    <w:top w:val="none" w:sz="0" w:space="0" w:color="auto"/>
                                                    <w:left w:val="none" w:sz="0" w:space="0" w:color="auto"/>
                                                    <w:bottom w:val="none" w:sz="0" w:space="0" w:color="auto"/>
                                                    <w:right w:val="none" w:sz="0" w:space="0" w:color="auto"/>
                                                  </w:divBdr>
                                                  <w:divsChild>
                                                    <w:div w:id="1774126460">
                                                      <w:marLeft w:val="0"/>
                                                      <w:marRight w:val="0"/>
                                                      <w:marTop w:val="0"/>
                                                      <w:marBottom w:val="0"/>
                                                      <w:divBdr>
                                                        <w:top w:val="none" w:sz="0" w:space="0" w:color="auto"/>
                                                        <w:left w:val="none" w:sz="0" w:space="0" w:color="auto"/>
                                                        <w:bottom w:val="none" w:sz="0" w:space="0" w:color="auto"/>
                                                        <w:right w:val="none" w:sz="0" w:space="0" w:color="auto"/>
                                                      </w:divBdr>
                                                      <w:divsChild>
                                                        <w:div w:id="2008442173">
                                                          <w:marLeft w:val="0"/>
                                                          <w:marRight w:val="0"/>
                                                          <w:marTop w:val="0"/>
                                                          <w:marBottom w:val="0"/>
                                                          <w:divBdr>
                                                            <w:top w:val="none" w:sz="0" w:space="0" w:color="auto"/>
                                                            <w:left w:val="none" w:sz="0" w:space="0" w:color="auto"/>
                                                            <w:bottom w:val="none" w:sz="0" w:space="0" w:color="auto"/>
                                                            <w:right w:val="none" w:sz="0" w:space="0" w:color="auto"/>
                                                          </w:divBdr>
                                                          <w:divsChild>
                                                            <w:div w:id="9569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465864">
      <w:bodyDiv w:val="1"/>
      <w:marLeft w:val="0"/>
      <w:marRight w:val="0"/>
      <w:marTop w:val="0"/>
      <w:marBottom w:val="0"/>
      <w:divBdr>
        <w:top w:val="none" w:sz="0" w:space="0" w:color="auto"/>
        <w:left w:val="none" w:sz="0" w:space="0" w:color="auto"/>
        <w:bottom w:val="none" w:sz="0" w:space="0" w:color="auto"/>
        <w:right w:val="none" w:sz="0" w:space="0" w:color="auto"/>
      </w:divBdr>
    </w:div>
    <w:div w:id="414322831">
      <w:bodyDiv w:val="1"/>
      <w:marLeft w:val="0"/>
      <w:marRight w:val="0"/>
      <w:marTop w:val="0"/>
      <w:marBottom w:val="0"/>
      <w:divBdr>
        <w:top w:val="none" w:sz="0" w:space="0" w:color="auto"/>
        <w:left w:val="none" w:sz="0" w:space="0" w:color="auto"/>
        <w:bottom w:val="none" w:sz="0" w:space="0" w:color="auto"/>
        <w:right w:val="none" w:sz="0" w:space="0" w:color="auto"/>
      </w:divBdr>
      <w:divsChild>
        <w:div w:id="190345578">
          <w:marLeft w:val="0"/>
          <w:marRight w:val="0"/>
          <w:marTop w:val="0"/>
          <w:marBottom w:val="0"/>
          <w:divBdr>
            <w:top w:val="none" w:sz="0" w:space="0" w:color="auto"/>
            <w:left w:val="none" w:sz="0" w:space="0" w:color="auto"/>
            <w:bottom w:val="none" w:sz="0" w:space="0" w:color="auto"/>
            <w:right w:val="none" w:sz="0" w:space="0" w:color="auto"/>
          </w:divBdr>
          <w:divsChild>
            <w:div w:id="1965693080">
              <w:marLeft w:val="0"/>
              <w:marRight w:val="0"/>
              <w:marTop w:val="0"/>
              <w:marBottom w:val="0"/>
              <w:divBdr>
                <w:top w:val="none" w:sz="0" w:space="0" w:color="auto"/>
                <w:left w:val="none" w:sz="0" w:space="0" w:color="auto"/>
                <w:bottom w:val="none" w:sz="0" w:space="0" w:color="auto"/>
                <w:right w:val="none" w:sz="0" w:space="0" w:color="auto"/>
              </w:divBdr>
              <w:divsChild>
                <w:div w:id="1500079334">
                  <w:marLeft w:val="0"/>
                  <w:marRight w:val="0"/>
                  <w:marTop w:val="0"/>
                  <w:marBottom w:val="0"/>
                  <w:divBdr>
                    <w:top w:val="none" w:sz="0" w:space="0" w:color="auto"/>
                    <w:left w:val="none" w:sz="0" w:space="0" w:color="auto"/>
                    <w:bottom w:val="none" w:sz="0" w:space="0" w:color="auto"/>
                    <w:right w:val="none" w:sz="0" w:space="0" w:color="auto"/>
                  </w:divBdr>
                  <w:divsChild>
                    <w:div w:id="1752192682">
                      <w:marLeft w:val="0"/>
                      <w:marRight w:val="0"/>
                      <w:marTop w:val="0"/>
                      <w:marBottom w:val="0"/>
                      <w:divBdr>
                        <w:top w:val="none" w:sz="0" w:space="0" w:color="auto"/>
                        <w:left w:val="none" w:sz="0" w:space="0" w:color="auto"/>
                        <w:bottom w:val="none" w:sz="0" w:space="0" w:color="auto"/>
                        <w:right w:val="none" w:sz="0" w:space="0" w:color="auto"/>
                      </w:divBdr>
                      <w:divsChild>
                        <w:div w:id="1960335656">
                          <w:marLeft w:val="0"/>
                          <w:marRight w:val="0"/>
                          <w:marTop w:val="0"/>
                          <w:marBottom w:val="0"/>
                          <w:divBdr>
                            <w:top w:val="none" w:sz="0" w:space="0" w:color="auto"/>
                            <w:left w:val="none" w:sz="0" w:space="0" w:color="auto"/>
                            <w:bottom w:val="none" w:sz="0" w:space="0" w:color="auto"/>
                            <w:right w:val="none" w:sz="0" w:space="0" w:color="auto"/>
                          </w:divBdr>
                          <w:divsChild>
                            <w:div w:id="1043748469">
                              <w:marLeft w:val="0"/>
                              <w:marRight w:val="0"/>
                              <w:marTop w:val="0"/>
                              <w:marBottom w:val="0"/>
                              <w:divBdr>
                                <w:top w:val="none" w:sz="0" w:space="0" w:color="auto"/>
                                <w:left w:val="none" w:sz="0" w:space="0" w:color="auto"/>
                                <w:bottom w:val="none" w:sz="0" w:space="0" w:color="auto"/>
                                <w:right w:val="none" w:sz="0" w:space="0" w:color="auto"/>
                              </w:divBdr>
                              <w:divsChild>
                                <w:div w:id="1468082878">
                                  <w:marLeft w:val="0"/>
                                  <w:marRight w:val="0"/>
                                  <w:marTop w:val="0"/>
                                  <w:marBottom w:val="0"/>
                                  <w:divBdr>
                                    <w:top w:val="none" w:sz="0" w:space="0" w:color="auto"/>
                                    <w:left w:val="none" w:sz="0" w:space="0" w:color="auto"/>
                                    <w:bottom w:val="none" w:sz="0" w:space="0" w:color="auto"/>
                                    <w:right w:val="none" w:sz="0" w:space="0" w:color="auto"/>
                                  </w:divBdr>
                                  <w:divsChild>
                                    <w:div w:id="633369163">
                                      <w:marLeft w:val="0"/>
                                      <w:marRight w:val="0"/>
                                      <w:marTop w:val="0"/>
                                      <w:marBottom w:val="0"/>
                                      <w:divBdr>
                                        <w:top w:val="none" w:sz="0" w:space="0" w:color="auto"/>
                                        <w:left w:val="none" w:sz="0" w:space="0" w:color="auto"/>
                                        <w:bottom w:val="none" w:sz="0" w:space="0" w:color="auto"/>
                                        <w:right w:val="none" w:sz="0" w:space="0" w:color="auto"/>
                                      </w:divBdr>
                                      <w:divsChild>
                                        <w:div w:id="733892895">
                                          <w:marLeft w:val="0"/>
                                          <w:marRight w:val="0"/>
                                          <w:marTop w:val="0"/>
                                          <w:marBottom w:val="0"/>
                                          <w:divBdr>
                                            <w:top w:val="none" w:sz="0" w:space="0" w:color="auto"/>
                                            <w:left w:val="none" w:sz="0" w:space="0" w:color="auto"/>
                                            <w:bottom w:val="none" w:sz="0" w:space="0" w:color="auto"/>
                                            <w:right w:val="none" w:sz="0" w:space="0" w:color="auto"/>
                                          </w:divBdr>
                                          <w:divsChild>
                                            <w:div w:id="1692216731">
                                              <w:marLeft w:val="0"/>
                                              <w:marRight w:val="0"/>
                                              <w:marTop w:val="0"/>
                                              <w:marBottom w:val="0"/>
                                              <w:divBdr>
                                                <w:top w:val="none" w:sz="0" w:space="0" w:color="auto"/>
                                                <w:left w:val="none" w:sz="0" w:space="0" w:color="auto"/>
                                                <w:bottom w:val="none" w:sz="0" w:space="0" w:color="auto"/>
                                                <w:right w:val="none" w:sz="0" w:space="0" w:color="auto"/>
                                              </w:divBdr>
                                              <w:divsChild>
                                                <w:div w:id="506360102">
                                                  <w:marLeft w:val="0"/>
                                                  <w:marRight w:val="0"/>
                                                  <w:marTop w:val="0"/>
                                                  <w:marBottom w:val="0"/>
                                                  <w:divBdr>
                                                    <w:top w:val="none" w:sz="0" w:space="0" w:color="auto"/>
                                                    <w:left w:val="none" w:sz="0" w:space="0" w:color="auto"/>
                                                    <w:bottom w:val="none" w:sz="0" w:space="0" w:color="auto"/>
                                                    <w:right w:val="none" w:sz="0" w:space="0" w:color="auto"/>
                                                  </w:divBdr>
                                                  <w:divsChild>
                                                    <w:div w:id="367798135">
                                                      <w:marLeft w:val="0"/>
                                                      <w:marRight w:val="0"/>
                                                      <w:marTop w:val="0"/>
                                                      <w:marBottom w:val="0"/>
                                                      <w:divBdr>
                                                        <w:top w:val="none" w:sz="0" w:space="0" w:color="auto"/>
                                                        <w:left w:val="none" w:sz="0" w:space="0" w:color="auto"/>
                                                        <w:bottom w:val="none" w:sz="0" w:space="0" w:color="auto"/>
                                                        <w:right w:val="none" w:sz="0" w:space="0" w:color="auto"/>
                                                      </w:divBdr>
                                                      <w:divsChild>
                                                        <w:div w:id="1007905880">
                                                          <w:marLeft w:val="0"/>
                                                          <w:marRight w:val="0"/>
                                                          <w:marTop w:val="0"/>
                                                          <w:marBottom w:val="0"/>
                                                          <w:divBdr>
                                                            <w:top w:val="none" w:sz="0" w:space="0" w:color="auto"/>
                                                            <w:left w:val="none" w:sz="0" w:space="0" w:color="auto"/>
                                                            <w:bottom w:val="none" w:sz="0" w:space="0" w:color="auto"/>
                                                            <w:right w:val="none" w:sz="0" w:space="0" w:color="auto"/>
                                                          </w:divBdr>
                                                          <w:divsChild>
                                                            <w:div w:id="16564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6481696">
      <w:bodyDiv w:val="1"/>
      <w:marLeft w:val="0"/>
      <w:marRight w:val="0"/>
      <w:marTop w:val="0"/>
      <w:marBottom w:val="0"/>
      <w:divBdr>
        <w:top w:val="none" w:sz="0" w:space="0" w:color="auto"/>
        <w:left w:val="none" w:sz="0" w:space="0" w:color="auto"/>
        <w:bottom w:val="none" w:sz="0" w:space="0" w:color="auto"/>
        <w:right w:val="none" w:sz="0" w:space="0" w:color="auto"/>
      </w:divBdr>
    </w:div>
    <w:div w:id="430703063">
      <w:bodyDiv w:val="1"/>
      <w:marLeft w:val="0"/>
      <w:marRight w:val="0"/>
      <w:marTop w:val="0"/>
      <w:marBottom w:val="0"/>
      <w:divBdr>
        <w:top w:val="none" w:sz="0" w:space="0" w:color="auto"/>
        <w:left w:val="none" w:sz="0" w:space="0" w:color="auto"/>
        <w:bottom w:val="none" w:sz="0" w:space="0" w:color="auto"/>
        <w:right w:val="none" w:sz="0" w:space="0" w:color="auto"/>
      </w:divBdr>
    </w:div>
    <w:div w:id="436174656">
      <w:bodyDiv w:val="1"/>
      <w:marLeft w:val="0"/>
      <w:marRight w:val="0"/>
      <w:marTop w:val="0"/>
      <w:marBottom w:val="0"/>
      <w:divBdr>
        <w:top w:val="none" w:sz="0" w:space="0" w:color="auto"/>
        <w:left w:val="none" w:sz="0" w:space="0" w:color="auto"/>
        <w:bottom w:val="none" w:sz="0" w:space="0" w:color="auto"/>
        <w:right w:val="none" w:sz="0" w:space="0" w:color="auto"/>
      </w:divBdr>
    </w:div>
    <w:div w:id="455370643">
      <w:bodyDiv w:val="1"/>
      <w:marLeft w:val="0"/>
      <w:marRight w:val="0"/>
      <w:marTop w:val="0"/>
      <w:marBottom w:val="0"/>
      <w:divBdr>
        <w:top w:val="none" w:sz="0" w:space="0" w:color="auto"/>
        <w:left w:val="none" w:sz="0" w:space="0" w:color="auto"/>
        <w:bottom w:val="none" w:sz="0" w:space="0" w:color="auto"/>
        <w:right w:val="none" w:sz="0" w:space="0" w:color="auto"/>
      </w:divBdr>
    </w:div>
    <w:div w:id="469521846">
      <w:bodyDiv w:val="1"/>
      <w:marLeft w:val="0"/>
      <w:marRight w:val="0"/>
      <w:marTop w:val="0"/>
      <w:marBottom w:val="0"/>
      <w:divBdr>
        <w:top w:val="none" w:sz="0" w:space="0" w:color="auto"/>
        <w:left w:val="none" w:sz="0" w:space="0" w:color="auto"/>
        <w:bottom w:val="none" w:sz="0" w:space="0" w:color="auto"/>
        <w:right w:val="none" w:sz="0" w:space="0" w:color="auto"/>
      </w:divBdr>
    </w:div>
    <w:div w:id="472019522">
      <w:bodyDiv w:val="1"/>
      <w:marLeft w:val="0"/>
      <w:marRight w:val="0"/>
      <w:marTop w:val="0"/>
      <w:marBottom w:val="0"/>
      <w:divBdr>
        <w:top w:val="none" w:sz="0" w:space="0" w:color="auto"/>
        <w:left w:val="none" w:sz="0" w:space="0" w:color="auto"/>
        <w:bottom w:val="none" w:sz="0" w:space="0" w:color="auto"/>
        <w:right w:val="none" w:sz="0" w:space="0" w:color="auto"/>
      </w:divBdr>
    </w:div>
    <w:div w:id="478503564">
      <w:bodyDiv w:val="1"/>
      <w:marLeft w:val="0"/>
      <w:marRight w:val="0"/>
      <w:marTop w:val="0"/>
      <w:marBottom w:val="0"/>
      <w:divBdr>
        <w:top w:val="none" w:sz="0" w:space="0" w:color="auto"/>
        <w:left w:val="none" w:sz="0" w:space="0" w:color="auto"/>
        <w:bottom w:val="none" w:sz="0" w:space="0" w:color="auto"/>
        <w:right w:val="none" w:sz="0" w:space="0" w:color="auto"/>
      </w:divBdr>
    </w:div>
    <w:div w:id="501744418">
      <w:bodyDiv w:val="1"/>
      <w:marLeft w:val="0"/>
      <w:marRight w:val="0"/>
      <w:marTop w:val="0"/>
      <w:marBottom w:val="0"/>
      <w:divBdr>
        <w:top w:val="none" w:sz="0" w:space="0" w:color="auto"/>
        <w:left w:val="none" w:sz="0" w:space="0" w:color="auto"/>
        <w:bottom w:val="none" w:sz="0" w:space="0" w:color="auto"/>
        <w:right w:val="none" w:sz="0" w:space="0" w:color="auto"/>
      </w:divBdr>
    </w:div>
    <w:div w:id="507715207">
      <w:bodyDiv w:val="1"/>
      <w:marLeft w:val="0"/>
      <w:marRight w:val="0"/>
      <w:marTop w:val="0"/>
      <w:marBottom w:val="0"/>
      <w:divBdr>
        <w:top w:val="none" w:sz="0" w:space="0" w:color="auto"/>
        <w:left w:val="none" w:sz="0" w:space="0" w:color="auto"/>
        <w:bottom w:val="none" w:sz="0" w:space="0" w:color="auto"/>
        <w:right w:val="none" w:sz="0" w:space="0" w:color="auto"/>
      </w:divBdr>
    </w:div>
    <w:div w:id="516113758">
      <w:bodyDiv w:val="1"/>
      <w:marLeft w:val="0"/>
      <w:marRight w:val="0"/>
      <w:marTop w:val="0"/>
      <w:marBottom w:val="0"/>
      <w:divBdr>
        <w:top w:val="none" w:sz="0" w:space="0" w:color="auto"/>
        <w:left w:val="none" w:sz="0" w:space="0" w:color="auto"/>
        <w:bottom w:val="none" w:sz="0" w:space="0" w:color="auto"/>
        <w:right w:val="none" w:sz="0" w:space="0" w:color="auto"/>
      </w:divBdr>
    </w:div>
    <w:div w:id="527530883">
      <w:bodyDiv w:val="1"/>
      <w:marLeft w:val="0"/>
      <w:marRight w:val="0"/>
      <w:marTop w:val="0"/>
      <w:marBottom w:val="0"/>
      <w:divBdr>
        <w:top w:val="none" w:sz="0" w:space="0" w:color="auto"/>
        <w:left w:val="none" w:sz="0" w:space="0" w:color="auto"/>
        <w:bottom w:val="none" w:sz="0" w:space="0" w:color="auto"/>
        <w:right w:val="none" w:sz="0" w:space="0" w:color="auto"/>
      </w:divBdr>
    </w:div>
    <w:div w:id="540560271">
      <w:bodyDiv w:val="1"/>
      <w:marLeft w:val="0"/>
      <w:marRight w:val="0"/>
      <w:marTop w:val="0"/>
      <w:marBottom w:val="0"/>
      <w:divBdr>
        <w:top w:val="none" w:sz="0" w:space="0" w:color="auto"/>
        <w:left w:val="none" w:sz="0" w:space="0" w:color="auto"/>
        <w:bottom w:val="none" w:sz="0" w:space="0" w:color="auto"/>
        <w:right w:val="none" w:sz="0" w:space="0" w:color="auto"/>
      </w:divBdr>
    </w:div>
    <w:div w:id="543955370">
      <w:bodyDiv w:val="1"/>
      <w:marLeft w:val="0"/>
      <w:marRight w:val="0"/>
      <w:marTop w:val="0"/>
      <w:marBottom w:val="0"/>
      <w:divBdr>
        <w:top w:val="none" w:sz="0" w:space="0" w:color="auto"/>
        <w:left w:val="none" w:sz="0" w:space="0" w:color="auto"/>
        <w:bottom w:val="none" w:sz="0" w:space="0" w:color="auto"/>
        <w:right w:val="none" w:sz="0" w:space="0" w:color="auto"/>
      </w:divBdr>
    </w:div>
    <w:div w:id="552892514">
      <w:bodyDiv w:val="1"/>
      <w:marLeft w:val="0"/>
      <w:marRight w:val="0"/>
      <w:marTop w:val="0"/>
      <w:marBottom w:val="0"/>
      <w:divBdr>
        <w:top w:val="none" w:sz="0" w:space="0" w:color="auto"/>
        <w:left w:val="none" w:sz="0" w:space="0" w:color="auto"/>
        <w:bottom w:val="none" w:sz="0" w:space="0" w:color="auto"/>
        <w:right w:val="none" w:sz="0" w:space="0" w:color="auto"/>
      </w:divBdr>
    </w:div>
    <w:div w:id="553615257">
      <w:bodyDiv w:val="1"/>
      <w:marLeft w:val="0"/>
      <w:marRight w:val="0"/>
      <w:marTop w:val="0"/>
      <w:marBottom w:val="0"/>
      <w:divBdr>
        <w:top w:val="none" w:sz="0" w:space="0" w:color="auto"/>
        <w:left w:val="none" w:sz="0" w:space="0" w:color="auto"/>
        <w:bottom w:val="none" w:sz="0" w:space="0" w:color="auto"/>
        <w:right w:val="none" w:sz="0" w:space="0" w:color="auto"/>
      </w:divBdr>
    </w:div>
    <w:div w:id="571351865">
      <w:bodyDiv w:val="1"/>
      <w:marLeft w:val="0"/>
      <w:marRight w:val="0"/>
      <w:marTop w:val="0"/>
      <w:marBottom w:val="0"/>
      <w:divBdr>
        <w:top w:val="none" w:sz="0" w:space="0" w:color="auto"/>
        <w:left w:val="none" w:sz="0" w:space="0" w:color="auto"/>
        <w:bottom w:val="none" w:sz="0" w:space="0" w:color="auto"/>
        <w:right w:val="none" w:sz="0" w:space="0" w:color="auto"/>
      </w:divBdr>
    </w:div>
    <w:div w:id="574629877">
      <w:bodyDiv w:val="1"/>
      <w:marLeft w:val="0"/>
      <w:marRight w:val="0"/>
      <w:marTop w:val="0"/>
      <w:marBottom w:val="0"/>
      <w:divBdr>
        <w:top w:val="none" w:sz="0" w:space="0" w:color="auto"/>
        <w:left w:val="none" w:sz="0" w:space="0" w:color="auto"/>
        <w:bottom w:val="none" w:sz="0" w:space="0" w:color="auto"/>
        <w:right w:val="none" w:sz="0" w:space="0" w:color="auto"/>
      </w:divBdr>
    </w:div>
    <w:div w:id="609312320">
      <w:bodyDiv w:val="1"/>
      <w:marLeft w:val="0"/>
      <w:marRight w:val="0"/>
      <w:marTop w:val="0"/>
      <w:marBottom w:val="0"/>
      <w:divBdr>
        <w:top w:val="none" w:sz="0" w:space="0" w:color="auto"/>
        <w:left w:val="none" w:sz="0" w:space="0" w:color="auto"/>
        <w:bottom w:val="none" w:sz="0" w:space="0" w:color="auto"/>
        <w:right w:val="none" w:sz="0" w:space="0" w:color="auto"/>
      </w:divBdr>
    </w:div>
    <w:div w:id="614290361">
      <w:bodyDiv w:val="1"/>
      <w:marLeft w:val="0"/>
      <w:marRight w:val="0"/>
      <w:marTop w:val="0"/>
      <w:marBottom w:val="0"/>
      <w:divBdr>
        <w:top w:val="none" w:sz="0" w:space="0" w:color="auto"/>
        <w:left w:val="none" w:sz="0" w:space="0" w:color="auto"/>
        <w:bottom w:val="none" w:sz="0" w:space="0" w:color="auto"/>
        <w:right w:val="none" w:sz="0" w:space="0" w:color="auto"/>
      </w:divBdr>
    </w:div>
    <w:div w:id="621039589">
      <w:bodyDiv w:val="1"/>
      <w:marLeft w:val="0"/>
      <w:marRight w:val="0"/>
      <w:marTop w:val="0"/>
      <w:marBottom w:val="0"/>
      <w:divBdr>
        <w:top w:val="none" w:sz="0" w:space="0" w:color="auto"/>
        <w:left w:val="none" w:sz="0" w:space="0" w:color="auto"/>
        <w:bottom w:val="none" w:sz="0" w:space="0" w:color="auto"/>
        <w:right w:val="none" w:sz="0" w:space="0" w:color="auto"/>
      </w:divBdr>
    </w:div>
    <w:div w:id="647788398">
      <w:bodyDiv w:val="1"/>
      <w:marLeft w:val="0"/>
      <w:marRight w:val="0"/>
      <w:marTop w:val="0"/>
      <w:marBottom w:val="0"/>
      <w:divBdr>
        <w:top w:val="none" w:sz="0" w:space="0" w:color="auto"/>
        <w:left w:val="none" w:sz="0" w:space="0" w:color="auto"/>
        <w:bottom w:val="none" w:sz="0" w:space="0" w:color="auto"/>
        <w:right w:val="none" w:sz="0" w:space="0" w:color="auto"/>
      </w:divBdr>
    </w:div>
    <w:div w:id="650984812">
      <w:bodyDiv w:val="1"/>
      <w:marLeft w:val="0"/>
      <w:marRight w:val="0"/>
      <w:marTop w:val="0"/>
      <w:marBottom w:val="0"/>
      <w:divBdr>
        <w:top w:val="none" w:sz="0" w:space="0" w:color="auto"/>
        <w:left w:val="none" w:sz="0" w:space="0" w:color="auto"/>
        <w:bottom w:val="none" w:sz="0" w:space="0" w:color="auto"/>
        <w:right w:val="none" w:sz="0" w:space="0" w:color="auto"/>
      </w:divBdr>
    </w:div>
    <w:div w:id="655689240">
      <w:bodyDiv w:val="1"/>
      <w:marLeft w:val="0"/>
      <w:marRight w:val="0"/>
      <w:marTop w:val="0"/>
      <w:marBottom w:val="0"/>
      <w:divBdr>
        <w:top w:val="none" w:sz="0" w:space="0" w:color="auto"/>
        <w:left w:val="none" w:sz="0" w:space="0" w:color="auto"/>
        <w:bottom w:val="none" w:sz="0" w:space="0" w:color="auto"/>
        <w:right w:val="none" w:sz="0" w:space="0" w:color="auto"/>
      </w:divBdr>
    </w:div>
    <w:div w:id="657609847">
      <w:bodyDiv w:val="1"/>
      <w:marLeft w:val="0"/>
      <w:marRight w:val="0"/>
      <w:marTop w:val="0"/>
      <w:marBottom w:val="0"/>
      <w:divBdr>
        <w:top w:val="none" w:sz="0" w:space="0" w:color="auto"/>
        <w:left w:val="none" w:sz="0" w:space="0" w:color="auto"/>
        <w:bottom w:val="none" w:sz="0" w:space="0" w:color="auto"/>
        <w:right w:val="none" w:sz="0" w:space="0" w:color="auto"/>
      </w:divBdr>
    </w:div>
    <w:div w:id="680619494">
      <w:bodyDiv w:val="1"/>
      <w:marLeft w:val="0"/>
      <w:marRight w:val="0"/>
      <w:marTop w:val="0"/>
      <w:marBottom w:val="0"/>
      <w:divBdr>
        <w:top w:val="none" w:sz="0" w:space="0" w:color="auto"/>
        <w:left w:val="none" w:sz="0" w:space="0" w:color="auto"/>
        <w:bottom w:val="none" w:sz="0" w:space="0" w:color="auto"/>
        <w:right w:val="none" w:sz="0" w:space="0" w:color="auto"/>
      </w:divBdr>
    </w:div>
    <w:div w:id="753817559">
      <w:bodyDiv w:val="1"/>
      <w:marLeft w:val="0"/>
      <w:marRight w:val="0"/>
      <w:marTop w:val="0"/>
      <w:marBottom w:val="0"/>
      <w:divBdr>
        <w:top w:val="none" w:sz="0" w:space="0" w:color="auto"/>
        <w:left w:val="none" w:sz="0" w:space="0" w:color="auto"/>
        <w:bottom w:val="none" w:sz="0" w:space="0" w:color="auto"/>
        <w:right w:val="none" w:sz="0" w:space="0" w:color="auto"/>
      </w:divBdr>
    </w:div>
    <w:div w:id="793792300">
      <w:bodyDiv w:val="1"/>
      <w:marLeft w:val="0"/>
      <w:marRight w:val="0"/>
      <w:marTop w:val="0"/>
      <w:marBottom w:val="0"/>
      <w:divBdr>
        <w:top w:val="none" w:sz="0" w:space="0" w:color="auto"/>
        <w:left w:val="none" w:sz="0" w:space="0" w:color="auto"/>
        <w:bottom w:val="none" w:sz="0" w:space="0" w:color="auto"/>
        <w:right w:val="none" w:sz="0" w:space="0" w:color="auto"/>
      </w:divBdr>
      <w:divsChild>
        <w:div w:id="2077969745">
          <w:marLeft w:val="0"/>
          <w:marRight w:val="0"/>
          <w:marTop w:val="0"/>
          <w:marBottom w:val="0"/>
          <w:divBdr>
            <w:top w:val="none" w:sz="0" w:space="0" w:color="auto"/>
            <w:left w:val="none" w:sz="0" w:space="0" w:color="auto"/>
            <w:bottom w:val="none" w:sz="0" w:space="0" w:color="auto"/>
            <w:right w:val="none" w:sz="0" w:space="0" w:color="auto"/>
          </w:divBdr>
          <w:divsChild>
            <w:div w:id="640430594">
              <w:marLeft w:val="0"/>
              <w:marRight w:val="0"/>
              <w:marTop w:val="0"/>
              <w:marBottom w:val="0"/>
              <w:divBdr>
                <w:top w:val="none" w:sz="0" w:space="0" w:color="auto"/>
                <w:left w:val="none" w:sz="0" w:space="0" w:color="auto"/>
                <w:bottom w:val="none" w:sz="0" w:space="0" w:color="auto"/>
                <w:right w:val="none" w:sz="0" w:space="0" w:color="auto"/>
              </w:divBdr>
              <w:divsChild>
                <w:div w:id="1309243061">
                  <w:marLeft w:val="0"/>
                  <w:marRight w:val="0"/>
                  <w:marTop w:val="0"/>
                  <w:marBottom w:val="0"/>
                  <w:divBdr>
                    <w:top w:val="none" w:sz="0" w:space="0" w:color="auto"/>
                    <w:left w:val="none" w:sz="0" w:space="0" w:color="auto"/>
                    <w:bottom w:val="none" w:sz="0" w:space="0" w:color="auto"/>
                    <w:right w:val="none" w:sz="0" w:space="0" w:color="auto"/>
                  </w:divBdr>
                  <w:divsChild>
                    <w:div w:id="301034706">
                      <w:marLeft w:val="0"/>
                      <w:marRight w:val="0"/>
                      <w:marTop w:val="0"/>
                      <w:marBottom w:val="0"/>
                      <w:divBdr>
                        <w:top w:val="none" w:sz="0" w:space="0" w:color="auto"/>
                        <w:left w:val="none" w:sz="0" w:space="0" w:color="auto"/>
                        <w:bottom w:val="none" w:sz="0" w:space="0" w:color="auto"/>
                        <w:right w:val="none" w:sz="0" w:space="0" w:color="auto"/>
                      </w:divBdr>
                      <w:divsChild>
                        <w:div w:id="1921137572">
                          <w:marLeft w:val="0"/>
                          <w:marRight w:val="0"/>
                          <w:marTop w:val="0"/>
                          <w:marBottom w:val="0"/>
                          <w:divBdr>
                            <w:top w:val="none" w:sz="0" w:space="0" w:color="auto"/>
                            <w:left w:val="none" w:sz="0" w:space="0" w:color="auto"/>
                            <w:bottom w:val="none" w:sz="0" w:space="0" w:color="auto"/>
                            <w:right w:val="none" w:sz="0" w:space="0" w:color="auto"/>
                          </w:divBdr>
                          <w:divsChild>
                            <w:div w:id="248120497">
                              <w:marLeft w:val="0"/>
                              <w:marRight w:val="0"/>
                              <w:marTop w:val="0"/>
                              <w:marBottom w:val="0"/>
                              <w:divBdr>
                                <w:top w:val="none" w:sz="0" w:space="0" w:color="auto"/>
                                <w:left w:val="none" w:sz="0" w:space="0" w:color="auto"/>
                                <w:bottom w:val="none" w:sz="0" w:space="0" w:color="auto"/>
                                <w:right w:val="none" w:sz="0" w:space="0" w:color="auto"/>
                              </w:divBdr>
                              <w:divsChild>
                                <w:div w:id="1625693807">
                                  <w:marLeft w:val="0"/>
                                  <w:marRight w:val="0"/>
                                  <w:marTop w:val="0"/>
                                  <w:marBottom w:val="0"/>
                                  <w:divBdr>
                                    <w:top w:val="none" w:sz="0" w:space="0" w:color="auto"/>
                                    <w:left w:val="none" w:sz="0" w:space="0" w:color="auto"/>
                                    <w:bottom w:val="none" w:sz="0" w:space="0" w:color="auto"/>
                                    <w:right w:val="none" w:sz="0" w:space="0" w:color="auto"/>
                                  </w:divBdr>
                                  <w:divsChild>
                                    <w:div w:id="1789665461">
                                      <w:marLeft w:val="0"/>
                                      <w:marRight w:val="0"/>
                                      <w:marTop w:val="0"/>
                                      <w:marBottom w:val="0"/>
                                      <w:divBdr>
                                        <w:top w:val="none" w:sz="0" w:space="0" w:color="auto"/>
                                        <w:left w:val="none" w:sz="0" w:space="0" w:color="auto"/>
                                        <w:bottom w:val="none" w:sz="0" w:space="0" w:color="auto"/>
                                        <w:right w:val="none" w:sz="0" w:space="0" w:color="auto"/>
                                      </w:divBdr>
                                      <w:divsChild>
                                        <w:div w:id="46531994">
                                          <w:marLeft w:val="0"/>
                                          <w:marRight w:val="0"/>
                                          <w:marTop w:val="0"/>
                                          <w:marBottom w:val="0"/>
                                          <w:divBdr>
                                            <w:top w:val="none" w:sz="0" w:space="0" w:color="auto"/>
                                            <w:left w:val="none" w:sz="0" w:space="0" w:color="auto"/>
                                            <w:bottom w:val="none" w:sz="0" w:space="0" w:color="auto"/>
                                            <w:right w:val="none" w:sz="0" w:space="0" w:color="auto"/>
                                          </w:divBdr>
                                          <w:divsChild>
                                            <w:div w:id="1755205711">
                                              <w:marLeft w:val="0"/>
                                              <w:marRight w:val="0"/>
                                              <w:marTop w:val="0"/>
                                              <w:marBottom w:val="0"/>
                                              <w:divBdr>
                                                <w:top w:val="none" w:sz="0" w:space="0" w:color="auto"/>
                                                <w:left w:val="none" w:sz="0" w:space="0" w:color="auto"/>
                                                <w:bottom w:val="none" w:sz="0" w:space="0" w:color="auto"/>
                                                <w:right w:val="none" w:sz="0" w:space="0" w:color="auto"/>
                                              </w:divBdr>
                                              <w:divsChild>
                                                <w:div w:id="2056083662">
                                                  <w:marLeft w:val="0"/>
                                                  <w:marRight w:val="0"/>
                                                  <w:marTop w:val="0"/>
                                                  <w:marBottom w:val="0"/>
                                                  <w:divBdr>
                                                    <w:top w:val="none" w:sz="0" w:space="0" w:color="auto"/>
                                                    <w:left w:val="none" w:sz="0" w:space="0" w:color="auto"/>
                                                    <w:bottom w:val="none" w:sz="0" w:space="0" w:color="auto"/>
                                                    <w:right w:val="none" w:sz="0" w:space="0" w:color="auto"/>
                                                  </w:divBdr>
                                                  <w:divsChild>
                                                    <w:div w:id="1999385059">
                                                      <w:marLeft w:val="0"/>
                                                      <w:marRight w:val="0"/>
                                                      <w:marTop w:val="0"/>
                                                      <w:marBottom w:val="0"/>
                                                      <w:divBdr>
                                                        <w:top w:val="none" w:sz="0" w:space="0" w:color="auto"/>
                                                        <w:left w:val="none" w:sz="0" w:space="0" w:color="auto"/>
                                                        <w:bottom w:val="none" w:sz="0" w:space="0" w:color="auto"/>
                                                        <w:right w:val="none" w:sz="0" w:space="0" w:color="auto"/>
                                                      </w:divBdr>
                                                      <w:divsChild>
                                                        <w:div w:id="416247689">
                                                          <w:marLeft w:val="0"/>
                                                          <w:marRight w:val="0"/>
                                                          <w:marTop w:val="0"/>
                                                          <w:marBottom w:val="0"/>
                                                          <w:divBdr>
                                                            <w:top w:val="none" w:sz="0" w:space="0" w:color="auto"/>
                                                            <w:left w:val="none" w:sz="0" w:space="0" w:color="auto"/>
                                                            <w:bottom w:val="none" w:sz="0" w:space="0" w:color="auto"/>
                                                            <w:right w:val="none" w:sz="0" w:space="0" w:color="auto"/>
                                                          </w:divBdr>
                                                          <w:divsChild>
                                                            <w:div w:id="9713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201801">
      <w:bodyDiv w:val="1"/>
      <w:marLeft w:val="0"/>
      <w:marRight w:val="0"/>
      <w:marTop w:val="0"/>
      <w:marBottom w:val="0"/>
      <w:divBdr>
        <w:top w:val="none" w:sz="0" w:space="0" w:color="auto"/>
        <w:left w:val="none" w:sz="0" w:space="0" w:color="auto"/>
        <w:bottom w:val="none" w:sz="0" w:space="0" w:color="auto"/>
        <w:right w:val="none" w:sz="0" w:space="0" w:color="auto"/>
      </w:divBdr>
    </w:div>
    <w:div w:id="821967938">
      <w:bodyDiv w:val="1"/>
      <w:marLeft w:val="0"/>
      <w:marRight w:val="0"/>
      <w:marTop w:val="0"/>
      <w:marBottom w:val="0"/>
      <w:divBdr>
        <w:top w:val="none" w:sz="0" w:space="0" w:color="auto"/>
        <w:left w:val="none" w:sz="0" w:space="0" w:color="auto"/>
        <w:bottom w:val="none" w:sz="0" w:space="0" w:color="auto"/>
        <w:right w:val="none" w:sz="0" w:space="0" w:color="auto"/>
      </w:divBdr>
    </w:div>
    <w:div w:id="852303236">
      <w:bodyDiv w:val="1"/>
      <w:marLeft w:val="0"/>
      <w:marRight w:val="0"/>
      <w:marTop w:val="0"/>
      <w:marBottom w:val="0"/>
      <w:divBdr>
        <w:top w:val="none" w:sz="0" w:space="0" w:color="auto"/>
        <w:left w:val="none" w:sz="0" w:space="0" w:color="auto"/>
        <w:bottom w:val="none" w:sz="0" w:space="0" w:color="auto"/>
        <w:right w:val="none" w:sz="0" w:space="0" w:color="auto"/>
      </w:divBdr>
    </w:div>
    <w:div w:id="917128257">
      <w:bodyDiv w:val="1"/>
      <w:marLeft w:val="0"/>
      <w:marRight w:val="0"/>
      <w:marTop w:val="0"/>
      <w:marBottom w:val="0"/>
      <w:divBdr>
        <w:top w:val="none" w:sz="0" w:space="0" w:color="auto"/>
        <w:left w:val="none" w:sz="0" w:space="0" w:color="auto"/>
        <w:bottom w:val="none" w:sz="0" w:space="0" w:color="auto"/>
        <w:right w:val="none" w:sz="0" w:space="0" w:color="auto"/>
      </w:divBdr>
    </w:div>
    <w:div w:id="926041088">
      <w:bodyDiv w:val="1"/>
      <w:marLeft w:val="0"/>
      <w:marRight w:val="0"/>
      <w:marTop w:val="0"/>
      <w:marBottom w:val="0"/>
      <w:divBdr>
        <w:top w:val="none" w:sz="0" w:space="0" w:color="auto"/>
        <w:left w:val="none" w:sz="0" w:space="0" w:color="auto"/>
        <w:bottom w:val="none" w:sz="0" w:space="0" w:color="auto"/>
        <w:right w:val="none" w:sz="0" w:space="0" w:color="auto"/>
      </w:divBdr>
    </w:div>
    <w:div w:id="953564079">
      <w:bodyDiv w:val="1"/>
      <w:marLeft w:val="0"/>
      <w:marRight w:val="0"/>
      <w:marTop w:val="0"/>
      <w:marBottom w:val="0"/>
      <w:divBdr>
        <w:top w:val="none" w:sz="0" w:space="0" w:color="auto"/>
        <w:left w:val="none" w:sz="0" w:space="0" w:color="auto"/>
        <w:bottom w:val="none" w:sz="0" w:space="0" w:color="auto"/>
        <w:right w:val="none" w:sz="0" w:space="0" w:color="auto"/>
      </w:divBdr>
    </w:div>
    <w:div w:id="966203730">
      <w:bodyDiv w:val="1"/>
      <w:marLeft w:val="0"/>
      <w:marRight w:val="0"/>
      <w:marTop w:val="0"/>
      <w:marBottom w:val="0"/>
      <w:divBdr>
        <w:top w:val="none" w:sz="0" w:space="0" w:color="auto"/>
        <w:left w:val="none" w:sz="0" w:space="0" w:color="auto"/>
        <w:bottom w:val="none" w:sz="0" w:space="0" w:color="auto"/>
        <w:right w:val="none" w:sz="0" w:space="0" w:color="auto"/>
      </w:divBdr>
    </w:div>
    <w:div w:id="1033700246">
      <w:bodyDiv w:val="1"/>
      <w:marLeft w:val="0"/>
      <w:marRight w:val="0"/>
      <w:marTop w:val="0"/>
      <w:marBottom w:val="0"/>
      <w:divBdr>
        <w:top w:val="none" w:sz="0" w:space="0" w:color="auto"/>
        <w:left w:val="none" w:sz="0" w:space="0" w:color="auto"/>
        <w:bottom w:val="none" w:sz="0" w:space="0" w:color="auto"/>
        <w:right w:val="none" w:sz="0" w:space="0" w:color="auto"/>
      </w:divBdr>
    </w:div>
    <w:div w:id="1035077065">
      <w:bodyDiv w:val="1"/>
      <w:marLeft w:val="0"/>
      <w:marRight w:val="0"/>
      <w:marTop w:val="0"/>
      <w:marBottom w:val="0"/>
      <w:divBdr>
        <w:top w:val="none" w:sz="0" w:space="0" w:color="auto"/>
        <w:left w:val="none" w:sz="0" w:space="0" w:color="auto"/>
        <w:bottom w:val="none" w:sz="0" w:space="0" w:color="auto"/>
        <w:right w:val="none" w:sz="0" w:space="0" w:color="auto"/>
      </w:divBdr>
    </w:div>
    <w:div w:id="1041396635">
      <w:bodyDiv w:val="1"/>
      <w:marLeft w:val="0"/>
      <w:marRight w:val="0"/>
      <w:marTop w:val="0"/>
      <w:marBottom w:val="0"/>
      <w:divBdr>
        <w:top w:val="none" w:sz="0" w:space="0" w:color="auto"/>
        <w:left w:val="none" w:sz="0" w:space="0" w:color="auto"/>
        <w:bottom w:val="none" w:sz="0" w:space="0" w:color="auto"/>
        <w:right w:val="none" w:sz="0" w:space="0" w:color="auto"/>
      </w:divBdr>
    </w:div>
    <w:div w:id="1054351977">
      <w:bodyDiv w:val="1"/>
      <w:marLeft w:val="0"/>
      <w:marRight w:val="0"/>
      <w:marTop w:val="0"/>
      <w:marBottom w:val="0"/>
      <w:divBdr>
        <w:top w:val="none" w:sz="0" w:space="0" w:color="auto"/>
        <w:left w:val="none" w:sz="0" w:space="0" w:color="auto"/>
        <w:bottom w:val="none" w:sz="0" w:space="0" w:color="auto"/>
        <w:right w:val="none" w:sz="0" w:space="0" w:color="auto"/>
      </w:divBdr>
    </w:div>
    <w:div w:id="1064377322">
      <w:bodyDiv w:val="1"/>
      <w:marLeft w:val="0"/>
      <w:marRight w:val="0"/>
      <w:marTop w:val="0"/>
      <w:marBottom w:val="0"/>
      <w:divBdr>
        <w:top w:val="none" w:sz="0" w:space="0" w:color="auto"/>
        <w:left w:val="none" w:sz="0" w:space="0" w:color="auto"/>
        <w:bottom w:val="none" w:sz="0" w:space="0" w:color="auto"/>
        <w:right w:val="none" w:sz="0" w:space="0" w:color="auto"/>
      </w:divBdr>
    </w:div>
    <w:div w:id="1081416486">
      <w:bodyDiv w:val="1"/>
      <w:marLeft w:val="0"/>
      <w:marRight w:val="0"/>
      <w:marTop w:val="0"/>
      <w:marBottom w:val="0"/>
      <w:divBdr>
        <w:top w:val="none" w:sz="0" w:space="0" w:color="auto"/>
        <w:left w:val="none" w:sz="0" w:space="0" w:color="auto"/>
        <w:bottom w:val="none" w:sz="0" w:space="0" w:color="auto"/>
        <w:right w:val="none" w:sz="0" w:space="0" w:color="auto"/>
      </w:divBdr>
      <w:divsChild>
        <w:div w:id="902522355">
          <w:marLeft w:val="0"/>
          <w:marRight w:val="0"/>
          <w:marTop w:val="0"/>
          <w:marBottom w:val="0"/>
          <w:divBdr>
            <w:top w:val="single" w:sz="6" w:space="30" w:color="C9C9C9"/>
            <w:left w:val="single" w:sz="6" w:space="30" w:color="C9C9C9"/>
            <w:bottom w:val="single" w:sz="6" w:space="30" w:color="C9C9C9"/>
            <w:right w:val="single" w:sz="6" w:space="30" w:color="C9C9C9"/>
          </w:divBdr>
          <w:divsChild>
            <w:div w:id="1803185488">
              <w:marLeft w:val="0"/>
              <w:marRight w:val="0"/>
              <w:marTop w:val="0"/>
              <w:marBottom w:val="0"/>
              <w:divBdr>
                <w:top w:val="none" w:sz="0" w:space="0" w:color="auto"/>
                <w:left w:val="none" w:sz="0" w:space="0" w:color="auto"/>
                <w:bottom w:val="none" w:sz="0" w:space="0" w:color="auto"/>
                <w:right w:val="none" w:sz="0" w:space="0" w:color="auto"/>
              </w:divBdr>
              <w:divsChild>
                <w:div w:id="1738673062">
                  <w:marLeft w:val="0"/>
                  <w:marRight w:val="0"/>
                  <w:marTop w:val="0"/>
                  <w:marBottom w:val="0"/>
                  <w:divBdr>
                    <w:top w:val="none" w:sz="0" w:space="0" w:color="auto"/>
                    <w:left w:val="none" w:sz="0" w:space="0" w:color="auto"/>
                    <w:bottom w:val="none" w:sz="0" w:space="0" w:color="auto"/>
                    <w:right w:val="none" w:sz="0" w:space="0" w:color="auto"/>
                  </w:divBdr>
                  <w:divsChild>
                    <w:div w:id="625043906">
                      <w:marLeft w:val="0"/>
                      <w:marRight w:val="0"/>
                      <w:marTop w:val="0"/>
                      <w:marBottom w:val="0"/>
                      <w:divBdr>
                        <w:top w:val="none" w:sz="0" w:space="0" w:color="auto"/>
                        <w:left w:val="none" w:sz="0" w:space="0" w:color="auto"/>
                        <w:bottom w:val="none" w:sz="0" w:space="0" w:color="auto"/>
                        <w:right w:val="none" w:sz="0" w:space="0" w:color="auto"/>
                      </w:divBdr>
                      <w:divsChild>
                        <w:div w:id="1731422870">
                          <w:marLeft w:val="0"/>
                          <w:marRight w:val="0"/>
                          <w:marTop w:val="0"/>
                          <w:marBottom w:val="0"/>
                          <w:divBdr>
                            <w:top w:val="none" w:sz="0" w:space="0" w:color="auto"/>
                            <w:left w:val="none" w:sz="0" w:space="0" w:color="auto"/>
                            <w:bottom w:val="none" w:sz="0" w:space="0" w:color="auto"/>
                            <w:right w:val="none" w:sz="0" w:space="0" w:color="auto"/>
                          </w:divBdr>
                          <w:divsChild>
                            <w:div w:id="1212840641">
                              <w:marLeft w:val="0"/>
                              <w:marRight w:val="0"/>
                              <w:marTop w:val="0"/>
                              <w:marBottom w:val="0"/>
                              <w:divBdr>
                                <w:top w:val="none" w:sz="0" w:space="0" w:color="auto"/>
                                <w:left w:val="none" w:sz="0" w:space="0" w:color="auto"/>
                                <w:bottom w:val="none" w:sz="0" w:space="0" w:color="auto"/>
                                <w:right w:val="none" w:sz="0" w:space="0" w:color="auto"/>
                              </w:divBdr>
                              <w:divsChild>
                                <w:div w:id="340819875">
                                  <w:marLeft w:val="0"/>
                                  <w:marRight w:val="0"/>
                                  <w:marTop w:val="0"/>
                                  <w:marBottom w:val="0"/>
                                  <w:divBdr>
                                    <w:top w:val="none" w:sz="0" w:space="0" w:color="auto"/>
                                    <w:left w:val="none" w:sz="0" w:space="0" w:color="auto"/>
                                    <w:bottom w:val="none" w:sz="0" w:space="0" w:color="auto"/>
                                    <w:right w:val="none" w:sz="0" w:space="0" w:color="auto"/>
                                  </w:divBdr>
                                  <w:divsChild>
                                    <w:div w:id="466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283056">
      <w:bodyDiv w:val="1"/>
      <w:marLeft w:val="0"/>
      <w:marRight w:val="0"/>
      <w:marTop w:val="0"/>
      <w:marBottom w:val="0"/>
      <w:divBdr>
        <w:top w:val="none" w:sz="0" w:space="0" w:color="auto"/>
        <w:left w:val="none" w:sz="0" w:space="0" w:color="auto"/>
        <w:bottom w:val="none" w:sz="0" w:space="0" w:color="auto"/>
        <w:right w:val="none" w:sz="0" w:space="0" w:color="auto"/>
      </w:divBdr>
    </w:div>
    <w:div w:id="1143498166">
      <w:bodyDiv w:val="1"/>
      <w:marLeft w:val="0"/>
      <w:marRight w:val="0"/>
      <w:marTop w:val="0"/>
      <w:marBottom w:val="0"/>
      <w:divBdr>
        <w:top w:val="none" w:sz="0" w:space="0" w:color="auto"/>
        <w:left w:val="none" w:sz="0" w:space="0" w:color="auto"/>
        <w:bottom w:val="none" w:sz="0" w:space="0" w:color="auto"/>
        <w:right w:val="none" w:sz="0" w:space="0" w:color="auto"/>
      </w:divBdr>
    </w:div>
    <w:div w:id="1145583915">
      <w:bodyDiv w:val="1"/>
      <w:marLeft w:val="0"/>
      <w:marRight w:val="0"/>
      <w:marTop w:val="0"/>
      <w:marBottom w:val="0"/>
      <w:divBdr>
        <w:top w:val="none" w:sz="0" w:space="0" w:color="auto"/>
        <w:left w:val="none" w:sz="0" w:space="0" w:color="auto"/>
        <w:bottom w:val="none" w:sz="0" w:space="0" w:color="auto"/>
        <w:right w:val="none" w:sz="0" w:space="0" w:color="auto"/>
      </w:divBdr>
    </w:div>
    <w:div w:id="1158496671">
      <w:bodyDiv w:val="1"/>
      <w:marLeft w:val="0"/>
      <w:marRight w:val="0"/>
      <w:marTop w:val="0"/>
      <w:marBottom w:val="0"/>
      <w:divBdr>
        <w:top w:val="none" w:sz="0" w:space="0" w:color="auto"/>
        <w:left w:val="none" w:sz="0" w:space="0" w:color="auto"/>
        <w:bottom w:val="none" w:sz="0" w:space="0" w:color="auto"/>
        <w:right w:val="none" w:sz="0" w:space="0" w:color="auto"/>
      </w:divBdr>
    </w:div>
    <w:div w:id="1159269942">
      <w:bodyDiv w:val="1"/>
      <w:marLeft w:val="0"/>
      <w:marRight w:val="0"/>
      <w:marTop w:val="0"/>
      <w:marBottom w:val="0"/>
      <w:divBdr>
        <w:top w:val="none" w:sz="0" w:space="0" w:color="auto"/>
        <w:left w:val="none" w:sz="0" w:space="0" w:color="auto"/>
        <w:bottom w:val="none" w:sz="0" w:space="0" w:color="auto"/>
        <w:right w:val="none" w:sz="0" w:space="0" w:color="auto"/>
      </w:divBdr>
    </w:div>
    <w:div w:id="1184395069">
      <w:bodyDiv w:val="1"/>
      <w:marLeft w:val="0"/>
      <w:marRight w:val="0"/>
      <w:marTop w:val="0"/>
      <w:marBottom w:val="0"/>
      <w:divBdr>
        <w:top w:val="none" w:sz="0" w:space="0" w:color="auto"/>
        <w:left w:val="none" w:sz="0" w:space="0" w:color="auto"/>
        <w:bottom w:val="none" w:sz="0" w:space="0" w:color="auto"/>
        <w:right w:val="none" w:sz="0" w:space="0" w:color="auto"/>
      </w:divBdr>
    </w:div>
    <w:div w:id="1190795993">
      <w:bodyDiv w:val="1"/>
      <w:marLeft w:val="0"/>
      <w:marRight w:val="0"/>
      <w:marTop w:val="0"/>
      <w:marBottom w:val="0"/>
      <w:divBdr>
        <w:top w:val="none" w:sz="0" w:space="0" w:color="auto"/>
        <w:left w:val="none" w:sz="0" w:space="0" w:color="auto"/>
        <w:bottom w:val="none" w:sz="0" w:space="0" w:color="auto"/>
        <w:right w:val="none" w:sz="0" w:space="0" w:color="auto"/>
      </w:divBdr>
    </w:div>
    <w:div w:id="1191457253">
      <w:bodyDiv w:val="1"/>
      <w:marLeft w:val="0"/>
      <w:marRight w:val="0"/>
      <w:marTop w:val="0"/>
      <w:marBottom w:val="0"/>
      <w:divBdr>
        <w:top w:val="none" w:sz="0" w:space="0" w:color="auto"/>
        <w:left w:val="none" w:sz="0" w:space="0" w:color="auto"/>
        <w:bottom w:val="none" w:sz="0" w:space="0" w:color="auto"/>
        <w:right w:val="none" w:sz="0" w:space="0" w:color="auto"/>
      </w:divBdr>
    </w:div>
    <w:div w:id="1216546756">
      <w:bodyDiv w:val="1"/>
      <w:marLeft w:val="0"/>
      <w:marRight w:val="0"/>
      <w:marTop w:val="0"/>
      <w:marBottom w:val="0"/>
      <w:divBdr>
        <w:top w:val="none" w:sz="0" w:space="0" w:color="auto"/>
        <w:left w:val="none" w:sz="0" w:space="0" w:color="auto"/>
        <w:bottom w:val="none" w:sz="0" w:space="0" w:color="auto"/>
        <w:right w:val="none" w:sz="0" w:space="0" w:color="auto"/>
      </w:divBdr>
    </w:div>
    <w:div w:id="1222137782">
      <w:bodyDiv w:val="1"/>
      <w:marLeft w:val="0"/>
      <w:marRight w:val="0"/>
      <w:marTop w:val="0"/>
      <w:marBottom w:val="0"/>
      <w:divBdr>
        <w:top w:val="none" w:sz="0" w:space="0" w:color="auto"/>
        <w:left w:val="none" w:sz="0" w:space="0" w:color="auto"/>
        <w:bottom w:val="none" w:sz="0" w:space="0" w:color="auto"/>
        <w:right w:val="none" w:sz="0" w:space="0" w:color="auto"/>
      </w:divBdr>
    </w:div>
    <w:div w:id="1236430971">
      <w:bodyDiv w:val="1"/>
      <w:marLeft w:val="0"/>
      <w:marRight w:val="0"/>
      <w:marTop w:val="0"/>
      <w:marBottom w:val="0"/>
      <w:divBdr>
        <w:top w:val="none" w:sz="0" w:space="0" w:color="auto"/>
        <w:left w:val="none" w:sz="0" w:space="0" w:color="auto"/>
        <w:bottom w:val="none" w:sz="0" w:space="0" w:color="auto"/>
        <w:right w:val="none" w:sz="0" w:space="0" w:color="auto"/>
      </w:divBdr>
    </w:div>
    <w:div w:id="1246695233">
      <w:bodyDiv w:val="1"/>
      <w:marLeft w:val="0"/>
      <w:marRight w:val="0"/>
      <w:marTop w:val="0"/>
      <w:marBottom w:val="0"/>
      <w:divBdr>
        <w:top w:val="none" w:sz="0" w:space="0" w:color="auto"/>
        <w:left w:val="none" w:sz="0" w:space="0" w:color="auto"/>
        <w:bottom w:val="none" w:sz="0" w:space="0" w:color="auto"/>
        <w:right w:val="none" w:sz="0" w:space="0" w:color="auto"/>
      </w:divBdr>
    </w:div>
    <w:div w:id="1263535528">
      <w:bodyDiv w:val="1"/>
      <w:marLeft w:val="0"/>
      <w:marRight w:val="0"/>
      <w:marTop w:val="0"/>
      <w:marBottom w:val="0"/>
      <w:divBdr>
        <w:top w:val="none" w:sz="0" w:space="0" w:color="auto"/>
        <w:left w:val="none" w:sz="0" w:space="0" w:color="auto"/>
        <w:bottom w:val="none" w:sz="0" w:space="0" w:color="auto"/>
        <w:right w:val="none" w:sz="0" w:space="0" w:color="auto"/>
      </w:divBdr>
    </w:div>
    <w:div w:id="1270624283">
      <w:bodyDiv w:val="1"/>
      <w:marLeft w:val="0"/>
      <w:marRight w:val="0"/>
      <w:marTop w:val="0"/>
      <w:marBottom w:val="0"/>
      <w:divBdr>
        <w:top w:val="none" w:sz="0" w:space="0" w:color="auto"/>
        <w:left w:val="none" w:sz="0" w:space="0" w:color="auto"/>
        <w:bottom w:val="none" w:sz="0" w:space="0" w:color="auto"/>
        <w:right w:val="none" w:sz="0" w:space="0" w:color="auto"/>
      </w:divBdr>
    </w:div>
    <w:div w:id="1297301915">
      <w:bodyDiv w:val="1"/>
      <w:marLeft w:val="0"/>
      <w:marRight w:val="0"/>
      <w:marTop w:val="0"/>
      <w:marBottom w:val="0"/>
      <w:divBdr>
        <w:top w:val="none" w:sz="0" w:space="0" w:color="auto"/>
        <w:left w:val="none" w:sz="0" w:space="0" w:color="auto"/>
        <w:bottom w:val="none" w:sz="0" w:space="0" w:color="auto"/>
        <w:right w:val="none" w:sz="0" w:space="0" w:color="auto"/>
      </w:divBdr>
    </w:div>
    <w:div w:id="1321544338">
      <w:bodyDiv w:val="1"/>
      <w:marLeft w:val="0"/>
      <w:marRight w:val="0"/>
      <w:marTop w:val="0"/>
      <w:marBottom w:val="0"/>
      <w:divBdr>
        <w:top w:val="none" w:sz="0" w:space="0" w:color="auto"/>
        <w:left w:val="none" w:sz="0" w:space="0" w:color="auto"/>
        <w:bottom w:val="none" w:sz="0" w:space="0" w:color="auto"/>
        <w:right w:val="none" w:sz="0" w:space="0" w:color="auto"/>
      </w:divBdr>
    </w:div>
    <w:div w:id="1322274335">
      <w:bodyDiv w:val="1"/>
      <w:marLeft w:val="0"/>
      <w:marRight w:val="0"/>
      <w:marTop w:val="0"/>
      <w:marBottom w:val="0"/>
      <w:divBdr>
        <w:top w:val="none" w:sz="0" w:space="0" w:color="auto"/>
        <w:left w:val="none" w:sz="0" w:space="0" w:color="auto"/>
        <w:bottom w:val="none" w:sz="0" w:space="0" w:color="auto"/>
        <w:right w:val="none" w:sz="0" w:space="0" w:color="auto"/>
      </w:divBdr>
    </w:div>
    <w:div w:id="1343432098">
      <w:bodyDiv w:val="1"/>
      <w:marLeft w:val="0"/>
      <w:marRight w:val="0"/>
      <w:marTop w:val="0"/>
      <w:marBottom w:val="0"/>
      <w:divBdr>
        <w:top w:val="none" w:sz="0" w:space="0" w:color="auto"/>
        <w:left w:val="none" w:sz="0" w:space="0" w:color="auto"/>
        <w:bottom w:val="none" w:sz="0" w:space="0" w:color="auto"/>
        <w:right w:val="none" w:sz="0" w:space="0" w:color="auto"/>
      </w:divBdr>
    </w:div>
    <w:div w:id="1344817696">
      <w:bodyDiv w:val="1"/>
      <w:marLeft w:val="0"/>
      <w:marRight w:val="0"/>
      <w:marTop w:val="0"/>
      <w:marBottom w:val="0"/>
      <w:divBdr>
        <w:top w:val="none" w:sz="0" w:space="0" w:color="auto"/>
        <w:left w:val="none" w:sz="0" w:space="0" w:color="auto"/>
        <w:bottom w:val="none" w:sz="0" w:space="0" w:color="auto"/>
        <w:right w:val="none" w:sz="0" w:space="0" w:color="auto"/>
      </w:divBdr>
    </w:div>
    <w:div w:id="1356731250">
      <w:bodyDiv w:val="1"/>
      <w:marLeft w:val="0"/>
      <w:marRight w:val="0"/>
      <w:marTop w:val="0"/>
      <w:marBottom w:val="0"/>
      <w:divBdr>
        <w:top w:val="none" w:sz="0" w:space="0" w:color="auto"/>
        <w:left w:val="none" w:sz="0" w:space="0" w:color="auto"/>
        <w:bottom w:val="none" w:sz="0" w:space="0" w:color="auto"/>
        <w:right w:val="none" w:sz="0" w:space="0" w:color="auto"/>
      </w:divBdr>
    </w:div>
    <w:div w:id="1363019467">
      <w:bodyDiv w:val="1"/>
      <w:marLeft w:val="0"/>
      <w:marRight w:val="0"/>
      <w:marTop w:val="0"/>
      <w:marBottom w:val="0"/>
      <w:divBdr>
        <w:top w:val="none" w:sz="0" w:space="0" w:color="auto"/>
        <w:left w:val="none" w:sz="0" w:space="0" w:color="auto"/>
        <w:bottom w:val="none" w:sz="0" w:space="0" w:color="auto"/>
        <w:right w:val="none" w:sz="0" w:space="0" w:color="auto"/>
      </w:divBdr>
    </w:div>
    <w:div w:id="1367097266">
      <w:bodyDiv w:val="1"/>
      <w:marLeft w:val="0"/>
      <w:marRight w:val="0"/>
      <w:marTop w:val="0"/>
      <w:marBottom w:val="0"/>
      <w:divBdr>
        <w:top w:val="none" w:sz="0" w:space="0" w:color="auto"/>
        <w:left w:val="none" w:sz="0" w:space="0" w:color="auto"/>
        <w:bottom w:val="none" w:sz="0" w:space="0" w:color="auto"/>
        <w:right w:val="none" w:sz="0" w:space="0" w:color="auto"/>
      </w:divBdr>
    </w:div>
    <w:div w:id="1369261025">
      <w:bodyDiv w:val="1"/>
      <w:marLeft w:val="0"/>
      <w:marRight w:val="0"/>
      <w:marTop w:val="0"/>
      <w:marBottom w:val="0"/>
      <w:divBdr>
        <w:top w:val="none" w:sz="0" w:space="0" w:color="auto"/>
        <w:left w:val="none" w:sz="0" w:space="0" w:color="auto"/>
        <w:bottom w:val="none" w:sz="0" w:space="0" w:color="auto"/>
        <w:right w:val="none" w:sz="0" w:space="0" w:color="auto"/>
      </w:divBdr>
    </w:div>
    <w:div w:id="1375543036">
      <w:bodyDiv w:val="1"/>
      <w:marLeft w:val="0"/>
      <w:marRight w:val="0"/>
      <w:marTop w:val="0"/>
      <w:marBottom w:val="0"/>
      <w:divBdr>
        <w:top w:val="none" w:sz="0" w:space="0" w:color="auto"/>
        <w:left w:val="none" w:sz="0" w:space="0" w:color="auto"/>
        <w:bottom w:val="none" w:sz="0" w:space="0" w:color="auto"/>
        <w:right w:val="none" w:sz="0" w:space="0" w:color="auto"/>
      </w:divBdr>
    </w:div>
    <w:div w:id="1376737002">
      <w:bodyDiv w:val="1"/>
      <w:marLeft w:val="0"/>
      <w:marRight w:val="0"/>
      <w:marTop w:val="0"/>
      <w:marBottom w:val="0"/>
      <w:divBdr>
        <w:top w:val="none" w:sz="0" w:space="0" w:color="auto"/>
        <w:left w:val="none" w:sz="0" w:space="0" w:color="auto"/>
        <w:bottom w:val="none" w:sz="0" w:space="0" w:color="auto"/>
        <w:right w:val="none" w:sz="0" w:space="0" w:color="auto"/>
      </w:divBdr>
    </w:div>
    <w:div w:id="1394618363">
      <w:bodyDiv w:val="1"/>
      <w:marLeft w:val="0"/>
      <w:marRight w:val="0"/>
      <w:marTop w:val="0"/>
      <w:marBottom w:val="0"/>
      <w:divBdr>
        <w:top w:val="none" w:sz="0" w:space="0" w:color="auto"/>
        <w:left w:val="none" w:sz="0" w:space="0" w:color="auto"/>
        <w:bottom w:val="none" w:sz="0" w:space="0" w:color="auto"/>
        <w:right w:val="none" w:sz="0" w:space="0" w:color="auto"/>
      </w:divBdr>
    </w:div>
    <w:div w:id="1408068418">
      <w:bodyDiv w:val="1"/>
      <w:marLeft w:val="0"/>
      <w:marRight w:val="0"/>
      <w:marTop w:val="0"/>
      <w:marBottom w:val="0"/>
      <w:divBdr>
        <w:top w:val="none" w:sz="0" w:space="0" w:color="auto"/>
        <w:left w:val="none" w:sz="0" w:space="0" w:color="auto"/>
        <w:bottom w:val="none" w:sz="0" w:space="0" w:color="auto"/>
        <w:right w:val="none" w:sz="0" w:space="0" w:color="auto"/>
      </w:divBdr>
    </w:div>
    <w:div w:id="1422335563">
      <w:bodyDiv w:val="1"/>
      <w:marLeft w:val="0"/>
      <w:marRight w:val="0"/>
      <w:marTop w:val="0"/>
      <w:marBottom w:val="0"/>
      <w:divBdr>
        <w:top w:val="none" w:sz="0" w:space="0" w:color="auto"/>
        <w:left w:val="none" w:sz="0" w:space="0" w:color="auto"/>
        <w:bottom w:val="none" w:sz="0" w:space="0" w:color="auto"/>
        <w:right w:val="none" w:sz="0" w:space="0" w:color="auto"/>
      </w:divBdr>
    </w:div>
    <w:div w:id="1441291977">
      <w:bodyDiv w:val="1"/>
      <w:marLeft w:val="0"/>
      <w:marRight w:val="0"/>
      <w:marTop w:val="0"/>
      <w:marBottom w:val="0"/>
      <w:divBdr>
        <w:top w:val="none" w:sz="0" w:space="0" w:color="auto"/>
        <w:left w:val="none" w:sz="0" w:space="0" w:color="auto"/>
        <w:bottom w:val="none" w:sz="0" w:space="0" w:color="auto"/>
        <w:right w:val="none" w:sz="0" w:space="0" w:color="auto"/>
      </w:divBdr>
    </w:div>
    <w:div w:id="1452744659">
      <w:bodyDiv w:val="1"/>
      <w:marLeft w:val="0"/>
      <w:marRight w:val="0"/>
      <w:marTop w:val="0"/>
      <w:marBottom w:val="0"/>
      <w:divBdr>
        <w:top w:val="none" w:sz="0" w:space="0" w:color="auto"/>
        <w:left w:val="none" w:sz="0" w:space="0" w:color="auto"/>
        <w:bottom w:val="none" w:sz="0" w:space="0" w:color="auto"/>
        <w:right w:val="none" w:sz="0" w:space="0" w:color="auto"/>
      </w:divBdr>
    </w:div>
    <w:div w:id="1479879102">
      <w:bodyDiv w:val="1"/>
      <w:marLeft w:val="0"/>
      <w:marRight w:val="0"/>
      <w:marTop w:val="0"/>
      <w:marBottom w:val="0"/>
      <w:divBdr>
        <w:top w:val="none" w:sz="0" w:space="0" w:color="auto"/>
        <w:left w:val="none" w:sz="0" w:space="0" w:color="auto"/>
        <w:bottom w:val="none" w:sz="0" w:space="0" w:color="auto"/>
        <w:right w:val="none" w:sz="0" w:space="0" w:color="auto"/>
      </w:divBdr>
      <w:divsChild>
        <w:div w:id="202983701">
          <w:marLeft w:val="0"/>
          <w:marRight w:val="0"/>
          <w:marTop w:val="0"/>
          <w:marBottom w:val="0"/>
          <w:divBdr>
            <w:top w:val="none" w:sz="0" w:space="0" w:color="auto"/>
            <w:left w:val="none" w:sz="0" w:space="0" w:color="auto"/>
            <w:bottom w:val="none" w:sz="0" w:space="0" w:color="auto"/>
            <w:right w:val="none" w:sz="0" w:space="0" w:color="auto"/>
          </w:divBdr>
          <w:divsChild>
            <w:div w:id="1176648478">
              <w:marLeft w:val="0"/>
              <w:marRight w:val="0"/>
              <w:marTop w:val="0"/>
              <w:marBottom w:val="0"/>
              <w:divBdr>
                <w:top w:val="none" w:sz="0" w:space="0" w:color="auto"/>
                <w:left w:val="none" w:sz="0" w:space="0" w:color="auto"/>
                <w:bottom w:val="none" w:sz="0" w:space="0" w:color="auto"/>
                <w:right w:val="none" w:sz="0" w:space="0" w:color="auto"/>
              </w:divBdr>
              <w:divsChild>
                <w:div w:id="221330491">
                  <w:marLeft w:val="0"/>
                  <w:marRight w:val="0"/>
                  <w:marTop w:val="0"/>
                  <w:marBottom w:val="0"/>
                  <w:divBdr>
                    <w:top w:val="none" w:sz="0" w:space="0" w:color="auto"/>
                    <w:left w:val="none" w:sz="0" w:space="0" w:color="auto"/>
                    <w:bottom w:val="none" w:sz="0" w:space="0" w:color="auto"/>
                    <w:right w:val="none" w:sz="0" w:space="0" w:color="auto"/>
                  </w:divBdr>
                  <w:divsChild>
                    <w:div w:id="2295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26137">
      <w:bodyDiv w:val="1"/>
      <w:marLeft w:val="0"/>
      <w:marRight w:val="0"/>
      <w:marTop w:val="0"/>
      <w:marBottom w:val="0"/>
      <w:divBdr>
        <w:top w:val="none" w:sz="0" w:space="0" w:color="auto"/>
        <w:left w:val="none" w:sz="0" w:space="0" w:color="auto"/>
        <w:bottom w:val="none" w:sz="0" w:space="0" w:color="auto"/>
        <w:right w:val="none" w:sz="0" w:space="0" w:color="auto"/>
      </w:divBdr>
    </w:div>
    <w:div w:id="1487547171">
      <w:bodyDiv w:val="1"/>
      <w:marLeft w:val="0"/>
      <w:marRight w:val="0"/>
      <w:marTop w:val="0"/>
      <w:marBottom w:val="0"/>
      <w:divBdr>
        <w:top w:val="none" w:sz="0" w:space="0" w:color="auto"/>
        <w:left w:val="none" w:sz="0" w:space="0" w:color="auto"/>
        <w:bottom w:val="none" w:sz="0" w:space="0" w:color="auto"/>
        <w:right w:val="none" w:sz="0" w:space="0" w:color="auto"/>
      </w:divBdr>
    </w:div>
    <w:div w:id="1491368521">
      <w:bodyDiv w:val="1"/>
      <w:marLeft w:val="0"/>
      <w:marRight w:val="0"/>
      <w:marTop w:val="0"/>
      <w:marBottom w:val="0"/>
      <w:divBdr>
        <w:top w:val="none" w:sz="0" w:space="0" w:color="auto"/>
        <w:left w:val="none" w:sz="0" w:space="0" w:color="auto"/>
        <w:bottom w:val="none" w:sz="0" w:space="0" w:color="auto"/>
        <w:right w:val="none" w:sz="0" w:space="0" w:color="auto"/>
      </w:divBdr>
    </w:div>
    <w:div w:id="1493371404">
      <w:bodyDiv w:val="1"/>
      <w:marLeft w:val="0"/>
      <w:marRight w:val="0"/>
      <w:marTop w:val="0"/>
      <w:marBottom w:val="0"/>
      <w:divBdr>
        <w:top w:val="none" w:sz="0" w:space="0" w:color="auto"/>
        <w:left w:val="none" w:sz="0" w:space="0" w:color="auto"/>
        <w:bottom w:val="none" w:sz="0" w:space="0" w:color="auto"/>
        <w:right w:val="none" w:sz="0" w:space="0" w:color="auto"/>
      </w:divBdr>
    </w:div>
    <w:div w:id="1512795679">
      <w:bodyDiv w:val="1"/>
      <w:marLeft w:val="0"/>
      <w:marRight w:val="0"/>
      <w:marTop w:val="0"/>
      <w:marBottom w:val="0"/>
      <w:divBdr>
        <w:top w:val="none" w:sz="0" w:space="0" w:color="auto"/>
        <w:left w:val="none" w:sz="0" w:space="0" w:color="auto"/>
        <w:bottom w:val="none" w:sz="0" w:space="0" w:color="auto"/>
        <w:right w:val="none" w:sz="0" w:space="0" w:color="auto"/>
      </w:divBdr>
    </w:div>
    <w:div w:id="1550149240">
      <w:bodyDiv w:val="1"/>
      <w:marLeft w:val="0"/>
      <w:marRight w:val="0"/>
      <w:marTop w:val="0"/>
      <w:marBottom w:val="0"/>
      <w:divBdr>
        <w:top w:val="none" w:sz="0" w:space="0" w:color="auto"/>
        <w:left w:val="none" w:sz="0" w:space="0" w:color="auto"/>
        <w:bottom w:val="none" w:sz="0" w:space="0" w:color="auto"/>
        <w:right w:val="none" w:sz="0" w:space="0" w:color="auto"/>
      </w:divBdr>
    </w:div>
    <w:div w:id="1564297211">
      <w:bodyDiv w:val="1"/>
      <w:marLeft w:val="0"/>
      <w:marRight w:val="0"/>
      <w:marTop w:val="0"/>
      <w:marBottom w:val="0"/>
      <w:divBdr>
        <w:top w:val="none" w:sz="0" w:space="0" w:color="auto"/>
        <w:left w:val="none" w:sz="0" w:space="0" w:color="auto"/>
        <w:bottom w:val="none" w:sz="0" w:space="0" w:color="auto"/>
        <w:right w:val="none" w:sz="0" w:space="0" w:color="auto"/>
      </w:divBdr>
    </w:div>
    <w:div w:id="1566992942">
      <w:bodyDiv w:val="1"/>
      <w:marLeft w:val="0"/>
      <w:marRight w:val="0"/>
      <w:marTop w:val="0"/>
      <w:marBottom w:val="0"/>
      <w:divBdr>
        <w:top w:val="none" w:sz="0" w:space="0" w:color="auto"/>
        <w:left w:val="none" w:sz="0" w:space="0" w:color="auto"/>
        <w:bottom w:val="none" w:sz="0" w:space="0" w:color="auto"/>
        <w:right w:val="none" w:sz="0" w:space="0" w:color="auto"/>
      </w:divBdr>
    </w:div>
    <w:div w:id="1582524506">
      <w:bodyDiv w:val="1"/>
      <w:marLeft w:val="0"/>
      <w:marRight w:val="0"/>
      <w:marTop w:val="0"/>
      <w:marBottom w:val="0"/>
      <w:divBdr>
        <w:top w:val="none" w:sz="0" w:space="0" w:color="auto"/>
        <w:left w:val="none" w:sz="0" w:space="0" w:color="auto"/>
        <w:bottom w:val="none" w:sz="0" w:space="0" w:color="auto"/>
        <w:right w:val="none" w:sz="0" w:space="0" w:color="auto"/>
      </w:divBdr>
    </w:div>
    <w:div w:id="1590503645">
      <w:bodyDiv w:val="1"/>
      <w:marLeft w:val="0"/>
      <w:marRight w:val="0"/>
      <w:marTop w:val="0"/>
      <w:marBottom w:val="0"/>
      <w:divBdr>
        <w:top w:val="none" w:sz="0" w:space="0" w:color="auto"/>
        <w:left w:val="none" w:sz="0" w:space="0" w:color="auto"/>
        <w:bottom w:val="none" w:sz="0" w:space="0" w:color="auto"/>
        <w:right w:val="none" w:sz="0" w:space="0" w:color="auto"/>
      </w:divBdr>
    </w:div>
    <w:div w:id="1598052857">
      <w:bodyDiv w:val="1"/>
      <w:marLeft w:val="0"/>
      <w:marRight w:val="0"/>
      <w:marTop w:val="0"/>
      <w:marBottom w:val="0"/>
      <w:divBdr>
        <w:top w:val="none" w:sz="0" w:space="0" w:color="auto"/>
        <w:left w:val="none" w:sz="0" w:space="0" w:color="auto"/>
        <w:bottom w:val="none" w:sz="0" w:space="0" w:color="auto"/>
        <w:right w:val="none" w:sz="0" w:space="0" w:color="auto"/>
      </w:divBdr>
    </w:div>
    <w:div w:id="1622572331">
      <w:bodyDiv w:val="1"/>
      <w:marLeft w:val="0"/>
      <w:marRight w:val="0"/>
      <w:marTop w:val="0"/>
      <w:marBottom w:val="0"/>
      <w:divBdr>
        <w:top w:val="none" w:sz="0" w:space="0" w:color="auto"/>
        <w:left w:val="none" w:sz="0" w:space="0" w:color="auto"/>
        <w:bottom w:val="none" w:sz="0" w:space="0" w:color="auto"/>
        <w:right w:val="none" w:sz="0" w:space="0" w:color="auto"/>
      </w:divBdr>
    </w:div>
    <w:div w:id="1625846737">
      <w:bodyDiv w:val="1"/>
      <w:marLeft w:val="0"/>
      <w:marRight w:val="0"/>
      <w:marTop w:val="0"/>
      <w:marBottom w:val="0"/>
      <w:divBdr>
        <w:top w:val="none" w:sz="0" w:space="0" w:color="auto"/>
        <w:left w:val="none" w:sz="0" w:space="0" w:color="auto"/>
        <w:bottom w:val="none" w:sz="0" w:space="0" w:color="auto"/>
        <w:right w:val="none" w:sz="0" w:space="0" w:color="auto"/>
      </w:divBdr>
      <w:divsChild>
        <w:div w:id="1309362310">
          <w:marLeft w:val="0"/>
          <w:marRight w:val="0"/>
          <w:marTop w:val="0"/>
          <w:marBottom w:val="0"/>
          <w:divBdr>
            <w:top w:val="none" w:sz="0" w:space="0" w:color="auto"/>
            <w:left w:val="none" w:sz="0" w:space="0" w:color="auto"/>
            <w:bottom w:val="none" w:sz="0" w:space="0" w:color="auto"/>
            <w:right w:val="none" w:sz="0" w:space="0" w:color="auto"/>
          </w:divBdr>
          <w:divsChild>
            <w:div w:id="1990212784">
              <w:marLeft w:val="0"/>
              <w:marRight w:val="0"/>
              <w:marTop w:val="0"/>
              <w:marBottom w:val="0"/>
              <w:divBdr>
                <w:top w:val="none" w:sz="0" w:space="0" w:color="auto"/>
                <w:left w:val="none" w:sz="0" w:space="0" w:color="auto"/>
                <w:bottom w:val="none" w:sz="0" w:space="0" w:color="auto"/>
                <w:right w:val="none" w:sz="0" w:space="0" w:color="auto"/>
              </w:divBdr>
              <w:divsChild>
                <w:div w:id="973750616">
                  <w:marLeft w:val="0"/>
                  <w:marRight w:val="0"/>
                  <w:marTop w:val="0"/>
                  <w:marBottom w:val="0"/>
                  <w:divBdr>
                    <w:top w:val="none" w:sz="0" w:space="0" w:color="auto"/>
                    <w:left w:val="none" w:sz="0" w:space="0" w:color="auto"/>
                    <w:bottom w:val="none" w:sz="0" w:space="0" w:color="auto"/>
                    <w:right w:val="none" w:sz="0" w:space="0" w:color="auto"/>
                  </w:divBdr>
                  <w:divsChild>
                    <w:div w:id="1223173971">
                      <w:marLeft w:val="0"/>
                      <w:marRight w:val="0"/>
                      <w:marTop w:val="0"/>
                      <w:marBottom w:val="0"/>
                      <w:divBdr>
                        <w:top w:val="none" w:sz="0" w:space="0" w:color="auto"/>
                        <w:left w:val="none" w:sz="0" w:space="0" w:color="auto"/>
                        <w:bottom w:val="none" w:sz="0" w:space="0" w:color="auto"/>
                        <w:right w:val="none" w:sz="0" w:space="0" w:color="auto"/>
                      </w:divBdr>
                      <w:divsChild>
                        <w:div w:id="635991474">
                          <w:marLeft w:val="0"/>
                          <w:marRight w:val="0"/>
                          <w:marTop w:val="0"/>
                          <w:marBottom w:val="0"/>
                          <w:divBdr>
                            <w:top w:val="none" w:sz="0" w:space="0" w:color="auto"/>
                            <w:left w:val="none" w:sz="0" w:space="0" w:color="auto"/>
                            <w:bottom w:val="none" w:sz="0" w:space="0" w:color="auto"/>
                            <w:right w:val="none" w:sz="0" w:space="0" w:color="auto"/>
                          </w:divBdr>
                          <w:divsChild>
                            <w:div w:id="717051054">
                              <w:marLeft w:val="0"/>
                              <w:marRight w:val="0"/>
                              <w:marTop w:val="0"/>
                              <w:marBottom w:val="0"/>
                              <w:divBdr>
                                <w:top w:val="none" w:sz="0" w:space="0" w:color="auto"/>
                                <w:left w:val="none" w:sz="0" w:space="0" w:color="auto"/>
                                <w:bottom w:val="none" w:sz="0" w:space="0" w:color="auto"/>
                                <w:right w:val="none" w:sz="0" w:space="0" w:color="auto"/>
                              </w:divBdr>
                              <w:divsChild>
                                <w:div w:id="1013846442">
                                  <w:marLeft w:val="0"/>
                                  <w:marRight w:val="0"/>
                                  <w:marTop w:val="0"/>
                                  <w:marBottom w:val="0"/>
                                  <w:divBdr>
                                    <w:top w:val="none" w:sz="0" w:space="0" w:color="auto"/>
                                    <w:left w:val="none" w:sz="0" w:space="0" w:color="auto"/>
                                    <w:bottom w:val="none" w:sz="0" w:space="0" w:color="auto"/>
                                    <w:right w:val="none" w:sz="0" w:space="0" w:color="auto"/>
                                  </w:divBdr>
                                  <w:divsChild>
                                    <w:div w:id="2099056713">
                                      <w:marLeft w:val="0"/>
                                      <w:marRight w:val="0"/>
                                      <w:marTop w:val="0"/>
                                      <w:marBottom w:val="0"/>
                                      <w:divBdr>
                                        <w:top w:val="none" w:sz="0" w:space="0" w:color="auto"/>
                                        <w:left w:val="none" w:sz="0" w:space="0" w:color="auto"/>
                                        <w:bottom w:val="none" w:sz="0" w:space="0" w:color="auto"/>
                                        <w:right w:val="none" w:sz="0" w:space="0" w:color="auto"/>
                                      </w:divBdr>
                                      <w:divsChild>
                                        <w:div w:id="1076706742">
                                          <w:marLeft w:val="0"/>
                                          <w:marRight w:val="0"/>
                                          <w:marTop w:val="0"/>
                                          <w:marBottom w:val="0"/>
                                          <w:divBdr>
                                            <w:top w:val="none" w:sz="0" w:space="0" w:color="auto"/>
                                            <w:left w:val="none" w:sz="0" w:space="0" w:color="auto"/>
                                            <w:bottom w:val="none" w:sz="0" w:space="0" w:color="auto"/>
                                            <w:right w:val="none" w:sz="0" w:space="0" w:color="auto"/>
                                          </w:divBdr>
                                          <w:divsChild>
                                            <w:div w:id="1392073876">
                                              <w:marLeft w:val="0"/>
                                              <w:marRight w:val="0"/>
                                              <w:marTop w:val="0"/>
                                              <w:marBottom w:val="0"/>
                                              <w:divBdr>
                                                <w:top w:val="none" w:sz="0" w:space="0" w:color="auto"/>
                                                <w:left w:val="none" w:sz="0" w:space="0" w:color="auto"/>
                                                <w:bottom w:val="none" w:sz="0" w:space="0" w:color="auto"/>
                                                <w:right w:val="none" w:sz="0" w:space="0" w:color="auto"/>
                                              </w:divBdr>
                                              <w:divsChild>
                                                <w:div w:id="1165970403">
                                                  <w:marLeft w:val="0"/>
                                                  <w:marRight w:val="0"/>
                                                  <w:marTop w:val="0"/>
                                                  <w:marBottom w:val="0"/>
                                                  <w:divBdr>
                                                    <w:top w:val="none" w:sz="0" w:space="0" w:color="auto"/>
                                                    <w:left w:val="none" w:sz="0" w:space="0" w:color="auto"/>
                                                    <w:bottom w:val="none" w:sz="0" w:space="0" w:color="auto"/>
                                                    <w:right w:val="none" w:sz="0" w:space="0" w:color="auto"/>
                                                  </w:divBdr>
                                                  <w:divsChild>
                                                    <w:div w:id="1175420321">
                                                      <w:marLeft w:val="0"/>
                                                      <w:marRight w:val="0"/>
                                                      <w:marTop w:val="0"/>
                                                      <w:marBottom w:val="0"/>
                                                      <w:divBdr>
                                                        <w:top w:val="none" w:sz="0" w:space="0" w:color="auto"/>
                                                        <w:left w:val="none" w:sz="0" w:space="0" w:color="auto"/>
                                                        <w:bottom w:val="none" w:sz="0" w:space="0" w:color="auto"/>
                                                        <w:right w:val="none" w:sz="0" w:space="0" w:color="auto"/>
                                                      </w:divBdr>
                                                      <w:divsChild>
                                                        <w:div w:id="1207716661">
                                                          <w:marLeft w:val="0"/>
                                                          <w:marRight w:val="0"/>
                                                          <w:marTop w:val="0"/>
                                                          <w:marBottom w:val="0"/>
                                                          <w:divBdr>
                                                            <w:top w:val="none" w:sz="0" w:space="0" w:color="auto"/>
                                                            <w:left w:val="none" w:sz="0" w:space="0" w:color="auto"/>
                                                            <w:bottom w:val="none" w:sz="0" w:space="0" w:color="auto"/>
                                                            <w:right w:val="none" w:sz="0" w:space="0" w:color="auto"/>
                                                          </w:divBdr>
                                                          <w:divsChild>
                                                            <w:div w:id="18961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6812718">
      <w:bodyDiv w:val="1"/>
      <w:marLeft w:val="0"/>
      <w:marRight w:val="0"/>
      <w:marTop w:val="0"/>
      <w:marBottom w:val="0"/>
      <w:divBdr>
        <w:top w:val="none" w:sz="0" w:space="0" w:color="auto"/>
        <w:left w:val="none" w:sz="0" w:space="0" w:color="auto"/>
        <w:bottom w:val="none" w:sz="0" w:space="0" w:color="auto"/>
        <w:right w:val="none" w:sz="0" w:space="0" w:color="auto"/>
      </w:divBdr>
    </w:div>
    <w:div w:id="1634171594">
      <w:bodyDiv w:val="1"/>
      <w:marLeft w:val="0"/>
      <w:marRight w:val="0"/>
      <w:marTop w:val="0"/>
      <w:marBottom w:val="0"/>
      <w:divBdr>
        <w:top w:val="none" w:sz="0" w:space="0" w:color="auto"/>
        <w:left w:val="none" w:sz="0" w:space="0" w:color="auto"/>
        <w:bottom w:val="none" w:sz="0" w:space="0" w:color="auto"/>
        <w:right w:val="none" w:sz="0" w:space="0" w:color="auto"/>
      </w:divBdr>
    </w:div>
    <w:div w:id="1679114612">
      <w:bodyDiv w:val="1"/>
      <w:marLeft w:val="0"/>
      <w:marRight w:val="0"/>
      <w:marTop w:val="0"/>
      <w:marBottom w:val="0"/>
      <w:divBdr>
        <w:top w:val="none" w:sz="0" w:space="0" w:color="auto"/>
        <w:left w:val="none" w:sz="0" w:space="0" w:color="auto"/>
        <w:bottom w:val="none" w:sz="0" w:space="0" w:color="auto"/>
        <w:right w:val="none" w:sz="0" w:space="0" w:color="auto"/>
      </w:divBdr>
    </w:div>
    <w:div w:id="1696734807">
      <w:bodyDiv w:val="1"/>
      <w:marLeft w:val="0"/>
      <w:marRight w:val="0"/>
      <w:marTop w:val="0"/>
      <w:marBottom w:val="0"/>
      <w:divBdr>
        <w:top w:val="none" w:sz="0" w:space="0" w:color="auto"/>
        <w:left w:val="none" w:sz="0" w:space="0" w:color="auto"/>
        <w:bottom w:val="none" w:sz="0" w:space="0" w:color="auto"/>
        <w:right w:val="none" w:sz="0" w:space="0" w:color="auto"/>
      </w:divBdr>
    </w:div>
    <w:div w:id="1705011675">
      <w:bodyDiv w:val="1"/>
      <w:marLeft w:val="0"/>
      <w:marRight w:val="0"/>
      <w:marTop w:val="0"/>
      <w:marBottom w:val="0"/>
      <w:divBdr>
        <w:top w:val="none" w:sz="0" w:space="0" w:color="auto"/>
        <w:left w:val="none" w:sz="0" w:space="0" w:color="auto"/>
        <w:bottom w:val="none" w:sz="0" w:space="0" w:color="auto"/>
        <w:right w:val="none" w:sz="0" w:space="0" w:color="auto"/>
      </w:divBdr>
    </w:div>
    <w:div w:id="1706248453">
      <w:bodyDiv w:val="1"/>
      <w:marLeft w:val="0"/>
      <w:marRight w:val="0"/>
      <w:marTop w:val="0"/>
      <w:marBottom w:val="0"/>
      <w:divBdr>
        <w:top w:val="none" w:sz="0" w:space="0" w:color="auto"/>
        <w:left w:val="none" w:sz="0" w:space="0" w:color="auto"/>
        <w:bottom w:val="none" w:sz="0" w:space="0" w:color="auto"/>
        <w:right w:val="none" w:sz="0" w:space="0" w:color="auto"/>
      </w:divBdr>
    </w:div>
    <w:div w:id="1725251204">
      <w:bodyDiv w:val="1"/>
      <w:marLeft w:val="0"/>
      <w:marRight w:val="0"/>
      <w:marTop w:val="0"/>
      <w:marBottom w:val="0"/>
      <w:divBdr>
        <w:top w:val="none" w:sz="0" w:space="0" w:color="auto"/>
        <w:left w:val="none" w:sz="0" w:space="0" w:color="auto"/>
        <w:bottom w:val="none" w:sz="0" w:space="0" w:color="auto"/>
        <w:right w:val="none" w:sz="0" w:space="0" w:color="auto"/>
      </w:divBdr>
    </w:div>
    <w:div w:id="1731690138">
      <w:bodyDiv w:val="1"/>
      <w:marLeft w:val="0"/>
      <w:marRight w:val="0"/>
      <w:marTop w:val="0"/>
      <w:marBottom w:val="0"/>
      <w:divBdr>
        <w:top w:val="none" w:sz="0" w:space="0" w:color="auto"/>
        <w:left w:val="none" w:sz="0" w:space="0" w:color="auto"/>
        <w:bottom w:val="none" w:sz="0" w:space="0" w:color="auto"/>
        <w:right w:val="none" w:sz="0" w:space="0" w:color="auto"/>
      </w:divBdr>
    </w:div>
    <w:div w:id="1790472836">
      <w:bodyDiv w:val="1"/>
      <w:marLeft w:val="0"/>
      <w:marRight w:val="0"/>
      <w:marTop w:val="0"/>
      <w:marBottom w:val="0"/>
      <w:divBdr>
        <w:top w:val="none" w:sz="0" w:space="0" w:color="auto"/>
        <w:left w:val="none" w:sz="0" w:space="0" w:color="auto"/>
        <w:bottom w:val="none" w:sz="0" w:space="0" w:color="auto"/>
        <w:right w:val="none" w:sz="0" w:space="0" w:color="auto"/>
      </w:divBdr>
      <w:divsChild>
        <w:div w:id="1944652073">
          <w:marLeft w:val="0"/>
          <w:marRight w:val="0"/>
          <w:marTop w:val="0"/>
          <w:marBottom w:val="0"/>
          <w:divBdr>
            <w:top w:val="single" w:sz="6" w:space="30" w:color="C9C9C9"/>
            <w:left w:val="single" w:sz="6" w:space="30" w:color="C9C9C9"/>
            <w:bottom w:val="single" w:sz="6" w:space="30" w:color="C9C9C9"/>
            <w:right w:val="single" w:sz="6" w:space="30" w:color="C9C9C9"/>
          </w:divBdr>
          <w:divsChild>
            <w:div w:id="1361317341">
              <w:marLeft w:val="0"/>
              <w:marRight w:val="0"/>
              <w:marTop w:val="0"/>
              <w:marBottom w:val="0"/>
              <w:divBdr>
                <w:top w:val="none" w:sz="0" w:space="0" w:color="auto"/>
                <w:left w:val="none" w:sz="0" w:space="0" w:color="auto"/>
                <w:bottom w:val="none" w:sz="0" w:space="0" w:color="auto"/>
                <w:right w:val="none" w:sz="0" w:space="0" w:color="auto"/>
              </w:divBdr>
              <w:divsChild>
                <w:div w:id="1922179313">
                  <w:marLeft w:val="0"/>
                  <w:marRight w:val="0"/>
                  <w:marTop w:val="0"/>
                  <w:marBottom w:val="0"/>
                  <w:divBdr>
                    <w:top w:val="none" w:sz="0" w:space="0" w:color="auto"/>
                    <w:left w:val="none" w:sz="0" w:space="0" w:color="auto"/>
                    <w:bottom w:val="none" w:sz="0" w:space="0" w:color="auto"/>
                    <w:right w:val="none" w:sz="0" w:space="0" w:color="auto"/>
                  </w:divBdr>
                  <w:divsChild>
                    <w:div w:id="892622947">
                      <w:marLeft w:val="0"/>
                      <w:marRight w:val="0"/>
                      <w:marTop w:val="0"/>
                      <w:marBottom w:val="0"/>
                      <w:divBdr>
                        <w:top w:val="none" w:sz="0" w:space="0" w:color="auto"/>
                        <w:left w:val="none" w:sz="0" w:space="0" w:color="auto"/>
                        <w:bottom w:val="none" w:sz="0" w:space="0" w:color="auto"/>
                        <w:right w:val="none" w:sz="0" w:space="0" w:color="auto"/>
                      </w:divBdr>
                      <w:divsChild>
                        <w:div w:id="1748376182">
                          <w:marLeft w:val="0"/>
                          <w:marRight w:val="0"/>
                          <w:marTop w:val="0"/>
                          <w:marBottom w:val="0"/>
                          <w:divBdr>
                            <w:top w:val="none" w:sz="0" w:space="0" w:color="auto"/>
                            <w:left w:val="none" w:sz="0" w:space="0" w:color="auto"/>
                            <w:bottom w:val="none" w:sz="0" w:space="0" w:color="auto"/>
                            <w:right w:val="none" w:sz="0" w:space="0" w:color="auto"/>
                          </w:divBdr>
                          <w:divsChild>
                            <w:div w:id="199978538">
                              <w:marLeft w:val="0"/>
                              <w:marRight w:val="0"/>
                              <w:marTop w:val="0"/>
                              <w:marBottom w:val="0"/>
                              <w:divBdr>
                                <w:top w:val="none" w:sz="0" w:space="0" w:color="auto"/>
                                <w:left w:val="none" w:sz="0" w:space="0" w:color="auto"/>
                                <w:bottom w:val="none" w:sz="0" w:space="0" w:color="auto"/>
                                <w:right w:val="none" w:sz="0" w:space="0" w:color="auto"/>
                              </w:divBdr>
                              <w:divsChild>
                                <w:div w:id="1958676481">
                                  <w:marLeft w:val="0"/>
                                  <w:marRight w:val="0"/>
                                  <w:marTop w:val="0"/>
                                  <w:marBottom w:val="0"/>
                                  <w:divBdr>
                                    <w:top w:val="none" w:sz="0" w:space="0" w:color="auto"/>
                                    <w:left w:val="none" w:sz="0" w:space="0" w:color="auto"/>
                                    <w:bottom w:val="none" w:sz="0" w:space="0" w:color="auto"/>
                                    <w:right w:val="none" w:sz="0" w:space="0" w:color="auto"/>
                                  </w:divBdr>
                                  <w:divsChild>
                                    <w:div w:id="10227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00248">
      <w:bodyDiv w:val="1"/>
      <w:marLeft w:val="0"/>
      <w:marRight w:val="0"/>
      <w:marTop w:val="0"/>
      <w:marBottom w:val="0"/>
      <w:divBdr>
        <w:top w:val="none" w:sz="0" w:space="0" w:color="auto"/>
        <w:left w:val="none" w:sz="0" w:space="0" w:color="auto"/>
        <w:bottom w:val="none" w:sz="0" w:space="0" w:color="auto"/>
        <w:right w:val="none" w:sz="0" w:space="0" w:color="auto"/>
      </w:divBdr>
    </w:div>
    <w:div w:id="1811049294">
      <w:bodyDiv w:val="1"/>
      <w:marLeft w:val="0"/>
      <w:marRight w:val="0"/>
      <w:marTop w:val="0"/>
      <w:marBottom w:val="0"/>
      <w:divBdr>
        <w:top w:val="none" w:sz="0" w:space="0" w:color="auto"/>
        <w:left w:val="none" w:sz="0" w:space="0" w:color="auto"/>
        <w:bottom w:val="none" w:sz="0" w:space="0" w:color="auto"/>
        <w:right w:val="none" w:sz="0" w:space="0" w:color="auto"/>
      </w:divBdr>
      <w:divsChild>
        <w:div w:id="723136511">
          <w:marLeft w:val="0"/>
          <w:marRight w:val="0"/>
          <w:marTop w:val="0"/>
          <w:marBottom w:val="0"/>
          <w:divBdr>
            <w:top w:val="none" w:sz="0" w:space="0" w:color="auto"/>
            <w:left w:val="none" w:sz="0" w:space="0" w:color="auto"/>
            <w:bottom w:val="none" w:sz="0" w:space="0" w:color="auto"/>
            <w:right w:val="none" w:sz="0" w:space="0" w:color="auto"/>
          </w:divBdr>
          <w:divsChild>
            <w:div w:id="321087506">
              <w:marLeft w:val="0"/>
              <w:marRight w:val="0"/>
              <w:marTop w:val="0"/>
              <w:marBottom w:val="0"/>
              <w:divBdr>
                <w:top w:val="none" w:sz="0" w:space="0" w:color="auto"/>
                <w:left w:val="none" w:sz="0" w:space="0" w:color="auto"/>
                <w:bottom w:val="none" w:sz="0" w:space="0" w:color="auto"/>
                <w:right w:val="none" w:sz="0" w:space="0" w:color="auto"/>
              </w:divBdr>
              <w:divsChild>
                <w:div w:id="516652044">
                  <w:marLeft w:val="0"/>
                  <w:marRight w:val="0"/>
                  <w:marTop w:val="0"/>
                  <w:marBottom w:val="0"/>
                  <w:divBdr>
                    <w:top w:val="none" w:sz="0" w:space="0" w:color="auto"/>
                    <w:left w:val="none" w:sz="0" w:space="0" w:color="auto"/>
                    <w:bottom w:val="none" w:sz="0" w:space="0" w:color="auto"/>
                    <w:right w:val="none" w:sz="0" w:space="0" w:color="auto"/>
                  </w:divBdr>
                  <w:divsChild>
                    <w:div w:id="9555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6359">
      <w:bodyDiv w:val="1"/>
      <w:marLeft w:val="0"/>
      <w:marRight w:val="0"/>
      <w:marTop w:val="0"/>
      <w:marBottom w:val="0"/>
      <w:divBdr>
        <w:top w:val="none" w:sz="0" w:space="0" w:color="auto"/>
        <w:left w:val="none" w:sz="0" w:space="0" w:color="auto"/>
        <w:bottom w:val="none" w:sz="0" w:space="0" w:color="auto"/>
        <w:right w:val="none" w:sz="0" w:space="0" w:color="auto"/>
      </w:divBdr>
    </w:div>
    <w:div w:id="1822774724">
      <w:bodyDiv w:val="1"/>
      <w:marLeft w:val="0"/>
      <w:marRight w:val="0"/>
      <w:marTop w:val="0"/>
      <w:marBottom w:val="0"/>
      <w:divBdr>
        <w:top w:val="none" w:sz="0" w:space="0" w:color="auto"/>
        <w:left w:val="none" w:sz="0" w:space="0" w:color="auto"/>
        <w:bottom w:val="none" w:sz="0" w:space="0" w:color="auto"/>
        <w:right w:val="none" w:sz="0" w:space="0" w:color="auto"/>
      </w:divBdr>
      <w:divsChild>
        <w:div w:id="2040859948">
          <w:marLeft w:val="0"/>
          <w:marRight w:val="0"/>
          <w:marTop w:val="0"/>
          <w:marBottom w:val="0"/>
          <w:divBdr>
            <w:top w:val="none" w:sz="0" w:space="0" w:color="auto"/>
            <w:left w:val="none" w:sz="0" w:space="0" w:color="auto"/>
            <w:bottom w:val="none" w:sz="0" w:space="0" w:color="auto"/>
            <w:right w:val="none" w:sz="0" w:space="0" w:color="auto"/>
          </w:divBdr>
          <w:divsChild>
            <w:div w:id="563876738">
              <w:marLeft w:val="0"/>
              <w:marRight w:val="0"/>
              <w:marTop w:val="0"/>
              <w:marBottom w:val="0"/>
              <w:divBdr>
                <w:top w:val="none" w:sz="0" w:space="0" w:color="auto"/>
                <w:left w:val="none" w:sz="0" w:space="0" w:color="auto"/>
                <w:bottom w:val="none" w:sz="0" w:space="0" w:color="auto"/>
                <w:right w:val="none" w:sz="0" w:space="0" w:color="auto"/>
              </w:divBdr>
              <w:divsChild>
                <w:div w:id="1041128899">
                  <w:marLeft w:val="0"/>
                  <w:marRight w:val="0"/>
                  <w:marTop w:val="0"/>
                  <w:marBottom w:val="0"/>
                  <w:divBdr>
                    <w:top w:val="none" w:sz="0" w:space="0" w:color="auto"/>
                    <w:left w:val="none" w:sz="0" w:space="0" w:color="auto"/>
                    <w:bottom w:val="none" w:sz="0" w:space="0" w:color="auto"/>
                    <w:right w:val="none" w:sz="0" w:space="0" w:color="auto"/>
                  </w:divBdr>
                  <w:divsChild>
                    <w:div w:id="762458140">
                      <w:marLeft w:val="0"/>
                      <w:marRight w:val="0"/>
                      <w:marTop w:val="0"/>
                      <w:marBottom w:val="0"/>
                      <w:divBdr>
                        <w:top w:val="none" w:sz="0" w:space="0" w:color="auto"/>
                        <w:left w:val="none" w:sz="0" w:space="0" w:color="auto"/>
                        <w:bottom w:val="none" w:sz="0" w:space="0" w:color="auto"/>
                        <w:right w:val="none" w:sz="0" w:space="0" w:color="auto"/>
                      </w:divBdr>
                      <w:divsChild>
                        <w:div w:id="713383750">
                          <w:marLeft w:val="0"/>
                          <w:marRight w:val="0"/>
                          <w:marTop w:val="0"/>
                          <w:marBottom w:val="0"/>
                          <w:divBdr>
                            <w:top w:val="none" w:sz="0" w:space="0" w:color="auto"/>
                            <w:left w:val="none" w:sz="0" w:space="0" w:color="auto"/>
                            <w:bottom w:val="none" w:sz="0" w:space="0" w:color="auto"/>
                            <w:right w:val="none" w:sz="0" w:space="0" w:color="auto"/>
                          </w:divBdr>
                          <w:divsChild>
                            <w:div w:id="135539239">
                              <w:marLeft w:val="0"/>
                              <w:marRight w:val="0"/>
                              <w:marTop w:val="0"/>
                              <w:marBottom w:val="0"/>
                              <w:divBdr>
                                <w:top w:val="none" w:sz="0" w:space="0" w:color="auto"/>
                                <w:left w:val="none" w:sz="0" w:space="0" w:color="auto"/>
                                <w:bottom w:val="none" w:sz="0" w:space="0" w:color="auto"/>
                                <w:right w:val="none" w:sz="0" w:space="0" w:color="auto"/>
                              </w:divBdr>
                              <w:divsChild>
                                <w:div w:id="1549293044">
                                  <w:marLeft w:val="0"/>
                                  <w:marRight w:val="0"/>
                                  <w:marTop w:val="0"/>
                                  <w:marBottom w:val="0"/>
                                  <w:divBdr>
                                    <w:top w:val="none" w:sz="0" w:space="0" w:color="auto"/>
                                    <w:left w:val="none" w:sz="0" w:space="0" w:color="auto"/>
                                    <w:bottom w:val="none" w:sz="0" w:space="0" w:color="auto"/>
                                    <w:right w:val="none" w:sz="0" w:space="0" w:color="auto"/>
                                  </w:divBdr>
                                  <w:divsChild>
                                    <w:div w:id="78989926">
                                      <w:marLeft w:val="0"/>
                                      <w:marRight w:val="0"/>
                                      <w:marTop w:val="0"/>
                                      <w:marBottom w:val="0"/>
                                      <w:divBdr>
                                        <w:top w:val="none" w:sz="0" w:space="0" w:color="auto"/>
                                        <w:left w:val="none" w:sz="0" w:space="0" w:color="auto"/>
                                        <w:bottom w:val="none" w:sz="0" w:space="0" w:color="auto"/>
                                        <w:right w:val="none" w:sz="0" w:space="0" w:color="auto"/>
                                      </w:divBdr>
                                      <w:divsChild>
                                        <w:div w:id="1423723385">
                                          <w:marLeft w:val="0"/>
                                          <w:marRight w:val="0"/>
                                          <w:marTop w:val="0"/>
                                          <w:marBottom w:val="0"/>
                                          <w:divBdr>
                                            <w:top w:val="none" w:sz="0" w:space="0" w:color="auto"/>
                                            <w:left w:val="none" w:sz="0" w:space="0" w:color="auto"/>
                                            <w:bottom w:val="none" w:sz="0" w:space="0" w:color="auto"/>
                                            <w:right w:val="none" w:sz="0" w:space="0" w:color="auto"/>
                                          </w:divBdr>
                                          <w:divsChild>
                                            <w:div w:id="201484704">
                                              <w:marLeft w:val="0"/>
                                              <w:marRight w:val="0"/>
                                              <w:marTop w:val="0"/>
                                              <w:marBottom w:val="0"/>
                                              <w:divBdr>
                                                <w:top w:val="none" w:sz="0" w:space="0" w:color="auto"/>
                                                <w:left w:val="none" w:sz="0" w:space="0" w:color="auto"/>
                                                <w:bottom w:val="none" w:sz="0" w:space="0" w:color="auto"/>
                                                <w:right w:val="none" w:sz="0" w:space="0" w:color="auto"/>
                                              </w:divBdr>
                                              <w:divsChild>
                                                <w:div w:id="1936475955">
                                                  <w:marLeft w:val="0"/>
                                                  <w:marRight w:val="0"/>
                                                  <w:marTop w:val="0"/>
                                                  <w:marBottom w:val="0"/>
                                                  <w:divBdr>
                                                    <w:top w:val="none" w:sz="0" w:space="0" w:color="auto"/>
                                                    <w:left w:val="none" w:sz="0" w:space="0" w:color="auto"/>
                                                    <w:bottom w:val="none" w:sz="0" w:space="0" w:color="auto"/>
                                                    <w:right w:val="none" w:sz="0" w:space="0" w:color="auto"/>
                                                  </w:divBdr>
                                                  <w:divsChild>
                                                    <w:div w:id="1930500885">
                                                      <w:marLeft w:val="0"/>
                                                      <w:marRight w:val="0"/>
                                                      <w:marTop w:val="0"/>
                                                      <w:marBottom w:val="0"/>
                                                      <w:divBdr>
                                                        <w:top w:val="none" w:sz="0" w:space="0" w:color="auto"/>
                                                        <w:left w:val="none" w:sz="0" w:space="0" w:color="auto"/>
                                                        <w:bottom w:val="none" w:sz="0" w:space="0" w:color="auto"/>
                                                        <w:right w:val="none" w:sz="0" w:space="0" w:color="auto"/>
                                                      </w:divBdr>
                                                      <w:divsChild>
                                                        <w:div w:id="1847472735">
                                                          <w:marLeft w:val="0"/>
                                                          <w:marRight w:val="0"/>
                                                          <w:marTop w:val="0"/>
                                                          <w:marBottom w:val="0"/>
                                                          <w:divBdr>
                                                            <w:top w:val="none" w:sz="0" w:space="0" w:color="auto"/>
                                                            <w:left w:val="none" w:sz="0" w:space="0" w:color="auto"/>
                                                            <w:bottom w:val="none" w:sz="0" w:space="0" w:color="auto"/>
                                                            <w:right w:val="none" w:sz="0" w:space="0" w:color="auto"/>
                                                          </w:divBdr>
                                                          <w:divsChild>
                                                            <w:div w:id="11914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6262058">
      <w:bodyDiv w:val="1"/>
      <w:marLeft w:val="0"/>
      <w:marRight w:val="0"/>
      <w:marTop w:val="0"/>
      <w:marBottom w:val="0"/>
      <w:divBdr>
        <w:top w:val="none" w:sz="0" w:space="0" w:color="auto"/>
        <w:left w:val="none" w:sz="0" w:space="0" w:color="auto"/>
        <w:bottom w:val="none" w:sz="0" w:space="0" w:color="auto"/>
        <w:right w:val="none" w:sz="0" w:space="0" w:color="auto"/>
      </w:divBdr>
    </w:div>
    <w:div w:id="1878540360">
      <w:bodyDiv w:val="1"/>
      <w:marLeft w:val="0"/>
      <w:marRight w:val="0"/>
      <w:marTop w:val="0"/>
      <w:marBottom w:val="0"/>
      <w:divBdr>
        <w:top w:val="none" w:sz="0" w:space="0" w:color="auto"/>
        <w:left w:val="none" w:sz="0" w:space="0" w:color="auto"/>
        <w:bottom w:val="none" w:sz="0" w:space="0" w:color="auto"/>
        <w:right w:val="none" w:sz="0" w:space="0" w:color="auto"/>
      </w:divBdr>
    </w:div>
    <w:div w:id="1885631598">
      <w:bodyDiv w:val="1"/>
      <w:marLeft w:val="0"/>
      <w:marRight w:val="0"/>
      <w:marTop w:val="0"/>
      <w:marBottom w:val="0"/>
      <w:divBdr>
        <w:top w:val="none" w:sz="0" w:space="0" w:color="auto"/>
        <w:left w:val="none" w:sz="0" w:space="0" w:color="auto"/>
        <w:bottom w:val="none" w:sz="0" w:space="0" w:color="auto"/>
        <w:right w:val="none" w:sz="0" w:space="0" w:color="auto"/>
      </w:divBdr>
    </w:div>
    <w:div w:id="1928610355">
      <w:bodyDiv w:val="1"/>
      <w:marLeft w:val="0"/>
      <w:marRight w:val="0"/>
      <w:marTop w:val="0"/>
      <w:marBottom w:val="0"/>
      <w:divBdr>
        <w:top w:val="none" w:sz="0" w:space="0" w:color="auto"/>
        <w:left w:val="none" w:sz="0" w:space="0" w:color="auto"/>
        <w:bottom w:val="none" w:sz="0" w:space="0" w:color="auto"/>
        <w:right w:val="none" w:sz="0" w:space="0" w:color="auto"/>
      </w:divBdr>
    </w:div>
    <w:div w:id="1960145445">
      <w:bodyDiv w:val="1"/>
      <w:marLeft w:val="0"/>
      <w:marRight w:val="0"/>
      <w:marTop w:val="0"/>
      <w:marBottom w:val="0"/>
      <w:divBdr>
        <w:top w:val="none" w:sz="0" w:space="0" w:color="auto"/>
        <w:left w:val="none" w:sz="0" w:space="0" w:color="auto"/>
        <w:bottom w:val="none" w:sz="0" w:space="0" w:color="auto"/>
        <w:right w:val="none" w:sz="0" w:space="0" w:color="auto"/>
      </w:divBdr>
    </w:div>
    <w:div w:id="1978142617">
      <w:bodyDiv w:val="1"/>
      <w:marLeft w:val="0"/>
      <w:marRight w:val="0"/>
      <w:marTop w:val="0"/>
      <w:marBottom w:val="0"/>
      <w:divBdr>
        <w:top w:val="none" w:sz="0" w:space="0" w:color="auto"/>
        <w:left w:val="none" w:sz="0" w:space="0" w:color="auto"/>
        <w:bottom w:val="none" w:sz="0" w:space="0" w:color="auto"/>
        <w:right w:val="none" w:sz="0" w:space="0" w:color="auto"/>
      </w:divBdr>
    </w:div>
    <w:div w:id="1982690995">
      <w:bodyDiv w:val="1"/>
      <w:marLeft w:val="0"/>
      <w:marRight w:val="0"/>
      <w:marTop w:val="0"/>
      <w:marBottom w:val="0"/>
      <w:divBdr>
        <w:top w:val="none" w:sz="0" w:space="0" w:color="auto"/>
        <w:left w:val="none" w:sz="0" w:space="0" w:color="auto"/>
        <w:bottom w:val="none" w:sz="0" w:space="0" w:color="auto"/>
        <w:right w:val="none" w:sz="0" w:space="0" w:color="auto"/>
      </w:divBdr>
    </w:div>
    <w:div w:id="1983002048">
      <w:bodyDiv w:val="1"/>
      <w:marLeft w:val="0"/>
      <w:marRight w:val="0"/>
      <w:marTop w:val="0"/>
      <w:marBottom w:val="0"/>
      <w:divBdr>
        <w:top w:val="none" w:sz="0" w:space="0" w:color="auto"/>
        <w:left w:val="none" w:sz="0" w:space="0" w:color="auto"/>
        <w:bottom w:val="none" w:sz="0" w:space="0" w:color="auto"/>
        <w:right w:val="none" w:sz="0" w:space="0" w:color="auto"/>
      </w:divBdr>
    </w:div>
    <w:div w:id="1993486702">
      <w:bodyDiv w:val="1"/>
      <w:marLeft w:val="0"/>
      <w:marRight w:val="0"/>
      <w:marTop w:val="0"/>
      <w:marBottom w:val="0"/>
      <w:divBdr>
        <w:top w:val="none" w:sz="0" w:space="0" w:color="auto"/>
        <w:left w:val="none" w:sz="0" w:space="0" w:color="auto"/>
        <w:bottom w:val="none" w:sz="0" w:space="0" w:color="auto"/>
        <w:right w:val="none" w:sz="0" w:space="0" w:color="auto"/>
      </w:divBdr>
    </w:div>
    <w:div w:id="2007662290">
      <w:bodyDiv w:val="1"/>
      <w:marLeft w:val="0"/>
      <w:marRight w:val="0"/>
      <w:marTop w:val="0"/>
      <w:marBottom w:val="0"/>
      <w:divBdr>
        <w:top w:val="none" w:sz="0" w:space="0" w:color="auto"/>
        <w:left w:val="none" w:sz="0" w:space="0" w:color="auto"/>
        <w:bottom w:val="none" w:sz="0" w:space="0" w:color="auto"/>
        <w:right w:val="none" w:sz="0" w:space="0" w:color="auto"/>
      </w:divBdr>
    </w:div>
    <w:div w:id="2010523867">
      <w:bodyDiv w:val="1"/>
      <w:marLeft w:val="0"/>
      <w:marRight w:val="0"/>
      <w:marTop w:val="0"/>
      <w:marBottom w:val="0"/>
      <w:divBdr>
        <w:top w:val="none" w:sz="0" w:space="0" w:color="auto"/>
        <w:left w:val="none" w:sz="0" w:space="0" w:color="auto"/>
        <w:bottom w:val="none" w:sz="0" w:space="0" w:color="auto"/>
        <w:right w:val="none" w:sz="0" w:space="0" w:color="auto"/>
      </w:divBdr>
    </w:div>
    <w:div w:id="2034987542">
      <w:bodyDiv w:val="1"/>
      <w:marLeft w:val="0"/>
      <w:marRight w:val="0"/>
      <w:marTop w:val="0"/>
      <w:marBottom w:val="0"/>
      <w:divBdr>
        <w:top w:val="none" w:sz="0" w:space="0" w:color="auto"/>
        <w:left w:val="none" w:sz="0" w:space="0" w:color="auto"/>
        <w:bottom w:val="none" w:sz="0" w:space="0" w:color="auto"/>
        <w:right w:val="none" w:sz="0" w:space="0" w:color="auto"/>
      </w:divBdr>
      <w:divsChild>
        <w:div w:id="1023290678">
          <w:marLeft w:val="0"/>
          <w:marRight w:val="0"/>
          <w:marTop w:val="0"/>
          <w:marBottom w:val="0"/>
          <w:divBdr>
            <w:top w:val="single" w:sz="6" w:space="30" w:color="C9C9C9"/>
            <w:left w:val="single" w:sz="6" w:space="30" w:color="C9C9C9"/>
            <w:bottom w:val="single" w:sz="6" w:space="30" w:color="C9C9C9"/>
            <w:right w:val="single" w:sz="6" w:space="30" w:color="C9C9C9"/>
          </w:divBdr>
          <w:divsChild>
            <w:div w:id="352923286">
              <w:marLeft w:val="0"/>
              <w:marRight w:val="0"/>
              <w:marTop w:val="0"/>
              <w:marBottom w:val="0"/>
              <w:divBdr>
                <w:top w:val="none" w:sz="0" w:space="0" w:color="auto"/>
                <w:left w:val="none" w:sz="0" w:space="0" w:color="auto"/>
                <w:bottom w:val="none" w:sz="0" w:space="0" w:color="auto"/>
                <w:right w:val="none" w:sz="0" w:space="0" w:color="auto"/>
              </w:divBdr>
              <w:divsChild>
                <w:div w:id="1928541645">
                  <w:marLeft w:val="0"/>
                  <w:marRight w:val="0"/>
                  <w:marTop w:val="0"/>
                  <w:marBottom w:val="0"/>
                  <w:divBdr>
                    <w:top w:val="none" w:sz="0" w:space="0" w:color="auto"/>
                    <w:left w:val="none" w:sz="0" w:space="0" w:color="auto"/>
                    <w:bottom w:val="none" w:sz="0" w:space="0" w:color="auto"/>
                    <w:right w:val="none" w:sz="0" w:space="0" w:color="auto"/>
                  </w:divBdr>
                  <w:divsChild>
                    <w:div w:id="1577125981">
                      <w:marLeft w:val="0"/>
                      <w:marRight w:val="0"/>
                      <w:marTop w:val="0"/>
                      <w:marBottom w:val="0"/>
                      <w:divBdr>
                        <w:top w:val="none" w:sz="0" w:space="0" w:color="auto"/>
                        <w:left w:val="none" w:sz="0" w:space="0" w:color="auto"/>
                        <w:bottom w:val="none" w:sz="0" w:space="0" w:color="auto"/>
                        <w:right w:val="none" w:sz="0" w:space="0" w:color="auto"/>
                      </w:divBdr>
                      <w:divsChild>
                        <w:div w:id="1321032556">
                          <w:marLeft w:val="0"/>
                          <w:marRight w:val="0"/>
                          <w:marTop w:val="0"/>
                          <w:marBottom w:val="0"/>
                          <w:divBdr>
                            <w:top w:val="none" w:sz="0" w:space="0" w:color="auto"/>
                            <w:left w:val="none" w:sz="0" w:space="0" w:color="auto"/>
                            <w:bottom w:val="none" w:sz="0" w:space="0" w:color="auto"/>
                            <w:right w:val="none" w:sz="0" w:space="0" w:color="auto"/>
                          </w:divBdr>
                          <w:divsChild>
                            <w:div w:id="1098133116">
                              <w:marLeft w:val="0"/>
                              <w:marRight w:val="0"/>
                              <w:marTop w:val="0"/>
                              <w:marBottom w:val="0"/>
                              <w:divBdr>
                                <w:top w:val="none" w:sz="0" w:space="0" w:color="auto"/>
                                <w:left w:val="none" w:sz="0" w:space="0" w:color="auto"/>
                                <w:bottom w:val="none" w:sz="0" w:space="0" w:color="auto"/>
                                <w:right w:val="none" w:sz="0" w:space="0" w:color="auto"/>
                              </w:divBdr>
                              <w:divsChild>
                                <w:div w:id="446394891">
                                  <w:marLeft w:val="0"/>
                                  <w:marRight w:val="0"/>
                                  <w:marTop w:val="0"/>
                                  <w:marBottom w:val="0"/>
                                  <w:divBdr>
                                    <w:top w:val="none" w:sz="0" w:space="0" w:color="auto"/>
                                    <w:left w:val="none" w:sz="0" w:space="0" w:color="auto"/>
                                    <w:bottom w:val="none" w:sz="0" w:space="0" w:color="auto"/>
                                    <w:right w:val="none" w:sz="0" w:space="0" w:color="auto"/>
                                  </w:divBdr>
                                  <w:divsChild>
                                    <w:div w:id="10401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584057">
      <w:bodyDiv w:val="1"/>
      <w:marLeft w:val="0"/>
      <w:marRight w:val="0"/>
      <w:marTop w:val="0"/>
      <w:marBottom w:val="0"/>
      <w:divBdr>
        <w:top w:val="none" w:sz="0" w:space="0" w:color="auto"/>
        <w:left w:val="none" w:sz="0" w:space="0" w:color="auto"/>
        <w:bottom w:val="none" w:sz="0" w:space="0" w:color="auto"/>
        <w:right w:val="none" w:sz="0" w:space="0" w:color="auto"/>
      </w:divBdr>
    </w:div>
    <w:div w:id="2073380090">
      <w:bodyDiv w:val="1"/>
      <w:marLeft w:val="0"/>
      <w:marRight w:val="0"/>
      <w:marTop w:val="0"/>
      <w:marBottom w:val="0"/>
      <w:divBdr>
        <w:top w:val="none" w:sz="0" w:space="0" w:color="auto"/>
        <w:left w:val="none" w:sz="0" w:space="0" w:color="auto"/>
        <w:bottom w:val="none" w:sz="0" w:space="0" w:color="auto"/>
        <w:right w:val="none" w:sz="0" w:space="0" w:color="auto"/>
      </w:divBdr>
    </w:div>
    <w:div w:id="2081828844">
      <w:bodyDiv w:val="1"/>
      <w:marLeft w:val="0"/>
      <w:marRight w:val="0"/>
      <w:marTop w:val="0"/>
      <w:marBottom w:val="0"/>
      <w:divBdr>
        <w:top w:val="none" w:sz="0" w:space="0" w:color="auto"/>
        <w:left w:val="none" w:sz="0" w:space="0" w:color="auto"/>
        <w:bottom w:val="none" w:sz="0" w:space="0" w:color="auto"/>
        <w:right w:val="none" w:sz="0" w:space="0" w:color="auto"/>
      </w:divBdr>
    </w:div>
    <w:div w:id="2082680654">
      <w:bodyDiv w:val="1"/>
      <w:marLeft w:val="0"/>
      <w:marRight w:val="0"/>
      <w:marTop w:val="0"/>
      <w:marBottom w:val="0"/>
      <w:divBdr>
        <w:top w:val="none" w:sz="0" w:space="0" w:color="auto"/>
        <w:left w:val="none" w:sz="0" w:space="0" w:color="auto"/>
        <w:bottom w:val="none" w:sz="0" w:space="0" w:color="auto"/>
        <w:right w:val="none" w:sz="0" w:space="0" w:color="auto"/>
      </w:divBdr>
    </w:div>
    <w:div w:id="2093818125">
      <w:bodyDiv w:val="1"/>
      <w:marLeft w:val="0"/>
      <w:marRight w:val="0"/>
      <w:marTop w:val="0"/>
      <w:marBottom w:val="0"/>
      <w:divBdr>
        <w:top w:val="none" w:sz="0" w:space="0" w:color="auto"/>
        <w:left w:val="none" w:sz="0" w:space="0" w:color="auto"/>
        <w:bottom w:val="none" w:sz="0" w:space="0" w:color="auto"/>
        <w:right w:val="none" w:sz="0" w:space="0" w:color="auto"/>
      </w:divBdr>
    </w:div>
    <w:div w:id="2095466142">
      <w:bodyDiv w:val="1"/>
      <w:marLeft w:val="0"/>
      <w:marRight w:val="0"/>
      <w:marTop w:val="0"/>
      <w:marBottom w:val="0"/>
      <w:divBdr>
        <w:top w:val="none" w:sz="0" w:space="0" w:color="auto"/>
        <w:left w:val="none" w:sz="0" w:space="0" w:color="auto"/>
        <w:bottom w:val="none" w:sz="0" w:space="0" w:color="auto"/>
        <w:right w:val="none" w:sz="0" w:space="0" w:color="auto"/>
      </w:divBdr>
      <w:divsChild>
        <w:div w:id="2136673754">
          <w:marLeft w:val="0"/>
          <w:marRight w:val="0"/>
          <w:marTop w:val="0"/>
          <w:marBottom w:val="0"/>
          <w:divBdr>
            <w:top w:val="single" w:sz="6" w:space="30" w:color="C9C9C9"/>
            <w:left w:val="single" w:sz="6" w:space="30" w:color="C9C9C9"/>
            <w:bottom w:val="single" w:sz="6" w:space="30" w:color="C9C9C9"/>
            <w:right w:val="single" w:sz="6" w:space="30" w:color="C9C9C9"/>
          </w:divBdr>
          <w:divsChild>
            <w:div w:id="1675761268">
              <w:marLeft w:val="0"/>
              <w:marRight w:val="0"/>
              <w:marTop w:val="0"/>
              <w:marBottom w:val="0"/>
              <w:divBdr>
                <w:top w:val="none" w:sz="0" w:space="0" w:color="auto"/>
                <w:left w:val="none" w:sz="0" w:space="0" w:color="auto"/>
                <w:bottom w:val="none" w:sz="0" w:space="0" w:color="auto"/>
                <w:right w:val="none" w:sz="0" w:space="0" w:color="auto"/>
              </w:divBdr>
              <w:divsChild>
                <w:div w:id="2053311244">
                  <w:marLeft w:val="0"/>
                  <w:marRight w:val="0"/>
                  <w:marTop w:val="0"/>
                  <w:marBottom w:val="0"/>
                  <w:divBdr>
                    <w:top w:val="none" w:sz="0" w:space="0" w:color="auto"/>
                    <w:left w:val="none" w:sz="0" w:space="0" w:color="auto"/>
                    <w:bottom w:val="none" w:sz="0" w:space="0" w:color="auto"/>
                    <w:right w:val="none" w:sz="0" w:space="0" w:color="auto"/>
                  </w:divBdr>
                  <w:divsChild>
                    <w:div w:id="1600672176">
                      <w:marLeft w:val="0"/>
                      <w:marRight w:val="0"/>
                      <w:marTop w:val="0"/>
                      <w:marBottom w:val="0"/>
                      <w:divBdr>
                        <w:top w:val="none" w:sz="0" w:space="0" w:color="auto"/>
                        <w:left w:val="none" w:sz="0" w:space="0" w:color="auto"/>
                        <w:bottom w:val="none" w:sz="0" w:space="0" w:color="auto"/>
                        <w:right w:val="none" w:sz="0" w:space="0" w:color="auto"/>
                      </w:divBdr>
                      <w:divsChild>
                        <w:div w:id="70275424">
                          <w:marLeft w:val="0"/>
                          <w:marRight w:val="0"/>
                          <w:marTop w:val="0"/>
                          <w:marBottom w:val="0"/>
                          <w:divBdr>
                            <w:top w:val="none" w:sz="0" w:space="0" w:color="auto"/>
                            <w:left w:val="none" w:sz="0" w:space="0" w:color="auto"/>
                            <w:bottom w:val="none" w:sz="0" w:space="0" w:color="auto"/>
                            <w:right w:val="none" w:sz="0" w:space="0" w:color="auto"/>
                          </w:divBdr>
                          <w:divsChild>
                            <w:div w:id="2097553006">
                              <w:marLeft w:val="0"/>
                              <w:marRight w:val="0"/>
                              <w:marTop w:val="0"/>
                              <w:marBottom w:val="0"/>
                              <w:divBdr>
                                <w:top w:val="none" w:sz="0" w:space="0" w:color="auto"/>
                                <w:left w:val="none" w:sz="0" w:space="0" w:color="auto"/>
                                <w:bottom w:val="none" w:sz="0" w:space="0" w:color="auto"/>
                                <w:right w:val="none" w:sz="0" w:space="0" w:color="auto"/>
                              </w:divBdr>
                              <w:divsChild>
                                <w:div w:id="1992253130">
                                  <w:marLeft w:val="0"/>
                                  <w:marRight w:val="0"/>
                                  <w:marTop w:val="0"/>
                                  <w:marBottom w:val="0"/>
                                  <w:divBdr>
                                    <w:top w:val="none" w:sz="0" w:space="0" w:color="auto"/>
                                    <w:left w:val="none" w:sz="0" w:space="0" w:color="auto"/>
                                    <w:bottom w:val="none" w:sz="0" w:space="0" w:color="auto"/>
                                    <w:right w:val="none" w:sz="0" w:space="0" w:color="auto"/>
                                  </w:divBdr>
                                  <w:divsChild>
                                    <w:div w:id="7735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584796">
      <w:bodyDiv w:val="1"/>
      <w:marLeft w:val="0"/>
      <w:marRight w:val="0"/>
      <w:marTop w:val="0"/>
      <w:marBottom w:val="0"/>
      <w:divBdr>
        <w:top w:val="none" w:sz="0" w:space="0" w:color="auto"/>
        <w:left w:val="none" w:sz="0" w:space="0" w:color="auto"/>
        <w:bottom w:val="none" w:sz="0" w:space="0" w:color="auto"/>
        <w:right w:val="none" w:sz="0" w:space="0" w:color="auto"/>
      </w:divBdr>
    </w:div>
    <w:div w:id="2104378745">
      <w:bodyDiv w:val="1"/>
      <w:marLeft w:val="0"/>
      <w:marRight w:val="0"/>
      <w:marTop w:val="0"/>
      <w:marBottom w:val="0"/>
      <w:divBdr>
        <w:top w:val="none" w:sz="0" w:space="0" w:color="auto"/>
        <w:left w:val="none" w:sz="0" w:space="0" w:color="auto"/>
        <w:bottom w:val="none" w:sz="0" w:space="0" w:color="auto"/>
        <w:right w:val="none" w:sz="0" w:space="0" w:color="auto"/>
      </w:divBdr>
    </w:div>
    <w:div w:id="2106684778">
      <w:bodyDiv w:val="1"/>
      <w:marLeft w:val="0"/>
      <w:marRight w:val="0"/>
      <w:marTop w:val="0"/>
      <w:marBottom w:val="0"/>
      <w:divBdr>
        <w:top w:val="none" w:sz="0" w:space="0" w:color="auto"/>
        <w:left w:val="none" w:sz="0" w:space="0" w:color="auto"/>
        <w:bottom w:val="none" w:sz="0" w:space="0" w:color="auto"/>
        <w:right w:val="none" w:sz="0" w:space="0" w:color="auto"/>
      </w:divBdr>
    </w:div>
    <w:div w:id="2119331985">
      <w:bodyDiv w:val="1"/>
      <w:marLeft w:val="0"/>
      <w:marRight w:val="0"/>
      <w:marTop w:val="0"/>
      <w:marBottom w:val="0"/>
      <w:divBdr>
        <w:top w:val="none" w:sz="0" w:space="0" w:color="auto"/>
        <w:left w:val="none" w:sz="0" w:space="0" w:color="auto"/>
        <w:bottom w:val="none" w:sz="0" w:space="0" w:color="auto"/>
        <w:right w:val="none" w:sz="0" w:space="0" w:color="auto"/>
      </w:divBdr>
    </w:div>
    <w:div w:id="21391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stituzionale.it/stampaPronunciaServlet?anno=2022&amp;numero=217&amp;tipoView=P&amp;tipoVisualizzazione=O" TargetMode="External"/><Relationship Id="rId13" Type="http://schemas.openxmlformats.org/officeDocument/2006/relationships/hyperlink" Target="https://www.giustizia-amministrativa.it/portale/pages/istituzionale/visualizza?nodeRef=&amp;schema=tar_ct&amp;nrg=201300911&amp;nomeFile=202202848_08.html&amp;subDir=Provvedimenti" TargetMode="External"/><Relationship Id="rId3" Type="http://schemas.openxmlformats.org/officeDocument/2006/relationships/styles" Target="styles.xml"/><Relationship Id="rId7" Type="http://schemas.openxmlformats.org/officeDocument/2006/relationships/image" Target="cid:image001.jpg@01D766B6.07528AD0" TargetMode="External"/><Relationship Id="rId12" Type="http://schemas.openxmlformats.org/officeDocument/2006/relationships/hyperlink" Target="https://www.giustizia-amministrativa.it/portale/pages/istituzionale/visualizza?nodeRef=&amp;schema=cds&amp;nrg=202009566&amp;nomeFile=202209328_11.html&amp;subDir=Provvedimen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iustizia-amministrativa.it/portale/pages/istituzionale/visualizza?nodeRef=&amp;schema=cds&amp;nrg=202203108&amp;nomeFile=202209426_11.html&amp;subDir=Provvedimen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iustizia-amministrativa.it/portale/pages/istituzionale/visualizza?nodeRef=&amp;schema=cds&amp;nrg=202203369&amp;nomeFile=202209428_11.html&amp;subDir=Provvedimenti" TargetMode="External"/><Relationship Id="rId4" Type="http://schemas.openxmlformats.org/officeDocument/2006/relationships/settings" Target="settings.xml"/><Relationship Id="rId9" Type="http://schemas.openxmlformats.org/officeDocument/2006/relationships/hyperlink" Target="https://www.cortecostituzionale.it/stampaPronunciaServlet?anno=2022&amp;numero=217&amp;tipoView=P&amp;tipoVisualizzazione=O" TargetMode="External"/><Relationship Id="rId14" Type="http://schemas.openxmlformats.org/officeDocument/2006/relationships/hyperlink" Target="https://www.giustizia-amministrativa.it/portale/pages/istituzionale/visualizza?nodeRef=&amp;schema=tar_na&amp;nrg=202103819&amp;nomeFile=202206303_01.html&amp;subDir=Provvedi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079D-4669-49D5-BD8D-ED965CA5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6350</Words>
  <Characters>36196</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CIARLONE Barbara</dc:creator>
  <cp:keywords/>
  <dc:description/>
  <cp:lastModifiedBy>SANTISE Maurizio</cp:lastModifiedBy>
  <cp:revision>5</cp:revision>
  <dcterms:created xsi:type="dcterms:W3CDTF">2022-11-05T10:16:00Z</dcterms:created>
  <dcterms:modified xsi:type="dcterms:W3CDTF">2022-11-06T18:50:00Z</dcterms:modified>
</cp:coreProperties>
</file>