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9F05" w14:textId="77777777" w:rsidR="003078EF" w:rsidRDefault="003078EF" w:rsidP="00954BFC"/>
    <w:p w14:paraId="5F2E6233" w14:textId="77777777" w:rsidR="009B714E" w:rsidRDefault="009B714E" w:rsidP="009B714E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 w14:anchorId="5932E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2.8pt" o:ole="" fillcolor="window">
            <v:imagedata r:id="rId5" o:title=""/>
          </v:shape>
          <o:OLEObject Type="Embed" ProgID="PBrush" ShapeID="_x0000_i1025" DrawAspect="Content" ObjectID="_1657713270" r:id="rId6">
            <o:FieldCodes>\s \* unisciformato</o:FieldCodes>
          </o:OLEObject>
        </w:object>
      </w:r>
    </w:p>
    <w:p w14:paraId="117A2123" w14:textId="77777777" w:rsidR="009B714E" w:rsidRDefault="009B714E" w:rsidP="009B714E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14:paraId="1555F0B1" w14:textId="77777777" w:rsidR="009B714E" w:rsidRDefault="009B714E" w:rsidP="009B714E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14:paraId="1CFF79E3" w14:textId="77777777" w:rsidR="009B714E" w:rsidRDefault="009B714E" w:rsidP="009B714E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14:paraId="0FF3CD2A" w14:textId="77777777" w:rsidR="009B714E" w:rsidRDefault="009B714E" w:rsidP="009B714E">
      <w:pPr>
        <w:ind w:left="360"/>
        <w:jc w:val="center"/>
        <w:rPr>
          <w:i/>
          <w:sz w:val="36"/>
          <w:szCs w:val="36"/>
        </w:rPr>
      </w:pPr>
    </w:p>
    <w:p w14:paraId="1712739E" w14:textId="77777777" w:rsidR="009B714E" w:rsidRDefault="009B714E" w:rsidP="009B714E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14:paraId="39EA2015" w14:textId="77777777" w:rsidR="009B714E" w:rsidRDefault="009B714E" w:rsidP="009B714E">
      <w:pPr>
        <w:ind w:left="360"/>
        <w:jc w:val="center"/>
        <w:rPr>
          <w:sz w:val="36"/>
          <w:szCs w:val="36"/>
        </w:rPr>
      </w:pPr>
    </w:p>
    <w:p w14:paraId="65DD9B7F" w14:textId="77777777" w:rsidR="009B714E" w:rsidRDefault="009B714E" w:rsidP="009B714E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14:paraId="01A33720" w14:textId="77777777" w:rsidR="009B714E" w:rsidRDefault="009B714E" w:rsidP="009B714E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14:paraId="6D866DE3" w14:textId="77777777" w:rsidR="009B714E" w:rsidRDefault="009B714E" w:rsidP="00954BFC"/>
    <w:p w14:paraId="43E2F31B" w14:textId="5888DCCE" w:rsidR="005D3990" w:rsidRPr="00F554CB" w:rsidRDefault="00F554CB" w:rsidP="005D3990">
      <w:pPr>
        <w:jc w:val="both"/>
        <w:rPr>
          <w:b/>
        </w:rPr>
      </w:pPr>
      <w:r w:rsidRPr="00F554CB">
        <w:rPr>
          <w:b/>
        </w:rPr>
        <w:t>Coronavirus: CdS sospende accesso atti in attesa valutazione collegio</w:t>
      </w:r>
    </w:p>
    <w:p w14:paraId="74952454" w14:textId="77777777" w:rsidR="005D3990" w:rsidRPr="005D3990" w:rsidRDefault="005D3990" w:rsidP="005D3990">
      <w:pPr>
        <w:jc w:val="both"/>
        <w:rPr>
          <w:bCs/>
        </w:rPr>
      </w:pPr>
    </w:p>
    <w:p w14:paraId="189F9C56" w14:textId="0AE88833" w:rsidR="005D3990" w:rsidRPr="00F554CB" w:rsidRDefault="00F554CB" w:rsidP="005D3990">
      <w:pPr>
        <w:jc w:val="both"/>
        <w:rPr>
          <w:b/>
        </w:rPr>
      </w:pPr>
      <w:r w:rsidRPr="00F554CB">
        <w:rPr>
          <w:b/>
        </w:rPr>
        <w:t xml:space="preserve">CdS </w:t>
      </w:r>
      <w:r w:rsidRPr="00F554CB">
        <w:rPr>
          <w:b/>
        </w:rPr>
        <w:t>deciderà' prossimo 10 settembre</w:t>
      </w:r>
    </w:p>
    <w:p w14:paraId="3E3D3F6C" w14:textId="77777777" w:rsidR="005D3990" w:rsidRPr="005D3990" w:rsidRDefault="005D3990" w:rsidP="005D3990">
      <w:pPr>
        <w:jc w:val="both"/>
        <w:rPr>
          <w:bCs/>
        </w:rPr>
      </w:pPr>
    </w:p>
    <w:p w14:paraId="658ACAAE" w14:textId="60978944" w:rsidR="005D3990" w:rsidRPr="005D3990" w:rsidRDefault="005D3990" w:rsidP="005D3990">
      <w:pPr>
        <w:jc w:val="both"/>
        <w:rPr>
          <w:bCs/>
        </w:rPr>
      </w:pPr>
      <w:r w:rsidRPr="005D3990">
        <w:rPr>
          <w:bCs/>
        </w:rPr>
        <w:t>Il Consiglio di Stato, con decreto cautelare monocratico depositato oggi ha</w:t>
      </w:r>
      <w:r>
        <w:rPr>
          <w:bCs/>
        </w:rPr>
        <w:t xml:space="preserve"> </w:t>
      </w:r>
      <w:r w:rsidRPr="005D3990">
        <w:rPr>
          <w:bCs/>
        </w:rPr>
        <w:t>sospeso l'effetto della sentenza del Tar Lazio (n. 8615/2020) che consentiva</w:t>
      </w:r>
      <w:r>
        <w:rPr>
          <w:bCs/>
        </w:rPr>
        <w:t xml:space="preserve"> </w:t>
      </w:r>
      <w:r w:rsidRPr="005D3990">
        <w:rPr>
          <w:bCs/>
        </w:rPr>
        <w:t>l'accesso ai verbali del comitato tecnico scientifico sull'emergenza</w:t>
      </w:r>
      <w:r>
        <w:rPr>
          <w:bCs/>
        </w:rPr>
        <w:t xml:space="preserve"> </w:t>
      </w:r>
      <w:r w:rsidRPr="005D3990">
        <w:rPr>
          <w:bCs/>
        </w:rPr>
        <w:t>epidemiologica da Covid19.</w:t>
      </w:r>
    </w:p>
    <w:p w14:paraId="6F0D6623" w14:textId="545BECBF" w:rsidR="005D3990" w:rsidRPr="005D3990" w:rsidRDefault="005D3990" w:rsidP="00F554CB">
      <w:pPr>
        <w:spacing w:before="240"/>
        <w:jc w:val="both"/>
        <w:rPr>
          <w:bCs/>
        </w:rPr>
      </w:pPr>
      <w:r w:rsidRPr="005D3990">
        <w:rPr>
          <w:bCs/>
        </w:rPr>
        <w:t>Il Presidente della terza sezione del Consiglio di Stato ha ritenuto</w:t>
      </w:r>
      <w:r>
        <w:rPr>
          <w:bCs/>
        </w:rPr>
        <w:t xml:space="preserve"> </w:t>
      </w:r>
      <w:r w:rsidRPr="005D3990">
        <w:rPr>
          <w:bCs/>
        </w:rPr>
        <w:t>opportuno demandare la decisione cautelare al collegio, fissando la camera</w:t>
      </w:r>
      <w:r>
        <w:rPr>
          <w:bCs/>
        </w:rPr>
        <w:t xml:space="preserve"> </w:t>
      </w:r>
      <w:r w:rsidRPr="005D3990">
        <w:rPr>
          <w:bCs/>
        </w:rPr>
        <w:t>di consiglio per il prossimo 10 settembre, per non pregiudicare</w:t>
      </w:r>
      <w:r>
        <w:rPr>
          <w:bCs/>
        </w:rPr>
        <w:t xml:space="preserve"> </w:t>
      </w:r>
      <w:r w:rsidRPr="005D3990">
        <w:rPr>
          <w:bCs/>
        </w:rPr>
        <w:t>definitivamente l'interesse dell'amministrazione contraria all'ostensione</w:t>
      </w:r>
      <w:r>
        <w:rPr>
          <w:bCs/>
        </w:rPr>
        <w:t xml:space="preserve"> </w:t>
      </w:r>
      <w:r w:rsidRPr="005D3990">
        <w:rPr>
          <w:bCs/>
        </w:rPr>
        <w:t>degli atti in attesa della decisione del collegio (che sarebbe inutile ad</w:t>
      </w:r>
      <w:r>
        <w:rPr>
          <w:bCs/>
        </w:rPr>
        <w:t xml:space="preserve"> </w:t>
      </w:r>
      <w:r w:rsidRPr="005D3990">
        <w:rPr>
          <w:bCs/>
        </w:rPr>
        <w:t>ostensione degli atti avvenuta), vista la materia "meritevole di</w:t>
      </w:r>
      <w:r>
        <w:rPr>
          <w:bCs/>
        </w:rPr>
        <w:t xml:space="preserve"> </w:t>
      </w:r>
      <w:r w:rsidRPr="005D3990">
        <w:rPr>
          <w:bCs/>
        </w:rPr>
        <w:t xml:space="preserve">approfondimento" giuridico. </w:t>
      </w:r>
    </w:p>
    <w:p w14:paraId="22D0F3D7" w14:textId="474B5014" w:rsidR="005D3990" w:rsidRPr="005D3990" w:rsidRDefault="005D3990" w:rsidP="00F554CB">
      <w:pPr>
        <w:spacing w:before="240"/>
        <w:jc w:val="both"/>
        <w:rPr>
          <w:bCs/>
        </w:rPr>
      </w:pPr>
      <w:r w:rsidRPr="005D3990">
        <w:rPr>
          <w:bCs/>
        </w:rPr>
        <w:t>Nel decreto si rileva, infatti, che tali verbali "hanno costituito il</w:t>
      </w:r>
      <w:r>
        <w:rPr>
          <w:bCs/>
        </w:rPr>
        <w:t xml:space="preserve"> </w:t>
      </w:r>
      <w:r w:rsidRPr="005D3990">
        <w:rPr>
          <w:bCs/>
        </w:rPr>
        <w:t>presupposto per l'adozione di misure volte a comprimere fortemente diritti</w:t>
      </w:r>
      <w:r>
        <w:rPr>
          <w:bCs/>
        </w:rPr>
        <w:t xml:space="preserve"> </w:t>
      </w:r>
      <w:r w:rsidRPr="005D3990">
        <w:rPr>
          <w:bCs/>
        </w:rPr>
        <w:t>individuali dei cittadini, costituzionalmente tutelati ma non contengono</w:t>
      </w:r>
      <w:r>
        <w:rPr>
          <w:bCs/>
        </w:rPr>
        <w:t xml:space="preserve"> </w:t>
      </w:r>
      <w:r w:rsidRPr="005D3990">
        <w:rPr>
          <w:bCs/>
        </w:rPr>
        <w:t>elementi o dati che la stessa appellante abbia motivatamente indicato come</w:t>
      </w:r>
      <w:r>
        <w:rPr>
          <w:bCs/>
        </w:rPr>
        <w:t xml:space="preserve"> </w:t>
      </w:r>
      <w:r w:rsidRPr="005D3990">
        <w:rPr>
          <w:bCs/>
        </w:rPr>
        <w:t>segreti;" e che "le valutazioni tecnico-scientifiche si riferiscono a periodi temporali</w:t>
      </w:r>
      <w:r>
        <w:rPr>
          <w:bCs/>
        </w:rPr>
        <w:t xml:space="preserve"> </w:t>
      </w:r>
      <w:r w:rsidRPr="005D3990">
        <w:rPr>
          <w:bCs/>
        </w:rPr>
        <w:t>pressocché del tutto superati" e che "la stessa Amministrazione,</w:t>
      </w:r>
      <w:r w:rsidR="00F554CB">
        <w:rPr>
          <w:bCs/>
        </w:rPr>
        <w:t xml:space="preserve"> </w:t>
      </w:r>
      <w:r w:rsidRPr="005D3990">
        <w:rPr>
          <w:bCs/>
        </w:rPr>
        <w:t>riservandosi una volontaria ostensione fa comprendere di non ritenere in</w:t>
      </w:r>
      <w:r w:rsidR="00F554CB">
        <w:rPr>
          <w:bCs/>
        </w:rPr>
        <w:t xml:space="preserve"> </w:t>
      </w:r>
      <w:r w:rsidRPr="005D3990">
        <w:rPr>
          <w:bCs/>
        </w:rPr>
        <w:t xml:space="preserve">esse insiti elementi di speciale segretezza </w:t>
      </w:r>
      <w:bookmarkStart w:id="0" w:name="_GoBack"/>
      <w:bookmarkEnd w:id="0"/>
      <w:r w:rsidRPr="005D3990">
        <w:rPr>
          <w:bCs/>
        </w:rPr>
        <w:t>da opporre agli stessi</w:t>
      </w:r>
      <w:r w:rsidR="00F554CB">
        <w:rPr>
          <w:bCs/>
        </w:rPr>
        <w:t xml:space="preserve"> </w:t>
      </w:r>
      <w:r w:rsidRPr="005D3990">
        <w:rPr>
          <w:bCs/>
        </w:rPr>
        <w:t>cittadini".</w:t>
      </w:r>
    </w:p>
    <w:p w14:paraId="4BE6426D" w14:textId="15BDCED7" w:rsidR="001F459C" w:rsidRDefault="005D3990" w:rsidP="00F554CB">
      <w:pPr>
        <w:spacing w:before="240"/>
        <w:jc w:val="both"/>
        <w:rPr>
          <w:bCs/>
        </w:rPr>
      </w:pPr>
      <w:r w:rsidRPr="005D3990">
        <w:rPr>
          <w:bCs/>
        </w:rPr>
        <w:t>Nel decreto monocratico si legge anche che "non si comprende, proprio per la</w:t>
      </w:r>
      <w:r w:rsidR="00F554CB">
        <w:rPr>
          <w:bCs/>
        </w:rPr>
        <w:t xml:space="preserve"> </w:t>
      </w:r>
      <w:r w:rsidRPr="005D3990">
        <w:rPr>
          <w:bCs/>
        </w:rPr>
        <w:t>assoluta eccezionalità di tali atti" perché debbano essere inclusi "nel</w:t>
      </w:r>
      <w:r w:rsidR="00F554CB">
        <w:rPr>
          <w:bCs/>
        </w:rPr>
        <w:t xml:space="preserve"> </w:t>
      </w:r>
      <w:r w:rsidRPr="005D3990">
        <w:rPr>
          <w:bCs/>
        </w:rPr>
        <w:t>novero di quelli sottratti alla generale regola di trasparenza e</w:t>
      </w:r>
      <w:r w:rsidR="00F554CB">
        <w:rPr>
          <w:bCs/>
        </w:rPr>
        <w:t xml:space="preserve"> </w:t>
      </w:r>
      <w:r w:rsidRPr="005D3990">
        <w:rPr>
          <w:bCs/>
        </w:rPr>
        <w:t>conoscibilità da parte dei cittadini, giacché la recente normativa -</w:t>
      </w:r>
      <w:r w:rsidR="00F554CB">
        <w:rPr>
          <w:bCs/>
        </w:rPr>
        <w:t xml:space="preserve"> </w:t>
      </w:r>
      <w:r w:rsidRPr="005D3990">
        <w:rPr>
          <w:bCs/>
        </w:rPr>
        <w:t>ribattezzata freedom of information act sul modello americano - prevede come</w:t>
      </w:r>
      <w:r w:rsidR="00F554CB">
        <w:rPr>
          <w:bCs/>
        </w:rPr>
        <w:t xml:space="preserve"> </w:t>
      </w:r>
      <w:r w:rsidRPr="005D3990">
        <w:rPr>
          <w:bCs/>
        </w:rPr>
        <w:t>regola l'accesso civico" e come eccezione la non accessibilità.</w:t>
      </w:r>
    </w:p>
    <w:p w14:paraId="2DB4DE6E" w14:textId="4BB66E52" w:rsidR="00F554CB" w:rsidRDefault="00F554CB" w:rsidP="005D3990">
      <w:pPr>
        <w:jc w:val="both"/>
        <w:rPr>
          <w:bCs/>
        </w:rPr>
      </w:pPr>
    </w:p>
    <w:p w14:paraId="30B31F8C" w14:textId="77777777" w:rsidR="00F554CB" w:rsidRDefault="00F554CB" w:rsidP="005D3990">
      <w:pPr>
        <w:jc w:val="both"/>
        <w:rPr>
          <w:bCs/>
        </w:rPr>
      </w:pPr>
    </w:p>
    <w:p w14:paraId="5ABBCBC4" w14:textId="0D979DCE" w:rsidR="00F554CB" w:rsidRPr="001F459C" w:rsidRDefault="00F554CB" w:rsidP="005D3990">
      <w:pPr>
        <w:jc w:val="both"/>
        <w:rPr>
          <w:bCs/>
        </w:rPr>
      </w:pPr>
      <w:r>
        <w:rPr>
          <w:bCs/>
        </w:rPr>
        <w:t>Roma, 31 luglio 2020</w:t>
      </w:r>
    </w:p>
    <w:sectPr w:rsidR="00F554CB" w:rsidRPr="001F4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CF1"/>
    <w:rsid w:val="00065551"/>
    <w:rsid w:val="001F459C"/>
    <w:rsid w:val="0022382E"/>
    <w:rsid w:val="002D787A"/>
    <w:rsid w:val="003078EF"/>
    <w:rsid w:val="00437E8A"/>
    <w:rsid w:val="005D3990"/>
    <w:rsid w:val="00917DE5"/>
    <w:rsid w:val="00954BFC"/>
    <w:rsid w:val="009B1CE1"/>
    <w:rsid w:val="009B714E"/>
    <w:rsid w:val="00A42CF1"/>
    <w:rsid w:val="00CB53EF"/>
    <w:rsid w:val="00CD20B6"/>
    <w:rsid w:val="00F5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76F8"/>
  <w15:chartTrackingRefBased/>
  <w15:docId w15:val="{F7BF1D7C-41FB-4E3E-BA03-32D1B91E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BF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51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8108-1CE2-4AA9-8F96-2F6CCDF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TOMMASINI Tiziana</dc:creator>
  <cp:keywords/>
  <dc:description/>
  <cp:lastModifiedBy>Stefano Santilli</cp:lastModifiedBy>
  <cp:revision>3</cp:revision>
  <dcterms:created xsi:type="dcterms:W3CDTF">2020-07-31T13:03:00Z</dcterms:created>
  <dcterms:modified xsi:type="dcterms:W3CDTF">2020-07-31T13:08:00Z</dcterms:modified>
</cp:coreProperties>
</file>