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22" w:rsidRPr="00297188" w:rsidRDefault="00E422A4" w:rsidP="00CF6680">
      <w:pPr>
        <w:pBdr>
          <w:top w:val="single" w:sz="4" w:space="1" w:color="auto"/>
          <w:left w:val="single" w:sz="4" w:space="4" w:color="auto"/>
          <w:bottom w:val="single" w:sz="4" w:space="1" w:color="auto"/>
          <w:right w:val="single" w:sz="4" w:space="4" w:color="auto"/>
        </w:pBdr>
        <w:jc w:val="center"/>
        <w:rPr>
          <w:rFonts w:ascii="Garamond" w:hAnsi="Garamond" w:cs="Times New Roman"/>
          <w:b/>
          <w:sz w:val="36"/>
          <w:szCs w:val="36"/>
        </w:rPr>
      </w:pPr>
      <w:bookmarkStart w:id="0" w:name="_GoBack"/>
      <w:r w:rsidRPr="00297188">
        <w:rPr>
          <w:rFonts w:ascii="Garamond" w:hAnsi="Garamond" w:cs="Times New Roman"/>
          <w:b/>
          <w:sz w:val="36"/>
          <w:szCs w:val="36"/>
        </w:rPr>
        <w:t>Gli effetti civilistici dell’</w:t>
      </w:r>
      <w:proofErr w:type="spellStart"/>
      <w:r w:rsidRPr="00297188">
        <w:rPr>
          <w:rFonts w:ascii="Garamond" w:hAnsi="Garamond" w:cs="Times New Roman"/>
          <w:b/>
          <w:sz w:val="36"/>
          <w:szCs w:val="36"/>
        </w:rPr>
        <w:t>interdittiva</w:t>
      </w:r>
      <w:proofErr w:type="spellEnd"/>
      <w:r w:rsidRPr="00297188">
        <w:rPr>
          <w:rFonts w:ascii="Garamond" w:hAnsi="Garamond" w:cs="Times New Roman"/>
          <w:b/>
          <w:sz w:val="36"/>
          <w:szCs w:val="36"/>
        </w:rPr>
        <w:t xml:space="preserve"> antimafia </w:t>
      </w:r>
    </w:p>
    <w:bookmarkEnd w:id="0"/>
    <w:p w:rsidR="0021094B" w:rsidRDefault="0021094B" w:rsidP="0021094B">
      <w:pPr>
        <w:rPr>
          <w:b/>
          <w:u w:val="single"/>
        </w:rPr>
      </w:pPr>
    </w:p>
    <w:p w:rsidR="0021094B" w:rsidRPr="004D4B87" w:rsidRDefault="00CF6680" w:rsidP="00CF6680">
      <w:pPr>
        <w:pStyle w:val="Paragrafoelenco"/>
        <w:rPr>
          <w:rFonts w:ascii="Garamond" w:hAnsi="Garamond" w:cs="Times New Roman"/>
          <w:i/>
          <w:sz w:val="28"/>
          <w:szCs w:val="28"/>
        </w:rPr>
      </w:pPr>
      <w:r w:rsidRPr="004D4B87">
        <w:rPr>
          <w:rFonts w:ascii="Garamond" w:hAnsi="Garamond" w:cs="Times New Roman"/>
          <w:sz w:val="28"/>
          <w:szCs w:val="28"/>
        </w:rPr>
        <w:t>§ 1</w:t>
      </w:r>
      <w:r w:rsidRPr="004D4B87">
        <w:rPr>
          <w:rFonts w:ascii="Garamond" w:hAnsi="Garamond" w:cs="Times New Roman"/>
          <w:i/>
          <w:sz w:val="28"/>
          <w:szCs w:val="28"/>
        </w:rPr>
        <w:t xml:space="preserve"> - </w:t>
      </w:r>
      <w:r w:rsidR="004D4B87">
        <w:rPr>
          <w:rFonts w:ascii="Garamond" w:hAnsi="Garamond" w:cs="Times New Roman"/>
          <w:i/>
          <w:sz w:val="28"/>
          <w:szCs w:val="28"/>
        </w:rPr>
        <w:t>P</w:t>
      </w:r>
      <w:r w:rsidR="00E422A4" w:rsidRPr="004D4B87">
        <w:rPr>
          <w:rFonts w:ascii="Garamond" w:hAnsi="Garamond" w:cs="Times New Roman"/>
          <w:i/>
          <w:sz w:val="28"/>
          <w:szCs w:val="28"/>
        </w:rPr>
        <w:t>remessa</w:t>
      </w:r>
    </w:p>
    <w:p w:rsidR="0033320E" w:rsidRDefault="0033320E" w:rsidP="0033320E">
      <w:pPr>
        <w:rPr>
          <w:b/>
          <w:u w:val="single"/>
        </w:rPr>
      </w:pPr>
    </w:p>
    <w:p w:rsidR="00870847" w:rsidRDefault="0033320E"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Il complesso sistema della certificazione antimafia, disciplinato dal d.</w:t>
      </w:r>
      <w:r w:rsidR="00F77070">
        <w:rPr>
          <w:rFonts w:ascii="Garamond" w:hAnsi="Garamond" w:cs="Times New Roman"/>
          <w:sz w:val="28"/>
          <w:szCs w:val="28"/>
        </w:rPr>
        <w:t xml:space="preserve"> </w:t>
      </w:r>
      <w:proofErr w:type="spellStart"/>
      <w:r w:rsidR="00F77070">
        <w:rPr>
          <w:rFonts w:ascii="Garamond" w:hAnsi="Garamond" w:cs="Times New Roman"/>
          <w:sz w:val="28"/>
          <w:szCs w:val="28"/>
        </w:rPr>
        <w:t>lgs</w:t>
      </w:r>
      <w:proofErr w:type="spellEnd"/>
      <w:r w:rsidR="00F77070">
        <w:rPr>
          <w:rFonts w:ascii="Garamond" w:hAnsi="Garamond" w:cs="Times New Roman"/>
          <w:sz w:val="28"/>
          <w:szCs w:val="28"/>
        </w:rPr>
        <w:t xml:space="preserve"> n. 159 del</w:t>
      </w:r>
      <w:r w:rsidRPr="00CF6680">
        <w:rPr>
          <w:rFonts w:ascii="Garamond" w:hAnsi="Garamond" w:cs="Times New Roman"/>
          <w:sz w:val="28"/>
          <w:szCs w:val="28"/>
        </w:rPr>
        <w:t xml:space="preserve"> 2011 ( c.d. Codice Antimafia ), si basa sulla distinzione tra comunicazione e informazione antimafia</w:t>
      </w:r>
      <w:r w:rsidRPr="00CF6680">
        <w:rPr>
          <w:rStyle w:val="Rimandonotaapidipagina"/>
          <w:rFonts w:ascii="Garamond" w:hAnsi="Garamond" w:cs="Times New Roman"/>
          <w:sz w:val="28"/>
          <w:szCs w:val="28"/>
        </w:rPr>
        <w:footnoteReference w:id="1"/>
      </w:r>
      <w:r w:rsidR="0091132C" w:rsidRPr="00CF6680">
        <w:rPr>
          <w:rFonts w:ascii="Garamond" w:hAnsi="Garamond" w:cs="Times New Roman"/>
          <w:sz w:val="28"/>
          <w:szCs w:val="28"/>
        </w:rPr>
        <w:t xml:space="preserve">, che costituiscono le </w:t>
      </w:r>
      <w:r w:rsidRPr="00CF6680">
        <w:rPr>
          <w:rFonts w:ascii="Garamond" w:hAnsi="Garamond" w:cs="Times New Roman"/>
          <w:sz w:val="28"/>
          <w:szCs w:val="28"/>
        </w:rPr>
        <w:t xml:space="preserve">principali misure di prevenzione </w:t>
      </w:r>
      <w:r w:rsidR="0091132C" w:rsidRPr="00CF6680">
        <w:rPr>
          <w:rFonts w:ascii="Garamond" w:hAnsi="Garamond" w:cs="Times New Roman"/>
          <w:sz w:val="28"/>
          <w:szCs w:val="28"/>
        </w:rPr>
        <w:t xml:space="preserve">al fenomeno mafioso, </w:t>
      </w:r>
      <w:r w:rsidR="009A1980" w:rsidRPr="00CF6680">
        <w:rPr>
          <w:rFonts w:ascii="Garamond" w:hAnsi="Garamond" w:cs="Times New Roman"/>
          <w:sz w:val="28"/>
          <w:szCs w:val="28"/>
        </w:rPr>
        <w:t xml:space="preserve">confermate in ultimo </w:t>
      </w:r>
      <w:r w:rsidRPr="00CF6680">
        <w:rPr>
          <w:rFonts w:ascii="Garamond" w:hAnsi="Garamond" w:cs="Times New Roman"/>
          <w:sz w:val="28"/>
          <w:szCs w:val="28"/>
        </w:rPr>
        <w:t xml:space="preserve">dalla recente modifica del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159 / 2011, attuata dalla </w:t>
      </w:r>
      <w:r w:rsidR="0091132C" w:rsidRPr="00CF6680">
        <w:rPr>
          <w:rFonts w:ascii="Garamond" w:hAnsi="Garamond" w:cs="Times New Roman"/>
          <w:sz w:val="28"/>
          <w:szCs w:val="28"/>
        </w:rPr>
        <w:t>L</w:t>
      </w:r>
      <w:r w:rsidR="00870847">
        <w:rPr>
          <w:rFonts w:ascii="Garamond" w:hAnsi="Garamond" w:cs="Times New Roman"/>
          <w:sz w:val="28"/>
          <w:szCs w:val="28"/>
        </w:rPr>
        <w:t>. n. 161 / 2017</w:t>
      </w:r>
      <w:r w:rsidR="009D489B" w:rsidRPr="00CF6680">
        <w:rPr>
          <w:rStyle w:val="Rimandonotaapidipagina"/>
          <w:rFonts w:ascii="Garamond" w:hAnsi="Garamond" w:cs="Times New Roman"/>
          <w:sz w:val="28"/>
          <w:szCs w:val="28"/>
        </w:rPr>
        <w:footnoteReference w:id="2"/>
      </w:r>
      <w:r w:rsidR="00870847">
        <w:rPr>
          <w:rFonts w:ascii="Garamond" w:hAnsi="Garamond" w:cs="Times New Roman"/>
          <w:sz w:val="28"/>
          <w:szCs w:val="28"/>
        </w:rPr>
        <w:t>.</w:t>
      </w:r>
    </w:p>
    <w:p w:rsidR="0033320E" w:rsidRPr="00CF6680" w:rsidRDefault="00206362"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Quest’ultimo intervento legislativo ha contribuito a meglio definire la disciplina della documentazione antimafia, nell’ottica di garantire la compatibilità con i principi costituzionali e con quelli di diritto europeo.</w:t>
      </w:r>
      <w:r w:rsidR="00096CAC" w:rsidRPr="00CF6680">
        <w:rPr>
          <w:rStyle w:val="Rimandonotaapidipagina"/>
          <w:rFonts w:ascii="Garamond" w:hAnsi="Garamond" w:cs="Times New Roman"/>
          <w:sz w:val="28"/>
          <w:szCs w:val="28"/>
        </w:rPr>
        <w:footnoteReference w:id="3"/>
      </w:r>
    </w:p>
    <w:p w:rsidR="0021094B" w:rsidRPr="00CF6680" w:rsidRDefault="009A1980"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La</w:t>
      </w:r>
      <w:r w:rsidR="00B118FF" w:rsidRPr="00CF6680">
        <w:rPr>
          <w:rFonts w:ascii="Garamond" w:hAnsi="Garamond" w:cs="Times New Roman"/>
          <w:sz w:val="28"/>
          <w:szCs w:val="28"/>
        </w:rPr>
        <w:t xml:space="preserve"> legislazione antimafi</w:t>
      </w:r>
      <w:r w:rsidRPr="00CF6680">
        <w:rPr>
          <w:rFonts w:ascii="Garamond" w:hAnsi="Garamond" w:cs="Times New Roman"/>
          <w:sz w:val="28"/>
          <w:szCs w:val="28"/>
        </w:rPr>
        <w:t xml:space="preserve">a, </w:t>
      </w:r>
      <w:r w:rsidR="002323B1" w:rsidRPr="00CF6680">
        <w:rPr>
          <w:rFonts w:ascii="Garamond" w:hAnsi="Garamond" w:cs="Times New Roman"/>
          <w:sz w:val="28"/>
          <w:szCs w:val="28"/>
        </w:rPr>
        <w:t>persegue</w:t>
      </w:r>
      <w:r w:rsidRPr="00CF6680">
        <w:rPr>
          <w:rFonts w:ascii="Garamond" w:hAnsi="Garamond" w:cs="Times New Roman"/>
          <w:sz w:val="28"/>
          <w:szCs w:val="28"/>
        </w:rPr>
        <w:t xml:space="preserve">ndo </w:t>
      </w:r>
      <w:r w:rsidR="002323B1" w:rsidRPr="00CF6680">
        <w:rPr>
          <w:rFonts w:ascii="Garamond" w:hAnsi="Garamond" w:cs="Times New Roman"/>
          <w:sz w:val="28"/>
          <w:szCs w:val="28"/>
        </w:rPr>
        <w:t>una finalità di pubblica sicurezza</w:t>
      </w:r>
      <w:r w:rsidR="00CD0409" w:rsidRPr="00CF6680">
        <w:rPr>
          <w:rStyle w:val="Rimandonotaapidipagina"/>
          <w:rFonts w:ascii="Garamond" w:hAnsi="Garamond" w:cs="Times New Roman"/>
          <w:sz w:val="28"/>
          <w:szCs w:val="28"/>
        </w:rPr>
        <w:footnoteReference w:id="4"/>
      </w:r>
      <w:r w:rsidR="002323B1" w:rsidRPr="00CF6680">
        <w:rPr>
          <w:rFonts w:ascii="Garamond" w:hAnsi="Garamond" w:cs="Times New Roman"/>
          <w:sz w:val="28"/>
          <w:szCs w:val="28"/>
        </w:rPr>
        <w:t>, costitu</w:t>
      </w:r>
      <w:r w:rsidRPr="00CF6680">
        <w:rPr>
          <w:rFonts w:ascii="Garamond" w:hAnsi="Garamond" w:cs="Times New Roman"/>
          <w:sz w:val="28"/>
          <w:szCs w:val="28"/>
        </w:rPr>
        <w:t>isce</w:t>
      </w:r>
      <w:r w:rsidR="002323B1" w:rsidRPr="00CF6680">
        <w:rPr>
          <w:rFonts w:ascii="Garamond" w:hAnsi="Garamond" w:cs="Times New Roman"/>
          <w:sz w:val="28"/>
          <w:szCs w:val="28"/>
        </w:rPr>
        <w:t xml:space="preserve"> </w:t>
      </w:r>
      <w:r w:rsidRPr="00CF6680">
        <w:rPr>
          <w:rFonts w:ascii="Garamond" w:hAnsi="Garamond" w:cs="Times New Roman"/>
          <w:sz w:val="28"/>
          <w:szCs w:val="28"/>
        </w:rPr>
        <w:t>la</w:t>
      </w:r>
      <w:r w:rsidR="002323B1" w:rsidRPr="00CF6680">
        <w:rPr>
          <w:rFonts w:ascii="Garamond" w:hAnsi="Garamond" w:cs="Times New Roman"/>
          <w:sz w:val="28"/>
          <w:szCs w:val="28"/>
        </w:rPr>
        <w:t xml:space="preserve"> forma </w:t>
      </w:r>
      <w:r w:rsidRPr="00CF6680">
        <w:rPr>
          <w:rFonts w:ascii="Garamond" w:hAnsi="Garamond" w:cs="Times New Roman"/>
          <w:sz w:val="28"/>
          <w:szCs w:val="28"/>
        </w:rPr>
        <w:t xml:space="preserve">più </w:t>
      </w:r>
      <w:r w:rsidR="002323B1" w:rsidRPr="00CF6680">
        <w:rPr>
          <w:rFonts w:ascii="Garamond" w:hAnsi="Garamond" w:cs="Times New Roman"/>
          <w:sz w:val="28"/>
          <w:szCs w:val="28"/>
        </w:rPr>
        <w:t xml:space="preserve">avanzata di </w:t>
      </w:r>
      <w:r w:rsidRPr="00CF6680">
        <w:rPr>
          <w:rFonts w:ascii="Garamond" w:hAnsi="Garamond" w:cs="Times New Roman"/>
          <w:sz w:val="28"/>
          <w:szCs w:val="28"/>
        </w:rPr>
        <w:t xml:space="preserve">contrasto avverso il </w:t>
      </w:r>
      <w:r w:rsidR="002323B1" w:rsidRPr="00CF6680">
        <w:rPr>
          <w:rFonts w:ascii="Garamond" w:hAnsi="Garamond" w:cs="Times New Roman"/>
          <w:sz w:val="28"/>
          <w:szCs w:val="28"/>
        </w:rPr>
        <w:t>fenomeno dell’infiltrazione mafiosa nell’attività economica</w:t>
      </w:r>
      <w:r w:rsidRPr="00CF6680">
        <w:rPr>
          <w:rFonts w:ascii="Garamond" w:hAnsi="Garamond" w:cs="Times New Roman"/>
          <w:sz w:val="28"/>
          <w:szCs w:val="28"/>
        </w:rPr>
        <w:t>,</w:t>
      </w:r>
      <w:r w:rsidR="002323B1" w:rsidRPr="00CF6680">
        <w:rPr>
          <w:rFonts w:ascii="Garamond" w:hAnsi="Garamond" w:cs="Times New Roman"/>
          <w:sz w:val="28"/>
          <w:szCs w:val="28"/>
        </w:rPr>
        <w:t xml:space="preserve"> </w:t>
      </w:r>
      <w:r w:rsidRPr="00CF6680">
        <w:rPr>
          <w:rFonts w:ascii="Garamond" w:hAnsi="Garamond" w:cs="Times New Roman"/>
          <w:sz w:val="28"/>
          <w:szCs w:val="28"/>
        </w:rPr>
        <w:t xml:space="preserve">assurgendo a </w:t>
      </w:r>
      <w:r w:rsidR="00707FF9" w:rsidRPr="00CF6680">
        <w:rPr>
          <w:rFonts w:ascii="Garamond" w:hAnsi="Garamond" w:cs="Times New Roman"/>
          <w:sz w:val="28"/>
          <w:szCs w:val="28"/>
        </w:rPr>
        <w:t>garant</w:t>
      </w:r>
      <w:r w:rsidRPr="00CF6680">
        <w:rPr>
          <w:rFonts w:ascii="Garamond" w:hAnsi="Garamond" w:cs="Times New Roman"/>
          <w:sz w:val="28"/>
          <w:szCs w:val="28"/>
        </w:rPr>
        <w:t>e</w:t>
      </w:r>
      <w:r w:rsidR="00707FF9" w:rsidRPr="00CF6680">
        <w:rPr>
          <w:rFonts w:ascii="Garamond" w:hAnsi="Garamond" w:cs="Times New Roman"/>
          <w:sz w:val="28"/>
          <w:szCs w:val="28"/>
        </w:rPr>
        <w:t xml:space="preserve"> </w:t>
      </w:r>
      <w:r w:rsidRPr="00CF6680">
        <w:rPr>
          <w:rFonts w:ascii="Garamond" w:hAnsi="Garamond" w:cs="Times New Roman"/>
          <w:sz w:val="28"/>
          <w:szCs w:val="28"/>
        </w:rPr>
        <w:t>del</w:t>
      </w:r>
      <w:r w:rsidR="00707FF9" w:rsidRPr="00CF6680">
        <w:rPr>
          <w:rFonts w:ascii="Garamond" w:hAnsi="Garamond" w:cs="Times New Roman"/>
          <w:sz w:val="28"/>
          <w:szCs w:val="28"/>
        </w:rPr>
        <w:t xml:space="preserve">la libera concorrenza tra le imprese e il buon andamento della Pubblica amministrazione, in </w:t>
      </w:r>
      <w:r w:rsidRPr="00CF6680">
        <w:rPr>
          <w:rFonts w:ascii="Garamond" w:hAnsi="Garamond" w:cs="Times New Roman"/>
          <w:sz w:val="28"/>
          <w:szCs w:val="28"/>
        </w:rPr>
        <w:t>linea</w:t>
      </w:r>
      <w:r w:rsidR="00707FF9" w:rsidRPr="00CF6680">
        <w:rPr>
          <w:rFonts w:ascii="Garamond" w:hAnsi="Garamond" w:cs="Times New Roman"/>
          <w:sz w:val="28"/>
          <w:szCs w:val="28"/>
        </w:rPr>
        <w:t xml:space="preserve"> con il disposto di cui all’art. 97 </w:t>
      </w:r>
      <w:proofErr w:type="spellStart"/>
      <w:r w:rsidR="00707FF9" w:rsidRPr="00CF6680">
        <w:rPr>
          <w:rFonts w:ascii="Garamond" w:hAnsi="Garamond" w:cs="Times New Roman"/>
          <w:sz w:val="28"/>
          <w:szCs w:val="28"/>
        </w:rPr>
        <w:t>Cost</w:t>
      </w:r>
      <w:proofErr w:type="spellEnd"/>
      <w:r w:rsidR="00707FF9" w:rsidRPr="00CF6680">
        <w:rPr>
          <w:rFonts w:ascii="Garamond" w:hAnsi="Garamond" w:cs="Times New Roman"/>
          <w:sz w:val="28"/>
          <w:szCs w:val="28"/>
        </w:rPr>
        <w:t xml:space="preserve">. </w:t>
      </w:r>
      <w:r w:rsidR="00FC1EAA" w:rsidRPr="00CF6680">
        <w:rPr>
          <w:rStyle w:val="Rimandonotaapidipagina"/>
          <w:rFonts w:ascii="Garamond" w:hAnsi="Garamond" w:cs="Times New Roman"/>
          <w:sz w:val="28"/>
          <w:szCs w:val="28"/>
        </w:rPr>
        <w:footnoteReference w:id="5"/>
      </w:r>
    </w:p>
    <w:p w:rsidR="00CB5C36" w:rsidRPr="00CF6680" w:rsidRDefault="008B15B8"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lastRenderedPageBreak/>
        <w:t xml:space="preserve">È proprio l’esigenza di </w:t>
      </w:r>
      <w:r w:rsidR="00CD0409" w:rsidRPr="00CF6680">
        <w:rPr>
          <w:rFonts w:ascii="Garamond" w:hAnsi="Garamond" w:cs="Times New Roman"/>
          <w:sz w:val="28"/>
          <w:szCs w:val="28"/>
        </w:rPr>
        <w:t>tutela dell’</w:t>
      </w:r>
      <w:r w:rsidRPr="00CF6680">
        <w:rPr>
          <w:rFonts w:ascii="Garamond" w:hAnsi="Garamond" w:cs="Times New Roman"/>
          <w:sz w:val="28"/>
          <w:szCs w:val="28"/>
        </w:rPr>
        <w:t>ordine pubblico</w:t>
      </w:r>
      <w:r w:rsidR="00CD0409" w:rsidRPr="00CF6680">
        <w:rPr>
          <w:rStyle w:val="Rimandonotaapidipagina"/>
          <w:rFonts w:ascii="Garamond" w:hAnsi="Garamond" w:cs="Times New Roman"/>
          <w:sz w:val="28"/>
          <w:szCs w:val="28"/>
        </w:rPr>
        <w:footnoteReference w:id="6"/>
      </w:r>
      <w:r w:rsidRPr="00CF6680">
        <w:rPr>
          <w:rFonts w:ascii="Garamond" w:hAnsi="Garamond" w:cs="Times New Roman"/>
          <w:sz w:val="28"/>
          <w:szCs w:val="28"/>
        </w:rPr>
        <w:t xml:space="preserve"> sottesa alla legislazione antimafia a giustificare la portata derogatoria degli istituti della certificazione antimafia rispetto alle generali disposizioni del procedimento amministrativo di cui alla l. n. 241/90. Emblematic</w:t>
      </w:r>
      <w:r w:rsidR="00A46A62" w:rsidRPr="00CF6680">
        <w:rPr>
          <w:rFonts w:ascii="Garamond" w:hAnsi="Garamond" w:cs="Times New Roman"/>
          <w:sz w:val="28"/>
          <w:szCs w:val="28"/>
        </w:rPr>
        <w:t>a, sotto questo profilo,</w:t>
      </w:r>
      <w:r w:rsidRPr="00CF6680">
        <w:rPr>
          <w:rFonts w:ascii="Garamond" w:hAnsi="Garamond" w:cs="Times New Roman"/>
          <w:sz w:val="28"/>
          <w:szCs w:val="28"/>
        </w:rPr>
        <w:t xml:space="preserve"> </w:t>
      </w:r>
      <w:r w:rsidR="00A46A62" w:rsidRPr="00CF6680">
        <w:rPr>
          <w:rFonts w:ascii="Garamond" w:hAnsi="Garamond" w:cs="Times New Roman"/>
          <w:sz w:val="28"/>
          <w:szCs w:val="28"/>
        </w:rPr>
        <w:t>è l’attenuazione delle garanzie procedimentali</w:t>
      </w:r>
      <w:r w:rsidR="002A6C19" w:rsidRPr="00CF6680">
        <w:rPr>
          <w:rStyle w:val="Rimandonotaapidipagina"/>
          <w:rFonts w:ascii="Garamond" w:hAnsi="Garamond" w:cs="Times New Roman"/>
          <w:sz w:val="28"/>
          <w:szCs w:val="28"/>
          <w:highlight w:val="lightGray"/>
        </w:rPr>
        <w:footnoteReference w:id="7"/>
      </w:r>
      <w:r w:rsidR="00A46A62" w:rsidRPr="00CF6680">
        <w:rPr>
          <w:rFonts w:ascii="Garamond" w:hAnsi="Garamond" w:cs="Times New Roman"/>
          <w:sz w:val="28"/>
          <w:szCs w:val="28"/>
        </w:rPr>
        <w:t xml:space="preserve"> riconosciute dalla legge da ultimo menzionata.</w:t>
      </w:r>
      <w:r w:rsidR="002A6C19" w:rsidRPr="00CF6680">
        <w:rPr>
          <w:rStyle w:val="Rimandonotaapidipagina"/>
          <w:rFonts w:ascii="Garamond" w:hAnsi="Garamond" w:cs="Times New Roman"/>
          <w:sz w:val="28"/>
          <w:szCs w:val="28"/>
        </w:rPr>
        <w:footnoteReference w:id="8"/>
      </w:r>
    </w:p>
    <w:p w:rsidR="002A6C19" w:rsidRPr="00CF6680" w:rsidRDefault="00E325B0" w:rsidP="00870847">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Sul punto si consideri </w:t>
      </w:r>
      <w:r w:rsidR="008226E8" w:rsidRPr="00CF6680">
        <w:rPr>
          <w:rFonts w:ascii="Garamond" w:hAnsi="Garamond" w:cs="Times New Roman"/>
          <w:sz w:val="28"/>
          <w:szCs w:val="28"/>
        </w:rPr>
        <w:t xml:space="preserve">consolidato </w:t>
      </w:r>
      <w:r w:rsidRPr="00CF6680">
        <w:rPr>
          <w:rFonts w:ascii="Garamond" w:hAnsi="Garamond" w:cs="Times New Roman"/>
          <w:sz w:val="28"/>
          <w:szCs w:val="28"/>
        </w:rPr>
        <w:t xml:space="preserve">l’orientamento del  </w:t>
      </w:r>
      <w:r w:rsidR="00A46A62" w:rsidRPr="00CF6680">
        <w:rPr>
          <w:rFonts w:ascii="Garamond" w:hAnsi="Garamond" w:cs="Times New Roman"/>
          <w:sz w:val="28"/>
          <w:szCs w:val="28"/>
        </w:rPr>
        <w:t>Consiglio di Stato</w:t>
      </w:r>
      <w:r w:rsidRPr="00CF6680">
        <w:rPr>
          <w:rFonts w:ascii="Garamond" w:hAnsi="Garamond" w:cs="Times New Roman"/>
          <w:sz w:val="28"/>
          <w:szCs w:val="28"/>
        </w:rPr>
        <w:t xml:space="preserve"> nel</w:t>
      </w:r>
      <w:r w:rsidR="002030AE" w:rsidRPr="00CF6680">
        <w:rPr>
          <w:rFonts w:ascii="Garamond" w:hAnsi="Garamond" w:cs="Times New Roman"/>
          <w:sz w:val="28"/>
          <w:szCs w:val="28"/>
        </w:rPr>
        <w:t xml:space="preserve"> rilevare </w:t>
      </w:r>
      <w:r w:rsidRPr="00CF6680">
        <w:rPr>
          <w:rFonts w:ascii="Garamond" w:hAnsi="Garamond" w:cs="Times New Roman"/>
          <w:sz w:val="28"/>
          <w:szCs w:val="28"/>
        </w:rPr>
        <w:t>che</w:t>
      </w:r>
      <w:r w:rsidR="002030AE" w:rsidRPr="00CF6680">
        <w:rPr>
          <w:rFonts w:ascii="Garamond" w:hAnsi="Garamond" w:cs="Times New Roman"/>
          <w:sz w:val="28"/>
          <w:szCs w:val="28"/>
        </w:rPr>
        <w:t xml:space="preserve"> la ponderazione tra i contrapposti valori costituzionali della libertà di impresa e tutela dei diritti fondamentali</w:t>
      </w:r>
      <w:r w:rsidRPr="00CF6680">
        <w:rPr>
          <w:rFonts w:ascii="Garamond" w:hAnsi="Garamond" w:cs="Times New Roman"/>
          <w:sz w:val="28"/>
          <w:szCs w:val="28"/>
        </w:rPr>
        <w:t>:</w:t>
      </w:r>
      <w:r w:rsidR="002030AE" w:rsidRPr="00CF6680">
        <w:rPr>
          <w:rFonts w:ascii="Garamond" w:hAnsi="Garamond" w:cs="Times New Roman"/>
          <w:sz w:val="28"/>
          <w:szCs w:val="28"/>
        </w:rPr>
        <w:t xml:space="preserve"> </w:t>
      </w:r>
      <w:r w:rsidR="00F903BC">
        <w:rPr>
          <w:rFonts w:ascii="Garamond" w:hAnsi="Garamond" w:cs="Times New Roman"/>
          <w:sz w:val="28"/>
          <w:szCs w:val="28"/>
        </w:rPr>
        <w:t>«</w:t>
      </w:r>
      <w:r w:rsidR="002030AE" w:rsidRPr="00CF6680">
        <w:rPr>
          <w:rFonts w:ascii="Garamond" w:hAnsi="Garamond" w:cs="Times New Roman"/>
          <w:i/>
          <w:sz w:val="28"/>
          <w:szCs w:val="28"/>
        </w:rPr>
        <w:t>può comportare anche un’attenuazione, se non una</w:t>
      </w:r>
      <w:r w:rsidR="002030AE" w:rsidRPr="00CF6680">
        <w:rPr>
          <w:rFonts w:ascii="Garamond" w:hAnsi="Garamond" w:cs="Times New Roman"/>
          <w:sz w:val="28"/>
          <w:szCs w:val="28"/>
        </w:rPr>
        <w:t xml:space="preserve"> </w:t>
      </w:r>
      <w:r w:rsidR="002030AE" w:rsidRPr="00CF6680">
        <w:rPr>
          <w:rFonts w:ascii="Garamond" w:hAnsi="Garamond" w:cs="Times New Roman"/>
          <w:i/>
          <w:sz w:val="28"/>
          <w:szCs w:val="28"/>
        </w:rPr>
        <w:t xml:space="preserve">eliminazione, del contraddittorio procedimentale, che del resto non è un valore assoluto, slegato dal doveroso contemperamento di esso con interessi di pari, o superiore, rango costituzionale, né un bene in sé, o un fine supremo e ad ogni costo irrinunciabile,  ma è un principio strumentale al buon andamento della pubblica amministrazione, e </w:t>
      </w:r>
      <w:r w:rsidR="008226E8" w:rsidRPr="00CF6680">
        <w:rPr>
          <w:rFonts w:ascii="Garamond" w:hAnsi="Garamond" w:cs="Times New Roman"/>
          <w:i/>
          <w:sz w:val="28"/>
          <w:szCs w:val="28"/>
        </w:rPr>
        <w:t xml:space="preserve">quello </w:t>
      </w:r>
      <w:r w:rsidR="002030AE" w:rsidRPr="00CF6680">
        <w:rPr>
          <w:rFonts w:ascii="Garamond" w:hAnsi="Garamond" w:cs="Times New Roman"/>
          <w:i/>
          <w:sz w:val="28"/>
          <w:szCs w:val="28"/>
        </w:rPr>
        <w:t>di le</w:t>
      </w:r>
      <w:r w:rsidR="006560E4" w:rsidRPr="00CF6680">
        <w:rPr>
          <w:rFonts w:ascii="Garamond" w:hAnsi="Garamond" w:cs="Times New Roman"/>
          <w:i/>
          <w:sz w:val="28"/>
          <w:szCs w:val="28"/>
        </w:rPr>
        <w:t>g</w:t>
      </w:r>
      <w:r w:rsidR="002030AE" w:rsidRPr="00CF6680">
        <w:rPr>
          <w:rFonts w:ascii="Garamond" w:hAnsi="Garamond" w:cs="Times New Roman"/>
          <w:i/>
          <w:sz w:val="28"/>
          <w:szCs w:val="28"/>
        </w:rPr>
        <w:t>alità sostanziale</w:t>
      </w:r>
      <w:r w:rsidR="00F903BC">
        <w:rPr>
          <w:rFonts w:ascii="Garamond" w:hAnsi="Garamond" w:cs="Times New Roman"/>
          <w:i/>
          <w:sz w:val="28"/>
          <w:szCs w:val="28"/>
        </w:rPr>
        <w:t>»</w:t>
      </w:r>
      <w:r w:rsidR="002030AE" w:rsidRPr="00CF6680">
        <w:rPr>
          <w:rStyle w:val="Rimandonotaapidipagina"/>
          <w:rFonts w:ascii="Garamond" w:hAnsi="Garamond" w:cs="Times New Roman"/>
          <w:i/>
          <w:sz w:val="28"/>
          <w:szCs w:val="28"/>
        </w:rPr>
        <w:footnoteReference w:id="9"/>
      </w:r>
      <w:r w:rsidR="002030AE" w:rsidRPr="00CF6680">
        <w:rPr>
          <w:rFonts w:ascii="Garamond" w:hAnsi="Garamond" w:cs="Times New Roman"/>
          <w:i/>
          <w:sz w:val="28"/>
          <w:szCs w:val="28"/>
        </w:rPr>
        <w:t>.</w:t>
      </w:r>
      <w:r w:rsidR="006560E4" w:rsidRPr="00CF6680">
        <w:rPr>
          <w:rFonts w:ascii="Garamond" w:hAnsi="Garamond" w:cs="Times New Roman"/>
          <w:sz w:val="28"/>
          <w:szCs w:val="28"/>
        </w:rPr>
        <w:t xml:space="preserve"> </w:t>
      </w:r>
      <w:r w:rsidR="00CB5C36" w:rsidRPr="00CF6680">
        <w:rPr>
          <w:rFonts w:ascii="Garamond" w:hAnsi="Garamond" w:cs="Times New Roman"/>
          <w:sz w:val="28"/>
          <w:szCs w:val="28"/>
        </w:rPr>
        <w:t xml:space="preserve"> </w:t>
      </w:r>
      <w:r w:rsidR="00C94B10" w:rsidRPr="00CF6680">
        <w:rPr>
          <w:rFonts w:ascii="Garamond" w:hAnsi="Garamond" w:cs="Times New Roman"/>
          <w:sz w:val="28"/>
          <w:szCs w:val="28"/>
        </w:rPr>
        <w:t>Detto p</w:t>
      </w:r>
      <w:r w:rsidR="002A6C19" w:rsidRPr="00CF6680">
        <w:rPr>
          <w:rFonts w:ascii="Garamond" w:hAnsi="Garamond" w:cs="Times New Roman"/>
          <w:sz w:val="28"/>
          <w:szCs w:val="28"/>
        </w:rPr>
        <w:t xml:space="preserve">rincipio </w:t>
      </w:r>
      <w:r w:rsidR="00C94B10" w:rsidRPr="00CF6680">
        <w:rPr>
          <w:rFonts w:ascii="Garamond" w:hAnsi="Garamond" w:cs="Times New Roman"/>
          <w:sz w:val="28"/>
          <w:szCs w:val="28"/>
        </w:rPr>
        <w:t>è stato ria</w:t>
      </w:r>
      <w:r w:rsidR="002A6C19" w:rsidRPr="00CF6680">
        <w:rPr>
          <w:rFonts w:ascii="Garamond" w:hAnsi="Garamond" w:cs="Times New Roman"/>
          <w:sz w:val="28"/>
          <w:szCs w:val="28"/>
        </w:rPr>
        <w:t>ffermato</w:t>
      </w:r>
      <w:r w:rsidR="00C94B10" w:rsidRPr="00CF6680">
        <w:rPr>
          <w:rFonts w:ascii="Garamond" w:hAnsi="Garamond" w:cs="Times New Roman"/>
          <w:sz w:val="28"/>
          <w:szCs w:val="28"/>
        </w:rPr>
        <w:t xml:space="preserve"> </w:t>
      </w:r>
      <w:r w:rsidR="002A6C19" w:rsidRPr="00CF6680">
        <w:rPr>
          <w:rFonts w:ascii="Garamond" w:hAnsi="Garamond" w:cs="Times New Roman"/>
          <w:sz w:val="28"/>
          <w:szCs w:val="28"/>
        </w:rPr>
        <w:t xml:space="preserve">dal Consiglio di Stato, </w:t>
      </w:r>
      <w:r w:rsidR="00C010D5">
        <w:rPr>
          <w:rFonts w:ascii="Garamond" w:hAnsi="Garamond" w:cs="Times New Roman"/>
          <w:sz w:val="28"/>
          <w:szCs w:val="28"/>
        </w:rPr>
        <w:t>Sez.</w:t>
      </w:r>
      <w:r w:rsidR="002A6C19" w:rsidRPr="00CF6680">
        <w:rPr>
          <w:rFonts w:ascii="Garamond" w:hAnsi="Garamond" w:cs="Times New Roman"/>
          <w:sz w:val="28"/>
          <w:szCs w:val="28"/>
        </w:rPr>
        <w:t xml:space="preserve"> III, nella pronuncia n. 820 del 2020</w:t>
      </w:r>
      <w:r w:rsidR="00870847">
        <w:rPr>
          <w:rFonts w:ascii="Garamond" w:hAnsi="Garamond" w:cs="Times New Roman"/>
          <w:sz w:val="28"/>
          <w:szCs w:val="28"/>
        </w:rPr>
        <w:t>.</w:t>
      </w:r>
    </w:p>
    <w:p w:rsidR="008D5EEC" w:rsidRPr="00CF6680" w:rsidRDefault="000D7FC8"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Questo tipo di procedimenti non prevede </w:t>
      </w:r>
      <w:r w:rsidR="00106EEB" w:rsidRPr="00CF6680">
        <w:rPr>
          <w:rFonts w:ascii="Garamond" w:hAnsi="Garamond" w:cs="Times New Roman"/>
          <w:sz w:val="28"/>
          <w:szCs w:val="28"/>
        </w:rPr>
        <w:t xml:space="preserve">neanche </w:t>
      </w:r>
      <w:r w:rsidRPr="00CF6680">
        <w:rPr>
          <w:rFonts w:ascii="Garamond" w:hAnsi="Garamond" w:cs="Times New Roman"/>
          <w:sz w:val="28"/>
          <w:szCs w:val="28"/>
        </w:rPr>
        <w:t xml:space="preserve">la comunicazione di avvio </w:t>
      </w:r>
      <w:r w:rsidR="008226E8" w:rsidRPr="00CF6680">
        <w:rPr>
          <w:rFonts w:ascii="Garamond" w:hAnsi="Garamond" w:cs="Times New Roman"/>
          <w:sz w:val="28"/>
          <w:szCs w:val="28"/>
        </w:rPr>
        <w:t>di cui all’</w:t>
      </w:r>
      <w:r w:rsidRPr="00CF6680">
        <w:rPr>
          <w:rFonts w:ascii="Garamond" w:hAnsi="Garamond" w:cs="Times New Roman"/>
          <w:sz w:val="28"/>
          <w:szCs w:val="28"/>
        </w:rPr>
        <w:t xml:space="preserve"> art. 7, l n. 241/90, </w:t>
      </w:r>
      <w:r w:rsidR="00F903BC">
        <w:rPr>
          <w:rFonts w:ascii="Garamond" w:hAnsi="Garamond" w:cs="Times New Roman"/>
          <w:i/>
          <w:sz w:val="28"/>
          <w:szCs w:val="28"/>
        </w:rPr>
        <w:t>«</w:t>
      </w:r>
      <w:r w:rsidRPr="00CF6680">
        <w:rPr>
          <w:rFonts w:ascii="Garamond" w:hAnsi="Garamond" w:cs="Times New Roman"/>
          <w:i/>
          <w:sz w:val="28"/>
          <w:szCs w:val="28"/>
        </w:rPr>
        <w:t>atteso che si tratta di procediment</w:t>
      </w:r>
      <w:r w:rsidR="008226E8" w:rsidRPr="00CF6680">
        <w:rPr>
          <w:rFonts w:ascii="Garamond" w:hAnsi="Garamond" w:cs="Times New Roman"/>
          <w:i/>
          <w:sz w:val="28"/>
          <w:szCs w:val="28"/>
        </w:rPr>
        <w:t>i</w:t>
      </w:r>
      <w:r w:rsidRPr="00CF6680">
        <w:rPr>
          <w:rFonts w:ascii="Garamond" w:hAnsi="Garamond" w:cs="Times New Roman"/>
          <w:i/>
          <w:sz w:val="28"/>
          <w:szCs w:val="28"/>
        </w:rPr>
        <w:t xml:space="preserve"> intrinsecamente caratterizza</w:t>
      </w:r>
      <w:r w:rsidR="008226E8" w:rsidRPr="00CF6680">
        <w:rPr>
          <w:rFonts w:ascii="Garamond" w:hAnsi="Garamond" w:cs="Times New Roman"/>
          <w:i/>
          <w:sz w:val="28"/>
          <w:szCs w:val="28"/>
        </w:rPr>
        <w:t>ti</w:t>
      </w:r>
      <w:r w:rsidRPr="00CF6680">
        <w:rPr>
          <w:rFonts w:ascii="Garamond" w:hAnsi="Garamond" w:cs="Times New Roman"/>
          <w:i/>
          <w:sz w:val="28"/>
          <w:szCs w:val="28"/>
        </w:rPr>
        <w:t xml:space="preserve"> da profili del tutto specifici connessi ad attività di indagine, oltre che da finalità, da destinatari e da presupposti incompatibili con le procedure partecipative, nonché da oggettive ragioni di urgenza</w:t>
      </w:r>
      <w:r w:rsidR="00F903BC">
        <w:rPr>
          <w:rFonts w:ascii="Garamond" w:hAnsi="Garamond" w:cs="Times New Roman"/>
          <w:i/>
          <w:sz w:val="28"/>
          <w:szCs w:val="28"/>
        </w:rPr>
        <w:t>»</w:t>
      </w:r>
      <w:r w:rsidRPr="00CF6680">
        <w:rPr>
          <w:rStyle w:val="Rimandonotaapidipagina"/>
          <w:rFonts w:ascii="Garamond" w:hAnsi="Garamond" w:cs="Times New Roman"/>
          <w:i/>
          <w:sz w:val="28"/>
          <w:szCs w:val="28"/>
        </w:rPr>
        <w:footnoteReference w:id="10"/>
      </w:r>
      <w:r w:rsidRPr="00CF6680">
        <w:rPr>
          <w:rFonts w:ascii="Garamond" w:hAnsi="Garamond" w:cs="Times New Roman"/>
          <w:i/>
          <w:sz w:val="28"/>
          <w:szCs w:val="28"/>
        </w:rPr>
        <w:t>.</w:t>
      </w:r>
      <w:r w:rsidR="008226E8" w:rsidRPr="00CF6680">
        <w:rPr>
          <w:rFonts w:ascii="Garamond" w:hAnsi="Garamond" w:cs="Times New Roman"/>
          <w:i/>
          <w:sz w:val="28"/>
          <w:szCs w:val="28"/>
        </w:rPr>
        <w:t xml:space="preserve"> </w:t>
      </w:r>
      <w:r w:rsidR="006560E4" w:rsidRPr="00CF6680">
        <w:rPr>
          <w:rFonts w:ascii="Garamond" w:hAnsi="Garamond" w:cs="Times New Roman"/>
          <w:sz w:val="28"/>
          <w:szCs w:val="28"/>
        </w:rPr>
        <w:t xml:space="preserve">Il </w:t>
      </w:r>
      <w:r w:rsidR="00E325B0" w:rsidRPr="00CF6680">
        <w:rPr>
          <w:rFonts w:ascii="Garamond" w:hAnsi="Garamond" w:cs="Times New Roman"/>
          <w:sz w:val="28"/>
          <w:szCs w:val="28"/>
        </w:rPr>
        <w:t xml:space="preserve">Giudice </w:t>
      </w:r>
      <w:r w:rsidR="006560E4" w:rsidRPr="00CF6680">
        <w:rPr>
          <w:rFonts w:ascii="Garamond" w:hAnsi="Garamond" w:cs="Times New Roman"/>
          <w:sz w:val="28"/>
          <w:szCs w:val="28"/>
        </w:rPr>
        <w:t>amministrativo ha riconosciuto</w:t>
      </w:r>
      <w:r w:rsidR="008D5EEC" w:rsidRPr="00CF6680">
        <w:rPr>
          <w:rFonts w:ascii="Garamond" w:hAnsi="Garamond" w:cs="Times New Roman"/>
          <w:sz w:val="28"/>
          <w:szCs w:val="28"/>
        </w:rPr>
        <w:t xml:space="preserve"> l’esistenza di deroghe anche sul piano processuale, prevedendo, </w:t>
      </w:r>
      <w:r w:rsidR="00E325B0" w:rsidRPr="00CF6680">
        <w:rPr>
          <w:rFonts w:ascii="Garamond" w:hAnsi="Garamond" w:cs="Times New Roman"/>
          <w:sz w:val="28"/>
          <w:szCs w:val="28"/>
        </w:rPr>
        <w:t>tra l’altro</w:t>
      </w:r>
      <w:r w:rsidR="0091132C" w:rsidRPr="00CF6680">
        <w:rPr>
          <w:rFonts w:ascii="Garamond" w:hAnsi="Garamond" w:cs="Times New Roman"/>
          <w:sz w:val="28"/>
          <w:szCs w:val="28"/>
        </w:rPr>
        <w:t xml:space="preserve">, la competenza </w:t>
      </w:r>
      <w:r w:rsidR="00E325B0" w:rsidRPr="00CF6680">
        <w:rPr>
          <w:rFonts w:ascii="Garamond" w:hAnsi="Garamond" w:cs="Times New Roman"/>
          <w:sz w:val="28"/>
          <w:szCs w:val="28"/>
        </w:rPr>
        <w:t xml:space="preserve">territoriale </w:t>
      </w:r>
      <w:r w:rsidR="0091132C" w:rsidRPr="00CF6680">
        <w:rPr>
          <w:rFonts w:ascii="Garamond" w:hAnsi="Garamond" w:cs="Times New Roman"/>
          <w:sz w:val="28"/>
          <w:szCs w:val="28"/>
        </w:rPr>
        <w:t xml:space="preserve">del Tribunale Amministrativo Regionale ove ha sede la Prefettura che ha emesso il provvedimento antimafia, </w:t>
      </w:r>
      <w:r w:rsidR="008D5EEC" w:rsidRPr="00CF6680">
        <w:rPr>
          <w:rFonts w:ascii="Garamond" w:hAnsi="Garamond" w:cs="Times New Roman"/>
          <w:sz w:val="28"/>
          <w:szCs w:val="28"/>
        </w:rPr>
        <w:t>anche nell’ipotesi in cui siano impugnati diversi atti di revoca da parte di singole amministrazioni dislocate sul territorio</w:t>
      </w:r>
      <w:r w:rsidR="0091132C" w:rsidRPr="00CF6680">
        <w:rPr>
          <w:rFonts w:ascii="Garamond" w:hAnsi="Garamond" w:cs="Times New Roman"/>
          <w:sz w:val="28"/>
          <w:szCs w:val="28"/>
        </w:rPr>
        <w:t>.</w:t>
      </w:r>
      <w:r w:rsidR="0091132C" w:rsidRPr="00CF6680">
        <w:rPr>
          <w:rStyle w:val="Rimandonotaapidipagina"/>
          <w:rFonts w:ascii="Garamond" w:hAnsi="Garamond" w:cs="Times New Roman"/>
          <w:sz w:val="28"/>
          <w:szCs w:val="28"/>
        </w:rPr>
        <w:footnoteReference w:id="11"/>
      </w:r>
      <w:r w:rsidR="009E0C40" w:rsidRPr="00CF6680">
        <w:rPr>
          <w:rFonts w:ascii="Garamond" w:hAnsi="Garamond" w:cs="Times New Roman"/>
          <w:sz w:val="28"/>
          <w:szCs w:val="28"/>
        </w:rPr>
        <w:t xml:space="preserve"> </w:t>
      </w:r>
    </w:p>
    <w:p w:rsidR="00771D31" w:rsidRDefault="002C320C" w:rsidP="00CF6680">
      <w:pPr>
        <w:spacing w:line="276" w:lineRule="auto"/>
        <w:ind w:firstLine="709"/>
        <w:jc w:val="both"/>
        <w:rPr>
          <w:rFonts w:ascii="Garamond" w:hAnsi="Garamond" w:cs="Times New Roman"/>
          <w:i/>
          <w:sz w:val="28"/>
          <w:szCs w:val="28"/>
        </w:rPr>
      </w:pPr>
      <w:r w:rsidRPr="00CF6680">
        <w:rPr>
          <w:rFonts w:ascii="Garamond" w:hAnsi="Garamond" w:cs="Times New Roman"/>
          <w:sz w:val="28"/>
          <w:szCs w:val="28"/>
        </w:rPr>
        <w:t>Occorre da ultimo dare atto che, nonostante quanto sopra affermato, il contraddittorio procedimentale non è del tutto assente nelle procedure antimafia, in quanto l’articolo 93,</w:t>
      </w:r>
      <w:r w:rsidR="00771D31">
        <w:rPr>
          <w:rFonts w:ascii="Garamond" w:hAnsi="Garamond" w:cs="Times New Roman"/>
          <w:sz w:val="28"/>
          <w:szCs w:val="28"/>
        </w:rPr>
        <w:t xml:space="preserve"> comma 7, del d. </w:t>
      </w:r>
      <w:proofErr w:type="spellStart"/>
      <w:r w:rsidR="00771D31">
        <w:rPr>
          <w:rFonts w:ascii="Garamond" w:hAnsi="Garamond" w:cs="Times New Roman"/>
          <w:sz w:val="28"/>
          <w:szCs w:val="28"/>
        </w:rPr>
        <w:t>lgs</w:t>
      </w:r>
      <w:proofErr w:type="spellEnd"/>
      <w:r w:rsidR="00771D31">
        <w:rPr>
          <w:rFonts w:ascii="Garamond" w:hAnsi="Garamond" w:cs="Times New Roman"/>
          <w:sz w:val="28"/>
          <w:szCs w:val="28"/>
        </w:rPr>
        <w:t xml:space="preserve">. n. 159 del </w:t>
      </w:r>
      <w:r w:rsidRPr="00CF6680">
        <w:rPr>
          <w:rFonts w:ascii="Garamond" w:hAnsi="Garamond" w:cs="Times New Roman"/>
          <w:sz w:val="28"/>
          <w:szCs w:val="28"/>
        </w:rPr>
        <w:t xml:space="preserve">2011 prevede che </w:t>
      </w:r>
      <w:r w:rsidR="00F903BC">
        <w:rPr>
          <w:rFonts w:ascii="Garamond" w:hAnsi="Garamond" w:cs="Times New Roman"/>
          <w:i/>
          <w:sz w:val="28"/>
          <w:szCs w:val="28"/>
        </w:rPr>
        <w:t>«</w:t>
      </w:r>
      <w:r w:rsidRPr="00CF6680">
        <w:rPr>
          <w:rFonts w:ascii="Garamond" w:hAnsi="Garamond" w:cs="Times New Roman"/>
          <w:i/>
          <w:sz w:val="28"/>
          <w:szCs w:val="28"/>
        </w:rPr>
        <w:t xml:space="preserve">il </w:t>
      </w:r>
      <w:r w:rsidR="00CF6680">
        <w:rPr>
          <w:rFonts w:ascii="Garamond" w:hAnsi="Garamond" w:cs="Times New Roman"/>
          <w:i/>
          <w:sz w:val="28"/>
          <w:szCs w:val="28"/>
        </w:rPr>
        <w:t>P</w:t>
      </w:r>
      <w:r w:rsidRPr="00CF6680">
        <w:rPr>
          <w:rFonts w:ascii="Garamond" w:hAnsi="Garamond" w:cs="Times New Roman"/>
          <w:i/>
          <w:sz w:val="28"/>
          <w:szCs w:val="28"/>
        </w:rPr>
        <w:t>refetto competente al rilascio dell’informazione, ove lo ritenga utile, sulla base della documentazione e delle informazioni acquisite invita, in sede di audizione personale, i soggetti interessati a produrre, anche allegando elementi documentali, ogni informazione ritenuta utile</w:t>
      </w:r>
      <w:r w:rsidR="00F903BC">
        <w:rPr>
          <w:rFonts w:ascii="Garamond" w:hAnsi="Garamond" w:cs="Times New Roman"/>
          <w:i/>
          <w:sz w:val="28"/>
          <w:szCs w:val="28"/>
        </w:rPr>
        <w:t>»</w:t>
      </w:r>
      <w:r w:rsidRPr="00CF6680">
        <w:rPr>
          <w:rFonts w:ascii="Garamond" w:hAnsi="Garamond" w:cs="Times New Roman"/>
          <w:i/>
          <w:sz w:val="28"/>
          <w:szCs w:val="28"/>
        </w:rPr>
        <w:t xml:space="preserve">. </w:t>
      </w:r>
    </w:p>
    <w:p w:rsidR="00005B8D" w:rsidRPr="00CF6680" w:rsidRDefault="002C320C" w:rsidP="00870847">
      <w:pPr>
        <w:spacing w:line="276" w:lineRule="auto"/>
        <w:ind w:firstLine="709"/>
        <w:jc w:val="both"/>
        <w:rPr>
          <w:rFonts w:ascii="Garamond" w:hAnsi="Garamond" w:cs="Times New Roman"/>
          <w:sz w:val="28"/>
          <w:szCs w:val="28"/>
        </w:rPr>
      </w:pPr>
      <w:r w:rsidRPr="00CF6680">
        <w:rPr>
          <w:rFonts w:ascii="Garamond" w:hAnsi="Garamond" w:cs="Times New Roman"/>
          <w:sz w:val="28"/>
          <w:szCs w:val="28"/>
        </w:rPr>
        <w:lastRenderedPageBreak/>
        <w:t xml:space="preserve">Inoltre, come più volte chiarito dalla giurisprudenza amministrativa, il bilanciamento tra l’esigenza di contrasto al fenomeno mafioso e la tutela della libertà di impresa trova un punto di equilibrio nella previsione di cui all’articolo 91, comma 5,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w:t>
      </w:r>
      <w:r w:rsidR="00C010D5">
        <w:rPr>
          <w:rFonts w:ascii="Garamond" w:hAnsi="Garamond" w:cs="Times New Roman"/>
          <w:sz w:val="28"/>
          <w:szCs w:val="28"/>
        </w:rPr>
        <w:t>n. 159 del 2011</w:t>
      </w:r>
      <w:r w:rsidRPr="00CF6680">
        <w:rPr>
          <w:rFonts w:ascii="Garamond" w:hAnsi="Garamond" w:cs="Times New Roman"/>
          <w:sz w:val="28"/>
          <w:szCs w:val="28"/>
        </w:rPr>
        <w:t xml:space="preserve"> che impone all’autorità amministrativa</w:t>
      </w:r>
      <w:r w:rsidR="00993D00" w:rsidRPr="00CF6680">
        <w:rPr>
          <w:rFonts w:ascii="Garamond" w:hAnsi="Garamond" w:cs="Times New Roman"/>
          <w:sz w:val="28"/>
          <w:szCs w:val="28"/>
        </w:rPr>
        <w:t xml:space="preserve"> competente, ai </w:t>
      </w:r>
      <w:r w:rsidR="00870847">
        <w:rPr>
          <w:rFonts w:ascii="Garamond" w:hAnsi="Garamond" w:cs="Times New Roman"/>
          <w:sz w:val="28"/>
          <w:szCs w:val="28"/>
        </w:rPr>
        <w:t>fini del rilascio della misura,</w:t>
      </w:r>
      <w:r w:rsidRPr="00CF6680">
        <w:rPr>
          <w:rFonts w:ascii="Garamond" w:hAnsi="Garamond" w:cs="Times New Roman"/>
          <w:sz w:val="28"/>
          <w:szCs w:val="28"/>
        </w:rPr>
        <w:t xml:space="preserve"> di considerare i fatti nuovi</w:t>
      </w:r>
      <w:r w:rsidR="00993D00" w:rsidRPr="00CF6680">
        <w:rPr>
          <w:rFonts w:ascii="Garamond" w:hAnsi="Garamond" w:cs="Times New Roman"/>
          <w:sz w:val="28"/>
          <w:szCs w:val="28"/>
        </w:rPr>
        <w:t xml:space="preserve"> sopravvenuti.</w:t>
      </w:r>
    </w:p>
    <w:p w:rsidR="002C320C" w:rsidRPr="00CF6680" w:rsidRDefault="002C320C" w:rsidP="00CF6680">
      <w:pPr>
        <w:spacing w:line="276" w:lineRule="auto"/>
        <w:ind w:firstLine="709"/>
        <w:jc w:val="both"/>
        <w:rPr>
          <w:rFonts w:ascii="Garamond" w:hAnsi="Garamond" w:cs="Times New Roman"/>
          <w:sz w:val="28"/>
          <w:szCs w:val="28"/>
        </w:rPr>
      </w:pPr>
    </w:p>
    <w:p w:rsidR="0091132C" w:rsidRPr="00870847" w:rsidRDefault="00CF6680" w:rsidP="00870847">
      <w:pPr>
        <w:pStyle w:val="Paragrafoelenco"/>
        <w:spacing w:line="276" w:lineRule="auto"/>
        <w:jc w:val="both"/>
        <w:rPr>
          <w:rFonts w:ascii="Garamond" w:hAnsi="Garamond" w:cs="Times New Roman"/>
          <w:i/>
          <w:sz w:val="28"/>
          <w:szCs w:val="28"/>
        </w:rPr>
      </w:pPr>
      <w:r w:rsidRPr="00CF6680">
        <w:rPr>
          <w:rFonts w:ascii="Garamond" w:hAnsi="Garamond" w:cs="Times New Roman"/>
          <w:sz w:val="28"/>
          <w:szCs w:val="28"/>
        </w:rPr>
        <w:t>§ 2</w:t>
      </w:r>
      <w:r>
        <w:rPr>
          <w:rFonts w:ascii="Garamond" w:hAnsi="Garamond" w:cs="Times New Roman"/>
          <w:i/>
          <w:sz w:val="28"/>
          <w:szCs w:val="28"/>
        </w:rPr>
        <w:t xml:space="preserve">- </w:t>
      </w:r>
      <w:r w:rsidR="0091132C" w:rsidRPr="00CF6680">
        <w:rPr>
          <w:rFonts w:ascii="Garamond" w:hAnsi="Garamond" w:cs="Times New Roman"/>
          <w:i/>
          <w:sz w:val="28"/>
          <w:szCs w:val="28"/>
          <w:u w:val="single"/>
        </w:rPr>
        <w:t xml:space="preserve">Comunicazione e informazione antimafia: differenze </w:t>
      </w:r>
      <w:r w:rsidR="00CD541D" w:rsidRPr="00CF6680">
        <w:rPr>
          <w:rFonts w:ascii="Garamond" w:hAnsi="Garamond" w:cs="Times New Roman"/>
          <w:i/>
          <w:sz w:val="28"/>
          <w:szCs w:val="28"/>
          <w:u w:val="single"/>
        </w:rPr>
        <w:t>dei presupposti e degli</w:t>
      </w:r>
      <w:r w:rsidR="0091132C" w:rsidRPr="00CF6680">
        <w:rPr>
          <w:rFonts w:ascii="Garamond" w:hAnsi="Garamond" w:cs="Times New Roman"/>
          <w:i/>
          <w:sz w:val="28"/>
          <w:szCs w:val="28"/>
          <w:u w:val="single"/>
        </w:rPr>
        <w:t xml:space="preserve"> effetti</w:t>
      </w:r>
      <w:r w:rsidR="0091132C" w:rsidRPr="00CF6680">
        <w:rPr>
          <w:rFonts w:ascii="Garamond" w:hAnsi="Garamond" w:cs="Times New Roman"/>
          <w:i/>
          <w:sz w:val="28"/>
          <w:szCs w:val="28"/>
        </w:rPr>
        <w:t xml:space="preserve">  </w:t>
      </w:r>
    </w:p>
    <w:p w:rsidR="0091132C" w:rsidRPr="00CF6680" w:rsidRDefault="0091132C" w:rsidP="00CF6680">
      <w:pPr>
        <w:spacing w:line="276" w:lineRule="auto"/>
        <w:ind w:firstLine="709"/>
        <w:jc w:val="both"/>
        <w:rPr>
          <w:rFonts w:ascii="Garamond" w:hAnsi="Garamond"/>
          <w:b/>
          <w:sz w:val="28"/>
          <w:szCs w:val="28"/>
          <w:u w:val="single"/>
        </w:rPr>
      </w:pPr>
    </w:p>
    <w:p w:rsidR="0091132C" w:rsidRPr="00CF6680" w:rsidRDefault="00CD541D"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Posto che</w:t>
      </w:r>
      <w:r w:rsidR="00757D20" w:rsidRPr="00CF6680">
        <w:rPr>
          <w:rFonts w:ascii="Garamond" w:hAnsi="Garamond" w:cs="Times New Roman"/>
          <w:sz w:val="28"/>
          <w:szCs w:val="28"/>
        </w:rPr>
        <w:t xml:space="preserve"> a</w:t>
      </w:r>
      <w:r w:rsidR="003928C4" w:rsidRPr="00CF6680">
        <w:rPr>
          <w:rFonts w:ascii="Garamond" w:hAnsi="Garamond" w:cs="Times New Roman"/>
          <w:sz w:val="28"/>
          <w:szCs w:val="28"/>
        </w:rPr>
        <w:t>i sensi dell’</w:t>
      </w:r>
      <w:r w:rsidR="00870847">
        <w:rPr>
          <w:rFonts w:ascii="Garamond" w:hAnsi="Garamond" w:cs="Times New Roman"/>
          <w:sz w:val="28"/>
          <w:szCs w:val="28"/>
        </w:rPr>
        <w:t>articolo 84, comma 1</w:t>
      </w:r>
      <w:r w:rsidR="0091132C" w:rsidRPr="00CF6680">
        <w:rPr>
          <w:rFonts w:ascii="Garamond" w:hAnsi="Garamond" w:cs="Times New Roman"/>
          <w:sz w:val="28"/>
          <w:szCs w:val="28"/>
        </w:rPr>
        <w:t>, d.</w:t>
      </w:r>
      <w:r w:rsidR="00870847">
        <w:rPr>
          <w:rFonts w:ascii="Garamond" w:hAnsi="Garamond" w:cs="Times New Roman"/>
          <w:sz w:val="28"/>
          <w:szCs w:val="28"/>
        </w:rPr>
        <w:t xml:space="preserve"> </w:t>
      </w:r>
      <w:proofErr w:type="spellStart"/>
      <w:r w:rsidR="0091132C" w:rsidRPr="00CF6680">
        <w:rPr>
          <w:rFonts w:ascii="Garamond" w:hAnsi="Garamond" w:cs="Times New Roman"/>
          <w:sz w:val="28"/>
          <w:szCs w:val="28"/>
        </w:rPr>
        <w:t>lgs</w:t>
      </w:r>
      <w:proofErr w:type="spellEnd"/>
      <w:r w:rsidR="00870847">
        <w:rPr>
          <w:rFonts w:ascii="Garamond" w:hAnsi="Garamond" w:cs="Times New Roman"/>
          <w:sz w:val="28"/>
          <w:szCs w:val="28"/>
        </w:rPr>
        <w:t>. n. 159 del</w:t>
      </w:r>
      <w:r w:rsidR="0091132C" w:rsidRPr="00CF6680">
        <w:rPr>
          <w:rFonts w:ascii="Garamond" w:hAnsi="Garamond" w:cs="Times New Roman"/>
          <w:sz w:val="28"/>
          <w:szCs w:val="28"/>
        </w:rPr>
        <w:t xml:space="preserve"> 2011</w:t>
      </w:r>
      <w:r w:rsidR="003928C4" w:rsidRPr="00CF6680">
        <w:rPr>
          <w:rFonts w:ascii="Garamond" w:hAnsi="Garamond" w:cs="Times New Roman"/>
          <w:sz w:val="28"/>
          <w:szCs w:val="28"/>
        </w:rPr>
        <w:t>, la documentazione antimafia è costituita dalla comunicazione e dalla informazione antimafia</w:t>
      </w:r>
      <w:r w:rsidR="00757D20" w:rsidRPr="00CF6680">
        <w:rPr>
          <w:rStyle w:val="Rimandonotaapidipagina"/>
          <w:rFonts w:ascii="Garamond" w:hAnsi="Garamond" w:cs="Times New Roman"/>
          <w:sz w:val="28"/>
          <w:szCs w:val="28"/>
        </w:rPr>
        <w:footnoteReference w:id="12"/>
      </w:r>
      <w:r w:rsidRPr="00CF6680">
        <w:rPr>
          <w:rFonts w:ascii="Garamond" w:hAnsi="Garamond" w:cs="Times New Roman"/>
          <w:sz w:val="28"/>
          <w:szCs w:val="28"/>
        </w:rPr>
        <w:t>, va detto che</w:t>
      </w:r>
      <w:r w:rsidR="003928C4" w:rsidRPr="00CF6680">
        <w:rPr>
          <w:rFonts w:ascii="Garamond" w:hAnsi="Garamond" w:cs="Times New Roman"/>
          <w:sz w:val="28"/>
          <w:szCs w:val="28"/>
        </w:rPr>
        <w:t xml:space="preserve"> </w:t>
      </w:r>
      <w:r w:rsidRPr="00CF6680">
        <w:rPr>
          <w:rFonts w:ascii="Garamond" w:hAnsi="Garamond" w:cs="Times New Roman"/>
          <w:sz w:val="28"/>
          <w:szCs w:val="28"/>
        </w:rPr>
        <w:t>l</w:t>
      </w:r>
      <w:r w:rsidR="002D2874" w:rsidRPr="00CF6680">
        <w:rPr>
          <w:rFonts w:ascii="Garamond" w:hAnsi="Garamond" w:cs="Times New Roman"/>
          <w:sz w:val="28"/>
          <w:szCs w:val="28"/>
        </w:rPr>
        <w:t xml:space="preserve">a prima consiste </w:t>
      </w:r>
      <w:r w:rsidR="00F903BC">
        <w:rPr>
          <w:rFonts w:ascii="Garamond" w:hAnsi="Garamond" w:cs="Times New Roman"/>
          <w:i/>
          <w:sz w:val="28"/>
          <w:szCs w:val="28"/>
        </w:rPr>
        <w:t>«</w:t>
      </w:r>
      <w:r w:rsidR="002D2874" w:rsidRPr="00CF6680">
        <w:rPr>
          <w:rFonts w:ascii="Garamond" w:hAnsi="Garamond" w:cs="Times New Roman"/>
          <w:i/>
          <w:sz w:val="28"/>
          <w:szCs w:val="28"/>
        </w:rPr>
        <w:t>nell’attestazione della sussistenza o meno di una delle cause di decadenza, di sospensione o di divieto di cui all’art. 67</w:t>
      </w:r>
      <w:r w:rsidR="00F903BC">
        <w:rPr>
          <w:rFonts w:ascii="Garamond" w:hAnsi="Garamond" w:cs="Times New Roman"/>
          <w:i/>
          <w:sz w:val="28"/>
          <w:szCs w:val="28"/>
        </w:rPr>
        <w:t>»</w:t>
      </w:r>
      <w:r w:rsidR="002D2874" w:rsidRPr="00CF6680">
        <w:rPr>
          <w:rFonts w:ascii="Garamond" w:hAnsi="Garamond" w:cs="Times New Roman"/>
          <w:i/>
          <w:sz w:val="28"/>
          <w:szCs w:val="28"/>
        </w:rPr>
        <w:t>,</w:t>
      </w:r>
      <w:r w:rsidR="002D2874" w:rsidRPr="00CF6680">
        <w:rPr>
          <w:rFonts w:ascii="Garamond" w:hAnsi="Garamond" w:cs="Times New Roman"/>
          <w:sz w:val="28"/>
          <w:szCs w:val="28"/>
        </w:rPr>
        <w:t xml:space="preserve"> mentre l’informazione antimafia si sostanzia nell’attestazione </w:t>
      </w:r>
      <w:r w:rsidR="00F903BC">
        <w:rPr>
          <w:rFonts w:ascii="Garamond" w:hAnsi="Garamond" w:cs="Times New Roman"/>
          <w:i/>
          <w:sz w:val="28"/>
          <w:szCs w:val="28"/>
        </w:rPr>
        <w:t>«</w:t>
      </w:r>
      <w:r w:rsidR="002D2874" w:rsidRPr="00CF6680">
        <w:rPr>
          <w:rFonts w:ascii="Garamond" w:hAnsi="Garamond" w:cs="Times New Roman"/>
          <w:i/>
          <w:sz w:val="28"/>
          <w:szCs w:val="28"/>
        </w:rPr>
        <w:t>della sussistenza o meno di una delle cause di decadenza, di sospensione o di divieti di cui all’arti 67, nonché (..)nell’attestazione della sussistenza di eventuali tent</w:t>
      </w:r>
      <w:r w:rsidR="00F16696" w:rsidRPr="00CF6680">
        <w:rPr>
          <w:rFonts w:ascii="Garamond" w:hAnsi="Garamond" w:cs="Times New Roman"/>
          <w:i/>
          <w:sz w:val="28"/>
          <w:szCs w:val="28"/>
        </w:rPr>
        <w:t>a</w:t>
      </w:r>
      <w:r w:rsidR="008226E8" w:rsidRPr="00CF6680">
        <w:rPr>
          <w:rFonts w:ascii="Garamond" w:hAnsi="Garamond" w:cs="Times New Roman"/>
          <w:i/>
          <w:sz w:val="28"/>
          <w:szCs w:val="28"/>
        </w:rPr>
        <w:t>t</w:t>
      </w:r>
      <w:r w:rsidR="002D2874" w:rsidRPr="00CF6680">
        <w:rPr>
          <w:rFonts w:ascii="Garamond" w:hAnsi="Garamond" w:cs="Times New Roman"/>
          <w:i/>
          <w:sz w:val="28"/>
          <w:szCs w:val="28"/>
        </w:rPr>
        <w:t>ivi di infiltrazione mafiosa tendenti a condizionare le scelte e gli indiri</w:t>
      </w:r>
      <w:r w:rsidR="00F02A5F" w:rsidRPr="00CF6680">
        <w:rPr>
          <w:rFonts w:ascii="Garamond" w:hAnsi="Garamond" w:cs="Times New Roman"/>
          <w:i/>
          <w:sz w:val="28"/>
          <w:szCs w:val="28"/>
        </w:rPr>
        <w:t>zz</w:t>
      </w:r>
      <w:r w:rsidR="002D2874" w:rsidRPr="00CF6680">
        <w:rPr>
          <w:rFonts w:ascii="Garamond" w:hAnsi="Garamond" w:cs="Times New Roman"/>
          <w:i/>
          <w:sz w:val="28"/>
          <w:szCs w:val="28"/>
        </w:rPr>
        <w:t>i delle società (..)</w:t>
      </w:r>
      <w:r w:rsidR="00F903BC">
        <w:rPr>
          <w:rFonts w:ascii="Garamond" w:hAnsi="Garamond" w:cs="Times New Roman"/>
          <w:i/>
          <w:sz w:val="28"/>
          <w:szCs w:val="28"/>
        </w:rPr>
        <w:t>»</w:t>
      </w:r>
      <w:r w:rsidR="002D2874" w:rsidRPr="00CF6680">
        <w:rPr>
          <w:rFonts w:ascii="Garamond" w:hAnsi="Garamond" w:cs="Times New Roman"/>
          <w:sz w:val="28"/>
          <w:szCs w:val="28"/>
        </w:rPr>
        <w:t xml:space="preserve">. </w:t>
      </w:r>
      <w:r w:rsidR="008226E8" w:rsidRPr="00CF6680">
        <w:rPr>
          <w:rStyle w:val="Rimandonotaapidipagina"/>
          <w:rFonts w:ascii="Garamond" w:hAnsi="Garamond" w:cs="Times New Roman"/>
          <w:sz w:val="28"/>
          <w:szCs w:val="28"/>
        </w:rPr>
        <w:footnoteReference w:id="13"/>
      </w:r>
    </w:p>
    <w:p w:rsidR="00870847" w:rsidRDefault="00742A82"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La comunicazione e l’informazione antimafia</w:t>
      </w:r>
      <w:r w:rsidR="001757CC" w:rsidRPr="00CF6680">
        <w:rPr>
          <w:rStyle w:val="Rimandonotaapidipagina"/>
          <w:rFonts w:ascii="Garamond" w:hAnsi="Garamond" w:cs="Times New Roman"/>
          <w:sz w:val="28"/>
          <w:szCs w:val="28"/>
        </w:rPr>
        <w:footnoteReference w:id="14"/>
      </w:r>
      <w:r w:rsidRPr="00CF6680">
        <w:rPr>
          <w:rFonts w:ascii="Garamond" w:hAnsi="Garamond" w:cs="Times New Roman"/>
          <w:sz w:val="28"/>
          <w:szCs w:val="28"/>
        </w:rPr>
        <w:t xml:space="preserve">, pur accumunate dall’obiettivo di tutela dell’ordine pubblico </w:t>
      </w:r>
      <w:r w:rsidR="00CD541D" w:rsidRPr="00CF6680">
        <w:rPr>
          <w:rFonts w:ascii="Garamond" w:hAnsi="Garamond" w:cs="Times New Roman"/>
          <w:sz w:val="28"/>
          <w:szCs w:val="28"/>
        </w:rPr>
        <w:t>prescritto</w:t>
      </w:r>
      <w:r w:rsidRPr="00CF6680">
        <w:rPr>
          <w:rFonts w:ascii="Garamond" w:hAnsi="Garamond" w:cs="Times New Roman"/>
          <w:sz w:val="28"/>
          <w:szCs w:val="28"/>
        </w:rPr>
        <w:t xml:space="preserve"> d</w:t>
      </w:r>
      <w:r w:rsidR="00CD541D" w:rsidRPr="00CF6680">
        <w:rPr>
          <w:rFonts w:ascii="Garamond" w:hAnsi="Garamond" w:cs="Times New Roman"/>
          <w:sz w:val="28"/>
          <w:szCs w:val="28"/>
        </w:rPr>
        <w:t>a</w:t>
      </w:r>
      <w:r w:rsidRPr="00CF6680">
        <w:rPr>
          <w:rFonts w:ascii="Garamond" w:hAnsi="Garamond" w:cs="Times New Roman"/>
          <w:sz w:val="28"/>
          <w:szCs w:val="28"/>
        </w:rPr>
        <w:t>lla documentazione antimafia in generale, si distinguono sotto diversi profili</w:t>
      </w:r>
      <w:r w:rsidR="00A54A8B" w:rsidRPr="00CF6680">
        <w:rPr>
          <w:rFonts w:ascii="Garamond" w:hAnsi="Garamond" w:cs="Times New Roman"/>
          <w:sz w:val="28"/>
          <w:szCs w:val="28"/>
        </w:rPr>
        <w:t xml:space="preserve">. </w:t>
      </w:r>
    </w:p>
    <w:p w:rsidR="003928C4" w:rsidRPr="00CF6680" w:rsidRDefault="00CD541D"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Una prima difformità</w:t>
      </w:r>
      <w:r w:rsidR="00A54A8B" w:rsidRPr="00CF6680">
        <w:rPr>
          <w:rFonts w:ascii="Garamond" w:hAnsi="Garamond" w:cs="Times New Roman"/>
          <w:sz w:val="28"/>
          <w:szCs w:val="28"/>
        </w:rPr>
        <w:t xml:space="preserve"> si scorge</w:t>
      </w:r>
      <w:r w:rsidRPr="00CF6680">
        <w:rPr>
          <w:rFonts w:ascii="Garamond" w:hAnsi="Garamond" w:cs="Times New Roman"/>
          <w:sz w:val="28"/>
          <w:szCs w:val="28"/>
        </w:rPr>
        <w:t xml:space="preserve"> </w:t>
      </w:r>
      <w:r w:rsidR="00A54A8B" w:rsidRPr="00CF6680">
        <w:rPr>
          <w:rFonts w:ascii="Garamond" w:hAnsi="Garamond" w:cs="Times New Roman"/>
          <w:sz w:val="28"/>
          <w:szCs w:val="28"/>
        </w:rPr>
        <w:t xml:space="preserve">con riferimento all’accertamento dei presupposti necessari </w:t>
      </w:r>
      <w:r w:rsidRPr="00CF6680">
        <w:rPr>
          <w:rFonts w:ascii="Garamond" w:hAnsi="Garamond" w:cs="Times New Roman"/>
          <w:sz w:val="28"/>
          <w:szCs w:val="28"/>
        </w:rPr>
        <w:t>per la loro</w:t>
      </w:r>
      <w:r w:rsidR="00A54A8B" w:rsidRPr="00CF6680">
        <w:rPr>
          <w:rFonts w:ascii="Garamond" w:hAnsi="Garamond" w:cs="Times New Roman"/>
          <w:sz w:val="28"/>
          <w:szCs w:val="28"/>
        </w:rPr>
        <w:t xml:space="preserve"> </w:t>
      </w:r>
      <w:r w:rsidRPr="00CF6680">
        <w:rPr>
          <w:rFonts w:ascii="Garamond" w:hAnsi="Garamond" w:cs="Times New Roman"/>
          <w:sz w:val="28"/>
          <w:szCs w:val="28"/>
        </w:rPr>
        <w:t>adozione.</w:t>
      </w:r>
    </w:p>
    <w:p w:rsidR="00B85401" w:rsidRPr="00CF6680" w:rsidRDefault="003847BA" w:rsidP="00C010D5">
      <w:pPr>
        <w:spacing w:line="276" w:lineRule="auto"/>
        <w:ind w:firstLine="709"/>
        <w:jc w:val="both"/>
        <w:rPr>
          <w:rFonts w:ascii="Garamond" w:hAnsi="Garamond" w:cs="Times New Roman"/>
          <w:sz w:val="28"/>
          <w:szCs w:val="28"/>
        </w:rPr>
      </w:pPr>
      <w:r w:rsidRPr="00CF6680">
        <w:rPr>
          <w:rFonts w:ascii="Garamond" w:hAnsi="Garamond" w:cs="Times New Roman"/>
          <w:sz w:val="28"/>
          <w:szCs w:val="28"/>
        </w:rPr>
        <w:t>La comunicazione antimafia ha contenuto vincolato dovendo il Prefetto unicamente accertare, attraverso la consultazione della banca dati nazionale unica di cui all’articolo 96</w:t>
      </w:r>
      <w:r w:rsidR="00CD541D" w:rsidRPr="00CF6680">
        <w:rPr>
          <w:rFonts w:ascii="Garamond" w:hAnsi="Garamond" w:cs="Times New Roman"/>
          <w:sz w:val="28"/>
          <w:szCs w:val="28"/>
        </w:rPr>
        <w:t xml:space="preserve">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CD541D" w:rsidRPr="00CF6680">
        <w:rPr>
          <w:rFonts w:ascii="Garamond" w:hAnsi="Garamond" w:cs="Times New Roman"/>
          <w:sz w:val="28"/>
          <w:szCs w:val="28"/>
        </w:rPr>
        <w:t xml:space="preserve"> </w:t>
      </w:r>
      <w:r w:rsidR="00C010D5">
        <w:rPr>
          <w:rFonts w:ascii="Garamond" w:hAnsi="Garamond" w:cs="Times New Roman"/>
          <w:sz w:val="28"/>
          <w:szCs w:val="28"/>
        </w:rPr>
        <w:t>n. 159 del 2011</w:t>
      </w:r>
      <w:r w:rsidRPr="00CF6680">
        <w:rPr>
          <w:rFonts w:ascii="Garamond" w:hAnsi="Garamond" w:cs="Times New Roman"/>
          <w:sz w:val="28"/>
          <w:szCs w:val="28"/>
        </w:rPr>
        <w:t xml:space="preserve">, se sussista a carico del soggetto nei cui confronti è effettuata la verifica, una delle misure di cui al Libro I, Titolo I, </w:t>
      </w:r>
      <w:r w:rsidR="00870847">
        <w:rPr>
          <w:rFonts w:ascii="Garamond" w:hAnsi="Garamond" w:cs="Times New Roman"/>
          <w:sz w:val="28"/>
          <w:szCs w:val="28"/>
        </w:rPr>
        <w:t xml:space="preserve">Capo III, del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870847">
        <w:rPr>
          <w:rFonts w:ascii="Garamond" w:hAnsi="Garamond" w:cs="Times New Roman"/>
          <w:sz w:val="28"/>
          <w:szCs w:val="28"/>
        </w:rPr>
        <w:t xml:space="preserve"> 159 / 2011.</w:t>
      </w:r>
      <w:r w:rsidR="00C010D5">
        <w:rPr>
          <w:rFonts w:ascii="Garamond" w:hAnsi="Garamond" w:cs="Times New Roman"/>
          <w:sz w:val="28"/>
          <w:szCs w:val="28"/>
        </w:rPr>
        <w:t xml:space="preserve"> </w:t>
      </w:r>
      <w:r w:rsidR="00313639" w:rsidRPr="00CF6680">
        <w:rPr>
          <w:rFonts w:ascii="Garamond" w:hAnsi="Garamond" w:cs="Times New Roman"/>
          <w:sz w:val="28"/>
          <w:szCs w:val="28"/>
        </w:rPr>
        <w:t>L’informazione</w:t>
      </w:r>
      <w:r w:rsidR="002D2874" w:rsidRPr="00CF6680">
        <w:rPr>
          <w:rFonts w:ascii="Garamond" w:hAnsi="Garamond" w:cs="Times New Roman"/>
          <w:sz w:val="28"/>
          <w:szCs w:val="28"/>
        </w:rPr>
        <w:t xml:space="preserve"> antimafia</w:t>
      </w:r>
      <w:r w:rsidR="00313639" w:rsidRPr="00CF6680">
        <w:rPr>
          <w:rFonts w:ascii="Garamond" w:hAnsi="Garamond" w:cs="Times New Roman"/>
          <w:sz w:val="28"/>
          <w:szCs w:val="28"/>
        </w:rPr>
        <w:t xml:space="preserve">, invece, </w:t>
      </w:r>
      <w:r w:rsidR="002D2874" w:rsidRPr="00CF6680">
        <w:rPr>
          <w:rFonts w:ascii="Garamond" w:hAnsi="Garamond" w:cs="Times New Roman"/>
          <w:sz w:val="28"/>
          <w:szCs w:val="28"/>
        </w:rPr>
        <w:t>origina da una valutazione amp</w:t>
      </w:r>
      <w:r w:rsidR="00CD541D" w:rsidRPr="00CF6680">
        <w:rPr>
          <w:rFonts w:ascii="Garamond" w:hAnsi="Garamond" w:cs="Times New Roman"/>
          <w:sz w:val="28"/>
          <w:szCs w:val="28"/>
        </w:rPr>
        <w:t>i</w:t>
      </w:r>
      <w:r w:rsidR="002D2874" w:rsidRPr="00CF6680">
        <w:rPr>
          <w:rFonts w:ascii="Garamond" w:hAnsi="Garamond" w:cs="Times New Roman"/>
          <w:sz w:val="28"/>
          <w:szCs w:val="28"/>
        </w:rPr>
        <w:t>amente discrezionale dell’Autorità prefettizia</w:t>
      </w:r>
      <w:r w:rsidR="00B118FF" w:rsidRPr="00CF6680">
        <w:rPr>
          <w:rStyle w:val="Rimandonotaapidipagina"/>
          <w:rFonts w:ascii="Garamond" w:hAnsi="Garamond" w:cs="Times New Roman"/>
          <w:sz w:val="28"/>
          <w:szCs w:val="28"/>
        </w:rPr>
        <w:footnoteReference w:id="15"/>
      </w:r>
      <w:r w:rsidR="00CD541D" w:rsidRPr="00CF6680">
        <w:rPr>
          <w:rFonts w:ascii="Garamond" w:hAnsi="Garamond" w:cs="Times New Roman"/>
          <w:sz w:val="28"/>
          <w:szCs w:val="28"/>
        </w:rPr>
        <w:t>,</w:t>
      </w:r>
      <w:r w:rsidR="00C706C4" w:rsidRPr="00CF6680">
        <w:rPr>
          <w:rFonts w:ascii="Garamond" w:hAnsi="Garamond" w:cs="Times New Roman"/>
          <w:sz w:val="28"/>
          <w:szCs w:val="28"/>
        </w:rPr>
        <w:t xml:space="preserve"> fondata su elementi </w:t>
      </w:r>
      <w:r w:rsidR="00DA7F3E" w:rsidRPr="00CF6680">
        <w:rPr>
          <w:rFonts w:ascii="Garamond" w:hAnsi="Garamond" w:cs="Times New Roman"/>
          <w:sz w:val="28"/>
          <w:szCs w:val="28"/>
        </w:rPr>
        <w:t xml:space="preserve">attuali e </w:t>
      </w:r>
      <w:r w:rsidR="00C706C4" w:rsidRPr="00CF6680">
        <w:rPr>
          <w:rFonts w:ascii="Garamond" w:hAnsi="Garamond" w:cs="Times New Roman"/>
          <w:sz w:val="28"/>
          <w:szCs w:val="28"/>
        </w:rPr>
        <w:t xml:space="preserve">fattuali, </w:t>
      </w:r>
      <w:r w:rsidR="00CD541D" w:rsidRPr="00CF6680">
        <w:rPr>
          <w:rFonts w:ascii="Garamond" w:hAnsi="Garamond" w:cs="Times New Roman"/>
          <w:sz w:val="28"/>
          <w:szCs w:val="28"/>
        </w:rPr>
        <w:t xml:space="preserve">che assurgono </w:t>
      </w:r>
      <w:r w:rsidR="00C706C4" w:rsidRPr="00CF6680">
        <w:rPr>
          <w:rFonts w:ascii="Garamond" w:hAnsi="Garamond" w:cs="Times New Roman"/>
          <w:sz w:val="28"/>
          <w:szCs w:val="28"/>
        </w:rPr>
        <w:t>quali indici sintomatici di legame con associazioni criminali</w:t>
      </w:r>
      <w:r w:rsidR="00644C57" w:rsidRPr="00CF6680">
        <w:rPr>
          <w:rStyle w:val="Rimandonotaapidipagina"/>
          <w:rFonts w:ascii="Garamond" w:hAnsi="Garamond" w:cs="Times New Roman"/>
          <w:sz w:val="28"/>
          <w:szCs w:val="28"/>
        </w:rPr>
        <w:footnoteReference w:id="16"/>
      </w:r>
      <w:r w:rsidR="00C706C4" w:rsidRPr="00CF6680">
        <w:rPr>
          <w:rFonts w:ascii="Garamond" w:hAnsi="Garamond" w:cs="Times New Roman"/>
          <w:sz w:val="28"/>
          <w:szCs w:val="28"/>
        </w:rPr>
        <w:t xml:space="preserve">. </w:t>
      </w:r>
    </w:p>
    <w:p w:rsidR="00FC3500" w:rsidRPr="00CF6680" w:rsidRDefault="00FC3500"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Tra i dati da prendere in considerazione ai fini dell’indagine sul tentativo di infiltrazione mafiosa, particolarmente interessanti sono quelli indicati </w:t>
      </w:r>
      <w:r w:rsidR="00B85401" w:rsidRPr="00CF6680">
        <w:rPr>
          <w:rFonts w:ascii="Garamond" w:hAnsi="Garamond" w:cs="Times New Roman"/>
          <w:sz w:val="28"/>
          <w:szCs w:val="28"/>
        </w:rPr>
        <w:t>al</w:t>
      </w:r>
      <w:r w:rsidR="0039127F" w:rsidRPr="00CF6680">
        <w:rPr>
          <w:rFonts w:ascii="Garamond" w:hAnsi="Garamond" w:cs="Times New Roman"/>
          <w:sz w:val="28"/>
          <w:szCs w:val="28"/>
        </w:rPr>
        <w:t xml:space="preserve">l’articolo </w:t>
      </w:r>
      <w:proofErr w:type="gramStart"/>
      <w:r w:rsidR="0039127F" w:rsidRPr="00CF6680">
        <w:rPr>
          <w:rFonts w:ascii="Garamond" w:hAnsi="Garamond" w:cs="Times New Roman"/>
          <w:sz w:val="28"/>
          <w:szCs w:val="28"/>
        </w:rPr>
        <w:t>91,</w:t>
      </w:r>
      <w:r w:rsidR="00CF6680">
        <w:rPr>
          <w:rFonts w:ascii="Garamond" w:hAnsi="Garamond" w:cs="Times New Roman"/>
          <w:sz w:val="28"/>
          <w:szCs w:val="28"/>
        </w:rPr>
        <w:t xml:space="preserve">  </w:t>
      </w:r>
      <w:r w:rsidRPr="00CF6680">
        <w:rPr>
          <w:rFonts w:ascii="Garamond" w:hAnsi="Garamond" w:cs="Times New Roman"/>
          <w:sz w:val="28"/>
          <w:szCs w:val="28"/>
        </w:rPr>
        <w:t>comma</w:t>
      </w:r>
      <w:proofErr w:type="gramEnd"/>
      <w:r w:rsidRPr="00CF6680">
        <w:rPr>
          <w:rFonts w:ascii="Garamond" w:hAnsi="Garamond" w:cs="Times New Roman"/>
          <w:sz w:val="28"/>
          <w:szCs w:val="28"/>
        </w:rPr>
        <w:t xml:space="preserve"> 6, </w:t>
      </w:r>
      <w:r w:rsidR="00C010D5">
        <w:rPr>
          <w:rFonts w:ascii="Garamond" w:hAnsi="Garamond" w:cs="Times New Roman"/>
          <w:sz w:val="28"/>
          <w:szCs w:val="28"/>
        </w:rPr>
        <w:t xml:space="preserve">del </w:t>
      </w:r>
      <w:r w:rsidR="00C010D5" w:rsidRPr="00CF6680">
        <w:rPr>
          <w:rFonts w:ascii="Garamond" w:hAnsi="Garamond" w:cs="Times New Roman"/>
          <w:sz w:val="28"/>
          <w:szCs w:val="28"/>
        </w:rPr>
        <w:t>d.</w:t>
      </w:r>
      <w:r w:rsidR="00C010D5">
        <w:rPr>
          <w:rFonts w:ascii="Garamond" w:hAnsi="Garamond" w:cs="Times New Roman"/>
          <w:sz w:val="28"/>
          <w:szCs w:val="28"/>
        </w:rPr>
        <w:t xml:space="preserve"> </w:t>
      </w:r>
      <w:proofErr w:type="spellStart"/>
      <w:r w:rsidR="00C010D5" w:rsidRPr="00CF6680">
        <w:rPr>
          <w:rFonts w:ascii="Garamond" w:hAnsi="Garamond" w:cs="Times New Roman"/>
          <w:sz w:val="28"/>
          <w:szCs w:val="28"/>
        </w:rPr>
        <w:t>lgs</w:t>
      </w:r>
      <w:proofErr w:type="spellEnd"/>
      <w:r w:rsidR="00C010D5" w:rsidRPr="00CF6680">
        <w:rPr>
          <w:rFonts w:ascii="Garamond" w:hAnsi="Garamond" w:cs="Times New Roman"/>
          <w:sz w:val="28"/>
          <w:szCs w:val="28"/>
        </w:rPr>
        <w:t>.</w:t>
      </w:r>
      <w:r w:rsidR="0039127F" w:rsidRPr="00CF6680">
        <w:rPr>
          <w:rFonts w:ascii="Garamond" w:hAnsi="Garamond" w:cs="Times New Roman"/>
          <w:sz w:val="28"/>
          <w:szCs w:val="28"/>
        </w:rPr>
        <w:t xml:space="preserve"> </w:t>
      </w:r>
      <w:r w:rsidR="00C010D5">
        <w:rPr>
          <w:rFonts w:ascii="Garamond" w:hAnsi="Garamond" w:cs="Times New Roman"/>
          <w:sz w:val="28"/>
          <w:szCs w:val="28"/>
        </w:rPr>
        <w:t>n. 159 del 2011</w:t>
      </w:r>
      <w:r w:rsidR="003B1865" w:rsidRPr="00CF6680">
        <w:rPr>
          <w:rFonts w:ascii="Garamond" w:hAnsi="Garamond" w:cs="Times New Roman"/>
          <w:sz w:val="28"/>
          <w:szCs w:val="28"/>
        </w:rPr>
        <w:t xml:space="preserve"> nella parte in cui dispone che il tentativo di infiltrazione mafiosa si può desumere oltre che dalla accertata violazione degli obblighi di tracciabilità dei flussi finanziari</w:t>
      </w:r>
      <w:r w:rsidR="00C91DC8" w:rsidRPr="00CF6680">
        <w:rPr>
          <w:rFonts w:ascii="Garamond" w:hAnsi="Garamond" w:cs="Times New Roman"/>
          <w:sz w:val="28"/>
          <w:szCs w:val="28"/>
        </w:rPr>
        <w:t>,</w:t>
      </w:r>
      <w:r w:rsidR="003B1865" w:rsidRPr="00CF6680">
        <w:rPr>
          <w:rFonts w:ascii="Garamond" w:hAnsi="Garamond" w:cs="Times New Roman"/>
          <w:sz w:val="28"/>
          <w:szCs w:val="28"/>
        </w:rPr>
        <w:t xml:space="preserve"> anche da provvedimenti di condanna per reati strumentali all’attività delle organizzazioni criminali. Con riferimento a quest’ultimo profilo,</w:t>
      </w:r>
      <w:r w:rsidR="00354DE1" w:rsidRPr="00CF6680">
        <w:rPr>
          <w:rFonts w:ascii="Garamond" w:hAnsi="Garamond" w:cs="Times New Roman"/>
          <w:sz w:val="28"/>
          <w:szCs w:val="28"/>
        </w:rPr>
        <w:t xml:space="preserve"> </w:t>
      </w:r>
      <w:r w:rsidRPr="00CF6680">
        <w:rPr>
          <w:rFonts w:ascii="Garamond" w:hAnsi="Garamond" w:cs="Times New Roman"/>
          <w:sz w:val="28"/>
          <w:szCs w:val="28"/>
        </w:rPr>
        <w:t xml:space="preserve">la </w:t>
      </w:r>
      <w:r w:rsidR="003B1865" w:rsidRPr="00CF6680">
        <w:rPr>
          <w:rFonts w:ascii="Garamond" w:hAnsi="Garamond" w:cs="Times New Roman"/>
          <w:sz w:val="28"/>
          <w:szCs w:val="28"/>
        </w:rPr>
        <w:t>dottrina</w:t>
      </w:r>
      <w:r w:rsidRPr="00CF6680">
        <w:rPr>
          <w:rFonts w:ascii="Garamond" w:hAnsi="Garamond" w:cs="Times New Roman"/>
          <w:sz w:val="28"/>
          <w:szCs w:val="28"/>
        </w:rPr>
        <w:t xml:space="preserve"> </w:t>
      </w:r>
      <w:r w:rsidR="003B1865" w:rsidRPr="00CF6680">
        <w:rPr>
          <w:rFonts w:ascii="Garamond" w:hAnsi="Garamond" w:cs="Times New Roman"/>
          <w:sz w:val="28"/>
          <w:szCs w:val="28"/>
        </w:rPr>
        <w:t>ha rilevato</w:t>
      </w:r>
      <w:r w:rsidR="00354DE1" w:rsidRPr="00CF6680">
        <w:rPr>
          <w:rFonts w:ascii="Garamond" w:hAnsi="Garamond" w:cs="Times New Roman"/>
          <w:sz w:val="28"/>
          <w:szCs w:val="28"/>
        </w:rPr>
        <w:t xml:space="preserve"> </w:t>
      </w:r>
      <w:r w:rsidR="003B1865" w:rsidRPr="00CF6680">
        <w:rPr>
          <w:rFonts w:ascii="Garamond" w:hAnsi="Garamond" w:cs="Times New Roman"/>
          <w:sz w:val="28"/>
          <w:szCs w:val="28"/>
        </w:rPr>
        <w:t xml:space="preserve">come la mancata indicazione di che cosa debba intendersi per reati strumentali </w:t>
      </w:r>
      <w:r w:rsidR="00354DE1" w:rsidRPr="00CF6680">
        <w:rPr>
          <w:rFonts w:ascii="Garamond" w:hAnsi="Garamond" w:cs="Times New Roman"/>
          <w:sz w:val="28"/>
          <w:szCs w:val="28"/>
        </w:rPr>
        <w:t>costituisce un problema ermeneutico</w:t>
      </w:r>
      <w:r w:rsidR="00875B50" w:rsidRPr="00CF6680">
        <w:rPr>
          <w:rFonts w:ascii="Garamond" w:hAnsi="Garamond" w:cs="Times New Roman"/>
          <w:sz w:val="28"/>
          <w:szCs w:val="28"/>
        </w:rPr>
        <w:t>,</w:t>
      </w:r>
      <w:r w:rsidR="00354DE1" w:rsidRPr="00CF6680">
        <w:rPr>
          <w:rFonts w:ascii="Garamond" w:hAnsi="Garamond" w:cs="Times New Roman"/>
          <w:sz w:val="28"/>
          <w:szCs w:val="28"/>
        </w:rPr>
        <w:t xml:space="preserve"> </w:t>
      </w:r>
      <w:r w:rsidRPr="00CF6680">
        <w:rPr>
          <w:rFonts w:ascii="Garamond" w:hAnsi="Garamond" w:cs="Times New Roman"/>
          <w:sz w:val="28"/>
          <w:szCs w:val="28"/>
        </w:rPr>
        <w:t>posto che</w:t>
      </w:r>
      <w:r w:rsidR="00354DE1" w:rsidRPr="00CF6680">
        <w:rPr>
          <w:rFonts w:ascii="Garamond" w:hAnsi="Garamond" w:cs="Times New Roman"/>
          <w:sz w:val="28"/>
          <w:szCs w:val="28"/>
        </w:rPr>
        <w:t xml:space="preserve"> </w:t>
      </w:r>
      <w:r w:rsidR="00F903BC">
        <w:rPr>
          <w:rFonts w:ascii="Garamond" w:hAnsi="Garamond" w:cs="Times New Roman"/>
          <w:i/>
          <w:sz w:val="28"/>
          <w:szCs w:val="28"/>
        </w:rPr>
        <w:t>«</w:t>
      </w:r>
      <w:r w:rsidR="00354DE1" w:rsidRPr="00CF6680">
        <w:rPr>
          <w:rFonts w:ascii="Garamond" w:hAnsi="Garamond" w:cs="Times New Roman"/>
          <w:i/>
          <w:sz w:val="28"/>
          <w:szCs w:val="28"/>
        </w:rPr>
        <w:t>l’accertamento deve svolgersi nel pieno rispetto del principio costituzionale della libertà di impresa</w:t>
      </w:r>
      <w:r w:rsidR="00F903BC">
        <w:rPr>
          <w:rFonts w:ascii="Garamond" w:hAnsi="Garamond" w:cs="Times New Roman"/>
          <w:i/>
          <w:sz w:val="28"/>
          <w:szCs w:val="28"/>
        </w:rPr>
        <w:t>»</w:t>
      </w:r>
      <w:r w:rsidR="00C91DC8" w:rsidRPr="00CF6680">
        <w:rPr>
          <w:rStyle w:val="Rimandonotaapidipagina"/>
          <w:rFonts w:ascii="Garamond" w:hAnsi="Garamond" w:cs="Times New Roman"/>
          <w:sz w:val="28"/>
          <w:szCs w:val="28"/>
        </w:rPr>
        <w:footnoteReference w:id="17"/>
      </w:r>
      <w:r w:rsidR="004D4B87">
        <w:rPr>
          <w:rFonts w:ascii="Garamond" w:hAnsi="Garamond" w:cs="Times New Roman"/>
          <w:i/>
          <w:sz w:val="28"/>
          <w:szCs w:val="28"/>
        </w:rPr>
        <w:t>.</w:t>
      </w:r>
    </w:p>
    <w:p w:rsidR="005063A1" w:rsidRPr="00CF6680" w:rsidRDefault="005063A1"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Più interessante invece il riferimento ai flussi finanziari</w:t>
      </w:r>
      <w:r w:rsidR="00875B50" w:rsidRPr="00CF6680">
        <w:rPr>
          <w:rFonts w:ascii="Garamond" w:hAnsi="Garamond" w:cs="Times New Roman"/>
          <w:sz w:val="28"/>
          <w:szCs w:val="28"/>
        </w:rPr>
        <w:t>, senz’altro</w:t>
      </w:r>
      <w:r w:rsidRPr="00CF6680">
        <w:rPr>
          <w:rFonts w:ascii="Garamond" w:hAnsi="Garamond" w:cs="Times New Roman"/>
          <w:sz w:val="28"/>
          <w:szCs w:val="28"/>
        </w:rPr>
        <w:t xml:space="preserve"> </w:t>
      </w:r>
      <w:r w:rsidR="00354DE1" w:rsidRPr="00CF6680">
        <w:rPr>
          <w:rFonts w:ascii="Garamond" w:hAnsi="Garamond" w:cs="Times New Roman"/>
          <w:sz w:val="28"/>
          <w:szCs w:val="28"/>
        </w:rPr>
        <w:t xml:space="preserve">utile </w:t>
      </w:r>
      <w:r w:rsidRPr="00CF6680">
        <w:rPr>
          <w:rFonts w:ascii="Garamond" w:hAnsi="Garamond" w:cs="Times New Roman"/>
          <w:sz w:val="28"/>
          <w:szCs w:val="28"/>
        </w:rPr>
        <w:t>ai fini dell</w:t>
      </w:r>
      <w:r w:rsidR="00875B50" w:rsidRPr="00CF6680">
        <w:rPr>
          <w:rFonts w:ascii="Garamond" w:hAnsi="Garamond" w:cs="Times New Roman"/>
          <w:sz w:val="28"/>
          <w:szCs w:val="28"/>
        </w:rPr>
        <w:t>’indagine</w:t>
      </w:r>
      <w:r w:rsidRPr="00CF6680">
        <w:rPr>
          <w:rFonts w:ascii="Garamond" w:hAnsi="Garamond" w:cs="Times New Roman"/>
          <w:sz w:val="28"/>
          <w:szCs w:val="28"/>
        </w:rPr>
        <w:t xml:space="preserve"> sul</w:t>
      </w:r>
      <w:r w:rsidR="00354DE1" w:rsidRPr="00CF6680">
        <w:rPr>
          <w:rFonts w:ascii="Garamond" w:hAnsi="Garamond" w:cs="Times New Roman"/>
          <w:sz w:val="28"/>
          <w:szCs w:val="28"/>
        </w:rPr>
        <w:t xml:space="preserve"> condizionamento mafioso.</w:t>
      </w:r>
      <w:r w:rsidR="004632FE" w:rsidRPr="00CF6680">
        <w:rPr>
          <w:rFonts w:ascii="Garamond" w:hAnsi="Garamond" w:cs="Times New Roman"/>
          <w:sz w:val="28"/>
          <w:szCs w:val="28"/>
        </w:rPr>
        <w:t xml:space="preserve"> </w:t>
      </w:r>
    </w:p>
    <w:p w:rsidR="00DB7DE1" w:rsidRPr="00CF6680" w:rsidRDefault="00634D94"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Ad ogni modo, </w:t>
      </w:r>
      <w:r w:rsidR="005063A1" w:rsidRPr="00CF6680">
        <w:rPr>
          <w:rFonts w:ascii="Garamond" w:hAnsi="Garamond" w:cs="Times New Roman"/>
          <w:sz w:val="28"/>
          <w:szCs w:val="28"/>
        </w:rPr>
        <w:t xml:space="preserve">ferma l’opportunità della disposizione sopra richiamata, </w:t>
      </w:r>
      <w:r w:rsidR="00875B50" w:rsidRPr="00CF6680">
        <w:rPr>
          <w:rFonts w:ascii="Garamond" w:hAnsi="Garamond" w:cs="Times New Roman"/>
          <w:sz w:val="28"/>
          <w:szCs w:val="28"/>
        </w:rPr>
        <w:t xml:space="preserve">la locuzione </w:t>
      </w:r>
      <w:r w:rsidRPr="00CF6680">
        <w:rPr>
          <w:rFonts w:ascii="Garamond" w:hAnsi="Garamond" w:cs="Times New Roman"/>
          <w:i/>
          <w:sz w:val="28"/>
          <w:szCs w:val="28"/>
        </w:rPr>
        <w:t>“tentativi di infiltrazione mafiosa”</w:t>
      </w:r>
      <w:r w:rsidR="00875B50" w:rsidRPr="00CF6680">
        <w:rPr>
          <w:rFonts w:ascii="Garamond" w:hAnsi="Garamond" w:cs="Times New Roman"/>
          <w:sz w:val="28"/>
          <w:szCs w:val="28"/>
        </w:rPr>
        <w:t xml:space="preserve"> conserva</w:t>
      </w:r>
      <w:r w:rsidR="00875B50" w:rsidRPr="00CF6680">
        <w:rPr>
          <w:rFonts w:ascii="Garamond" w:hAnsi="Garamond" w:cs="Times New Roman"/>
          <w:i/>
          <w:sz w:val="28"/>
          <w:szCs w:val="28"/>
        </w:rPr>
        <w:t xml:space="preserve"> </w:t>
      </w:r>
      <w:r w:rsidRPr="00CF6680">
        <w:rPr>
          <w:rFonts w:ascii="Garamond" w:hAnsi="Garamond" w:cs="Times New Roman"/>
          <w:sz w:val="28"/>
          <w:szCs w:val="28"/>
        </w:rPr>
        <w:t>un certo margine di indeterminatezza</w:t>
      </w:r>
      <w:r w:rsidR="00875B50" w:rsidRPr="00CF6680">
        <w:rPr>
          <w:rStyle w:val="Rimandonotaapidipagina"/>
          <w:rFonts w:ascii="Garamond" w:hAnsi="Garamond" w:cs="Times New Roman"/>
          <w:sz w:val="28"/>
          <w:szCs w:val="28"/>
        </w:rPr>
        <w:footnoteReference w:id="18"/>
      </w:r>
      <w:r w:rsidRPr="00CF6680">
        <w:rPr>
          <w:rFonts w:ascii="Garamond" w:hAnsi="Garamond" w:cs="Times New Roman"/>
          <w:sz w:val="28"/>
          <w:szCs w:val="28"/>
        </w:rPr>
        <w:t xml:space="preserve">, </w:t>
      </w:r>
      <w:r w:rsidR="00875B50" w:rsidRPr="00CF6680">
        <w:rPr>
          <w:rFonts w:ascii="Garamond" w:hAnsi="Garamond" w:cs="Times New Roman"/>
          <w:sz w:val="28"/>
          <w:szCs w:val="28"/>
        </w:rPr>
        <w:t>in linea con l’obiettivo</w:t>
      </w:r>
      <w:r w:rsidRPr="00CF6680">
        <w:rPr>
          <w:rFonts w:ascii="Garamond" w:hAnsi="Garamond" w:cs="Times New Roman"/>
          <w:sz w:val="28"/>
          <w:szCs w:val="28"/>
        </w:rPr>
        <w:t xml:space="preserve"> di evitare di circoscrivere l’interprete entro schemi rigidamente predeterminati, che avrebbero finito per vanificare la</w:t>
      </w:r>
      <w:r w:rsidR="002E5327" w:rsidRPr="00CF6680">
        <w:rPr>
          <w:rFonts w:ascii="Garamond" w:hAnsi="Garamond" w:cs="Times New Roman"/>
          <w:sz w:val="28"/>
          <w:szCs w:val="28"/>
        </w:rPr>
        <w:t xml:space="preserve"> funzione di prevenzione al fenomeno mafioso, cui la normativa in materia è </w:t>
      </w:r>
      <w:r w:rsidR="00875B50" w:rsidRPr="00CF6680">
        <w:rPr>
          <w:rFonts w:ascii="Garamond" w:hAnsi="Garamond" w:cs="Times New Roman"/>
          <w:sz w:val="28"/>
          <w:szCs w:val="28"/>
        </w:rPr>
        <w:t>diretta.</w:t>
      </w:r>
    </w:p>
    <w:p w:rsidR="00CF6680" w:rsidRDefault="003B1865"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L’indagine</w:t>
      </w:r>
      <w:r w:rsidR="00C706C4" w:rsidRPr="00CF6680">
        <w:rPr>
          <w:rFonts w:ascii="Garamond" w:hAnsi="Garamond" w:cs="Times New Roman"/>
          <w:sz w:val="28"/>
          <w:szCs w:val="28"/>
        </w:rPr>
        <w:t xml:space="preserve"> </w:t>
      </w:r>
      <w:r w:rsidRPr="00CF6680">
        <w:rPr>
          <w:rFonts w:ascii="Garamond" w:hAnsi="Garamond" w:cs="Times New Roman"/>
          <w:sz w:val="28"/>
          <w:szCs w:val="28"/>
        </w:rPr>
        <w:t xml:space="preserve">dell’Autorità competente </w:t>
      </w:r>
      <w:r w:rsidR="00C706C4" w:rsidRPr="00CF6680">
        <w:rPr>
          <w:rFonts w:ascii="Garamond" w:hAnsi="Garamond" w:cs="Times New Roman"/>
          <w:sz w:val="28"/>
          <w:szCs w:val="28"/>
        </w:rPr>
        <w:t xml:space="preserve">deve compiersi secondo la logica del </w:t>
      </w:r>
      <w:r w:rsidR="00C706C4" w:rsidRPr="00CF6680">
        <w:rPr>
          <w:rFonts w:ascii="Garamond" w:hAnsi="Garamond" w:cs="Times New Roman"/>
          <w:i/>
          <w:sz w:val="28"/>
          <w:szCs w:val="28"/>
        </w:rPr>
        <w:t>“più probabile che non”</w:t>
      </w:r>
      <w:r w:rsidR="00AB5BC7" w:rsidRPr="00CF6680">
        <w:rPr>
          <w:rStyle w:val="Rimandonotaapidipagina"/>
          <w:rFonts w:ascii="Garamond" w:hAnsi="Garamond" w:cs="Times New Roman"/>
          <w:i/>
          <w:sz w:val="28"/>
          <w:szCs w:val="28"/>
        </w:rPr>
        <w:footnoteReference w:id="19"/>
      </w:r>
      <w:r w:rsidR="00C706C4" w:rsidRPr="00CF6680">
        <w:rPr>
          <w:rFonts w:ascii="Garamond" w:hAnsi="Garamond" w:cs="Times New Roman"/>
          <w:i/>
          <w:sz w:val="28"/>
          <w:szCs w:val="28"/>
        </w:rPr>
        <w:t>,</w:t>
      </w:r>
      <w:r w:rsidR="00C706C4" w:rsidRPr="00CF6680">
        <w:rPr>
          <w:rFonts w:ascii="Garamond" w:hAnsi="Garamond" w:cs="Times New Roman"/>
          <w:sz w:val="28"/>
          <w:szCs w:val="28"/>
        </w:rPr>
        <w:t xml:space="preserve"> di modo da consentire al</w:t>
      </w:r>
      <w:r w:rsidRPr="00CF6680">
        <w:rPr>
          <w:rFonts w:ascii="Garamond" w:hAnsi="Garamond" w:cs="Times New Roman"/>
          <w:sz w:val="28"/>
          <w:szCs w:val="28"/>
        </w:rPr>
        <w:t xml:space="preserve"> </w:t>
      </w:r>
      <w:r w:rsidR="002E5327" w:rsidRPr="00CF6680">
        <w:rPr>
          <w:rFonts w:ascii="Garamond" w:hAnsi="Garamond" w:cs="Times New Roman"/>
          <w:sz w:val="28"/>
          <w:szCs w:val="28"/>
        </w:rPr>
        <w:t>P</w:t>
      </w:r>
      <w:r w:rsidRPr="00CF6680">
        <w:rPr>
          <w:rFonts w:ascii="Garamond" w:hAnsi="Garamond" w:cs="Times New Roman"/>
          <w:sz w:val="28"/>
          <w:szCs w:val="28"/>
        </w:rPr>
        <w:t>refetto</w:t>
      </w:r>
      <w:r w:rsidR="00CD541D" w:rsidRPr="00CF6680">
        <w:rPr>
          <w:rFonts w:ascii="Garamond" w:hAnsi="Garamond" w:cs="Times New Roman"/>
          <w:sz w:val="28"/>
          <w:szCs w:val="28"/>
        </w:rPr>
        <w:t xml:space="preserve"> </w:t>
      </w:r>
      <w:r w:rsidR="00C706C4" w:rsidRPr="00CF6680">
        <w:rPr>
          <w:rFonts w:ascii="Garamond" w:hAnsi="Garamond" w:cs="Times New Roman"/>
          <w:sz w:val="28"/>
          <w:szCs w:val="28"/>
        </w:rPr>
        <w:t>di adottare la misura</w:t>
      </w:r>
      <w:r w:rsidR="002B6A42" w:rsidRPr="00CF6680">
        <w:rPr>
          <w:rFonts w:ascii="Garamond" w:hAnsi="Garamond" w:cs="Times New Roman"/>
          <w:sz w:val="28"/>
          <w:szCs w:val="28"/>
        </w:rPr>
        <w:t xml:space="preserve"> preventiva sulla base di indizi gravi, precisi e concordanti </w:t>
      </w:r>
      <w:r w:rsidR="00CD541D" w:rsidRPr="00CF6680">
        <w:rPr>
          <w:rFonts w:ascii="Garamond" w:hAnsi="Garamond" w:cs="Times New Roman"/>
          <w:sz w:val="28"/>
          <w:szCs w:val="28"/>
        </w:rPr>
        <w:t>che facciano ritenere sussistente un condizionamento mafioso</w:t>
      </w:r>
      <w:r w:rsidR="00CD541D" w:rsidRPr="00CF6680">
        <w:rPr>
          <w:rStyle w:val="Rimandonotaapidipagina"/>
          <w:rFonts w:ascii="Garamond" w:hAnsi="Garamond" w:cs="Times New Roman"/>
          <w:sz w:val="28"/>
          <w:szCs w:val="28"/>
        </w:rPr>
        <w:footnoteReference w:id="20"/>
      </w:r>
      <w:r w:rsidR="00CD541D" w:rsidRPr="00CF6680">
        <w:rPr>
          <w:rFonts w:ascii="Garamond" w:hAnsi="Garamond" w:cs="Times New Roman"/>
          <w:sz w:val="28"/>
          <w:szCs w:val="28"/>
        </w:rPr>
        <w:t xml:space="preserve">. </w:t>
      </w:r>
      <w:r w:rsidR="002B6A42" w:rsidRPr="00CF6680">
        <w:rPr>
          <w:rFonts w:ascii="Garamond" w:hAnsi="Garamond" w:cs="Times New Roman"/>
          <w:sz w:val="28"/>
          <w:szCs w:val="28"/>
        </w:rPr>
        <w:t xml:space="preserve">È questa la ragione per la quale la </w:t>
      </w:r>
      <w:r w:rsidR="00CD541D" w:rsidRPr="00CF6680">
        <w:rPr>
          <w:rFonts w:ascii="Garamond" w:hAnsi="Garamond" w:cs="Times New Roman"/>
          <w:sz w:val="28"/>
          <w:szCs w:val="28"/>
        </w:rPr>
        <w:t>disamina</w:t>
      </w:r>
      <w:r w:rsidR="002B6A42" w:rsidRPr="00CF6680">
        <w:rPr>
          <w:rFonts w:ascii="Garamond" w:hAnsi="Garamond" w:cs="Times New Roman"/>
          <w:sz w:val="28"/>
          <w:szCs w:val="28"/>
        </w:rPr>
        <w:t xml:space="preserve"> del pericolo di infiltrazione mafios</w:t>
      </w:r>
      <w:r w:rsidR="00DA7F3E" w:rsidRPr="00CF6680">
        <w:rPr>
          <w:rFonts w:ascii="Garamond" w:hAnsi="Garamond" w:cs="Times New Roman"/>
          <w:sz w:val="28"/>
          <w:szCs w:val="28"/>
        </w:rPr>
        <w:t>a</w:t>
      </w:r>
      <w:r w:rsidR="002B6A42" w:rsidRPr="00CF6680">
        <w:rPr>
          <w:rFonts w:ascii="Garamond" w:hAnsi="Garamond" w:cs="Times New Roman"/>
          <w:sz w:val="28"/>
          <w:szCs w:val="28"/>
        </w:rPr>
        <w:t xml:space="preserve"> </w:t>
      </w:r>
      <w:r w:rsidR="00F903BC">
        <w:rPr>
          <w:rFonts w:ascii="Garamond" w:hAnsi="Garamond" w:cs="Times New Roman"/>
          <w:i/>
          <w:sz w:val="28"/>
          <w:szCs w:val="28"/>
        </w:rPr>
        <w:t>«</w:t>
      </w:r>
      <w:r w:rsidR="002B6A42" w:rsidRPr="00CF6680">
        <w:rPr>
          <w:rFonts w:ascii="Garamond" w:hAnsi="Garamond" w:cs="Times New Roman"/>
          <w:i/>
          <w:sz w:val="28"/>
          <w:szCs w:val="28"/>
        </w:rPr>
        <w:t xml:space="preserve"> prescinde dall’atteggiamento antigiuridico della volontà mostrato dai singoli e da condotte penalmente rilevanti, non necessarie per la sua emissione, ma solo rilevanti (..) perché rivelatori del condizionamento che l’organizzazione mafiosa può esercitare sull’impresa</w:t>
      </w:r>
      <w:r w:rsidR="00F903BC">
        <w:rPr>
          <w:rFonts w:ascii="Garamond" w:hAnsi="Garamond" w:cs="Times New Roman"/>
          <w:i/>
          <w:sz w:val="28"/>
          <w:szCs w:val="28"/>
        </w:rPr>
        <w:t>»</w:t>
      </w:r>
      <w:r w:rsidR="002B6A42" w:rsidRPr="00CF6680">
        <w:rPr>
          <w:rFonts w:ascii="Garamond" w:hAnsi="Garamond" w:cs="Times New Roman"/>
          <w:i/>
          <w:sz w:val="28"/>
          <w:szCs w:val="28"/>
        </w:rPr>
        <w:t>.</w:t>
      </w:r>
      <w:r w:rsidR="002B6A42" w:rsidRPr="00CF6680">
        <w:rPr>
          <w:rStyle w:val="Rimandonotaapidipagina"/>
          <w:rFonts w:ascii="Garamond" w:hAnsi="Garamond" w:cs="Times New Roman"/>
          <w:i/>
          <w:sz w:val="28"/>
          <w:szCs w:val="28"/>
        </w:rPr>
        <w:footnoteReference w:id="21"/>
      </w:r>
      <w:r w:rsidR="00BA666B" w:rsidRPr="00CF6680">
        <w:rPr>
          <w:rFonts w:ascii="Garamond" w:hAnsi="Garamond" w:cs="Times New Roman"/>
          <w:sz w:val="28"/>
          <w:szCs w:val="28"/>
        </w:rPr>
        <w:t xml:space="preserve"> </w:t>
      </w:r>
    </w:p>
    <w:p w:rsidR="005E6A21" w:rsidRPr="00CF6680" w:rsidRDefault="00A9593E"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Nondimeno, deve escludersi</w:t>
      </w:r>
      <w:r w:rsidR="00BA666B" w:rsidRPr="00CF6680">
        <w:rPr>
          <w:rFonts w:ascii="Garamond" w:hAnsi="Garamond" w:cs="Times New Roman"/>
          <w:sz w:val="28"/>
          <w:szCs w:val="28"/>
        </w:rPr>
        <w:t xml:space="preserve"> che la discrezionalità</w:t>
      </w:r>
      <w:r w:rsidR="008A77D9" w:rsidRPr="00CF6680">
        <w:rPr>
          <w:rStyle w:val="Rimandonotaapidipagina"/>
          <w:rFonts w:ascii="Garamond" w:hAnsi="Garamond" w:cs="Times New Roman"/>
          <w:sz w:val="28"/>
          <w:szCs w:val="28"/>
        </w:rPr>
        <w:footnoteReference w:id="22"/>
      </w:r>
      <w:r w:rsidR="00BA666B" w:rsidRPr="00CF6680">
        <w:rPr>
          <w:rFonts w:ascii="Garamond" w:hAnsi="Garamond" w:cs="Times New Roman"/>
          <w:sz w:val="28"/>
          <w:szCs w:val="28"/>
        </w:rPr>
        <w:t xml:space="preserve"> riconosciuta all’Amministrazione nell’espl</w:t>
      </w:r>
      <w:r w:rsidRPr="00CF6680">
        <w:rPr>
          <w:rFonts w:ascii="Garamond" w:hAnsi="Garamond" w:cs="Times New Roman"/>
          <w:sz w:val="28"/>
          <w:szCs w:val="28"/>
        </w:rPr>
        <w:t>etare</w:t>
      </w:r>
      <w:r w:rsidR="00BA666B" w:rsidRPr="00CF6680">
        <w:rPr>
          <w:rFonts w:ascii="Garamond" w:hAnsi="Garamond" w:cs="Times New Roman"/>
          <w:sz w:val="28"/>
          <w:szCs w:val="28"/>
        </w:rPr>
        <w:t xml:space="preserve"> detto accertamento</w:t>
      </w:r>
      <w:r w:rsidRPr="00CF6680">
        <w:rPr>
          <w:rFonts w:ascii="Garamond" w:hAnsi="Garamond" w:cs="Times New Roman"/>
          <w:sz w:val="28"/>
          <w:szCs w:val="28"/>
        </w:rPr>
        <w:t>,</w:t>
      </w:r>
      <w:r w:rsidR="00BA666B" w:rsidRPr="00CF6680">
        <w:rPr>
          <w:rFonts w:ascii="Garamond" w:hAnsi="Garamond" w:cs="Times New Roman"/>
          <w:sz w:val="28"/>
          <w:szCs w:val="28"/>
        </w:rPr>
        <w:t xml:space="preserve"> </w:t>
      </w:r>
      <w:r w:rsidRPr="00CF6680">
        <w:rPr>
          <w:rFonts w:ascii="Garamond" w:hAnsi="Garamond" w:cs="Times New Roman"/>
          <w:sz w:val="28"/>
          <w:szCs w:val="28"/>
        </w:rPr>
        <w:t xml:space="preserve">possa </w:t>
      </w:r>
      <w:r w:rsidR="003463AC" w:rsidRPr="00CF6680">
        <w:rPr>
          <w:rFonts w:ascii="Garamond" w:hAnsi="Garamond" w:cs="Times New Roman"/>
          <w:sz w:val="28"/>
          <w:szCs w:val="28"/>
        </w:rPr>
        <w:t xml:space="preserve">finanche </w:t>
      </w:r>
      <w:r w:rsidR="00BA666B" w:rsidRPr="00CF6680">
        <w:rPr>
          <w:rFonts w:ascii="Garamond" w:hAnsi="Garamond" w:cs="Times New Roman"/>
          <w:sz w:val="28"/>
          <w:szCs w:val="28"/>
        </w:rPr>
        <w:t xml:space="preserve">determinare l’emanazione </w:t>
      </w:r>
      <w:r w:rsidR="003847BA" w:rsidRPr="00CF6680">
        <w:rPr>
          <w:rFonts w:ascii="Garamond" w:hAnsi="Garamond" w:cs="Times New Roman"/>
          <w:sz w:val="28"/>
          <w:szCs w:val="28"/>
        </w:rPr>
        <w:t xml:space="preserve">della misura </w:t>
      </w:r>
      <w:r w:rsidR="00BA666B" w:rsidRPr="00CF6680">
        <w:rPr>
          <w:rFonts w:ascii="Garamond" w:hAnsi="Garamond" w:cs="Times New Roman"/>
          <w:sz w:val="28"/>
          <w:szCs w:val="28"/>
        </w:rPr>
        <w:t>sulla base di meri sospetti</w:t>
      </w:r>
      <w:r w:rsidRPr="00CF6680">
        <w:rPr>
          <w:rFonts w:ascii="Garamond" w:hAnsi="Garamond" w:cs="Times New Roman"/>
          <w:sz w:val="28"/>
          <w:szCs w:val="28"/>
        </w:rPr>
        <w:t xml:space="preserve"> ovvero </w:t>
      </w:r>
      <w:r w:rsidR="003847BA" w:rsidRPr="00CF6680">
        <w:rPr>
          <w:rFonts w:ascii="Garamond" w:hAnsi="Garamond" w:cs="Times New Roman"/>
          <w:sz w:val="28"/>
          <w:szCs w:val="28"/>
        </w:rPr>
        <w:t>elementi immaginari o</w:t>
      </w:r>
      <w:r w:rsidRPr="00CF6680">
        <w:rPr>
          <w:rFonts w:ascii="Garamond" w:hAnsi="Garamond" w:cs="Times New Roman"/>
          <w:sz w:val="28"/>
          <w:szCs w:val="28"/>
        </w:rPr>
        <w:t>ppure</w:t>
      </w:r>
      <w:r w:rsidR="003847BA" w:rsidRPr="00CF6680">
        <w:rPr>
          <w:rFonts w:ascii="Garamond" w:hAnsi="Garamond" w:cs="Times New Roman"/>
          <w:sz w:val="28"/>
          <w:szCs w:val="28"/>
        </w:rPr>
        <w:t xml:space="preserve"> aleatori, </w:t>
      </w:r>
      <w:r w:rsidR="00BA666B" w:rsidRPr="00CF6680">
        <w:rPr>
          <w:rFonts w:ascii="Garamond" w:hAnsi="Garamond" w:cs="Times New Roman"/>
          <w:sz w:val="28"/>
          <w:szCs w:val="28"/>
        </w:rPr>
        <w:t>essendo</w:t>
      </w:r>
      <w:r w:rsidR="00F1270B" w:rsidRPr="00CF6680">
        <w:rPr>
          <w:rFonts w:ascii="Garamond" w:hAnsi="Garamond" w:cs="Times New Roman"/>
          <w:sz w:val="28"/>
          <w:szCs w:val="28"/>
        </w:rPr>
        <w:t xml:space="preserve"> in ogni caso </w:t>
      </w:r>
      <w:r w:rsidR="00BA666B" w:rsidRPr="00CF6680">
        <w:rPr>
          <w:rFonts w:ascii="Garamond" w:hAnsi="Garamond" w:cs="Times New Roman"/>
          <w:sz w:val="28"/>
          <w:szCs w:val="28"/>
        </w:rPr>
        <w:t>necessaria l’enucleazione di idone</w:t>
      </w:r>
      <w:r w:rsidRPr="00CF6680">
        <w:rPr>
          <w:rFonts w:ascii="Garamond" w:hAnsi="Garamond" w:cs="Times New Roman"/>
          <w:sz w:val="28"/>
          <w:szCs w:val="28"/>
        </w:rPr>
        <w:t>e circostanze</w:t>
      </w:r>
      <w:r w:rsidR="00BA666B" w:rsidRPr="00CF6680">
        <w:rPr>
          <w:rFonts w:ascii="Garamond" w:hAnsi="Garamond" w:cs="Times New Roman"/>
          <w:sz w:val="28"/>
          <w:szCs w:val="28"/>
        </w:rPr>
        <w:t xml:space="preserve"> di fatto</w:t>
      </w:r>
      <w:r w:rsidR="00381BC7" w:rsidRPr="00CF6680">
        <w:rPr>
          <w:rStyle w:val="Rimandonotaapidipagina"/>
          <w:rFonts w:ascii="Garamond" w:hAnsi="Garamond" w:cs="Times New Roman"/>
          <w:sz w:val="28"/>
          <w:szCs w:val="28"/>
        </w:rPr>
        <w:footnoteReference w:id="23"/>
      </w:r>
      <w:r w:rsidR="00381BC7" w:rsidRPr="00CF6680">
        <w:rPr>
          <w:rFonts w:ascii="Garamond" w:hAnsi="Garamond" w:cs="Times New Roman"/>
          <w:sz w:val="28"/>
          <w:szCs w:val="28"/>
        </w:rPr>
        <w:t xml:space="preserve">, tali da determinare una </w:t>
      </w:r>
      <w:r w:rsidR="00F903BC">
        <w:rPr>
          <w:rFonts w:ascii="Garamond" w:hAnsi="Garamond" w:cs="Times New Roman"/>
          <w:i/>
          <w:sz w:val="28"/>
          <w:szCs w:val="28"/>
        </w:rPr>
        <w:t>«</w:t>
      </w:r>
      <w:r w:rsidR="00381BC7" w:rsidRPr="00CF6680">
        <w:rPr>
          <w:rFonts w:ascii="Garamond" w:hAnsi="Garamond" w:cs="Times New Roman"/>
          <w:i/>
          <w:sz w:val="28"/>
          <w:szCs w:val="28"/>
        </w:rPr>
        <w:t>condizione di potenziale asservimento, o comunque di condizionamento, rispetto alle iniziative della criminalità organizzata di stampo mafioso</w:t>
      </w:r>
      <w:r w:rsidR="00F903BC">
        <w:rPr>
          <w:rFonts w:ascii="Garamond" w:hAnsi="Garamond" w:cs="Times New Roman"/>
          <w:i/>
          <w:sz w:val="28"/>
          <w:szCs w:val="28"/>
        </w:rPr>
        <w:t>»</w:t>
      </w:r>
      <w:r w:rsidR="00381BC7" w:rsidRPr="00CF6680">
        <w:rPr>
          <w:rStyle w:val="Rimandonotaapidipagina"/>
          <w:rFonts w:ascii="Garamond" w:hAnsi="Garamond" w:cs="Times New Roman"/>
          <w:sz w:val="28"/>
          <w:szCs w:val="28"/>
        </w:rPr>
        <w:footnoteReference w:id="24"/>
      </w:r>
      <w:r w:rsidR="00870847">
        <w:rPr>
          <w:rFonts w:ascii="Garamond" w:hAnsi="Garamond" w:cs="Times New Roman"/>
          <w:i/>
          <w:sz w:val="28"/>
          <w:szCs w:val="28"/>
        </w:rPr>
        <w:t>.</w:t>
      </w:r>
    </w:p>
    <w:p w:rsidR="002D2874" w:rsidRPr="00CF6680" w:rsidRDefault="00C84607" w:rsidP="00CF6680">
      <w:pPr>
        <w:spacing w:line="276" w:lineRule="auto"/>
        <w:ind w:firstLine="709"/>
        <w:jc w:val="both"/>
        <w:rPr>
          <w:rFonts w:ascii="Garamond" w:hAnsi="Garamond" w:cs="Times New Roman"/>
          <w:color w:val="FF0000"/>
          <w:sz w:val="28"/>
          <w:szCs w:val="28"/>
        </w:rPr>
      </w:pPr>
      <w:r w:rsidRPr="00CF6680">
        <w:rPr>
          <w:rFonts w:ascii="Garamond" w:hAnsi="Garamond" w:cs="Times New Roman"/>
          <w:sz w:val="28"/>
          <w:szCs w:val="28"/>
        </w:rPr>
        <w:t>L</w:t>
      </w:r>
      <w:r w:rsidR="00A9593E" w:rsidRPr="00CF6680">
        <w:rPr>
          <w:rFonts w:ascii="Garamond" w:hAnsi="Garamond" w:cs="Times New Roman"/>
          <w:sz w:val="28"/>
          <w:szCs w:val="28"/>
        </w:rPr>
        <w:t xml:space="preserve">a possibilità </w:t>
      </w:r>
      <w:r w:rsidRPr="00CF6680">
        <w:rPr>
          <w:rFonts w:ascii="Garamond" w:hAnsi="Garamond" w:cs="Times New Roman"/>
          <w:sz w:val="28"/>
          <w:szCs w:val="28"/>
        </w:rPr>
        <w:t xml:space="preserve">di un accertamento di natura probabilistica </w:t>
      </w:r>
      <w:r w:rsidR="00A9593E" w:rsidRPr="00CF6680">
        <w:rPr>
          <w:rFonts w:ascii="Garamond" w:hAnsi="Garamond" w:cs="Times New Roman"/>
          <w:sz w:val="28"/>
          <w:szCs w:val="28"/>
        </w:rPr>
        <w:t>fonda</w:t>
      </w:r>
      <w:r w:rsidRPr="00CF6680">
        <w:rPr>
          <w:rFonts w:ascii="Garamond" w:hAnsi="Garamond" w:cs="Times New Roman"/>
          <w:sz w:val="28"/>
          <w:szCs w:val="28"/>
        </w:rPr>
        <w:t xml:space="preserve"> </w:t>
      </w:r>
      <w:r w:rsidR="00A9593E" w:rsidRPr="00CF6680">
        <w:rPr>
          <w:rFonts w:ascii="Garamond" w:hAnsi="Garamond" w:cs="Times New Roman"/>
          <w:sz w:val="28"/>
          <w:szCs w:val="28"/>
        </w:rPr>
        <w:t>sulle</w:t>
      </w:r>
      <w:r w:rsidRPr="00CF6680">
        <w:rPr>
          <w:rFonts w:ascii="Garamond" w:hAnsi="Garamond" w:cs="Times New Roman"/>
          <w:sz w:val="28"/>
          <w:szCs w:val="28"/>
        </w:rPr>
        <w:t xml:space="preserve"> ragioni sottese all’introduzione delle misure di prevenzione, </w:t>
      </w:r>
      <w:r w:rsidR="00A9593E" w:rsidRPr="00CF6680">
        <w:rPr>
          <w:rFonts w:ascii="Garamond" w:hAnsi="Garamond" w:cs="Times New Roman"/>
          <w:sz w:val="28"/>
          <w:szCs w:val="28"/>
        </w:rPr>
        <w:t>che</w:t>
      </w:r>
      <w:r w:rsidRPr="00CF6680">
        <w:rPr>
          <w:rFonts w:ascii="Garamond" w:hAnsi="Garamond" w:cs="Times New Roman"/>
          <w:sz w:val="28"/>
          <w:szCs w:val="28"/>
        </w:rPr>
        <w:t xml:space="preserve"> svolgono una funzione di </w:t>
      </w:r>
      <w:r w:rsidRPr="00CF6680">
        <w:rPr>
          <w:rFonts w:ascii="Garamond" w:hAnsi="Garamond" w:cs="Times New Roman"/>
          <w:i/>
          <w:sz w:val="28"/>
          <w:szCs w:val="28"/>
        </w:rPr>
        <w:t xml:space="preserve">frontiera avanzata </w:t>
      </w:r>
      <w:r w:rsidRPr="00CF6680">
        <w:rPr>
          <w:rFonts w:ascii="Garamond" w:hAnsi="Garamond" w:cs="Times New Roman"/>
          <w:sz w:val="28"/>
          <w:szCs w:val="28"/>
        </w:rPr>
        <w:t xml:space="preserve">che </w:t>
      </w:r>
      <w:r w:rsidR="00A9593E" w:rsidRPr="00CF6680">
        <w:rPr>
          <w:rFonts w:ascii="Garamond" w:hAnsi="Garamond" w:cs="Times New Roman"/>
          <w:sz w:val="28"/>
          <w:szCs w:val="28"/>
        </w:rPr>
        <w:t>consente</w:t>
      </w:r>
      <w:r w:rsidRPr="00CF6680">
        <w:rPr>
          <w:rFonts w:ascii="Garamond" w:hAnsi="Garamond" w:cs="Times New Roman"/>
          <w:sz w:val="28"/>
          <w:szCs w:val="28"/>
        </w:rPr>
        <w:t xml:space="preserve">, al fine di evitare di vanificare la finalità anticipatoria dell’informazione antimafia, l’utilizzo di </w:t>
      </w:r>
      <w:r w:rsidR="00A9593E" w:rsidRPr="00CF6680">
        <w:rPr>
          <w:rFonts w:ascii="Garamond" w:hAnsi="Garamond" w:cs="Times New Roman"/>
          <w:sz w:val="28"/>
          <w:szCs w:val="28"/>
        </w:rPr>
        <w:t>analisi valutative</w:t>
      </w:r>
      <w:r w:rsidRPr="00CF6680">
        <w:rPr>
          <w:rFonts w:ascii="Garamond" w:hAnsi="Garamond" w:cs="Times New Roman"/>
          <w:sz w:val="28"/>
          <w:szCs w:val="28"/>
        </w:rPr>
        <w:t xml:space="preserve"> meno rigorose rispetto a quelle proprie dell’accertame</w:t>
      </w:r>
      <w:r w:rsidR="00D26DA2">
        <w:rPr>
          <w:rFonts w:ascii="Garamond" w:hAnsi="Garamond" w:cs="Times New Roman"/>
          <w:sz w:val="28"/>
          <w:szCs w:val="28"/>
        </w:rPr>
        <w:t>nto della responsabilità penale</w:t>
      </w:r>
      <w:r w:rsidR="002E5327" w:rsidRPr="00CF6680">
        <w:rPr>
          <w:rStyle w:val="Rimandonotaapidipagina"/>
          <w:rFonts w:ascii="Garamond" w:hAnsi="Garamond" w:cs="Times New Roman"/>
          <w:sz w:val="28"/>
          <w:szCs w:val="28"/>
        </w:rPr>
        <w:footnoteReference w:id="25"/>
      </w:r>
      <w:r w:rsidR="00D26DA2">
        <w:rPr>
          <w:rFonts w:ascii="Garamond" w:hAnsi="Garamond" w:cs="Times New Roman"/>
          <w:sz w:val="28"/>
          <w:szCs w:val="28"/>
        </w:rPr>
        <w:t>.</w:t>
      </w:r>
    </w:p>
    <w:p w:rsidR="00C657FD" w:rsidRPr="00CF6680" w:rsidRDefault="00907D1D"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La distinzione tra </w:t>
      </w:r>
      <w:r w:rsidR="00EB09BF" w:rsidRPr="00CF6680">
        <w:rPr>
          <w:rFonts w:ascii="Garamond" w:hAnsi="Garamond" w:cs="Times New Roman"/>
          <w:sz w:val="28"/>
          <w:szCs w:val="28"/>
        </w:rPr>
        <w:t xml:space="preserve">le due forme di documentazione antimafia </w:t>
      </w:r>
      <w:r w:rsidRPr="00CF6680">
        <w:rPr>
          <w:rFonts w:ascii="Garamond" w:hAnsi="Garamond" w:cs="Times New Roman"/>
          <w:sz w:val="28"/>
          <w:szCs w:val="28"/>
        </w:rPr>
        <w:t>si coglie anche sotto il</w:t>
      </w:r>
      <w:r w:rsidR="00EB09BF" w:rsidRPr="00CF6680">
        <w:rPr>
          <w:rFonts w:ascii="Garamond" w:hAnsi="Garamond" w:cs="Times New Roman"/>
          <w:sz w:val="28"/>
          <w:szCs w:val="28"/>
        </w:rPr>
        <w:t xml:space="preserve"> profilo degli effetti. </w:t>
      </w:r>
      <w:r w:rsidR="00A9593E" w:rsidRPr="00CF6680">
        <w:rPr>
          <w:rFonts w:ascii="Garamond" w:hAnsi="Garamond" w:cs="Times New Roman"/>
          <w:sz w:val="28"/>
          <w:szCs w:val="28"/>
        </w:rPr>
        <w:t xml:space="preserve">Nel </w:t>
      </w:r>
      <w:r w:rsidR="00D26DA2">
        <w:rPr>
          <w:rFonts w:ascii="Garamond" w:hAnsi="Garamond" w:cs="Times New Roman"/>
          <w:sz w:val="28"/>
          <w:szCs w:val="28"/>
        </w:rPr>
        <w:t>dettaglio,</w:t>
      </w:r>
      <w:r w:rsidR="00EB09BF" w:rsidRPr="00CF6680">
        <w:rPr>
          <w:rFonts w:ascii="Garamond" w:hAnsi="Garamond" w:cs="Times New Roman"/>
          <w:sz w:val="28"/>
          <w:szCs w:val="28"/>
        </w:rPr>
        <w:t xml:space="preserve"> il rilascio della comunicazione antimafia produce un effetto </w:t>
      </w:r>
      <w:proofErr w:type="spellStart"/>
      <w:r w:rsidR="00EB09BF" w:rsidRPr="00CF6680">
        <w:rPr>
          <w:rFonts w:ascii="Garamond" w:hAnsi="Garamond" w:cs="Times New Roman"/>
          <w:sz w:val="28"/>
          <w:szCs w:val="28"/>
        </w:rPr>
        <w:t>interdittivo</w:t>
      </w:r>
      <w:proofErr w:type="spellEnd"/>
      <w:r w:rsidR="00EB09BF" w:rsidRPr="00CF6680">
        <w:rPr>
          <w:rFonts w:ascii="Garamond" w:hAnsi="Garamond" w:cs="Times New Roman"/>
          <w:sz w:val="28"/>
          <w:szCs w:val="28"/>
        </w:rPr>
        <w:t xml:space="preserve"> rispetto a tutte le iscrizioni e ai provvedimenti </w:t>
      </w:r>
      <w:proofErr w:type="spellStart"/>
      <w:r w:rsidR="00EB09BF" w:rsidRPr="00CF6680">
        <w:rPr>
          <w:rFonts w:ascii="Garamond" w:hAnsi="Garamond" w:cs="Times New Roman"/>
          <w:sz w:val="28"/>
          <w:szCs w:val="28"/>
        </w:rPr>
        <w:t>autorizzatori</w:t>
      </w:r>
      <w:proofErr w:type="spellEnd"/>
      <w:r w:rsidR="00EB09BF" w:rsidRPr="00CF6680">
        <w:rPr>
          <w:rFonts w:ascii="Garamond" w:hAnsi="Garamond" w:cs="Times New Roman"/>
          <w:sz w:val="28"/>
          <w:szCs w:val="28"/>
        </w:rPr>
        <w:t xml:space="preserve">, concessori o abilitativi per lo svolgimento di attività imprenditoriali, </w:t>
      </w:r>
      <w:r w:rsidR="006E70C1" w:rsidRPr="00CF6680">
        <w:rPr>
          <w:rFonts w:ascii="Garamond" w:hAnsi="Garamond" w:cs="Times New Roman"/>
          <w:sz w:val="28"/>
          <w:szCs w:val="28"/>
        </w:rPr>
        <w:t>oltreché</w:t>
      </w:r>
      <w:r w:rsidR="00EB09BF" w:rsidRPr="00CF6680">
        <w:rPr>
          <w:rFonts w:ascii="Garamond" w:hAnsi="Garamond" w:cs="Times New Roman"/>
          <w:sz w:val="28"/>
          <w:szCs w:val="28"/>
        </w:rPr>
        <w:t xml:space="preserve"> il divieto di concludere contratti pubblici d</w:t>
      </w:r>
      <w:r w:rsidR="00870847">
        <w:rPr>
          <w:rFonts w:ascii="Garamond" w:hAnsi="Garamond" w:cs="Times New Roman"/>
          <w:sz w:val="28"/>
          <w:szCs w:val="28"/>
        </w:rPr>
        <w:t>i lavori, servizi e forniture (</w:t>
      </w:r>
      <w:r w:rsidR="00EB09BF" w:rsidRPr="00CF6680">
        <w:rPr>
          <w:rFonts w:ascii="Garamond" w:hAnsi="Garamond" w:cs="Times New Roman"/>
          <w:sz w:val="28"/>
          <w:szCs w:val="28"/>
        </w:rPr>
        <w:t xml:space="preserve">art. 84, comma 1 e 2,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EB09BF" w:rsidRPr="00CF6680">
        <w:rPr>
          <w:rFonts w:ascii="Garamond" w:hAnsi="Garamond" w:cs="Times New Roman"/>
          <w:sz w:val="28"/>
          <w:szCs w:val="28"/>
        </w:rPr>
        <w:t xml:space="preserve"> 159 /2011). </w:t>
      </w:r>
    </w:p>
    <w:p w:rsidR="00CF6680" w:rsidRDefault="00EB09BF"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L’informazione antimafia, prima del decreto correttivo n. 153/2014, esplicava i suoi effetti sol</w:t>
      </w:r>
      <w:r w:rsidR="00C657FD" w:rsidRPr="00CF6680">
        <w:rPr>
          <w:rFonts w:ascii="Garamond" w:hAnsi="Garamond" w:cs="Times New Roman"/>
          <w:sz w:val="28"/>
          <w:szCs w:val="28"/>
        </w:rPr>
        <w:t>tanto</w:t>
      </w:r>
      <w:r w:rsidRPr="00CF6680">
        <w:rPr>
          <w:rFonts w:ascii="Garamond" w:hAnsi="Garamond" w:cs="Times New Roman"/>
          <w:sz w:val="28"/>
          <w:szCs w:val="28"/>
        </w:rPr>
        <w:t xml:space="preserve"> </w:t>
      </w:r>
      <w:r w:rsidR="00C657FD" w:rsidRPr="00CF6680">
        <w:rPr>
          <w:rFonts w:ascii="Garamond" w:hAnsi="Garamond" w:cs="Times New Roman"/>
          <w:sz w:val="28"/>
          <w:szCs w:val="28"/>
        </w:rPr>
        <w:t>nei</w:t>
      </w:r>
      <w:r w:rsidRPr="00CF6680">
        <w:rPr>
          <w:rFonts w:ascii="Garamond" w:hAnsi="Garamond" w:cs="Times New Roman"/>
          <w:sz w:val="28"/>
          <w:szCs w:val="28"/>
        </w:rPr>
        <w:t xml:space="preserve"> contratti pubblici, </w:t>
      </w:r>
      <w:r w:rsidR="00C657FD" w:rsidRPr="00CF6680">
        <w:rPr>
          <w:rFonts w:ascii="Garamond" w:hAnsi="Garamond" w:cs="Times New Roman"/>
          <w:sz w:val="28"/>
          <w:szCs w:val="28"/>
        </w:rPr>
        <w:t>nelle</w:t>
      </w:r>
      <w:r w:rsidRPr="00CF6680">
        <w:rPr>
          <w:rFonts w:ascii="Garamond" w:hAnsi="Garamond" w:cs="Times New Roman"/>
          <w:sz w:val="28"/>
          <w:szCs w:val="28"/>
        </w:rPr>
        <w:t xml:space="preserve"> concessioni e sovvenzioni, avendo, una portata limitata ai </w:t>
      </w:r>
      <w:r w:rsidR="00C657FD" w:rsidRPr="00CF6680">
        <w:rPr>
          <w:rFonts w:ascii="Garamond" w:hAnsi="Garamond" w:cs="Times New Roman"/>
          <w:sz w:val="28"/>
          <w:szCs w:val="28"/>
        </w:rPr>
        <w:t xml:space="preserve">soli </w:t>
      </w:r>
      <w:r w:rsidR="00E463AA">
        <w:rPr>
          <w:rFonts w:ascii="Garamond" w:hAnsi="Garamond" w:cs="Times New Roman"/>
          <w:sz w:val="28"/>
          <w:szCs w:val="28"/>
        </w:rPr>
        <w:t>rapporti con la pubblica a</w:t>
      </w:r>
      <w:r w:rsidRPr="00CF6680">
        <w:rPr>
          <w:rFonts w:ascii="Garamond" w:hAnsi="Garamond" w:cs="Times New Roman"/>
          <w:sz w:val="28"/>
          <w:szCs w:val="28"/>
        </w:rPr>
        <w:t xml:space="preserve">mministrazione. </w:t>
      </w:r>
    </w:p>
    <w:p w:rsidR="005877D5" w:rsidRPr="00CF6680" w:rsidRDefault="00C657FD"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Successivamente,</w:t>
      </w:r>
      <w:r w:rsidR="00EB09BF" w:rsidRPr="00CF6680">
        <w:rPr>
          <w:rFonts w:ascii="Garamond" w:hAnsi="Garamond" w:cs="Times New Roman"/>
          <w:sz w:val="28"/>
          <w:szCs w:val="28"/>
        </w:rPr>
        <w:t xml:space="preserve"> con l’introduzione del d.</w:t>
      </w:r>
      <w:r w:rsidR="00E463AA">
        <w:rPr>
          <w:rFonts w:ascii="Garamond" w:hAnsi="Garamond" w:cs="Times New Roman"/>
          <w:sz w:val="28"/>
          <w:szCs w:val="28"/>
        </w:rPr>
        <w:t xml:space="preserve"> </w:t>
      </w:r>
      <w:proofErr w:type="spellStart"/>
      <w:r w:rsidR="00EB09BF" w:rsidRPr="00CF6680">
        <w:rPr>
          <w:rFonts w:ascii="Garamond" w:hAnsi="Garamond" w:cs="Times New Roman"/>
          <w:sz w:val="28"/>
          <w:szCs w:val="28"/>
        </w:rPr>
        <w:t>lgs</w:t>
      </w:r>
      <w:proofErr w:type="spellEnd"/>
      <w:r w:rsidR="00EB09BF" w:rsidRPr="00CF6680">
        <w:rPr>
          <w:rFonts w:ascii="Garamond" w:hAnsi="Garamond" w:cs="Times New Roman"/>
          <w:sz w:val="28"/>
          <w:szCs w:val="28"/>
        </w:rPr>
        <w:t xml:space="preserve"> 153/2014</w:t>
      </w:r>
      <w:r w:rsidR="00E463AA">
        <w:rPr>
          <w:rFonts w:ascii="Garamond" w:hAnsi="Garamond" w:cs="Times New Roman"/>
          <w:sz w:val="28"/>
          <w:szCs w:val="28"/>
        </w:rPr>
        <w:t>,</w:t>
      </w:r>
      <w:r w:rsidR="00EB09BF" w:rsidRPr="00CF6680">
        <w:rPr>
          <w:rFonts w:ascii="Garamond" w:hAnsi="Garamond" w:cs="Times New Roman"/>
          <w:sz w:val="28"/>
          <w:szCs w:val="28"/>
        </w:rPr>
        <w:t xml:space="preserve"> i rapporti tra comunicazione e informazione antimafia sono stati ricostruiti in termini di </w:t>
      </w:r>
      <w:r w:rsidR="00EB09BF" w:rsidRPr="00CF6680">
        <w:rPr>
          <w:rFonts w:ascii="Garamond" w:hAnsi="Garamond" w:cs="Times New Roman"/>
          <w:i/>
          <w:sz w:val="28"/>
          <w:szCs w:val="28"/>
        </w:rPr>
        <w:t xml:space="preserve">alternatività. </w:t>
      </w:r>
      <w:r w:rsidR="00EB09BF" w:rsidRPr="00CF6680">
        <w:rPr>
          <w:rFonts w:ascii="Garamond" w:hAnsi="Garamond" w:cs="Times New Roman"/>
          <w:sz w:val="28"/>
          <w:szCs w:val="28"/>
        </w:rPr>
        <w:t xml:space="preserve">L’articolo 89-bis,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EB09BF" w:rsidRPr="00CF6680">
        <w:rPr>
          <w:rFonts w:ascii="Garamond" w:hAnsi="Garamond" w:cs="Times New Roman"/>
          <w:sz w:val="28"/>
          <w:szCs w:val="28"/>
        </w:rPr>
        <w:t xml:space="preserve"> </w:t>
      </w:r>
      <w:r w:rsidR="00C010D5">
        <w:rPr>
          <w:rFonts w:ascii="Garamond" w:hAnsi="Garamond" w:cs="Times New Roman"/>
          <w:sz w:val="28"/>
          <w:szCs w:val="28"/>
        </w:rPr>
        <w:t>n. 159 del 2011</w:t>
      </w:r>
      <w:r w:rsidR="00EB09BF" w:rsidRPr="00CF6680">
        <w:rPr>
          <w:rFonts w:ascii="Garamond" w:hAnsi="Garamond" w:cs="Times New Roman"/>
          <w:sz w:val="28"/>
          <w:szCs w:val="28"/>
        </w:rPr>
        <w:t>, sancisce che se all’esito dell’accertamento compiuto in seno al procedimento finalizzato alla comunicazione</w:t>
      </w:r>
      <w:r w:rsidRPr="00CF6680">
        <w:rPr>
          <w:rFonts w:ascii="Garamond" w:hAnsi="Garamond" w:cs="Times New Roman"/>
          <w:sz w:val="28"/>
          <w:szCs w:val="28"/>
        </w:rPr>
        <w:t xml:space="preserve"> è rilevata </w:t>
      </w:r>
      <w:r w:rsidR="00EB09BF" w:rsidRPr="00CF6680">
        <w:rPr>
          <w:rFonts w:ascii="Garamond" w:hAnsi="Garamond" w:cs="Times New Roman"/>
          <w:sz w:val="28"/>
          <w:szCs w:val="28"/>
        </w:rPr>
        <w:t>la sussistenza di tentativi di infiltrazione</w:t>
      </w:r>
      <w:r w:rsidRPr="00CF6680">
        <w:rPr>
          <w:rFonts w:ascii="Garamond" w:hAnsi="Garamond" w:cs="Times New Roman"/>
          <w:sz w:val="28"/>
          <w:szCs w:val="28"/>
        </w:rPr>
        <w:t xml:space="preserve"> mafiosa</w:t>
      </w:r>
      <w:r w:rsidR="00EB09BF" w:rsidRPr="00CF6680">
        <w:rPr>
          <w:rFonts w:ascii="Garamond" w:hAnsi="Garamond" w:cs="Times New Roman"/>
          <w:sz w:val="28"/>
          <w:szCs w:val="28"/>
        </w:rPr>
        <w:t xml:space="preserve">, il Prefetto è tenuto ad adottare l’informativa in luogo della comunicazione. </w:t>
      </w:r>
    </w:p>
    <w:p w:rsidR="00CF6680" w:rsidRDefault="00EB09BF"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La portata applicativa dell’articolo 89-bis è stata oggetto di </w:t>
      </w:r>
      <w:r w:rsidR="00C657FD" w:rsidRPr="00CF6680">
        <w:rPr>
          <w:rFonts w:ascii="Garamond" w:hAnsi="Garamond" w:cs="Times New Roman"/>
          <w:sz w:val="28"/>
          <w:szCs w:val="28"/>
        </w:rPr>
        <w:t xml:space="preserve">disputa </w:t>
      </w:r>
      <w:r w:rsidRPr="00CF6680">
        <w:rPr>
          <w:rFonts w:ascii="Garamond" w:hAnsi="Garamond" w:cs="Times New Roman"/>
          <w:sz w:val="28"/>
          <w:szCs w:val="28"/>
        </w:rPr>
        <w:t>giurisprudenz</w:t>
      </w:r>
      <w:r w:rsidR="00C657FD" w:rsidRPr="00CF6680">
        <w:rPr>
          <w:rFonts w:ascii="Garamond" w:hAnsi="Garamond" w:cs="Times New Roman"/>
          <w:sz w:val="28"/>
          <w:szCs w:val="28"/>
        </w:rPr>
        <w:t>i</w:t>
      </w:r>
      <w:r w:rsidRPr="00CF6680">
        <w:rPr>
          <w:rFonts w:ascii="Garamond" w:hAnsi="Garamond" w:cs="Times New Roman"/>
          <w:sz w:val="28"/>
          <w:szCs w:val="28"/>
        </w:rPr>
        <w:t>a</w:t>
      </w:r>
      <w:r w:rsidR="00C657FD" w:rsidRPr="00CF6680">
        <w:rPr>
          <w:rFonts w:ascii="Garamond" w:hAnsi="Garamond" w:cs="Times New Roman"/>
          <w:sz w:val="28"/>
          <w:szCs w:val="28"/>
        </w:rPr>
        <w:t>le, per la quale d</w:t>
      </w:r>
      <w:r w:rsidR="00CF3553" w:rsidRPr="00CF6680">
        <w:rPr>
          <w:rFonts w:ascii="Garamond" w:hAnsi="Garamond" w:cs="Times New Roman"/>
          <w:sz w:val="28"/>
          <w:szCs w:val="28"/>
        </w:rPr>
        <w:t xml:space="preserve">irimente è stato il parere del Consiglio di Stato, </w:t>
      </w:r>
      <w:r w:rsidR="00C010D5">
        <w:rPr>
          <w:rFonts w:ascii="Garamond" w:hAnsi="Garamond" w:cs="Times New Roman"/>
          <w:sz w:val="28"/>
          <w:szCs w:val="28"/>
        </w:rPr>
        <w:t>Sez.</w:t>
      </w:r>
      <w:r w:rsidR="00CF3553" w:rsidRPr="00CF6680">
        <w:rPr>
          <w:rFonts w:ascii="Garamond" w:hAnsi="Garamond" w:cs="Times New Roman"/>
          <w:sz w:val="28"/>
          <w:szCs w:val="28"/>
        </w:rPr>
        <w:t xml:space="preserve"> </w:t>
      </w:r>
      <w:proofErr w:type="gramStart"/>
      <w:r w:rsidR="00CF3553" w:rsidRPr="00CF6680">
        <w:rPr>
          <w:rFonts w:ascii="Garamond" w:hAnsi="Garamond" w:cs="Times New Roman"/>
          <w:sz w:val="28"/>
          <w:szCs w:val="28"/>
        </w:rPr>
        <w:t>I,  n.</w:t>
      </w:r>
      <w:proofErr w:type="gramEnd"/>
      <w:r w:rsidR="00CF3553" w:rsidRPr="00CF6680">
        <w:rPr>
          <w:rFonts w:ascii="Garamond" w:hAnsi="Garamond" w:cs="Times New Roman"/>
          <w:sz w:val="28"/>
          <w:szCs w:val="28"/>
        </w:rPr>
        <w:t xml:space="preserve"> 3088 del 2015. </w:t>
      </w:r>
    </w:p>
    <w:p w:rsidR="00313639" w:rsidRPr="00CF6680" w:rsidRDefault="00CF3553" w:rsidP="00CF6680">
      <w:pPr>
        <w:spacing w:line="276" w:lineRule="auto"/>
        <w:ind w:firstLine="709"/>
        <w:jc w:val="both"/>
        <w:rPr>
          <w:rFonts w:ascii="Garamond" w:hAnsi="Garamond" w:cs="Times New Roman"/>
          <w:i/>
          <w:sz w:val="28"/>
          <w:szCs w:val="28"/>
          <w:highlight w:val="lightGray"/>
        </w:rPr>
      </w:pPr>
      <w:r w:rsidRPr="00CF6680">
        <w:rPr>
          <w:rFonts w:ascii="Garamond" w:hAnsi="Garamond" w:cs="Times New Roman"/>
          <w:sz w:val="28"/>
          <w:szCs w:val="28"/>
        </w:rPr>
        <w:t xml:space="preserve">I giudici di </w:t>
      </w:r>
      <w:r w:rsidR="00C657FD" w:rsidRPr="00CF6680">
        <w:rPr>
          <w:rFonts w:ascii="Garamond" w:hAnsi="Garamond" w:cs="Times New Roman"/>
          <w:sz w:val="28"/>
          <w:szCs w:val="28"/>
        </w:rPr>
        <w:t>p</w:t>
      </w:r>
      <w:r w:rsidRPr="00CF6680">
        <w:rPr>
          <w:rFonts w:ascii="Garamond" w:hAnsi="Garamond" w:cs="Times New Roman"/>
          <w:sz w:val="28"/>
          <w:szCs w:val="28"/>
        </w:rPr>
        <w:t xml:space="preserve">alazzo Spada, </w:t>
      </w:r>
      <w:r w:rsidR="00313639" w:rsidRPr="00CF6680">
        <w:rPr>
          <w:rFonts w:ascii="Garamond" w:hAnsi="Garamond" w:cs="Times New Roman"/>
          <w:sz w:val="28"/>
          <w:szCs w:val="28"/>
        </w:rPr>
        <w:t xml:space="preserve">infatti, </w:t>
      </w:r>
      <w:r w:rsidRPr="00CF6680">
        <w:rPr>
          <w:rFonts w:ascii="Garamond" w:hAnsi="Garamond" w:cs="Times New Roman"/>
          <w:sz w:val="28"/>
          <w:szCs w:val="28"/>
        </w:rPr>
        <w:t xml:space="preserve">chiamati ad esprimere un parere sull’applicabilità dell’art. 89-bis,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w:t>
      </w:r>
      <w:r w:rsidR="00C010D5">
        <w:rPr>
          <w:rFonts w:ascii="Garamond" w:hAnsi="Garamond" w:cs="Times New Roman"/>
          <w:sz w:val="28"/>
          <w:szCs w:val="28"/>
        </w:rPr>
        <w:t>n. 159 del 2011</w:t>
      </w:r>
      <w:r w:rsidRPr="00CF6680">
        <w:rPr>
          <w:rFonts w:ascii="Garamond" w:hAnsi="Garamond" w:cs="Times New Roman"/>
          <w:sz w:val="28"/>
          <w:szCs w:val="28"/>
        </w:rPr>
        <w:t xml:space="preserve"> ai provvedimenti di natura meramente </w:t>
      </w:r>
      <w:proofErr w:type="spellStart"/>
      <w:r w:rsidRPr="00CF6680">
        <w:rPr>
          <w:rFonts w:ascii="Garamond" w:hAnsi="Garamond" w:cs="Times New Roman"/>
          <w:sz w:val="28"/>
          <w:szCs w:val="28"/>
        </w:rPr>
        <w:t>autorizzatoria</w:t>
      </w:r>
      <w:proofErr w:type="spellEnd"/>
      <w:r w:rsidRPr="00CF6680">
        <w:rPr>
          <w:rFonts w:ascii="Garamond" w:hAnsi="Garamond" w:cs="Times New Roman"/>
          <w:sz w:val="28"/>
          <w:szCs w:val="28"/>
        </w:rPr>
        <w:t>, cioè tali da non configurare un rapporto contrattuale con la pubblica amministrazione, si sono espressi in senso affermativo.</w:t>
      </w:r>
      <w:r w:rsidR="00CF2981" w:rsidRPr="00CF6680">
        <w:rPr>
          <w:rStyle w:val="Rimandonotaapidipagina"/>
          <w:rFonts w:ascii="Garamond" w:hAnsi="Garamond" w:cs="Times New Roman"/>
          <w:sz w:val="28"/>
          <w:szCs w:val="28"/>
        </w:rPr>
        <w:footnoteReference w:id="26"/>
      </w:r>
      <w:r w:rsidRPr="00CF6680">
        <w:rPr>
          <w:rFonts w:ascii="Garamond" w:hAnsi="Garamond" w:cs="Times New Roman"/>
          <w:sz w:val="28"/>
          <w:szCs w:val="28"/>
        </w:rPr>
        <w:t xml:space="preserve"> </w:t>
      </w:r>
      <w:r w:rsidR="00C657FD" w:rsidRPr="00CF6680">
        <w:rPr>
          <w:rFonts w:ascii="Garamond" w:hAnsi="Garamond" w:cs="Times New Roman"/>
          <w:sz w:val="28"/>
          <w:szCs w:val="28"/>
        </w:rPr>
        <w:t>L’approdo positivo</w:t>
      </w:r>
      <w:r w:rsidRPr="00CF6680">
        <w:rPr>
          <w:rFonts w:ascii="Garamond" w:hAnsi="Garamond" w:cs="Times New Roman"/>
          <w:sz w:val="28"/>
          <w:szCs w:val="28"/>
        </w:rPr>
        <w:t xml:space="preserve">, ad avviso dei Giudici amministrativi, </w:t>
      </w:r>
      <w:r w:rsidR="00C657FD" w:rsidRPr="00CF6680">
        <w:rPr>
          <w:rFonts w:ascii="Garamond" w:hAnsi="Garamond" w:cs="Times New Roman"/>
          <w:sz w:val="28"/>
          <w:szCs w:val="28"/>
        </w:rPr>
        <w:t>è dovuto alla</w:t>
      </w:r>
      <w:r w:rsidRPr="00CF6680">
        <w:rPr>
          <w:rFonts w:ascii="Garamond" w:hAnsi="Garamond" w:cs="Times New Roman"/>
          <w:sz w:val="28"/>
          <w:szCs w:val="28"/>
        </w:rPr>
        <w:t xml:space="preserve"> portata letterale della norma, </w:t>
      </w:r>
      <w:r w:rsidR="00C657FD" w:rsidRPr="00CF6680">
        <w:rPr>
          <w:rFonts w:ascii="Garamond" w:hAnsi="Garamond" w:cs="Times New Roman"/>
          <w:sz w:val="28"/>
          <w:szCs w:val="28"/>
        </w:rPr>
        <w:t xml:space="preserve">ma </w:t>
      </w:r>
      <w:r w:rsidRPr="00CF6680">
        <w:rPr>
          <w:rFonts w:ascii="Garamond" w:hAnsi="Garamond" w:cs="Times New Roman"/>
          <w:sz w:val="28"/>
          <w:szCs w:val="28"/>
        </w:rPr>
        <w:t xml:space="preserve">anche </w:t>
      </w:r>
      <w:r w:rsidR="00C657FD" w:rsidRPr="00CF6680">
        <w:rPr>
          <w:rFonts w:ascii="Garamond" w:hAnsi="Garamond" w:cs="Times New Roman"/>
          <w:sz w:val="28"/>
          <w:szCs w:val="28"/>
        </w:rPr>
        <w:t>alle</w:t>
      </w:r>
      <w:r w:rsidRPr="00CF6680">
        <w:rPr>
          <w:rFonts w:ascii="Garamond" w:hAnsi="Garamond" w:cs="Times New Roman"/>
          <w:sz w:val="28"/>
          <w:szCs w:val="28"/>
        </w:rPr>
        <w:t xml:space="preserve"> ragioni di ordine sistematico</w:t>
      </w:r>
      <w:r w:rsidR="00C657FD" w:rsidRPr="00CF6680">
        <w:rPr>
          <w:rFonts w:ascii="Garamond" w:hAnsi="Garamond" w:cs="Times New Roman"/>
          <w:sz w:val="28"/>
          <w:szCs w:val="28"/>
        </w:rPr>
        <w:t xml:space="preserve"> della stessa</w:t>
      </w:r>
      <w:r w:rsidRPr="00CF6680">
        <w:rPr>
          <w:rFonts w:ascii="Garamond" w:hAnsi="Garamond" w:cs="Times New Roman"/>
          <w:sz w:val="28"/>
          <w:szCs w:val="28"/>
        </w:rPr>
        <w:t xml:space="preserve"> </w:t>
      </w:r>
      <w:r w:rsidR="00C657FD" w:rsidRPr="00CF6680">
        <w:rPr>
          <w:rFonts w:ascii="Garamond" w:hAnsi="Garamond" w:cs="Times New Roman"/>
          <w:sz w:val="28"/>
          <w:szCs w:val="28"/>
        </w:rPr>
        <w:t>sul presupposto</w:t>
      </w:r>
      <w:r w:rsidRPr="00CF6680">
        <w:rPr>
          <w:rFonts w:ascii="Garamond" w:hAnsi="Garamond" w:cs="Times New Roman"/>
          <w:sz w:val="28"/>
          <w:szCs w:val="28"/>
        </w:rPr>
        <w:t xml:space="preserve"> che </w:t>
      </w:r>
      <w:r w:rsidR="00F903BC">
        <w:rPr>
          <w:rFonts w:ascii="Garamond" w:hAnsi="Garamond" w:cs="Times New Roman"/>
          <w:i/>
          <w:sz w:val="28"/>
          <w:szCs w:val="28"/>
        </w:rPr>
        <w:t>«</w:t>
      </w:r>
      <w:r w:rsidRPr="00CF6680">
        <w:rPr>
          <w:rFonts w:ascii="Garamond" w:hAnsi="Garamond" w:cs="Times New Roman"/>
          <w:i/>
          <w:sz w:val="28"/>
          <w:szCs w:val="28"/>
        </w:rPr>
        <w:t>anche in ipotesi di attività soggette a mera autorizzazione, l’esistenza di infiltrazioni mafiose inquinerebbe l’economica legale, alterando il funzionamento della concorrenza e costituendo una minaccia per l’ordine e la sicurezza pubbliche</w:t>
      </w:r>
      <w:r w:rsidR="00F903BC">
        <w:rPr>
          <w:rFonts w:ascii="Garamond" w:hAnsi="Garamond" w:cs="Times New Roman"/>
          <w:i/>
          <w:sz w:val="28"/>
          <w:szCs w:val="28"/>
        </w:rPr>
        <w:t>»</w:t>
      </w:r>
      <w:r w:rsidRPr="00CF6680">
        <w:rPr>
          <w:rFonts w:ascii="Garamond" w:hAnsi="Garamond" w:cs="Times New Roman"/>
          <w:i/>
          <w:sz w:val="28"/>
          <w:szCs w:val="28"/>
        </w:rPr>
        <w:t>.</w:t>
      </w:r>
      <w:r w:rsidR="00587B06" w:rsidRPr="00CF6680">
        <w:rPr>
          <w:rStyle w:val="Rimandonotaapidipagina"/>
          <w:rFonts w:ascii="Garamond" w:hAnsi="Garamond" w:cs="Times New Roman"/>
          <w:i/>
          <w:sz w:val="28"/>
          <w:szCs w:val="28"/>
        </w:rPr>
        <w:footnoteReference w:id="27"/>
      </w:r>
      <w:r w:rsidR="00F16696" w:rsidRPr="00CF6680">
        <w:rPr>
          <w:rFonts w:ascii="Garamond" w:hAnsi="Garamond" w:cs="Times New Roman"/>
          <w:i/>
          <w:sz w:val="28"/>
          <w:szCs w:val="28"/>
        </w:rPr>
        <w:t xml:space="preserve"> </w:t>
      </w:r>
    </w:p>
    <w:p w:rsidR="00CF6680" w:rsidRDefault="0072721E"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Il</w:t>
      </w:r>
      <w:r w:rsidR="007065DB" w:rsidRPr="00CF6680">
        <w:rPr>
          <w:rFonts w:ascii="Garamond" w:hAnsi="Garamond" w:cs="Times New Roman"/>
          <w:sz w:val="28"/>
          <w:szCs w:val="28"/>
        </w:rPr>
        <w:t xml:space="preserve"> Consiglio di Stato, </w:t>
      </w:r>
      <w:r w:rsidR="00C010D5">
        <w:rPr>
          <w:rFonts w:ascii="Garamond" w:hAnsi="Garamond" w:cs="Times New Roman"/>
          <w:sz w:val="28"/>
          <w:szCs w:val="28"/>
        </w:rPr>
        <w:t>Sez.</w:t>
      </w:r>
      <w:r w:rsidR="007065DB" w:rsidRPr="00CF6680">
        <w:rPr>
          <w:rFonts w:ascii="Garamond" w:hAnsi="Garamond" w:cs="Times New Roman"/>
          <w:sz w:val="28"/>
          <w:szCs w:val="28"/>
        </w:rPr>
        <w:t xml:space="preserve"> </w:t>
      </w:r>
      <w:r w:rsidRPr="00CF6680">
        <w:rPr>
          <w:rFonts w:ascii="Garamond" w:hAnsi="Garamond" w:cs="Times New Roman"/>
          <w:sz w:val="28"/>
          <w:szCs w:val="28"/>
        </w:rPr>
        <w:t>III</w:t>
      </w:r>
      <w:r w:rsidR="007065DB" w:rsidRPr="00CF6680">
        <w:rPr>
          <w:rFonts w:ascii="Garamond" w:hAnsi="Garamond" w:cs="Times New Roman"/>
          <w:sz w:val="28"/>
          <w:szCs w:val="28"/>
        </w:rPr>
        <w:t>,</w:t>
      </w:r>
      <w:r w:rsidRPr="00CF6680">
        <w:rPr>
          <w:rFonts w:ascii="Garamond" w:hAnsi="Garamond" w:cs="Times New Roman"/>
          <w:sz w:val="28"/>
          <w:szCs w:val="28"/>
        </w:rPr>
        <w:t xml:space="preserve"> in due pronunce del 2017, </w:t>
      </w:r>
      <w:r w:rsidR="007065DB" w:rsidRPr="00CF6680">
        <w:rPr>
          <w:rFonts w:ascii="Garamond" w:hAnsi="Garamond" w:cs="Times New Roman"/>
          <w:sz w:val="28"/>
          <w:szCs w:val="28"/>
        </w:rPr>
        <w:t xml:space="preserve">n. 565 e </w:t>
      </w:r>
      <w:r w:rsidRPr="00CF6680">
        <w:rPr>
          <w:rFonts w:ascii="Garamond" w:hAnsi="Garamond" w:cs="Times New Roman"/>
          <w:sz w:val="28"/>
          <w:szCs w:val="28"/>
        </w:rPr>
        <w:t xml:space="preserve">n. </w:t>
      </w:r>
      <w:r w:rsidR="007065DB" w:rsidRPr="00CF6680">
        <w:rPr>
          <w:rFonts w:ascii="Garamond" w:hAnsi="Garamond" w:cs="Times New Roman"/>
          <w:sz w:val="28"/>
          <w:szCs w:val="28"/>
        </w:rPr>
        <w:t xml:space="preserve">1109, ha avuto modo di rilevare come la tradizionale bipartizione dell’ambito di applicazione dell’informativa e della comunicazione antimafia si sia rivelata inadeguata a fronteggiare il fenomeno mafioso il quale tende ad infiltrarsi in tutte le attività economiche, ivi comprese quelle soggette a regime </w:t>
      </w:r>
      <w:proofErr w:type="spellStart"/>
      <w:r w:rsidR="007065DB" w:rsidRPr="00CF6680">
        <w:rPr>
          <w:rFonts w:ascii="Garamond" w:hAnsi="Garamond" w:cs="Times New Roman"/>
          <w:sz w:val="28"/>
          <w:szCs w:val="28"/>
        </w:rPr>
        <w:t>autori</w:t>
      </w:r>
      <w:r w:rsidR="006E70C1">
        <w:rPr>
          <w:rFonts w:ascii="Garamond" w:hAnsi="Garamond" w:cs="Times New Roman"/>
          <w:sz w:val="28"/>
          <w:szCs w:val="28"/>
        </w:rPr>
        <w:t>z</w:t>
      </w:r>
      <w:r w:rsidR="007065DB" w:rsidRPr="00CF6680">
        <w:rPr>
          <w:rFonts w:ascii="Garamond" w:hAnsi="Garamond" w:cs="Times New Roman"/>
          <w:sz w:val="28"/>
          <w:szCs w:val="28"/>
        </w:rPr>
        <w:t>zatorio</w:t>
      </w:r>
      <w:proofErr w:type="spellEnd"/>
      <w:r w:rsidR="00E87B4D" w:rsidRPr="00CF6680">
        <w:rPr>
          <w:rFonts w:ascii="Garamond" w:hAnsi="Garamond" w:cs="Times New Roman"/>
          <w:sz w:val="28"/>
          <w:szCs w:val="28"/>
        </w:rPr>
        <w:t xml:space="preserve">. </w:t>
      </w:r>
    </w:p>
    <w:p w:rsidR="00D04DE3" w:rsidRPr="00CF6680" w:rsidRDefault="00E87B4D" w:rsidP="00CF6680">
      <w:pPr>
        <w:spacing w:line="276" w:lineRule="auto"/>
        <w:ind w:firstLine="709"/>
        <w:jc w:val="both"/>
        <w:rPr>
          <w:rFonts w:ascii="Garamond" w:hAnsi="Garamond" w:cs="Times New Roman"/>
          <w:i/>
          <w:sz w:val="28"/>
          <w:szCs w:val="28"/>
        </w:rPr>
      </w:pPr>
      <w:r w:rsidRPr="00CF6680">
        <w:rPr>
          <w:rFonts w:ascii="Garamond" w:hAnsi="Garamond" w:cs="Times New Roman"/>
          <w:sz w:val="28"/>
          <w:szCs w:val="28"/>
        </w:rPr>
        <w:t xml:space="preserve">A ben vedere, </w:t>
      </w:r>
      <w:r w:rsidR="00FD5639" w:rsidRPr="00CF6680">
        <w:rPr>
          <w:rFonts w:ascii="Garamond" w:hAnsi="Garamond" w:cs="Times New Roman"/>
          <w:sz w:val="28"/>
          <w:szCs w:val="28"/>
        </w:rPr>
        <w:t xml:space="preserve">l’originaria e netta distinzione </w:t>
      </w:r>
      <w:r w:rsidRPr="00CF6680">
        <w:rPr>
          <w:rFonts w:ascii="Garamond" w:hAnsi="Garamond" w:cs="Times New Roman"/>
          <w:sz w:val="28"/>
          <w:szCs w:val="28"/>
        </w:rPr>
        <w:t xml:space="preserve"> </w:t>
      </w:r>
      <w:r w:rsidR="00FD5639" w:rsidRPr="00CF6680">
        <w:rPr>
          <w:rFonts w:ascii="Garamond" w:hAnsi="Garamond" w:cs="Times New Roman"/>
          <w:sz w:val="28"/>
          <w:szCs w:val="28"/>
        </w:rPr>
        <w:t xml:space="preserve">tra le comunicazioni antimafia, richieste per autorizzazioni e le informazioni antimafia, rilasciate per i contratti, le concessioni e le agevolazioni, </w:t>
      </w:r>
      <w:r w:rsidR="00C91DC8" w:rsidRPr="00CF6680">
        <w:rPr>
          <w:rFonts w:ascii="Garamond" w:hAnsi="Garamond" w:cs="Times New Roman"/>
          <w:sz w:val="28"/>
          <w:szCs w:val="28"/>
        </w:rPr>
        <w:t xml:space="preserve"> </w:t>
      </w:r>
      <w:r w:rsidR="00365486" w:rsidRPr="00CF6680">
        <w:rPr>
          <w:rFonts w:ascii="Garamond" w:hAnsi="Garamond" w:cs="Times New Roman"/>
          <w:sz w:val="28"/>
          <w:szCs w:val="28"/>
        </w:rPr>
        <w:t>ha consentito</w:t>
      </w:r>
      <w:r w:rsidR="00306303" w:rsidRPr="00CF6680">
        <w:rPr>
          <w:rFonts w:ascii="Garamond" w:hAnsi="Garamond" w:cs="Times New Roman"/>
          <w:sz w:val="28"/>
          <w:szCs w:val="28"/>
        </w:rPr>
        <w:t xml:space="preserve"> </w:t>
      </w:r>
      <w:r w:rsidR="00365486" w:rsidRPr="00CF6680">
        <w:rPr>
          <w:rFonts w:ascii="Garamond" w:hAnsi="Garamond" w:cs="Times New Roman"/>
          <w:sz w:val="28"/>
          <w:szCs w:val="28"/>
        </w:rPr>
        <w:t>al</w:t>
      </w:r>
      <w:r w:rsidR="00306303" w:rsidRPr="00CF6680">
        <w:rPr>
          <w:rFonts w:ascii="Garamond" w:hAnsi="Garamond" w:cs="Times New Roman"/>
          <w:sz w:val="28"/>
          <w:szCs w:val="28"/>
        </w:rPr>
        <w:t xml:space="preserve">la criminalità organizzata </w:t>
      </w:r>
      <w:r w:rsidR="00365486" w:rsidRPr="00CF6680">
        <w:rPr>
          <w:rFonts w:ascii="Garamond" w:hAnsi="Garamond" w:cs="Times New Roman"/>
          <w:sz w:val="28"/>
          <w:szCs w:val="28"/>
        </w:rPr>
        <w:t xml:space="preserve">di </w:t>
      </w:r>
      <w:r w:rsidR="00306303" w:rsidRPr="00CF6680">
        <w:rPr>
          <w:rFonts w:ascii="Garamond" w:hAnsi="Garamond" w:cs="Times New Roman"/>
          <w:sz w:val="28"/>
          <w:szCs w:val="28"/>
        </w:rPr>
        <w:t>gestire</w:t>
      </w:r>
      <w:r w:rsidR="00C91DC8" w:rsidRPr="00CF6680">
        <w:rPr>
          <w:rFonts w:ascii="Garamond" w:hAnsi="Garamond" w:cs="Times New Roman"/>
          <w:sz w:val="28"/>
          <w:szCs w:val="28"/>
        </w:rPr>
        <w:t xml:space="preserve">, tramite imprese infiltrate, </w:t>
      </w:r>
      <w:r w:rsidR="00306303" w:rsidRPr="00CF6680">
        <w:rPr>
          <w:rFonts w:ascii="Garamond" w:hAnsi="Garamond" w:cs="Times New Roman"/>
          <w:sz w:val="28"/>
          <w:szCs w:val="28"/>
        </w:rPr>
        <w:t xml:space="preserve"> ingenti attività economiche</w:t>
      </w:r>
      <w:r w:rsidR="00C91DC8" w:rsidRPr="00CF6680">
        <w:rPr>
          <w:rFonts w:ascii="Garamond" w:hAnsi="Garamond" w:cs="Times New Roman"/>
          <w:sz w:val="28"/>
          <w:szCs w:val="28"/>
        </w:rPr>
        <w:t xml:space="preserve"> </w:t>
      </w:r>
      <w:r w:rsidR="00306303" w:rsidRPr="00CF6680">
        <w:rPr>
          <w:rFonts w:ascii="Garamond" w:hAnsi="Garamond" w:cs="Times New Roman"/>
          <w:sz w:val="28"/>
          <w:szCs w:val="28"/>
        </w:rPr>
        <w:t xml:space="preserve">senza che l’ordinamento </w:t>
      </w:r>
      <w:r w:rsidR="00F903BC">
        <w:rPr>
          <w:rFonts w:ascii="Garamond" w:hAnsi="Garamond" w:cs="Times New Roman"/>
          <w:i/>
          <w:sz w:val="28"/>
          <w:szCs w:val="28"/>
        </w:rPr>
        <w:t>«</w:t>
      </w:r>
      <w:r w:rsidR="00306303" w:rsidRPr="00CF6680">
        <w:rPr>
          <w:rFonts w:ascii="Garamond" w:hAnsi="Garamond" w:cs="Times New Roman"/>
          <w:i/>
          <w:sz w:val="28"/>
          <w:szCs w:val="28"/>
        </w:rPr>
        <w:t xml:space="preserve">potesse efficacemente intervenire per contrastare tale infiltrazione, al di fuori delle ipotesi di comunicazione antimafia emesse per misure di prevenzione definitive con effetto </w:t>
      </w:r>
      <w:proofErr w:type="spellStart"/>
      <w:r w:rsidR="00306303" w:rsidRPr="00CF6680">
        <w:rPr>
          <w:rFonts w:ascii="Garamond" w:hAnsi="Garamond" w:cs="Times New Roman"/>
          <w:i/>
          <w:sz w:val="28"/>
          <w:szCs w:val="28"/>
        </w:rPr>
        <w:t>interdittivo</w:t>
      </w:r>
      <w:proofErr w:type="spellEnd"/>
      <w:r w:rsidR="00306303" w:rsidRPr="00CF6680">
        <w:rPr>
          <w:rFonts w:ascii="Garamond" w:hAnsi="Garamond" w:cs="Times New Roman"/>
          <w:i/>
          <w:sz w:val="28"/>
          <w:szCs w:val="28"/>
        </w:rPr>
        <w:t xml:space="preserve"> ai sensi dell’art. 67 , </w:t>
      </w:r>
      <w:r w:rsidR="00C010D5">
        <w:rPr>
          <w:rFonts w:ascii="Garamond" w:hAnsi="Garamond" w:cs="Times New Roman"/>
          <w:i/>
          <w:sz w:val="28"/>
          <w:szCs w:val="28"/>
        </w:rPr>
        <w:t xml:space="preserve">d. </w:t>
      </w:r>
      <w:proofErr w:type="spellStart"/>
      <w:r w:rsidR="00C010D5">
        <w:rPr>
          <w:rFonts w:ascii="Garamond" w:hAnsi="Garamond" w:cs="Times New Roman"/>
          <w:i/>
          <w:sz w:val="28"/>
          <w:szCs w:val="28"/>
        </w:rPr>
        <w:t>lgs</w:t>
      </w:r>
      <w:proofErr w:type="spellEnd"/>
      <w:r w:rsidR="00C010D5">
        <w:rPr>
          <w:rFonts w:ascii="Garamond" w:hAnsi="Garamond" w:cs="Times New Roman"/>
          <w:i/>
          <w:sz w:val="28"/>
          <w:szCs w:val="28"/>
        </w:rPr>
        <w:t>.</w:t>
      </w:r>
      <w:r w:rsidR="00306303" w:rsidRPr="00CF6680">
        <w:rPr>
          <w:rFonts w:ascii="Garamond" w:hAnsi="Garamond" w:cs="Times New Roman"/>
          <w:i/>
          <w:sz w:val="28"/>
          <w:szCs w:val="28"/>
        </w:rPr>
        <w:t xml:space="preserve"> </w:t>
      </w:r>
      <w:r w:rsidR="00C010D5">
        <w:rPr>
          <w:rFonts w:ascii="Garamond" w:hAnsi="Garamond" w:cs="Times New Roman"/>
          <w:i/>
          <w:sz w:val="28"/>
          <w:szCs w:val="28"/>
        </w:rPr>
        <w:t>n. 159 del 2011</w:t>
      </w:r>
      <w:r w:rsidR="00306303" w:rsidRPr="00CF6680">
        <w:rPr>
          <w:rFonts w:ascii="Garamond" w:hAnsi="Garamond" w:cs="Times New Roman"/>
          <w:i/>
          <w:sz w:val="28"/>
          <w:szCs w:val="28"/>
        </w:rPr>
        <w:t>, anche quando, paradossalmente, a</w:t>
      </w:r>
      <w:r w:rsidR="0072721E" w:rsidRPr="00CF6680">
        <w:rPr>
          <w:rFonts w:ascii="Garamond" w:hAnsi="Garamond" w:cs="Times New Roman"/>
          <w:i/>
          <w:sz w:val="28"/>
          <w:szCs w:val="28"/>
        </w:rPr>
        <w:t xml:space="preserve"> </w:t>
      </w:r>
      <w:r w:rsidR="00306303" w:rsidRPr="00CF6680">
        <w:rPr>
          <w:rFonts w:ascii="Garamond" w:hAnsi="Garamond" w:cs="Times New Roman"/>
          <w:i/>
          <w:sz w:val="28"/>
          <w:szCs w:val="28"/>
        </w:rPr>
        <w:t>dette imprese fosse stata comunque interdetta la stipulazione dei contratti pubblici per effetto di una informativa antimafia</w:t>
      </w:r>
      <w:r w:rsidR="00F903BC">
        <w:rPr>
          <w:rFonts w:ascii="Garamond" w:hAnsi="Garamond" w:cs="Times New Roman"/>
          <w:i/>
          <w:sz w:val="28"/>
          <w:szCs w:val="28"/>
        </w:rPr>
        <w:t>»</w:t>
      </w:r>
      <w:r w:rsidR="00365486" w:rsidRPr="00CF6680">
        <w:rPr>
          <w:rFonts w:ascii="Garamond" w:hAnsi="Garamond" w:cs="Times New Roman"/>
          <w:i/>
          <w:sz w:val="28"/>
          <w:szCs w:val="28"/>
        </w:rPr>
        <w:t xml:space="preserve">. </w:t>
      </w:r>
    </w:p>
    <w:p w:rsidR="00365486" w:rsidRPr="00CF6680" w:rsidRDefault="0072721E"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Secondo il Consiglio di Stato, il</w:t>
      </w:r>
      <w:r w:rsidR="00365486" w:rsidRPr="00CF6680">
        <w:rPr>
          <w:rFonts w:ascii="Garamond" w:hAnsi="Garamond" w:cs="Times New Roman"/>
          <w:sz w:val="28"/>
          <w:szCs w:val="28"/>
        </w:rPr>
        <w:t xml:space="preserve"> superamento dell’impostazione di cui sopra sarebbe </w:t>
      </w:r>
      <w:r w:rsidR="007371A8" w:rsidRPr="00CF6680">
        <w:rPr>
          <w:rFonts w:ascii="Garamond" w:hAnsi="Garamond" w:cs="Times New Roman"/>
          <w:sz w:val="28"/>
          <w:szCs w:val="28"/>
        </w:rPr>
        <w:t>altresì</w:t>
      </w:r>
      <w:r w:rsidR="00365486" w:rsidRPr="00CF6680">
        <w:rPr>
          <w:rFonts w:ascii="Garamond" w:hAnsi="Garamond" w:cs="Times New Roman"/>
          <w:sz w:val="28"/>
          <w:szCs w:val="28"/>
        </w:rPr>
        <w:t xml:space="preserve"> </w:t>
      </w:r>
      <w:r w:rsidR="007371A8" w:rsidRPr="00CF6680">
        <w:rPr>
          <w:rFonts w:ascii="Garamond" w:hAnsi="Garamond" w:cs="Times New Roman"/>
          <w:sz w:val="28"/>
          <w:szCs w:val="28"/>
        </w:rPr>
        <w:t xml:space="preserve">ricavabile dal diritto positivo e, in particolare, </w:t>
      </w:r>
      <w:r w:rsidR="00C91DC8" w:rsidRPr="00CF6680">
        <w:rPr>
          <w:rFonts w:ascii="Garamond" w:hAnsi="Garamond" w:cs="Times New Roman"/>
          <w:sz w:val="28"/>
          <w:szCs w:val="28"/>
        </w:rPr>
        <w:t xml:space="preserve">dalla </w:t>
      </w:r>
      <w:r w:rsidRPr="00CF6680">
        <w:rPr>
          <w:rFonts w:ascii="Garamond" w:hAnsi="Garamond" w:cs="Times New Roman"/>
          <w:sz w:val="28"/>
          <w:szCs w:val="28"/>
        </w:rPr>
        <w:t>legge</w:t>
      </w:r>
      <w:r w:rsidR="00365486" w:rsidRPr="00CF6680">
        <w:rPr>
          <w:rFonts w:ascii="Garamond" w:hAnsi="Garamond" w:cs="Times New Roman"/>
          <w:sz w:val="28"/>
          <w:szCs w:val="28"/>
        </w:rPr>
        <w:t xml:space="preserve"> n. 136/2010, intitolata </w:t>
      </w:r>
      <w:r w:rsidR="00365486" w:rsidRPr="00CF6680">
        <w:rPr>
          <w:rFonts w:ascii="Garamond" w:hAnsi="Garamond" w:cs="Times New Roman"/>
          <w:i/>
          <w:sz w:val="28"/>
          <w:szCs w:val="28"/>
        </w:rPr>
        <w:t xml:space="preserve">“piano straordinario contro le mafia, nonché delega al Governo in materia di normativa antimafia”, </w:t>
      </w:r>
      <w:r w:rsidR="00365486" w:rsidRPr="00CF6680">
        <w:rPr>
          <w:rFonts w:ascii="Garamond" w:hAnsi="Garamond" w:cs="Times New Roman"/>
          <w:sz w:val="28"/>
          <w:szCs w:val="28"/>
        </w:rPr>
        <w:t xml:space="preserve">che ha introdotto all’articolo 2, il comma 1, </w:t>
      </w:r>
      <w:proofErr w:type="spellStart"/>
      <w:r w:rsidR="00365486" w:rsidRPr="00CF6680">
        <w:rPr>
          <w:rFonts w:ascii="Garamond" w:hAnsi="Garamond" w:cs="Times New Roman"/>
          <w:sz w:val="28"/>
          <w:szCs w:val="28"/>
        </w:rPr>
        <w:t>lett</w:t>
      </w:r>
      <w:proofErr w:type="spellEnd"/>
      <w:r w:rsidR="00365486" w:rsidRPr="00CF6680">
        <w:rPr>
          <w:rFonts w:ascii="Garamond" w:hAnsi="Garamond" w:cs="Times New Roman"/>
          <w:sz w:val="28"/>
          <w:szCs w:val="28"/>
        </w:rPr>
        <w:t xml:space="preserve">. c), istitutivo della Banca dati nazionale unica della documentazione antimafia </w:t>
      </w:r>
      <w:r w:rsidR="00F903BC">
        <w:rPr>
          <w:rFonts w:ascii="Garamond" w:hAnsi="Garamond" w:cs="Times New Roman"/>
          <w:i/>
          <w:sz w:val="28"/>
          <w:szCs w:val="28"/>
        </w:rPr>
        <w:t>«</w:t>
      </w:r>
      <w:r w:rsidR="00365486" w:rsidRPr="00CF6680">
        <w:rPr>
          <w:rFonts w:ascii="Garamond" w:hAnsi="Garamond" w:cs="Times New Roman"/>
          <w:i/>
          <w:sz w:val="28"/>
          <w:szCs w:val="28"/>
        </w:rPr>
        <w:t xml:space="preserve">con riferimento a tutti i rapporti, anche già in essere, con la Pubblica amministrazione, </w:t>
      </w:r>
      <w:r w:rsidR="00C91DC8" w:rsidRPr="00CF6680">
        <w:rPr>
          <w:rFonts w:ascii="Garamond" w:hAnsi="Garamond" w:cs="Times New Roman"/>
          <w:i/>
          <w:sz w:val="28"/>
          <w:szCs w:val="28"/>
        </w:rPr>
        <w:t>con l’obiettivo di accelerale</w:t>
      </w:r>
      <w:r w:rsidR="00365486" w:rsidRPr="00CF6680">
        <w:rPr>
          <w:rFonts w:ascii="Garamond" w:hAnsi="Garamond" w:cs="Times New Roman"/>
          <w:i/>
          <w:sz w:val="28"/>
          <w:szCs w:val="28"/>
        </w:rPr>
        <w:t xml:space="preserve"> </w:t>
      </w:r>
      <w:r w:rsidR="00D7048D" w:rsidRPr="00CF6680">
        <w:rPr>
          <w:rFonts w:ascii="Garamond" w:hAnsi="Garamond" w:cs="Times New Roman"/>
          <w:i/>
          <w:sz w:val="28"/>
          <w:szCs w:val="28"/>
        </w:rPr>
        <w:t>le</w:t>
      </w:r>
      <w:r w:rsidR="00365486" w:rsidRPr="00CF6680">
        <w:rPr>
          <w:rFonts w:ascii="Garamond" w:hAnsi="Garamond" w:cs="Times New Roman"/>
          <w:i/>
          <w:sz w:val="28"/>
          <w:szCs w:val="28"/>
        </w:rPr>
        <w:t xml:space="preserve"> procedure di rilasc</w:t>
      </w:r>
      <w:r w:rsidRPr="00CF6680">
        <w:rPr>
          <w:rFonts w:ascii="Garamond" w:hAnsi="Garamond" w:cs="Times New Roman"/>
          <w:i/>
          <w:sz w:val="28"/>
          <w:szCs w:val="28"/>
        </w:rPr>
        <w:t>io</w:t>
      </w:r>
      <w:r w:rsidR="00365486" w:rsidRPr="00CF6680">
        <w:rPr>
          <w:rFonts w:ascii="Garamond" w:hAnsi="Garamond" w:cs="Times New Roman"/>
          <w:i/>
          <w:sz w:val="28"/>
          <w:szCs w:val="28"/>
        </w:rPr>
        <w:t xml:space="preserve"> della medesima documentazione e potenzia</w:t>
      </w:r>
      <w:r w:rsidR="00D7048D" w:rsidRPr="00CF6680">
        <w:rPr>
          <w:rFonts w:ascii="Garamond" w:hAnsi="Garamond" w:cs="Times New Roman"/>
          <w:i/>
          <w:sz w:val="28"/>
          <w:szCs w:val="28"/>
        </w:rPr>
        <w:t>re</w:t>
      </w:r>
      <w:r w:rsidR="00365486" w:rsidRPr="00CF6680">
        <w:rPr>
          <w:rFonts w:ascii="Garamond" w:hAnsi="Garamond" w:cs="Times New Roman"/>
          <w:i/>
          <w:sz w:val="28"/>
          <w:szCs w:val="28"/>
        </w:rPr>
        <w:t xml:space="preserve"> </w:t>
      </w:r>
      <w:r w:rsidR="00D7048D" w:rsidRPr="00CF6680">
        <w:rPr>
          <w:rFonts w:ascii="Garamond" w:hAnsi="Garamond" w:cs="Times New Roman"/>
          <w:i/>
          <w:sz w:val="28"/>
          <w:szCs w:val="28"/>
        </w:rPr>
        <w:t>l</w:t>
      </w:r>
      <w:r w:rsidR="00365486" w:rsidRPr="00CF6680">
        <w:rPr>
          <w:rFonts w:ascii="Garamond" w:hAnsi="Garamond" w:cs="Times New Roman"/>
          <w:i/>
          <w:sz w:val="28"/>
          <w:szCs w:val="28"/>
        </w:rPr>
        <w:t>’attività di prevenzione dei tentativi di infiltrazione mafiosa nell’attività d’impresa</w:t>
      </w:r>
      <w:r w:rsidR="00F903BC">
        <w:rPr>
          <w:rFonts w:ascii="Garamond" w:hAnsi="Garamond" w:cs="Times New Roman"/>
          <w:i/>
          <w:sz w:val="28"/>
          <w:szCs w:val="28"/>
        </w:rPr>
        <w:t>»</w:t>
      </w:r>
      <w:r w:rsidR="007371A8" w:rsidRPr="00CF6680">
        <w:rPr>
          <w:rFonts w:ascii="Garamond" w:hAnsi="Garamond" w:cs="Times New Roman"/>
          <w:i/>
          <w:sz w:val="28"/>
          <w:szCs w:val="28"/>
        </w:rPr>
        <w:t xml:space="preserve">. </w:t>
      </w:r>
      <w:r w:rsidRPr="00CF6680">
        <w:rPr>
          <w:rFonts w:ascii="Garamond" w:hAnsi="Garamond" w:cs="Times New Roman"/>
          <w:sz w:val="28"/>
          <w:szCs w:val="28"/>
        </w:rPr>
        <w:t xml:space="preserve">La </w:t>
      </w:r>
      <w:r w:rsidR="007371A8" w:rsidRPr="00CF6680">
        <w:rPr>
          <w:rFonts w:ascii="Garamond" w:hAnsi="Garamond" w:cs="Times New Roman"/>
          <w:sz w:val="28"/>
          <w:szCs w:val="28"/>
        </w:rPr>
        <w:t xml:space="preserve">norma, riferendosi a </w:t>
      </w:r>
      <w:r w:rsidRPr="00CF6680">
        <w:rPr>
          <w:rFonts w:ascii="Garamond" w:hAnsi="Garamond" w:cs="Times New Roman"/>
          <w:i/>
          <w:sz w:val="28"/>
          <w:szCs w:val="28"/>
        </w:rPr>
        <w:t>“</w:t>
      </w:r>
      <w:r w:rsidR="007371A8" w:rsidRPr="00CF6680">
        <w:rPr>
          <w:rFonts w:ascii="Garamond" w:hAnsi="Garamond" w:cs="Times New Roman"/>
          <w:i/>
          <w:sz w:val="28"/>
          <w:szCs w:val="28"/>
        </w:rPr>
        <w:t>tutti i rapporti</w:t>
      </w:r>
      <w:r w:rsidRPr="00CF6680">
        <w:rPr>
          <w:rFonts w:ascii="Garamond" w:hAnsi="Garamond" w:cs="Times New Roman"/>
          <w:i/>
          <w:sz w:val="28"/>
          <w:szCs w:val="28"/>
        </w:rPr>
        <w:t>”</w:t>
      </w:r>
      <w:r w:rsidR="007371A8" w:rsidRPr="00CF6680">
        <w:rPr>
          <w:rFonts w:ascii="Garamond" w:hAnsi="Garamond" w:cs="Times New Roman"/>
          <w:i/>
          <w:sz w:val="28"/>
          <w:szCs w:val="28"/>
        </w:rPr>
        <w:t>,</w:t>
      </w:r>
      <w:r w:rsidR="007371A8" w:rsidRPr="00CF6680">
        <w:rPr>
          <w:rFonts w:ascii="Garamond" w:hAnsi="Garamond" w:cs="Times New Roman"/>
          <w:sz w:val="28"/>
          <w:szCs w:val="28"/>
        </w:rPr>
        <w:t xml:space="preserve"> </w:t>
      </w:r>
      <w:r w:rsidR="00D7048D" w:rsidRPr="00CF6680">
        <w:rPr>
          <w:rFonts w:ascii="Garamond" w:hAnsi="Garamond" w:cs="Times New Roman"/>
          <w:sz w:val="28"/>
          <w:szCs w:val="28"/>
        </w:rPr>
        <w:t>guarda</w:t>
      </w:r>
      <w:r w:rsidR="007371A8" w:rsidRPr="00CF6680">
        <w:rPr>
          <w:rFonts w:ascii="Garamond" w:hAnsi="Garamond" w:cs="Times New Roman"/>
          <w:sz w:val="28"/>
          <w:szCs w:val="28"/>
        </w:rPr>
        <w:t xml:space="preserve"> non solo ai contratti e alle concessioni, ma anche alle autorizzazioni. </w:t>
      </w:r>
    </w:p>
    <w:p w:rsidR="00D7048D" w:rsidRPr="00CF6680" w:rsidRDefault="007371A8" w:rsidP="00CF6680">
      <w:pPr>
        <w:spacing w:line="276" w:lineRule="auto"/>
        <w:ind w:firstLine="709"/>
        <w:jc w:val="both"/>
        <w:rPr>
          <w:rFonts w:ascii="Garamond" w:hAnsi="Garamond" w:cs="Times New Roman"/>
          <w:i/>
          <w:sz w:val="28"/>
          <w:szCs w:val="28"/>
        </w:rPr>
      </w:pPr>
      <w:r w:rsidRPr="00CF6680">
        <w:rPr>
          <w:rFonts w:ascii="Garamond" w:hAnsi="Garamond" w:cs="Times New Roman"/>
          <w:sz w:val="28"/>
          <w:szCs w:val="28"/>
        </w:rPr>
        <w:t xml:space="preserve">Questa chiave di lettura risulta, peraltro, coerente con una visione </w:t>
      </w:r>
      <w:r w:rsidR="00F903BC">
        <w:rPr>
          <w:rFonts w:ascii="Garamond" w:hAnsi="Garamond" w:cs="Times New Roman"/>
          <w:i/>
          <w:sz w:val="28"/>
          <w:szCs w:val="28"/>
        </w:rPr>
        <w:t>«</w:t>
      </w:r>
      <w:r w:rsidRPr="00CF6680">
        <w:rPr>
          <w:rFonts w:ascii="Garamond" w:hAnsi="Garamond" w:cs="Times New Roman"/>
          <w:i/>
          <w:sz w:val="28"/>
          <w:szCs w:val="28"/>
        </w:rPr>
        <w:t>moderna del diritto amministrativo, quale effettivamente vive e si svolge nel tessuto economic</w:t>
      </w:r>
      <w:r w:rsidR="0072721E" w:rsidRPr="00CF6680">
        <w:rPr>
          <w:rFonts w:ascii="Garamond" w:hAnsi="Garamond" w:cs="Times New Roman"/>
          <w:i/>
          <w:sz w:val="28"/>
          <w:szCs w:val="28"/>
        </w:rPr>
        <w:t>o</w:t>
      </w:r>
      <w:r w:rsidRPr="00CF6680">
        <w:rPr>
          <w:rFonts w:ascii="Garamond" w:hAnsi="Garamond" w:cs="Times New Roman"/>
          <w:i/>
          <w:sz w:val="28"/>
          <w:szCs w:val="28"/>
        </w:rPr>
        <w:t xml:space="preserve"> (..) e che individua un rapporto tra amministrato e amministrazione in ogni ipotesi in cui l’attività economica sia sottoposta ad attività </w:t>
      </w:r>
      <w:proofErr w:type="spellStart"/>
      <w:r w:rsidRPr="00CF6680">
        <w:rPr>
          <w:rFonts w:ascii="Garamond" w:hAnsi="Garamond" w:cs="Times New Roman"/>
          <w:i/>
          <w:sz w:val="28"/>
          <w:szCs w:val="28"/>
        </w:rPr>
        <w:t>provvedimentale</w:t>
      </w:r>
      <w:proofErr w:type="spellEnd"/>
      <w:r w:rsidR="00F903BC">
        <w:rPr>
          <w:rFonts w:ascii="Garamond" w:hAnsi="Garamond" w:cs="Times New Roman"/>
          <w:i/>
          <w:sz w:val="28"/>
          <w:szCs w:val="28"/>
        </w:rPr>
        <w:t>»</w:t>
      </w:r>
      <w:r w:rsidRPr="00CF6680">
        <w:rPr>
          <w:rFonts w:ascii="Garamond" w:hAnsi="Garamond" w:cs="Times New Roman"/>
          <w:i/>
          <w:sz w:val="28"/>
          <w:szCs w:val="28"/>
        </w:rPr>
        <w:t xml:space="preserve">. </w:t>
      </w:r>
    </w:p>
    <w:p w:rsidR="007065DB" w:rsidRPr="00CF6680" w:rsidRDefault="0035088C"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Questo sistema, perfettamente in linea con i valori costituzionali ed europei di preminente interesse e di irrinunciabile tutela, consente all’Autorità prefettizia di </w:t>
      </w:r>
      <w:proofErr w:type="gramStart"/>
      <w:r w:rsidRPr="00CF6680">
        <w:rPr>
          <w:rFonts w:ascii="Garamond" w:hAnsi="Garamond" w:cs="Times New Roman"/>
          <w:sz w:val="28"/>
          <w:szCs w:val="28"/>
        </w:rPr>
        <w:t>emettere ,</w:t>
      </w:r>
      <w:proofErr w:type="gramEnd"/>
      <w:r w:rsidRPr="00CF6680">
        <w:rPr>
          <w:rFonts w:ascii="Garamond" w:hAnsi="Garamond" w:cs="Times New Roman"/>
          <w:sz w:val="28"/>
          <w:szCs w:val="28"/>
        </w:rPr>
        <w:t xml:space="preserve"> qualora ricorrano i presupposti dell’articolo 84, comma 4, e dell’articolo 91, comma 6,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159 / 2011, una informativa antimafia in luogo e con l’effetto della richiesta comunicazione antimafia. </w:t>
      </w:r>
      <w:r w:rsidR="006071FA" w:rsidRPr="00CF6680">
        <w:rPr>
          <w:rFonts w:ascii="Garamond" w:hAnsi="Garamond" w:cs="Times New Roman"/>
          <w:sz w:val="28"/>
          <w:szCs w:val="28"/>
        </w:rPr>
        <w:t>D’altro canto, come autorevolmente ribadisce il Consiglio di Stato in queste pronunce, e</w:t>
      </w:r>
      <w:r w:rsidRPr="00CF6680">
        <w:rPr>
          <w:rFonts w:ascii="Garamond" w:hAnsi="Garamond" w:cs="Times New Roman"/>
          <w:sz w:val="28"/>
          <w:szCs w:val="28"/>
        </w:rPr>
        <w:t>stendere l’operatività dell’informativa antima</w:t>
      </w:r>
      <w:r w:rsidR="006071FA" w:rsidRPr="00CF6680">
        <w:rPr>
          <w:rFonts w:ascii="Garamond" w:hAnsi="Garamond" w:cs="Times New Roman"/>
          <w:sz w:val="28"/>
          <w:szCs w:val="28"/>
        </w:rPr>
        <w:t>fia alle autorizzazioni non significa attribuire all’</w:t>
      </w:r>
      <w:r w:rsidR="002C1C45" w:rsidRPr="00CF6680">
        <w:rPr>
          <w:rFonts w:ascii="Garamond" w:hAnsi="Garamond" w:cs="Times New Roman"/>
          <w:sz w:val="28"/>
          <w:szCs w:val="28"/>
        </w:rPr>
        <w:t>A</w:t>
      </w:r>
      <w:r w:rsidR="006071FA" w:rsidRPr="00CF6680">
        <w:rPr>
          <w:rFonts w:ascii="Garamond" w:hAnsi="Garamond" w:cs="Times New Roman"/>
          <w:sz w:val="28"/>
          <w:szCs w:val="28"/>
        </w:rPr>
        <w:t>utorità competente il potere di valutare la permeabilità mafiosa in assenza di idonee garanzie procedimentali nei confronti del destinatario, posto che, come più volte ribadito, la valutazione prefettizia dovrà sempre e  comunque fondarsi su elementi gravi, precisi e concordanti che consent</w:t>
      </w:r>
      <w:r w:rsidR="00D7048D" w:rsidRPr="00CF6680">
        <w:rPr>
          <w:rFonts w:ascii="Garamond" w:hAnsi="Garamond" w:cs="Times New Roman"/>
          <w:sz w:val="28"/>
          <w:szCs w:val="28"/>
        </w:rPr>
        <w:t>o</w:t>
      </w:r>
      <w:r w:rsidR="006071FA" w:rsidRPr="00CF6680">
        <w:rPr>
          <w:rFonts w:ascii="Garamond" w:hAnsi="Garamond" w:cs="Times New Roman"/>
          <w:sz w:val="28"/>
          <w:szCs w:val="28"/>
        </w:rPr>
        <w:t xml:space="preserve">no di ritenere sussistente il pericolo di infiltrazione mafiosa. </w:t>
      </w:r>
      <w:r w:rsidR="00814EE7" w:rsidRPr="00CF6680">
        <w:rPr>
          <w:rStyle w:val="Rimandonotaapidipagina"/>
          <w:rFonts w:ascii="Garamond" w:hAnsi="Garamond" w:cs="Times New Roman"/>
          <w:sz w:val="28"/>
          <w:szCs w:val="28"/>
        </w:rPr>
        <w:footnoteReference w:id="28"/>
      </w:r>
    </w:p>
    <w:p w:rsidR="00BF54E7" w:rsidRPr="00CF6680" w:rsidRDefault="00632231"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La </w:t>
      </w:r>
      <w:r w:rsidR="00C657FD" w:rsidRPr="00CF6680">
        <w:rPr>
          <w:rFonts w:ascii="Garamond" w:hAnsi="Garamond" w:cs="Times New Roman"/>
          <w:sz w:val="28"/>
          <w:szCs w:val="28"/>
        </w:rPr>
        <w:t xml:space="preserve">soluzione </w:t>
      </w:r>
      <w:r w:rsidRPr="00CF6680">
        <w:rPr>
          <w:rFonts w:ascii="Garamond" w:hAnsi="Garamond" w:cs="Times New Roman"/>
          <w:sz w:val="28"/>
          <w:szCs w:val="28"/>
        </w:rPr>
        <w:t>del Consiglio di Stato è s</w:t>
      </w:r>
      <w:r w:rsidR="00C657FD" w:rsidRPr="00CF6680">
        <w:rPr>
          <w:rFonts w:ascii="Garamond" w:hAnsi="Garamond" w:cs="Times New Roman"/>
          <w:sz w:val="28"/>
          <w:szCs w:val="28"/>
        </w:rPr>
        <w:t xml:space="preserve">tata condivisa </w:t>
      </w:r>
      <w:r w:rsidR="00870847">
        <w:rPr>
          <w:rFonts w:ascii="Garamond" w:hAnsi="Garamond" w:cs="Times New Roman"/>
          <w:sz w:val="28"/>
          <w:szCs w:val="28"/>
        </w:rPr>
        <w:t>dal g</w:t>
      </w:r>
      <w:r w:rsidRPr="00CF6680">
        <w:rPr>
          <w:rFonts w:ascii="Garamond" w:hAnsi="Garamond" w:cs="Times New Roman"/>
          <w:sz w:val="28"/>
          <w:szCs w:val="28"/>
        </w:rPr>
        <w:t>iudice delle leggi</w:t>
      </w:r>
      <w:r w:rsidR="00D7048D" w:rsidRPr="00CF6680">
        <w:rPr>
          <w:rFonts w:ascii="Garamond" w:hAnsi="Garamond" w:cs="Times New Roman"/>
          <w:sz w:val="28"/>
          <w:szCs w:val="28"/>
        </w:rPr>
        <w:t xml:space="preserve"> che </w:t>
      </w:r>
      <w:r w:rsidR="00C657FD" w:rsidRPr="00CF6680">
        <w:rPr>
          <w:rFonts w:ascii="Garamond" w:hAnsi="Garamond" w:cs="Times New Roman"/>
          <w:sz w:val="28"/>
          <w:szCs w:val="28"/>
        </w:rPr>
        <w:t>con</w:t>
      </w:r>
      <w:r w:rsidRPr="00CF6680">
        <w:rPr>
          <w:rFonts w:ascii="Garamond" w:hAnsi="Garamond" w:cs="Times New Roman"/>
          <w:sz w:val="28"/>
          <w:szCs w:val="28"/>
        </w:rPr>
        <w:t xml:space="preserve"> sentenza n. 4</w:t>
      </w:r>
      <w:r w:rsidR="00D7048D" w:rsidRPr="00CF6680">
        <w:rPr>
          <w:rFonts w:ascii="Garamond" w:hAnsi="Garamond" w:cs="Times New Roman"/>
          <w:sz w:val="28"/>
          <w:szCs w:val="28"/>
        </w:rPr>
        <w:t xml:space="preserve"> del </w:t>
      </w:r>
      <w:r w:rsidRPr="00CF6680">
        <w:rPr>
          <w:rFonts w:ascii="Garamond" w:hAnsi="Garamond" w:cs="Times New Roman"/>
          <w:sz w:val="28"/>
          <w:szCs w:val="28"/>
        </w:rPr>
        <w:t>2018</w:t>
      </w:r>
      <w:r w:rsidR="00C657FD" w:rsidRPr="00CF6680">
        <w:rPr>
          <w:rFonts w:ascii="Garamond" w:hAnsi="Garamond" w:cs="Times New Roman"/>
          <w:sz w:val="28"/>
          <w:szCs w:val="28"/>
        </w:rPr>
        <w:t xml:space="preserve">, </w:t>
      </w:r>
      <w:r w:rsidRPr="00CF6680">
        <w:rPr>
          <w:rFonts w:ascii="Garamond" w:hAnsi="Garamond" w:cs="Times New Roman"/>
          <w:sz w:val="28"/>
          <w:szCs w:val="28"/>
        </w:rPr>
        <w:t>nel dichiarare infondate le censure del giudice remittente, ha rilevato</w:t>
      </w:r>
      <w:r w:rsidR="00D7048D" w:rsidRPr="00CF6680">
        <w:rPr>
          <w:rFonts w:ascii="Garamond" w:hAnsi="Garamond" w:cs="Times New Roman"/>
          <w:sz w:val="28"/>
          <w:szCs w:val="28"/>
        </w:rPr>
        <w:t xml:space="preserve"> come dal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w:t>
      </w:r>
      <w:r w:rsidR="00C010D5">
        <w:rPr>
          <w:rFonts w:ascii="Garamond" w:hAnsi="Garamond" w:cs="Times New Roman"/>
          <w:sz w:val="28"/>
          <w:szCs w:val="28"/>
        </w:rPr>
        <w:t>n. 159 del 2011</w:t>
      </w:r>
      <w:r w:rsidRPr="00CF6680">
        <w:rPr>
          <w:rFonts w:ascii="Garamond" w:hAnsi="Garamond" w:cs="Times New Roman"/>
          <w:sz w:val="28"/>
          <w:szCs w:val="28"/>
        </w:rPr>
        <w:t xml:space="preserve">, e </w:t>
      </w:r>
      <w:r w:rsidR="00BF54E7" w:rsidRPr="00CF6680">
        <w:rPr>
          <w:rFonts w:ascii="Garamond" w:hAnsi="Garamond" w:cs="Times New Roman"/>
          <w:sz w:val="28"/>
          <w:szCs w:val="28"/>
        </w:rPr>
        <w:t>dalla</w:t>
      </w:r>
      <w:r w:rsidRPr="00CF6680">
        <w:rPr>
          <w:rFonts w:ascii="Garamond" w:hAnsi="Garamond" w:cs="Times New Roman"/>
          <w:sz w:val="28"/>
          <w:szCs w:val="28"/>
        </w:rPr>
        <w:t xml:space="preserve"> legge delega n.</w:t>
      </w:r>
      <w:r w:rsidR="00F00176" w:rsidRPr="00CF6680">
        <w:rPr>
          <w:rFonts w:ascii="Garamond" w:hAnsi="Garamond" w:cs="Times New Roman"/>
          <w:sz w:val="28"/>
          <w:szCs w:val="28"/>
        </w:rPr>
        <w:t xml:space="preserve"> </w:t>
      </w:r>
      <w:r w:rsidRPr="00CF6680">
        <w:rPr>
          <w:rFonts w:ascii="Garamond" w:hAnsi="Garamond" w:cs="Times New Roman"/>
          <w:sz w:val="28"/>
          <w:szCs w:val="28"/>
        </w:rPr>
        <w:t xml:space="preserve">136 /2010, </w:t>
      </w:r>
      <w:r w:rsidR="00D7048D" w:rsidRPr="00CF6680">
        <w:rPr>
          <w:rFonts w:ascii="Garamond" w:hAnsi="Garamond" w:cs="Times New Roman"/>
          <w:sz w:val="28"/>
          <w:szCs w:val="28"/>
        </w:rPr>
        <w:t>non emergono</w:t>
      </w:r>
      <w:r w:rsidR="00BF54E7" w:rsidRPr="00CF6680">
        <w:rPr>
          <w:rFonts w:ascii="Garamond" w:hAnsi="Garamond" w:cs="Times New Roman"/>
          <w:sz w:val="28"/>
          <w:szCs w:val="28"/>
        </w:rPr>
        <w:t xml:space="preserve"> elementi utili a far supporre </w:t>
      </w:r>
      <w:r w:rsidRPr="00CF6680">
        <w:rPr>
          <w:rFonts w:ascii="Garamond" w:hAnsi="Garamond" w:cs="Times New Roman"/>
          <w:sz w:val="28"/>
          <w:szCs w:val="28"/>
        </w:rPr>
        <w:t xml:space="preserve">che il tentativo di infiltrazione mafiosa, </w:t>
      </w:r>
      <w:r w:rsidR="00BF54E7" w:rsidRPr="00CF6680">
        <w:rPr>
          <w:rFonts w:ascii="Garamond" w:hAnsi="Garamond" w:cs="Times New Roman"/>
          <w:sz w:val="28"/>
          <w:szCs w:val="28"/>
        </w:rPr>
        <w:t>ipotizzato a seguito del</w:t>
      </w:r>
      <w:r w:rsidRPr="00CF6680">
        <w:rPr>
          <w:rFonts w:ascii="Garamond" w:hAnsi="Garamond" w:cs="Times New Roman"/>
          <w:sz w:val="28"/>
          <w:szCs w:val="28"/>
        </w:rPr>
        <w:t xml:space="preserve">l’informazione antimafia </w:t>
      </w:r>
      <w:proofErr w:type="spellStart"/>
      <w:r w:rsidRPr="00CF6680">
        <w:rPr>
          <w:rFonts w:ascii="Garamond" w:hAnsi="Garamond" w:cs="Times New Roman"/>
          <w:sz w:val="28"/>
          <w:szCs w:val="28"/>
        </w:rPr>
        <w:t>interdittiva</w:t>
      </w:r>
      <w:proofErr w:type="spellEnd"/>
      <w:r w:rsidRPr="00CF6680">
        <w:rPr>
          <w:rFonts w:ascii="Garamond" w:hAnsi="Garamond" w:cs="Times New Roman"/>
          <w:sz w:val="28"/>
          <w:szCs w:val="28"/>
        </w:rPr>
        <w:t xml:space="preserve">, </w:t>
      </w:r>
      <w:r w:rsidR="00BF54E7" w:rsidRPr="00CF6680">
        <w:rPr>
          <w:rFonts w:ascii="Garamond" w:hAnsi="Garamond" w:cs="Times New Roman"/>
          <w:sz w:val="28"/>
          <w:szCs w:val="28"/>
        </w:rPr>
        <w:t xml:space="preserve">oltre i rapporti contrattuali con la pubblica amministrazione, </w:t>
      </w:r>
      <w:r w:rsidR="0095326D" w:rsidRPr="00CF6680">
        <w:rPr>
          <w:rFonts w:ascii="Garamond" w:hAnsi="Garamond" w:cs="Times New Roman"/>
          <w:sz w:val="28"/>
          <w:szCs w:val="28"/>
        </w:rPr>
        <w:t xml:space="preserve">non </w:t>
      </w:r>
      <w:r w:rsidR="00BF54E7" w:rsidRPr="00CF6680">
        <w:rPr>
          <w:rFonts w:ascii="Garamond" w:hAnsi="Garamond" w:cs="Times New Roman"/>
          <w:sz w:val="28"/>
          <w:szCs w:val="28"/>
        </w:rPr>
        <w:t xml:space="preserve">possa altresì </w:t>
      </w:r>
      <w:r w:rsidRPr="00CF6680">
        <w:rPr>
          <w:rFonts w:ascii="Garamond" w:hAnsi="Garamond" w:cs="Times New Roman"/>
          <w:sz w:val="28"/>
          <w:szCs w:val="28"/>
        </w:rPr>
        <w:t>precludere le attività di cui all’articolo 67</w:t>
      </w:r>
      <w:r w:rsidR="00BF54E7" w:rsidRPr="00CF6680">
        <w:rPr>
          <w:rFonts w:ascii="Garamond" w:hAnsi="Garamond" w:cs="Times New Roman"/>
          <w:sz w:val="28"/>
          <w:szCs w:val="28"/>
        </w:rPr>
        <w:t xml:space="preserve">. </w:t>
      </w:r>
    </w:p>
    <w:p w:rsidR="00CF6680" w:rsidRDefault="00FD49B8"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Le conclusioni </w:t>
      </w:r>
      <w:r w:rsidR="00BF54E7" w:rsidRPr="00CF6680">
        <w:rPr>
          <w:rFonts w:ascii="Garamond" w:hAnsi="Garamond" w:cs="Times New Roman"/>
          <w:sz w:val="28"/>
          <w:szCs w:val="28"/>
        </w:rPr>
        <w:t xml:space="preserve">alle quali </w:t>
      </w:r>
      <w:r w:rsidRPr="00CF6680">
        <w:rPr>
          <w:rFonts w:ascii="Garamond" w:hAnsi="Garamond" w:cs="Times New Roman"/>
          <w:sz w:val="28"/>
          <w:szCs w:val="28"/>
        </w:rPr>
        <w:t xml:space="preserve">è pervenuto il </w:t>
      </w:r>
      <w:r w:rsidR="00BF54E7" w:rsidRPr="00CF6680">
        <w:rPr>
          <w:rFonts w:ascii="Garamond" w:hAnsi="Garamond" w:cs="Times New Roman"/>
          <w:sz w:val="28"/>
          <w:szCs w:val="28"/>
        </w:rPr>
        <w:t>G</w:t>
      </w:r>
      <w:r w:rsidRPr="00CF6680">
        <w:rPr>
          <w:rFonts w:ascii="Garamond" w:hAnsi="Garamond" w:cs="Times New Roman"/>
          <w:sz w:val="28"/>
          <w:szCs w:val="28"/>
        </w:rPr>
        <w:t xml:space="preserve">iudice delle leggi </w:t>
      </w:r>
      <w:r w:rsidR="00BF54E7" w:rsidRPr="00CF6680">
        <w:rPr>
          <w:rFonts w:ascii="Garamond" w:hAnsi="Garamond" w:cs="Times New Roman"/>
          <w:sz w:val="28"/>
          <w:szCs w:val="28"/>
        </w:rPr>
        <w:t>con la pronuncia in epigrafe</w:t>
      </w:r>
      <w:r w:rsidRPr="00CF6680">
        <w:rPr>
          <w:rFonts w:ascii="Garamond" w:hAnsi="Garamond" w:cs="Times New Roman"/>
          <w:sz w:val="28"/>
          <w:szCs w:val="28"/>
        </w:rPr>
        <w:t xml:space="preserve"> sono state </w:t>
      </w:r>
      <w:r w:rsidR="00B52913" w:rsidRPr="00CF6680">
        <w:rPr>
          <w:rFonts w:ascii="Garamond" w:hAnsi="Garamond" w:cs="Times New Roman"/>
          <w:sz w:val="28"/>
          <w:szCs w:val="28"/>
        </w:rPr>
        <w:t xml:space="preserve">analizzate </w:t>
      </w:r>
      <w:r w:rsidRPr="00CF6680">
        <w:rPr>
          <w:rFonts w:ascii="Garamond" w:hAnsi="Garamond" w:cs="Times New Roman"/>
          <w:sz w:val="28"/>
          <w:szCs w:val="28"/>
        </w:rPr>
        <w:t xml:space="preserve">dal Tribunale </w:t>
      </w:r>
      <w:r w:rsidR="00BF54E7" w:rsidRPr="00CF6680">
        <w:rPr>
          <w:rFonts w:ascii="Garamond" w:hAnsi="Garamond" w:cs="Times New Roman"/>
          <w:sz w:val="28"/>
          <w:szCs w:val="28"/>
        </w:rPr>
        <w:t>O</w:t>
      </w:r>
      <w:r w:rsidRPr="00CF6680">
        <w:rPr>
          <w:rFonts w:ascii="Garamond" w:hAnsi="Garamond" w:cs="Times New Roman"/>
          <w:sz w:val="28"/>
          <w:szCs w:val="28"/>
        </w:rPr>
        <w:t>rdinario di Palermo che</w:t>
      </w:r>
      <w:r w:rsidR="00BF54E7" w:rsidRPr="00CF6680">
        <w:rPr>
          <w:rFonts w:ascii="Garamond" w:hAnsi="Garamond" w:cs="Times New Roman"/>
          <w:sz w:val="28"/>
          <w:szCs w:val="28"/>
        </w:rPr>
        <w:t xml:space="preserve"> </w:t>
      </w:r>
      <w:r w:rsidRPr="00CF6680">
        <w:rPr>
          <w:rFonts w:ascii="Garamond" w:hAnsi="Garamond" w:cs="Times New Roman"/>
          <w:sz w:val="28"/>
          <w:szCs w:val="28"/>
        </w:rPr>
        <w:t>con ordinanza del 2018,</w:t>
      </w:r>
      <w:r w:rsidR="000058D3" w:rsidRPr="00CF6680">
        <w:rPr>
          <w:rFonts w:ascii="Garamond" w:hAnsi="Garamond" w:cs="Times New Roman"/>
          <w:sz w:val="28"/>
          <w:szCs w:val="28"/>
        </w:rPr>
        <w:t xml:space="preserve"> dopo aver riconosciuto </w:t>
      </w:r>
      <w:r w:rsidR="00313639" w:rsidRPr="00CF6680">
        <w:rPr>
          <w:rFonts w:ascii="Garamond" w:hAnsi="Garamond" w:cs="Times New Roman"/>
          <w:sz w:val="28"/>
          <w:szCs w:val="28"/>
        </w:rPr>
        <w:t xml:space="preserve">la portata estensiva dell’art. </w:t>
      </w:r>
      <w:r w:rsidR="000058D3" w:rsidRPr="00CF6680">
        <w:rPr>
          <w:rFonts w:ascii="Garamond" w:hAnsi="Garamond" w:cs="Times New Roman"/>
          <w:sz w:val="28"/>
          <w:szCs w:val="28"/>
        </w:rPr>
        <w:t xml:space="preserve">89-bis agli atti elencati nell’articolo 67, comma 1,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0058D3" w:rsidRPr="00CF6680">
        <w:rPr>
          <w:rFonts w:ascii="Garamond" w:hAnsi="Garamond" w:cs="Times New Roman"/>
          <w:sz w:val="28"/>
          <w:szCs w:val="28"/>
        </w:rPr>
        <w:t xml:space="preserve"> </w:t>
      </w:r>
      <w:r w:rsidR="00C010D5">
        <w:rPr>
          <w:rFonts w:ascii="Garamond" w:hAnsi="Garamond" w:cs="Times New Roman"/>
          <w:sz w:val="28"/>
          <w:szCs w:val="28"/>
        </w:rPr>
        <w:t>n. 159 del 2011</w:t>
      </w:r>
      <w:r w:rsidR="00313639" w:rsidRPr="00CF6680">
        <w:rPr>
          <w:rFonts w:ascii="Garamond" w:hAnsi="Garamond" w:cs="Times New Roman"/>
          <w:sz w:val="28"/>
          <w:szCs w:val="28"/>
        </w:rPr>
        <w:t xml:space="preserve"> </w:t>
      </w:r>
      <w:r w:rsidR="000058D3" w:rsidRPr="00CF6680">
        <w:rPr>
          <w:rFonts w:ascii="Garamond" w:hAnsi="Garamond" w:cs="Times New Roman"/>
          <w:sz w:val="28"/>
          <w:szCs w:val="28"/>
        </w:rPr>
        <w:t xml:space="preserve">tradizionalmente incisi dalla comunicazione antimafia, </w:t>
      </w:r>
      <w:r w:rsidR="00B35112" w:rsidRPr="00CF6680">
        <w:rPr>
          <w:rFonts w:ascii="Garamond" w:hAnsi="Garamond" w:cs="Times New Roman"/>
          <w:sz w:val="28"/>
          <w:szCs w:val="28"/>
        </w:rPr>
        <w:t xml:space="preserve">ha ritenuto </w:t>
      </w:r>
      <w:r w:rsidR="000058D3" w:rsidRPr="00CF6680">
        <w:rPr>
          <w:rFonts w:ascii="Garamond" w:hAnsi="Garamond" w:cs="Times New Roman"/>
          <w:sz w:val="28"/>
          <w:szCs w:val="28"/>
        </w:rPr>
        <w:t>che una legislazione che affid</w:t>
      </w:r>
      <w:r w:rsidR="00BF54E7" w:rsidRPr="00CF6680">
        <w:rPr>
          <w:rFonts w:ascii="Garamond" w:hAnsi="Garamond" w:cs="Times New Roman"/>
          <w:sz w:val="28"/>
          <w:szCs w:val="28"/>
        </w:rPr>
        <w:t>a</w:t>
      </w:r>
      <w:r w:rsidR="000058D3" w:rsidRPr="00CF6680">
        <w:rPr>
          <w:rFonts w:ascii="Garamond" w:hAnsi="Garamond" w:cs="Times New Roman"/>
          <w:sz w:val="28"/>
          <w:szCs w:val="28"/>
        </w:rPr>
        <w:t xml:space="preserve"> la risposta </w:t>
      </w:r>
      <w:r w:rsidR="00BF54E7" w:rsidRPr="00CF6680">
        <w:rPr>
          <w:rFonts w:ascii="Garamond" w:hAnsi="Garamond" w:cs="Times New Roman"/>
          <w:sz w:val="28"/>
          <w:szCs w:val="28"/>
        </w:rPr>
        <w:t xml:space="preserve">al quesito della sussistenza del </w:t>
      </w:r>
      <w:r w:rsidR="000058D3" w:rsidRPr="00CF6680">
        <w:rPr>
          <w:rFonts w:ascii="Garamond" w:hAnsi="Garamond" w:cs="Times New Roman"/>
          <w:sz w:val="28"/>
          <w:szCs w:val="28"/>
        </w:rPr>
        <w:t>pericolo di infiltrazione mafiosa ad un provvedimento amministrativo, quale l’informazione antimafia prefettizia, pon</w:t>
      </w:r>
      <w:r w:rsidR="00B52913" w:rsidRPr="00CF6680">
        <w:rPr>
          <w:rFonts w:ascii="Garamond" w:hAnsi="Garamond" w:cs="Times New Roman"/>
          <w:sz w:val="28"/>
          <w:szCs w:val="28"/>
        </w:rPr>
        <w:t>ga</w:t>
      </w:r>
      <w:r w:rsidR="000058D3" w:rsidRPr="00CF6680">
        <w:rPr>
          <w:rFonts w:ascii="Garamond" w:hAnsi="Garamond" w:cs="Times New Roman"/>
          <w:sz w:val="28"/>
          <w:szCs w:val="28"/>
        </w:rPr>
        <w:t xml:space="preserve"> dubbi di legittim</w:t>
      </w:r>
      <w:r w:rsidR="00BF54E7" w:rsidRPr="00CF6680">
        <w:rPr>
          <w:rFonts w:ascii="Garamond" w:hAnsi="Garamond" w:cs="Times New Roman"/>
          <w:sz w:val="28"/>
          <w:szCs w:val="28"/>
        </w:rPr>
        <w:t>ità</w:t>
      </w:r>
      <w:r w:rsidR="000058D3" w:rsidRPr="00CF6680">
        <w:rPr>
          <w:rFonts w:ascii="Garamond" w:hAnsi="Garamond" w:cs="Times New Roman"/>
          <w:sz w:val="28"/>
          <w:szCs w:val="28"/>
        </w:rPr>
        <w:t xml:space="preserve"> costituzionale con gli artt. 3 e 41 </w:t>
      </w:r>
      <w:proofErr w:type="spellStart"/>
      <w:r w:rsidR="000058D3" w:rsidRPr="00CF6680">
        <w:rPr>
          <w:rFonts w:ascii="Garamond" w:hAnsi="Garamond" w:cs="Times New Roman"/>
          <w:sz w:val="28"/>
          <w:szCs w:val="28"/>
        </w:rPr>
        <w:t>Cost</w:t>
      </w:r>
      <w:proofErr w:type="spellEnd"/>
      <w:r w:rsidR="002B24EA" w:rsidRPr="00CF6680">
        <w:rPr>
          <w:rFonts w:ascii="Garamond" w:hAnsi="Garamond" w:cs="Times New Roman"/>
          <w:sz w:val="28"/>
          <w:szCs w:val="28"/>
        </w:rPr>
        <w:t xml:space="preserve">, in quanto </w:t>
      </w:r>
      <w:r w:rsidR="00D864C5" w:rsidRPr="00CF6680">
        <w:rPr>
          <w:rFonts w:ascii="Garamond" w:hAnsi="Garamond" w:cs="Times New Roman"/>
          <w:sz w:val="28"/>
          <w:szCs w:val="28"/>
        </w:rPr>
        <w:t xml:space="preserve">riconosce ad un provvedimento amministrativo gli stessi effetti di una misura preventiva di tipo giurisdizionale. </w:t>
      </w:r>
    </w:p>
    <w:p w:rsidR="000058D3" w:rsidRPr="00CF6680" w:rsidRDefault="00D864C5"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La lesione dell’art. 41 </w:t>
      </w:r>
      <w:proofErr w:type="spellStart"/>
      <w:r w:rsidRPr="00CF6680">
        <w:rPr>
          <w:rFonts w:ascii="Garamond" w:hAnsi="Garamond" w:cs="Times New Roman"/>
          <w:sz w:val="28"/>
          <w:szCs w:val="28"/>
        </w:rPr>
        <w:t>Cost</w:t>
      </w:r>
      <w:proofErr w:type="spellEnd"/>
      <w:r w:rsidRPr="00CF6680">
        <w:rPr>
          <w:rFonts w:ascii="Garamond" w:hAnsi="Garamond" w:cs="Times New Roman"/>
          <w:sz w:val="28"/>
          <w:szCs w:val="28"/>
        </w:rPr>
        <w:t>., in particolare, discenderebbe dal ricondurre nell’inibitoria</w:t>
      </w:r>
      <w:r w:rsidR="00CD3101" w:rsidRPr="00CF6680">
        <w:rPr>
          <w:rFonts w:ascii="Garamond" w:hAnsi="Garamond" w:cs="Times New Roman"/>
          <w:sz w:val="28"/>
          <w:szCs w:val="28"/>
        </w:rPr>
        <w:t>,</w:t>
      </w:r>
      <w:r w:rsidR="00E87B4D" w:rsidRPr="00CF6680">
        <w:rPr>
          <w:rFonts w:ascii="Garamond" w:hAnsi="Garamond" w:cs="Times New Roman"/>
          <w:sz w:val="28"/>
          <w:szCs w:val="28"/>
        </w:rPr>
        <w:t xml:space="preserve"> </w:t>
      </w:r>
      <w:r w:rsidRPr="00CF6680">
        <w:rPr>
          <w:rFonts w:ascii="Garamond" w:hAnsi="Garamond" w:cs="Times New Roman"/>
          <w:sz w:val="28"/>
          <w:szCs w:val="28"/>
        </w:rPr>
        <w:t xml:space="preserve">conseguente alla informazione antimafia </w:t>
      </w:r>
      <w:proofErr w:type="spellStart"/>
      <w:r w:rsidRPr="00CF6680">
        <w:rPr>
          <w:rFonts w:ascii="Garamond" w:hAnsi="Garamond" w:cs="Times New Roman"/>
          <w:sz w:val="28"/>
          <w:szCs w:val="28"/>
        </w:rPr>
        <w:t>interd</w:t>
      </w:r>
      <w:r w:rsidR="006E70C1">
        <w:rPr>
          <w:rFonts w:ascii="Garamond" w:hAnsi="Garamond" w:cs="Times New Roman"/>
          <w:sz w:val="28"/>
          <w:szCs w:val="28"/>
        </w:rPr>
        <w:t>i</w:t>
      </w:r>
      <w:r w:rsidRPr="00CF6680">
        <w:rPr>
          <w:rFonts w:ascii="Garamond" w:hAnsi="Garamond" w:cs="Times New Roman"/>
          <w:sz w:val="28"/>
          <w:szCs w:val="28"/>
        </w:rPr>
        <w:t>ttiva</w:t>
      </w:r>
      <w:proofErr w:type="spellEnd"/>
      <w:r w:rsidRPr="00CF6680">
        <w:rPr>
          <w:rFonts w:ascii="Garamond" w:hAnsi="Garamond" w:cs="Times New Roman"/>
          <w:sz w:val="28"/>
          <w:szCs w:val="28"/>
        </w:rPr>
        <w:t xml:space="preserve">, tutti i provvedimenti previsti dall’art. 67,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159/11, compresi quelli rientranti nell’esercizio di una attività imprenditoriale privata.</w:t>
      </w:r>
    </w:p>
    <w:p w:rsidR="00217155" w:rsidRPr="00CF6680" w:rsidRDefault="00FD49B8" w:rsidP="00CF6680">
      <w:pPr>
        <w:spacing w:line="276" w:lineRule="auto"/>
        <w:ind w:firstLine="709"/>
        <w:jc w:val="both"/>
        <w:rPr>
          <w:rFonts w:ascii="Garamond" w:hAnsi="Garamond" w:cs="Times New Roman"/>
          <w:sz w:val="28"/>
          <w:szCs w:val="28"/>
          <w:highlight w:val="lightGray"/>
        </w:rPr>
      </w:pPr>
      <w:r w:rsidRPr="00CF6680">
        <w:rPr>
          <w:rFonts w:ascii="Garamond" w:hAnsi="Garamond" w:cs="Times New Roman"/>
          <w:sz w:val="28"/>
          <w:szCs w:val="28"/>
        </w:rPr>
        <w:t>La Corte Costituzionale</w:t>
      </w:r>
      <w:r w:rsidR="000058D3" w:rsidRPr="00CF6680">
        <w:rPr>
          <w:rFonts w:ascii="Garamond" w:hAnsi="Garamond" w:cs="Times New Roman"/>
          <w:sz w:val="28"/>
          <w:szCs w:val="28"/>
        </w:rPr>
        <w:t>,</w:t>
      </w:r>
      <w:r w:rsidR="00B52913" w:rsidRPr="00CF6680">
        <w:rPr>
          <w:rFonts w:ascii="Garamond" w:hAnsi="Garamond" w:cs="Times New Roman"/>
          <w:sz w:val="28"/>
          <w:szCs w:val="28"/>
        </w:rPr>
        <w:t xml:space="preserve"> alla quale le sopraindicate problematiche sono state rappresentate, </w:t>
      </w:r>
      <w:r w:rsidR="000058D3" w:rsidRPr="00CF6680">
        <w:rPr>
          <w:rFonts w:ascii="Garamond" w:hAnsi="Garamond" w:cs="Times New Roman"/>
          <w:sz w:val="28"/>
          <w:szCs w:val="28"/>
        </w:rPr>
        <w:t>con la pronuncia</w:t>
      </w:r>
      <w:r w:rsidRPr="00CF6680">
        <w:rPr>
          <w:rFonts w:ascii="Garamond" w:hAnsi="Garamond" w:cs="Times New Roman"/>
          <w:sz w:val="28"/>
          <w:szCs w:val="28"/>
        </w:rPr>
        <w:t xml:space="preserve"> n. 57</w:t>
      </w:r>
      <w:r w:rsidR="000058D3" w:rsidRPr="00CF6680">
        <w:rPr>
          <w:rFonts w:ascii="Garamond" w:hAnsi="Garamond" w:cs="Times New Roman"/>
          <w:sz w:val="28"/>
          <w:szCs w:val="28"/>
        </w:rPr>
        <w:t xml:space="preserve"> del </w:t>
      </w:r>
      <w:r w:rsidRPr="00CF6680">
        <w:rPr>
          <w:rFonts w:ascii="Garamond" w:hAnsi="Garamond" w:cs="Times New Roman"/>
          <w:sz w:val="28"/>
          <w:szCs w:val="28"/>
        </w:rPr>
        <w:t>2020, ha ritenuto non fondati i dubbi espressi dal Giudice remittente</w:t>
      </w:r>
      <w:r w:rsidR="004601D7" w:rsidRPr="00CF6680">
        <w:rPr>
          <w:rFonts w:ascii="Garamond" w:hAnsi="Garamond" w:cs="Times New Roman"/>
          <w:sz w:val="28"/>
          <w:szCs w:val="28"/>
        </w:rPr>
        <w:t xml:space="preserve"> evidenziando come le dimensioni del fenomeno mafioso e la sua grande </w:t>
      </w:r>
      <w:r w:rsidR="00F903BC">
        <w:rPr>
          <w:rFonts w:ascii="Garamond" w:hAnsi="Garamond" w:cs="Times New Roman"/>
          <w:i/>
          <w:sz w:val="28"/>
          <w:szCs w:val="28"/>
        </w:rPr>
        <w:t>«</w:t>
      </w:r>
      <w:r w:rsidR="004601D7" w:rsidRPr="00CF6680">
        <w:rPr>
          <w:rFonts w:ascii="Garamond" w:hAnsi="Garamond" w:cs="Times New Roman"/>
          <w:i/>
          <w:sz w:val="28"/>
          <w:szCs w:val="28"/>
        </w:rPr>
        <w:t>adattabilità alle circostanze</w:t>
      </w:r>
      <w:r w:rsidR="00F903BC">
        <w:rPr>
          <w:rFonts w:ascii="Garamond" w:hAnsi="Garamond" w:cs="Times New Roman"/>
          <w:i/>
          <w:sz w:val="28"/>
          <w:szCs w:val="28"/>
        </w:rPr>
        <w:t>»</w:t>
      </w:r>
      <w:r w:rsidR="004601D7" w:rsidRPr="00CF6680">
        <w:rPr>
          <w:rFonts w:ascii="Garamond" w:hAnsi="Garamond" w:cs="Times New Roman"/>
          <w:i/>
          <w:sz w:val="28"/>
          <w:szCs w:val="28"/>
        </w:rPr>
        <w:t>,</w:t>
      </w:r>
      <w:r w:rsidR="004601D7" w:rsidRPr="00CF6680">
        <w:rPr>
          <w:rFonts w:ascii="Garamond" w:hAnsi="Garamond" w:cs="Times New Roman"/>
          <w:sz w:val="28"/>
          <w:szCs w:val="28"/>
        </w:rPr>
        <w:t xml:space="preserve"> giustific</w:t>
      </w:r>
      <w:r w:rsidR="00784F14" w:rsidRPr="00CF6680">
        <w:rPr>
          <w:rFonts w:ascii="Garamond" w:hAnsi="Garamond" w:cs="Times New Roman"/>
          <w:sz w:val="28"/>
          <w:szCs w:val="28"/>
        </w:rPr>
        <w:t>hi</w:t>
      </w:r>
      <w:r w:rsidR="004601D7" w:rsidRPr="00CF6680">
        <w:rPr>
          <w:rFonts w:ascii="Garamond" w:hAnsi="Garamond" w:cs="Times New Roman"/>
          <w:sz w:val="28"/>
          <w:szCs w:val="28"/>
        </w:rPr>
        <w:t xml:space="preserve">no la scelta di affidare </w:t>
      </w:r>
      <w:r w:rsidR="00B52913" w:rsidRPr="00CF6680">
        <w:rPr>
          <w:rFonts w:ascii="Garamond" w:hAnsi="Garamond" w:cs="Times New Roman"/>
          <w:sz w:val="28"/>
          <w:szCs w:val="28"/>
        </w:rPr>
        <w:t>all’autorità amministrativa, con la già riconosciutale discrezionalità</w:t>
      </w:r>
      <w:r w:rsidR="00217155" w:rsidRPr="00CF6680">
        <w:rPr>
          <w:rFonts w:ascii="Garamond" w:hAnsi="Garamond" w:cs="Times New Roman"/>
          <w:sz w:val="28"/>
          <w:szCs w:val="28"/>
        </w:rPr>
        <w:t>,</w:t>
      </w:r>
      <w:r w:rsidR="00B52913" w:rsidRPr="00CF6680">
        <w:rPr>
          <w:rFonts w:ascii="Garamond" w:hAnsi="Garamond" w:cs="Times New Roman"/>
          <w:sz w:val="28"/>
          <w:szCs w:val="28"/>
        </w:rPr>
        <w:t xml:space="preserve"> l’adozione della misura in esame</w:t>
      </w:r>
      <w:r w:rsidR="004601D7" w:rsidRPr="00CF6680">
        <w:rPr>
          <w:rFonts w:ascii="Garamond" w:hAnsi="Garamond" w:cs="Times New Roman"/>
          <w:sz w:val="28"/>
          <w:szCs w:val="28"/>
        </w:rPr>
        <w:t xml:space="preserve">. </w:t>
      </w:r>
      <w:r w:rsidR="00217155" w:rsidRPr="00CF6680">
        <w:rPr>
          <w:rFonts w:ascii="Garamond" w:hAnsi="Garamond" w:cs="Times New Roman"/>
          <w:sz w:val="28"/>
          <w:szCs w:val="28"/>
        </w:rPr>
        <w:t>Nel giungere a questa conclusione, la Corte richiama</w:t>
      </w:r>
      <w:r w:rsidR="0061425E" w:rsidRPr="00CF6680">
        <w:rPr>
          <w:rFonts w:ascii="Garamond" w:hAnsi="Garamond" w:cs="Times New Roman"/>
          <w:sz w:val="28"/>
          <w:szCs w:val="28"/>
        </w:rPr>
        <w:t xml:space="preserve"> l</w:t>
      </w:r>
      <w:r w:rsidR="00217155" w:rsidRPr="00CF6680">
        <w:rPr>
          <w:rFonts w:ascii="Garamond" w:hAnsi="Garamond" w:cs="Times New Roman"/>
          <w:sz w:val="28"/>
          <w:szCs w:val="28"/>
        </w:rPr>
        <w:t>a relazione conclusiva della Commissione parlamentare</w:t>
      </w:r>
      <w:r w:rsidR="00FF02E2" w:rsidRPr="00CF6680">
        <w:rPr>
          <w:rFonts w:ascii="Garamond" w:hAnsi="Garamond" w:cs="Times New Roman"/>
          <w:sz w:val="28"/>
          <w:szCs w:val="28"/>
        </w:rPr>
        <w:t xml:space="preserve"> </w:t>
      </w:r>
      <w:r w:rsidR="00217155" w:rsidRPr="00CF6680">
        <w:rPr>
          <w:rFonts w:ascii="Garamond" w:hAnsi="Garamond" w:cs="Times New Roman"/>
          <w:sz w:val="28"/>
          <w:szCs w:val="28"/>
        </w:rPr>
        <w:t>di inchiesta sul fenomeno dell</w:t>
      </w:r>
      <w:r w:rsidR="00CD3101" w:rsidRPr="00CF6680">
        <w:rPr>
          <w:rFonts w:ascii="Garamond" w:hAnsi="Garamond" w:cs="Times New Roman"/>
          <w:sz w:val="28"/>
          <w:szCs w:val="28"/>
        </w:rPr>
        <w:t>a</w:t>
      </w:r>
      <w:r w:rsidR="00217155" w:rsidRPr="00CF6680">
        <w:rPr>
          <w:rFonts w:ascii="Garamond" w:hAnsi="Garamond" w:cs="Times New Roman"/>
          <w:sz w:val="28"/>
          <w:szCs w:val="28"/>
        </w:rPr>
        <w:t xml:space="preserve"> mafia e sulle altre associazioni criminali</w:t>
      </w:r>
      <w:r w:rsidR="00FF02E2" w:rsidRPr="00CF6680">
        <w:rPr>
          <w:rFonts w:ascii="Garamond" w:hAnsi="Garamond" w:cs="Times New Roman"/>
          <w:sz w:val="28"/>
          <w:szCs w:val="28"/>
        </w:rPr>
        <w:t xml:space="preserve"> 2018,</w:t>
      </w:r>
      <w:r w:rsidR="00CD3101" w:rsidRPr="00CF6680">
        <w:rPr>
          <w:rFonts w:ascii="Garamond" w:hAnsi="Garamond" w:cs="Times New Roman"/>
          <w:sz w:val="28"/>
          <w:szCs w:val="28"/>
        </w:rPr>
        <w:t xml:space="preserve"> </w:t>
      </w:r>
      <w:r w:rsidR="00AB3C3E" w:rsidRPr="00CF6680">
        <w:rPr>
          <w:rFonts w:ascii="Garamond" w:hAnsi="Garamond" w:cs="Times New Roman"/>
          <w:sz w:val="28"/>
          <w:szCs w:val="28"/>
        </w:rPr>
        <w:t>che ha messo in luce</w:t>
      </w:r>
      <w:r w:rsidR="00CD3101" w:rsidRPr="00CF6680">
        <w:rPr>
          <w:rFonts w:ascii="Garamond" w:hAnsi="Garamond" w:cs="Times New Roman"/>
          <w:sz w:val="28"/>
          <w:szCs w:val="28"/>
        </w:rPr>
        <w:t xml:space="preserve"> </w:t>
      </w:r>
      <w:r w:rsidR="00217155" w:rsidRPr="00CF6680">
        <w:rPr>
          <w:rFonts w:ascii="Garamond" w:hAnsi="Garamond" w:cs="Times New Roman"/>
          <w:sz w:val="28"/>
          <w:szCs w:val="28"/>
        </w:rPr>
        <w:t xml:space="preserve">la </w:t>
      </w:r>
      <w:r w:rsidR="00FF02E2" w:rsidRPr="00CF6680">
        <w:rPr>
          <w:rFonts w:ascii="Garamond" w:hAnsi="Garamond" w:cs="Times New Roman"/>
          <w:sz w:val="28"/>
          <w:szCs w:val="28"/>
        </w:rPr>
        <w:t xml:space="preserve">particolare </w:t>
      </w:r>
      <w:r w:rsidR="00217155" w:rsidRPr="00CF6680">
        <w:rPr>
          <w:rFonts w:ascii="Garamond" w:hAnsi="Garamond" w:cs="Times New Roman"/>
          <w:sz w:val="28"/>
          <w:szCs w:val="28"/>
        </w:rPr>
        <w:t>vulnerabilità dei mercati privati, connotati da lavoro non qualificato e da basso livello di sindacalizzazione</w:t>
      </w:r>
      <w:r w:rsidR="00CF6680">
        <w:rPr>
          <w:rFonts w:ascii="Garamond" w:hAnsi="Garamond" w:cs="Times New Roman"/>
          <w:sz w:val="28"/>
          <w:szCs w:val="28"/>
        </w:rPr>
        <w:t xml:space="preserve"> e, in particolare, i </w:t>
      </w:r>
      <w:r w:rsidR="00CF6680" w:rsidRPr="00CF6680">
        <w:rPr>
          <w:rFonts w:ascii="Garamond" w:hAnsi="Garamond" w:cs="Times New Roman"/>
          <w:i/>
          <w:sz w:val="28"/>
          <w:szCs w:val="28"/>
        </w:rPr>
        <w:t>«settori connotati da elevato numero di piccole imprese, basso sviluppo tecnologico, lavoro non qualificato e basso livello di sindacalizzazione, dove il ricorso a pratiche non propriamente conformi con la legalità formale diviene prassi diffusa»</w:t>
      </w:r>
      <w:r w:rsidR="00217155" w:rsidRPr="00CF6680">
        <w:rPr>
          <w:rFonts w:ascii="Garamond" w:hAnsi="Garamond" w:cs="Times New Roman"/>
          <w:i/>
          <w:sz w:val="28"/>
          <w:szCs w:val="28"/>
        </w:rPr>
        <w:t xml:space="preserve">. </w:t>
      </w:r>
      <w:r w:rsidR="00217155" w:rsidRPr="00CF6680">
        <w:rPr>
          <w:rFonts w:ascii="Garamond" w:hAnsi="Garamond" w:cs="Times New Roman"/>
          <w:sz w:val="28"/>
          <w:szCs w:val="28"/>
        </w:rPr>
        <w:t xml:space="preserve">È in questi settori, </w:t>
      </w:r>
      <w:r w:rsidR="0061425E" w:rsidRPr="00CF6680">
        <w:rPr>
          <w:rFonts w:ascii="Garamond" w:hAnsi="Garamond" w:cs="Times New Roman"/>
          <w:sz w:val="28"/>
          <w:szCs w:val="28"/>
        </w:rPr>
        <w:t xml:space="preserve">infatti, </w:t>
      </w:r>
      <w:r w:rsidR="00217155" w:rsidRPr="00CF6680">
        <w:rPr>
          <w:rFonts w:ascii="Garamond" w:hAnsi="Garamond" w:cs="Times New Roman"/>
          <w:sz w:val="28"/>
          <w:szCs w:val="28"/>
        </w:rPr>
        <w:t>che le mafie riescono ad inserirsi con facilità, offrendo diversi servizi alle imprese</w:t>
      </w:r>
      <w:r w:rsidR="0061425E" w:rsidRPr="00CF6680">
        <w:rPr>
          <w:rFonts w:ascii="Garamond" w:hAnsi="Garamond" w:cs="Times New Roman"/>
          <w:sz w:val="28"/>
          <w:szCs w:val="28"/>
        </w:rPr>
        <w:t>, tra cui l’immissione di liquidità.</w:t>
      </w:r>
    </w:p>
    <w:p w:rsidR="0061425E" w:rsidRPr="00CF6680" w:rsidRDefault="0061425E"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La pericolosità del fenomeno associativo, che si sostanzia altresì in atti e comportamenti che inquinano il libero sviluppo dell’attività economiche, è stata più volte sottolineata dalla giurisprudenza amministrativa, richiamata dettagliatamente nella relazione sull’attività della Giustizia amministrativa del Presidente del Consiglio di Stato per l’anno giudiziario 2020.</w:t>
      </w:r>
    </w:p>
    <w:p w:rsidR="00CF6680" w:rsidRDefault="00AB3C3E"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La </w:t>
      </w:r>
      <w:r w:rsidR="00343FCB" w:rsidRPr="00CF6680">
        <w:rPr>
          <w:rFonts w:ascii="Garamond" w:hAnsi="Garamond" w:cs="Times New Roman"/>
          <w:sz w:val="28"/>
          <w:szCs w:val="28"/>
        </w:rPr>
        <w:t xml:space="preserve">soluzione </w:t>
      </w:r>
      <w:r w:rsidRPr="00CF6680">
        <w:rPr>
          <w:rFonts w:ascii="Garamond" w:hAnsi="Garamond" w:cs="Times New Roman"/>
          <w:sz w:val="28"/>
          <w:szCs w:val="28"/>
        </w:rPr>
        <w:t>adottata dalla</w:t>
      </w:r>
      <w:r w:rsidR="00343FCB" w:rsidRPr="00CF6680">
        <w:rPr>
          <w:rFonts w:ascii="Garamond" w:hAnsi="Garamond" w:cs="Times New Roman"/>
          <w:sz w:val="28"/>
          <w:szCs w:val="28"/>
        </w:rPr>
        <w:t xml:space="preserve"> Corte </w:t>
      </w:r>
      <w:r w:rsidRPr="00CF6680">
        <w:rPr>
          <w:rFonts w:ascii="Garamond" w:hAnsi="Garamond" w:cs="Times New Roman"/>
          <w:sz w:val="28"/>
          <w:szCs w:val="28"/>
        </w:rPr>
        <w:t>costituzionale è</w:t>
      </w:r>
      <w:r w:rsidR="00343FCB" w:rsidRPr="00CF6680">
        <w:rPr>
          <w:rFonts w:ascii="Garamond" w:hAnsi="Garamond" w:cs="Times New Roman"/>
          <w:sz w:val="28"/>
          <w:szCs w:val="28"/>
        </w:rPr>
        <w:t xml:space="preserve"> corroborata dalla considerazione che</w:t>
      </w:r>
      <w:r w:rsidR="00B52913" w:rsidRPr="00CF6680">
        <w:rPr>
          <w:rFonts w:ascii="Garamond" w:hAnsi="Garamond" w:cs="Times New Roman"/>
          <w:sz w:val="28"/>
          <w:szCs w:val="28"/>
        </w:rPr>
        <w:t xml:space="preserve"> l</w:t>
      </w:r>
      <w:r w:rsidR="004601D7" w:rsidRPr="00CF6680">
        <w:rPr>
          <w:rFonts w:ascii="Garamond" w:hAnsi="Garamond" w:cs="Times New Roman"/>
          <w:sz w:val="28"/>
          <w:szCs w:val="28"/>
        </w:rPr>
        <w:t xml:space="preserve">e </w:t>
      </w:r>
      <w:r w:rsidR="00B52913" w:rsidRPr="00CF6680">
        <w:rPr>
          <w:rFonts w:ascii="Garamond" w:hAnsi="Garamond" w:cs="Times New Roman"/>
          <w:sz w:val="28"/>
          <w:szCs w:val="28"/>
        </w:rPr>
        <w:t xml:space="preserve">predette </w:t>
      </w:r>
      <w:r w:rsidR="004601D7" w:rsidRPr="00CF6680">
        <w:rPr>
          <w:rFonts w:ascii="Garamond" w:hAnsi="Garamond" w:cs="Times New Roman"/>
          <w:sz w:val="28"/>
          <w:szCs w:val="28"/>
        </w:rPr>
        <w:t>autorità amministrative</w:t>
      </w:r>
      <w:r w:rsidR="00B52913" w:rsidRPr="00CF6680">
        <w:rPr>
          <w:rFonts w:ascii="Garamond" w:hAnsi="Garamond" w:cs="Times New Roman"/>
          <w:sz w:val="28"/>
          <w:szCs w:val="28"/>
        </w:rPr>
        <w:t xml:space="preserve"> </w:t>
      </w:r>
      <w:r w:rsidR="004601D7" w:rsidRPr="00CF6680">
        <w:rPr>
          <w:rFonts w:ascii="Garamond" w:hAnsi="Garamond" w:cs="Times New Roman"/>
          <w:sz w:val="28"/>
          <w:szCs w:val="28"/>
        </w:rPr>
        <w:t xml:space="preserve">non sono chiamate a colpire pratiche e comportamenti lesivi di interessi rilevanti, bensì </w:t>
      </w:r>
      <w:r w:rsidR="00EF053A" w:rsidRPr="00CF6680">
        <w:rPr>
          <w:rFonts w:ascii="Garamond" w:hAnsi="Garamond" w:cs="Times New Roman"/>
          <w:sz w:val="28"/>
          <w:szCs w:val="28"/>
        </w:rPr>
        <w:t xml:space="preserve">a </w:t>
      </w:r>
      <w:r w:rsidR="004601D7" w:rsidRPr="00CF6680">
        <w:rPr>
          <w:rFonts w:ascii="Garamond" w:hAnsi="Garamond" w:cs="Times New Roman"/>
          <w:sz w:val="28"/>
          <w:szCs w:val="28"/>
        </w:rPr>
        <w:t>prevenire queste conseguenze attraverso un monitoraggio costante del fenomeno</w:t>
      </w:r>
      <w:r w:rsidR="00CF6680">
        <w:rPr>
          <w:rFonts w:ascii="Garamond" w:hAnsi="Garamond" w:cs="Times New Roman"/>
          <w:sz w:val="28"/>
          <w:szCs w:val="28"/>
        </w:rPr>
        <w:t>, unitamente alla conoscenza delle sue specifiche manifestazioni e l’individuazione e valutazione dei relativi sintomi</w:t>
      </w:r>
      <w:r w:rsidR="004601D7" w:rsidRPr="00CF6680">
        <w:rPr>
          <w:rFonts w:ascii="Garamond" w:hAnsi="Garamond" w:cs="Times New Roman"/>
          <w:sz w:val="28"/>
          <w:szCs w:val="28"/>
        </w:rPr>
        <w:t>.</w:t>
      </w:r>
      <w:r w:rsidR="00217155" w:rsidRPr="00CF6680">
        <w:rPr>
          <w:rFonts w:ascii="Garamond" w:hAnsi="Garamond" w:cs="Times New Roman"/>
          <w:sz w:val="28"/>
          <w:szCs w:val="28"/>
        </w:rPr>
        <w:t xml:space="preserve"> </w:t>
      </w:r>
      <w:r w:rsidR="00343FCB" w:rsidRPr="00CF6680">
        <w:rPr>
          <w:rFonts w:ascii="Garamond" w:hAnsi="Garamond" w:cs="Times New Roman"/>
          <w:sz w:val="28"/>
          <w:szCs w:val="28"/>
        </w:rPr>
        <w:t xml:space="preserve">Il provvedimento da queste adottato, pertanto, si colloca </w:t>
      </w:r>
      <w:r w:rsidRPr="00CF6680">
        <w:rPr>
          <w:rFonts w:ascii="Garamond" w:hAnsi="Garamond" w:cs="Times New Roman"/>
          <w:sz w:val="28"/>
          <w:szCs w:val="28"/>
        </w:rPr>
        <w:t xml:space="preserve">in </w:t>
      </w:r>
      <w:r w:rsidR="00343FCB" w:rsidRPr="00CF6680">
        <w:rPr>
          <w:rFonts w:ascii="Garamond" w:hAnsi="Garamond" w:cs="Times New Roman"/>
          <w:sz w:val="28"/>
          <w:szCs w:val="28"/>
        </w:rPr>
        <w:t xml:space="preserve">una prospettiva anticipatoria e riveste natura cautelare e preventiva. </w:t>
      </w:r>
    </w:p>
    <w:p w:rsidR="00907D1D" w:rsidRPr="00CF6680" w:rsidRDefault="00343FCB"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Lo stesso, come chiarito dal Consiglio di Stato, sezione </w:t>
      </w:r>
      <w:r w:rsidR="002C1C45" w:rsidRPr="00CF6680">
        <w:rPr>
          <w:rFonts w:ascii="Garamond" w:hAnsi="Garamond" w:cs="Times New Roman"/>
          <w:sz w:val="28"/>
          <w:szCs w:val="28"/>
        </w:rPr>
        <w:t>III</w:t>
      </w:r>
      <w:r w:rsidRPr="00CF6680">
        <w:rPr>
          <w:rFonts w:ascii="Garamond" w:hAnsi="Garamond" w:cs="Times New Roman"/>
          <w:sz w:val="28"/>
          <w:szCs w:val="28"/>
        </w:rPr>
        <w:t>, n. 758 e 2211 del 2019, implica una valutazione tecnico-discrezionale dell’autorità prefettizi</w:t>
      </w:r>
      <w:r w:rsidR="002C1C45" w:rsidRPr="00CF6680">
        <w:rPr>
          <w:rFonts w:ascii="Garamond" w:hAnsi="Garamond" w:cs="Times New Roman"/>
          <w:sz w:val="28"/>
          <w:szCs w:val="28"/>
        </w:rPr>
        <w:t xml:space="preserve">a </w:t>
      </w:r>
      <w:r w:rsidR="001B3048" w:rsidRPr="00CF6680">
        <w:rPr>
          <w:rFonts w:ascii="Garamond" w:hAnsi="Garamond" w:cs="Times New Roman"/>
          <w:sz w:val="28"/>
          <w:szCs w:val="28"/>
        </w:rPr>
        <w:t>fondata su</w:t>
      </w:r>
      <w:r w:rsidRPr="00CF6680">
        <w:rPr>
          <w:rFonts w:ascii="Garamond" w:hAnsi="Garamond" w:cs="Times New Roman"/>
          <w:sz w:val="28"/>
          <w:szCs w:val="28"/>
        </w:rPr>
        <w:t xml:space="preserve"> elementi fattuali, taluni tipizzati dal legislatore</w:t>
      </w:r>
      <w:r w:rsidR="001B3048" w:rsidRPr="00CF6680">
        <w:rPr>
          <w:rFonts w:ascii="Garamond" w:hAnsi="Garamond" w:cs="Times New Roman"/>
          <w:sz w:val="28"/>
          <w:szCs w:val="28"/>
        </w:rPr>
        <w:t xml:space="preserve">, e altri lasciati al prudente apprezzamento </w:t>
      </w:r>
      <w:r w:rsidR="002C1C45" w:rsidRPr="00CF6680">
        <w:rPr>
          <w:rFonts w:ascii="Garamond" w:hAnsi="Garamond" w:cs="Times New Roman"/>
          <w:sz w:val="28"/>
          <w:szCs w:val="28"/>
        </w:rPr>
        <w:t>della stessa.</w:t>
      </w:r>
      <w:r w:rsidR="001B3048" w:rsidRPr="00CF6680">
        <w:rPr>
          <w:rFonts w:ascii="Garamond" w:hAnsi="Garamond" w:cs="Times New Roman"/>
          <w:sz w:val="28"/>
          <w:szCs w:val="28"/>
        </w:rPr>
        <w:t xml:space="preserve"> </w:t>
      </w:r>
    </w:p>
    <w:p w:rsidR="003A0196" w:rsidRPr="00CF6680" w:rsidRDefault="00FF02E2"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Da ultimo, s</w:t>
      </w:r>
      <w:r w:rsidR="003A0196" w:rsidRPr="00CF6680">
        <w:rPr>
          <w:rFonts w:ascii="Garamond" w:hAnsi="Garamond" w:cs="Times New Roman"/>
          <w:sz w:val="28"/>
          <w:szCs w:val="28"/>
        </w:rPr>
        <w:t>econdo i Giudici costituzionali</w:t>
      </w:r>
      <w:r w:rsidR="00AB3C3E" w:rsidRPr="00CF6680">
        <w:rPr>
          <w:rFonts w:ascii="Garamond" w:hAnsi="Garamond" w:cs="Times New Roman"/>
          <w:sz w:val="28"/>
          <w:szCs w:val="28"/>
        </w:rPr>
        <w:t xml:space="preserve">, neanche </w:t>
      </w:r>
      <w:r w:rsidR="003A0196" w:rsidRPr="00CF6680">
        <w:rPr>
          <w:rFonts w:ascii="Garamond" w:hAnsi="Garamond" w:cs="Times New Roman"/>
          <w:sz w:val="28"/>
          <w:szCs w:val="28"/>
        </w:rPr>
        <w:t xml:space="preserve">l’immediata efficacia del provvedimento pone dubbi di costituzionalità, posto che si tratta di una caratteristica </w:t>
      </w:r>
      <w:r w:rsidR="00AB3C3E" w:rsidRPr="00CF6680">
        <w:rPr>
          <w:rFonts w:ascii="Garamond" w:hAnsi="Garamond" w:cs="Times New Roman"/>
          <w:sz w:val="28"/>
          <w:szCs w:val="28"/>
        </w:rPr>
        <w:t>tipica</w:t>
      </w:r>
      <w:r w:rsidR="003A0196" w:rsidRPr="00CF6680">
        <w:rPr>
          <w:rFonts w:ascii="Garamond" w:hAnsi="Garamond" w:cs="Times New Roman"/>
          <w:sz w:val="28"/>
          <w:szCs w:val="28"/>
        </w:rPr>
        <w:t xml:space="preserve"> dei provvedimenti amministrativi a cui si può porre rimedio con una sospensione cautelare.</w:t>
      </w:r>
    </w:p>
    <w:p w:rsidR="00EB09BF" w:rsidRPr="00CF6680" w:rsidRDefault="004D4B87" w:rsidP="00CF6680">
      <w:pPr>
        <w:spacing w:line="276" w:lineRule="auto"/>
        <w:ind w:firstLine="709"/>
        <w:jc w:val="both"/>
        <w:rPr>
          <w:rFonts w:ascii="Garamond" w:hAnsi="Garamond" w:cs="Times New Roman"/>
          <w:sz w:val="28"/>
          <w:szCs w:val="28"/>
        </w:rPr>
      </w:pPr>
      <w:r>
        <w:rPr>
          <w:rFonts w:ascii="Garamond" w:hAnsi="Garamond" w:cs="Times New Roman"/>
          <w:sz w:val="28"/>
          <w:szCs w:val="28"/>
        </w:rPr>
        <w:t xml:space="preserve"> </w:t>
      </w:r>
    </w:p>
    <w:p w:rsidR="00574346" w:rsidRPr="00CF6680" w:rsidRDefault="00CF6680" w:rsidP="00CF6680">
      <w:pPr>
        <w:spacing w:line="276" w:lineRule="auto"/>
        <w:ind w:left="360"/>
        <w:jc w:val="both"/>
        <w:rPr>
          <w:rFonts w:ascii="Garamond" w:hAnsi="Garamond" w:cs="Times New Roman"/>
          <w:i/>
          <w:sz w:val="28"/>
          <w:szCs w:val="28"/>
        </w:rPr>
      </w:pPr>
      <w:r w:rsidRPr="00CF6680">
        <w:rPr>
          <w:rFonts w:ascii="Garamond" w:hAnsi="Garamond" w:cs="Times New Roman"/>
          <w:sz w:val="28"/>
          <w:szCs w:val="28"/>
        </w:rPr>
        <w:t>§ 3 -</w:t>
      </w:r>
      <w:r>
        <w:rPr>
          <w:rFonts w:ascii="Garamond" w:hAnsi="Garamond" w:cs="Times New Roman"/>
          <w:i/>
          <w:sz w:val="28"/>
          <w:szCs w:val="28"/>
        </w:rPr>
        <w:t xml:space="preserve"> </w:t>
      </w:r>
      <w:r w:rsidR="00432AA6" w:rsidRPr="00CF6680">
        <w:rPr>
          <w:rFonts w:ascii="Garamond" w:hAnsi="Garamond" w:cs="Times New Roman"/>
          <w:i/>
          <w:sz w:val="28"/>
          <w:szCs w:val="28"/>
          <w:u w:val="single"/>
        </w:rPr>
        <w:t>Gli effetti</w:t>
      </w:r>
      <w:r w:rsidR="0078665A" w:rsidRPr="00CF6680">
        <w:rPr>
          <w:rFonts w:ascii="Garamond" w:hAnsi="Garamond" w:cs="Times New Roman"/>
          <w:i/>
          <w:sz w:val="28"/>
          <w:szCs w:val="28"/>
          <w:u w:val="single"/>
        </w:rPr>
        <w:t xml:space="preserve"> dell’informativa antimafia </w:t>
      </w:r>
      <w:r w:rsidR="00036506" w:rsidRPr="00CF6680">
        <w:rPr>
          <w:rFonts w:ascii="Garamond" w:hAnsi="Garamond" w:cs="Times New Roman"/>
          <w:i/>
          <w:sz w:val="28"/>
          <w:szCs w:val="28"/>
          <w:u w:val="single"/>
        </w:rPr>
        <w:t>alla luce della recente giurisprudenza amministrativa</w:t>
      </w:r>
    </w:p>
    <w:p w:rsidR="00DE4D9F" w:rsidRPr="00CF6680" w:rsidRDefault="00DE4D9F" w:rsidP="00CF6680">
      <w:pPr>
        <w:spacing w:line="276" w:lineRule="auto"/>
        <w:ind w:firstLine="709"/>
        <w:jc w:val="both"/>
        <w:rPr>
          <w:rFonts w:ascii="Garamond" w:hAnsi="Garamond" w:cs="Times New Roman"/>
          <w:sz w:val="28"/>
          <w:szCs w:val="28"/>
          <w:highlight w:val="lightGray"/>
        </w:rPr>
      </w:pPr>
    </w:p>
    <w:p w:rsidR="005D3E84" w:rsidRPr="00CF6680" w:rsidRDefault="00B138AC"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L</w:t>
      </w:r>
      <w:r w:rsidR="00BA192E" w:rsidRPr="00CF6680">
        <w:rPr>
          <w:rFonts w:ascii="Garamond" w:hAnsi="Garamond" w:cs="Times New Roman"/>
          <w:sz w:val="28"/>
          <w:szCs w:val="28"/>
        </w:rPr>
        <w:t>’</w:t>
      </w:r>
      <w:r w:rsidRPr="00CF6680">
        <w:rPr>
          <w:rFonts w:ascii="Garamond" w:hAnsi="Garamond" w:cs="Times New Roman"/>
          <w:sz w:val="28"/>
          <w:szCs w:val="28"/>
        </w:rPr>
        <w:t xml:space="preserve">articolo 85,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159 /2011 individua i soggetti sottoposti alla verifica antimafia, facendo una distinzione tra imprese, associazioni, società, consorzi e raggruppamenti temporanei di imprese. Si tratta di una elencazione analitica</w:t>
      </w:r>
      <w:r w:rsidR="00DE4D9F" w:rsidRPr="00CF6680">
        <w:rPr>
          <w:rFonts w:ascii="Garamond" w:hAnsi="Garamond" w:cs="Times New Roman"/>
          <w:sz w:val="28"/>
          <w:szCs w:val="28"/>
        </w:rPr>
        <w:t xml:space="preserve">, </w:t>
      </w:r>
      <w:r w:rsidRPr="00CF6680">
        <w:rPr>
          <w:rFonts w:ascii="Garamond" w:hAnsi="Garamond" w:cs="Times New Roman"/>
          <w:sz w:val="28"/>
          <w:szCs w:val="28"/>
        </w:rPr>
        <w:t xml:space="preserve">ferma restando la facoltà dell’Autorità prefettizia di estendere ulteriormente gli accertamenti a tutti coloro che, pur non indicati nella disposizione </w:t>
      </w:r>
      <w:r w:rsidR="00DE4D9F" w:rsidRPr="00CF6680">
        <w:rPr>
          <w:rFonts w:ascii="Garamond" w:hAnsi="Garamond" w:cs="Times New Roman"/>
          <w:sz w:val="28"/>
          <w:szCs w:val="28"/>
        </w:rPr>
        <w:t>in esame</w:t>
      </w:r>
      <w:r w:rsidRPr="00CF6680">
        <w:rPr>
          <w:rFonts w:ascii="Garamond" w:hAnsi="Garamond" w:cs="Times New Roman"/>
          <w:sz w:val="28"/>
          <w:szCs w:val="28"/>
        </w:rPr>
        <w:t>, sono comunque in grado di incidere sulle scelte imprenditoriali.</w:t>
      </w:r>
    </w:p>
    <w:p w:rsidR="00313639" w:rsidRPr="00CF6680" w:rsidRDefault="00B52913"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Nel parlare</w:t>
      </w:r>
      <w:r w:rsidR="0078665A" w:rsidRPr="00CF6680">
        <w:rPr>
          <w:rFonts w:ascii="Garamond" w:hAnsi="Garamond" w:cs="Times New Roman"/>
          <w:sz w:val="28"/>
          <w:szCs w:val="28"/>
        </w:rPr>
        <w:t xml:space="preserve"> degli effetti dell’</w:t>
      </w:r>
      <w:proofErr w:type="spellStart"/>
      <w:r w:rsidR="0078665A" w:rsidRPr="00CF6680">
        <w:rPr>
          <w:rFonts w:ascii="Garamond" w:hAnsi="Garamond" w:cs="Times New Roman"/>
          <w:sz w:val="28"/>
          <w:szCs w:val="28"/>
        </w:rPr>
        <w:t>interdittiva</w:t>
      </w:r>
      <w:proofErr w:type="spellEnd"/>
      <w:r w:rsidR="0078665A" w:rsidRPr="00CF6680">
        <w:rPr>
          <w:rFonts w:ascii="Garamond" w:hAnsi="Garamond" w:cs="Times New Roman"/>
          <w:sz w:val="28"/>
          <w:szCs w:val="28"/>
        </w:rPr>
        <w:t xml:space="preserve"> antimafia non </w:t>
      </w:r>
      <w:r w:rsidRPr="00CF6680">
        <w:rPr>
          <w:rFonts w:ascii="Garamond" w:hAnsi="Garamond" w:cs="Times New Roman"/>
          <w:sz w:val="28"/>
          <w:szCs w:val="28"/>
        </w:rPr>
        <w:t xml:space="preserve">si </w:t>
      </w:r>
      <w:r w:rsidR="0078665A" w:rsidRPr="00CF6680">
        <w:rPr>
          <w:rFonts w:ascii="Garamond" w:hAnsi="Garamond" w:cs="Times New Roman"/>
          <w:sz w:val="28"/>
          <w:szCs w:val="28"/>
        </w:rPr>
        <w:t xml:space="preserve">può prescindere dall’analisi dell’articolo 67,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78665A" w:rsidRPr="00CF6680">
        <w:rPr>
          <w:rFonts w:ascii="Garamond" w:hAnsi="Garamond" w:cs="Times New Roman"/>
          <w:sz w:val="28"/>
          <w:szCs w:val="28"/>
        </w:rPr>
        <w:t xml:space="preserve"> </w:t>
      </w:r>
      <w:r w:rsidR="00C010D5">
        <w:rPr>
          <w:rFonts w:ascii="Garamond" w:hAnsi="Garamond" w:cs="Times New Roman"/>
          <w:sz w:val="28"/>
          <w:szCs w:val="28"/>
        </w:rPr>
        <w:t>n. 159 del 2011</w:t>
      </w:r>
      <w:r w:rsidR="0078665A" w:rsidRPr="00CF6680">
        <w:rPr>
          <w:rFonts w:ascii="Garamond" w:hAnsi="Garamond" w:cs="Times New Roman"/>
          <w:sz w:val="28"/>
          <w:szCs w:val="28"/>
        </w:rPr>
        <w:t>, sopra richiamato</w:t>
      </w:r>
      <w:r w:rsidR="00BF7FAE" w:rsidRPr="00CF6680">
        <w:rPr>
          <w:rFonts w:ascii="Garamond" w:hAnsi="Garamond" w:cs="Times New Roman"/>
          <w:sz w:val="28"/>
          <w:szCs w:val="28"/>
        </w:rPr>
        <w:t xml:space="preserve">, ai sensi del quale </w:t>
      </w:r>
      <w:r w:rsidR="00F903BC">
        <w:rPr>
          <w:rFonts w:ascii="Garamond" w:hAnsi="Garamond" w:cs="Times New Roman"/>
          <w:i/>
          <w:sz w:val="28"/>
          <w:szCs w:val="28"/>
        </w:rPr>
        <w:t>«</w:t>
      </w:r>
      <w:r w:rsidR="00BF7FAE" w:rsidRPr="00CF6680">
        <w:rPr>
          <w:rFonts w:ascii="Garamond" w:hAnsi="Garamond" w:cs="Times New Roman"/>
          <w:i/>
          <w:sz w:val="28"/>
          <w:szCs w:val="28"/>
        </w:rPr>
        <w:t>le persone alle quali sia stata applicata con provvedimento definitivo una delle misure di prevenzione previste (..) non potrà otten</w:t>
      </w:r>
      <w:r w:rsidR="00EF053A" w:rsidRPr="00CF6680">
        <w:rPr>
          <w:rFonts w:ascii="Garamond" w:hAnsi="Garamond" w:cs="Times New Roman"/>
          <w:i/>
          <w:sz w:val="28"/>
          <w:szCs w:val="28"/>
        </w:rPr>
        <w:t>e</w:t>
      </w:r>
      <w:r w:rsidR="00BF7FAE" w:rsidRPr="00CF6680">
        <w:rPr>
          <w:rFonts w:ascii="Garamond" w:hAnsi="Garamond" w:cs="Times New Roman"/>
          <w:i/>
          <w:sz w:val="28"/>
          <w:szCs w:val="28"/>
        </w:rPr>
        <w:t>re: contributi, finanziamenti o mutui agevolati ed altre erogazioni dello stesso tipo, comunque denominate, concessi o erogati da parte dello Stato, di altri enti pubblici o Comunità europee, per lo svolgimento di attività imprenditoriali</w:t>
      </w:r>
      <w:r w:rsidR="00F903BC">
        <w:rPr>
          <w:rFonts w:ascii="Garamond" w:hAnsi="Garamond" w:cs="Times New Roman"/>
          <w:i/>
          <w:sz w:val="28"/>
          <w:szCs w:val="28"/>
        </w:rPr>
        <w:t>»</w:t>
      </w:r>
      <w:r w:rsidR="00BF7FAE" w:rsidRPr="00CF6680">
        <w:rPr>
          <w:rFonts w:ascii="Garamond" w:hAnsi="Garamond" w:cs="Times New Roman"/>
          <w:i/>
          <w:sz w:val="28"/>
          <w:szCs w:val="28"/>
        </w:rPr>
        <w:t>.</w:t>
      </w:r>
      <w:r w:rsidR="00313639" w:rsidRPr="00CF6680">
        <w:rPr>
          <w:rFonts w:ascii="Garamond" w:hAnsi="Garamond" w:cs="Times New Roman"/>
          <w:i/>
          <w:sz w:val="28"/>
          <w:szCs w:val="28"/>
        </w:rPr>
        <w:t xml:space="preserve"> </w:t>
      </w:r>
    </w:p>
    <w:p w:rsidR="00496637" w:rsidRPr="00CF6680" w:rsidRDefault="009765C7"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La norma, secondo</w:t>
      </w:r>
      <w:r w:rsidR="00BF7FAE" w:rsidRPr="00CF6680">
        <w:rPr>
          <w:rFonts w:ascii="Garamond" w:hAnsi="Garamond" w:cs="Times New Roman"/>
          <w:sz w:val="28"/>
          <w:szCs w:val="28"/>
        </w:rPr>
        <w:t xml:space="preserve"> </w:t>
      </w:r>
      <w:r w:rsidRPr="00CF6680">
        <w:rPr>
          <w:rFonts w:ascii="Garamond" w:hAnsi="Garamond" w:cs="Times New Roman"/>
          <w:sz w:val="28"/>
          <w:szCs w:val="28"/>
        </w:rPr>
        <w:t>la dottrina</w:t>
      </w:r>
      <w:r w:rsidR="00BF7FAE" w:rsidRPr="00CF6680">
        <w:rPr>
          <w:rFonts w:ascii="Garamond" w:hAnsi="Garamond" w:cs="Times New Roman"/>
          <w:sz w:val="28"/>
          <w:szCs w:val="28"/>
        </w:rPr>
        <w:t xml:space="preserve"> </w:t>
      </w:r>
      <w:r w:rsidRPr="00CF6680">
        <w:rPr>
          <w:rFonts w:ascii="Garamond" w:hAnsi="Garamond" w:cs="Times New Roman"/>
          <w:sz w:val="28"/>
          <w:szCs w:val="28"/>
        </w:rPr>
        <w:t xml:space="preserve">riguarda </w:t>
      </w:r>
      <w:r w:rsidR="00BF7FAE" w:rsidRPr="00CF6680">
        <w:rPr>
          <w:rFonts w:ascii="Garamond" w:hAnsi="Garamond" w:cs="Times New Roman"/>
          <w:sz w:val="28"/>
          <w:szCs w:val="28"/>
        </w:rPr>
        <w:t xml:space="preserve">l’ampia categoria delle sovvenzioni pubbliche prive di qualsiasi </w:t>
      </w:r>
      <w:r w:rsidR="00F903BC">
        <w:rPr>
          <w:rFonts w:ascii="Garamond" w:hAnsi="Garamond" w:cs="Times New Roman"/>
          <w:i/>
          <w:sz w:val="28"/>
          <w:szCs w:val="28"/>
        </w:rPr>
        <w:t>«</w:t>
      </w:r>
      <w:r w:rsidR="00BF7FAE" w:rsidRPr="00CF6680">
        <w:rPr>
          <w:rFonts w:ascii="Garamond" w:hAnsi="Garamond" w:cs="Times New Roman"/>
          <w:i/>
          <w:sz w:val="28"/>
          <w:szCs w:val="28"/>
        </w:rPr>
        <w:t>valenza sinallagmatica rispetto all’arricchimento del soggetto beneficiario</w:t>
      </w:r>
      <w:r w:rsidR="00F903BC">
        <w:rPr>
          <w:rFonts w:ascii="Garamond" w:hAnsi="Garamond" w:cs="Times New Roman"/>
          <w:i/>
          <w:sz w:val="28"/>
          <w:szCs w:val="28"/>
        </w:rPr>
        <w:t>»</w:t>
      </w:r>
      <w:r w:rsidR="00BF7FAE" w:rsidRPr="00CF6680">
        <w:rPr>
          <w:rFonts w:ascii="Garamond" w:hAnsi="Garamond" w:cs="Times New Roman"/>
          <w:i/>
          <w:sz w:val="28"/>
          <w:szCs w:val="28"/>
        </w:rPr>
        <w:t>.</w:t>
      </w:r>
      <w:r w:rsidR="00BF7FAE" w:rsidRPr="00CF6680">
        <w:rPr>
          <w:rStyle w:val="Rimandonotaapidipagina"/>
          <w:rFonts w:ascii="Garamond" w:hAnsi="Garamond" w:cs="Times New Roman"/>
          <w:i/>
          <w:sz w:val="28"/>
          <w:szCs w:val="28"/>
        </w:rPr>
        <w:footnoteReference w:id="29"/>
      </w:r>
      <w:r w:rsidR="00BF7FAE" w:rsidRPr="00CF6680">
        <w:rPr>
          <w:rFonts w:ascii="Garamond" w:hAnsi="Garamond" w:cs="Times New Roman"/>
          <w:i/>
          <w:sz w:val="28"/>
          <w:szCs w:val="28"/>
        </w:rPr>
        <w:t xml:space="preserve"> </w:t>
      </w:r>
      <w:r w:rsidRPr="00CF6680">
        <w:rPr>
          <w:rFonts w:ascii="Garamond" w:hAnsi="Garamond" w:cs="Times New Roman"/>
          <w:sz w:val="28"/>
          <w:szCs w:val="28"/>
        </w:rPr>
        <w:t xml:space="preserve">Detta </w:t>
      </w:r>
      <w:r w:rsidR="00BF7FAE" w:rsidRPr="00CF6680">
        <w:rPr>
          <w:rFonts w:ascii="Garamond" w:hAnsi="Garamond" w:cs="Times New Roman"/>
          <w:sz w:val="28"/>
          <w:szCs w:val="28"/>
        </w:rPr>
        <w:t xml:space="preserve">lettura </w:t>
      </w:r>
      <w:r w:rsidRPr="00CF6680">
        <w:rPr>
          <w:rFonts w:ascii="Garamond" w:hAnsi="Garamond" w:cs="Times New Roman"/>
          <w:sz w:val="28"/>
          <w:szCs w:val="28"/>
        </w:rPr>
        <w:t>è</w:t>
      </w:r>
      <w:r w:rsidR="00A40B91" w:rsidRPr="00CF6680">
        <w:rPr>
          <w:rFonts w:ascii="Garamond" w:hAnsi="Garamond" w:cs="Times New Roman"/>
          <w:sz w:val="28"/>
          <w:szCs w:val="28"/>
        </w:rPr>
        <w:t xml:space="preserve"> coerente con la</w:t>
      </w:r>
      <w:r w:rsidR="00BF7FAE" w:rsidRPr="00CF6680">
        <w:rPr>
          <w:rFonts w:ascii="Garamond" w:hAnsi="Garamond" w:cs="Times New Roman"/>
          <w:sz w:val="28"/>
          <w:szCs w:val="28"/>
        </w:rPr>
        <w:t xml:space="preserve"> giurisprudenza del Consiglio di Stato </w:t>
      </w:r>
      <w:r w:rsidRPr="00CF6680">
        <w:rPr>
          <w:rFonts w:ascii="Garamond" w:hAnsi="Garamond" w:cs="Times New Roman"/>
          <w:sz w:val="28"/>
          <w:szCs w:val="28"/>
        </w:rPr>
        <w:t xml:space="preserve">che, </w:t>
      </w:r>
      <w:r w:rsidR="00BF7FAE" w:rsidRPr="00CF6680">
        <w:rPr>
          <w:rFonts w:ascii="Garamond" w:hAnsi="Garamond" w:cs="Times New Roman"/>
          <w:sz w:val="28"/>
          <w:szCs w:val="28"/>
        </w:rPr>
        <w:t>nella pronuncia n. 19 del 2012, ha escluso</w:t>
      </w:r>
      <w:r w:rsidR="0077767C" w:rsidRPr="00CF6680">
        <w:rPr>
          <w:rFonts w:ascii="Garamond" w:hAnsi="Garamond" w:cs="Times New Roman"/>
          <w:sz w:val="28"/>
          <w:szCs w:val="28"/>
        </w:rPr>
        <w:t xml:space="preserve"> la rilevanza della distinzione tra indennizzo con funzione reintegrativa e </w:t>
      </w:r>
      <w:r w:rsidRPr="00CF6680">
        <w:rPr>
          <w:rFonts w:ascii="Garamond" w:hAnsi="Garamond" w:cs="Times New Roman"/>
          <w:sz w:val="28"/>
          <w:szCs w:val="28"/>
        </w:rPr>
        <w:t>quello</w:t>
      </w:r>
      <w:r w:rsidR="0077767C" w:rsidRPr="00CF6680">
        <w:rPr>
          <w:rFonts w:ascii="Garamond" w:hAnsi="Garamond" w:cs="Times New Roman"/>
          <w:sz w:val="28"/>
          <w:szCs w:val="28"/>
        </w:rPr>
        <w:t xml:space="preserve"> con funzione incentivante.</w:t>
      </w:r>
    </w:p>
    <w:p w:rsidR="00684A88" w:rsidRPr="00CF6680" w:rsidRDefault="004E3688"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Il principale effetto prodotto dal provvedimento </w:t>
      </w:r>
      <w:r w:rsidR="00EF053A" w:rsidRPr="00CF6680">
        <w:rPr>
          <w:rFonts w:ascii="Garamond" w:hAnsi="Garamond" w:cs="Times New Roman"/>
          <w:sz w:val="28"/>
          <w:szCs w:val="28"/>
        </w:rPr>
        <w:t xml:space="preserve">di </w:t>
      </w:r>
      <w:proofErr w:type="spellStart"/>
      <w:r w:rsidR="009A472A" w:rsidRPr="00CF6680">
        <w:rPr>
          <w:rFonts w:ascii="Garamond" w:hAnsi="Garamond" w:cs="Times New Roman"/>
          <w:sz w:val="28"/>
          <w:szCs w:val="28"/>
        </w:rPr>
        <w:t>interdittiva</w:t>
      </w:r>
      <w:proofErr w:type="spellEnd"/>
      <w:r w:rsidR="009A472A" w:rsidRPr="00CF6680">
        <w:rPr>
          <w:rFonts w:ascii="Garamond" w:hAnsi="Garamond" w:cs="Times New Roman"/>
          <w:sz w:val="28"/>
          <w:szCs w:val="28"/>
        </w:rPr>
        <w:t xml:space="preserve"> antimafia è stato individuato nell’incidenza che lo stesso produce sulla capacità giudica del destinatario</w:t>
      </w:r>
      <w:r w:rsidR="00EF053A" w:rsidRPr="00CF6680">
        <w:rPr>
          <w:rStyle w:val="Rimandonotaapidipagina"/>
          <w:rFonts w:ascii="Garamond" w:hAnsi="Garamond" w:cs="Times New Roman"/>
          <w:sz w:val="28"/>
          <w:szCs w:val="28"/>
        </w:rPr>
        <w:footnoteReference w:id="30"/>
      </w:r>
      <w:r w:rsidR="009A472A" w:rsidRPr="00CF6680">
        <w:rPr>
          <w:rFonts w:ascii="Garamond" w:hAnsi="Garamond" w:cs="Times New Roman"/>
          <w:sz w:val="28"/>
          <w:szCs w:val="28"/>
        </w:rPr>
        <w:t xml:space="preserve">, il quale non potrà essere titolare di specifici diritti , uffici o rapporti con </w:t>
      </w:r>
      <w:r w:rsidR="009765C7" w:rsidRPr="00CF6680">
        <w:rPr>
          <w:rFonts w:ascii="Garamond" w:hAnsi="Garamond" w:cs="Times New Roman"/>
          <w:sz w:val="28"/>
          <w:szCs w:val="28"/>
        </w:rPr>
        <w:t>enti pubblici</w:t>
      </w:r>
      <w:r w:rsidR="009A472A" w:rsidRPr="00CF6680">
        <w:rPr>
          <w:rFonts w:ascii="Garamond" w:hAnsi="Garamond" w:cs="Times New Roman"/>
          <w:sz w:val="28"/>
          <w:szCs w:val="28"/>
        </w:rPr>
        <w:t>.</w:t>
      </w:r>
      <w:r w:rsidR="009A472A" w:rsidRPr="00CF6680">
        <w:rPr>
          <w:rStyle w:val="Rimandonotaapidipagina"/>
          <w:rFonts w:ascii="Garamond" w:hAnsi="Garamond" w:cs="Times New Roman"/>
          <w:sz w:val="28"/>
          <w:szCs w:val="28"/>
        </w:rPr>
        <w:footnoteReference w:id="31"/>
      </w:r>
      <w:r w:rsidR="009A472A" w:rsidRPr="00CF6680">
        <w:rPr>
          <w:rFonts w:ascii="Garamond" w:hAnsi="Garamond" w:cs="Times New Roman"/>
          <w:sz w:val="28"/>
          <w:szCs w:val="28"/>
        </w:rPr>
        <w:t xml:space="preserve"> </w:t>
      </w:r>
      <w:r w:rsidR="009765C7" w:rsidRPr="00CF6680">
        <w:rPr>
          <w:rFonts w:ascii="Garamond" w:hAnsi="Garamond" w:cs="Times New Roman"/>
          <w:sz w:val="28"/>
          <w:szCs w:val="28"/>
        </w:rPr>
        <w:t>Detta incapacità del destinatario del provvedimento, è stat</w:t>
      </w:r>
      <w:r w:rsidR="00E1694E" w:rsidRPr="00CF6680">
        <w:rPr>
          <w:rFonts w:ascii="Garamond" w:hAnsi="Garamond" w:cs="Times New Roman"/>
          <w:sz w:val="28"/>
          <w:szCs w:val="28"/>
        </w:rPr>
        <w:t>o</w:t>
      </w:r>
      <w:r w:rsidR="009765C7" w:rsidRPr="00CF6680">
        <w:rPr>
          <w:rFonts w:ascii="Garamond" w:hAnsi="Garamond" w:cs="Times New Roman"/>
          <w:sz w:val="28"/>
          <w:szCs w:val="28"/>
        </w:rPr>
        <w:t xml:space="preserve"> sostenut</w:t>
      </w:r>
      <w:r w:rsidR="00E1694E" w:rsidRPr="00CF6680">
        <w:rPr>
          <w:rFonts w:ascii="Garamond" w:hAnsi="Garamond" w:cs="Times New Roman"/>
          <w:sz w:val="28"/>
          <w:szCs w:val="28"/>
        </w:rPr>
        <w:t>o</w:t>
      </w:r>
      <w:r w:rsidR="00751AE4">
        <w:rPr>
          <w:rFonts w:ascii="Garamond" w:hAnsi="Garamond" w:cs="Times New Roman"/>
          <w:sz w:val="28"/>
          <w:szCs w:val="28"/>
        </w:rPr>
        <w:t xml:space="preserve"> </w:t>
      </w:r>
      <w:r w:rsidR="00E1694E" w:rsidRPr="00CF6680">
        <w:rPr>
          <w:rFonts w:ascii="Garamond" w:hAnsi="Garamond" w:cs="Times New Roman"/>
          <w:sz w:val="28"/>
          <w:szCs w:val="28"/>
        </w:rPr>
        <w:t xml:space="preserve">essere </w:t>
      </w:r>
      <w:r w:rsidR="00EF053A" w:rsidRPr="00CF6680">
        <w:rPr>
          <w:rFonts w:ascii="Garamond" w:hAnsi="Garamond" w:cs="Times New Roman"/>
          <w:sz w:val="28"/>
          <w:szCs w:val="28"/>
        </w:rPr>
        <w:t>speciale relativa (differente rispetto alla c.d. incapacità giuridica speciale assoluta che si configura, ad esempio, in capo al fallito</w:t>
      </w:r>
      <w:r w:rsidR="00EF053A" w:rsidRPr="00CF6680">
        <w:rPr>
          <w:rStyle w:val="Rimandonotaapidipagina"/>
          <w:rFonts w:ascii="Garamond" w:hAnsi="Garamond" w:cs="Times New Roman"/>
          <w:sz w:val="28"/>
          <w:szCs w:val="28"/>
        </w:rPr>
        <w:footnoteReference w:id="32"/>
      </w:r>
      <w:r w:rsidR="00EF053A" w:rsidRPr="00CF6680">
        <w:rPr>
          <w:rFonts w:ascii="Garamond" w:hAnsi="Garamond" w:cs="Times New Roman"/>
          <w:sz w:val="28"/>
          <w:szCs w:val="28"/>
        </w:rPr>
        <w:t xml:space="preserve">) </w:t>
      </w:r>
      <w:r w:rsidR="00EF053A" w:rsidRPr="00CF6680">
        <w:rPr>
          <w:rFonts w:ascii="Garamond" w:hAnsi="Garamond" w:cs="Times New Roman"/>
          <w:color w:val="000000" w:themeColor="text1"/>
          <w:sz w:val="28"/>
          <w:szCs w:val="28"/>
        </w:rPr>
        <w:t xml:space="preserve">sebbene </w:t>
      </w:r>
      <w:r w:rsidR="00EF053A" w:rsidRPr="00CF6680">
        <w:rPr>
          <w:rFonts w:ascii="Garamond" w:hAnsi="Garamond" w:cs="Times New Roman"/>
          <w:sz w:val="28"/>
          <w:szCs w:val="28"/>
        </w:rPr>
        <w:t xml:space="preserve">l’esistenza di questa categoria sia </w:t>
      </w:r>
      <w:r w:rsidR="00E1694E" w:rsidRPr="00CF6680">
        <w:rPr>
          <w:rFonts w:ascii="Garamond" w:hAnsi="Garamond" w:cs="Times New Roman"/>
          <w:sz w:val="28"/>
          <w:szCs w:val="28"/>
        </w:rPr>
        <w:t>oggetto di dibattito dottrinale</w:t>
      </w:r>
      <w:r w:rsidR="003463AC" w:rsidRPr="00CF6680">
        <w:rPr>
          <w:rFonts w:ascii="Garamond" w:hAnsi="Garamond" w:cs="Times New Roman"/>
          <w:sz w:val="28"/>
          <w:szCs w:val="28"/>
        </w:rPr>
        <w:t>.</w:t>
      </w:r>
      <w:r w:rsidR="00EF053A" w:rsidRPr="00CF6680">
        <w:rPr>
          <w:rFonts w:ascii="Garamond" w:hAnsi="Garamond" w:cs="Times New Roman"/>
          <w:sz w:val="28"/>
          <w:szCs w:val="28"/>
        </w:rPr>
        <w:t xml:space="preserve"> </w:t>
      </w:r>
      <w:r w:rsidR="00E1694E" w:rsidRPr="00CF6680">
        <w:rPr>
          <w:rFonts w:ascii="Garamond" w:hAnsi="Garamond" w:cs="Times New Roman"/>
          <w:sz w:val="28"/>
          <w:szCs w:val="28"/>
        </w:rPr>
        <w:t>Contrasti</w:t>
      </w:r>
      <w:r w:rsidR="00B807F8" w:rsidRPr="00CF6680">
        <w:rPr>
          <w:rFonts w:ascii="Garamond" w:hAnsi="Garamond" w:cs="Times New Roman"/>
          <w:sz w:val="28"/>
          <w:szCs w:val="28"/>
        </w:rPr>
        <w:t xml:space="preserve">, </w:t>
      </w:r>
      <w:r w:rsidR="00E1694E" w:rsidRPr="00CF6680">
        <w:rPr>
          <w:rFonts w:ascii="Garamond" w:hAnsi="Garamond" w:cs="Times New Roman"/>
          <w:sz w:val="28"/>
          <w:szCs w:val="28"/>
        </w:rPr>
        <w:t xml:space="preserve">nei quali tuttavia </w:t>
      </w:r>
      <w:r w:rsidR="00B807F8" w:rsidRPr="00CF6680">
        <w:rPr>
          <w:rFonts w:ascii="Garamond" w:hAnsi="Garamond" w:cs="Times New Roman"/>
          <w:sz w:val="28"/>
          <w:szCs w:val="28"/>
        </w:rPr>
        <w:t xml:space="preserve">prevale l’opinione </w:t>
      </w:r>
      <w:r w:rsidR="00E1694E" w:rsidRPr="00CF6680">
        <w:rPr>
          <w:rFonts w:ascii="Garamond" w:hAnsi="Garamond" w:cs="Times New Roman"/>
          <w:sz w:val="28"/>
          <w:szCs w:val="28"/>
        </w:rPr>
        <w:t xml:space="preserve">di ammissibilità di </w:t>
      </w:r>
      <w:r w:rsidR="00B807F8" w:rsidRPr="00CF6680">
        <w:rPr>
          <w:rFonts w:ascii="Garamond" w:hAnsi="Garamond" w:cs="Times New Roman"/>
          <w:sz w:val="28"/>
          <w:szCs w:val="28"/>
        </w:rPr>
        <w:t xml:space="preserve">singole ipotesi di incapacità speciale, </w:t>
      </w:r>
      <w:r w:rsidR="00E1694E" w:rsidRPr="00CF6680">
        <w:rPr>
          <w:rFonts w:ascii="Garamond" w:hAnsi="Garamond" w:cs="Times New Roman"/>
          <w:sz w:val="28"/>
          <w:szCs w:val="28"/>
        </w:rPr>
        <w:t>sul presupposto che</w:t>
      </w:r>
      <w:r w:rsidR="00B807F8" w:rsidRPr="00CF6680">
        <w:rPr>
          <w:rFonts w:ascii="Garamond" w:hAnsi="Garamond" w:cs="Times New Roman"/>
          <w:sz w:val="28"/>
          <w:szCs w:val="28"/>
        </w:rPr>
        <w:t xml:space="preserve"> </w:t>
      </w:r>
      <w:r w:rsidR="00E1694E" w:rsidRPr="00CF6680">
        <w:rPr>
          <w:rFonts w:ascii="Garamond" w:hAnsi="Garamond" w:cs="Times New Roman"/>
          <w:sz w:val="28"/>
          <w:szCs w:val="28"/>
        </w:rPr>
        <w:t>ogni</w:t>
      </w:r>
      <w:r w:rsidR="00B807F8" w:rsidRPr="00CF6680">
        <w:rPr>
          <w:rFonts w:ascii="Garamond" w:hAnsi="Garamond" w:cs="Times New Roman"/>
          <w:sz w:val="28"/>
          <w:szCs w:val="28"/>
        </w:rPr>
        <w:t xml:space="preserve"> limitazione della capacità giuridica d</w:t>
      </w:r>
      <w:r w:rsidR="00180A4F" w:rsidRPr="00CF6680">
        <w:rPr>
          <w:rFonts w:ascii="Garamond" w:hAnsi="Garamond" w:cs="Times New Roman"/>
          <w:sz w:val="28"/>
          <w:szCs w:val="28"/>
        </w:rPr>
        <w:t>ebba</w:t>
      </w:r>
      <w:r w:rsidR="00B807F8" w:rsidRPr="00CF6680">
        <w:rPr>
          <w:rFonts w:ascii="Garamond" w:hAnsi="Garamond" w:cs="Times New Roman"/>
          <w:sz w:val="28"/>
          <w:szCs w:val="28"/>
        </w:rPr>
        <w:t xml:space="preserve"> basarsi su una disposizione normativa che espressamente tuteli il soggetto divenuto incapace.</w:t>
      </w:r>
      <w:r w:rsidR="00B807F8" w:rsidRPr="00CF6680">
        <w:rPr>
          <w:rStyle w:val="Rimandonotaapidipagina"/>
          <w:rFonts w:ascii="Garamond" w:hAnsi="Garamond" w:cs="Times New Roman"/>
          <w:sz w:val="28"/>
          <w:szCs w:val="28"/>
        </w:rPr>
        <w:footnoteReference w:id="33"/>
      </w:r>
      <w:r w:rsidR="00180A4F" w:rsidRPr="00CF6680">
        <w:rPr>
          <w:rFonts w:ascii="Garamond" w:hAnsi="Garamond" w:cs="Times New Roman"/>
          <w:sz w:val="28"/>
          <w:szCs w:val="28"/>
        </w:rPr>
        <w:t xml:space="preserve"> </w:t>
      </w:r>
    </w:p>
    <w:p w:rsidR="00180A4F" w:rsidRPr="00CF6680" w:rsidRDefault="00180A4F"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L’incapacità</w:t>
      </w:r>
      <w:r w:rsidR="00A40B91" w:rsidRPr="00CF6680">
        <w:rPr>
          <w:rFonts w:ascii="Garamond" w:hAnsi="Garamond" w:cs="Times New Roman"/>
          <w:sz w:val="28"/>
          <w:szCs w:val="28"/>
        </w:rPr>
        <w:t xml:space="preserve"> </w:t>
      </w:r>
      <w:r w:rsidR="00E1694E" w:rsidRPr="00CF6680">
        <w:rPr>
          <w:rFonts w:ascii="Garamond" w:hAnsi="Garamond" w:cs="Times New Roman"/>
          <w:sz w:val="28"/>
          <w:szCs w:val="28"/>
        </w:rPr>
        <w:t>conseguente</w:t>
      </w:r>
      <w:r w:rsidRPr="00CF6680">
        <w:rPr>
          <w:rFonts w:ascii="Garamond" w:hAnsi="Garamond" w:cs="Times New Roman"/>
          <w:sz w:val="28"/>
          <w:szCs w:val="28"/>
        </w:rPr>
        <w:t xml:space="preserve"> </w:t>
      </w:r>
      <w:r w:rsidR="00E1694E" w:rsidRPr="00CF6680">
        <w:rPr>
          <w:rFonts w:ascii="Garamond" w:hAnsi="Garamond" w:cs="Times New Roman"/>
          <w:sz w:val="28"/>
          <w:szCs w:val="28"/>
        </w:rPr>
        <w:t>ad</w:t>
      </w:r>
      <w:r w:rsidRPr="00CF6680">
        <w:rPr>
          <w:rFonts w:ascii="Garamond" w:hAnsi="Garamond" w:cs="Times New Roman"/>
          <w:sz w:val="28"/>
          <w:szCs w:val="28"/>
        </w:rPr>
        <w:t xml:space="preserve"> un provvedimento </w:t>
      </w:r>
      <w:proofErr w:type="spellStart"/>
      <w:r w:rsidRPr="00CF6680">
        <w:rPr>
          <w:rFonts w:ascii="Garamond" w:hAnsi="Garamond" w:cs="Times New Roman"/>
          <w:sz w:val="28"/>
          <w:szCs w:val="28"/>
        </w:rPr>
        <w:t>interdittivo</w:t>
      </w:r>
      <w:proofErr w:type="spellEnd"/>
      <w:r w:rsidRPr="00CF6680">
        <w:rPr>
          <w:rFonts w:ascii="Garamond" w:hAnsi="Garamond" w:cs="Times New Roman"/>
          <w:sz w:val="28"/>
          <w:szCs w:val="28"/>
        </w:rPr>
        <w:t xml:space="preserve"> antimafia è stata ben </w:t>
      </w:r>
      <w:r w:rsidR="00E1694E" w:rsidRPr="00CF6680">
        <w:rPr>
          <w:rFonts w:ascii="Garamond" w:hAnsi="Garamond" w:cs="Times New Roman"/>
          <w:sz w:val="28"/>
          <w:szCs w:val="28"/>
        </w:rPr>
        <w:t>qualificata</w:t>
      </w:r>
      <w:r w:rsidRPr="00CF6680">
        <w:rPr>
          <w:rFonts w:ascii="Garamond" w:hAnsi="Garamond" w:cs="Times New Roman"/>
          <w:sz w:val="28"/>
          <w:szCs w:val="28"/>
        </w:rPr>
        <w:t xml:space="preserve"> dall’Adunanza Plenaria del </w:t>
      </w:r>
      <w:r w:rsidR="00E1694E" w:rsidRPr="00CF6680">
        <w:rPr>
          <w:rFonts w:ascii="Garamond" w:hAnsi="Garamond" w:cs="Times New Roman"/>
          <w:sz w:val="28"/>
          <w:szCs w:val="28"/>
        </w:rPr>
        <w:t>C</w:t>
      </w:r>
      <w:r w:rsidRPr="00CF6680">
        <w:rPr>
          <w:rFonts w:ascii="Garamond" w:hAnsi="Garamond" w:cs="Times New Roman"/>
          <w:sz w:val="28"/>
          <w:szCs w:val="28"/>
        </w:rPr>
        <w:t xml:space="preserve">onsiglio di Stato n. 3 </w:t>
      </w:r>
      <w:proofErr w:type="gramStart"/>
      <w:r w:rsidR="0087193E" w:rsidRPr="00CF6680">
        <w:rPr>
          <w:rFonts w:ascii="Garamond" w:hAnsi="Garamond" w:cs="Times New Roman"/>
          <w:sz w:val="28"/>
          <w:szCs w:val="28"/>
        </w:rPr>
        <w:t xml:space="preserve">del </w:t>
      </w:r>
      <w:r w:rsidRPr="00CF6680">
        <w:rPr>
          <w:rFonts w:ascii="Garamond" w:hAnsi="Garamond" w:cs="Times New Roman"/>
          <w:sz w:val="28"/>
          <w:szCs w:val="28"/>
        </w:rPr>
        <w:t xml:space="preserve"> 2018</w:t>
      </w:r>
      <w:proofErr w:type="gramEnd"/>
      <w:r w:rsidR="00A40B91" w:rsidRPr="00CF6680">
        <w:rPr>
          <w:rFonts w:ascii="Garamond" w:hAnsi="Garamond" w:cs="Times New Roman"/>
          <w:sz w:val="28"/>
          <w:szCs w:val="28"/>
        </w:rPr>
        <w:t xml:space="preserve">, che </w:t>
      </w:r>
      <w:r w:rsidRPr="00CF6680">
        <w:rPr>
          <w:rFonts w:ascii="Garamond" w:hAnsi="Garamond" w:cs="Times New Roman"/>
          <w:sz w:val="28"/>
          <w:szCs w:val="28"/>
        </w:rPr>
        <w:t xml:space="preserve">ha </w:t>
      </w:r>
      <w:r w:rsidR="00E1694E" w:rsidRPr="00CF6680">
        <w:rPr>
          <w:rFonts w:ascii="Garamond" w:hAnsi="Garamond" w:cs="Times New Roman"/>
          <w:sz w:val="28"/>
          <w:szCs w:val="28"/>
        </w:rPr>
        <w:t>sostenuto</w:t>
      </w:r>
      <w:r w:rsidRPr="00CF6680">
        <w:rPr>
          <w:rFonts w:ascii="Garamond" w:hAnsi="Garamond" w:cs="Times New Roman"/>
          <w:sz w:val="28"/>
          <w:szCs w:val="28"/>
        </w:rPr>
        <w:t xml:space="preserve"> tratta</w:t>
      </w:r>
      <w:r w:rsidR="00E1694E" w:rsidRPr="00CF6680">
        <w:rPr>
          <w:rFonts w:ascii="Garamond" w:hAnsi="Garamond" w:cs="Times New Roman"/>
          <w:sz w:val="28"/>
          <w:szCs w:val="28"/>
        </w:rPr>
        <w:t>s</w:t>
      </w:r>
      <w:r w:rsidRPr="00CF6680">
        <w:rPr>
          <w:rFonts w:ascii="Garamond" w:hAnsi="Garamond" w:cs="Times New Roman"/>
          <w:sz w:val="28"/>
          <w:szCs w:val="28"/>
        </w:rPr>
        <w:t>i di una incapacità giuridica legale parziale</w:t>
      </w:r>
      <w:r w:rsidR="001E2F74" w:rsidRPr="00CF6680">
        <w:rPr>
          <w:rFonts w:ascii="Garamond" w:hAnsi="Garamond" w:cs="Times New Roman"/>
          <w:sz w:val="28"/>
          <w:szCs w:val="28"/>
        </w:rPr>
        <w:t>, perché limitata ai rapporti con la Pubblica Amministrazione</w:t>
      </w:r>
      <w:r w:rsidR="00974AD3" w:rsidRPr="00CF6680">
        <w:rPr>
          <w:rFonts w:ascii="Garamond" w:hAnsi="Garamond" w:cs="Times New Roman"/>
          <w:sz w:val="28"/>
          <w:szCs w:val="28"/>
        </w:rPr>
        <w:t xml:space="preserve"> ( art. 67,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974AD3" w:rsidRPr="00CF6680">
        <w:rPr>
          <w:rFonts w:ascii="Garamond" w:hAnsi="Garamond" w:cs="Times New Roman"/>
          <w:sz w:val="28"/>
          <w:szCs w:val="28"/>
        </w:rPr>
        <w:t xml:space="preserve"> </w:t>
      </w:r>
      <w:r w:rsidR="00C010D5">
        <w:rPr>
          <w:rFonts w:ascii="Garamond" w:hAnsi="Garamond" w:cs="Times New Roman"/>
          <w:sz w:val="28"/>
          <w:szCs w:val="28"/>
        </w:rPr>
        <w:t>n. 159 del 2011</w:t>
      </w:r>
      <w:r w:rsidR="00974AD3" w:rsidRPr="00CF6680">
        <w:rPr>
          <w:rFonts w:ascii="Garamond" w:hAnsi="Garamond" w:cs="Times New Roman"/>
          <w:sz w:val="28"/>
          <w:szCs w:val="28"/>
        </w:rPr>
        <w:t>)</w:t>
      </w:r>
      <w:r w:rsidRPr="00CF6680">
        <w:rPr>
          <w:rFonts w:ascii="Garamond" w:hAnsi="Garamond" w:cs="Times New Roman"/>
          <w:sz w:val="28"/>
          <w:szCs w:val="28"/>
        </w:rPr>
        <w:t xml:space="preserve"> e tendenzialmente temporanea, potendo venire meno </w:t>
      </w:r>
      <w:r w:rsidR="00974AD3" w:rsidRPr="00CF6680">
        <w:rPr>
          <w:rFonts w:ascii="Garamond" w:hAnsi="Garamond" w:cs="Times New Roman"/>
          <w:sz w:val="28"/>
          <w:szCs w:val="28"/>
        </w:rPr>
        <w:t>per effetto</w:t>
      </w:r>
      <w:r w:rsidRPr="00CF6680">
        <w:rPr>
          <w:rFonts w:ascii="Garamond" w:hAnsi="Garamond" w:cs="Times New Roman"/>
          <w:sz w:val="28"/>
          <w:szCs w:val="28"/>
        </w:rPr>
        <w:t xml:space="preserve"> di un successivo provvedimento dell’autorità prefettizia competente.</w:t>
      </w:r>
      <w:r w:rsidR="00FD7EA5" w:rsidRPr="00CF6680">
        <w:rPr>
          <w:rStyle w:val="Rimandonotaapidipagina"/>
          <w:rFonts w:ascii="Garamond" w:hAnsi="Garamond" w:cs="Times New Roman"/>
          <w:sz w:val="28"/>
          <w:szCs w:val="28"/>
        </w:rPr>
        <w:footnoteReference w:id="34"/>
      </w:r>
      <w:r w:rsidRPr="00CF6680">
        <w:rPr>
          <w:rFonts w:ascii="Garamond" w:hAnsi="Garamond" w:cs="Times New Roman"/>
          <w:sz w:val="28"/>
          <w:szCs w:val="28"/>
        </w:rPr>
        <w:t xml:space="preserve"> </w:t>
      </w:r>
      <w:r w:rsidR="007E3CC3" w:rsidRPr="00CF6680">
        <w:rPr>
          <w:rFonts w:ascii="Garamond" w:hAnsi="Garamond" w:cs="Times New Roman"/>
          <w:sz w:val="28"/>
          <w:szCs w:val="28"/>
        </w:rPr>
        <w:t xml:space="preserve">Detta incapacità, </w:t>
      </w:r>
      <w:r w:rsidR="00C83DA0" w:rsidRPr="00CF6680">
        <w:rPr>
          <w:rFonts w:ascii="Garamond" w:hAnsi="Garamond" w:cs="Times New Roman"/>
          <w:sz w:val="28"/>
          <w:szCs w:val="28"/>
        </w:rPr>
        <w:t xml:space="preserve">intesa come incapacità legale allo svolgimento di tutte le attività economiche, anche soggette ad autorizzazione o a </w:t>
      </w:r>
      <w:proofErr w:type="spellStart"/>
      <w:r w:rsidR="00C83DA0" w:rsidRPr="00CF6680">
        <w:rPr>
          <w:rFonts w:ascii="Garamond" w:hAnsi="Garamond" w:cs="Times New Roman"/>
          <w:sz w:val="28"/>
          <w:szCs w:val="28"/>
        </w:rPr>
        <w:t>s.c.i.a</w:t>
      </w:r>
      <w:proofErr w:type="spellEnd"/>
      <w:r w:rsidR="00C83DA0" w:rsidRPr="00CF6680">
        <w:rPr>
          <w:rFonts w:ascii="Garamond" w:hAnsi="Garamond" w:cs="Times New Roman"/>
          <w:sz w:val="28"/>
          <w:szCs w:val="28"/>
        </w:rPr>
        <w:t xml:space="preserve">., determina una </w:t>
      </w:r>
      <w:r w:rsidR="00E76B61" w:rsidRPr="00CF6680">
        <w:rPr>
          <w:rFonts w:ascii="Garamond" w:hAnsi="Garamond" w:cs="Times New Roman"/>
          <w:sz w:val="28"/>
          <w:szCs w:val="28"/>
        </w:rPr>
        <w:t xml:space="preserve">evidente </w:t>
      </w:r>
      <w:r w:rsidR="00C83DA0" w:rsidRPr="00CF6680">
        <w:rPr>
          <w:rFonts w:ascii="Garamond" w:hAnsi="Garamond" w:cs="Times New Roman"/>
          <w:sz w:val="28"/>
          <w:szCs w:val="28"/>
        </w:rPr>
        <w:t>compressione della libertà di iniziativa economica</w:t>
      </w:r>
      <w:r w:rsidR="0087193E" w:rsidRPr="00CF6680">
        <w:rPr>
          <w:rFonts w:ascii="Garamond" w:hAnsi="Garamond" w:cs="Times New Roman"/>
          <w:sz w:val="28"/>
          <w:szCs w:val="28"/>
        </w:rPr>
        <w:t>. In questi termini</w:t>
      </w:r>
      <w:r w:rsidR="007E3CC3" w:rsidRPr="00CF6680">
        <w:rPr>
          <w:rFonts w:ascii="Garamond" w:hAnsi="Garamond" w:cs="Times New Roman"/>
          <w:sz w:val="28"/>
          <w:szCs w:val="28"/>
        </w:rPr>
        <w:t xml:space="preserve"> l</w:t>
      </w:r>
      <w:r w:rsidR="000D5BBA" w:rsidRPr="00CF6680">
        <w:rPr>
          <w:rFonts w:ascii="Garamond" w:hAnsi="Garamond" w:cs="Times New Roman"/>
          <w:sz w:val="28"/>
          <w:szCs w:val="28"/>
        </w:rPr>
        <w:t xml:space="preserve">a misura amministrativa </w:t>
      </w:r>
      <w:r w:rsidR="007E3CC3" w:rsidRPr="00CF6680">
        <w:rPr>
          <w:rFonts w:ascii="Garamond" w:hAnsi="Garamond" w:cs="Times New Roman"/>
          <w:sz w:val="28"/>
          <w:szCs w:val="28"/>
        </w:rPr>
        <w:t xml:space="preserve">assume </w:t>
      </w:r>
      <w:r w:rsidR="000D5BBA" w:rsidRPr="00CF6680">
        <w:rPr>
          <w:rFonts w:ascii="Garamond" w:hAnsi="Garamond" w:cs="Times New Roman"/>
          <w:sz w:val="28"/>
          <w:szCs w:val="28"/>
        </w:rPr>
        <w:t xml:space="preserve">un contenuto particolarmente afflittivo, analogo a quello proprio delle misure di natura penale, dalle quali </w:t>
      </w:r>
      <w:r w:rsidR="008D0570" w:rsidRPr="00CF6680">
        <w:rPr>
          <w:rFonts w:ascii="Garamond" w:hAnsi="Garamond" w:cs="Times New Roman"/>
          <w:sz w:val="28"/>
          <w:szCs w:val="28"/>
        </w:rPr>
        <w:t xml:space="preserve">tuttavia </w:t>
      </w:r>
      <w:r w:rsidR="000D5BBA" w:rsidRPr="00CF6680">
        <w:rPr>
          <w:rFonts w:ascii="Garamond" w:hAnsi="Garamond" w:cs="Times New Roman"/>
          <w:sz w:val="28"/>
          <w:szCs w:val="28"/>
        </w:rPr>
        <w:t>si distingu</w:t>
      </w:r>
      <w:r w:rsidR="00B93604" w:rsidRPr="00CF6680">
        <w:rPr>
          <w:rFonts w:ascii="Garamond" w:hAnsi="Garamond" w:cs="Times New Roman"/>
          <w:sz w:val="28"/>
          <w:szCs w:val="28"/>
        </w:rPr>
        <w:t>e</w:t>
      </w:r>
      <w:r w:rsidR="000D5BBA" w:rsidRPr="00CF6680">
        <w:rPr>
          <w:rFonts w:ascii="Garamond" w:hAnsi="Garamond" w:cs="Times New Roman"/>
          <w:sz w:val="28"/>
          <w:szCs w:val="28"/>
        </w:rPr>
        <w:t xml:space="preserve"> per la mancata previsione delle garanzie dell’irretroattività, tassatività e dell’equo giudizio.</w:t>
      </w:r>
      <w:r w:rsidR="00B93604" w:rsidRPr="00CF6680">
        <w:rPr>
          <w:rFonts w:ascii="Garamond" w:hAnsi="Garamond" w:cs="Times New Roman"/>
          <w:sz w:val="28"/>
          <w:szCs w:val="28"/>
        </w:rPr>
        <w:t xml:space="preserve"> </w:t>
      </w:r>
    </w:p>
    <w:p w:rsidR="00040703" w:rsidRPr="00CF6680" w:rsidRDefault="00E1694E"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In merito al</w:t>
      </w:r>
      <w:r w:rsidR="00A40B91" w:rsidRPr="00CF6680">
        <w:rPr>
          <w:rFonts w:ascii="Garamond" w:hAnsi="Garamond" w:cs="Times New Roman"/>
          <w:sz w:val="28"/>
          <w:szCs w:val="28"/>
        </w:rPr>
        <w:t xml:space="preserve">la pronuncia del Supremo Consesso amministrativo, va detto che </w:t>
      </w:r>
      <w:r w:rsidR="003463AC" w:rsidRPr="00CF6680">
        <w:rPr>
          <w:rFonts w:ascii="Garamond" w:hAnsi="Garamond" w:cs="Times New Roman"/>
          <w:sz w:val="28"/>
          <w:szCs w:val="28"/>
        </w:rPr>
        <w:t xml:space="preserve">la </w:t>
      </w:r>
      <w:r w:rsidR="00040703" w:rsidRPr="00CF6680">
        <w:rPr>
          <w:rFonts w:ascii="Garamond" w:hAnsi="Garamond" w:cs="Times New Roman"/>
          <w:sz w:val="28"/>
          <w:szCs w:val="28"/>
        </w:rPr>
        <w:t xml:space="preserve">quinta sezione del Consiglio di Stato, </w:t>
      </w:r>
      <w:r w:rsidRPr="00CF6680">
        <w:rPr>
          <w:rFonts w:ascii="Garamond" w:hAnsi="Garamond" w:cs="Times New Roman"/>
          <w:sz w:val="28"/>
          <w:szCs w:val="28"/>
        </w:rPr>
        <w:t>chiamata a decidere sul</w:t>
      </w:r>
      <w:r w:rsidR="00040703" w:rsidRPr="00CF6680">
        <w:rPr>
          <w:rFonts w:ascii="Garamond" w:hAnsi="Garamond" w:cs="Times New Roman"/>
          <w:sz w:val="28"/>
          <w:szCs w:val="28"/>
        </w:rPr>
        <w:t xml:space="preserve">l’applicabilità dell’art. </w:t>
      </w:r>
      <w:proofErr w:type="gramStart"/>
      <w:r w:rsidR="00040703" w:rsidRPr="00CF6680">
        <w:rPr>
          <w:rFonts w:ascii="Garamond" w:hAnsi="Garamond" w:cs="Times New Roman"/>
          <w:sz w:val="28"/>
          <w:szCs w:val="28"/>
        </w:rPr>
        <w:t>67,comma</w:t>
      </w:r>
      <w:proofErr w:type="gramEnd"/>
      <w:r w:rsidR="00040703" w:rsidRPr="00CF6680">
        <w:rPr>
          <w:rFonts w:ascii="Garamond" w:hAnsi="Garamond" w:cs="Times New Roman"/>
          <w:sz w:val="28"/>
          <w:szCs w:val="28"/>
        </w:rPr>
        <w:t xml:space="preserve"> 1, </w:t>
      </w:r>
      <w:proofErr w:type="spellStart"/>
      <w:r w:rsidR="00040703" w:rsidRPr="00CF6680">
        <w:rPr>
          <w:rFonts w:ascii="Garamond" w:hAnsi="Garamond" w:cs="Times New Roman"/>
          <w:sz w:val="28"/>
          <w:szCs w:val="28"/>
        </w:rPr>
        <w:t>lett</w:t>
      </w:r>
      <w:proofErr w:type="spellEnd"/>
      <w:r w:rsidR="00040703" w:rsidRPr="00CF6680">
        <w:rPr>
          <w:rFonts w:ascii="Garamond" w:hAnsi="Garamond" w:cs="Times New Roman"/>
          <w:sz w:val="28"/>
          <w:szCs w:val="28"/>
        </w:rPr>
        <w:t xml:space="preserve">. g)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040703" w:rsidRPr="00CF6680">
        <w:rPr>
          <w:rFonts w:ascii="Garamond" w:hAnsi="Garamond" w:cs="Times New Roman"/>
          <w:sz w:val="28"/>
          <w:szCs w:val="28"/>
        </w:rPr>
        <w:t xml:space="preserve"> 159 / 2011</w:t>
      </w:r>
      <w:r w:rsidR="0060048D" w:rsidRPr="00CF6680">
        <w:rPr>
          <w:rFonts w:ascii="Garamond" w:hAnsi="Garamond" w:cs="Times New Roman"/>
          <w:sz w:val="28"/>
          <w:szCs w:val="28"/>
        </w:rPr>
        <w:t xml:space="preserve">, </w:t>
      </w:r>
      <w:r w:rsidR="00040703" w:rsidRPr="00CF6680">
        <w:rPr>
          <w:rFonts w:ascii="Garamond" w:hAnsi="Garamond" w:cs="Times New Roman"/>
          <w:sz w:val="28"/>
          <w:szCs w:val="28"/>
        </w:rPr>
        <w:t xml:space="preserve">ha rimesso all’Adunanza Plenaria </w:t>
      </w:r>
      <w:r w:rsidR="006F6299" w:rsidRPr="00CF6680">
        <w:rPr>
          <w:rFonts w:ascii="Garamond" w:hAnsi="Garamond" w:cs="Times New Roman"/>
          <w:sz w:val="28"/>
          <w:szCs w:val="28"/>
        </w:rPr>
        <w:t>la questione concernente la possibilità da parte della P.A. di erogare somme di denaro a titolo di risarcimento</w:t>
      </w:r>
      <w:r w:rsidRPr="00CF6680">
        <w:rPr>
          <w:rFonts w:ascii="Garamond" w:hAnsi="Garamond" w:cs="Times New Roman"/>
          <w:sz w:val="28"/>
          <w:szCs w:val="28"/>
        </w:rPr>
        <w:t xml:space="preserve"> </w:t>
      </w:r>
      <w:r w:rsidR="006F6299" w:rsidRPr="00CF6680">
        <w:rPr>
          <w:rFonts w:ascii="Garamond" w:hAnsi="Garamond" w:cs="Times New Roman"/>
          <w:sz w:val="28"/>
          <w:szCs w:val="28"/>
        </w:rPr>
        <w:t xml:space="preserve">in favore di un soggetto destinatario di un’informativa </w:t>
      </w:r>
      <w:proofErr w:type="spellStart"/>
      <w:r w:rsidR="006F6299" w:rsidRPr="00CF6680">
        <w:rPr>
          <w:rFonts w:ascii="Garamond" w:hAnsi="Garamond" w:cs="Times New Roman"/>
          <w:sz w:val="28"/>
          <w:szCs w:val="28"/>
        </w:rPr>
        <w:t>interdittiva</w:t>
      </w:r>
      <w:proofErr w:type="spellEnd"/>
      <w:r w:rsidR="006F6299" w:rsidRPr="00CF6680">
        <w:rPr>
          <w:rFonts w:ascii="Garamond" w:hAnsi="Garamond" w:cs="Times New Roman"/>
          <w:sz w:val="28"/>
          <w:szCs w:val="28"/>
        </w:rPr>
        <w:t xml:space="preserve"> antimafia, conosciuta solo successivamente alla formazione del giudicato.</w:t>
      </w:r>
      <w:r w:rsidR="00131A5B" w:rsidRPr="00CF6680">
        <w:rPr>
          <w:rFonts w:ascii="Garamond" w:hAnsi="Garamond" w:cs="Times New Roman"/>
          <w:sz w:val="28"/>
          <w:szCs w:val="28"/>
        </w:rPr>
        <w:t xml:space="preserve"> </w:t>
      </w:r>
    </w:p>
    <w:p w:rsidR="00974AD3" w:rsidRPr="00CF6680" w:rsidRDefault="00CA7BED"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Nel decidere, l</w:t>
      </w:r>
      <w:r w:rsidR="006F6299" w:rsidRPr="00CF6680">
        <w:rPr>
          <w:rFonts w:ascii="Garamond" w:hAnsi="Garamond" w:cs="Times New Roman"/>
          <w:sz w:val="28"/>
          <w:szCs w:val="28"/>
        </w:rPr>
        <w:t xml:space="preserve">’Alto Consesso, richiamando la </w:t>
      </w:r>
      <w:r w:rsidR="003463AC" w:rsidRPr="00CF6680">
        <w:rPr>
          <w:rFonts w:ascii="Garamond" w:hAnsi="Garamond" w:cs="Times New Roman"/>
          <w:sz w:val="28"/>
          <w:szCs w:val="28"/>
        </w:rPr>
        <w:t xml:space="preserve">propria </w:t>
      </w:r>
      <w:r w:rsidRPr="00CF6680">
        <w:rPr>
          <w:rFonts w:ascii="Garamond" w:hAnsi="Garamond" w:cs="Times New Roman"/>
          <w:sz w:val="28"/>
          <w:szCs w:val="28"/>
        </w:rPr>
        <w:t xml:space="preserve">precedente </w:t>
      </w:r>
      <w:r w:rsidR="006F6299" w:rsidRPr="00CF6680">
        <w:rPr>
          <w:rFonts w:ascii="Garamond" w:hAnsi="Garamond" w:cs="Times New Roman"/>
          <w:sz w:val="28"/>
          <w:szCs w:val="28"/>
        </w:rPr>
        <w:t>decisione</w:t>
      </w:r>
      <w:r w:rsidR="003463AC" w:rsidRPr="00CF6680">
        <w:rPr>
          <w:rFonts w:ascii="Garamond" w:hAnsi="Garamond" w:cs="Times New Roman"/>
          <w:sz w:val="28"/>
          <w:szCs w:val="28"/>
        </w:rPr>
        <w:t xml:space="preserve"> </w:t>
      </w:r>
      <w:r w:rsidR="006F6299" w:rsidRPr="00CF6680">
        <w:rPr>
          <w:rFonts w:ascii="Garamond" w:hAnsi="Garamond" w:cs="Times New Roman"/>
          <w:sz w:val="28"/>
          <w:szCs w:val="28"/>
        </w:rPr>
        <w:t>n. 9 del 2012</w:t>
      </w:r>
      <w:r w:rsidR="00F62A68" w:rsidRPr="00CF6680">
        <w:rPr>
          <w:rStyle w:val="Rimandonotaapidipagina"/>
          <w:rFonts w:ascii="Garamond" w:hAnsi="Garamond" w:cs="Times New Roman"/>
          <w:sz w:val="28"/>
          <w:szCs w:val="28"/>
        </w:rPr>
        <w:footnoteReference w:id="35"/>
      </w:r>
      <w:r w:rsidR="006F6299" w:rsidRPr="00CF6680">
        <w:rPr>
          <w:rFonts w:ascii="Garamond" w:hAnsi="Garamond" w:cs="Times New Roman"/>
          <w:sz w:val="28"/>
          <w:szCs w:val="28"/>
        </w:rPr>
        <w:t xml:space="preserve">, evidenzia </w:t>
      </w:r>
      <w:r w:rsidR="00483E64" w:rsidRPr="00CF6680">
        <w:rPr>
          <w:rFonts w:ascii="Garamond" w:hAnsi="Garamond" w:cs="Times New Roman"/>
          <w:sz w:val="28"/>
          <w:szCs w:val="28"/>
        </w:rPr>
        <w:t xml:space="preserve"> </w:t>
      </w:r>
      <w:r w:rsidR="006F6299" w:rsidRPr="00CF6680">
        <w:rPr>
          <w:rFonts w:ascii="Garamond" w:hAnsi="Garamond" w:cs="Times New Roman"/>
          <w:sz w:val="28"/>
          <w:szCs w:val="28"/>
        </w:rPr>
        <w:t xml:space="preserve">come l’espressione </w:t>
      </w:r>
      <w:r w:rsidR="00F903BC">
        <w:rPr>
          <w:rFonts w:ascii="Garamond" w:hAnsi="Garamond" w:cs="Times New Roman"/>
          <w:i/>
          <w:sz w:val="28"/>
          <w:szCs w:val="28"/>
        </w:rPr>
        <w:t>«</w:t>
      </w:r>
      <w:r w:rsidR="0025087F" w:rsidRPr="00CF6680">
        <w:rPr>
          <w:rFonts w:ascii="Garamond" w:hAnsi="Garamond" w:cs="Times New Roman"/>
          <w:i/>
          <w:sz w:val="28"/>
          <w:szCs w:val="28"/>
        </w:rPr>
        <w:t>altre erogazioni dello stesso tipo</w:t>
      </w:r>
      <w:r w:rsidR="00F903BC">
        <w:rPr>
          <w:rFonts w:ascii="Garamond" w:hAnsi="Garamond" w:cs="Times New Roman"/>
          <w:i/>
          <w:sz w:val="28"/>
          <w:szCs w:val="28"/>
        </w:rPr>
        <w:t>»</w:t>
      </w:r>
      <w:r w:rsidR="0025087F" w:rsidRPr="00CF6680">
        <w:rPr>
          <w:rFonts w:ascii="Garamond" w:hAnsi="Garamond" w:cs="Times New Roman"/>
          <w:sz w:val="28"/>
          <w:szCs w:val="28"/>
        </w:rPr>
        <w:t xml:space="preserve"> </w:t>
      </w:r>
      <w:r w:rsidR="006F6299" w:rsidRPr="00CF6680">
        <w:rPr>
          <w:rFonts w:ascii="Garamond" w:hAnsi="Garamond" w:cs="Times New Roman"/>
          <w:sz w:val="28"/>
          <w:szCs w:val="28"/>
        </w:rPr>
        <w:t xml:space="preserve">usata dal legislatore </w:t>
      </w:r>
      <w:r w:rsidR="0077767C" w:rsidRPr="00CF6680">
        <w:rPr>
          <w:rFonts w:ascii="Garamond" w:hAnsi="Garamond" w:cs="Times New Roman"/>
          <w:sz w:val="28"/>
          <w:szCs w:val="28"/>
        </w:rPr>
        <w:t>n</w:t>
      </w:r>
      <w:r w:rsidR="00483E64" w:rsidRPr="00CF6680">
        <w:rPr>
          <w:rFonts w:ascii="Garamond" w:hAnsi="Garamond" w:cs="Times New Roman"/>
          <w:sz w:val="28"/>
          <w:szCs w:val="28"/>
        </w:rPr>
        <w:t>e</w:t>
      </w:r>
      <w:r w:rsidR="006F6299" w:rsidRPr="00CF6680">
        <w:rPr>
          <w:rFonts w:ascii="Garamond" w:hAnsi="Garamond" w:cs="Times New Roman"/>
          <w:sz w:val="28"/>
          <w:szCs w:val="28"/>
        </w:rPr>
        <w:t xml:space="preserve">ll’articolo 67,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6F6299" w:rsidRPr="00CF6680">
        <w:rPr>
          <w:rFonts w:ascii="Garamond" w:hAnsi="Garamond" w:cs="Times New Roman"/>
          <w:sz w:val="28"/>
          <w:szCs w:val="28"/>
        </w:rPr>
        <w:t xml:space="preserve"> </w:t>
      </w:r>
      <w:r w:rsidR="00C010D5">
        <w:rPr>
          <w:rFonts w:ascii="Garamond" w:hAnsi="Garamond" w:cs="Times New Roman"/>
          <w:sz w:val="28"/>
          <w:szCs w:val="28"/>
        </w:rPr>
        <w:t>n. 159 del 2011</w:t>
      </w:r>
      <w:r w:rsidR="006F6299" w:rsidRPr="00CF6680">
        <w:rPr>
          <w:rFonts w:ascii="Garamond" w:hAnsi="Garamond" w:cs="Times New Roman"/>
          <w:sz w:val="28"/>
          <w:szCs w:val="28"/>
        </w:rPr>
        <w:t xml:space="preserve">, debba essere intesa nel senso di ricomprendere anche l’impossibilità di percepire somme dovute a titolo di risarcimento del danno patito in connessione all’attività di impresa, posto che </w:t>
      </w:r>
      <w:r w:rsidR="00F903BC">
        <w:rPr>
          <w:rFonts w:ascii="Garamond" w:hAnsi="Garamond" w:cs="Times New Roman"/>
          <w:sz w:val="28"/>
          <w:szCs w:val="28"/>
        </w:rPr>
        <w:t>«</w:t>
      </w:r>
      <w:r w:rsidR="006F6299" w:rsidRPr="00CF6680">
        <w:rPr>
          <w:rFonts w:ascii="Garamond" w:hAnsi="Garamond" w:cs="Times New Roman"/>
          <w:i/>
          <w:sz w:val="28"/>
          <w:szCs w:val="28"/>
        </w:rPr>
        <w:t>la disposizione non solo ricomprende le erogazioni dirette ad arricchire l’imprenditore</w:t>
      </w:r>
      <w:r w:rsidR="00496637" w:rsidRPr="00CF6680">
        <w:rPr>
          <w:rFonts w:ascii="Garamond" w:hAnsi="Garamond" w:cs="Times New Roman"/>
          <w:i/>
          <w:sz w:val="28"/>
          <w:szCs w:val="28"/>
        </w:rPr>
        <w:t xml:space="preserve"> colpito da </w:t>
      </w:r>
      <w:proofErr w:type="spellStart"/>
      <w:r w:rsidR="00496637" w:rsidRPr="00CF6680">
        <w:rPr>
          <w:rFonts w:ascii="Garamond" w:hAnsi="Garamond" w:cs="Times New Roman"/>
          <w:i/>
          <w:sz w:val="28"/>
          <w:szCs w:val="28"/>
        </w:rPr>
        <w:t>interdittiva</w:t>
      </w:r>
      <w:proofErr w:type="spellEnd"/>
      <w:r w:rsidR="00496637" w:rsidRPr="00CF6680">
        <w:rPr>
          <w:rFonts w:ascii="Garamond" w:hAnsi="Garamond" w:cs="Times New Roman"/>
          <w:i/>
          <w:sz w:val="28"/>
          <w:szCs w:val="28"/>
        </w:rPr>
        <w:t>, ma anche quelle dirette</w:t>
      </w:r>
      <w:r w:rsidR="00496637" w:rsidRPr="00CF6680">
        <w:rPr>
          <w:rFonts w:ascii="Garamond" w:hAnsi="Garamond" w:cs="Times New Roman"/>
          <w:sz w:val="28"/>
          <w:szCs w:val="28"/>
        </w:rPr>
        <w:t xml:space="preserve"> a </w:t>
      </w:r>
      <w:r w:rsidR="00496637" w:rsidRPr="00CF6680">
        <w:rPr>
          <w:rFonts w:ascii="Garamond" w:hAnsi="Garamond" w:cs="Times New Roman"/>
          <w:i/>
          <w:sz w:val="28"/>
          <w:szCs w:val="28"/>
        </w:rPr>
        <w:t>compensarlo parzialmente di una perdita subita, sussistendo per entrambe il pericolo che l’esborso giovi ad un’impresa soggetta ad infiltrazioni criminali</w:t>
      </w:r>
      <w:r w:rsidR="00F903BC">
        <w:rPr>
          <w:rFonts w:ascii="Garamond" w:hAnsi="Garamond" w:cs="Times New Roman"/>
          <w:i/>
          <w:sz w:val="28"/>
          <w:szCs w:val="28"/>
        </w:rPr>
        <w:t>»</w:t>
      </w:r>
      <w:r w:rsidR="00496637" w:rsidRPr="00CF6680">
        <w:rPr>
          <w:rFonts w:ascii="Garamond" w:hAnsi="Garamond" w:cs="Times New Roman"/>
          <w:i/>
          <w:sz w:val="28"/>
          <w:szCs w:val="28"/>
        </w:rPr>
        <w:t>.</w:t>
      </w:r>
      <w:r w:rsidR="00496637" w:rsidRPr="00CF6680">
        <w:rPr>
          <w:rFonts w:ascii="Garamond" w:hAnsi="Garamond" w:cs="Times New Roman"/>
          <w:sz w:val="28"/>
          <w:szCs w:val="28"/>
        </w:rPr>
        <w:t xml:space="preserve"> </w:t>
      </w:r>
    </w:p>
    <w:p w:rsidR="00974AD3" w:rsidRPr="00CF6680" w:rsidRDefault="00974AD3"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Il problema dell’intangibilità del giudicato è stato risolto dal </w:t>
      </w:r>
      <w:r w:rsidR="00CA7BED" w:rsidRPr="00CF6680">
        <w:rPr>
          <w:rFonts w:ascii="Garamond" w:hAnsi="Garamond" w:cs="Times New Roman"/>
          <w:sz w:val="28"/>
          <w:szCs w:val="28"/>
        </w:rPr>
        <w:t>S</w:t>
      </w:r>
      <w:r w:rsidRPr="00CF6680">
        <w:rPr>
          <w:rFonts w:ascii="Garamond" w:hAnsi="Garamond" w:cs="Times New Roman"/>
          <w:sz w:val="28"/>
          <w:szCs w:val="28"/>
        </w:rPr>
        <w:t xml:space="preserve">upremo </w:t>
      </w:r>
      <w:r w:rsidR="00CA7BED" w:rsidRPr="00CF6680">
        <w:rPr>
          <w:rFonts w:ascii="Garamond" w:hAnsi="Garamond" w:cs="Times New Roman"/>
          <w:sz w:val="28"/>
          <w:szCs w:val="28"/>
        </w:rPr>
        <w:t>G</w:t>
      </w:r>
      <w:r w:rsidRPr="00CF6680">
        <w:rPr>
          <w:rFonts w:ascii="Garamond" w:hAnsi="Garamond" w:cs="Times New Roman"/>
          <w:sz w:val="28"/>
          <w:szCs w:val="28"/>
        </w:rPr>
        <w:t>iudice amministrativo richiamando l’effetto prodotto dall’</w:t>
      </w:r>
      <w:proofErr w:type="spellStart"/>
      <w:r w:rsidRPr="00CF6680">
        <w:rPr>
          <w:rFonts w:ascii="Garamond" w:hAnsi="Garamond" w:cs="Times New Roman"/>
          <w:sz w:val="28"/>
          <w:szCs w:val="28"/>
        </w:rPr>
        <w:t>interdittiva</w:t>
      </w:r>
      <w:proofErr w:type="spellEnd"/>
      <w:r w:rsidRPr="00CF6680">
        <w:rPr>
          <w:rFonts w:ascii="Garamond" w:hAnsi="Garamond" w:cs="Times New Roman"/>
          <w:sz w:val="28"/>
          <w:szCs w:val="28"/>
        </w:rPr>
        <w:t xml:space="preserve"> in termini di incapacità. E infatti, se il destinatario dell’</w:t>
      </w:r>
      <w:proofErr w:type="spellStart"/>
      <w:r w:rsidRPr="00CF6680">
        <w:rPr>
          <w:rFonts w:ascii="Garamond" w:hAnsi="Garamond" w:cs="Times New Roman"/>
          <w:sz w:val="28"/>
          <w:szCs w:val="28"/>
        </w:rPr>
        <w:t>interdittiva</w:t>
      </w:r>
      <w:proofErr w:type="spellEnd"/>
      <w:r w:rsidRPr="00CF6680">
        <w:rPr>
          <w:rFonts w:ascii="Garamond" w:hAnsi="Garamond" w:cs="Times New Roman"/>
          <w:sz w:val="28"/>
          <w:szCs w:val="28"/>
        </w:rPr>
        <w:t xml:space="preserve"> ha una particolare forma di incapacità </w:t>
      </w:r>
      <w:r w:rsidRPr="00CF6680">
        <w:rPr>
          <w:rFonts w:ascii="Garamond" w:hAnsi="Garamond" w:cs="Times New Roman"/>
          <w:i/>
          <w:sz w:val="28"/>
          <w:szCs w:val="28"/>
        </w:rPr>
        <w:t xml:space="preserve">ex </w:t>
      </w:r>
      <w:proofErr w:type="spellStart"/>
      <w:r w:rsidRPr="00CF6680">
        <w:rPr>
          <w:rFonts w:ascii="Garamond" w:hAnsi="Garamond" w:cs="Times New Roman"/>
          <w:i/>
          <w:sz w:val="28"/>
          <w:szCs w:val="28"/>
        </w:rPr>
        <w:t>lege</w:t>
      </w:r>
      <w:proofErr w:type="spellEnd"/>
      <w:r w:rsidRPr="00CF6680">
        <w:rPr>
          <w:rFonts w:ascii="Garamond" w:hAnsi="Garamond" w:cs="Times New Roman"/>
          <w:sz w:val="28"/>
          <w:szCs w:val="28"/>
        </w:rPr>
        <w:t xml:space="preserve"> il problema non è più rappresentato dall’intangibilità del giudicato in quanto l’Amministrazione non viene definitivamente liberata dall’obbligazione </w:t>
      </w:r>
      <w:r w:rsidR="00CA7BED" w:rsidRPr="00CF6680">
        <w:rPr>
          <w:rFonts w:ascii="Garamond" w:hAnsi="Garamond" w:cs="Times New Roman"/>
          <w:sz w:val="28"/>
          <w:szCs w:val="28"/>
        </w:rPr>
        <w:t xml:space="preserve">poiché il </w:t>
      </w:r>
      <w:r w:rsidRPr="00CF6680">
        <w:rPr>
          <w:rFonts w:ascii="Garamond" w:hAnsi="Garamond" w:cs="Times New Roman"/>
          <w:sz w:val="28"/>
          <w:szCs w:val="28"/>
        </w:rPr>
        <w:t>privato interdetto non ha la capacità di percepire le somme dovute a titolo risarcitorio.</w:t>
      </w:r>
    </w:p>
    <w:p w:rsidR="006F6299" w:rsidRPr="00CF6680" w:rsidRDefault="00974AD3"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Riconducendo anche le somme percepite a titolo di risarcimento del danno nell’alveo dell’articolo 67,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w:t>
      </w:r>
      <w:r w:rsidR="00C010D5">
        <w:rPr>
          <w:rFonts w:ascii="Garamond" w:hAnsi="Garamond" w:cs="Times New Roman"/>
          <w:sz w:val="28"/>
          <w:szCs w:val="28"/>
        </w:rPr>
        <w:t>n. 159 del 2011</w:t>
      </w:r>
      <w:r w:rsidRPr="00CF6680">
        <w:rPr>
          <w:rFonts w:ascii="Garamond" w:hAnsi="Garamond" w:cs="Times New Roman"/>
          <w:sz w:val="28"/>
          <w:szCs w:val="28"/>
        </w:rPr>
        <w:t xml:space="preserve">, </w:t>
      </w:r>
      <w:r w:rsidR="00496637" w:rsidRPr="00CF6680">
        <w:rPr>
          <w:rFonts w:ascii="Garamond" w:hAnsi="Garamond" w:cs="Times New Roman"/>
          <w:sz w:val="28"/>
          <w:szCs w:val="28"/>
        </w:rPr>
        <w:t>l’Adunanza ha ritenuto di poter riportare in un’unica categoria tutte le obbligazioni pubbliche</w:t>
      </w:r>
      <w:r w:rsidR="0077767C" w:rsidRPr="00CF6680">
        <w:rPr>
          <w:rStyle w:val="Rimandonotaapidipagina"/>
          <w:rFonts w:ascii="Garamond" w:hAnsi="Garamond" w:cs="Times New Roman"/>
          <w:sz w:val="28"/>
          <w:szCs w:val="28"/>
        </w:rPr>
        <w:footnoteReference w:id="36"/>
      </w:r>
      <w:r w:rsidR="00496637" w:rsidRPr="00CF6680">
        <w:rPr>
          <w:rFonts w:ascii="Garamond" w:hAnsi="Garamond" w:cs="Times New Roman"/>
          <w:sz w:val="28"/>
          <w:szCs w:val="28"/>
        </w:rPr>
        <w:t xml:space="preserve"> caratterizzate dalla presenza di una parte pubblica nel rapporto obbligatorio, a prescindere dalla loro natura</w:t>
      </w:r>
      <w:r w:rsidR="00DC0D02" w:rsidRPr="00CF6680">
        <w:rPr>
          <w:rFonts w:ascii="Garamond" w:hAnsi="Garamond" w:cs="Times New Roman"/>
          <w:sz w:val="28"/>
          <w:szCs w:val="28"/>
        </w:rPr>
        <w:t xml:space="preserve"> </w:t>
      </w:r>
      <w:r w:rsidR="00496637" w:rsidRPr="00CF6680">
        <w:rPr>
          <w:rFonts w:ascii="Garamond" w:hAnsi="Garamond" w:cs="Times New Roman"/>
          <w:sz w:val="28"/>
          <w:szCs w:val="28"/>
        </w:rPr>
        <w:t>e dalla loro causa</w:t>
      </w:r>
      <w:r w:rsidR="007B0653" w:rsidRPr="00CF6680">
        <w:rPr>
          <w:rFonts w:ascii="Garamond" w:hAnsi="Garamond" w:cs="Times New Roman"/>
          <w:sz w:val="28"/>
          <w:szCs w:val="28"/>
        </w:rPr>
        <w:t xml:space="preserve">, senza tenere conto del fatto che </w:t>
      </w:r>
      <w:r w:rsidR="00496637" w:rsidRPr="00CF6680">
        <w:rPr>
          <w:rFonts w:ascii="Garamond" w:hAnsi="Garamond" w:cs="Times New Roman"/>
          <w:sz w:val="28"/>
          <w:szCs w:val="28"/>
        </w:rPr>
        <w:t xml:space="preserve"> </w:t>
      </w:r>
      <w:r w:rsidR="007B0653" w:rsidRPr="00CF6680">
        <w:rPr>
          <w:rFonts w:ascii="Garamond" w:hAnsi="Garamond" w:cs="Times New Roman"/>
          <w:sz w:val="28"/>
          <w:szCs w:val="28"/>
        </w:rPr>
        <w:t xml:space="preserve">i contributi, i finanziamenti, i mutui e le altre forme agevolative sono categoria distinta rispetto al corrispettivo di un contratto o a quello dovuto per un danno contrattuale o extracontrattuale </w:t>
      </w:r>
      <w:r w:rsidR="0087193E" w:rsidRPr="00CF6680">
        <w:rPr>
          <w:rFonts w:ascii="Garamond" w:hAnsi="Garamond" w:cs="Times New Roman"/>
          <w:sz w:val="28"/>
          <w:szCs w:val="28"/>
        </w:rPr>
        <w:t xml:space="preserve">i quali </w:t>
      </w:r>
      <w:r w:rsidR="007B0653" w:rsidRPr="00CF6680">
        <w:rPr>
          <w:rFonts w:ascii="Garamond" w:hAnsi="Garamond" w:cs="Times New Roman"/>
          <w:sz w:val="28"/>
          <w:szCs w:val="28"/>
        </w:rPr>
        <w:t>trovano la loro fonte nel codice civile</w:t>
      </w:r>
      <w:r w:rsidR="00290ACA" w:rsidRPr="00CF6680">
        <w:rPr>
          <w:rFonts w:ascii="Garamond" w:hAnsi="Garamond" w:cs="Times New Roman"/>
          <w:sz w:val="28"/>
          <w:szCs w:val="28"/>
        </w:rPr>
        <w:t>.</w:t>
      </w:r>
    </w:p>
    <w:p w:rsidR="0077767C" w:rsidRPr="00CF6680" w:rsidRDefault="00290ACA"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Una parte</w:t>
      </w:r>
      <w:r w:rsidR="005C0195">
        <w:rPr>
          <w:rFonts w:ascii="Garamond" w:hAnsi="Garamond" w:cs="Times New Roman"/>
          <w:sz w:val="28"/>
          <w:szCs w:val="28"/>
        </w:rPr>
        <w:t xml:space="preserve"> della dottrina, richiamando la</w:t>
      </w:r>
      <w:r w:rsidR="00190B22" w:rsidRPr="00CF6680">
        <w:rPr>
          <w:rFonts w:ascii="Garamond" w:hAnsi="Garamond" w:cs="Times New Roman"/>
          <w:sz w:val="28"/>
          <w:szCs w:val="28"/>
        </w:rPr>
        <w:t xml:space="preserve"> giurisprudenza di legittimità</w:t>
      </w:r>
      <w:r w:rsidR="00190B22" w:rsidRPr="00CF6680">
        <w:rPr>
          <w:rStyle w:val="Rimandonotaapidipagina"/>
          <w:rFonts w:ascii="Garamond" w:hAnsi="Garamond" w:cs="Times New Roman"/>
          <w:sz w:val="28"/>
          <w:szCs w:val="28"/>
        </w:rPr>
        <w:footnoteReference w:id="37"/>
      </w:r>
      <w:r w:rsidR="00190B22" w:rsidRPr="00CF6680">
        <w:rPr>
          <w:rFonts w:ascii="Garamond" w:hAnsi="Garamond" w:cs="Times New Roman"/>
          <w:sz w:val="28"/>
          <w:szCs w:val="28"/>
        </w:rPr>
        <w:t xml:space="preserve"> </w:t>
      </w:r>
      <w:r w:rsidRPr="00CF6680">
        <w:rPr>
          <w:rFonts w:ascii="Garamond" w:hAnsi="Garamond" w:cs="Times New Roman"/>
          <w:sz w:val="28"/>
          <w:szCs w:val="28"/>
        </w:rPr>
        <w:t xml:space="preserve">, </w:t>
      </w:r>
      <w:r w:rsidR="0087193E" w:rsidRPr="00CF6680">
        <w:rPr>
          <w:rFonts w:ascii="Garamond" w:hAnsi="Garamond" w:cs="Times New Roman"/>
          <w:sz w:val="28"/>
          <w:szCs w:val="28"/>
        </w:rPr>
        <w:t xml:space="preserve">ha preso le distanza </w:t>
      </w:r>
      <w:r w:rsidRPr="00CF6680">
        <w:rPr>
          <w:rFonts w:ascii="Garamond" w:hAnsi="Garamond" w:cs="Times New Roman"/>
          <w:sz w:val="28"/>
          <w:szCs w:val="28"/>
        </w:rPr>
        <w:t>dalle conclusioni dell</w:t>
      </w:r>
      <w:r w:rsidR="0087193E" w:rsidRPr="00CF6680">
        <w:rPr>
          <w:rFonts w:ascii="Garamond" w:hAnsi="Garamond" w:cs="Times New Roman"/>
          <w:sz w:val="28"/>
          <w:szCs w:val="28"/>
        </w:rPr>
        <w:t xml:space="preserve">’Adunanza </w:t>
      </w:r>
      <w:r w:rsidRPr="00CF6680">
        <w:rPr>
          <w:rFonts w:ascii="Garamond" w:hAnsi="Garamond" w:cs="Times New Roman"/>
          <w:sz w:val="28"/>
          <w:szCs w:val="28"/>
        </w:rPr>
        <w:t xml:space="preserve">Plenaria, rilevando come </w:t>
      </w:r>
      <w:r w:rsidR="00F903BC">
        <w:rPr>
          <w:rFonts w:ascii="Garamond" w:hAnsi="Garamond" w:cs="Times New Roman"/>
          <w:i/>
          <w:sz w:val="28"/>
          <w:szCs w:val="28"/>
        </w:rPr>
        <w:t>«</w:t>
      </w:r>
      <w:r w:rsidR="00190B22" w:rsidRPr="00CF6680">
        <w:rPr>
          <w:rFonts w:ascii="Garamond" w:hAnsi="Garamond" w:cs="Times New Roman"/>
          <w:i/>
          <w:sz w:val="28"/>
          <w:szCs w:val="28"/>
        </w:rPr>
        <w:t xml:space="preserve"> il risarc</w:t>
      </w:r>
      <w:r w:rsidR="00D345F4" w:rsidRPr="00CF6680">
        <w:rPr>
          <w:rFonts w:ascii="Garamond" w:hAnsi="Garamond" w:cs="Times New Roman"/>
          <w:i/>
          <w:sz w:val="28"/>
          <w:szCs w:val="28"/>
        </w:rPr>
        <w:t>i</w:t>
      </w:r>
      <w:r w:rsidR="00190B22" w:rsidRPr="00CF6680">
        <w:rPr>
          <w:rFonts w:ascii="Garamond" w:hAnsi="Garamond" w:cs="Times New Roman"/>
          <w:i/>
          <w:sz w:val="28"/>
          <w:szCs w:val="28"/>
        </w:rPr>
        <w:t>mento del danno non ubbidisce alle logiche</w:t>
      </w:r>
      <w:r w:rsidR="00190B22" w:rsidRPr="00CF6680">
        <w:rPr>
          <w:rFonts w:ascii="Garamond" w:hAnsi="Garamond" w:cs="Times New Roman"/>
          <w:sz w:val="28"/>
          <w:szCs w:val="28"/>
        </w:rPr>
        <w:t xml:space="preserve"> </w:t>
      </w:r>
      <w:r w:rsidR="00190B22" w:rsidRPr="00CF6680">
        <w:rPr>
          <w:rFonts w:ascii="Garamond" w:hAnsi="Garamond" w:cs="Times New Roman"/>
          <w:i/>
          <w:sz w:val="28"/>
          <w:szCs w:val="28"/>
        </w:rPr>
        <w:t>dello Stato finanziatore (..) ma svolge una funzione poliedrica: reintegrativa e general-</w:t>
      </w:r>
      <w:r w:rsidR="00D345F4" w:rsidRPr="00CF6680">
        <w:rPr>
          <w:rFonts w:ascii="Garamond" w:hAnsi="Garamond" w:cs="Times New Roman"/>
          <w:i/>
          <w:sz w:val="28"/>
          <w:szCs w:val="28"/>
        </w:rPr>
        <w:t>p</w:t>
      </w:r>
      <w:r w:rsidR="00190B22" w:rsidRPr="00CF6680">
        <w:rPr>
          <w:rFonts w:ascii="Garamond" w:hAnsi="Garamond" w:cs="Times New Roman"/>
          <w:i/>
          <w:sz w:val="28"/>
          <w:szCs w:val="28"/>
        </w:rPr>
        <w:t>reventiva</w:t>
      </w:r>
      <w:r w:rsidR="00F903BC">
        <w:rPr>
          <w:rFonts w:ascii="Garamond" w:hAnsi="Garamond" w:cs="Times New Roman"/>
          <w:i/>
          <w:sz w:val="28"/>
          <w:szCs w:val="28"/>
        </w:rPr>
        <w:t>»</w:t>
      </w:r>
      <w:r w:rsidR="00190B22" w:rsidRPr="00CF6680">
        <w:rPr>
          <w:rStyle w:val="Rimandonotaapidipagina"/>
          <w:rFonts w:ascii="Garamond" w:hAnsi="Garamond" w:cs="Times New Roman"/>
          <w:i/>
          <w:sz w:val="28"/>
          <w:szCs w:val="28"/>
        </w:rPr>
        <w:footnoteReference w:id="38"/>
      </w:r>
      <w:r w:rsidR="00190B22" w:rsidRPr="00CF6680">
        <w:rPr>
          <w:rFonts w:ascii="Garamond" w:hAnsi="Garamond" w:cs="Times New Roman"/>
          <w:i/>
          <w:sz w:val="28"/>
          <w:szCs w:val="28"/>
        </w:rPr>
        <w:t>.</w:t>
      </w:r>
      <w:r w:rsidR="00190B22" w:rsidRPr="00CF6680">
        <w:rPr>
          <w:rFonts w:ascii="Garamond" w:hAnsi="Garamond" w:cs="Times New Roman"/>
          <w:i/>
          <w:sz w:val="28"/>
          <w:szCs w:val="28"/>
          <w:u w:val="single"/>
        </w:rPr>
        <w:t xml:space="preserve"> </w:t>
      </w:r>
    </w:p>
    <w:p w:rsidR="005D2194" w:rsidRPr="00CF6680" w:rsidRDefault="00C37C18" w:rsidP="00CF6680">
      <w:pPr>
        <w:spacing w:line="276" w:lineRule="auto"/>
        <w:ind w:firstLine="709"/>
        <w:jc w:val="both"/>
        <w:rPr>
          <w:rFonts w:ascii="Garamond" w:hAnsi="Garamond" w:cs="Times New Roman"/>
          <w:i/>
          <w:sz w:val="28"/>
          <w:szCs w:val="28"/>
        </w:rPr>
      </w:pPr>
      <w:r w:rsidRPr="00CF6680">
        <w:rPr>
          <w:rFonts w:ascii="Garamond" w:hAnsi="Garamond" w:cs="Times New Roman"/>
          <w:sz w:val="28"/>
          <w:szCs w:val="28"/>
        </w:rPr>
        <w:t>Altri autori</w:t>
      </w:r>
      <w:r w:rsidR="0087193E" w:rsidRPr="00CF6680">
        <w:rPr>
          <w:rStyle w:val="Rimandonotaapidipagina"/>
          <w:rFonts w:ascii="Garamond" w:hAnsi="Garamond" w:cs="Times New Roman"/>
          <w:sz w:val="28"/>
          <w:szCs w:val="28"/>
        </w:rPr>
        <w:footnoteReference w:id="39"/>
      </w:r>
      <w:r w:rsidRPr="00CF6680">
        <w:rPr>
          <w:rFonts w:ascii="Garamond" w:hAnsi="Garamond" w:cs="Times New Roman"/>
          <w:sz w:val="28"/>
          <w:szCs w:val="28"/>
        </w:rPr>
        <w:t xml:space="preserve"> hanno poi </w:t>
      </w:r>
      <w:r w:rsidR="0087193E" w:rsidRPr="00CF6680">
        <w:rPr>
          <w:rFonts w:ascii="Garamond" w:hAnsi="Garamond" w:cs="Times New Roman"/>
          <w:sz w:val="28"/>
          <w:szCs w:val="28"/>
        </w:rPr>
        <w:t xml:space="preserve">evidenziato </w:t>
      </w:r>
      <w:r w:rsidRPr="00CF6680">
        <w:rPr>
          <w:rFonts w:ascii="Garamond" w:hAnsi="Garamond" w:cs="Times New Roman"/>
          <w:sz w:val="28"/>
          <w:szCs w:val="28"/>
        </w:rPr>
        <w:t xml:space="preserve">come la soluzione offerta dalla Plenaria si ponga in contrasto con l’articolo 92,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w:t>
      </w:r>
      <w:r w:rsidR="00C010D5">
        <w:rPr>
          <w:rFonts w:ascii="Garamond" w:hAnsi="Garamond" w:cs="Times New Roman"/>
          <w:sz w:val="28"/>
          <w:szCs w:val="28"/>
        </w:rPr>
        <w:t>n. 159 del 2011</w:t>
      </w:r>
      <w:r w:rsidRPr="00CF6680">
        <w:rPr>
          <w:rFonts w:ascii="Garamond" w:hAnsi="Garamond" w:cs="Times New Roman"/>
          <w:sz w:val="28"/>
          <w:szCs w:val="28"/>
        </w:rPr>
        <w:t xml:space="preserve"> nella parte in cui afferma che i soggetti di cui</w:t>
      </w:r>
      <w:r w:rsidR="003463AC" w:rsidRPr="00CF6680">
        <w:rPr>
          <w:rFonts w:ascii="Garamond" w:hAnsi="Garamond" w:cs="Times New Roman"/>
          <w:sz w:val="28"/>
          <w:szCs w:val="28"/>
        </w:rPr>
        <w:t xml:space="preserve"> </w:t>
      </w:r>
      <w:r w:rsidRPr="00CF6680">
        <w:rPr>
          <w:rFonts w:ascii="Garamond" w:hAnsi="Garamond" w:cs="Times New Roman"/>
          <w:sz w:val="28"/>
          <w:szCs w:val="28"/>
        </w:rPr>
        <w:t xml:space="preserve">all’articolo 83, commi 1 e 2 </w:t>
      </w:r>
      <w:r w:rsidR="00F903BC">
        <w:rPr>
          <w:rFonts w:ascii="Garamond" w:hAnsi="Garamond" w:cs="Times New Roman"/>
          <w:i/>
          <w:sz w:val="28"/>
          <w:szCs w:val="28"/>
        </w:rPr>
        <w:t>«</w:t>
      </w:r>
      <w:r w:rsidRPr="00CF6680">
        <w:rPr>
          <w:rFonts w:ascii="Garamond" w:hAnsi="Garamond" w:cs="Times New Roman"/>
          <w:i/>
          <w:sz w:val="28"/>
          <w:szCs w:val="28"/>
        </w:rPr>
        <w:t>revocano le autorizzazioni e le concessioni o recedono dai contratti, fatto salvo il pagamento del valore delle opere già eseguite</w:t>
      </w:r>
      <w:r w:rsidR="008954A4" w:rsidRPr="00CF6680">
        <w:rPr>
          <w:rFonts w:ascii="Garamond" w:hAnsi="Garamond" w:cs="Times New Roman"/>
          <w:i/>
          <w:sz w:val="28"/>
          <w:szCs w:val="28"/>
        </w:rPr>
        <w:t xml:space="preserve"> e</w:t>
      </w:r>
      <w:r w:rsidRPr="00CF6680">
        <w:rPr>
          <w:rFonts w:ascii="Garamond" w:hAnsi="Garamond" w:cs="Times New Roman"/>
          <w:i/>
          <w:sz w:val="28"/>
          <w:szCs w:val="28"/>
        </w:rPr>
        <w:t xml:space="preserve"> il rimborso delle spese sostenute per l’esecuzione del rimanente, nei limiti delle utilità conseguite”. </w:t>
      </w:r>
      <w:r w:rsidRPr="00CF6680">
        <w:rPr>
          <w:rFonts w:ascii="Garamond" w:hAnsi="Garamond" w:cs="Times New Roman"/>
          <w:sz w:val="28"/>
          <w:szCs w:val="28"/>
        </w:rPr>
        <w:t xml:space="preserve">Rilevando ulteriormente che </w:t>
      </w:r>
      <w:r w:rsidRPr="00CF6680">
        <w:rPr>
          <w:rFonts w:ascii="Garamond" w:hAnsi="Garamond" w:cs="Times New Roman"/>
          <w:i/>
          <w:sz w:val="28"/>
          <w:szCs w:val="28"/>
        </w:rPr>
        <w:t>“anche se non fosse stata introdotta tale disposizione, il pagamento dell’importo nascente dall’obbligazione o derivante dalla lesione del diritto soggettivo sembrerebbe comunque costituire atto dovuto</w:t>
      </w:r>
      <w:r w:rsidR="00F903BC">
        <w:rPr>
          <w:rFonts w:ascii="Garamond" w:hAnsi="Garamond" w:cs="Times New Roman"/>
          <w:i/>
          <w:sz w:val="28"/>
          <w:szCs w:val="28"/>
        </w:rPr>
        <w:t>»</w:t>
      </w:r>
      <w:r w:rsidRPr="00CF6680">
        <w:rPr>
          <w:rFonts w:ascii="Garamond" w:hAnsi="Garamond" w:cs="Times New Roman"/>
          <w:i/>
          <w:sz w:val="28"/>
          <w:szCs w:val="28"/>
        </w:rPr>
        <w:t>.</w:t>
      </w:r>
    </w:p>
    <w:p w:rsidR="00191036" w:rsidRPr="00CF6680" w:rsidRDefault="004C0650"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Una compiuta disamina del tema </w:t>
      </w:r>
      <w:r w:rsidR="0087193E" w:rsidRPr="00CF6680">
        <w:rPr>
          <w:rFonts w:ascii="Garamond" w:hAnsi="Garamond" w:cs="Times New Roman"/>
          <w:sz w:val="28"/>
          <w:szCs w:val="28"/>
        </w:rPr>
        <w:t>relativo agli effetti dell’informativa antimafia</w:t>
      </w:r>
      <w:r w:rsidRPr="00CF6680">
        <w:rPr>
          <w:rFonts w:ascii="Garamond" w:hAnsi="Garamond" w:cs="Times New Roman"/>
          <w:sz w:val="28"/>
          <w:szCs w:val="28"/>
        </w:rPr>
        <w:t xml:space="preserve"> non può prescindere </w:t>
      </w:r>
      <w:r w:rsidR="00174F38" w:rsidRPr="00CF6680">
        <w:rPr>
          <w:rFonts w:ascii="Garamond" w:hAnsi="Garamond" w:cs="Times New Roman"/>
          <w:sz w:val="28"/>
          <w:szCs w:val="28"/>
        </w:rPr>
        <w:t>dal</w:t>
      </w:r>
      <w:r w:rsidR="0087193E" w:rsidRPr="00CF6680">
        <w:rPr>
          <w:rFonts w:ascii="Garamond" w:hAnsi="Garamond" w:cs="Times New Roman"/>
          <w:sz w:val="28"/>
          <w:szCs w:val="28"/>
        </w:rPr>
        <w:t xml:space="preserve">l’analisi di </w:t>
      </w:r>
      <w:r w:rsidRPr="00CF6680">
        <w:rPr>
          <w:rFonts w:ascii="Garamond" w:hAnsi="Garamond" w:cs="Times New Roman"/>
          <w:sz w:val="28"/>
          <w:szCs w:val="28"/>
        </w:rPr>
        <w:t xml:space="preserve">una recente </w:t>
      </w:r>
      <w:r w:rsidR="0087193E" w:rsidRPr="00CF6680">
        <w:rPr>
          <w:rFonts w:ascii="Garamond" w:hAnsi="Garamond" w:cs="Times New Roman"/>
          <w:sz w:val="28"/>
          <w:szCs w:val="28"/>
        </w:rPr>
        <w:t>ordinanza</w:t>
      </w:r>
      <w:r w:rsidRPr="00CF6680">
        <w:rPr>
          <w:rFonts w:ascii="Garamond" w:hAnsi="Garamond" w:cs="Times New Roman"/>
          <w:sz w:val="28"/>
          <w:szCs w:val="28"/>
        </w:rPr>
        <w:t xml:space="preserve"> del Consiglio di Stato, </w:t>
      </w:r>
      <w:r w:rsidR="00C010D5">
        <w:rPr>
          <w:rFonts w:ascii="Garamond" w:hAnsi="Garamond" w:cs="Times New Roman"/>
          <w:sz w:val="28"/>
          <w:szCs w:val="28"/>
        </w:rPr>
        <w:t>Sez.</w:t>
      </w:r>
      <w:r w:rsidRPr="00CF6680">
        <w:rPr>
          <w:rFonts w:ascii="Garamond" w:hAnsi="Garamond" w:cs="Times New Roman"/>
          <w:sz w:val="28"/>
          <w:szCs w:val="28"/>
        </w:rPr>
        <w:t xml:space="preserve"> III, n. 8672</w:t>
      </w:r>
      <w:r w:rsidR="008A2DF8">
        <w:rPr>
          <w:rFonts w:ascii="Garamond" w:hAnsi="Garamond" w:cs="Times New Roman"/>
          <w:sz w:val="28"/>
          <w:szCs w:val="28"/>
        </w:rPr>
        <w:t xml:space="preserve"> del </w:t>
      </w:r>
      <w:r w:rsidRPr="00CF6680">
        <w:rPr>
          <w:rFonts w:ascii="Garamond" w:hAnsi="Garamond" w:cs="Times New Roman"/>
          <w:sz w:val="28"/>
          <w:szCs w:val="28"/>
        </w:rPr>
        <w:t>2019, di rimessione all’Adunanza Plenaria</w:t>
      </w:r>
      <w:r w:rsidR="0087193E" w:rsidRPr="00CF6680">
        <w:rPr>
          <w:rFonts w:ascii="Garamond" w:hAnsi="Garamond" w:cs="Times New Roman"/>
          <w:sz w:val="28"/>
          <w:szCs w:val="28"/>
        </w:rPr>
        <w:t xml:space="preserve">, avente ad oggetto l’art. 92,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0087193E" w:rsidRPr="00CF6680">
        <w:rPr>
          <w:rFonts w:ascii="Garamond" w:hAnsi="Garamond" w:cs="Times New Roman"/>
          <w:sz w:val="28"/>
          <w:szCs w:val="28"/>
        </w:rPr>
        <w:t xml:space="preserve"> </w:t>
      </w:r>
      <w:r w:rsidR="00C010D5">
        <w:rPr>
          <w:rFonts w:ascii="Garamond" w:hAnsi="Garamond" w:cs="Times New Roman"/>
          <w:sz w:val="28"/>
          <w:szCs w:val="28"/>
        </w:rPr>
        <w:t>n. 159 del 2011</w:t>
      </w:r>
      <w:r w:rsidR="00CE39F2" w:rsidRPr="00CF6680">
        <w:rPr>
          <w:rFonts w:ascii="Garamond" w:hAnsi="Garamond" w:cs="Times New Roman"/>
          <w:sz w:val="28"/>
          <w:szCs w:val="28"/>
        </w:rPr>
        <w:t>.</w:t>
      </w:r>
      <w:r w:rsidRPr="00CF6680">
        <w:rPr>
          <w:rFonts w:ascii="Garamond" w:hAnsi="Garamond" w:cs="Times New Roman"/>
          <w:sz w:val="28"/>
          <w:szCs w:val="28"/>
        </w:rPr>
        <w:t xml:space="preserve"> </w:t>
      </w:r>
      <w:r w:rsidR="0087193E" w:rsidRPr="00CF6680">
        <w:rPr>
          <w:rFonts w:ascii="Garamond" w:hAnsi="Garamond" w:cs="Times New Roman"/>
          <w:sz w:val="28"/>
          <w:szCs w:val="28"/>
        </w:rPr>
        <w:t xml:space="preserve"> Detta ultima disposizione</w:t>
      </w:r>
      <w:r w:rsidR="00950E9D" w:rsidRPr="00CF6680">
        <w:rPr>
          <w:rFonts w:ascii="Garamond" w:hAnsi="Garamond" w:cs="Times New Roman"/>
          <w:sz w:val="28"/>
          <w:szCs w:val="28"/>
        </w:rPr>
        <w:t xml:space="preserve"> prevede</w:t>
      </w:r>
      <w:r w:rsidR="0087193E" w:rsidRPr="00CF6680">
        <w:rPr>
          <w:rFonts w:ascii="Garamond" w:hAnsi="Garamond" w:cs="Times New Roman"/>
          <w:sz w:val="28"/>
          <w:szCs w:val="28"/>
        </w:rPr>
        <w:t xml:space="preserve"> al comma 3</w:t>
      </w:r>
      <w:r w:rsidR="00950E9D" w:rsidRPr="00CF6680">
        <w:rPr>
          <w:rFonts w:ascii="Garamond" w:hAnsi="Garamond" w:cs="Times New Roman"/>
          <w:sz w:val="28"/>
          <w:szCs w:val="28"/>
        </w:rPr>
        <w:t xml:space="preserve"> la facolt</w:t>
      </w:r>
      <w:r w:rsidR="00852EB4" w:rsidRPr="00CF6680">
        <w:rPr>
          <w:rFonts w:ascii="Garamond" w:hAnsi="Garamond" w:cs="Times New Roman"/>
          <w:sz w:val="28"/>
          <w:szCs w:val="28"/>
        </w:rPr>
        <w:t xml:space="preserve">à per i soggetti di cui all’art. 83, comma 1 e 3 di revocare le autorizzazioni e le concessioni o di recedere dai contratti </w:t>
      </w:r>
      <w:proofErr w:type="gramStart"/>
      <w:r w:rsidR="00F903BC">
        <w:rPr>
          <w:rFonts w:ascii="Garamond" w:hAnsi="Garamond" w:cs="Times New Roman"/>
          <w:i/>
          <w:sz w:val="28"/>
          <w:szCs w:val="28"/>
        </w:rPr>
        <w:t>«</w:t>
      </w:r>
      <w:r w:rsidR="00852EB4" w:rsidRPr="00CF6680">
        <w:rPr>
          <w:rFonts w:ascii="Garamond" w:hAnsi="Garamond" w:cs="Times New Roman"/>
          <w:i/>
          <w:sz w:val="28"/>
          <w:szCs w:val="28"/>
        </w:rPr>
        <w:t xml:space="preserve"> fatto</w:t>
      </w:r>
      <w:proofErr w:type="gramEnd"/>
      <w:r w:rsidR="00852EB4" w:rsidRPr="00CF6680">
        <w:rPr>
          <w:rFonts w:ascii="Garamond" w:hAnsi="Garamond" w:cs="Times New Roman"/>
          <w:i/>
          <w:sz w:val="28"/>
          <w:szCs w:val="28"/>
        </w:rPr>
        <w:t xml:space="preserve"> salvo il pagamento del valore delle opere già eseguite e il rimborso delle spese sostenute per l’esecuzione del rimanente, nei limiti delle utilità conseguit</w:t>
      </w:r>
      <w:r w:rsidR="00F903BC">
        <w:rPr>
          <w:rFonts w:ascii="Garamond" w:hAnsi="Garamond" w:cs="Times New Roman"/>
          <w:i/>
          <w:sz w:val="28"/>
          <w:szCs w:val="28"/>
        </w:rPr>
        <w:t>e»</w:t>
      </w:r>
      <w:r w:rsidR="00852EB4" w:rsidRPr="00CF6680">
        <w:rPr>
          <w:rFonts w:ascii="Garamond" w:hAnsi="Garamond" w:cs="Times New Roman"/>
          <w:i/>
          <w:sz w:val="28"/>
          <w:szCs w:val="28"/>
        </w:rPr>
        <w:t>.</w:t>
      </w:r>
    </w:p>
    <w:p w:rsidR="00191036" w:rsidRPr="00CF6680" w:rsidRDefault="00852EB4" w:rsidP="00CF6680">
      <w:pPr>
        <w:spacing w:line="276" w:lineRule="auto"/>
        <w:ind w:firstLine="709"/>
        <w:jc w:val="both"/>
        <w:rPr>
          <w:rFonts w:ascii="Garamond" w:hAnsi="Garamond" w:cs="Times New Roman"/>
          <w:sz w:val="28"/>
          <w:szCs w:val="28"/>
        </w:rPr>
      </w:pPr>
      <w:r w:rsidRPr="00CF6680">
        <w:rPr>
          <w:rFonts w:ascii="Garamond" w:hAnsi="Garamond" w:cs="Times New Roman"/>
          <w:i/>
          <w:sz w:val="28"/>
          <w:szCs w:val="28"/>
        </w:rPr>
        <w:t xml:space="preserve"> </w:t>
      </w:r>
      <w:r w:rsidRPr="00CF6680">
        <w:rPr>
          <w:rFonts w:ascii="Garamond" w:hAnsi="Garamond" w:cs="Times New Roman"/>
          <w:sz w:val="28"/>
          <w:szCs w:val="28"/>
        </w:rPr>
        <w:t>Con l’ordinanza in esame, il Consiglio di Stato</w:t>
      </w:r>
      <w:r w:rsidR="00CE39F2" w:rsidRPr="00CF6680">
        <w:rPr>
          <w:rFonts w:ascii="Garamond" w:hAnsi="Garamond" w:cs="Times New Roman"/>
          <w:sz w:val="28"/>
          <w:szCs w:val="28"/>
        </w:rPr>
        <w:t xml:space="preserve"> mette in luce</w:t>
      </w:r>
      <w:r w:rsidRPr="00CF6680">
        <w:rPr>
          <w:rFonts w:ascii="Garamond" w:hAnsi="Garamond" w:cs="Times New Roman"/>
          <w:sz w:val="28"/>
          <w:szCs w:val="28"/>
        </w:rPr>
        <w:t xml:space="preserve"> la sussistenza di un contrasto interpretativo in ordine alla locuzione </w:t>
      </w:r>
      <w:r w:rsidRPr="00CF6680">
        <w:rPr>
          <w:rFonts w:ascii="Garamond" w:hAnsi="Garamond" w:cs="Times New Roman"/>
          <w:i/>
          <w:sz w:val="28"/>
          <w:szCs w:val="28"/>
        </w:rPr>
        <w:t>utilità conseguite</w:t>
      </w:r>
      <w:r w:rsidR="00CE39F2" w:rsidRPr="00CF6680">
        <w:rPr>
          <w:rFonts w:ascii="Garamond" w:hAnsi="Garamond" w:cs="Times New Roman"/>
          <w:i/>
          <w:sz w:val="28"/>
          <w:szCs w:val="28"/>
        </w:rPr>
        <w:t xml:space="preserve"> </w:t>
      </w:r>
      <w:r w:rsidR="00CE39F2" w:rsidRPr="00CF6680">
        <w:rPr>
          <w:rFonts w:ascii="Garamond" w:hAnsi="Garamond" w:cs="Times New Roman"/>
          <w:sz w:val="28"/>
          <w:szCs w:val="28"/>
        </w:rPr>
        <w:t>e rimette all’</w:t>
      </w:r>
      <w:r w:rsidR="00CF6680">
        <w:rPr>
          <w:rFonts w:ascii="Garamond" w:hAnsi="Garamond" w:cs="Times New Roman"/>
          <w:sz w:val="28"/>
          <w:szCs w:val="28"/>
        </w:rPr>
        <w:t>A</w:t>
      </w:r>
      <w:r w:rsidR="00CE39F2" w:rsidRPr="00CF6680">
        <w:rPr>
          <w:rFonts w:ascii="Garamond" w:hAnsi="Garamond" w:cs="Times New Roman"/>
          <w:sz w:val="28"/>
          <w:szCs w:val="28"/>
        </w:rPr>
        <w:t xml:space="preserve">dunanza plenaria la questione se detto inciso debba ritenersi applicabile ai soli contratti di appalto pubblico, ovvero anche ai finanziamenti e ai contributi pubblici erogati per finalità di interesse collettivo. </w:t>
      </w:r>
    </w:p>
    <w:p w:rsidR="00870847" w:rsidRDefault="00852EB4"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Un primo orientamento, sostenuto dal Consiglio di Giustizia Amministrativa per la Regione </w:t>
      </w:r>
      <w:proofErr w:type="gramStart"/>
      <w:r w:rsidR="00870847">
        <w:rPr>
          <w:rFonts w:ascii="Garamond" w:hAnsi="Garamond" w:cs="Times New Roman"/>
          <w:sz w:val="28"/>
          <w:szCs w:val="28"/>
        </w:rPr>
        <w:t xml:space="preserve">Sicilia, </w:t>
      </w:r>
      <w:r w:rsidRPr="00CF6680">
        <w:rPr>
          <w:rFonts w:ascii="Garamond" w:hAnsi="Garamond" w:cs="Times New Roman"/>
          <w:sz w:val="28"/>
          <w:szCs w:val="28"/>
        </w:rPr>
        <w:t xml:space="preserve"> ritiene</w:t>
      </w:r>
      <w:proofErr w:type="gramEnd"/>
      <w:r w:rsidRPr="00CF6680">
        <w:rPr>
          <w:rFonts w:ascii="Garamond" w:hAnsi="Garamond" w:cs="Times New Roman"/>
          <w:sz w:val="28"/>
          <w:szCs w:val="28"/>
        </w:rPr>
        <w:t xml:space="preserve"> che  il diritto de</w:t>
      </w:r>
      <w:r w:rsidR="008B0C1C" w:rsidRPr="00CF6680">
        <w:rPr>
          <w:rFonts w:ascii="Garamond" w:hAnsi="Garamond" w:cs="Times New Roman"/>
          <w:sz w:val="28"/>
          <w:szCs w:val="28"/>
        </w:rPr>
        <w:t xml:space="preserve">l soggetto attinto da informativa </w:t>
      </w:r>
      <w:r w:rsidRPr="00CF6680">
        <w:rPr>
          <w:rFonts w:ascii="Garamond" w:hAnsi="Garamond" w:cs="Times New Roman"/>
          <w:sz w:val="28"/>
          <w:szCs w:val="28"/>
        </w:rPr>
        <w:t xml:space="preserve">di conservare il pagamento delle opere già eseguite, </w:t>
      </w:r>
      <w:r w:rsidR="006E70C1" w:rsidRPr="00CF6680">
        <w:rPr>
          <w:rFonts w:ascii="Garamond" w:hAnsi="Garamond" w:cs="Times New Roman"/>
          <w:sz w:val="28"/>
          <w:szCs w:val="28"/>
        </w:rPr>
        <w:t>oltreché</w:t>
      </w:r>
      <w:r w:rsidRPr="00CF6680">
        <w:rPr>
          <w:rFonts w:ascii="Garamond" w:hAnsi="Garamond" w:cs="Times New Roman"/>
          <w:sz w:val="28"/>
          <w:szCs w:val="28"/>
        </w:rPr>
        <w:t xml:space="preserve"> di ottenere il rimborso delle spese sostenute</w:t>
      </w:r>
      <w:r w:rsidR="00174F38" w:rsidRPr="00CF6680">
        <w:rPr>
          <w:rFonts w:ascii="Garamond" w:hAnsi="Garamond" w:cs="Times New Roman"/>
          <w:sz w:val="28"/>
          <w:szCs w:val="28"/>
        </w:rPr>
        <w:t>,</w:t>
      </w:r>
      <w:r w:rsidR="008B0C1C" w:rsidRPr="00CF6680">
        <w:rPr>
          <w:rFonts w:ascii="Garamond" w:hAnsi="Garamond" w:cs="Times New Roman"/>
          <w:sz w:val="28"/>
          <w:szCs w:val="28"/>
        </w:rPr>
        <w:t xml:space="preserve"> sussiste in tutti i casi in cui la realizzazione del programma beneficiato da finanziamento pubblico risult</w:t>
      </w:r>
      <w:r w:rsidR="008A2DF8">
        <w:rPr>
          <w:rFonts w:ascii="Garamond" w:hAnsi="Garamond" w:cs="Times New Roman"/>
          <w:sz w:val="28"/>
          <w:szCs w:val="28"/>
        </w:rPr>
        <w:t>i</w:t>
      </w:r>
      <w:r w:rsidR="008B0C1C" w:rsidRPr="00CF6680">
        <w:rPr>
          <w:rFonts w:ascii="Garamond" w:hAnsi="Garamond" w:cs="Times New Roman"/>
          <w:sz w:val="28"/>
          <w:szCs w:val="28"/>
        </w:rPr>
        <w:t xml:space="preserve"> satisfattivo, anche in via indiretta, dell’interesse generale sotteso all’erogazione. </w:t>
      </w:r>
    </w:p>
    <w:p w:rsidR="00587B06" w:rsidRPr="00CF6680" w:rsidRDefault="008B0C1C"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Detta interpretazione ha certamente una portata estensiva in quanto </w:t>
      </w:r>
      <w:r w:rsidR="00BD543E" w:rsidRPr="00CF6680">
        <w:rPr>
          <w:rFonts w:ascii="Garamond" w:hAnsi="Garamond" w:cs="Times New Roman"/>
          <w:sz w:val="28"/>
          <w:szCs w:val="28"/>
        </w:rPr>
        <w:t>ampia</w:t>
      </w:r>
      <w:r w:rsidRPr="00CF6680">
        <w:rPr>
          <w:rFonts w:ascii="Garamond" w:hAnsi="Garamond" w:cs="Times New Roman"/>
          <w:sz w:val="28"/>
          <w:szCs w:val="28"/>
        </w:rPr>
        <w:t xml:space="preserve"> il riferimento </w:t>
      </w:r>
      <w:r w:rsidRPr="00CF6680">
        <w:rPr>
          <w:rFonts w:ascii="Garamond" w:hAnsi="Garamond" w:cs="Times New Roman"/>
          <w:i/>
          <w:sz w:val="28"/>
          <w:szCs w:val="28"/>
        </w:rPr>
        <w:t>utilità conseguite</w:t>
      </w:r>
      <w:r w:rsidRPr="00CF6680">
        <w:rPr>
          <w:rFonts w:ascii="Garamond" w:hAnsi="Garamond" w:cs="Times New Roman"/>
          <w:sz w:val="28"/>
          <w:szCs w:val="28"/>
        </w:rPr>
        <w:t xml:space="preserve"> a tutti i vantaggi di carattere generale, propri di qualunque iniziativa privata finanziata dall’amministrazione</w:t>
      </w:r>
      <w:r w:rsidR="00191036" w:rsidRPr="00CF6680">
        <w:rPr>
          <w:rFonts w:ascii="Garamond" w:hAnsi="Garamond" w:cs="Times New Roman"/>
          <w:sz w:val="28"/>
          <w:szCs w:val="28"/>
        </w:rPr>
        <w:t>. Questo orientamento</w:t>
      </w:r>
      <w:r w:rsidRPr="00CF6680">
        <w:rPr>
          <w:rFonts w:ascii="Garamond" w:hAnsi="Garamond" w:cs="Times New Roman"/>
          <w:sz w:val="28"/>
          <w:szCs w:val="28"/>
        </w:rPr>
        <w:t xml:space="preserve"> configura l’erogazione del contributo come un </w:t>
      </w:r>
      <w:r w:rsidR="00F903BC">
        <w:rPr>
          <w:rFonts w:ascii="Garamond" w:hAnsi="Garamond" w:cs="Times New Roman"/>
          <w:i/>
          <w:sz w:val="28"/>
          <w:szCs w:val="28"/>
        </w:rPr>
        <w:t>«</w:t>
      </w:r>
      <w:r w:rsidRPr="00CF6680">
        <w:rPr>
          <w:rFonts w:ascii="Garamond" w:hAnsi="Garamond" w:cs="Times New Roman"/>
          <w:i/>
          <w:sz w:val="28"/>
          <w:szCs w:val="28"/>
        </w:rPr>
        <w:t>mutuo a comunione di scopo, in quanto destinata ad una finalità che è propria di entrambe le parti e che obbliga l’</w:t>
      </w:r>
      <w:proofErr w:type="spellStart"/>
      <w:r w:rsidRPr="00CF6680">
        <w:rPr>
          <w:rFonts w:ascii="Garamond" w:hAnsi="Garamond" w:cs="Times New Roman"/>
          <w:i/>
          <w:sz w:val="28"/>
          <w:szCs w:val="28"/>
        </w:rPr>
        <w:t>accipiens</w:t>
      </w:r>
      <w:proofErr w:type="spellEnd"/>
      <w:r w:rsidRPr="00CF6680">
        <w:rPr>
          <w:rFonts w:ascii="Garamond" w:hAnsi="Garamond" w:cs="Times New Roman"/>
          <w:i/>
          <w:sz w:val="28"/>
          <w:szCs w:val="28"/>
        </w:rPr>
        <w:t xml:space="preserve"> ad eseguire il programma concordato (..) e lo scopo può dirsi realizzato nella misura in cui si sia proceduto all’investimento e all’iniziativa economica programmata</w:t>
      </w:r>
      <w:r w:rsidR="00F903BC">
        <w:rPr>
          <w:rFonts w:ascii="Garamond" w:hAnsi="Garamond" w:cs="Times New Roman"/>
          <w:i/>
          <w:sz w:val="28"/>
          <w:szCs w:val="28"/>
        </w:rPr>
        <w:t>»</w:t>
      </w:r>
      <w:r w:rsidRPr="00CF6680">
        <w:rPr>
          <w:rFonts w:ascii="Garamond" w:hAnsi="Garamond" w:cs="Times New Roman"/>
          <w:i/>
          <w:sz w:val="28"/>
          <w:szCs w:val="28"/>
        </w:rPr>
        <w:t xml:space="preserve">. </w:t>
      </w:r>
    </w:p>
    <w:p w:rsidR="00405279" w:rsidRPr="00CF6680" w:rsidRDefault="00405279" w:rsidP="00CF6680">
      <w:pPr>
        <w:spacing w:line="276" w:lineRule="auto"/>
        <w:ind w:firstLine="709"/>
        <w:jc w:val="both"/>
        <w:rPr>
          <w:rFonts w:ascii="Garamond" w:hAnsi="Garamond" w:cs="Times New Roman"/>
          <w:sz w:val="28"/>
          <w:szCs w:val="28"/>
        </w:rPr>
      </w:pPr>
      <w:r w:rsidRPr="00CF6680">
        <w:rPr>
          <w:rFonts w:ascii="Garamond" w:hAnsi="Garamond" w:cs="Times New Roman"/>
          <w:sz w:val="28"/>
          <w:szCs w:val="28"/>
        </w:rPr>
        <w:t xml:space="preserve">Quanto detto contrasta con una differente linea di pensiero </w:t>
      </w:r>
      <w:r w:rsidR="00CE39F2" w:rsidRPr="00CF6680">
        <w:rPr>
          <w:rFonts w:ascii="Garamond" w:hAnsi="Garamond" w:cs="Times New Roman"/>
          <w:sz w:val="28"/>
          <w:szCs w:val="28"/>
        </w:rPr>
        <w:t xml:space="preserve">secondo cui </w:t>
      </w:r>
      <w:r w:rsidRPr="00CF6680">
        <w:rPr>
          <w:rFonts w:ascii="Garamond" w:hAnsi="Garamond" w:cs="Times New Roman"/>
          <w:sz w:val="28"/>
          <w:szCs w:val="28"/>
        </w:rPr>
        <w:t>la nozione di “</w:t>
      </w:r>
      <w:r w:rsidRPr="00CF6680">
        <w:rPr>
          <w:rFonts w:ascii="Garamond" w:hAnsi="Garamond" w:cs="Times New Roman"/>
          <w:i/>
          <w:sz w:val="28"/>
          <w:szCs w:val="28"/>
        </w:rPr>
        <w:t xml:space="preserve">utilità conseguite” </w:t>
      </w:r>
      <w:r w:rsidR="00CE39F2" w:rsidRPr="00CF6680">
        <w:rPr>
          <w:rFonts w:ascii="Garamond" w:hAnsi="Garamond" w:cs="Times New Roman"/>
          <w:sz w:val="28"/>
          <w:szCs w:val="28"/>
        </w:rPr>
        <w:t xml:space="preserve">non sarebbe estensibile </w:t>
      </w:r>
      <w:r w:rsidRPr="00CF6680">
        <w:rPr>
          <w:rFonts w:ascii="Garamond" w:hAnsi="Garamond" w:cs="Times New Roman"/>
          <w:sz w:val="28"/>
          <w:szCs w:val="28"/>
        </w:rPr>
        <w:t>alle ipotesi in cui l’interesse pubblico risult</w:t>
      </w:r>
      <w:r w:rsidR="00CE39F2" w:rsidRPr="00CF6680">
        <w:rPr>
          <w:rFonts w:ascii="Garamond" w:hAnsi="Garamond" w:cs="Times New Roman"/>
          <w:sz w:val="28"/>
          <w:szCs w:val="28"/>
        </w:rPr>
        <w:t>a</w:t>
      </w:r>
      <w:r w:rsidRPr="00CF6680">
        <w:rPr>
          <w:rFonts w:ascii="Garamond" w:hAnsi="Garamond" w:cs="Times New Roman"/>
          <w:sz w:val="28"/>
          <w:szCs w:val="28"/>
        </w:rPr>
        <w:t xml:space="preserve"> soddisfatto in via “indiretta”. </w:t>
      </w:r>
      <w:r w:rsidR="00191036" w:rsidRPr="00CF6680">
        <w:rPr>
          <w:rFonts w:ascii="Garamond" w:hAnsi="Garamond" w:cs="Times New Roman"/>
          <w:sz w:val="28"/>
          <w:szCs w:val="28"/>
        </w:rPr>
        <w:t xml:space="preserve">È quanto </w:t>
      </w:r>
      <w:r w:rsidR="00174F38" w:rsidRPr="00CF6680">
        <w:rPr>
          <w:rFonts w:ascii="Garamond" w:hAnsi="Garamond" w:cs="Times New Roman"/>
          <w:sz w:val="28"/>
          <w:szCs w:val="28"/>
        </w:rPr>
        <w:t>sostenuto dal Consiglio di Stato</w:t>
      </w:r>
      <w:r w:rsidR="008975A7" w:rsidRPr="00CF6680">
        <w:rPr>
          <w:rStyle w:val="Rimandonotaapidipagina"/>
          <w:rFonts w:ascii="Garamond" w:hAnsi="Garamond" w:cs="Times New Roman"/>
          <w:sz w:val="28"/>
          <w:szCs w:val="28"/>
        </w:rPr>
        <w:footnoteReference w:id="40"/>
      </w:r>
      <w:r w:rsidR="00191036" w:rsidRPr="00CF6680">
        <w:rPr>
          <w:rFonts w:ascii="Garamond" w:hAnsi="Garamond" w:cs="Times New Roman"/>
          <w:sz w:val="28"/>
          <w:szCs w:val="28"/>
        </w:rPr>
        <w:t xml:space="preserve"> </w:t>
      </w:r>
      <w:r w:rsidR="008975A7" w:rsidRPr="00CF6680">
        <w:rPr>
          <w:rFonts w:ascii="Garamond" w:hAnsi="Garamond" w:cs="Times New Roman"/>
          <w:sz w:val="28"/>
          <w:szCs w:val="28"/>
        </w:rPr>
        <w:t>il quale</w:t>
      </w:r>
      <w:r w:rsidR="00CE39F2" w:rsidRPr="00CF6680">
        <w:rPr>
          <w:rFonts w:ascii="Garamond" w:hAnsi="Garamond" w:cs="Times New Roman"/>
          <w:sz w:val="28"/>
          <w:szCs w:val="28"/>
        </w:rPr>
        <w:t xml:space="preserve"> </w:t>
      </w:r>
      <w:r w:rsidR="00191036" w:rsidRPr="00CF6680">
        <w:rPr>
          <w:rFonts w:ascii="Garamond" w:hAnsi="Garamond" w:cs="Times New Roman"/>
          <w:sz w:val="28"/>
          <w:szCs w:val="28"/>
        </w:rPr>
        <w:t xml:space="preserve">riconducendo l’espressione </w:t>
      </w:r>
      <w:r w:rsidR="00191036" w:rsidRPr="00CF6680">
        <w:rPr>
          <w:rFonts w:ascii="Garamond" w:hAnsi="Garamond" w:cs="Times New Roman"/>
          <w:i/>
          <w:sz w:val="28"/>
          <w:szCs w:val="28"/>
        </w:rPr>
        <w:t>“utilità conseguite”</w:t>
      </w:r>
      <w:r w:rsidR="00191036" w:rsidRPr="00CF6680">
        <w:rPr>
          <w:rFonts w:ascii="Garamond" w:hAnsi="Garamond" w:cs="Times New Roman"/>
          <w:sz w:val="28"/>
          <w:szCs w:val="28"/>
        </w:rPr>
        <w:t xml:space="preserve"> </w:t>
      </w:r>
      <w:r w:rsidRPr="00CF6680">
        <w:rPr>
          <w:rFonts w:ascii="Garamond" w:hAnsi="Garamond" w:cs="Times New Roman"/>
          <w:sz w:val="28"/>
          <w:szCs w:val="28"/>
        </w:rPr>
        <w:t xml:space="preserve">alle opere o ai servizi che accrescono il patrimonio della Pubblica Amministrazione, </w:t>
      </w:r>
      <w:r w:rsidR="00CE39F2" w:rsidRPr="00CF6680">
        <w:rPr>
          <w:rFonts w:ascii="Garamond" w:hAnsi="Garamond" w:cs="Times New Roman"/>
          <w:sz w:val="28"/>
          <w:szCs w:val="28"/>
        </w:rPr>
        <w:t xml:space="preserve">ritiene </w:t>
      </w:r>
      <w:r w:rsidRPr="00CF6680">
        <w:rPr>
          <w:rFonts w:ascii="Garamond" w:hAnsi="Garamond" w:cs="Times New Roman"/>
          <w:sz w:val="28"/>
          <w:szCs w:val="28"/>
        </w:rPr>
        <w:t xml:space="preserve">applicabile la clausola di cui al comma 3 dell’articolo 92, </w:t>
      </w:r>
      <w:r w:rsidR="00C010D5">
        <w:rPr>
          <w:rFonts w:ascii="Garamond" w:hAnsi="Garamond" w:cs="Times New Roman"/>
          <w:sz w:val="28"/>
          <w:szCs w:val="28"/>
        </w:rPr>
        <w:t xml:space="preserve">d. </w:t>
      </w:r>
      <w:proofErr w:type="spellStart"/>
      <w:r w:rsidR="00C010D5">
        <w:rPr>
          <w:rFonts w:ascii="Garamond" w:hAnsi="Garamond" w:cs="Times New Roman"/>
          <w:sz w:val="28"/>
          <w:szCs w:val="28"/>
        </w:rPr>
        <w:t>lgs</w:t>
      </w:r>
      <w:proofErr w:type="spellEnd"/>
      <w:r w:rsidR="00C010D5">
        <w:rPr>
          <w:rFonts w:ascii="Garamond" w:hAnsi="Garamond" w:cs="Times New Roman"/>
          <w:sz w:val="28"/>
          <w:szCs w:val="28"/>
        </w:rPr>
        <w:t>.</w:t>
      </w:r>
      <w:r w:rsidRPr="00CF6680">
        <w:rPr>
          <w:rFonts w:ascii="Garamond" w:hAnsi="Garamond" w:cs="Times New Roman"/>
          <w:sz w:val="28"/>
          <w:szCs w:val="28"/>
        </w:rPr>
        <w:t xml:space="preserve"> </w:t>
      </w:r>
      <w:r w:rsidR="00C010D5">
        <w:rPr>
          <w:rFonts w:ascii="Garamond" w:hAnsi="Garamond" w:cs="Times New Roman"/>
          <w:sz w:val="28"/>
          <w:szCs w:val="28"/>
        </w:rPr>
        <w:t>n. 159 del 2011</w:t>
      </w:r>
      <w:r w:rsidRPr="00CF6680">
        <w:rPr>
          <w:rFonts w:ascii="Garamond" w:hAnsi="Garamond" w:cs="Times New Roman"/>
          <w:sz w:val="28"/>
          <w:szCs w:val="28"/>
        </w:rPr>
        <w:t xml:space="preserve"> ai soli contratti di appalto commissionati dall’Amministrazione. </w:t>
      </w:r>
      <w:r w:rsidR="00927837" w:rsidRPr="00CF6680">
        <w:rPr>
          <w:rFonts w:ascii="Garamond" w:hAnsi="Garamond" w:cs="Times New Roman"/>
          <w:sz w:val="28"/>
          <w:szCs w:val="28"/>
        </w:rPr>
        <w:t xml:space="preserve"> </w:t>
      </w:r>
    </w:p>
    <w:p w:rsidR="00C81780" w:rsidRDefault="00CF6680" w:rsidP="00CF6680">
      <w:pPr>
        <w:spacing w:line="276" w:lineRule="auto"/>
        <w:ind w:firstLine="709"/>
        <w:jc w:val="both"/>
        <w:rPr>
          <w:rFonts w:ascii="Garamond" w:hAnsi="Garamond" w:cs="Times New Roman"/>
          <w:sz w:val="28"/>
          <w:szCs w:val="28"/>
        </w:rPr>
      </w:pPr>
      <w:r>
        <w:rPr>
          <w:rFonts w:ascii="Garamond" w:hAnsi="Garamond" w:cs="Times New Roman"/>
          <w:sz w:val="28"/>
          <w:szCs w:val="28"/>
        </w:rPr>
        <w:t xml:space="preserve">Il contrasto appena illustrato è stato risolto dall’Adunanza Plenaria del Consiglio di Stato nella recente sentenza n. 23 del 26 ottobre 2020, nella quale ha condiviso l’orientamento espresso dalla sezione rimettente e quindi ha ritenuto lo </w:t>
      </w:r>
      <w:proofErr w:type="spellStart"/>
      <w:r w:rsidRPr="00CF6680">
        <w:rPr>
          <w:rFonts w:ascii="Garamond" w:hAnsi="Garamond" w:cs="Times New Roman"/>
          <w:i/>
          <w:sz w:val="28"/>
          <w:szCs w:val="28"/>
        </w:rPr>
        <w:t>ius</w:t>
      </w:r>
      <w:proofErr w:type="spellEnd"/>
      <w:r w:rsidRPr="00CF6680">
        <w:rPr>
          <w:rFonts w:ascii="Garamond" w:hAnsi="Garamond" w:cs="Times New Roman"/>
          <w:i/>
          <w:sz w:val="28"/>
          <w:szCs w:val="28"/>
        </w:rPr>
        <w:t xml:space="preserve"> </w:t>
      </w:r>
      <w:proofErr w:type="spellStart"/>
      <w:r w:rsidRPr="00CF6680">
        <w:rPr>
          <w:rFonts w:ascii="Garamond" w:hAnsi="Garamond" w:cs="Times New Roman"/>
          <w:i/>
          <w:sz w:val="28"/>
          <w:szCs w:val="28"/>
        </w:rPr>
        <w:t>ritentionis</w:t>
      </w:r>
      <w:proofErr w:type="spellEnd"/>
      <w:r>
        <w:rPr>
          <w:rFonts w:ascii="Garamond" w:hAnsi="Garamond" w:cs="Times New Roman"/>
          <w:i/>
          <w:sz w:val="28"/>
          <w:szCs w:val="28"/>
        </w:rPr>
        <w:t xml:space="preserve"> </w:t>
      </w:r>
      <w:r>
        <w:rPr>
          <w:rFonts w:ascii="Garamond" w:hAnsi="Garamond" w:cs="Times New Roman"/>
          <w:sz w:val="28"/>
          <w:szCs w:val="28"/>
        </w:rPr>
        <w:t xml:space="preserve">applicabile solo ai contratti e non anche ai finanziamenti. </w:t>
      </w:r>
    </w:p>
    <w:p w:rsidR="00544EEA" w:rsidRDefault="00544EEA" w:rsidP="00CF6680">
      <w:pPr>
        <w:spacing w:line="276" w:lineRule="auto"/>
        <w:ind w:firstLine="709"/>
        <w:jc w:val="both"/>
        <w:rPr>
          <w:rFonts w:ascii="Garamond" w:hAnsi="Garamond" w:cs="Times New Roman"/>
          <w:sz w:val="28"/>
          <w:szCs w:val="28"/>
        </w:rPr>
      </w:pPr>
      <w:r>
        <w:rPr>
          <w:rFonts w:ascii="Garamond" w:hAnsi="Garamond" w:cs="Times New Roman"/>
          <w:sz w:val="28"/>
          <w:szCs w:val="28"/>
        </w:rPr>
        <w:t xml:space="preserve">Nell’enunciare questo principio, il Supremo Consesso ribadisce che il provvedimento di c.d. </w:t>
      </w:r>
      <w:proofErr w:type="spellStart"/>
      <w:r>
        <w:rPr>
          <w:rFonts w:ascii="Garamond" w:hAnsi="Garamond" w:cs="Times New Roman"/>
          <w:sz w:val="28"/>
          <w:szCs w:val="28"/>
        </w:rPr>
        <w:t>interdittiva</w:t>
      </w:r>
      <w:proofErr w:type="spellEnd"/>
      <w:r>
        <w:rPr>
          <w:rFonts w:ascii="Garamond" w:hAnsi="Garamond" w:cs="Times New Roman"/>
          <w:sz w:val="28"/>
          <w:szCs w:val="28"/>
        </w:rPr>
        <w:t xml:space="preserve"> antimafia determina, come già si è avuto modo di rilevare, una particolare forma di incapacità giuridica, data dall’impossibilità del destinatario dello stesso di essere titolare di situazioni giuridiche soggettive che determinino rapporti giuridici con la Pubblica Amministrazione.</w:t>
      </w:r>
    </w:p>
    <w:p w:rsidR="00544EEA" w:rsidRDefault="00544EEA" w:rsidP="00CF6680">
      <w:pPr>
        <w:spacing w:line="276" w:lineRule="auto"/>
        <w:ind w:firstLine="709"/>
        <w:jc w:val="both"/>
        <w:rPr>
          <w:rFonts w:ascii="Garamond" w:hAnsi="Garamond" w:cs="Times New Roman"/>
          <w:sz w:val="28"/>
          <w:szCs w:val="28"/>
        </w:rPr>
      </w:pPr>
      <w:r>
        <w:rPr>
          <w:rFonts w:ascii="Garamond" w:hAnsi="Garamond" w:cs="Times New Roman"/>
          <w:sz w:val="28"/>
          <w:szCs w:val="28"/>
        </w:rPr>
        <w:t xml:space="preserve">Balza subito all’occhio </w:t>
      </w:r>
      <w:r w:rsidR="006E70C1">
        <w:rPr>
          <w:rFonts w:ascii="Garamond" w:hAnsi="Garamond" w:cs="Times New Roman"/>
          <w:sz w:val="28"/>
          <w:szCs w:val="28"/>
        </w:rPr>
        <w:t>l’</w:t>
      </w:r>
      <w:r w:rsidR="006E70C1" w:rsidRPr="006E70C1">
        <w:rPr>
          <w:rFonts w:ascii="Garamond" w:hAnsi="Garamond" w:cs="Times New Roman"/>
          <w:i/>
          <w:sz w:val="28"/>
          <w:szCs w:val="28"/>
        </w:rPr>
        <w:t>estremo</w:t>
      </w:r>
      <w:r w:rsidR="00CF6680" w:rsidRPr="00CF6680">
        <w:rPr>
          <w:rFonts w:ascii="Garamond" w:hAnsi="Garamond" w:cs="Times New Roman"/>
          <w:i/>
          <w:sz w:val="28"/>
          <w:szCs w:val="28"/>
        </w:rPr>
        <w:t xml:space="preserve"> rigore</w:t>
      </w:r>
      <w:r w:rsidR="00CF6680">
        <w:rPr>
          <w:rFonts w:ascii="Garamond" w:hAnsi="Garamond" w:cs="Times New Roman"/>
          <w:sz w:val="28"/>
          <w:szCs w:val="28"/>
        </w:rPr>
        <w:t xml:space="preserve"> cui è ispirato il sistema normativo antimafia. </w:t>
      </w:r>
    </w:p>
    <w:p w:rsidR="00CF6680" w:rsidRDefault="00CF6680" w:rsidP="00544EEA">
      <w:pPr>
        <w:spacing w:line="276" w:lineRule="auto"/>
        <w:ind w:firstLine="709"/>
        <w:jc w:val="both"/>
        <w:rPr>
          <w:rFonts w:ascii="Garamond" w:hAnsi="Garamond" w:cs="Times New Roman"/>
          <w:sz w:val="28"/>
          <w:szCs w:val="28"/>
        </w:rPr>
      </w:pPr>
      <w:r>
        <w:rPr>
          <w:rFonts w:ascii="Garamond" w:hAnsi="Garamond" w:cs="Times New Roman"/>
          <w:sz w:val="28"/>
          <w:szCs w:val="28"/>
        </w:rPr>
        <w:t xml:space="preserve">La natura di questo impianto è legata all’esigenza di non pregiudicare l’interesse pubblico e </w:t>
      </w:r>
      <w:r w:rsidR="008A2DF8">
        <w:rPr>
          <w:rFonts w:ascii="Garamond" w:hAnsi="Garamond" w:cs="Times New Roman"/>
          <w:sz w:val="28"/>
          <w:szCs w:val="28"/>
        </w:rPr>
        <w:t xml:space="preserve">i </w:t>
      </w:r>
      <w:r>
        <w:rPr>
          <w:rFonts w:ascii="Garamond" w:hAnsi="Garamond" w:cs="Times New Roman"/>
          <w:sz w:val="28"/>
          <w:szCs w:val="28"/>
        </w:rPr>
        <w:t>valori costituzionalmente tutelati o riconosciuti, attribuendo benefici economici ad un soggetto che si è accertato essere suscettibile di infiltrazioni mafiose.</w:t>
      </w:r>
      <w:r w:rsidR="00544EEA">
        <w:rPr>
          <w:rFonts w:ascii="Garamond" w:hAnsi="Garamond" w:cs="Times New Roman"/>
          <w:sz w:val="28"/>
          <w:szCs w:val="28"/>
        </w:rPr>
        <w:t xml:space="preserve">  L’incapacità si cui sopra opera anche con riferimento ai rapporti intrattenuti con la pubblica amministrazione</w:t>
      </w:r>
      <w:r w:rsidR="008A2DF8">
        <w:rPr>
          <w:rFonts w:ascii="Garamond" w:hAnsi="Garamond" w:cs="Times New Roman"/>
          <w:sz w:val="28"/>
          <w:szCs w:val="28"/>
        </w:rPr>
        <w:t xml:space="preserve"> </w:t>
      </w:r>
      <w:r w:rsidR="00544EEA">
        <w:rPr>
          <w:rFonts w:ascii="Garamond" w:hAnsi="Garamond" w:cs="Times New Roman"/>
          <w:sz w:val="28"/>
          <w:szCs w:val="28"/>
        </w:rPr>
        <w:t>che avrebbero dovuto essere esauriti da tempo</w:t>
      </w:r>
      <w:r w:rsidR="008A2DF8">
        <w:rPr>
          <w:rFonts w:ascii="Garamond" w:hAnsi="Garamond" w:cs="Times New Roman"/>
          <w:sz w:val="28"/>
          <w:szCs w:val="28"/>
        </w:rPr>
        <w:t>,</w:t>
      </w:r>
      <w:r w:rsidR="00544EEA">
        <w:rPr>
          <w:rFonts w:ascii="Garamond" w:hAnsi="Garamond" w:cs="Times New Roman"/>
          <w:sz w:val="28"/>
          <w:szCs w:val="28"/>
        </w:rPr>
        <w:t xml:space="preserve"> ma che invece non lo sono stati per causa imputabile a ritardi della stessa amministrazione. Per tale ragione, </w:t>
      </w:r>
      <w:r w:rsidR="006E70C1">
        <w:rPr>
          <w:rFonts w:ascii="Garamond" w:hAnsi="Garamond" w:cs="Times New Roman"/>
          <w:sz w:val="28"/>
          <w:szCs w:val="28"/>
        </w:rPr>
        <w:t>oltreché</w:t>
      </w:r>
      <w:r w:rsidR="00544EEA">
        <w:rPr>
          <w:rFonts w:ascii="Garamond" w:hAnsi="Garamond" w:cs="Times New Roman"/>
          <w:sz w:val="28"/>
          <w:szCs w:val="28"/>
        </w:rPr>
        <w:t xml:space="preserve"> per la già richiamata</w:t>
      </w:r>
      <w:r>
        <w:rPr>
          <w:rFonts w:ascii="Garamond" w:hAnsi="Garamond" w:cs="Times New Roman"/>
          <w:sz w:val="28"/>
          <w:szCs w:val="28"/>
        </w:rPr>
        <w:t xml:space="preserve"> rigidità </w:t>
      </w:r>
      <w:r w:rsidR="00544EEA">
        <w:rPr>
          <w:rFonts w:ascii="Garamond" w:hAnsi="Garamond" w:cs="Times New Roman"/>
          <w:sz w:val="28"/>
          <w:szCs w:val="28"/>
        </w:rPr>
        <w:t xml:space="preserve">che caratterizza il sistema, si considerano norme eccezionali, e come tali di stretta interpretazione, quelle che consentono la conservazione, da parte del destinatario di informazione </w:t>
      </w:r>
      <w:proofErr w:type="spellStart"/>
      <w:r w:rsidR="00544EEA">
        <w:rPr>
          <w:rFonts w:ascii="Garamond" w:hAnsi="Garamond" w:cs="Times New Roman"/>
          <w:sz w:val="28"/>
          <w:szCs w:val="28"/>
        </w:rPr>
        <w:t>interdittiva</w:t>
      </w:r>
      <w:proofErr w:type="spellEnd"/>
      <w:r w:rsidR="00544EEA">
        <w:rPr>
          <w:rFonts w:ascii="Garamond" w:hAnsi="Garamond" w:cs="Times New Roman"/>
          <w:sz w:val="28"/>
          <w:szCs w:val="28"/>
        </w:rPr>
        <w:t>, di attribuzioni patrimoniali eventualmente acquisite medio tempore.</w:t>
      </w:r>
    </w:p>
    <w:p w:rsidR="00544EEA" w:rsidRDefault="00544EEA" w:rsidP="00544EEA">
      <w:pPr>
        <w:spacing w:line="276" w:lineRule="auto"/>
        <w:ind w:firstLine="709"/>
        <w:jc w:val="both"/>
        <w:rPr>
          <w:rFonts w:ascii="Garamond" w:hAnsi="Garamond" w:cs="Times New Roman"/>
          <w:sz w:val="28"/>
          <w:szCs w:val="28"/>
        </w:rPr>
      </w:pPr>
      <w:r>
        <w:rPr>
          <w:rFonts w:ascii="Garamond" w:hAnsi="Garamond" w:cs="Times New Roman"/>
          <w:sz w:val="28"/>
          <w:szCs w:val="28"/>
        </w:rPr>
        <w:t xml:space="preserve">Come ricorda il Giudice amministrativo, eccezioni sono state previste dalla stessa disciplina antimafia. Gli articoli 92, comma 4 e 94, comma 2, ad esempio, prevedono che i soggetti di cui all’art. 83 </w:t>
      </w:r>
      <w:r w:rsidR="00F903BC">
        <w:rPr>
          <w:rFonts w:ascii="Garamond" w:hAnsi="Garamond" w:cs="Times New Roman"/>
          <w:i/>
          <w:sz w:val="28"/>
          <w:szCs w:val="28"/>
        </w:rPr>
        <w:t>«</w:t>
      </w:r>
      <w:r w:rsidRPr="00544EEA">
        <w:rPr>
          <w:rFonts w:ascii="Garamond" w:hAnsi="Garamond" w:cs="Times New Roman"/>
          <w:i/>
          <w:sz w:val="28"/>
          <w:szCs w:val="28"/>
        </w:rPr>
        <w:t>revocano le autorizzazioni o le concessioni o recedono dai contratti fatto salvo il pagamento del valore delle opere già eseguite e il rimborso delle spese sostenute per l’esecuzione del rimanente, nei limiti delle utilità conseguite</w:t>
      </w:r>
      <w:r w:rsidR="00F903BC">
        <w:rPr>
          <w:rFonts w:ascii="Garamond" w:hAnsi="Garamond" w:cs="Times New Roman"/>
          <w:i/>
          <w:sz w:val="28"/>
          <w:szCs w:val="28"/>
        </w:rPr>
        <w:t>»</w:t>
      </w:r>
      <w:r w:rsidRPr="00544EEA">
        <w:rPr>
          <w:rFonts w:ascii="Garamond" w:hAnsi="Garamond" w:cs="Times New Roman"/>
          <w:i/>
          <w:sz w:val="28"/>
          <w:szCs w:val="28"/>
        </w:rPr>
        <w:t xml:space="preserve">. </w:t>
      </w:r>
    </w:p>
    <w:p w:rsidR="00544EEA" w:rsidRDefault="00544EEA" w:rsidP="00544EEA">
      <w:pPr>
        <w:spacing w:line="276" w:lineRule="auto"/>
        <w:ind w:firstLine="709"/>
        <w:jc w:val="both"/>
        <w:rPr>
          <w:rFonts w:ascii="Garamond" w:hAnsi="Garamond" w:cs="Times New Roman"/>
          <w:sz w:val="28"/>
          <w:szCs w:val="28"/>
        </w:rPr>
      </w:pPr>
      <w:r>
        <w:rPr>
          <w:rFonts w:ascii="Garamond" w:hAnsi="Garamond" w:cs="Times New Roman"/>
          <w:sz w:val="28"/>
          <w:szCs w:val="28"/>
        </w:rPr>
        <w:t xml:space="preserve">Ad ogni modo, secondo il Consiglio di Stato, dette disposizioni non depongono per una applicazione della deroga in esse previste anche alle pubbliche sovvenzioni. </w:t>
      </w:r>
    </w:p>
    <w:p w:rsidR="00544EEA" w:rsidRDefault="00544EEA" w:rsidP="00544EEA">
      <w:pPr>
        <w:spacing w:line="276" w:lineRule="auto"/>
        <w:ind w:firstLine="709"/>
        <w:jc w:val="both"/>
        <w:rPr>
          <w:rFonts w:ascii="Garamond" w:hAnsi="Garamond" w:cs="Times New Roman"/>
          <w:i/>
          <w:sz w:val="28"/>
          <w:szCs w:val="28"/>
        </w:rPr>
      </w:pPr>
      <w:r>
        <w:rPr>
          <w:rFonts w:ascii="Garamond" w:hAnsi="Garamond" w:cs="Times New Roman"/>
          <w:sz w:val="28"/>
          <w:szCs w:val="28"/>
        </w:rPr>
        <w:t xml:space="preserve">Ciò in ragione del dato letterale, atteso il richiamo alle </w:t>
      </w:r>
      <w:r w:rsidRPr="00544EEA">
        <w:rPr>
          <w:rFonts w:ascii="Garamond" w:hAnsi="Garamond" w:cs="Times New Roman"/>
          <w:i/>
          <w:sz w:val="28"/>
          <w:szCs w:val="28"/>
        </w:rPr>
        <w:t xml:space="preserve">opere già eseguite, </w:t>
      </w:r>
      <w:r>
        <w:rPr>
          <w:rFonts w:ascii="Garamond" w:hAnsi="Garamond" w:cs="Times New Roman"/>
          <w:sz w:val="28"/>
          <w:szCs w:val="28"/>
        </w:rPr>
        <w:t xml:space="preserve">che farebbe riferimento ai contratti di appalti di lavori, servizi e forniture. Anche la locuzione </w:t>
      </w:r>
      <w:r w:rsidRPr="00544EEA">
        <w:rPr>
          <w:rFonts w:ascii="Garamond" w:hAnsi="Garamond" w:cs="Times New Roman"/>
          <w:i/>
          <w:sz w:val="28"/>
          <w:szCs w:val="28"/>
        </w:rPr>
        <w:t xml:space="preserve">utilità conseguite </w:t>
      </w:r>
      <w:r>
        <w:rPr>
          <w:rFonts w:ascii="Garamond" w:hAnsi="Garamond" w:cs="Times New Roman"/>
          <w:sz w:val="28"/>
          <w:szCs w:val="28"/>
        </w:rPr>
        <w:t xml:space="preserve">contribuisce ad escludere che la norma relativa alla salvezza dei pagamenti possa estendersi anche ai finanziamenti e ai contributi posto che la stessa </w:t>
      </w:r>
      <w:r w:rsidR="00F903BC">
        <w:rPr>
          <w:rFonts w:ascii="Garamond" w:hAnsi="Garamond" w:cs="Times New Roman"/>
          <w:i/>
          <w:sz w:val="28"/>
          <w:szCs w:val="28"/>
        </w:rPr>
        <w:t>«</w:t>
      </w:r>
      <w:r w:rsidRPr="00544EEA">
        <w:rPr>
          <w:rFonts w:ascii="Garamond" w:hAnsi="Garamond" w:cs="Times New Roman"/>
          <w:i/>
          <w:sz w:val="28"/>
          <w:szCs w:val="28"/>
        </w:rPr>
        <w:t>deve essere intesa in un senso più limitato e strettamente patrimoniale, tale da applicarsi alle sole opere, servizi o forniture che accrescono il patrimonio dell’amministrazione e che per quest’ultima rappresentano un valore economicamente valutabile</w:t>
      </w:r>
      <w:r w:rsidR="00F903BC">
        <w:rPr>
          <w:rFonts w:ascii="Garamond" w:hAnsi="Garamond" w:cs="Times New Roman"/>
          <w:i/>
          <w:sz w:val="28"/>
          <w:szCs w:val="28"/>
        </w:rPr>
        <w:t>»</w:t>
      </w:r>
      <w:r>
        <w:rPr>
          <w:rFonts w:ascii="Garamond" w:hAnsi="Garamond" w:cs="Times New Roman"/>
          <w:i/>
          <w:sz w:val="28"/>
          <w:szCs w:val="28"/>
        </w:rPr>
        <w:t>.</w:t>
      </w:r>
    </w:p>
    <w:p w:rsidR="00544EEA" w:rsidRDefault="00544EEA" w:rsidP="00544EEA">
      <w:pPr>
        <w:spacing w:line="276" w:lineRule="auto"/>
        <w:ind w:firstLine="709"/>
        <w:jc w:val="both"/>
        <w:rPr>
          <w:rFonts w:ascii="Garamond" w:hAnsi="Garamond" w:cs="Times New Roman"/>
          <w:sz w:val="28"/>
          <w:szCs w:val="28"/>
        </w:rPr>
      </w:pPr>
      <w:r>
        <w:rPr>
          <w:rFonts w:ascii="Garamond" w:hAnsi="Garamond" w:cs="Times New Roman"/>
          <w:sz w:val="28"/>
          <w:szCs w:val="28"/>
        </w:rPr>
        <w:t xml:space="preserve">In definitiva, alla luce di queste considerazioni, l’Adunanza Plenaria ritiene che </w:t>
      </w:r>
      <w:r w:rsidR="00F903BC">
        <w:rPr>
          <w:rFonts w:ascii="Garamond" w:hAnsi="Garamond" w:cs="Times New Roman"/>
          <w:i/>
          <w:sz w:val="28"/>
          <w:szCs w:val="28"/>
        </w:rPr>
        <w:t>«</w:t>
      </w:r>
      <w:r w:rsidRPr="00544EEA">
        <w:rPr>
          <w:rFonts w:ascii="Garamond" w:hAnsi="Garamond" w:cs="Times New Roman"/>
          <w:i/>
          <w:sz w:val="28"/>
          <w:szCs w:val="28"/>
        </w:rPr>
        <w:t xml:space="preserve">la salvezza del pagamento del valore delle opere già eseguite e il rimborso delle spese sostenute per l’esecuzione del rimanente, nei limiti delle utilità conseguite, previsti dagli articolo 92, comma 3, e 94, comma 2, </w:t>
      </w:r>
      <w:r w:rsidR="00C010D5">
        <w:rPr>
          <w:rFonts w:ascii="Garamond" w:hAnsi="Garamond" w:cs="Times New Roman"/>
          <w:i/>
          <w:sz w:val="28"/>
          <w:szCs w:val="28"/>
        </w:rPr>
        <w:t xml:space="preserve">d. </w:t>
      </w:r>
      <w:proofErr w:type="spellStart"/>
      <w:r w:rsidR="00C010D5">
        <w:rPr>
          <w:rFonts w:ascii="Garamond" w:hAnsi="Garamond" w:cs="Times New Roman"/>
          <w:i/>
          <w:sz w:val="28"/>
          <w:szCs w:val="28"/>
        </w:rPr>
        <w:t>lgs</w:t>
      </w:r>
      <w:proofErr w:type="spellEnd"/>
      <w:r w:rsidR="00C010D5">
        <w:rPr>
          <w:rFonts w:ascii="Garamond" w:hAnsi="Garamond" w:cs="Times New Roman"/>
          <w:i/>
          <w:sz w:val="28"/>
          <w:szCs w:val="28"/>
        </w:rPr>
        <w:t>.</w:t>
      </w:r>
      <w:r w:rsidRPr="00544EEA">
        <w:rPr>
          <w:rFonts w:ascii="Garamond" w:hAnsi="Garamond" w:cs="Times New Roman"/>
          <w:i/>
          <w:sz w:val="28"/>
          <w:szCs w:val="28"/>
        </w:rPr>
        <w:t xml:space="preserve"> </w:t>
      </w:r>
      <w:r w:rsidR="00C010D5">
        <w:rPr>
          <w:rFonts w:ascii="Garamond" w:hAnsi="Garamond" w:cs="Times New Roman"/>
          <w:i/>
          <w:sz w:val="28"/>
          <w:szCs w:val="28"/>
        </w:rPr>
        <w:t>n. 159 del 2011</w:t>
      </w:r>
      <w:r w:rsidRPr="00544EEA">
        <w:rPr>
          <w:rFonts w:ascii="Garamond" w:hAnsi="Garamond" w:cs="Times New Roman"/>
          <w:i/>
          <w:sz w:val="28"/>
          <w:szCs w:val="28"/>
        </w:rPr>
        <w:t>, si applicano solo con riferimento ai contratti di appalto di lavori, di servizi e di forniture</w:t>
      </w:r>
      <w:r w:rsidR="00F903BC" w:rsidRPr="0018570D">
        <w:rPr>
          <w:rFonts w:ascii="Garamond" w:hAnsi="Garamond" w:cs="Times New Roman"/>
          <w:sz w:val="28"/>
          <w:szCs w:val="28"/>
        </w:rPr>
        <w:t>»</w:t>
      </w:r>
      <w:r w:rsidR="0018570D">
        <w:rPr>
          <w:rFonts w:ascii="Garamond" w:hAnsi="Garamond" w:cs="Times New Roman"/>
          <w:sz w:val="28"/>
          <w:szCs w:val="28"/>
        </w:rPr>
        <w:t>.</w:t>
      </w:r>
    </w:p>
    <w:p w:rsidR="00297188" w:rsidRDefault="00297188" w:rsidP="00544EEA">
      <w:pPr>
        <w:spacing w:line="276" w:lineRule="auto"/>
        <w:ind w:firstLine="709"/>
        <w:jc w:val="both"/>
        <w:rPr>
          <w:rFonts w:ascii="Garamond" w:hAnsi="Garamond" w:cs="Times New Roman"/>
          <w:sz w:val="28"/>
          <w:szCs w:val="28"/>
        </w:rPr>
      </w:pPr>
    </w:p>
    <w:p w:rsidR="00297188" w:rsidRDefault="00297188" w:rsidP="00544EEA">
      <w:pPr>
        <w:spacing w:line="276" w:lineRule="auto"/>
        <w:ind w:firstLine="709"/>
        <w:jc w:val="both"/>
        <w:rPr>
          <w:rFonts w:ascii="Garamond" w:hAnsi="Garamond" w:cs="Times New Roman"/>
          <w:sz w:val="28"/>
          <w:szCs w:val="28"/>
        </w:rPr>
      </w:pPr>
    </w:p>
    <w:p w:rsidR="00297188" w:rsidRPr="00297188" w:rsidRDefault="00297188" w:rsidP="00297188">
      <w:pPr>
        <w:spacing w:line="276" w:lineRule="auto"/>
        <w:ind w:firstLine="709"/>
        <w:jc w:val="right"/>
        <w:rPr>
          <w:rFonts w:ascii="Garamond" w:hAnsi="Garamond" w:cs="Times New Roman"/>
          <w:b/>
          <w:sz w:val="28"/>
          <w:szCs w:val="28"/>
        </w:rPr>
      </w:pPr>
      <w:r w:rsidRPr="00297188">
        <w:rPr>
          <w:rFonts w:ascii="Garamond" w:hAnsi="Garamond" w:cs="Times New Roman"/>
          <w:b/>
          <w:sz w:val="28"/>
          <w:szCs w:val="28"/>
        </w:rPr>
        <w:t>Carolina Villanacci</w:t>
      </w:r>
    </w:p>
    <w:p w:rsidR="00297188" w:rsidRDefault="00297188" w:rsidP="00297188">
      <w:pPr>
        <w:pStyle w:val="sentnormal"/>
        <w:spacing w:before="0" w:beforeAutospacing="0" w:after="0" w:afterAutospacing="0" w:line="259" w:lineRule="auto"/>
        <w:ind w:firstLine="709"/>
        <w:contextualSpacing/>
        <w:jc w:val="right"/>
        <w:textAlignment w:val="baseline"/>
        <w:rPr>
          <w:rFonts w:ascii="Garamond" w:hAnsi="Garamond"/>
          <w:color w:val="000000" w:themeColor="text1"/>
          <w:sz w:val="28"/>
          <w:szCs w:val="28"/>
        </w:rPr>
      </w:pPr>
      <w:r>
        <w:rPr>
          <w:rFonts w:ascii="Garamond" w:hAnsi="Garamond"/>
          <w:color w:val="000000" w:themeColor="text1"/>
          <w:sz w:val="28"/>
          <w:szCs w:val="28"/>
        </w:rPr>
        <w:t>Tirocinante presso il Consiglio di Stato</w:t>
      </w:r>
    </w:p>
    <w:p w:rsidR="00297188" w:rsidRDefault="00297188" w:rsidP="00297188">
      <w:pPr>
        <w:pStyle w:val="sentnormal"/>
        <w:spacing w:before="0" w:beforeAutospacing="0" w:after="0" w:afterAutospacing="0" w:line="259" w:lineRule="auto"/>
        <w:ind w:firstLine="709"/>
        <w:contextualSpacing/>
        <w:jc w:val="right"/>
        <w:textAlignment w:val="baseline"/>
        <w:rPr>
          <w:rFonts w:ascii="Garamond" w:hAnsi="Garamond"/>
          <w:color w:val="000000" w:themeColor="text1"/>
          <w:sz w:val="28"/>
          <w:szCs w:val="28"/>
        </w:rPr>
      </w:pPr>
    </w:p>
    <w:p w:rsidR="00297188" w:rsidRPr="0098446C" w:rsidRDefault="00297188" w:rsidP="00297188">
      <w:pPr>
        <w:pStyle w:val="sentnormal"/>
        <w:spacing w:before="0" w:beforeAutospacing="0" w:after="0" w:afterAutospacing="0" w:line="259" w:lineRule="auto"/>
        <w:ind w:firstLine="709"/>
        <w:contextualSpacing/>
        <w:jc w:val="right"/>
        <w:textAlignment w:val="baseline"/>
        <w:rPr>
          <w:rFonts w:ascii="Garamond" w:hAnsi="Garamond"/>
          <w:color w:val="000000" w:themeColor="text1"/>
          <w:sz w:val="28"/>
          <w:szCs w:val="28"/>
        </w:rPr>
      </w:pPr>
      <w:r>
        <w:rPr>
          <w:rFonts w:ascii="Garamond" w:hAnsi="Garamond"/>
          <w:color w:val="000000" w:themeColor="text1"/>
          <w:sz w:val="28"/>
          <w:szCs w:val="28"/>
        </w:rPr>
        <w:t>Pubblicato il 3 dicembre 2020</w:t>
      </w:r>
    </w:p>
    <w:p w:rsidR="00297188" w:rsidRDefault="00297188" w:rsidP="00297188"/>
    <w:p w:rsidR="00297188" w:rsidRPr="00CF6680" w:rsidRDefault="00297188" w:rsidP="00544EEA">
      <w:pPr>
        <w:spacing w:line="276" w:lineRule="auto"/>
        <w:ind w:firstLine="709"/>
        <w:jc w:val="both"/>
        <w:rPr>
          <w:rFonts w:ascii="Garamond" w:hAnsi="Garamond" w:cs="Times New Roman"/>
          <w:sz w:val="28"/>
          <w:szCs w:val="28"/>
        </w:rPr>
      </w:pPr>
    </w:p>
    <w:sectPr w:rsidR="00297188" w:rsidRPr="00CF6680" w:rsidSect="00CF6680">
      <w:footerReference w:type="even" r:id="rId8"/>
      <w:footerReference w:type="default" r:id="rId9"/>
      <w:pgSz w:w="11900" w:h="16840"/>
      <w:pgMar w:top="1417" w:right="112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27B" w:rsidRDefault="0029427B" w:rsidP="0033320E">
      <w:r>
        <w:separator/>
      </w:r>
    </w:p>
  </w:endnote>
  <w:endnote w:type="continuationSeparator" w:id="0">
    <w:p w:rsidR="0029427B" w:rsidRDefault="0029427B" w:rsidP="0033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 New Roman (Corpo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909644744"/>
      <w:docPartObj>
        <w:docPartGallery w:val="Page Numbers (Bottom of Page)"/>
        <w:docPartUnique/>
      </w:docPartObj>
    </w:sdtPr>
    <w:sdtEndPr>
      <w:rPr>
        <w:rStyle w:val="Numeropagina"/>
      </w:rPr>
    </w:sdtEndPr>
    <w:sdtContent>
      <w:p w:rsidR="00B138AC" w:rsidRDefault="00B138AC" w:rsidP="00B138A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B138AC" w:rsidRDefault="00B138AC" w:rsidP="006560E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08756873"/>
      <w:docPartObj>
        <w:docPartGallery w:val="Page Numbers (Bottom of Page)"/>
        <w:docPartUnique/>
      </w:docPartObj>
    </w:sdtPr>
    <w:sdtEndPr>
      <w:rPr>
        <w:rStyle w:val="Numeropagina"/>
      </w:rPr>
    </w:sdtEndPr>
    <w:sdtContent>
      <w:p w:rsidR="00B138AC" w:rsidRDefault="00B138AC" w:rsidP="00B138A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297188">
          <w:rPr>
            <w:rStyle w:val="Numeropagina"/>
            <w:noProof/>
          </w:rPr>
          <w:t>13</w:t>
        </w:r>
        <w:r>
          <w:rPr>
            <w:rStyle w:val="Numeropagina"/>
          </w:rPr>
          <w:fldChar w:fldCharType="end"/>
        </w:r>
      </w:p>
    </w:sdtContent>
  </w:sdt>
  <w:p w:rsidR="00B138AC" w:rsidRDefault="00B138AC" w:rsidP="006560E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27B" w:rsidRDefault="0029427B" w:rsidP="0033320E">
      <w:r>
        <w:separator/>
      </w:r>
    </w:p>
  </w:footnote>
  <w:footnote w:type="continuationSeparator" w:id="0">
    <w:p w:rsidR="0029427B" w:rsidRDefault="0029427B" w:rsidP="0033320E">
      <w:r>
        <w:continuationSeparator/>
      </w:r>
    </w:p>
  </w:footnote>
  <w:footnote w:id="1">
    <w:p w:rsidR="00B138AC" w:rsidRPr="001810A6" w:rsidRDefault="00B138AC" w:rsidP="00A214B9">
      <w:pPr>
        <w:pStyle w:val="Testonotaapidipagina"/>
        <w:ind w:firstLine="709"/>
        <w:jc w:val="both"/>
        <w:rPr>
          <w:rFonts w:ascii="Garamond" w:hAnsi="Garamond" w:cs="Times New Roman"/>
          <w:color w:val="000000" w:themeColor="text1"/>
          <w:sz w:val="24"/>
          <w:szCs w:val="24"/>
        </w:rPr>
      </w:pPr>
      <w:r w:rsidRPr="001810A6">
        <w:rPr>
          <w:rStyle w:val="Rimandonotaapidipagina"/>
          <w:rFonts w:ascii="Garamond" w:hAnsi="Garamond" w:cs="Times New Roman"/>
          <w:color w:val="000000" w:themeColor="text1"/>
          <w:sz w:val="24"/>
          <w:szCs w:val="24"/>
        </w:rPr>
        <w:footnoteRef/>
      </w:r>
      <w:r w:rsidRPr="001810A6">
        <w:rPr>
          <w:rFonts w:ascii="Garamond" w:hAnsi="Garamond" w:cs="Times New Roman"/>
          <w:color w:val="000000" w:themeColor="text1"/>
          <w:sz w:val="24"/>
          <w:szCs w:val="24"/>
        </w:rPr>
        <w:t xml:space="preserve"> </w:t>
      </w:r>
      <w:r w:rsidRPr="001810A6">
        <w:rPr>
          <w:rFonts w:ascii="Garamond" w:hAnsi="Garamond" w:cs="Times New Roman"/>
          <w:i/>
          <w:color w:val="000000" w:themeColor="text1"/>
          <w:sz w:val="24"/>
          <w:szCs w:val="24"/>
        </w:rPr>
        <w:t>V. infra</w:t>
      </w:r>
      <w:r w:rsidRPr="001810A6">
        <w:rPr>
          <w:rFonts w:ascii="Garamond" w:hAnsi="Garamond" w:cs="Times New Roman"/>
          <w:color w:val="000000" w:themeColor="text1"/>
          <w:sz w:val="24"/>
          <w:szCs w:val="24"/>
        </w:rPr>
        <w:t xml:space="preserve">. </w:t>
      </w:r>
      <w:r w:rsidR="00651194" w:rsidRPr="001810A6">
        <w:rPr>
          <w:rFonts w:ascii="Garamond" w:hAnsi="Garamond" w:cs="Times New Roman"/>
          <w:color w:val="000000" w:themeColor="text1"/>
          <w:sz w:val="24"/>
          <w:szCs w:val="24"/>
        </w:rPr>
        <w:t xml:space="preserve"> </w:t>
      </w:r>
      <w:r w:rsidRPr="001810A6">
        <w:rPr>
          <w:rFonts w:ascii="Garamond" w:hAnsi="Garamond" w:cs="Times New Roman"/>
          <w:color w:val="000000" w:themeColor="text1"/>
          <w:sz w:val="24"/>
          <w:szCs w:val="24"/>
        </w:rPr>
        <w:t>Sul punto</w:t>
      </w:r>
      <w:r w:rsidR="00651194" w:rsidRPr="001810A6">
        <w:rPr>
          <w:rFonts w:ascii="Garamond" w:hAnsi="Garamond" w:cs="Times New Roman"/>
          <w:color w:val="000000" w:themeColor="text1"/>
          <w:sz w:val="24"/>
          <w:szCs w:val="24"/>
        </w:rPr>
        <w:t xml:space="preserve"> </w:t>
      </w:r>
      <w:r w:rsidRPr="001810A6">
        <w:rPr>
          <w:rFonts w:ascii="Garamond" w:hAnsi="Garamond" w:cs="Times New Roman"/>
          <w:color w:val="000000" w:themeColor="text1"/>
          <w:sz w:val="24"/>
          <w:szCs w:val="24"/>
        </w:rPr>
        <w:t xml:space="preserve">cfr. </w:t>
      </w:r>
      <w:r w:rsidR="00751AE4" w:rsidRPr="001810A6">
        <w:rPr>
          <w:rFonts w:ascii="Garamond" w:hAnsi="Garamond" w:cs="Times New Roman"/>
          <w:color w:val="000000" w:themeColor="text1"/>
          <w:sz w:val="22"/>
          <w:szCs w:val="22"/>
        </w:rPr>
        <w:t>S</w:t>
      </w:r>
      <w:r w:rsidR="00751AE4" w:rsidRPr="001810A6">
        <w:rPr>
          <w:rFonts w:ascii="Garamond" w:hAnsi="Garamond" w:cs="Times New Roman"/>
          <w:color w:val="000000" w:themeColor="text1"/>
        </w:rPr>
        <w:t xml:space="preserve">. </w:t>
      </w:r>
      <w:r w:rsidRPr="001810A6">
        <w:rPr>
          <w:rFonts w:ascii="Garamond" w:hAnsi="Garamond"/>
          <w:color w:val="000000" w:themeColor="text1"/>
          <w:sz w:val="22"/>
          <w:szCs w:val="22"/>
        </w:rPr>
        <w:t>M</w:t>
      </w:r>
      <w:r w:rsidRPr="001810A6">
        <w:rPr>
          <w:rFonts w:ascii="Garamond" w:hAnsi="Garamond"/>
          <w:color w:val="000000" w:themeColor="text1"/>
          <w:sz w:val="18"/>
          <w:szCs w:val="18"/>
        </w:rPr>
        <w:t>AZZAMUTO</w:t>
      </w:r>
      <w:r w:rsidRPr="001810A6">
        <w:rPr>
          <w:rFonts w:ascii="Garamond" w:hAnsi="Garamond"/>
          <w:color w:val="000000" w:themeColor="text1"/>
        </w:rPr>
        <w:t xml:space="preserve">, </w:t>
      </w:r>
      <w:r w:rsidRPr="001810A6">
        <w:rPr>
          <w:rFonts w:ascii="Garamond" w:hAnsi="Garamond" w:cs="Times New Roman"/>
          <w:i/>
          <w:color w:val="000000" w:themeColor="text1"/>
          <w:sz w:val="24"/>
          <w:szCs w:val="24"/>
        </w:rPr>
        <w:t>Profili di documentazione amministrativa antimafia</w:t>
      </w:r>
      <w:r w:rsidRPr="001810A6">
        <w:rPr>
          <w:rFonts w:ascii="Garamond" w:hAnsi="Garamond" w:cs="Times New Roman"/>
          <w:color w:val="000000" w:themeColor="text1"/>
          <w:sz w:val="24"/>
          <w:szCs w:val="24"/>
        </w:rPr>
        <w:t xml:space="preserve">, in </w:t>
      </w:r>
      <w:r w:rsidR="003C0B3A" w:rsidRPr="001810A6">
        <w:rPr>
          <w:rFonts w:ascii="Garamond" w:hAnsi="Garamond" w:cs="Times New Roman"/>
          <w:color w:val="000000" w:themeColor="text1"/>
          <w:sz w:val="24"/>
          <w:szCs w:val="24"/>
        </w:rPr>
        <w:t>www.</w:t>
      </w:r>
      <w:r w:rsidRPr="001810A6">
        <w:rPr>
          <w:rFonts w:ascii="Garamond" w:hAnsi="Garamond" w:cs="Times New Roman"/>
          <w:i/>
          <w:color w:val="000000" w:themeColor="text1"/>
          <w:sz w:val="24"/>
          <w:szCs w:val="24"/>
        </w:rPr>
        <w:t>Giustamm</w:t>
      </w:r>
      <w:r w:rsidR="003C0B3A" w:rsidRPr="001810A6">
        <w:rPr>
          <w:rFonts w:ascii="Garamond" w:hAnsi="Garamond" w:cs="Times New Roman"/>
          <w:i/>
          <w:color w:val="000000" w:themeColor="text1"/>
          <w:sz w:val="24"/>
          <w:szCs w:val="24"/>
        </w:rPr>
        <w:t>.it</w:t>
      </w:r>
      <w:r w:rsidRPr="001810A6">
        <w:rPr>
          <w:rFonts w:ascii="Garamond" w:hAnsi="Garamond" w:cs="Times New Roman"/>
          <w:color w:val="000000" w:themeColor="text1"/>
          <w:sz w:val="24"/>
          <w:szCs w:val="24"/>
        </w:rPr>
        <w:t xml:space="preserve">, </w:t>
      </w:r>
      <w:r w:rsidR="003C0B3A" w:rsidRPr="001810A6">
        <w:rPr>
          <w:rFonts w:ascii="Garamond" w:hAnsi="Garamond" w:cs="Times New Roman"/>
          <w:color w:val="000000" w:themeColor="text1"/>
          <w:sz w:val="24"/>
          <w:szCs w:val="24"/>
        </w:rPr>
        <w:t>3/</w:t>
      </w:r>
      <w:r w:rsidRPr="001810A6">
        <w:rPr>
          <w:rFonts w:ascii="Garamond" w:hAnsi="Garamond" w:cs="Times New Roman"/>
          <w:color w:val="000000" w:themeColor="text1"/>
          <w:sz w:val="24"/>
          <w:szCs w:val="24"/>
        </w:rPr>
        <w:t>2016, p. 2</w:t>
      </w:r>
      <w:r w:rsidR="003C0B3A" w:rsidRPr="001810A6">
        <w:rPr>
          <w:rFonts w:ascii="Garamond" w:hAnsi="Garamond" w:cs="Times New Roman"/>
          <w:color w:val="000000" w:themeColor="text1"/>
          <w:sz w:val="24"/>
          <w:szCs w:val="24"/>
        </w:rPr>
        <w:t>-</w:t>
      </w:r>
      <w:r w:rsidRPr="001810A6">
        <w:rPr>
          <w:rFonts w:ascii="Garamond" w:hAnsi="Garamond" w:cs="Times New Roman"/>
          <w:color w:val="000000" w:themeColor="text1"/>
          <w:sz w:val="24"/>
          <w:szCs w:val="24"/>
        </w:rPr>
        <w:t>3.</w:t>
      </w:r>
    </w:p>
  </w:footnote>
  <w:footnote w:id="2">
    <w:p w:rsidR="00B138AC" w:rsidRPr="001810A6" w:rsidRDefault="00B138AC" w:rsidP="00A214B9">
      <w:pPr>
        <w:pStyle w:val="Paragrafoelenco"/>
        <w:ind w:left="0" w:firstLine="709"/>
        <w:jc w:val="both"/>
        <w:rPr>
          <w:rFonts w:ascii="Garamond" w:hAnsi="Garamond"/>
          <w:color w:val="000000" w:themeColor="text1"/>
        </w:rPr>
      </w:pPr>
      <w:r w:rsidRPr="001810A6">
        <w:rPr>
          <w:rStyle w:val="Rimandonotaapidipagina"/>
          <w:rFonts w:ascii="Garamond" w:hAnsi="Garamond" w:cs="Times New Roman"/>
          <w:color w:val="000000" w:themeColor="text1"/>
        </w:rPr>
        <w:footnoteRef/>
      </w:r>
      <w:r w:rsidRPr="001810A6">
        <w:rPr>
          <w:color w:val="000000" w:themeColor="text1"/>
        </w:rPr>
        <w:t xml:space="preserve"> </w:t>
      </w:r>
      <w:r w:rsidRPr="001810A6">
        <w:rPr>
          <w:rFonts w:ascii="Garamond" w:hAnsi="Garamond"/>
          <w:color w:val="000000" w:themeColor="text1"/>
        </w:rPr>
        <w:t>Per un esame sugli aspetti generali del sistema cfr</w:t>
      </w:r>
      <w:r w:rsidRPr="001810A6">
        <w:rPr>
          <w:rFonts w:ascii="Garamond" w:hAnsi="Garamond" w:cs="Times New Roman (Corpo CS)"/>
          <w:smallCaps/>
          <w:color w:val="000000" w:themeColor="text1"/>
        </w:rPr>
        <w:t xml:space="preserve">. </w:t>
      </w:r>
      <w:r w:rsidR="00751AE4" w:rsidRPr="001810A6">
        <w:rPr>
          <w:rStyle w:val="SottotitoloCarattere"/>
          <w:rFonts w:ascii="Garamond" w:hAnsi="Garamond"/>
          <w:color w:val="000000" w:themeColor="text1"/>
        </w:rPr>
        <w:t xml:space="preserve">F. </w:t>
      </w:r>
      <w:r w:rsidRPr="001810A6">
        <w:rPr>
          <w:rStyle w:val="SottotitoloCarattere"/>
          <w:rFonts w:ascii="Garamond" w:hAnsi="Garamond"/>
          <w:color w:val="000000" w:themeColor="text1"/>
        </w:rPr>
        <w:t>C</w:t>
      </w:r>
      <w:r w:rsidRPr="001810A6">
        <w:rPr>
          <w:rStyle w:val="SottotitoloCarattere"/>
          <w:rFonts w:ascii="Garamond" w:hAnsi="Garamond"/>
          <w:color w:val="000000" w:themeColor="text1"/>
          <w:sz w:val="18"/>
          <w:szCs w:val="18"/>
        </w:rPr>
        <w:t>ARINGELLA</w:t>
      </w:r>
      <w:r w:rsidRPr="001810A6">
        <w:rPr>
          <w:rFonts w:ascii="Garamond" w:hAnsi="Garamond" w:cs="Times New Roman (Corpo CS)"/>
          <w:caps/>
          <w:color w:val="000000" w:themeColor="text1"/>
        </w:rPr>
        <w:t>,</w:t>
      </w:r>
      <w:r w:rsidRPr="001810A6">
        <w:rPr>
          <w:rFonts w:ascii="Garamond" w:hAnsi="Garamond"/>
          <w:caps/>
          <w:color w:val="000000" w:themeColor="text1"/>
        </w:rPr>
        <w:t xml:space="preserve"> </w:t>
      </w:r>
      <w:r w:rsidRPr="001810A6">
        <w:rPr>
          <w:rFonts w:ascii="Garamond" w:hAnsi="Garamond"/>
          <w:i/>
          <w:color w:val="000000" w:themeColor="text1"/>
        </w:rPr>
        <w:t>La normativa antimafia, in contratti pubblici di lavori, servizi e forniture,</w:t>
      </w:r>
      <w:r w:rsidRPr="001810A6">
        <w:rPr>
          <w:rFonts w:ascii="Garamond" w:hAnsi="Garamond"/>
          <w:color w:val="000000" w:themeColor="text1"/>
        </w:rPr>
        <w:t xml:space="preserve"> Milano, 2007, p. 2310 </w:t>
      </w:r>
      <w:proofErr w:type="spellStart"/>
      <w:r w:rsidRPr="001810A6">
        <w:rPr>
          <w:rFonts w:ascii="Garamond" w:hAnsi="Garamond"/>
          <w:color w:val="000000" w:themeColor="text1"/>
        </w:rPr>
        <w:t>ss</w:t>
      </w:r>
      <w:proofErr w:type="spellEnd"/>
      <w:r w:rsidRPr="001810A6">
        <w:rPr>
          <w:rFonts w:ascii="Garamond" w:hAnsi="Garamond"/>
          <w:color w:val="000000" w:themeColor="text1"/>
        </w:rPr>
        <w:t xml:space="preserve">; </w:t>
      </w:r>
      <w:r w:rsidR="00751AE4" w:rsidRPr="001810A6">
        <w:rPr>
          <w:rFonts w:ascii="Garamond" w:hAnsi="Garamond"/>
          <w:color w:val="000000" w:themeColor="text1"/>
          <w:sz w:val="22"/>
          <w:szCs w:val="22"/>
        </w:rPr>
        <w:t xml:space="preserve">P. </w:t>
      </w:r>
      <w:r w:rsidR="00751AE4" w:rsidRPr="001810A6">
        <w:rPr>
          <w:rStyle w:val="SottotitoloCarattere"/>
          <w:rFonts w:ascii="Garamond" w:hAnsi="Garamond"/>
          <w:color w:val="000000" w:themeColor="text1"/>
        </w:rPr>
        <w:t>C</w:t>
      </w:r>
      <w:r w:rsidR="00751AE4" w:rsidRPr="001810A6">
        <w:rPr>
          <w:rStyle w:val="SottotitoloCarattere"/>
          <w:rFonts w:ascii="Garamond" w:hAnsi="Garamond"/>
          <w:color w:val="000000" w:themeColor="text1"/>
          <w:sz w:val="18"/>
          <w:szCs w:val="18"/>
        </w:rPr>
        <w:t>ARBONE</w:t>
      </w:r>
      <w:r w:rsidRPr="001810A6">
        <w:rPr>
          <w:rFonts w:ascii="Garamond" w:hAnsi="Garamond"/>
          <w:color w:val="000000" w:themeColor="text1"/>
        </w:rPr>
        <w:t xml:space="preserve">, </w:t>
      </w:r>
      <w:r w:rsidRPr="001810A6">
        <w:rPr>
          <w:rFonts w:ascii="Garamond" w:hAnsi="Garamond"/>
          <w:i/>
          <w:color w:val="000000" w:themeColor="text1"/>
        </w:rPr>
        <w:t>Normativa antimafia e contratti pubblici</w:t>
      </w:r>
      <w:r w:rsidRPr="001810A6">
        <w:rPr>
          <w:rFonts w:ascii="Garamond" w:hAnsi="Garamond"/>
          <w:color w:val="000000" w:themeColor="text1"/>
        </w:rPr>
        <w:t>, in riv</w:t>
      </w:r>
      <w:r w:rsidR="00751AE4" w:rsidRPr="001810A6">
        <w:rPr>
          <w:rFonts w:ascii="Garamond" w:hAnsi="Garamond"/>
          <w:color w:val="000000" w:themeColor="text1"/>
        </w:rPr>
        <w:t>ista</w:t>
      </w:r>
      <w:r w:rsidRPr="001810A6">
        <w:rPr>
          <w:rFonts w:ascii="Garamond" w:hAnsi="Garamond"/>
          <w:color w:val="000000" w:themeColor="text1"/>
        </w:rPr>
        <w:t xml:space="preserve"> Trim</w:t>
      </w:r>
      <w:r w:rsidR="00751AE4" w:rsidRPr="001810A6">
        <w:rPr>
          <w:rFonts w:ascii="Garamond" w:hAnsi="Garamond"/>
          <w:color w:val="000000" w:themeColor="text1"/>
        </w:rPr>
        <w:t>estrale</w:t>
      </w:r>
      <w:r w:rsidRPr="001810A6">
        <w:rPr>
          <w:rFonts w:ascii="Garamond" w:hAnsi="Garamond"/>
          <w:color w:val="000000" w:themeColor="text1"/>
        </w:rPr>
        <w:t xml:space="preserve"> appalti, 2012, p. 171 ss.</w:t>
      </w:r>
      <w:proofErr w:type="gramStart"/>
      <w:r w:rsidR="007102BA" w:rsidRPr="001810A6">
        <w:rPr>
          <w:rFonts w:ascii="Garamond" w:hAnsi="Garamond"/>
          <w:color w:val="000000" w:themeColor="text1"/>
        </w:rPr>
        <w:t>, .</w:t>
      </w:r>
      <w:proofErr w:type="gramEnd"/>
      <w:r w:rsidR="007102BA" w:rsidRPr="001810A6">
        <w:rPr>
          <w:rFonts w:ascii="Garamond" w:hAnsi="Garamond"/>
          <w:color w:val="000000" w:themeColor="text1"/>
        </w:rPr>
        <w:t xml:space="preserve">; </w:t>
      </w:r>
      <w:r w:rsidR="007102BA" w:rsidRPr="001810A6">
        <w:rPr>
          <w:rFonts w:ascii="Garamond" w:hAnsi="Garamond"/>
          <w:smallCaps/>
          <w:color w:val="000000" w:themeColor="text1"/>
        </w:rPr>
        <w:t>V. Antonelli</w:t>
      </w:r>
      <w:r w:rsidR="007102BA" w:rsidRPr="001810A6">
        <w:rPr>
          <w:rFonts w:ascii="Garamond" w:hAnsi="Garamond"/>
          <w:color w:val="000000" w:themeColor="text1"/>
        </w:rPr>
        <w:t>,</w:t>
      </w:r>
      <w:r w:rsidR="007102BA" w:rsidRPr="001810A6">
        <w:rPr>
          <w:rFonts w:ascii="Garamond" w:hAnsi="Garamond"/>
          <w:color w:val="000000" w:themeColor="text1"/>
          <w:sz w:val="18"/>
          <w:szCs w:val="18"/>
        </w:rPr>
        <w:t xml:space="preserve"> </w:t>
      </w:r>
      <w:r w:rsidR="007102BA" w:rsidRPr="001810A6">
        <w:rPr>
          <w:rFonts w:ascii="Garamond" w:hAnsi="Garamond"/>
          <w:i/>
          <w:color w:val="000000" w:themeColor="text1"/>
        </w:rPr>
        <w:t>Il diritto amministrativo preventivo a servizio della sicurezza pubblica</w:t>
      </w:r>
      <w:r w:rsidR="007102BA" w:rsidRPr="001810A6">
        <w:rPr>
          <w:rFonts w:ascii="Garamond" w:hAnsi="Garamond"/>
          <w:color w:val="000000" w:themeColor="text1"/>
        </w:rPr>
        <w:t xml:space="preserve">, in </w:t>
      </w:r>
      <w:r w:rsidR="007102BA" w:rsidRPr="001810A6">
        <w:rPr>
          <w:rFonts w:ascii="Garamond" w:hAnsi="Garamond"/>
          <w:i/>
          <w:color w:val="000000" w:themeColor="text1"/>
        </w:rPr>
        <w:t xml:space="preserve">Dir. </w:t>
      </w:r>
      <w:proofErr w:type="spellStart"/>
      <w:r w:rsidR="007102BA" w:rsidRPr="001810A6">
        <w:rPr>
          <w:rFonts w:ascii="Garamond" w:hAnsi="Garamond"/>
          <w:i/>
          <w:color w:val="000000" w:themeColor="text1"/>
        </w:rPr>
        <w:t>pen</w:t>
      </w:r>
      <w:proofErr w:type="spellEnd"/>
      <w:r w:rsidR="007102BA" w:rsidRPr="001810A6">
        <w:rPr>
          <w:rFonts w:ascii="Garamond" w:hAnsi="Garamond"/>
          <w:i/>
          <w:color w:val="000000" w:themeColor="text1"/>
        </w:rPr>
        <w:t xml:space="preserve">. e </w:t>
      </w:r>
      <w:proofErr w:type="spellStart"/>
      <w:r w:rsidR="007102BA" w:rsidRPr="001810A6">
        <w:rPr>
          <w:rFonts w:ascii="Garamond" w:hAnsi="Garamond"/>
          <w:i/>
          <w:color w:val="000000" w:themeColor="text1"/>
        </w:rPr>
        <w:t>proc</w:t>
      </w:r>
      <w:proofErr w:type="spellEnd"/>
      <w:r w:rsidR="007102BA" w:rsidRPr="001810A6">
        <w:rPr>
          <w:rFonts w:ascii="Garamond" w:hAnsi="Garamond"/>
          <w:i/>
          <w:color w:val="000000" w:themeColor="text1"/>
        </w:rPr>
        <w:t>.</w:t>
      </w:r>
      <w:r w:rsidR="007102BA" w:rsidRPr="001810A6">
        <w:rPr>
          <w:rFonts w:ascii="Garamond" w:hAnsi="Garamond"/>
          <w:color w:val="000000" w:themeColor="text1"/>
        </w:rPr>
        <w:t>, 2019.</w:t>
      </w:r>
    </w:p>
  </w:footnote>
  <w:footnote w:id="3">
    <w:p w:rsidR="00096CAC" w:rsidRPr="001810A6" w:rsidRDefault="00651194" w:rsidP="00A214B9">
      <w:pPr>
        <w:ind w:firstLine="709"/>
        <w:jc w:val="both"/>
        <w:rPr>
          <w:rFonts w:ascii="Garamond" w:hAnsi="Garamond"/>
          <w:color w:val="000000" w:themeColor="text1"/>
        </w:rPr>
      </w:pPr>
      <w:r w:rsidRPr="001810A6">
        <w:rPr>
          <w:rFonts w:ascii="Garamond" w:hAnsi="Garamond"/>
          <w:color w:val="000000" w:themeColor="text1"/>
        </w:rPr>
        <w:t xml:space="preserve"> </w:t>
      </w:r>
      <w:r w:rsidR="00096CAC" w:rsidRPr="001810A6">
        <w:rPr>
          <w:rStyle w:val="Rimandonotaapidipagina"/>
          <w:rFonts w:ascii="Garamond" w:hAnsi="Garamond" w:cs="Times New Roman"/>
          <w:color w:val="000000" w:themeColor="text1"/>
        </w:rPr>
        <w:footnoteRef/>
      </w:r>
      <w:r w:rsidR="00096CAC" w:rsidRPr="001810A6">
        <w:rPr>
          <w:rFonts w:ascii="Garamond" w:hAnsi="Garamond"/>
          <w:color w:val="000000" w:themeColor="text1"/>
        </w:rPr>
        <w:t xml:space="preserve"> Se con </w:t>
      </w:r>
      <w:r w:rsidR="007F5CF6">
        <w:rPr>
          <w:rFonts w:ascii="Garamond" w:hAnsi="Garamond"/>
          <w:color w:val="000000" w:themeColor="text1"/>
        </w:rPr>
        <w:t>riferimento ai primi, la Corte c</w:t>
      </w:r>
      <w:r w:rsidR="00096CAC" w:rsidRPr="001810A6">
        <w:rPr>
          <w:rFonts w:ascii="Garamond" w:hAnsi="Garamond"/>
          <w:color w:val="000000" w:themeColor="text1"/>
        </w:rPr>
        <w:t xml:space="preserve">ostituzionale ha più volte affermato la compatibilità costituzionale del modello </w:t>
      </w:r>
      <w:proofErr w:type="spellStart"/>
      <w:r w:rsidR="00096CAC" w:rsidRPr="001810A6">
        <w:rPr>
          <w:rFonts w:ascii="Garamond" w:hAnsi="Garamond"/>
          <w:color w:val="000000" w:themeColor="text1"/>
        </w:rPr>
        <w:t>interdittivo</w:t>
      </w:r>
      <w:proofErr w:type="spellEnd"/>
      <w:r w:rsidR="00096CAC" w:rsidRPr="001810A6">
        <w:rPr>
          <w:rFonts w:ascii="Garamond" w:hAnsi="Garamond"/>
          <w:color w:val="000000" w:themeColor="text1"/>
        </w:rPr>
        <w:t xml:space="preserve"> alla luce delle limitazioni al diritto d’impresa di cui all’art. 41 </w:t>
      </w:r>
      <w:proofErr w:type="spellStart"/>
      <w:r w:rsidR="00096CAC" w:rsidRPr="001810A6">
        <w:rPr>
          <w:rFonts w:ascii="Garamond" w:hAnsi="Garamond"/>
          <w:color w:val="000000" w:themeColor="text1"/>
        </w:rPr>
        <w:t>Cost</w:t>
      </w:r>
      <w:proofErr w:type="spellEnd"/>
      <w:r w:rsidR="00096CAC" w:rsidRPr="001810A6">
        <w:rPr>
          <w:rFonts w:ascii="Garamond" w:hAnsi="Garamond"/>
          <w:color w:val="000000" w:themeColor="text1"/>
        </w:rPr>
        <w:t xml:space="preserve">, problemi si sono posti in ordine al diritto europeo, specie a seguito della pronuncia CEDU, Grande Camera, 23 febbraio 2017, </w:t>
      </w:r>
      <w:r w:rsidR="00096CAC" w:rsidRPr="001810A6">
        <w:rPr>
          <w:rFonts w:ascii="Garamond" w:hAnsi="Garamond"/>
          <w:i/>
          <w:color w:val="000000" w:themeColor="text1"/>
        </w:rPr>
        <w:t>De Tommaso c. Italia</w:t>
      </w:r>
      <w:r w:rsidR="00096CAC" w:rsidRPr="001810A6">
        <w:rPr>
          <w:rFonts w:ascii="Garamond" w:hAnsi="Garamond"/>
          <w:color w:val="000000" w:themeColor="text1"/>
        </w:rPr>
        <w:t xml:space="preserve"> che, intervenendo sulla disciplina delle misure di prevenzione personali, ha dichiarato contrastanti con l’art. 2, </w:t>
      </w:r>
      <w:proofErr w:type="spellStart"/>
      <w:r w:rsidR="00096CAC" w:rsidRPr="001810A6">
        <w:rPr>
          <w:rFonts w:ascii="Garamond" w:hAnsi="Garamond"/>
          <w:color w:val="000000" w:themeColor="text1"/>
        </w:rPr>
        <w:t>prot</w:t>
      </w:r>
      <w:proofErr w:type="spellEnd"/>
      <w:r w:rsidR="00096CAC" w:rsidRPr="001810A6">
        <w:rPr>
          <w:rFonts w:ascii="Garamond" w:hAnsi="Garamond"/>
          <w:color w:val="000000" w:themeColor="text1"/>
        </w:rPr>
        <w:t>.</w:t>
      </w:r>
      <w:r w:rsidRPr="001810A6">
        <w:rPr>
          <w:rFonts w:ascii="Garamond" w:hAnsi="Garamond"/>
          <w:color w:val="000000" w:themeColor="text1"/>
        </w:rPr>
        <w:t xml:space="preserve"> </w:t>
      </w:r>
      <w:r w:rsidR="00096CAC" w:rsidRPr="001810A6">
        <w:rPr>
          <w:rFonts w:ascii="Garamond" w:hAnsi="Garamond"/>
          <w:color w:val="000000" w:themeColor="text1"/>
        </w:rPr>
        <w:t xml:space="preserve">4, </w:t>
      </w:r>
      <w:proofErr w:type="spellStart"/>
      <w:r w:rsidR="00096CAC" w:rsidRPr="001810A6">
        <w:rPr>
          <w:rFonts w:ascii="Garamond" w:hAnsi="Garamond"/>
          <w:color w:val="000000" w:themeColor="text1"/>
        </w:rPr>
        <w:t>add</w:t>
      </w:r>
      <w:proofErr w:type="spellEnd"/>
      <w:r w:rsidR="00096CAC" w:rsidRPr="001810A6">
        <w:rPr>
          <w:rFonts w:ascii="Garamond" w:hAnsi="Garamond"/>
          <w:color w:val="000000" w:themeColor="text1"/>
        </w:rPr>
        <w:t xml:space="preserve">. CEDU, le fattispecie di pericolosità generica. Sul punto v. </w:t>
      </w:r>
      <w:r w:rsidR="00751AE4" w:rsidRPr="001810A6">
        <w:rPr>
          <w:rStyle w:val="SottotitoloCarattere"/>
          <w:rFonts w:ascii="Garamond" w:hAnsi="Garamond"/>
          <w:color w:val="000000" w:themeColor="text1"/>
          <w:sz w:val="20"/>
          <w:szCs w:val="20"/>
        </w:rPr>
        <w:t xml:space="preserve">G. </w:t>
      </w:r>
      <w:r w:rsidR="00096CAC" w:rsidRPr="001810A6">
        <w:rPr>
          <w:rStyle w:val="SottotitoloCarattere"/>
          <w:rFonts w:ascii="Garamond" w:hAnsi="Garamond"/>
          <w:color w:val="000000" w:themeColor="text1"/>
          <w:sz w:val="20"/>
          <w:szCs w:val="20"/>
        </w:rPr>
        <w:t>A</w:t>
      </w:r>
      <w:r w:rsidR="00096CAC" w:rsidRPr="001810A6">
        <w:rPr>
          <w:rStyle w:val="SottotitoloCarattere"/>
          <w:rFonts w:ascii="Garamond" w:hAnsi="Garamond"/>
          <w:color w:val="000000" w:themeColor="text1"/>
          <w:sz w:val="18"/>
          <w:szCs w:val="18"/>
        </w:rPr>
        <w:t>M</w:t>
      </w:r>
      <w:r w:rsidR="00751AE4" w:rsidRPr="001810A6">
        <w:rPr>
          <w:rStyle w:val="SottotitoloCarattere"/>
          <w:rFonts w:ascii="Garamond" w:hAnsi="Garamond"/>
          <w:color w:val="000000" w:themeColor="text1"/>
          <w:sz w:val="18"/>
          <w:szCs w:val="18"/>
        </w:rPr>
        <w:t>ARELLI</w:t>
      </w:r>
      <w:r w:rsidR="00096CAC" w:rsidRPr="001810A6">
        <w:rPr>
          <w:rStyle w:val="SottotitoloCarattere"/>
          <w:rFonts w:ascii="Garamond" w:hAnsi="Garamond"/>
          <w:color w:val="000000" w:themeColor="text1"/>
          <w:sz w:val="20"/>
          <w:szCs w:val="20"/>
        </w:rPr>
        <w:t>,</w:t>
      </w:r>
      <w:r w:rsidR="00096CAC" w:rsidRPr="001810A6">
        <w:rPr>
          <w:rFonts w:ascii="Garamond" w:hAnsi="Garamond"/>
          <w:color w:val="000000" w:themeColor="text1"/>
        </w:rPr>
        <w:t xml:space="preserve"> </w:t>
      </w:r>
      <w:r w:rsidR="00096CAC" w:rsidRPr="001810A6">
        <w:rPr>
          <w:rFonts w:ascii="Garamond" w:hAnsi="Garamond"/>
          <w:i/>
          <w:color w:val="000000" w:themeColor="text1"/>
        </w:rPr>
        <w:t>L’onda lunga della sentenza De Tommaso: ore contate per l’</w:t>
      </w:r>
      <w:proofErr w:type="spellStart"/>
      <w:r w:rsidR="00096CAC" w:rsidRPr="001810A6">
        <w:rPr>
          <w:rFonts w:ascii="Garamond" w:hAnsi="Garamond"/>
          <w:i/>
          <w:color w:val="000000" w:themeColor="text1"/>
        </w:rPr>
        <w:t>interdittiva</w:t>
      </w:r>
      <w:proofErr w:type="spellEnd"/>
      <w:r w:rsidR="00096CAC" w:rsidRPr="001810A6">
        <w:rPr>
          <w:rFonts w:ascii="Garamond" w:hAnsi="Garamond"/>
          <w:i/>
          <w:color w:val="000000" w:themeColor="text1"/>
        </w:rPr>
        <w:t xml:space="preserve"> antimafia generica ex art. 84, comma 4, </w:t>
      </w:r>
      <w:proofErr w:type="spellStart"/>
      <w:r w:rsidR="00096CAC" w:rsidRPr="001810A6">
        <w:rPr>
          <w:rFonts w:ascii="Garamond" w:hAnsi="Garamond"/>
          <w:i/>
          <w:color w:val="000000" w:themeColor="text1"/>
        </w:rPr>
        <w:t>lett</w:t>
      </w:r>
      <w:proofErr w:type="spellEnd"/>
      <w:r w:rsidR="00096CAC" w:rsidRPr="001810A6">
        <w:rPr>
          <w:rFonts w:ascii="Garamond" w:hAnsi="Garamond"/>
          <w:i/>
          <w:color w:val="000000" w:themeColor="text1"/>
        </w:rPr>
        <w:t xml:space="preserve">. d) ed e), </w:t>
      </w:r>
      <w:r w:rsidR="00C010D5">
        <w:rPr>
          <w:rFonts w:ascii="Garamond" w:hAnsi="Garamond"/>
          <w:i/>
          <w:color w:val="000000" w:themeColor="text1"/>
        </w:rPr>
        <w:t xml:space="preserve">d. </w:t>
      </w:r>
      <w:proofErr w:type="spellStart"/>
      <w:r w:rsidR="00C010D5">
        <w:rPr>
          <w:rFonts w:ascii="Garamond" w:hAnsi="Garamond"/>
          <w:i/>
          <w:color w:val="000000" w:themeColor="text1"/>
        </w:rPr>
        <w:t>lgs</w:t>
      </w:r>
      <w:proofErr w:type="spellEnd"/>
      <w:r w:rsidR="00C010D5">
        <w:rPr>
          <w:rFonts w:ascii="Garamond" w:hAnsi="Garamond"/>
          <w:i/>
          <w:color w:val="000000" w:themeColor="text1"/>
        </w:rPr>
        <w:t>.</w:t>
      </w:r>
      <w:r w:rsidR="00096CAC" w:rsidRPr="001810A6">
        <w:rPr>
          <w:rFonts w:ascii="Garamond" w:hAnsi="Garamond"/>
          <w:i/>
          <w:color w:val="000000" w:themeColor="text1"/>
        </w:rPr>
        <w:t xml:space="preserve"> </w:t>
      </w:r>
      <w:r w:rsidR="00C010D5">
        <w:rPr>
          <w:rFonts w:ascii="Garamond" w:hAnsi="Garamond"/>
          <w:i/>
          <w:color w:val="000000" w:themeColor="text1"/>
        </w:rPr>
        <w:t>n. 159 del 2011</w:t>
      </w:r>
      <w:r w:rsidR="00096CAC" w:rsidRPr="001810A6">
        <w:rPr>
          <w:rFonts w:ascii="Garamond" w:hAnsi="Garamond"/>
          <w:i/>
          <w:color w:val="000000" w:themeColor="text1"/>
        </w:rPr>
        <w:t>,</w:t>
      </w:r>
      <w:r w:rsidR="00096CAC" w:rsidRPr="001810A6">
        <w:rPr>
          <w:rFonts w:ascii="Garamond" w:hAnsi="Garamond"/>
          <w:color w:val="000000" w:themeColor="text1"/>
        </w:rPr>
        <w:t xml:space="preserve"> in</w:t>
      </w:r>
      <w:r w:rsidR="00751AE4" w:rsidRPr="001810A6">
        <w:rPr>
          <w:rFonts w:ascii="Garamond" w:hAnsi="Garamond"/>
          <w:color w:val="000000" w:themeColor="text1"/>
        </w:rPr>
        <w:t xml:space="preserve"> </w:t>
      </w:r>
      <w:hyperlink r:id="rId1" w:history="1">
        <w:r w:rsidR="00751AE4" w:rsidRPr="001810A6">
          <w:rPr>
            <w:rStyle w:val="Collegamentoipertestuale"/>
            <w:rFonts w:ascii="Garamond" w:hAnsi="Garamond"/>
            <w:color w:val="000000" w:themeColor="text1"/>
          </w:rPr>
          <w:t>www.dirittopenalecontemporaneo.it</w:t>
        </w:r>
      </w:hyperlink>
      <w:r w:rsidR="00751AE4" w:rsidRPr="001810A6">
        <w:rPr>
          <w:rFonts w:ascii="Garamond" w:hAnsi="Garamond"/>
          <w:color w:val="000000" w:themeColor="text1"/>
        </w:rPr>
        <w:t xml:space="preserve">, 4/2017. </w:t>
      </w:r>
    </w:p>
  </w:footnote>
  <w:footnote w:id="4">
    <w:p w:rsidR="00B138AC" w:rsidRPr="00A214B9" w:rsidRDefault="00B138AC" w:rsidP="00A214B9">
      <w:pPr>
        <w:widowControl w:val="0"/>
        <w:ind w:firstLine="709"/>
        <w:jc w:val="both"/>
        <w:rPr>
          <w:rFonts w:ascii="Garamond" w:hAnsi="Garamond" w:cs="Times New Roman"/>
          <w:bCs/>
          <w:i/>
          <w:color w:val="000000" w:themeColor="text1"/>
        </w:rPr>
      </w:pPr>
      <w:r w:rsidRPr="001810A6">
        <w:rPr>
          <w:rStyle w:val="Rimandonotaapidipagina"/>
          <w:rFonts w:ascii="Garamond" w:hAnsi="Garamond" w:cs="Times New Roman"/>
          <w:color w:val="000000" w:themeColor="text1"/>
        </w:rPr>
        <w:footnoteRef/>
      </w:r>
      <w:r w:rsidRPr="001810A6">
        <w:rPr>
          <w:rFonts w:ascii="Garamond" w:hAnsi="Garamond" w:cs="Times New Roman"/>
          <w:color w:val="000000" w:themeColor="text1"/>
        </w:rPr>
        <w:t xml:space="preserve"> Per una completa ricostruzione delle fonti normative</w:t>
      </w:r>
      <w:r w:rsidR="00751AE4" w:rsidRPr="001810A6">
        <w:rPr>
          <w:rFonts w:ascii="Garamond" w:hAnsi="Garamond" w:cs="Times New Roman"/>
          <w:color w:val="000000" w:themeColor="text1"/>
        </w:rPr>
        <w:t xml:space="preserve"> cfr.</w:t>
      </w:r>
      <w:r w:rsidRPr="001810A6">
        <w:rPr>
          <w:rFonts w:ascii="Garamond" w:hAnsi="Garamond" w:cs="Times New Roman"/>
          <w:color w:val="000000" w:themeColor="text1"/>
        </w:rPr>
        <w:t xml:space="preserve"> </w:t>
      </w:r>
      <w:r w:rsidR="00751AE4" w:rsidRPr="001810A6">
        <w:rPr>
          <w:rFonts w:ascii="Garamond" w:hAnsi="Garamond"/>
          <w:smallCaps/>
          <w:color w:val="000000" w:themeColor="text1"/>
        </w:rPr>
        <w:t xml:space="preserve">R. </w:t>
      </w:r>
      <w:proofErr w:type="spellStart"/>
      <w:r w:rsidR="00751AE4" w:rsidRPr="001810A6">
        <w:rPr>
          <w:rFonts w:ascii="Garamond" w:hAnsi="Garamond"/>
          <w:smallCaps/>
          <w:color w:val="000000" w:themeColor="text1"/>
        </w:rPr>
        <w:t>Garofoli</w:t>
      </w:r>
      <w:proofErr w:type="spellEnd"/>
      <w:r w:rsidR="00751AE4" w:rsidRPr="001810A6">
        <w:rPr>
          <w:rFonts w:ascii="Garamond" w:hAnsi="Garamond"/>
          <w:color w:val="000000" w:themeColor="text1"/>
        </w:rPr>
        <w:t xml:space="preserve"> e </w:t>
      </w:r>
      <w:r w:rsidR="00751AE4" w:rsidRPr="001810A6">
        <w:rPr>
          <w:rFonts w:ascii="Garamond" w:hAnsi="Garamond"/>
          <w:smallCaps/>
          <w:color w:val="000000" w:themeColor="text1"/>
        </w:rPr>
        <w:t>G. Ferrari</w:t>
      </w:r>
      <w:r w:rsidR="00751AE4" w:rsidRPr="001810A6">
        <w:rPr>
          <w:rFonts w:ascii="Garamond" w:hAnsi="Garamond"/>
          <w:color w:val="000000" w:themeColor="text1"/>
        </w:rPr>
        <w:t xml:space="preserve">, </w:t>
      </w:r>
      <w:r w:rsidR="00751AE4" w:rsidRPr="001810A6">
        <w:rPr>
          <w:rFonts w:ascii="Garamond" w:hAnsi="Garamond"/>
          <w:i/>
          <w:color w:val="000000" w:themeColor="text1"/>
        </w:rPr>
        <w:t xml:space="preserve">Sicurezza pubblica e funzioni amministrative di contrasto alla criminalità; le </w:t>
      </w:r>
      <w:proofErr w:type="spellStart"/>
      <w:r w:rsidR="00751AE4" w:rsidRPr="001810A6">
        <w:rPr>
          <w:rFonts w:ascii="Garamond" w:hAnsi="Garamond"/>
          <w:i/>
          <w:color w:val="000000" w:themeColor="text1"/>
        </w:rPr>
        <w:t>interdittive</w:t>
      </w:r>
      <w:proofErr w:type="spellEnd"/>
      <w:r w:rsidR="00751AE4" w:rsidRPr="001810A6">
        <w:rPr>
          <w:rFonts w:ascii="Garamond" w:hAnsi="Garamond"/>
          <w:i/>
          <w:color w:val="000000" w:themeColor="text1"/>
        </w:rPr>
        <w:t xml:space="preserve"> antimafia</w:t>
      </w:r>
      <w:r w:rsidR="00751AE4" w:rsidRPr="001810A6">
        <w:rPr>
          <w:rFonts w:ascii="Garamond" w:hAnsi="Garamond"/>
          <w:color w:val="000000" w:themeColor="text1"/>
        </w:rPr>
        <w:t xml:space="preserve">, in </w:t>
      </w:r>
      <w:hyperlink r:id="rId2" w:history="1">
        <w:r w:rsidR="00751AE4" w:rsidRPr="001810A6">
          <w:rPr>
            <w:rStyle w:val="Collegamentoipertestuale"/>
            <w:rFonts w:ascii="Garamond" w:hAnsi="Garamond"/>
            <w:color w:val="000000" w:themeColor="text1"/>
          </w:rPr>
          <w:t>www.giustizia.amministrativa.it</w:t>
        </w:r>
      </w:hyperlink>
      <w:r w:rsidR="00751AE4" w:rsidRPr="001810A6">
        <w:rPr>
          <w:rFonts w:ascii="Garamond" w:hAnsi="Garamond"/>
          <w:color w:val="000000" w:themeColor="text1"/>
        </w:rPr>
        <w:t xml:space="preserve"> , </w:t>
      </w:r>
      <w:r w:rsidRPr="001810A6">
        <w:rPr>
          <w:rFonts w:ascii="Garamond" w:hAnsi="Garamond" w:cs="Times New Roman"/>
          <w:color w:val="000000" w:themeColor="text1"/>
        </w:rPr>
        <w:t xml:space="preserve">i quali evidenziano come </w:t>
      </w:r>
      <w:r w:rsidRPr="001810A6">
        <w:rPr>
          <w:rFonts w:ascii="Garamond" w:hAnsi="Garamond" w:cs="Times New Roman"/>
          <w:i/>
          <w:color w:val="000000" w:themeColor="text1"/>
        </w:rPr>
        <w:t>“</w:t>
      </w:r>
      <w:r w:rsidRPr="001810A6">
        <w:rPr>
          <w:rFonts w:ascii="Garamond" w:hAnsi="Garamond" w:cs="Times New Roman"/>
          <w:bCs/>
          <w:i/>
          <w:color w:val="000000" w:themeColor="text1"/>
        </w:rPr>
        <w:t>Alla sicurezza pubblica la Costituzione ha riguardo, in particolare, nel dettare le regole di riparto delle attribuzioni legislative, in particolare prevedendo tra le materie assegnate alla competenza esclusiva dello Stato quelle dell’</w:t>
      </w:r>
      <w:r w:rsidRPr="001810A6">
        <w:rPr>
          <w:rFonts w:ascii="Garamond" w:hAnsi="Garamond" w:cs="Times New Roman"/>
          <w:i/>
          <w:iCs/>
          <w:color w:val="000000" w:themeColor="text1"/>
        </w:rPr>
        <w:t xml:space="preserve">ordine pubblico </w:t>
      </w:r>
      <w:r w:rsidRPr="001810A6">
        <w:rPr>
          <w:rFonts w:ascii="Garamond" w:hAnsi="Garamond" w:cs="Times New Roman"/>
          <w:i/>
          <w:color w:val="000000" w:themeColor="text1"/>
        </w:rPr>
        <w:t xml:space="preserve">e della </w:t>
      </w:r>
      <w:r w:rsidRPr="001810A6">
        <w:rPr>
          <w:rFonts w:ascii="Garamond" w:hAnsi="Garamond" w:cs="Times New Roman"/>
          <w:i/>
          <w:iCs/>
          <w:color w:val="000000" w:themeColor="text1"/>
        </w:rPr>
        <w:t>sicurezza</w:t>
      </w:r>
      <w:r w:rsidRPr="001810A6">
        <w:rPr>
          <w:rFonts w:ascii="Garamond" w:hAnsi="Garamond" w:cs="Times New Roman"/>
          <w:i/>
          <w:color w:val="000000" w:themeColor="text1"/>
        </w:rPr>
        <w:t xml:space="preserve">, ad esclusione della </w:t>
      </w:r>
      <w:r w:rsidRPr="001810A6">
        <w:rPr>
          <w:rFonts w:ascii="Garamond" w:hAnsi="Garamond" w:cs="Times New Roman"/>
          <w:i/>
          <w:iCs/>
          <w:color w:val="000000" w:themeColor="text1"/>
        </w:rPr>
        <w:t>polizia amministrativa locale</w:t>
      </w:r>
      <w:r w:rsidRPr="001810A6">
        <w:rPr>
          <w:rFonts w:ascii="Garamond" w:hAnsi="Garamond" w:cs="Times New Roman"/>
          <w:i/>
          <w:color w:val="000000" w:themeColor="text1"/>
        </w:rPr>
        <w:t>.</w:t>
      </w:r>
      <w:r w:rsidRPr="001810A6">
        <w:rPr>
          <w:rFonts w:ascii="Garamond" w:hAnsi="Garamond" w:cs="Times New Roman"/>
          <w:bCs/>
          <w:i/>
          <w:color w:val="000000" w:themeColor="text1"/>
        </w:rPr>
        <w:t xml:space="preserve"> </w:t>
      </w:r>
      <w:r w:rsidRPr="001810A6">
        <w:rPr>
          <w:rFonts w:ascii="Garamond" w:hAnsi="Garamond" w:cs="Times New Roman"/>
          <w:i/>
          <w:color w:val="000000" w:themeColor="text1"/>
        </w:rPr>
        <w:t xml:space="preserve">A livello </w:t>
      </w:r>
      <w:r w:rsidRPr="001810A6">
        <w:rPr>
          <w:rFonts w:ascii="Garamond" w:hAnsi="Garamond" w:cs="Times New Roman"/>
          <w:i/>
          <w:iCs/>
          <w:color w:val="000000" w:themeColor="text1"/>
        </w:rPr>
        <w:t>sub</w:t>
      </w:r>
      <w:r w:rsidRPr="001810A6">
        <w:rPr>
          <w:rFonts w:ascii="Garamond" w:hAnsi="Garamond" w:cs="Times New Roman"/>
          <w:i/>
          <w:color w:val="000000" w:themeColor="text1"/>
        </w:rPr>
        <w:t xml:space="preserve"> costituzionale, una definizione di sicurezza pubblica si rinviene all’art. 159, comma </w:t>
      </w:r>
      <w:r w:rsidRPr="00A214B9">
        <w:rPr>
          <w:rFonts w:ascii="Garamond" w:hAnsi="Garamond" w:cs="Times New Roman"/>
          <w:i/>
          <w:color w:val="000000" w:themeColor="text1"/>
        </w:rPr>
        <w:t xml:space="preserve">2, d. </w:t>
      </w:r>
      <w:proofErr w:type="spellStart"/>
      <w:r w:rsidRPr="00A214B9">
        <w:rPr>
          <w:rFonts w:ascii="Garamond" w:hAnsi="Garamond" w:cs="Times New Roman"/>
          <w:i/>
          <w:color w:val="000000" w:themeColor="text1"/>
        </w:rPr>
        <w:t>lgs</w:t>
      </w:r>
      <w:proofErr w:type="spellEnd"/>
      <w:r w:rsidRPr="00A214B9">
        <w:rPr>
          <w:rFonts w:ascii="Garamond" w:hAnsi="Garamond" w:cs="Times New Roman"/>
          <w:i/>
          <w:color w:val="000000" w:themeColor="text1"/>
        </w:rPr>
        <w:t>. 31 marzo 1998, n. 112, a tenore del quale le funzioni ed i compiti amministrativi relativi all’ordine pubblico e sicurezza pubblica “</w:t>
      </w:r>
      <w:r w:rsidRPr="00A214B9">
        <w:rPr>
          <w:rFonts w:ascii="Garamond" w:hAnsi="Garamond" w:cs="Times New Roman"/>
          <w:i/>
          <w:iCs/>
          <w:color w:val="000000" w:themeColor="text1"/>
        </w:rPr>
        <w:t>concernono le misure preventive e repressive dirette al mantenimento dell’ordine pubblico, inteso come il complesso dei beni giuridici fondamentali e degli interessi pubblici primari sui quali si regge l’ordinata e civile convivenza nella comunità</w:t>
      </w:r>
      <w:r w:rsidRPr="00A214B9">
        <w:rPr>
          <w:rFonts w:ascii="Garamond" w:hAnsi="Garamond" w:cs="Times New Roman"/>
          <w:i/>
          <w:color w:val="000000" w:themeColor="text1"/>
        </w:rPr>
        <w:t xml:space="preserve"> nazionale, nonché alla sicurezza delle istituzioni, dei </w:t>
      </w:r>
      <w:r w:rsidRPr="00A214B9">
        <w:rPr>
          <w:rFonts w:ascii="Garamond" w:hAnsi="Garamond" w:cs="Times New Roman"/>
          <w:i/>
          <w:iCs/>
          <w:color w:val="000000" w:themeColor="text1"/>
        </w:rPr>
        <w:t>cittadini e dei loro beni</w:t>
      </w:r>
      <w:r w:rsidRPr="00A214B9">
        <w:rPr>
          <w:rFonts w:ascii="Garamond" w:hAnsi="Garamond" w:cs="Times New Roman"/>
          <w:i/>
          <w:color w:val="000000" w:themeColor="text1"/>
        </w:rPr>
        <w:t>”.</w:t>
      </w:r>
      <w:r w:rsidRPr="00A214B9">
        <w:rPr>
          <w:rFonts w:ascii="Garamond" w:hAnsi="Garamond" w:cs="Times New Roman"/>
          <w:bCs/>
          <w:i/>
          <w:color w:val="000000" w:themeColor="text1"/>
        </w:rPr>
        <w:t xml:space="preserve"> </w:t>
      </w:r>
      <w:r w:rsidRPr="00A214B9">
        <w:rPr>
          <w:rFonts w:ascii="Garamond" w:hAnsi="Garamond" w:cs="Times New Roman"/>
          <w:i/>
          <w:color w:val="000000" w:themeColor="text1"/>
        </w:rPr>
        <w:t>Si tratta di definizione conforme, peraltro, alla nozione tradizionalmente fatta propria dalla Corte Costituzionale.</w:t>
      </w:r>
      <w:r w:rsidR="00751AE4" w:rsidRPr="00A214B9">
        <w:rPr>
          <w:rFonts w:ascii="Garamond" w:hAnsi="Garamond" w:cs="Times New Roman"/>
          <w:i/>
          <w:color w:val="000000" w:themeColor="text1"/>
        </w:rPr>
        <w:t xml:space="preserve"> </w:t>
      </w:r>
      <w:r w:rsidRPr="00A214B9">
        <w:rPr>
          <w:rFonts w:ascii="Garamond" w:hAnsi="Garamond" w:cs="Times New Roman"/>
          <w:i/>
          <w:color w:val="000000" w:themeColor="text1"/>
        </w:rPr>
        <w:t xml:space="preserve">La stessa Corte ha chiarito che la locuzione </w:t>
      </w:r>
      <w:r w:rsidRPr="00A214B9">
        <w:rPr>
          <w:rFonts w:ascii="Garamond" w:hAnsi="Garamond" w:cs="Times New Roman"/>
          <w:i/>
          <w:iCs/>
          <w:color w:val="000000" w:themeColor="text1"/>
        </w:rPr>
        <w:t>interessi pubblici primari</w:t>
      </w:r>
      <w:r w:rsidRPr="00A214B9">
        <w:rPr>
          <w:rFonts w:ascii="Garamond" w:hAnsi="Garamond" w:cs="Times New Roman"/>
          <w:i/>
          <w:color w:val="000000" w:themeColor="text1"/>
        </w:rPr>
        <w:t>, utilizzata dal richiamato art. 159, comma 2, ricomprende non qualsiasi interesse pubblico, alla cui cura siano preposte le pubbliche amministrazioni, ma gli “</w:t>
      </w:r>
      <w:r w:rsidRPr="00A214B9">
        <w:rPr>
          <w:rFonts w:ascii="Garamond" w:hAnsi="Garamond" w:cs="Times New Roman"/>
          <w:i/>
          <w:iCs/>
          <w:color w:val="000000" w:themeColor="text1"/>
        </w:rPr>
        <w:t>interessi essenziali al mantenimento di una ordinata convivenza civile</w:t>
      </w:r>
      <w:r w:rsidRPr="00A214B9">
        <w:rPr>
          <w:rFonts w:ascii="Garamond" w:hAnsi="Garamond" w:cs="Times New Roman"/>
          <w:i/>
          <w:color w:val="000000" w:themeColor="text1"/>
        </w:rPr>
        <w:t>”.</w:t>
      </w:r>
    </w:p>
  </w:footnote>
  <w:footnote w:id="5">
    <w:p w:rsidR="00B138AC" w:rsidRPr="00F77070" w:rsidRDefault="00B138AC" w:rsidP="00A214B9">
      <w:pPr>
        <w:pStyle w:val="Testonotaapidipagina"/>
        <w:ind w:firstLine="709"/>
        <w:jc w:val="both"/>
        <w:rPr>
          <w:rFonts w:ascii="Garamond" w:hAnsi="Garamond" w:cs="Times New Roman"/>
          <w:color w:val="000000" w:themeColor="text1"/>
          <w:sz w:val="24"/>
          <w:szCs w:val="24"/>
          <w:lang w:val="en-US"/>
        </w:rPr>
      </w:pPr>
      <w:r w:rsidRPr="00A214B9">
        <w:rPr>
          <w:rStyle w:val="Rimandonotaapidipagina"/>
          <w:rFonts w:ascii="Garamond" w:hAnsi="Garamond" w:cs="Times New Roman"/>
          <w:color w:val="000000" w:themeColor="text1"/>
          <w:sz w:val="24"/>
          <w:szCs w:val="24"/>
        </w:rPr>
        <w:footnoteRef/>
      </w:r>
      <w:r w:rsidRPr="00F77070">
        <w:rPr>
          <w:rFonts w:ascii="Garamond" w:hAnsi="Garamond" w:cs="Times New Roman"/>
          <w:color w:val="000000" w:themeColor="text1"/>
          <w:sz w:val="24"/>
          <w:szCs w:val="24"/>
          <w:lang w:val="en-US"/>
        </w:rPr>
        <w:t xml:space="preserve">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III, </w:t>
      </w:r>
      <w:r w:rsidR="00751AE4" w:rsidRPr="00F77070">
        <w:rPr>
          <w:rFonts w:ascii="Garamond" w:hAnsi="Garamond" w:cs="Times New Roman"/>
          <w:color w:val="000000" w:themeColor="text1"/>
          <w:sz w:val="24"/>
          <w:szCs w:val="24"/>
          <w:lang w:val="en-US"/>
        </w:rPr>
        <w:t xml:space="preserve">3 </w:t>
      </w:r>
      <w:proofErr w:type="spellStart"/>
      <w:r w:rsidR="00751AE4" w:rsidRPr="00F77070">
        <w:rPr>
          <w:rFonts w:ascii="Garamond" w:hAnsi="Garamond" w:cs="Times New Roman"/>
          <w:color w:val="000000" w:themeColor="text1"/>
          <w:sz w:val="24"/>
          <w:szCs w:val="24"/>
          <w:lang w:val="en-US"/>
        </w:rPr>
        <w:t>maggio</w:t>
      </w:r>
      <w:proofErr w:type="spellEnd"/>
      <w:r w:rsidR="00751AE4" w:rsidRPr="00F77070">
        <w:rPr>
          <w:rFonts w:ascii="Garamond" w:hAnsi="Garamond" w:cs="Times New Roman"/>
          <w:color w:val="000000" w:themeColor="text1"/>
          <w:sz w:val="24"/>
          <w:szCs w:val="24"/>
          <w:lang w:val="en-US"/>
        </w:rPr>
        <w:t xml:space="preserve"> 2016, </w:t>
      </w:r>
      <w:r w:rsidRPr="00F77070">
        <w:rPr>
          <w:rFonts w:ascii="Garamond" w:hAnsi="Garamond" w:cs="Times New Roman"/>
          <w:color w:val="000000" w:themeColor="text1"/>
          <w:sz w:val="24"/>
          <w:szCs w:val="24"/>
          <w:lang w:val="en-US"/>
        </w:rPr>
        <w:t xml:space="preserve">n. 1743;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III, </w:t>
      </w:r>
      <w:r w:rsidR="00751AE4" w:rsidRPr="00F77070">
        <w:rPr>
          <w:rFonts w:ascii="Garamond" w:hAnsi="Garamond" w:cs="Times New Roman"/>
          <w:color w:val="000000" w:themeColor="text1"/>
          <w:sz w:val="24"/>
          <w:szCs w:val="24"/>
          <w:lang w:val="en-US"/>
        </w:rPr>
        <w:t xml:space="preserve">13 </w:t>
      </w:r>
      <w:proofErr w:type="spellStart"/>
      <w:r w:rsidR="00751AE4" w:rsidRPr="00F77070">
        <w:rPr>
          <w:rFonts w:ascii="Garamond" w:hAnsi="Garamond" w:cs="Times New Roman"/>
          <w:color w:val="000000" w:themeColor="text1"/>
          <w:sz w:val="24"/>
          <w:szCs w:val="24"/>
          <w:lang w:val="en-US"/>
        </w:rPr>
        <w:t>marzo</w:t>
      </w:r>
      <w:proofErr w:type="spellEnd"/>
      <w:r w:rsidR="00751AE4" w:rsidRPr="00F77070">
        <w:rPr>
          <w:rFonts w:ascii="Garamond" w:hAnsi="Garamond" w:cs="Times New Roman"/>
          <w:color w:val="000000" w:themeColor="text1"/>
          <w:sz w:val="24"/>
          <w:szCs w:val="24"/>
          <w:lang w:val="en-US"/>
        </w:rPr>
        <w:t xml:space="preserve"> 2017, </w:t>
      </w:r>
      <w:r w:rsidRPr="00F77070">
        <w:rPr>
          <w:rFonts w:ascii="Garamond" w:hAnsi="Garamond" w:cs="Times New Roman"/>
          <w:color w:val="000000" w:themeColor="text1"/>
          <w:sz w:val="24"/>
          <w:szCs w:val="24"/>
          <w:lang w:val="en-US"/>
        </w:rPr>
        <w:t>n. 1156</w:t>
      </w:r>
      <w:r w:rsidR="00751AE4" w:rsidRPr="00F77070">
        <w:rPr>
          <w:rFonts w:ascii="Garamond" w:hAnsi="Garamond" w:cs="Times New Roman"/>
          <w:color w:val="000000" w:themeColor="text1"/>
          <w:sz w:val="24"/>
          <w:szCs w:val="24"/>
          <w:lang w:val="en-US"/>
        </w:rPr>
        <w:t>.</w:t>
      </w:r>
    </w:p>
  </w:footnote>
  <w:footnote w:id="6">
    <w:p w:rsidR="00B138AC" w:rsidRPr="00A214B9" w:rsidRDefault="00B138AC" w:rsidP="00A214B9">
      <w:pPr>
        <w:pStyle w:val="Testonotaapidipagina"/>
        <w:ind w:firstLine="709"/>
        <w:jc w:val="both"/>
        <w:rPr>
          <w:rFonts w:ascii="Garamond" w:hAnsi="Garamond"/>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w:t>
      </w:r>
      <w:proofErr w:type="spellStart"/>
      <w:r w:rsidRPr="00A214B9">
        <w:rPr>
          <w:rFonts w:ascii="Garamond" w:hAnsi="Garamond" w:cs="Times New Roman"/>
          <w:color w:val="000000" w:themeColor="text1"/>
          <w:sz w:val="24"/>
          <w:szCs w:val="24"/>
        </w:rPr>
        <w:t>Cons</w:t>
      </w:r>
      <w:proofErr w:type="spellEnd"/>
      <w:r w:rsidRPr="00A214B9">
        <w:rPr>
          <w:rFonts w:ascii="Garamond" w:hAnsi="Garamond" w:cs="Times New Roman"/>
          <w:color w:val="000000" w:themeColor="text1"/>
          <w:sz w:val="24"/>
          <w:szCs w:val="24"/>
        </w:rPr>
        <w:t xml:space="preserve">. St., </w:t>
      </w:r>
      <w:r w:rsidR="00C010D5">
        <w:rPr>
          <w:rFonts w:ascii="Garamond" w:hAnsi="Garamond" w:cs="Times New Roman"/>
          <w:color w:val="000000" w:themeColor="text1"/>
          <w:sz w:val="24"/>
          <w:szCs w:val="24"/>
        </w:rPr>
        <w:t>sez.</w:t>
      </w:r>
      <w:r w:rsidRPr="00A214B9">
        <w:rPr>
          <w:rFonts w:ascii="Garamond" w:hAnsi="Garamond" w:cs="Times New Roman"/>
          <w:color w:val="000000" w:themeColor="text1"/>
          <w:sz w:val="24"/>
          <w:szCs w:val="24"/>
        </w:rPr>
        <w:t xml:space="preserve"> III,</w:t>
      </w:r>
      <w:r w:rsidR="00751AE4" w:rsidRPr="00A214B9">
        <w:rPr>
          <w:rFonts w:ascii="Garamond" w:hAnsi="Garamond" w:cs="Times New Roman"/>
          <w:color w:val="000000" w:themeColor="text1"/>
          <w:sz w:val="24"/>
          <w:szCs w:val="24"/>
        </w:rPr>
        <w:t xml:space="preserve"> 3 maggio 2016,</w:t>
      </w:r>
      <w:r w:rsidRPr="00A214B9">
        <w:rPr>
          <w:rFonts w:ascii="Garamond" w:hAnsi="Garamond" w:cs="Times New Roman"/>
          <w:color w:val="000000" w:themeColor="text1"/>
          <w:sz w:val="24"/>
          <w:szCs w:val="24"/>
        </w:rPr>
        <w:t xml:space="preserve"> n. 1743; </w:t>
      </w:r>
      <w:r w:rsidR="00751AE4" w:rsidRPr="003C0B3A">
        <w:rPr>
          <w:rStyle w:val="SottotitoloCarattere"/>
          <w:rFonts w:ascii="Garamond" w:hAnsi="Garamond"/>
          <w:color w:val="000000" w:themeColor="text1"/>
        </w:rPr>
        <w:t xml:space="preserve">G. </w:t>
      </w:r>
      <w:r w:rsidRPr="003C0B3A">
        <w:rPr>
          <w:rStyle w:val="SottotitoloCarattere"/>
          <w:rFonts w:ascii="Garamond" w:hAnsi="Garamond"/>
          <w:color w:val="000000" w:themeColor="text1"/>
        </w:rPr>
        <w:t>C</w:t>
      </w:r>
      <w:r w:rsidRPr="003C0B3A">
        <w:rPr>
          <w:rStyle w:val="SottotitoloCarattere"/>
          <w:rFonts w:ascii="Garamond" w:hAnsi="Garamond"/>
          <w:color w:val="000000" w:themeColor="text1"/>
          <w:sz w:val="18"/>
          <w:szCs w:val="18"/>
        </w:rPr>
        <w:t>ORSO,</w:t>
      </w:r>
      <w:r w:rsidRPr="003C0B3A">
        <w:rPr>
          <w:rFonts w:ascii="Garamond" w:hAnsi="Garamond" w:cs="Times New Roman"/>
          <w:color w:val="000000" w:themeColor="text1"/>
          <w:sz w:val="18"/>
          <w:szCs w:val="18"/>
        </w:rPr>
        <w:t xml:space="preserve"> </w:t>
      </w:r>
      <w:r w:rsidRPr="00A214B9">
        <w:rPr>
          <w:rFonts w:ascii="Garamond" w:hAnsi="Garamond" w:cs="Times New Roman"/>
          <w:i/>
          <w:iCs/>
          <w:color w:val="000000" w:themeColor="text1"/>
          <w:sz w:val="24"/>
          <w:szCs w:val="24"/>
        </w:rPr>
        <w:t>Ordine pubblico nel diritto amministrativo</w:t>
      </w:r>
      <w:r w:rsidRPr="00A214B9">
        <w:rPr>
          <w:rFonts w:ascii="Garamond" w:hAnsi="Garamond" w:cs="Times New Roman"/>
          <w:color w:val="000000" w:themeColor="text1"/>
          <w:sz w:val="24"/>
          <w:szCs w:val="24"/>
        </w:rPr>
        <w:t xml:space="preserve">, in </w:t>
      </w:r>
      <w:r w:rsidRPr="00A214B9">
        <w:rPr>
          <w:rFonts w:ascii="Garamond" w:hAnsi="Garamond" w:cs="Times New Roman"/>
          <w:i/>
          <w:iCs/>
          <w:color w:val="000000" w:themeColor="text1"/>
          <w:sz w:val="24"/>
          <w:szCs w:val="24"/>
        </w:rPr>
        <w:t>Digesto delle discipline pubblicistiche</w:t>
      </w:r>
      <w:r w:rsidRPr="00A214B9">
        <w:rPr>
          <w:rFonts w:ascii="Garamond" w:hAnsi="Garamond" w:cs="Times New Roman"/>
          <w:color w:val="000000" w:themeColor="text1"/>
          <w:sz w:val="24"/>
          <w:szCs w:val="24"/>
        </w:rPr>
        <w:t xml:space="preserve">, X, 1995, </w:t>
      </w:r>
      <w:r w:rsidR="00751AE4" w:rsidRPr="00A214B9">
        <w:rPr>
          <w:rFonts w:ascii="Garamond" w:hAnsi="Garamond" w:cs="Times New Roman"/>
          <w:color w:val="000000" w:themeColor="text1"/>
          <w:sz w:val="24"/>
          <w:szCs w:val="24"/>
        </w:rPr>
        <w:t xml:space="preserve">p. </w:t>
      </w:r>
      <w:r w:rsidRPr="00A214B9">
        <w:rPr>
          <w:rFonts w:ascii="Garamond" w:hAnsi="Garamond" w:cs="Times New Roman"/>
          <w:color w:val="000000" w:themeColor="text1"/>
          <w:sz w:val="24"/>
          <w:szCs w:val="24"/>
        </w:rPr>
        <w:t xml:space="preserve">439 ss.; </w:t>
      </w:r>
      <w:r w:rsidR="00751AE4" w:rsidRPr="003C0B3A">
        <w:rPr>
          <w:rStyle w:val="SottotitoloCarattere"/>
          <w:rFonts w:ascii="Garamond" w:hAnsi="Garamond"/>
          <w:color w:val="000000" w:themeColor="text1"/>
        </w:rPr>
        <w:t xml:space="preserve">G. </w:t>
      </w:r>
      <w:r w:rsidRPr="003C0B3A">
        <w:rPr>
          <w:rStyle w:val="SottotitoloCarattere"/>
          <w:rFonts w:ascii="Garamond" w:hAnsi="Garamond"/>
          <w:color w:val="000000" w:themeColor="text1"/>
        </w:rPr>
        <w:t>N</w:t>
      </w:r>
      <w:r w:rsidRPr="003C0B3A">
        <w:rPr>
          <w:rStyle w:val="SottotitoloCarattere"/>
          <w:rFonts w:ascii="Garamond" w:hAnsi="Garamond"/>
          <w:color w:val="000000" w:themeColor="text1"/>
          <w:sz w:val="18"/>
          <w:szCs w:val="18"/>
        </w:rPr>
        <w:t>APOLITANO</w:t>
      </w:r>
      <w:r w:rsidRPr="00A214B9">
        <w:rPr>
          <w:rStyle w:val="SottotitoloCarattere"/>
          <w:rFonts w:ascii="Garamond" w:hAnsi="Garamond"/>
          <w:color w:val="000000" w:themeColor="text1"/>
          <w:sz w:val="20"/>
          <w:szCs w:val="20"/>
        </w:rPr>
        <w:t>,</w:t>
      </w:r>
      <w:r w:rsidRPr="00A214B9">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 xml:space="preserve">L’ordine pubblico, </w:t>
      </w:r>
      <w:r w:rsidRPr="00A214B9">
        <w:rPr>
          <w:rFonts w:ascii="Garamond" w:hAnsi="Garamond" w:cs="Times New Roman"/>
          <w:color w:val="000000" w:themeColor="text1"/>
          <w:sz w:val="24"/>
          <w:szCs w:val="24"/>
        </w:rPr>
        <w:t xml:space="preserve">in </w:t>
      </w:r>
      <w:r w:rsidRPr="003C0B3A">
        <w:rPr>
          <w:rStyle w:val="SottotitoloCarattere"/>
          <w:rFonts w:ascii="Garamond" w:hAnsi="Garamond"/>
          <w:color w:val="000000" w:themeColor="text1"/>
        </w:rPr>
        <w:t>C</w:t>
      </w:r>
      <w:r w:rsidRPr="00A214B9">
        <w:rPr>
          <w:rStyle w:val="SottotitoloCarattere"/>
          <w:rFonts w:ascii="Garamond" w:hAnsi="Garamond"/>
          <w:color w:val="000000" w:themeColor="text1"/>
          <w:sz w:val="20"/>
          <w:szCs w:val="20"/>
        </w:rPr>
        <w:t>ASSESE</w:t>
      </w:r>
      <w:r w:rsidRPr="00A214B9">
        <w:rPr>
          <w:rFonts w:ascii="Garamond" w:hAnsi="Garamond" w:cs="Times New Roman"/>
          <w:color w:val="000000" w:themeColor="text1"/>
        </w:rPr>
        <w:t xml:space="preserve"> </w:t>
      </w:r>
      <w:r w:rsidRPr="00A214B9">
        <w:rPr>
          <w:rFonts w:ascii="Garamond" w:hAnsi="Garamond" w:cs="Times New Roman"/>
          <w:color w:val="000000" w:themeColor="text1"/>
          <w:sz w:val="24"/>
          <w:szCs w:val="24"/>
        </w:rPr>
        <w:t xml:space="preserve">(a cura di), </w:t>
      </w:r>
      <w:r w:rsidRPr="00A214B9">
        <w:rPr>
          <w:rFonts w:ascii="Garamond" w:hAnsi="Garamond" w:cs="Times New Roman"/>
          <w:i/>
          <w:color w:val="000000" w:themeColor="text1"/>
          <w:sz w:val="24"/>
          <w:szCs w:val="24"/>
        </w:rPr>
        <w:t>Istituzioni di diritto amministrativo,</w:t>
      </w:r>
      <w:r w:rsidRPr="00A214B9">
        <w:rPr>
          <w:rFonts w:ascii="Garamond" w:hAnsi="Garamond" w:cs="Times New Roman"/>
          <w:color w:val="000000" w:themeColor="text1"/>
          <w:sz w:val="24"/>
          <w:szCs w:val="24"/>
        </w:rPr>
        <w:t xml:space="preserve"> 2012</w:t>
      </w:r>
      <w:r w:rsidR="007102BA">
        <w:rPr>
          <w:rFonts w:ascii="Garamond" w:hAnsi="Garamond" w:cs="Times New Roman"/>
          <w:color w:val="000000" w:themeColor="text1"/>
          <w:sz w:val="24"/>
          <w:szCs w:val="24"/>
        </w:rPr>
        <w:t xml:space="preserve">, </w:t>
      </w:r>
      <w:r w:rsidR="007102BA" w:rsidRPr="00A83B67">
        <w:rPr>
          <w:rFonts w:ascii="Garamond" w:hAnsi="Garamond"/>
          <w:smallCaps/>
          <w:sz w:val="24"/>
          <w:szCs w:val="24"/>
        </w:rPr>
        <w:t>A. Longo</w:t>
      </w:r>
      <w:r w:rsidR="007102BA">
        <w:rPr>
          <w:rFonts w:ascii="Garamond" w:hAnsi="Garamond"/>
          <w:sz w:val="24"/>
          <w:szCs w:val="24"/>
        </w:rPr>
        <w:t xml:space="preserve">, </w:t>
      </w:r>
      <w:r w:rsidR="007102BA">
        <w:rPr>
          <w:rFonts w:ascii="Garamond" w:hAnsi="Garamond"/>
          <w:i/>
          <w:sz w:val="24"/>
          <w:szCs w:val="24"/>
        </w:rPr>
        <w:t xml:space="preserve">La «massima anticipazione di tutela». </w:t>
      </w:r>
      <w:proofErr w:type="spellStart"/>
      <w:r w:rsidR="007102BA">
        <w:rPr>
          <w:rFonts w:ascii="Garamond" w:hAnsi="Garamond"/>
          <w:i/>
          <w:sz w:val="24"/>
          <w:szCs w:val="24"/>
        </w:rPr>
        <w:t>Interdittive</w:t>
      </w:r>
      <w:proofErr w:type="spellEnd"/>
      <w:r w:rsidR="007102BA">
        <w:rPr>
          <w:rFonts w:ascii="Garamond" w:hAnsi="Garamond"/>
          <w:i/>
          <w:sz w:val="24"/>
          <w:szCs w:val="24"/>
        </w:rPr>
        <w:t xml:space="preserve"> antimafia e sofferenze costituzionali</w:t>
      </w:r>
      <w:r w:rsidR="007102BA">
        <w:rPr>
          <w:rFonts w:ascii="Garamond" w:hAnsi="Garamond"/>
          <w:sz w:val="24"/>
          <w:szCs w:val="24"/>
        </w:rPr>
        <w:t xml:space="preserve">, in </w:t>
      </w:r>
      <w:hyperlink r:id="rId3" w:history="1">
        <w:r w:rsidR="007102BA" w:rsidRPr="00F17A98">
          <w:rPr>
            <w:rStyle w:val="Collegamentoipertestuale"/>
            <w:rFonts w:ascii="Garamond" w:hAnsi="Garamond"/>
            <w:sz w:val="24"/>
            <w:szCs w:val="24"/>
          </w:rPr>
          <w:t>www.federalismi.it</w:t>
        </w:r>
      </w:hyperlink>
      <w:r w:rsidR="007102BA">
        <w:rPr>
          <w:rFonts w:ascii="Garamond" w:hAnsi="Garamond"/>
          <w:sz w:val="24"/>
          <w:szCs w:val="24"/>
        </w:rPr>
        <w:t>, n. 19/2019</w:t>
      </w:r>
    </w:p>
  </w:footnote>
  <w:footnote w:id="7">
    <w:p w:rsidR="002A6C19" w:rsidRPr="00A214B9" w:rsidRDefault="002A6C19"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w:t>
      </w:r>
      <w:proofErr w:type="spellStart"/>
      <w:r w:rsidRPr="00A214B9">
        <w:rPr>
          <w:rFonts w:ascii="Garamond" w:hAnsi="Garamond" w:cs="Times New Roman"/>
          <w:color w:val="000000" w:themeColor="text1"/>
          <w:sz w:val="24"/>
          <w:szCs w:val="24"/>
        </w:rPr>
        <w:t>cfr</w:t>
      </w:r>
      <w:proofErr w:type="spellEnd"/>
      <w:r w:rsidRPr="00A214B9">
        <w:rPr>
          <w:rStyle w:val="SottotitoloCarattere"/>
          <w:rFonts w:ascii="Garamond" w:hAnsi="Garamond"/>
          <w:color w:val="000000" w:themeColor="text1"/>
          <w:sz w:val="24"/>
          <w:szCs w:val="24"/>
        </w:rPr>
        <w:t xml:space="preserve">: </w:t>
      </w:r>
      <w:proofErr w:type="gramStart"/>
      <w:r w:rsidR="00751AE4" w:rsidRPr="003C0B3A">
        <w:rPr>
          <w:rStyle w:val="SottotitoloCarattere"/>
          <w:rFonts w:ascii="Garamond" w:hAnsi="Garamond"/>
          <w:color w:val="000000" w:themeColor="text1"/>
        </w:rPr>
        <w:t>R.</w:t>
      </w:r>
      <w:r w:rsidRPr="003C0B3A">
        <w:rPr>
          <w:rStyle w:val="SottotitoloCarattere"/>
          <w:rFonts w:ascii="Garamond" w:hAnsi="Garamond"/>
          <w:color w:val="000000" w:themeColor="text1"/>
        </w:rPr>
        <w:t>R</w:t>
      </w:r>
      <w:r w:rsidRPr="003C0B3A">
        <w:rPr>
          <w:rStyle w:val="SottotitoloCarattere"/>
          <w:rFonts w:ascii="Garamond" w:hAnsi="Garamond"/>
          <w:color w:val="000000" w:themeColor="text1"/>
          <w:sz w:val="18"/>
          <w:szCs w:val="18"/>
        </w:rPr>
        <w:t>UPERTO</w:t>
      </w:r>
      <w:proofErr w:type="gramEnd"/>
      <w:r w:rsidRPr="00A214B9">
        <w:rPr>
          <w:rStyle w:val="SottotitoloCarattere"/>
          <w:rFonts w:ascii="Garamond" w:hAnsi="Garamond"/>
          <w:color w:val="000000" w:themeColor="text1"/>
          <w:sz w:val="20"/>
          <w:szCs w:val="20"/>
        </w:rPr>
        <w:t>,</w:t>
      </w:r>
      <w:r w:rsidRPr="00A214B9">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Contraddittorio procedimentale in materia di informazioni antimafia</w:t>
      </w:r>
      <w:r w:rsidRPr="00A214B9">
        <w:rPr>
          <w:rFonts w:ascii="Garamond" w:hAnsi="Garamond" w:cs="Times New Roman"/>
          <w:color w:val="000000" w:themeColor="text1"/>
          <w:sz w:val="24"/>
          <w:szCs w:val="24"/>
        </w:rPr>
        <w:t xml:space="preserve">, in </w:t>
      </w:r>
      <w:r w:rsidRPr="00A214B9">
        <w:rPr>
          <w:rFonts w:ascii="Garamond" w:hAnsi="Garamond" w:cs="Times New Roman"/>
          <w:i/>
          <w:color w:val="000000" w:themeColor="text1"/>
          <w:sz w:val="24"/>
          <w:szCs w:val="24"/>
        </w:rPr>
        <w:t>dir</w:t>
      </w:r>
      <w:r w:rsidR="00751AE4" w:rsidRPr="00A214B9">
        <w:rPr>
          <w:rFonts w:ascii="Garamond" w:hAnsi="Garamond" w:cs="Times New Roman"/>
          <w:i/>
          <w:color w:val="000000" w:themeColor="text1"/>
          <w:sz w:val="24"/>
          <w:szCs w:val="24"/>
        </w:rPr>
        <w:t>.</w:t>
      </w:r>
      <w:r w:rsidRPr="00A214B9">
        <w:rPr>
          <w:rFonts w:ascii="Garamond" w:hAnsi="Garamond" w:cs="Times New Roman"/>
          <w:i/>
          <w:color w:val="000000" w:themeColor="text1"/>
          <w:sz w:val="24"/>
          <w:szCs w:val="24"/>
        </w:rPr>
        <w:t xml:space="preserve"> </w:t>
      </w:r>
      <w:proofErr w:type="spellStart"/>
      <w:r w:rsidRPr="00A214B9">
        <w:rPr>
          <w:rFonts w:ascii="Garamond" w:hAnsi="Garamond" w:cs="Times New Roman"/>
          <w:i/>
          <w:color w:val="000000" w:themeColor="text1"/>
          <w:sz w:val="24"/>
          <w:szCs w:val="24"/>
        </w:rPr>
        <w:t>proc</w:t>
      </w:r>
      <w:proofErr w:type="spellEnd"/>
      <w:r w:rsidR="00751AE4" w:rsidRPr="00A214B9">
        <w:rPr>
          <w:rFonts w:ascii="Garamond" w:hAnsi="Garamond" w:cs="Times New Roman"/>
          <w:i/>
          <w:color w:val="000000" w:themeColor="text1"/>
          <w:sz w:val="24"/>
          <w:szCs w:val="24"/>
        </w:rPr>
        <w:t>.</w:t>
      </w:r>
      <w:r w:rsidRPr="00A214B9">
        <w:rPr>
          <w:rFonts w:ascii="Garamond" w:hAnsi="Garamond" w:cs="Times New Roman"/>
          <w:i/>
          <w:color w:val="000000" w:themeColor="text1"/>
          <w:sz w:val="24"/>
          <w:szCs w:val="24"/>
        </w:rPr>
        <w:t xml:space="preserve"> </w:t>
      </w:r>
      <w:proofErr w:type="spellStart"/>
      <w:r w:rsidRPr="00A214B9">
        <w:rPr>
          <w:rFonts w:ascii="Garamond" w:hAnsi="Garamond" w:cs="Times New Roman"/>
          <w:i/>
          <w:color w:val="000000" w:themeColor="text1"/>
          <w:sz w:val="24"/>
          <w:szCs w:val="24"/>
        </w:rPr>
        <w:t>pen</w:t>
      </w:r>
      <w:proofErr w:type="spellEnd"/>
      <w:r w:rsidR="00751AE4" w:rsidRPr="00A214B9">
        <w:rPr>
          <w:rFonts w:ascii="Garamond" w:hAnsi="Garamond" w:cs="Times New Roman"/>
          <w:i/>
          <w:color w:val="000000" w:themeColor="text1"/>
          <w:sz w:val="24"/>
          <w:szCs w:val="24"/>
        </w:rPr>
        <w:t>.</w:t>
      </w:r>
      <w:r w:rsidRPr="00A214B9">
        <w:rPr>
          <w:rFonts w:ascii="Garamond" w:hAnsi="Garamond" w:cs="Times New Roman"/>
          <w:i/>
          <w:color w:val="000000" w:themeColor="text1"/>
          <w:sz w:val="24"/>
          <w:szCs w:val="24"/>
        </w:rPr>
        <w:t>,</w:t>
      </w:r>
      <w:r w:rsidRPr="00A214B9">
        <w:rPr>
          <w:rFonts w:ascii="Garamond" w:hAnsi="Garamond" w:cs="Times New Roman"/>
          <w:color w:val="000000" w:themeColor="text1"/>
          <w:sz w:val="24"/>
          <w:szCs w:val="24"/>
        </w:rPr>
        <w:t xml:space="preserve"> 2020.</w:t>
      </w:r>
    </w:p>
  </w:footnote>
  <w:footnote w:id="8">
    <w:p w:rsidR="002A6C19" w:rsidRPr="00F77070" w:rsidRDefault="002A6C19" w:rsidP="00A214B9">
      <w:pPr>
        <w:pStyle w:val="Testonotaapidipagina"/>
        <w:ind w:firstLine="709"/>
        <w:jc w:val="both"/>
        <w:rPr>
          <w:rFonts w:ascii="Garamond" w:hAnsi="Garamond" w:cs="Times New Roman"/>
          <w:color w:val="000000" w:themeColor="text1"/>
          <w:sz w:val="24"/>
          <w:szCs w:val="24"/>
          <w:lang w:val="en-US"/>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Sul rispetto delle garanzie procedimentali nell’ambito dell’</w:t>
      </w:r>
      <w:proofErr w:type="spellStart"/>
      <w:r w:rsidRPr="00A214B9">
        <w:rPr>
          <w:rFonts w:ascii="Garamond" w:hAnsi="Garamond" w:cs="Times New Roman"/>
          <w:color w:val="000000" w:themeColor="text1"/>
          <w:sz w:val="24"/>
          <w:szCs w:val="24"/>
        </w:rPr>
        <w:t>interdittiva</w:t>
      </w:r>
      <w:proofErr w:type="spellEnd"/>
      <w:r w:rsidRPr="00A214B9">
        <w:rPr>
          <w:rFonts w:ascii="Garamond" w:hAnsi="Garamond" w:cs="Times New Roman"/>
          <w:color w:val="000000" w:themeColor="text1"/>
          <w:sz w:val="24"/>
          <w:szCs w:val="24"/>
        </w:rPr>
        <w:t xml:space="preserve"> antimafia, cfr. </w:t>
      </w:r>
      <w:proofErr w:type="spellStart"/>
      <w:r w:rsidRPr="00A214B9">
        <w:rPr>
          <w:rFonts w:ascii="Garamond" w:hAnsi="Garamond" w:cs="Times New Roman"/>
          <w:color w:val="000000" w:themeColor="text1"/>
          <w:sz w:val="24"/>
          <w:szCs w:val="24"/>
        </w:rPr>
        <w:t>Cons</w:t>
      </w:r>
      <w:proofErr w:type="spellEnd"/>
      <w:r w:rsidRPr="00A214B9">
        <w:rPr>
          <w:rFonts w:ascii="Garamond" w:hAnsi="Garamond" w:cs="Times New Roman"/>
          <w:color w:val="000000" w:themeColor="text1"/>
          <w:sz w:val="24"/>
          <w:szCs w:val="24"/>
        </w:rPr>
        <w:t xml:space="preserve">. </w:t>
      </w:r>
      <w:r w:rsidRPr="00F77070">
        <w:rPr>
          <w:rFonts w:ascii="Garamond" w:hAnsi="Garamond" w:cs="Times New Roman"/>
          <w:color w:val="000000" w:themeColor="text1"/>
          <w:sz w:val="24"/>
          <w:szCs w:val="24"/>
          <w:lang w:val="en-US"/>
        </w:rPr>
        <w:t xml:space="preserve">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III,</w:t>
      </w:r>
      <w:r w:rsidR="00751AE4" w:rsidRPr="00F77070">
        <w:rPr>
          <w:rFonts w:ascii="Garamond" w:hAnsi="Garamond" w:cs="Times New Roman"/>
          <w:color w:val="000000" w:themeColor="text1"/>
          <w:sz w:val="24"/>
          <w:szCs w:val="24"/>
          <w:lang w:val="en-US"/>
        </w:rPr>
        <w:t xml:space="preserve"> 31 </w:t>
      </w:r>
      <w:proofErr w:type="spellStart"/>
      <w:r w:rsidR="00751AE4" w:rsidRPr="00F77070">
        <w:rPr>
          <w:rFonts w:ascii="Garamond" w:hAnsi="Garamond" w:cs="Times New Roman"/>
          <w:color w:val="000000" w:themeColor="text1"/>
          <w:sz w:val="24"/>
          <w:szCs w:val="24"/>
          <w:lang w:val="en-US"/>
        </w:rPr>
        <w:t>gennaio</w:t>
      </w:r>
      <w:proofErr w:type="spellEnd"/>
      <w:r w:rsidR="00751AE4" w:rsidRPr="00F77070">
        <w:rPr>
          <w:rFonts w:ascii="Garamond" w:hAnsi="Garamond" w:cs="Times New Roman"/>
          <w:color w:val="000000" w:themeColor="text1"/>
          <w:sz w:val="24"/>
          <w:szCs w:val="24"/>
          <w:lang w:val="en-US"/>
        </w:rPr>
        <w:t xml:space="preserve"> 2010,</w:t>
      </w:r>
      <w:r w:rsidRPr="00F77070">
        <w:rPr>
          <w:rFonts w:ascii="Garamond" w:hAnsi="Garamond" w:cs="Times New Roman"/>
          <w:color w:val="000000" w:themeColor="text1"/>
          <w:sz w:val="24"/>
          <w:szCs w:val="24"/>
          <w:lang w:val="en-US"/>
        </w:rPr>
        <w:t xml:space="preserve"> n. 820</w:t>
      </w:r>
      <w:r w:rsidR="00751AE4" w:rsidRPr="00F77070">
        <w:rPr>
          <w:rFonts w:ascii="Garamond" w:hAnsi="Garamond" w:cs="Times New Roman"/>
          <w:color w:val="000000" w:themeColor="text1"/>
          <w:sz w:val="24"/>
          <w:szCs w:val="24"/>
          <w:lang w:val="en-US"/>
        </w:rPr>
        <w:t>.</w:t>
      </w:r>
    </w:p>
  </w:footnote>
  <w:footnote w:id="9">
    <w:p w:rsidR="00B138AC" w:rsidRPr="00F77070" w:rsidRDefault="00B138AC" w:rsidP="00A214B9">
      <w:pPr>
        <w:pStyle w:val="Testonotaapidipagina"/>
        <w:ind w:firstLine="709"/>
        <w:jc w:val="both"/>
        <w:rPr>
          <w:rFonts w:ascii="Garamond" w:hAnsi="Garamond" w:cs="Times New Roman"/>
          <w:color w:val="000000" w:themeColor="text1"/>
          <w:sz w:val="24"/>
          <w:szCs w:val="24"/>
          <w:lang w:val="en-US"/>
        </w:rPr>
      </w:pPr>
      <w:r w:rsidRPr="00A214B9">
        <w:rPr>
          <w:rStyle w:val="Rimandonotaapidipagina"/>
          <w:rFonts w:ascii="Garamond" w:hAnsi="Garamond" w:cs="Times New Roman"/>
          <w:color w:val="000000" w:themeColor="text1"/>
          <w:sz w:val="24"/>
          <w:szCs w:val="24"/>
        </w:rPr>
        <w:footnoteRef/>
      </w:r>
      <w:r w:rsidRPr="00F77070">
        <w:rPr>
          <w:rFonts w:ascii="Garamond" w:hAnsi="Garamond" w:cs="Times New Roman"/>
          <w:color w:val="000000" w:themeColor="text1"/>
          <w:sz w:val="24"/>
          <w:szCs w:val="24"/>
          <w:lang w:val="en-US"/>
        </w:rPr>
        <w:t xml:space="preserve">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w:t>
      </w:r>
      <w:r w:rsidRPr="00C010D5">
        <w:rPr>
          <w:rFonts w:ascii="Garamond" w:hAnsi="Garamond" w:cs="Times New Roman"/>
          <w:color w:val="000000" w:themeColor="text1"/>
          <w:sz w:val="24"/>
          <w:szCs w:val="24"/>
          <w:lang w:val="en-US"/>
        </w:rPr>
        <w:t>III,</w:t>
      </w:r>
      <w:r w:rsidR="00751AE4" w:rsidRPr="00C010D5">
        <w:rPr>
          <w:rFonts w:ascii="Garamond" w:hAnsi="Garamond" w:cs="Times New Roman"/>
          <w:color w:val="000000" w:themeColor="text1"/>
          <w:sz w:val="24"/>
          <w:szCs w:val="24"/>
          <w:lang w:val="en-US"/>
        </w:rPr>
        <w:t xml:space="preserve"> 9 </w:t>
      </w:r>
      <w:proofErr w:type="spellStart"/>
      <w:r w:rsidR="00751AE4" w:rsidRPr="00C010D5">
        <w:rPr>
          <w:rFonts w:ascii="Garamond" w:hAnsi="Garamond" w:cs="Times New Roman"/>
          <w:color w:val="000000" w:themeColor="text1"/>
          <w:sz w:val="24"/>
          <w:szCs w:val="24"/>
          <w:lang w:val="en-US"/>
        </w:rPr>
        <w:t>febbraio</w:t>
      </w:r>
      <w:proofErr w:type="spellEnd"/>
      <w:r w:rsidR="00751AE4" w:rsidRPr="00C010D5">
        <w:rPr>
          <w:rFonts w:ascii="Garamond" w:hAnsi="Garamond" w:cs="Times New Roman"/>
          <w:color w:val="000000" w:themeColor="text1"/>
          <w:sz w:val="24"/>
          <w:szCs w:val="24"/>
          <w:lang w:val="en-US"/>
        </w:rPr>
        <w:t xml:space="preserve"> 2017,</w:t>
      </w:r>
      <w:r w:rsidRPr="00C010D5">
        <w:rPr>
          <w:rFonts w:ascii="Garamond" w:hAnsi="Garamond" w:cs="Times New Roman"/>
          <w:color w:val="000000" w:themeColor="text1"/>
          <w:sz w:val="24"/>
          <w:szCs w:val="24"/>
          <w:lang w:val="en-US"/>
        </w:rPr>
        <w:t xml:space="preserve"> n. 565. </w:t>
      </w:r>
      <w:r w:rsidRPr="00A214B9">
        <w:rPr>
          <w:rFonts w:ascii="Garamond" w:hAnsi="Garamond" w:cs="Times New Roman"/>
          <w:color w:val="000000" w:themeColor="text1"/>
          <w:sz w:val="24"/>
          <w:szCs w:val="24"/>
        </w:rPr>
        <w:t xml:space="preserve">Per un approfondimento sul </w:t>
      </w:r>
      <w:proofErr w:type="gramStart"/>
      <w:r w:rsidRPr="00A214B9">
        <w:rPr>
          <w:rFonts w:ascii="Garamond" w:hAnsi="Garamond" w:cs="Times New Roman"/>
          <w:color w:val="000000" w:themeColor="text1"/>
          <w:sz w:val="24"/>
          <w:szCs w:val="24"/>
        </w:rPr>
        <w:t xml:space="preserve">punto  </w:t>
      </w:r>
      <w:r w:rsidR="00751AE4" w:rsidRPr="003C0B3A">
        <w:rPr>
          <w:rStyle w:val="SottotitoloCarattere"/>
          <w:rFonts w:ascii="Garamond" w:hAnsi="Garamond"/>
          <w:color w:val="000000" w:themeColor="text1"/>
        </w:rPr>
        <w:t>P.</w:t>
      </w:r>
      <w:proofErr w:type="gramEnd"/>
      <w:r w:rsidR="00751AE4" w:rsidRPr="003C0B3A">
        <w:rPr>
          <w:rStyle w:val="SottotitoloCarattere"/>
          <w:rFonts w:ascii="Garamond" w:hAnsi="Garamond"/>
          <w:color w:val="000000" w:themeColor="text1"/>
        </w:rPr>
        <w:t xml:space="preserve"> T</w:t>
      </w:r>
      <w:r w:rsidR="00751AE4" w:rsidRPr="003C0B3A">
        <w:rPr>
          <w:rStyle w:val="SottotitoloCarattere"/>
          <w:rFonts w:ascii="Garamond" w:hAnsi="Garamond"/>
          <w:color w:val="000000" w:themeColor="text1"/>
          <w:sz w:val="18"/>
          <w:szCs w:val="18"/>
        </w:rPr>
        <w:t>ONNARA</w:t>
      </w:r>
      <w:r w:rsidR="00F77070">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Informative antimafia e discrezionalità del prefetto</w:t>
      </w:r>
      <w:r w:rsidRPr="00A214B9">
        <w:rPr>
          <w:rFonts w:ascii="Garamond" w:hAnsi="Garamond" w:cs="Times New Roman"/>
          <w:color w:val="000000" w:themeColor="text1"/>
          <w:sz w:val="24"/>
          <w:szCs w:val="24"/>
        </w:rPr>
        <w:t xml:space="preserve">, in </w:t>
      </w:r>
      <w:proofErr w:type="spellStart"/>
      <w:r w:rsidRPr="00A214B9">
        <w:rPr>
          <w:rFonts w:ascii="Garamond" w:hAnsi="Garamond" w:cs="Times New Roman"/>
          <w:i/>
          <w:color w:val="000000" w:themeColor="text1"/>
          <w:sz w:val="24"/>
          <w:szCs w:val="24"/>
        </w:rPr>
        <w:t>Urb</w:t>
      </w:r>
      <w:proofErr w:type="spellEnd"/>
      <w:r w:rsidRPr="00A214B9">
        <w:rPr>
          <w:rFonts w:ascii="Garamond" w:hAnsi="Garamond" w:cs="Times New Roman"/>
          <w:i/>
          <w:color w:val="000000" w:themeColor="text1"/>
          <w:sz w:val="24"/>
          <w:szCs w:val="24"/>
        </w:rPr>
        <w:t xml:space="preserve">. E </w:t>
      </w:r>
      <w:proofErr w:type="spellStart"/>
      <w:r w:rsidRPr="00A214B9">
        <w:rPr>
          <w:rFonts w:ascii="Garamond" w:hAnsi="Garamond" w:cs="Times New Roman"/>
          <w:i/>
          <w:color w:val="000000" w:themeColor="text1"/>
          <w:sz w:val="24"/>
          <w:szCs w:val="24"/>
        </w:rPr>
        <w:t>App</w:t>
      </w:r>
      <w:proofErr w:type="spellEnd"/>
      <w:r w:rsidRPr="00A214B9">
        <w:rPr>
          <w:rFonts w:ascii="Garamond" w:hAnsi="Garamond" w:cs="Times New Roman"/>
          <w:color w:val="000000" w:themeColor="text1"/>
          <w:sz w:val="24"/>
          <w:szCs w:val="24"/>
        </w:rPr>
        <w:t>.</w:t>
      </w:r>
      <w:r w:rsidR="00751AE4" w:rsidRPr="00A214B9">
        <w:rPr>
          <w:rFonts w:ascii="Garamond" w:hAnsi="Garamond" w:cs="Times New Roman"/>
          <w:color w:val="000000" w:themeColor="text1"/>
          <w:sz w:val="24"/>
          <w:szCs w:val="24"/>
        </w:rPr>
        <w:t xml:space="preserve">, </w:t>
      </w:r>
      <w:r w:rsidRPr="00A214B9">
        <w:rPr>
          <w:rFonts w:ascii="Garamond" w:hAnsi="Garamond" w:cs="Times New Roman"/>
          <w:color w:val="000000" w:themeColor="text1"/>
          <w:sz w:val="24"/>
          <w:szCs w:val="24"/>
        </w:rPr>
        <w:t>2</w:t>
      </w:r>
      <w:r w:rsidR="00751AE4" w:rsidRPr="00A214B9">
        <w:rPr>
          <w:rFonts w:ascii="Garamond" w:hAnsi="Garamond" w:cs="Times New Roman"/>
          <w:color w:val="000000" w:themeColor="text1"/>
          <w:sz w:val="24"/>
          <w:szCs w:val="24"/>
        </w:rPr>
        <w:t>/2017</w:t>
      </w:r>
      <w:r w:rsidRPr="00A214B9">
        <w:rPr>
          <w:rFonts w:ascii="Garamond" w:hAnsi="Garamond" w:cs="Times New Roman"/>
          <w:color w:val="000000" w:themeColor="text1"/>
          <w:sz w:val="24"/>
          <w:szCs w:val="24"/>
        </w:rPr>
        <w:t xml:space="preserve">, p. 223 ss. Sempre in tema di garanzie partecipative, </w:t>
      </w:r>
      <w:proofErr w:type="spellStart"/>
      <w:proofErr w:type="gramStart"/>
      <w:r w:rsidRPr="00A214B9">
        <w:rPr>
          <w:rFonts w:ascii="Garamond" w:hAnsi="Garamond" w:cs="Times New Roman"/>
          <w:color w:val="000000" w:themeColor="text1"/>
          <w:sz w:val="24"/>
          <w:szCs w:val="24"/>
        </w:rPr>
        <w:t>cfr</w:t>
      </w:r>
      <w:proofErr w:type="spellEnd"/>
      <w:r w:rsidR="00651194" w:rsidRPr="00A214B9">
        <w:rPr>
          <w:rFonts w:ascii="Garamond" w:hAnsi="Garamond" w:cs="Times New Roman"/>
          <w:color w:val="000000" w:themeColor="text1"/>
          <w:sz w:val="24"/>
          <w:szCs w:val="24"/>
        </w:rPr>
        <w:t>:</w:t>
      </w:r>
      <w:r w:rsidR="00005B8D" w:rsidRPr="00A214B9">
        <w:rPr>
          <w:rFonts w:ascii="Garamond" w:hAnsi="Garamond" w:cs="Times New Roman"/>
          <w:color w:val="000000" w:themeColor="text1"/>
          <w:sz w:val="24"/>
          <w:szCs w:val="24"/>
        </w:rPr>
        <w:t xml:space="preserve">  </w:t>
      </w:r>
      <w:proofErr w:type="spellStart"/>
      <w:r w:rsidRPr="00A214B9">
        <w:rPr>
          <w:rFonts w:ascii="Garamond" w:hAnsi="Garamond" w:cs="Times New Roman"/>
          <w:color w:val="000000" w:themeColor="text1"/>
          <w:sz w:val="24"/>
          <w:szCs w:val="24"/>
        </w:rPr>
        <w:t>Cons</w:t>
      </w:r>
      <w:proofErr w:type="spellEnd"/>
      <w:r w:rsidRPr="00A214B9">
        <w:rPr>
          <w:rFonts w:ascii="Garamond" w:hAnsi="Garamond" w:cs="Times New Roman"/>
          <w:color w:val="000000" w:themeColor="text1"/>
          <w:sz w:val="24"/>
          <w:szCs w:val="24"/>
        </w:rPr>
        <w:t>.</w:t>
      </w:r>
      <w:proofErr w:type="gramEnd"/>
      <w:r w:rsidRPr="00A214B9">
        <w:rPr>
          <w:rFonts w:ascii="Garamond" w:hAnsi="Garamond" w:cs="Times New Roman"/>
          <w:color w:val="000000" w:themeColor="text1"/>
          <w:sz w:val="24"/>
          <w:szCs w:val="24"/>
        </w:rPr>
        <w:t xml:space="preserve"> </w:t>
      </w:r>
      <w:r w:rsidRPr="00F77070">
        <w:rPr>
          <w:rFonts w:ascii="Garamond" w:hAnsi="Garamond" w:cs="Times New Roman"/>
          <w:color w:val="000000" w:themeColor="text1"/>
          <w:sz w:val="24"/>
          <w:szCs w:val="24"/>
          <w:lang w:val="en-US"/>
        </w:rPr>
        <w:t xml:space="preserve">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003C0B3A" w:rsidRPr="00F77070">
        <w:rPr>
          <w:rFonts w:ascii="Garamond" w:hAnsi="Garamond" w:cs="Times New Roman"/>
          <w:color w:val="000000" w:themeColor="text1"/>
          <w:sz w:val="24"/>
          <w:szCs w:val="24"/>
          <w:lang w:val="en-US"/>
        </w:rPr>
        <w:t xml:space="preserve"> </w:t>
      </w:r>
      <w:r w:rsidRPr="00F77070">
        <w:rPr>
          <w:rFonts w:ascii="Garamond" w:hAnsi="Garamond" w:cs="Times New Roman"/>
          <w:color w:val="000000" w:themeColor="text1"/>
          <w:sz w:val="24"/>
          <w:szCs w:val="24"/>
          <w:lang w:val="en-US"/>
        </w:rPr>
        <w:t xml:space="preserve">III, </w:t>
      </w:r>
      <w:r w:rsidR="00751AE4" w:rsidRPr="00F77070">
        <w:rPr>
          <w:rFonts w:ascii="Garamond" w:hAnsi="Garamond" w:cs="Times New Roman"/>
          <w:color w:val="000000" w:themeColor="text1"/>
          <w:sz w:val="24"/>
          <w:szCs w:val="24"/>
          <w:lang w:val="en-US"/>
        </w:rPr>
        <w:t xml:space="preserve">28 </w:t>
      </w:r>
      <w:proofErr w:type="spellStart"/>
      <w:r w:rsidR="00751AE4" w:rsidRPr="00F77070">
        <w:rPr>
          <w:rFonts w:ascii="Garamond" w:hAnsi="Garamond" w:cs="Times New Roman"/>
          <w:color w:val="000000" w:themeColor="text1"/>
          <w:sz w:val="24"/>
          <w:szCs w:val="24"/>
          <w:lang w:val="en-US"/>
        </w:rPr>
        <w:t>aprile</w:t>
      </w:r>
      <w:proofErr w:type="spellEnd"/>
      <w:r w:rsidR="00751AE4" w:rsidRPr="00F77070">
        <w:rPr>
          <w:rFonts w:ascii="Garamond" w:hAnsi="Garamond" w:cs="Times New Roman"/>
          <w:color w:val="000000" w:themeColor="text1"/>
          <w:sz w:val="24"/>
          <w:szCs w:val="24"/>
          <w:lang w:val="en-US"/>
        </w:rPr>
        <w:t xml:space="preserve"> 2016, </w:t>
      </w:r>
      <w:r w:rsidRPr="00F77070">
        <w:rPr>
          <w:rFonts w:ascii="Garamond" w:hAnsi="Garamond" w:cs="Times New Roman"/>
          <w:color w:val="000000" w:themeColor="text1"/>
          <w:sz w:val="24"/>
          <w:szCs w:val="24"/>
          <w:lang w:val="en-US"/>
        </w:rPr>
        <w:t xml:space="preserve">n. 4555;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III, </w:t>
      </w:r>
      <w:r w:rsidR="00751AE4" w:rsidRPr="00F77070">
        <w:rPr>
          <w:rFonts w:ascii="Garamond" w:hAnsi="Garamond" w:cs="Times New Roman"/>
          <w:color w:val="000000" w:themeColor="text1"/>
          <w:sz w:val="24"/>
          <w:szCs w:val="24"/>
          <w:lang w:val="en-US"/>
        </w:rPr>
        <w:t xml:space="preserve">12 </w:t>
      </w:r>
      <w:proofErr w:type="spellStart"/>
      <w:r w:rsidR="00751AE4" w:rsidRPr="00F77070">
        <w:rPr>
          <w:rFonts w:ascii="Garamond" w:hAnsi="Garamond" w:cs="Times New Roman"/>
          <w:color w:val="000000" w:themeColor="text1"/>
          <w:sz w:val="24"/>
          <w:szCs w:val="24"/>
          <w:lang w:val="en-US"/>
        </w:rPr>
        <w:t>marzo</w:t>
      </w:r>
      <w:proofErr w:type="spellEnd"/>
      <w:r w:rsidR="00751AE4" w:rsidRPr="00F77070">
        <w:rPr>
          <w:rFonts w:ascii="Garamond" w:hAnsi="Garamond" w:cs="Times New Roman"/>
          <w:color w:val="000000" w:themeColor="text1"/>
          <w:sz w:val="24"/>
          <w:szCs w:val="24"/>
          <w:lang w:val="en-US"/>
        </w:rPr>
        <w:t xml:space="preserve"> 2015, </w:t>
      </w:r>
      <w:r w:rsidRPr="00F77070">
        <w:rPr>
          <w:rFonts w:ascii="Garamond" w:hAnsi="Garamond" w:cs="Times New Roman"/>
          <w:color w:val="000000" w:themeColor="text1"/>
          <w:sz w:val="24"/>
          <w:szCs w:val="24"/>
          <w:lang w:val="en-US"/>
        </w:rPr>
        <w:t>n. 1292.</w:t>
      </w:r>
    </w:p>
  </w:footnote>
  <w:footnote w:id="10">
    <w:p w:rsidR="000D7FC8" w:rsidRPr="00C010D5" w:rsidRDefault="000D7FC8" w:rsidP="00A214B9">
      <w:pPr>
        <w:pStyle w:val="Testonotaapidipagina"/>
        <w:ind w:firstLine="709"/>
        <w:jc w:val="both"/>
        <w:rPr>
          <w:rFonts w:ascii="Garamond" w:hAnsi="Garamond" w:cs="Times New Roman"/>
          <w:color w:val="000000" w:themeColor="text1"/>
          <w:sz w:val="24"/>
          <w:szCs w:val="24"/>
          <w:lang w:val="en-US"/>
        </w:rPr>
      </w:pPr>
      <w:r w:rsidRPr="00A214B9">
        <w:rPr>
          <w:rStyle w:val="Rimandonotaapidipagina"/>
          <w:rFonts w:ascii="Garamond" w:hAnsi="Garamond" w:cs="Times New Roman"/>
          <w:color w:val="000000" w:themeColor="text1"/>
          <w:sz w:val="24"/>
          <w:szCs w:val="24"/>
        </w:rPr>
        <w:footnoteRef/>
      </w:r>
      <w:r w:rsidRPr="00C010D5">
        <w:rPr>
          <w:rFonts w:ascii="Garamond" w:hAnsi="Garamond" w:cs="Times New Roman"/>
          <w:color w:val="000000" w:themeColor="text1"/>
          <w:sz w:val="24"/>
          <w:szCs w:val="24"/>
          <w:lang w:val="en-US"/>
        </w:rPr>
        <w:t xml:space="preserve"> Cons. St., </w:t>
      </w:r>
      <w:proofErr w:type="spellStart"/>
      <w:r w:rsidR="00C010D5" w:rsidRPr="00C010D5">
        <w:rPr>
          <w:rFonts w:ascii="Garamond" w:hAnsi="Garamond" w:cs="Times New Roman"/>
          <w:color w:val="000000" w:themeColor="text1"/>
          <w:sz w:val="24"/>
          <w:szCs w:val="24"/>
          <w:lang w:val="en-US"/>
        </w:rPr>
        <w:t>sez</w:t>
      </w:r>
      <w:proofErr w:type="spellEnd"/>
      <w:r w:rsidR="00C010D5" w:rsidRPr="00C010D5">
        <w:rPr>
          <w:rFonts w:ascii="Garamond" w:hAnsi="Garamond" w:cs="Times New Roman"/>
          <w:color w:val="000000" w:themeColor="text1"/>
          <w:sz w:val="24"/>
          <w:szCs w:val="24"/>
          <w:lang w:val="en-US"/>
        </w:rPr>
        <w:t>.</w:t>
      </w:r>
      <w:r w:rsidRPr="00C010D5">
        <w:rPr>
          <w:rFonts w:ascii="Garamond" w:hAnsi="Garamond" w:cs="Times New Roman"/>
          <w:color w:val="000000" w:themeColor="text1"/>
          <w:sz w:val="24"/>
          <w:szCs w:val="24"/>
          <w:lang w:val="en-US"/>
        </w:rPr>
        <w:t xml:space="preserve"> III,</w:t>
      </w:r>
      <w:r w:rsidR="00751AE4" w:rsidRPr="00C010D5">
        <w:rPr>
          <w:rFonts w:ascii="Garamond" w:hAnsi="Garamond" w:cs="Times New Roman"/>
          <w:color w:val="000000" w:themeColor="text1"/>
          <w:sz w:val="24"/>
          <w:szCs w:val="24"/>
          <w:lang w:val="en-US"/>
        </w:rPr>
        <w:t xml:space="preserve"> 28 </w:t>
      </w:r>
      <w:proofErr w:type="spellStart"/>
      <w:r w:rsidR="00751AE4" w:rsidRPr="00C010D5">
        <w:rPr>
          <w:rFonts w:ascii="Garamond" w:hAnsi="Garamond" w:cs="Times New Roman"/>
          <w:color w:val="000000" w:themeColor="text1"/>
          <w:sz w:val="24"/>
          <w:szCs w:val="24"/>
          <w:lang w:val="en-US"/>
        </w:rPr>
        <w:t>aprile</w:t>
      </w:r>
      <w:proofErr w:type="spellEnd"/>
      <w:r w:rsidR="00751AE4" w:rsidRPr="00C010D5">
        <w:rPr>
          <w:rFonts w:ascii="Garamond" w:hAnsi="Garamond" w:cs="Times New Roman"/>
          <w:color w:val="000000" w:themeColor="text1"/>
          <w:sz w:val="24"/>
          <w:szCs w:val="24"/>
          <w:lang w:val="en-US"/>
        </w:rPr>
        <w:t xml:space="preserve"> 2016,</w:t>
      </w:r>
      <w:r w:rsidR="00651194" w:rsidRPr="00C010D5">
        <w:rPr>
          <w:rFonts w:ascii="Garamond" w:hAnsi="Garamond" w:cs="Times New Roman"/>
          <w:color w:val="000000" w:themeColor="text1"/>
          <w:sz w:val="24"/>
          <w:szCs w:val="24"/>
          <w:lang w:val="en-US"/>
        </w:rPr>
        <w:t xml:space="preserve"> </w:t>
      </w:r>
      <w:r w:rsidRPr="00C010D5">
        <w:rPr>
          <w:rFonts w:ascii="Garamond" w:hAnsi="Garamond" w:cs="Times New Roman"/>
          <w:color w:val="000000" w:themeColor="text1"/>
          <w:sz w:val="24"/>
          <w:szCs w:val="24"/>
          <w:lang w:val="en-US"/>
        </w:rPr>
        <w:t>n. 4555</w:t>
      </w:r>
      <w:r w:rsidR="00751AE4" w:rsidRPr="00C010D5">
        <w:rPr>
          <w:rFonts w:ascii="Garamond" w:hAnsi="Garamond" w:cs="Times New Roman"/>
          <w:color w:val="000000" w:themeColor="text1"/>
          <w:sz w:val="24"/>
          <w:szCs w:val="24"/>
          <w:lang w:val="en-US"/>
        </w:rPr>
        <w:t>.</w:t>
      </w:r>
    </w:p>
  </w:footnote>
  <w:footnote w:id="11">
    <w:p w:rsidR="00B138AC" w:rsidRPr="00F77070" w:rsidRDefault="00B138AC" w:rsidP="00A214B9">
      <w:pPr>
        <w:pStyle w:val="Testonotaapidipagina"/>
        <w:ind w:firstLine="709"/>
        <w:jc w:val="both"/>
        <w:rPr>
          <w:rFonts w:ascii="Garamond" w:hAnsi="Garamond" w:cs="Times New Roman"/>
          <w:color w:val="000000" w:themeColor="text1"/>
          <w:sz w:val="24"/>
          <w:szCs w:val="24"/>
          <w:lang w:val="en-US"/>
        </w:rPr>
      </w:pPr>
      <w:r w:rsidRPr="00A214B9">
        <w:rPr>
          <w:rStyle w:val="Rimandonotaapidipagina"/>
          <w:rFonts w:ascii="Garamond" w:hAnsi="Garamond" w:cs="Times New Roman"/>
          <w:color w:val="000000" w:themeColor="text1"/>
          <w:sz w:val="24"/>
          <w:szCs w:val="24"/>
        </w:rPr>
        <w:footnoteRef/>
      </w:r>
      <w:r w:rsidRPr="00F77070">
        <w:rPr>
          <w:rFonts w:ascii="Garamond" w:hAnsi="Garamond" w:cs="Times New Roman"/>
          <w:color w:val="000000" w:themeColor="text1"/>
          <w:sz w:val="24"/>
          <w:szCs w:val="24"/>
          <w:lang w:val="en-US"/>
        </w:rPr>
        <w:t xml:space="preserve"> Cons. St. Ad. Pl. </w:t>
      </w:r>
      <w:r w:rsidR="00751AE4" w:rsidRPr="00F77070">
        <w:rPr>
          <w:rFonts w:ascii="Garamond" w:hAnsi="Garamond" w:cs="Times New Roman"/>
          <w:color w:val="000000" w:themeColor="text1"/>
          <w:sz w:val="24"/>
          <w:szCs w:val="24"/>
          <w:lang w:val="en-US"/>
        </w:rPr>
        <w:t xml:space="preserve">29 </w:t>
      </w:r>
      <w:proofErr w:type="spellStart"/>
      <w:r w:rsidR="00751AE4" w:rsidRPr="00F77070">
        <w:rPr>
          <w:rFonts w:ascii="Garamond" w:hAnsi="Garamond" w:cs="Times New Roman"/>
          <w:color w:val="000000" w:themeColor="text1"/>
          <w:sz w:val="24"/>
          <w:szCs w:val="24"/>
          <w:lang w:val="en-US"/>
        </w:rPr>
        <w:t>gennaio</w:t>
      </w:r>
      <w:proofErr w:type="spellEnd"/>
      <w:r w:rsidR="00751AE4" w:rsidRPr="00F77070">
        <w:rPr>
          <w:rFonts w:ascii="Garamond" w:hAnsi="Garamond" w:cs="Times New Roman"/>
          <w:color w:val="000000" w:themeColor="text1"/>
          <w:sz w:val="24"/>
          <w:szCs w:val="24"/>
          <w:lang w:val="en-US"/>
        </w:rPr>
        <w:t xml:space="preserve"> 2014, </w:t>
      </w:r>
      <w:r w:rsidRPr="00F77070">
        <w:rPr>
          <w:rFonts w:ascii="Garamond" w:hAnsi="Garamond" w:cs="Times New Roman"/>
          <w:color w:val="000000" w:themeColor="text1"/>
          <w:sz w:val="24"/>
          <w:szCs w:val="24"/>
          <w:lang w:val="en-US"/>
        </w:rPr>
        <w:t>n. 29.</w:t>
      </w:r>
    </w:p>
  </w:footnote>
  <w:footnote w:id="12">
    <w:p w:rsidR="00B138AC" w:rsidRPr="00A214B9" w:rsidRDefault="00B138AC"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w:t>
      </w:r>
      <w:r w:rsidR="00751AE4" w:rsidRPr="003C0B3A">
        <w:rPr>
          <w:rStyle w:val="SottotitoloCarattere"/>
          <w:rFonts w:ascii="Garamond" w:hAnsi="Garamond"/>
          <w:color w:val="000000" w:themeColor="text1"/>
        </w:rPr>
        <w:t xml:space="preserve">U. </w:t>
      </w:r>
      <w:r w:rsidRPr="003C0B3A">
        <w:rPr>
          <w:rStyle w:val="SottotitoloCarattere"/>
          <w:rFonts w:ascii="Garamond" w:hAnsi="Garamond"/>
          <w:color w:val="000000" w:themeColor="text1"/>
        </w:rPr>
        <w:t>C</w:t>
      </w:r>
      <w:r w:rsidRPr="003C0B3A">
        <w:rPr>
          <w:rStyle w:val="SottotitoloCarattere"/>
          <w:rFonts w:ascii="Garamond" w:hAnsi="Garamond"/>
          <w:color w:val="000000" w:themeColor="text1"/>
          <w:sz w:val="18"/>
          <w:szCs w:val="18"/>
        </w:rPr>
        <w:t>IM</w:t>
      </w:r>
      <w:r w:rsidR="00E67E5C" w:rsidRPr="003C0B3A">
        <w:rPr>
          <w:rStyle w:val="SottotitoloCarattere"/>
          <w:rFonts w:ascii="Garamond" w:hAnsi="Garamond"/>
          <w:color w:val="000000" w:themeColor="text1"/>
          <w:sz w:val="18"/>
          <w:szCs w:val="18"/>
        </w:rPr>
        <w:t>MINO</w:t>
      </w:r>
      <w:r w:rsidRPr="00A214B9">
        <w:rPr>
          <w:rStyle w:val="SottotitoloCarattere"/>
          <w:rFonts w:ascii="Garamond" w:hAnsi="Garamond"/>
          <w:color w:val="000000" w:themeColor="text1"/>
          <w:sz w:val="24"/>
          <w:szCs w:val="24"/>
        </w:rPr>
        <w:t>,</w:t>
      </w:r>
      <w:r w:rsidRPr="00A214B9">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La nuova certificazione e le altre cautele antimafia</w:t>
      </w:r>
      <w:r w:rsidRPr="00A214B9">
        <w:rPr>
          <w:rFonts w:ascii="Garamond" w:hAnsi="Garamond" w:cs="Times New Roman"/>
          <w:color w:val="000000" w:themeColor="text1"/>
          <w:sz w:val="24"/>
          <w:szCs w:val="24"/>
        </w:rPr>
        <w:t>, p. 11 ss.</w:t>
      </w:r>
      <w:r w:rsidR="00651194" w:rsidRPr="00A214B9">
        <w:rPr>
          <w:rFonts w:ascii="Garamond" w:hAnsi="Garamond" w:cs="Times New Roman"/>
          <w:color w:val="000000" w:themeColor="text1"/>
          <w:sz w:val="24"/>
          <w:szCs w:val="24"/>
        </w:rPr>
        <w:t>, 1995,</w:t>
      </w:r>
    </w:p>
  </w:footnote>
  <w:footnote w:id="13">
    <w:p w:rsidR="00751AE4" w:rsidRPr="00A214B9" w:rsidRDefault="008226E8"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Sulle difficoltà interpretative relative alla locuzione “tentativi di infiltrazione mafiosa”, </w:t>
      </w:r>
      <w:proofErr w:type="spellStart"/>
      <w:r w:rsidRPr="00A214B9">
        <w:rPr>
          <w:rFonts w:ascii="Garamond" w:hAnsi="Garamond" w:cs="Times New Roman"/>
          <w:color w:val="000000" w:themeColor="text1"/>
          <w:sz w:val="24"/>
          <w:szCs w:val="24"/>
        </w:rPr>
        <w:t>cfr</w:t>
      </w:r>
      <w:proofErr w:type="spellEnd"/>
      <w:r w:rsidRPr="00A214B9">
        <w:rPr>
          <w:rFonts w:ascii="Garamond" w:hAnsi="Garamond" w:cs="Times New Roman"/>
          <w:color w:val="000000" w:themeColor="text1"/>
          <w:sz w:val="24"/>
          <w:szCs w:val="24"/>
        </w:rPr>
        <w:t>:</w:t>
      </w:r>
      <w:r w:rsidR="00751AE4" w:rsidRPr="00A214B9">
        <w:rPr>
          <w:rFonts w:ascii="Garamond" w:hAnsi="Garamond"/>
          <w:color w:val="000000" w:themeColor="text1"/>
          <w:sz w:val="24"/>
          <w:szCs w:val="24"/>
        </w:rPr>
        <w:t xml:space="preserve"> A. </w:t>
      </w:r>
      <w:proofErr w:type="spellStart"/>
      <w:r w:rsidR="00751AE4" w:rsidRPr="00A214B9">
        <w:rPr>
          <w:rFonts w:ascii="Garamond" w:hAnsi="Garamond"/>
          <w:smallCaps/>
          <w:color w:val="000000" w:themeColor="text1"/>
          <w:sz w:val="24"/>
          <w:szCs w:val="24"/>
        </w:rPr>
        <w:t>Bongarzone</w:t>
      </w:r>
      <w:proofErr w:type="spellEnd"/>
      <w:r w:rsidR="00751AE4" w:rsidRPr="00A214B9">
        <w:rPr>
          <w:rFonts w:ascii="Garamond" w:hAnsi="Garamond"/>
          <w:color w:val="000000" w:themeColor="text1"/>
          <w:sz w:val="24"/>
          <w:szCs w:val="24"/>
        </w:rPr>
        <w:t xml:space="preserve">, </w:t>
      </w:r>
      <w:r w:rsidR="00751AE4" w:rsidRPr="00A214B9">
        <w:rPr>
          <w:rFonts w:ascii="Garamond" w:hAnsi="Garamond"/>
          <w:i/>
          <w:color w:val="000000" w:themeColor="text1"/>
          <w:sz w:val="24"/>
          <w:szCs w:val="24"/>
        </w:rPr>
        <w:t>L’informativa antimafia nelle dinamiche negoziali tra privati e pubbliche amministrazioni</w:t>
      </w:r>
      <w:r w:rsidR="00751AE4" w:rsidRPr="00A214B9">
        <w:rPr>
          <w:rFonts w:ascii="Garamond" w:hAnsi="Garamond"/>
          <w:color w:val="000000" w:themeColor="text1"/>
          <w:sz w:val="24"/>
          <w:szCs w:val="24"/>
        </w:rPr>
        <w:t>, Napoli, 2018, p. 21 e ss.</w:t>
      </w:r>
      <w:r w:rsidRPr="00A214B9">
        <w:rPr>
          <w:rFonts w:ascii="Garamond" w:hAnsi="Garamond" w:cs="Times New Roman"/>
          <w:color w:val="000000" w:themeColor="text1"/>
          <w:sz w:val="24"/>
          <w:szCs w:val="24"/>
        </w:rPr>
        <w:t xml:space="preserve"> </w:t>
      </w:r>
    </w:p>
  </w:footnote>
  <w:footnote w:id="14">
    <w:p w:rsidR="00B138AC" w:rsidRPr="00A214B9" w:rsidRDefault="00B138AC"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In generale sull’istituto dell’informativa prefettizia, cfr</w:t>
      </w:r>
      <w:r w:rsidRPr="00A214B9">
        <w:rPr>
          <w:rFonts w:ascii="Garamond" w:hAnsi="Garamond" w:cs="Times New Roman"/>
          <w:color w:val="000000" w:themeColor="text1"/>
        </w:rPr>
        <w:t xml:space="preserve">. </w:t>
      </w:r>
      <w:r w:rsidR="00751AE4" w:rsidRPr="001810A6">
        <w:rPr>
          <w:rStyle w:val="SottotitoloCarattere"/>
          <w:rFonts w:ascii="Garamond" w:hAnsi="Garamond"/>
          <w:color w:val="000000" w:themeColor="text1"/>
        </w:rPr>
        <w:t xml:space="preserve">V. </w:t>
      </w:r>
      <w:r w:rsidRPr="001810A6">
        <w:rPr>
          <w:rStyle w:val="SottotitoloCarattere"/>
          <w:rFonts w:ascii="Garamond" w:hAnsi="Garamond"/>
          <w:color w:val="000000" w:themeColor="text1"/>
        </w:rPr>
        <w:t>N</w:t>
      </w:r>
      <w:r w:rsidRPr="001810A6">
        <w:rPr>
          <w:rStyle w:val="SottotitoloCarattere"/>
          <w:rFonts w:ascii="Garamond" w:hAnsi="Garamond"/>
          <w:color w:val="000000" w:themeColor="text1"/>
          <w:sz w:val="18"/>
          <w:szCs w:val="18"/>
        </w:rPr>
        <w:t>ERI</w:t>
      </w:r>
      <w:r w:rsidRPr="001810A6">
        <w:rPr>
          <w:rFonts w:ascii="Garamond" w:hAnsi="Garamond" w:cs="Times New Roman"/>
          <w:color w:val="000000" w:themeColor="text1"/>
          <w:sz w:val="18"/>
          <w:szCs w:val="18"/>
        </w:rPr>
        <w:t xml:space="preserve">, </w:t>
      </w:r>
      <w:r w:rsidRPr="00A214B9">
        <w:rPr>
          <w:rFonts w:ascii="Garamond" w:hAnsi="Garamond" w:cs="Times New Roman"/>
          <w:i/>
          <w:color w:val="000000" w:themeColor="text1"/>
          <w:sz w:val="24"/>
          <w:szCs w:val="24"/>
        </w:rPr>
        <w:t xml:space="preserve">Informativa antimafia e contrasto alla criminalità organizzata, </w:t>
      </w:r>
      <w:r w:rsidRPr="00A214B9">
        <w:rPr>
          <w:rFonts w:ascii="Garamond" w:hAnsi="Garamond" w:cs="Times New Roman"/>
          <w:color w:val="000000" w:themeColor="text1"/>
          <w:sz w:val="24"/>
          <w:szCs w:val="24"/>
        </w:rPr>
        <w:t xml:space="preserve">in </w:t>
      </w:r>
      <w:proofErr w:type="spellStart"/>
      <w:r w:rsidRPr="00A214B9">
        <w:rPr>
          <w:rFonts w:ascii="Garamond" w:hAnsi="Garamond" w:cs="Times New Roman"/>
          <w:i/>
          <w:color w:val="000000" w:themeColor="text1"/>
          <w:sz w:val="24"/>
          <w:szCs w:val="24"/>
        </w:rPr>
        <w:t>corr</w:t>
      </w:r>
      <w:proofErr w:type="spellEnd"/>
      <w:r w:rsidRPr="00A214B9">
        <w:rPr>
          <w:rFonts w:ascii="Garamond" w:hAnsi="Garamond" w:cs="Times New Roman"/>
          <w:i/>
          <w:color w:val="000000" w:themeColor="text1"/>
          <w:sz w:val="24"/>
          <w:szCs w:val="24"/>
        </w:rPr>
        <w:t xml:space="preserve">. </w:t>
      </w:r>
      <w:r w:rsidR="00751AE4" w:rsidRPr="00A214B9">
        <w:rPr>
          <w:rFonts w:ascii="Garamond" w:hAnsi="Garamond" w:cs="Times New Roman"/>
          <w:i/>
          <w:color w:val="000000" w:themeColor="text1"/>
          <w:sz w:val="24"/>
          <w:szCs w:val="24"/>
        </w:rPr>
        <w:t>M</w:t>
      </w:r>
      <w:r w:rsidRPr="00A214B9">
        <w:rPr>
          <w:rFonts w:ascii="Garamond" w:hAnsi="Garamond" w:cs="Times New Roman"/>
          <w:i/>
          <w:color w:val="000000" w:themeColor="text1"/>
          <w:sz w:val="24"/>
          <w:szCs w:val="24"/>
        </w:rPr>
        <w:t>erito</w:t>
      </w:r>
      <w:r w:rsidR="00751AE4" w:rsidRPr="00A214B9">
        <w:rPr>
          <w:rFonts w:ascii="Garamond" w:hAnsi="Garamond" w:cs="Times New Roman"/>
          <w:i/>
          <w:color w:val="000000" w:themeColor="text1"/>
          <w:sz w:val="24"/>
          <w:szCs w:val="24"/>
        </w:rPr>
        <w:t xml:space="preserve">, </w:t>
      </w:r>
      <w:r w:rsidR="00651194" w:rsidRPr="00A214B9">
        <w:rPr>
          <w:rFonts w:ascii="Garamond" w:hAnsi="Garamond" w:cs="Times New Roman"/>
          <w:color w:val="000000" w:themeColor="text1"/>
          <w:sz w:val="24"/>
          <w:szCs w:val="24"/>
        </w:rPr>
        <w:t>2010</w:t>
      </w:r>
      <w:r w:rsidR="00751AE4" w:rsidRPr="00A214B9">
        <w:rPr>
          <w:rFonts w:ascii="Garamond" w:hAnsi="Garamond" w:cs="Times New Roman"/>
          <w:color w:val="000000" w:themeColor="text1"/>
          <w:sz w:val="24"/>
          <w:szCs w:val="24"/>
        </w:rPr>
        <w:t>, p. 800 ss.</w:t>
      </w:r>
    </w:p>
  </w:footnote>
  <w:footnote w:id="15">
    <w:p w:rsidR="00B138AC" w:rsidRPr="00A214B9" w:rsidRDefault="00B138AC" w:rsidP="00A214B9">
      <w:pPr>
        <w:ind w:firstLine="709"/>
        <w:jc w:val="both"/>
        <w:rPr>
          <w:rFonts w:ascii="Garamond" w:eastAsia="Times New Roman" w:hAnsi="Garamond" w:cs="Times New Roman"/>
          <w:color w:val="000000" w:themeColor="text1"/>
          <w:lang w:eastAsia="it-IT"/>
        </w:rPr>
      </w:pPr>
      <w:r w:rsidRPr="00A214B9">
        <w:rPr>
          <w:rStyle w:val="Rimandonotaapidipagina"/>
          <w:rFonts w:ascii="Garamond" w:hAnsi="Garamond" w:cs="Times New Roman"/>
          <w:color w:val="000000" w:themeColor="text1"/>
        </w:rPr>
        <w:footnoteRef/>
      </w:r>
      <w:r w:rsidRPr="00A214B9">
        <w:rPr>
          <w:rFonts w:ascii="Garamond" w:hAnsi="Garamond" w:cs="Times New Roman"/>
          <w:color w:val="000000" w:themeColor="text1"/>
        </w:rPr>
        <w:t xml:space="preserve"> Sulla natura discrezionale </w:t>
      </w:r>
      <w:r w:rsidRPr="00A214B9">
        <w:rPr>
          <w:rFonts w:ascii="Garamond" w:eastAsia="Times New Roman" w:hAnsi="Garamond" w:cs="Times New Roman"/>
          <w:color w:val="000000" w:themeColor="text1"/>
          <w:lang w:eastAsia="it-IT"/>
        </w:rPr>
        <w:t xml:space="preserve">dei poteri prefettizi si veda l’opinione critica di </w:t>
      </w:r>
      <w:r w:rsidR="00751AE4" w:rsidRPr="00A214B9">
        <w:rPr>
          <w:rFonts w:ascii="Garamond" w:hAnsi="Garamond"/>
          <w:color w:val="000000" w:themeColor="text1"/>
        </w:rPr>
        <w:t xml:space="preserve">F. G. </w:t>
      </w:r>
      <w:proofErr w:type="spellStart"/>
      <w:r w:rsidR="00751AE4" w:rsidRPr="00A214B9">
        <w:rPr>
          <w:rFonts w:ascii="Garamond" w:hAnsi="Garamond"/>
          <w:smallCaps/>
          <w:color w:val="000000" w:themeColor="text1"/>
        </w:rPr>
        <w:t>Scoca</w:t>
      </w:r>
      <w:proofErr w:type="spellEnd"/>
      <w:r w:rsidR="00751AE4" w:rsidRPr="00A214B9">
        <w:rPr>
          <w:rFonts w:ascii="Garamond" w:hAnsi="Garamond"/>
          <w:color w:val="000000" w:themeColor="text1"/>
        </w:rPr>
        <w:t xml:space="preserve">, </w:t>
      </w:r>
      <w:r w:rsidRPr="00A214B9">
        <w:rPr>
          <w:rFonts w:ascii="Garamond" w:eastAsia="Times New Roman" w:hAnsi="Garamond" w:cs="Times New Roman"/>
          <w:i/>
          <w:iCs/>
          <w:color w:val="000000" w:themeColor="text1"/>
          <w:lang w:eastAsia="it-IT"/>
        </w:rPr>
        <w:t>Razionalità e costituzionalità della documentazione antimafia in materia di appalti pubblici</w:t>
      </w:r>
      <w:r w:rsidRPr="00A214B9">
        <w:rPr>
          <w:rFonts w:ascii="Garamond" w:eastAsia="Times New Roman" w:hAnsi="Garamond" w:cs="Times New Roman"/>
          <w:color w:val="000000" w:themeColor="text1"/>
          <w:lang w:eastAsia="it-IT"/>
        </w:rPr>
        <w:t>, in </w:t>
      </w:r>
      <w:r w:rsidR="00751AE4" w:rsidRPr="00A214B9">
        <w:rPr>
          <w:rFonts w:ascii="Garamond" w:eastAsia="Times New Roman" w:hAnsi="Garamond" w:cs="Times New Roman"/>
          <w:color w:val="000000" w:themeColor="text1"/>
          <w:lang w:eastAsia="it-IT"/>
        </w:rPr>
        <w:t>www.</w:t>
      </w:r>
      <w:r w:rsidRPr="00A214B9">
        <w:rPr>
          <w:rFonts w:ascii="Garamond" w:eastAsia="Times New Roman" w:hAnsi="Garamond" w:cs="Times New Roman"/>
          <w:i/>
          <w:iCs/>
          <w:color w:val="000000" w:themeColor="text1"/>
          <w:lang w:eastAsia="it-IT"/>
        </w:rPr>
        <w:t>Giustamm.it,</w:t>
      </w:r>
      <w:r w:rsidRPr="00A214B9">
        <w:rPr>
          <w:rFonts w:ascii="Garamond" w:eastAsia="Times New Roman" w:hAnsi="Garamond" w:cs="Times New Roman"/>
          <w:color w:val="000000" w:themeColor="text1"/>
          <w:lang w:eastAsia="it-IT"/>
        </w:rPr>
        <w:t> 6</w:t>
      </w:r>
      <w:r w:rsidR="00751AE4" w:rsidRPr="00A214B9">
        <w:rPr>
          <w:rFonts w:ascii="Garamond" w:eastAsia="Times New Roman" w:hAnsi="Garamond" w:cs="Times New Roman"/>
          <w:color w:val="000000" w:themeColor="text1"/>
          <w:lang w:eastAsia="it-IT"/>
        </w:rPr>
        <w:t>/</w:t>
      </w:r>
      <w:proofErr w:type="gramStart"/>
      <w:r w:rsidRPr="00A214B9">
        <w:rPr>
          <w:rFonts w:ascii="Garamond" w:eastAsia="Times New Roman" w:hAnsi="Garamond" w:cs="Times New Roman"/>
          <w:color w:val="000000" w:themeColor="text1"/>
          <w:lang w:eastAsia="it-IT"/>
        </w:rPr>
        <w:t>2013</w:t>
      </w:r>
      <w:r w:rsidR="00651194" w:rsidRPr="00A214B9">
        <w:rPr>
          <w:rFonts w:ascii="Garamond" w:eastAsia="Times New Roman" w:hAnsi="Garamond" w:cs="Times New Roman"/>
          <w:color w:val="000000" w:themeColor="text1"/>
          <w:lang w:eastAsia="it-IT"/>
        </w:rPr>
        <w:t>,</w:t>
      </w:r>
      <w:r w:rsidRPr="00A214B9">
        <w:rPr>
          <w:rFonts w:ascii="Garamond" w:eastAsia="Times New Roman" w:hAnsi="Garamond" w:cs="Times New Roman"/>
          <w:color w:val="000000" w:themeColor="text1"/>
          <w:lang w:eastAsia="it-IT"/>
        </w:rPr>
        <w:t>.</w:t>
      </w:r>
      <w:proofErr w:type="gramEnd"/>
      <w:r w:rsidRPr="00A214B9">
        <w:rPr>
          <w:rFonts w:ascii="Garamond" w:eastAsia="Times New Roman" w:hAnsi="Garamond" w:cs="Times New Roman"/>
          <w:color w:val="000000" w:themeColor="text1"/>
          <w:lang w:eastAsia="it-IT"/>
        </w:rPr>
        <w:t xml:space="preserve"> Sul tema </w:t>
      </w:r>
      <w:proofErr w:type="spellStart"/>
      <w:r w:rsidRPr="00A214B9">
        <w:rPr>
          <w:rFonts w:ascii="Garamond" w:eastAsia="Times New Roman" w:hAnsi="Garamond" w:cs="Times New Roman"/>
          <w:color w:val="000000" w:themeColor="text1"/>
          <w:lang w:eastAsia="it-IT"/>
        </w:rPr>
        <w:t>cfr</w:t>
      </w:r>
      <w:proofErr w:type="spellEnd"/>
      <w:r w:rsidR="003C0B3A">
        <w:rPr>
          <w:rFonts w:ascii="Garamond" w:eastAsia="Times New Roman" w:hAnsi="Garamond" w:cs="Times New Roman"/>
          <w:color w:val="000000" w:themeColor="text1"/>
          <w:lang w:eastAsia="it-IT"/>
        </w:rPr>
        <w:t>:</w:t>
      </w:r>
      <w:r w:rsidRPr="00A214B9">
        <w:rPr>
          <w:rFonts w:ascii="Garamond" w:eastAsia="Times New Roman" w:hAnsi="Garamond" w:cs="Times New Roman"/>
          <w:color w:val="000000" w:themeColor="text1"/>
          <w:lang w:eastAsia="it-IT"/>
        </w:rPr>
        <w:t> </w:t>
      </w:r>
      <w:r w:rsidR="00751AE4" w:rsidRPr="00A214B9">
        <w:rPr>
          <w:rFonts w:ascii="Garamond" w:hAnsi="Garamond"/>
          <w:smallCaps/>
          <w:color w:val="000000" w:themeColor="text1"/>
        </w:rPr>
        <w:t>G. D’Angelo</w:t>
      </w:r>
      <w:r w:rsidR="00751AE4" w:rsidRPr="00A214B9">
        <w:rPr>
          <w:rFonts w:ascii="Garamond" w:hAnsi="Garamond"/>
          <w:color w:val="000000" w:themeColor="text1"/>
        </w:rPr>
        <w:t xml:space="preserve">, </w:t>
      </w:r>
      <w:r w:rsidRPr="00A214B9">
        <w:rPr>
          <w:rFonts w:ascii="Garamond" w:eastAsia="Times New Roman" w:hAnsi="Garamond" w:cs="Times New Roman"/>
          <w:i/>
          <w:iCs/>
          <w:color w:val="000000" w:themeColor="text1"/>
          <w:lang w:eastAsia="it-IT"/>
        </w:rPr>
        <w:t>Artt. 84-95 del D.lg. 6.9.2011, n. 159 (commento)</w:t>
      </w:r>
      <w:r w:rsidRPr="00A214B9">
        <w:rPr>
          <w:rFonts w:ascii="Garamond" w:eastAsia="Times New Roman" w:hAnsi="Garamond" w:cs="Times New Roman"/>
          <w:color w:val="000000" w:themeColor="text1"/>
          <w:lang w:eastAsia="it-IT"/>
        </w:rPr>
        <w:t xml:space="preserve"> il quale, segnalando che </w:t>
      </w:r>
      <w:r w:rsidRPr="00A214B9">
        <w:rPr>
          <w:rFonts w:ascii="Garamond" w:eastAsia="Times New Roman" w:hAnsi="Garamond" w:cs="Times New Roman"/>
          <w:i/>
          <w:color w:val="000000" w:themeColor="text1"/>
          <w:lang w:eastAsia="it-IT"/>
        </w:rPr>
        <w:t>«la giurisprudenza amministrativa è ferma nel considerare la valutazione del prefetto “espressione di ampia discrezionalità</w:t>
      </w:r>
      <w:r w:rsidR="00651194" w:rsidRPr="00A214B9">
        <w:rPr>
          <w:rFonts w:ascii="Garamond" w:eastAsia="Times New Roman" w:hAnsi="Garamond" w:cs="Times New Roman"/>
          <w:i/>
          <w:color w:val="000000" w:themeColor="text1"/>
          <w:lang w:eastAsia="it-IT"/>
        </w:rPr>
        <w:t xml:space="preserve">” </w:t>
      </w:r>
      <w:r w:rsidRPr="00A214B9">
        <w:rPr>
          <w:rFonts w:ascii="Garamond" w:eastAsia="Times New Roman" w:hAnsi="Garamond" w:cs="Times New Roman"/>
          <w:i/>
          <w:color w:val="000000" w:themeColor="text1"/>
          <w:lang w:eastAsia="it-IT"/>
        </w:rPr>
        <w:t>anche se sembra ricondurre le informazioni antimafia a valutazioni di ordine tecnico»</w:t>
      </w:r>
      <w:r w:rsidRPr="00A214B9">
        <w:rPr>
          <w:rFonts w:ascii="Garamond" w:eastAsia="Times New Roman" w:hAnsi="Garamond" w:cs="Times New Roman"/>
          <w:color w:val="000000" w:themeColor="text1"/>
          <w:lang w:eastAsia="it-IT"/>
        </w:rPr>
        <w:t xml:space="preserve"> (p. 1151), ha altresì evidenziato come simili posizioni non sarebbero condivisibili </w:t>
      </w:r>
      <w:r w:rsidRPr="00A214B9">
        <w:rPr>
          <w:rFonts w:ascii="Garamond" w:eastAsia="Times New Roman" w:hAnsi="Garamond" w:cs="Times New Roman"/>
          <w:i/>
          <w:color w:val="000000" w:themeColor="text1"/>
          <w:lang w:eastAsia="it-IT"/>
        </w:rPr>
        <w:t>«in quanto attenuano il sindacato giurisdizionale in modo significativo, fino al punto da essere incompatibile con i principi costituzionali sulla tutela».</w:t>
      </w:r>
    </w:p>
  </w:footnote>
  <w:footnote w:id="16">
    <w:p w:rsidR="00B138AC" w:rsidRPr="00A214B9" w:rsidRDefault="00B138AC"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rPr>
        <w:footnoteRef/>
      </w:r>
      <w:r w:rsidRPr="00A214B9">
        <w:rPr>
          <w:rFonts w:ascii="Garamond" w:hAnsi="Garamond" w:cs="Times New Roman"/>
          <w:color w:val="000000" w:themeColor="text1"/>
        </w:rPr>
        <w:t xml:space="preserve"> </w:t>
      </w:r>
      <w:r w:rsidR="00751AE4" w:rsidRPr="003C0B3A">
        <w:rPr>
          <w:rStyle w:val="SottotitoloCarattere"/>
          <w:rFonts w:ascii="Garamond" w:hAnsi="Garamond"/>
          <w:color w:val="000000" w:themeColor="text1"/>
          <w:sz w:val="24"/>
          <w:szCs w:val="24"/>
        </w:rPr>
        <w:t xml:space="preserve">N. </w:t>
      </w:r>
      <w:r w:rsidRPr="003C0B3A">
        <w:rPr>
          <w:rStyle w:val="SottotitoloCarattere"/>
          <w:rFonts w:ascii="Garamond" w:hAnsi="Garamond"/>
          <w:color w:val="000000" w:themeColor="text1"/>
          <w:sz w:val="24"/>
          <w:szCs w:val="24"/>
        </w:rPr>
        <w:t>D</w:t>
      </w:r>
      <w:r w:rsidRPr="003C0B3A">
        <w:rPr>
          <w:rStyle w:val="SottotitoloCarattere"/>
          <w:rFonts w:ascii="Garamond" w:hAnsi="Garamond"/>
          <w:color w:val="000000" w:themeColor="text1"/>
          <w:sz w:val="18"/>
          <w:szCs w:val="18"/>
        </w:rPr>
        <w:t>URANTE,</w:t>
      </w:r>
      <w:r w:rsidRPr="003C0B3A">
        <w:rPr>
          <w:rFonts w:ascii="Garamond" w:hAnsi="Garamond" w:cs="Times New Roman"/>
          <w:color w:val="000000" w:themeColor="text1"/>
          <w:sz w:val="18"/>
          <w:szCs w:val="18"/>
        </w:rPr>
        <w:t xml:space="preserve"> </w:t>
      </w:r>
      <w:r w:rsidRPr="00A214B9">
        <w:rPr>
          <w:rFonts w:ascii="Garamond" w:hAnsi="Garamond" w:cs="Times New Roman"/>
          <w:i/>
          <w:color w:val="000000" w:themeColor="text1"/>
          <w:sz w:val="24"/>
          <w:szCs w:val="24"/>
        </w:rPr>
        <w:t>Ambiti di discrezionalità in materia di documentazione antimafia per le imprese</w:t>
      </w:r>
      <w:r w:rsidRPr="00A214B9">
        <w:rPr>
          <w:rFonts w:ascii="Garamond" w:hAnsi="Garamond" w:cs="Times New Roman"/>
          <w:color w:val="000000" w:themeColor="text1"/>
          <w:sz w:val="24"/>
          <w:szCs w:val="24"/>
        </w:rPr>
        <w:t xml:space="preserve">, in </w:t>
      </w:r>
      <w:hyperlink r:id="rId4" w:history="1">
        <w:r w:rsidR="00751AE4" w:rsidRPr="00A214B9">
          <w:rPr>
            <w:rStyle w:val="Collegamentoipertestuale"/>
            <w:rFonts w:ascii="Garamond" w:hAnsi="Garamond" w:cs="Times New Roman"/>
            <w:color w:val="000000" w:themeColor="text1"/>
            <w:sz w:val="24"/>
            <w:szCs w:val="24"/>
          </w:rPr>
          <w:t>www.</w:t>
        </w:r>
        <w:r w:rsidR="00751AE4" w:rsidRPr="00A214B9">
          <w:rPr>
            <w:rStyle w:val="Collegamentoipertestuale"/>
            <w:rFonts w:ascii="Garamond" w:hAnsi="Garamond" w:cs="Times New Roman"/>
            <w:i/>
            <w:color w:val="000000" w:themeColor="text1"/>
            <w:sz w:val="24"/>
            <w:szCs w:val="24"/>
          </w:rPr>
          <w:t>giustizia-amm</w:t>
        </w:r>
        <w:r w:rsidR="00751AE4" w:rsidRPr="00A214B9">
          <w:rPr>
            <w:rStyle w:val="Collegamentoipertestuale"/>
            <w:rFonts w:ascii="Garamond" w:hAnsi="Garamond" w:cs="Times New Roman"/>
            <w:color w:val="000000" w:themeColor="text1"/>
            <w:sz w:val="24"/>
            <w:szCs w:val="24"/>
          </w:rPr>
          <w:t>inistrativa.it</w:t>
        </w:r>
      </w:hyperlink>
      <w:r w:rsidR="00751AE4" w:rsidRPr="00A214B9">
        <w:rPr>
          <w:rFonts w:ascii="Garamond" w:hAnsi="Garamond" w:cs="Times New Roman"/>
          <w:color w:val="000000" w:themeColor="text1"/>
          <w:sz w:val="24"/>
          <w:szCs w:val="24"/>
        </w:rPr>
        <w:t>, 3/</w:t>
      </w:r>
      <w:r w:rsidRPr="00A214B9">
        <w:rPr>
          <w:rFonts w:ascii="Garamond" w:hAnsi="Garamond" w:cs="Times New Roman"/>
          <w:color w:val="000000" w:themeColor="text1"/>
          <w:sz w:val="24"/>
          <w:szCs w:val="24"/>
        </w:rPr>
        <w:t>2013.</w:t>
      </w:r>
    </w:p>
  </w:footnote>
  <w:footnote w:id="17">
    <w:p w:rsidR="00C91DC8" w:rsidRPr="00A214B9" w:rsidRDefault="00C91DC8"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w:t>
      </w:r>
      <w:r w:rsidR="00751AE4" w:rsidRPr="00A214B9">
        <w:rPr>
          <w:rFonts w:ascii="Garamond" w:hAnsi="Garamond"/>
          <w:color w:val="000000" w:themeColor="text1"/>
          <w:sz w:val="24"/>
          <w:szCs w:val="24"/>
        </w:rPr>
        <w:t xml:space="preserve">F. G. </w:t>
      </w:r>
      <w:proofErr w:type="spellStart"/>
      <w:r w:rsidR="00751AE4" w:rsidRPr="00A214B9">
        <w:rPr>
          <w:rFonts w:ascii="Garamond" w:hAnsi="Garamond"/>
          <w:smallCaps/>
          <w:color w:val="000000" w:themeColor="text1"/>
          <w:sz w:val="24"/>
          <w:szCs w:val="24"/>
        </w:rPr>
        <w:t>Scoca</w:t>
      </w:r>
      <w:proofErr w:type="spellEnd"/>
      <w:r w:rsidR="003C0B3A">
        <w:rPr>
          <w:rFonts w:ascii="Garamond" w:hAnsi="Garamond"/>
          <w:smallCaps/>
          <w:color w:val="000000" w:themeColor="text1"/>
          <w:sz w:val="24"/>
          <w:szCs w:val="24"/>
        </w:rPr>
        <w:t>,</w:t>
      </w:r>
      <w:r w:rsidR="00751AE4" w:rsidRPr="00A214B9">
        <w:rPr>
          <w:rFonts w:ascii="Garamond" w:hAnsi="Garamond" w:cs="Times New Roman"/>
          <w:i/>
          <w:color w:val="000000" w:themeColor="text1"/>
          <w:sz w:val="24"/>
          <w:szCs w:val="24"/>
        </w:rPr>
        <w:t xml:space="preserve"> </w:t>
      </w:r>
      <w:r w:rsidRPr="00A214B9">
        <w:rPr>
          <w:rFonts w:ascii="Garamond" w:hAnsi="Garamond" w:cs="Times New Roman"/>
          <w:i/>
          <w:color w:val="000000" w:themeColor="text1"/>
          <w:sz w:val="24"/>
          <w:szCs w:val="24"/>
        </w:rPr>
        <w:t xml:space="preserve">Razionalità e costituzionalità della documentazione antimafia in materia di appalti pubblici, </w:t>
      </w:r>
      <w:r w:rsidRPr="00A214B9">
        <w:rPr>
          <w:rFonts w:ascii="Garamond" w:hAnsi="Garamond" w:cs="Times New Roman"/>
          <w:color w:val="000000" w:themeColor="text1"/>
          <w:sz w:val="24"/>
          <w:szCs w:val="24"/>
        </w:rPr>
        <w:t xml:space="preserve">in </w:t>
      </w:r>
      <w:r w:rsidR="00751AE4" w:rsidRPr="00A214B9">
        <w:rPr>
          <w:rFonts w:ascii="Garamond" w:hAnsi="Garamond" w:cs="Times New Roman"/>
          <w:color w:val="000000" w:themeColor="text1"/>
          <w:sz w:val="24"/>
          <w:szCs w:val="24"/>
        </w:rPr>
        <w:t>www.</w:t>
      </w:r>
      <w:r w:rsidRPr="00A214B9">
        <w:rPr>
          <w:rFonts w:ascii="Garamond" w:hAnsi="Garamond" w:cs="Times New Roman"/>
          <w:i/>
          <w:color w:val="000000" w:themeColor="text1"/>
          <w:sz w:val="24"/>
          <w:szCs w:val="24"/>
        </w:rPr>
        <w:t>giustamm.it</w:t>
      </w:r>
      <w:r w:rsidRPr="00A214B9">
        <w:rPr>
          <w:rFonts w:ascii="Garamond" w:hAnsi="Garamond" w:cs="Times New Roman"/>
          <w:color w:val="000000" w:themeColor="text1"/>
          <w:sz w:val="24"/>
          <w:szCs w:val="24"/>
        </w:rPr>
        <w:t>, n. 6</w:t>
      </w:r>
      <w:r w:rsidR="00751AE4" w:rsidRPr="00A214B9">
        <w:rPr>
          <w:rFonts w:ascii="Garamond" w:hAnsi="Garamond" w:cs="Times New Roman"/>
          <w:color w:val="000000" w:themeColor="text1"/>
          <w:sz w:val="24"/>
          <w:szCs w:val="24"/>
        </w:rPr>
        <w:t>/</w:t>
      </w:r>
      <w:r w:rsidRPr="00A214B9">
        <w:rPr>
          <w:rFonts w:ascii="Garamond" w:hAnsi="Garamond" w:cs="Times New Roman"/>
          <w:color w:val="000000" w:themeColor="text1"/>
          <w:sz w:val="24"/>
          <w:szCs w:val="24"/>
        </w:rPr>
        <w:t>2013.</w:t>
      </w:r>
    </w:p>
  </w:footnote>
  <w:footnote w:id="18">
    <w:p w:rsidR="00875B50" w:rsidRPr="00A214B9" w:rsidRDefault="00875B50"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w:t>
      </w:r>
      <w:r w:rsidR="00751AE4" w:rsidRPr="00A214B9">
        <w:rPr>
          <w:rFonts w:ascii="Garamond" w:hAnsi="Garamond"/>
          <w:color w:val="000000" w:themeColor="text1"/>
          <w:sz w:val="24"/>
          <w:szCs w:val="24"/>
        </w:rPr>
        <w:t xml:space="preserve">A. </w:t>
      </w:r>
      <w:proofErr w:type="spellStart"/>
      <w:r w:rsidR="00751AE4" w:rsidRPr="00A214B9">
        <w:rPr>
          <w:rFonts w:ascii="Garamond" w:hAnsi="Garamond"/>
          <w:smallCaps/>
          <w:color w:val="000000" w:themeColor="text1"/>
          <w:sz w:val="24"/>
          <w:szCs w:val="24"/>
        </w:rPr>
        <w:t>Bongarzone</w:t>
      </w:r>
      <w:proofErr w:type="spellEnd"/>
      <w:r w:rsidR="00751AE4" w:rsidRPr="00A214B9">
        <w:rPr>
          <w:rFonts w:ascii="Garamond" w:hAnsi="Garamond"/>
          <w:color w:val="000000" w:themeColor="text1"/>
          <w:sz w:val="24"/>
          <w:szCs w:val="24"/>
        </w:rPr>
        <w:t xml:space="preserve">, </w:t>
      </w:r>
      <w:r w:rsidR="00751AE4" w:rsidRPr="00A214B9">
        <w:rPr>
          <w:rFonts w:ascii="Garamond" w:hAnsi="Garamond"/>
          <w:i/>
          <w:color w:val="000000" w:themeColor="text1"/>
          <w:sz w:val="24"/>
          <w:szCs w:val="24"/>
        </w:rPr>
        <w:t>L’informativa antimafia nelle dinamiche negoziali tra privati e pubbliche amministrazioni</w:t>
      </w:r>
      <w:r w:rsidR="00751AE4" w:rsidRPr="00A214B9">
        <w:rPr>
          <w:rFonts w:ascii="Garamond" w:hAnsi="Garamond"/>
          <w:color w:val="000000" w:themeColor="text1"/>
          <w:sz w:val="24"/>
          <w:szCs w:val="24"/>
        </w:rPr>
        <w:t>, Napoli, 2018, p. 21 e ss</w:t>
      </w:r>
      <w:r w:rsidR="003C0B3A">
        <w:rPr>
          <w:rFonts w:ascii="Garamond" w:hAnsi="Garamond"/>
          <w:color w:val="000000" w:themeColor="text1"/>
          <w:sz w:val="24"/>
          <w:szCs w:val="24"/>
        </w:rPr>
        <w:t>.</w:t>
      </w:r>
    </w:p>
  </w:footnote>
  <w:footnote w:id="19">
    <w:p w:rsidR="00B138AC" w:rsidRPr="00A214B9" w:rsidRDefault="00B138AC" w:rsidP="00A214B9">
      <w:pPr>
        <w:ind w:firstLine="709"/>
        <w:jc w:val="both"/>
        <w:rPr>
          <w:rFonts w:ascii="Garamond" w:eastAsia="Times New Roman" w:hAnsi="Garamond" w:cs="Times New Roman"/>
          <w:color w:val="000000" w:themeColor="text1"/>
          <w:lang w:eastAsia="it-IT"/>
        </w:rPr>
      </w:pPr>
      <w:r w:rsidRPr="00A214B9">
        <w:rPr>
          <w:rStyle w:val="Rimandonotaapidipagina"/>
          <w:rFonts w:ascii="Garamond" w:hAnsi="Garamond" w:cs="Times New Roman"/>
          <w:color w:val="000000" w:themeColor="text1"/>
        </w:rPr>
        <w:footnoteRef/>
      </w:r>
      <w:r w:rsidRPr="00A214B9">
        <w:rPr>
          <w:rFonts w:ascii="Garamond" w:hAnsi="Garamond" w:cs="Times New Roman"/>
          <w:color w:val="000000" w:themeColor="text1"/>
        </w:rPr>
        <w:t xml:space="preserve"> V. </w:t>
      </w:r>
      <w:proofErr w:type="spellStart"/>
      <w:r w:rsidRPr="00A214B9">
        <w:rPr>
          <w:rFonts w:ascii="Garamond" w:hAnsi="Garamond" w:cs="Times New Roman"/>
          <w:color w:val="000000" w:themeColor="text1"/>
        </w:rPr>
        <w:t>Cons</w:t>
      </w:r>
      <w:proofErr w:type="spellEnd"/>
      <w:r w:rsidRPr="00A214B9">
        <w:rPr>
          <w:rFonts w:ascii="Garamond" w:hAnsi="Garamond" w:cs="Times New Roman"/>
          <w:color w:val="000000" w:themeColor="text1"/>
        </w:rPr>
        <w:t>. St.</w:t>
      </w:r>
      <w:r w:rsidR="00651194" w:rsidRPr="00A214B9">
        <w:rPr>
          <w:rFonts w:ascii="Garamond" w:hAnsi="Garamond" w:cs="Times New Roman"/>
          <w:color w:val="000000" w:themeColor="text1"/>
        </w:rPr>
        <w:t xml:space="preserve">, </w:t>
      </w:r>
      <w:r w:rsidR="00C010D5">
        <w:rPr>
          <w:rFonts w:ascii="Garamond" w:hAnsi="Garamond" w:cs="Times New Roman"/>
          <w:color w:val="000000" w:themeColor="text1"/>
        </w:rPr>
        <w:t>sez.</w:t>
      </w:r>
      <w:r w:rsidR="00651194" w:rsidRPr="00A214B9">
        <w:rPr>
          <w:rFonts w:ascii="Garamond" w:hAnsi="Garamond" w:cs="Times New Roman"/>
          <w:color w:val="000000" w:themeColor="text1"/>
        </w:rPr>
        <w:t xml:space="preserve"> III, </w:t>
      </w:r>
      <w:r w:rsidR="00751AE4" w:rsidRPr="00A214B9">
        <w:rPr>
          <w:rFonts w:ascii="Garamond" w:hAnsi="Garamond" w:cs="Times New Roman"/>
          <w:color w:val="000000" w:themeColor="text1"/>
        </w:rPr>
        <w:t xml:space="preserve">26 settembre 2017, </w:t>
      </w:r>
      <w:r w:rsidRPr="00A214B9">
        <w:rPr>
          <w:rFonts w:ascii="Garamond" w:hAnsi="Garamond" w:cs="Times New Roman"/>
          <w:color w:val="000000" w:themeColor="text1"/>
        </w:rPr>
        <w:t>n.</w:t>
      </w:r>
      <w:r w:rsidR="00651194" w:rsidRPr="00A214B9">
        <w:rPr>
          <w:rFonts w:ascii="Garamond" w:hAnsi="Garamond" w:cs="Times New Roman"/>
          <w:color w:val="000000" w:themeColor="text1"/>
        </w:rPr>
        <w:t xml:space="preserve"> </w:t>
      </w:r>
      <w:r w:rsidRPr="00A214B9">
        <w:rPr>
          <w:rFonts w:ascii="Garamond" w:hAnsi="Garamond" w:cs="Times New Roman"/>
          <w:color w:val="000000" w:themeColor="text1"/>
        </w:rPr>
        <w:t xml:space="preserve">4483 secondo il quale </w:t>
      </w:r>
      <w:r w:rsidRPr="00A214B9">
        <w:rPr>
          <w:rFonts w:ascii="Garamond" w:hAnsi="Garamond" w:cs="Times New Roman"/>
          <w:i/>
          <w:color w:val="000000" w:themeColor="text1"/>
        </w:rPr>
        <w:t>“</w:t>
      </w:r>
      <w:r w:rsidRPr="00A214B9">
        <w:rPr>
          <w:rFonts w:ascii="Garamond" w:eastAsia="Times New Roman" w:hAnsi="Garamond" w:cs="Times New Roman"/>
          <w:i/>
          <w:color w:val="000000" w:themeColor="text1"/>
          <w:shd w:val="clear" w:color="auto" w:fill="FFFFFF"/>
          <w:lang w:eastAsia="it-IT"/>
        </w:rPr>
        <w:t xml:space="preserve">la regola probatoria del “più probabile che non” non è un diverso procedimento logico, ha del resto ricordato la Sezione, ma la (minore) forza dimostrativa dell’inferenza logica, sicché, in definitiva, l’interprete è sempre vincolato a sviluppare un’argomentazione rigorosa sul piano metodologico, “ancorché sia sufficiente accertare che l’ipotesi intorno a quel fatto sia più probabile di tutte le altre messe </w:t>
      </w:r>
      <w:proofErr w:type="spellStart"/>
      <w:r w:rsidRPr="00A214B9">
        <w:rPr>
          <w:rFonts w:ascii="Garamond" w:eastAsia="Times New Roman" w:hAnsi="Garamond" w:cs="Times New Roman"/>
          <w:i/>
          <w:color w:val="000000" w:themeColor="text1"/>
          <w:shd w:val="clear" w:color="auto" w:fill="FFFFFF"/>
          <w:lang w:eastAsia="it-IT"/>
        </w:rPr>
        <w:t>insieme,ossia</w:t>
      </w:r>
      <w:proofErr w:type="spellEnd"/>
      <w:r w:rsidRPr="00A214B9">
        <w:rPr>
          <w:rFonts w:ascii="Garamond" w:eastAsia="Times New Roman" w:hAnsi="Garamond" w:cs="Times New Roman"/>
          <w:i/>
          <w:color w:val="000000" w:themeColor="text1"/>
          <w:shd w:val="clear" w:color="auto" w:fill="FFFFFF"/>
          <w:lang w:eastAsia="it-IT"/>
        </w:rPr>
        <w:t xml:space="preserve"> rappresenti il 50% + 1 di possibilità, ovvero, con formulazione più appropriata, la c.d. probabilità cruciale”</w:t>
      </w:r>
    </w:p>
  </w:footnote>
  <w:footnote w:id="20">
    <w:p w:rsidR="00B138AC" w:rsidRPr="00F77070" w:rsidRDefault="00B138AC" w:rsidP="00A214B9">
      <w:pPr>
        <w:pStyle w:val="Testonotaapidipagina"/>
        <w:ind w:firstLine="709"/>
        <w:jc w:val="both"/>
        <w:rPr>
          <w:rFonts w:ascii="Garamond" w:hAnsi="Garamond" w:cs="Times New Roman"/>
          <w:color w:val="000000" w:themeColor="text1"/>
          <w:sz w:val="24"/>
          <w:szCs w:val="24"/>
          <w:lang w:val="en-US"/>
        </w:rPr>
      </w:pPr>
      <w:r w:rsidRPr="00A214B9">
        <w:rPr>
          <w:rStyle w:val="Rimandonotaapidipagina"/>
          <w:rFonts w:ascii="Garamond" w:hAnsi="Garamond" w:cs="Times New Roman"/>
          <w:color w:val="000000" w:themeColor="text1"/>
          <w:sz w:val="24"/>
          <w:szCs w:val="24"/>
        </w:rPr>
        <w:footnoteRef/>
      </w:r>
      <w:r w:rsidRPr="00F77070">
        <w:rPr>
          <w:rFonts w:ascii="Garamond" w:hAnsi="Garamond" w:cs="Times New Roman"/>
          <w:color w:val="000000" w:themeColor="text1"/>
          <w:sz w:val="24"/>
          <w:szCs w:val="24"/>
          <w:lang w:val="en-US"/>
        </w:rPr>
        <w:t xml:space="preserve"> Cons.</w:t>
      </w:r>
      <w:r w:rsidR="00751AE4" w:rsidRPr="00F77070">
        <w:rPr>
          <w:rFonts w:ascii="Garamond" w:hAnsi="Garamond" w:cs="Times New Roman"/>
          <w:color w:val="000000" w:themeColor="text1"/>
          <w:sz w:val="24"/>
          <w:szCs w:val="24"/>
          <w:lang w:val="en-US"/>
        </w:rPr>
        <w:t xml:space="preserve"> </w:t>
      </w:r>
      <w:r w:rsidR="00E463AA">
        <w:rPr>
          <w:rFonts w:ascii="Garamond" w:hAnsi="Garamond" w:cs="Times New Roman"/>
          <w:color w:val="000000" w:themeColor="text1"/>
          <w:sz w:val="24"/>
          <w:szCs w:val="24"/>
          <w:lang w:val="en-US"/>
        </w:rPr>
        <w:t xml:space="preserve">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III, </w:t>
      </w:r>
      <w:r w:rsidR="00751AE4" w:rsidRPr="00F77070">
        <w:rPr>
          <w:rFonts w:ascii="Garamond" w:hAnsi="Garamond" w:cs="Times New Roman"/>
          <w:color w:val="000000" w:themeColor="text1"/>
          <w:sz w:val="24"/>
          <w:szCs w:val="24"/>
          <w:lang w:val="en-US"/>
        </w:rPr>
        <w:t xml:space="preserve">20 </w:t>
      </w:r>
      <w:proofErr w:type="spellStart"/>
      <w:r w:rsidR="00751AE4" w:rsidRPr="00F77070">
        <w:rPr>
          <w:rFonts w:ascii="Garamond" w:hAnsi="Garamond" w:cs="Times New Roman"/>
          <w:color w:val="000000" w:themeColor="text1"/>
          <w:sz w:val="24"/>
          <w:szCs w:val="24"/>
          <w:lang w:val="en-US"/>
        </w:rPr>
        <w:t>gennaio</w:t>
      </w:r>
      <w:proofErr w:type="spellEnd"/>
      <w:r w:rsidR="00751AE4" w:rsidRPr="00F77070">
        <w:rPr>
          <w:rFonts w:ascii="Garamond" w:hAnsi="Garamond" w:cs="Times New Roman"/>
          <w:color w:val="000000" w:themeColor="text1"/>
          <w:sz w:val="24"/>
          <w:szCs w:val="24"/>
          <w:lang w:val="en-US"/>
        </w:rPr>
        <w:t xml:space="preserve"> 2020, </w:t>
      </w:r>
      <w:r w:rsidRPr="00F77070">
        <w:rPr>
          <w:rFonts w:ascii="Garamond" w:hAnsi="Garamond" w:cs="Times New Roman"/>
          <w:color w:val="000000" w:themeColor="text1"/>
          <w:sz w:val="24"/>
          <w:szCs w:val="24"/>
          <w:lang w:val="en-US"/>
        </w:rPr>
        <w:t>n. 452; Cons. St.</w:t>
      </w:r>
      <w:r w:rsidR="00C65EA6" w:rsidRPr="00F77070">
        <w:rPr>
          <w:rFonts w:ascii="Garamond" w:hAnsi="Garamond" w:cs="Times New Roman"/>
          <w:color w:val="000000" w:themeColor="text1"/>
          <w:sz w:val="24"/>
          <w:szCs w:val="24"/>
          <w:lang w:val="en-US"/>
        </w:rPr>
        <w:t xml:space="preserve">,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00C65EA6" w:rsidRPr="00F77070">
        <w:rPr>
          <w:rFonts w:ascii="Garamond" w:hAnsi="Garamond" w:cs="Times New Roman"/>
          <w:color w:val="000000" w:themeColor="text1"/>
          <w:sz w:val="24"/>
          <w:szCs w:val="24"/>
          <w:lang w:val="en-US"/>
        </w:rPr>
        <w:t xml:space="preserve"> III, </w:t>
      </w:r>
      <w:r w:rsidR="00751AE4" w:rsidRPr="00F77070">
        <w:rPr>
          <w:rFonts w:ascii="Garamond" w:hAnsi="Garamond" w:cs="Times New Roman"/>
          <w:color w:val="000000" w:themeColor="text1"/>
          <w:sz w:val="24"/>
          <w:szCs w:val="24"/>
          <w:lang w:val="en-US"/>
        </w:rPr>
        <w:t xml:space="preserve">29 </w:t>
      </w:r>
      <w:proofErr w:type="spellStart"/>
      <w:r w:rsidR="00751AE4" w:rsidRPr="00F77070">
        <w:rPr>
          <w:rFonts w:ascii="Garamond" w:hAnsi="Garamond" w:cs="Times New Roman"/>
          <w:color w:val="000000" w:themeColor="text1"/>
          <w:sz w:val="24"/>
          <w:szCs w:val="24"/>
          <w:lang w:val="en-US"/>
        </w:rPr>
        <w:t>dicembre</w:t>
      </w:r>
      <w:proofErr w:type="spellEnd"/>
      <w:r w:rsidR="00751AE4" w:rsidRPr="00F77070">
        <w:rPr>
          <w:rFonts w:ascii="Garamond" w:hAnsi="Garamond" w:cs="Times New Roman"/>
          <w:color w:val="000000" w:themeColor="text1"/>
          <w:sz w:val="24"/>
          <w:szCs w:val="24"/>
          <w:lang w:val="en-US"/>
        </w:rPr>
        <w:t xml:space="preserve"> 2016, </w:t>
      </w:r>
      <w:r w:rsidRPr="00F77070">
        <w:rPr>
          <w:rFonts w:ascii="Garamond" w:hAnsi="Garamond" w:cs="Times New Roman"/>
          <w:color w:val="000000" w:themeColor="text1"/>
          <w:sz w:val="24"/>
          <w:szCs w:val="24"/>
          <w:lang w:val="en-US"/>
        </w:rPr>
        <w:t>n. 5533; Cons. St.</w:t>
      </w:r>
      <w:r w:rsidR="00C65EA6" w:rsidRPr="00F77070">
        <w:rPr>
          <w:rFonts w:ascii="Garamond" w:hAnsi="Garamond" w:cs="Times New Roman"/>
          <w:color w:val="000000" w:themeColor="text1"/>
          <w:sz w:val="24"/>
          <w:szCs w:val="24"/>
          <w:lang w:val="en-US"/>
        </w:rPr>
        <w:t xml:space="preserve">,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00C65EA6" w:rsidRPr="00F77070">
        <w:rPr>
          <w:rFonts w:ascii="Garamond" w:hAnsi="Garamond" w:cs="Times New Roman"/>
          <w:color w:val="000000" w:themeColor="text1"/>
          <w:sz w:val="24"/>
          <w:szCs w:val="24"/>
          <w:lang w:val="en-US"/>
        </w:rPr>
        <w:t xml:space="preserve"> III,</w:t>
      </w:r>
      <w:r w:rsidR="00751AE4" w:rsidRPr="00F77070">
        <w:rPr>
          <w:rFonts w:ascii="Garamond" w:hAnsi="Garamond" w:cs="Times New Roman"/>
          <w:color w:val="000000" w:themeColor="text1"/>
          <w:sz w:val="24"/>
          <w:szCs w:val="24"/>
          <w:lang w:val="en-US"/>
        </w:rPr>
        <w:t xml:space="preserve"> 3 </w:t>
      </w:r>
      <w:proofErr w:type="spellStart"/>
      <w:r w:rsidR="00751AE4" w:rsidRPr="00F77070">
        <w:rPr>
          <w:rFonts w:ascii="Garamond" w:hAnsi="Garamond" w:cs="Times New Roman"/>
          <w:color w:val="000000" w:themeColor="text1"/>
          <w:sz w:val="24"/>
          <w:szCs w:val="24"/>
          <w:lang w:val="en-US"/>
        </w:rPr>
        <w:t>maggio</w:t>
      </w:r>
      <w:proofErr w:type="spellEnd"/>
      <w:r w:rsidR="00751AE4" w:rsidRPr="00F77070">
        <w:rPr>
          <w:rFonts w:ascii="Garamond" w:hAnsi="Garamond" w:cs="Times New Roman"/>
          <w:color w:val="000000" w:themeColor="text1"/>
          <w:sz w:val="24"/>
          <w:szCs w:val="24"/>
          <w:lang w:val="en-US"/>
        </w:rPr>
        <w:t xml:space="preserve"> 2016</w:t>
      </w:r>
      <w:proofErr w:type="gramStart"/>
      <w:r w:rsidR="00751AE4" w:rsidRPr="00F77070">
        <w:rPr>
          <w:rFonts w:ascii="Garamond" w:hAnsi="Garamond" w:cs="Times New Roman"/>
          <w:color w:val="000000" w:themeColor="text1"/>
          <w:sz w:val="24"/>
          <w:szCs w:val="24"/>
          <w:lang w:val="en-US"/>
        </w:rPr>
        <w:t xml:space="preserve">, </w:t>
      </w:r>
      <w:r w:rsidR="00C65EA6" w:rsidRPr="00F77070">
        <w:rPr>
          <w:rFonts w:ascii="Garamond" w:hAnsi="Garamond" w:cs="Times New Roman"/>
          <w:color w:val="000000" w:themeColor="text1"/>
          <w:sz w:val="24"/>
          <w:szCs w:val="24"/>
          <w:lang w:val="en-US"/>
        </w:rPr>
        <w:t xml:space="preserve"> </w:t>
      </w:r>
      <w:r w:rsidRPr="00F77070">
        <w:rPr>
          <w:rFonts w:ascii="Garamond" w:hAnsi="Garamond" w:cs="Times New Roman"/>
          <w:color w:val="000000" w:themeColor="text1"/>
          <w:sz w:val="24"/>
          <w:szCs w:val="24"/>
          <w:lang w:val="en-US"/>
        </w:rPr>
        <w:t>n</w:t>
      </w:r>
      <w:proofErr w:type="gramEnd"/>
      <w:r w:rsidRPr="00F77070">
        <w:rPr>
          <w:rFonts w:ascii="Garamond" w:hAnsi="Garamond" w:cs="Times New Roman"/>
          <w:color w:val="000000" w:themeColor="text1"/>
          <w:sz w:val="24"/>
          <w:szCs w:val="24"/>
          <w:lang w:val="en-US"/>
        </w:rPr>
        <w:t>.</w:t>
      </w:r>
      <w:r w:rsidR="00751AE4" w:rsidRPr="00F77070">
        <w:rPr>
          <w:rFonts w:ascii="Garamond" w:hAnsi="Garamond" w:cs="Times New Roman"/>
          <w:color w:val="000000" w:themeColor="text1"/>
          <w:sz w:val="24"/>
          <w:szCs w:val="24"/>
          <w:lang w:val="en-US"/>
        </w:rPr>
        <w:t xml:space="preserve"> </w:t>
      </w:r>
      <w:r w:rsidRPr="00F77070">
        <w:rPr>
          <w:rFonts w:ascii="Garamond" w:hAnsi="Garamond" w:cs="Times New Roman"/>
          <w:color w:val="000000" w:themeColor="text1"/>
          <w:sz w:val="24"/>
          <w:szCs w:val="24"/>
          <w:lang w:val="en-US"/>
        </w:rPr>
        <w:t>5509; Cons. St.</w:t>
      </w:r>
      <w:r w:rsidR="004D4B87">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00C65EA6" w:rsidRPr="00F77070">
        <w:rPr>
          <w:rFonts w:ascii="Garamond" w:hAnsi="Garamond" w:cs="Times New Roman"/>
          <w:color w:val="000000" w:themeColor="text1"/>
          <w:sz w:val="24"/>
          <w:szCs w:val="24"/>
          <w:lang w:val="en-US"/>
        </w:rPr>
        <w:t xml:space="preserve"> III,</w:t>
      </w:r>
      <w:r w:rsidR="00751AE4" w:rsidRPr="00F77070">
        <w:rPr>
          <w:rFonts w:ascii="Garamond" w:hAnsi="Garamond" w:cs="Times New Roman"/>
          <w:color w:val="000000" w:themeColor="text1"/>
          <w:sz w:val="24"/>
          <w:szCs w:val="24"/>
          <w:lang w:val="en-US"/>
        </w:rPr>
        <w:t xml:space="preserve"> 7 </w:t>
      </w:r>
      <w:proofErr w:type="spellStart"/>
      <w:r w:rsidR="00751AE4" w:rsidRPr="00F77070">
        <w:rPr>
          <w:rFonts w:ascii="Garamond" w:hAnsi="Garamond" w:cs="Times New Roman"/>
          <w:color w:val="000000" w:themeColor="text1"/>
          <w:sz w:val="24"/>
          <w:szCs w:val="24"/>
          <w:lang w:val="en-US"/>
        </w:rPr>
        <w:t>ottobre</w:t>
      </w:r>
      <w:proofErr w:type="spellEnd"/>
      <w:r w:rsidR="00751AE4" w:rsidRPr="00F77070">
        <w:rPr>
          <w:rFonts w:ascii="Garamond" w:hAnsi="Garamond" w:cs="Times New Roman"/>
          <w:color w:val="000000" w:themeColor="text1"/>
          <w:sz w:val="24"/>
          <w:szCs w:val="24"/>
          <w:lang w:val="en-US"/>
        </w:rPr>
        <w:t xml:space="preserve"> 2015, </w:t>
      </w:r>
      <w:r w:rsidRPr="00F77070">
        <w:rPr>
          <w:rFonts w:ascii="Garamond" w:hAnsi="Garamond" w:cs="Times New Roman"/>
          <w:color w:val="000000" w:themeColor="text1"/>
          <w:sz w:val="24"/>
          <w:szCs w:val="24"/>
          <w:lang w:val="en-US"/>
        </w:rPr>
        <w:t>n. 4657.</w:t>
      </w:r>
    </w:p>
  </w:footnote>
  <w:footnote w:id="21">
    <w:p w:rsidR="00B138AC" w:rsidRPr="00A214B9" w:rsidRDefault="00B138AC"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F77070">
        <w:rPr>
          <w:rFonts w:ascii="Garamond" w:hAnsi="Garamond" w:cs="Times New Roman"/>
          <w:color w:val="000000" w:themeColor="text1"/>
          <w:sz w:val="24"/>
          <w:szCs w:val="24"/>
          <w:lang w:val="en-US"/>
        </w:rPr>
        <w:t xml:space="preserve">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III,</w:t>
      </w:r>
      <w:r w:rsidR="00751AE4" w:rsidRPr="00F77070">
        <w:rPr>
          <w:rFonts w:ascii="Garamond" w:hAnsi="Garamond" w:cs="Times New Roman"/>
          <w:color w:val="000000" w:themeColor="text1"/>
          <w:sz w:val="24"/>
          <w:szCs w:val="24"/>
          <w:lang w:val="en-US"/>
        </w:rPr>
        <w:t xml:space="preserve"> 20 </w:t>
      </w:r>
      <w:proofErr w:type="spellStart"/>
      <w:r w:rsidR="00751AE4" w:rsidRPr="00F77070">
        <w:rPr>
          <w:rFonts w:ascii="Garamond" w:hAnsi="Garamond" w:cs="Times New Roman"/>
          <w:color w:val="000000" w:themeColor="text1"/>
          <w:sz w:val="24"/>
          <w:szCs w:val="24"/>
          <w:lang w:val="en-US"/>
        </w:rPr>
        <w:t>febbraio</w:t>
      </w:r>
      <w:proofErr w:type="spellEnd"/>
      <w:r w:rsidR="00751AE4" w:rsidRPr="00F77070">
        <w:rPr>
          <w:rFonts w:ascii="Garamond" w:hAnsi="Garamond" w:cs="Times New Roman"/>
          <w:color w:val="000000" w:themeColor="text1"/>
          <w:sz w:val="24"/>
          <w:szCs w:val="24"/>
          <w:lang w:val="en-US"/>
        </w:rPr>
        <w:t xml:space="preserve"> 2019,</w:t>
      </w:r>
      <w:r w:rsidRPr="00F77070">
        <w:rPr>
          <w:rFonts w:ascii="Garamond" w:hAnsi="Garamond" w:cs="Times New Roman"/>
          <w:color w:val="000000" w:themeColor="text1"/>
          <w:sz w:val="24"/>
          <w:szCs w:val="24"/>
          <w:lang w:val="en-US"/>
        </w:rPr>
        <w:t xml:space="preserve"> n. 758; Cons. </w:t>
      </w:r>
      <w:r w:rsidRPr="00C010D5">
        <w:rPr>
          <w:rFonts w:ascii="Garamond" w:hAnsi="Garamond" w:cs="Times New Roman"/>
          <w:color w:val="000000" w:themeColor="text1"/>
          <w:sz w:val="24"/>
          <w:szCs w:val="24"/>
          <w:lang w:val="en-US"/>
        </w:rPr>
        <w:t xml:space="preserve">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C010D5">
        <w:rPr>
          <w:rFonts w:ascii="Garamond" w:hAnsi="Garamond" w:cs="Times New Roman"/>
          <w:color w:val="000000" w:themeColor="text1"/>
          <w:sz w:val="24"/>
          <w:szCs w:val="24"/>
          <w:lang w:val="en-US"/>
        </w:rPr>
        <w:t xml:space="preserve"> III, </w:t>
      </w:r>
      <w:r w:rsidR="00751AE4" w:rsidRPr="00C010D5">
        <w:rPr>
          <w:rFonts w:ascii="Garamond" w:hAnsi="Garamond" w:cs="Times New Roman"/>
          <w:color w:val="000000" w:themeColor="text1"/>
          <w:sz w:val="24"/>
          <w:szCs w:val="24"/>
          <w:lang w:val="en-US"/>
        </w:rPr>
        <w:t xml:space="preserve">16 </w:t>
      </w:r>
      <w:proofErr w:type="spellStart"/>
      <w:r w:rsidR="00751AE4" w:rsidRPr="00C010D5">
        <w:rPr>
          <w:rFonts w:ascii="Garamond" w:hAnsi="Garamond" w:cs="Times New Roman"/>
          <w:color w:val="000000" w:themeColor="text1"/>
          <w:sz w:val="24"/>
          <w:szCs w:val="24"/>
          <w:lang w:val="en-US"/>
        </w:rPr>
        <w:t>marzo</w:t>
      </w:r>
      <w:proofErr w:type="spellEnd"/>
      <w:r w:rsidR="00751AE4" w:rsidRPr="00C010D5">
        <w:rPr>
          <w:rFonts w:ascii="Garamond" w:hAnsi="Garamond" w:cs="Times New Roman"/>
          <w:color w:val="000000" w:themeColor="text1"/>
          <w:sz w:val="24"/>
          <w:szCs w:val="24"/>
          <w:lang w:val="en-US"/>
        </w:rPr>
        <w:t xml:space="preserve"> 2018, </w:t>
      </w:r>
      <w:r w:rsidRPr="00C010D5">
        <w:rPr>
          <w:rFonts w:ascii="Garamond" w:hAnsi="Garamond" w:cs="Times New Roman"/>
          <w:color w:val="000000" w:themeColor="text1"/>
          <w:sz w:val="24"/>
          <w:szCs w:val="24"/>
          <w:lang w:val="en-US"/>
        </w:rPr>
        <w:t xml:space="preserve">n. 1624; Cons. </w:t>
      </w:r>
      <w:r w:rsidR="00C010D5" w:rsidRPr="00C010D5">
        <w:rPr>
          <w:rFonts w:ascii="Garamond" w:hAnsi="Garamond" w:cs="Times New Roman"/>
          <w:color w:val="000000" w:themeColor="text1"/>
          <w:sz w:val="24"/>
          <w:szCs w:val="24"/>
          <w:lang w:val="en-US"/>
        </w:rPr>
        <w:t>St.</w:t>
      </w:r>
      <w:r w:rsidR="00C010D5">
        <w:rPr>
          <w:rFonts w:ascii="Garamond" w:hAnsi="Garamond" w:cs="Times New Roman"/>
          <w:color w:val="000000" w:themeColor="text1"/>
          <w:sz w:val="24"/>
          <w:szCs w:val="24"/>
        </w:rPr>
        <w:t>, sez.</w:t>
      </w:r>
      <w:r w:rsidRPr="00A214B9">
        <w:rPr>
          <w:rFonts w:ascii="Garamond" w:hAnsi="Garamond" w:cs="Times New Roman"/>
          <w:color w:val="000000" w:themeColor="text1"/>
          <w:sz w:val="24"/>
          <w:szCs w:val="24"/>
        </w:rPr>
        <w:t xml:space="preserve"> III,</w:t>
      </w:r>
      <w:r w:rsidR="00751AE4" w:rsidRPr="00A214B9">
        <w:rPr>
          <w:rFonts w:ascii="Garamond" w:hAnsi="Garamond" w:cs="Times New Roman"/>
          <w:color w:val="000000" w:themeColor="text1"/>
          <w:sz w:val="24"/>
          <w:szCs w:val="24"/>
        </w:rPr>
        <w:t xml:space="preserve"> 19 dicembre 2018,</w:t>
      </w:r>
      <w:r w:rsidRPr="00A214B9">
        <w:rPr>
          <w:rFonts w:ascii="Garamond" w:hAnsi="Garamond" w:cs="Times New Roman"/>
          <w:color w:val="000000" w:themeColor="text1"/>
          <w:sz w:val="24"/>
          <w:szCs w:val="24"/>
        </w:rPr>
        <w:t xml:space="preserve"> n. 97. </w:t>
      </w:r>
    </w:p>
  </w:footnote>
  <w:footnote w:id="22">
    <w:p w:rsidR="00B138AC" w:rsidRPr="00A214B9" w:rsidRDefault="00B138AC"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Sulla discrezionalità dell’Autorità prefettizia, </w:t>
      </w:r>
      <w:proofErr w:type="spellStart"/>
      <w:r w:rsidRPr="00A214B9">
        <w:rPr>
          <w:rFonts w:ascii="Garamond" w:hAnsi="Garamond" w:cs="Times New Roman"/>
          <w:color w:val="000000" w:themeColor="text1"/>
          <w:sz w:val="24"/>
          <w:szCs w:val="24"/>
        </w:rPr>
        <w:t>cfr</w:t>
      </w:r>
      <w:proofErr w:type="spellEnd"/>
      <w:r w:rsidR="00C65EA6" w:rsidRPr="00A214B9">
        <w:rPr>
          <w:rFonts w:ascii="Garamond" w:hAnsi="Garamond" w:cs="Times New Roman"/>
          <w:color w:val="000000" w:themeColor="text1"/>
          <w:sz w:val="24"/>
          <w:szCs w:val="24"/>
        </w:rPr>
        <w:t>:</w:t>
      </w:r>
      <w:r w:rsidR="00751AE4" w:rsidRPr="00A214B9">
        <w:rPr>
          <w:rFonts w:ascii="Garamond" w:hAnsi="Garamond"/>
          <w:color w:val="000000" w:themeColor="text1"/>
          <w:sz w:val="24"/>
          <w:szCs w:val="24"/>
        </w:rPr>
        <w:t xml:space="preserve"> </w:t>
      </w:r>
      <w:r w:rsidR="00751AE4" w:rsidRPr="003C0B3A">
        <w:rPr>
          <w:rFonts w:ascii="Garamond" w:hAnsi="Garamond"/>
          <w:color w:val="000000" w:themeColor="text1"/>
        </w:rPr>
        <w:t xml:space="preserve">F. </w:t>
      </w:r>
      <w:r w:rsidR="00751AE4" w:rsidRPr="003C0B3A">
        <w:rPr>
          <w:rFonts w:ascii="Garamond" w:hAnsi="Garamond"/>
          <w:smallCaps/>
          <w:color w:val="000000" w:themeColor="text1"/>
        </w:rPr>
        <w:t>G.</w:t>
      </w:r>
      <w:r w:rsidR="00751AE4" w:rsidRPr="00A214B9">
        <w:rPr>
          <w:rFonts w:ascii="Garamond" w:hAnsi="Garamond"/>
          <w:smallCaps/>
          <w:color w:val="000000" w:themeColor="text1"/>
          <w:sz w:val="24"/>
          <w:szCs w:val="24"/>
        </w:rPr>
        <w:t xml:space="preserve"> </w:t>
      </w:r>
      <w:proofErr w:type="spellStart"/>
      <w:r w:rsidR="00751AE4" w:rsidRPr="00A214B9">
        <w:rPr>
          <w:rFonts w:ascii="Garamond" w:hAnsi="Garamond"/>
          <w:smallCaps/>
          <w:color w:val="000000" w:themeColor="text1"/>
          <w:sz w:val="24"/>
          <w:szCs w:val="24"/>
        </w:rPr>
        <w:t>Scoca</w:t>
      </w:r>
      <w:proofErr w:type="spellEnd"/>
      <w:r w:rsidRPr="00A214B9">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 xml:space="preserve">Le </w:t>
      </w:r>
      <w:proofErr w:type="spellStart"/>
      <w:r w:rsidRPr="00A214B9">
        <w:rPr>
          <w:rFonts w:ascii="Garamond" w:hAnsi="Garamond" w:cs="Times New Roman"/>
          <w:i/>
          <w:color w:val="000000" w:themeColor="text1"/>
          <w:sz w:val="24"/>
          <w:szCs w:val="24"/>
        </w:rPr>
        <w:t>interdittive</w:t>
      </w:r>
      <w:proofErr w:type="spellEnd"/>
      <w:r w:rsidRPr="00A214B9">
        <w:rPr>
          <w:rFonts w:ascii="Garamond" w:hAnsi="Garamond" w:cs="Times New Roman"/>
          <w:i/>
          <w:color w:val="000000" w:themeColor="text1"/>
          <w:sz w:val="24"/>
          <w:szCs w:val="24"/>
        </w:rPr>
        <w:t xml:space="preserve"> antimafia e la razionalità, la ragionevolezza e la costituzionalità della lotta anticipata alla criminalità organizzata,</w:t>
      </w:r>
      <w:r w:rsidRPr="00A214B9">
        <w:rPr>
          <w:rFonts w:ascii="Garamond" w:hAnsi="Garamond" w:cs="Times New Roman"/>
          <w:color w:val="000000" w:themeColor="text1"/>
          <w:sz w:val="24"/>
          <w:szCs w:val="24"/>
        </w:rPr>
        <w:t xml:space="preserve"> in </w:t>
      </w:r>
      <w:r w:rsidR="00751AE4" w:rsidRPr="00A214B9">
        <w:rPr>
          <w:rFonts w:ascii="Garamond" w:hAnsi="Garamond" w:cs="Times New Roman"/>
          <w:color w:val="000000" w:themeColor="text1"/>
          <w:sz w:val="24"/>
          <w:szCs w:val="24"/>
        </w:rPr>
        <w:t>www.</w:t>
      </w:r>
      <w:r w:rsidRPr="00A214B9">
        <w:rPr>
          <w:rFonts w:ascii="Garamond" w:hAnsi="Garamond" w:cs="Times New Roman"/>
          <w:i/>
          <w:color w:val="000000" w:themeColor="text1"/>
          <w:sz w:val="24"/>
          <w:szCs w:val="24"/>
        </w:rPr>
        <w:t>giustamm.</w:t>
      </w:r>
      <w:r w:rsidR="00751AE4" w:rsidRPr="00A214B9">
        <w:rPr>
          <w:rFonts w:ascii="Garamond" w:hAnsi="Garamond" w:cs="Times New Roman"/>
          <w:i/>
          <w:color w:val="000000" w:themeColor="text1"/>
          <w:sz w:val="24"/>
          <w:szCs w:val="24"/>
        </w:rPr>
        <w:t>i</w:t>
      </w:r>
      <w:r w:rsidRPr="00A214B9">
        <w:rPr>
          <w:rFonts w:ascii="Garamond" w:hAnsi="Garamond" w:cs="Times New Roman"/>
          <w:i/>
          <w:color w:val="000000" w:themeColor="text1"/>
          <w:sz w:val="24"/>
          <w:szCs w:val="24"/>
        </w:rPr>
        <w:t>t</w:t>
      </w:r>
      <w:r w:rsidRPr="00A214B9">
        <w:rPr>
          <w:rFonts w:ascii="Garamond" w:hAnsi="Garamond" w:cs="Times New Roman"/>
          <w:color w:val="000000" w:themeColor="text1"/>
          <w:sz w:val="24"/>
          <w:szCs w:val="24"/>
        </w:rPr>
        <w:t>, n. 6</w:t>
      </w:r>
      <w:r w:rsidR="00751AE4" w:rsidRPr="00A214B9">
        <w:rPr>
          <w:rFonts w:ascii="Garamond" w:hAnsi="Garamond" w:cs="Times New Roman"/>
          <w:color w:val="000000" w:themeColor="text1"/>
          <w:sz w:val="24"/>
          <w:szCs w:val="24"/>
        </w:rPr>
        <w:t>/</w:t>
      </w:r>
      <w:r w:rsidRPr="00A214B9">
        <w:rPr>
          <w:rFonts w:ascii="Garamond" w:hAnsi="Garamond" w:cs="Times New Roman"/>
          <w:color w:val="000000" w:themeColor="text1"/>
          <w:sz w:val="24"/>
          <w:szCs w:val="24"/>
        </w:rPr>
        <w:t xml:space="preserve"> 2018, nella parte in cui rileva che “</w:t>
      </w:r>
      <w:r w:rsidRPr="00A214B9">
        <w:rPr>
          <w:rFonts w:ascii="Garamond" w:hAnsi="Garamond" w:cs="Times New Roman"/>
          <w:i/>
          <w:color w:val="000000" w:themeColor="text1"/>
          <w:sz w:val="24"/>
          <w:szCs w:val="24"/>
        </w:rPr>
        <w:t>la valutazione rimessa al prefetto è certamente opinabile, soggettiva, ma non è discrezionale: attiene alla conoscenza dei fatti, alla determinazione del loro valore indiziario(..).Il ricorso alla nozione di discrezionalità appare, quindi, come la giustificazione di un sindacato giurisdizionale debole, che non intente accertare autonomamente la sussistenza dei presupposti di fatto necessari per la legittimità dei provvedimenti impugnati”.</w:t>
      </w:r>
    </w:p>
  </w:footnote>
  <w:footnote w:id="23">
    <w:p w:rsidR="00B138AC" w:rsidRPr="00A214B9" w:rsidRDefault="00B138AC"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In questo senso </w:t>
      </w:r>
      <w:proofErr w:type="spellStart"/>
      <w:r w:rsidRPr="00A214B9">
        <w:rPr>
          <w:rFonts w:ascii="Garamond" w:hAnsi="Garamond" w:cs="Times New Roman"/>
          <w:color w:val="000000" w:themeColor="text1"/>
          <w:sz w:val="24"/>
          <w:szCs w:val="24"/>
        </w:rPr>
        <w:t>Cons</w:t>
      </w:r>
      <w:proofErr w:type="spellEnd"/>
      <w:r w:rsidRPr="00A214B9">
        <w:rPr>
          <w:rFonts w:ascii="Garamond" w:hAnsi="Garamond" w:cs="Times New Roman"/>
          <w:color w:val="000000" w:themeColor="text1"/>
          <w:sz w:val="24"/>
          <w:szCs w:val="24"/>
        </w:rPr>
        <w:t xml:space="preserve">. St., </w:t>
      </w:r>
      <w:r w:rsidR="00C010D5">
        <w:rPr>
          <w:rFonts w:ascii="Garamond" w:hAnsi="Garamond" w:cs="Times New Roman"/>
          <w:color w:val="000000" w:themeColor="text1"/>
          <w:sz w:val="24"/>
          <w:szCs w:val="24"/>
        </w:rPr>
        <w:t>Sez.</w:t>
      </w:r>
      <w:r w:rsidRPr="00A214B9">
        <w:rPr>
          <w:rFonts w:ascii="Garamond" w:hAnsi="Garamond" w:cs="Times New Roman"/>
          <w:color w:val="000000" w:themeColor="text1"/>
          <w:sz w:val="24"/>
          <w:szCs w:val="24"/>
        </w:rPr>
        <w:t xml:space="preserve"> III, </w:t>
      </w:r>
      <w:r w:rsidR="00751AE4" w:rsidRPr="00A214B9">
        <w:rPr>
          <w:rFonts w:ascii="Garamond" w:hAnsi="Garamond" w:cs="Times New Roman"/>
          <w:color w:val="000000" w:themeColor="text1"/>
          <w:sz w:val="24"/>
          <w:szCs w:val="24"/>
        </w:rPr>
        <w:t xml:space="preserve">3 aprile 2019, </w:t>
      </w:r>
      <w:r w:rsidRPr="00A214B9">
        <w:rPr>
          <w:rFonts w:ascii="Garamond" w:hAnsi="Garamond" w:cs="Times New Roman"/>
          <w:color w:val="000000" w:themeColor="text1"/>
          <w:sz w:val="24"/>
          <w:szCs w:val="24"/>
        </w:rPr>
        <w:t xml:space="preserve">n. 2211. Per un esame più approfondito dei due istituti cfr. </w:t>
      </w:r>
      <w:r w:rsidR="00751AE4" w:rsidRPr="003C0B3A">
        <w:rPr>
          <w:rStyle w:val="SottotitoloCarattere"/>
          <w:rFonts w:ascii="Garamond" w:hAnsi="Garamond"/>
          <w:color w:val="000000" w:themeColor="text1"/>
        </w:rPr>
        <w:t>M.</w:t>
      </w:r>
      <w:r w:rsidR="00870847">
        <w:rPr>
          <w:rStyle w:val="SottotitoloCarattere"/>
          <w:rFonts w:ascii="Garamond" w:hAnsi="Garamond"/>
          <w:color w:val="000000" w:themeColor="text1"/>
        </w:rPr>
        <w:t xml:space="preserve"> </w:t>
      </w:r>
      <w:r w:rsidRPr="003C0B3A">
        <w:rPr>
          <w:rStyle w:val="SottotitoloCarattere"/>
          <w:rFonts w:ascii="Garamond" w:hAnsi="Garamond"/>
          <w:color w:val="000000" w:themeColor="text1"/>
        </w:rPr>
        <w:t>N</w:t>
      </w:r>
      <w:r w:rsidRPr="003C0B3A">
        <w:rPr>
          <w:rStyle w:val="SottotitoloCarattere"/>
          <w:rFonts w:ascii="Garamond" w:hAnsi="Garamond"/>
          <w:color w:val="000000" w:themeColor="text1"/>
          <w:sz w:val="18"/>
          <w:szCs w:val="18"/>
        </w:rPr>
        <w:t xml:space="preserve">OCCELLI, </w:t>
      </w:r>
      <w:r w:rsidRPr="00A214B9">
        <w:rPr>
          <w:rFonts w:ascii="Garamond" w:hAnsi="Garamond" w:cs="Times New Roman"/>
          <w:i/>
          <w:color w:val="000000" w:themeColor="text1"/>
          <w:sz w:val="24"/>
          <w:szCs w:val="24"/>
        </w:rPr>
        <w:t>I più recenti orientamenti della giurisprudenza amministrativa sul complesso sistema antimafia</w:t>
      </w:r>
      <w:r w:rsidRPr="00A214B9">
        <w:rPr>
          <w:rFonts w:ascii="Garamond" w:hAnsi="Garamond" w:cs="Times New Roman"/>
          <w:color w:val="000000" w:themeColor="text1"/>
          <w:sz w:val="24"/>
          <w:szCs w:val="24"/>
        </w:rPr>
        <w:t xml:space="preserve">, in </w:t>
      </w:r>
      <w:r w:rsidRPr="00A214B9">
        <w:rPr>
          <w:rFonts w:ascii="Garamond" w:hAnsi="Garamond" w:cs="Times New Roman"/>
          <w:i/>
          <w:color w:val="000000" w:themeColor="text1"/>
          <w:sz w:val="24"/>
          <w:szCs w:val="24"/>
        </w:rPr>
        <w:t xml:space="preserve">Foro </w:t>
      </w:r>
      <w:proofErr w:type="spellStart"/>
      <w:r w:rsidRPr="00A214B9">
        <w:rPr>
          <w:rFonts w:ascii="Garamond" w:hAnsi="Garamond" w:cs="Times New Roman"/>
          <w:i/>
          <w:color w:val="000000" w:themeColor="text1"/>
          <w:sz w:val="24"/>
          <w:szCs w:val="24"/>
        </w:rPr>
        <w:t>Amm</w:t>
      </w:r>
      <w:proofErr w:type="spellEnd"/>
      <w:r w:rsidRPr="00A214B9">
        <w:rPr>
          <w:rFonts w:ascii="Garamond" w:hAnsi="Garamond" w:cs="Times New Roman"/>
          <w:color w:val="000000" w:themeColor="text1"/>
          <w:sz w:val="24"/>
          <w:szCs w:val="24"/>
        </w:rPr>
        <w:t xml:space="preserve">, </w:t>
      </w:r>
      <w:r w:rsidR="00751AE4" w:rsidRPr="00A214B9">
        <w:rPr>
          <w:rFonts w:ascii="Garamond" w:hAnsi="Garamond" w:cs="Times New Roman"/>
          <w:color w:val="000000" w:themeColor="text1"/>
          <w:sz w:val="24"/>
          <w:szCs w:val="24"/>
        </w:rPr>
        <w:t xml:space="preserve">(Il) </w:t>
      </w:r>
      <w:r w:rsidR="00C65EA6" w:rsidRPr="00A214B9">
        <w:rPr>
          <w:rFonts w:ascii="Garamond" w:hAnsi="Garamond" w:cs="Times New Roman"/>
          <w:color w:val="000000" w:themeColor="text1"/>
          <w:sz w:val="24"/>
          <w:szCs w:val="24"/>
        </w:rPr>
        <w:t>2017,</w:t>
      </w:r>
      <w:r w:rsidR="00751AE4" w:rsidRPr="00A214B9">
        <w:rPr>
          <w:rFonts w:ascii="Garamond" w:hAnsi="Garamond" w:cs="Times New Roman"/>
          <w:color w:val="000000" w:themeColor="text1"/>
          <w:sz w:val="24"/>
          <w:szCs w:val="24"/>
        </w:rPr>
        <w:t xml:space="preserve"> p. 2524 ss.</w:t>
      </w:r>
    </w:p>
  </w:footnote>
  <w:footnote w:id="24">
    <w:p w:rsidR="00B138AC" w:rsidRPr="00A214B9" w:rsidRDefault="00B138AC"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F77070">
        <w:rPr>
          <w:rFonts w:ascii="Garamond" w:hAnsi="Garamond" w:cs="Times New Roman"/>
          <w:color w:val="000000" w:themeColor="text1"/>
          <w:sz w:val="24"/>
          <w:szCs w:val="24"/>
          <w:lang w:val="en-US"/>
        </w:rPr>
        <w:t xml:space="preserve">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III,</w:t>
      </w:r>
      <w:r w:rsidR="00751AE4" w:rsidRPr="00F77070">
        <w:rPr>
          <w:rFonts w:ascii="Garamond" w:hAnsi="Garamond" w:cs="Times New Roman"/>
          <w:color w:val="000000" w:themeColor="text1"/>
          <w:sz w:val="24"/>
          <w:szCs w:val="24"/>
          <w:lang w:val="en-US"/>
        </w:rPr>
        <w:t xml:space="preserve"> 3 </w:t>
      </w:r>
      <w:proofErr w:type="spellStart"/>
      <w:r w:rsidR="00751AE4" w:rsidRPr="00F77070">
        <w:rPr>
          <w:rFonts w:ascii="Garamond" w:hAnsi="Garamond" w:cs="Times New Roman"/>
          <w:color w:val="000000" w:themeColor="text1"/>
          <w:sz w:val="24"/>
          <w:szCs w:val="24"/>
          <w:lang w:val="en-US"/>
        </w:rPr>
        <w:t>maggio</w:t>
      </w:r>
      <w:proofErr w:type="spellEnd"/>
      <w:r w:rsidR="00751AE4" w:rsidRPr="00F77070">
        <w:rPr>
          <w:rFonts w:ascii="Garamond" w:hAnsi="Garamond" w:cs="Times New Roman"/>
          <w:color w:val="000000" w:themeColor="text1"/>
          <w:sz w:val="24"/>
          <w:szCs w:val="24"/>
          <w:lang w:val="en-US"/>
        </w:rPr>
        <w:t xml:space="preserve"> 2016,</w:t>
      </w:r>
      <w:r w:rsidRPr="00F77070">
        <w:rPr>
          <w:rFonts w:ascii="Garamond" w:hAnsi="Garamond" w:cs="Times New Roman"/>
          <w:color w:val="000000" w:themeColor="text1"/>
          <w:sz w:val="24"/>
          <w:szCs w:val="24"/>
          <w:lang w:val="en-US"/>
        </w:rPr>
        <w:t xml:space="preserve"> n. 1743. </w:t>
      </w:r>
      <w:r w:rsidRPr="00A214B9">
        <w:rPr>
          <w:rFonts w:ascii="Garamond" w:hAnsi="Garamond" w:cs="Times New Roman"/>
          <w:color w:val="000000" w:themeColor="text1"/>
          <w:sz w:val="24"/>
          <w:szCs w:val="24"/>
        </w:rPr>
        <w:t>Sul punto v.</w:t>
      </w:r>
      <w:r w:rsidR="00751AE4" w:rsidRPr="00A214B9">
        <w:rPr>
          <w:rFonts w:ascii="Garamond" w:hAnsi="Garamond"/>
          <w:color w:val="000000" w:themeColor="text1"/>
          <w:sz w:val="24"/>
          <w:szCs w:val="24"/>
        </w:rPr>
        <w:t xml:space="preserve"> </w:t>
      </w:r>
      <w:r w:rsidR="00751AE4" w:rsidRPr="003C0B3A">
        <w:rPr>
          <w:rFonts w:ascii="Garamond" w:hAnsi="Garamond"/>
          <w:color w:val="000000" w:themeColor="text1"/>
          <w:sz w:val="22"/>
          <w:szCs w:val="22"/>
        </w:rPr>
        <w:t xml:space="preserve">F. </w:t>
      </w:r>
      <w:r w:rsidR="00751AE4" w:rsidRPr="003C0B3A">
        <w:rPr>
          <w:rFonts w:ascii="Garamond" w:hAnsi="Garamond"/>
          <w:smallCaps/>
          <w:color w:val="000000" w:themeColor="text1"/>
          <w:sz w:val="22"/>
          <w:szCs w:val="22"/>
        </w:rPr>
        <w:t>G.</w:t>
      </w:r>
      <w:r w:rsidR="00751AE4" w:rsidRPr="00A214B9">
        <w:rPr>
          <w:rFonts w:ascii="Garamond" w:hAnsi="Garamond"/>
          <w:smallCaps/>
          <w:color w:val="000000" w:themeColor="text1"/>
          <w:sz w:val="24"/>
          <w:szCs w:val="24"/>
        </w:rPr>
        <w:t xml:space="preserve"> </w:t>
      </w:r>
      <w:proofErr w:type="spellStart"/>
      <w:r w:rsidR="00751AE4" w:rsidRPr="00A214B9">
        <w:rPr>
          <w:rFonts w:ascii="Garamond" w:hAnsi="Garamond"/>
          <w:smallCaps/>
          <w:color w:val="000000" w:themeColor="text1"/>
          <w:sz w:val="24"/>
          <w:szCs w:val="24"/>
        </w:rPr>
        <w:t>Scoca</w:t>
      </w:r>
      <w:proofErr w:type="spellEnd"/>
      <w:r w:rsidRPr="00A214B9">
        <w:rPr>
          <w:rFonts w:ascii="Garamond" w:hAnsi="Garamond" w:cs="Times New Roman"/>
          <w:i/>
          <w:color w:val="000000" w:themeColor="text1"/>
          <w:sz w:val="24"/>
          <w:szCs w:val="24"/>
        </w:rPr>
        <w:t xml:space="preserve">, Le </w:t>
      </w:r>
      <w:proofErr w:type="spellStart"/>
      <w:r w:rsidRPr="00A214B9">
        <w:rPr>
          <w:rFonts w:ascii="Garamond" w:hAnsi="Garamond" w:cs="Times New Roman"/>
          <w:i/>
          <w:color w:val="000000" w:themeColor="text1"/>
          <w:sz w:val="24"/>
          <w:szCs w:val="24"/>
        </w:rPr>
        <w:t>interdittive</w:t>
      </w:r>
      <w:proofErr w:type="spellEnd"/>
      <w:r w:rsidRPr="00A214B9">
        <w:rPr>
          <w:rFonts w:ascii="Garamond" w:hAnsi="Garamond" w:cs="Times New Roman"/>
          <w:i/>
          <w:color w:val="000000" w:themeColor="text1"/>
          <w:sz w:val="24"/>
          <w:szCs w:val="24"/>
        </w:rPr>
        <w:t xml:space="preserve"> antimafia e la razionalità, la ragionevolezza e costituzionalità della lotta “anticipata” alla criminalità organizzata</w:t>
      </w:r>
      <w:r w:rsidRPr="00A214B9">
        <w:rPr>
          <w:rFonts w:ascii="Garamond" w:hAnsi="Garamond" w:cs="Times New Roman"/>
          <w:color w:val="000000" w:themeColor="text1"/>
          <w:sz w:val="24"/>
          <w:szCs w:val="24"/>
        </w:rPr>
        <w:t xml:space="preserve">, in </w:t>
      </w:r>
      <w:r w:rsidR="00751AE4" w:rsidRPr="00A214B9">
        <w:rPr>
          <w:rFonts w:ascii="Garamond" w:hAnsi="Garamond" w:cs="Times New Roman"/>
          <w:color w:val="000000" w:themeColor="text1"/>
          <w:sz w:val="24"/>
          <w:szCs w:val="24"/>
        </w:rPr>
        <w:t>www.</w:t>
      </w:r>
      <w:r w:rsidRPr="00A214B9">
        <w:rPr>
          <w:rFonts w:ascii="Garamond" w:hAnsi="Garamond" w:cs="Times New Roman"/>
          <w:i/>
          <w:color w:val="000000" w:themeColor="text1"/>
          <w:sz w:val="24"/>
          <w:szCs w:val="24"/>
        </w:rPr>
        <w:t>giustamm.it</w:t>
      </w:r>
      <w:r w:rsidRPr="00A214B9">
        <w:rPr>
          <w:rFonts w:ascii="Garamond" w:hAnsi="Garamond" w:cs="Times New Roman"/>
          <w:color w:val="000000" w:themeColor="text1"/>
          <w:sz w:val="24"/>
          <w:szCs w:val="24"/>
        </w:rPr>
        <w:t>, n. 6</w:t>
      </w:r>
      <w:r w:rsidR="00751AE4" w:rsidRPr="00A214B9">
        <w:rPr>
          <w:rFonts w:ascii="Garamond" w:hAnsi="Garamond" w:cs="Times New Roman"/>
          <w:color w:val="000000" w:themeColor="text1"/>
          <w:sz w:val="24"/>
          <w:szCs w:val="24"/>
        </w:rPr>
        <w:t>/</w:t>
      </w:r>
      <w:r w:rsidR="00C65EA6" w:rsidRPr="00A214B9">
        <w:rPr>
          <w:rFonts w:ascii="Garamond" w:hAnsi="Garamond" w:cs="Times New Roman"/>
          <w:color w:val="000000" w:themeColor="text1"/>
          <w:sz w:val="24"/>
          <w:szCs w:val="24"/>
        </w:rPr>
        <w:t xml:space="preserve"> 2018.</w:t>
      </w:r>
    </w:p>
  </w:footnote>
  <w:footnote w:id="25">
    <w:p w:rsidR="002E5327" w:rsidRPr="00A214B9" w:rsidRDefault="002E5327" w:rsidP="00A214B9">
      <w:pPr>
        <w:pStyle w:val="Testonotaapidipagina"/>
        <w:ind w:firstLine="709"/>
        <w:jc w:val="both"/>
        <w:rPr>
          <w:rFonts w:ascii="Garamond" w:hAnsi="Garamond"/>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w:t>
      </w:r>
      <w:proofErr w:type="spellStart"/>
      <w:r w:rsidRPr="00A214B9">
        <w:rPr>
          <w:rFonts w:ascii="Garamond" w:hAnsi="Garamond" w:cs="Times New Roman"/>
          <w:color w:val="000000" w:themeColor="text1"/>
          <w:sz w:val="24"/>
          <w:szCs w:val="24"/>
        </w:rPr>
        <w:t>Cons</w:t>
      </w:r>
      <w:proofErr w:type="spellEnd"/>
      <w:r w:rsidRPr="00A214B9">
        <w:rPr>
          <w:rFonts w:ascii="Garamond" w:hAnsi="Garamond" w:cs="Times New Roman"/>
          <w:color w:val="000000" w:themeColor="text1"/>
          <w:sz w:val="24"/>
          <w:szCs w:val="24"/>
        </w:rPr>
        <w:t>. St.</w:t>
      </w:r>
      <w:r w:rsidR="00C010D5">
        <w:rPr>
          <w:rFonts w:ascii="Garamond" w:hAnsi="Garamond" w:cs="Times New Roman"/>
          <w:color w:val="000000" w:themeColor="text1"/>
          <w:sz w:val="24"/>
          <w:szCs w:val="24"/>
        </w:rPr>
        <w:t>, sez.</w:t>
      </w:r>
      <w:r w:rsidRPr="00A214B9">
        <w:rPr>
          <w:rFonts w:ascii="Garamond" w:hAnsi="Garamond" w:cs="Times New Roman"/>
          <w:color w:val="000000" w:themeColor="text1"/>
          <w:sz w:val="24"/>
          <w:szCs w:val="24"/>
        </w:rPr>
        <w:t xml:space="preserve"> VI,</w:t>
      </w:r>
      <w:r w:rsidR="00751AE4" w:rsidRPr="00A214B9">
        <w:rPr>
          <w:rFonts w:ascii="Garamond" w:hAnsi="Garamond" w:cs="Times New Roman"/>
          <w:color w:val="000000" w:themeColor="text1"/>
          <w:sz w:val="24"/>
          <w:szCs w:val="24"/>
        </w:rPr>
        <w:t xml:space="preserve"> 29 novembre 2006,</w:t>
      </w:r>
      <w:r w:rsidRPr="00A214B9">
        <w:rPr>
          <w:rFonts w:ascii="Garamond" w:hAnsi="Garamond" w:cs="Times New Roman"/>
          <w:color w:val="000000" w:themeColor="text1"/>
          <w:sz w:val="24"/>
          <w:szCs w:val="24"/>
        </w:rPr>
        <w:t xml:space="preserve"> n. 6986</w:t>
      </w:r>
      <w:r w:rsidR="00C65EA6" w:rsidRPr="00A214B9">
        <w:rPr>
          <w:rFonts w:ascii="Garamond" w:hAnsi="Garamond" w:cs="Times New Roman"/>
          <w:color w:val="000000" w:themeColor="text1"/>
          <w:sz w:val="24"/>
          <w:szCs w:val="24"/>
        </w:rPr>
        <w:t>.</w:t>
      </w:r>
    </w:p>
  </w:footnote>
  <w:footnote w:id="26">
    <w:p w:rsidR="00B138AC" w:rsidRPr="00A214B9" w:rsidRDefault="00B138AC" w:rsidP="00A214B9">
      <w:pPr>
        <w:ind w:firstLine="709"/>
        <w:jc w:val="both"/>
        <w:rPr>
          <w:rFonts w:ascii="Garamond" w:hAnsi="Garamond" w:cs="Times New Roman"/>
          <w:color w:val="000000" w:themeColor="text1"/>
        </w:rPr>
      </w:pPr>
      <w:r w:rsidRPr="00A214B9">
        <w:rPr>
          <w:rStyle w:val="Rimandonotaapidipagina"/>
          <w:rFonts w:ascii="Garamond" w:hAnsi="Garamond" w:cs="Times New Roman"/>
          <w:color w:val="000000" w:themeColor="text1"/>
        </w:rPr>
        <w:footnoteRef/>
      </w:r>
      <w:r w:rsidRPr="00A214B9">
        <w:rPr>
          <w:rFonts w:ascii="Garamond" w:hAnsi="Garamond" w:cs="Times New Roman"/>
          <w:color w:val="000000" w:themeColor="text1"/>
        </w:rPr>
        <w:t xml:space="preserve"> Sul </w:t>
      </w:r>
      <w:r w:rsidRPr="00A214B9">
        <w:rPr>
          <w:rFonts w:ascii="Garamond" w:eastAsia="Times New Roman" w:hAnsi="Garamond" w:cs="Times New Roman"/>
          <w:color w:val="000000" w:themeColor="text1"/>
          <w:lang w:eastAsia="it-IT"/>
        </w:rPr>
        <w:t xml:space="preserve">punto cfr. </w:t>
      </w:r>
      <w:proofErr w:type="spellStart"/>
      <w:r w:rsidRPr="00A214B9">
        <w:rPr>
          <w:rFonts w:ascii="Garamond" w:eastAsia="Times New Roman" w:hAnsi="Garamond" w:cs="Times New Roman"/>
          <w:color w:val="000000" w:themeColor="text1"/>
          <w:lang w:eastAsia="it-IT"/>
        </w:rPr>
        <w:t>Cons</w:t>
      </w:r>
      <w:proofErr w:type="spellEnd"/>
      <w:r w:rsidRPr="00A214B9">
        <w:rPr>
          <w:rFonts w:ascii="Garamond" w:eastAsia="Times New Roman" w:hAnsi="Garamond" w:cs="Times New Roman"/>
          <w:color w:val="000000" w:themeColor="text1"/>
          <w:lang w:eastAsia="it-IT"/>
        </w:rPr>
        <w:t xml:space="preserve">. Stato, </w:t>
      </w:r>
      <w:r w:rsidR="00C010D5">
        <w:rPr>
          <w:rFonts w:ascii="Garamond" w:eastAsia="Times New Roman" w:hAnsi="Garamond" w:cs="Times New Roman"/>
          <w:color w:val="000000" w:themeColor="text1"/>
          <w:lang w:eastAsia="it-IT"/>
        </w:rPr>
        <w:t>sez.</w:t>
      </w:r>
      <w:r w:rsidRPr="00A214B9">
        <w:rPr>
          <w:rFonts w:ascii="Garamond" w:eastAsia="Times New Roman" w:hAnsi="Garamond" w:cs="Times New Roman"/>
          <w:color w:val="000000" w:themeColor="text1"/>
          <w:lang w:eastAsia="it-IT"/>
        </w:rPr>
        <w:t xml:space="preserve"> III, </w:t>
      </w:r>
      <w:r w:rsidR="00751AE4" w:rsidRPr="00A214B9">
        <w:rPr>
          <w:rFonts w:ascii="Garamond" w:eastAsia="Times New Roman" w:hAnsi="Garamond" w:cs="Times New Roman"/>
          <w:color w:val="000000" w:themeColor="text1"/>
          <w:lang w:eastAsia="it-IT"/>
        </w:rPr>
        <w:t xml:space="preserve">19 dicembre 2018, </w:t>
      </w:r>
      <w:r w:rsidRPr="00A214B9">
        <w:rPr>
          <w:rFonts w:ascii="Garamond" w:eastAsia="Times New Roman" w:hAnsi="Garamond" w:cs="Times New Roman"/>
          <w:color w:val="000000" w:themeColor="text1"/>
          <w:lang w:eastAsia="it-IT"/>
        </w:rPr>
        <w:t xml:space="preserve">n. 5547, secondo </w:t>
      </w:r>
      <w:r w:rsidR="00C65EA6" w:rsidRPr="00A214B9">
        <w:rPr>
          <w:rFonts w:ascii="Garamond" w:eastAsia="Times New Roman" w:hAnsi="Garamond" w:cs="Times New Roman"/>
          <w:color w:val="000000" w:themeColor="text1"/>
          <w:lang w:eastAsia="it-IT"/>
        </w:rPr>
        <w:t>il quale</w:t>
      </w:r>
      <w:r w:rsidRPr="00A214B9">
        <w:rPr>
          <w:rFonts w:ascii="Garamond" w:eastAsia="Times New Roman" w:hAnsi="Garamond" w:cs="Times New Roman"/>
          <w:color w:val="000000" w:themeColor="text1"/>
          <w:lang w:eastAsia="it-IT"/>
        </w:rPr>
        <w:t xml:space="preserve"> «</w:t>
      </w:r>
      <w:r w:rsidRPr="00A214B9">
        <w:rPr>
          <w:rFonts w:ascii="Garamond" w:eastAsia="Times New Roman" w:hAnsi="Garamond" w:cs="Times New Roman"/>
          <w:i/>
          <w:iCs/>
          <w:color w:val="000000" w:themeColor="text1"/>
          <w:lang w:eastAsia="it-IT"/>
        </w:rPr>
        <w:t>La prevenzione contro l’inquinamento dell’economia legale ad opera della mafia ha costituito e costituisce, tuttora, una priorità per la legislazione del settore</w:t>
      </w:r>
      <w:r w:rsidRPr="00A214B9">
        <w:rPr>
          <w:rFonts w:ascii="Garamond" w:eastAsia="Times New Roman" w:hAnsi="Garamond" w:cs="Times New Roman"/>
          <w:color w:val="000000" w:themeColor="text1"/>
          <w:lang w:eastAsia="it-IT"/>
        </w:rPr>
        <w:t> .</w:t>
      </w:r>
      <w:r w:rsidRPr="00A214B9">
        <w:rPr>
          <w:rFonts w:ascii="Garamond" w:eastAsia="Times New Roman" w:hAnsi="Garamond" w:cs="Times New Roman"/>
          <w:i/>
          <w:color w:val="000000" w:themeColor="text1"/>
          <w:lang w:eastAsia="it-IT"/>
        </w:rPr>
        <w:t>Tale priorità di lotta alla infiltrazione della criminalità organizzata nelle attività economiche ha, peraltro, giustificato la scelta del legislatore di non riconoscere dignità e statuto di operatori economici, non soltanto nei rapporti con la pubblica amministrazione, a soggetti condizionati, controllati, infiltrati ed eterodiretti dalle associazioni mafiose».</w:t>
      </w:r>
    </w:p>
  </w:footnote>
  <w:footnote w:id="27">
    <w:p w:rsidR="00B138AC" w:rsidRPr="00F77070" w:rsidRDefault="00B138AC" w:rsidP="00A214B9">
      <w:pPr>
        <w:pStyle w:val="Testonotaapidipagina"/>
        <w:ind w:firstLine="709"/>
        <w:jc w:val="both"/>
        <w:rPr>
          <w:rFonts w:ascii="Garamond" w:hAnsi="Garamond"/>
          <w:color w:val="000000" w:themeColor="text1"/>
          <w:sz w:val="24"/>
          <w:szCs w:val="24"/>
          <w:lang w:val="en-US"/>
        </w:rPr>
      </w:pPr>
      <w:r w:rsidRPr="00A214B9">
        <w:rPr>
          <w:rStyle w:val="Rimandonotaapidipagina"/>
          <w:rFonts w:ascii="Garamond" w:hAnsi="Garamond" w:cs="Times New Roman"/>
          <w:color w:val="000000" w:themeColor="text1"/>
          <w:sz w:val="24"/>
          <w:szCs w:val="24"/>
        </w:rPr>
        <w:footnoteRef/>
      </w:r>
      <w:r w:rsidRPr="00F77070">
        <w:rPr>
          <w:rFonts w:ascii="Garamond" w:hAnsi="Garamond" w:cs="Times New Roman"/>
          <w:color w:val="000000" w:themeColor="text1"/>
          <w:sz w:val="24"/>
          <w:szCs w:val="24"/>
          <w:lang w:val="en-US"/>
        </w:rPr>
        <w:t xml:space="preserve">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w:t>
      </w:r>
      <w:r w:rsidRPr="00D26DA2">
        <w:rPr>
          <w:rFonts w:ascii="Garamond" w:hAnsi="Garamond" w:cs="Times New Roman"/>
          <w:color w:val="000000" w:themeColor="text1"/>
          <w:sz w:val="24"/>
          <w:szCs w:val="24"/>
        </w:rPr>
        <w:t xml:space="preserve">I, </w:t>
      </w:r>
      <w:r w:rsidR="00751AE4" w:rsidRPr="00D26DA2">
        <w:rPr>
          <w:rFonts w:ascii="Garamond" w:hAnsi="Garamond" w:cs="Times New Roman"/>
          <w:color w:val="000000" w:themeColor="text1"/>
          <w:sz w:val="24"/>
          <w:szCs w:val="24"/>
        </w:rPr>
        <w:t xml:space="preserve">6 settembre 2011, </w:t>
      </w:r>
      <w:r w:rsidRPr="00D26DA2">
        <w:rPr>
          <w:rFonts w:ascii="Garamond" w:hAnsi="Garamond" w:cs="Times New Roman"/>
          <w:color w:val="000000" w:themeColor="text1"/>
          <w:sz w:val="24"/>
          <w:szCs w:val="24"/>
        </w:rPr>
        <w:t xml:space="preserve">n. 3088. </w:t>
      </w:r>
      <w:r w:rsidRPr="00A214B9">
        <w:rPr>
          <w:rFonts w:ascii="Garamond" w:hAnsi="Garamond" w:cs="Times New Roman"/>
          <w:color w:val="000000" w:themeColor="text1"/>
          <w:sz w:val="24"/>
          <w:szCs w:val="24"/>
        </w:rPr>
        <w:t xml:space="preserve">Sul rapporto di alterità tra informazione e comunicazione antimafia cfr. </w:t>
      </w:r>
      <w:proofErr w:type="spellStart"/>
      <w:r w:rsidRPr="00A214B9">
        <w:rPr>
          <w:rFonts w:ascii="Garamond" w:hAnsi="Garamond" w:cs="Times New Roman"/>
          <w:color w:val="000000" w:themeColor="text1"/>
          <w:sz w:val="24"/>
          <w:szCs w:val="24"/>
        </w:rPr>
        <w:t>Cons</w:t>
      </w:r>
      <w:proofErr w:type="spellEnd"/>
      <w:r w:rsidRPr="00A214B9">
        <w:rPr>
          <w:rFonts w:ascii="Garamond" w:hAnsi="Garamond" w:cs="Times New Roman"/>
          <w:color w:val="000000" w:themeColor="text1"/>
          <w:sz w:val="24"/>
          <w:szCs w:val="24"/>
        </w:rPr>
        <w:t>. St</w:t>
      </w:r>
      <w:r w:rsidR="00C65EA6" w:rsidRPr="00A214B9">
        <w:rPr>
          <w:rFonts w:ascii="Garamond" w:hAnsi="Garamond" w:cs="Times New Roman"/>
          <w:color w:val="000000" w:themeColor="text1"/>
          <w:sz w:val="24"/>
          <w:szCs w:val="24"/>
        </w:rPr>
        <w:t>.</w:t>
      </w:r>
      <w:r w:rsidR="00C010D5">
        <w:rPr>
          <w:rFonts w:ascii="Garamond" w:hAnsi="Garamond" w:cs="Times New Roman"/>
          <w:color w:val="000000" w:themeColor="text1"/>
          <w:sz w:val="24"/>
          <w:szCs w:val="24"/>
        </w:rPr>
        <w:t>,</w:t>
      </w:r>
      <w:r w:rsidR="00C65EA6" w:rsidRPr="00A214B9">
        <w:rPr>
          <w:rFonts w:ascii="Garamond" w:hAnsi="Garamond" w:cs="Times New Roman"/>
          <w:color w:val="000000" w:themeColor="text1"/>
          <w:sz w:val="24"/>
          <w:szCs w:val="24"/>
        </w:rPr>
        <w:t xml:space="preserve"> </w:t>
      </w:r>
      <w:r w:rsidR="00C010D5">
        <w:rPr>
          <w:rFonts w:ascii="Garamond" w:hAnsi="Garamond" w:cs="Times New Roman"/>
          <w:color w:val="000000" w:themeColor="text1"/>
          <w:sz w:val="24"/>
          <w:szCs w:val="24"/>
        </w:rPr>
        <w:t>sez.</w:t>
      </w:r>
      <w:r w:rsidRPr="00A214B9">
        <w:rPr>
          <w:rFonts w:ascii="Garamond" w:hAnsi="Garamond" w:cs="Times New Roman"/>
          <w:color w:val="000000" w:themeColor="text1"/>
          <w:sz w:val="24"/>
          <w:szCs w:val="24"/>
        </w:rPr>
        <w:t xml:space="preserve"> III, </w:t>
      </w:r>
      <w:r w:rsidR="00751AE4" w:rsidRPr="00A214B9">
        <w:rPr>
          <w:rFonts w:ascii="Garamond" w:hAnsi="Garamond" w:cs="Times New Roman"/>
          <w:color w:val="000000" w:themeColor="text1"/>
          <w:sz w:val="24"/>
          <w:szCs w:val="24"/>
        </w:rPr>
        <w:t xml:space="preserve">9 febbraio 2017, </w:t>
      </w:r>
      <w:r w:rsidRPr="00A214B9">
        <w:rPr>
          <w:rFonts w:ascii="Garamond" w:hAnsi="Garamond" w:cs="Times New Roman"/>
          <w:color w:val="000000" w:themeColor="text1"/>
          <w:sz w:val="24"/>
          <w:szCs w:val="24"/>
        </w:rPr>
        <w:t>n. 565</w:t>
      </w:r>
      <w:r w:rsidR="00751AE4" w:rsidRPr="00A214B9">
        <w:rPr>
          <w:rFonts w:ascii="Garamond" w:hAnsi="Garamond" w:cs="Times New Roman"/>
          <w:color w:val="000000" w:themeColor="text1"/>
          <w:sz w:val="24"/>
          <w:szCs w:val="24"/>
        </w:rPr>
        <w:t xml:space="preserve">. </w:t>
      </w:r>
      <w:r w:rsidRPr="00A214B9">
        <w:rPr>
          <w:rFonts w:ascii="Garamond" w:hAnsi="Garamond" w:cs="Times New Roman"/>
          <w:color w:val="000000" w:themeColor="text1"/>
          <w:sz w:val="24"/>
          <w:szCs w:val="24"/>
        </w:rPr>
        <w:t>V</w:t>
      </w:r>
      <w:r w:rsidR="00C65EA6" w:rsidRPr="00A214B9">
        <w:rPr>
          <w:rFonts w:ascii="Garamond" w:hAnsi="Garamond" w:cs="Times New Roman"/>
          <w:color w:val="000000" w:themeColor="text1"/>
          <w:sz w:val="24"/>
          <w:szCs w:val="24"/>
        </w:rPr>
        <w:t xml:space="preserve">. </w:t>
      </w:r>
      <w:r w:rsidRPr="00A214B9">
        <w:rPr>
          <w:rFonts w:ascii="Garamond" w:hAnsi="Garamond" w:cs="Times New Roman"/>
          <w:color w:val="000000" w:themeColor="text1"/>
        </w:rPr>
        <w:t>anche</w:t>
      </w:r>
      <w:r w:rsidR="00751AE4" w:rsidRPr="00A214B9">
        <w:rPr>
          <w:rFonts w:ascii="Garamond" w:hAnsi="Garamond" w:cs="Times New Roman"/>
          <w:color w:val="000000" w:themeColor="text1"/>
        </w:rPr>
        <w:t xml:space="preserve"> </w:t>
      </w:r>
      <w:r w:rsidR="00751AE4" w:rsidRPr="003C0B3A">
        <w:rPr>
          <w:rStyle w:val="SottotitoloCarattere"/>
          <w:rFonts w:ascii="Garamond" w:hAnsi="Garamond"/>
          <w:color w:val="000000" w:themeColor="text1"/>
        </w:rPr>
        <w:t xml:space="preserve">P. </w:t>
      </w:r>
      <w:proofErr w:type="gramStart"/>
      <w:r w:rsidR="00751AE4" w:rsidRPr="003C0B3A">
        <w:rPr>
          <w:rStyle w:val="SottotitoloCarattere"/>
          <w:rFonts w:ascii="Garamond" w:hAnsi="Garamond"/>
          <w:color w:val="000000" w:themeColor="text1"/>
        </w:rPr>
        <w:t>T</w:t>
      </w:r>
      <w:r w:rsidR="00751AE4" w:rsidRPr="001810A6">
        <w:rPr>
          <w:rStyle w:val="SottotitoloCarattere"/>
          <w:rFonts w:ascii="Garamond" w:hAnsi="Garamond"/>
          <w:color w:val="000000" w:themeColor="text1"/>
          <w:sz w:val="18"/>
          <w:szCs w:val="18"/>
        </w:rPr>
        <w:t>ONNARA</w:t>
      </w:r>
      <w:r w:rsidR="00C010D5">
        <w:rPr>
          <w:rFonts w:ascii="Garamond" w:hAnsi="Garamond" w:cs="Times New Roman"/>
          <w:color w:val="000000" w:themeColor="text1"/>
          <w:sz w:val="24"/>
          <w:szCs w:val="24"/>
        </w:rPr>
        <w:t xml:space="preserve"> </w:t>
      </w:r>
      <w:r w:rsidRPr="00A214B9">
        <w:rPr>
          <w:rFonts w:ascii="Garamond" w:hAnsi="Garamond" w:cs="Times New Roman"/>
          <w:color w:val="000000" w:themeColor="text1"/>
          <w:sz w:val="24"/>
          <w:szCs w:val="24"/>
        </w:rPr>
        <w:t>,</w:t>
      </w:r>
      <w:proofErr w:type="gramEnd"/>
      <w:r w:rsidRPr="00A214B9">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 xml:space="preserve">Nota a </w:t>
      </w:r>
      <w:proofErr w:type="spellStart"/>
      <w:r w:rsidRPr="00A214B9">
        <w:rPr>
          <w:rFonts w:ascii="Garamond" w:hAnsi="Garamond" w:cs="Times New Roman"/>
          <w:i/>
          <w:color w:val="000000" w:themeColor="text1"/>
          <w:sz w:val="24"/>
          <w:szCs w:val="24"/>
        </w:rPr>
        <w:t>Cons</w:t>
      </w:r>
      <w:proofErr w:type="spellEnd"/>
      <w:r w:rsidRPr="00A214B9">
        <w:rPr>
          <w:rFonts w:ascii="Garamond" w:hAnsi="Garamond" w:cs="Times New Roman"/>
          <w:i/>
          <w:color w:val="000000" w:themeColor="text1"/>
          <w:sz w:val="24"/>
          <w:szCs w:val="24"/>
        </w:rPr>
        <w:t>. St. n. 565 /2017</w:t>
      </w:r>
      <w:r w:rsidRPr="00A214B9">
        <w:rPr>
          <w:rFonts w:ascii="Garamond" w:hAnsi="Garamond" w:cs="Times New Roman"/>
          <w:color w:val="000000" w:themeColor="text1"/>
          <w:sz w:val="24"/>
          <w:szCs w:val="24"/>
        </w:rPr>
        <w:t xml:space="preserve">, in </w:t>
      </w:r>
      <w:proofErr w:type="spellStart"/>
      <w:r w:rsidRPr="00A214B9">
        <w:rPr>
          <w:rFonts w:ascii="Garamond" w:hAnsi="Garamond" w:cs="Times New Roman"/>
          <w:i/>
          <w:color w:val="000000" w:themeColor="text1"/>
          <w:sz w:val="24"/>
          <w:szCs w:val="24"/>
        </w:rPr>
        <w:t>Urb</w:t>
      </w:r>
      <w:proofErr w:type="spellEnd"/>
      <w:r w:rsidRPr="00A214B9">
        <w:rPr>
          <w:rFonts w:ascii="Garamond" w:hAnsi="Garamond" w:cs="Times New Roman"/>
          <w:i/>
          <w:color w:val="000000" w:themeColor="text1"/>
          <w:sz w:val="24"/>
          <w:szCs w:val="24"/>
        </w:rPr>
        <w:t xml:space="preserve">. </w:t>
      </w:r>
      <w:r w:rsidRPr="00F77070">
        <w:rPr>
          <w:rFonts w:ascii="Garamond" w:hAnsi="Garamond" w:cs="Times New Roman"/>
          <w:i/>
          <w:color w:val="000000" w:themeColor="text1"/>
          <w:sz w:val="24"/>
          <w:szCs w:val="24"/>
          <w:lang w:val="en-US"/>
        </w:rPr>
        <w:t>App</w:t>
      </w:r>
      <w:r w:rsidR="00751AE4" w:rsidRPr="00F77070">
        <w:rPr>
          <w:rFonts w:ascii="Garamond" w:hAnsi="Garamond" w:cs="Times New Roman"/>
          <w:i/>
          <w:color w:val="000000" w:themeColor="text1"/>
          <w:sz w:val="24"/>
          <w:szCs w:val="24"/>
          <w:lang w:val="en-US"/>
        </w:rPr>
        <w:t xml:space="preserve">, </w:t>
      </w:r>
      <w:proofErr w:type="gramStart"/>
      <w:r w:rsidR="00751AE4" w:rsidRPr="00F77070">
        <w:rPr>
          <w:rFonts w:ascii="Garamond" w:hAnsi="Garamond" w:cs="Times New Roman"/>
          <w:color w:val="000000" w:themeColor="text1"/>
          <w:sz w:val="24"/>
          <w:szCs w:val="24"/>
          <w:lang w:val="en-US"/>
        </w:rPr>
        <w:t xml:space="preserve">2017 </w:t>
      </w:r>
      <w:r w:rsidRPr="00F77070">
        <w:rPr>
          <w:rFonts w:ascii="Garamond" w:hAnsi="Garamond" w:cs="Times New Roman"/>
          <w:i/>
          <w:color w:val="000000" w:themeColor="text1"/>
          <w:sz w:val="24"/>
          <w:szCs w:val="24"/>
          <w:lang w:val="en-US"/>
        </w:rPr>
        <w:t>,</w:t>
      </w:r>
      <w:r w:rsidRPr="00F77070">
        <w:rPr>
          <w:rFonts w:ascii="Garamond" w:hAnsi="Garamond" w:cs="Times New Roman"/>
          <w:color w:val="000000" w:themeColor="text1"/>
          <w:sz w:val="24"/>
          <w:szCs w:val="24"/>
          <w:lang w:val="en-US"/>
        </w:rPr>
        <w:t>p</w:t>
      </w:r>
      <w:proofErr w:type="gramEnd"/>
      <w:r w:rsidRPr="00F77070">
        <w:rPr>
          <w:rFonts w:ascii="Garamond" w:hAnsi="Garamond" w:cs="Times New Roman"/>
          <w:color w:val="000000" w:themeColor="text1"/>
          <w:sz w:val="24"/>
          <w:szCs w:val="24"/>
          <w:lang w:val="en-US"/>
        </w:rPr>
        <w:t>. 223</w:t>
      </w:r>
      <w:r w:rsidR="003C0B3A" w:rsidRPr="00F77070">
        <w:rPr>
          <w:rFonts w:ascii="Garamond" w:hAnsi="Garamond" w:cs="Times New Roman"/>
          <w:color w:val="000000" w:themeColor="text1"/>
          <w:sz w:val="24"/>
          <w:szCs w:val="24"/>
          <w:lang w:val="en-US"/>
        </w:rPr>
        <w:t>.</w:t>
      </w:r>
      <w:r w:rsidR="00C65EA6" w:rsidRPr="00F77070">
        <w:rPr>
          <w:rFonts w:ascii="Garamond" w:hAnsi="Garamond" w:cs="Times New Roman"/>
          <w:color w:val="000000" w:themeColor="text1"/>
          <w:sz w:val="24"/>
          <w:szCs w:val="24"/>
          <w:lang w:val="en-US"/>
        </w:rPr>
        <w:t xml:space="preserve"> </w:t>
      </w:r>
    </w:p>
  </w:footnote>
  <w:footnote w:id="28">
    <w:p w:rsidR="00B138AC" w:rsidRPr="007F5CF6" w:rsidRDefault="00B138AC" w:rsidP="00A214B9">
      <w:pPr>
        <w:pStyle w:val="Testonotaapidipagina"/>
        <w:ind w:firstLine="709"/>
        <w:jc w:val="both"/>
        <w:rPr>
          <w:rFonts w:ascii="Garamond" w:hAnsi="Garamond" w:cs="Times New Roman"/>
          <w:color w:val="000000" w:themeColor="text1"/>
          <w:sz w:val="24"/>
          <w:szCs w:val="24"/>
          <w:lang w:val="en-US"/>
        </w:rPr>
      </w:pPr>
      <w:r w:rsidRPr="00A214B9">
        <w:rPr>
          <w:rStyle w:val="Rimandonotaapidipagina"/>
          <w:rFonts w:ascii="Garamond" w:hAnsi="Garamond" w:cs="Times New Roman"/>
          <w:color w:val="000000" w:themeColor="text1"/>
          <w:sz w:val="24"/>
          <w:szCs w:val="24"/>
        </w:rPr>
        <w:footnoteRef/>
      </w:r>
      <w:r w:rsidRPr="00F77070">
        <w:rPr>
          <w:rFonts w:ascii="Garamond" w:hAnsi="Garamond" w:cs="Times New Roman"/>
          <w:color w:val="000000" w:themeColor="text1"/>
          <w:sz w:val="24"/>
          <w:szCs w:val="24"/>
          <w:lang w:val="en-US"/>
        </w:rPr>
        <w:t xml:space="preserve">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III, </w:t>
      </w:r>
      <w:r w:rsidR="00751AE4" w:rsidRPr="00F77070">
        <w:rPr>
          <w:rFonts w:ascii="Garamond" w:hAnsi="Garamond" w:cs="Times New Roman"/>
          <w:color w:val="000000" w:themeColor="text1"/>
          <w:sz w:val="24"/>
          <w:szCs w:val="24"/>
          <w:lang w:val="en-US"/>
        </w:rPr>
        <w:t xml:space="preserve">5 </w:t>
      </w:r>
      <w:proofErr w:type="spellStart"/>
      <w:r w:rsidR="00751AE4" w:rsidRPr="00F77070">
        <w:rPr>
          <w:rFonts w:ascii="Garamond" w:hAnsi="Garamond" w:cs="Times New Roman"/>
          <w:color w:val="000000" w:themeColor="text1"/>
          <w:sz w:val="24"/>
          <w:szCs w:val="24"/>
          <w:lang w:val="en-US"/>
        </w:rPr>
        <w:t>settembre</w:t>
      </w:r>
      <w:proofErr w:type="spellEnd"/>
      <w:r w:rsidR="00751AE4" w:rsidRPr="00F77070">
        <w:rPr>
          <w:rFonts w:ascii="Garamond" w:hAnsi="Garamond" w:cs="Times New Roman"/>
          <w:color w:val="000000" w:themeColor="text1"/>
          <w:sz w:val="24"/>
          <w:szCs w:val="24"/>
          <w:lang w:val="en-US"/>
        </w:rPr>
        <w:t xml:space="preserve"> 2019, </w:t>
      </w:r>
      <w:r w:rsidRPr="00F77070">
        <w:rPr>
          <w:rFonts w:ascii="Garamond" w:hAnsi="Garamond" w:cs="Times New Roman"/>
          <w:color w:val="000000" w:themeColor="text1"/>
          <w:sz w:val="24"/>
          <w:szCs w:val="24"/>
          <w:lang w:val="en-US"/>
        </w:rPr>
        <w:t>n. 6105</w:t>
      </w:r>
      <w:r w:rsidR="00D26DA2">
        <w:rPr>
          <w:rFonts w:ascii="Garamond" w:hAnsi="Garamond" w:cs="Times New Roman"/>
          <w:color w:val="000000" w:themeColor="text1"/>
          <w:sz w:val="24"/>
          <w:szCs w:val="24"/>
          <w:lang w:val="en-US"/>
        </w:rPr>
        <w:t>,</w:t>
      </w:r>
      <w:r w:rsidRPr="00F77070">
        <w:rPr>
          <w:rFonts w:ascii="Garamond" w:hAnsi="Garamond" w:cs="Times New Roman"/>
          <w:color w:val="000000" w:themeColor="text1"/>
          <w:sz w:val="24"/>
          <w:szCs w:val="24"/>
          <w:lang w:val="en-US"/>
        </w:rPr>
        <w:t xml:space="preserve">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003C0B3A" w:rsidRPr="00F77070">
        <w:rPr>
          <w:rFonts w:ascii="Garamond" w:hAnsi="Garamond" w:cs="Times New Roman"/>
          <w:color w:val="000000" w:themeColor="text1"/>
          <w:sz w:val="24"/>
          <w:szCs w:val="24"/>
          <w:lang w:val="en-US"/>
        </w:rPr>
        <w:t xml:space="preserve"> </w:t>
      </w:r>
      <w:r w:rsidRPr="007F5CF6">
        <w:rPr>
          <w:rFonts w:ascii="Garamond" w:hAnsi="Garamond" w:cs="Times New Roman"/>
          <w:color w:val="000000" w:themeColor="text1"/>
          <w:sz w:val="24"/>
          <w:szCs w:val="24"/>
          <w:lang w:val="en-US"/>
        </w:rPr>
        <w:t>III,</w:t>
      </w:r>
      <w:r w:rsidR="003C0B3A" w:rsidRPr="007F5CF6">
        <w:rPr>
          <w:rFonts w:ascii="Garamond" w:hAnsi="Garamond" w:cs="Times New Roman"/>
          <w:color w:val="000000" w:themeColor="text1"/>
          <w:sz w:val="24"/>
          <w:szCs w:val="24"/>
          <w:lang w:val="en-US"/>
        </w:rPr>
        <w:t xml:space="preserve"> </w:t>
      </w:r>
      <w:r w:rsidR="00751AE4" w:rsidRPr="007F5CF6">
        <w:rPr>
          <w:rFonts w:ascii="Garamond" w:hAnsi="Garamond" w:cs="Times New Roman"/>
          <w:color w:val="000000" w:themeColor="text1"/>
          <w:sz w:val="24"/>
          <w:szCs w:val="24"/>
          <w:lang w:val="en-US"/>
        </w:rPr>
        <w:t xml:space="preserve">30 </w:t>
      </w:r>
      <w:proofErr w:type="spellStart"/>
      <w:r w:rsidR="00751AE4" w:rsidRPr="007F5CF6">
        <w:rPr>
          <w:rFonts w:ascii="Garamond" w:hAnsi="Garamond" w:cs="Times New Roman"/>
          <w:color w:val="000000" w:themeColor="text1"/>
          <w:sz w:val="24"/>
          <w:szCs w:val="24"/>
          <w:lang w:val="en-US"/>
        </w:rPr>
        <w:t>gennaio</w:t>
      </w:r>
      <w:proofErr w:type="spellEnd"/>
      <w:r w:rsidR="00751AE4" w:rsidRPr="007F5CF6">
        <w:rPr>
          <w:rFonts w:ascii="Garamond" w:hAnsi="Garamond" w:cs="Times New Roman"/>
          <w:color w:val="000000" w:themeColor="text1"/>
          <w:sz w:val="24"/>
          <w:szCs w:val="24"/>
          <w:lang w:val="en-US"/>
        </w:rPr>
        <w:t xml:space="preserve"> 2019,</w:t>
      </w:r>
      <w:r w:rsidRPr="007F5CF6">
        <w:rPr>
          <w:rFonts w:ascii="Garamond" w:hAnsi="Garamond" w:cs="Times New Roman"/>
          <w:color w:val="000000" w:themeColor="text1"/>
          <w:sz w:val="24"/>
          <w:szCs w:val="24"/>
          <w:lang w:val="en-US"/>
        </w:rPr>
        <w:t xml:space="preserve"> n. 758</w:t>
      </w:r>
      <w:r w:rsidR="00751AE4" w:rsidRPr="007F5CF6">
        <w:rPr>
          <w:rFonts w:ascii="Garamond" w:hAnsi="Garamond" w:cs="Times New Roman"/>
          <w:color w:val="000000" w:themeColor="text1"/>
          <w:sz w:val="24"/>
          <w:szCs w:val="24"/>
          <w:lang w:val="en-US"/>
        </w:rPr>
        <w:t>.</w:t>
      </w:r>
    </w:p>
  </w:footnote>
  <w:footnote w:id="29">
    <w:p w:rsidR="00B138AC" w:rsidRPr="00A214B9" w:rsidRDefault="00B138AC"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Cfr.</w:t>
      </w:r>
      <w:r w:rsidR="00751AE4" w:rsidRPr="00A214B9">
        <w:rPr>
          <w:rFonts w:ascii="Garamond" w:hAnsi="Garamond"/>
          <w:smallCaps/>
          <w:color w:val="000000" w:themeColor="text1"/>
          <w:sz w:val="24"/>
          <w:szCs w:val="24"/>
        </w:rPr>
        <w:t xml:space="preserve"> G. Leone</w:t>
      </w:r>
      <w:r w:rsidR="00751AE4" w:rsidRPr="00A214B9">
        <w:rPr>
          <w:rFonts w:ascii="Garamond" w:hAnsi="Garamond"/>
          <w:color w:val="000000" w:themeColor="text1"/>
          <w:sz w:val="24"/>
          <w:szCs w:val="24"/>
        </w:rPr>
        <w:t xml:space="preserve">, </w:t>
      </w:r>
      <w:r w:rsidR="00751AE4" w:rsidRPr="00A214B9">
        <w:rPr>
          <w:rFonts w:ascii="Garamond" w:hAnsi="Garamond"/>
          <w:i/>
          <w:color w:val="000000" w:themeColor="text1"/>
          <w:sz w:val="24"/>
          <w:szCs w:val="24"/>
        </w:rPr>
        <w:t>L’Adunanza plenaria del Consiglio di Stato alle prese con l’</w:t>
      </w:r>
      <w:proofErr w:type="spellStart"/>
      <w:r w:rsidR="00751AE4" w:rsidRPr="00A214B9">
        <w:rPr>
          <w:rFonts w:ascii="Garamond" w:hAnsi="Garamond"/>
          <w:i/>
          <w:color w:val="000000" w:themeColor="text1"/>
          <w:sz w:val="24"/>
          <w:szCs w:val="24"/>
        </w:rPr>
        <w:t>interdittiva</w:t>
      </w:r>
      <w:proofErr w:type="spellEnd"/>
      <w:r w:rsidR="00751AE4" w:rsidRPr="00A214B9">
        <w:rPr>
          <w:rFonts w:ascii="Garamond" w:hAnsi="Garamond"/>
          <w:i/>
          <w:color w:val="000000" w:themeColor="text1"/>
          <w:sz w:val="24"/>
          <w:szCs w:val="24"/>
        </w:rPr>
        <w:t xml:space="preserve"> prefettizia antimafia e la teoria dell’interpretazione</w:t>
      </w:r>
      <w:r w:rsidR="00751AE4" w:rsidRPr="00A214B9">
        <w:rPr>
          <w:rFonts w:ascii="Garamond" w:hAnsi="Garamond"/>
          <w:color w:val="000000" w:themeColor="text1"/>
          <w:sz w:val="24"/>
          <w:szCs w:val="24"/>
        </w:rPr>
        <w:t xml:space="preserve">, in </w:t>
      </w:r>
      <w:r w:rsidR="00751AE4" w:rsidRPr="00A214B9">
        <w:rPr>
          <w:rFonts w:ascii="Garamond" w:hAnsi="Garamond"/>
          <w:i/>
          <w:color w:val="000000" w:themeColor="text1"/>
          <w:sz w:val="24"/>
          <w:szCs w:val="24"/>
        </w:rPr>
        <w:t xml:space="preserve">Foro </w:t>
      </w:r>
      <w:proofErr w:type="spellStart"/>
      <w:r w:rsidR="00751AE4" w:rsidRPr="00A214B9">
        <w:rPr>
          <w:rFonts w:ascii="Garamond" w:hAnsi="Garamond"/>
          <w:i/>
          <w:color w:val="000000" w:themeColor="text1"/>
          <w:sz w:val="24"/>
          <w:szCs w:val="24"/>
        </w:rPr>
        <w:t>amm</w:t>
      </w:r>
      <w:proofErr w:type="spellEnd"/>
      <w:r w:rsidR="00751AE4" w:rsidRPr="00A214B9">
        <w:rPr>
          <w:rFonts w:ascii="Garamond" w:hAnsi="Garamond"/>
          <w:i/>
          <w:color w:val="000000" w:themeColor="text1"/>
          <w:sz w:val="24"/>
          <w:szCs w:val="24"/>
        </w:rPr>
        <w:t>.</w:t>
      </w:r>
      <w:r w:rsidR="00751AE4" w:rsidRPr="00A214B9">
        <w:rPr>
          <w:rFonts w:ascii="Garamond" w:hAnsi="Garamond"/>
          <w:color w:val="000000" w:themeColor="text1"/>
          <w:sz w:val="24"/>
          <w:szCs w:val="24"/>
        </w:rPr>
        <w:t>, 2018</w:t>
      </w:r>
      <w:r w:rsidR="00D26DA2">
        <w:rPr>
          <w:rFonts w:ascii="Garamond" w:hAnsi="Garamond"/>
          <w:color w:val="000000" w:themeColor="text1"/>
          <w:sz w:val="24"/>
          <w:szCs w:val="24"/>
        </w:rPr>
        <w:t>, 6,</w:t>
      </w:r>
      <w:r w:rsidR="00751AE4" w:rsidRPr="00A214B9">
        <w:rPr>
          <w:rFonts w:ascii="Garamond" w:hAnsi="Garamond"/>
          <w:color w:val="000000" w:themeColor="text1"/>
          <w:sz w:val="24"/>
          <w:szCs w:val="24"/>
        </w:rPr>
        <w:t xml:space="preserve"> p. 1103 e ss</w:t>
      </w:r>
      <w:r w:rsidRPr="00A214B9">
        <w:rPr>
          <w:rFonts w:ascii="Garamond" w:hAnsi="Garamond" w:cs="Times New Roman"/>
          <w:color w:val="000000" w:themeColor="text1"/>
          <w:sz w:val="24"/>
          <w:szCs w:val="24"/>
        </w:rPr>
        <w:t xml:space="preserve">. Vedi anche </w:t>
      </w:r>
      <w:r w:rsidR="00751AE4" w:rsidRPr="003C0B3A">
        <w:rPr>
          <w:rStyle w:val="SottotitoloCarattere"/>
          <w:rFonts w:ascii="Garamond" w:hAnsi="Garamond"/>
          <w:color w:val="000000" w:themeColor="text1"/>
        </w:rPr>
        <w:t>M.</w:t>
      </w:r>
      <w:r w:rsidR="00D26DA2">
        <w:rPr>
          <w:rStyle w:val="SottotitoloCarattere"/>
          <w:rFonts w:ascii="Garamond" w:hAnsi="Garamond"/>
          <w:color w:val="000000" w:themeColor="text1"/>
        </w:rPr>
        <w:t xml:space="preserve"> </w:t>
      </w:r>
      <w:r w:rsidR="00751AE4" w:rsidRPr="003C0B3A">
        <w:rPr>
          <w:rStyle w:val="SottotitoloCarattere"/>
          <w:rFonts w:ascii="Garamond" w:hAnsi="Garamond"/>
          <w:color w:val="000000" w:themeColor="text1"/>
        </w:rPr>
        <w:t xml:space="preserve">S. </w:t>
      </w:r>
      <w:r w:rsidRPr="003C0B3A">
        <w:rPr>
          <w:rStyle w:val="SottotitoloCarattere"/>
          <w:rFonts w:ascii="Garamond" w:hAnsi="Garamond"/>
          <w:color w:val="000000" w:themeColor="text1"/>
        </w:rPr>
        <w:t>G</w:t>
      </w:r>
      <w:r w:rsidRPr="003C0B3A">
        <w:rPr>
          <w:rStyle w:val="SottotitoloCarattere"/>
          <w:rFonts w:ascii="Garamond" w:hAnsi="Garamond"/>
          <w:color w:val="000000" w:themeColor="text1"/>
          <w:sz w:val="18"/>
          <w:szCs w:val="18"/>
        </w:rPr>
        <w:t>IANNINI</w:t>
      </w:r>
      <w:r w:rsidRPr="00A214B9">
        <w:rPr>
          <w:rStyle w:val="SottotitoloCarattere"/>
          <w:rFonts w:ascii="Garamond" w:hAnsi="Garamond"/>
          <w:color w:val="000000" w:themeColor="text1"/>
          <w:sz w:val="24"/>
          <w:szCs w:val="24"/>
        </w:rPr>
        <w:t>,</w:t>
      </w:r>
      <w:r w:rsidRPr="00A214B9">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Diritto amministrativo</w:t>
      </w:r>
      <w:r w:rsidR="00D26DA2">
        <w:rPr>
          <w:rFonts w:ascii="Garamond" w:hAnsi="Garamond" w:cs="Times New Roman"/>
          <w:color w:val="000000" w:themeColor="text1"/>
          <w:sz w:val="24"/>
          <w:szCs w:val="24"/>
        </w:rPr>
        <w:t xml:space="preserve">, </w:t>
      </w:r>
      <w:r w:rsidR="00C65EA6" w:rsidRPr="00A214B9">
        <w:rPr>
          <w:rFonts w:ascii="Garamond" w:hAnsi="Garamond" w:cs="Times New Roman"/>
          <w:color w:val="000000" w:themeColor="text1"/>
          <w:sz w:val="24"/>
          <w:szCs w:val="24"/>
        </w:rPr>
        <w:t>II</w:t>
      </w:r>
      <w:r w:rsidRPr="00A214B9">
        <w:rPr>
          <w:rFonts w:ascii="Garamond" w:hAnsi="Garamond" w:cs="Times New Roman"/>
          <w:color w:val="000000" w:themeColor="text1"/>
          <w:sz w:val="24"/>
          <w:szCs w:val="24"/>
        </w:rPr>
        <w:t>,</w:t>
      </w:r>
      <w:r w:rsidR="00D26DA2">
        <w:rPr>
          <w:rFonts w:ascii="Garamond" w:hAnsi="Garamond" w:cs="Times New Roman"/>
          <w:color w:val="000000" w:themeColor="text1"/>
          <w:sz w:val="24"/>
          <w:szCs w:val="24"/>
        </w:rPr>
        <w:t xml:space="preserve"> Milano,</w:t>
      </w:r>
      <w:r w:rsidRPr="00A214B9">
        <w:rPr>
          <w:rFonts w:ascii="Garamond" w:hAnsi="Garamond" w:cs="Times New Roman"/>
          <w:color w:val="000000" w:themeColor="text1"/>
          <w:sz w:val="24"/>
          <w:szCs w:val="24"/>
        </w:rPr>
        <w:t xml:space="preserve"> 1970</w:t>
      </w:r>
      <w:r w:rsidR="00C65EA6" w:rsidRPr="00A214B9">
        <w:rPr>
          <w:rFonts w:ascii="Garamond" w:hAnsi="Garamond" w:cs="Times New Roman"/>
          <w:color w:val="000000" w:themeColor="text1"/>
          <w:sz w:val="24"/>
          <w:szCs w:val="24"/>
        </w:rPr>
        <w:t>.</w:t>
      </w:r>
    </w:p>
  </w:footnote>
  <w:footnote w:id="30">
    <w:p w:rsidR="00B138AC" w:rsidRPr="00D26DA2" w:rsidRDefault="00B138AC" w:rsidP="00A214B9">
      <w:pPr>
        <w:ind w:firstLine="709"/>
        <w:jc w:val="both"/>
        <w:rPr>
          <w:rFonts w:ascii="Garamond" w:eastAsia="Times New Roman" w:hAnsi="Garamond" w:cs="Times New Roman"/>
          <w:color w:val="000000" w:themeColor="text1"/>
          <w:lang w:eastAsia="it-IT"/>
        </w:rPr>
      </w:pPr>
      <w:r w:rsidRPr="00A214B9">
        <w:rPr>
          <w:rStyle w:val="Rimandonotaapidipagina"/>
          <w:rFonts w:ascii="Garamond" w:hAnsi="Garamond" w:cs="Times New Roman"/>
          <w:color w:val="000000" w:themeColor="text1"/>
        </w:rPr>
        <w:footnoteRef/>
      </w:r>
      <w:r w:rsidRPr="00A214B9">
        <w:rPr>
          <w:rFonts w:ascii="Garamond" w:hAnsi="Garamond" w:cs="Times New Roman"/>
          <w:color w:val="000000" w:themeColor="text1"/>
        </w:rPr>
        <w:t xml:space="preserve"> </w:t>
      </w:r>
      <w:proofErr w:type="spellStart"/>
      <w:r w:rsidRPr="00A214B9">
        <w:rPr>
          <w:rFonts w:ascii="Garamond" w:hAnsi="Garamond" w:cs="Times New Roman"/>
          <w:color w:val="000000" w:themeColor="text1"/>
        </w:rPr>
        <w:t>Cons</w:t>
      </w:r>
      <w:proofErr w:type="spellEnd"/>
      <w:r w:rsidRPr="00A214B9">
        <w:rPr>
          <w:rFonts w:ascii="Garamond" w:hAnsi="Garamond" w:cs="Times New Roman"/>
          <w:color w:val="000000" w:themeColor="text1"/>
        </w:rPr>
        <w:t xml:space="preserve">. </w:t>
      </w:r>
      <w:r w:rsidRPr="00C010D5">
        <w:rPr>
          <w:rFonts w:ascii="Garamond" w:hAnsi="Garamond" w:cs="Times New Roman"/>
          <w:color w:val="000000" w:themeColor="text1"/>
          <w:lang w:val="en-US"/>
        </w:rPr>
        <w:t>St.,</w:t>
      </w:r>
      <w:r w:rsidR="00C65EA6" w:rsidRPr="00C010D5">
        <w:rPr>
          <w:rFonts w:ascii="Garamond" w:hAnsi="Garamond" w:cs="Times New Roman"/>
          <w:color w:val="000000" w:themeColor="text1"/>
          <w:lang w:val="en-US"/>
        </w:rPr>
        <w:t xml:space="preserve"> </w:t>
      </w:r>
      <w:proofErr w:type="spellStart"/>
      <w:r w:rsidR="00C010D5">
        <w:rPr>
          <w:rFonts w:ascii="Garamond" w:hAnsi="Garamond" w:cs="Times New Roman"/>
          <w:color w:val="000000" w:themeColor="text1"/>
          <w:lang w:val="en-US"/>
        </w:rPr>
        <w:t>sez</w:t>
      </w:r>
      <w:proofErr w:type="spellEnd"/>
      <w:r w:rsidR="00C010D5">
        <w:rPr>
          <w:rFonts w:ascii="Garamond" w:hAnsi="Garamond" w:cs="Times New Roman"/>
          <w:color w:val="000000" w:themeColor="text1"/>
          <w:lang w:val="en-US"/>
        </w:rPr>
        <w:t>.</w:t>
      </w:r>
      <w:r w:rsidR="00C65EA6" w:rsidRPr="00C010D5">
        <w:rPr>
          <w:rFonts w:ascii="Garamond" w:hAnsi="Garamond" w:cs="Times New Roman"/>
          <w:color w:val="000000" w:themeColor="text1"/>
          <w:lang w:val="en-US"/>
        </w:rPr>
        <w:t xml:space="preserve"> V, </w:t>
      </w:r>
      <w:r w:rsidR="00751AE4" w:rsidRPr="00C010D5">
        <w:rPr>
          <w:rFonts w:ascii="Garamond" w:hAnsi="Garamond" w:cs="Times New Roman"/>
          <w:color w:val="000000" w:themeColor="text1"/>
          <w:lang w:val="en-US"/>
        </w:rPr>
        <w:t xml:space="preserve">20 </w:t>
      </w:r>
      <w:proofErr w:type="spellStart"/>
      <w:r w:rsidR="00751AE4" w:rsidRPr="00C010D5">
        <w:rPr>
          <w:rFonts w:ascii="Garamond" w:hAnsi="Garamond" w:cs="Times New Roman"/>
          <w:color w:val="000000" w:themeColor="text1"/>
          <w:lang w:val="en-US"/>
        </w:rPr>
        <w:t>agosto</w:t>
      </w:r>
      <w:proofErr w:type="spellEnd"/>
      <w:r w:rsidR="00751AE4" w:rsidRPr="00C010D5">
        <w:rPr>
          <w:rFonts w:ascii="Garamond" w:hAnsi="Garamond" w:cs="Times New Roman"/>
          <w:color w:val="000000" w:themeColor="text1"/>
          <w:lang w:val="en-US"/>
        </w:rPr>
        <w:t xml:space="preserve"> 2017,</w:t>
      </w:r>
      <w:r w:rsidRPr="00C010D5">
        <w:rPr>
          <w:rFonts w:ascii="Garamond" w:hAnsi="Garamond" w:cs="Times New Roman"/>
          <w:color w:val="000000" w:themeColor="text1"/>
          <w:lang w:val="en-US"/>
        </w:rPr>
        <w:t xml:space="preserve"> n. 4680; Cons. St.</w:t>
      </w:r>
      <w:r w:rsidR="00C65EA6" w:rsidRPr="00C010D5">
        <w:rPr>
          <w:rFonts w:ascii="Garamond" w:hAnsi="Garamond" w:cs="Times New Roman"/>
          <w:color w:val="000000" w:themeColor="text1"/>
          <w:lang w:val="en-US"/>
        </w:rPr>
        <w:t xml:space="preserve"> </w:t>
      </w:r>
      <w:r w:rsidR="00C010D5">
        <w:rPr>
          <w:rFonts w:ascii="Garamond" w:hAnsi="Garamond" w:cs="Times New Roman"/>
          <w:color w:val="000000" w:themeColor="text1"/>
        </w:rPr>
        <w:t>sez.</w:t>
      </w:r>
      <w:r w:rsidR="00C65EA6" w:rsidRPr="00D26DA2">
        <w:rPr>
          <w:rFonts w:ascii="Garamond" w:hAnsi="Garamond" w:cs="Times New Roman"/>
          <w:color w:val="000000" w:themeColor="text1"/>
        </w:rPr>
        <w:t xml:space="preserve"> </w:t>
      </w:r>
      <w:r w:rsidR="00C65EA6" w:rsidRPr="00A214B9">
        <w:rPr>
          <w:rFonts w:ascii="Garamond" w:hAnsi="Garamond" w:cs="Times New Roman"/>
          <w:color w:val="000000" w:themeColor="text1"/>
        </w:rPr>
        <w:t xml:space="preserve">IV, </w:t>
      </w:r>
      <w:r w:rsidR="00751AE4" w:rsidRPr="00A214B9">
        <w:rPr>
          <w:rFonts w:ascii="Garamond" w:hAnsi="Garamond" w:cs="Times New Roman"/>
          <w:color w:val="000000" w:themeColor="text1"/>
        </w:rPr>
        <w:t xml:space="preserve">20 luglio 2016, </w:t>
      </w:r>
      <w:r w:rsidR="00C65EA6" w:rsidRPr="00A214B9">
        <w:rPr>
          <w:rFonts w:ascii="Garamond" w:hAnsi="Garamond" w:cs="Times New Roman"/>
          <w:color w:val="000000" w:themeColor="text1"/>
        </w:rPr>
        <w:t xml:space="preserve">n. </w:t>
      </w:r>
      <w:r w:rsidRPr="00A214B9">
        <w:rPr>
          <w:rFonts w:ascii="Garamond" w:hAnsi="Garamond" w:cs="Times New Roman"/>
          <w:color w:val="000000" w:themeColor="text1"/>
        </w:rPr>
        <w:t xml:space="preserve">3247; </w:t>
      </w:r>
      <w:proofErr w:type="spellStart"/>
      <w:r w:rsidRPr="00A214B9">
        <w:rPr>
          <w:rFonts w:ascii="Garamond" w:hAnsi="Garamond" w:cs="Times New Roman"/>
          <w:color w:val="000000" w:themeColor="text1"/>
        </w:rPr>
        <w:t>Cons</w:t>
      </w:r>
      <w:proofErr w:type="spellEnd"/>
      <w:r w:rsidRPr="00A214B9">
        <w:rPr>
          <w:rFonts w:ascii="Garamond" w:hAnsi="Garamond" w:cs="Times New Roman"/>
          <w:color w:val="000000" w:themeColor="text1"/>
        </w:rPr>
        <w:t xml:space="preserve"> </w:t>
      </w:r>
      <w:proofErr w:type="spellStart"/>
      <w:r w:rsidRPr="00A214B9">
        <w:rPr>
          <w:rFonts w:ascii="Garamond" w:hAnsi="Garamond" w:cs="Times New Roman"/>
          <w:color w:val="000000" w:themeColor="text1"/>
        </w:rPr>
        <w:t>Giust</w:t>
      </w:r>
      <w:proofErr w:type="spellEnd"/>
      <w:r w:rsidRPr="00A214B9">
        <w:rPr>
          <w:rFonts w:ascii="Garamond" w:hAnsi="Garamond" w:cs="Times New Roman"/>
          <w:color w:val="000000" w:themeColor="text1"/>
        </w:rPr>
        <w:t xml:space="preserve">. </w:t>
      </w:r>
      <w:proofErr w:type="spellStart"/>
      <w:r w:rsidRPr="00D26DA2">
        <w:rPr>
          <w:rFonts w:ascii="Garamond" w:hAnsi="Garamond" w:cs="Times New Roman"/>
          <w:color w:val="000000" w:themeColor="text1"/>
        </w:rPr>
        <w:t>Amm</w:t>
      </w:r>
      <w:proofErr w:type="spellEnd"/>
      <w:r w:rsidR="00D26DA2" w:rsidRPr="00D26DA2">
        <w:rPr>
          <w:rFonts w:ascii="Garamond" w:hAnsi="Garamond" w:cs="Times New Roman"/>
          <w:color w:val="000000" w:themeColor="text1"/>
        </w:rPr>
        <w:t>. Reg. Sic.,</w:t>
      </w:r>
      <w:r w:rsidR="00D26DA2">
        <w:rPr>
          <w:rFonts w:ascii="Garamond" w:hAnsi="Garamond" w:cs="Times New Roman"/>
          <w:color w:val="000000" w:themeColor="text1"/>
        </w:rPr>
        <w:t xml:space="preserve"> </w:t>
      </w:r>
      <w:r w:rsidR="00751AE4" w:rsidRPr="00D26DA2">
        <w:rPr>
          <w:rFonts w:ascii="Garamond" w:hAnsi="Garamond" w:cs="Times New Roman"/>
          <w:color w:val="000000" w:themeColor="text1"/>
        </w:rPr>
        <w:t xml:space="preserve">8 febbraio 2016, n. </w:t>
      </w:r>
      <w:r w:rsidRPr="00D26DA2">
        <w:rPr>
          <w:rFonts w:ascii="Garamond" w:hAnsi="Garamond" w:cs="Times New Roman"/>
          <w:color w:val="000000" w:themeColor="text1"/>
        </w:rPr>
        <w:t xml:space="preserve">34. </w:t>
      </w:r>
    </w:p>
  </w:footnote>
  <w:footnote w:id="31">
    <w:p w:rsidR="00B138AC" w:rsidRPr="00A214B9" w:rsidRDefault="00B138AC" w:rsidP="00A214B9">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00D26DA2">
        <w:rPr>
          <w:rFonts w:ascii="Garamond" w:hAnsi="Garamond" w:cs="Times New Roman"/>
          <w:color w:val="000000" w:themeColor="text1"/>
          <w:sz w:val="24"/>
          <w:szCs w:val="24"/>
        </w:rPr>
        <w:t xml:space="preserve"> </w:t>
      </w:r>
      <w:proofErr w:type="spellStart"/>
      <w:r w:rsidR="00D26DA2">
        <w:rPr>
          <w:rFonts w:ascii="Garamond" w:hAnsi="Garamond" w:cs="Times New Roman"/>
          <w:color w:val="000000" w:themeColor="text1"/>
          <w:sz w:val="24"/>
          <w:szCs w:val="24"/>
        </w:rPr>
        <w:t>Cons</w:t>
      </w:r>
      <w:proofErr w:type="spellEnd"/>
      <w:r w:rsidR="00D26DA2">
        <w:rPr>
          <w:rFonts w:ascii="Garamond" w:hAnsi="Garamond" w:cs="Times New Roman"/>
          <w:color w:val="000000" w:themeColor="text1"/>
          <w:sz w:val="24"/>
          <w:szCs w:val="24"/>
        </w:rPr>
        <w:t xml:space="preserve">. </w:t>
      </w:r>
      <w:r w:rsidR="00D26DA2" w:rsidRPr="00D26DA2">
        <w:rPr>
          <w:rFonts w:ascii="Garamond" w:hAnsi="Garamond" w:cs="Times New Roman"/>
          <w:color w:val="000000" w:themeColor="text1"/>
          <w:sz w:val="24"/>
          <w:szCs w:val="24"/>
          <w:lang w:val="en-US"/>
        </w:rPr>
        <w:t xml:space="preserve">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Pr="00D26DA2">
        <w:rPr>
          <w:rFonts w:ascii="Garamond" w:hAnsi="Garamond" w:cs="Times New Roman"/>
          <w:color w:val="000000" w:themeColor="text1"/>
          <w:sz w:val="24"/>
          <w:szCs w:val="24"/>
          <w:lang w:val="en-US"/>
        </w:rPr>
        <w:t xml:space="preserve"> IV,</w:t>
      </w:r>
      <w:r w:rsidR="00751AE4" w:rsidRPr="00D26DA2">
        <w:rPr>
          <w:rFonts w:ascii="Garamond" w:hAnsi="Garamond" w:cs="Times New Roman"/>
          <w:color w:val="000000" w:themeColor="text1"/>
          <w:sz w:val="24"/>
          <w:szCs w:val="24"/>
          <w:lang w:val="en-US"/>
        </w:rPr>
        <w:t xml:space="preserve"> 20 </w:t>
      </w:r>
      <w:proofErr w:type="spellStart"/>
      <w:r w:rsidR="00751AE4" w:rsidRPr="00D26DA2">
        <w:rPr>
          <w:rFonts w:ascii="Garamond" w:hAnsi="Garamond" w:cs="Times New Roman"/>
          <w:color w:val="000000" w:themeColor="text1"/>
          <w:sz w:val="24"/>
          <w:szCs w:val="24"/>
          <w:lang w:val="en-US"/>
        </w:rPr>
        <w:t>luglio</w:t>
      </w:r>
      <w:proofErr w:type="spellEnd"/>
      <w:r w:rsidR="00751AE4" w:rsidRPr="00D26DA2">
        <w:rPr>
          <w:rFonts w:ascii="Garamond" w:hAnsi="Garamond" w:cs="Times New Roman"/>
          <w:color w:val="000000" w:themeColor="text1"/>
          <w:sz w:val="24"/>
          <w:szCs w:val="24"/>
          <w:lang w:val="en-US"/>
        </w:rPr>
        <w:t xml:space="preserve"> 2016,</w:t>
      </w:r>
      <w:r w:rsidR="00D26DA2" w:rsidRPr="00D26DA2">
        <w:rPr>
          <w:rFonts w:ascii="Garamond" w:hAnsi="Garamond" w:cs="Times New Roman"/>
          <w:color w:val="000000" w:themeColor="text1"/>
          <w:sz w:val="24"/>
          <w:szCs w:val="24"/>
          <w:lang w:val="en-US"/>
        </w:rPr>
        <w:t xml:space="preserve"> n. 3247; Cons. St., </w:t>
      </w:r>
      <w:proofErr w:type="spellStart"/>
      <w:r w:rsidR="00C010D5">
        <w:rPr>
          <w:rFonts w:ascii="Garamond" w:hAnsi="Garamond" w:cs="Times New Roman"/>
          <w:color w:val="000000" w:themeColor="text1"/>
          <w:sz w:val="24"/>
          <w:szCs w:val="24"/>
          <w:lang w:val="en-US"/>
        </w:rPr>
        <w:t>sez</w:t>
      </w:r>
      <w:proofErr w:type="spellEnd"/>
      <w:r w:rsidR="00C010D5">
        <w:rPr>
          <w:rFonts w:ascii="Garamond" w:hAnsi="Garamond" w:cs="Times New Roman"/>
          <w:color w:val="000000" w:themeColor="text1"/>
          <w:sz w:val="24"/>
          <w:szCs w:val="24"/>
          <w:lang w:val="en-US"/>
        </w:rPr>
        <w:t>.</w:t>
      </w:r>
      <w:r w:rsidR="003C0B3A" w:rsidRPr="00D26DA2">
        <w:rPr>
          <w:rFonts w:ascii="Garamond" w:hAnsi="Garamond" w:cs="Times New Roman"/>
          <w:color w:val="000000" w:themeColor="text1"/>
          <w:sz w:val="24"/>
          <w:szCs w:val="24"/>
          <w:lang w:val="en-US"/>
        </w:rPr>
        <w:t xml:space="preserve"> </w:t>
      </w:r>
      <w:r w:rsidRPr="00D26DA2">
        <w:rPr>
          <w:rFonts w:ascii="Garamond" w:hAnsi="Garamond" w:cs="Times New Roman"/>
          <w:color w:val="000000" w:themeColor="text1"/>
          <w:sz w:val="24"/>
          <w:szCs w:val="24"/>
          <w:lang w:val="en-US"/>
        </w:rPr>
        <w:t>V,</w:t>
      </w:r>
      <w:r w:rsidR="00751AE4" w:rsidRPr="00D26DA2">
        <w:rPr>
          <w:rFonts w:ascii="Garamond" w:hAnsi="Garamond" w:cs="Times New Roman"/>
          <w:color w:val="000000" w:themeColor="text1"/>
          <w:sz w:val="24"/>
          <w:szCs w:val="24"/>
          <w:lang w:val="en-US"/>
        </w:rPr>
        <w:t xml:space="preserve"> 10 </w:t>
      </w:r>
      <w:proofErr w:type="spellStart"/>
      <w:r w:rsidR="00751AE4" w:rsidRPr="00D26DA2">
        <w:rPr>
          <w:rFonts w:ascii="Garamond" w:hAnsi="Garamond" w:cs="Times New Roman"/>
          <w:color w:val="000000" w:themeColor="text1"/>
          <w:sz w:val="24"/>
          <w:szCs w:val="24"/>
          <w:lang w:val="en-US"/>
        </w:rPr>
        <w:t>ottobre</w:t>
      </w:r>
      <w:proofErr w:type="spellEnd"/>
      <w:r w:rsidR="00751AE4" w:rsidRPr="00D26DA2">
        <w:rPr>
          <w:rFonts w:ascii="Garamond" w:hAnsi="Garamond" w:cs="Times New Roman"/>
          <w:color w:val="000000" w:themeColor="text1"/>
          <w:sz w:val="24"/>
          <w:szCs w:val="24"/>
          <w:lang w:val="en-US"/>
        </w:rPr>
        <w:t xml:space="preserve"> 2017,</w:t>
      </w:r>
      <w:r w:rsidRPr="00D26DA2">
        <w:rPr>
          <w:rFonts w:ascii="Garamond" w:hAnsi="Garamond" w:cs="Times New Roman"/>
          <w:color w:val="000000" w:themeColor="text1"/>
          <w:sz w:val="24"/>
          <w:szCs w:val="24"/>
          <w:lang w:val="en-US"/>
        </w:rPr>
        <w:t xml:space="preserve"> n. 4680</w:t>
      </w:r>
      <w:r w:rsidR="00751AE4" w:rsidRPr="00D26DA2">
        <w:rPr>
          <w:rFonts w:ascii="Garamond" w:hAnsi="Garamond" w:cs="Times New Roman"/>
          <w:color w:val="000000" w:themeColor="text1"/>
          <w:sz w:val="24"/>
          <w:szCs w:val="24"/>
          <w:lang w:val="en-US"/>
        </w:rPr>
        <w:t xml:space="preserve">. </w:t>
      </w:r>
      <w:r w:rsidRPr="00A214B9">
        <w:rPr>
          <w:rFonts w:ascii="Garamond" w:hAnsi="Garamond" w:cs="Times New Roman"/>
          <w:color w:val="000000" w:themeColor="text1"/>
          <w:sz w:val="24"/>
          <w:szCs w:val="24"/>
        </w:rPr>
        <w:t xml:space="preserve">Sul punto, particolarmente interessante è la ricostruzione offerta da </w:t>
      </w:r>
      <w:r w:rsidR="00751AE4" w:rsidRPr="003C0B3A">
        <w:rPr>
          <w:rStyle w:val="SottotitoloCarattere"/>
          <w:rFonts w:ascii="Garamond" w:hAnsi="Garamond"/>
          <w:color w:val="000000" w:themeColor="text1"/>
        </w:rPr>
        <w:t>N. D</w:t>
      </w:r>
      <w:r w:rsidR="00751AE4" w:rsidRPr="003C0B3A">
        <w:rPr>
          <w:rStyle w:val="SottotitoloCarattere"/>
          <w:rFonts w:ascii="Garamond" w:hAnsi="Garamond"/>
          <w:color w:val="000000" w:themeColor="text1"/>
          <w:sz w:val="18"/>
          <w:szCs w:val="18"/>
        </w:rPr>
        <w:t>URANTE</w:t>
      </w:r>
      <w:r w:rsidR="00751AE4" w:rsidRPr="00A214B9">
        <w:rPr>
          <w:rStyle w:val="SottotitoloCarattere"/>
          <w:rFonts w:ascii="Garamond" w:hAnsi="Garamond"/>
          <w:color w:val="000000" w:themeColor="text1"/>
          <w:sz w:val="24"/>
          <w:szCs w:val="24"/>
        </w:rPr>
        <w:t>,</w:t>
      </w:r>
      <w:r w:rsidR="00751AE4" w:rsidRPr="00A214B9">
        <w:rPr>
          <w:rFonts w:ascii="Garamond" w:hAnsi="Garamond" w:cs="Times New Roman"/>
          <w:color w:val="000000" w:themeColor="text1"/>
          <w:sz w:val="24"/>
          <w:szCs w:val="24"/>
        </w:rPr>
        <w:t xml:space="preserve"> </w:t>
      </w:r>
      <w:r w:rsidR="00751AE4" w:rsidRPr="00A214B9">
        <w:rPr>
          <w:rFonts w:ascii="Garamond" w:hAnsi="Garamond" w:cs="Times New Roman"/>
          <w:i/>
          <w:color w:val="000000" w:themeColor="text1"/>
          <w:sz w:val="24"/>
          <w:szCs w:val="24"/>
        </w:rPr>
        <w:t>Ambiti di discrezionalità in materia di documentazione antimafia per le imprese</w:t>
      </w:r>
      <w:r w:rsidR="00751AE4" w:rsidRPr="00A214B9">
        <w:rPr>
          <w:rFonts w:ascii="Garamond" w:hAnsi="Garamond" w:cs="Times New Roman"/>
          <w:color w:val="000000" w:themeColor="text1"/>
          <w:sz w:val="24"/>
          <w:szCs w:val="24"/>
        </w:rPr>
        <w:t xml:space="preserve">, in </w:t>
      </w:r>
      <w:hyperlink r:id="rId5" w:history="1">
        <w:r w:rsidR="00751AE4" w:rsidRPr="00A214B9">
          <w:rPr>
            <w:rStyle w:val="Collegamentoipertestuale"/>
            <w:rFonts w:ascii="Garamond" w:hAnsi="Garamond" w:cs="Times New Roman"/>
            <w:color w:val="000000" w:themeColor="text1"/>
            <w:sz w:val="24"/>
            <w:szCs w:val="24"/>
          </w:rPr>
          <w:t>www.</w:t>
        </w:r>
        <w:r w:rsidR="00751AE4" w:rsidRPr="00A214B9">
          <w:rPr>
            <w:rStyle w:val="Collegamentoipertestuale"/>
            <w:rFonts w:ascii="Garamond" w:hAnsi="Garamond" w:cs="Times New Roman"/>
            <w:i/>
            <w:color w:val="000000" w:themeColor="text1"/>
            <w:sz w:val="24"/>
            <w:szCs w:val="24"/>
          </w:rPr>
          <w:t>giustizia-amm</w:t>
        </w:r>
        <w:r w:rsidR="00751AE4" w:rsidRPr="00A214B9">
          <w:rPr>
            <w:rStyle w:val="Collegamentoipertestuale"/>
            <w:rFonts w:ascii="Garamond" w:hAnsi="Garamond" w:cs="Times New Roman"/>
            <w:color w:val="000000" w:themeColor="text1"/>
            <w:sz w:val="24"/>
            <w:szCs w:val="24"/>
          </w:rPr>
          <w:t>inistrativa.it</w:t>
        </w:r>
      </w:hyperlink>
      <w:r w:rsidR="00751AE4" w:rsidRPr="00A214B9">
        <w:rPr>
          <w:rFonts w:ascii="Garamond" w:hAnsi="Garamond" w:cs="Times New Roman"/>
          <w:color w:val="000000" w:themeColor="text1"/>
          <w:sz w:val="24"/>
          <w:szCs w:val="24"/>
        </w:rPr>
        <w:t xml:space="preserve">, 3/2013, </w:t>
      </w:r>
      <w:r w:rsidRPr="00A214B9">
        <w:rPr>
          <w:rFonts w:ascii="Garamond" w:hAnsi="Garamond" w:cs="Times New Roman"/>
          <w:color w:val="000000" w:themeColor="text1"/>
          <w:sz w:val="24"/>
          <w:szCs w:val="24"/>
        </w:rPr>
        <w:t xml:space="preserve">dove, con riferimento all’incapacità dell’impresa derivante dal provvedimento </w:t>
      </w:r>
      <w:proofErr w:type="spellStart"/>
      <w:r w:rsidRPr="00A214B9">
        <w:rPr>
          <w:rFonts w:ascii="Garamond" w:hAnsi="Garamond" w:cs="Times New Roman"/>
          <w:color w:val="000000" w:themeColor="text1"/>
          <w:sz w:val="24"/>
          <w:szCs w:val="24"/>
        </w:rPr>
        <w:t>interdittivo</w:t>
      </w:r>
      <w:proofErr w:type="spellEnd"/>
      <w:r w:rsidRPr="00A214B9">
        <w:rPr>
          <w:rFonts w:ascii="Garamond" w:hAnsi="Garamond" w:cs="Times New Roman"/>
          <w:color w:val="000000" w:themeColor="text1"/>
          <w:sz w:val="24"/>
          <w:szCs w:val="24"/>
        </w:rPr>
        <w:t xml:space="preserve"> antimafia, ha evidenziato che </w:t>
      </w:r>
      <w:r w:rsidRPr="00A214B9">
        <w:rPr>
          <w:rFonts w:ascii="Garamond" w:hAnsi="Garamond" w:cs="Times New Roman"/>
          <w:i/>
          <w:color w:val="000000" w:themeColor="text1"/>
          <w:sz w:val="24"/>
          <w:szCs w:val="24"/>
        </w:rPr>
        <w:t>“gli effetti dell’</w:t>
      </w:r>
      <w:proofErr w:type="spellStart"/>
      <w:r w:rsidRPr="00A214B9">
        <w:rPr>
          <w:rFonts w:ascii="Garamond" w:hAnsi="Garamond" w:cs="Times New Roman"/>
          <w:i/>
          <w:color w:val="000000" w:themeColor="text1"/>
          <w:sz w:val="24"/>
          <w:szCs w:val="24"/>
        </w:rPr>
        <w:t>interdittiva</w:t>
      </w:r>
      <w:proofErr w:type="spellEnd"/>
      <w:r w:rsidRPr="00A214B9">
        <w:rPr>
          <w:rFonts w:ascii="Garamond" w:hAnsi="Garamond" w:cs="Times New Roman"/>
          <w:i/>
          <w:color w:val="000000" w:themeColor="text1"/>
          <w:sz w:val="24"/>
          <w:szCs w:val="24"/>
        </w:rPr>
        <w:t xml:space="preserve"> si sono prepotentemente avvicinati a quell</w:t>
      </w:r>
      <w:r w:rsidR="00AD4582" w:rsidRPr="00A214B9">
        <w:rPr>
          <w:rFonts w:ascii="Garamond" w:hAnsi="Garamond" w:cs="Times New Roman"/>
          <w:i/>
          <w:color w:val="000000" w:themeColor="text1"/>
          <w:sz w:val="24"/>
          <w:szCs w:val="24"/>
        </w:rPr>
        <w:t>i</w:t>
      </w:r>
      <w:r w:rsidRPr="00A214B9">
        <w:rPr>
          <w:rFonts w:ascii="Garamond" w:hAnsi="Garamond" w:cs="Times New Roman"/>
          <w:i/>
          <w:color w:val="000000" w:themeColor="text1"/>
          <w:sz w:val="24"/>
          <w:szCs w:val="24"/>
        </w:rPr>
        <w:t xml:space="preserve"> della confisca: se la confisca costituisce la sottrazione di un patrimonio, l’</w:t>
      </w:r>
      <w:proofErr w:type="spellStart"/>
      <w:r w:rsidRPr="00A214B9">
        <w:rPr>
          <w:rFonts w:ascii="Garamond" w:hAnsi="Garamond" w:cs="Times New Roman"/>
          <w:i/>
          <w:color w:val="000000" w:themeColor="text1"/>
          <w:sz w:val="24"/>
          <w:szCs w:val="24"/>
        </w:rPr>
        <w:t>interdittiva</w:t>
      </w:r>
      <w:proofErr w:type="spellEnd"/>
      <w:r w:rsidRPr="00A214B9">
        <w:rPr>
          <w:rFonts w:ascii="Garamond" w:hAnsi="Garamond" w:cs="Times New Roman"/>
          <w:i/>
          <w:color w:val="000000" w:themeColor="text1"/>
          <w:sz w:val="24"/>
          <w:szCs w:val="24"/>
        </w:rPr>
        <w:t xml:space="preserve"> costituisce la sottrazione della capacità di produrre reddito(..) In questo modo la tutela anticipatoria dell’</w:t>
      </w:r>
      <w:proofErr w:type="spellStart"/>
      <w:r w:rsidRPr="00A214B9">
        <w:rPr>
          <w:rFonts w:ascii="Garamond" w:hAnsi="Garamond" w:cs="Times New Roman"/>
          <w:i/>
          <w:color w:val="000000" w:themeColor="text1"/>
          <w:sz w:val="24"/>
          <w:szCs w:val="24"/>
        </w:rPr>
        <w:t>interdittiva</w:t>
      </w:r>
      <w:proofErr w:type="spellEnd"/>
      <w:r w:rsidRPr="00A214B9">
        <w:rPr>
          <w:rFonts w:ascii="Garamond" w:hAnsi="Garamond" w:cs="Times New Roman"/>
          <w:i/>
          <w:color w:val="000000" w:themeColor="text1"/>
          <w:sz w:val="24"/>
          <w:szCs w:val="24"/>
        </w:rPr>
        <w:t xml:space="preserve"> si realizza a costo di una notevole compressione della libertà di iniziativa economica ed attraverso misure amministrative, il cui contenuto afflittivo è divenuto analogo a quello di alcune misure di natura penale”. </w:t>
      </w:r>
    </w:p>
  </w:footnote>
  <w:footnote w:id="32">
    <w:p w:rsidR="00B138AC" w:rsidRPr="00CF6680" w:rsidRDefault="00B138AC" w:rsidP="00D26DA2">
      <w:pPr>
        <w:pStyle w:val="Testonotaapidipagina"/>
        <w:ind w:firstLine="709"/>
        <w:jc w:val="both"/>
        <w:rPr>
          <w:rFonts w:ascii="Garamond" w:hAnsi="Garamond" w:cs="Times New Roman"/>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w:t>
      </w:r>
      <w:r w:rsidR="00751AE4" w:rsidRPr="003C0B3A">
        <w:rPr>
          <w:rStyle w:val="SottotitoloCarattere"/>
          <w:rFonts w:ascii="Garamond" w:hAnsi="Garamond"/>
          <w:color w:val="000000" w:themeColor="text1"/>
        </w:rPr>
        <w:t xml:space="preserve">E. </w:t>
      </w:r>
      <w:r w:rsidRPr="003C0B3A">
        <w:rPr>
          <w:rStyle w:val="SottotitoloCarattere"/>
          <w:rFonts w:ascii="Garamond" w:hAnsi="Garamond"/>
          <w:color w:val="000000" w:themeColor="text1"/>
        </w:rPr>
        <w:t>N</w:t>
      </w:r>
      <w:r w:rsidRPr="003C0B3A">
        <w:rPr>
          <w:rStyle w:val="SottotitoloCarattere"/>
          <w:rFonts w:ascii="Garamond" w:hAnsi="Garamond"/>
          <w:color w:val="000000" w:themeColor="text1"/>
          <w:sz w:val="18"/>
          <w:szCs w:val="18"/>
        </w:rPr>
        <w:t>ORELLI</w:t>
      </w:r>
      <w:r w:rsidRPr="00A214B9">
        <w:rPr>
          <w:rFonts w:ascii="Garamond" w:hAnsi="Garamond" w:cs="Times New Roman"/>
          <w:color w:val="000000" w:themeColor="text1"/>
        </w:rPr>
        <w:t>,</w:t>
      </w:r>
      <w:r w:rsidRPr="00A214B9">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Gli effetti personali del fallimento,</w:t>
      </w:r>
      <w:r w:rsidRPr="00A214B9">
        <w:rPr>
          <w:rFonts w:ascii="Garamond" w:hAnsi="Garamond" w:cs="Times New Roman"/>
          <w:color w:val="000000" w:themeColor="text1"/>
          <w:sz w:val="24"/>
          <w:szCs w:val="24"/>
        </w:rPr>
        <w:t xml:space="preserve"> in </w:t>
      </w:r>
      <w:proofErr w:type="spellStart"/>
      <w:r w:rsidRPr="00A214B9">
        <w:rPr>
          <w:rStyle w:val="SottotitoloCarattere"/>
          <w:rFonts w:ascii="Garamond" w:hAnsi="Garamond"/>
          <w:color w:val="000000" w:themeColor="text1"/>
          <w:sz w:val="24"/>
          <w:szCs w:val="24"/>
        </w:rPr>
        <w:t>Panzani</w:t>
      </w:r>
      <w:proofErr w:type="spellEnd"/>
      <w:r w:rsidRPr="00A214B9">
        <w:rPr>
          <w:rStyle w:val="SottotitoloCarattere"/>
          <w:rFonts w:ascii="Garamond" w:hAnsi="Garamond"/>
          <w:color w:val="000000" w:themeColor="text1"/>
          <w:sz w:val="24"/>
          <w:szCs w:val="24"/>
        </w:rPr>
        <w:t xml:space="preserve">- </w:t>
      </w:r>
      <w:proofErr w:type="spellStart"/>
      <w:r w:rsidRPr="00A214B9">
        <w:rPr>
          <w:rStyle w:val="SottotitoloCarattere"/>
          <w:rFonts w:ascii="Garamond" w:hAnsi="Garamond"/>
          <w:color w:val="000000" w:themeColor="text1"/>
          <w:sz w:val="24"/>
          <w:szCs w:val="24"/>
        </w:rPr>
        <w:t>Cagnasso</w:t>
      </w:r>
      <w:proofErr w:type="spellEnd"/>
      <w:r w:rsidRPr="00A214B9">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Crisi d’impresa e procedure concorsuali</w:t>
      </w:r>
      <w:r w:rsidRPr="00A214B9">
        <w:rPr>
          <w:rFonts w:ascii="Garamond" w:hAnsi="Garamond" w:cs="Times New Roman"/>
          <w:color w:val="000000" w:themeColor="text1"/>
          <w:sz w:val="24"/>
          <w:szCs w:val="24"/>
        </w:rPr>
        <w:t xml:space="preserve">, 2016. </w:t>
      </w:r>
    </w:p>
  </w:footnote>
  <w:footnote w:id="33">
    <w:p w:rsidR="00B138AC" w:rsidRPr="007102BA" w:rsidRDefault="00B138AC" w:rsidP="007102BA">
      <w:pPr>
        <w:pStyle w:val="Testonotaapidipagina"/>
        <w:ind w:firstLine="709"/>
        <w:jc w:val="both"/>
        <w:rPr>
          <w:rFonts w:ascii="Garamond" w:hAnsi="Garamond"/>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w:t>
      </w:r>
      <w:r w:rsidR="00751AE4" w:rsidRPr="003C0B3A">
        <w:rPr>
          <w:rStyle w:val="SottotitoloCarattere"/>
          <w:rFonts w:ascii="Garamond" w:hAnsi="Garamond"/>
          <w:color w:val="000000" w:themeColor="text1"/>
        </w:rPr>
        <w:t xml:space="preserve">C. </w:t>
      </w:r>
      <w:r w:rsidRPr="003C0B3A">
        <w:rPr>
          <w:rStyle w:val="SottotitoloCarattere"/>
          <w:rFonts w:ascii="Garamond" w:hAnsi="Garamond"/>
          <w:color w:val="000000" w:themeColor="text1"/>
        </w:rPr>
        <w:t>T</w:t>
      </w:r>
      <w:r w:rsidRPr="003C0B3A">
        <w:rPr>
          <w:rStyle w:val="SottotitoloCarattere"/>
          <w:rFonts w:ascii="Garamond" w:hAnsi="Garamond"/>
          <w:color w:val="000000" w:themeColor="text1"/>
          <w:sz w:val="18"/>
          <w:szCs w:val="18"/>
        </w:rPr>
        <w:t>URCO</w:t>
      </w:r>
      <w:r w:rsidRPr="00A214B9">
        <w:rPr>
          <w:rStyle w:val="SottotitoloCarattere"/>
          <w:rFonts w:ascii="Garamond" w:hAnsi="Garamond"/>
          <w:color w:val="000000" w:themeColor="text1"/>
          <w:sz w:val="20"/>
          <w:szCs w:val="20"/>
        </w:rPr>
        <w:t>,</w:t>
      </w:r>
      <w:r w:rsidRPr="00A214B9">
        <w:rPr>
          <w:rFonts w:ascii="Garamond" w:hAnsi="Garamond" w:cs="Times New Roman"/>
          <w:color w:val="000000" w:themeColor="text1"/>
          <w:sz w:val="24"/>
          <w:szCs w:val="24"/>
        </w:rPr>
        <w:t xml:space="preserve"> </w:t>
      </w:r>
      <w:r w:rsidRPr="00A214B9">
        <w:rPr>
          <w:rFonts w:ascii="Garamond" w:hAnsi="Garamond" w:cs="Times New Roman"/>
          <w:i/>
          <w:color w:val="000000" w:themeColor="text1"/>
          <w:sz w:val="24"/>
          <w:szCs w:val="24"/>
        </w:rPr>
        <w:t>Diritto civile I</w:t>
      </w:r>
      <w:r w:rsidRPr="00A214B9">
        <w:rPr>
          <w:rFonts w:ascii="Garamond" w:hAnsi="Garamond" w:cs="Times New Roman"/>
          <w:color w:val="000000" w:themeColor="text1"/>
          <w:sz w:val="24"/>
          <w:szCs w:val="24"/>
        </w:rPr>
        <w:t xml:space="preserve">, p. 90. </w:t>
      </w:r>
      <w:r w:rsidR="007102BA">
        <w:rPr>
          <w:rFonts w:ascii="Garamond" w:hAnsi="Garamond"/>
          <w:sz w:val="24"/>
          <w:szCs w:val="24"/>
        </w:rPr>
        <w:t xml:space="preserve">Sulla complessa questione relativa all’incidenza dell’informativa antimafia nel procedimento di formazione del contratto tra privati e pubbliche amministrazioni v., tra gli altri, </w:t>
      </w:r>
      <w:r w:rsidR="007102BA" w:rsidRPr="00D049A0">
        <w:rPr>
          <w:rFonts w:ascii="Garamond" w:hAnsi="Garamond"/>
          <w:sz w:val="24"/>
          <w:szCs w:val="24"/>
        </w:rPr>
        <w:t xml:space="preserve">A. </w:t>
      </w:r>
      <w:proofErr w:type="spellStart"/>
      <w:r w:rsidR="007102BA" w:rsidRPr="00D049A0">
        <w:rPr>
          <w:rFonts w:ascii="Garamond" w:hAnsi="Garamond"/>
          <w:smallCaps/>
          <w:sz w:val="24"/>
          <w:szCs w:val="24"/>
        </w:rPr>
        <w:t>Bongarzone</w:t>
      </w:r>
      <w:proofErr w:type="spellEnd"/>
      <w:r w:rsidR="007102BA" w:rsidRPr="00D049A0">
        <w:rPr>
          <w:rFonts w:ascii="Garamond" w:hAnsi="Garamond"/>
          <w:sz w:val="24"/>
          <w:szCs w:val="24"/>
        </w:rPr>
        <w:t xml:space="preserve">, </w:t>
      </w:r>
      <w:r w:rsidR="007102BA" w:rsidRPr="00D049A0">
        <w:rPr>
          <w:rFonts w:ascii="Garamond" w:hAnsi="Garamond"/>
          <w:i/>
          <w:sz w:val="24"/>
          <w:szCs w:val="24"/>
        </w:rPr>
        <w:t>L’informativa antimafia</w:t>
      </w:r>
      <w:r w:rsidR="007102BA">
        <w:rPr>
          <w:rFonts w:ascii="Garamond" w:hAnsi="Garamond"/>
          <w:sz w:val="24"/>
          <w:szCs w:val="24"/>
        </w:rPr>
        <w:t xml:space="preserve">, cit., p. 69 e ss. nonché, più di recente, </w:t>
      </w:r>
      <w:r w:rsidR="007102BA" w:rsidRPr="00DE66AA">
        <w:rPr>
          <w:rFonts w:ascii="Garamond" w:hAnsi="Garamond"/>
          <w:smallCaps/>
          <w:sz w:val="24"/>
          <w:szCs w:val="24"/>
        </w:rPr>
        <w:t xml:space="preserve">A. De </w:t>
      </w:r>
      <w:proofErr w:type="spellStart"/>
      <w:r w:rsidR="007102BA" w:rsidRPr="00DE66AA">
        <w:rPr>
          <w:rFonts w:ascii="Garamond" w:hAnsi="Garamond"/>
          <w:smallCaps/>
          <w:sz w:val="24"/>
          <w:szCs w:val="24"/>
        </w:rPr>
        <w:t>Pascalis</w:t>
      </w:r>
      <w:proofErr w:type="spellEnd"/>
      <w:r w:rsidR="007102BA">
        <w:rPr>
          <w:rFonts w:ascii="Garamond" w:hAnsi="Garamond"/>
          <w:sz w:val="24"/>
          <w:szCs w:val="24"/>
        </w:rPr>
        <w:t xml:space="preserve">, </w:t>
      </w:r>
      <w:r w:rsidR="007102BA">
        <w:rPr>
          <w:rFonts w:ascii="Garamond" w:hAnsi="Garamond"/>
          <w:i/>
          <w:sz w:val="24"/>
          <w:szCs w:val="24"/>
        </w:rPr>
        <w:t xml:space="preserve">Effetti delle misure </w:t>
      </w:r>
      <w:proofErr w:type="spellStart"/>
      <w:r w:rsidR="007102BA">
        <w:rPr>
          <w:rFonts w:ascii="Garamond" w:hAnsi="Garamond"/>
          <w:i/>
          <w:sz w:val="24"/>
          <w:szCs w:val="24"/>
        </w:rPr>
        <w:t>interdittive</w:t>
      </w:r>
      <w:proofErr w:type="spellEnd"/>
      <w:r w:rsidR="007102BA">
        <w:rPr>
          <w:rFonts w:ascii="Garamond" w:hAnsi="Garamond"/>
          <w:i/>
          <w:sz w:val="24"/>
          <w:szCs w:val="24"/>
        </w:rPr>
        <w:t xml:space="preserve"> antimafia nei rapporti con la pubblica amministrazione</w:t>
      </w:r>
      <w:r w:rsidR="007102BA">
        <w:rPr>
          <w:rFonts w:ascii="Garamond" w:hAnsi="Garamond"/>
          <w:sz w:val="24"/>
          <w:szCs w:val="24"/>
        </w:rPr>
        <w:t xml:space="preserve">, in </w:t>
      </w:r>
      <w:r w:rsidR="007102BA" w:rsidRPr="001B0752">
        <w:rPr>
          <w:rFonts w:ascii="Garamond" w:hAnsi="Garamond"/>
          <w:smallCaps/>
          <w:sz w:val="24"/>
          <w:szCs w:val="24"/>
        </w:rPr>
        <w:t>G. Amarelli</w:t>
      </w:r>
      <w:r w:rsidR="007102BA" w:rsidRPr="001B0752">
        <w:rPr>
          <w:rFonts w:ascii="Garamond" w:hAnsi="Garamond"/>
          <w:sz w:val="24"/>
          <w:szCs w:val="24"/>
        </w:rPr>
        <w:t xml:space="preserve"> e </w:t>
      </w:r>
      <w:r w:rsidR="007102BA" w:rsidRPr="001B0752">
        <w:rPr>
          <w:rFonts w:ascii="Garamond" w:hAnsi="Garamond"/>
          <w:smallCaps/>
          <w:sz w:val="24"/>
          <w:szCs w:val="24"/>
        </w:rPr>
        <w:t>S. Sticchi Damiani (</w:t>
      </w:r>
      <w:r w:rsidR="007102BA" w:rsidRPr="001B0752">
        <w:rPr>
          <w:rFonts w:ascii="Garamond" w:hAnsi="Garamond"/>
          <w:sz w:val="24"/>
          <w:szCs w:val="24"/>
        </w:rPr>
        <w:t xml:space="preserve">a cura di), </w:t>
      </w:r>
      <w:r w:rsidR="007102BA" w:rsidRPr="001B0752">
        <w:rPr>
          <w:rFonts w:ascii="Garamond" w:hAnsi="Garamond"/>
          <w:i/>
          <w:sz w:val="24"/>
          <w:szCs w:val="24"/>
        </w:rPr>
        <w:t xml:space="preserve">Le </w:t>
      </w:r>
      <w:proofErr w:type="spellStart"/>
      <w:r w:rsidR="007102BA" w:rsidRPr="001B0752">
        <w:rPr>
          <w:rFonts w:ascii="Garamond" w:hAnsi="Garamond"/>
          <w:i/>
          <w:sz w:val="24"/>
          <w:szCs w:val="24"/>
        </w:rPr>
        <w:t>interdittive</w:t>
      </w:r>
      <w:proofErr w:type="spellEnd"/>
      <w:r w:rsidR="007102BA" w:rsidRPr="001B0752">
        <w:rPr>
          <w:rFonts w:ascii="Garamond" w:hAnsi="Garamond"/>
          <w:i/>
          <w:sz w:val="24"/>
          <w:szCs w:val="24"/>
        </w:rPr>
        <w:t xml:space="preserve"> antimafia</w:t>
      </w:r>
      <w:r w:rsidR="007102BA">
        <w:rPr>
          <w:rFonts w:ascii="Garamond" w:hAnsi="Garamond"/>
          <w:sz w:val="24"/>
          <w:szCs w:val="24"/>
        </w:rPr>
        <w:t>, cit., p. 149 e ss., spec. p. 159 e ss.</w:t>
      </w:r>
    </w:p>
  </w:footnote>
  <w:footnote w:id="34">
    <w:p w:rsidR="00FD7EA5" w:rsidRPr="00A214B9" w:rsidRDefault="00FD7EA5" w:rsidP="00CF6680">
      <w:pPr>
        <w:pStyle w:val="Testonotaapidipagina"/>
        <w:ind w:firstLine="709"/>
        <w:jc w:val="both"/>
        <w:rPr>
          <w:rFonts w:ascii="Garamond" w:hAnsi="Garamond" w:cs="Times New Roman"/>
          <w:color w:val="000000" w:themeColor="text1"/>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Il riferimento è alla procedura di aggiornamento della documentazione antimafia ex art. 91, comma 7, </w:t>
      </w:r>
      <w:r w:rsidR="00C010D5">
        <w:rPr>
          <w:rFonts w:ascii="Garamond" w:hAnsi="Garamond" w:cs="Times New Roman"/>
          <w:color w:val="000000" w:themeColor="text1"/>
          <w:sz w:val="24"/>
          <w:szCs w:val="24"/>
        </w:rPr>
        <w:t xml:space="preserve">d. </w:t>
      </w:r>
      <w:proofErr w:type="spellStart"/>
      <w:r w:rsidR="00C010D5">
        <w:rPr>
          <w:rFonts w:ascii="Garamond" w:hAnsi="Garamond" w:cs="Times New Roman"/>
          <w:color w:val="000000" w:themeColor="text1"/>
          <w:sz w:val="24"/>
          <w:szCs w:val="24"/>
        </w:rPr>
        <w:t>lgs</w:t>
      </w:r>
      <w:proofErr w:type="spellEnd"/>
      <w:r w:rsidR="00C010D5">
        <w:rPr>
          <w:rFonts w:ascii="Garamond" w:hAnsi="Garamond" w:cs="Times New Roman"/>
          <w:color w:val="000000" w:themeColor="text1"/>
          <w:sz w:val="24"/>
          <w:szCs w:val="24"/>
        </w:rPr>
        <w:t>.</w:t>
      </w:r>
      <w:r w:rsidRPr="00A214B9">
        <w:rPr>
          <w:rFonts w:ascii="Garamond" w:hAnsi="Garamond" w:cs="Times New Roman"/>
          <w:color w:val="000000" w:themeColor="text1"/>
          <w:sz w:val="24"/>
          <w:szCs w:val="24"/>
        </w:rPr>
        <w:t xml:space="preserve"> </w:t>
      </w:r>
      <w:r w:rsidR="00C010D5">
        <w:rPr>
          <w:rFonts w:ascii="Garamond" w:hAnsi="Garamond" w:cs="Times New Roman"/>
          <w:color w:val="000000" w:themeColor="text1"/>
          <w:sz w:val="24"/>
          <w:szCs w:val="24"/>
        </w:rPr>
        <w:t>n. 159 del 2011</w:t>
      </w:r>
      <w:r w:rsidRPr="00A214B9">
        <w:rPr>
          <w:rFonts w:ascii="Garamond" w:hAnsi="Garamond" w:cs="Times New Roman"/>
          <w:color w:val="000000" w:themeColor="text1"/>
          <w:sz w:val="24"/>
          <w:szCs w:val="24"/>
        </w:rPr>
        <w:t>.</w:t>
      </w:r>
    </w:p>
  </w:footnote>
  <w:footnote w:id="35">
    <w:p w:rsidR="00F62A68" w:rsidRPr="00CF6680" w:rsidRDefault="00F62A68" w:rsidP="00CF6680">
      <w:pPr>
        <w:pStyle w:val="Testonotaapidipagina"/>
        <w:ind w:firstLine="709"/>
        <w:jc w:val="both"/>
        <w:rPr>
          <w:rFonts w:ascii="Garamond" w:hAnsi="Garamond"/>
          <w:sz w:val="24"/>
          <w:szCs w:val="24"/>
        </w:rPr>
      </w:pPr>
      <w:r w:rsidRPr="00A214B9">
        <w:rPr>
          <w:rStyle w:val="Rimandonotaapidipagina"/>
          <w:rFonts w:ascii="Garamond" w:hAnsi="Garamond" w:cs="Times New Roman"/>
          <w:color w:val="000000" w:themeColor="text1"/>
          <w:sz w:val="24"/>
          <w:szCs w:val="24"/>
        </w:rPr>
        <w:footnoteRef/>
      </w:r>
      <w:r w:rsidRPr="00A214B9">
        <w:rPr>
          <w:rFonts w:ascii="Garamond" w:hAnsi="Garamond" w:cs="Times New Roman"/>
          <w:color w:val="000000" w:themeColor="text1"/>
          <w:sz w:val="24"/>
          <w:szCs w:val="24"/>
        </w:rPr>
        <w:t xml:space="preserve"> </w:t>
      </w:r>
      <w:r w:rsidR="008A55A5" w:rsidRPr="00A214B9">
        <w:rPr>
          <w:rFonts w:ascii="Garamond" w:hAnsi="Garamond" w:cs="Times New Roman"/>
          <w:color w:val="000000" w:themeColor="text1"/>
          <w:sz w:val="24"/>
          <w:szCs w:val="24"/>
        </w:rPr>
        <w:t xml:space="preserve">In questa pronuncia l’Adunanza Plenaria effettua un parallelismo tra l’art. 67, comma 1, </w:t>
      </w:r>
      <w:proofErr w:type="spellStart"/>
      <w:r w:rsidR="008A55A5" w:rsidRPr="00A214B9">
        <w:rPr>
          <w:rFonts w:ascii="Garamond" w:hAnsi="Garamond" w:cs="Times New Roman"/>
          <w:color w:val="000000" w:themeColor="text1"/>
          <w:sz w:val="24"/>
          <w:szCs w:val="24"/>
        </w:rPr>
        <w:t>lett</w:t>
      </w:r>
      <w:proofErr w:type="spellEnd"/>
      <w:r w:rsidR="008A55A5" w:rsidRPr="00A214B9">
        <w:rPr>
          <w:rFonts w:ascii="Garamond" w:hAnsi="Garamond" w:cs="Times New Roman"/>
          <w:color w:val="000000" w:themeColor="text1"/>
          <w:sz w:val="24"/>
          <w:szCs w:val="24"/>
        </w:rPr>
        <w:t>. g) e l’art. 316 ter c.p., sul presupposto dell’identità delle disposizioni normative, lasciando ipotizzare anche una rilevanza delle prestazioni assistenziali e dei contributi che perseguono scopi sociali. Sul punto cfr.:</w:t>
      </w:r>
      <w:r w:rsidR="00751AE4" w:rsidRPr="00A214B9">
        <w:rPr>
          <w:rFonts w:ascii="Garamond" w:hAnsi="Garamond"/>
          <w:color w:val="000000" w:themeColor="text1"/>
          <w:sz w:val="24"/>
          <w:szCs w:val="24"/>
        </w:rPr>
        <w:t xml:space="preserve">  </w:t>
      </w:r>
      <w:r w:rsidR="00751AE4" w:rsidRPr="00A214B9">
        <w:rPr>
          <w:rFonts w:ascii="Garamond" w:hAnsi="Garamond"/>
          <w:smallCaps/>
          <w:color w:val="000000" w:themeColor="text1"/>
          <w:sz w:val="24"/>
          <w:szCs w:val="24"/>
        </w:rPr>
        <w:t xml:space="preserve">M. </w:t>
      </w:r>
      <w:proofErr w:type="spellStart"/>
      <w:r w:rsidR="00751AE4" w:rsidRPr="00A214B9">
        <w:rPr>
          <w:rFonts w:ascii="Garamond" w:hAnsi="Garamond"/>
          <w:smallCaps/>
          <w:color w:val="000000" w:themeColor="text1"/>
          <w:sz w:val="24"/>
          <w:szCs w:val="24"/>
        </w:rPr>
        <w:t>Mazzamuto</w:t>
      </w:r>
      <w:proofErr w:type="spellEnd"/>
      <w:r w:rsidR="00751AE4" w:rsidRPr="00A214B9">
        <w:rPr>
          <w:rFonts w:ascii="Garamond" w:hAnsi="Garamond"/>
          <w:smallCaps/>
          <w:color w:val="000000" w:themeColor="text1"/>
          <w:sz w:val="24"/>
          <w:szCs w:val="24"/>
        </w:rPr>
        <w:t>,</w:t>
      </w:r>
      <w:r w:rsidR="008A55A5" w:rsidRPr="00A214B9">
        <w:rPr>
          <w:rFonts w:ascii="Garamond" w:hAnsi="Garamond" w:cs="Times New Roman"/>
          <w:color w:val="000000" w:themeColor="text1"/>
          <w:sz w:val="24"/>
          <w:szCs w:val="24"/>
        </w:rPr>
        <w:t xml:space="preserve"> </w:t>
      </w:r>
      <w:r w:rsidR="008A55A5" w:rsidRPr="00A214B9">
        <w:rPr>
          <w:rFonts w:ascii="Garamond" w:hAnsi="Garamond" w:cs="Times New Roman"/>
          <w:i/>
          <w:color w:val="000000" w:themeColor="text1"/>
          <w:sz w:val="24"/>
          <w:szCs w:val="24"/>
        </w:rPr>
        <w:t xml:space="preserve">Pagamento di imprese colpite da </w:t>
      </w:r>
      <w:proofErr w:type="spellStart"/>
      <w:r w:rsidR="008A55A5" w:rsidRPr="00A214B9">
        <w:rPr>
          <w:rFonts w:ascii="Garamond" w:hAnsi="Garamond" w:cs="Times New Roman"/>
          <w:i/>
          <w:color w:val="000000" w:themeColor="text1"/>
          <w:sz w:val="24"/>
          <w:szCs w:val="24"/>
        </w:rPr>
        <w:t>interdittiva</w:t>
      </w:r>
      <w:proofErr w:type="spellEnd"/>
      <w:r w:rsidR="008A55A5" w:rsidRPr="00A214B9">
        <w:rPr>
          <w:rFonts w:ascii="Garamond" w:hAnsi="Garamond" w:cs="Times New Roman"/>
          <w:i/>
          <w:color w:val="000000" w:themeColor="text1"/>
          <w:sz w:val="24"/>
          <w:szCs w:val="24"/>
        </w:rPr>
        <w:t xml:space="preserve"> antimafia e obbligatorietà delle misure anticorruzione, </w:t>
      </w:r>
      <w:r w:rsidR="0018570D">
        <w:rPr>
          <w:rFonts w:ascii="Garamond" w:hAnsi="Garamond" w:cs="Times New Roman"/>
          <w:color w:val="000000" w:themeColor="text1"/>
          <w:sz w:val="24"/>
          <w:szCs w:val="24"/>
        </w:rPr>
        <w:t xml:space="preserve">in </w:t>
      </w:r>
      <w:r w:rsidR="0018570D">
        <w:rPr>
          <w:rFonts w:ascii="Garamond" w:hAnsi="Garamond" w:cs="Times New Roman"/>
          <w:i/>
          <w:color w:val="000000" w:themeColor="text1"/>
          <w:sz w:val="24"/>
          <w:szCs w:val="24"/>
        </w:rPr>
        <w:t xml:space="preserve">Giur. </w:t>
      </w:r>
      <w:proofErr w:type="spellStart"/>
      <w:r w:rsidR="0018570D">
        <w:rPr>
          <w:rFonts w:ascii="Garamond" w:hAnsi="Garamond" w:cs="Times New Roman"/>
          <w:i/>
          <w:color w:val="000000" w:themeColor="text1"/>
          <w:sz w:val="24"/>
          <w:szCs w:val="24"/>
        </w:rPr>
        <w:t>it</w:t>
      </w:r>
      <w:proofErr w:type="spellEnd"/>
      <w:r w:rsidR="0018570D">
        <w:rPr>
          <w:rFonts w:ascii="Garamond" w:hAnsi="Garamond" w:cs="Times New Roman"/>
          <w:i/>
          <w:color w:val="000000" w:themeColor="text1"/>
          <w:sz w:val="24"/>
          <w:szCs w:val="24"/>
        </w:rPr>
        <w:t>.</w:t>
      </w:r>
      <w:r w:rsidR="008A55A5" w:rsidRPr="00A214B9">
        <w:rPr>
          <w:rFonts w:ascii="Garamond" w:hAnsi="Garamond" w:cs="Times New Roman"/>
          <w:color w:val="000000" w:themeColor="text1"/>
          <w:sz w:val="24"/>
          <w:szCs w:val="24"/>
        </w:rPr>
        <w:t>, 2019.</w:t>
      </w:r>
      <w:r w:rsidR="008A55A5" w:rsidRPr="00A214B9">
        <w:rPr>
          <w:rFonts w:ascii="Garamond" w:hAnsi="Garamond"/>
          <w:color w:val="000000" w:themeColor="text1"/>
          <w:sz w:val="24"/>
          <w:szCs w:val="24"/>
        </w:rPr>
        <w:t xml:space="preserve"> </w:t>
      </w:r>
    </w:p>
  </w:footnote>
  <w:footnote w:id="36">
    <w:p w:rsidR="00B138AC" w:rsidRPr="00751AE4" w:rsidRDefault="00B138AC" w:rsidP="00A214B9">
      <w:pPr>
        <w:pStyle w:val="Testonotaapidipagina"/>
        <w:ind w:firstLine="709"/>
        <w:jc w:val="both"/>
        <w:rPr>
          <w:rFonts w:ascii="Garamond" w:hAnsi="Garamond" w:cs="Times New Roman"/>
          <w:color w:val="000000" w:themeColor="text1"/>
          <w:sz w:val="24"/>
          <w:szCs w:val="24"/>
        </w:rPr>
      </w:pPr>
      <w:r w:rsidRPr="00CF6680">
        <w:rPr>
          <w:rStyle w:val="Rimandonotaapidipagina"/>
          <w:rFonts w:ascii="Garamond" w:hAnsi="Garamond" w:cs="Times New Roman"/>
          <w:sz w:val="24"/>
          <w:szCs w:val="24"/>
        </w:rPr>
        <w:footnoteRef/>
      </w:r>
      <w:r w:rsidRPr="00CF6680">
        <w:rPr>
          <w:rFonts w:ascii="Garamond" w:hAnsi="Garamond" w:cs="Times New Roman"/>
          <w:sz w:val="24"/>
          <w:szCs w:val="24"/>
        </w:rPr>
        <w:t xml:space="preserve"> Per un </w:t>
      </w:r>
      <w:r w:rsidRPr="00751AE4">
        <w:rPr>
          <w:rFonts w:ascii="Garamond" w:hAnsi="Garamond" w:cs="Times New Roman"/>
          <w:color w:val="000000" w:themeColor="text1"/>
          <w:sz w:val="24"/>
          <w:szCs w:val="24"/>
        </w:rPr>
        <w:t xml:space="preserve">approfondimento sulle obbligazioni pubbliche cfr. </w:t>
      </w:r>
      <w:proofErr w:type="gramStart"/>
      <w:r w:rsidR="00751AE4" w:rsidRPr="003C0B3A">
        <w:rPr>
          <w:rStyle w:val="SottotitoloCarattere"/>
          <w:rFonts w:ascii="Garamond" w:hAnsi="Garamond"/>
          <w:color w:val="000000" w:themeColor="text1"/>
        </w:rPr>
        <w:t>V.</w:t>
      </w:r>
      <w:r w:rsidRPr="003C0B3A">
        <w:rPr>
          <w:rStyle w:val="SottotitoloCarattere"/>
          <w:rFonts w:ascii="Garamond" w:hAnsi="Garamond"/>
          <w:color w:val="000000" w:themeColor="text1"/>
        </w:rPr>
        <w:t>C</w:t>
      </w:r>
      <w:r w:rsidRPr="001810A6">
        <w:rPr>
          <w:rStyle w:val="SottotitoloCarattere"/>
          <w:rFonts w:ascii="Garamond" w:hAnsi="Garamond"/>
          <w:color w:val="000000" w:themeColor="text1"/>
          <w:sz w:val="18"/>
          <w:szCs w:val="18"/>
        </w:rPr>
        <w:t>ERULLI</w:t>
      </w:r>
      <w:proofErr w:type="gramEnd"/>
      <w:r w:rsidRPr="001810A6">
        <w:rPr>
          <w:rStyle w:val="SottotitoloCarattere"/>
          <w:rFonts w:ascii="Garamond" w:hAnsi="Garamond"/>
          <w:color w:val="000000" w:themeColor="text1"/>
          <w:sz w:val="18"/>
          <w:szCs w:val="18"/>
        </w:rPr>
        <w:t xml:space="preserve"> IRELLI</w:t>
      </w:r>
      <w:r w:rsidRPr="001810A6">
        <w:rPr>
          <w:rFonts w:ascii="Garamond" w:hAnsi="Garamond" w:cs="Times New Roman"/>
          <w:color w:val="000000" w:themeColor="text1"/>
          <w:sz w:val="18"/>
          <w:szCs w:val="18"/>
        </w:rPr>
        <w:t xml:space="preserve">, </w:t>
      </w:r>
      <w:r w:rsidRPr="00751AE4">
        <w:rPr>
          <w:rFonts w:ascii="Garamond" w:hAnsi="Garamond" w:cs="Times New Roman"/>
          <w:i/>
          <w:color w:val="000000" w:themeColor="text1"/>
          <w:sz w:val="24"/>
          <w:szCs w:val="24"/>
        </w:rPr>
        <w:t>Corso di diritto amministrativo</w:t>
      </w:r>
      <w:r w:rsidRPr="00751AE4">
        <w:rPr>
          <w:rFonts w:ascii="Garamond" w:hAnsi="Garamond" w:cs="Times New Roman"/>
          <w:color w:val="000000" w:themeColor="text1"/>
          <w:sz w:val="24"/>
          <w:szCs w:val="24"/>
        </w:rPr>
        <w:t xml:space="preserve">, </w:t>
      </w:r>
      <w:r w:rsidR="00C65EA6" w:rsidRPr="00751AE4">
        <w:rPr>
          <w:rFonts w:ascii="Garamond" w:hAnsi="Garamond" w:cs="Times New Roman"/>
          <w:color w:val="000000" w:themeColor="text1"/>
          <w:sz w:val="24"/>
          <w:szCs w:val="24"/>
        </w:rPr>
        <w:t>1997,</w:t>
      </w:r>
      <w:r w:rsidR="00751AE4" w:rsidRPr="00751AE4">
        <w:rPr>
          <w:rFonts w:ascii="Garamond" w:hAnsi="Garamond" w:cs="Times New Roman"/>
          <w:color w:val="000000" w:themeColor="text1"/>
          <w:sz w:val="24"/>
          <w:szCs w:val="24"/>
        </w:rPr>
        <w:t xml:space="preserve"> p.718 </w:t>
      </w:r>
      <w:proofErr w:type="spellStart"/>
      <w:r w:rsidR="00751AE4" w:rsidRPr="00751AE4">
        <w:rPr>
          <w:rFonts w:ascii="Garamond" w:hAnsi="Garamond" w:cs="Times New Roman"/>
          <w:color w:val="000000" w:themeColor="text1"/>
          <w:sz w:val="24"/>
          <w:szCs w:val="24"/>
        </w:rPr>
        <w:t>ss</w:t>
      </w:r>
      <w:proofErr w:type="spellEnd"/>
      <w:r w:rsidR="00751AE4" w:rsidRPr="00751AE4">
        <w:rPr>
          <w:rFonts w:ascii="Garamond" w:hAnsi="Garamond" w:cs="Times New Roman"/>
          <w:color w:val="000000" w:themeColor="text1"/>
          <w:sz w:val="24"/>
          <w:szCs w:val="24"/>
        </w:rPr>
        <w:t>,</w:t>
      </w:r>
      <w:r w:rsidRPr="00751AE4">
        <w:rPr>
          <w:rFonts w:ascii="Garamond" w:hAnsi="Garamond" w:cs="Times New Roman"/>
          <w:color w:val="000000" w:themeColor="text1"/>
          <w:sz w:val="24"/>
          <w:szCs w:val="24"/>
        </w:rPr>
        <w:t xml:space="preserve">; </w:t>
      </w:r>
      <w:r w:rsidR="00751AE4" w:rsidRPr="003C0B3A">
        <w:rPr>
          <w:rStyle w:val="SottotitoloCarattere"/>
          <w:rFonts w:ascii="Garamond" w:hAnsi="Garamond"/>
          <w:color w:val="000000" w:themeColor="text1"/>
        </w:rPr>
        <w:t xml:space="preserve">A. </w:t>
      </w:r>
      <w:r w:rsidRPr="003C0B3A">
        <w:rPr>
          <w:rStyle w:val="SottotitoloCarattere"/>
          <w:rFonts w:ascii="Garamond" w:hAnsi="Garamond"/>
          <w:color w:val="000000" w:themeColor="text1"/>
        </w:rPr>
        <w:t>B</w:t>
      </w:r>
      <w:r w:rsidRPr="00751AE4">
        <w:rPr>
          <w:rStyle w:val="SottotitoloCarattere"/>
          <w:rFonts w:ascii="Garamond" w:hAnsi="Garamond"/>
          <w:color w:val="000000" w:themeColor="text1"/>
          <w:sz w:val="20"/>
          <w:szCs w:val="20"/>
        </w:rPr>
        <w:t>A</w:t>
      </w:r>
      <w:r w:rsidR="00FE6B92">
        <w:rPr>
          <w:rStyle w:val="SottotitoloCarattere"/>
          <w:rFonts w:ascii="Garamond" w:hAnsi="Garamond"/>
          <w:color w:val="000000" w:themeColor="text1"/>
          <w:sz w:val="18"/>
          <w:szCs w:val="18"/>
        </w:rPr>
        <w:t>RETTONI A</w:t>
      </w:r>
      <w:r w:rsidRPr="003C0B3A">
        <w:rPr>
          <w:rStyle w:val="SottotitoloCarattere"/>
          <w:rFonts w:ascii="Garamond" w:hAnsi="Garamond"/>
          <w:color w:val="000000" w:themeColor="text1"/>
          <w:sz w:val="18"/>
          <w:szCs w:val="18"/>
        </w:rPr>
        <w:t>RLERI</w:t>
      </w:r>
      <w:r w:rsidRPr="00751AE4">
        <w:rPr>
          <w:rStyle w:val="SottotitoloCarattere"/>
          <w:rFonts w:ascii="Garamond" w:hAnsi="Garamond"/>
          <w:color w:val="000000" w:themeColor="text1"/>
          <w:sz w:val="20"/>
          <w:szCs w:val="20"/>
        </w:rPr>
        <w:t>,</w:t>
      </w:r>
      <w:r w:rsidRPr="00751AE4">
        <w:rPr>
          <w:rFonts w:ascii="Garamond" w:hAnsi="Garamond" w:cs="Times New Roman"/>
          <w:color w:val="000000" w:themeColor="text1"/>
          <w:sz w:val="24"/>
          <w:szCs w:val="24"/>
        </w:rPr>
        <w:t xml:space="preserve"> </w:t>
      </w:r>
      <w:r w:rsidRPr="00751AE4">
        <w:rPr>
          <w:rFonts w:ascii="Garamond" w:hAnsi="Garamond" w:cs="Times New Roman"/>
          <w:i/>
          <w:color w:val="000000" w:themeColor="text1"/>
          <w:sz w:val="24"/>
          <w:szCs w:val="24"/>
        </w:rPr>
        <w:t>Obbligazioni pubbliche,</w:t>
      </w:r>
      <w:r w:rsidRPr="00751AE4">
        <w:rPr>
          <w:rFonts w:ascii="Garamond" w:hAnsi="Garamond" w:cs="Times New Roman"/>
          <w:color w:val="000000" w:themeColor="text1"/>
          <w:sz w:val="24"/>
          <w:szCs w:val="24"/>
        </w:rPr>
        <w:t xml:space="preserve"> in </w:t>
      </w:r>
      <w:proofErr w:type="spellStart"/>
      <w:r w:rsidR="0018570D">
        <w:rPr>
          <w:rFonts w:ascii="Garamond" w:hAnsi="Garamond" w:cs="Times New Roman"/>
          <w:i/>
          <w:color w:val="000000" w:themeColor="text1"/>
          <w:sz w:val="24"/>
          <w:szCs w:val="24"/>
        </w:rPr>
        <w:t>Enc</w:t>
      </w:r>
      <w:proofErr w:type="spellEnd"/>
      <w:r w:rsidR="0018570D">
        <w:rPr>
          <w:rFonts w:ascii="Garamond" w:hAnsi="Garamond" w:cs="Times New Roman"/>
          <w:i/>
          <w:color w:val="000000" w:themeColor="text1"/>
          <w:sz w:val="24"/>
          <w:szCs w:val="24"/>
        </w:rPr>
        <w:t>. d</w:t>
      </w:r>
      <w:r w:rsidRPr="00751AE4">
        <w:rPr>
          <w:rFonts w:ascii="Garamond" w:hAnsi="Garamond" w:cs="Times New Roman"/>
          <w:i/>
          <w:color w:val="000000" w:themeColor="text1"/>
          <w:sz w:val="24"/>
          <w:szCs w:val="24"/>
        </w:rPr>
        <w:t>ir</w:t>
      </w:r>
      <w:proofErr w:type="gramStart"/>
      <w:r w:rsidRPr="00751AE4">
        <w:rPr>
          <w:rFonts w:ascii="Garamond" w:hAnsi="Garamond" w:cs="Times New Roman"/>
          <w:i/>
          <w:color w:val="000000" w:themeColor="text1"/>
          <w:sz w:val="24"/>
          <w:szCs w:val="24"/>
        </w:rPr>
        <w:t>.</w:t>
      </w:r>
      <w:r w:rsidR="0018570D">
        <w:rPr>
          <w:rFonts w:ascii="Garamond" w:hAnsi="Garamond" w:cs="Times New Roman"/>
          <w:color w:val="000000" w:themeColor="text1"/>
          <w:sz w:val="24"/>
          <w:szCs w:val="24"/>
        </w:rPr>
        <w:t xml:space="preserve">, </w:t>
      </w:r>
      <w:r w:rsidRPr="00751AE4">
        <w:rPr>
          <w:rFonts w:ascii="Garamond" w:hAnsi="Garamond" w:cs="Times New Roman"/>
          <w:color w:val="000000" w:themeColor="text1"/>
          <w:sz w:val="24"/>
          <w:szCs w:val="24"/>
        </w:rPr>
        <w:t xml:space="preserve"> 1979</w:t>
      </w:r>
      <w:proofErr w:type="gramEnd"/>
      <w:r w:rsidRPr="00751AE4">
        <w:rPr>
          <w:rFonts w:ascii="Garamond" w:hAnsi="Garamond" w:cs="Times New Roman"/>
          <w:color w:val="000000" w:themeColor="text1"/>
          <w:sz w:val="24"/>
          <w:szCs w:val="24"/>
        </w:rPr>
        <w:t xml:space="preserve">, p. 383; </w:t>
      </w:r>
      <w:r w:rsidR="00751AE4" w:rsidRPr="003C0B3A">
        <w:rPr>
          <w:rStyle w:val="SottotitoloCarattere"/>
          <w:rFonts w:ascii="Garamond" w:hAnsi="Garamond"/>
          <w:color w:val="000000" w:themeColor="text1"/>
        </w:rPr>
        <w:t xml:space="preserve">M.S. </w:t>
      </w:r>
      <w:r w:rsidRPr="003C0B3A">
        <w:rPr>
          <w:rStyle w:val="SottotitoloCarattere"/>
          <w:rFonts w:ascii="Garamond" w:hAnsi="Garamond"/>
          <w:color w:val="000000" w:themeColor="text1"/>
        </w:rPr>
        <w:t>G</w:t>
      </w:r>
      <w:r w:rsidRPr="00751AE4">
        <w:rPr>
          <w:rStyle w:val="SottotitoloCarattere"/>
          <w:rFonts w:ascii="Garamond" w:hAnsi="Garamond"/>
          <w:color w:val="000000" w:themeColor="text1"/>
          <w:sz w:val="20"/>
          <w:szCs w:val="20"/>
        </w:rPr>
        <w:t>I</w:t>
      </w:r>
      <w:r w:rsidRPr="003C0B3A">
        <w:rPr>
          <w:rStyle w:val="SottotitoloCarattere"/>
          <w:rFonts w:ascii="Garamond" w:hAnsi="Garamond"/>
          <w:color w:val="000000" w:themeColor="text1"/>
          <w:sz w:val="18"/>
          <w:szCs w:val="18"/>
        </w:rPr>
        <w:t>ANNINI,</w:t>
      </w:r>
      <w:r w:rsidRPr="003C0B3A">
        <w:rPr>
          <w:rFonts w:ascii="Garamond" w:hAnsi="Garamond" w:cs="Times New Roman"/>
          <w:color w:val="000000" w:themeColor="text1"/>
          <w:sz w:val="18"/>
          <w:szCs w:val="18"/>
        </w:rPr>
        <w:t xml:space="preserve"> </w:t>
      </w:r>
      <w:r w:rsidRPr="00751AE4">
        <w:rPr>
          <w:rFonts w:ascii="Garamond" w:hAnsi="Garamond" w:cs="Times New Roman"/>
          <w:i/>
          <w:color w:val="000000" w:themeColor="text1"/>
          <w:sz w:val="24"/>
          <w:szCs w:val="24"/>
        </w:rPr>
        <w:t>Le obbligazioni pubbliche</w:t>
      </w:r>
      <w:r w:rsidRPr="00751AE4">
        <w:rPr>
          <w:rFonts w:ascii="Garamond" w:hAnsi="Garamond" w:cs="Times New Roman"/>
          <w:color w:val="000000" w:themeColor="text1"/>
          <w:sz w:val="24"/>
          <w:szCs w:val="24"/>
        </w:rPr>
        <w:t xml:space="preserve">, 1964. </w:t>
      </w:r>
    </w:p>
  </w:footnote>
  <w:footnote w:id="37">
    <w:p w:rsidR="00B138AC" w:rsidRPr="00751AE4" w:rsidRDefault="00B138AC" w:rsidP="00A214B9">
      <w:pPr>
        <w:pStyle w:val="Testonotaapidipagina"/>
        <w:ind w:firstLine="709"/>
        <w:jc w:val="both"/>
        <w:rPr>
          <w:rFonts w:ascii="Garamond" w:hAnsi="Garamond" w:cs="Times New Roman"/>
          <w:color w:val="000000" w:themeColor="text1"/>
          <w:sz w:val="24"/>
          <w:szCs w:val="24"/>
        </w:rPr>
      </w:pPr>
      <w:r w:rsidRPr="00751AE4">
        <w:rPr>
          <w:rStyle w:val="Rimandonotaapidipagina"/>
          <w:rFonts w:ascii="Garamond" w:hAnsi="Garamond" w:cs="Times New Roman"/>
          <w:color w:val="000000" w:themeColor="text1"/>
          <w:sz w:val="24"/>
          <w:szCs w:val="24"/>
        </w:rPr>
        <w:footnoteRef/>
      </w:r>
      <w:r w:rsidRPr="00751AE4">
        <w:rPr>
          <w:rFonts w:ascii="Garamond" w:hAnsi="Garamond" w:cs="Times New Roman"/>
          <w:color w:val="000000" w:themeColor="text1"/>
          <w:sz w:val="24"/>
          <w:szCs w:val="24"/>
        </w:rPr>
        <w:t xml:space="preserve"> Sez</w:t>
      </w:r>
      <w:r w:rsidR="00751AE4" w:rsidRPr="00751AE4">
        <w:rPr>
          <w:rFonts w:ascii="Garamond" w:hAnsi="Garamond" w:cs="Times New Roman"/>
          <w:color w:val="000000" w:themeColor="text1"/>
          <w:sz w:val="24"/>
          <w:szCs w:val="24"/>
        </w:rPr>
        <w:t>ioni</w:t>
      </w:r>
      <w:r w:rsidRPr="00751AE4">
        <w:rPr>
          <w:rFonts w:ascii="Garamond" w:hAnsi="Garamond" w:cs="Times New Roman"/>
          <w:color w:val="000000" w:themeColor="text1"/>
          <w:sz w:val="24"/>
          <w:szCs w:val="24"/>
        </w:rPr>
        <w:t xml:space="preserve"> Un</w:t>
      </w:r>
      <w:r w:rsidR="00751AE4" w:rsidRPr="00751AE4">
        <w:rPr>
          <w:rFonts w:ascii="Garamond" w:hAnsi="Garamond" w:cs="Times New Roman"/>
          <w:color w:val="000000" w:themeColor="text1"/>
          <w:sz w:val="24"/>
          <w:szCs w:val="24"/>
        </w:rPr>
        <w:t>ite 7 febbraio 2017,</w:t>
      </w:r>
      <w:r w:rsidRPr="00751AE4">
        <w:rPr>
          <w:rFonts w:ascii="Garamond" w:hAnsi="Garamond" w:cs="Times New Roman"/>
          <w:color w:val="000000" w:themeColor="text1"/>
          <w:sz w:val="24"/>
          <w:szCs w:val="24"/>
        </w:rPr>
        <w:t xml:space="preserve"> n. 16601</w:t>
      </w:r>
      <w:r w:rsidR="00751AE4" w:rsidRPr="00751AE4">
        <w:rPr>
          <w:rFonts w:ascii="Garamond" w:hAnsi="Garamond" w:cs="Times New Roman"/>
          <w:color w:val="000000" w:themeColor="text1"/>
          <w:sz w:val="24"/>
          <w:szCs w:val="24"/>
        </w:rPr>
        <w:t>.</w:t>
      </w:r>
    </w:p>
  </w:footnote>
  <w:footnote w:id="38">
    <w:p w:rsidR="00B138AC" w:rsidRPr="00751AE4" w:rsidRDefault="00B138AC" w:rsidP="00A214B9">
      <w:pPr>
        <w:pStyle w:val="Testonotaapidipagina"/>
        <w:ind w:firstLine="709"/>
        <w:jc w:val="both"/>
        <w:rPr>
          <w:rFonts w:ascii="Garamond" w:hAnsi="Garamond" w:cs="Times New Roman"/>
          <w:color w:val="000000" w:themeColor="text1"/>
          <w:sz w:val="24"/>
          <w:szCs w:val="24"/>
        </w:rPr>
      </w:pPr>
      <w:r w:rsidRPr="00751AE4">
        <w:rPr>
          <w:rStyle w:val="Rimandonotaapidipagina"/>
          <w:rFonts w:ascii="Garamond" w:hAnsi="Garamond" w:cs="Times New Roman"/>
          <w:color w:val="000000" w:themeColor="text1"/>
          <w:sz w:val="24"/>
          <w:szCs w:val="24"/>
        </w:rPr>
        <w:footnoteRef/>
      </w:r>
      <w:r w:rsidRPr="00751AE4">
        <w:rPr>
          <w:rFonts w:ascii="Garamond" w:hAnsi="Garamond" w:cs="Times New Roman"/>
          <w:color w:val="000000" w:themeColor="text1"/>
          <w:sz w:val="24"/>
          <w:szCs w:val="24"/>
        </w:rPr>
        <w:t xml:space="preserve"> </w:t>
      </w:r>
      <w:r w:rsidRPr="003C0B3A">
        <w:rPr>
          <w:rStyle w:val="SottotitoloCarattere"/>
          <w:rFonts w:ascii="Garamond" w:hAnsi="Garamond"/>
          <w:color w:val="000000" w:themeColor="text1"/>
        </w:rPr>
        <w:t>C</w:t>
      </w:r>
      <w:r w:rsidR="00751AE4" w:rsidRPr="003C0B3A">
        <w:rPr>
          <w:rStyle w:val="SottotitoloCarattere"/>
          <w:rFonts w:ascii="Garamond" w:hAnsi="Garamond"/>
          <w:color w:val="000000" w:themeColor="text1"/>
        </w:rPr>
        <w:t xml:space="preserve">. </w:t>
      </w:r>
      <w:r w:rsidRPr="003C0B3A">
        <w:rPr>
          <w:rStyle w:val="SottotitoloCarattere"/>
          <w:rFonts w:ascii="Garamond" w:hAnsi="Garamond"/>
          <w:color w:val="000000" w:themeColor="text1"/>
        </w:rPr>
        <w:t>C</w:t>
      </w:r>
      <w:r w:rsidRPr="003C0B3A">
        <w:rPr>
          <w:rStyle w:val="SottotitoloCarattere"/>
          <w:rFonts w:ascii="Garamond" w:hAnsi="Garamond"/>
          <w:color w:val="000000" w:themeColor="text1"/>
          <w:sz w:val="18"/>
          <w:szCs w:val="18"/>
        </w:rPr>
        <w:t>OMMANDATORE</w:t>
      </w:r>
      <w:r w:rsidRPr="00751AE4">
        <w:rPr>
          <w:rStyle w:val="SottotitoloCarattere"/>
          <w:rFonts w:ascii="Garamond" w:hAnsi="Garamond"/>
          <w:color w:val="000000" w:themeColor="text1"/>
          <w:sz w:val="20"/>
          <w:szCs w:val="20"/>
        </w:rPr>
        <w:t>,</w:t>
      </w:r>
      <w:r w:rsidRPr="00751AE4">
        <w:rPr>
          <w:rFonts w:ascii="Garamond" w:hAnsi="Garamond" w:cs="Times New Roman"/>
          <w:color w:val="000000" w:themeColor="text1"/>
          <w:sz w:val="24"/>
          <w:szCs w:val="24"/>
        </w:rPr>
        <w:t xml:space="preserve"> </w:t>
      </w:r>
      <w:r w:rsidRPr="00751AE4">
        <w:rPr>
          <w:rFonts w:ascii="Garamond" w:hAnsi="Garamond" w:cs="Times New Roman"/>
          <w:i/>
          <w:color w:val="000000" w:themeColor="text1"/>
          <w:sz w:val="24"/>
          <w:szCs w:val="24"/>
        </w:rPr>
        <w:t xml:space="preserve">Nota a Ad. </w:t>
      </w:r>
      <w:proofErr w:type="spellStart"/>
      <w:r w:rsidRPr="00751AE4">
        <w:rPr>
          <w:rFonts w:ascii="Garamond" w:hAnsi="Garamond" w:cs="Times New Roman"/>
          <w:i/>
          <w:color w:val="000000" w:themeColor="text1"/>
          <w:sz w:val="24"/>
          <w:szCs w:val="24"/>
        </w:rPr>
        <w:t>Pl</w:t>
      </w:r>
      <w:proofErr w:type="spellEnd"/>
      <w:r w:rsidRPr="00751AE4">
        <w:rPr>
          <w:rFonts w:ascii="Garamond" w:hAnsi="Garamond" w:cs="Times New Roman"/>
          <w:i/>
          <w:color w:val="000000" w:themeColor="text1"/>
          <w:sz w:val="24"/>
          <w:szCs w:val="24"/>
        </w:rPr>
        <w:t>. n. 3/2018</w:t>
      </w:r>
      <w:r w:rsidRPr="00751AE4">
        <w:rPr>
          <w:rFonts w:ascii="Garamond" w:hAnsi="Garamond" w:cs="Times New Roman"/>
          <w:color w:val="000000" w:themeColor="text1"/>
          <w:sz w:val="24"/>
          <w:szCs w:val="24"/>
        </w:rPr>
        <w:t xml:space="preserve">, in </w:t>
      </w:r>
      <w:proofErr w:type="spellStart"/>
      <w:r w:rsidRPr="00751AE4">
        <w:rPr>
          <w:rFonts w:ascii="Garamond" w:hAnsi="Garamond" w:cs="Times New Roman"/>
          <w:i/>
          <w:color w:val="000000" w:themeColor="text1"/>
          <w:sz w:val="24"/>
          <w:szCs w:val="24"/>
        </w:rPr>
        <w:t>Resp</w:t>
      </w:r>
      <w:proofErr w:type="spellEnd"/>
      <w:r w:rsidRPr="00751AE4">
        <w:rPr>
          <w:rFonts w:ascii="Garamond" w:hAnsi="Garamond" w:cs="Times New Roman"/>
          <w:i/>
          <w:color w:val="000000" w:themeColor="text1"/>
          <w:sz w:val="24"/>
          <w:szCs w:val="24"/>
        </w:rPr>
        <w:t xml:space="preserve">. Civile e </w:t>
      </w:r>
      <w:proofErr w:type="spellStart"/>
      <w:r w:rsidRPr="00751AE4">
        <w:rPr>
          <w:rFonts w:ascii="Garamond" w:hAnsi="Garamond" w:cs="Times New Roman"/>
          <w:i/>
          <w:color w:val="000000" w:themeColor="text1"/>
          <w:sz w:val="24"/>
          <w:szCs w:val="24"/>
        </w:rPr>
        <w:t>prev</w:t>
      </w:r>
      <w:proofErr w:type="spellEnd"/>
      <w:r w:rsidRPr="00751AE4">
        <w:rPr>
          <w:rFonts w:ascii="Garamond" w:hAnsi="Garamond" w:cs="Times New Roman"/>
          <w:color w:val="000000" w:themeColor="text1"/>
          <w:sz w:val="24"/>
          <w:szCs w:val="24"/>
        </w:rPr>
        <w:t>., n. 3</w:t>
      </w:r>
      <w:r w:rsidR="00751AE4" w:rsidRPr="00751AE4">
        <w:rPr>
          <w:rFonts w:ascii="Garamond" w:hAnsi="Garamond" w:cs="Times New Roman"/>
          <w:color w:val="000000" w:themeColor="text1"/>
          <w:sz w:val="24"/>
          <w:szCs w:val="24"/>
        </w:rPr>
        <w:t>/2019</w:t>
      </w:r>
      <w:r w:rsidRPr="00751AE4">
        <w:rPr>
          <w:rFonts w:ascii="Garamond" w:hAnsi="Garamond" w:cs="Times New Roman"/>
          <w:color w:val="000000" w:themeColor="text1"/>
          <w:sz w:val="24"/>
          <w:szCs w:val="24"/>
        </w:rPr>
        <w:t>, p. 917 ss</w:t>
      </w:r>
      <w:r w:rsidR="00751AE4" w:rsidRPr="00751AE4">
        <w:rPr>
          <w:rFonts w:ascii="Garamond" w:hAnsi="Garamond" w:cs="Times New Roman"/>
          <w:color w:val="000000" w:themeColor="text1"/>
          <w:sz w:val="24"/>
          <w:szCs w:val="24"/>
        </w:rPr>
        <w:t>.</w:t>
      </w:r>
      <w:r w:rsidR="00C65EA6" w:rsidRPr="00751AE4">
        <w:rPr>
          <w:rFonts w:ascii="Garamond" w:hAnsi="Garamond" w:cs="Times New Roman"/>
          <w:color w:val="000000" w:themeColor="text1"/>
          <w:sz w:val="24"/>
          <w:szCs w:val="24"/>
        </w:rPr>
        <w:t xml:space="preserve"> </w:t>
      </w:r>
    </w:p>
  </w:footnote>
  <w:footnote w:id="39">
    <w:p w:rsidR="00751AE4" w:rsidRPr="002A63AC" w:rsidRDefault="0087193E" w:rsidP="00A214B9">
      <w:pPr>
        <w:pStyle w:val="Testonotaapidipagina"/>
        <w:ind w:firstLine="709"/>
        <w:jc w:val="both"/>
        <w:rPr>
          <w:rFonts w:ascii="Garamond" w:hAnsi="Garamond"/>
          <w:sz w:val="24"/>
          <w:szCs w:val="24"/>
        </w:rPr>
      </w:pPr>
      <w:r w:rsidRPr="00751AE4">
        <w:rPr>
          <w:rStyle w:val="Rimandonotaapidipagina"/>
          <w:rFonts w:ascii="Garamond" w:hAnsi="Garamond" w:cs="Times New Roman"/>
          <w:color w:val="000000" w:themeColor="text1"/>
          <w:sz w:val="24"/>
          <w:szCs w:val="24"/>
        </w:rPr>
        <w:footnoteRef/>
      </w:r>
      <w:r w:rsidRPr="00751AE4">
        <w:rPr>
          <w:rFonts w:ascii="Garamond" w:hAnsi="Garamond" w:cs="Times New Roman"/>
          <w:color w:val="000000" w:themeColor="text1"/>
          <w:sz w:val="24"/>
          <w:szCs w:val="24"/>
        </w:rPr>
        <w:t xml:space="preserve"> </w:t>
      </w:r>
      <w:r w:rsidR="00751AE4" w:rsidRPr="00751AE4">
        <w:rPr>
          <w:rFonts w:ascii="Garamond" w:hAnsi="Garamond"/>
          <w:smallCaps/>
          <w:color w:val="000000" w:themeColor="text1"/>
          <w:sz w:val="24"/>
          <w:szCs w:val="24"/>
        </w:rPr>
        <w:t>G. Leone</w:t>
      </w:r>
      <w:r w:rsidR="00751AE4" w:rsidRPr="00751AE4">
        <w:rPr>
          <w:rFonts w:ascii="Garamond" w:hAnsi="Garamond" w:cs="Times New Roman"/>
          <w:i/>
          <w:color w:val="000000" w:themeColor="text1"/>
          <w:sz w:val="24"/>
          <w:szCs w:val="24"/>
        </w:rPr>
        <w:t xml:space="preserve"> </w:t>
      </w:r>
      <w:r w:rsidRPr="00751AE4">
        <w:rPr>
          <w:rFonts w:ascii="Garamond" w:hAnsi="Garamond" w:cs="Times New Roman"/>
          <w:i/>
          <w:color w:val="000000" w:themeColor="text1"/>
          <w:sz w:val="24"/>
          <w:szCs w:val="24"/>
        </w:rPr>
        <w:t xml:space="preserve">Il rischio dell’interpretazione evolutiva della norma. Un caso emblematico in tema di </w:t>
      </w:r>
      <w:proofErr w:type="spellStart"/>
      <w:r w:rsidRPr="00751AE4">
        <w:rPr>
          <w:rFonts w:ascii="Garamond" w:hAnsi="Garamond" w:cs="Times New Roman"/>
          <w:i/>
          <w:color w:val="000000" w:themeColor="text1"/>
          <w:sz w:val="24"/>
          <w:szCs w:val="24"/>
        </w:rPr>
        <w:t>interdittiva</w:t>
      </w:r>
      <w:proofErr w:type="spellEnd"/>
      <w:r w:rsidRPr="00751AE4">
        <w:rPr>
          <w:rFonts w:ascii="Garamond" w:hAnsi="Garamond" w:cs="Times New Roman"/>
          <w:i/>
          <w:color w:val="000000" w:themeColor="text1"/>
          <w:sz w:val="24"/>
          <w:szCs w:val="24"/>
        </w:rPr>
        <w:t xml:space="preserve"> antimafia, </w:t>
      </w:r>
      <w:r w:rsidR="00751AE4" w:rsidRPr="00751AE4">
        <w:rPr>
          <w:rFonts w:ascii="Garamond" w:hAnsi="Garamond"/>
          <w:color w:val="000000" w:themeColor="text1"/>
          <w:sz w:val="24"/>
          <w:szCs w:val="24"/>
        </w:rPr>
        <w:t xml:space="preserve">in </w:t>
      </w:r>
      <w:r w:rsidR="00751AE4" w:rsidRPr="00751AE4">
        <w:rPr>
          <w:rFonts w:ascii="Garamond" w:hAnsi="Garamond"/>
          <w:smallCaps/>
          <w:color w:val="000000" w:themeColor="text1"/>
          <w:sz w:val="24"/>
          <w:szCs w:val="24"/>
        </w:rPr>
        <w:t>G. Amarelli</w:t>
      </w:r>
      <w:r w:rsidR="00751AE4" w:rsidRPr="00751AE4">
        <w:rPr>
          <w:rFonts w:ascii="Garamond" w:hAnsi="Garamond"/>
          <w:color w:val="000000" w:themeColor="text1"/>
          <w:sz w:val="24"/>
          <w:szCs w:val="24"/>
        </w:rPr>
        <w:t xml:space="preserve"> e </w:t>
      </w:r>
      <w:r w:rsidR="00751AE4" w:rsidRPr="00751AE4">
        <w:rPr>
          <w:rFonts w:ascii="Garamond" w:hAnsi="Garamond"/>
          <w:smallCaps/>
          <w:color w:val="000000" w:themeColor="text1"/>
          <w:sz w:val="24"/>
          <w:szCs w:val="24"/>
        </w:rPr>
        <w:t xml:space="preserve">S. Sticchi Damiani </w:t>
      </w:r>
      <w:r w:rsidR="00751AE4" w:rsidRPr="002A63AC">
        <w:rPr>
          <w:rFonts w:ascii="Garamond" w:hAnsi="Garamond"/>
          <w:smallCaps/>
          <w:sz w:val="24"/>
          <w:szCs w:val="24"/>
        </w:rPr>
        <w:t>(</w:t>
      </w:r>
      <w:r w:rsidR="00751AE4" w:rsidRPr="002A63AC">
        <w:rPr>
          <w:rFonts w:ascii="Garamond" w:hAnsi="Garamond"/>
          <w:sz w:val="24"/>
          <w:szCs w:val="24"/>
        </w:rPr>
        <w:t xml:space="preserve">a cura di), </w:t>
      </w:r>
      <w:r w:rsidR="00751AE4" w:rsidRPr="002A63AC">
        <w:rPr>
          <w:rFonts w:ascii="Garamond" w:hAnsi="Garamond"/>
          <w:i/>
          <w:sz w:val="24"/>
          <w:szCs w:val="24"/>
        </w:rPr>
        <w:t xml:space="preserve">Le </w:t>
      </w:r>
      <w:proofErr w:type="spellStart"/>
      <w:r w:rsidR="00751AE4" w:rsidRPr="002A63AC">
        <w:rPr>
          <w:rFonts w:ascii="Garamond" w:hAnsi="Garamond"/>
          <w:i/>
          <w:sz w:val="24"/>
          <w:szCs w:val="24"/>
        </w:rPr>
        <w:t>interdittive</w:t>
      </w:r>
      <w:proofErr w:type="spellEnd"/>
      <w:r w:rsidR="00751AE4" w:rsidRPr="002A63AC">
        <w:rPr>
          <w:rFonts w:ascii="Garamond" w:hAnsi="Garamond"/>
          <w:i/>
          <w:sz w:val="24"/>
          <w:szCs w:val="24"/>
        </w:rPr>
        <w:t xml:space="preserve"> antimafia</w:t>
      </w:r>
      <w:r w:rsidR="00751AE4" w:rsidRPr="002A63AC">
        <w:rPr>
          <w:rFonts w:ascii="Garamond" w:hAnsi="Garamond"/>
          <w:sz w:val="24"/>
          <w:szCs w:val="24"/>
        </w:rPr>
        <w:t>, cit., p. 113 e ss.</w:t>
      </w:r>
    </w:p>
    <w:p w:rsidR="0087193E" w:rsidRPr="00CF6680" w:rsidRDefault="0087193E" w:rsidP="00CF6680">
      <w:pPr>
        <w:pStyle w:val="Testonotaapidipagina"/>
        <w:ind w:firstLine="709"/>
        <w:jc w:val="both"/>
        <w:rPr>
          <w:rFonts w:ascii="Garamond" w:hAnsi="Garamond"/>
          <w:sz w:val="24"/>
          <w:szCs w:val="24"/>
        </w:rPr>
      </w:pPr>
    </w:p>
  </w:footnote>
  <w:footnote w:id="40">
    <w:p w:rsidR="008975A7" w:rsidRPr="00F77070" w:rsidRDefault="008975A7" w:rsidP="00CF6680">
      <w:pPr>
        <w:pStyle w:val="Testonotaapidipagina"/>
        <w:ind w:firstLine="709"/>
        <w:rPr>
          <w:rFonts w:ascii="Garamond" w:hAnsi="Garamond"/>
          <w:sz w:val="24"/>
          <w:szCs w:val="24"/>
          <w:lang w:val="en-US"/>
        </w:rPr>
      </w:pPr>
      <w:r w:rsidRPr="00CF6680">
        <w:rPr>
          <w:rStyle w:val="Rimandonotaapidipagina"/>
          <w:rFonts w:ascii="Garamond" w:hAnsi="Garamond"/>
          <w:sz w:val="24"/>
          <w:szCs w:val="24"/>
        </w:rPr>
        <w:footnoteRef/>
      </w:r>
      <w:r w:rsidRPr="00F77070">
        <w:rPr>
          <w:rFonts w:ascii="Garamond" w:hAnsi="Garamond"/>
          <w:sz w:val="24"/>
          <w:szCs w:val="24"/>
          <w:lang w:val="en-US"/>
        </w:rPr>
        <w:t xml:space="preserve"> </w:t>
      </w:r>
      <w:r w:rsidRPr="00F77070">
        <w:rPr>
          <w:rFonts w:ascii="Garamond" w:hAnsi="Garamond" w:cs="Times New Roman"/>
          <w:sz w:val="24"/>
          <w:szCs w:val="24"/>
          <w:lang w:val="en-US"/>
        </w:rPr>
        <w:t>Cons. St.,</w:t>
      </w:r>
      <w:r w:rsidR="00C65EA6" w:rsidRPr="00F77070">
        <w:rPr>
          <w:rFonts w:ascii="Garamond" w:hAnsi="Garamond" w:cs="Times New Roman"/>
          <w:sz w:val="24"/>
          <w:szCs w:val="24"/>
          <w:lang w:val="en-US"/>
        </w:rPr>
        <w:t xml:space="preserve"> </w:t>
      </w:r>
      <w:proofErr w:type="spellStart"/>
      <w:r w:rsidR="00C010D5">
        <w:rPr>
          <w:rFonts w:ascii="Garamond" w:hAnsi="Garamond" w:cs="Times New Roman"/>
          <w:sz w:val="24"/>
          <w:szCs w:val="24"/>
          <w:lang w:val="en-US"/>
        </w:rPr>
        <w:t>sez</w:t>
      </w:r>
      <w:proofErr w:type="spellEnd"/>
      <w:r w:rsidR="00C010D5">
        <w:rPr>
          <w:rFonts w:ascii="Garamond" w:hAnsi="Garamond" w:cs="Times New Roman"/>
          <w:sz w:val="24"/>
          <w:szCs w:val="24"/>
          <w:lang w:val="en-US"/>
        </w:rPr>
        <w:t>.</w:t>
      </w:r>
      <w:r w:rsidR="00C65EA6" w:rsidRPr="00F77070">
        <w:rPr>
          <w:rFonts w:ascii="Garamond" w:hAnsi="Garamond" w:cs="Times New Roman"/>
          <w:sz w:val="24"/>
          <w:szCs w:val="24"/>
          <w:lang w:val="en-US"/>
        </w:rPr>
        <w:t xml:space="preserve"> III,</w:t>
      </w:r>
      <w:r w:rsidR="00751AE4" w:rsidRPr="00F77070">
        <w:rPr>
          <w:rFonts w:ascii="Garamond" w:hAnsi="Garamond" w:cs="Times New Roman"/>
          <w:sz w:val="24"/>
          <w:szCs w:val="24"/>
          <w:lang w:val="en-US"/>
        </w:rPr>
        <w:t xml:space="preserve"> 22 </w:t>
      </w:r>
      <w:proofErr w:type="spellStart"/>
      <w:r w:rsidR="00751AE4" w:rsidRPr="00F77070">
        <w:rPr>
          <w:rFonts w:ascii="Garamond" w:hAnsi="Garamond" w:cs="Times New Roman"/>
          <w:sz w:val="24"/>
          <w:szCs w:val="24"/>
          <w:lang w:val="en-US"/>
        </w:rPr>
        <w:t>febbraio</w:t>
      </w:r>
      <w:proofErr w:type="spellEnd"/>
      <w:r w:rsidR="00751AE4" w:rsidRPr="00F77070">
        <w:rPr>
          <w:rFonts w:ascii="Garamond" w:hAnsi="Garamond" w:cs="Times New Roman"/>
          <w:sz w:val="24"/>
          <w:szCs w:val="24"/>
          <w:lang w:val="en-US"/>
        </w:rPr>
        <w:t xml:space="preserve"> 2018,</w:t>
      </w:r>
      <w:r w:rsidRPr="00F77070">
        <w:rPr>
          <w:rFonts w:ascii="Garamond" w:hAnsi="Garamond" w:cs="Times New Roman"/>
          <w:sz w:val="24"/>
          <w:szCs w:val="24"/>
          <w:lang w:val="en-US"/>
        </w:rPr>
        <w:t xml:space="preserve"> n. 1108</w:t>
      </w:r>
      <w:r w:rsidR="00751AE4" w:rsidRPr="00F77070">
        <w:rPr>
          <w:rFonts w:ascii="Garamond" w:hAnsi="Garamond" w:cs="Times New Roman"/>
          <w:sz w:val="24"/>
          <w:szCs w:val="24"/>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C17"/>
    <w:multiLevelType w:val="hybridMultilevel"/>
    <w:tmpl w:val="3BDE01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BC3A9E"/>
    <w:multiLevelType w:val="hybridMultilevel"/>
    <w:tmpl w:val="D95EAD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3C6B0E"/>
    <w:multiLevelType w:val="hybridMultilevel"/>
    <w:tmpl w:val="8028F8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EAA4A21"/>
    <w:multiLevelType w:val="hybridMultilevel"/>
    <w:tmpl w:val="3C0CEB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9D64F6A"/>
    <w:multiLevelType w:val="hybridMultilevel"/>
    <w:tmpl w:val="908CE280"/>
    <w:lvl w:ilvl="0" w:tplc="1F98770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4B"/>
    <w:rsid w:val="000058D3"/>
    <w:rsid w:val="00005B8D"/>
    <w:rsid w:val="0001100E"/>
    <w:rsid w:val="00020D8C"/>
    <w:rsid w:val="00036097"/>
    <w:rsid w:val="00036506"/>
    <w:rsid w:val="00040703"/>
    <w:rsid w:val="00044C79"/>
    <w:rsid w:val="00096CAC"/>
    <w:rsid w:val="000A1A29"/>
    <w:rsid w:val="000A34DC"/>
    <w:rsid w:val="000D5BBA"/>
    <w:rsid w:val="000D7FC8"/>
    <w:rsid w:val="00106EEB"/>
    <w:rsid w:val="00131A5B"/>
    <w:rsid w:val="00172275"/>
    <w:rsid w:val="00174F38"/>
    <w:rsid w:val="001757CC"/>
    <w:rsid w:val="00180A4F"/>
    <w:rsid w:val="001810A6"/>
    <w:rsid w:val="0018570D"/>
    <w:rsid w:val="00190B22"/>
    <w:rsid w:val="00191036"/>
    <w:rsid w:val="001B3048"/>
    <w:rsid w:val="001D4C31"/>
    <w:rsid w:val="001D7AAB"/>
    <w:rsid w:val="001E2F74"/>
    <w:rsid w:val="001F250C"/>
    <w:rsid w:val="002030AE"/>
    <w:rsid w:val="00206362"/>
    <w:rsid w:val="0021094B"/>
    <w:rsid w:val="00217155"/>
    <w:rsid w:val="002313E5"/>
    <w:rsid w:val="002323B1"/>
    <w:rsid w:val="00235FBF"/>
    <w:rsid w:val="00244B84"/>
    <w:rsid w:val="0025087F"/>
    <w:rsid w:val="00271538"/>
    <w:rsid w:val="00290ACA"/>
    <w:rsid w:val="0029427B"/>
    <w:rsid w:val="00297188"/>
    <w:rsid w:val="002A5D70"/>
    <w:rsid w:val="002A6C19"/>
    <w:rsid w:val="002B24EA"/>
    <w:rsid w:val="002B6A42"/>
    <w:rsid w:val="002C1C45"/>
    <w:rsid w:val="002C320C"/>
    <w:rsid w:val="002D2874"/>
    <w:rsid w:val="002E0CE7"/>
    <w:rsid w:val="002E5327"/>
    <w:rsid w:val="00306303"/>
    <w:rsid w:val="00313639"/>
    <w:rsid w:val="0033320E"/>
    <w:rsid w:val="00343FCB"/>
    <w:rsid w:val="0034565B"/>
    <w:rsid w:val="003463AC"/>
    <w:rsid w:val="0035088C"/>
    <w:rsid w:val="00354DE1"/>
    <w:rsid w:val="00365486"/>
    <w:rsid w:val="00381BC7"/>
    <w:rsid w:val="003847BA"/>
    <w:rsid w:val="0039127F"/>
    <w:rsid w:val="003928C4"/>
    <w:rsid w:val="003A0196"/>
    <w:rsid w:val="003B1865"/>
    <w:rsid w:val="003B6017"/>
    <w:rsid w:val="003C0B3A"/>
    <w:rsid w:val="00405279"/>
    <w:rsid w:val="00432AA6"/>
    <w:rsid w:val="00450F21"/>
    <w:rsid w:val="004601D7"/>
    <w:rsid w:val="004632FE"/>
    <w:rsid w:val="00483E64"/>
    <w:rsid w:val="00496637"/>
    <w:rsid w:val="004C0650"/>
    <w:rsid w:val="004C6CA2"/>
    <w:rsid w:val="004D4B87"/>
    <w:rsid w:val="004E3688"/>
    <w:rsid w:val="00504364"/>
    <w:rsid w:val="005063A1"/>
    <w:rsid w:val="00544EEA"/>
    <w:rsid w:val="00547671"/>
    <w:rsid w:val="00574346"/>
    <w:rsid w:val="005877D5"/>
    <w:rsid w:val="00587B06"/>
    <w:rsid w:val="005B0B0D"/>
    <w:rsid w:val="005C0195"/>
    <w:rsid w:val="005D2194"/>
    <w:rsid w:val="005D3E84"/>
    <w:rsid w:val="005D6BFD"/>
    <w:rsid w:val="005E6A21"/>
    <w:rsid w:val="005F59A6"/>
    <w:rsid w:val="0060048D"/>
    <w:rsid w:val="006071FA"/>
    <w:rsid w:val="0061425E"/>
    <w:rsid w:val="00632231"/>
    <w:rsid w:val="00634D94"/>
    <w:rsid w:val="00644C57"/>
    <w:rsid w:val="00651194"/>
    <w:rsid w:val="006560E4"/>
    <w:rsid w:val="0067440B"/>
    <w:rsid w:val="00684A88"/>
    <w:rsid w:val="006970F9"/>
    <w:rsid w:val="006C3E01"/>
    <w:rsid w:val="006D5E9B"/>
    <w:rsid w:val="006E58E7"/>
    <w:rsid w:val="006E70C1"/>
    <w:rsid w:val="006F6299"/>
    <w:rsid w:val="007065DB"/>
    <w:rsid w:val="00707FF9"/>
    <w:rsid w:val="007102BA"/>
    <w:rsid w:val="00715D70"/>
    <w:rsid w:val="00725511"/>
    <w:rsid w:val="0072721E"/>
    <w:rsid w:val="00727655"/>
    <w:rsid w:val="007371A8"/>
    <w:rsid w:val="00742A82"/>
    <w:rsid w:val="00751AE4"/>
    <w:rsid w:val="007567F3"/>
    <w:rsid w:val="00757D20"/>
    <w:rsid w:val="00771D31"/>
    <w:rsid w:val="0077767C"/>
    <w:rsid w:val="00784F14"/>
    <w:rsid w:val="0078665A"/>
    <w:rsid w:val="00791049"/>
    <w:rsid w:val="007B0653"/>
    <w:rsid w:val="007E3CC3"/>
    <w:rsid w:val="007E6251"/>
    <w:rsid w:val="007F5CF6"/>
    <w:rsid w:val="00814EE7"/>
    <w:rsid w:val="008226E8"/>
    <w:rsid w:val="00823B94"/>
    <w:rsid w:val="00851139"/>
    <w:rsid w:val="00852EB4"/>
    <w:rsid w:val="00870847"/>
    <w:rsid w:val="0087193E"/>
    <w:rsid w:val="00875B50"/>
    <w:rsid w:val="0088714F"/>
    <w:rsid w:val="008954A4"/>
    <w:rsid w:val="008975A7"/>
    <w:rsid w:val="008A2DF8"/>
    <w:rsid w:val="008A55A5"/>
    <w:rsid w:val="008A77D9"/>
    <w:rsid w:val="008B0C1C"/>
    <w:rsid w:val="008B15B8"/>
    <w:rsid w:val="008B5F3D"/>
    <w:rsid w:val="008D0570"/>
    <w:rsid w:val="008D5EEC"/>
    <w:rsid w:val="0090346E"/>
    <w:rsid w:val="00907D1D"/>
    <w:rsid w:val="0091132C"/>
    <w:rsid w:val="00927837"/>
    <w:rsid w:val="00950E9D"/>
    <w:rsid w:val="0095326D"/>
    <w:rsid w:val="00974AD3"/>
    <w:rsid w:val="009765C7"/>
    <w:rsid w:val="00993D00"/>
    <w:rsid w:val="009A098E"/>
    <w:rsid w:val="009A1980"/>
    <w:rsid w:val="009A472A"/>
    <w:rsid w:val="009D489B"/>
    <w:rsid w:val="009E0C40"/>
    <w:rsid w:val="00A214B9"/>
    <w:rsid w:val="00A40B91"/>
    <w:rsid w:val="00A46A62"/>
    <w:rsid w:val="00A530F4"/>
    <w:rsid w:val="00A54A8B"/>
    <w:rsid w:val="00A60AC4"/>
    <w:rsid w:val="00A65BB8"/>
    <w:rsid w:val="00A9593E"/>
    <w:rsid w:val="00AA24EB"/>
    <w:rsid w:val="00AB3C3E"/>
    <w:rsid w:val="00AB5BC7"/>
    <w:rsid w:val="00AC25A3"/>
    <w:rsid w:val="00AD4582"/>
    <w:rsid w:val="00AE524B"/>
    <w:rsid w:val="00AF7072"/>
    <w:rsid w:val="00B118FF"/>
    <w:rsid w:val="00B138AC"/>
    <w:rsid w:val="00B35112"/>
    <w:rsid w:val="00B404BC"/>
    <w:rsid w:val="00B45F62"/>
    <w:rsid w:val="00B47300"/>
    <w:rsid w:val="00B52913"/>
    <w:rsid w:val="00B80387"/>
    <w:rsid w:val="00B807F8"/>
    <w:rsid w:val="00B85401"/>
    <w:rsid w:val="00B93604"/>
    <w:rsid w:val="00B9548E"/>
    <w:rsid w:val="00B96260"/>
    <w:rsid w:val="00B97BF4"/>
    <w:rsid w:val="00BA192E"/>
    <w:rsid w:val="00BA666B"/>
    <w:rsid w:val="00BC1B40"/>
    <w:rsid w:val="00BD543E"/>
    <w:rsid w:val="00BF54E7"/>
    <w:rsid w:val="00BF7FAE"/>
    <w:rsid w:val="00C010D5"/>
    <w:rsid w:val="00C37C18"/>
    <w:rsid w:val="00C403AB"/>
    <w:rsid w:val="00C657FD"/>
    <w:rsid w:val="00C65EA6"/>
    <w:rsid w:val="00C706C4"/>
    <w:rsid w:val="00C81780"/>
    <w:rsid w:val="00C83DA0"/>
    <w:rsid w:val="00C84576"/>
    <w:rsid w:val="00C84607"/>
    <w:rsid w:val="00C91DC8"/>
    <w:rsid w:val="00C94B10"/>
    <w:rsid w:val="00CA7BED"/>
    <w:rsid w:val="00CA7DCD"/>
    <w:rsid w:val="00CB5C36"/>
    <w:rsid w:val="00CC1729"/>
    <w:rsid w:val="00CD0409"/>
    <w:rsid w:val="00CD3101"/>
    <w:rsid w:val="00CD541D"/>
    <w:rsid w:val="00CE39F2"/>
    <w:rsid w:val="00CF2981"/>
    <w:rsid w:val="00CF3553"/>
    <w:rsid w:val="00CF6680"/>
    <w:rsid w:val="00D04DE3"/>
    <w:rsid w:val="00D177DF"/>
    <w:rsid w:val="00D26DA2"/>
    <w:rsid w:val="00D345F4"/>
    <w:rsid w:val="00D614AE"/>
    <w:rsid w:val="00D7048D"/>
    <w:rsid w:val="00D725C6"/>
    <w:rsid w:val="00D77388"/>
    <w:rsid w:val="00D8148D"/>
    <w:rsid w:val="00D864C5"/>
    <w:rsid w:val="00DA7F3E"/>
    <w:rsid w:val="00DB7DE1"/>
    <w:rsid w:val="00DC0D02"/>
    <w:rsid w:val="00DC2E51"/>
    <w:rsid w:val="00DD7B2D"/>
    <w:rsid w:val="00DE4D9F"/>
    <w:rsid w:val="00DF5485"/>
    <w:rsid w:val="00E1694E"/>
    <w:rsid w:val="00E226F5"/>
    <w:rsid w:val="00E325B0"/>
    <w:rsid w:val="00E422A4"/>
    <w:rsid w:val="00E443C5"/>
    <w:rsid w:val="00E463AA"/>
    <w:rsid w:val="00E67E5C"/>
    <w:rsid w:val="00E76B61"/>
    <w:rsid w:val="00E87B4D"/>
    <w:rsid w:val="00EB09BF"/>
    <w:rsid w:val="00ED4D2B"/>
    <w:rsid w:val="00EF053A"/>
    <w:rsid w:val="00F00176"/>
    <w:rsid w:val="00F02A5F"/>
    <w:rsid w:val="00F11FF7"/>
    <w:rsid w:val="00F1270B"/>
    <w:rsid w:val="00F16696"/>
    <w:rsid w:val="00F24B22"/>
    <w:rsid w:val="00F62A68"/>
    <w:rsid w:val="00F77070"/>
    <w:rsid w:val="00F903BC"/>
    <w:rsid w:val="00FC06A3"/>
    <w:rsid w:val="00FC1EAA"/>
    <w:rsid w:val="00FC3500"/>
    <w:rsid w:val="00FC5454"/>
    <w:rsid w:val="00FD49B8"/>
    <w:rsid w:val="00FD5639"/>
    <w:rsid w:val="00FD7EA5"/>
    <w:rsid w:val="00FE6B92"/>
    <w:rsid w:val="00FF02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B864"/>
  <w15:chartTrackingRefBased/>
  <w15:docId w15:val="{9A9E2898-22B7-144C-A891-7C758FD3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751A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751AE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1094B"/>
    <w:pPr>
      <w:ind w:left="720"/>
      <w:contextualSpacing/>
    </w:pPr>
  </w:style>
  <w:style w:type="paragraph" w:styleId="Testonotaapidipagina">
    <w:name w:val="footnote text"/>
    <w:basedOn w:val="Normale"/>
    <w:link w:val="TestonotaapidipaginaCarattere"/>
    <w:uiPriority w:val="99"/>
    <w:semiHidden/>
    <w:unhideWhenUsed/>
    <w:rsid w:val="0033320E"/>
    <w:rPr>
      <w:sz w:val="20"/>
      <w:szCs w:val="20"/>
    </w:rPr>
  </w:style>
  <w:style w:type="character" w:customStyle="1" w:styleId="TestonotaapidipaginaCarattere">
    <w:name w:val="Testo nota a piè di pagina Carattere"/>
    <w:basedOn w:val="Carpredefinitoparagrafo"/>
    <w:link w:val="Testonotaapidipagina"/>
    <w:uiPriority w:val="99"/>
    <w:semiHidden/>
    <w:rsid w:val="0033320E"/>
    <w:rPr>
      <w:sz w:val="20"/>
      <w:szCs w:val="20"/>
    </w:rPr>
  </w:style>
  <w:style w:type="character" w:styleId="Rimandonotaapidipagina">
    <w:name w:val="footnote reference"/>
    <w:basedOn w:val="Carpredefinitoparagrafo"/>
    <w:uiPriority w:val="99"/>
    <w:unhideWhenUsed/>
    <w:rsid w:val="0033320E"/>
    <w:rPr>
      <w:vertAlign w:val="superscript"/>
    </w:rPr>
  </w:style>
  <w:style w:type="paragraph" w:styleId="Pidipagina">
    <w:name w:val="footer"/>
    <w:basedOn w:val="Normale"/>
    <w:link w:val="PidipaginaCarattere"/>
    <w:uiPriority w:val="99"/>
    <w:unhideWhenUsed/>
    <w:rsid w:val="006560E4"/>
    <w:pPr>
      <w:tabs>
        <w:tab w:val="center" w:pos="4819"/>
        <w:tab w:val="right" w:pos="9638"/>
      </w:tabs>
    </w:pPr>
  </w:style>
  <w:style w:type="character" w:customStyle="1" w:styleId="PidipaginaCarattere">
    <w:name w:val="Piè di pagina Carattere"/>
    <w:basedOn w:val="Carpredefinitoparagrafo"/>
    <w:link w:val="Pidipagina"/>
    <w:uiPriority w:val="99"/>
    <w:rsid w:val="006560E4"/>
  </w:style>
  <w:style w:type="character" w:styleId="Numeropagina">
    <w:name w:val="page number"/>
    <w:basedOn w:val="Carpredefinitoparagrafo"/>
    <w:uiPriority w:val="99"/>
    <w:semiHidden/>
    <w:unhideWhenUsed/>
    <w:rsid w:val="006560E4"/>
  </w:style>
  <w:style w:type="character" w:styleId="Enfasicorsivo">
    <w:name w:val="Emphasis"/>
    <w:basedOn w:val="Carpredefinitoparagrafo"/>
    <w:uiPriority w:val="20"/>
    <w:qFormat/>
    <w:rsid w:val="00CF2981"/>
    <w:rPr>
      <w:i/>
      <w:iCs/>
    </w:rPr>
  </w:style>
  <w:style w:type="character" w:customStyle="1" w:styleId="apple-converted-space">
    <w:name w:val="apple-converted-space"/>
    <w:basedOn w:val="Carpredefinitoparagrafo"/>
    <w:rsid w:val="00CF2981"/>
  </w:style>
  <w:style w:type="character" w:styleId="Collegamentoipertestuale">
    <w:name w:val="Hyperlink"/>
    <w:basedOn w:val="Carpredefinitoparagrafo"/>
    <w:uiPriority w:val="99"/>
    <w:unhideWhenUsed/>
    <w:rsid w:val="00751AE4"/>
    <w:rPr>
      <w:color w:val="0563C1" w:themeColor="hyperlink"/>
      <w:u w:val="single"/>
    </w:rPr>
  </w:style>
  <w:style w:type="paragraph" w:styleId="Nessunaspaziatura">
    <w:name w:val="No Spacing"/>
    <w:uiPriority w:val="1"/>
    <w:qFormat/>
    <w:rsid w:val="00751AE4"/>
  </w:style>
  <w:style w:type="character" w:customStyle="1" w:styleId="Titolo1Carattere">
    <w:name w:val="Titolo 1 Carattere"/>
    <w:basedOn w:val="Carpredefinitoparagrafo"/>
    <w:link w:val="Titolo1"/>
    <w:uiPriority w:val="9"/>
    <w:rsid w:val="00751AE4"/>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751AE4"/>
    <w:rPr>
      <w:rFonts w:asciiTheme="majorHAnsi" w:eastAsiaTheme="majorEastAsia" w:hAnsiTheme="majorHAnsi" w:cstheme="majorBidi"/>
      <w:color w:val="2F5496" w:themeColor="accent1" w:themeShade="BF"/>
      <w:sz w:val="26"/>
      <w:szCs w:val="26"/>
    </w:rPr>
  </w:style>
  <w:style w:type="paragraph" w:styleId="Sottotitolo">
    <w:name w:val="Subtitle"/>
    <w:basedOn w:val="Normale"/>
    <w:next w:val="Normale"/>
    <w:link w:val="SottotitoloCarattere"/>
    <w:uiPriority w:val="11"/>
    <w:qFormat/>
    <w:rsid w:val="00751AE4"/>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751AE4"/>
    <w:rPr>
      <w:rFonts w:eastAsiaTheme="minorEastAsia"/>
      <w:color w:val="5A5A5A" w:themeColor="text1" w:themeTint="A5"/>
      <w:spacing w:val="15"/>
      <w:sz w:val="22"/>
      <w:szCs w:val="22"/>
    </w:rPr>
  </w:style>
  <w:style w:type="character" w:styleId="Enfasidelicata">
    <w:name w:val="Subtle Emphasis"/>
    <w:basedOn w:val="Carpredefinitoparagrafo"/>
    <w:uiPriority w:val="19"/>
    <w:qFormat/>
    <w:rsid w:val="00751AE4"/>
    <w:rPr>
      <w:i/>
      <w:iCs/>
      <w:color w:val="404040" w:themeColor="text1" w:themeTint="BF"/>
    </w:rPr>
  </w:style>
  <w:style w:type="character" w:styleId="Enfasiintensa">
    <w:name w:val="Intense Emphasis"/>
    <w:basedOn w:val="Carpredefinitoparagrafo"/>
    <w:uiPriority w:val="21"/>
    <w:qFormat/>
    <w:rsid w:val="00751AE4"/>
    <w:rPr>
      <w:i/>
      <w:iCs/>
      <w:color w:val="4472C4" w:themeColor="accent1"/>
    </w:rPr>
  </w:style>
  <w:style w:type="character" w:styleId="Riferimentodelicato">
    <w:name w:val="Subtle Reference"/>
    <w:basedOn w:val="Carpredefinitoparagrafo"/>
    <w:uiPriority w:val="31"/>
    <w:qFormat/>
    <w:rsid w:val="00751AE4"/>
    <w:rPr>
      <w:smallCaps/>
      <w:color w:val="5A5A5A" w:themeColor="text1" w:themeTint="A5"/>
    </w:rPr>
  </w:style>
  <w:style w:type="paragraph" w:styleId="Citazione">
    <w:name w:val="Quote"/>
    <w:basedOn w:val="Normale"/>
    <w:next w:val="Normale"/>
    <w:link w:val="CitazioneCarattere"/>
    <w:uiPriority w:val="29"/>
    <w:qFormat/>
    <w:rsid w:val="00751AE4"/>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751AE4"/>
    <w:rPr>
      <w:i/>
      <w:iCs/>
      <w:color w:val="404040" w:themeColor="text1" w:themeTint="BF"/>
    </w:rPr>
  </w:style>
  <w:style w:type="character" w:styleId="Enfasigrassetto">
    <w:name w:val="Strong"/>
    <w:basedOn w:val="Carpredefinitoparagrafo"/>
    <w:uiPriority w:val="22"/>
    <w:qFormat/>
    <w:rsid w:val="00751AE4"/>
    <w:rPr>
      <w:b/>
      <w:bCs/>
    </w:rPr>
  </w:style>
  <w:style w:type="character" w:styleId="Titolodellibro">
    <w:name w:val="Book Title"/>
    <w:basedOn w:val="Carpredefinitoparagrafo"/>
    <w:uiPriority w:val="33"/>
    <w:qFormat/>
    <w:rsid w:val="00751AE4"/>
    <w:rPr>
      <w:b/>
      <w:bCs/>
      <w:i/>
      <w:iCs/>
      <w:spacing w:val="5"/>
    </w:rPr>
  </w:style>
  <w:style w:type="character" w:styleId="Riferimentointenso">
    <w:name w:val="Intense Reference"/>
    <w:basedOn w:val="Carpredefinitoparagrafo"/>
    <w:uiPriority w:val="32"/>
    <w:qFormat/>
    <w:rsid w:val="00751AE4"/>
    <w:rPr>
      <w:b/>
      <w:bCs/>
      <w:smallCaps/>
      <w:color w:val="4472C4" w:themeColor="accent1"/>
      <w:spacing w:val="5"/>
    </w:rPr>
  </w:style>
  <w:style w:type="paragraph" w:styleId="Titolo">
    <w:name w:val="Title"/>
    <w:basedOn w:val="Normale"/>
    <w:next w:val="Normale"/>
    <w:link w:val="TitoloCarattere"/>
    <w:uiPriority w:val="10"/>
    <w:qFormat/>
    <w:rsid w:val="00751AE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1AE4"/>
    <w:rPr>
      <w:rFonts w:asciiTheme="majorHAnsi" w:eastAsiaTheme="majorEastAsia" w:hAnsiTheme="majorHAnsi" w:cstheme="majorBidi"/>
      <w:spacing w:val="-10"/>
      <w:kern w:val="28"/>
      <w:sz w:val="56"/>
      <w:szCs w:val="56"/>
    </w:rPr>
  </w:style>
  <w:style w:type="character" w:styleId="Collegamentovisitato">
    <w:name w:val="FollowedHyperlink"/>
    <w:basedOn w:val="Carpredefinitoparagrafo"/>
    <w:uiPriority w:val="99"/>
    <w:semiHidden/>
    <w:unhideWhenUsed/>
    <w:rsid w:val="00751AE4"/>
    <w:rPr>
      <w:color w:val="954F72" w:themeColor="followedHyperlink"/>
      <w:u w:val="single"/>
    </w:rPr>
  </w:style>
  <w:style w:type="character" w:customStyle="1" w:styleId="UnresolvedMention">
    <w:name w:val="Unresolved Mention"/>
    <w:basedOn w:val="Carpredefinitoparagrafo"/>
    <w:uiPriority w:val="99"/>
    <w:semiHidden/>
    <w:unhideWhenUsed/>
    <w:rsid w:val="00751AE4"/>
    <w:rPr>
      <w:color w:val="605E5C"/>
      <w:shd w:val="clear" w:color="auto" w:fill="E1DFDD"/>
    </w:rPr>
  </w:style>
  <w:style w:type="paragraph" w:customStyle="1" w:styleId="sentnormal">
    <w:name w:val="sent_normal"/>
    <w:basedOn w:val="Normale"/>
    <w:rsid w:val="00297188"/>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99765">
      <w:bodyDiv w:val="1"/>
      <w:marLeft w:val="0"/>
      <w:marRight w:val="0"/>
      <w:marTop w:val="0"/>
      <w:marBottom w:val="0"/>
      <w:divBdr>
        <w:top w:val="none" w:sz="0" w:space="0" w:color="auto"/>
        <w:left w:val="none" w:sz="0" w:space="0" w:color="auto"/>
        <w:bottom w:val="none" w:sz="0" w:space="0" w:color="auto"/>
        <w:right w:val="none" w:sz="0" w:space="0" w:color="auto"/>
      </w:divBdr>
    </w:div>
    <w:div w:id="364991667">
      <w:bodyDiv w:val="1"/>
      <w:marLeft w:val="0"/>
      <w:marRight w:val="0"/>
      <w:marTop w:val="0"/>
      <w:marBottom w:val="0"/>
      <w:divBdr>
        <w:top w:val="none" w:sz="0" w:space="0" w:color="auto"/>
        <w:left w:val="none" w:sz="0" w:space="0" w:color="auto"/>
        <w:bottom w:val="none" w:sz="0" w:space="0" w:color="auto"/>
        <w:right w:val="none" w:sz="0" w:space="0" w:color="auto"/>
      </w:divBdr>
    </w:div>
    <w:div w:id="1163546718">
      <w:bodyDiv w:val="1"/>
      <w:marLeft w:val="0"/>
      <w:marRight w:val="0"/>
      <w:marTop w:val="0"/>
      <w:marBottom w:val="0"/>
      <w:divBdr>
        <w:top w:val="none" w:sz="0" w:space="0" w:color="auto"/>
        <w:left w:val="none" w:sz="0" w:space="0" w:color="auto"/>
        <w:bottom w:val="none" w:sz="0" w:space="0" w:color="auto"/>
        <w:right w:val="none" w:sz="0" w:space="0" w:color="auto"/>
      </w:divBdr>
    </w:div>
    <w:div w:id="1859611628">
      <w:bodyDiv w:val="1"/>
      <w:marLeft w:val="0"/>
      <w:marRight w:val="0"/>
      <w:marTop w:val="0"/>
      <w:marBottom w:val="0"/>
      <w:divBdr>
        <w:top w:val="none" w:sz="0" w:space="0" w:color="auto"/>
        <w:left w:val="none" w:sz="0" w:space="0" w:color="auto"/>
        <w:bottom w:val="none" w:sz="0" w:space="0" w:color="auto"/>
        <w:right w:val="none" w:sz="0" w:space="0" w:color="auto"/>
      </w:divBdr>
    </w:div>
    <w:div w:id="18932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federalismi.it" TargetMode="External"/><Relationship Id="rId2" Type="http://schemas.openxmlformats.org/officeDocument/2006/relationships/hyperlink" Target="http://www.giustizia.amministrativa.it" TargetMode="External"/><Relationship Id="rId1" Type="http://schemas.openxmlformats.org/officeDocument/2006/relationships/hyperlink" Target="http://www.dirittopenalecontemporaneo.it" TargetMode="External"/><Relationship Id="rId5" Type="http://schemas.openxmlformats.org/officeDocument/2006/relationships/hyperlink" Target="http://www.giustizia-amministrativa.it" TargetMode="External"/><Relationship Id="rId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EFE6-C81A-41FD-8EA3-BF7BE4DC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4552</Words>
  <Characters>25953</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villanacci</dc:creator>
  <cp:keywords/>
  <dc:description/>
  <cp:lastModifiedBy>FERRARI Giulia</cp:lastModifiedBy>
  <cp:revision>17</cp:revision>
  <dcterms:created xsi:type="dcterms:W3CDTF">2020-11-30T20:16:00Z</dcterms:created>
  <dcterms:modified xsi:type="dcterms:W3CDTF">2020-12-03T06:55:00Z</dcterms:modified>
</cp:coreProperties>
</file>