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A9" w:rsidRPr="00791BAF" w:rsidRDefault="00EF58A9" w:rsidP="00EF58A9">
      <w:pPr>
        <w:jc w:val="center"/>
        <w:rPr>
          <w:b/>
        </w:rPr>
      </w:pPr>
      <w:bookmarkStart w:id="0" w:name="_GoBack"/>
      <w:bookmarkEnd w:id="0"/>
      <w:r w:rsidRPr="00791BAF">
        <w:rPr>
          <w:b/>
        </w:rPr>
        <w:t>La sentenza della Corte di Giustizia dell’Unione europea, Prima Sezione, 28 maggio 2020, in causa C-535/18: brevi note a primissima lettura</w:t>
      </w:r>
    </w:p>
    <w:p w:rsidR="007E2292" w:rsidRDefault="007E2292"/>
    <w:p w:rsidR="007E2292" w:rsidRDefault="007E2292" w:rsidP="007E2292">
      <w:pPr>
        <w:jc w:val="both"/>
      </w:pPr>
      <w:r>
        <w:t xml:space="preserve">La Corte </w:t>
      </w:r>
      <w:r w:rsidR="00791BAF">
        <w:t xml:space="preserve">di Giustizia </w:t>
      </w:r>
      <w:r w:rsidR="00EF58A9" w:rsidRPr="00EF58A9">
        <w:t>Corte di Giustizia dell’Unione europea, Prima Sezione, 28 maggio 2020, in causa C-535/18</w:t>
      </w:r>
      <w:r w:rsidR="00EF58A9">
        <w:rPr>
          <w:rStyle w:val="Rimandonotaapidipagina"/>
        </w:rPr>
        <w:footnoteReference w:id="1"/>
      </w:r>
      <w:r w:rsidR="00EF58A9">
        <w:t xml:space="preserve"> </w:t>
      </w:r>
      <w:r>
        <w:t xml:space="preserve">si </w:t>
      </w:r>
      <w:r w:rsidR="00791BAF">
        <w:t xml:space="preserve">è trovata </w:t>
      </w:r>
      <w:r>
        <w:t>trova ad affrontare quattro questioni pregiudiziali, su rinvio del giudice amministrativo tedesco, in materia ambientale (in particolare, di partecipazione ai procedimenti di valutazione di impatto ambientale,</w:t>
      </w:r>
      <w:r w:rsidR="00872DB6">
        <w:t xml:space="preserve"> di accesso alla giustizia</w:t>
      </w:r>
      <w:r>
        <w:t xml:space="preserve"> e di controllo sul deterioramento dei corpi idrici interessati da un progetto autorizzato</w:t>
      </w:r>
      <w:r w:rsidR="00791BAF">
        <w:t>)</w:t>
      </w:r>
      <w:r>
        <w:t>.</w:t>
      </w:r>
    </w:p>
    <w:p w:rsidR="007E2292" w:rsidRDefault="007E2292" w:rsidP="007E2292">
      <w:pPr>
        <w:jc w:val="both"/>
      </w:pPr>
      <w:r>
        <w:t>Sulla prima questione la Corte risponde al quesito nel senso che “</w:t>
      </w:r>
      <w:r w:rsidRPr="00791BAF">
        <w:rPr>
          <w:i/>
        </w:rPr>
        <w:t>L’articolo 11, paragrafo 1, lettera b), della direttiva 2011/92/UE del Parlamento europeo e del Consiglio, del 13 dicembre 2011, concernente la valutazione dell’impatto ambientale di determinati progetti pubblici e privati, deve essere interpretato nel senso che consente agli Stati membri di prevedere che, qualora un vizio procedurale che inficia la decisione di autorizzazione di un progetto non sia tale da modificarne il senso, la domanda di annullamento di tale decisione sia ricevibile soltanto se l’irregolarità di cui trattasi abbia privato il ricorrente del suo diritto di partecipare al processo decisionale in materia ambientale, garantito dall’articolo 6 di tale direttiva</w:t>
      </w:r>
      <w:r>
        <w:t>”.</w:t>
      </w:r>
    </w:p>
    <w:p w:rsidR="00773196" w:rsidRDefault="00773196" w:rsidP="007E2292">
      <w:pPr>
        <w:jc w:val="both"/>
      </w:pPr>
      <w:r>
        <w:t>Il §61 della motivazione chiarisce che il criterio discretivo per stabilire la compatibilità comunitaria dell’esclusione della ricevibilità del ricorso (in ragione della irrilevanza invalidante del vizio procedimentale) è quello della effettività della lesione dell’interesse partecipativo: “</w:t>
      </w:r>
      <w:r w:rsidRPr="00773196">
        <w:rPr>
          <w:i/>
        </w:rPr>
        <w:t>Il legislatore nazionale può, pertanto subordinare la ricevibilità di un ricorso di annullamento della decisione di autorizzazione di un progetto per vizio procedurale, laddove quest’ultimo non sia tale da modificare il senso di tale decisione, alla condizione che esso abbia effettivamente privato i ricorrenti del loro diritto di partecipare al processo decisionale</w:t>
      </w:r>
      <w:r>
        <w:t>”</w:t>
      </w:r>
      <w:r w:rsidRPr="00773196">
        <w:t>.</w:t>
      </w:r>
    </w:p>
    <w:p w:rsidR="007E2292" w:rsidRDefault="00773196" w:rsidP="00773196">
      <w:pPr>
        <w:jc w:val="both"/>
      </w:pPr>
      <w:r>
        <w:t xml:space="preserve">Ancorché la Corte si pronunci sul tema– processuale – della ricevibilità del ricorso, tale essendo il perimetro della questione </w:t>
      </w:r>
      <w:r w:rsidR="00872DB6">
        <w:t>come delineato</w:t>
      </w:r>
      <w:r>
        <w:t xml:space="preserve"> dal giudice </w:t>
      </w:r>
      <w:r w:rsidR="00872DB6">
        <w:t>rimettente</w:t>
      </w:r>
      <w:r>
        <w:t xml:space="preserve">, la soluzione adottata, e lo stesso modo di operare del criterio sopra richiamato, sono chiaramente individuati argomentando dalla </w:t>
      </w:r>
      <w:r w:rsidR="007E2292">
        <w:t>logica</w:t>
      </w:r>
      <w:r>
        <w:t xml:space="preserve"> – sostanziale  - </w:t>
      </w:r>
      <w:r w:rsidR="007E2292">
        <w:t xml:space="preserve"> dell’illegittimità non invalidante, che è alla base dell’art. 21-</w:t>
      </w:r>
      <w:r w:rsidR="007E2292" w:rsidRPr="00791BAF">
        <w:rPr>
          <w:i/>
        </w:rPr>
        <w:t>octies</w:t>
      </w:r>
      <w:r w:rsidR="007E2292">
        <w:t>, cpv. della legge n. 241/1990</w:t>
      </w:r>
      <w:r w:rsidR="00791BAF">
        <w:t xml:space="preserve">, come chiaramente precisa </w:t>
      </w:r>
      <w:r>
        <w:t xml:space="preserve">la sentenza </w:t>
      </w:r>
      <w:r w:rsidR="00791BAF">
        <w:t>al § 58:</w:t>
      </w:r>
      <w:r w:rsidR="007E2292">
        <w:t xml:space="preserve"> “</w:t>
      </w:r>
      <w:r w:rsidR="007E2292" w:rsidRPr="00791BAF">
        <w:rPr>
          <w:i/>
        </w:rPr>
        <w:t>quando un vizio procedurale non comporta conseguenze atte ad incidere sul senso della decisione impugnata, non si può ritenere che esso leda i diritti di colui che lo invoca</w:t>
      </w:r>
      <w:r w:rsidR="007E2292">
        <w:t>”.</w:t>
      </w:r>
    </w:p>
    <w:p w:rsidR="00C45735" w:rsidRDefault="007A1128" w:rsidP="007E2292">
      <w:pPr>
        <w:jc w:val="both"/>
      </w:pPr>
      <w:r>
        <w:t xml:space="preserve">Prima che venga </w:t>
      </w:r>
      <w:r w:rsidR="00791BAF">
        <w:t xml:space="preserve">salutata </w:t>
      </w:r>
      <w:r w:rsidR="006A0268">
        <w:t xml:space="preserve">- in un’epoca in cui i siti web </w:t>
      </w:r>
      <w:r w:rsidR="00773196">
        <w:t xml:space="preserve">che informano </w:t>
      </w:r>
      <w:r w:rsidR="006A0268">
        <w:t xml:space="preserve">sono certamente più </w:t>
      </w:r>
      <w:r w:rsidR="00872DB6">
        <w:t>frequentat</w:t>
      </w:r>
      <w:r w:rsidR="00773196">
        <w:t>i</w:t>
      </w:r>
      <w:r w:rsidR="006A0268">
        <w:t xml:space="preserve"> dei </w:t>
      </w:r>
      <w:r w:rsidR="00773196">
        <w:t>testi che formano</w:t>
      </w:r>
      <w:r w:rsidR="006A0268">
        <w:t xml:space="preserve"> </w:t>
      </w:r>
      <w:r w:rsidR="006A0268">
        <w:rPr>
          <w:rStyle w:val="Rimandonotaapidipagina"/>
        </w:rPr>
        <w:footnoteReference w:id="2"/>
      </w:r>
      <w:r w:rsidR="006A0268">
        <w:t xml:space="preserve"> - </w:t>
      </w:r>
      <w:r w:rsidR="00791BAF">
        <w:t xml:space="preserve">come </w:t>
      </w:r>
      <w:r>
        <w:t xml:space="preserve">una </w:t>
      </w:r>
      <w:r w:rsidR="00773196">
        <w:t>pronuncia innovativa d</w:t>
      </w:r>
      <w:r w:rsidR="006A0268">
        <w:t>el diritto “</w:t>
      </w:r>
      <w:proofErr w:type="spellStart"/>
      <w:r w:rsidR="006A0268">
        <w:t>eurounitario</w:t>
      </w:r>
      <w:proofErr w:type="spellEnd"/>
      <w:r w:rsidR="006A0268">
        <w:t>”</w:t>
      </w:r>
      <w:r>
        <w:t xml:space="preserve">, va subito detto che si tratta di una </w:t>
      </w:r>
      <w:r w:rsidR="00791BAF">
        <w:t xml:space="preserve">(felice) </w:t>
      </w:r>
      <w:r>
        <w:t>conferma</w:t>
      </w:r>
      <w:r w:rsidR="00791BAF">
        <w:t xml:space="preserve"> di </w:t>
      </w:r>
      <w:r w:rsidR="006A0268">
        <w:t>un principio che il diritto dell’Unione europea ha in realtà espresso da molto tempo</w:t>
      </w:r>
      <w:r w:rsidR="00C45735">
        <w:t>.</w:t>
      </w:r>
      <w:r w:rsidR="006A0268">
        <w:rPr>
          <w:rStyle w:val="Rimandonotaapidipagina"/>
        </w:rPr>
        <w:footnoteReference w:id="3"/>
      </w:r>
    </w:p>
    <w:p w:rsidR="007E2292" w:rsidRDefault="00C45735" w:rsidP="007A1128">
      <w:pPr>
        <w:jc w:val="both"/>
      </w:pPr>
      <w:r>
        <w:t xml:space="preserve">Si era infatti già da tempo osservato che </w:t>
      </w:r>
      <w:r w:rsidR="00791BAF">
        <w:t>la citata</w:t>
      </w:r>
      <w:r>
        <w:t xml:space="preserve"> disposizione</w:t>
      </w:r>
      <w:r w:rsidR="00791BAF">
        <w:t xml:space="preserve"> del diritto interno</w:t>
      </w:r>
      <w:r>
        <w:t xml:space="preserve"> “</w:t>
      </w:r>
      <w:r w:rsidRPr="00791BAF">
        <w:rPr>
          <w:i/>
        </w:rPr>
        <w:t>non nasce dal nulla, ma recepisce istanze già presenti nei percorsi della dottrina, e della giurisprudenza</w:t>
      </w:r>
      <w:r>
        <w:t>”</w:t>
      </w:r>
      <w:r w:rsidR="007A1128" w:rsidRPr="007A1128">
        <w:rPr>
          <w:rStyle w:val="Rimandonotaapidipagina"/>
        </w:rPr>
        <w:t xml:space="preserve"> </w:t>
      </w:r>
      <w:r w:rsidR="007A1128">
        <w:rPr>
          <w:rStyle w:val="Rimandonotaapidipagina"/>
        </w:rPr>
        <w:footnoteReference w:id="4"/>
      </w:r>
      <w:r>
        <w:t xml:space="preserve">; e, in particolare, che essa </w:t>
      </w:r>
      <w:r w:rsidR="007A1128">
        <w:t>“</w:t>
      </w:r>
      <w:r w:rsidR="007A1128" w:rsidRPr="00791BAF">
        <w:rPr>
          <w:i/>
        </w:rPr>
        <w:t>esprime una “regola sostanzialmente analoga” a quella adottata dall’ordinamento dell’Unione Europea. Il riferimento è all’art. 230 del Trattato CE, nella parte in cui indica fra i vizi degli atti comunitari denunciabili davanti alla Corte di Giustizia la “violazione delle forme sostanziali</w:t>
      </w:r>
      <w:r w:rsidR="007A1128">
        <w:t>”</w:t>
      </w:r>
      <w:r w:rsidR="007A1128">
        <w:rPr>
          <w:rStyle w:val="Rimandonotaapidipagina"/>
        </w:rPr>
        <w:footnoteReference w:id="5"/>
      </w:r>
      <w:r>
        <w:t>.</w:t>
      </w:r>
    </w:p>
    <w:p w:rsidR="00A96D9B" w:rsidRDefault="00A96D9B" w:rsidP="007A1128">
      <w:pPr>
        <w:jc w:val="both"/>
      </w:pPr>
      <w:r>
        <w:lastRenderedPageBreak/>
        <w:t xml:space="preserve">Il tema dell’accesso alla giustizia è invece oggetto diretto della quarta questione, relativa alla legittimazione processuale: questione che la Corte risolve con argomenti che riecheggiano </w:t>
      </w:r>
      <w:r w:rsidR="00AD7BA2">
        <w:t>categorie non dissimili rispetto a quelle che sono alla base del</w:t>
      </w:r>
      <w:r>
        <w:t xml:space="preserve"> criterio della </w:t>
      </w:r>
      <w:proofErr w:type="spellStart"/>
      <w:r w:rsidRPr="00A96D9B">
        <w:rPr>
          <w:i/>
        </w:rPr>
        <w:t>vicinitas</w:t>
      </w:r>
      <w:proofErr w:type="spellEnd"/>
      <w:r>
        <w:t xml:space="preserve"> elaborato in materia urbanistica.</w:t>
      </w:r>
      <w:r w:rsidR="00AD7BA2">
        <w:rPr>
          <w:rStyle w:val="Rimandonotaapidipagina"/>
        </w:rPr>
        <w:footnoteReference w:id="6"/>
      </w:r>
    </w:p>
    <w:p w:rsidR="007E2292" w:rsidRDefault="0029040C" w:rsidP="007E2292">
      <w:pPr>
        <w:jc w:val="both"/>
      </w:pPr>
      <w:r>
        <w:t xml:space="preserve">La seconda questione concerne </w:t>
      </w:r>
      <w:r w:rsidR="00A96D9B">
        <w:t xml:space="preserve">invece </w:t>
      </w:r>
      <w:r>
        <w:t>il carattere necessariamente preventivo, ovvero anche successivo, dell’autorizzazione a progetti che abbiano un impatto sulla qualità delle acque, ed è risolta dalla Corte nel senso che “</w:t>
      </w:r>
      <w:r w:rsidRPr="00791BAF">
        <w:rPr>
          <w:i/>
        </w:rPr>
        <w:t>l’articolo 4 della direttiva 2000/60 deve essere interpretato nel senso che osta a che l’autorità competente effettui il controllo del rispetto degli obblighi da esso previsti, tra i quali quello di impedire il deterioramento dello stato dei corpi idrici, sia superficiali sia sotterranei, interessati da un progetto, soltanto dopo l’autorizzazione dello stesso</w:t>
      </w:r>
      <w:r w:rsidR="00676FC7">
        <w:t>”.</w:t>
      </w:r>
    </w:p>
    <w:p w:rsidR="00676FC7" w:rsidRDefault="00676FC7" w:rsidP="007E2292">
      <w:pPr>
        <w:jc w:val="both"/>
      </w:pPr>
      <w:r>
        <w:t>Il § 78 della motivazione chiarisce in tal senso, richiamando peraltro giurisprudenza conforme, che “</w:t>
      </w:r>
      <w:r w:rsidRPr="00791BAF">
        <w:rPr>
          <w:i/>
        </w:rPr>
        <w:t>Il carattere preventivo di una tale valutazione è giustificato dalla necessità che, a livello di processo decisionale, l’autorità competente tenga conto il prima possibile delle ripercussioni sull’ambiente di tutti i processi tecnici di programmazione e di decisione, al fine di evitare fin dall’inizio inquinamenti e altre perturbazioni piuttosto che combatterne successivamente gli effetti</w:t>
      </w:r>
      <w:r>
        <w:t>”.</w:t>
      </w:r>
    </w:p>
    <w:p w:rsidR="00676FC7" w:rsidRDefault="00676FC7" w:rsidP="007E2292">
      <w:pPr>
        <w:jc w:val="both"/>
      </w:pPr>
      <w:r>
        <w:t>Anche qui, niente di nuovo sotto il sole.</w:t>
      </w:r>
    </w:p>
    <w:p w:rsidR="00676FC7" w:rsidRDefault="00676FC7" w:rsidP="007E2292">
      <w:pPr>
        <w:jc w:val="both"/>
      </w:pPr>
      <w:r>
        <w:t xml:space="preserve">Lo sfavore mostrato dal diritto comunitario nei confronti dell’autorizzazione, quale strumento di controllo preventivo (e condizionante) della compatibilità delle attività individuali con gli interessi superindividuali, recede di fronte all’esigenza di tutela preventiva dell’ambiente </w:t>
      </w:r>
      <w:r w:rsidR="00791BAF">
        <w:t>che costituisce un vero e proprio obbligo di risultato,</w:t>
      </w:r>
      <w:r w:rsidR="00791BAF">
        <w:rPr>
          <w:rStyle w:val="Rimandonotaapidipagina"/>
        </w:rPr>
        <w:footnoteReference w:id="7"/>
      </w:r>
      <w:r w:rsidR="00791BAF">
        <w:t xml:space="preserve"> nell’ambito del “</w:t>
      </w:r>
      <w:r w:rsidR="00791BAF" w:rsidRPr="00791BAF">
        <w:rPr>
          <w:i/>
        </w:rPr>
        <w:t>relativismo dei valori proprio dell’impronta pluralista che è attualmente alla base dell’ordinamento europeo in una fase ormai evoluta della sua dinamica</w:t>
      </w:r>
      <w:r w:rsidR="00791BAF">
        <w:t>”</w:t>
      </w:r>
      <w:r>
        <w:rPr>
          <w:rStyle w:val="Rimandonotaapidipagina"/>
        </w:rPr>
        <w:footnoteReference w:id="8"/>
      </w:r>
      <w:r w:rsidR="00791BAF">
        <w:t>.</w:t>
      </w:r>
    </w:p>
    <w:p w:rsidR="00872DB6" w:rsidRDefault="00872DB6" w:rsidP="007E2292">
      <w:pPr>
        <w:jc w:val="both"/>
      </w:pPr>
      <w:r>
        <w:t>Si conferma pertanto l’impostazione (razionale) per cui fra gli strumenti amministrativi di controllo del rischio il punto di equilibrio nel rapporto autorità-libertà non è rigido, ma variabile in funzione della natura degli interessi implicati.</w:t>
      </w:r>
      <w:r>
        <w:rPr>
          <w:rStyle w:val="Rimandonotaapidipagina"/>
        </w:rPr>
        <w:footnoteReference w:id="9"/>
      </w:r>
    </w:p>
    <w:p w:rsidR="00EF58A9" w:rsidRDefault="00EF58A9" w:rsidP="00EF58A9">
      <w:pPr>
        <w:jc w:val="right"/>
      </w:pPr>
    </w:p>
    <w:p w:rsidR="00EF58A9" w:rsidRPr="00EF58A9" w:rsidRDefault="00EF58A9" w:rsidP="00EF58A9">
      <w:pPr>
        <w:jc w:val="right"/>
        <w:rPr>
          <w:b/>
        </w:rPr>
      </w:pPr>
      <w:r w:rsidRPr="00EF58A9">
        <w:rPr>
          <w:b/>
        </w:rPr>
        <w:t>Giovanni Tulumello</w:t>
      </w:r>
    </w:p>
    <w:p w:rsidR="00EF58A9" w:rsidRDefault="00EF58A9" w:rsidP="00EF58A9">
      <w:pPr>
        <w:jc w:val="right"/>
      </w:pPr>
      <w:r>
        <w:t>Consigliere di Stato</w:t>
      </w:r>
    </w:p>
    <w:p w:rsidR="00EF58A9" w:rsidRDefault="00EF58A9" w:rsidP="00EF58A9">
      <w:pPr>
        <w:jc w:val="right"/>
      </w:pPr>
      <w:r>
        <w:t>Pubblicato il 5 giugno 2020</w:t>
      </w:r>
    </w:p>
    <w:sectPr w:rsidR="00EF58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735" w:rsidRDefault="00C45735" w:rsidP="00C45735">
      <w:pPr>
        <w:spacing w:after="0" w:line="240" w:lineRule="auto"/>
      </w:pPr>
      <w:r>
        <w:separator/>
      </w:r>
    </w:p>
  </w:endnote>
  <w:endnote w:type="continuationSeparator" w:id="0">
    <w:p w:rsidR="00C45735" w:rsidRDefault="00C45735" w:rsidP="00C4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735" w:rsidRDefault="00C45735" w:rsidP="00C45735">
      <w:pPr>
        <w:spacing w:after="0" w:line="240" w:lineRule="auto"/>
      </w:pPr>
      <w:r>
        <w:separator/>
      </w:r>
    </w:p>
  </w:footnote>
  <w:footnote w:type="continuationSeparator" w:id="0">
    <w:p w:rsidR="00C45735" w:rsidRDefault="00C45735" w:rsidP="00C45735">
      <w:pPr>
        <w:spacing w:after="0" w:line="240" w:lineRule="auto"/>
      </w:pPr>
      <w:r>
        <w:continuationSeparator/>
      </w:r>
    </w:p>
  </w:footnote>
  <w:footnote w:id="1">
    <w:p w:rsidR="00EF58A9" w:rsidRDefault="00EF58A9" w:rsidP="00EF58A9">
      <w:pPr>
        <w:pStyle w:val="Testonotaapidipagina"/>
        <w:jc w:val="both"/>
      </w:pPr>
      <w:r>
        <w:rPr>
          <w:rStyle w:val="Rimandonotaapidipagina"/>
        </w:rPr>
        <w:footnoteRef/>
      </w:r>
      <w:r>
        <w:t xml:space="preserve"> La </w:t>
      </w:r>
      <w:r>
        <w:t xml:space="preserve"> Corte di Giustizia </w:t>
      </w:r>
      <w:r w:rsidRPr="00EF58A9">
        <w:t>Corte di Giustizia dell’Unione europea, Prima Sezione, 28 maggio 2020, in causa C-535/18</w:t>
      </w:r>
      <w:r>
        <w:t xml:space="preserve"> ha statuito che:</w:t>
      </w:r>
      <w:r>
        <w:t xml:space="preserve"> </w:t>
      </w:r>
      <w:r>
        <w:t>“</w:t>
      </w:r>
      <w:r>
        <w:t>L’articolo 11, paragrafo 1, lettera b), della direttiva 2011/92/UE del Parlamento europeo e del Consiglio, del 13 dicembre 2011, concernente la valutazione dell’impatto ambientale di determinati progetti pubblici e privati, deve essere interpretato nel senso che consente agli Stati membri di prevedere che, qualora un vizio procedurale che inficia la decisione di autorizzazione di un progetto non sia tale da modificarne il senso, la domanda di annullamento di tale decisione sia ricevibile soltanto se l’irregolarità di cui trattasi abbia privato il ricorrente del suo diritto di partecipare al processo decisionale in materia ambientale, garantito dall’articolo 6 di tale direttiva.</w:t>
      </w:r>
    </w:p>
    <w:p w:rsidR="00EF58A9" w:rsidRDefault="00EF58A9" w:rsidP="00EF58A9">
      <w:pPr>
        <w:pStyle w:val="Testonotaapidipagina"/>
        <w:jc w:val="both"/>
      </w:pPr>
      <w:r>
        <w:t xml:space="preserve">2) L’articolo 4 della direttiva 2000/60/CE del Parlamento europeo e del Consiglio, del 23 ottobre 2000, che istituisce un quadro per l’azione comunitaria in materia di acque, deve essere interpretato nel senso che osta a che l’autorità competente effettui il controllo del rispetto degli obblighi da esso previsti, tra i quali quello di impedire il deterioramento dello stato dei corpi idrici, sia superficiali sia sotterranei, interessati da un progetto, soltanto dopo l’autorizzazione dello stesso. </w:t>
      </w:r>
    </w:p>
    <w:p w:rsidR="00EF58A9" w:rsidRDefault="00EF58A9" w:rsidP="00EF58A9">
      <w:pPr>
        <w:pStyle w:val="Testonotaapidipagina"/>
        <w:jc w:val="both"/>
      </w:pPr>
      <w:r>
        <w:t>L’articolo 6 della direttiva 2011/92 deve essere interpretato nel senso che le informazioni da mettere a disposizione del pubblico nel corso della procedura di autorizzazione di un progetto devono includere i dati necessari al fine di valutare l’impatto di quest’ultimo sull’acqua alla luce dei criteri e degli obblighi previsti, segnatamente, all’articolo 4, paragrafo 1, della direttiva 2000/60.</w:t>
      </w:r>
    </w:p>
    <w:p w:rsidR="00EF58A9" w:rsidRDefault="00EF58A9" w:rsidP="00EF58A9">
      <w:pPr>
        <w:pStyle w:val="Testonotaapidipagina"/>
        <w:jc w:val="both"/>
      </w:pPr>
      <w:r>
        <w:t>3) L’articolo 4, paragrafo 1, lettera b), punto i), della direttiva 2000/60 deve essere interpretato nel senso che deve essere considerato come un deterioramento dello stato chimico di un corpo idrico sotterraneo a causa di un progetto, da un lato, il superamento di almeno una delle norme di qualità o uno dei valori soglia, ai sensi dell’articolo 3, paragrafo 1, della direttiva 2006/118/CE del Parlamento europeo e del Consiglio, del 12 dicembre 2006, sulla protezione delle acque sotterranee dall’inquinamento e dal deterioramento, e, dall’altro, un prevedibile aumento della concentrazione di un inquinante qualora la soglia fissata per quest’ultimo sia già superata. I valori misurati in ciascun punto di monitoraggio devono essere presi in considerazione individualmente.</w:t>
      </w:r>
    </w:p>
    <w:p w:rsidR="00EF58A9" w:rsidRDefault="00EF58A9" w:rsidP="00EF58A9">
      <w:pPr>
        <w:pStyle w:val="Testonotaapidipagina"/>
        <w:jc w:val="both"/>
      </w:pPr>
      <w:r>
        <w:t>4) L’articolo 1, primo comma, lettera b), e secondo comma, primo trattino, nonché l’articolo 4, paragrafo 1, lettera b), della direttiva 2000/60, letti alla luce dell’articolo 19 TUE e dell’articolo 288 TFUE, devono essere interpretati nel senso che i membri del pubblico interessato da un progetto devono poter far valere, dinanzi ai giudici nazionali competenti, la violazione degli obblighi di impedire il deterioramento dei corpi idrici e di migliorare il loro stato, se tale violazione li riguarda direttamente.</w:t>
      </w:r>
    </w:p>
  </w:footnote>
  <w:footnote w:id="2">
    <w:p w:rsidR="006A0268" w:rsidRPr="00AD7BA2" w:rsidRDefault="006A0268" w:rsidP="00AD7BA2">
      <w:pPr>
        <w:pStyle w:val="Testonotaapidipagina"/>
        <w:jc w:val="both"/>
      </w:pPr>
      <w:r w:rsidRPr="00AD7BA2">
        <w:rPr>
          <w:rStyle w:val="Rimandonotaapidipagina"/>
        </w:rPr>
        <w:footnoteRef/>
      </w:r>
      <w:r w:rsidRPr="00AD7BA2">
        <w:t xml:space="preserve"> Segnalava infatti l’esistenza di una stretta “</w:t>
      </w:r>
      <w:r w:rsidRPr="00AD7BA2">
        <w:rPr>
          <w:i/>
        </w:rPr>
        <w:t>relazione tra regime della invalidità e interesse</w:t>
      </w:r>
      <w:r w:rsidRPr="00AD7BA2">
        <w:t xml:space="preserve">” già </w:t>
      </w:r>
      <w:r w:rsidRPr="00AD7BA2">
        <w:rPr>
          <w:smallCaps/>
        </w:rPr>
        <w:t>G. Corso</w:t>
      </w:r>
      <w:r w:rsidRPr="00AD7BA2">
        <w:t xml:space="preserve">, voce </w:t>
      </w:r>
      <w:r w:rsidRPr="00AD7BA2">
        <w:rPr>
          <w:i/>
          <w:iCs/>
        </w:rPr>
        <w:t>Validità (diritto amministrativo)</w:t>
      </w:r>
      <w:r w:rsidRPr="00AD7BA2">
        <w:t xml:space="preserve">, in </w:t>
      </w:r>
      <w:proofErr w:type="spellStart"/>
      <w:r w:rsidRPr="00AD7BA2">
        <w:rPr>
          <w:i/>
          <w:iCs/>
        </w:rPr>
        <w:t>Enc</w:t>
      </w:r>
      <w:proofErr w:type="spellEnd"/>
      <w:r w:rsidRPr="00AD7BA2">
        <w:rPr>
          <w:i/>
          <w:iCs/>
        </w:rPr>
        <w:t>. dir.</w:t>
      </w:r>
      <w:r w:rsidRPr="00AD7BA2">
        <w:t>, vol. XLVI, Milano, 1993, 103.</w:t>
      </w:r>
    </w:p>
    <w:p w:rsidR="006A0268" w:rsidRPr="00AD7BA2" w:rsidRDefault="006A0268" w:rsidP="00AD7BA2">
      <w:pPr>
        <w:pStyle w:val="Testonotaapidipagina"/>
        <w:jc w:val="both"/>
      </w:pPr>
    </w:p>
  </w:footnote>
  <w:footnote w:id="3">
    <w:p w:rsidR="006A0268" w:rsidRPr="00AD7BA2" w:rsidRDefault="006A0268" w:rsidP="00AD7BA2">
      <w:pPr>
        <w:pStyle w:val="Testonotaapidipagina"/>
        <w:jc w:val="both"/>
      </w:pPr>
      <w:r w:rsidRPr="00AD7BA2">
        <w:rPr>
          <w:rStyle w:val="Rimandonotaapidipagina"/>
        </w:rPr>
        <w:footnoteRef/>
      </w:r>
      <w:r w:rsidRPr="00AD7BA2">
        <w:t xml:space="preserve"> </w:t>
      </w:r>
      <w:r w:rsidRPr="00AD7BA2">
        <w:rPr>
          <w:smallCaps/>
        </w:rPr>
        <w:t>A. Romano Tassone</w:t>
      </w:r>
      <w:r w:rsidRPr="00AD7BA2">
        <w:t xml:space="preserve">, </w:t>
      </w:r>
      <w:r w:rsidRPr="00AD7BA2">
        <w:rPr>
          <w:i/>
        </w:rPr>
        <w:t>Vizi formali e vizi procedurali</w:t>
      </w:r>
      <w:r w:rsidRPr="00AD7BA2">
        <w:t xml:space="preserve">, in </w:t>
      </w:r>
      <w:hyperlink r:id="rId1" w:history="1">
        <w:r w:rsidRPr="00AD7BA2">
          <w:rPr>
            <w:rStyle w:val="Collegamentoipertestuale"/>
          </w:rPr>
          <w:t>www.giustamm.it</w:t>
        </w:r>
      </w:hyperlink>
      <w:r w:rsidRPr="00AD7BA2">
        <w:t>., n. 2/2005.</w:t>
      </w:r>
    </w:p>
    <w:p w:rsidR="006A0268" w:rsidRPr="00AD7BA2" w:rsidRDefault="006A0268" w:rsidP="00AD7BA2">
      <w:pPr>
        <w:pStyle w:val="Testonotaapidipagina"/>
        <w:jc w:val="both"/>
      </w:pPr>
    </w:p>
  </w:footnote>
  <w:footnote w:id="4">
    <w:p w:rsidR="007A1128" w:rsidRPr="00AD7BA2" w:rsidRDefault="007A1128" w:rsidP="00AD7BA2">
      <w:pPr>
        <w:pStyle w:val="Testonotaapidipagina"/>
        <w:jc w:val="both"/>
      </w:pPr>
      <w:r w:rsidRPr="00AD7BA2">
        <w:rPr>
          <w:rStyle w:val="Rimandonotaapidipagina"/>
        </w:rPr>
        <w:footnoteRef/>
      </w:r>
      <w:r w:rsidRPr="00AD7BA2">
        <w:t xml:space="preserve"> </w:t>
      </w:r>
      <w:r w:rsidRPr="00AD7BA2">
        <w:rPr>
          <w:smallCaps/>
        </w:rPr>
        <w:t>G. Tulumello</w:t>
      </w:r>
      <w:r w:rsidRPr="00AD7BA2">
        <w:t xml:space="preserve">, </w:t>
      </w:r>
      <w:r w:rsidRPr="00AD7BA2">
        <w:rPr>
          <w:i/>
        </w:rPr>
        <w:t>La parabola del provvedimento e quella del contratto</w:t>
      </w:r>
      <w:r w:rsidRPr="00AD7BA2">
        <w:t xml:space="preserve">, Relazione pronunciata l’11 aprile 2008 presso l’Università degli Studi di Palermo – Scuola Dottorale Internazionale di diritto ed economia “Tullio </w:t>
      </w:r>
      <w:proofErr w:type="spellStart"/>
      <w:r w:rsidRPr="00AD7BA2">
        <w:t>Ascarelli</w:t>
      </w:r>
      <w:proofErr w:type="spellEnd"/>
      <w:r w:rsidRPr="00AD7BA2">
        <w:t>”, nell’ambito.</w:t>
      </w:r>
    </w:p>
    <w:p w:rsidR="007A1128" w:rsidRPr="00AD7BA2" w:rsidRDefault="007A1128" w:rsidP="00AD7BA2">
      <w:pPr>
        <w:pStyle w:val="Testonotaapidipagina"/>
        <w:jc w:val="both"/>
      </w:pPr>
      <w:r w:rsidRPr="00AD7BA2">
        <w:t xml:space="preserve"> del ciclo di seminari del Dottorato di ricerca in diritto privato generale e diritto dell’impresa, in </w:t>
      </w:r>
      <w:hyperlink r:id="rId2" w:history="1">
        <w:r w:rsidRPr="00AD7BA2">
          <w:rPr>
            <w:rStyle w:val="Collegamentoipertestuale"/>
          </w:rPr>
          <w:t>www.giustamm.it</w:t>
        </w:r>
      </w:hyperlink>
      <w:r w:rsidRPr="00AD7BA2">
        <w:t>, n. 4/2008.</w:t>
      </w:r>
    </w:p>
    <w:p w:rsidR="007A1128" w:rsidRPr="00AD7BA2" w:rsidRDefault="007A1128" w:rsidP="00AD7BA2">
      <w:pPr>
        <w:pStyle w:val="Testonotaapidipagina"/>
        <w:jc w:val="both"/>
      </w:pPr>
    </w:p>
  </w:footnote>
  <w:footnote w:id="5">
    <w:p w:rsidR="007A1128" w:rsidRPr="00AD7BA2" w:rsidRDefault="007A1128" w:rsidP="00AD7BA2">
      <w:pPr>
        <w:pStyle w:val="Testonotaapidipagina"/>
        <w:jc w:val="both"/>
      </w:pPr>
      <w:r w:rsidRPr="00AD7BA2">
        <w:rPr>
          <w:rStyle w:val="Rimandonotaapidipagina"/>
        </w:rPr>
        <w:footnoteRef/>
      </w:r>
      <w:r w:rsidRPr="00AD7BA2">
        <w:t xml:space="preserve"> </w:t>
      </w:r>
      <w:r w:rsidRPr="00AD7BA2">
        <w:rPr>
          <w:smallCaps/>
        </w:rPr>
        <w:t>G. Tulumello</w:t>
      </w:r>
      <w:r w:rsidRPr="00AD7BA2">
        <w:t xml:space="preserve">, </w:t>
      </w:r>
      <w:r w:rsidRPr="00AD7BA2">
        <w:rPr>
          <w:i/>
        </w:rPr>
        <w:t>Brevi note su abuso del diritto e processo amministrativo</w:t>
      </w:r>
      <w:r w:rsidRPr="00AD7BA2">
        <w:t xml:space="preserve">, in </w:t>
      </w:r>
      <w:r w:rsidRPr="00AD7BA2">
        <w:rPr>
          <w:i/>
        </w:rPr>
        <w:t>Giurisprudenza di merito</w:t>
      </w:r>
      <w:r w:rsidRPr="00AD7BA2">
        <w:t>, supplemento al n. 12/2007, pag. 103; a questo contributo, e a quello citato alla nota precedente, si rinvia per i n</w:t>
      </w:r>
      <w:r w:rsidR="00791BAF" w:rsidRPr="00AD7BA2">
        <w:t>e</w:t>
      </w:r>
      <w:r w:rsidRPr="00AD7BA2">
        <w:t>cessari riferimenti di dottrina e giurisprudenza.</w:t>
      </w:r>
    </w:p>
    <w:p w:rsidR="00791BAF" w:rsidRPr="00AD7BA2" w:rsidRDefault="00791BAF" w:rsidP="00AD7BA2">
      <w:pPr>
        <w:pStyle w:val="Testonotaapidipagina"/>
        <w:jc w:val="both"/>
      </w:pPr>
    </w:p>
  </w:footnote>
  <w:footnote w:id="6">
    <w:p w:rsidR="00AD7BA2" w:rsidRPr="00AD7BA2" w:rsidRDefault="00AD7BA2" w:rsidP="00AD7BA2">
      <w:pPr>
        <w:spacing w:line="240" w:lineRule="auto"/>
        <w:jc w:val="both"/>
        <w:rPr>
          <w:color w:val="000000"/>
          <w:sz w:val="20"/>
          <w:szCs w:val="20"/>
        </w:rPr>
      </w:pPr>
      <w:r w:rsidRPr="00AD7BA2">
        <w:rPr>
          <w:rStyle w:val="Rimandonotaapidipagina"/>
          <w:sz w:val="20"/>
          <w:szCs w:val="20"/>
        </w:rPr>
        <w:footnoteRef/>
      </w:r>
      <w:r w:rsidRPr="00AD7BA2">
        <w:rPr>
          <w:sz w:val="20"/>
          <w:szCs w:val="20"/>
        </w:rPr>
        <w:t xml:space="preserve">  In argomento sia consentito il rinvio a</w:t>
      </w:r>
      <w:r>
        <w:rPr>
          <w:sz w:val="20"/>
          <w:szCs w:val="20"/>
        </w:rPr>
        <w:t xml:space="preserve"> </w:t>
      </w:r>
      <w:r w:rsidRPr="00AD7BA2">
        <w:rPr>
          <w:smallCaps/>
          <w:sz w:val="20"/>
          <w:szCs w:val="20"/>
        </w:rPr>
        <w:t>G. Tulumello,</w:t>
      </w:r>
      <w:r w:rsidRPr="00AD7BA2">
        <w:rPr>
          <w:sz w:val="20"/>
          <w:szCs w:val="20"/>
        </w:rPr>
        <w:t xml:space="preserve"> </w:t>
      </w:r>
      <w:r w:rsidRPr="00AD7BA2">
        <w:rPr>
          <w:i/>
          <w:color w:val="000000"/>
          <w:sz w:val="20"/>
          <w:szCs w:val="20"/>
        </w:rPr>
        <w:t>L’impugnabilità degli atti amministrativi in materia urbanistica</w:t>
      </w:r>
      <w:r w:rsidRPr="00AD7BA2">
        <w:rPr>
          <w:color w:val="000000"/>
          <w:sz w:val="20"/>
          <w:szCs w:val="20"/>
        </w:rPr>
        <w:t xml:space="preserve">, in </w:t>
      </w:r>
      <w:r w:rsidRPr="00AD7BA2">
        <w:rPr>
          <w:i/>
          <w:color w:val="000000"/>
          <w:sz w:val="20"/>
          <w:szCs w:val="20"/>
        </w:rPr>
        <w:t>Rivista giuridica dell’edilizia</w:t>
      </w:r>
      <w:r w:rsidRPr="00AD7BA2">
        <w:rPr>
          <w:color w:val="000000"/>
          <w:sz w:val="20"/>
          <w:szCs w:val="20"/>
        </w:rPr>
        <w:t xml:space="preserve">, 2009, fasc. 2, II, </w:t>
      </w:r>
      <w:proofErr w:type="spellStart"/>
      <w:r w:rsidRPr="00AD7BA2">
        <w:rPr>
          <w:color w:val="000000"/>
          <w:sz w:val="20"/>
          <w:szCs w:val="20"/>
        </w:rPr>
        <w:t>pagg</w:t>
      </w:r>
      <w:proofErr w:type="spellEnd"/>
      <w:r w:rsidRPr="00AD7BA2">
        <w:rPr>
          <w:color w:val="000000"/>
          <w:sz w:val="20"/>
          <w:szCs w:val="20"/>
        </w:rPr>
        <w:t>. 59-84.</w:t>
      </w:r>
    </w:p>
    <w:p w:rsidR="00AD7BA2" w:rsidRPr="00AD7BA2" w:rsidRDefault="00AD7BA2" w:rsidP="00AD7BA2">
      <w:pPr>
        <w:pStyle w:val="Testonotaapidipagina"/>
        <w:jc w:val="both"/>
      </w:pPr>
    </w:p>
  </w:footnote>
  <w:footnote w:id="7">
    <w:p w:rsidR="00791BAF" w:rsidRPr="00AD7BA2" w:rsidRDefault="00791BAF" w:rsidP="00AD7BA2">
      <w:pPr>
        <w:pStyle w:val="Testonotaapidipagina"/>
        <w:jc w:val="both"/>
      </w:pPr>
      <w:r w:rsidRPr="00AD7BA2">
        <w:rPr>
          <w:rStyle w:val="Rimandonotaapidipagina"/>
        </w:rPr>
        <w:footnoteRef/>
      </w:r>
      <w:r w:rsidRPr="00AD7BA2">
        <w:t xml:space="preserve">  “71 </w:t>
      </w:r>
      <w:proofErr w:type="gramStart"/>
      <w:r w:rsidRPr="00AD7BA2">
        <w:t>(….</w:t>
      </w:r>
      <w:proofErr w:type="gramEnd"/>
      <w:r w:rsidRPr="00AD7BA2">
        <w:t xml:space="preserve">) </w:t>
      </w:r>
      <w:r w:rsidRPr="00AD7BA2">
        <w:rPr>
          <w:i/>
        </w:rPr>
        <w:t xml:space="preserve">lo scopo della direttiva 2000/60 consiste nel conseguire, mediante un’azione coordinata, il «buono stato» di tutte le acque superficiali e sotterranee dell’Unione europea in vista del 2015. Sia l’obbligo di miglioramento sia quello di impedire il deterioramento dello stato dei corpi idrici sono intesi a realizzare tale obiettivo qualitativo (v., in tal senso, sentenza del 1° luglio 2015, </w:t>
      </w:r>
      <w:proofErr w:type="spellStart"/>
      <w:r w:rsidRPr="00AD7BA2">
        <w:rPr>
          <w:i/>
        </w:rPr>
        <w:t>Bund</w:t>
      </w:r>
      <w:proofErr w:type="spellEnd"/>
      <w:r w:rsidRPr="00AD7BA2">
        <w:rPr>
          <w:i/>
        </w:rPr>
        <w:t xml:space="preserve"> </w:t>
      </w:r>
      <w:proofErr w:type="spellStart"/>
      <w:r w:rsidRPr="00AD7BA2">
        <w:rPr>
          <w:i/>
        </w:rPr>
        <w:t>für</w:t>
      </w:r>
      <w:proofErr w:type="spellEnd"/>
      <w:r w:rsidRPr="00AD7BA2">
        <w:rPr>
          <w:i/>
        </w:rPr>
        <w:t xml:space="preserve"> </w:t>
      </w:r>
      <w:proofErr w:type="spellStart"/>
      <w:r w:rsidRPr="00AD7BA2">
        <w:rPr>
          <w:i/>
        </w:rPr>
        <w:t>Umwelt</w:t>
      </w:r>
      <w:proofErr w:type="spellEnd"/>
      <w:r w:rsidRPr="00AD7BA2">
        <w:rPr>
          <w:i/>
        </w:rPr>
        <w:t xml:space="preserve"> und </w:t>
      </w:r>
      <w:proofErr w:type="spellStart"/>
      <w:r w:rsidRPr="00AD7BA2">
        <w:rPr>
          <w:i/>
        </w:rPr>
        <w:t>Naturschutz</w:t>
      </w:r>
      <w:proofErr w:type="spellEnd"/>
      <w:r w:rsidRPr="00AD7BA2">
        <w:rPr>
          <w:i/>
        </w:rPr>
        <w:t xml:space="preserve"> </w:t>
      </w:r>
      <w:proofErr w:type="spellStart"/>
      <w:r w:rsidRPr="00AD7BA2">
        <w:rPr>
          <w:i/>
        </w:rPr>
        <w:t>Deutschland</w:t>
      </w:r>
      <w:proofErr w:type="spellEnd"/>
      <w:r w:rsidRPr="00AD7BA2">
        <w:rPr>
          <w:i/>
        </w:rPr>
        <w:t>, C</w:t>
      </w:r>
      <w:r w:rsidRPr="00AD7BA2">
        <w:rPr>
          <w:rFonts w:ascii="MS Gothic" w:eastAsia="MS Gothic" w:hAnsi="MS Gothic" w:cs="MS Gothic" w:hint="eastAsia"/>
          <w:i/>
        </w:rPr>
        <w:t>‑</w:t>
      </w:r>
      <w:r w:rsidRPr="00AD7BA2">
        <w:rPr>
          <w:i/>
        </w:rPr>
        <w:t xml:space="preserve">461/13, EU:C:2015:433, punti 37, 38 e 41). 72      Inoltre, dal tenore letterale, dalla sistematica e dalla finalità dell’articolo 4 della direttiva 2000/60, risulta che, al pari degli obblighi previsti all’articolo 4, paragrafo 1, lettera a), per le acque superficiali, i quali, come rilevato dalla Corte nella sentenza del 1º luglio 2015, </w:t>
      </w:r>
      <w:proofErr w:type="spellStart"/>
      <w:r w:rsidRPr="00AD7BA2">
        <w:rPr>
          <w:i/>
        </w:rPr>
        <w:t>Bund</w:t>
      </w:r>
      <w:proofErr w:type="spellEnd"/>
      <w:r w:rsidRPr="00AD7BA2">
        <w:rPr>
          <w:i/>
        </w:rPr>
        <w:t xml:space="preserve"> </w:t>
      </w:r>
      <w:proofErr w:type="spellStart"/>
      <w:r w:rsidRPr="00AD7BA2">
        <w:rPr>
          <w:i/>
        </w:rPr>
        <w:t>für</w:t>
      </w:r>
      <w:proofErr w:type="spellEnd"/>
      <w:r w:rsidRPr="00AD7BA2">
        <w:rPr>
          <w:i/>
        </w:rPr>
        <w:t xml:space="preserve"> </w:t>
      </w:r>
      <w:proofErr w:type="spellStart"/>
      <w:r w:rsidRPr="00AD7BA2">
        <w:rPr>
          <w:i/>
        </w:rPr>
        <w:t>Umwelt</w:t>
      </w:r>
      <w:proofErr w:type="spellEnd"/>
      <w:r w:rsidRPr="00AD7BA2">
        <w:rPr>
          <w:i/>
        </w:rPr>
        <w:t xml:space="preserve"> und </w:t>
      </w:r>
      <w:proofErr w:type="spellStart"/>
      <w:r w:rsidRPr="00AD7BA2">
        <w:rPr>
          <w:i/>
        </w:rPr>
        <w:t>Naturschutz</w:t>
      </w:r>
      <w:proofErr w:type="spellEnd"/>
      <w:r w:rsidRPr="00AD7BA2">
        <w:rPr>
          <w:i/>
        </w:rPr>
        <w:t xml:space="preserve"> </w:t>
      </w:r>
      <w:proofErr w:type="spellStart"/>
      <w:r w:rsidRPr="00AD7BA2">
        <w:rPr>
          <w:i/>
        </w:rPr>
        <w:t>Deutschland</w:t>
      </w:r>
      <w:proofErr w:type="spellEnd"/>
      <w:r w:rsidRPr="00AD7BA2">
        <w:rPr>
          <w:i/>
        </w:rPr>
        <w:t xml:space="preserve"> (C</w:t>
      </w:r>
      <w:r w:rsidRPr="00AD7BA2">
        <w:rPr>
          <w:rFonts w:ascii="MS Gothic" w:eastAsia="MS Gothic" w:hAnsi="MS Gothic" w:cs="MS Gothic" w:hint="eastAsia"/>
          <w:i/>
        </w:rPr>
        <w:t>‑</w:t>
      </w:r>
      <w:r w:rsidRPr="00AD7BA2">
        <w:rPr>
          <w:i/>
        </w:rPr>
        <w:t>461/13, EU:C:2015:433, punto 43), hanno carattere vincolante, anche quelli previsti all’articolo 4, paragrafo 1, lettera b), per le acque sotterranee hanno un siffatto carattere. 73      Ne consegue che l’articolo 4, paragrafo 1, della direttiva 2000/60 non si limita ad enunciare, in termini di formulazione programmatica, meri obiettivi di pianificazione di gestione, ma produce effetti vincolanti, in esito alla determinazione dello stato ecologico del corpo idrico in parola, in ogni fase della procedura prescritta da tale direttiva</w:t>
      </w:r>
      <w:r w:rsidRPr="00AD7BA2">
        <w:t>” (Corte di Giustizia, sentenza 28 maggio 2020</w:t>
      </w:r>
      <w:proofErr w:type="gramStart"/>
      <w:r w:rsidRPr="00AD7BA2">
        <w:t>)..</w:t>
      </w:r>
      <w:proofErr w:type="gramEnd"/>
    </w:p>
  </w:footnote>
  <w:footnote w:id="8">
    <w:p w:rsidR="00676FC7" w:rsidRPr="00AD7BA2" w:rsidRDefault="00676FC7" w:rsidP="00AD7BA2">
      <w:pPr>
        <w:pStyle w:val="Testonotaapidipagina"/>
        <w:jc w:val="both"/>
      </w:pPr>
    </w:p>
    <w:p w:rsidR="00676FC7" w:rsidRDefault="00676FC7" w:rsidP="00AD7BA2">
      <w:pPr>
        <w:pStyle w:val="Testonotaapidipagina"/>
        <w:jc w:val="both"/>
      </w:pPr>
      <w:r w:rsidRPr="00AD7BA2">
        <w:rPr>
          <w:rStyle w:val="Rimandonotaapidipagina"/>
        </w:rPr>
        <w:footnoteRef/>
      </w:r>
      <w:r w:rsidRPr="00AD7BA2">
        <w:t xml:space="preserve"> </w:t>
      </w:r>
      <w:r w:rsidRPr="00AD7BA2">
        <w:rPr>
          <w:smallCaps/>
        </w:rPr>
        <w:t>G. Tulumello</w:t>
      </w:r>
      <w:r w:rsidRPr="00AD7BA2">
        <w:t xml:space="preserve">, </w:t>
      </w:r>
      <w:r w:rsidRPr="00AD7BA2">
        <w:rPr>
          <w:i/>
        </w:rPr>
        <w:t>La funzione: fisionomia e implicazioni del potere amministrativo nello stato sociale pluriclasse</w:t>
      </w:r>
      <w:r w:rsidRPr="00AD7BA2">
        <w:t xml:space="preserve">, in </w:t>
      </w:r>
      <w:hyperlink r:id="rId3" w:history="1">
        <w:r w:rsidRPr="00AD7BA2">
          <w:rPr>
            <w:rStyle w:val="Collegamentoipertestuale"/>
          </w:rPr>
          <w:t>www.giustizia-amministrativa.it</w:t>
        </w:r>
      </w:hyperlink>
      <w:r w:rsidRPr="00AD7BA2">
        <w:t>, 2015, [in particolare</w:t>
      </w:r>
      <w:r w:rsidR="001B7E39" w:rsidRPr="00AD7BA2">
        <w:t xml:space="preserve">, </w:t>
      </w:r>
      <w:r w:rsidRPr="00AD7BA2">
        <w:t>§ 7.1.</w:t>
      </w:r>
      <w:r w:rsidR="001B7E39" w:rsidRPr="00AD7BA2">
        <w:t xml:space="preserve"> (Le origini ideologico-giuridiche del problema: le modalità di produzione degli effetti giuridici nel diritto amministrativo europeo (il principio di proporzionalità e la giurisprudenza della Corte di Giustizia sul regime </w:t>
      </w:r>
      <w:proofErr w:type="spellStart"/>
      <w:r w:rsidR="001B7E39" w:rsidRPr="00AD7BA2">
        <w:t>autorizzatorio</w:t>
      </w:r>
      <w:proofErr w:type="spellEnd"/>
      <w:r w:rsidR="001B7E39" w:rsidRPr="00AD7BA2">
        <w:t>),</w:t>
      </w:r>
      <w:r w:rsidRPr="00AD7BA2">
        <w:t xml:space="preserve"> e § 8</w:t>
      </w:r>
      <w:r w:rsidR="001B7E39" w:rsidRPr="00AD7BA2">
        <w:t xml:space="preserve"> (Principio di proporzionalità, autorizzazioni e principio di precauzione)</w:t>
      </w:r>
      <w:r w:rsidRPr="00AD7BA2">
        <w:t>].</w:t>
      </w:r>
    </w:p>
    <w:p w:rsidR="00872DB6" w:rsidRPr="00AD7BA2" w:rsidRDefault="00872DB6" w:rsidP="00AD7BA2">
      <w:pPr>
        <w:pStyle w:val="Testonotaapidipagina"/>
        <w:jc w:val="both"/>
      </w:pPr>
    </w:p>
  </w:footnote>
  <w:footnote w:id="9">
    <w:p w:rsidR="00872DB6" w:rsidRDefault="00872DB6" w:rsidP="00772F57">
      <w:pPr>
        <w:pStyle w:val="Testonotaapidipagina"/>
        <w:jc w:val="both"/>
      </w:pPr>
      <w:r>
        <w:rPr>
          <w:rStyle w:val="Rimandonotaapidipagina"/>
        </w:rPr>
        <w:footnoteRef/>
      </w:r>
      <w:r>
        <w:t xml:space="preserve"> In tema di strumenti amministrativi di controllo del rischio, </w:t>
      </w:r>
      <w:r w:rsidR="00772F57">
        <w:t xml:space="preserve">si vedano </w:t>
      </w:r>
      <w:r w:rsidR="00772F57" w:rsidRPr="00772F57">
        <w:rPr>
          <w:smallCaps/>
        </w:rPr>
        <w:t>F. de Leonardis</w:t>
      </w:r>
      <w:r w:rsidR="00772F57">
        <w:t xml:space="preserve">, </w:t>
      </w:r>
      <w:r w:rsidR="00772F57" w:rsidRPr="00772F57">
        <w:rPr>
          <w:i/>
        </w:rPr>
        <w:t>Il principio di precauzione nell’amministrazione di rischio</w:t>
      </w:r>
      <w:r w:rsidR="00772F57">
        <w:t xml:space="preserve">, Milano, 2005, e </w:t>
      </w:r>
      <w:r w:rsidRPr="00872DB6">
        <w:rPr>
          <w:smallCaps/>
        </w:rPr>
        <w:t>P. Savona</w:t>
      </w:r>
      <w:r>
        <w:t xml:space="preserve">, </w:t>
      </w:r>
      <w:r w:rsidRPr="00872DB6">
        <w:rPr>
          <w:i/>
        </w:rPr>
        <w:t>Il governo del rischio. Diritto dell’incertezza o diritto incerto</w:t>
      </w:r>
      <w:r>
        <w:t>? Napoli,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92"/>
    <w:rsid w:val="000D10FD"/>
    <w:rsid w:val="000D19D4"/>
    <w:rsid w:val="00160989"/>
    <w:rsid w:val="001B7E39"/>
    <w:rsid w:val="00236C3A"/>
    <w:rsid w:val="0029040C"/>
    <w:rsid w:val="0039600B"/>
    <w:rsid w:val="003E20BD"/>
    <w:rsid w:val="003F64BF"/>
    <w:rsid w:val="004819B5"/>
    <w:rsid w:val="004A0F08"/>
    <w:rsid w:val="005734D9"/>
    <w:rsid w:val="005C6FC0"/>
    <w:rsid w:val="005E0263"/>
    <w:rsid w:val="0067630C"/>
    <w:rsid w:val="00676FC7"/>
    <w:rsid w:val="006A0268"/>
    <w:rsid w:val="006D79A7"/>
    <w:rsid w:val="00700988"/>
    <w:rsid w:val="00772F57"/>
    <w:rsid w:val="00773196"/>
    <w:rsid w:val="00791BAF"/>
    <w:rsid w:val="007A1128"/>
    <w:rsid w:val="007E2292"/>
    <w:rsid w:val="00872DB6"/>
    <w:rsid w:val="008A186E"/>
    <w:rsid w:val="009966E1"/>
    <w:rsid w:val="009A210C"/>
    <w:rsid w:val="009A2C77"/>
    <w:rsid w:val="009A52BF"/>
    <w:rsid w:val="009D70FF"/>
    <w:rsid w:val="00A60B88"/>
    <w:rsid w:val="00A96D9B"/>
    <w:rsid w:val="00AD7BA2"/>
    <w:rsid w:val="00AF6B4F"/>
    <w:rsid w:val="00B12023"/>
    <w:rsid w:val="00C45735"/>
    <w:rsid w:val="00C72073"/>
    <w:rsid w:val="00E61BAE"/>
    <w:rsid w:val="00EB5ABA"/>
    <w:rsid w:val="00EF58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B18E"/>
  <w15:chartTrackingRefBased/>
  <w15:docId w15:val="{D7F0ABF9-AB9E-4078-BA16-F6F7FDA5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E2292"/>
    <w:rPr>
      <w:color w:val="0563C1" w:themeColor="hyperlink"/>
      <w:u w:val="single"/>
    </w:rPr>
  </w:style>
  <w:style w:type="paragraph" w:styleId="Testonotaapidipagina">
    <w:name w:val="footnote text"/>
    <w:basedOn w:val="Normale"/>
    <w:link w:val="TestonotaapidipaginaCarattere"/>
    <w:uiPriority w:val="99"/>
    <w:semiHidden/>
    <w:unhideWhenUsed/>
    <w:rsid w:val="00C4573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45735"/>
    <w:rPr>
      <w:sz w:val="20"/>
      <w:szCs w:val="20"/>
    </w:rPr>
  </w:style>
  <w:style w:type="character" w:styleId="Rimandonotaapidipagina">
    <w:name w:val="footnote reference"/>
    <w:basedOn w:val="Carpredefinitoparagrafo"/>
    <w:uiPriority w:val="99"/>
    <w:semiHidden/>
    <w:unhideWhenUsed/>
    <w:rsid w:val="00C45735"/>
    <w:rPr>
      <w:vertAlign w:val="superscript"/>
    </w:rPr>
  </w:style>
  <w:style w:type="paragraph" w:styleId="Testonotadichiusura">
    <w:name w:val="endnote text"/>
    <w:basedOn w:val="Normale"/>
    <w:link w:val="TestonotadichiusuraCarattere"/>
    <w:uiPriority w:val="99"/>
    <w:semiHidden/>
    <w:unhideWhenUsed/>
    <w:rsid w:val="006A026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A0268"/>
    <w:rPr>
      <w:sz w:val="20"/>
      <w:szCs w:val="20"/>
    </w:rPr>
  </w:style>
  <w:style w:type="character" w:styleId="Rimandonotadichiusura">
    <w:name w:val="endnote reference"/>
    <w:basedOn w:val="Carpredefinitoparagrafo"/>
    <w:uiPriority w:val="99"/>
    <w:semiHidden/>
    <w:unhideWhenUsed/>
    <w:rsid w:val="006A0268"/>
    <w:rPr>
      <w:vertAlign w:val="superscript"/>
    </w:rPr>
  </w:style>
  <w:style w:type="character" w:styleId="Collegamentovisitato">
    <w:name w:val="FollowedHyperlink"/>
    <w:basedOn w:val="Carpredefinitoparagrafo"/>
    <w:uiPriority w:val="99"/>
    <w:semiHidden/>
    <w:unhideWhenUsed/>
    <w:rsid w:val="00700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amm.it" TargetMode="External"/><Relationship Id="rId1"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F178-2359-4804-B05C-EF11D2C1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862</Words>
  <Characters>4919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FERRARI Giulia</cp:lastModifiedBy>
  <cp:revision>3</cp:revision>
  <dcterms:created xsi:type="dcterms:W3CDTF">2020-06-05T09:35:00Z</dcterms:created>
  <dcterms:modified xsi:type="dcterms:W3CDTF">2020-06-05T09:35:00Z</dcterms:modified>
</cp:coreProperties>
</file>