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0" w:rsidRPr="00D71E48" w:rsidRDefault="003F69BB" w:rsidP="007B49AD">
      <w:pPr>
        <w:pBdr>
          <w:top w:val="single" w:sz="4" w:space="1" w:color="auto"/>
          <w:left w:val="single" w:sz="4" w:space="4" w:color="auto"/>
          <w:bottom w:val="single" w:sz="4" w:space="1" w:color="auto"/>
          <w:right w:val="single" w:sz="4" w:space="4" w:color="auto"/>
        </w:pBdr>
        <w:ind w:firstLine="340"/>
        <w:jc w:val="center"/>
        <w:rPr>
          <w:rFonts w:ascii="Garamond" w:hAnsi="Garamond"/>
          <w:b/>
          <w:bCs/>
          <w:sz w:val="36"/>
          <w:szCs w:val="36"/>
        </w:rPr>
      </w:pPr>
      <w:r w:rsidRPr="00D71E48">
        <w:rPr>
          <w:rFonts w:ascii="Garamond" w:hAnsi="Garamond"/>
          <w:b/>
          <w:bCs/>
          <w:sz w:val="36"/>
          <w:szCs w:val="36"/>
        </w:rPr>
        <w:t xml:space="preserve">Le garanzie partecipative nei procedimenti </w:t>
      </w:r>
      <w:proofErr w:type="spellStart"/>
      <w:r w:rsidR="00824C96" w:rsidRPr="00D71E48">
        <w:rPr>
          <w:rFonts w:ascii="Garamond" w:hAnsi="Garamond"/>
          <w:b/>
          <w:bCs/>
          <w:sz w:val="36"/>
          <w:szCs w:val="36"/>
        </w:rPr>
        <w:t>interdittivi</w:t>
      </w:r>
      <w:proofErr w:type="spellEnd"/>
      <w:r w:rsidR="00824C96" w:rsidRPr="00D71E48">
        <w:rPr>
          <w:rFonts w:ascii="Garamond" w:hAnsi="Garamond"/>
          <w:b/>
          <w:bCs/>
          <w:sz w:val="36"/>
          <w:szCs w:val="36"/>
        </w:rPr>
        <w:t xml:space="preserve"> </w:t>
      </w:r>
      <w:r w:rsidRPr="00D71E48">
        <w:rPr>
          <w:rFonts w:ascii="Garamond" w:hAnsi="Garamond"/>
          <w:b/>
          <w:bCs/>
          <w:sz w:val="36"/>
          <w:szCs w:val="36"/>
        </w:rPr>
        <w:t>antimafia</w:t>
      </w:r>
    </w:p>
    <w:p w:rsidR="00F91C70" w:rsidRPr="00E47FEC" w:rsidRDefault="00F91C70" w:rsidP="00135529">
      <w:pPr>
        <w:ind w:firstLine="340"/>
        <w:jc w:val="both"/>
        <w:rPr>
          <w:rFonts w:ascii="Garamond" w:hAnsi="Garamond"/>
          <w:b/>
          <w:bCs/>
          <w:sz w:val="28"/>
          <w:szCs w:val="28"/>
        </w:rPr>
      </w:pPr>
    </w:p>
    <w:p w:rsidR="0008780B" w:rsidRPr="00944A90" w:rsidRDefault="00ED4CC6" w:rsidP="00135529">
      <w:pPr>
        <w:ind w:firstLine="340"/>
        <w:jc w:val="both"/>
        <w:rPr>
          <w:rFonts w:ascii="Garamond" w:hAnsi="Garamond"/>
          <w:sz w:val="28"/>
          <w:szCs w:val="28"/>
          <w:lang w:val="x-none"/>
        </w:rPr>
      </w:pPr>
      <w:r w:rsidRPr="00944A90">
        <w:rPr>
          <w:rFonts w:ascii="Garamond" w:hAnsi="Garamond"/>
          <w:sz w:val="28"/>
          <w:szCs w:val="28"/>
        </w:rPr>
        <w:t>L</w:t>
      </w:r>
      <w:r w:rsidR="000866D3" w:rsidRPr="00944A90">
        <w:rPr>
          <w:rFonts w:ascii="Garamond" w:hAnsi="Garamond"/>
          <w:sz w:val="28"/>
          <w:szCs w:val="28"/>
        </w:rPr>
        <w:t xml:space="preserve">a </w:t>
      </w:r>
      <w:r w:rsidR="00835479" w:rsidRPr="00944A90">
        <w:rPr>
          <w:rFonts w:ascii="Garamond" w:hAnsi="Garamond"/>
          <w:sz w:val="28"/>
          <w:szCs w:val="28"/>
        </w:rPr>
        <w:t>presa di coscienza</w:t>
      </w:r>
      <w:r w:rsidR="0005760E" w:rsidRPr="00944A90">
        <w:rPr>
          <w:rFonts w:ascii="Garamond" w:hAnsi="Garamond"/>
          <w:sz w:val="28"/>
          <w:szCs w:val="28"/>
          <w:lang w:val="x-none"/>
        </w:rPr>
        <w:t xml:space="preserve"> dell’assoluta necessità di coinvolgere il privato nel procedimento preordinato all’emanazione di un provvedimento potenzialmente lesivo della sua sfera giuridica da parte della </w:t>
      </w:r>
      <w:r w:rsidR="00167F09" w:rsidRPr="00944A90">
        <w:rPr>
          <w:rFonts w:ascii="Garamond" w:hAnsi="Garamond"/>
          <w:sz w:val="28"/>
          <w:szCs w:val="28"/>
        </w:rPr>
        <w:t>Pubblica Amministrazione</w:t>
      </w:r>
      <w:r w:rsidR="001A59D2" w:rsidRPr="00944A90">
        <w:rPr>
          <w:rFonts w:ascii="Garamond" w:hAnsi="Garamond"/>
          <w:sz w:val="28"/>
          <w:szCs w:val="28"/>
        </w:rPr>
        <w:t xml:space="preserve"> </w:t>
      </w:r>
      <w:r w:rsidR="00835479" w:rsidRPr="00944A90">
        <w:rPr>
          <w:rFonts w:ascii="Garamond" w:hAnsi="Garamond"/>
          <w:sz w:val="28"/>
          <w:szCs w:val="28"/>
        </w:rPr>
        <w:t>si</w:t>
      </w:r>
      <w:r w:rsidR="0005760E" w:rsidRPr="00944A90">
        <w:rPr>
          <w:rFonts w:ascii="Garamond" w:hAnsi="Garamond"/>
          <w:sz w:val="28"/>
          <w:szCs w:val="28"/>
          <w:lang w:val="x-none"/>
        </w:rPr>
        <w:t xml:space="preserve"> è </w:t>
      </w:r>
      <w:r w:rsidR="00835479" w:rsidRPr="00944A90">
        <w:rPr>
          <w:rFonts w:ascii="Garamond" w:hAnsi="Garamond"/>
          <w:sz w:val="28"/>
          <w:szCs w:val="28"/>
        </w:rPr>
        <w:t>avuta</w:t>
      </w:r>
      <w:r w:rsidR="00990E1E" w:rsidRPr="00944A90">
        <w:rPr>
          <w:rFonts w:ascii="Garamond" w:hAnsi="Garamond"/>
          <w:sz w:val="28"/>
          <w:szCs w:val="28"/>
        </w:rPr>
        <w:t xml:space="preserve"> </w:t>
      </w:r>
      <w:r w:rsidR="00F51F0A" w:rsidRPr="00944A90">
        <w:rPr>
          <w:rFonts w:ascii="Garamond" w:hAnsi="Garamond"/>
          <w:sz w:val="28"/>
          <w:szCs w:val="28"/>
        </w:rPr>
        <w:t xml:space="preserve">soltanto </w:t>
      </w:r>
      <w:r w:rsidR="0005760E" w:rsidRPr="00944A90">
        <w:rPr>
          <w:rFonts w:ascii="Garamond" w:hAnsi="Garamond"/>
          <w:sz w:val="28"/>
          <w:szCs w:val="28"/>
          <w:lang w:val="x-none"/>
        </w:rPr>
        <w:t xml:space="preserve">in un periodo </w:t>
      </w:r>
      <w:r w:rsidR="0027280C" w:rsidRPr="00944A90">
        <w:rPr>
          <w:rFonts w:ascii="Garamond" w:hAnsi="Garamond"/>
          <w:sz w:val="28"/>
          <w:szCs w:val="28"/>
        </w:rPr>
        <w:t xml:space="preserve">storicamente </w:t>
      </w:r>
      <w:r w:rsidR="0005760E" w:rsidRPr="00944A90">
        <w:rPr>
          <w:rFonts w:ascii="Garamond" w:hAnsi="Garamond"/>
          <w:sz w:val="28"/>
          <w:szCs w:val="28"/>
          <w:lang w:val="x-none"/>
        </w:rPr>
        <w:t>recent</w:t>
      </w:r>
      <w:r w:rsidR="003B0B23" w:rsidRPr="00944A90">
        <w:rPr>
          <w:rFonts w:ascii="Garamond" w:hAnsi="Garamond"/>
          <w:sz w:val="28"/>
          <w:szCs w:val="28"/>
        </w:rPr>
        <w:t>e</w:t>
      </w:r>
      <w:r w:rsidR="0005760E" w:rsidRPr="00944A90">
        <w:rPr>
          <w:rFonts w:ascii="Garamond" w:hAnsi="Garamond"/>
          <w:sz w:val="28"/>
          <w:szCs w:val="28"/>
          <w:lang w:val="x-none"/>
        </w:rPr>
        <w:t>. La previsione di garanzie partecipative per il cittadino all’interno dei procedimenti gestiti dall’autorità è</w:t>
      </w:r>
      <w:r w:rsidR="000444F9" w:rsidRPr="00944A90">
        <w:rPr>
          <w:rFonts w:ascii="Garamond" w:hAnsi="Garamond"/>
          <w:sz w:val="28"/>
          <w:szCs w:val="28"/>
        </w:rPr>
        <w:t xml:space="preserve">, </w:t>
      </w:r>
      <w:r w:rsidR="003B0B23" w:rsidRPr="00944A90">
        <w:rPr>
          <w:rFonts w:ascii="Garamond" w:hAnsi="Garamond"/>
          <w:sz w:val="28"/>
          <w:szCs w:val="28"/>
        </w:rPr>
        <w:t>infatti</w:t>
      </w:r>
      <w:r w:rsidR="000444F9" w:rsidRPr="00944A90">
        <w:rPr>
          <w:rFonts w:ascii="Garamond" w:hAnsi="Garamond"/>
          <w:sz w:val="28"/>
          <w:szCs w:val="28"/>
        </w:rPr>
        <w:t>,</w:t>
      </w:r>
      <w:r w:rsidR="003B0B23" w:rsidRPr="00944A90">
        <w:rPr>
          <w:rFonts w:ascii="Garamond" w:hAnsi="Garamond"/>
          <w:sz w:val="28"/>
          <w:szCs w:val="28"/>
        </w:rPr>
        <w:t xml:space="preserve"> </w:t>
      </w:r>
      <w:r w:rsidR="0005760E" w:rsidRPr="00944A90">
        <w:rPr>
          <w:rFonts w:ascii="Garamond" w:hAnsi="Garamond"/>
          <w:sz w:val="28"/>
          <w:szCs w:val="28"/>
          <w:lang w:val="x-none"/>
        </w:rPr>
        <w:t xml:space="preserve">frutto dell’evoluzione in chiave liberal-democratica </w:t>
      </w:r>
      <w:r w:rsidR="003B0B23" w:rsidRPr="00944A90">
        <w:rPr>
          <w:rFonts w:ascii="Garamond" w:hAnsi="Garamond"/>
          <w:sz w:val="28"/>
          <w:szCs w:val="28"/>
        </w:rPr>
        <w:t>del</w:t>
      </w:r>
      <w:r w:rsidR="0005760E" w:rsidRPr="00944A90">
        <w:rPr>
          <w:rFonts w:ascii="Garamond" w:hAnsi="Garamond"/>
          <w:sz w:val="28"/>
          <w:szCs w:val="28"/>
          <w:lang w:val="x-none"/>
        </w:rPr>
        <w:t xml:space="preserve"> sistema istituzionale e giuridico del </w:t>
      </w:r>
      <w:r w:rsidR="003B0B23" w:rsidRPr="00944A90">
        <w:rPr>
          <w:rFonts w:ascii="Garamond" w:hAnsi="Garamond"/>
          <w:sz w:val="28"/>
          <w:szCs w:val="28"/>
        </w:rPr>
        <w:t>nostro Paese</w:t>
      </w:r>
      <w:r w:rsidR="00135529" w:rsidRPr="00944A90">
        <w:rPr>
          <w:rStyle w:val="Rimandonotaapidipagina"/>
          <w:rFonts w:ascii="Garamond" w:hAnsi="Garamond"/>
          <w:sz w:val="28"/>
          <w:szCs w:val="28"/>
        </w:rPr>
        <w:footnoteReference w:id="1"/>
      </w:r>
      <w:r w:rsidR="0005760E" w:rsidRPr="00944A90">
        <w:rPr>
          <w:rFonts w:ascii="Garamond" w:hAnsi="Garamond"/>
          <w:sz w:val="28"/>
          <w:szCs w:val="28"/>
          <w:lang w:val="x-none"/>
        </w:rPr>
        <w:t>, impensabile fino a pochi</w:t>
      </w:r>
      <w:r w:rsidR="003B0B23" w:rsidRPr="00944A90">
        <w:rPr>
          <w:rFonts w:ascii="Garamond" w:hAnsi="Garamond"/>
          <w:sz w:val="28"/>
          <w:szCs w:val="28"/>
        </w:rPr>
        <w:t xml:space="preserve"> </w:t>
      </w:r>
      <w:r w:rsidR="0005760E" w:rsidRPr="00944A90">
        <w:rPr>
          <w:rFonts w:ascii="Garamond" w:hAnsi="Garamond"/>
          <w:sz w:val="28"/>
          <w:szCs w:val="28"/>
          <w:lang w:val="x-none"/>
        </w:rPr>
        <w:t>-</w:t>
      </w:r>
      <w:r w:rsidR="003B0B23" w:rsidRPr="00944A90">
        <w:rPr>
          <w:rFonts w:ascii="Garamond" w:hAnsi="Garamond"/>
          <w:sz w:val="28"/>
          <w:szCs w:val="28"/>
        </w:rPr>
        <w:t xml:space="preserve"> </w:t>
      </w:r>
      <w:r w:rsidR="0005760E" w:rsidRPr="00944A90">
        <w:rPr>
          <w:rFonts w:ascii="Garamond" w:hAnsi="Garamond"/>
          <w:sz w:val="28"/>
          <w:szCs w:val="28"/>
          <w:lang w:val="x-none"/>
        </w:rPr>
        <w:t>tutto sommato</w:t>
      </w:r>
      <w:r w:rsidR="003B0B23" w:rsidRPr="00944A90">
        <w:rPr>
          <w:rFonts w:ascii="Garamond" w:hAnsi="Garamond"/>
          <w:sz w:val="28"/>
          <w:szCs w:val="28"/>
        </w:rPr>
        <w:t xml:space="preserve"> </w:t>
      </w:r>
      <w:r w:rsidR="0005760E" w:rsidRPr="00944A90">
        <w:rPr>
          <w:rFonts w:ascii="Garamond" w:hAnsi="Garamond"/>
          <w:sz w:val="28"/>
          <w:szCs w:val="28"/>
          <w:lang w:val="x-none"/>
        </w:rPr>
        <w:t>-</w:t>
      </w:r>
      <w:r w:rsidR="003B0B23" w:rsidRPr="00944A90">
        <w:rPr>
          <w:rFonts w:ascii="Garamond" w:hAnsi="Garamond"/>
          <w:sz w:val="28"/>
          <w:szCs w:val="28"/>
        </w:rPr>
        <w:t xml:space="preserve"> </w:t>
      </w:r>
      <w:r w:rsidR="0005760E" w:rsidRPr="00944A90">
        <w:rPr>
          <w:rFonts w:ascii="Garamond" w:hAnsi="Garamond"/>
          <w:sz w:val="28"/>
          <w:szCs w:val="28"/>
          <w:lang w:val="x-none"/>
        </w:rPr>
        <w:t>decenni fa, se solo si pensa al</w:t>
      </w:r>
      <w:r w:rsidR="00CF5145" w:rsidRPr="00944A90">
        <w:rPr>
          <w:rFonts w:ascii="Garamond" w:hAnsi="Garamond"/>
          <w:sz w:val="28"/>
          <w:szCs w:val="28"/>
        </w:rPr>
        <w:t xml:space="preserve"> regime </w:t>
      </w:r>
      <w:r w:rsidR="0005760E" w:rsidRPr="00944A90">
        <w:rPr>
          <w:rFonts w:ascii="Garamond" w:hAnsi="Garamond"/>
          <w:sz w:val="28"/>
          <w:szCs w:val="28"/>
          <w:lang w:val="x-none"/>
        </w:rPr>
        <w:t xml:space="preserve">autoritario </w:t>
      </w:r>
      <w:r w:rsidR="00CF5145" w:rsidRPr="00944A90">
        <w:rPr>
          <w:rFonts w:ascii="Garamond" w:hAnsi="Garamond"/>
          <w:sz w:val="28"/>
          <w:szCs w:val="28"/>
        </w:rPr>
        <w:t>vigente</w:t>
      </w:r>
      <w:r w:rsidR="0005760E" w:rsidRPr="00944A90">
        <w:rPr>
          <w:rFonts w:ascii="Garamond" w:hAnsi="Garamond"/>
          <w:sz w:val="28"/>
          <w:szCs w:val="28"/>
          <w:lang w:val="x-none"/>
        </w:rPr>
        <w:t xml:space="preserve"> in Italia fino al</w:t>
      </w:r>
      <w:r w:rsidR="003A1912">
        <w:rPr>
          <w:rFonts w:ascii="Garamond" w:hAnsi="Garamond"/>
          <w:sz w:val="28"/>
          <w:szCs w:val="28"/>
          <w:lang w:val="x-none"/>
        </w:rPr>
        <w:t>la metà del XX secolo.</w:t>
      </w:r>
    </w:p>
    <w:p w:rsidR="00931AA9" w:rsidRPr="00944A90" w:rsidRDefault="00725985" w:rsidP="00135529">
      <w:pPr>
        <w:ind w:firstLine="340"/>
        <w:jc w:val="both"/>
        <w:rPr>
          <w:rFonts w:ascii="Garamond" w:hAnsi="Garamond"/>
          <w:sz w:val="28"/>
          <w:szCs w:val="28"/>
          <w:lang w:val="x-none"/>
        </w:rPr>
      </w:pPr>
      <w:r w:rsidRPr="00944A90">
        <w:rPr>
          <w:rFonts w:ascii="Garamond" w:hAnsi="Garamond"/>
          <w:sz w:val="28"/>
          <w:szCs w:val="28"/>
        </w:rPr>
        <w:t xml:space="preserve">Nella sede amministrativa di composizione degli interessi e, prima ancora </w:t>
      </w:r>
      <w:r w:rsidR="000444F9" w:rsidRPr="00944A90">
        <w:rPr>
          <w:rFonts w:ascii="Garamond" w:hAnsi="Garamond"/>
          <w:sz w:val="28"/>
          <w:szCs w:val="28"/>
        </w:rPr>
        <w:t xml:space="preserve">e </w:t>
      </w:r>
      <w:r w:rsidRPr="00944A90">
        <w:rPr>
          <w:rFonts w:ascii="Garamond" w:hAnsi="Garamond"/>
          <w:sz w:val="28"/>
          <w:szCs w:val="28"/>
        </w:rPr>
        <w:t>con maggiore urgenza, nell’attività statuale per eccellenza che</w:t>
      </w:r>
      <w:r w:rsidR="000444F9" w:rsidRPr="00944A90">
        <w:rPr>
          <w:rFonts w:ascii="Garamond" w:hAnsi="Garamond"/>
          <w:sz w:val="28"/>
          <w:szCs w:val="28"/>
        </w:rPr>
        <w:t xml:space="preserve"> é</w:t>
      </w:r>
      <w:r w:rsidRPr="00944A90">
        <w:rPr>
          <w:rFonts w:ascii="Garamond" w:hAnsi="Garamond"/>
          <w:sz w:val="28"/>
          <w:szCs w:val="28"/>
        </w:rPr>
        <w:t xml:space="preserve"> il processo </w:t>
      </w:r>
      <w:r w:rsidR="006843F3" w:rsidRPr="00944A90">
        <w:rPr>
          <w:rFonts w:ascii="Garamond" w:hAnsi="Garamond"/>
          <w:sz w:val="28"/>
          <w:szCs w:val="28"/>
        </w:rPr>
        <w:t xml:space="preserve">e, in special modo, il </w:t>
      </w:r>
      <w:r w:rsidRPr="00944A90">
        <w:rPr>
          <w:rFonts w:ascii="Garamond" w:hAnsi="Garamond"/>
          <w:sz w:val="28"/>
          <w:szCs w:val="28"/>
        </w:rPr>
        <w:t xml:space="preserve">processo penale, </w:t>
      </w:r>
      <w:r w:rsidR="006843F3" w:rsidRPr="00944A90">
        <w:rPr>
          <w:rFonts w:ascii="Garamond" w:hAnsi="Garamond"/>
          <w:sz w:val="28"/>
          <w:szCs w:val="28"/>
        </w:rPr>
        <w:t xml:space="preserve">la </w:t>
      </w:r>
      <w:r w:rsidRPr="00944A90">
        <w:rPr>
          <w:rFonts w:ascii="Garamond" w:hAnsi="Garamond"/>
          <w:sz w:val="28"/>
          <w:szCs w:val="28"/>
        </w:rPr>
        <w:t xml:space="preserve">soluzione di continuità con il passato è </w:t>
      </w:r>
      <w:r w:rsidR="00EF7BAF" w:rsidRPr="00944A90">
        <w:rPr>
          <w:rFonts w:ascii="Garamond" w:hAnsi="Garamond"/>
          <w:sz w:val="28"/>
          <w:szCs w:val="28"/>
        </w:rPr>
        <w:t xml:space="preserve">derivata </w:t>
      </w:r>
      <w:r w:rsidR="00625465">
        <w:rPr>
          <w:rFonts w:ascii="Garamond" w:hAnsi="Garamond"/>
          <w:sz w:val="28"/>
          <w:szCs w:val="28"/>
        </w:rPr>
        <w:t>dalla definizione</w:t>
      </w:r>
      <w:r w:rsidRPr="00944A90">
        <w:rPr>
          <w:rFonts w:ascii="Garamond" w:hAnsi="Garamond"/>
          <w:sz w:val="28"/>
          <w:szCs w:val="28"/>
        </w:rPr>
        <w:t xml:space="preserve"> dei cosiddetti “diritti </w:t>
      </w:r>
      <w:r w:rsidRPr="00944A90">
        <w:rPr>
          <w:rFonts w:ascii="Garamond" w:hAnsi="Garamond"/>
          <w:i/>
          <w:iCs/>
          <w:sz w:val="28"/>
          <w:szCs w:val="28"/>
        </w:rPr>
        <w:t>dallo</w:t>
      </w:r>
      <w:r w:rsidRPr="00944A90">
        <w:rPr>
          <w:rFonts w:ascii="Garamond" w:hAnsi="Garamond"/>
          <w:sz w:val="28"/>
          <w:szCs w:val="28"/>
        </w:rPr>
        <w:t xml:space="preserve"> Stato“ (ossia</w:t>
      </w:r>
      <w:r w:rsidR="00EF7BAF" w:rsidRPr="00944A90">
        <w:rPr>
          <w:rFonts w:ascii="Garamond" w:hAnsi="Garamond"/>
          <w:sz w:val="28"/>
          <w:szCs w:val="28"/>
        </w:rPr>
        <w:t>,</w:t>
      </w:r>
      <w:r w:rsidRPr="00944A90">
        <w:rPr>
          <w:rFonts w:ascii="Garamond" w:hAnsi="Garamond"/>
          <w:sz w:val="28"/>
          <w:szCs w:val="28"/>
        </w:rPr>
        <w:t xml:space="preserve"> i diritti civili e politici</w:t>
      </w:r>
      <w:r w:rsidR="00EF7BAF" w:rsidRPr="00944A90">
        <w:rPr>
          <w:rFonts w:ascii="Garamond" w:hAnsi="Garamond"/>
          <w:sz w:val="28"/>
          <w:szCs w:val="28"/>
        </w:rPr>
        <w:t xml:space="preserve">, presupposto logico del riconoscimento dei diritti </w:t>
      </w:r>
      <w:r w:rsidR="00EF7BAF" w:rsidRPr="00944A90">
        <w:rPr>
          <w:rFonts w:ascii="Garamond" w:hAnsi="Garamond"/>
          <w:i/>
          <w:iCs/>
          <w:sz w:val="28"/>
          <w:szCs w:val="28"/>
        </w:rPr>
        <w:t xml:space="preserve">nello </w:t>
      </w:r>
      <w:r w:rsidR="00EF7BAF" w:rsidRPr="00944A90">
        <w:rPr>
          <w:rFonts w:ascii="Garamond" w:hAnsi="Garamond"/>
          <w:sz w:val="28"/>
          <w:szCs w:val="28"/>
        </w:rPr>
        <w:t>Stato</w:t>
      </w:r>
      <w:r w:rsidRPr="00944A90">
        <w:rPr>
          <w:rFonts w:ascii="Garamond" w:hAnsi="Garamond"/>
          <w:sz w:val="28"/>
          <w:szCs w:val="28"/>
        </w:rPr>
        <w:t>): così</w:t>
      </w:r>
      <w:r w:rsidR="00EF7BAF" w:rsidRPr="00944A90">
        <w:rPr>
          <w:rFonts w:ascii="Garamond" w:hAnsi="Garamond"/>
          <w:sz w:val="28"/>
          <w:szCs w:val="28"/>
        </w:rPr>
        <w:t>,</w:t>
      </w:r>
      <w:r w:rsidRPr="00944A90">
        <w:rPr>
          <w:rFonts w:ascii="Garamond" w:hAnsi="Garamond"/>
          <w:sz w:val="28"/>
          <w:szCs w:val="28"/>
        </w:rPr>
        <w:t xml:space="preserve"> tanto nelle indagini come nel procedimento amministrativo</w:t>
      </w:r>
      <w:r w:rsidR="00390AB1" w:rsidRPr="00944A90">
        <w:rPr>
          <w:rFonts w:ascii="Garamond" w:hAnsi="Garamond"/>
          <w:sz w:val="28"/>
          <w:szCs w:val="28"/>
        </w:rPr>
        <w:t>,</w:t>
      </w:r>
      <w:r w:rsidRPr="00944A90">
        <w:rPr>
          <w:rFonts w:ascii="Garamond" w:hAnsi="Garamond"/>
          <w:sz w:val="28"/>
          <w:szCs w:val="28"/>
        </w:rPr>
        <w:t xml:space="preserve"> sono stati </w:t>
      </w:r>
      <w:r w:rsidR="00390AB1" w:rsidRPr="00944A90">
        <w:rPr>
          <w:rFonts w:ascii="Garamond" w:hAnsi="Garamond"/>
          <w:sz w:val="28"/>
          <w:szCs w:val="28"/>
        </w:rPr>
        <w:t>enucleati</w:t>
      </w:r>
      <w:r w:rsidRPr="00944A90">
        <w:rPr>
          <w:rFonts w:ascii="Garamond" w:hAnsi="Garamond"/>
          <w:sz w:val="28"/>
          <w:szCs w:val="28"/>
        </w:rPr>
        <w:t xml:space="preserve"> il diritto al contraddittorio, il diritto </w:t>
      </w:r>
      <w:r w:rsidR="00931AA9" w:rsidRPr="00944A90">
        <w:rPr>
          <w:rFonts w:ascii="Garamond" w:hAnsi="Garamond"/>
          <w:sz w:val="28"/>
          <w:szCs w:val="28"/>
        </w:rPr>
        <w:t>di</w:t>
      </w:r>
      <w:r w:rsidRPr="00944A90">
        <w:rPr>
          <w:rFonts w:ascii="Garamond" w:hAnsi="Garamond"/>
          <w:sz w:val="28"/>
          <w:szCs w:val="28"/>
        </w:rPr>
        <w:t xml:space="preserve"> essere messi nelle condizioni di avere accesso agli atti (</w:t>
      </w:r>
      <w:r w:rsidR="00390AB1" w:rsidRPr="00944A90">
        <w:rPr>
          <w:rFonts w:ascii="Garamond" w:hAnsi="Garamond"/>
          <w:sz w:val="28"/>
          <w:szCs w:val="28"/>
        </w:rPr>
        <w:t>c.d.</w:t>
      </w:r>
      <w:r w:rsidRPr="00944A90">
        <w:rPr>
          <w:rFonts w:ascii="Garamond" w:hAnsi="Garamond"/>
          <w:sz w:val="28"/>
          <w:szCs w:val="28"/>
        </w:rPr>
        <w:t xml:space="preserve"> </w:t>
      </w:r>
      <w:r w:rsidR="00390AB1" w:rsidRPr="00944A90">
        <w:rPr>
          <w:rFonts w:ascii="Garamond" w:hAnsi="Garamond"/>
          <w:i/>
          <w:iCs/>
          <w:sz w:val="28"/>
          <w:szCs w:val="28"/>
        </w:rPr>
        <w:t>d</w:t>
      </w:r>
      <w:r w:rsidRPr="00944A90">
        <w:rPr>
          <w:rFonts w:ascii="Garamond" w:hAnsi="Garamond"/>
          <w:i/>
          <w:iCs/>
          <w:sz w:val="28"/>
          <w:szCs w:val="28"/>
        </w:rPr>
        <w:t>iscovery</w:t>
      </w:r>
      <w:r w:rsidRPr="00944A90">
        <w:rPr>
          <w:rFonts w:ascii="Garamond" w:hAnsi="Garamond"/>
          <w:sz w:val="28"/>
          <w:szCs w:val="28"/>
        </w:rPr>
        <w:t>) e di apportare</w:t>
      </w:r>
      <w:r w:rsidRPr="00944A90">
        <w:rPr>
          <w:rFonts w:ascii="Garamond" w:hAnsi="Garamond"/>
          <w:sz w:val="28"/>
          <w:szCs w:val="28"/>
          <w:lang w:val="x-none"/>
        </w:rPr>
        <w:t xml:space="preserve"> </w:t>
      </w:r>
      <w:r w:rsidR="00390AB1" w:rsidRPr="00944A90">
        <w:rPr>
          <w:rFonts w:ascii="Garamond" w:hAnsi="Garamond"/>
          <w:sz w:val="28"/>
          <w:szCs w:val="28"/>
        </w:rPr>
        <w:t>elementi</w:t>
      </w:r>
      <w:r w:rsidR="00FD19D4" w:rsidRPr="00944A90">
        <w:rPr>
          <w:rFonts w:ascii="Garamond" w:hAnsi="Garamond"/>
          <w:sz w:val="28"/>
          <w:szCs w:val="28"/>
          <w:lang w:val="x-none"/>
        </w:rPr>
        <w:t xml:space="preserve"> a proprio favore, il diritto di intervenire attivamente, il diritto di essere notizia</w:t>
      </w:r>
      <w:r w:rsidR="00931AA9" w:rsidRPr="00944A90">
        <w:rPr>
          <w:rFonts w:ascii="Garamond" w:hAnsi="Garamond"/>
          <w:sz w:val="28"/>
          <w:szCs w:val="28"/>
        </w:rPr>
        <w:t>ti</w:t>
      </w:r>
      <w:r w:rsidR="00FD19D4" w:rsidRPr="00944A90">
        <w:rPr>
          <w:rFonts w:ascii="Garamond" w:hAnsi="Garamond"/>
          <w:sz w:val="28"/>
          <w:szCs w:val="28"/>
          <w:lang w:val="x-none"/>
        </w:rPr>
        <w:t xml:space="preserve"> dell’avvio del procedimento, il diritto insomma ad intervenire in un momento ancora utile alla definizione dell’esito</w:t>
      </w:r>
      <w:r w:rsidR="00710CA0" w:rsidRPr="00944A90">
        <w:rPr>
          <w:rStyle w:val="Rimandonotaapidipagina"/>
          <w:rFonts w:ascii="Garamond" w:hAnsi="Garamond"/>
          <w:sz w:val="28"/>
          <w:szCs w:val="28"/>
          <w:lang w:val="x-none"/>
        </w:rPr>
        <w:footnoteReference w:id="2"/>
      </w:r>
      <w:r w:rsidR="00FD19D4" w:rsidRPr="00944A90">
        <w:rPr>
          <w:rFonts w:ascii="Garamond" w:hAnsi="Garamond"/>
          <w:sz w:val="28"/>
          <w:szCs w:val="28"/>
          <w:lang w:val="x-none"/>
        </w:rPr>
        <w:t xml:space="preserve">. </w:t>
      </w:r>
    </w:p>
    <w:p w:rsidR="0032046F" w:rsidRPr="00944A90" w:rsidRDefault="00FD19D4" w:rsidP="00135529">
      <w:pPr>
        <w:ind w:firstLine="340"/>
        <w:jc w:val="both"/>
        <w:rPr>
          <w:rFonts w:ascii="Garamond" w:hAnsi="Garamond"/>
          <w:sz w:val="28"/>
          <w:szCs w:val="28"/>
        </w:rPr>
      </w:pPr>
      <w:r w:rsidRPr="00944A90">
        <w:rPr>
          <w:rFonts w:ascii="Garamond" w:hAnsi="Garamond"/>
          <w:sz w:val="28"/>
          <w:szCs w:val="28"/>
          <w:lang w:val="x-none"/>
        </w:rPr>
        <w:t xml:space="preserve">La </w:t>
      </w:r>
      <w:r w:rsidR="00931AA9" w:rsidRPr="00944A90">
        <w:rPr>
          <w:rFonts w:ascii="Garamond" w:hAnsi="Garamond"/>
          <w:i/>
          <w:iCs/>
          <w:sz w:val="28"/>
          <w:szCs w:val="28"/>
        </w:rPr>
        <w:t>summa</w:t>
      </w:r>
      <w:r w:rsidRPr="00944A90">
        <w:rPr>
          <w:rFonts w:ascii="Garamond" w:hAnsi="Garamond"/>
          <w:sz w:val="28"/>
          <w:szCs w:val="28"/>
          <w:lang w:val="x-none"/>
        </w:rPr>
        <w:t xml:space="preserve"> di tali garanzie </w:t>
      </w:r>
      <w:r w:rsidR="00931AA9" w:rsidRPr="00944A90">
        <w:rPr>
          <w:rFonts w:ascii="Garamond" w:hAnsi="Garamond"/>
          <w:sz w:val="28"/>
          <w:szCs w:val="28"/>
        </w:rPr>
        <w:t>è</w:t>
      </w:r>
      <w:r w:rsidRPr="00944A90">
        <w:rPr>
          <w:rFonts w:ascii="Garamond" w:hAnsi="Garamond"/>
          <w:sz w:val="28"/>
          <w:szCs w:val="28"/>
          <w:lang w:val="x-none"/>
        </w:rPr>
        <w:t xml:space="preserve"> contenuta</w:t>
      </w:r>
      <w:r w:rsidR="007A4712" w:rsidRPr="00944A90">
        <w:rPr>
          <w:rFonts w:ascii="Garamond" w:hAnsi="Garamond"/>
          <w:sz w:val="28"/>
          <w:szCs w:val="28"/>
        </w:rPr>
        <w:t>,</w:t>
      </w:r>
      <w:r w:rsidRPr="00944A90">
        <w:rPr>
          <w:rFonts w:ascii="Garamond" w:hAnsi="Garamond"/>
          <w:sz w:val="28"/>
          <w:szCs w:val="28"/>
          <w:lang w:val="x-none"/>
        </w:rPr>
        <w:t xml:space="preserve"> </w:t>
      </w:r>
      <w:r w:rsidR="00015225" w:rsidRPr="00944A90">
        <w:rPr>
          <w:rFonts w:ascii="Garamond" w:hAnsi="Garamond"/>
          <w:sz w:val="28"/>
          <w:szCs w:val="28"/>
        </w:rPr>
        <w:t>per</w:t>
      </w:r>
      <w:r w:rsidRPr="00944A90">
        <w:rPr>
          <w:rFonts w:ascii="Garamond" w:hAnsi="Garamond"/>
          <w:sz w:val="28"/>
          <w:szCs w:val="28"/>
          <w:lang w:val="x-none"/>
        </w:rPr>
        <w:t xml:space="preserve"> quanto riguarda il versante amministrativo</w:t>
      </w:r>
      <w:r w:rsidR="007A4712" w:rsidRPr="00944A90">
        <w:rPr>
          <w:rFonts w:ascii="Garamond" w:hAnsi="Garamond"/>
          <w:sz w:val="28"/>
          <w:szCs w:val="28"/>
        </w:rPr>
        <w:t xml:space="preserve"> </w:t>
      </w:r>
      <w:r w:rsidR="00B26FEC" w:rsidRPr="00944A90">
        <w:rPr>
          <w:rFonts w:ascii="Garamond" w:hAnsi="Garamond"/>
          <w:sz w:val="28"/>
          <w:szCs w:val="28"/>
        </w:rPr>
        <w:t xml:space="preserve">della tutela </w:t>
      </w:r>
      <w:r w:rsidR="007A4712" w:rsidRPr="00944A90">
        <w:rPr>
          <w:rFonts w:ascii="Garamond" w:hAnsi="Garamond"/>
          <w:sz w:val="28"/>
          <w:szCs w:val="28"/>
        </w:rPr>
        <w:t>che qui interessa,</w:t>
      </w:r>
      <w:r w:rsidRPr="00944A90">
        <w:rPr>
          <w:rFonts w:ascii="Garamond" w:hAnsi="Garamond"/>
          <w:sz w:val="28"/>
          <w:szCs w:val="28"/>
          <w:lang w:val="x-none"/>
        </w:rPr>
        <w:t xml:space="preserve"> nella legge</w:t>
      </w:r>
      <w:r w:rsidR="00604193" w:rsidRPr="00944A90">
        <w:rPr>
          <w:rFonts w:ascii="Garamond" w:hAnsi="Garamond"/>
          <w:sz w:val="28"/>
          <w:szCs w:val="28"/>
        </w:rPr>
        <w:t xml:space="preserve"> 7 agosto 1990, n.</w:t>
      </w:r>
      <w:r w:rsidRPr="00944A90">
        <w:rPr>
          <w:rFonts w:ascii="Garamond" w:hAnsi="Garamond"/>
          <w:sz w:val="28"/>
          <w:szCs w:val="28"/>
          <w:lang w:val="x-none"/>
        </w:rPr>
        <w:t xml:space="preserve"> 24</w:t>
      </w:r>
      <w:r w:rsidR="007A4712" w:rsidRPr="00944A90">
        <w:rPr>
          <w:rFonts w:ascii="Garamond" w:hAnsi="Garamond"/>
          <w:sz w:val="28"/>
          <w:szCs w:val="28"/>
        </w:rPr>
        <w:t>1</w:t>
      </w:r>
      <w:r w:rsidR="00604193" w:rsidRPr="00944A90">
        <w:rPr>
          <w:rFonts w:ascii="Garamond" w:hAnsi="Garamond"/>
          <w:sz w:val="28"/>
          <w:szCs w:val="28"/>
        </w:rPr>
        <w:t xml:space="preserve">, </w:t>
      </w:r>
      <w:r w:rsidRPr="00944A90">
        <w:rPr>
          <w:rFonts w:ascii="Garamond" w:hAnsi="Garamond"/>
          <w:sz w:val="28"/>
          <w:szCs w:val="28"/>
          <w:lang w:val="x-none"/>
        </w:rPr>
        <w:t xml:space="preserve">cosiddetta </w:t>
      </w:r>
      <w:r w:rsidR="00604193" w:rsidRPr="00944A90">
        <w:rPr>
          <w:rFonts w:ascii="Garamond" w:hAnsi="Garamond"/>
          <w:i/>
          <w:sz w:val="28"/>
          <w:szCs w:val="28"/>
        </w:rPr>
        <w:t>L</w:t>
      </w:r>
      <w:r w:rsidRPr="00944A90">
        <w:rPr>
          <w:rFonts w:ascii="Garamond" w:hAnsi="Garamond"/>
          <w:i/>
          <w:sz w:val="28"/>
          <w:szCs w:val="28"/>
          <w:lang w:val="x-none"/>
        </w:rPr>
        <w:t>egge sul procedimento amministrativo</w:t>
      </w:r>
      <w:r w:rsidR="00604193" w:rsidRPr="00944A90">
        <w:rPr>
          <w:rFonts w:ascii="Garamond" w:hAnsi="Garamond"/>
          <w:sz w:val="28"/>
          <w:szCs w:val="28"/>
        </w:rPr>
        <w:t>,</w:t>
      </w:r>
      <w:r w:rsidRPr="00944A90">
        <w:rPr>
          <w:rFonts w:ascii="Garamond" w:hAnsi="Garamond"/>
          <w:sz w:val="28"/>
          <w:szCs w:val="28"/>
          <w:lang w:val="x-none"/>
        </w:rPr>
        <w:t xml:space="preserve"> che </w:t>
      </w:r>
      <w:r w:rsidR="00990590">
        <w:rPr>
          <w:rFonts w:ascii="Garamond" w:hAnsi="Garamond"/>
          <w:sz w:val="28"/>
          <w:szCs w:val="28"/>
        </w:rPr>
        <w:t>regolamenta</w:t>
      </w:r>
      <w:r w:rsidR="00A97DB6" w:rsidRPr="00944A90">
        <w:rPr>
          <w:rFonts w:ascii="Garamond" w:hAnsi="Garamond"/>
          <w:sz w:val="28"/>
          <w:szCs w:val="28"/>
        </w:rPr>
        <w:t xml:space="preserve"> </w:t>
      </w:r>
      <w:r w:rsidR="00883D5C" w:rsidRPr="00944A90">
        <w:rPr>
          <w:rFonts w:ascii="Garamond" w:hAnsi="Garamond"/>
          <w:sz w:val="28"/>
          <w:szCs w:val="28"/>
          <w:lang w:val="x-none"/>
        </w:rPr>
        <w:t>analiticamente</w:t>
      </w:r>
      <w:r w:rsidR="00883D5C" w:rsidRPr="00944A90">
        <w:rPr>
          <w:rFonts w:ascii="Garamond" w:hAnsi="Garamond"/>
          <w:sz w:val="28"/>
          <w:szCs w:val="28"/>
        </w:rPr>
        <w:t xml:space="preserve"> </w:t>
      </w:r>
      <w:r w:rsidR="00A97DB6" w:rsidRPr="00944A90">
        <w:rPr>
          <w:rFonts w:ascii="Garamond" w:hAnsi="Garamond"/>
          <w:sz w:val="28"/>
          <w:szCs w:val="28"/>
        </w:rPr>
        <w:t xml:space="preserve">le </w:t>
      </w:r>
      <w:r w:rsidRPr="00944A90">
        <w:rPr>
          <w:rFonts w:ascii="Garamond" w:hAnsi="Garamond"/>
          <w:sz w:val="28"/>
          <w:szCs w:val="28"/>
          <w:lang w:val="x-none"/>
        </w:rPr>
        <w:t xml:space="preserve">singole fasi del procedimento amministrativo ed interviene a conferire dignità e forza di legge a previsioni fino ad allora </w:t>
      </w:r>
      <w:r w:rsidR="00883D5C">
        <w:rPr>
          <w:rFonts w:ascii="Garamond" w:hAnsi="Garamond"/>
          <w:sz w:val="28"/>
          <w:szCs w:val="28"/>
        </w:rPr>
        <w:lastRenderedPageBreak/>
        <w:t xml:space="preserve">soltanto </w:t>
      </w:r>
      <w:r w:rsidRPr="00944A90">
        <w:rPr>
          <w:rFonts w:ascii="Garamond" w:hAnsi="Garamond"/>
          <w:sz w:val="28"/>
          <w:szCs w:val="28"/>
          <w:lang w:val="x-none"/>
        </w:rPr>
        <w:t>estrapolate dal sistema,</w:t>
      </w:r>
      <w:r w:rsidR="00A03373" w:rsidRPr="00944A90">
        <w:rPr>
          <w:rFonts w:ascii="Garamond" w:hAnsi="Garamond"/>
          <w:sz w:val="28"/>
          <w:szCs w:val="28"/>
        </w:rPr>
        <w:t xml:space="preserve"> portato al </w:t>
      </w:r>
      <w:r w:rsidR="00B26FEC" w:rsidRPr="00944A90">
        <w:rPr>
          <w:rFonts w:ascii="Garamond" w:hAnsi="Garamond"/>
          <w:sz w:val="28"/>
          <w:szCs w:val="28"/>
        </w:rPr>
        <w:t xml:space="preserve">suo </w:t>
      </w:r>
      <w:r w:rsidR="00A03373" w:rsidRPr="00944A90">
        <w:rPr>
          <w:rFonts w:ascii="Garamond" w:hAnsi="Garamond"/>
          <w:sz w:val="28"/>
          <w:szCs w:val="28"/>
        </w:rPr>
        <w:t>punto di massima espansione, da</w:t>
      </w:r>
      <w:r w:rsidR="0032046F" w:rsidRPr="00944A90">
        <w:rPr>
          <w:rFonts w:ascii="Garamond" w:hAnsi="Garamond"/>
          <w:sz w:val="28"/>
          <w:szCs w:val="28"/>
        </w:rPr>
        <w:t xml:space="preserve"> quei</w:t>
      </w:r>
      <w:r w:rsidR="00A03373" w:rsidRPr="00944A90">
        <w:rPr>
          <w:rFonts w:ascii="Garamond" w:hAnsi="Garamond"/>
          <w:sz w:val="28"/>
          <w:szCs w:val="28"/>
        </w:rPr>
        <w:t xml:space="preserve"> </w:t>
      </w:r>
      <w:r w:rsidR="0032046F" w:rsidRPr="00944A90">
        <w:rPr>
          <w:rFonts w:ascii="Garamond" w:hAnsi="Garamond"/>
          <w:sz w:val="28"/>
          <w:szCs w:val="28"/>
        </w:rPr>
        <w:t>“</w:t>
      </w:r>
      <w:r w:rsidR="00A03373" w:rsidRPr="00944A90">
        <w:rPr>
          <w:rFonts w:ascii="Garamond" w:hAnsi="Garamond"/>
          <w:sz w:val="28"/>
          <w:szCs w:val="28"/>
        </w:rPr>
        <w:t xml:space="preserve">pretori </w:t>
      </w:r>
      <w:r w:rsidR="0032046F" w:rsidRPr="00944A90">
        <w:rPr>
          <w:rFonts w:ascii="Garamond" w:hAnsi="Garamond"/>
          <w:sz w:val="28"/>
          <w:szCs w:val="28"/>
        </w:rPr>
        <w:t>d’assalto”</w:t>
      </w:r>
      <w:r w:rsidR="00A03373" w:rsidRPr="00944A90">
        <w:rPr>
          <w:rFonts w:ascii="Garamond" w:hAnsi="Garamond"/>
          <w:sz w:val="28"/>
          <w:szCs w:val="28"/>
        </w:rPr>
        <w:t xml:space="preserve"> cui la nostra storia giuridica deve </w:t>
      </w:r>
      <w:r w:rsidR="0032046F" w:rsidRPr="00944A90">
        <w:rPr>
          <w:rFonts w:ascii="Garamond" w:hAnsi="Garamond"/>
          <w:sz w:val="28"/>
          <w:szCs w:val="28"/>
        </w:rPr>
        <w:t>molto</w:t>
      </w:r>
      <w:r w:rsidR="00A03373" w:rsidRPr="00944A90">
        <w:rPr>
          <w:rFonts w:ascii="Garamond" w:hAnsi="Garamond"/>
          <w:sz w:val="28"/>
          <w:szCs w:val="28"/>
        </w:rPr>
        <w:t xml:space="preserve">. </w:t>
      </w:r>
    </w:p>
    <w:p w:rsidR="001C6F69" w:rsidRPr="00944A90" w:rsidRDefault="00A03373" w:rsidP="00135529">
      <w:pPr>
        <w:ind w:firstLine="340"/>
        <w:jc w:val="both"/>
        <w:rPr>
          <w:rFonts w:ascii="Garamond" w:hAnsi="Garamond"/>
          <w:sz w:val="28"/>
          <w:szCs w:val="28"/>
        </w:rPr>
      </w:pPr>
      <w:r w:rsidRPr="00944A90">
        <w:rPr>
          <w:rFonts w:ascii="Garamond" w:hAnsi="Garamond"/>
          <w:sz w:val="28"/>
          <w:szCs w:val="28"/>
        </w:rPr>
        <w:t xml:space="preserve">I diritti di cui agli articoli </w:t>
      </w:r>
      <w:r w:rsidR="0032046F" w:rsidRPr="00944A90">
        <w:rPr>
          <w:rFonts w:ascii="Garamond" w:hAnsi="Garamond"/>
          <w:sz w:val="28"/>
          <w:szCs w:val="28"/>
        </w:rPr>
        <w:t>7</w:t>
      </w:r>
      <w:r w:rsidRPr="00944A90">
        <w:rPr>
          <w:rFonts w:ascii="Garamond" w:hAnsi="Garamond"/>
          <w:sz w:val="28"/>
          <w:szCs w:val="28"/>
        </w:rPr>
        <w:t xml:space="preserve"> e seguenti della legge </w:t>
      </w:r>
      <w:r w:rsidR="002A56EB" w:rsidRPr="00944A90">
        <w:rPr>
          <w:rFonts w:ascii="Garamond" w:hAnsi="Garamond"/>
          <w:sz w:val="28"/>
          <w:szCs w:val="28"/>
        </w:rPr>
        <w:t>citata</w:t>
      </w:r>
      <w:r w:rsidRPr="00944A90">
        <w:rPr>
          <w:rFonts w:ascii="Garamond" w:hAnsi="Garamond"/>
          <w:sz w:val="28"/>
          <w:szCs w:val="28"/>
        </w:rPr>
        <w:t xml:space="preserve">, tuttavia, si inseriscono pur sempre in un procedimento amministrativo, </w:t>
      </w:r>
      <w:r w:rsidR="008E0018" w:rsidRPr="00944A90">
        <w:rPr>
          <w:rFonts w:ascii="Garamond" w:hAnsi="Garamond"/>
          <w:sz w:val="28"/>
          <w:szCs w:val="28"/>
        </w:rPr>
        <w:t xml:space="preserve">luogo </w:t>
      </w:r>
      <w:r w:rsidR="002A56EB" w:rsidRPr="00944A90">
        <w:rPr>
          <w:rFonts w:ascii="Garamond" w:hAnsi="Garamond"/>
          <w:sz w:val="28"/>
          <w:szCs w:val="28"/>
        </w:rPr>
        <w:t>d’elezione</w:t>
      </w:r>
      <w:r w:rsidRPr="00944A90">
        <w:rPr>
          <w:rFonts w:ascii="Garamond" w:hAnsi="Garamond"/>
          <w:sz w:val="28"/>
          <w:szCs w:val="28"/>
        </w:rPr>
        <w:t xml:space="preserve"> del confronto tra pubblico e privato, finalizzato alla composizione del conflitto tra gli interessi di cui</w:t>
      </w:r>
      <w:r w:rsidR="002A56EB" w:rsidRPr="00944A90">
        <w:rPr>
          <w:rFonts w:ascii="Garamond" w:hAnsi="Garamond"/>
          <w:sz w:val="28"/>
          <w:szCs w:val="28"/>
        </w:rPr>
        <w:t xml:space="preserve"> essi</w:t>
      </w:r>
      <w:r w:rsidRPr="00944A90">
        <w:rPr>
          <w:rFonts w:ascii="Garamond" w:hAnsi="Garamond"/>
          <w:sz w:val="28"/>
          <w:szCs w:val="28"/>
        </w:rPr>
        <w:t xml:space="preserve"> sono portatori,</w:t>
      </w:r>
      <w:r w:rsidR="002328CA" w:rsidRPr="00944A90">
        <w:rPr>
          <w:rFonts w:ascii="Garamond" w:hAnsi="Garamond"/>
          <w:sz w:val="28"/>
          <w:szCs w:val="28"/>
        </w:rPr>
        <w:t xml:space="preserve"> anche in chiave deflattiva del </w:t>
      </w:r>
      <w:r w:rsidRPr="00944A90">
        <w:rPr>
          <w:rFonts w:ascii="Garamond" w:hAnsi="Garamond"/>
          <w:sz w:val="28"/>
          <w:szCs w:val="28"/>
        </w:rPr>
        <w:t xml:space="preserve">contenzioso, e soprattutto </w:t>
      </w:r>
      <w:r w:rsidR="00321A91" w:rsidRPr="00944A90">
        <w:rPr>
          <w:rFonts w:ascii="Garamond" w:hAnsi="Garamond"/>
          <w:sz w:val="28"/>
          <w:szCs w:val="28"/>
        </w:rPr>
        <w:t>teleol</w:t>
      </w:r>
      <w:r w:rsidRPr="00944A90">
        <w:rPr>
          <w:rFonts w:ascii="Garamond" w:hAnsi="Garamond"/>
          <w:sz w:val="28"/>
          <w:szCs w:val="28"/>
        </w:rPr>
        <w:t>ogicamente orientato al</w:t>
      </w:r>
      <w:r w:rsidR="00321A91" w:rsidRPr="00944A90">
        <w:rPr>
          <w:rFonts w:ascii="Garamond" w:hAnsi="Garamond"/>
          <w:sz w:val="28"/>
          <w:szCs w:val="28"/>
        </w:rPr>
        <w:t xml:space="preserve">l’emanazione del </w:t>
      </w:r>
      <w:r w:rsidRPr="00944A90">
        <w:rPr>
          <w:rFonts w:ascii="Garamond" w:hAnsi="Garamond"/>
          <w:sz w:val="28"/>
          <w:szCs w:val="28"/>
        </w:rPr>
        <w:t xml:space="preserve">provvedimento, con il quale </w:t>
      </w:r>
      <w:r w:rsidR="00FD2026" w:rsidRPr="00944A90">
        <w:rPr>
          <w:rFonts w:ascii="Garamond" w:hAnsi="Garamond"/>
          <w:sz w:val="28"/>
          <w:szCs w:val="28"/>
        </w:rPr>
        <w:t xml:space="preserve">la Pubblica Amministrazione </w:t>
      </w:r>
      <w:r w:rsidRPr="00944A90">
        <w:rPr>
          <w:rFonts w:ascii="Garamond" w:hAnsi="Garamond"/>
          <w:sz w:val="28"/>
          <w:szCs w:val="28"/>
        </w:rPr>
        <w:t>individua i</w:t>
      </w:r>
      <w:r w:rsidR="00321A91" w:rsidRPr="00944A90">
        <w:rPr>
          <w:rFonts w:ascii="Garamond" w:hAnsi="Garamond"/>
          <w:sz w:val="28"/>
          <w:szCs w:val="28"/>
        </w:rPr>
        <w:t>l</w:t>
      </w:r>
      <w:r w:rsidRPr="00944A90">
        <w:rPr>
          <w:rFonts w:ascii="Garamond" w:hAnsi="Garamond"/>
          <w:sz w:val="28"/>
          <w:szCs w:val="28"/>
        </w:rPr>
        <w:t xml:space="preserve"> modo </w:t>
      </w:r>
      <w:r w:rsidR="00FD2026" w:rsidRPr="00944A90">
        <w:rPr>
          <w:rFonts w:ascii="Garamond" w:hAnsi="Garamond"/>
          <w:sz w:val="28"/>
          <w:szCs w:val="28"/>
        </w:rPr>
        <w:t xml:space="preserve">- </w:t>
      </w:r>
      <w:r w:rsidRPr="00944A90">
        <w:rPr>
          <w:rFonts w:ascii="Garamond" w:hAnsi="Garamond"/>
          <w:sz w:val="28"/>
          <w:szCs w:val="28"/>
        </w:rPr>
        <w:t xml:space="preserve">meno </w:t>
      </w:r>
      <w:r w:rsidR="000D36E9" w:rsidRPr="00944A90">
        <w:rPr>
          <w:rFonts w:ascii="Garamond" w:hAnsi="Garamond"/>
          <w:sz w:val="28"/>
          <w:szCs w:val="28"/>
        </w:rPr>
        <w:t>gravoso</w:t>
      </w:r>
      <w:r w:rsidRPr="00944A90">
        <w:rPr>
          <w:rFonts w:ascii="Garamond" w:hAnsi="Garamond"/>
          <w:sz w:val="28"/>
          <w:szCs w:val="28"/>
        </w:rPr>
        <w:t xml:space="preserve"> per il privato</w:t>
      </w:r>
      <w:r w:rsidR="00FD2026" w:rsidRPr="00944A90">
        <w:rPr>
          <w:rFonts w:ascii="Garamond" w:hAnsi="Garamond"/>
          <w:sz w:val="28"/>
          <w:szCs w:val="28"/>
        </w:rPr>
        <w:t xml:space="preserve"> - </w:t>
      </w:r>
      <w:r w:rsidRPr="00944A90">
        <w:rPr>
          <w:rFonts w:ascii="Garamond" w:hAnsi="Garamond"/>
          <w:sz w:val="28"/>
          <w:szCs w:val="28"/>
        </w:rPr>
        <w:t>di realizzare l’interesse pubblico, il quale si assume essere</w:t>
      </w:r>
      <w:r w:rsidR="003469E8" w:rsidRPr="00944A90">
        <w:rPr>
          <w:rFonts w:ascii="Garamond" w:hAnsi="Garamond"/>
          <w:sz w:val="28"/>
          <w:szCs w:val="28"/>
        </w:rPr>
        <w:t xml:space="preserve">, </w:t>
      </w:r>
      <w:r w:rsidR="008E0018" w:rsidRPr="00944A90">
        <w:rPr>
          <w:rFonts w:ascii="Garamond" w:hAnsi="Garamond"/>
          <w:sz w:val="28"/>
          <w:szCs w:val="28"/>
        </w:rPr>
        <w:t>in ultima analisi</w:t>
      </w:r>
      <w:r w:rsidR="003469E8" w:rsidRPr="00944A90">
        <w:rPr>
          <w:rFonts w:ascii="Garamond" w:hAnsi="Garamond"/>
          <w:sz w:val="28"/>
          <w:szCs w:val="28"/>
        </w:rPr>
        <w:t xml:space="preserve"> e comunque, l’interesse comune ad entrambe le parti</w:t>
      </w:r>
      <w:r w:rsidR="00015225" w:rsidRPr="00944A90">
        <w:rPr>
          <w:rStyle w:val="Rimandonotaapidipagina"/>
          <w:rFonts w:ascii="Garamond" w:hAnsi="Garamond"/>
          <w:sz w:val="28"/>
          <w:szCs w:val="28"/>
        </w:rPr>
        <w:footnoteReference w:id="3"/>
      </w:r>
      <w:r w:rsidR="003469E8" w:rsidRPr="00944A90">
        <w:rPr>
          <w:rFonts w:ascii="Garamond" w:hAnsi="Garamond"/>
          <w:sz w:val="28"/>
          <w:szCs w:val="28"/>
        </w:rPr>
        <w:t xml:space="preserve">. </w:t>
      </w:r>
    </w:p>
    <w:p w:rsidR="00CF5145" w:rsidRPr="00944A90" w:rsidRDefault="003469E8" w:rsidP="00135529">
      <w:pPr>
        <w:ind w:firstLine="340"/>
        <w:jc w:val="both"/>
        <w:rPr>
          <w:rFonts w:ascii="Garamond" w:hAnsi="Garamond"/>
          <w:sz w:val="28"/>
          <w:szCs w:val="28"/>
        </w:rPr>
      </w:pPr>
      <w:r w:rsidRPr="00944A90">
        <w:rPr>
          <w:rFonts w:ascii="Garamond" w:hAnsi="Garamond"/>
          <w:sz w:val="28"/>
          <w:szCs w:val="28"/>
        </w:rPr>
        <w:t>L’idea è</w:t>
      </w:r>
      <w:r w:rsidR="008E0018" w:rsidRPr="00944A90">
        <w:rPr>
          <w:rFonts w:ascii="Garamond" w:hAnsi="Garamond"/>
          <w:sz w:val="28"/>
          <w:szCs w:val="28"/>
        </w:rPr>
        <w:t>,</w:t>
      </w:r>
      <w:r w:rsidRPr="00944A90">
        <w:rPr>
          <w:rFonts w:ascii="Garamond" w:hAnsi="Garamond"/>
          <w:sz w:val="28"/>
          <w:szCs w:val="28"/>
        </w:rPr>
        <w:t xml:space="preserve"> in altre parole</w:t>
      </w:r>
      <w:r w:rsidR="008E0018" w:rsidRPr="00944A90">
        <w:rPr>
          <w:rFonts w:ascii="Garamond" w:hAnsi="Garamond"/>
          <w:sz w:val="28"/>
          <w:szCs w:val="28"/>
        </w:rPr>
        <w:t>,</w:t>
      </w:r>
      <w:r w:rsidRPr="00944A90">
        <w:rPr>
          <w:rFonts w:ascii="Garamond" w:hAnsi="Garamond"/>
          <w:sz w:val="28"/>
          <w:szCs w:val="28"/>
        </w:rPr>
        <w:t xml:space="preserve"> </w:t>
      </w:r>
      <w:r w:rsidR="001C6F69" w:rsidRPr="00944A90">
        <w:rPr>
          <w:rFonts w:ascii="Garamond" w:hAnsi="Garamond"/>
          <w:sz w:val="28"/>
          <w:szCs w:val="28"/>
        </w:rPr>
        <w:t>che il</w:t>
      </w:r>
      <w:r w:rsidRPr="00944A90">
        <w:rPr>
          <w:rFonts w:ascii="Garamond" w:hAnsi="Garamond"/>
          <w:sz w:val="28"/>
          <w:szCs w:val="28"/>
        </w:rPr>
        <w:t xml:space="preserve"> privato partecipi adducendo le ragioni e producendo</w:t>
      </w:r>
      <w:r w:rsidR="001C6F69" w:rsidRPr="00944A90">
        <w:rPr>
          <w:rFonts w:ascii="Garamond" w:hAnsi="Garamond"/>
          <w:sz w:val="28"/>
          <w:szCs w:val="28"/>
        </w:rPr>
        <w:t xml:space="preserve"> i</w:t>
      </w:r>
      <w:r w:rsidRPr="00944A90">
        <w:rPr>
          <w:rFonts w:ascii="Garamond" w:hAnsi="Garamond"/>
          <w:sz w:val="28"/>
          <w:szCs w:val="28"/>
        </w:rPr>
        <w:t xml:space="preserve"> documenti a sostegno della propria posizione, in un’ottica</w:t>
      </w:r>
      <w:r w:rsidR="001C6F69" w:rsidRPr="00944A90">
        <w:rPr>
          <w:rFonts w:ascii="Garamond" w:hAnsi="Garamond"/>
          <w:sz w:val="28"/>
          <w:szCs w:val="28"/>
        </w:rPr>
        <w:t xml:space="preserve"> di partecipazione</w:t>
      </w:r>
      <w:r w:rsidRPr="00944A90">
        <w:rPr>
          <w:rFonts w:ascii="Garamond" w:hAnsi="Garamond"/>
          <w:sz w:val="28"/>
          <w:szCs w:val="28"/>
        </w:rPr>
        <w:t xml:space="preserve"> che nasce come difensiva ma che viene valorizzata anche e soprattutto nella sua </w:t>
      </w:r>
      <w:r w:rsidR="009667E6" w:rsidRPr="00944A90">
        <w:rPr>
          <w:rFonts w:ascii="Garamond" w:hAnsi="Garamond"/>
          <w:sz w:val="28"/>
          <w:szCs w:val="28"/>
        </w:rPr>
        <w:t>dimensione</w:t>
      </w:r>
      <w:r w:rsidRPr="00944A90">
        <w:rPr>
          <w:rFonts w:ascii="Garamond" w:hAnsi="Garamond"/>
          <w:sz w:val="28"/>
          <w:szCs w:val="28"/>
        </w:rPr>
        <w:t xml:space="preserve"> collaborativa</w:t>
      </w:r>
      <w:r w:rsidR="00DF3277" w:rsidRPr="00944A90">
        <w:rPr>
          <w:rStyle w:val="Rimandonotaapidipagina"/>
          <w:rFonts w:ascii="Garamond" w:hAnsi="Garamond"/>
          <w:sz w:val="28"/>
          <w:szCs w:val="28"/>
        </w:rPr>
        <w:footnoteReference w:id="4"/>
      </w:r>
      <w:r w:rsidRPr="00944A90">
        <w:rPr>
          <w:rFonts w:ascii="Garamond" w:hAnsi="Garamond"/>
          <w:sz w:val="28"/>
          <w:szCs w:val="28"/>
        </w:rPr>
        <w:t xml:space="preserve">: cosicché, anche nell’ipotesi in cui l’interesse del privato sia evidentemente </w:t>
      </w:r>
      <w:r w:rsidRPr="00944A90">
        <w:rPr>
          <w:rFonts w:ascii="Garamond" w:hAnsi="Garamond"/>
          <w:sz w:val="28"/>
          <w:szCs w:val="28"/>
        </w:rPr>
        <w:lastRenderedPageBreak/>
        <w:t>destinato a so</w:t>
      </w:r>
      <w:r w:rsidR="008B2658" w:rsidRPr="00944A90">
        <w:rPr>
          <w:rFonts w:ascii="Garamond" w:hAnsi="Garamond"/>
          <w:sz w:val="28"/>
          <w:szCs w:val="28"/>
        </w:rPr>
        <w:t>ccombere, il suo apporto risulterebbe</w:t>
      </w:r>
      <w:r w:rsidRPr="00944A90">
        <w:rPr>
          <w:rFonts w:ascii="Garamond" w:hAnsi="Garamond"/>
          <w:sz w:val="28"/>
          <w:szCs w:val="28"/>
        </w:rPr>
        <w:t xml:space="preserve"> comunque utile perché</w:t>
      </w:r>
      <w:r w:rsidR="009667E6" w:rsidRPr="00944A90">
        <w:rPr>
          <w:rFonts w:ascii="Garamond" w:hAnsi="Garamond"/>
          <w:sz w:val="28"/>
          <w:szCs w:val="28"/>
        </w:rPr>
        <w:t>,</w:t>
      </w:r>
      <w:r w:rsidRPr="00944A90">
        <w:rPr>
          <w:rFonts w:ascii="Garamond" w:hAnsi="Garamond"/>
          <w:sz w:val="28"/>
          <w:szCs w:val="28"/>
        </w:rPr>
        <w:t xml:space="preserve"> </w:t>
      </w:r>
      <w:r w:rsidR="009667E6" w:rsidRPr="00944A90">
        <w:rPr>
          <w:rFonts w:ascii="Garamond" w:hAnsi="Garamond"/>
          <w:sz w:val="28"/>
          <w:szCs w:val="28"/>
        </w:rPr>
        <w:t>collab</w:t>
      </w:r>
      <w:r w:rsidRPr="00944A90">
        <w:rPr>
          <w:rFonts w:ascii="Garamond" w:hAnsi="Garamond"/>
          <w:sz w:val="28"/>
          <w:szCs w:val="28"/>
        </w:rPr>
        <w:t>orando con l’amministrazione</w:t>
      </w:r>
      <w:r w:rsidR="009667E6" w:rsidRPr="00944A90">
        <w:rPr>
          <w:rFonts w:ascii="Garamond" w:hAnsi="Garamond"/>
          <w:sz w:val="28"/>
          <w:szCs w:val="28"/>
        </w:rPr>
        <w:t>,</w:t>
      </w:r>
      <w:r w:rsidRPr="00944A90">
        <w:rPr>
          <w:rFonts w:ascii="Garamond" w:hAnsi="Garamond"/>
          <w:sz w:val="28"/>
          <w:szCs w:val="28"/>
        </w:rPr>
        <w:t xml:space="preserve"> </w:t>
      </w:r>
      <w:r w:rsidR="009667E6" w:rsidRPr="00944A90">
        <w:rPr>
          <w:rFonts w:ascii="Garamond" w:hAnsi="Garamond"/>
          <w:sz w:val="28"/>
          <w:szCs w:val="28"/>
        </w:rPr>
        <w:t>la</w:t>
      </w:r>
      <w:r w:rsidR="004435EA" w:rsidRPr="00944A90">
        <w:rPr>
          <w:rFonts w:ascii="Garamond" w:hAnsi="Garamond"/>
          <w:sz w:val="28"/>
          <w:szCs w:val="28"/>
        </w:rPr>
        <w:t xml:space="preserve"> aiut</w:t>
      </w:r>
      <w:r w:rsidR="008B2658" w:rsidRPr="00944A90">
        <w:rPr>
          <w:rFonts w:ascii="Garamond" w:hAnsi="Garamond"/>
          <w:sz w:val="28"/>
          <w:szCs w:val="28"/>
        </w:rPr>
        <w:t>erebbe</w:t>
      </w:r>
      <w:r w:rsidR="004435EA" w:rsidRPr="00944A90">
        <w:rPr>
          <w:rFonts w:ascii="Garamond" w:hAnsi="Garamond"/>
          <w:sz w:val="28"/>
          <w:szCs w:val="28"/>
        </w:rPr>
        <w:t xml:space="preserve"> a perseguire al meglio l’interesse pubblico. Così declinati</w:t>
      </w:r>
      <w:r w:rsidR="009667E6" w:rsidRPr="00944A90">
        <w:rPr>
          <w:rFonts w:ascii="Garamond" w:hAnsi="Garamond"/>
          <w:sz w:val="28"/>
          <w:szCs w:val="28"/>
        </w:rPr>
        <w:t>,</w:t>
      </w:r>
      <w:r w:rsidR="004435EA" w:rsidRPr="00944A90">
        <w:rPr>
          <w:rFonts w:ascii="Garamond" w:hAnsi="Garamond"/>
          <w:sz w:val="28"/>
          <w:szCs w:val="28"/>
        </w:rPr>
        <w:t xml:space="preserve"> quelli che sono definiti </w:t>
      </w:r>
      <w:r w:rsidR="004435EA" w:rsidRPr="00944A90">
        <w:rPr>
          <w:rFonts w:ascii="Garamond" w:hAnsi="Garamond"/>
          <w:i/>
          <w:iCs/>
          <w:sz w:val="28"/>
          <w:szCs w:val="28"/>
        </w:rPr>
        <w:t>diritti</w:t>
      </w:r>
      <w:r w:rsidR="004435EA" w:rsidRPr="00944A90">
        <w:rPr>
          <w:rFonts w:ascii="Garamond" w:hAnsi="Garamond"/>
          <w:sz w:val="28"/>
          <w:szCs w:val="28"/>
        </w:rPr>
        <w:t xml:space="preserve"> partecipativi del privato rivelano di essere</w:t>
      </w:r>
      <w:r w:rsidR="000404EE" w:rsidRPr="00944A90">
        <w:rPr>
          <w:rFonts w:ascii="Garamond" w:hAnsi="Garamond"/>
          <w:sz w:val="28"/>
          <w:szCs w:val="28"/>
        </w:rPr>
        <w:t>,</w:t>
      </w:r>
      <w:r w:rsidR="004435EA" w:rsidRPr="00944A90">
        <w:rPr>
          <w:rFonts w:ascii="Garamond" w:hAnsi="Garamond"/>
          <w:sz w:val="28"/>
          <w:szCs w:val="28"/>
        </w:rPr>
        <w:t xml:space="preserve"> in realtà</w:t>
      </w:r>
      <w:r w:rsidR="000404EE" w:rsidRPr="00944A90">
        <w:rPr>
          <w:rFonts w:ascii="Garamond" w:hAnsi="Garamond"/>
          <w:sz w:val="28"/>
          <w:szCs w:val="28"/>
        </w:rPr>
        <w:t>, meri</w:t>
      </w:r>
      <w:r w:rsidR="004435EA" w:rsidRPr="00944A90">
        <w:rPr>
          <w:rFonts w:ascii="Garamond" w:hAnsi="Garamond"/>
          <w:sz w:val="28"/>
          <w:szCs w:val="28"/>
        </w:rPr>
        <w:t xml:space="preserve"> interessi legittimi al corretto esercizio del potere e quindi la loro portata </w:t>
      </w:r>
      <w:r w:rsidR="000404EE" w:rsidRPr="00944A90">
        <w:rPr>
          <w:rFonts w:ascii="Garamond" w:hAnsi="Garamond"/>
          <w:sz w:val="28"/>
          <w:szCs w:val="28"/>
        </w:rPr>
        <w:t>si</w:t>
      </w:r>
      <w:r w:rsidR="004435EA" w:rsidRPr="00944A90">
        <w:rPr>
          <w:rFonts w:ascii="Garamond" w:hAnsi="Garamond"/>
          <w:sz w:val="28"/>
          <w:szCs w:val="28"/>
        </w:rPr>
        <w:t xml:space="preserve"> </w:t>
      </w:r>
      <w:r w:rsidR="000404EE" w:rsidRPr="00944A90">
        <w:rPr>
          <w:rFonts w:ascii="Garamond" w:hAnsi="Garamond"/>
          <w:sz w:val="28"/>
          <w:szCs w:val="28"/>
        </w:rPr>
        <w:t>ri</w:t>
      </w:r>
      <w:r w:rsidR="004435EA" w:rsidRPr="00944A90">
        <w:rPr>
          <w:rFonts w:ascii="Garamond" w:hAnsi="Garamond"/>
          <w:sz w:val="28"/>
          <w:szCs w:val="28"/>
        </w:rPr>
        <w:t>dimension</w:t>
      </w:r>
      <w:r w:rsidR="000404EE" w:rsidRPr="00944A90">
        <w:rPr>
          <w:rFonts w:ascii="Garamond" w:hAnsi="Garamond"/>
          <w:sz w:val="28"/>
          <w:szCs w:val="28"/>
        </w:rPr>
        <w:t>a</w:t>
      </w:r>
      <w:r w:rsidR="004435EA" w:rsidRPr="00944A90">
        <w:rPr>
          <w:rFonts w:ascii="Garamond" w:hAnsi="Garamond"/>
          <w:sz w:val="28"/>
          <w:szCs w:val="28"/>
        </w:rPr>
        <w:t xml:space="preserve"> in </w:t>
      </w:r>
      <w:r w:rsidR="00575CCB" w:rsidRPr="00944A90">
        <w:rPr>
          <w:rFonts w:ascii="Garamond" w:hAnsi="Garamond"/>
          <w:sz w:val="28"/>
          <w:szCs w:val="28"/>
        </w:rPr>
        <w:t xml:space="preserve">diritti di natura </w:t>
      </w:r>
      <w:r w:rsidR="004435EA" w:rsidRPr="00944A90">
        <w:rPr>
          <w:rFonts w:ascii="Garamond" w:hAnsi="Garamond"/>
          <w:sz w:val="28"/>
          <w:szCs w:val="28"/>
        </w:rPr>
        <w:t>procedurale e non sostanziale: con la conseguenza che la loro tutela non è mai assoluta</w:t>
      </w:r>
      <w:r w:rsidR="00575CCB" w:rsidRPr="00944A90">
        <w:rPr>
          <w:rFonts w:ascii="Garamond" w:hAnsi="Garamond"/>
          <w:sz w:val="28"/>
          <w:szCs w:val="28"/>
        </w:rPr>
        <w:t xml:space="preserve">, dovendosi, </w:t>
      </w:r>
      <w:r w:rsidR="004435EA" w:rsidRPr="00944A90">
        <w:rPr>
          <w:rFonts w:ascii="Garamond" w:hAnsi="Garamond"/>
          <w:sz w:val="28"/>
          <w:szCs w:val="28"/>
        </w:rPr>
        <w:t>da un lato</w:t>
      </w:r>
      <w:r w:rsidR="00575CCB" w:rsidRPr="00944A90">
        <w:rPr>
          <w:rFonts w:ascii="Garamond" w:hAnsi="Garamond"/>
          <w:sz w:val="28"/>
          <w:szCs w:val="28"/>
        </w:rPr>
        <w:t>,</w:t>
      </w:r>
      <w:r w:rsidR="004435EA" w:rsidRPr="00944A90">
        <w:rPr>
          <w:rFonts w:ascii="Garamond" w:hAnsi="Garamond"/>
          <w:sz w:val="28"/>
          <w:szCs w:val="28"/>
        </w:rPr>
        <w:t xml:space="preserve"> fa</w:t>
      </w:r>
      <w:r w:rsidR="00575CCB" w:rsidRPr="00944A90">
        <w:rPr>
          <w:rFonts w:ascii="Garamond" w:hAnsi="Garamond"/>
          <w:sz w:val="28"/>
          <w:szCs w:val="28"/>
        </w:rPr>
        <w:t xml:space="preserve">r </w:t>
      </w:r>
      <w:r w:rsidR="004435EA" w:rsidRPr="00944A90">
        <w:rPr>
          <w:rFonts w:ascii="Garamond" w:hAnsi="Garamond"/>
          <w:sz w:val="28"/>
          <w:szCs w:val="28"/>
        </w:rPr>
        <w:t xml:space="preserve">salva la decisione che, pur affetta da vizi formali o procedimentali, si riveli </w:t>
      </w:r>
      <w:r w:rsidR="0062288C" w:rsidRPr="00944A90">
        <w:rPr>
          <w:rFonts w:ascii="Garamond" w:hAnsi="Garamond"/>
          <w:sz w:val="28"/>
          <w:szCs w:val="28"/>
        </w:rPr>
        <w:t>corretta nella sostanza (art.</w:t>
      </w:r>
      <w:r w:rsidR="00E32C18" w:rsidRPr="00944A90">
        <w:rPr>
          <w:rFonts w:ascii="Garamond" w:hAnsi="Garamond"/>
          <w:sz w:val="28"/>
          <w:szCs w:val="28"/>
        </w:rPr>
        <w:t xml:space="preserve"> 21</w:t>
      </w:r>
      <w:r w:rsidR="007023EF" w:rsidRPr="00944A90">
        <w:rPr>
          <w:rFonts w:ascii="Garamond" w:hAnsi="Garamond"/>
          <w:sz w:val="28"/>
          <w:szCs w:val="28"/>
        </w:rPr>
        <w:t>-</w:t>
      </w:r>
      <w:r w:rsidR="007023EF" w:rsidRPr="00944A90">
        <w:rPr>
          <w:rFonts w:ascii="Garamond" w:hAnsi="Garamond"/>
          <w:i/>
          <w:iCs/>
          <w:sz w:val="28"/>
          <w:szCs w:val="28"/>
        </w:rPr>
        <w:t>octies</w:t>
      </w:r>
      <w:r w:rsidR="007023EF" w:rsidRPr="00944A90">
        <w:rPr>
          <w:rFonts w:ascii="Garamond" w:hAnsi="Garamond"/>
          <w:sz w:val="28"/>
          <w:szCs w:val="28"/>
        </w:rPr>
        <w:t xml:space="preserve"> della Legge </w:t>
      </w:r>
      <w:r w:rsidR="004D1195" w:rsidRPr="00944A90">
        <w:rPr>
          <w:rFonts w:ascii="Garamond" w:hAnsi="Garamond"/>
          <w:sz w:val="28"/>
          <w:szCs w:val="28"/>
        </w:rPr>
        <w:t>7 agosto 1990, n. 241)</w:t>
      </w:r>
      <w:r w:rsidR="00E32C18" w:rsidRPr="00944A90">
        <w:rPr>
          <w:rFonts w:ascii="Garamond" w:hAnsi="Garamond"/>
          <w:sz w:val="28"/>
          <w:szCs w:val="28"/>
        </w:rPr>
        <w:t xml:space="preserve"> e</w:t>
      </w:r>
      <w:r w:rsidR="007023EF" w:rsidRPr="00944A90">
        <w:rPr>
          <w:rFonts w:ascii="Garamond" w:hAnsi="Garamond"/>
          <w:sz w:val="28"/>
          <w:szCs w:val="28"/>
        </w:rPr>
        <w:t xml:space="preserve">, </w:t>
      </w:r>
      <w:r w:rsidR="00E32C18" w:rsidRPr="00944A90">
        <w:rPr>
          <w:rFonts w:ascii="Garamond" w:hAnsi="Garamond"/>
          <w:sz w:val="28"/>
          <w:szCs w:val="28"/>
        </w:rPr>
        <w:t>dall’altro</w:t>
      </w:r>
      <w:r w:rsidR="007023EF" w:rsidRPr="00944A90">
        <w:rPr>
          <w:rFonts w:ascii="Garamond" w:hAnsi="Garamond"/>
          <w:sz w:val="28"/>
          <w:szCs w:val="28"/>
        </w:rPr>
        <w:t>,</w:t>
      </w:r>
      <w:r w:rsidR="00E32C18" w:rsidRPr="00944A90">
        <w:rPr>
          <w:rFonts w:ascii="Garamond" w:hAnsi="Garamond"/>
          <w:sz w:val="28"/>
          <w:szCs w:val="28"/>
        </w:rPr>
        <w:t xml:space="preserve"> affievolire</w:t>
      </w:r>
      <w:r w:rsidR="007023EF" w:rsidRPr="00944A90">
        <w:rPr>
          <w:rFonts w:ascii="Garamond" w:hAnsi="Garamond"/>
          <w:sz w:val="28"/>
          <w:szCs w:val="28"/>
        </w:rPr>
        <w:t>,</w:t>
      </w:r>
      <w:r w:rsidR="00E32C18" w:rsidRPr="00944A90">
        <w:rPr>
          <w:rFonts w:ascii="Garamond" w:hAnsi="Garamond"/>
          <w:sz w:val="28"/>
          <w:szCs w:val="28"/>
        </w:rPr>
        <w:t xml:space="preserve"> sospendere o addirittura eliminare le garanzie partecipative dinanzi ad istanze di provvedere celermente a difesa di interessi supremi dell’ordinamento. </w:t>
      </w:r>
      <w:r w:rsidR="00075953" w:rsidRPr="00944A90">
        <w:rPr>
          <w:rFonts w:ascii="Garamond" w:hAnsi="Garamond"/>
          <w:sz w:val="28"/>
          <w:szCs w:val="28"/>
        </w:rPr>
        <w:t>Ed è precisamente questa</w:t>
      </w:r>
      <w:r w:rsidR="00E32C18" w:rsidRPr="00944A90">
        <w:rPr>
          <w:rFonts w:ascii="Garamond" w:hAnsi="Garamond"/>
          <w:sz w:val="28"/>
          <w:szCs w:val="28"/>
        </w:rPr>
        <w:t xml:space="preserve"> la posizione </w:t>
      </w:r>
      <w:r w:rsidR="00075953" w:rsidRPr="00944A90">
        <w:rPr>
          <w:rFonts w:ascii="Garamond" w:hAnsi="Garamond"/>
          <w:sz w:val="28"/>
          <w:szCs w:val="28"/>
        </w:rPr>
        <w:t>condivisa</w:t>
      </w:r>
      <w:r w:rsidR="00494502" w:rsidRPr="00944A90">
        <w:rPr>
          <w:rFonts w:ascii="Garamond" w:hAnsi="Garamond"/>
          <w:sz w:val="28"/>
          <w:szCs w:val="28"/>
        </w:rPr>
        <w:t xml:space="preserve"> </w:t>
      </w:r>
      <w:r w:rsidR="00E32C18" w:rsidRPr="00944A90">
        <w:rPr>
          <w:rFonts w:ascii="Garamond" w:hAnsi="Garamond"/>
          <w:sz w:val="28"/>
          <w:szCs w:val="28"/>
        </w:rPr>
        <w:t>dalla giurisprudenza largamente maggioritaria nell’ipotesi in cui vengano in rilievo esigenze di tutelare</w:t>
      </w:r>
      <w:r w:rsidR="00E32C18" w:rsidRPr="00944A90">
        <w:rPr>
          <w:rFonts w:ascii="Garamond" w:hAnsi="Garamond"/>
          <w:sz w:val="28"/>
          <w:szCs w:val="28"/>
          <w:lang w:val="x-none"/>
        </w:rPr>
        <w:t xml:space="preserve"> </w:t>
      </w:r>
      <w:r w:rsidR="00075953" w:rsidRPr="00944A90">
        <w:rPr>
          <w:rFonts w:ascii="Garamond" w:hAnsi="Garamond"/>
          <w:sz w:val="28"/>
          <w:szCs w:val="28"/>
        </w:rPr>
        <w:t>l</w:t>
      </w:r>
      <w:r w:rsidR="00625507" w:rsidRPr="00944A90">
        <w:rPr>
          <w:rFonts w:ascii="Garamond" w:hAnsi="Garamond"/>
          <w:sz w:val="28"/>
          <w:szCs w:val="28"/>
        </w:rPr>
        <w:t>’ordine pubblico e</w:t>
      </w:r>
      <w:r w:rsidR="00494502" w:rsidRPr="00944A90">
        <w:rPr>
          <w:rFonts w:ascii="Garamond" w:hAnsi="Garamond"/>
          <w:sz w:val="28"/>
          <w:szCs w:val="28"/>
        </w:rPr>
        <w:t xml:space="preserve">d il </w:t>
      </w:r>
      <w:r w:rsidR="00625507" w:rsidRPr="00944A90">
        <w:rPr>
          <w:rFonts w:ascii="Garamond" w:hAnsi="Garamond"/>
          <w:sz w:val="28"/>
          <w:szCs w:val="28"/>
        </w:rPr>
        <w:t xml:space="preserve">corretto vivere sociale, quotidianamente minacciati dai fenomeni </w:t>
      </w:r>
      <w:r w:rsidR="002D0B06" w:rsidRPr="00944A90">
        <w:rPr>
          <w:rFonts w:ascii="Garamond" w:hAnsi="Garamond"/>
          <w:sz w:val="28"/>
          <w:szCs w:val="28"/>
        </w:rPr>
        <w:t xml:space="preserve">di criminalità organizzata di tipo </w:t>
      </w:r>
      <w:r w:rsidR="00625507" w:rsidRPr="00944A90">
        <w:rPr>
          <w:rFonts w:ascii="Garamond" w:hAnsi="Garamond"/>
          <w:sz w:val="28"/>
          <w:szCs w:val="28"/>
        </w:rPr>
        <w:t>mafios</w:t>
      </w:r>
      <w:r w:rsidR="002D0B06" w:rsidRPr="00944A90">
        <w:rPr>
          <w:rFonts w:ascii="Garamond" w:hAnsi="Garamond"/>
          <w:sz w:val="28"/>
          <w:szCs w:val="28"/>
        </w:rPr>
        <w:t>o</w:t>
      </w:r>
      <w:r w:rsidR="00D278EF" w:rsidRPr="00944A90">
        <w:rPr>
          <w:rStyle w:val="Rimandonotaapidipagina"/>
          <w:rFonts w:ascii="Garamond" w:hAnsi="Garamond"/>
          <w:sz w:val="28"/>
          <w:szCs w:val="28"/>
        </w:rPr>
        <w:footnoteReference w:id="5"/>
      </w:r>
      <w:r w:rsidR="00625507" w:rsidRPr="00944A90">
        <w:rPr>
          <w:rFonts w:ascii="Garamond" w:hAnsi="Garamond"/>
          <w:sz w:val="28"/>
          <w:szCs w:val="28"/>
        </w:rPr>
        <w:t>.</w:t>
      </w:r>
      <w:r w:rsidR="004435EA" w:rsidRPr="00944A90">
        <w:rPr>
          <w:rFonts w:ascii="Garamond" w:hAnsi="Garamond"/>
          <w:sz w:val="28"/>
          <w:szCs w:val="28"/>
          <w:lang w:val="x-none"/>
        </w:rPr>
        <w:t xml:space="preserve">        </w:t>
      </w:r>
      <w:r w:rsidRPr="00944A90">
        <w:rPr>
          <w:rFonts w:ascii="Garamond" w:hAnsi="Garamond"/>
          <w:sz w:val="28"/>
          <w:szCs w:val="28"/>
          <w:lang w:val="x-none"/>
        </w:rPr>
        <w:t xml:space="preserve">        </w:t>
      </w:r>
    </w:p>
    <w:p w:rsidR="0008780B" w:rsidRPr="00944A90" w:rsidRDefault="00560D97" w:rsidP="00135529">
      <w:pPr>
        <w:ind w:firstLine="340"/>
        <w:jc w:val="both"/>
        <w:rPr>
          <w:rFonts w:ascii="Garamond" w:hAnsi="Garamond"/>
          <w:sz w:val="28"/>
          <w:szCs w:val="28"/>
        </w:rPr>
      </w:pPr>
      <w:r w:rsidRPr="00944A90">
        <w:rPr>
          <w:rFonts w:ascii="Garamond" w:hAnsi="Garamond"/>
          <w:sz w:val="28"/>
          <w:szCs w:val="28"/>
        </w:rPr>
        <w:t>In particolare</w:t>
      </w:r>
      <w:r w:rsidR="002D0B06" w:rsidRPr="00944A90">
        <w:rPr>
          <w:rFonts w:ascii="Garamond" w:hAnsi="Garamond"/>
          <w:sz w:val="28"/>
          <w:szCs w:val="28"/>
        </w:rPr>
        <w:t>,</w:t>
      </w:r>
      <w:r w:rsidRPr="00944A90">
        <w:rPr>
          <w:rFonts w:ascii="Garamond" w:hAnsi="Garamond"/>
          <w:sz w:val="28"/>
          <w:szCs w:val="28"/>
        </w:rPr>
        <w:t xml:space="preserve"> la pervasività del fenomeno mafioso e la sua acclarata capacità di infiltrarsi negli ambienti istituzionali</w:t>
      </w:r>
      <w:r w:rsidR="007D4A42" w:rsidRPr="00944A90">
        <w:rPr>
          <w:rFonts w:ascii="Garamond" w:hAnsi="Garamond"/>
          <w:sz w:val="28"/>
          <w:szCs w:val="28"/>
        </w:rPr>
        <w:t xml:space="preserve">, </w:t>
      </w:r>
      <w:r w:rsidRPr="00944A90">
        <w:rPr>
          <w:rFonts w:ascii="Garamond" w:hAnsi="Garamond"/>
          <w:sz w:val="28"/>
          <w:szCs w:val="28"/>
        </w:rPr>
        <w:t>politici ed imprenditoriali sfruttando situazioni di compiacenza</w:t>
      </w:r>
      <w:r w:rsidR="007D4A42" w:rsidRPr="00944A90">
        <w:rPr>
          <w:rFonts w:ascii="Garamond" w:hAnsi="Garamond"/>
          <w:sz w:val="28"/>
          <w:szCs w:val="28"/>
        </w:rPr>
        <w:t>, connivenza</w:t>
      </w:r>
      <w:r w:rsidRPr="00944A90">
        <w:rPr>
          <w:rFonts w:ascii="Garamond" w:hAnsi="Garamond"/>
          <w:sz w:val="28"/>
          <w:szCs w:val="28"/>
        </w:rPr>
        <w:t xml:space="preserve"> o soggezione </w:t>
      </w:r>
      <w:r w:rsidR="007D4A42" w:rsidRPr="00944A90">
        <w:rPr>
          <w:rFonts w:ascii="Garamond" w:hAnsi="Garamond"/>
          <w:sz w:val="28"/>
          <w:szCs w:val="28"/>
        </w:rPr>
        <w:t>presenti nel</w:t>
      </w:r>
      <w:r w:rsidRPr="00944A90">
        <w:rPr>
          <w:rFonts w:ascii="Garamond" w:hAnsi="Garamond"/>
          <w:sz w:val="28"/>
          <w:szCs w:val="28"/>
        </w:rPr>
        <w:t xml:space="preserve"> contesto</w:t>
      </w:r>
      <w:r w:rsidR="007D4A42" w:rsidRPr="00944A90">
        <w:rPr>
          <w:rFonts w:ascii="Garamond" w:hAnsi="Garamond"/>
          <w:sz w:val="28"/>
          <w:szCs w:val="28"/>
        </w:rPr>
        <w:t xml:space="preserve"> operativo</w:t>
      </w:r>
      <w:r w:rsidR="00BD58AB" w:rsidRPr="00944A90">
        <w:rPr>
          <w:rFonts w:ascii="Garamond" w:hAnsi="Garamond"/>
          <w:sz w:val="28"/>
          <w:szCs w:val="28"/>
        </w:rPr>
        <w:t>,</w:t>
      </w:r>
      <w:r w:rsidRPr="00944A90">
        <w:rPr>
          <w:rFonts w:ascii="Garamond" w:hAnsi="Garamond"/>
          <w:sz w:val="28"/>
          <w:szCs w:val="28"/>
        </w:rPr>
        <w:t xml:space="preserve"> rendono necessaria una risposta forte e soprattutto tempestiva dello Stato</w:t>
      </w:r>
      <w:r w:rsidR="008B463F" w:rsidRPr="00944A90">
        <w:rPr>
          <w:rStyle w:val="Rimandonotaapidipagina"/>
          <w:rFonts w:ascii="Garamond" w:hAnsi="Garamond"/>
          <w:sz w:val="28"/>
          <w:szCs w:val="28"/>
        </w:rPr>
        <w:footnoteReference w:id="6"/>
      </w:r>
      <w:r w:rsidR="00DD7D3A" w:rsidRPr="00944A90">
        <w:rPr>
          <w:rFonts w:ascii="Garamond" w:hAnsi="Garamond"/>
          <w:sz w:val="28"/>
          <w:szCs w:val="28"/>
        </w:rPr>
        <w:t xml:space="preserve">. </w:t>
      </w:r>
      <w:r w:rsidR="00070098" w:rsidRPr="00944A90">
        <w:rPr>
          <w:rFonts w:ascii="Garamond" w:hAnsi="Garamond"/>
          <w:sz w:val="28"/>
          <w:szCs w:val="28"/>
        </w:rPr>
        <w:t>E le esigenze di intervento immediato risultano tanto più evidenti</w:t>
      </w:r>
      <w:r w:rsidR="00B82B65" w:rsidRPr="00944A90">
        <w:rPr>
          <w:rFonts w:ascii="Garamond" w:hAnsi="Garamond"/>
          <w:sz w:val="28"/>
          <w:szCs w:val="28"/>
        </w:rPr>
        <w:t xml:space="preserve"> </w:t>
      </w:r>
      <w:r w:rsidR="00070098" w:rsidRPr="00944A90">
        <w:rPr>
          <w:rFonts w:ascii="Garamond" w:hAnsi="Garamond"/>
          <w:sz w:val="28"/>
          <w:szCs w:val="28"/>
        </w:rPr>
        <w:t>nell’ipotesi in cui il fenomeno mafioso non si limiti ad attaccare la sfera privata della convivenza sociale ma allunghi le sue propaggini fino ad attentare alla salute</w:t>
      </w:r>
      <w:r w:rsidR="001C5436" w:rsidRPr="00944A90">
        <w:rPr>
          <w:rFonts w:ascii="Garamond" w:hAnsi="Garamond"/>
          <w:sz w:val="28"/>
          <w:szCs w:val="28"/>
        </w:rPr>
        <w:t xml:space="preserve"> dello Stato</w:t>
      </w:r>
      <w:r w:rsidR="004E7627" w:rsidRPr="00944A90">
        <w:rPr>
          <w:rFonts w:ascii="Garamond" w:hAnsi="Garamond"/>
          <w:sz w:val="28"/>
          <w:szCs w:val="28"/>
        </w:rPr>
        <w:t xml:space="preserve">, </w:t>
      </w:r>
      <w:r w:rsidR="003D0DBF" w:rsidRPr="00944A90">
        <w:rPr>
          <w:rFonts w:ascii="Garamond" w:hAnsi="Garamond"/>
          <w:sz w:val="28"/>
          <w:szCs w:val="28"/>
        </w:rPr>
        <w:t>come avviene sistematicamente nella materia dei pubblici appalti e</w:t>
      </w:r>
      <w:r w:rsidR="009A2857" w:rsidRPr="00944A90">
        <w:rPr>
          <w:rFonts w:ascii="Garamond" w:hAnsi="Garamond"/>
          <w:sz w:val="28"/>
          <w:szCs w:val="28"/>
        </w:rPr>
        <w:t>,</w:t>
      </w:r>
      <w:r w:rsidR="003D0DBF" w:rsidRPr="00944A90">
        <w:rPr>
          <w:rFonts w:ascii="Garamond" w:hAnsi="Garamond"/>
          <w:sz w:val="28"/>
          <w:szCs w:val="28"/>
        </w:rPr>
        <w:t xml:space="preserve"> in genere</w:t>
      </w:r>
      <w:r w:rsidR="009A2857" w:rsidRPr="00944A90">
        <w:rPr>
          <w:rFonts w:ascii="Garamond" w:hAnsi="Garamond"/>
          <w:sz w:val="28"/>
          <w:szCs w:val="28"/>
        </w:rPr>
        <w:t xml:space="preserve">, </w:t>
      </w:r>
      <w:r w:rsidR="003D0DBF" w:rsidRPr="00944A90">
        <w:rPr>
          <w:rFonts w:ascii="Garamond" w:hAnsi="Garamond"/>
          <w:sz w:val="28"/>
          <w:szCs w:val="28"/>
        </w:rPr>
        <w:t xml:space="preserve">della contrattazione </w:t>
      </w:r>
      <w:r w:rsidR="009A2857" w:rsidRPr="00944A90">
        <w:rPr>
          <w:rFonts w:ascii="Garamond" w:hAnsi="Garamond"/>
          <w:sz w:val="28"/>
          <w:szCs w:val="28"/>
        </w:rPr>
        <w:t>nel</w:t>
      </w:r>
      <w:r w:rsidR="003D0DBF" w:rsidRPr="00944A90">
        <w:rPr>
          <w:rFonts w:ascii="Garamond" w:hAnsi="Garamond"/>
          <w:sz w:val="28"/>
          <w:szCs w:val="28"/>
        </w:rPr>
        <w:t xml:space="preserve"> settore pubblico. </w:t>
      </w:r>
    </w:p>
    <w:p w:rsidR="00D65AFF" w:rsidRPr="00944A90" w:rsidRDefault="009A2857" w:rsidP="00135529">
      <w:pPr>
        <w:ind w:firstLine="340"/>
        <w:jc w:val="both"/>
        <w:rPr>
          <w:rFonts w:ascii="Garamond" w:hAnsi="Garamond"/>
          <w:sz w:val="28"/>
          <w:szCs w:val="28"/>
        </w:rPr>
      </w:pPr>
      <w:r w:rsidRPr="00944A90">
        <w:rPr>
          <w:rFonts w:ascii="Garamond" w:hAnsi="Garamond"/>
          <w:sz w:val="28"/>
          <w:szCs w:val="28"/>
        </w:rPr>
        <w:t>É</w:t>
      </w:r>
      <w:r w:rsidR="003A56F4" w:rsidRPr="00944A90">
        <w:rPr>
          <w:rFonts w:ascii="Garamond" w:hAnsi="Garamond"/>
          <w:sz w:val="28"/>
          <w:szCs w:val="28"/>
        </w:rPr>
        <w:t xml:space="preserve"> evidente che</w:t>
      </w:r>
      <w:r w:rsidRPr="00944A90">
        <w:rPr>
          <w:rFonts w:ascii="Garamond" w:hAnsi="Garamond"/>
          <w:sz w:val="28"/>
          <w:szCs w:val="28"/>
        </w:rPr>
        <w:t>, nel</w:t>
      </w:r>
      <w:r w:rsidR="003A56F4" w:rsidRPr="00944A90">
        <w:rPr>
          <w:rFonts w:ascii="Garamond" w:hAnsi="Garamond"/>
          <w:sz w:val="28"/>
          <w:szCs w:val="28"/>
        </w:rPr>
        <w:t xml:space="preserve"> </w:t>
      </w:r>
      <w:r w:rsidRPr="00944A90">
        <w:rPr>
          <w:rFonts w:ascii="Garamond" w:hAnsi="Garamond"/>
          <w:sz w:val="28"/>
          <w:szCs w:val="28"/>
        </w:rPr>
        <w:t>mo</w:t>
      </w:r>
      <w:r w:rsidR="003A56F4" w:rsidRPr="00944A90">
        <w:rPr>
          <w:rFonts w:ascii="Garamond" w:hAnsi="Garamond"/>
          <w:sz w:val="28"/>
          <w:szCs w:val="28"/>
        </w:rPr>
        <w:t>mento in cui</w:t>
      </w:r>
      <w:r w:rsidR="00757A1F" w:rsidRPr="00944A90">
        <w:rPr>
          <w:rFonts w:ascii="Garamond" w:hAnsi="Garamond"/>
          <w:sz w:val="28"/>
          <w:szCs w:val="28"/>
        </w:rPr>
        <w:t>,</w:t>
      </w:r>
      <w:r w:rsidR="003A56F4" w:rsidRPr="00944A90">
        <w:rPr>
          <w:rFonts w:ascii="Garamond" w:hAnsi="Garamond"/>
          <w:sz w:val="28"/>
          <w:szCs w:val="28"/>
        </w:rPr>
        <w:t xml:space="preserve"> nel</w:t>
      </w:r>
      <w:r w:rsidR="00757A1F" w:rsidRPr="00944A90">
        <w:rPr>
          <w:rFonts w:ascii="Garamond" w:hAnsi="Garamond"/>
          <w:sz w:val="28"/>
          <w:szCs w:val="28"/>
        </w:rPr>
        <w:t xml:space="preserve">l’espletamento </w:t>
      </w:r>
      <w:r w:rsidR="003A56F4" w:rsidRPr="00944A90">
        <w:rPr>
          <w:rFonts w:ascii="Garamond" w:hAnsi="Garamond"/>
          <w:sz w:val="28"/>
          <w:szCs w:val="28"/>
        </w:rPr>
        <w:t>di una gara per l’aggiudicazione di una concessione o di un appalto di lavori</w:t>
      </w:r>
      <w:r w:rsidR="00757A1F" w:rsidRPr="00944A90">
        <w:rPr>
          <w:rFonts w:ascii="Garamond" w:hAnsi="Garamond"/>
          <w:sz w:val="28"/>
          <w:szCs w:val="28"/>
        </w:rPr>
        <w:t>,</w:t>
      </w:r>
      <w:r w:rsidR="003A56F4" w:rsidRPr="00944A90">
        <w:rPr>
          <w:rFonts w:ascii="Garamond" w:hAnsi="Garamond"/>
          <w:sz w:val="28"/>
          <w:szCs w:val="28"/>
        </w:rPr>
        <w:t xml:space="preserve"> servizi e forniture</w:t>
      </w:r>
      <w:r w:rsidR="00757A1F" w:rsidRPr="00944A90">
        <w:rPr>
          <w:rFonts w:ascii="Garamond" w:hAnsi="Garamond"/>
          <w:sz w:val="28"/>
          <w:szCs w:val="28"/>
        </w:rPr>
        <w:t>,</w:t>
      </w:r>
      <w:r w:rsidR="003A56F4" w:rsidRPr="00944A90">
        <w:rPr>
          <w:rFonts w:ascii="Garamond" w:hAnsi="Garamond"/>
          <w:sz w:val="28"/>
          <w:szCs w:val="28"/>
        </w:rPr>
        <w:t xml:space="preserve"> la stazione appaltante abbia contezza della partecipazione di un soggetto controindicato perché acclaratamente riconosciuto in sede penale </w:t>
      </w:r>
      <w:r w:rsidR="000D7C1A" w:rsidRPr="00944A90">
        <w:rPr>
          <w:rFonts w:ascii="Garamond" w:hAnsi="Garamond"/>
          <w:sz w:val="28"/>
          <w:szCs w:val="28"/>
        </w:rPr>
        <w:t>come vicino agli ambienti criminali</w:t>
      </w:r>
      <w:r w:rsidR="004B3F60" w:rsidRPr="00944A90">
        <w:rPr>
          <w:rFonts w:ascii="Garamond" w:hAnsi="Garamond"/>
          <w:sz w:val="28"/>
          <w:szCs w:val="28"/>
        </w:rPr>
        <w:t>,</w:t>
      </w:r>
      <w:r w:rsidR="000D7C1A" w:rsidRPr="00944A90">
        <w:rPr>
          <w:rFonts w:ascii="Garamond" w:hAnsi="Garamond"/>
          <w:sz w:val="28"/>
          <w:szCs w:val="28"/>
        </w:rPr>
        <w:t xml:space="preserve"> </w:t>
      </w:r>
      <w:r w:rsidR="003A56F4" w:rsidRPr="00944A90">
        <w:rPr>
          <w:rFonts w:ascii="Garamond" w:hAnsi="Garamond"/>
          <w:sz w:val="28"/>
          <w:szCs w:val="28"/>
        </w:rPr>
        <w:t xml:space="preserve">oppure anche solo sospettato di </w:t>
      </w:r>
      <w:r w:rsidR="000D7C1A" w:rsidRPr="00944A90">
        <w:rPr>
          <w:rFonts w:ascii="Garamond" w:hAnsi="Garamond"/>
          <w:sz w:val="28"/>
          <w:szCs w:val="28"/>
        </w:rPr>
        <w:t xml:space="preserve">contiguità </w:t>
      </w:r>
      <w:r w:rsidR="003A56F4" w:rsidRPr="00944A90">
        <w:rPr>
          <w:rFonts w:ascii="Garamond" w:hAnsi="Garamond"/>
          <w:sz w:val="28"/>
          <w:szCs w:val="28"/>
        </w:rPr>
        <w:t>al fenomeno mafioso</w:t>
      </w:r>
      <w:r w:rsidR="000D7C1A" w:rsidRPr="00944A90">
        <w:rPr>
          <w:rFonts w:ascii="Garamond" w:hAnsi="Garamond"/>
          <w:sz w:val="28"/>
          <w:szCs w:val="28"/>
        </w:rPr>
        <w:t>,</w:t>
      </w:r>
      <w:r w:rsidR="003A56F4" w:rsidRPr="00944A90">
        <w:rPr>
          <w:rFonts w:ascii="Garamond" w:hAnsi="Garamond"/>
          <w:sz w:val="28"/>
          <w:szCs w:val="28"/>
        </w:rPr>
        <w:t xml:space="preserve"> essa deve immediatamente</w:t>
      </w:r>
      <w:r w:rsidR="009D4043" w:rsidRPr="00944A90">
        <w:rPr>
          <w:rFonts w:ascii="Garamond" w:hAnsi="Garamond"/>
          <w:sz w:val="28"/>
          <w:szCs w:val="28"/>
        </w:rPr>
        <w:t xml:space="preserve"> </w:t>
      </w:r>
      <w:r w:rsidR="000D7C1A" w:rsidRPr="00944A90">
        <w:rPr>
          <w:rFonts w:ascii="Garamond" w:hAnsi="Garamond"/>
          <w:sz w:val="28"/>
          <w:szCs w:val="28"/>
        </w:rPr>
        <w:t>re</w:t>
      </w:r>
      <w:r w:rsidR="00D65AFF" w:rsidRPr="00944A90">
        <w:rPr>
          <w:rFonts w:ascii="Garamond" w:hAnsi="Garamond"/>
          <w:sz w:val="28"/>
          <w:szCs w:val="28"/>
        </w:rPr>
        <w:t>cedere da</w:t>
      </w:r>
      <w:r w:rsidR="009D4043" w:rsidRPr="00944A90">
        <w:rPr>
          <w:rFonts w:ascii="Garamond" w:hAnsi="Garamond"/>
          <w:sz w:val="28"/>
          <w:szCs w:val="28"/>
        </w:rPr>
        <w:t xml:space="preserve"> qualunque rapporto sino ad allora intrattenuto e</w:t>
      </w:r>
      <w:r w:rsidR="00D65AFF" w:rsidRPr="00944A90">
        <w:rPr>
          <w:rFonts w:ascii="Garamond" w:hAnsi="Garamond"/>
          <w:sz w:val="28"/>
          <w:szCs w:val="28"/>
        </w:rPr>
        <w:t>,</w:t>
      </w:r>
      <w:r w:rsidR="009D4043" w:rsidRPr="00944A90">
        <w:rPr>
          <w:rFonts w:ascii="Garamond" w:hAnsi="Garamond"/>
          <w:sz w:val="28"/>
          <w:szCs w:val="28"/>
        </w:rPr>
        <w:t xml:space="preserve"> soprattutto</w:t>
      </w:r>
      <w:r w:rsidR="00D65AFF" w:rsidRPr="00944A90">
        <w:rPr>
          <w:rFonts w:ascii="Garamond" w:hAnsi="Garamond"/>
          <w:sz w:val="28"/>
          <w:szCs w:val="28"/>
        </w:rPr>
        <w:t>,</w:t>
      </w:r>
      <w:r w:rsidR="009D4043" w:rsidRPr="00944A90">
        <w:rPr>
          <w:rFonts w:ascii="Garamond" w:hAnsi="Garamond"/>
          <w:sz w:val="28"/>
          <w:szCs w:val="28"/>
        </w:rPr>
        <w:t xml:space="preserve"> allontanare </w:t>
      </w:r>
      <w:r w:rsidR="00D65AFF" w:rsidRPr="00944A90">
        <w:rPr>
          <w:rFonts w:ascii="Garamond" w:hAnsi="Garamond"/>
          <w:sz w:val="28"/>
          <w:szCs w:val="28"/>
        </w:rPr>
        <w:t>per tempo</w:t>
      </w:r>
      <w:r w:rsidR="009D4043" w:rsidRPr="00944A90">
        <w:rPr>
          <w:rFonts w:ascii="Garamond" w:hAnsi="Garamond"/>
          <w:sz w:val="28"/>
          <w:szCs w:val="28"/>
        </w:rPr>
        <w:t xml:space="preserve"> l’impresa sospetta dal contesto pubblico</w:t>
      </w:r>
      <w:r w:rsidR="00D65AFF" w:rsidRPr="00944A90">
        <w:rPr>
          <w:rFonts w:ascii="Garamond" w:hAnsi="Garamond"/>
          <w:sz w:val="28"/>
          <w:szCs w:val="28"/>
        </w:rPr>
        <w:t xml:space="preserve">, così </w:t>
      </w:r>
      <w:r w:rsidR="009D4043" w:rsidRPr="00944A90">
        <w:rPr>
          <w:rFonts w:ascii="Garamond" w:hAnsi="Garamond"/>
          <w:sz w:val="28"/>
          <w:szCs w:val="28"/>
        </w:rPr>
        <w:t>prevenendo ulteriori rischi di inquinamento del sistema.</w:t>
      </w:r>
    </w:p>
    <w:p w:rsidR="00F876DC" w:rsidRPr="00944A90" w:rsidRDefault="00C26EBD" w:rsidP="00135529">
      <w:pPr>
        <w:ind w:firstLine="340"/>
        <w:jc w:val="both"/>
        <w:rPr>
          <w:rFonts w:ascii="Garamond" w:hAnsi="Garamond"/>
          <w:sz w:val="28"/>
          <w:szCs w:val="28"/>
        </w:rPr>
      </w:pPr>
      <w:r w:rsidRPr="00944A90">
        <w:rPr>
          <w:rFonts w:ascii="Garamond" w:hAnsi="Garamond"/>
          <w:sz w:val="28"/>
          <w:szCs w:val="28"/>
        </w:rPr>
        <w:lastRenderedPageBreak/>
        <w:t>La portata degli interessi tutelati e l’urgenza di prevenire ulteriori</w:t>
      </w:r>
      <w:r w:rsidR="004B3F60" w:rsidRPr="00944A90">
        <w:rPr>
          <w:rFonts w:ascii="Garamond" w:hAnsi="Garamond"/>
          <w:sz w:val="28"/>
          <w:szCs w:val="28"/>
        </w:rPr>
        <w:t>,</w:t>
      </w:r>
      <w:r w:rsidRPr="00944A90">
        <w:rPr>
          <w:rFonts w:ascii="Garamond" w:hAnsi="Garamond"/>
          <w:sz w:val="28"/>
          <w:szCs w:val="28"/>
        </w:rPr>
        <w:t xml:space="preserve"> pericolosi</w:t>
      </w:r>
      <w:r w:rsidR="004B3F60" w:rsidRPr="00944A90">
        <w:rPr>
          <w:rFonts w:ascii="Garamond" w:hAnsi="Garamond"/>
          <w:sz w:val="28"/>
          <w:szCs w:val="28"/>
        </w:rPr>
        <w:t>,</w:t>
      </w:r>
      <w:r w:rsidRPr="00944A90">
        <w:rPr>
          <w:rFonts w:ascii="Garamond" w:hAnsi="Garamond"/>
          <w:sz w:val="28"/>
          <w:szCs w:val="28"/>
        </w:rPr>
        <w:t xml:space="preserve"> contatti con le consorterie criminali comporta la caratterizzazione in senso marcatamente preventivo-anticipatorio della tutela nella materia in esame</w:t>
      </w:r>
      <w:r w:rsidR="00D278EF" w:rsidRPr="00944A90">
        <w:rPr>
          <w:rStyle w:val="Rimandonotaapidipagina"/>
          <w:rFonts w:ascii="Garamond" w:hAnsi="Garamond"/>
          <w:sz w:val="28"/>
          <w:szCs w:val="28"/>
        </w:rPr>
        <w:footnoteReference w:id="7"/>
      </w:r>
      <w:r w:rsidRPr="00944A90">
        <w:rPr>
          <w:rFonts w:ascii="Garamond" w:hAnsi="Garamond"/>
          <w:sz w:val="28"/>
          <w:szCs w:val="28"/>
        </w:rPr>
        <w:t>: con la conseguenza che, da un lato</w:t>
      </w:r>
      <w:r w:rsidR="00015DA6" w:rsidRPr="00944A90">
        <w:rPr>
          <w:rFonts w:ascii="Garamond" w:hAnsi="Garamond"/>
          <w:sz w:val="28"/>
          <w:szCs w:val="28"/>
        </w:rPr>
        <w:t>,</w:t>
      </w:r>
      <w:r w:rsidRPr="00944A90">
        <w:rPr>
          <w:rFonts w:ascii="Garamond" w:hAnsi="Garamond"/>
          <w:sz w:val="28"/>
          <w:szCs w:val="28"/>
        </w:rPr>
        <w:t xml:space="preserve"> provvedimenti </w:t>
      </w:r>
      <w:proofErr w:type="spellStart"/>
      <w:r w:rsidRPr="00944A90">
        <w:rPr>
          <w:rFonts w:ascii="Garamond" w:hAnsi="Garamond"/>
          <w:sz w:val="28"/>
          <w:szCs w:val="28"/>
        </w:rPr>
        <w:t>interdittiv</w:t>
      </w:r>
      <w:r w:rsidR="00015DA6" w:rsidRPr="00944A90">
        <w:rPr>
          <w:rFonts w:ascii="Garamond" w:hAnsi="Garamond"/>
          <w:sz w:val="28"/>
          <w:szCs w:val="28"/>
        </w:rPr>
        <w:t>i</w:t>
      </w:r>
      <w:proofErr w:type="spellEnd"/>
      <w:r w:rsidRPr="00944A90">
        <w:rPr>
          <w:rFonts w:ascii="Garamond" w:hAnsi="Garamond"/>
          <w:sz w:val="28"/>
          <w:szCs w:val="28"/>
        </w:rPr>
        <w:t xml:space="preserve"> potranno essere adottati dall’amministrazione anche prima e a prescindere </w:t>
      </w:r>
      <w:r w:rsidR="00015DA6" w:rsidRPr="00944A90">
        <w:rPr>
          <w:rFonts w:ascii="Garamond" w:hAnsi="Garamond"/>
          <w:sz w:val="28"/>
          <w:szCs w:val="28"/>
        </w:rPr>
        <w:t>da</w:t>
      </w:r>
      <w:r w:rsidRPr="00944A90">
        <w:rPr>
          <w:rFonts w:ascii="Garamond" w:hAnsi="Garamond"/>
          <w:sz w:val="28"/>
          <w:szCs w:val="28"/>
        </w:rPr>
        <w:t xml:space="preserve"> risultanze penali e senza</w:t>
      </w:r>
      <w:r w:rsidR="00015DA6" w:rsidRPr="00944A90">
        <w:rPr>
          <w:rFonts w:ascii="Garamond" w:hAnsi="Garamond"/>
          <w:sz w:val="28"/>
          <w:szCs w:val="28"/>
        </w:rPr>
        <w:t xml:space="preserve"> –</w:t>
      </w:r>
      <w:r w:rsidRPr="00944A90">
        <w:rPr>
          <w:rFonts w:ascii="Garamond" w:hAnsi="Garamond"/>
          <w:sz w:val="28"/>
          <w:szCs w:val="28"/>
        </w:rPr>
        <w:t xml:space="preserve"> soprattutto</w:t>
      </w:r>
      <w:r w:rsidR="00015DA6" w:rsidRPr="00944A90">
        <w:rPr>
          <w:rFonts w:ascii="Garamond" w:hAnsi="Garamond"/>
          <w:sz w:val="28"/>
          <w:szCs w:val="28"/>
        </w:rPr>
        <w:t xml:space="preserve"> -</w:t>
      </w:r>
      <w:r w:rsidRPr="00944A90">
        <w:rPr>
          <w:rFonts w:ascii="Garamond" w:hAnsi="Garamond"/>
          <w:sz w:val="28"/>
          <w:szCs w:val="28"/>
        </w:rPr>
        <w:t xml:space="preserve"> la necessità di pervenire ad </w:t>
      </w:r>
      <w:r w:rsidR="00015DA6" w:rsidRPr="00944A90">
        <w:rPr>
          <w:rFonts w:ascii="Garamond" w:hAnsi="Garamond"/>
          <w:sz w:val="28"/>
          <w:szCs w:val="28"/>
        </w:rPr>
        <w:t>un grado</w:t>
      </w:r>
      <w:r w:rsidRPr="00944A90">
        <w:rPr>
          <w:rFonts w:ascii="Garamond" w:hAnsi="Garamond"/>
          <w:sz w:val="28"/>
          <w:szCs w:val="28"/>
        </w:rPr>
        <w:t xml:space="preserve"> di convincimento che vada </w:t>
      </w:r>
      <w:r w:rsidR="004413A3" w:rsidRPr="00944A90">
        <w:rPr>
          <w:rFonts w:ascii="Garamond" w:hAnsi="Garamond"/>
          <w:sz w:val="28"/>
          <w:szCs w:val="28"/>
        </w:rPr>
        <w:t>“</w:t>
      </w:r>
      <w:r w:rsidRPr="00944A90">
        <w:rPr>
          <w:rFonts w:ascii="Garamond" w:hAnsi="Garamond"/>
          <w:i/>
          <w:iCs/>
          <w:sz w:val="28"/>
          <w:szCs w:val="28"/>
        </w:rPr>
        <w:t>oltre</w:t>
      </w:r>
      <w:r w:rsidR="004413A3" w:rsidRPr="00944A90">
        <w:rPr>
          <w:rFonts w:ascii="Garamond" w:hAnsi="Garamond"/>
          <w:i/>
          <w:iCs/>
          <w:sz w:val="28"/>
          <w:szCs w:val="28"/>
        </w:rPr>
        <w:t xml:space="preserve"> ogni</w:t>
      </w:r>
      <w:r w:rsidRPr="00944A90">
        <w:rPr>
          <w:rFonts w:ascii="Garamond" w:hAnsi="Garamond"/>
          <w:i/>
          <w:iCs/>
          <w:sz w:val="28"/>
          <w:szCs w:val="28"/>
        </w:rPr>
        <w:t xml:space="preserve"> ragionevole dubbio</w:t>
      </w:r>
      <w:r w:rsidR="004413A3" w:rsidRPr="00944A90">
        <w:rPr>
          <w:rFonts w:ascii="Garamond" w:hAnsi="Garamond"/>
          <w:sz w:val="28"/>
          <w:szCs w:val="28"/>
        </w:rPr>
        <w:t>”,</w:t>
      </w:r>
      <w:r w:rsidR="003B79ED" w:rsidRPr="00944A90">
        <w:rPr>
          <w:rFonts w:ascii="Garamond" w:hAnsi="Garamond"/>
          <w:sz w:val="28"/>
          <w:szCs w:val="28"/>
        </w:rPr>
        <w:t xml:space="preserve"> essendo sufficiente una </w:t>
      </w:r>
      <w:r w:rsidR="004413A3" w:rsidRPr="00944A90">
        <w:rPr>
          <w:rFonts w:ascii="Garamond" w:hAnsi="Garamond"/>
          <w:sz w:val="28"/>
          <w:szCs w:val="28"/>
        </w:rPr>
        <w:t>convinzione</w:t>
      </w:r>
      <w:r w:rsidR="003B79ED" w:rsidRPr="00944A90">
        <w:rPr>
          <w:rFonts w:ascii="Garamond" w:hAnsi="Garamond"/>
          <w:sz w:val="28"/>
          <w:szCs w:val="28"/>
        </w:rPr>
        <w:t xml:space="preserve"> calibrata sullo schema logico del </w:t>
      </w:r>
      <w:r w:rsidR="004413A3" w:rsidRPr="00944A90">
        <w:rPr>
          <w:rFonts w:ascii="Garamond" w:hAnsi="Garamond"/>
          <w:sz w:val="28"/>
          <w:szCs w:val="28"/>
        </w:rPr>
        <w:t>“</w:t>
      </w:r>
      <w:r w:rsidR="003B79ED" w:rsidRPr="00944A90">
        <w:rPr>
          <w:rFonts w:ascii="Garamond" w:hAnsi="Garamond"/>
          <w:i/>
          <w:iCs/>
          <w:sz w:val="28"/>
          <w:szCs w:val="28"/>
        </w:rPr>
        <w:t xml:space="preserve">più probabile che </w:t>
      </w:r>
      <w:r w:rsidR="004413A3" w:rsidRPr="00944A90">
        <w:rPr>
          <w:rFonts w:ascii="Garamond" w:hAnsi="Garamond"/>
          <w:i/>
          <w:iCs/>
          <w:sz w:val="28"/>
          <w:szCs w:val="28"/>
        </w:rPr>
        <w:t>non</w:t>
      </w:r>
      <w:r w:rsidR="004413A3" w:rsidRPr="00944A90">
        <w:rPr>
          <w:rFonts w:ascii="Garamond" w:hAnsi="Garamond"/>
          <w:sz w:val="28"/>
          <w:szCs w:val="28"/>
        </w:rPr>
        <w:t>”</w:t>
      </w:r>
      <w:r w:rsidR="003B79ED" w:rsidRPr="00944A90">
        <w:rPr>
          <w:rFonts w:ascii="Garamond" w:hAnsi="Garamond"/>
          <w:sz w:val="28"/>
          <w:szCs w:val="28"/>
        </w:rPr>
        <w:t xml:space="preserve"> secondo criteri di probabilità cruciale</w:t>
      </w:r>
      <w:r w:rsidR="00D278EF" w:rsidRPr="00944A90">
        <w:rPr>
          <w:rStyle w:val="Rimandonotaapidipagina"/>
          <w:rFonts w:ascii="Garamond" w:hAnsi="Garamond"/>
          <w:sz w:val="28"/>
          <w:szCs w:val="28"/>
        </w:rPr>
        <w:footnoteReference w:id="8"/>
      </w:r>
      <w:r w:rsidR="004413A3" w:rsidRPr="00944A90">
        <w:rPr>
          <w:rFonts w:ascii="Garamond" w:hAnsi="Garamond"/>
          <w:sz w:val="28"/>
          <w:szCs w:val="28"/>
        </w:rPr>
        <w:t>;</w:t>
      </w:r>
      <w:r w:rsidR="003B79ED" w:rsidRPr="00944A90">
        <w:rPr>
          <w:rFonts w:ascii="Garamond" w:hAnsi="Garamond"/>
          <w:sz w:val="28"/>
          <w:szCs w:val="28"/>
        </w:rPr>
        <w:t xml:space="preserve"> dall’altro</w:t>
      </w:r>
      <w:r w:rsidR="004413A3" w:rsidRPr="00944A90">
        <w:rPr>
          <w:rFonts w:ascii="Garamond" w:hAnsi="Garamond"/>
          <w:sz w:val="28"/>
          <w:szCs w:val="28"/>
        </w:rPr>
        <w:t>,</w:t>
      </w:r>
      <w:r w:rsidR="003B79ED" w:rsidRPr="00944A90">
        <w:rPr>
          <w:rFonts w:ascii="Garamond" w:hAnsi="Garamond"/>
          <w:sz w:val="28"/>
          <w:szCs w:val="28"/>
        </w:rPr>
        <w:t xml:space="preserve"> tali provvedimenti potranno essere adottati dall’autorità competente e</w:t>
      </w:r>
      <w:r w:rsidR="00603D63" w:rsidRPr="00944A90">
        <w:rPr>
          <w:rFonts w:ascii="Garamond" w:hAnsi="Garamond"/>
          <w:sz w:val="28"/>
          <w:szCs w:val="28"/>
        </w:rPr>
        <w:t>,</w:t>
      </w:r>
      <w:r w:rsidR="003B79ED" w:rsidRPr="00944A90">
        <w:rPr>
          <w:rFonts w:ascii="Garamond" w:hAnsi="Garamond"/>
          <w:sz w:val="28"/>
          <w:szCs w:val="28"/>
        </w:rPr>
        <w:t xml:space="preserve"> segnatamente</w:t>
      </w:r>
      <w:r w:rsidR="00603D63" w:rsidRPr="00944A90">
        <w:rPr>
          <w:rFonts w:ascii="Garamond" w:hAnsi="Garamond"/>
          <w:sz w:val="28"/>
          <w:szCs w:val="28"/>
        </w:rPr>
        <w:t>,</w:t>
      </w:r>
      <w:r w:rsidR="003B79ED" w:rsidRPr="00944A90">
        <w:rPr>
          <w:rFonts w:ascii="Garamond" w:hAnsi="Garamond"/>
          <w:sz w:val="28"/>
          <w:szCs w:val="28"/>
        </w:rPr>
        <w:t xml:space="preserve"> dall’autorità prefettizia</w:t>
      </w:r>
      <w:r w:rsidR="00603D63" w:rsidRPr="00944A90">
        <w:rPr>
          <w:rFonts w:ascii="Garamond" w:hAnsi="Garamond"/>
          <w:sz w:val="28"/>
          <w:szCs w:val="28"/>
        </w:rPr>
        <w:t>,</w:t>
      </w:r>
      <w:r w:rsidR="003B79ED" w:rsidRPr="00944A90">
        <w:rPr>
          <w:rFonts w:ascii="Garamond" w:hAnsi="Garamond"/>
          <w:sz w:val="28"/>
          <w:szCs w:val="28"/>
        </w:rPr>
        <w:t xml:space="preserve"> sospendendo le garanzie partecipative </w:t>
      </w:r>
      <w:r w:rsidR="00F71C28" w:rsidRPr="00944A90">
        <w:rPr>
          <w:rFonts w:ascii="Garamond" w:hAnsi="Garamond"/>
          <w:sz w:val="28"/>
          <w:szCs w:val="28"/>
        </w:rPr>
        <w:t>normalmente riconosciut</w:t>
      </w:r>
      <w:r w:rsidR="00603D63" w:rsidRPr="00944A90">
        <w:rPr>
          <w:rFonts w:ascii="Garamond" w:hAnsi="Garamond"/>
          <w:sz w:val="28"/>
          <w:szCs w:val="28"/>
        </w:rPr>
        <w:t>e</w:t>
      </w:r>
      <w:r w:rsidR="00F71C28" w:rsidRPr="00944A90">
        <w:rPr>
          <w:rFonts w:ascii="Garamond" w:hAnsi="Garamond"/>
          <w:sz w:val="28"/>
          <w:szCs w:val="28"/>
        </w:rPr>
        <w:t xml:space="preserve"> dalla legge al privato. </w:t>
      </w:r>
    </w:p>
    <w:p w:rsidR="00AD40E7" w:rsidRPr="00944A90" w:rsidRDefault="00F71C28" w:rsidP="00135529">
      <w:pPr>
        <w:ind w:firstLine="340"/>
        <w:jc w:val="both"/>
        <w:rPr>
          <w:rFonts w:ascii="Garamond" w:hAnsi="Garamond"/>
          <w:sz w:val="28"/>
          <w:szCs w:val="28"/>
        </w:rPr>
      </w:pPr>
      <w:r w:rsidRPr="00944A90">
        <w:rPr>
          <w:rFonts w:ascii="Garamond" w:hAnsi="Garamond"/>
          <w:sz w:val="28"/>
          <w:szCs w:val="28"/>
        </w:rPr>
        <w:t>La legittimità dell</w:t>
      </w:r>
      <w:r w:rsidR="002432B4">
        <w:rPr>
          <w:rFonts w:ascii="Garamond" w:hAnsi="Garamond"/>
          <w:sz w:val="28"/>
          <w:szCs w:val="28"/>
        </w:rPr>
        <w:t>’</w:t>
      </w:r>
      <w:r w:rsidRPr="00944A90">
        <w:rPr>
          <w:rFonts w:ascii="Garamond" w:hAnsi="Garamond"/>
          <w:sz w:val="28"/>
          <w:szCs w:val="28"/>
        </w:rPr>
        <w:t xml:space="preserve">attenuazione o addirittura eliminazione di istituti quali la comunicazione di avvio del procedimento, </w:t>
      </w:r>
      <w:r w:rsidR="00F1311F" w:rsidRPr="00944A90">
        <w:rPr>
          <w:rFonts w:ascii="Garamond" w:hAnsi="Garamond"/>
          <w:sz w:val="28"/>
          <w:szCs w:val="28"/>
        </w:rPr>
        <w:t>il</w:t>
      </w:r>
      <w:r w:rsidRPr="00944A90">
        <w:rPr>
          <w:rFonts w:ascii="Garamond" w:hAnsi="Garamond"/>
          <w:sz w:val="28"/>
          <w:szCs w:val="28"/>
        </w:rPr>
        <w:t xml:space="preserve"> contraddittorio </w:t>
      </w:r>
      <w:proofErr w:type="spellStart"/>
      <w:r w:rsidR="00F1311F" w:rsidRPr="00944A90">
        <w:rPr>
          <w:rFonts w:ascii="Garamond" w:hAnsi="Garamond"/>
          <w:sz w:val="28"/>
          <w:szCs w:val="28"/>
        </w:rPr>
        <w:t>endop</w:t>
      </w:r>
      <w:r w:rsidRPr="00944A90">
        <w:rPr>
          <w:rFonts w:ascii="Garamond" w:hAnsi="Garamond"/>
          <w:sz w:val="28"/>
          <w:szCs w:val="28"/>
        </w:rPr>
        <w:t>rocedimentale</w:t>
      </w:r>
      <w:proofErr w:type="spellEnd"/>
      <w:r w:rsidRPr="00944A90">
        <w:rPr>
          <w:rFonts w:ascii="Garamond" w:hAnsi="Garamond"/>
          <w:sz w:val="28"/>
          <w:szCs w:val="28"/>
        </w:rPr>
        <w:t xml:space="preserve"> o</w:t>
      </w:r>
      <w:r w:rsidR="00F1311F" w:rsidRPr="00944A90">
        <w:rPr>
          <w:rFonts w:ascii="Garamond" w:hAnsi="Garamond"/>
          <w:sz w:val="28"/>
          <w:szCs w:val="28"/>
        </w:rPr>
        <w:t>,</w:t>
      </w:r>
      <w:r w:rsidRPr="00944A90">
        <w:rPr>
          <w:rFonts w:ascii="Garamond" w:hAnsi="Garamond"/>
          <w:sz w:val="28"/>
          <w:szCs w:val="28"/>
        </w:rPr>
        <w:t xml:space="preserve"> ancora</w:t>
      </w:r>
      <w:r w:rsidR="00F1311F" w:rsidRPr="00944A90">
        <w:rPr>
          <w:rFonts w:ascii="Garamond" w:hAnsi="Garamond"/>
          <w:sz w:val="28"/>
          <w:szCs w:val="28"/>
        </w:rPr>
        <w:t>,</w:t>
      </w:r>
      <w:r w:rsidRPr="00944A90">
        <w:rPr>
          <w:rFonts w:ascii="Garamond" w:hAnsi="Garamond"/>
          <w:sz w:val="28"/>
          <w:szCs w:val="28"/>
        </w:rPr>
        <w:t xml:space="preserve"> il preavviso di rigetto è stata riconosciuta</w:t>
      </w:r>
      <w:r w:rsidR="00F1311F" w:rsidRPr="00944A90">
        <w:rPr>
          <w:rFonts w:ascii="Garamond" w:hAnsi="Garamond"/>
          <w:sz w:val="28"/>
          <w:szCs w:val="28"/>
        </w:rPr>
        <w:t>, come</w:t>
      </w:r>
      <w:r w:rsidR="004C0694" w:rsidRPr="00944A90">
        <w:rPr>
          <w:rFonts w:ascii="Garamond" w:hAnsi="Garamond"/>
          <w:sz w:val="28"/>
          <w:szCs w:val="28"/>
        </w:rPr>
        <w:t xml:space="preserve"> detto, dalla giurisprudenza ormai </w:t>
      </w:r>
      <w:r w:rsidR="00F1311F" w:rsidRPr="00944A90">
        <w:rPr>
          <w:rFonts w:ascii="Garamond" w:hAnsi="Garamond"/>
          <w:sz w:val="28"/>
          <w:szCs w:val="28"/>
        </w:rPr>
        <w:t>consolidata</w:t>
      </w:r>
      <w:r w:rsidR="004C0694" w:rsidRPr="00944A90">
        <w:rPr>
          <w:rFonts w:ascii="Garamond" w:hAnsi="Garamond"/>
          <w:sz w:val="28"/>
          <w:szCs w:val="28"/>
        </w:rPr>
        <w:t xml:space="preserve"> del </w:t>
      </w:r>
      <w:r w:rsidR="00F1311F" w:rsidRPr="00944A90">
        <w:rPr>
          <w:rFonts w:ascii="Garamond" w:hAnsi="Garamond"/>
          <w:sz w:val="28"/>
          <w:szCs w:val="28"/>
        </w:rPr>
        <w:t>C</w:t>
      </w:r>
      <w:r w:rsidR="004C0694" w:rsidRPr="00944A90">
        <w:rPr>
          <w:rFonts w:ascii="Garamond" w:hAnsi="Garamond"/>
          <w:sz w:val="28"/>
          <w:szCs w:val="28"/>
        </w:rPr>
        <w:t>onsiglio di Stato</w:t>
      </w:r>
      <w:r w:rsidR="00F21061" w:rsidRPr="00944A90">
        <w:rPr>
          <w:rStyle w:val="Rimandonotaapidipagina"/>
          <w:rFonts w:ascii="Garamond" w:hAnsi="Garamond"/>
          <w:sz w:val="28"/>
          <w:szCs w:val="28"/>
        </w:rPr>
        <w:footnoteReference w:id="9"/>
      </w:r>
      <w:r w:rsidR="00F824E1" w:rsidRPr="00944A90">
        <w:rPr>
          <w:rFonts w:ascii="Garamond" w:hAnsi="Garamond"/>
          <w:sz w:val="28"/>
          <w:szCs w:val="28"/>
        </w:rPr>
        <w:t xml:space="preserve">, </w:t>
      </w:r>
      <w:r w:rsidR="004C0694" w:rsidRPr="00944A90">
        <w:rPr>
          <w:rFonts w:ascii="Garamond" w:hAnsi="Garamond"/>
          <w:sz w:val="28"/>
          <w:szCs w:val="28"/>
        </w:rPr>
        <w:t xml:space="preserve">ma ha anche ottenuto l’avallo in più occasioni della </w:t>
      </w:r>
      <w:r w:rsidR="00F876DC" w:rsidRPr="00944A90">
        <w:rPr>
          <w:rFonts w:ascii="Garamond" w:hAnsi="Garamond"/>
          <w:sz w:val="28"/>
          <w:szCs w:val="28"/>
        </w:rPr>
        <w:t>C</w:t>
      </w:r>
      <w:r w:rsidR="004C0694" w:rsidRPr="00944A90">
        <w:rPr>
          <w:rFonts w:ascii="Garamond" w:hAnsi="Garamond"/>
          <w:sz w:val="28"/>
          <w:szCs w:val="28"/>
        </w:rPr>
        <w:t xml:space="preserve">orte </w:t>
      </w:r>
      <w:r w:rsidR="00F876DC" w:rsidRPr="00944A90">
        <w:rPr>
          <w:rFonts w:ascii="Garamond" w:hAnsi="Garamond"/>
          <w:sz w:val="28"/>
          <w:szCs w:val="28"/>
        </w:rPr>
        <w:t>C</w:t>
      </w:r>
      <w:r w:rsidR="004C0694" w:rsidRPr="00944A90">
        <w:rPr>
          <w:rFonts w:ascii="Garamond" w:hAnsi="Garamond"/>
          <w:sz w:val="28"/>
          <w:szCs w:val="28"/>
        </w:rPr>
        <w:t>ostituzionale. Quest’ultima</w:t>
      </w:r>
      <w:r w:rsidR="00F876DC" w:rsidRPr="00944A90">
        <w:rPr>
          <w:rFonts w:ascii="Garamond" w:hAnsi="Garamond"/>
          <w:sz w:val="28"/>
          <w:szCs w:val="28"/>
        </w:rPr>
        <w:t>,</w:t>
      </w:r>
      <w:r w:rsidR="004C0694" w:rsidRPr="00944A90">
        <w:rPr>
          <w:rFonts w:ascii="Garamond" w:hAnsi="Garamond"/>
          <w:sz w:val="28"/>
          <w:szCs w:val="28"/>
        </w:rPr>
        <w:t xml:space="preserve"> in particolare</w:t>
      </w:r>
      <w:r w:rsidR="00F876DC" w:rsidRPr="00944A90">
        <w:rPr>
          <w:rFonts w:ascii="Garamond" w:hAnsi="Garamond"/>
          <w:sz w:val="28"/>
          <w:szCs w:val="28"/>
        </w:rPr>
        <w:t>,</w:t>
      </w:r>
      <w:r w:rsidR="004C0694" w:rsidRPr="00944A90">
        <w:rPr>
          <w:rFonts w:ascii="Garamond" w:hAnsi="Garamond"/>
          <w:sz w:val="28"/>
          <w:szCs w:val="28"/>
        </w:rPr>
        <w:t xml:space="preserve"> chiamata a pronunciarsi sulla legittimità costituzionale di previsioni </w:t>
      </w:r>
      <w:r w:rsidR="00F876DC" w:rsidRPr="00944A90">
        <w:rPr>
          <w:rFonts w:ascii="Garamond" w:hAnsi="Garamond"/>
          <w:sz w:val="28"/>
          <w:szCs w:val="28"/>
        </w:rPr>
        <w:t>contenute nel</w:t>
      </w:r>
      <w:r w:rsidR="004C0694" w:rsidRPr="00944A90">
        <w:rPr>
          <w:rFonts w:ascii="Garamond" w:hAnsi="Garamond"/>
          <w:sz w:val="28"/>
          <w:szCs w:val="28"/>
        </w:rPr>
        <w:t xml:space="preserve"> </w:t>
      </w:r>
      <w:r w:rsidR="00F876DC" w:rsidRPr="00944A90">
        <w:rPr>
          <w:rFonts w:ascii="Garamond" w:hAnsi="Garamond"/>
          <w:sz w:val="28"/>
          <w:szCs w:val="28"/>
        </w:rPr>
        <w:t>T</w:t>
      </w:r>
      <w:r w:rsidR="004C0694" w:rsidRPr="00944A90">
        <w:rPr>
          <w:rFonts w:ascii="Garamond" w:hAnsi="Garamond"/>
          <w:sz w:val="28"/>
          <w:szCs w:val="28"/>
        </w:rPr>
        <w:t>esto unico degli enti locali e riferibili allo scioglimento anticipato di comuni o alla rimozione dei vertici elettivi degli enti locali a seguito di</w:t>
      </w:r>
      <w:r w:rsidR="005A126E" w:rsidRPr="00944A90">
        <w:rPr>
          <w:rFonts w:ascii="Garamond" w:hAnsi="Garamond"/>
          <w:sz w:val="28"/>
          <w:szCs w:val="28"/>
        </w:rPr>
        <w:t xml:space="preserve"> ritenute infiltrazioni mafiose</w:t>
      </w:r>
      <w:r w:rsidR="007305ED" w:rsidRPr="00944A90">
        <w:rPr>
          <w:rFonts w:ascii="Garamond" w:hAnsi="Garamond"/>
          <w:sz w:val="28"/>
          <w:szCs w:val="28"/>
        </w:rPr>
        <w:t>,</w:t>
      </w:r>
      <w:r w:rsidR="005A126E" w:rsidRPr="00944A90">
        <w:rPr>
          <w:rFonts w:ascii="Garamond" w:hAnsi="Garamond"/>
          <w:sz w:val="28"/>
          <w:szCs w:val="28"/>
        </w:rPr>
        <w:t xml:space="preserve"> ha riconosciuto che</w:t>
      </w:r>
      <w:r w:rsidR="006D6B49" w:rsidRPr="00944A90">
        <w:rPr>
          <w:rFonts w:ascii="Garamond" w:hAnsi="Garamond"/>
          <w:sz w:val="28"/>
          <w:szCs w:val="28"/>
        </w:rPr>
        <w:t xml:space="preserve"> la peculiarità del fenomeno mafioso </w:t>
      </w:r>
      <w:r w:rsidR="00E83974" w:rsidRPr="00944A90">
        <w:rPr>
          <w:rFonts w:ascii="Garamond" w:hAnsi="Garamond"/>
          <w:sz w:val="28"/>
          <w:szCs w:val="28"/>
        </w:rPr>
        <w:t xml:space="preserve">giustifica l’eccezionalità della risposta </w:t>
      </w:r>
      <w:r w:rsidR="00FB7640" w:rsidRPr="00944A90">
        <w:rPr>
          <w:rFonts w:ascii="Garamond" w:hAnsi="Garamond"/>
          <w:sz w:val="28"/>
          <w:szCs w:val="28"/>
        </w:rPr>
        <w:t>preventiva/repressiva “</w:t>
      </w:r>
      <w:r w:rsidR="00FB7640" w:rsidRPr="00944A90">
        <w:rPr>
          <w:rFonts w:ascii="Garamond" w:hAnsi="Garamond"/>
          <w:i/>
          <w:iCs/>
          <w:sz w:val="28"/>
          <w:szCs w:val="28"/>
        </w:rPr>
        <w:t>anche rispetto al restante contesto normativo finalizzato alla difesa</w:t>
      </w:r>
      <w:r w:rsidR="0065194D" w:rsidRPr="00944A90">
        <w:rPr>
          <w:rFonts w:ascii="Garamond" w:hAnsi="Garamond"/>
          <w:i/>
          <w:iCs/>
          <w:sz w:val="28"/>
          <w:szCs w:val="28"/>
        </w:rPr>
        <w:t xml:space="preserve"> della collettività dalle infiltrazioni mafiose</w:t>
      </w:r>
      <w:r w:rsidR="0065194D" w:rsidRPr="00944A90">
        <w:rPr>
          <w:rFonts w:ascii="Garamond" w:hAnsi="Garamond"/>
          <w:sz w:val="28"/>
          <w:szCs w:val="28"/>
        </w:rPr>
        <w:t>”</w:t>
      </w:r>
      <w:r w:rsidR="00E82EF3" w:rsidRPr="00944A90">
        <w:rPr>
          <w:rStyle w:val="Rimandonotaapidipagina"/>
          <w:rFonts w:ascii="Garamond" w:hAnsi="Garamond"/>
          <w:sz w:val="28"/>
          <w:szCs w:val="28"/>
        </w:rPr>
        <w:footnoteReference w:id="10"/>
      </w:r>
      <w:r w:rsidR="00705D00" w:rsidRPr="00944A90">
        <w:rPr>
          <w:rFonts w:ascii="Garamond" w:hAnsi="Garamond"/>
          <w:sz w:val="28"/>
          <w:szCs w:val="28"/>
        </w:rPr>
        <w:t>.</w:t>
      </w:r>
      <w:r w:rsidR="00F55135" w:rsidRPr="00944A90">
        <w:rPr>
          <w:rFonts w:ascii="Garamond" w:hAnsi="Garamond"/>
          <w:sz w:val="28"/>
          <w:szCs w:val="28"/>
        </w:rPr>
        <w:t xml:space="preserve"> </w:t>
      </w:r>
    </w:p>
    <w:p w:rsidR="00C305A8" w:rsidRPr="00944A90" w:rsidRDefault="00F55135" w:rsidP="00135529">
      <w:pPr>
        <w:ind w:firstLine="340"/>
        <w:jc w:val="both"/>
        <w:rPr>
          <w:rFonts w:ascii="Garamond" w:hAnsi="Garamond"/>
          <w:i/>
          <w:iCs/>
          <w:sz w:val="28"/>
          <w:szCs w:val="28"/>
        </w:rPr>
      </w:pPr>
      <w:r w:rsidRPr="00944A90">
        <w:rPr>
          <w:rFonts w:ascii="Garamond" w:hAnsi="Garamond"/>
          <w:sz w:val="28"/>
          <w:szCs w:val="28"/>
        </w:rPr>
        <w:t xml:space="preserve">Più in particolare, la Corte ha </w:t>
      </w:r>
      <w:r w:rsidR="00F72263" w:rsidRPr="00944A90">
        <w:rPr>
          <w:rFonts w:ascii="Garamond" w:hAnsi="Garamond"/>
          <w:sz w:val="28"/>
          <w:szCs w:val="28"/>
        </w:rPr>
        <w:t>sottolineato che “</w:t>
      </w:r>
      <w:r w:rsidR="00C70860" w:rsidRPr="00944A90">
        <w:rPr>
          <w:rFonts w:ascii="Garamond" w:hAnsi="Garamond"/>
          <w:i/>
          <w:iCs/>
          <w:sz w:val="28"/>
          <w:szCs w:val="28"/>
        </w:rPr>
        <w:t xml:space="preserve">gli interessi legittimi correlati </w:t>
      </w:r>
      <w:r w:rsidR="00E3422D" w:rsidRPr="00944A90">
        <w:rPr>
          <w:rFonts w:ascii="Garamond" w:hAnsi="Garamond"/>
          <w:i/>
          <w:iCs/>
          <w:sz w:val="28"/>
          <w:szCs w:val="28"/>
        </w:rPr>
        <w:t>all’azione amministrativa</w:t>
      </w:r>
      <w:r w:rsidR="00B86B17" w:rsidRPr="00944A90">
        <w:rPr>
          <w:rFonts w:ascii="Garamond" w:hAnsi="Garamond"/>
          <w:i/>
          <w:iCs/>
          <w:sz w:val="28"/>
          <w:szCs w:val="28"/>
        </w:rPr>
        <w:t xml:space="preserve"> non hanno una soglia costituzionalmente garantita, ma sono configurabili, nella loro effettiva consistenza, in relazione alla disciplina sostanziale di rango ordinario di volta in volta presa in c</w:t>
      </w:r>
      <w:r w:rsidR="00AD40E7" w:rsidRPr="00944A90">
        <w:rPr>
          <w:rFonts w:ascii="Garamond" w:hAnsi="Garamond"/>
          <w:i/>
          <w:iCs/>
          <w:sz w:val="28"/>
          <w:szCs w:val="28"/>
        </w:rPr>
        <w:t xml:space="preserve">onsiderazione. </w:t>
      </w:r>
      <w:r w:rsidR="006F3560" w:rsidRPr="00944A90">
        <w:rPr>
          <w:rFonts w:ascii="Garamond" w:hAnsi="Garamond"/>
          <w:i/>
          <w:iCs/>
          <w:sz w:val="28"/>
          <w:szCs w:val="28"/>
          <w:lang w:val="x-none"/>
        </w:rPr>
        <w:t>Di conseguenza</w:t>
      </w:r>
      <w:r w:rsidR="006F3560" w:rsidRPr="00944A90">
        <w:rPr>
          <w:rFonts w:ascii="Garamond" w:hAnsi="Garamond"/>
          <w:i/>
          <w:iCs/>
          <w:sz w:val="28"/>
          <w:szCs w:val="28"/>
        </w:rPr>
        <w:t>, una</w:t>
      </w:r>
      <w:r w:rsidR="006F3560" w:rsidRPr="00944A90">
        <w:rPr>
          <w:rFonts w:ascii="Garamond" w:hAnsi="Garamond"/>
          <w:i/>
          <w:iCs/>
          <w:sz w:val="28"/>
          <w:szCs w:val="28"/>
          <w:lang w:val="x-none"/>
        </w:rPr>
        <w:t xml:space="preserve"> volta salvaguardati nei confronti dell’amministrazione i diritti fondamentali ed il principio di uguaglianza, ed assicura</w:t>
      </w:r>
      <w:r w:rsidR="0076340A" w:rsidRPr="00944A90">
        <w:rPr>
          <w:rFonts w:ascii="Garamond" w:hAnsi="Garamond"/>
          <w:i/>
          <w:iCs/>
          <w:sz w:val="28"/>
          <w:szCs w:val="28"/>
        </w:rPr>
        <w:t>ta</w:t>
      </w:r>
      <w:r w:rsidR="006F3560" w:rsidRPr="00944A90">
        <w:rPr>
          <w:rFonts w:ascii="Garamond" w:hAnsi="Garamond"/>
          <w:i/>
          <w:iCs/>
          <w:sz w:val="28"/>
          <w:szCs w:val="28"/>
          <w:lang w:val="x-none"/>
        </w:rPr>
        <w:t xml:space="preserve"> la relativa tutela giurisdizionale, gli interessi procedimentali (cioè quelli che attengono alla regolarità formale dell’azione amministrativa) assurgono ad interessi legittimi alla stregua della disciplina che li contempla, perché</w:t>
      </w:r>
      <w:r w:rsidR="0076340A" w:rsidRPr="00944A90">
        <w:rPr>
          <w:rFonts w:ascii="Garamond" w:hAnsi="Garamond"/>
          <w:i/>
          <w:iCs/>
          <w:sz w:val="28"/>
          <w:szCs w:val="28"/>
        </w:rPr>
        <w:t xml:space="preserve"> è </w:t>
      </w:r>
      <w:r w:rsidR="006F3560" w:rsidRPr="00944A90">
        <w:rPr>
          <w:rFonts w:ascii="Garamond" w:hAnsi="Garamond"/>
          <w:i/>
          <w:iCs/>
          <w:sz w:val="28"/>
          <w:szCs w:val="28"/>
          <w:lang w:val="x-none"/>
        </w:rPr>
        <w:t>essa che ne definisce la misura e</w:t>
      </w:r>
      <w:r w:rsidR="0076340A" w:rsidRPr="00944A90">
        <w:rPr>
          <w:rFonts w:ascii="Garamond" w:hAnsi="Garamond"/>
          <w:i/>
          <w:iCs/>
          <w:sz w:val="28"/>
          <w:szCs w:val="28"/>
        </w:rPr>
        <w:t xml:space="preserve">d il </w:t>
      </w:r>
      <w:r w:rsidR="006F3560" w:rsidRPr="00944A90">
        <w:rPr>
          <w:rFonts w:ascii="Garamond" w:hAnsi="Garamond"/>
          <w:i/>
          <w:iCs/>
          <w:sz w:val="28"/>
          <w:szCs w:val="28"/>
          <w:lang w:val="x-none"/>
        </w:rPr>
        <w:t xml:space="preserve">contenuto in base </w:t>
      </w:r>
      <w:r w:rsidR="0076340A" w:rsidRPr="00944A90">
        <w:rPr>
          <w:rFonts w:ascii="Garamond" w:hAnsi="Garamond"/>
          <w:i/>
          <w:iCs/>
          <w:sz w:val="28"/>
          <w:szCs w:val="28"/>
        </w:rPr>
        <w:t xml:space="preserve">ai </w:t>
      </w:r>
      <w:r w:rsidR="006F3560" w:rsidRPr="00944A90">
        <w:rPr>
          <w:rFonts w:ascii="Garamond" w:hAnsi="Garamond"/>
          <w:i/>
          <w:iCs/>
          <w:sz w:val="28"/>
          <w:szCs w:val="28"/>
          <w:lang w:val="x-none"/>
        </w:rPr>
        <w:t>quali possono poi essere fatti valere dinanzi al giudice</w:t>
      </w:r>
      <w:r w:rsidR="00A3448D" w:rsidRPr="00944A90">
        <w:rPr>
          <w:rFonts w:ascii="Garamond" w:hAnsi="Garamond"/>
          <w:i/>
          <w:iCs/>
          <w:sz w:val="28"/>
          <w:szCs w:val="28"/>
        </w:rPr>
        <w:t>”</w:t>
      </w:r>
      <w:r w:rsidR="00AD40E7" w:rsidRPr="00944A90">
        <w:rPr>
          <w:rStyle w:val="Rimandonotaapidipagina"/>
          <w:rFonts w:ascii="Garamond" w:hAnsi="Garamond"/>
          <w:iCs/>
          <w:sz w:val="28"/>
          <w:szCs w:val="28"/>
        </w:rPr>
        <w:footnoteReference w:id="11"/>
      </w:r>
      <w:r w:rsidR="00A3448D" w:rsidRPr="00944A90">
        <w:rPr>
          <w:rFonts w:ascii="Garamond" w:hAnsi="Garamond"/>
          <w:iCs/>
          <w:sz w:val="28"/>
          <w:szCs w:val="28"/>
        </w:rPr>
        <w:t>.</w:t>
      </w:r>
    </w:p>
    <w:p w:rsidR="00F74B41" w:rsidRPr="00944A90" w:rsidRDefault="007A45BA" w:rsidP="00135529">
      <w:pPr>
        <w:ind w:firstLine="340"/>
        <w:jc w:val="both"/>
        <w:rPr>
          <w:rFonts w:ascii="Garamond" w:hAnsi="Garamond"/>
          <w:sz w:val="28"/>
          <w:szCs w:val="28"/>
        </w:rPr>
      </w:pPr>
      <w:r w:rsidRPr="00944A90">
        <w:rPr>
          <w:rFonts w:ascii="Garamond" w:hAnsi="Garamond"/>
          <w:sz w:val="28"/>
          <w:szCs w:val="28"/>
        </w:rPr>
        <w:lastRenderedPageBreak/>
        <w:t>Simili</w:t>
      </w:r>
      <w:r w:rsidR="00A6514F" w:rsidRPr="00944A90">
        <w:rPr>
          <w:rFonts w:ascii="Garamond" w:hAnsi="Garamond"/>
          <w:sz w:val="28"/>
          <w:szCs w:val="28"/>
        </w:rPr>
        <w:t xml:space="preserve"> deroghe alle disposizioni che regolano il procedimento amministrativo trova</w:t>
      </w:r>
      <w:r w:rsidR="000C7BE5" w:rsidRPr="00944A90">
        <w:rPr>
          <w:rFonts w:ascii="Garamond" w:hAnsi="Garamond"/>
          <w:sz w:val="28"/>
          <w:szCs w:val="28"/>
        </w:rPr>
        <w:t>no</w:t>
      </w:r>
      <w:r w:rsidR="00A6514F" w:rsidRPr="00944A90">
        <w:rPr>
          <w:rFonts w:ascii="Garamond" w:hAnsi="Garamond"/>
          <w:sz w:val="28"/>
          <w:szCs w:val="28"/>
        </w:rPr>
        <w:t xml:space="preserve"> il </w:t>
      </w:r>
      <w:r w:rsidR="000C7BE5" w:rsidRPr="00944A90">
        <w:rPr>
          <w:rFonts w:ascii="Garamond" w:hAnsi="Garamond"/>
          <w:sz w:val="28"/>
          <w:szCs w:val="28"/>
        </w:rPr>
        <w:t>loro</w:t>
      </w:r>
      <w:r w:rsidR="00A6514F" w:rsidRPr="00944A90">
        <w:rPr>
          <w:rFonts w:ascii="Garamond" w:hAnsi="Garamond"/>
          <w:sz w:val="28"/>
          <w:szCs w:val="28"/>
        </w:rPr>
        <w:t xml:space="preserve"> fondamento</w:t>
      </w:r>
      <w:r w:rsidR="00C269AE" w:rsidRPr="00944A90">
        <w:rPr>
          <w:rFonts w:ascii="Garamond" w:hAnsi="Garamond"/>
          <w:sz w:val="28"/>
          <w:szCs w:val="28"/>
        </w:rPr>
        <w:t>, per quanto riguarda la comunicazione di avvio del procedimento,</w:t>
      </w:r>
      <w:r w:rsidR="00A6514F" w:rsidRPr="00944A90">
        <w:rPr>
          <w:rFonts w:ascii="Garamond" w:hAnsi="Garamond"/>
          <w:sz w:val="28"/>
          <w:szCs w:val="28"/>
        </w:rPr>
        <w:t xml:space="preserve"> nell’articolo</w:t>
      </w:r>
      <w:r w:rsidR="00EA50EB" w:rsidRPr="00944A90">
        <w:rPr>
          <w:rFonts w:ascii="Garamond" w:hAnsi="Garamond"/>
          <w:sz w:val="28"/>
          <w:szCs w:val="28"/>
        </w:rPr>
        <w:t xml:space="preserve"> 7</w:t>
      </w:r>
      <w:r w:rsidR="00A6514F" w:rsidRPr="00944A90">
        <w:rPr>
          <w:rFonts w:ascii="Garamond" w:hAnsi="Garamond"/>
          <w:sz w:val="28"/>
          <w:szCs w:val="28"/>
        </w:rPr>
        <w:t xml:space="preserve"> </w:t>
      </w:r>
      <w:r w:rsidR="00FA29FC" w:rsidRPr="00944A90">
        <w:rPr>
          <w:rFonts w:ascii="Garamond" w:hAnsi="Garamond"/>
          <w:sz w:val="28"/>
          <w:szCs w:val="28"/>
        </w:rPr>
        <w:t>della</w:t>
      </w:r>
      <w:r w:rsidR="00C728E1" w:rsidRPr="00944A90">
        <w:rPr>
          <w:rFonts w:ascii="Garamond" w:hAnsi="Garamond"/>
          <w:sz w:val="28"/>
          <w:szCs w:val="28"/>
        </w:rPr>
        <w:t xml:space="preserve"> legge 7 agosto 19</w:t>
      </w:r>
      <w:r w:rsidR="00A6514F" w:rsidRPr="00944A90">
        <w:rPr>
          <w:rFonts w:ascii="Garamond" w:hAnsi="Garamond"/>
          <w:sz w:val="28"/>
          <w:szCs w:val="28"/>
        </w:rPr>
        <w:t>90</w:t>
      </w:r>
      <w:r w:rsidR="00C728E1" w:rsidRPr="00944A90">
        <w:rPr>
          <w:rFonts w:ascii="Garamond" w:hAnsi="Garamond"/>
          <w:sz w:val="28"/>
          <w:szCs w:val="28"/>
        </w:rPr>
        <w:t>, n. 241</w:t>
      </w:r>
      <w:r w:rsidR="00A6514F" w:rsidRPr="00944A90">
        <w:rPr>
          <w:rFonts w:ascii="Garamond" w:hAnsi="Garamond"/>
          <w:sz w:val="28"/>
          <w:szCs w:val="28"/>
        </w:rPr>
        <w:t xml:space="preserve">, a mente del quale </w:t>
      </w:r>
      <w:r w:rsidR="007D7B3F" w:rsidRPr="00944A90">
        <w:rPr>
          <w:rFonts w:ascii="Garamond" w:hAnsi="Garamond"/>
          <w:sz w:val="28"/>
          <w:szCs w:val="28"/>
        </w:rPr>
        <w:t xml:space="preserve">tale comunicazione deve pervenire ai soggetti incisi </w:t>
      </w:r>
      <w:r w:rsidR="00FA29FC" w:rsidRPr="00944A90">
        <w:rPr>
          <w:rFonts w:ascii="Garamond" w:hAnsi="Garamond"/>
          <w:sz w:val="28"/>
          <w:szCs w:val="28"/>
        </w:rPr>
        <w:t xml:space="preserve">dal provvedimento finale </w:t>
      </w:r>
      <w:r w:rsidR="007D7B3F" w:rsidRPr="00944A90">
        <w:rPr>
          <w:rFonts w:ascii="Garamond" w:hAnsi="Garamond"/>
          <w:sz w:val="28"/>
          <w:szCs w:val="28"/>
        </w:rPr>
        <w:t>o comunque coinvolti nel procedimento di cui trattasi “</w:t>
      </w:r>
      <w:r w:rsidR="007D7B3F" w:rsidRPr="00944A90">
        <w:rPr>
          <w:rFonts w:ascii="Garamond" w:hAnsi="Garamond"/>
          <w:i/>
          <w:iCs/>
          <w:sz w:val="28"/>
          <w:szCs w:val="28"/>
        </w:rPr>
        <w:t>ove non sussistano ragioni di impedimento derivanti da particolari esigenze di celerità del procedimento</w:t>
      </w:r>
      <w:r w:rsidR="007D7B3F" w:rsidRPr="00944A90">
        <w:rPr>
          <w:rFonts w:ascii="Garamond" w:hAnsi="Garamond"/>
          <w:sz w:val="28"/>
          <w:szCs w:val="28"/>
        </w:rPr>
        <w:t>”.</w:t>
      </w:r>
      <w:r w:rsidR="0032625C" w:rsidRPr="00944A90">
        <w:rPr>
          <w:rFonts w:ascii="Garamond" w:hAnsi="Garamond"/>
          <w:sz w:val="28"/>
          <w:szCs w:val="28"/>
        </w:rPr>
        <w:t xml:space="preserve"> </w:t>
      </w:r>
      <w:r w:rsidR="00EC70C7" w:rsidRPr="00944A90">
        <w:rPr>
          <w:rFonts w:ascii="Garamond" w:hAnsi="Garamond"/>
          <w:sz w:val="28"/>
          <w:szCs w:val="28"/>
        </w:rPr>
        <w:t xml:space="preserve">Il </w:t>
      </w:r>
      <w:r w:rsidR="00EC70C7" w:rsidRPr="00944A90">
        <w:rPr>
          <w:rFonts w:ascii="Garamond" w:hAnsi="Garamond"/>
          <w:i/>
          <w:iCs/>
          <w:sz w:val="28"/>
          <w:szCs w:val="28"/>
        </w:rPr>
        <w:t>focus</w:t>
      </w:r>
      <w:r w:rsidR="00EC70C7" w:rsidRPr="00944A90">
        <w:rPr>
          <w:rFonts w:ascii="Garamond" w:hAnsi="Garamond"/>
          <w:sz w:val="28"/>
          <w:szCs w:val="28"/>
        </w:rPr>
        <w:t xml:space="preserve"> si sposta quindi</w:t>
      </w:r>
      <w:r w:rsidR="00FA29FC" w:rsidRPr="00944A90">
        <w:rPr>
          <w:rFonts w:ascii="Garamond" w:hAnsi="Garamond"/>
          <w:sz w:val="28"/>
          <w:szCs w:val="28"/>
        </w:rPr>
        <w:t>,</w:t>
      </w:r>
      <w:r w:rsidR="00EC70C7" w:rsidRPr="00944A90">
        <w:rPr>
          <w:rFonts w:ascii="Garamond" w:hAnsi="Garamond"/>
          <w:sz w:val="28"/>
          <w:szCs w:val="28"/>
        </w:rPr>
        <w:t xml:space="preserve"> evidentemente</w:t>
      </w:r>
      <w:r w:rsidR="00FA29FC" w:rsidRPr="00944A90">
        <w:rPr>
          <w:rFonts w:ascii="Garamond" w:hAnsi="Garamond"/>
          <w:sz w:val="28"/>
          <w:szCs w:val="28"/>
        </w:rPr>
        <w:t>,</w:t>
      </w:r>
      <w:r w:rsidR="00EC70C7" w:rsidRPr="00944A90">
        <w:rPr>
          <w:rFonts w:ascii="Garamond" w:hAnsi="Garamond"/>
          <w:sz w:val="28"/>
          <w:szCs w:val="28"/>
        </w:rPr>
        <w:t xml:space="preserve"> nell</w:t>
      </w:r>
      <w:r w:rsidR="003E5CC8">
        <w:rPr>
          <w:rFonts w:ascii="Garamond" w:hAnsi="Garamond"/>
          <w:sz w:val="28"/>
          <w:szCs w:val="28"/>
        </w:rPr>
        <w:t>’</w:t>
      </w:r>
      <w:r w:rsidR="00EC70C7" w:rsidRPr="00944A90">
        <w:rPr>
          <w:rFonts w:ascii="Garamond" w:hAnsi="Garamond"/>
          <w:sz w:val="28"/>
          <w:szCs w:val="28"/>
        </w:rPr>
        <w:t>individuazione, che deve avvenire per il caso concreto e mai per categoria o per astratto, della sussistenza di particolari esigenze di celerità del procedimento</w:t>
      </w:r>
      <w:r w:rsidR="00396FD6" w:rsidRPr="00944A90">
        <w:rPr>
          <w:rFonts w:ascii="Garamond" w:hAnsi="Garamond"/>
          <w:sz w:val="28"/>
          <w:szCs w:val="28"/>
        </w:rPr>
        <w:t>:</w:t>
      </w:r>
      <w:r w:rsidR="00EC70C7" w:rsidRPr="00944A90">
        <w:rPr>
          <w:rFonts w:ascii="Garamond" w:hAnsi="Garamond"/>
          <w:sz w:val="28"/>
          <w:szCs w:val="28"/>
        </w:rPr>
        <w:t xml:space="preserve"> e </w:t>
      </w:r>
      <w:r w:rsidR="00396FD6" w:rsidRPr="00944A90">
        <w:rPr>
          <w:rFonts w:ascii="Garamond" w:hAnsi="Garamond"/>
          <w:sz w:val="28"/>
          <w:szCs w:val="28"/>
        </w:rPr>
        <w:t>senza dubbio</w:t>
      </w:r>
      <w:r w:rsidR="00EC70C7" w:rsidRPr="00944A90">
        <w:rPr>
          <w:rFonts w:ascii="Garamond" w:hAnsi="Garamond"/>
          <w:sz w:val="28"/>
          <w:szCs w:val="28"/>
        </w:rPr>
        <w:t xml:space="preserve"> il procedimento prefettizio finalizzato all</w:t>
      </w:r>
      <w:r w:rsidR="00396FD6" w:rsidRPr="00944A90">
        <w:rPr>
          <w:rFonts w:ascii="Garamond" w:hAnsi="Garamond"/>
          <w:sz w:val="28"/>
          <w:szCs w:val="28"/>
        </w:rPr>
        <w:t>’</w:t>
      </w:r>
      <w:r w:rsidR="00D754A5">
        <w:rPr>
          <w:rFonts w:ascii="Garamond" w:hAnsi="Garamond"/>
          <w:sz w:val="28"/>
          <w:szCs w:val="28"/>
        </w:rPr>
        <w:t>ado</w:t>
      </w:r>
      <w:r w:rsidR="00EC70C7" w:rsidRPr="00944A90">
        <w:rPr>
          <w:rFonts w:ascii="Garamond" w:hAnsi="Garamond"/>
          <w:sz w:val="28"/>
          <w:szCs w:val="28"/>
        </w:rPr>
        <w:t>zione della comunicazione o dell</w:t>
      </w:r>
      <w:r w:rsidR="00D754A5">
        <w:rPr>
          <w:rFonts w:ascii="Garamond" w:hAnsi="Garamond"/>
          <w:sz w:val="28"/>
          <w:szCs w:val="28"/>
        </w:rPr>
        <w:t>’</w:t>
      </w:r>
      <w:r w:rsidR="00EC70C7" w:rsidRPr="00944A90">
        <w:rPr>
          <w:rFonts w:ascii="Garamond" w:hAnsi="Garamond"/>
          <w:sz w:val="28"/>
          <w:szCs w:val="28"/>
        </w:rPr>
        <w:t xml:space="preserve">informazione antimafia </w:t>
      </w:r>
      <w:r w:rsidR="005C75D2" w:rsidRPr="00944A90">
        <w:rPr>
          <w:rFonts w:ascii="Garamond" w:hAnsi="Garamond"/>
          <w:sz w:val="28"/>
          <w:szCs w:val="28"/>
        </w:rPr>
        <w:t xml:space="preserve">costituisce esempio evidente </w:t>
      </w:r>
      <w:r w:rsidR="0022346C" w:rsidRPr="00944A90">
        <w:rPr>
          <w:rFonts w:ascii="Garamond" w:hAnsi="Garamond"/>
          <w:sz w:val="28"/>
          <w:szCs w:val="28"/>
        </w:rPr>
        <w:t xml:space="preserve">di </w:t>
      </w:r>
      <w:r w:rsidR="00EC70C7" w:rsidRPr="00944A90">
        <w:rPr>
          <w:rFonts w:ascii="Garamond" w:hAnsi="Garamond"/>
          <w:sz w:val="28"/>
          <w:szCs w:val="28"/>
        </w:rPr>
        <w:t xml:space="preserve">un procedimento </w:t>
      </w:r>
      <w:r w:rsidR="0022346C" w:rsidRPr="00944A90">
        <w:rPr>
          <w:rFonts w:ascii="Garamond" w:hAnsi="Garamond"/>
          <w:sz w:val="28"/>
          <w:szCs w:val="28"/>
        </w:rPr>
        <w:t>animato</w:t>
      </w:r>
      <w:r w:rsidR="00EC70C7" w:rsidRPr="00944A90">
        <w:rPr>
          <w:rFonts w:ascii="Garamond" w:hAnsi="Garamond"/>
          <w:sz w:val="28"/>
          <w:szCs w:val="28"/>
        </w:rPr>
        <w:t xml:space="preserve"> dall</w:t>
      </w:r>
      <w:r w:rsidR="0022346C" w:rsidRPr="00944A90">
        <w:rPr>
          <w:rFonts w:ascii="Garamond" w:hAnsi="Garamond"/>
          <w:sz w:val="28"/>
          <w:szCs w:val="28"/>
        </w:rPr>
        <w:t>’</w:t>
      </w:r>
      <w:r w:rsidR="001C4C0C" w:rsidRPr="00944A90">
        <w:rPr>
          <w:rFonts w:ascii="Garamond" w:hAnsi="Garamond"/>
          <w:sz w:val="28"/>
          <w:szCs w:val="28"/>
        </w:rPr>
        <w:t>urgenza del provvedere</w:t>
      </w:r>
      <w:r w:rsidR="001C4C0C" w:rsidRPr="00944A90">
        <w:rPr>
          <w:rStyle w:val="Rimandonotaapidipagina"/>
          <w:rFonts w:ascii="Garamond" w:hAnsi="Garamond"/>
          <w:sz w:val="28"/>
          <w:szCs w:val="28"/>
        </w:rPr>
        <w:footnoteReference w:id="12"/>
      </w:r>
      <w:r w:rsidR="001C4C0C" w:rsidRPr="00944A90">
        <w:rPr>
          <w:rFonts w:ascii="Garamond" w:hAnsi="Garamond"/>
          <w:sz w:val="28"/>
          <w:szCs w:val="28"/>
        </w:rPr>
        <w:t>.</w:t>
      </w:r>
    </w:p>
    <w:p w:rsidR="00530405" w:rsidRPr="00944A90" w:rsidRDefault="001F2012" w:rsidP="00135529">
      <w:pPr>
        <w:ind w:firstLine="340"/>
        <w:jc w:val="both"/>
        <w:rPr>
          <w:rFonts w:ascii="Garamond" w:hAnsi="Garamond"/>
          <w:sz w:val="28"/>
          <w:szCs w:val="28"/>
        </w:rPr>
      </w:pPr>
      <w:r w:rsidRPr="00944A90">
        <w:rPr>
          <w:rFonts w:ascii="Garamond" w:hAnsi="Garamond"/>
          <w:sz w:val="28"/>
          <w:szCs w:val="28"/>
        </w:rPr>
        <w:t>Venendo all’esigenza di garantire la partecipazione del privato all</w:t>
      </w:r>
      <w:r w:rsidR="00726765" w:rsidRPr="00944A90">
        <w:rPr>
          <w:rFonts w:ascii="Garamond" w:hAnsi="Garamond"/>
          <w:sz w:val="28"/>
          <w:szCs w:val="28"/>
        </w:rPr>
        <w:t xml:space="preserve">’elaborazione </w:t>
      </w:r>
      <w:r w:rsidRPr="00944A90">
        <w:rPr>
          <w:rFonts w:ascii="Garamond" w:hAnsi="Garamond"/>
          <w:sz w:val="28"/>
          <w:szCs w:val="28"/>
        </w:rPr>
        <w:t xml:space="preserve">del provvedimento finale </w:t>
      </w:r>
      <w:r w:rsidR="004B19F9" w:rsidRPr="00944A90">
        <w:rPr>
          <w:rFonts w:ascii="Garamond" w:hAnsi="Garamond"/>
          <w:sz w:val="28"/>
          <w:szCs w:val="28"/>
        </w:rPr>
        <w:t xml:space="preserve">per mezzo </w:t>
      </w:r>
      <w:r w:rsidRPr="00944A90">
        <w:rPr>
          <w:rFonts w:ascii="Garamond" w:hAnsi="Garamond"/>
          <w:sz w:val="28"/>
          <w:szCs w:val="28"/>
        </w:rPr>
        <w:t xml:space="preserve">del contraddittorio in chiave collaborativa con la </w:t>
      </w:r>
      <w:r w:rsidR="00726765" w:rsidRPr="00944A90">
        <w:rPr>
          <w:rFonts w:ascii="Garamond" w:hAnsi="Garamond"/>
          <w:sz w:val="28"/>
          <w:szCs w:val="28"/>
        </w:rPr>
        <w:t>P</w:t>
      </w:r>
      <w:r w:rsidRPr="00944A90">
        <w:rPr>
          <w:rFonts w:ascii="Garamond" w:hAnsi="Garamond"/>
          <w:sz w:val="28"/>
          <w:szCs w:val="28"/>
        </w:rPr>
        <w:t xml:space="preserve">ubblica </w:t>
      </w:r>
      <w:r w:rsidR="00726765" w:rsidRPr="00944A90">
        <w:rPr>
          <w:rFonts w:ascii="Garamond" w:hAnsi="Garamond"/>
          <w:sz w:val="28"/>
          <w:szCs w:val="28"/>
        </w:rPr>
        <w:t>A</w:t>
      </w:r>
      <w:r w:rsidRPr="00944A90">
        <w:rPr>
          <w:rFonts w:ascii="Garamond" w:hAnsi="Garamond"/>
          <w:sz w:val="28"/>
          <w:szCs w:val="28"/>
        </w:rPr>
        <w:t>mministrazione, anche in riferimento a tale istituto è stata riconosciuta come legittima la sua attenuazione</w:t>
      </w:r>
      <w:r w:rsidR="004B19F9" w:rsidRPr="00944A90">
        <w:rPr>
          <w:rFonts w:ascii="Garamond" w:hAnsi="Garamond"/>
          <w:sz w:val="28"/>
          <w:szCs w:val="28"/>
        </w:rPr>
        <w:t>,</w:t>
      </w:r>
      <w:r w:rsidRPr="00944A90">
        <w:rPr>
          <w:rFonts w:ascii="Garamond" w:hAnsi="Garamond"/>
          <w:sz w:val="28"/>
          <w:szCs w:val="28"/>
        </w:rPr>
        <w:t xml:space="preserve"> se non eliminazione</w:t>
      </w:r>
      <w:r w:rsidR="0068287F" w:rsidRPr="00944A90">
        <w:rPr>
          <w:rStyle w:val="Rimandonotaapidipagina"/>
          <w:rFonts w:ascii="Garamond" w:hAnsi="Garamond"/>
          <w:sz w:val="28"/>
          <w:szCs w:val="28"/>
        </w:rPr>
        <w:footnoteReference w:id="13"/>
      </w:r>
      <w:r w:rsidRPr="00944A90">
        <w:rPr>
          <w:rFonts w:ascii="Garamond" w:hAnsi="Garamond"/>
          <w:sz w:val="28"/>
          <w:szCs w:val="28"/>
        </w:rPr>
        <w:t xml:space="preserve">. Il che costituisce evidentemente il punto più </w:t>
      </w:r>
      <w:r w:rsidR="00B74BEE" w:rsidRPr="00944A90">
        <w:rPr>
          <w:rFonts w:ascii="Garamond" w:hAnsi="Garamond"/>
          <w:sz w:val="28"/>
          <w:szCs w:val="28"/>
        </w:rPr>
        <w:t>problematico della vicenda</w:t>
      </w:r>
      <w:r w:rsidR="004B19F9" w:rsidRPr="00944A90">
        <w:rPr>
          <w:rFonts w:ascii="Garamond" w:hAnsi="Garamond"/>
          <w:sz w:val="28"/>
          <w:szCs w:val="28"/>
        </w:rPr>
        <w:t>,</w:t>
      </w:r>
      <w:r w:rsidR="00B74BEE" w:rsidRPr="00944A90">
        <w:rPr>
          <w:rFonts w:ascii="Garamond" w:hAnsi="Garamond"/>
          <w:sz w:val="28"/>
          <w:szCs w:val="28"/>
        </w:rPr>
        <w:t xml:space="preserve"> se solo si guarda alle conseguenze immediate e dannose che derivano dall</w:t>
      </w:r>
      <w:r w:rsidR="00DF198F" w:rsidRPr="00944A90">
        <w:rPr>
          <w:rFonts w:ascii="Garamond" w:hAnsi="Garamond"/>
          <w:sz w:val="28"/>
          <w:szCs w:val="28"/>
        </w:rPr>
        <w:t>’</w:t>
      </w:r>
      <w:r w:rsidR="00B74BEE" w:rsidRPr="00944A90">
        <w:rPr>
          <w:rFonts w:ascii="Garamond" w:hAnsi="Garamond"/>
          <w:sz w:val="28"/>
          <w:szCs w:val="28"/>
        </w:rPr>
        <w:t xml:space="preserve">assunzione di un provvedimento </w:t>
      </w:r>
      <w:proofErr w:type="spellStart"/>
      <w:r w:rsidR="00B74BEE" w:rsidRPr="00944A90">
        <w:rPr>
          <w:rFonts w:ascii="Garamond" w:hAnsi="Garamond"/>
          <w:sz w:val="28"/>
          <w:szCs w:val="28"/>
        </w:rPr>
        <w:t>interdittiv</w:t>
      </w:r>
      <w:r w:rsidR="004B19F9" w:rsidRPr="00944A90">
        <w:rPr>
          <w:rFonts w:ascii="Garamond" w:hAnsi="Garamond"/>
          <w:sz w:val="28"/>
          <w:szCs w:val="28"/>
        </w:rPr>
        <w:t>o</w:t>
      </w:r>
      <w:proofErr w:type="spellEnd"/>
      <w:r w:rsidR="00B74BEE" w:rsidRPr="00944A90">
        <w:rPr>
          <w:rFonts w:ascii="Garamond" w:hAnsi="Garamond"/>
          <w:sz w:val="28"/>
          <w:szCs w:val="28"/>
        </w:rPr>
        <w:t xml:space="preserve"> antimafia. L’impresa che ne sia </w:t>
      </w:r>
      <w:r w:rsidR="004B19F9" w:rsidRPr="00944A90">
        <w:rPr>
          <w:rFonts w:ascii="Garamond" w:hAnsi="Garamond"/>
          <w:sz w:val="28"/>
          <w:szCs w:val="28"/>
        </w:rPr>
        <w:t>at</w:t>
      </w:r>
      <w:r w:rsidR="00B74BEE" w:rsidRPr="00944A90">
        <w:rPr>
          <w:rFonts w:ascii="Garamond" w:hAnsi="Garamond"/>
          <w:sz w:val="28"/>
          <w:szCs w:val="28"/>
        </w:rPr>
        <w:t>tinta</w:t>
      </w:r>
      <w:r w:rsidR="004B19F9" w:rsidRPr="00944A90">
        <w:rPr>
          <w:rFonts w:ascii="Garamond" w:hAnsi="Garamond"/>
          <w:sz w:val="28"/>
          <w:szCs w:val="28"/>
        </w:rPr>
        <w:t>,</w:t>
      </w:r>
      <w:r w:rsidR="00B74BEE" w:rsidRPr="00944A90">
        <w:rPr>
          <w:rFonts w:ascii="Garamond" w:hAnsi="Garamond"/>
          <w:sz w:val="28"/>
          <w:szCs w:val="28"/>
        </w:rPr>
        <w:t xml:space="preserve"> infatti</w:t>
      </w:r>
      <w:r w:rsidR="004B19F9" w:rsidRPr="00944A90">
        <w:rPr>
          <w:rFonts w:ascii="Garamond" w:hAnsi="Garamond"/>
          <w:sz w:val="28"/>
          <w:szCs w:val="28"/>
        </w:rPr>
        <w:t>,</w:t>
      </w:r>
      <w:r w:rsidR="00B74BEE" w:rsidRPr="00944A90">
        <w:rPr>
          <w:rFonts w:ascii="Garamond" w:hAnsi="Garamond"/>
          <w:sz w:val="28"/>
          <w:szCs w:val="28"/>
        </w:rPr>
        <w:t xml:space="preserve"> vede immediatamente cessare i propri rapporti lavorativi tanto nei confronti del pubblico, essendo le amministrazioni e gli enti pubblici in generale tenuti a recedere dai contratti in essere</w:t>
      </w:r>
      <w:r w:rsidR="00A81A92" w:rsidRPr="00944A90">
        <w:rPr>
          <w:rFonts w:ascii="Garamond" w:hAnsi="Garamond"/>
          <w:sz w:val="28"/>
          <w:szCs w:val="28"/>
        </w:rPr>
        <w:t xml:space="preserve"> con tali </w:t>
      </w:r>
      <w:r w:rsidR="00B74BEE" w:rsidRPr="00944A90">
        <w:rPr>
          <w:rFonts w:ascii="Garamond" w:hAnsi="Garamond"/>
          <w:sz w:val="28"/>
          <w:szCs w:val="28"/>
        </w:rPr>
        <w:t>società</w:t>
      </w:r>
      <w:r w:rsidR="00311BDE" w:rsidRPr="00944A90">
        <w:rPr>
          <w:rFonts w:ascii="Garamond" w:hAnsi="Garamond"/>
          <w:sz w:val="28"/>
          <w:szCs w:val="28"/>
        </w:rPr>
        <w:t xml:space="preserve">, </w:t>
      </w:r>
      <w:r w:rsidR="00B74BEE" w:rsidRPr="00944A90">
        <w:rPr>
          <w:rFonts w:ascii="Garamond" w:hAnsi="Garamond"/>
          <w:sz w:val="28"/>
          <w:szCs w:val="28"/>
        </w:rPr>
        <w:t xml:space="preserve">a non stipulare con esse </w:t>
      </w:r>
      <w:r w:rsidR="00311BDE" w:rsidRPr="00944A90">
        <w:rPr>
          <w:rFonts w:ascii="Garamond" w:hAnsi="Garamond"/>
          <w:sz w:val="28"/>
          <w:szCs w:val="28"/>
        </w:rPr>
        <w:t>ed anzi ad escluderle</w:t>
      </w:r>
      <w:r w:rsidR="00BB7CCC" w:rsidRPr="00944A90">
        <w:rPr>
          <w:rFonts w:ascii="Garamond" w:hAnsi="Garamond"/>
          <w:sz w:val="28"/>
          <w:szCs w:val="28"/>
          <w:lang w:val="x-none"/>
        </w:rPr>
        <w:t xml:space="preserve"> </w:t>
      </w:r>
      <w:r w:rsidR="00311BDE" w:rsidRPr="00944A90">
        <w:rPr>
          <w:rFonts w:ascii="Garamond" w:hAnsi="Garamond"/>
          <w:sz w:val="28"/>
          <w:szCs w:val="28"/>
        </w:rPr>
        <w:t>dalla</w:t>
      </w:r>
      <w:r w:rsidR="00BB7CCC" w:rsidRPr="00944A90">
        <w:rPr>
          <w:rFonts w:ascii="Garamond" w:hAnsi="Garamond"/>
          <w:sz w:val="28"/>
          <w:szCs w:val="28"/>
          <w:lang w:val="x-none"/>
        </w:rPr>
        <w:t xml:space="preserve"> partecipazione a procedure di selezione pubblica del contraente, quanto anche nei rapporti tra privati</w:t>
      </w:r>
      <w:r w:rsidR="00EE1A6C" w:rsidRPr="00944A90">
        <w:rPr>
          <w:rFonts w:ascii="Garamond" w:hAnsi="Garamond"/>
          <w:sz w:val="28"/>
          <w:szCs w:val="28"/>
        </w:rPr>
        <w:t>,</w:t>
      </w:r>
      <w:r w:rsidR="00BB7CCC" w:rsidRPr="00944A90">
        <w:rPr>
          <w:rFonts w:ascii="Garamond" w:hAnsi="Garamond"/>
          <w:sz w:val="28"/>
          <w:szCs w:val="28"/>
          <w:lang w:val="x-none"/>
        </w:rPr>
        <w:t xml:space="preserve"> tanto che parte non irrilevante della dottrina parla</w:t>
      </w:r>
      <w:r w:rsidR="00EE1A6C" w:rsidRPr="00944A90">
        <w:rPr>
          <w:rFonts w:ascii="Garamond" w:hAnsi="Garamond"/>
          <w:sz w:val="28"/>
          <w:szCs w:val="28"/>
        </w:rPr>
        <w:t xml:space="preserve"> del</w:t>
      </w:r>
      <w:r w:rsidR="00530405" w:rsidRPr="00944A90">
        <w:rPr>
          <w:rFonts w:ascii="Garamond" w:hAnsi="Garamond"/>
          <w:sz w:val="28"/>
          <w:szCs w:val="28"/>
        </w:rPr>
        <w:t xml:space="preserve">le conseguenze della misura </w:t>
      </w:r>
      <w:proofErr w:type="spellStart"/>
      <w:r w:rsidR="00530405" w:rsidRPr="00944A90">
        <w:rPr>
          <w:rFonts w:ascii="Garamond" w:hAnsi="Garamond"/>
          <w:sz w:val="28"/>
          <w:szCs w:val="28"/>
        </w:rPr>
        <w:t>interdittiva</w:t>
      </w:r>
      <w:proofErr w:type="spellEnd"/>
      <w:r w:rsidR="00BB7CCC" w:rsidRPr="00944A90">
        <w:rPr>
          <w:rFonts w:ascii="Garamond" w:hAnsi="Garamond"/>
          <w:sz w:val="28"/>
          <w:szCs w:val="28"/>
          <w:lang w:val="x-none"/>
        </w:rPr>
        <w:t xml:space="preserve"> in termini di morte civile dell’imprenditore</w:t>
      </w:r>
      <w:r w:rsidR="00BB7CCC" w:rsidRPr="00944A90">
        <w:rPr>
          <w:rFonts w:ascii="Garamond" w:hAnsi="Garamond"/>
          <w:sz w:val="28"/>
          <w:szCs w:val="28"/>
        </w:rPr>
        <w:t xml:space="preserve">. </w:t>
      </w:r>
    </w:p>
    <w:p w:rsidR="00E37B89" w:rsidRPr="00944A90" w:rsidRDefault="000B40E6" w:rsidP="00135529">
      <w:pPr>
        <w:ind w:firstLine="340"/>
        <w:jc w:val="both"/>
        <w:rPr>
          <w:rFonts w:ascii="Garamond" w:hAnsi="Garamond"/>
          <w:sz w:val="28"/>
          <w:szCs w:val="28"/>
        </w:rPr>
      </w:pPr>
      <w:r w:rsidRPr="00944A90">
        <w:rPr>
          <w:rFonts w:ascii="Garamond" w:hAnsi="Garamond"/>
          <w:sz w:val="28"/>
          <w:szCs w:val="28"/>
        </w:rPr>
        <w:t>È evidente quindi l’interesse che nutre l’imprenditore o la società interessata da simili misure a poter intervenire prima che un simile provvedimento venga adottato</w:t>
      </w:r>
      <w:r w:rsidR="00530405" w:rsidRPr="00944A90">
        <w:rPr>
          <w:rFonts w:ascii="Garamond" w:hAnsi="Garamond"/>
          <w:sz w:val="28"/>
          <w:szCs w:val="28"/>
        </w:rPr>
        <w:t>,</w:t>
      </w:r>
      <w:r w:rsidRPr="00944A90">
        <w:rPr>
          <w:rFonts w:ascii="Garamond" w:hAnsi="Garamond"/>
          <w:sz w:val="28"/>
          <w:szCs w:val="28"/>
        </w:rPr>
        <w:t xml:space="preserve"> in chiave questa volta evidentemente più difensiva che collaborativa. </w:t>
      </w:r>
      <w:r w:rsidR="00DA3877" w:rsidRPr="00944A90">
        <w:rPr>
          <w:rFonts w:ascii="Garamond" w:hAnsi="Garamond"/>
          <w:sz w:val="28"/>
          <w:szCs w:val="28"/>
        </w:rPr>
        <w:t>Tuttavia</w:t>
      </w:r>
      <w:r w:rsidR="00304809" w:rsidRPr="00944A90">
        <w:rPr>
          <w:rFonts w:ascii="Garamond" w:hAnsi="Garamond"/>
          <w:sz w:val="28"/>
          <w:szCs w:val="28"/>
        </w:rPr>
        <w:t>,</w:t>
      </w:r>
      <w:r w:rsidR="00DA3877" w:rsidRPr="00944A90">
        <w:rPr>
          <w:rFonts w:ascii="Garamond" w:hAnsi="Garamond"/>
          <w:sz w:val="28"/>
          <w:szCs w:val="28"/>
        </w:rPr>
        <w:t xml:space="preserve"> anche in questo caso l’assoluta urgenza del provvedere rende necessario sospendere i protocolli ordinari dell’agire amministrativo ed impone quindi di recuperare il momento partecipativo nell</w:t>
      </w:r>
      <w:r w:rsidR="00B347C1">
        <w:rPr>
          <w:rFonts w:ascii="Garamond" w:hAnsi="Garamond"/>
          <w:sz w:val="28"/>
          <w:szCs w:val="28"/>
        </w:rPr>
        <w:t>’</w:t>
      </w:r>
      <w:r w:rsidR="00DA3877" w:rsidRPr="00944A90">
        <w:rPr>
          <w:rFonts w:ascii="Garamond" w:hAnsi="Garamond"/>
          <w:sz w:val="28"/>
          <w:szCs w:val="28"/>
        </w:rPr>
        <w:t>eventuale successiva fase del contenzioso dinanzi al giudice amministrativo</w:t>
      </w:r>
      <w:r w:rsidR="00A52663" w:rsidRPr="00944A90">
        <w:rPr>
          <w:rFonts w:ascii="Garamond" w:hAnsi="Garamond"/>
          <w:sz w:val="28"/>
          <w:szCs w:val="28"/>
        </w:rPr>
        <w:t xml:space="preserve">; </w:t>
      </w:r>
      <w:r w:rsidR="00A52663" w:rsidRPr="00944A90">
        <w:rPr>
          <w:rFonts w:ascii="Garamond" w:hAnsi="Garamond"/>
          <w:sz w:val="28"/>
          <w:szCs w:val="28"/>
        </w:rPr>
        <w:lastRenderedPageBreak/>
        <w:t>d’altronde</w:t>
      </w:r>
      <w:r w:rsidR="001A60A9" w:rsidRPr="00944A90">
        <w:rPr>
          <w:rFonts w:ascii="Garamond" w:hAnsi="Garamond"/>
          <w:sz w:val="28"/>
          <w:szCs w:val="28"/>
        </w:rPr>
        <w:t>,</w:t>
      </w:r>
      <w:r w:rsidR="00DA3877" w:rsidRPr="00944A90">
        <w:rPr>
          <w:rFonts w:ascii="Garamond" w:hAnsi="Garamond"/>
          <w:sz w:val="28"/>
          <w:szCs w:val="28"/>
        </w:rPr>
        <w:t xml:space="preserve"> una conferma di tale assetto si rinviene anche nella legislazione speciale e in particolare in quell’articolo</w:t>
      </w:r>
      <w:r w:rsidR="00F352F5" w:rsidRPr="00944A90">
        <w:rPr>
          <w:rFonts w:ascii="Garamond" w:hAnsi="Garamond"/>
          <w:sz w:val="28"/>
          <w:szCs w:val="28"/>
        </w:rPr>
        <w:t xml:space="preserve"> 93, comma 7,</w:t>
      </w:r>
      <w:r w:rsidR="00DA3877" w:rsidRPr="00944A90">
        <w:rPr>
          <w:rFonts w:ascii="Garamond" w:hAnsi="Garamond"/>
          <w:sz w:val="28"/>
          <w:szCs w:val="28"/>
        </w:rPr>
        <w:t xml:space="preserve"> </w:t>
      </w:r>
      <w:r w:rsidR="001A60A9" w:rsidRPr="00944A90">
        <w:rPr>
          <w:rFonts w:ascii="Garamond" w:hAnsi="Garamond"/>
          <w:sz w:val="28"/>
          <w:szCs w:val="28"/>
        </w:rPr>
        <w:t>del</w:t>
      </w:r>
      <w:r w:rsidR="00DA3877" w:rsidRPr="00944A90">
        <w:rPr>
          <w:rFonts w:ascii="Garamond" w:hAnsi="Garamond"/>
          <w:sz w:val="28"/>
          <w:szCs w:val="28"/>
        </w:rPr>
        <w:t xml:space="preserve"> decreto legislativo 159 del 2011</w:t>
      </w:r>
      <w:r w:rsidR="001A60A9" w:rsidRPr="00944A90">
        <w:rPr>
          <w:rFonts w:ascii="Garamond" w:hAnsi="Garamond"/>
          <w:sz w:val="28"/>
          <w:szCs w:val="28"/>
        </w:rPr>
        <w:t xml:space="preserve">, recante </w:t>
      </w:r>
      <w:r w:rsidR="00AF5CF8" w:rsidRPr="00681B12">
        <w:rPr>
          <w:rFonts w:ascii="Garamond" w:hAnsi="Garamond"/>
          <w:i/>
          <w:iCs/>
          <w:sz w:val="28"/>
          <w:szCs w:val="28"/>
        </w:rPr>
        <w:t>Codice</w:t>
      </w:r>
      <w:r w:rsidR="00DA3877" w:rsidRPr="00681B12">
        <w:rPr>
          <w:rFonts w:ascii="Garamond" w:hAnsi="Garamond"/>
          <w:i/>
          <w:iCs/>
          <w:sz w:val="28"/>
          <w:szCs w:val="28"/>
        </w:rPr>
        <w:t xml:space="preserve"> dell</w:t>
      </w:r>
      <w:r w:rsidR="008E00D8" w:rsidRPr="00681B12">
        <w:rPr>
          <w:rFonts w:ascii="Garamond" w:hAnsi="Garamond"/>
          <w:i/>
          <w:iCs/>
          <w:sz w:val="28"/>
          <w:szCs w:val="28"/>
        </w:rPr>
        <w:t xml:space="preserve">e leggi </w:t>
      </w:r>
      <w:r w:rsidR="00DA3877" w:rsidRPr="00681B12">
        <w:rPr>
          <w:rFonts w:ascii="Garamond" w:hAnsi="Garamond"/>
          <w:i/>
          <w:iCs/>
          <w:sz w:val="28"/>
          <w:szCs w:val="28"/>
        </w:rPr>
        <w:t>antimafia</w:t>
      </w:r>
      <w:r w:rsidR="008E00D8" w:rsidRPr="00681B12">
        <w:rPr>
          <w:rFonts w:ascii="Garamond" w:hAnsi="Garamond"/>
          <w:i/>
          <w:iCs/>
          <w:sz w:val="28"/>
          <w:szCs w:val="28"/>
        </w:rPr>
        <w:t xml:space="preserve"> e delle misure di prevenzione</w:t>
      </w:r>
      <w:r w:rsidR="00AF5CF8" w:rsidRPr="00944A90">
        <w:rPr>
          <w:rFonts w:ascii="Garamond" w:hAnsi="Garamond"/>
          <w:sz w:val="28"/>
          <w:szCs w:val="28"/>
        </w:rPr>
        <w:t>,</w:t>
      </w:r>
      <w:r w:rsidR="00DA3877" w:rsidRPr="00944A90">
        <w:rPr>
          <w:rFonts w:ascii="Garamond" w:hAnsi="Garamond"/>
          <w:sz w:val="28"/>
          <w:szCs w:val="28"/>
        </w:rPr>
        <w:t xml:space="preserve"> che chiaramente disegna come meramente eventuale il contraddittorio </w:t>
      </w:r>
      <w:proofErr w:type="spellStart"/>
      <w:r w:rsidR="00AF5CF8" w:rsidRPr="00944A90">
        <w:rPr>
          <w:rFonts w:ascii="Garamond" w:hAnsi="Garamond"/>
          <w:sz w:val="28"/>
          <w:szCs w:val="28"/>
        </w:rPr>
        <w:t>endoprocedimentale</w:t>
      </w:r>
      <w:proofErr w:type="spellEnd"/>
      <w:r w:rsidR="00AF5CF8" w:rsidRPr="00944A90">
        <w:rPr>
          <w:rFonts w:ascii="Garamond" w:hAnsi="Garamond"/>
          <w:sz w:val="28"/>
          <w:szCs w:val="28"/>
        </w:rPr>
        <w:t xml:space="preserve"> </w:t>
      </w:r>
      <w:r w:rsidR="00DA3877" w:rsidRPr="00944A90">
        <w:rPr>
          <w:rFonts w:ascii="Garamond" w:hAnsi="Garamond"/>
          <w:sz w:val="28"/>
          <w:szCs w:val="28"/>
        </w:rPr>
        <w:t>attivabile su valutazione</w:t>
      </w:r>
      <w:r w:rsidR="00681B12" w:rsidRPr="00681B12">
        <w:rPr>
          <w:rFonts w:ascii="Garamond" w:hAnsi="Garamond"/>
          <w:sz w:val="28"/>
          <w:szCs w:val="28"/>
        </w:rPr>
        <w:t xml:space="preserve"> </w:t>
      </w:r>
      <w:r w:rsidR="00681B12" w:rsidRPr="00944A90">
        <w:rPr>
          <w:rFonts w:ascii="Garamond" w:hAnsi="Garamond"/>
          <w:sz w:val="28"/>
          <w:szCs w:val="28"/>
        </w:rPr>
        <w:t>discrezionale</w:t>
      </w:r>
      <w:r w:rsidR="00DA3877" w:rsidRPr="00944A90">
        <w:rPr>
          <w:rFonts w:ascii="Garamond" w:hAnsi="Garamond"/>
          <w:sz w:val="28"/>
          <w:szCs w:val="28"/>
        </w:rPr>
        <w:t xml:space="preserve"> dell’autorità prefettizia procedente</w:t>
      </w:r>
      <w:r w:rsidR="00A52663" w:rsidRPr="00944A90">
        <w:rPr>
          <w:rStyle w:val="Rimandonotaapidipagina"/>
          <w:rFonts w:ascii="Garamond" w:hAnsi="Garamond"/>
          <w:sz w:val="28"/>
          <w:szCs w:val="28"/>
        </w:rPr>
        <w:footnoteReference w:id="14"/>
      </w:r>
      <w:r w:rsidR="00DA3877" w:rsidRPr="00944A90">
        <w:rPr>
          <w:rFonts w:ascii="Garamond" w:hAnsi="Garamond"/>
          <w:sz w:val="28"/>
          <w:szCs w:val="28"/>
        </w:rPr>
        <w:t>.</w:t>
      </w:r>
      <w:r w:rsidR="006B5CDA" w:rsidRPr="00944A90">
        <w:rPr>
          <w:rFonts w:ascii="Garamond" w:hAnsi="Garamond"/>
          <w:sz w:val="28"/>
          <w:szCs w:val="28"/>
        </w:rPr>
        <w:t xml:space="preserve"> </w:t>
      </w:r>
    </w:p>
    <w:p w:rsidR="00E37B89" w:rsidRPr="00944A90" w:rsidRDefault="006B5CDA" w:rsidP="00135529">
      <w:pPr>
        <w:ind w:firstLine="340"/>
        <w:jc w:val="both"/>
        <w:rPr>
          <w:rFonts w:ascii="Garamond" w:hAnsi="Garamond"/>
          <w:i/>
          <w:iCs/>
          <w:sz w:val="28"/>
          <w:szCs w:val="28"/>
        </w:rPr>
      </w:pPr>
      <w:r w:rsidRPr="00944A90">
        <w:rPr>
          <w:rFonts w:ascii="Garamond" w:hAnsi="Garamond"/>
          <w:sz w:val="28"/>
          <w:szCs w:val="28"/>
        </w:rPr>
        <w:t>In una recentissima pronuncia, la n. 820 del 31 gennaio 2020, il Consiglio di Stato</w:t>
      </w:r>
      <w:r w:rsidR="004E6B2F" w:rsidRPr="00944A90">
        <w:rPr>
          <w:rFonts w:ascii="Garamond" w:hAnsi="Garamond"/>
          <w:sz w:val="28"/>
          <w:szCs w:val="28"/>
        </w:rPr>
        <w:t xml:space="preserve"> è tornato </w:t>
      </w:r>
      <w:r w:rsidR="00DC086B" w:rsidRPr="00944A90">
        <w:rPr>
          <w:rFonts w:ascii="Garamond" w:hAnsi="Garamond"/>
          <w:sz w:val="28"/>
          <w:szCs w:val="28"/>
        </w:rPr>
        <w:t xml:space="preserve">sul punto </w:t>
      </w:r>
      <w:r w:rsidR="0021626B" w:rsidRPr="00944A90">
        <w:rPr>
          <w:rFonts w:ascii="Garamond" w:hAnsi="Garamond"/>
          <w:sz w:val="28"/>
          <w:szCs w:val="28"/>
        </w:rPr>
        <w:t>con un significativo passaggio che qui si riporta</w:t>
      </w:r>
      <w:r w:rsidR="004E6B2F" w:rsidRPr="00944A90">
        <w:rPr>
          <w:rFonts w:ascii="Garamond" w:hAnsi="Garamond"/>
          <w:sz w:val="28"/>
          <w:szCs w:val="28"/>
        </w:rPr>
        <w:t>:</w:t>
      </w:r>
      <w:r w:rsidR="00DC086B" w:rsidRPr="00944A90">
        <w:rPr>
          <w:rFonts w:ascii="Garamond" w:hAnsi="Garamond"/>
          <w:sz w:val="28"/>
          <w:szCs w:val="28"/>
        </w:rPr>
        <w:t xml:space="preserve"> “</w:t>
      </w:r>
      <w:r w:rsidR="00DC086B" w:rsidRPr="00944A90">
        <w:rPr>
          <w:rFonts w:ascii="Garamond" w:hAnsi="Garamond"/>
          <w:i/>
          <w:iCs/>
          <w:sz w:val="28"/>
          <w:szCs w:val="28"/>
        </w:rPr>
        <w:t>La Sezione dà atto che la questione del contraddittorio procedimentale in materia di informazioni antimafia è dibattuta, registrandosi in dottrina voci dissenzienti ed avendo il Tar Bari, con ord.  n. 28 del 13 gennaio 2020, chiesto alla Corte di Giustizia UE di chiarire pregiudizialmente, ai fini della decisione del giudizio, se gli artt. 91, 92 e 93, d.lgs. n. 159 del 2011, nella parte in cui non prevedono il contraddittorio procedimentale in favore del soggetto nei cui confronti il Prefetto si propone di rilasciare una informazione antimafia, siano compatibili con il principio del contraddittorio, così come ricostruito e riconosciuto quale principio di diritto dell’Unione</w:t>
      </w:r>
      <w:r w:rsidR="0021626B" w:rsidRPr="00944A90">
        <w:rPr>
          <w:rFonts w:ascii="Garamond" w:hAnsi="Garamond"/>
          <w:sz w:val="28"/>
          <w:szCs w:val="28"/>
        </w:rPr>
        <w:t xml:space="preserve">”. Dell’ordinanza </w:t>
      </w:r>
      <w:r w:rsidR="004F759E" w:rsidRPr="00944A90">
        <w:rPr>
          <w:rFonts w:ascii="Garamond" w:hAnsi="Garamond"/>
          <w:sz w:val="28"/>
          <w:szCs w:val="28"/>
        </w:rPr>
        <w:t xml:space="preserve">del Tar </w:t>
      </w:r>
      <w:r w:rsidR="00B46F11" w:rsidRPr="00944A90">
        <w:rPr>
          <w:rFonts w:ascii="Garamond" w:hAnsi="Garamond"/>
          <w:sz w:val="28"/>
          <w:szCs w:val="28"/>
        </w:rPr>
        <w:t xml:space="preserve">Bari si dirà più avanti; </w:t>
      </w:r>
      <w:r w:rsidR="0029078E" w:rsidRPr="00944A90">
        <w:rPr>
          <w:rFonts w:ascii="Garamond" w:hAnsi="Garamond"/>
          <w:sz w:val="28"/>
          <w:szCs w:val="28"/>
        </w:rPr>
        <w:t xml:space="preserve">qui interessa riportare la posizione espressa dalla Sezione, </w:t>
      </w:r>
      <w:r w:rsidR="001316C5" w:rsidRPr="00944A90">
        <w:rPr>
          <w:rFonts w:ascii="Garamond" w:hAnsi="Garamond"/>
          <w:sz w:val="28"/>
          <w:szCs w:val="28"/>
        </w:rPr>
        <w:t>ad</w:t>
      </w:r>
      <w:r w:rsidR="0029078E" w:rsidRPr="00944A90">
        <w:rPr>
          <w:rFonts w:ascii="Garamond" w:hAnsi="Garamond"/>
          <w:sz w:val="28"/>
          <w:szCs w:val="28"/>
        </w:rPr>
        <w:t xml:space="preserve"> ulteriore conferma </w:t>
      </w:r>
      <w:r w:rsidR="001316C5" w:rsidRPr="00944A90">
        <w:rPr>
          <w:rFonts w:ascii="Garamond" w:hAnsi="Garamond"/>
          <w:sz w:val="28"/>
          <w:szCs w:val="28"/>
        </w:rPr>
        <w:t>dell</w:t>
      </w:r>
      <w:r w:rsidR="002D519B">
        <w:rPr>
          <w:rFonts w:ascii="Garamond" w:hAnsi="Garamond"/>
          <w:sz w:val="28"/>
          <w:szCs w:val="28"/>
        </w:rPr>
        <w:t>’</w:t>
      </w:r>
      <w:r w:rsidR="001316C5" w:rsidRPr="00944A90">
        <w:rPr>
          <w:rFonts w:ascii="Garamond" w:hAnsi="Garamond"/>
          <w:sz w:val="28"/>
          <w:szCs w:val="28"/>
        </w:rPr>
        <w:t>interpretazione oramai</w:t>
      </w:r>
      <w:r w:rsidR="0029078E" w:rsidRPr="00944A90">
        <w:rPr>
          <w:rFonts w:ascii="Garamond" w:hAnsi="Garamond"/>
          <w:sz w:val="28"/>
          <w:szCs w:val="28"/>
        </w:rPr>
        <w:t xml:space="preserve"> consolidata </w:t>
      </w:r>
      <w:r w:rsidR="001316C5" w:rsidRPr="00944A90">
        <w:rPr>
          <w:rFonts w:ascii="Garamond" w:hAnsi="Garamond"/>
          <w:sz w:val="28"/>
          <w:szCs w:val="28"/>
        </w:rPr>
        <w:t xml:space="preserve">nella </w:t>
      </w:r>
      <w:r w:rsidR="0029078E" w:rsidRPr="00944A90">
        <w:rPr>
          <w:rFonts w:ascii="Garamond" w:hAnsi="Garamond"/>
          <w:sz w:val="28"/>
          <w:szCs w:val="28"/>
        </w:rPr>
        <w:t>giurisprudenza del Consiglio</w:t>
      </w:r>
      <w:r w:rsidR="002D519B">
        <w:rPr>
          <w:rFonts w:ascii="Garamond" w:hAnsi="Garamond"/>
          <w:sz w:val="28"/>
          <w:szCs w:val="28"/>
        </w:rPr>
        <w:t xml:space="preserve"> di Stato</w:t>
      </w:r>
      <w:r w:rsidR="008B6A45" w:rsidRPr="00944A90">
        <w:rPr>
          <w:rFonts w:ascii="Garamond" w:hAnsi="Garamond"/>
          <w:sz w:val="28"/>
          <w:szCs w:val="28"/>
        </w:rPr>
        <w:t>: “</w:t>
      </w:r>
      <w:r w:rsidR="00E37B89" w:rsidRPr="00944A90">
        <w:rPr>
          <w:rFonts w:ascii="Garamond" w:hAnsi="Garamond"/>
          <w:i/>
          <w:iCs/>
          <w:sz w:val="28"/>
          <w:szCs w:val="28"/>
        </w:rPr>
        <w:t xml:space="preserve">La </w:t>
      </w:r>
      <w:proofErr w:type="spellStart"/>
      <w:r w:rsidR="00E37B89" w:rsidRPr="00944A90">
        <w:rPr>
          <w:rFonts w:ascii="Garamond" w:hAnsi="Garamond"/>
          <w:i/>
          <w:iCs/>
          <w:sz w:val="28"/>
          <w:szCs w:val="28"/>
        </w:rPr>
        <w:t>discovery</w:t>
      </w:r>
      <w:proofErr w:type="spellEnd"/>
      <w:r w:rsidR="00E37B89" w:rsidRPr="00944A90">
        <w:rPr>
          <w:rFonts w:ascii="Garamond" w:hAnsi="Garamond"/>
          <w:i/>
          <w:iCs/>
          <w:sz w:val="28"/>
          <w:szCs w:val="28"/>
        </w:rPr>
        <w:t xml:space="preserve"> anticipata, già in sede procedimentale, di elementi o notizie contenuti in atti di indagine coperti da segreto investigativo o in informative riservate delle forze di polizia, spesso connessi ad inchieste della magistratura inquirente contro la criminalità organizzata di stampo mafioso e agli atti delle indagini preliminari, potrebbe frustrare la finalità preventiva perseguita dalla legislazione antimafia, che ha l’obiettivo di prevenire il tentativo di infiltrazione da parte delle organizzazioni criminali, la cui capacità di penetrazione nell’economia legale ha assunto forme e “travestimenti” sempre più insidiosi.</w:t>
      </w:r>
    </w:p>
    <w:p w:rsidR="005733AA" w:rsidRPr="00944A90" w:rsidRDefault="00E37B89" w:rsidP="00135529">
      <w:pPr>
        <w:ind w:firstLine="340"/>
        <w:jc w:val="both"/>
        <w:rPr>
          <w:rFonts w:ascii="Garamond" w:hAnsi="Garamond"/>
          <w:i/>
          <w:iCs/>
          <w:sz w:val="28"/>
          <w:szCs w:val="28"/>
        </w:rPr>
      </w:pPr>
      <w:r w:rsidRPr="00944A90">
        <w:rPr>
          <w:rFonts w:ascii="Garamond" w:hAnsi="Garamond"/>
          <w:i/>
          <w:iCs/>
          <w:sz w:val="28"/>
          <w:szCs w:val="28"/>
        </w:rPr>
        <w:t xml:space="preserve">Questa Sezione ha perciò già chiarito che la delicatezza della ponderazione intesa a contrastare in via preventiva la minaccia insidiosa ed esiziale delle organizzazioni mafiose, richiesta all’autorità amministrativa, può comportare anche un’attenuazione, se non una eliminazione, del contraddittorio procedimentale, che del resto non è un valore assoluto, come ha pure chiarito la Corte di Giustizia UE nella sua giurisprudenza (ma v. pure Corte </w:t>
      </w:r>
      <w:proofErr w:type="spellStart"/>
      <w:r w:rsidRPr="00944A90">
        <w:rPr>
          <w:rFonts w:ascii="Garamond" w:hAnsi="Garamond"/>
          <w:i/>
          <w:iCs/>
          <w:sz w:val="28"/>
          <w:szCs w:val="28"/>
        </w:rPr>
        <w:t>cost</w:t>
      </w:r>
      <w:proofErr w:type="spellEnd"/>
      <w:r w:rsidRPr="00944A90">
        <w:rPr>
          <w:rFonts w:ascii="Garamond" w:hAnsi="Garamond"/>
          <w:i/>
          <w:iCs/>
          <w:sz w:val="28"/>
          <w:szCs w:val="28"/>
        </w:rPr>
        <w:t xml:space="preserve">.: </w:t>
      </w:r>
      <w:proofErr w:type="spellStart"/>
      <w:r w:rsidRPr="00944A90">
        <w:rPr>
          <w:rFonts w:ascii="Garamond" w:hAnsi="Garamond"/>
          <w:i/>
          <w:iCs/>
          <w:sz w:val="28"/>
          <w:szCs w:val="28"/>
        </w:rPr>
        <w:t>sent</w:t>
      </w:r>
      <w:proofErr w:type="spellEnd"/>
      <w:r w:rsidRPr="00944A90">
        <w:rPr>
          <w:rFonts w:ascii="Garamond" w:hAnsi="Garamond"/>
          <w:i/>
          <w:iCs/>
          <w:sz w:val="28"/>
          <w:szCs w:val="28"/>
        </w:rPr>
        <w:t xml:space="preserve">. n. 309 del 1990 e </w:t>
      </w:r>
      <w:proofErr w:type="spellStart"/>
      <w:r w:rsidRPr="00944A90">
        <w:rPr>
          <w:rFonts w:ascii="Garamond" w:hAnsi="Garamond"/>
          <w:i/>
          <w:iCs/>
          <w:sz w:val="28"/>
          <w:szCs w:val="28"/>
        </w:rPr>
        <w:t>sent</w:t>
      </w:r>
      <w:proofErr w:type="spellEnd"/>
      <w:r w:rsidRPr="00944A90">
        <w:rPr>
          <w:rFonts w:ascii="Garamond" w:hAnsi="Garamond"/>
          <w:i/>
          <w:iCs/>
          <w:sz w:val="28"/>
          <w:szCs w:val="28"/>
        </w:rPr>
        <w:t>. n. 71 del 2015), o slegato dal doveroso contemperamento di esso con interessi di pari se non superiore rango costituzionale, né un bene in sé, o un fine supremo e ad ogni costo irrinunciabile, ma è un principio strumentale al buon andamento della pubblica amministrazione (art. 97 Cost.) e, in ultima analisi, al principio di legalità sostanziale (art. 3, comma secondo, Cost.), vero e più profondo fondamento del moderno diritt</w:t>
      </w:r>
      <w:r w:rsidR="00E01766" w:rsidRPr="00944A90">
        <w:rPr>
          <w:rFonts w:ascii="Garamond" w:hAnsi="Garamond"/>
          <w:i/>
          <w:iCs/>
          <w:sz w:val="28"/>
          <w:szCs w:val="28"/>
        </w:rPr>
        <w:t>o amministrativo (Cons. St., S</w:t>
      </w:r>
      <w:r w:rsidRPr="00944A90">
        <w:rPr>
          <w:rFonts w:ascii="Garamond" w:hAnsi="Garamond"/>
          <w:i/>
          <w:iCs/>
          <w:sz w:val="28"/>
          <w:szCs w:val="28"/>
        </w:rPr>
        <w:t>ez. III, 9 febbraio 2017, n. 565)</w:t>
      </w:r>
      <w:r w:rsidR="001C4C0C" w:rsidRPr="00944A90">
        <w:rPr>
          <w:rFonts w:ascii="Garamond" w:hAnsi="Garamond"/>
          <w:i/>
          <w:iCs/>
          <w:sz w:val="28"/>
          <w:szCs w:val="28"/>
        </w:rPr>
        <w:t>”</w:t>
      </w:r>
      <w:r w:rsidRPr="00944A90">
        <w:rPr>
          <w:rFonts w:ascii="Garamond" w:hAnsi="Garamond"/>
          <w:sz w:val="28"/>
          <w:szCs w:val="28"/>
        </w:rPr>
        <w:t>.</w:t>
      </w:r>
    </w:p>
    <w:p w:rsidR="000B0383" w:rsidRPr="00944A90" w:rsidRDefault="006E1725" w:rsidP="00135529">
      <w:pPr>
        <w:ind w:firstLine="340"/>
        <w:jc w:val="both"/>
        <w:rPr>
          <w:rFonts w:ascii="Garamond" w:hAnsi="Garamond"/>
          <w:sz w:val="28"/>
          <w:szCs w:val="28"/>
        </w:rPr>
      </w:pPr>
      <w:r w:rsidRPr="00944A90">
        <w:rPr>
          <w:rFonts w:ascii="Garamond" w:hAnsi="Garamond"/>
          <w:sz w:val="28"/>
          <w:szCs w:val="28"/>
        </w:rPr>
        <w:t>Da ultimo</w:t>
      </w:r>
      <w:r w:rsidR="00AF5CF8" w:rsidRPr="00944A90">
        <w:rPr>
          <w:rFonts w:ascii="Garamond" w:hAnsi="Garamond"/>
          <w:sz w:val="28"/>
          <w:szCs w:val="28"/>
        </w:rPr>
        <w:t xml:space="preserve">, </w:t>
      </w:r>
      <w:r w:rsidRPr="00944A90">
        <w:rPr>
          <w:rFonts w:ascii="Garamond" w:hAnsi="Garamond"/>
          <w:sz w:val="28"/>
          <w:szCs w:val="28"/>
        </w:rPr>
        <w:t>venendo al</w:t>
      </w:r>
      <w:r w:rsidR="00AF5CF8" w:rsidRPr="00944A90">
        <w:rPr>
          <w:rFonts w:ascii="Garamond" w:hAnsi="Garamond"/>
          <w:sz w:val="28"/>
          <w:szCs w:val="28"/>
        </w:rPr>
        <w:t>l’</w:t>
      </w:r>
      <w:r w:rsidRPr="00944A90">
        <w:rPr>
          <w:rFonts w:ascii="Garamond" w:hAnsi="Garamond"/>
          <w:sz w:val="28"/>
          <w:szCs w:val="28"/>
        </w:rPr>
        <w:t>istituto del cosiddetto preavviso di rigetto</w:t>
      </w:r>
      <w:r w:rsidR="00AF5CF8" w:rsidRPr="00944A90">
        <w:rPr>
          <w:rFonts w:ascii="Garamond" w:hAnsi="Garamond"/>
          <w:sz w:val="28"/>
          <w:szCs w:val="28"/>
        </w:rPr>
        <w:t>,</w:t>
      </w:r>
      <w:r w:rsidRPr="00944A90">
        <w:rPr>
          <w:rFonts w:ascii="Garamond" w:hAnsi="Garamond"/>
          <w:sz w:val="28"/>
          <w:szCs w:val="28"/>
        </w:rPr>
        <w:t xml:space="preserve"> </w:t>
      </w:r>
      <w:r w:rsidR="00AF5CF8" w:rsidRPr="00944A90">
        <w:rPr>
          <w:rFonts w:ascii="Garamond" w:hAnsi="Garamond"/>
          <w:sz w:val="28"/>
          <w:szCs w:val="28"/>
        </w:rPr>
        <w:t>di cui all’</w:t>
      </w:r>
      <w:r w:rsidRPr="00944A90">
        <w:rPr>
          <w:rFonts w:ascii="Garamond" w:hAnsi="Garamond"/>
          <w:sz w:val="28"/>
          <w:szCs w:val="28"/>
        </w:rPr>
        <w:t>articolo 10</w:t>
      </w:r>
      <w:r w:rsidR="00AF5CF8" w:rsidRPr="00944A90">
        <w:rPr>
          <w:rFonts w:ascii="Garamond" w:hAnsi="Garamond"/>
          <w:sz w:val="28"/>
          <w:szCs w:val="28"/>
        </w:rPr>
        <w:t>-</w:t>
      </w:r>
      <w:r w:rsidRPr="00944A90">
        <w:rPr>
          <w:rFonts w:ascii="Garamond" w:hAnsi="Garamond"/>
          <w:sz w:val="28"/>
          <w:szCs w:val="28"/>
        </w:rPr>
        <w:t>bis</w:t>
      </w:r>
      <w:r w:rsidR="008F3002" w:rsidRPr="00944A90">
        <w:rPr>
          <w:rStyle w:val="Rimandonotaapidipagina"/>
          <w:rFonts w:ascii="Garamond" w:hAnsi="Garamond"/>
          <w:sz w:val="28"/>
          <w:szCs w:val="28"/>
        </w:rPr>
        <w:footnoteReference w:id="15"/>
      </w:r>
      <w:r w:rsidR="00C00C7C">
        <w:rPr>
          <w:rFonts w:ascii="Garamond" w:hAnsi="Garamond"/>
          <w:sz w:val="28"/>
          <w:szCs w:val="28"/>
        </w:rPr>
        <w:t xml:space="preserve"> L. 241/90,</w:t>
      </w:r>
      <w:r w:rsidRPr="00944A90">
        <w:rPr>
          <w:rFonts w:ascii="Garamond" w:hAnsi="Garamond"/>
          <w:sz w:val="28"/>
          <w:szCs w:val="28"/>
        </w:rPr>
        <w:t xml:space="preserve"> si è </w:t>
      </w:r>
      <w:r w:rsidR="000B0383" w:rsidRPr="00944A90">
        <w:rPr>
          <w:rFonts w:ascii="Garamond" w:hAnsi="Garamond"/>
          <w:sz w:val="28"/>
          <w:szCs w:val="28"/>
        </w:rPr>
        <w:t>detto</w:t>
      </w:r>
      <w:r w:rsidRPr="00944A90">
        <w:rPr>
          <w:rFonts w:ascii="Garamond" w:hAnsi="Garamond"/>
          <w:sz w:val="28"/>
          <w:szCs w:val="28"/>
        </w:rPr>
        <w:t xml:space="preserve"> che</w:t>
      </w:r>
      <w:r w:rsidR="00785191" w:rsidRPr="00944A90">
        <w:rPr>
          <w:rFonts w:ascii="Garamond" w:hAnsi="Garamond"/>
          <w:sz w:val="28"/>
          <w:szCs w:val="28"/>
        </w:rPr>
        <w:t xml:space="preserve"> “</w:t>
      </w:r>
      <w:r w:rsidR="005733AA" w:rsidRPr="00944A90">
        <w:rPr>
          <w:rFonts w:ascii="Garamond" w:hAnsi="Garamond"/>
          <w:i/>
          <w:iCs/>
          <w:sz w:val="28"/>
          <w:szCs w:val="28"/>
        </w:rPr>
        <w:t xml:space="preserve">il subprocedimento per il rilascio della comunicazione e/o </w:t>
      </w:r>
      <w:r w:rsidR="005733AA" w:rsidRPr="00944A90">
        <w:rPr>
          <w:rFonts w:ascii="Garamond" w:hAnsi="Garamond"/>
          <w:i/>
          <w:iCs/>
          <w:sz w:val="28"/>
          <w:szCs w:val="28"/>
        </w:rPr>
        <w:lastRenderedPageBreak/>
        <w:t>dell’informazione antimafia, anche se si innesta su un procedimento ad istanza di parte, non è mai un procedimento ad istanza della parte privata, ma sempre su richiesta e impulso della pubblica amministrazione richiesta di emettere il provvedimento od obbligata ad esercitare il controllo, sicché non può applicarsi al caso l’art. 10-bis</w:t>
      </w:r>
      <w:r w:rsidR="00E01766" w:rsidRPr="00944A90">
        <w:rPr>
          <w:rFonts w:ascii="Garamond" w:hAnsi="Garamond"/>
          <w:sz w:val="28"/>
          <w:szCs w:val="28"/>
        </w:rPr>
        <w:t>” (Cons. st., S</w:t>
      </w:r>
      <w:r w:rsidR="00785191" w:rsidRPr="00944A90">
        <w:rPr>
          <w:rFonts w:ascii="Garamond" w:hAnsi="Garamond"/>
          <w:sz w:val="28"/>
          <w:szCs w:val="28"/>
        </w:rPr>
        <w:t xml:space="preserve">ez. III, </w:t>
      </w:r>
      <w:r w:rsidR="00BB4D60">
        <w:rPr>
          <w:rFonts w:ascii="Garamond" w:hAnsi="Garamond"/>
          <w:sz w:val="28"/>
          <w:szCs w:val="28"/>
        </w:rPr>
        <w:t xml:space="preserve">31 gennaio 2020, n. </w:t>
      </w:r>
      <w:r w:rsidR="00785191" w:rsidRPr="00944A90">
        <w:rPr>
          <w:rFonts w:ascii="Garamond" w:hAnsi="Garamond"/>
          <w:sz w:val="28"/>
          <w:szCs w:val="28"/>
        </w:rPr>
        <w:t xml:space="preserve">820). </w:t>
      </w:r>
    </w:p>
    <w:p w:rsidR="00AD480A" w:rsidRPr="00944A90" w:rsidRDefault="002E7D18" w:rsidP="00135529">
      <w:pPr>
        <w:ind w:firstLine="340"/>
        <w:jc w:val="both"/>
        <w:rPr>
          <w:rFonts w:ascii="Garamond" w:hAnsi="Garamond"/>
          <w:sz w:val="28"/>
          <w:szCs w:val="28"/>
        </w:rPr>
      </w:pPr>
      <w:r w:rsidRPr="00944A90">
        <w:rPr>
          <w:rFonts w:ascii="Garamond" w:hAnsi="Garamond"/>
          <w:sz w:val="28"/>
          <w:szCs w:val="28"/>
        </w:rPr>
        <w:lastRenderedPageBreak/>
        <w:t xml:space="preserve">Probabilmente una risposta di segno diverso potrebbe immaginarsi </w:t>
      </w:r>
      <w:r w:rsidR="00F64EE9" w:rsidRPr="00944A90">
        <w:rPr>
          <w:rFonts w:ascii="Garamond" w:hAnsi="Garamond"/>
          <w:sz w:val="28"/>
          <w:szCs w:val="28"/>
        </w:rPr>
        <w:t>in procedimenti nei quali l’urgenza possa dirsi attenuata</w:t>
      </w:r>
      <w:r w:rsidR="00EC4450" w:rsidRPr="00944A90">
        <w:rPr>
          <w:rFonts w:ascii="Garamond" w:hAnsi="Garamond"/>
          <w:sz w:val="28"/>
          <w:szCs w:val="28"/>
        </w:rPr>
        <w:t xml:space="preserve"> per l’essere già stata adottata una misura </w:t>
      </w:r>
      <w:proofErr w:type="spellStart"/>
      <w:r w:rsidR="00EC4450" w:rsidRPr="00944A90">
        <w:rPr>
          <w:rFonts w:ascii="Garamond" w:hAnsi="Garamond"/>
          <w:sz w:val="28"/>
          <w:szCs w:val="28"/>
        </w:rPr>
        <w:t>interdittiva</w:t>
      </w:r>
      <w:proofErr w:type="spellEnd"/>
      <w:r w:rsidR="00EC4450" w:rsidRPr="00944A90">
        <w:rPr>
          <w:rFonts w:ascii="Garamond" w:hAnsi="Garamond"/>
          <w:sz w:val="28"/>
          <w:szCs w:val="28"/>
        </w:rPr>
        <w:t xml:space="preserve">: il riferimento è ai procedimenti attivati dal privato </w:t>
      </w:r>
      <w:r w:rsidR="00B30C50" w:rsidRPr="00944A90">
        <w:rPr>
          <w:rFonts w:ascii="Garamond" w:hAnsi="Garamond"/>
          <w:sz w:val="28"/>
          <w:szCs w:val="28"/>
        </w:rPr>
        <w:t>che richieda il rinnovo della misura scaduta o in procinto di esserlo</w:t>
      </w:r>
      <w:r w:rsidR="0057395C" w:rsidRPr="00944A90">
        <w:rPr>
          <w:rFonts w:ascii="Garamond" w:hAnsi="Garamond"/>
          <w:sz w:val="28"/>
          <w:szCs w:val="28"/>
        </w:rPr>
        <w:t>, oppure la revisione per elementi sopravvenuti – ipotesi, queste, nelle quali, come detto,</w:t>
      </w:r>
      <w:r w:rsidR="00FF594B" w:rsidRPr="00944A90">
        <w:rPr>
          <w:rFonts w:ascii="Garamond" w:hAnsi="Garamond"/>
          <w:sz w:val="28"/>
          <w:szCs w:val="28"/>
        </w:rPr>
        <w:t xml:space="preserve"> a</w:t>
      </w:r>
      <w:r w:rsidR="0057395C" w:rsidRPr="00944A90">
        <w:rPr>
          <w:rFonts w:ascii="Garamond" w:hAnsi="Garamond"/>
          <w:sz w:val="28"/>
          <w:szCs w:val="28"/>
        </w:rPr>
        <w:t xml:space="preserve">ll’impresa è già inibita la contrattazione tanto nel privato quanto nel pubblico e, pertanto, potrebbero ipotizzarsi degli spazi decisionali </w:t>
      </w:r>
      <w:r w:rsidR="00F410A1" w:rsidRPr="00944A90">
        <w:rPr>
          <w:rFonts w:ascii="Garamond" w:hAnsi="Garamond"/>
          <w:sz w:val="28"/>
          <w:szCs w:val="28"/>
        </w:rPr>
        <w:t xml:space="preserve">temporalmente più “rilassati”. Stesso discorso potrebbe farsi per i procedimenti che non sono direttamente finalizzati all’emanazione dei provvedimenti prefettizi in parola, ma che tuttavia ben si prestano a divenire </w:t>
      </w:r>
      <w:r w:rsidR="00D53644" w:rsidRPr="00944A90">
        <w:rPr>
          <w:rFonts w:ascii="Garamond" w:hAnsi="Garamond"/>
          <w:sz w:val="28"/>
          <w:szCs w:val="28"/>
        </w:rPr>
        <w:t xml:space="preserve">il pretesto per giungere, in via </w:t>
      </w:r>
      <w:proofErr w:type="spellStart"/>
      <w:r w:rsidR="00D53644" w:rsidRPr="00944A90">
        <w:rPr>
          <w:rFonts w:ascii="Garamond" w:hAnsi="Garamond"/>
          <w:sz w:val="28"/>
          <w:szCs w:val="28"/>
        </w:rPr>
        <w:t>subprocedimentale</w:t>
      </w:r>
      <w:proofErr w:type="spellEnd"/>
      <w:r w:rsidR="00D53644" w:rsidRPr="00944A90">
        <w:rPr>
          <w:rFonts w:ascii="Garamond" w:hAnsi="Garamond"/>
          <w:sz w:val="28"/>
          <w:szCs w:val="28"/>
        </w:rPr>
        <w:t>, a tali provvedimenti: ci si riferisce qui ai procedimenti attivati dalla richiesta del privato di conseguire l’iscrizione nell</w:t>
      </w:r>
      <w:r w:rsidR="00D42DEC">
        <w:rPr>
          <w:rFonts w:ascii="Garamond" w:hAnsi="Garamond"/>
          <w:sz w:val="28"/>
          <w:szCs w:val="28"/>
        </w:rPr>
        <w:t>a</w:t>
      </w:r>
      <w:r w:rsidR="00D53644" w:rsidRPr="00944A90">
        <w:rPr>
          <w:rFonts w:ascii="Garamond" w:hAnsi="Garamond"/>
          <w:sz w:val="28"/>
          <w:szCs w:val="28"/>
        </w:rPr>
        <w:t xml:space="preserve"> c.d. </w:t>
      </w:r>
      <w:r w:rsidR="00D53644" w:rsidRPr="00944A90">
        <w:rPr>
          <w:rFonts w:ascii="Garamond" w:hAnsi="Garamond"/>
          <w:i/>
          <w:iCs/>
          <w:sz w:val="28"/>
          <w:szCs w:val="28"/>
        </w:rPr>
        <w:t>White list</w:t>
      </w:r>
      <w:r w:rsidR="00D53644" w:rsidRPr="00944A90">
        <w:rPr>
          <w:rFonts w:ascii="Garamond" w:hAnsi="Garamond"/>
          <w:sz w:val="28"/>
          <w:szCs w:val="28"/>
        </w:rPr>
        <w:t xml:space="preserve"> </w:t>
      </w:r>
      <w:r w:rsidR="00A207B1" w:rsidRPr="00944A90">
        <w:rPr>
          <w:rFonts w:ascii="Garamond" w:hAnsi="Garamond"/>
          <w:sz w:val="28"/>
          <w:szCs w:val="28"/>
        </w:rPr>
        <w:t xml:space="preserve">e </w:t>
      </w:r>
      <w:r w:rsidR="00D53644" w:rsidRPr="00944A90">
        <w:rPr>
          <w:rFonts w:ascii="Garamond" w:hAnsi="Garamond"/>
          <w:sz w:val="28"/>
          <w:szCs w:val="28"/>
        </w:rPr>
        <w:t xml:space="preserve">che, in caso di esito negativo della verifica, possono portare non solo al diniego dell’iscrizione ma anche alla segnalazione </w:t>
      </w:r>
      <w:r w:rsidR="00AD480A" w:rsidRPr="00944A90">
        <w:rPr>
          <w:rFonts w:ascii="Garamond" w:hAnsi="Garamond"/>
          <w:sz w:val="28"/>
          <w:szCs w:val="28"/>
        </w:rPr>
        <w:t>formale delle opacità riscontrate.</w:t>
      </w:r>
    </w:p>
    <w:p w:rsidR="00484EE0" w:rsidRPr="00944A90" w:rsidRDefault="00EB1D4A" w:rsidP="00135529">
      <w:pPr>
        <w:ind w:firstLine="340"/>
        <w:jc w:val="both"/>
        <w:rPr>
          <w:rFonts w:ascii="Garamond" w:hAnsi="Garamond"/>
          <w:sz w:val="28"/>
          <w:szCs w:val="28"/>
        </w:rPr>
      </w:pPr>
      <w:r w:rsidRPr="00944A90">
        <w:rPr>
          <w:rFonts w:ascii="Garamond" w:hAnsi="Garamond"/>
          <w:sz w:val="28"/>
          <w:szCs w:val="28"/>
        </w:rPr>
        <w:t>È</w:t>
      </w:r>
      <w:r w:rsidR="00A36735" w:rsidRPr="00944A90">
        <w:rPr>
          <w:rFonts w:ascii="Garamond" w:hAnsi="Garamond"/>
          <w:sz w:val="28"/>
          <w:szCs w:val="28"/>
        </w:rPr>
        <w:t xml:space="preserve"> innegabile che</w:t>
      </w:r>
      <w:r w:rsidRPr="00944A90">
        <w:rPr>
          <w:rFonts w:ascii="Garamond" w:hAnsi="Garamond"/>
          <w:sz w:val="28"/>
          <w:szCs w:val="28"/>
        </w:rPr>
        <w:t>,</w:t>
      </w:r>
      <w:r w:rsidR="00A36735" w:rsidRPr="00944A90">
        <w:rPr>
          <w:rFonts w:ascii="Garamond" w:hAnsi="Garamond"/>
          <w:sz w:val="28"/>
          <w:szCs w:val="28"/>
        </w:rPr>
        <w:t xml:space="preserve"> in un contesto che prevede l’adozione di misure tanto incisive sulla posizione del privato</w:t>
      </w:r>
      <w:r w:rsidRPr="00944A90">
        <w:rPr>
          <w:rFonts w:ascii="Garamond" w:hAnsi="Garamond"/>
          <w:sz w:val="28"/>
          <w:szCs w:val="28"/>
        </w:rPr>
        <w:t>,</w:t>
      </w:r>
      <w:r w:rsidR="00A36735" w:rsidRPr="00944A90">
        <w:rPr>
          <w:rFonts w:ascii="Garamond" w:hAnsi="Garamond"/>
          <w:sz w:val="28"/>
          <w:szCs w:val="28"/>
        </w:rPr>
        <w:t xml:space="preserve"> le deroghe alle procedure ordinarie debbano essere consentite nella misura strettamente necessaria </w:t>
      </w:r>
      <w:r w:rsidR="00F529C4" w:rsidRPr="00944A90">
        <w:rPr>
          <w:rFonts w:ascii="Garamond" w:hAnsi="Garamond"/>
          <w:sz w:val="28"/>
          <w:szCs w:val="28"/>
        </w:rPr>
        <w:t xml:space="preserve">al raggiungimento dello scopo, </w:t>
      </w:r>
      <w:r w:rsidR="00A36735" w:rsidRPr="00944A90">
        <w:rPr>
          <w:rFonts w:ascii="Garamond" w:hAnsi="Garamond"/>
          <w:sz w:val="28"/>
          <w:szCs w:val="28"/>
        </w:rPr>
        <w:t xml:space="preserve">ed è altrettanto innegabile che le garanzie che vengono perse nel procedimento amministrativo devono </w:t>
      </w:r>
      <w:r w:rsidR="00F529C4" w:rsidRPr="00944A90">
        <w:rPr>
          <w:rFonts w:ascii="Garamond" w:hAnsi="Garamond"/>
          <w:sz w:val="28"/>
          <w:szCs w:val="28"/>
        </w:rPr>
        <w:t>poi</w:t>
      </w:r>
      <w:r w:rsidR="00A36735" w:rsidRPr="00944A90">
        <w:rPr>
          <w:rFonts w:ascii="Garamond" w:hAnsi="Garamond"/>
          <w:sz w:val="28"/>
          <w:szCs w:val="28"/>
        </w:rPr>
        <w:t xml:space="preserve"> essere necessariamente recuperate </w:t>
      </w:r>
      <w:r w:rsidR="0024721F" w:rsidRPr="00944A90">
        <w:rPr>
          <w:rFonts w:ascii="Garamond" w:hAnsi="Garamond"/>
          <w:sz w:val="28"/>
          <w:szCs w:val="28"/>
        </w:rPr>
        <w:t>nella fase giurisdizionale attivata dall’interessato mediante impugnativa del provvedimento prefettizio lesivo</w:t>
      </w:r>
      <w:r w:rsidR="003873E2">
        <w:rPr>
          <w:rStyle w:val="Rimandonotaapidipagina"/>
          <w:rFonts w:ascii="Garamond" w:hAnsi="Garamond"/>
          <w:sz w:val="28"/>
          <w:szCs w:val="28"/>
        </w:rPr>
        <w:footnoteReference w:id="16"/>
      </w:r>
      <w:r w:rsidR="0024721F" w:rsidRPr="00944A90">
        <w:rPr>
          <w:rFonts w:ascii="Garamond" w:hAnsi="Garamond"/>
          <w:sz w:val="28"/>
          <w:szCs w:val="28"/>
        </w:rPr>
        <w:t>. Tanto</w:t>
      </w:r>
      <w:r w:rsidR="00F529C4" w:rsidRPr="00944A90">
        <w:rPr>
          <w:rFonts w:ascii="Garamond" w:hAnsi="Garamond"/>
          <w:sz w:val="28"/>
          <w:szCs w:val="28"/>
        </w:rPr>
        <w:t>,</w:t>
      </w:r>
      <w:r w:rsidR="0024721F" w:rsidRPr="00944A90">
        <w:rPr>
          <w:rFonts w:ascii="Garamond" w:hAnsi="Garamond"/>
          <w:sz w:val="28"/>
          <w:szCs w:val="28"/>
        </w:rPr>
        <w:t xml:space="preserve"> per evitare il collasso del sistema e per mantenere sempre accettabile il punto di equilibrio individuato tra le opposte ed ugualmente pressanti</w:t>
      </w:r>
      <w:r w:rsidR="00760C04" w:rsidRPr="00944A90">
        <w:rPr>
          <w:rFonts w:ascii="Garamond" w:hAnsi="Garamond"/>
          <w:sz w:val="28"/>
          <w:szCs w:val="28"/>
        </w:rPr>
        <w:t xml:space="preserve"> </w:t>
      </w:r>
      <w:r w:rsidR="00F529C4" w:rsidRPr="00944A90">
        <w:rPr>
          <w:rFonts w:ascii="Garamond" w:hAnsi="Garamond"/>
          <w:sz w:val="28"/>
          <w:szCs w:val="28"/>
        </w:rPr>
        <w:t xml:space="preserve">esigenze </w:t>
      </w:r>
      <w:r w:rsidR="00760C04" w:rsidRPr="00944A90">
        <w:rPr>
          <w:rFonts w:ascii="Garamond" w:hAnsi="Garamond"/>
          <w:sz w:val="28"/>
          <w:szCs w:val="28"/>
        </w:rPr>
        <w:t>di tutelare prontamente l’ordine pubblico</w:t>
      </w:r>
      <w:r w:rsidR="00F529C4" w:rsidRPr="00944A90">
        <w:rPr>
          <w:rFonts w:ascii="Garamond" w:hAnsi="Garamond"/>
          <w:sz w:val="28"/>
          <w:szCs w:val="28"/>
        </w:rPr>
        <w:t>,</w:t>
      </w:r>
      <w:r w:rsidR="00760C04" w:rsidRPr="00944A90">
        <w:rPr>
          <w:rFonts w:ascii="Garamond" w:hAnsi="Garamond"/>
          <w:sz w:val="28"/>
          <w:szCs w:val="28"/>
        </w:rPr>
        <w:t xml:space="preserve"> da un lato</w:t>
      </w:r>
      <w:r w:rsidR="00F529C4" w:rsidRPr="00944A90">
        <w:rPr>
          <w:rFonts w:ascii="Garamond" w:hAnsi="Garamond"/>
          <w:sz w:val="28"/>
          <w:szCs w:val="28"/>
        </w:rPr>
        <w:t>,</w:t>
      </w:r>
      <w:r w:rsidR="00760C04" w:rsidRPr="00944A90">
        <w:rPr>
          <w:rFonts w:ascii="Garamond" w:hAnsi="Garamond"/>
          <w:sz w:val="28"/>
          <w:szCs w:val="28"/>
        </w:rPr>
        <w:t xml:space="preserve"> e </w:t>
      </w:r>
      <w:r w:rsidR="00760C04" w:rsidRPr="00944A90">
        <w:rPr>
          <w:rFonts w:ascii="Garamond" w:hAnsi="Garamond"/>
          <w:sz w:val="28"/>
          <w:szCs w:val="28"/>
        </w:rPr>
        <w:lastRenderedPageBreak/>
        <w:t xml:space="preserve">di </w:t>
      </w:r>
      <w:r w:rsidR="00484EE0" w:rsidRPr="00944A90">
        <w:rPr>
          <w:rFonts w:ascii="Garamond" w:hAnsi="Garamond"/>
          <w:sz w:val="28"/>
          <w:szCs w:val="28"/>
        </w:rPr>
        <w:t xml:space="preserve">garantire sempre, per basilare principio </w:t>
      </w:r>
      <w:r w:rsidR="00760C04" w:rsidRPr="00944A90">
        <w:rPr>
          <w:rFonts w:ascii="Garamond" w:hAnsi="Garamond"/>
          <w:sz w:val="28"/>
          <w:szCs w:val="28"/>
        </w:rPr>
        <w:t>di civiltà giuridica</w:t>
      </w:r>
      <w:r w:rsidR="00A02F30" w:rsidRPr="00944A90">
        <w:rPr>
          <w:rFonts w:ascii="Garamond" w:hAnsi="Garamond"/>
          <w:sz w:val="28"/>
          <w:szCs w:val="28"/>
        </w:rPr>
        <w:t xml:space="preserve"> da tempo condensato nella formula </w:t>
      </w:r>
      <w:r w:rsidR="00A02F30" w:rsidRPr="00944A90">
        <w:rPr>
          <w:rFonts w:ascii="Garamond" w:hAnsi="Garamond"/>
          <w:i/>
          <w:sz w:val="28"/>
          <w:szCs w:val="28"/>
        </w:rPr>
        <w:t>“</w:t>
      </w:r>
      <w:proofErr w:type="spellStart"/>
      <w:r w:rsidR="00A02F30" w:rsidRPr="00944A90">
        <w:rPr>
          <w:rFonts w:ascii="Garamond" w:hAnsi="Garamond"/>
          <w:i/>
          <w:sz w:val="28"/>
          <w:szCs w:val="28"/>
        </w:rPr>
        <w:t>audiatur</w:t>
      </w:r>
      <w:proofErr w:type="spellEnd"/>
      <w:r w:rsidR="00A02F30" w:rsidRPr="00944A90">
        <w:rPr>
          <w:rFonts w:ascii="Garamond" w:hAnsi="Garamond"/>
          <w:i/>
          <w:sz w:val="28"/>
          <w:szCs w:val="28"/>
        </w:rPr>
        <w:t xml:space="preserve"> et altera pars”</w:t>
      </w:r>
      <w:r w:rsidR="00484EE0" w:rsidRPr="00944A90">
        <w:rPr>
          <w:rFonts w:ascii="Garamond" w:hAnsi="Garamond"/>
          <w:i/>
          <w:sz w:val="28"/>
          <w:szCs w:val="28"/>
        </w:rPr>
        <w:t>,</w:t>
      </w:r>
      <w:r w:rsidR="00760C04" w:rsidRPr="00944A90">
        <w:rPr>
          <w:rFonts w:ascii="Garamond" w:hAnsi="Garamond"/>
          <w:sz w:val="28"/>
          <w:szCs w:val="28"/>
        </w:rPr>
        <w:t xml:space="preserve"> al sospett</w:t>
      </w:r>
      <w:r w:rsidR="008B6A80" w:rsidRPr="00944A90">
        <w:rPr>
          <w:rFonts w:ascii="Garamond" w:hAnsi="Garamond"/>
          <w:sz w:val="28"/>
          <w:szCs w:val="28"/>
        </w:rPr>
        <w:t>ato</w:t>
      </w:r>
      <w:r w:rsidR="00760C04" w:rsidRPr="00944A90">
        <w:rPr>
          <w:rFonts w:ascii="Garamond" w:hAnsi="Garamond"/>
          <w:sz w:val="28"/>
          <w:szCs w:val="28"/>
        </w:rPr>
        <w:t xml:space="preserve"> </w:t>
      </w:r>
      <w:r w:rsidR="00166882">
        <w:rPr>
          <w:rFonts w:ascii="Garamond" w:hAnsi="Garamond"/>
          <w:sz w:val="28"/>
          <w:szCs w:val="28"/>
        </w:rPr>
        <w:t xml:space="preserve">la possibilità </w:t>
      </w:r>
      <w:r w:rsidR="00760C04" w:rsidRPr="00944A90">
        <w:rPr>
          <w:rFonts w:ascii="Garamond" w:hAnsi="Garamond"/>
          <w:sz w:val="28"/>
          <w:szCs w:val="28"/>
        </w:rPr>
        <w:t>di pronunciarsi a propria discolpa</w:t>
      </w:r>
      <w:r w:rsidR="005F5ED2" w:rsidRPr="00944A90">
        <w:rPr>
          <w:rStyle w:val="Rimandonotaapidipagina"/>
          <w:rFonts w:ascii="Garamond" w:hAnsi="Garamond"/>
          <w:sz w:val="28"/>
          <w:szCs w:val="28"/>
        </w:rPr>
        <w:footnoteReference w:id="17"/>
      </w:r>
      <w:r w:rsidR="00760C04" w:rsidRPr="00944A90">
        <w:rPr>
          <w:rFonts w:ascii="Garamond" w:hAnsi="Garamond"/>
          <w:sz w:val="28"/>
          <w:szCs w:val="28"/>
        </w:rPr>
        <w:t xml:space="preserve">. </w:t>
      </w:r>
    </w:p>
    <w:p w:rsidR="00CB79AB" w:rsidRPr="00944A90" w:rsidRDefault="0034517B" w:rsidP="00135529">
      <w:pPr>
        <w:ind w:firstLine="340"/>
        <w:jc w:val="both"/>
        <w:rPr>
          <w:rFonts w:ascii="Garamond" w:hAnsi="Garamond"/>
          <w:sz w:val="28"/>
          <w:szCs w:val="28"/>
        </w:rPr>
      </w:pPr>
      <w:r w:rsidRPr="00944A90">
        <w:rPr>
          <w:rFonts w:ascii="Garamond" w:hAnsi="Garamond"/>
          <w:sz w:val="28"/>
          <w:szCs w:val="28"/>
        </w:rPr>
        <w:t>Quest’ultima considerazione</w:t>
      </w:r>
      <w:r w:rsidR="00484EE0" w:rsidRPr="00944A90">
        <w:rPr>
          <w:rFonts w:ascii="Garamond" w:hAnsi="Garamond"/>
          <w:sz w:val="28"/>
          <w:szCs w:val="28"/>
        </w:rPr>
        <w:t xml:space="preserve">, oltre che principio ed </w:t>
      </w:r>
      <w:r w:rsidRPr="00944A90">
        <w:rPr>
          <w:rFonts w:ascii="Garamond" w:hAnsi="Garamond"/>
          <w:sz w:val="28"/>
          <w:szCs w:val="28"/>
        </w:rPr>
        <w:t>esigenza di civiltà giuridica</w:t>
      </w:r>
      <w:r w:rsidR="00484EE0" w:rsidRPr="00944A90">
        <w:rPr>
          <w:rFonts w:ascii="Garamond" w:hAnsi="Garamond"/>
          <w:sz w:val="28"/>
          <w:szCs w:val="28"/>
        </w:rPr>
        <w:t>,</w:t>
      </w:r>
      <w:r w:rsidRPr="00944A90">
        <w:rPr>
          <w:rFonts w:ascii="Garamond" w:hAnsi="Garamond"/>
          <w:sz w:val="28"/>
          <w:szCs w:val="28"/>
        </w:rPr>
        <w:t xml:space="preserve"> rappresenta </w:t>
      </w:r>
      <w:r w:rsidR="00484EE0" w:rsidRPr="00944A90">
        <w:rPr>
          <w:rFonts w:ascii="Garamond" w:hAnsi="Garamond"/>
          <w:sz w:val="28"/>
          <w:szCs w:val="28"/>
        </w:rPr>
        <w:t>anche il preciso</w:t>
      </w:r>
      <w:r w:rsidRPr="00944A90">
        <w:rPr>
          <w:rFonts w:ascii="Garamond" w:hAnsi="Garamond"/>
          <w:sz w:val="28"/>
          <w:szCs w:val="28"/>
        </w:rPr>
        <w:t xml:space="preserve"> contenuto di un diritto fondamentale dell’individuo</w:t>
      </w:r>
      <w:r w:rsidR="00484EE0" w:rsidRPr="00944A90">
        <w:rPr>
          <w:rFonts w:ascii="Garamond" w:hAnsi="Garamond"/>
          <w:sz w:val="28"/>
          <w:szCs w:val="28"/>
        </w:rPr>
        <w:t>,</w:t>
      </w:r>
      <w:r w:rsidRPr="00944A90">
        <w:rPr>
          <w:rFonts w:ascii="Garamond" w:hAnsi="Garamond"/>
          <w:sz w:val="28"/>
          <w:szCs w:val="28"/>
        </w:rPr>
        <w:t xml:space="preserve"> che risulta costituzionalizza</w:t>
      </w:r>
      <w:r w:rsidR="00484EE0" w:rsidRPr="00944A90">
        <w:rPr>
          <w:rFonts w:ascii="Garamond" w:hAnsi="Garamond"/>
          <w:sz w:val="28"/>
          <w:szCs w:val="28"/>
        </w:rPr>
        <w:t xml:space="preserve">to </w:t>
      </w:r>
      <w:r w:rsidRPr="00944A90">
        <w:rPr>
          <w:rFonts w:ascii="Garamond" w:hAnsi="Garamond"/>
          <w:sz w:val="28"/>
          <w:szCs w:val="28"/>
        </w:rPr>
        <w:t xml:space="preserve">nel nostro ordinamento per il diverso ma </w:t>
      </w:r>
      <w:r w:rsidR="00952874" w:rsidRPr="00944A90">
        <w:rPr>
          <w:rFonts w:ascii="Garamond" w:hAnsi="Garamond"/>
          <w:sz w:val="28"/>
          <w:szCs w:val="28"/>
        </w:rPr>
        <w:t>affine</w:t>
      </w:r>
      <w:r w:rsidRPr="00944A90">
        <w:rPr>
          <w:rFonts w:ascii="Garamond" w:hAnsi="Garamond"/>
          <w:sz w:val="28"/>
          <w:szCs w:val="28"/>
        </w:rPr>
        <w:t xml:space="preserve"> sistema penalistico di accertamento della responsabilità</w:t>
      </w:r>
      <w:r w:rsidR="00952874" w:rsidRPr="00944A90">
        <w:rPr>
          <w:rFonts w:ascii="Garamond" w:hAnsi="Garamond"/>
          <w:sz w:val="28"/>
          <w:szCs w:val="28"/>
        </w:rPr>
        <w:t xml:space="preserve">, </w:t>
      </w:r>
      <w:r w:rsidRPr="00944A90">
        <w:rPr>
          <w:rFonts w:ascii="Garamond" w:hAnsi="Garamond"/>
          <w:sz w:val="28"/>
          <w:szCs w:val="28"/>
        </w:rPr>
        <w:t>ma che ugualmente viene in rilievo in procedimenti</w:t>
      </w:r>
      <w:r w:rsidR="00952874" w:rsidRPr="00944A90">
        <w:rPr>
          <w:rFonts w:ascii="Garamond" w:hAnsi="Garamond"/>
          <w:sz w:val="28"/>
          <w:szCs w:val="28"/>
        </w:rPr>
        <w:t xml:space="preserve"> -</w:t>
      </w:r>
      <w:r w:rsidRPr="00944A90">
        <w:rPr>
          <w:rFonts w:ascii="Garamond" w:hAnsi="Garamond"/>
          <w:sz w:val="28"/>
          <w:szCs w:val="28"/>
        </w:rPr>
        <w:t xml:space="preserve"> come quelli che qui si analizzano</w:t>
      </w:r>
      <w:r w:rsidR="00952874" w:rsidRPr="00944A90">
        <w:rPr>
          <w:rFonts w:ascii="Garamond" w:hAnsi="Garamond"/>
          <w:sz w:val="28"/>
          <w:szCs w:val="28"/>
        </w:rPr>
        <w:t xml:space="preserve"> -</w:t>
      </w:r>
      <w:r w:rsidR="001C7929" w:rsidRPr="00944A90">
        <w:rPr>
          <w:rFonts w:ascii="Garamond" w:hAnsi="Garamond"/>
          <w:sz w:val="28"/>
          <w:szCs w:val="28"/>
        </w:rPr>
        <w:t xml:space="preserve"> capaci di incidere sulla posizione del cittadino in maniera </w:t>
      </w:r>
      <w:r w:rsidR="00CB79AB" w:rsidRPr="00944A90">
        <w:rPr>
          <w:rFonts w:ascii="Garamond" w:hAnsi="Garamond"/>
          <w:sz w:val="28"/>
          <w:szCs w:val="28"/>
        </w:rPr>
        <w:t>altrettanto</w:t>
      </w:r>
      <w:r w:rsidR="001C7929" w:rsidRPr="00944A90">
        <w:rPr>
          <w:rFonts w:ascii="Garamond" w:hAnsi="Garamond"/>
          <w:sz w:val="28"/>
          <w:szCs w:val="28"/>
        </w:rPr>
        <w:t xml:space="preserve"> afflittiva. </w:t>
      </w:r>
    </w:p>
    <w:p w:rsidR="00BB0DAD" w:rsidRPr="00944A90" w:rsidRDefault="00F864D1" w:rsidP="00135529">
      <w:pPr>
        <w:ind w:firstLine="340"/>
        <w:jc w:val="both"/>
        <w:rPr>
          <w:rFonts w:ascii="Garamond" w:hAnsi="Garamond"/>
          <w:sz w:val="28"/>
          <w:szCs w:val="28"/>
        </w:rPr>
      </w:pPr>
      <w:r w:rsidRPr="00944A90">
        <w:rPr>
          <w:rFonts w:ascii="Garamond" w:hAnsi="Garamond"/>
          <w:sz w:val="28"/>
          <w:szCs w:val="28"/>
        </w:rPr>
        <w:t>E in un sistema multilivello</w:t>
      </w:r>
      <w:r w:rsidR="00CB79AB" w:rsidRPr="00944A90">
        <w:rPr>
          <w:rFonts w:ascii="Garamond" w:hAnsi="Garamond"/>
          <w:sz w:val="28"/>
          <w:szCs w:val="28"/>
        </w:rPr>
        <w:t>,</w:t>
      </w:r>
      <w:r w:rsidRPr="00944A90">
        <w:rPr>
          <w:rFonts w:ascii="Garamond" w:hAnsi="Garamond"/>
          <w:sz w:val="28"/>
          <w:szCs w:val="28"/>
        </w:rPr>
        <w:t xml:space="preserve"> quale risulta oggi quello statuale delle fonti</w:t>
      </w:r>
      <w:r w:rsidR="00CB79AB" w:rsidRPr="00944A90">
        <w:rPr>
          <w:rFonts w:ascii="Garamond" w:hAnsi="Garamond"/>
          <w:sz w:val="28"/>
          <w:szCs w:val="28"/>
        </w:rPr>
        <w:t>,</w:t>
      </w:r>
      <w:r w:rsidRPr="00944A90">
        <w:rPr>
          <w:rFonts w:ascii="Garamond" w:hAnsi="Garamond"/>
          <w:sz w:val="28"/>
          <w:szCs w:val="28"/>
        </w:rPr>
        <w:t xml:space="preserve"> occorre valutare la tenuta di simili deroghe ed eccezioni </w:t>
      </w:r>
      <w:r w:rsidR="00837AC7" w:rsidRPr="00944A90">
        <w:rPr>
          <w:rFonts w:ascii="Garamond" w:hAnsi="Garamond"/>
          <w:sz w:val="28"/>
          <w:szCs w:val="28"/>
        </w:rPr>
        <w:t>impattanti</w:t>
      </w:r>
      <w:r w:rsidRPr="00944A90">
        <w:rPr>
          <w:rFonts w:ascii="Garamond" w:hAnsi="Garamond"/>
          <w:sz w:val="28"/>
          <w:szCs w:val="28"/>
        </w:rPr>
        <w:t xml:space="preserve"> evidentemente </w:t>
      </w:r>
      <w:r w:rsidR="00837AC7" w:rsidRPr="00944A90">
        <w:rPr>
          <w:rFonts w:ascii="Garamond" w:hAnsi="Garamond"/>
          <w:sz w:val="28"/>
          <w:szCs w:val="28"/>
        </w:rPr>
        <w:t>su</w:t>
      </w:r>
      <w:r w:rsidRPr="00944A90">
        <w:rPr>
          <w:rFonts w:ascii="Garamond" w:hAnsi="Garamond"/>
          <w:sz w:val="28"/>
          <w:szCs w:val="28"/>
        </w:rPr>
        <w:t xml:space="preserve"> interessi di rango superiore (la</w:t>
      </w:r>
      <w:r w:rsidR="00837AC7" w:rsidRPr="00944A90">
        <w:rPr>
          <w:rFonts w:ascii="Garamond" w:hAnsi="Garamond"/>
          <w:sz w:val="28"/>
          <w:szCs w:val="28"/>
        </w:rPr>
        <w:t xml:space="preserve"> dignità, la </w:t>
      </w:r>
      <w:r w:rsidRPr="00944A90">
        <w:rPr>
          <w:rFonts w:ascii="Garamond" w:hAnsi="Garamond"/>
          <w:sz w:val="28"/>
          <w:szCs w:val="28"/>
        </w:rPr>
        <w:t xml:space="preserve">libertà di iniziativa economica) non solo con riferimento alla </w:t>
      </w:r>
      <w:r w:rsidR="00746218">
        <w:rPr>
          <w:rFonts w:ascii="Garamond" w:hAnsi="Garamond"/>
          <w:sz w:val="28"/>
          <w:szCs w:val="28"/>
        </w:rPr>
        <w:t>C</w:t>
      </w:r>
      <w:r w:rsidRPr="00944A90">
        <w:rPr>
          <w:rFonts w:ascii="Garamond" w:hAnsi="Garamond"/>
          <w:sz w:val="28"/>
          <w:szCs w:val="28"/>
        </w:rPr>
        <w:t>arta costituzionale</w:t>
      </w:r>
      <w:r w:rsidR="00837AC7" w:rsidRPr="00944A90">
        <w:rPr>
          <w:rFonts w:ascii="Garamond" w:hAnsi="Garamond"/>
          <w:sz w:val="28"/>
          <w:szCs w:val="28"/>
        </w:rPr>
        <w:t>,</w:t>
      </w:r>
      <w:r w:rsidRPr="00944A90">
        <w:rPr>
          <w:rFonts w:ascii="Garamond" w:hAnsi="Garamond"/>
          <w:sz w:val="28"/>
          <w:szCs w:val="28"/>
        </w:rPr>
        <w:t xml:space="preserve"> ma anche </w:t>
      </w:r>
      <w:r w:rsidR="00A07E0C" w:rsidRPr="00944A90">
        <w:rPr>
          <w:rFonts w:ascii="Garamond" w:hAnsi="Garamond"/>
          <w:sz w:val="28"/>
          <w:szCs w:val="28"/>
        </w:rPr>
        <w:t xml:space="preserve">con riferimento alle fonti sovranazionali alle quali l’articolo 117 della </w:t>
      </w:r>
      <w:r w:rsidR="00837AC7" w:rsidRPr="00944A90">
        <w:rPr>
          <w:rFonts w:ascii="Garamond" w:hAnsi="Garamond"/>
          <w:sz w:val="28"/>
          <w:szCs w:val="28"/>
        </w:rPr>
        <w:t>C</w:t>
      </w:r>
      <w:r w:rsidR="00A07E0C" w:rsidRPr="00944A90">
        <w:rPr>
          <w:rFonts w:ascii="Garamond" w:hAnsi="Garamond"/>
          <w:sz w:val="28"/>
          <w:szCs w:val="28"/>
        </w:rPr>
        <w:t>ostituzione impone alla legislazione nazionale e regionale di adeguarsi</w:t>
      </w:r>
      <w:r w:rsidR="00930E46" w:rsidRPr="00944A90">
        <w:rPr>
          <w:rFonts w:ascii="Garamond" w:hAnsi="Garamond"/>
          <w:sz w:val="28"/>
          <w:szCs w:val="28"/>
        </w:rPr>
        <w:t>:</w:t>
      </w:r>
      <w:r w:rsidR="00BB0DAD" w:rsidRPr="00944A90">
        <w:rPr>
          <w:rFonts w:ascii="Garamond" w:hAnsi="Garamond"/>
          <w:sz w:val="28"/>
          <w:szCs w:val="28"/>
        </w:rPr>
        <w:t xml:space="preserve"> la</w:t>
      </w:r>
      <w:r w:rsidR="00A07E0C" w:rsidRPr="00944A90">
        <w:rPr>
          <w:rFonts w:ascii="Garamond" w:hAnsi="Garamond"/>
          <w:sz w:val="28"/>
          <w:szCs w:val="28"/>
        </w:rPr>
        <w:t xml:space="preserve"> </w:t>
      </w:r>
      <w:r w:rsidR="00BB0DAD" w:rsidRPr="00944A90">
        <w:rPr>
          <w:rFonts w:ascii="Garamond" w:hAnsi="Garamond"/>
          <w:sz w:val="28"/>
          <w:szCs w:val="28"/>
        </w:rPr>
        <w:t>Carta</w:t>
      </w:r>
      <w:r w:rsidR="00A07E0C" w:rsidRPr="00944A90">
        <w:rPr>
          <w:rFonts w:ascii="Garamond" w:hAnsi="Garamond"/>
          <w:sz w:val="28"/>
          <w:szCs w:val="28"/>
        </w:rPr>
        <w:t xml:space="preserve"> dei diritti fondamentali dell’Unione Europea da un lato e il sistema dei </w:t>
      </w:r>
      <w:r w:rsidR="00BB0DAD" w:rsidRPr="00944A90">
        <w:rPr>
          <w:rFonts w:ascii="Garamond" w:hAnsi="Garamond"/>
          <w:sz w:val="28"/>
          <w:szCs w:val="28"/>
        </w:rPr>
        <w:t>T</w:t>
      </w:r>
      <w:r w:rsidR="00A07E0C" w:rsidRPr="00944A90">
        <w:rPr>
          <w:rFonts w:ascii="Garamond" w:hAnsi="Garamond"/>
          <w:sz w:val="28"/>
          <w:szCs w:val="28"/>
        </w:rPr>
        <w:t>rattati dall’altro.</w:t>
      </w:r>
    </w:p>
    <w:p w:rsidR="008000C7" w:rsidRDefault="00AD4B6E" w:rsidP="008000C7">
      <w:pPr>
        <w:ind w:firstLine="340"/>
        <w:jc w:val="both"/>
        <w:rPr>
          <w:rFonts w:ascii="Garamond" w:hAnsi="Garamond"/>
          <w:sz w:val="28"/>
          <w:szCs w:val="28"/>
        </w:rPr>
      </w:pPr>
      <w:r w:rsidRPr="00944A90">
        <w:rPr>
          <w:rFonts w:ascii="Garamond" w:hAnsi="Garamond"/>
          <w:sz w:val="28"/>
          <w:szCs w:val="28"/>
        </w:rPr>
        <w:t xml:space="preserve">Quanto alla </w:t>
      </w:r>
      <w:proofErr w:type="spellStart"/>
      <w:r w:rsidR="00BB0DAD" w:rsidRPr="00944A90">
        <w:rPr>
          <w:rFonts w:ascii="Garamond" w:hAnsi="Garamond"/>
          <w:sz w:val="28"/>
          <w:szCs w:val="28"/>
        </w:rPr>
        <w:t>Cedu</w:t>
      </w:r>
      <w:proofErr w:type="spellEnd"/>
      <w:r w:rsidR="00BB0DAD" w:rsidRPr="00944A90">
        <w:rPr>
          <w:rFonts w:ascii="Garamond" w:hAnsi="Garamond"/>
          <w:sz w:val="28"/>
          <w:szCs w:val="28"/>
        </w:rPr>
        <w:t>,</w:t>
      </w:r>
      <w:r w:rsidRPr="00944A90">
        <w:rPr>
          <w:rFonts w:ascii="Garamond" w:hAnsi="Garamond"/>
          <w:sz w:val="28"/>
          <w:szCs w:val="28"/>
        </w:rPr>
        <w:t xml:space="preserve"> il diritto al contraddittorio </w:t>
      </w:r>
      <w:r w:rsidR="00787464" w:rsidRPr="00944A90">
        <w:rPr>
          <w:rFonts w:ascii="Garamond" w:hAnsi="Garamond"/>
          <w:sz w:val="28"/>
          <w:szCs w:val="28"/>
        </w:rPr>
        <w:t xml:space="preserve">è </w:t>
      </w:r>
      <w:r w:rsidRPr="00944A90">
        <w:rPr>
          <w:rFonts w:ascii="Garamond" w:hAnsi="Garamond"/>
          <w:sz w:val="28"/>
          <w:szCs w:val="28"/>
        </w:rPr>
        <w:t xml:space="preserve">garantito dall’articolo </w:t>
      </w:r>
      <w:r w:rsidR="00787464" w:rsidRPr="00944A90">
        <w:rPr>
          <w:rFonts w:ascii="Garamond" w:hAnsi="Garamond"/>
          <w:sz w:val="28"/>
          <w:szCs w:val="28"/>
        </w:rPr>
        <w:t>6</w:t>
      </w:r>
      <w:r w:rsidR="00523522">
        <w:rPr>
          <w:rFonts w:ascii="Garamond" w:hAnsi="Garamond"/>
          <w:sz w:val="28"/>
          <w:szCs w:val="28"/>
        </w:rPr>
        <w:t xml:space="preserve"> della Carta,</w:t>
      </w:r>
      <w:r w:rsidRPr="00944A90">
        <w:rPr>
          <w:rFonts w:ascii="Garamond" w:hAnsi="Garamond"/>
          <w:sz w:val="28"/>
          <w:szCs w:val="28"/>
        </w:rPr>
        <w:t xml:space="preserve"> che si riferisce al processo ma che la giurisprudenza della </w:t>
      </w:r>
      <w:r w:rsidR="00D31BFD">
        <w:rPr>
          <w:rFonts w:ascii="Garamond" w:hAnsi="Garamond"/>
          <w:sz w:val="28"/>
          <w:szCs w:val="28"/>
        </w:rPr>
        <w:t>C</w:t>
      </w:r>
      <w:r w:rsidRPr="00944A90">
        <w:rPr>
          <w:rFonts w:ascii="Garamond" w:hAnsi="Garamond"/>
          <w:sz w:val="28"/>
          <w:szCs w:val="28"/>
        </w:rPr>
        <w:t xml:space="preserve">orte </w:t>
      </w:r>
      <w:r w:rsidR="00787464" w:rsidRPr="00944A90">
        <w:rPr>
          <w:rFonts w:ascii="Garamond" w:hAnsi="Garamond"/>
          <w:sz w:val="28"/>
          <w:szCs w:val="28"/>
        </w:rPr>
        <w:t xml:space="preserve">Edu </w:t>
      </w:r>
      <w:r w:rsidRPr="00944A90">
        <w:rPr>
          <w:rFonts w:ascii="Garamond" w:hAnsi="Garamond"/>
          <w:sz w:val="28"/>
          <w:szCs w:val="28"/>
        </w:rPr>
        <w:t>ha esteso</w:t>
      </w:r>
      <w:r w:rsidR="00AD4E93" w:rsidRPr="00944A90">
        <w:rPr>
          <w:rFonts w:ascii="Garamond" w:hAnsi="Garamond"/>
          <w:sz w:val="28"/>
          <w:szCs w:val="28"/>
        </w:rPr>
        <w:t>, ritenendol</w:t>
      </w:r>
      <w:r w:rsidR="00C4510E" w:rsidRPr="00944A90">
        <w:rPr>
          <w:rFonts w:ascii="Garamond" w:hAnsi="Garamond"/>
          <w:sz w:val="28"/>
          <w:szCs w:val="28"/>
        </w:rPr>
        <w:t>o un</w:t>
      </w:r>
      <w:r w:rsidR="00AD4E93" w:rsidRPr="00944A90">
        <w:rPr>
          <w:rFonts w:ascii="Garamond" w:hAnsi="Garamond"/>
          <w:sz w:val="28"/>
          <w:szCs w:val="28"/>
        </w:rPr>
        <w:t xml:space="preserve"> principi</w:t>
      </w:r>
      <w:r w:rsidR="00C4510E" w:rsidRPr="00944A90">
        <w:rPr>
          <w:rFonts w:ascii="Garamond" w:hAnsi="Garamond"/>
          <w:sz w:val="28"/>
          <w:szCs w:val="28"/>
        </w:rPr>
        <w:t>o</w:t>
      </w:r>
      <w:r w:rsidR="00AD4E93" w:rsidRPr="00944A90">
        <w:rPr>
          <w:rFonts w:ascii="Garamond" w:hAnsi="Garamond"/>
          <w:sz w:val="28"/>
          <w:szCs w:val="28"/>
        </w:rPr>
        <w:t xml:space="preserve"> di portata generale, oltreché comun</w:t>
      </w:r>
      <w:r w:rsidR="00C4510E" w:rsidRPr="00944A90">
        <w:rPr>
          <w:rFonts w:ascii="Garamond" w:hAnsi="Garamond"/>
          <w:sz w:val="28"/>
          <w:szCs w:val="28"/>
        </w:rPr>
        <w:t>e</w:t>
      </w:r>
      <w:r w:rsidR="00AD4E93" w:rsidRPr="00944A90">
        <w:rPr>
          <w:rFonts w:ascii="Garamond" w:hAnsi="Garamond"/>
          <w:sz w:val="28"/>
          <w:szCs w:val="28"/>
        </w:rPr>
        <w:t xml:space="preserve"> alle tradizioni costituzionali degli Stati membri,</w:t>
      </w:r>
      <w:r w:rsidRPr="00944A90">
        <w:rPr>
          <w:rFonts w:ascii="Garamond" w:hAnsi="Garamond"/>
          <w:sz w:val="28"/>
          <w:szCs w:val="28"/>
        </w:rPr>
        <w:t xml:space="preserve"> alla generalità dei procedimenti</w:t>
      </w:r>
      <w:r w:rsidR="00787464" w:rsidRPr="00944A90">
        <w:rPr>
          <w:rFonts w:ascii="Garamond" w:hAnsi="Garamond"/>
          <w:sz w:val="28"/>
          <w:szCs w:val="28"/>
        </w:rPr>
        <w:t xml:space="preserve"> </w:t>
      </w:r>
      <w:r w:rsidR="00AB67D1" w:rsidRPr="00944A90">
        <w:rPr>
          <w:rFonts w:ascii="Garamond" w:hAnsi="Garamond"/>
          <w:sz w:val="28"/>
          <w:szCs w:val="28"/>
        </w:rPr>
        <w:t>destinati a sfociare</w:t>
      </w:r>
      <w:r w:rsidR="00787464" w:rsidRPr="00944A90">
        <w:rPr>
          <w:rFonts w:ascii="Garamond" w:hAnsi="Garamond"/>
          <w:sz w:val="28"/>
          <w:szCs w:val="28"/>
        </w:rPr>
        <w:t xml:space="preserve"> in provvedimenti sanzionatori o comunque </w:t>
      </w:r>
      <w:r w:rsidR="00AB67D1" w:rsidRPr="00944A90">
        <w:rPr>
          <w:rFonts w:ascii="Garamond" w:hAnsi="Garamond"/>
          <w:sz w:val="28"/>
          <w:szCs w:val="28"/>
        </w:rPr>
        <w:t>limitanti la capacità di agire del privato</w:t>
      </w:r>
      <w:r w:rsidR="00570596" w:rsidRPr="00944A90">
        <w:rPr>
          <w:rStyle w:val="Rimandonotaapidipagina"/>
          <w:rFonts w:ascii="Garamond" w:hAnsi="Garamond"/>
          <w:sz w:val="28"/>
          <w:szCs w:val="28"/>
        </w:rPr>
        <w:footnoteReference w:id="18"/>
      </w:r>
      <w:r w:rsidRPr="00944A90">
        <w:rPr>
          <w:rFonts w:ascii="Garamond" w:hAnsi="Garamond"/>
          <w:sz w:val="28"/>
          <w:szCs w:val="28"/>
        </w:rPr>
        <w:t xml:space="preserve">. In questa sede occorre </w:t>
      </w:r>
      <w:r w:rsidR="00D13B65" w:rsidRPr="00944A90">
        <w:rPr>
          <w:rFonts w:ascii="Garamond" w:hAnsi="Garamond"/>
          <w:sz w:val="28"/>
          <w:szCs w:val="28"/>
        </w:rPr>
        <w:t xml:space="preserve">ribadire </w:t>
      </w:r>
      <w:r w:rsidR="00680887" w:rsidRPr="00944A90">
        <w:rPr>
          <w:rFonts w:ascii="Garamond" w:hAnsi="Garamond"/>
          <w:sz w:val="28"/>
          <w:szCs w:val="28"/>
        </w:rPr>
        <w:t xml:space="preserve">quanto più volte sostenuto dalla Corte Edu, e cioè che </w:t>
      </w:r>
      <w:r w:rsidRPr="00944A90">
        <w:rPr>
          <w:rFonts w:ascii="Garamond" w:hAnsi="Garamond"/>
          <w:sz w:val="28"/>
          <w:szCs w:val="28"/>
        </w:rPr>
        <w:t xml:space="preserve">le </w:t>
      </w:r>
      <w:r w:rsidR="00063254" w:rsidRPr="00944A90">
        <w:rPr>
          <w:rFonts w:ascii="Garamond" w:hAnsi="Garamond"/>
          <w:sz w:val="28"/>
          <w:szCs w:val="28"/>
        </w:rPr>
        <w:t xml:space="preserve">misure </w:t>
      </w:r>
      <w:proofErr w:type="spellStart"/>
      <w:r w:rsidR="00063254" w:rsidRPr="00944A90">
        <w:rPr>
          <w:rFonts w:ascii="Garamond" w:hAnsi="Garamond"/>
          <w:sz w:val="28"/>
          <w:szCs w:val="28"/>
        </w:rPr>
        <w:t>interdittive</w:t>
      </w:r>
      <w:proofErr w:type="spellEnd"/>
      <w:r w:rsidR="00063254" w:rsidRPr="00944A90">
        <w:rPr>
          <w:rFonts w:ascii="Garamond" w:hAnsi="Garamond"/>
          <w:sz w:val="28"/>
          <w:szCs w:val="28"/>
        </w:rPr>
        <w:t xml:space="preserve"> antimafia non rappresentano sanzioni secondo i </w:t>
      </w:r>
      <w:r w:rsidR="0041589E" w:rsidRPr="00944A90">
        <w:rPr>
          <w:rFonts w:ascii="Garamond" w:hAnsi="Garamond"/>
          <w:sz w:val="28"/>
          <w:szCs w:val="28"/>
        </w:rPr>
        <w:t>noti</w:t>
      </w:r>
      <w:r w:rsidR="00063254" w:rsidRPr="00944A90">
        <w:rPr>
          <w:rFonts w:ascii="Garamond" w:hAnsi="Garamond"/>
          <w:sz w:val="28"/>
          <w:szCs w:val="28"/>
        </w:rPr>
        <w:t xml:space="preserve"> criteri </w:t>
      </w:r>
      <w:r w:rsidR="00063254" w:rsidRPr="00AD4D7B">
        <w:rPr>
          <w:rFonts w:ascii="Garamond" w:hAnsi="Garamond"/>
          <w:i/>
          <w:iCs/>
          <w:sz w:val="28"/>
          <w:szCs w:val="28"/>
        </w:rPr>
        <w:t>Engel</w:t>
      </w:r>
      <w:r w:rsidR="00570596" w:rsidRPr="00944A90">
        <w:rPr>
          <w:rStyle w:val="Rimandonotaapidipagina"/>
          <w:rFonts w:ascii="Garamond" w:hAnsi="Garamond"/>
          <w:sz w:val="28"/>
          <w:szCs w:val="28"/>
        </w:rPr>
        <w:footnoteReference w:id="19"/>
      </w:r>
      <w:r w:rsidR="00E012CB" w:rsidRPr="00944A90">
        <w:rPr>
          <w:rFonts w:ascii="Garamond" w:hAnsi="Garamond"/>
          <w:sz w:val="28"/>
          <w:szCs w:val="28"/>
        </w:rPr>
        <w:t xml:space="preserve"> e,</w:t>
      </w:r>
      <w:r w:rsidR="00063254" w:rsidRPr="00944A90">
        <w:rPr>
          <w:rFonts w:ascii="Garamond" w:hAnsi="Garamond"/>
          <w:sz w:val="28"/>
          <w:szCs w:val="28"/>
        </w:rPr>
        <w:t xml:space="preserve"> quindi</w:t>
      </w:r>
      <w:r w:rsidR="00E012CB" w:rsidRPr="00944A90">
        <w:rPr>
          <w:rFonts w:ascii="Garamond" w:hAnsi="Garamond"/>
          <w:sz w:val="28"/>
          <w:szCs w:val="28"/>
        </w:rPr>
        <w:t>,</w:t>
      </w:r>
      <w:r w:rsidR="00063254" w:rsidRPr="00944A90">
        <w:rPr>
          <w:rFonts w:ascii="Garamond" w:hAnsi="Garamond"/>
          <w:sz w:val="28"/>
          <w:szCs w:val="28"/>
        </w:rPr>
        <w:t xml:space="preserve"> non debbono partecipare delle garanzie prescritte per l’adozione di provvedimenti penali; tuttavia</w:t>
      </w:r>
      <w:r w:rsidR="00E012CB" w:rsidRPr="00944A90">
        <w:rPr>
          <w:rFonts w:ascii="Garamond" w:hAnsi="Garamond"/>
          <w:sz w:val="28"/>
          <w:szCs w:val="28"/>
        </w:rPr>
        <w:t>,</w:t>
      </w:r>
      <w:r w:rsidR="00063254" w:rsidRPr="00944A90">
        <w:rPr>
          <w:rFonts w:ascii="Garamond" w:hAnsi="Garamond"/>
          <w:sz w:val="28"/>
          <w:szCs w:val="28"/>
        </w:rPr>
        <w:t xml:space="preserve"> occorre tener conto</w:t>
      </w:r>
      <w:r w:rsidR="00E012CB" w:rsidRPr="00944A90">
        <w:rPr>
          <w:rFonts w:ascii="Garamond" w:hAnsi="Garamond"/>
          <w:sz w:val="28"/>
          <w:szCs w:val="28"/>
        </w:rPr>
        <w:t>,</w:t>
      </w:r>
      <w:r w:rsidR="00063254" w:rsidRPr="00944A90">
        <w:rPr>
          <w:rFonts w:ascii="Garamond" w:hAnsi="Garamond"/>
          <w:sz w:val="28"/>
          <w:szCs w:val="28"/>
        </w:rPr>
        <w:t xml:space="preserve"> </w:t>
      </w:r>
      <w:r w:rsidR="00DB3291">
        <w:rPr>
          <w:rFonts w:ascii="Garamond" w:hAnsi="Garamond"/>
          <w:sz w:val="28"/>
          <w:szCs w:val="28"/>
        </w:rPr>
        <w:t xml:space="preserve">com’è </w:t>
      </w:r>
      <w:r w:rsidR="00063254" w:rsidRPr="00944A90">
        <w:rPr>
          <w:rFonts w:ascii="Garamond" w:hAnsi="Garamond"/>
          <w:sz w:val="28"/>
          <w:szCs w:val="28"/>
        </w:rPr>
        <w:t>stato detto</w:t>
      </w:r>
      <w:r w:rsidR="00E012CB" w:rsidRPr="00944A90">
        <w:rPr>
          <w:rFonts w:ascii="Garamond" w:hAnsi="Garamond"/>
          <w:sz w:val="28"/>
          <w:szCs w:val="28"/>
        </w:rPr>
        <w:t>,</w:t>
      </w:r>
      <w:r w:rsidR="00063254" w:rsidRPr="00944A90">
        <w:rPr>
          <w:rFonts w:ascii="Garamond" w:hAnsi="Garamond"/>
          <w:sz w:val="28"/>
          <w:szCs w:val="28"/>
        </w:rPr>
        <w:t xml:space="preserve"> dell’</w:t>
      </w:r>
      <w:r w:rsidR="00063254" w:rsidRPr="00944A90">
        <w:rPr>
          <w:rFonts w:ascii="Garamond" w:hAnsi="Garamond"/>
          <w:i/>
          <w:iCs/>
          <w:sz w:val="28"/>
          <w:szCs w:val="28"/>
        </w:rPr>
        <w:t>onda lunga</w:t>
      </w:r>
      <w:r w:rsidR="00063254" w:rsidRPr="00944A90">
        <w:rPr>
          <w:rFonts w:ascii="Garamond" w:hAnsi="Garamond"/>
          <w:sz w:val="28"/>
          <w:szCs w:val="28"/>
        </w:rPr>
        <w:t xml:space="preserve"> che sul sistema può</w:t>
      </w:r>
      <w:r w:rsidR="006479D5" w:rsidRPr="00944A90">
        <w:rPr>
          <w:rFonts w:ascii="Garamond" w:hAnsi="Garamond"/>
          <w:sz w:val="28"/>
          <w:szCs w:val="28"/>
        </w:rPr>
        <w:t xml:space="preserve"> derivare dalla sentenza </w:t>
      </w:r>
      <w:proofErr w:type="spellStart"/>
      <w:r w:rsidR="002170E2" w:rsidRPr="00944A90">
        <w:rPr>
          <w:rFonts w:ascii="Garamond" w:hAnsi="Garamond"/>
          <w:sz w:val="28"/>
          <w:szCs w:val="28"/>
        </w:rPr>
        <w:t>Cedu</w:t>
      </w:r>
      <w:proofErr w:type="spellEnd"/>
      <w:r w:rsidR="008B463F" w:rsidRPr="00944A90">
        <w:rPr>
          <w:rFonts w:ascii="Garamond" w:hAnsi="Garamond"/>
          <w:sz w:val="28"/>
          <w:szCs w:val="28"/>
        </w:rPr>
        <w:t>, Grande Sezione,</w:t>
      </w:r>
      <w:r w:rsidR="002170E2" w:rsidRPr="00944A90">
        <w:rPr>
          <w:rFonts w:ascii="Garamond" w:hAnsi="Garamond"/>
          <w:sz w:val="28"/>
          <w:szCs w:val="28"/>
        </w:rPr>
        <w:t xml:space="preserve"> </w:t>
      </w:r>
      <w:r w:rsidR="00C2035B" w:rsidRPr="00944A90">
        <w:rPr>
          <w:rFonts w:ascii="Garamond" w:hAnsi="Garamond"/>
          <w:sz w:val="28"/>
          <w:szCs w:val="28"/>
        </w:rPr>
        <w:t xml:space="preserve">23 febbraio 2017, </w:t>
      </w:r>
      <w:r w:rsidR="005E2743" w:rsidRPr="00944A90">
        <w:rPr>
          <w:rFonts w:ascii="Garamond" w:hAnsi="Garamond"/>
          <w:i/>
          <w:sz w:val="28"/>
          <w:szCs w:val="28"/>
        </w:rPr>
        <w:t>De</w:t>
      </w:r>
      <w:r w:rsidR="00570596" w:rsidRPr="00944A90">
        <w:rPr>
          <w:rFonts w:ascii="Garamond" w:hAnsi="Garamond"/>
          <w:i/>
          <w:sz w:val="28"/>
          <w:szCs w:val="28"/>
        </w:rPr>
        <w:t xml:space="preserve"> Tommaso</w:t>
      </w:r>
      <w:r w:rsidR="008B463F" w:rsidRPr="00944A90">
        <w:rPr>
          <w:rFonts w:ascii="Garamond" w:hAnsi="Garamond"/>
          <w:i/>
          <w:sz w:val="28"/>
          <w:szCs w:val="28"/>
        </w:rPr>
        <w:t xml:space="preserve"> c. Italia</w:t>
      </w:r>
      <w:r w:rsidR="00570596" w:rsidRPr="00944A90">
        <w:rPr>
          <w:rStyle w:val="Rimandonotaapidipagina"/>
          <w:rFonts w:ascii="Garamond" w:hAnsi="Garamond"/>
          <w:sz w:val="28"/>
          <w:szCs w:val="28"/>
        </w:rPr>
        <w:footnoteReference w:id="20"/>
      </w:r>
      <w:r w:rsidR="00570596" w:rsidRPr="00944A90">
        <w:rPr>
          <w:rFonts w:ascii="Garamond" w:hAnsi="Garamond"/>
          <w:sz w:val="28"/>
          <w:szCs w:val="28"/>
        </w:rPr>
        <w:t>.</w:t>
      </w:r>
    </w:p>
    <w:p w:rsidR="00570596" w:rsidRDefault="006479D5" w:rsidP="008000C7">
      <w:pPr>
        <w:ind w:firstLine="340"/>
        <w:jc w:val="both"/>
        <w:rPr>
          <w:rFonts w:ascii="Garamond" w:hAnsi="Garamond"/>
          <w:sz w:val="28"/>
          <w:szCs w:val="28"/>
        </w:rPr>
      </w:pPr>
      <w:r w:rsidRPr="00944A90">
        <w:rPr>
          <w:rFonts w:ascii="Garamond" w:hAnsi="Garamond"/>
          <w:sz w:val="28"/>
          <w:szCs w:val="28"/>
        </w:rPr>
        <w:lastRenderedPageBreak/>
        <w:t xml:space="preserve">Quanto infine alla </w:t>
      </w:r>
      <w:r w:rsidR="00E012CB" w:rsidRPr="00944A90">
        <w:rPr>
          <w:rFonts w:ascii="Garamond" w:hAnsi="Garamond"/>
          <w:sz w:val="28"/>
          <w:szCs w:val="28"/>
        </w:rPr>
        <w:t>Corte</w:t>
      </w:r>
      <w:r w:rsidRPr="00944A90">
        <w:rPr>
          <w:rFonts w:ascii="Garamond" w:hAnsi="Garamond"/>
          <w:sz w:val="28"/>
          <w:szCs w:val="28"/>
        </w:rPr>
        <w:t xml:space="preserve"> di </w:t>
      </w:r>
      <w:r w:rsidR="00E012CB" w:rsidRPr="00944A90">
        <w:rPr>
          <w:rFonts w:ascii="Garamond" w:hAnsi="Garamond"/>
          <w:sz w:val="28"/>
          <w:szCs w:val="28"/>
        </w:rPr>
        <w:t>Giustizia</w:t>
      </w:r>
      <w:r w:rsidRPr="00944A90">
        <w:rPr>
          <w:rFonts w:ascii="Garamond" w:hAnsi="Garamond"/>
          <w:sz w:val="28"/>
          <w:szCs w:val="28"/>
        </w:rPr>
        <w:t xml:space="preserve"> dell’Unione Europea</w:t>
      </w:r>
      <w:r w:rsidR="00E012CB" w:rsidRPr="00944A90">
        <w:rPr>
          <w:rFonts w:ascii="Garamond" w:hAnsi="Garamond"/>
          <w:sz w:val="28"/>
          <w:szCs w:val="28"/>
        </w:rPr>
        <w:t>,</w:t>
      </w:r>
      <w:r w:rsidRPr="00944A90">
        <w:rPr>
          <w:rFonts w:ascii="Garamond" w:hAnsi="Garamond"/>
          <w:sz w:val="28"/>
          <w:szCs w:val="28"/>
        </w:rPr>
        <w:t xml:space="preserve"> </w:t>
      </w:r>
      <w:r w:rsidR="009F1234">
        <w:rPr>
          <w:rFonts w:ascii="Garamond" w:hAnsi="Garamond"/>
          <w:sz w:val="28"/>
          <w:szCs w:val="28"/>
        </w:rPr>
        <w:t xml:space="preserve">l’occasione per </w:t>
      </w:r>
      <w:r w:rsidR="00BE0BB2">
        <w:rPr>
          <w:rFonts w:ascii="Garamond" w:hAnsi="Garamond"/>
          <w:sz w:val="28"/>
          <w:szCs w:val="28"/>
        </w:rPr>
        <w:t xml:space="preserve">ottenere una sua pronuncia sulla questione </w:t>
      </w:r>
      <w:r w:rsidR="00BB2BA3">
        <w:rPr>
          <w:rFonts w:ascii="Garamond" w:hAnsi="Garamond"/>
          <w:sz w:val="28"/>
          <w:szCs w:val="28"/>
        </w:rPr>
        <w:t>è</w:t>
      </w:r>
      <w:r w:rsidR="000E4351">
        <w:rPr>
          <w:rFonts w:ascii="Garamond" w:hAnsi="Garamond"/>
          <w:sz w:val="28"/>
          <w:szCs w:val="28"/>
        </w:rPr>
        <w:t xml:space="preserve">, purtroppo, </w:t>
      </w:r>
      <w:r w:rsidR="00BB2BA3">
        <w:rPr>
          <w:rFonts w:ascii="Garamond" w:hAnsi="Garamond"/>
          <w:sz w:val="28"/>
          <w:szCs w:val="28"/>
        </w:rPr>
        <w:t>mancata</w:t>
      </w:r>
      <w:r w:rsidR="0039012E">
        <w:rPr>
          <w:rFonts w:ascii="Garamond" w:hAnsi="Garamond"/>
          <w:sz w:val="28"/>
          <w:szCs w:val="28"/>
        </w:rPr>
        <w:t xml:space="preserve">. Il </w:t>
      </w:r>
      <w:r w:rsidRPr="00944A90">
        <w:rPr>
          <w:rFonts w:ascii="Garamond" w:hAnsi="Garamond"/>
          <w:sz w:val="28"/>
          <w:szCs w:val="28"/>
        </w:rPr>
        <w:t xml:space="preserve">giudizio ex articolo 267 del </w:t>
      </w:r>
      <w:r w:rsidR="00B85077" w:rsidRPr="00944A90">
        <w:rPr>
          <w:rFonts w:ascii="Garamond" w:hAnsi="Garamond"/>
          <w:sz w:val="28"/>
          <w:szCs w:val="28"/>
        </w:rPr>
        <w:t>Trattato</w:t>
      </w:r>
      <w:r w:rsidRPr="00944A90">
        <w:rPr>
          <w:rFonts w:ascii="Garamond" w:hAnsi="Garamond"/>
          <w:sz w:val="28"/>
          <w:szCs w:val="28"/>
        </w:rPr>
        <w:t xml:space="preserve"> sul funzionamento dell’Unione Europea</w:t>
      </w:r>
      <w:r w:rsidR="00B85077" w:rsidRPr="00944A90">
        <w:rPr>
          <w:rFonts w:ascii="Garamond" w:hAnsi="Garamond"/>
          <w:sz w:val="28"/>
          <w:szCs w:val="28"/>
        </w:rPr>
        <w:t>,</w:t>
      </w:r>
      <w:r w:rsidRPr="00944A90">
        <w:rPr>
          <w:rFonts w:ascii="Garamond" w:hAnsi="Garamond"/>
          <w:sz w:val="28"/>
          <w:szCs w:val="28"/>
        </w:rPr>
        <w:t xml:space="preserve"> </w:t>
      </w:r>
      <w:r w:rsidR="00974ED8">
        <w:rPr>
          <w:rFonts w:ascii="Garamond" w:hAnsi="Garamond"/>
          <w:sz w:val="28"/>
          <w:szCs w:val="28"/>
        </w:rPr>
        <w:t xml:space="preserve">instaurato </w:t>
      </w:r>
      <w:r w:rsidR="00FB4311">
        <w:rPr>
          <w:rFonts w:ascii="Garamond" w:hAnsi="Garamond"/>
          <w:sz w:val="28"/>
          <w:szCs w:val="28"/>
        </w:rPr>
        <w:t>su rinvio</w:t>
      </w:r>
      <w:r w:rsidRPr="00944A90">
        <w:rPr>
          <w:rFonts w:ascii="Garamond" w:hAnsi="Garamond"/>
          <w:sz w:val="28"/>
          <w:szCs w:val="28"/>
        </w:rPr>
        <w:t xml:space="preserve"> </w:t>
      </w:r>
      <w:r w:rsidR="00E06FAA">
        <w:rPr>
          <w:rFonts w:ascii="Garamond" w:hAnsi="Garamond"/>
          <w:sz w:val="28"/>
          <w:szCs w:val="28"/>
        </w:rPr>
        <w:t>del</w:t>
      </w:r>
      <w:r w:rsidRPr="00944A90">
        <w:rPr>
          <w:rFonts w:ascii="Garamond" w:hAnsi="Garamond"/>
          <w:sz w:val="28"/>
          <w:szCs w:val="28"/>
        </w:rPr>
        <w:t xml:space="preserve"> Tar Puglia</w:t>
      </w:r>
      <w:r w:rsidR="00B85077" w:rsidRPr="00944A90">
        <w:rPr>
          <w:rFonts w:ascii="Garamond" w:hAnsi="Garamond"/>
          <w:sz w:val="28"/>
          <w:szCs w:val="28"/>
        </w:rPr>
        <w:t>,</w:t>
      </w:r>
      <w:r w:rsidRPr="00944A90">
        <w:rPr>
          <w:rFonts w:ascii="Garamond" w:hAnsi="Garamond"/>
          <w:sz w:val="28"/>
          <w:szCs w:val="28"/>
        </w:rPr>
        <w:t xml:space="preserve"> </w:t>
      </w:r>
      <w:r w:rsidR="00894777" w:rsidRPr="00944A90">
        <w:rPr>
          <w:rFonts w:ascii="Garamond" w:hAnsi="Garamond"/>
          <w:sz w:val="28"/>
          <w:szCs w:val="28"/>
        </w:rPr>
        <w:t>sede di Bari</w:t>
      </w:r>
      <w:r w:rsidR="00AB1B6C">
        <w:rPr>
          <w:rFonts w:ascii="Garamond" w:hAnsi="Garamond"/>
          <w:sz w:val="28"/>
          <w:szCs w:val="28"/>
        </w:rPr>
        <w:t xml:space="preserve"> </w:t>
      </w:r>
      <w:r w:rsidR="007018BD">
        <w:rPr>
          <w:rFonts w:ascii="Garamond" w:hAnsi="Garamond"/>
          <w:sz w:val="28"/>
          <w:szCs w:val="28"/>
        </w:rPr>
        <w:t>(</w:t>
      </w:r>
      <w:r w:rsidR="00894777" w:rsidRPr="00944A90">
        <w:rPr>
          <w:rFonts w:ascii="Garamond" w:hAnsi="Garamond"/>
          <w:sz w:val="28"/>
          <w:szCs w:val="28"/>
        </w:rPr>
        <w:t xml:space="preserve">ordinanza </w:t>
      </w:r>
      <w:r w:rsidR="00D63E6A" w:rsidRPr="00944A90">
        <w:rPr>
          <w:rFonts w:ascii="Garamond" w:hAnsi="Garamond"/>
          <w:sz w:val="28"/>
          <w:szCs w:val="28"/>
        </w:rPr>
        <w:t xml:space="preserve">13 gennaio </w:t>
      </w:r>
      <w:r w:rsidR="00894777" w:rsidRPr="00944A90">
        <w:rPr>
          <w:rFonts w:ascii="Garamond" w:hAnsi="Garamond"/>
          <w:sz w:val="28"/>
          <w:szCs w:val="28"/>
        </w:rPr>
        <w:t>2020</w:t>
      </w:r>
      <w:r w:rsidR="00D63E6A" w:rsidRPr="00944A90">
        <w:rPr>
          <w:rFonts w:ascii="Garamond" w:hAnsi="Garamond"/>
          <w:sz w:val="28"/>
          <w:szCs w:val="28"/>
        </w:rPr>
        <w:t>, n. 28</w:t>
      </w:r>
      <w:r w:rsidR="008A6806">
        <w:rPr>
          <w:rStyle w:val="Rimandonotaapidipagina"/>
          <w:rFonts w:ascii="Garamond" w:hAnsi="Garamond"/>
          <w:sz w:val="28"/>
          <w:szCs w:val="28"/>
        </w:rPr>
        <w:footnoteReference w:id="21"/>
      </w:r>
      <w:r w:rsidR="007018BD">
        <w:rPr>
          <w:rFonts w:ascii="Garamond" w:hAnsi="Garamond"/>
          <w:sz w:val="28"/>
          <w:szCs w:val="28"/>
        </w:rPr>
        <w:t>)</w:t>
      </w:r>
      <w:r w:rsidR="00974ED8">
        <w:rPr>
          <w:rFonts w:ascii="Garamond" w:hAnsi="Garamond"/>
          <w:sz w:val="28"/>
          <w:szCs w:val="28"/>
        </w:rPr>
        <w:t xml:space="preserve">, infatti, si è chiuso in rito con </w:t>
      </w:r>
      <w:r w:rsidR="00D30F77">
        <w:rPr>
          <w:rFonts w:ascii="Garamond" w:hAnsi="Garamond"/>
          <w:sz w:val="28"/>
          <w:szCs w:val="28"/>
        </w:rPr>
        <w:t>o</w:t>
      </w:r>
      <w:r w:rsidR="00D30F77" w:rsidRPr="00D30F77">
        <w:rPr>
          <w:rFonts w:ascii="Garamond" w:hAnsi="Garamond"/>
          <w:sz w:val="28"/>
          <w:szCs w:val="28"/>
        </w:rPr>
        <w:t xml:space="preserve">rdinanza 28 maggio 2020, </w:t>
      </w:r>
      <w:r w:rsidR="00D30F77" w:rsidRPr="00D30F77">
        <w:rPr>
          <w:rFonts w:ascii="Garamond" w:hAnsi="Garamond"/>
          <w:i/>
          <w:sz w:val="28"/>
          <w:szCs w:val="28"/>
        </w:rPr>
        <w:t>MC c. Ufficio Territoriale del Governo (U.T.G.) – Prefettura di Foggia,</w:t>
      </w:r>
      <w:r w:rsidR="00D30F77" w:rsidRPr="00D30F77">
        <w:rPr>
          <w:rFonts w:ascii="Garamond" w:hAnsi="Garamond"/>
          <w:sz w:val="28"/>
          <w:szCs w:val="28"/>
        </w:rPr>
        <w:t xml:space="preserve"> in C-17/20, nella quale la Corte di Giustizia (Nona Sezione) ha dichiarato manifestamente irricevibile la domanda di pronuncia pregiudiziale in quanto </w:t>
      </w:r>
      <w:r w:rsidR="00D30F77" w:rsidRPr="00D30F77">
        <w:rPr>
          <w:rFonts w:ascii="Garamond" w:hAnsi="Garamond"/>
          <w:i/>
          <w:iCs/>
          <w:sz w:val="28"/>
          <w:szCs w:val="28"/>
        </w:rPr>
        <w:t xml:space="preserve">“il giudice del rinvio non ha dimostrato l’esistenza di un criterio di collegamento tra, da un lato, il diritto dell’Unione e, dall’altro, l’informazione antimafia </w:t>
      </w:r>
      <w:proofErr w:type="spellStart"/>
      <w:r w:rsidR="00D30F77" w:rsidRPr="00D30F77">
        <w:rPr>
          <w:rFonts w:ascii="Garamond" w:hAnsi="Garamond"/>
          <w:i/>
          <w:iCs/>
          <w:sz w:val="28"/>
          <w:szCs w:val="28"/>
        </w:rPr>
        <w:t>interdittiva</w:t>
      </w:r>
      <w:proofErr w:type="spellEnd"/>
      <w:r w:rsidR="00D30F77" w:rsidRPr="00D30F77">
        <w:rPr>
          <w:rFonts w:ascii="Garamond" w:hAnsi="Garamond"/>
          <w:i/>
          <w:iCs/>
          <w:sz w:val="28"/>
          <w:szCs w:val="28"/>
        </w:rPr>
        <w:t xml:space="preserve"> adottata dalla prefettura di Foggia o la decisione del Comune, che ha dato origine all’indagine sfociata nell’adozione di tale informazione, di revocare la concessione di un terreno utilizzato dalla MC per lo svolgimento della sua attività economica</w:t>
      </w:r>
      <w:r w:rsidR="00D2654B">
        <w:rPr>
          <w:rFonts w:ascii="Garamond" w:hAnsi="Garamond"/>
          <w:i/>
          <w:iCs/>
          <w:sz w:val="28"/>
          <w:szCs w:val="28"/>
        </w:rPr>
        <w:t xml:space="preserve">”. </w:t>
      </w:r>
      <w:r w:rsidR="00D2654B" w:rsidRPr="00D2654B">
        <w:rPr>
          <w:rFonts w:ascii="Garamond" w:hAnsi="Garamond"/>
          <w:sz w:val="28"/>
          <w:szCs w:val="28"/>
        </w:rPr>
        <w:t xml:space="preserve">Non </w:t>
      </w:r>
      <w:r w:rsidR="00D2654B">
        <w:rPr>
          <w:rFonts w:ascii="Garamond" w:hAnsi="Garamond"/>
          <w:sz w:val="28"/>
          <w:szCs w:val="28"/>
        </w:rPr>
        <w:t>pare</w:t>
      </w:r>
      <w:r w:rsidR="00D2654B" w:rsidRPr="00D2654B">
        <w:rPr>
          <w:rFonts w:ascii="Garamond" w:hAnsi="Garamond"/>
          <w:sz w:val="28"/>
          <w:szCs w:val="28"/>
        </w:rPr>
        <w:t xml:space="preserve">, tuttavia, irragionevole ipotizzare, sulla scorta dei precedenti resi in fattispecie del tutto simili, che la Corte avrebbe potuto confermare la compatibilità con il sistema dei Trattati e con la normativa </w:t>
      </w:r>
      <w:proofErr w:type="spellStart"/>
      <w:r w:rsidR="00D2654B" w:rsidRPr="00D2654B">
        <w:rPr>
          <w:rFonts w:ascii="Garamond" w:hAnsi="Garamond"/>
          <w:sz w:val="28"/>
          <w:szCs w:val="28"/>
        </w:rPr>
        <w:t>eurounitaria</w:t>
      </w:r>
      <w:proofErr w:type="spellEnd"/>
      <w:r w:rsidR="00D2654B" w:rsidRPr="00D2654B">
        <w:rPr>
          <w:rFonts w:ascii="Garamond" w:hAnsi="Garamond"/>
          <w:sz w:val="28"/>
          <w:szCs w:val="28"/>
        </w:rPr>
        <w:t xml:space="preserve"> del sistema italiano di repressione anticipata del fenomeno criminale di tipo mafioso</w:t>
      </w:r>
      <w:r w:rsidR="00570596" w:rsidRPr="00D2654B">
        <w:rPr>
          <w:rStyle w:val="Rimandonotaapidipagina"/>
          <w:rFonts w:ascii="Garamond" w:hAnsi="Garamond"/>
          <w:sz w:val="28"/>
          <w:szCs w:val="28"/>
        </w:rPr>
        <w:footnoteReference w:id="22"/>
      </w:r>
      <w:r w:rsidR="00222BD4" w:rsidRPr="00D2654B">
        <w:rPr>
          <w:rFonts w:ascii="Garamond" w:hAnsi="Garamond"/>
          <w:sz w:val="28"/>
          <w:szCs w:val="28"/>
        </w:rPr>
        <w:t>.</w:t>
      </w:r>
    </w:p>
    <w:p w:rsidR="00D71E48" w:rsidRDefault="00D71E48" w:rsidP="008000C7">
      <w:pPr>
        <w:ind w:firstLine="340"/>
        <w:jc w:val="both"/>
        <w:rPr>
          <w:rFonts w:ascii="Garamond" w:hAnsi="Garamond"/>
          <w:sz w:val="28"/>
          <w:szCs w:val="28"/>
        </w:rPr>
      </w:pPr>
    </w:p>
    <w:p w:rsidR="00D71E48" w:rsidRDefault="00D71E48" w:rsidP="00D71E48">
      <w:pPr>
        <w:ind w:firstLine="340"/>
        <w:jc w:val="right"/>
        <w:rPr>
          <w:rFonts w:ascii="Garamond" w:hAnsi="Garamond"/>
          <w:sz w:val="28"/>
          <w:szCs w:val="28"/>
        </w:rPr>
      </w:pPr>
      <w:bookmarkStart w:id="0" w:name="_GoBack"/>
      <w:r w:rsidRPr="00D71E48">
        <w:rPr>
          <w:rFonts w:ascii="Garamond" w:hAnsi="Garamond"/>
          <w:sz w:val="28"/>
          <w:szCs w:val="28"/>
        </w:rPr>
        <w:t xml:space="preserve">Federica </w:t>
      </w:r>
      <w:proofErr w:type="spellStart"/>
      <w:r w:rsidRPr="00D71E48">
        <w:rPr>
          <w:rFonts w:ascii="Garamond" w:hAnsi="Garamond"/>
          <w:sz w:val="28"/>
          <w:szCs w:val="28"/>
        </w:rPr>
        <w:t>Sammarco</w:t>
      </w:r>
      <w:proofErr w:type="spellEnd"/>
    </w:p>
    <w:bookmarkEnd w:id="0"/>
    <w:p w:rsidR="00D71E48" w:rsidRDefault="00D71E48" w:rsidP="00D71E4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r>
        <w:rPr>
          <w:rFonts w:ascii="Garamond" w:hAnsi="Garamond"/>
          <w:color w:val="000000" w:themeColor="text1"/>
          <w:sz w:val="28"/>
          <w:szCs w:val="28"/>
        </w:rPr>
        <w:t>Tirocinante presso il Consiglio di Stato</w:t>
      </w:r>
    </w:p>
    <w:p w:rsidR="00D71E48" w:rsidRDefault="00D71E48" w:rsidP="00D71E4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p>
    <w:p w:rsidR="00D71E48" w:rsidRPr="0098446C" w:rsidRDefault="00D71E48" w:rsidP="00D71E4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r>
        <w:rPr>
          <w:rFonts w:ascii="Garamond" w:hAnsi="Garamond"/>
          <w:color w:val="000000" w:themeColor="text1"/>
          <w:sz w:val="28"/>
          <w:szCs w:val="28"/>
        </w:rPr>
        <w:t>Pubblicato il 3 dicembre 2020</w:t>
      </w:r>
    </w:p>
    <w:p w:rsidR="00D71E48" w:rsidRDefault="00D71E48" w:rsidP="00D71E48"/>
    <w:p w:rsidR="00D71E48" w:rsidRPr="00D2654B" w:rsidRDefault="00D71E48" w:rsidP="008000C7">
      <w:pPr>
        <w:ind w:firstLine="340"/>
        <w:jc w:val="both"/>
        <w:rPr>
          <w:rFonts w:ascii="Garamond" w:hAnsi="Garamond"/>
          <w:sz w:val="28"/>
          <w:szCs w:val="28"/>
        </w:rPr>
      </w:pPr>
    </w:p>
    <w:sectPr w:rsidR="00D71E48" w:rsidRPr="00D265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3AC" w:rsidRDefault="00E573AC" w:rsidP="001C4C0C">
      <w:r>
        <w:separator/>
      </w:r>
    </w:p>
  </w:endnote>
  <w:endnote w:type="continuationSeparator" w:id="0">
    <w:p w:rsidR="00E573AC" w:rsidRDefault="00E573AC" w:rsidP="001C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3AC" w:rsidRDefault="00E573AC" w:rsidP="001C4C0C">
      <w:r>
        <w:separator/>
      </w:r>
    </w:p>
  </w:footnote>
  <w:footnote w:type="continuationSeparator" w:id="0">
    <w:p w:rsidR="00E573AC" w:rsidRDefault="00E573AC" w:rsidP="001C4C0C">
      <w:r>
        <w:continuationSeparator/>
      </w:r>
    </w:p>
  </w:footnote>
  <w:footnote w:id="1">
    <w:p w:rsidR="00135529" w:rsidRPr="00944A90" w:rsidRDefault="00135529" w:rsidP="000E1D13">
      <w:pPr>
        <w:pStyle w:val="Testonotaapidipagina"/>
        <w:ind w:firstLine="284"/>
        <w:jc w:val="both"/>
        <w:rPr>
          <w:rFonts w:ascii="Garamond" w:hAnsi="Garamond"/>
          <w:sz w:val="24"/>
          <w:szCs w:val="24"/>
          <w:highlight w:val="yellow"/>
        </w:rPr>
      </w:pPr>
      <w:r>
        <w:rPr>
          <w:rStyle w:val="Rimandonotaapidipagina"/>
        </w:rPr>
        <w:footnoteRef/>
      </w:r>
      <w:r>
        <w:t xml:space="preserve"> </w:t>
      </w:r>
      <w:r w:rsidR="000E1D13" w:rsidRPr="00944A90">
        <w:rPr>
          <w:rFonts w:ascii="Garamond" w:hAnsi="Garamond"/>
          <w:sz w:val="24"/>
          <w:szCs w:val="24"/>
        </w:rPr>
        <w:t xml:space="preserve">Per una ricostruzione </w:t>
      </w:r>
      <w:r w:rsidR="00015225" w:rsidRPr="00944A90">
        <w:rPr>
          <w:rFonts w:ascii="Garamond" w:hAnsi="Garamond"/>
          <w:sz w:val="24"/>
          <w:szCs w:val="24"/>
        </w:rPr>
        <w:t xml:space="preserve">degli istituti partecipativi </w:t>
      </w:r>
      <w:r w:rsidR="000E1D13" w:rsidRPr="00944A90">
        <w:rPr>
          <w:rFonts w:ascii="Garamond" w:hAnsi="Garamond"/>
          <w:sz w:val="24"/>
          <w:szCs w:val="24"/>
        </w:rPr>
        <w:t xml:space="preserve">in termini di </w:t>
      </w:r>
      <w:r w:rsidR="00015225" w:rsidRPr="00944A90">
        <w:rPr>
          <w:rFonts w:ascii="Garamond" w:hAnsi="Garamond"/>
          <w:sz w:val="24"/>
          <w:szCs w:val="24"/>
        </w:rPr>
        <w:t>“</w:t>
      </w:r>
      <w:r w:rsidR="00015225" w:rsidRPr="00944A90">
        <w:rPr>
          <w:rFonts w:ascii="Garamond" w:hAnsi="Garamond"/>
          <w:i/>
          <w:sz w:val="24"/>
          <w:szCs w:val="24"/>
        </w:rPr>
        <w:t>tecnica di diluizione del potere</w:t>
      </w:r>
      <w:r w:rsidR="00015225" w:rsidRPr="00944A90">
        <w:rPr>
          <w:rFonts w:ascii="Garamond" w:hAnsi="Garamond"/>
          <w:sz w:val="24"/>
          <w:szCs w:val="24"/>
        </w:rPr>
        <w:t xml:space="preserve">”, </w:t>
      </w:r>
      <w:r w:rsidR="000E1D13" w:rsidRPr="00944A90">
        <w:rPr>
          <w:rFonts w:ascii="Garamond" w:hAnsi="Garamond"/>
          <w:sz w:val="24"/>
          <w:szCs w:val="24"/>
        </w:rPr>
        <w:t>la quale si compirebbe</w:t>
      </w:r>
      <w:r w:rsidR="00015225" w:rsidRPr="00944A90">
        <w:rPr>
          <w:rFonts w:ascii="Garamond" w:hAnsi="Garamond"/>
          <w:sz w:val="24"/>
          <w:szCs w:val="24"/>
        </w:rPr>
        <w:t xml:space="preserve"> “</w:t>
      </w:r>
      <w:r w:rsidR="00015225" w:rsidRPr="00944A90">
        <w:rPr>
          <w:rFonts w:ascii="Garamond" w:hAnsi="Garamond"/>
          <w:i/>
          <w:iCs/>
          <w:sz w:val="24"/>
          <w:szCs w:val="24"/>
        </w:rPr>
        <w:t>trasformando l’incontro – scontro istantaneo tipico dell’atto singolo, in una situazione di durata ed in un complesso gioco di aspettative e di influenze</w:t>
      </w:r>
      <w:r w:rsidR="00015225" w:rsidRPr="00944A90">
        <w:rPr>
          <w:rFonts w:ascii="Garamond" w:hAnsi="Garamond"/>
          <w:sz w:val="24"/>
          <w:szCs w:val="24"/>
        </w:rPr>
        <w:t xml:space="preserve">”, v. NIGRO </w:t>
      </w:r>
      <w:r w:rsidR="00055374" w:rsidRPr="00944A90">
        <w:rPr>
          <w:rFonts w:ascii="Garamond" w:hAnsi="Garamond"/>
          <w:sz w:val="24"/>
          <w:szCs w:val="24"/>
        </w:rPr>
        <w:t xml:space="preserve">M., </w:t>
      </w:r>
      <w:r w:rsidR="00055374" w:rsidRPr="00944A90">
        <w:rPr>
          <w:rFonts w:ascii="Garamond" w:hAnsi="Garamond"/>
          <w:i/>
          <w:iCs/>
          <w:sz w:val="24"/>
          <w:szCs w:val="24"/>
        </w:rPr>
        <w:t>L’azione dei pubblici poteri. Lineamenti generali</w:t>
      </w:r>
      <w:r w:rsidR="00055374" w:rsidRPr="00944A90">
        <w:rPr>
          <w:rFonts w:ascii="Garamond" w:hAnsi="Garamond"/>
          <w:sz w:val="24"/>
          <w:szCs w:val="24"/>
        </w:rPr>
        <w:t xml:space="preserve">, in </w:t>
      </w:r>
      <w:r w:rsidR="006F08E3" w:rsidRPr="00944A90">
        <w:rPr>
          <w:rFonts w:ascii="Garamond" w:hAnsi="Garamond"/>
          <w:sz w:val="24"/>
          <w:szCs w:val="24"/>
        </w:rPr>
        <w:t>AMATO G., BARBERA A. (</w:t>
      </w:r>
      <w:r w:rsidR="00055374" w:rsidRPr="00944A90">
        <w:rPr>
          <w:rFonts w:ascii="Garamond" w:hAnsi="Garamond"/>
          <w:sz w:val="24"/>
          <w:szCs w:val="24"/>
        </w:rPr>
        <w:t>a cura di</w:t>
      </w:r>
      <w:r w:rsidR="006F08E3" w:rsidRPr="00944A90">
        <w:rPr>
          <w:rFonts w:ascii="Garamond" w:hAnsi="Garamond"/>
          <w:sz w:val="24"/>
          <w:szCs w:val="24"/>
        </w:rPr>
        <w:t>)</w:t>
      </w:r>
      <w:r w:rsidR="00055374" w:rsidRPr="00944A90">
        <w:rPr>
          <w:rFonts w:ascii="Garamond" w:hAnsi="Garamond"/>
          <w:sz w:val="24"/>
          <w:szCs w:val="24"/>
        </w:rPr>
        <w:t>, </w:t>
      </w:r>
      <w:r w:rsidR="00055374" w:rsidRPr="00944A90">
        <w:rPr>
          <w:rFonts w:ascii="Garamond" w:hAnsi="Garamond"/>
          <w:i/>
          <w:iCs/>
          <w:sz w:val="24"/>
          <w:szCs w:val="24"/>
        </w:rPr>
        <w:t>Manuale di diritto pubblico</w:t>
      </w:r>
      <w:r w:rsidR="00055374" w:rsidRPr="00944A90">
        <w:rPr>
          <w:rFonts w:ascii="Garamond" w:hAnsi="Garamond"/>
          <w:sz w:val="24"/>
          <w:szCs w:val="24"/>
        </w:rPr>
        <w:t>, Bologna, 1984, 835.</w:t>
      </w:r>
      <w:r w:rsidR="00C816F5" w:rsidRPr="00944A90">
        <w:rPr>
          <w:rFonts w:ascii="Garamond" w:hAnsi="Garamond"/>
          <w:sz w:val="24"/>
          <w:szCs w:val="24"/>
        </w:rPr>
        <w:t xml:space="preserve"> </w:t>
      </w:r>
    </w:p>
    <w:p w:rsidR="00155091" w:rsidRPr="00944A90" w:rsidRDefault="00155091" w:rsidP="000E1D13">
      <w:pPr>
        <w:pStyle w:val="Testonotaapidipagina"/>
        <w:ind w:firstLine="284"/>
        <w:jc w:val="both"/>
        <w:rPr>
          <w:rFonts w:ascii="Garamond" w:hAnsi="Garamond"/>
          <w:sz w:val="24"/>
          <w:szCs w:val="24"/>
          <w:highlight w:val="yellow"/>
        </w:rPr>
      </w:pPr>
      <w:r w:rsidRPr="00944A90">
        <w:rPr>
          <w:rFonts w:ascii="Garamond" w:hAnsi="Garamond"/>
          <w:sz w:val="24"/>
          <w:szCs w:val="24"/>
        </w:rPr>
        <w:t>La partecipazione diviene, quindi, il metro con cui misurare la qualità del rapporto che lega l’amministrazione ai cittadini, all’interno del rapporto “</w:t>
      </w:r>
      <w:r w:rsidRPr="00944A90">
        <w:rPr>
          <w:rFonts w:ascii="Garamond" w:hAnsi="Garamond"/>
          <w:i/>
          <w:sz w:val="24"/>
          <w:szCs w:val="24"/>
        </w:rPr>
        <w:t>legittimazione-consenso-legittimità, dove la legittimità dell’atto è il risultato non solo dell’uso del potere da parte delle autorità […] ma anche dell’intervento da parte del cittadino nell’esercizio della funzione (consenso)</w:t>
      </w:r>
      <w:r w:rsidRPr="00944A90">
        <w:rPr>
          <w:rFonts w:ascii="Garamond" w:hAnsi="Garamond"/>
          <w:sz w:val="24"/>
          <w:szCs w:val="24"/>
        </w:rPr>
        <w:t xml:space="preserve">”: così, </w:t>
      </w:r>
      <w:r w:rsidR="00E778CC" w:rsidRPr="00944A90">
        <w:rPr>
          <w:rFonts w:ascii="Garamond" w:hAnsi="Garamond"/>
          <w:sz w:val="24"/>
          <w:szCs w:val="24"/>
        </w:rPr>
        <w:t>BENVENUTI</w:t>
      </w:r>
      <w:r w:rsidRPr="00944A90">
        <w:rPr>
          <w:rFonts w:ascii="Garamond" w:hAnsi="Garamond"/>
          <w:sz w:val="24"/>
          <w:szCs w:val="24"/>
        </w:rPr>
        <w:t xml:space="preserve"> F., </w:t>
      </w:r>
      <w:r w:rsidRPr="00944A90">
        <w:rPr>
          <w:rFonts w:ascii="Garamond" w:hAnsi="Garamond"/>
          <w:i/>
          <w:iCs/>
          <w:sz w:val="24"/>
          <w:szCs w:val="24"/>
        </w:rPr>
        <w:t>Il nuovo cittadino. Tra libertà garantita e libertà attiva</w:t>
      </w:r>
      <w:r w:rsidRPr="00944A90">
        <w:rPr>
          <w:rFonts w:ascii="Garamond" w:hAnsi="Garamond"/>
          <w:sz w:val="24"/>
          <w:szCs w:val="24"/>
        </w:rPr>
        <w:t>, Venezia, 1994, 103</w:t>
      </w:r>
      <w:r w:rsidR="003C58F2" w:rsidRPr="00944A90">
        <w:rPr>
          <w:rFonts w:ascii="Garamond" w:hAnsi="Garamond"/>
          <w:sz w:val="24"/>
          <w:szCs w:val="24"/>
        </w:rPr>
        <w:t xml:space="preserve">; cfr. anche GIANNINI M. S., </w:t>
      </w:r>
      <w:r w:rsidR="003C58F2" w:rsidRPr="00944A90">
        <w:rPr>
          <w:rFonts w:ascii="Garamond" w:hAnsi="Garamond"/>
          <w:i/>
          <w:sz w:val="24"/>
          <w:szCs w:val="24"/>
        </w:rPr>
        <w:t>Lezioni di diritto amministrativo</w:t>
      </w:r>
      <w:r w:rsidR="006F08E3" w:rsidRPr="00944A90">
        <w:rPr>
          <w:rFonts w:ascii="Garamond" w:hAnsi="Garamond"/>
          <w:sz w:val="24"/>
          <w:szCs w:val="24"/>
        </w:rPr>
        <w:t xml:space="preserve">, Milano, 1960, </w:t>
      </w:r>
      <w:r w:rsidR="003C58F2" w:rsidRPr="00944A90">
        <w:rPr>
          <w:rFonts w:ascii="Garamond" w:hAnsi="Garamond"/>
          <w:sz w:val="24"/>
          <w:szCs w:val="24"/>
        </w:rPr>
        <w:t>75.</w:t>
      </w:r>
    </w:p>
    <w:p w:rsidR="00D936EB" w:rsidRPr="00944A90" w:rsidRDefault="000E1D13" w:rsidP="000E1D13">
      <w:pPr>
        <w:pStyle w:val="Testonotaapidipagina"/>
        <w:ind w:firstLine="284"/>
        <w:jc w:val="both"/>
        <w:rPr>
          <w:rFonts w:ascii="Garamond" w:hAnsi="Garamond"/>
          <w:sz w:val="24"/>
          <w:szCs w:val="24"/>
        </w:rPr>
      </w:pPr>
      <w:r w:rsidRPr="00944A90">
        <w:rPr>
          <w:rFonts w:ascii="Garamond" w:hAnsi="Garamond"/>
          <w:sz w:val="24"/>
          <w:szCs w:val="24"/>
        </w:rPr>
        <w:t>Sul punto, cfr.</w:t>
      </w:r>
      <w:r w:rsidR="00155091" w:rsidRPr="00944A90">
        <w:rPr>
          <w:rFonts w:ascii="Garamond" w:hAnsi="Garamond"/>
          <w:sz w:val="24"/>
          <w:szCs w:val="24"/>
        </w:rPr>
        <w:t xml:space="preserve"> anche</w:t>
      </w:r>
      <w:r w:rsidR="00C816F5" w:rsidRPr="00944A90">
        <w:rPr>
          <w:rFonts w:ascii="Garamond" w:hAnsi="Garamond"/>
          <w:sz w:val="24"/>
          <w:szCs w:val="24"/>
        </w:rPr>
        <w:t xml:space="preserve"> </w:t>
      </w:r>
      <w:r w:rsidR="00D936EB" w:rsidRPr="00944A90">
        <w:rPr>
          <w:rFonts w:ascii="Garamond" w:hAnsi="Garamond"/>
          <w:sz w:val="24"/>
          <w:szCs w:val="24"/>
        </w:rPr>
        <w:t xml:space="preserve">Cons. St., Ad. </w:t>
      </w:r>
      <w:proofErr w:type="spellStart"/>
      <w:r w:rsidR="00D936EB" w:rsidRPr="00944A90">
        <w:rPr>
          <w:rFonts w:ascii="Garamond" w:hAnsi="Garamond"/>
          <w:sz w:val="24"/>
          <w:szCs w:val="24"/>
        </w:rPr>
        <w:t>Plen</w:t>
      </w:r>
      <w:proofErr w:type="spellEnd"/>
      <w:r w:rsidR="00D936EB" w:rsidRPr="00944A90">
        <w:rPr>
          <w:rFonts w:ascii="Garamond" w:hAnsi="Garamond"/>
          <w:sz w:val="24"/>
          <w:szCs w:val="24"/>
        </w:rPr>
        <w:t>., 15 settembre 1999, n. 14</w:t>
      </w:r>
      <w:r w:rsidR="00131C6F" w:rsidRPr="00944A90">
        <w:rPr>
          <w:rFonts w:ascii="Garamond" w:hAnsi="Garamond"/>
          <w:sz w:val="24"/>
          <w:szCs w:val="24"/>
        </w:rPr>
        <w:t>:</w:t>
      </w:r>
      <w:r w:rsidR="00D936EB" w:rsidRPr="00944A90">
        <w:rPr>
          <w:rFonts w:ascii="Garamond" w:hAnsi="Garamond"/>
          <w:sz w:val="24"/>
          <w:szCs w:val="24"/>
        </w:rPr>
        <w:t xml:space="preserve"> “</w:t>
      </w:r>
      <w:r w:rsidR="00131C6F" w:rsidRPr="00944A90">
        <w:rPr>
          <w:rFonts w:ascii="Garamond" w:hAnsi="Garamond"/>
          <w:i/>
          <w:sz w:val="24"/>
          <w:szCs w:val="24"/>
        </w:rPr>
        <w:t>Alla prassi della definizione unilaterale del pubblico interesse, oggetto, nei confronti dei destinatari di provvedimenti restrittivi, di un riserbo </w:t>
      </w:r>
      <w:r w:rsidR="00131C6F" w:rsidRPr="00944A90">
        <w:rPr>
          <w:rFonts w:ascii="Garamond" w:hAnsi="Garamond"/>
          <w:iCs/>
          <w:sz w:val="24"/>
          <w:szCs w:val="24"/>
        </w:rPr>
        <w:t xml:space="preserve">ad </w:t>
      </w:r>
      <w:proofErr w:type="spellStart"/>
      <w:r w:rsidR="00131C6F" w:rsidRPr="00944A90">
        <w:rPr>
          <w:rFonts w:ascii="Garamond" w:hAnsi="Garamond"/>
          <w:iCs/>
          <w:sz w:val="24"/>
          <w:szCs w:val="24"/>
        </w:rPr>
        <w:t>excludendum</w:t>
      </w:r>
      <w:proofErr w:type="spellEnd"/>
      <w:r w:rsidR="00131C6F" w:rsidRPr="00944A90">
        <w:rPr>
          <w:rFonts w:ascii="Garamond" w:hAnsi="Garamond"/>
          <w:i/>
          <w:sz w:val="24"/>
          <w:szCs w:val="24"/>
        </w:rPr>
        <w:t xml:space="preserve"> già ostilmente preordinato a rendere impossibile o sommamente difficile la tutela giurisdizionale, subentra così </w:t>
      </w:r>
      <w:r w:rsidR="00D936EB" w:rsidRPr="00944A90">
        <w:rPr>
          <w:rFonts w:ascii="Garamond" w:hAnsi="Garamond"/>
          <w:i/>
          <w:sz w:val="24"/>
          <w:szCs w:val="24"/>
        </w:rPr>
        <w:t>il sistema della democraticità delle decisioni e della accessibilità dei documenti amministrativi, in cui l’adeguatezza dell’istruttoria si valuta anzitutto nella misura in cui i destinatari sono stati messi in misura di contraddire</w:t>
      </w:r>
      <w:r w:rsidR="00D936EB" w:rsidRPr="00944A90">
        <w:rPr>
          <w:rFonts w:ascii="Garamond" w:hAnsi="Garamond"/>
          <w:sz w:val="24"/>
          <w:szCs w:val="24"/>
        </w:rPr>
        <w:t>”.</w:t>
      </w:r>
    </w:p>
  </w:footnote>
  <w:footnote w:id="2">
    <w:p w:rsidR="00710CA0" w:rsidRPr="00944A90" w:rsidRDefault="00710CA0" w:rsidP="00710CA0">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In particolare, la partecipazione </w:t>
      </w:r>
      <w:r w:rsidRPr="00944A90">
        <w:rPr>
          <w:rFonts w:ascii="Garamond" w:hAnsi="Garamond"/>
          <w:i/>
          <w:iCs/>
          <w:sz w:val="24"/>
          <w:szCs w:val="24"/>
        </w:rPr>
        <w:t>“ha innestato nell’attività amministrativa un elemento di riqualificazione di grande rilievo civile, consistente nell’introduzione nel procedimento amministrativo della cultu</w:t>
      </w:r>
      <w:r w:rsidR="000D36E9" w:rsidRPr="00944A90">
        <w:rPr>
          <w:rFonts w:ascii="Garamond" w:hAnsi="Garamond"/>
          <w:i/>
          <w:iCs/>
          <w:sz w:val="24"/>
          <w:szCs w:val="24"/>
        </w:rPr>
        <w:t>ra della dialettica processuale</w:t>
      </w:r>
      <w:r w:rsidRPr="00944A90">
        <w:rPr>
          <w:rFonts w:ascii="Garamond" w:hAnsi="Garamond"/>
          <w:i/>
          <w:iCs/>
          <w:sz w:val="24"/>
          <w:szCs w:val="24"/>
        </w:rPr>
        <w:t>”</w:t>
      </w:r>
      <w:r w:rsidRPr="00944A90">
        <w:rPr>
          <w:rFonts w:ascii="Garamond" w:hAnsi="Garamond"/>
          <w:sz w:val="24"/>
          <w:szCs w:val="24"/>
        </w:rPr>
        <w:t xml:space="preserve"> (Cons. Stato, </w:t>
      </w:r>
      <w:proofErr w:type="spellStart"/>
      <w:r w:rsidR="003A1912">
        <w:rPr>
          <w:rFonts w:ascii="Garamond" w:hAnsi="Garamond"/>
          <w:sz w:val="24"/>
          <w:szCs w:val="24"/>
        </w:rPr>
        <w:t>Sez.</w:t>
      </w:r>
      <w:r w:rsidRPr="00944A90">
        <w:rPr>
          <w:rFonts w:ascii="Garamond" w:hAnsi="Garamond"/>
          <w:sz w:val="24"/>
          <w:szCs w:val="24"/>
        </w:rPr>
        <w:t>I</w:t>
      </w:r>
      <w:proofErr w:type="spellEnd"/>
      <w:r w:rsidRPr="00944A90">
        <w:rPr>
          <w:rFonts w:ascii="Garamond" w:hAnsi="Garamond"/>
          <w:sz w:val="24"/>
          <w:szCs w:val="24"/>
        </w:rPr>
        <w:t xml:space="preserve">, 5 aprile 2000, n. 286; id., </w:t>
      </w:r>
      <w:proofErr w:type="spellStart"/>
      <w:r w:rsidR="003A1912">
        <w:rPr>
          <w:rFonts w:ascii="Garamond" w:hAnsi="Garamond"/>
          <w:sz w:val="24"/>
          <w:szCs w:val="24"/>
        </w:rPr>
        <w:t>Sez.</w:t>
      </w:r>
      <w:r w:rsidRPr="00944A90">
        <w:rPr>
          <w:rFonts w:ascii="Garamond" w:hAnsi="Garamond"/>
          <w:sz w:val="24"/>
          <w:szCs w:val="24"/>
        </w:rPr>
        <w:t>V</w:t>
      </w:r>
      <w:proofErr w:type="spellEnd"/>
      <w:r w:rsidRPr="00944A90">
        <w:rPr>
          <w:rFonts w:ascii="Garamond" w:hAnsi="Garamond"/>
          <w:sz w:val="24"/>
          <w:szCs w:val="24"/>
        </w:rPr>
        <w:t xml:space="preserve">, 27 gennaio 2000, n. 383). In termini, Cons. St., Ad. </w:t>
      </w:r>
      <w:proofErr w:type="spellStart"/>
      <w:r w:rsidRPr="00944A90">
        <w:rPr>
          <w:rFonts w:ascii="Garamond" w:hAnsi="Garamond"/>
          <w:sz w:val="24"/>
          <w:szCs w:val="24"/>
        </w:rPr>
        <w:t>Plen</w:t>
      </w:r>
      <w:proofErr w:type="spellEnd"/>
      <w:r w:rsidRPr="00944A90">
        <w:rPr>
          <w:rFonts w:ascii="Garamond" w:hAnsi="Garamond"/>
          <w:sz w:val="24"/>
          <w:szCs w:val="24"/>
        </w:rPr>
        <w:t>., 15 settembre 1999</w:t>
      </w:r>
      <w:r w:rsidR="0004799F">
        <w:rPr>
          <w:rFonts w:ascii="Garamond" w:hAnsi="Garamond"/>
          <w:sz w:val="24"/>
          <w:szCs w:val="24"/>
        </w:rPr>
        <w:t>,</w:t>
      </w:r>
      <w:r w:rsidRPr="00944A90">
        <w:rPr>
          <w:rFonts w:ascii="Garamond" w:hAnsi="Garamond"/>
          <w:sz w:val="24"/>
          <w:szCs w:val="24"/>
        </w:rPr>
        <w:t xml:space="preserve"> n. 14, cit. </w:t>
      </w:r>
    </w:p>
    <w:p w:rsidR="00710CA0" w:rsidRPr="00944A90" w:rsidRDefault="00710CA0" w:rsidP="00710CA0">
      <w:pPr>
        <w:pStyle w:val="Testonotaapidipagina"/>
        <w:jc w:val="both"/>
        <w:rPr>
          <w:rFonts w:ascii="Garamond" w:hAnsi="Garamond"/>
          <w:sz w:val="24"/>
          <w:szCs w:val="24"/>
        </w:rPr>
      </w:pPr>
      <w:r w:rsidRPr="00944A90">
        <w:rPr>
          <w:rFonts w:ascii="Garamond" w:hAnsi="Garamond"/>
          <w:sz w:val="24"/>
          <w:szCs w:val="24"/>
        </w:rPr>
        <w:t xml:space="preserve">Per un confronto delle tesi, formalista e sostanzialista, formatesi sull’istituto in parola: cfr. Cons. St., </w:t>
      </w:r>
      <w:proofErr w:type="spellStart"/>
      <w:r w:rsidR="003A1912">
        <w:rPr>
          <w:rFonts w:ascii="Garamond" w:hAnsi="Garamond"/>
          <w:sz w:val="24"/>
          <w:szCs w:val="24"/>
        </w:rPr>
        <w:t>Sez.</w:t>
      </w:r>
      <w:r w:rsidRPr="00944A90">
        <w:rPr>
          <w:rFonts w:ascii="Garamond" w:hAnsi="Garamond"/>
          <w:sz w:val="24"/>
          <w:szCs w:val="24"/>
        </w:rPr>
        <w:t>IV</w:t>
      </w:r>
      <w:proofErr w:type="spellEnd"/>
      <w:r w:rsidRPr="00944A90">
        <w:rPr>
          <w:rFonts w:ascii="Garamond" w:hAnsi="Garamond"/>
          <w:sz w:val="24"/>
          <w:szCs w:val="24"/>
        </w:rPr>
        <w:t xml:space="preserve">, 17 settembre 2012, n. 4925; id., </w:t>
      </w:r>
      <w:r w:rsidR="003A1912">
        <w:rPr>
          <w:rFonts w:ascii="Garamond" w:hAnsi="Garamond"/>
          <w:sz w:val="24"/>
          <w:szCs w:val="24"/>
        </w:rPr>
        <w:t>Sez.</w:t>
      </w:r>
      <w:r w:rsidRPr="00944A90">
        <w:rPr>
          <w:rFonts w:ascii="Garamond" w:hAnsi="Garamond"/>
          <w:sz w:val="24"/>
          <w:szCs w:val="24"/>
        </w:rPr>
        <w:t>VI</w:t>
      </w:r>
      <w:r w:rsidR="000D36E9" w:rsidRPr="00944A90">
        <w:rPr>
          <w:rFonts w:ascii="Garamond" w:hAnsi="Garamond"/>
          <w:sz w:val="24"/>
          <w:szCs w:val="24"/>
        </w:rPr>
        <w:t xml:space="preserve">, </w:t>
      </w:r>
      <w:r w:rsidR="00916FDE">
        <w:rPr>
          <w:rFonts w:ascii="Garamond" w:hAnsi="Garamond"/>
          <w:sz w:val="24"/>
          <w:szCs w:val="24"/>
        </w:rPr>
        <w:t>8</w:t>
      </w:r>
      <w:r w:rsidR="000D36E9" w:rsidRPr="00944A90">
        <w:rPr>
          <w:rFonts w:ascii="Garamond" w:hAnsi="Garamond"/>
          <w:sz w:val="24"/>
          <w:szCs w:val="24"/>
        </w:rPr>
        <w:t xml:space="preserve"> giugno 2010, n. 3624; Tar</w:t>
      </w:r>
      <w:r w:rsidRPr="00944A90">
        <w:rPr>
          <w:rFonts w:ascii="Garamond" w:hAnsi="Garamond"/>
          <w:sz w:val="24"/>
          <w:szCs w:val="24"/>
        </w:rPr>
        <w:t xml:space="preserve"> Sardegna, </w:t>
      </w:r>
      <w:proofErr w:type="spellStart"/>
      <w:r w:rsidR="003A1912">
        <w:rPr>
          <w:rFonts w:ascii="Garamond" w:hAnsi="Garamond"/>
          <w:sz w:val="24"/>
          <w:szCs w:val="24"/>
        </w:rPr>
        <w:t>Sez.</w:t>
      </w:r>
      <w:r w:rsidRPr="00944A90">
        <w:rPr>
          <w:rFonts w:ascii="Garamond" w:hAnsi="Garamond"/>
          <w:sz w:val="24"/>
          <w:szCs w:val="24"/>
        </w:rPr>
        <w:t>I</w:t>
      </w:r>
      <w:r w:rsidR="000D36E9" w:rsidRPr="00944A90">
        <w:rPr>
          <w:rFonts w:ascii="Garamond" w:hAnsi="Garamond"/>
          <w:sz w:val="24"/>
          <w:szCs w:val="24"/>
        </w:rPr>
        <w:t>I</w:t>
      </w:r>
      <w:proofErr w:type="spellEnd"/>
      <w:r w:rsidR="000D36E9" w:rsidRPr="00944A90">
        <w:rPr>
          <w:rFonts w:ascii="Garamond" w:hAnsi="Garamond"/>
          <w:sz w:val="24"/>
          <w:szCs w:val="24"/>
        </w:rPr>
        <w:t xml:space="preserve">, 14 dicembre 2010, n. 2686; Tar </w:t>
      </w:r>
      <w:r w:rsidRPr="00944A90">
        <w:rPr>
          <w:rFonts w:ascii="Garamond" w:hAnsi="Garamond"/>
          <w:sz w:val="24"/>
          <w:szCs w:val="24"/>
        </w:rPr>
        <w:t xml:space="preserve">Calabria, </w:t>
      </w:r>
      <w:proofErr w:type="spellStart"/>
      <w:r w:rsidR="003A1912">
        <w:rPr>
          <w:rFonts w:ascii="Garamond" w:hAnsi="Garamond"/>
          <w:sz w:val="24"/>
          <w:szCs w:val="24"/>
        </w:rPr>
        <w:t>Sez.</w:t>
      </w:r>
      <w:r w:rsidRPr="00944A90">
        <w:rPr>
          <w:rFonts w:ascii="Garamond" w:hAnsi="Garamond"/>
          <w:sz w:val="24"/>
          <w:szCs w:val="24"/>
        </w:rPr>
        <w:t>I</w:t>
      </w:r>
      <w:proofErr w:type="spellEnd"/>
      <w:r w:rsidRPr="00944A90">
        <w:rPr>
          <w:rFonts w:ascii="Garamond" w:hAnsi="Garamond"/>
          <w:sz w:val="24"/>
          <w:szCs w:val="24"/>
        </w:rPr>
        <w:t xml:space="preserve">, 14 giugno 2010, n. 1148, tutte in </w:t>
      </w:r>
      <w:r w:rsidRPr="00944A90">
        <w:rPr>
          <w:rFonts w:ascii="Garamond" w:hAnsi="Garamond"/>
          <w:i/>
          <w:sz w:val="24"/>
          <w:szCs w:val="24"/>
        </w:rPr>
        <w:t>www.giustizia-amministrativa.it.</w:t>
      </w:r>
    </w:p>
  </w:footnote>
  <w:footnote w:id="3">
    <w:p w:rsidR="00015225" w:rsidRPr="00944A90" w:rsidRDefault="00015225" w:rsidP="000E1D13">
      <w:pPr>
        <w:pStyle w:val="Testonotaapidipagina"/>
        <w:ind w:firstLine="284"/>
        <w:jc w:val="both"/>
        <w:rPr>
          <w:rFonts w:ascii="Garamond" w:hAnsi="Garamond"/>
          <w:i/>
          <w:iCs/>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Sul legame tra </w:t>
      </w:r>
      <w:r w:rsidR="00155091" w:rsidRPr="00944A90">
        <w:rPr>
          <w:rFonts w:ascii="Garamond" w:hAnsi="Garamond"/>
          <w:sz w:val="24"/>
          <w:szCs w:val="24"/>
        </w:rPr>
        <w:t>partecipazione ed attuazione del principio</w:t>
      </w:r>
      <w:r w:rsidRPr="00944A90">
        <w:rPr>
          <w:rFonts w:ascii="Garamond" w:hAnsi="Garamond"/>
          <w:sz w:val="24"/>
          <w:szCs w:val="24"/>
        </w:rPr>
        <w:t xml:space="preserve"> del giust</w:t>
      </w:r>
      <w:r w:rsidR="00D936EB" w:rsidRPr="00944A90">
        <w:rPr>
          <w:rFonts w:ascii="Garamond" w:hAnsi="Garamond"/>
          <w:sz w:val="24"/>
          <w:szCs w:val="24"/>
        </w:rPr>
        <w:t xml:space="preserve">o procedimento, </w:t>
      </w:r>
      <w:r w:rsidR="00155091" w:rsidRPr="00944A90">
        <w:rPr>
          <w:rFonts w:ascii="Garamond" w:hAnsi="Garamond"/>
          <w:sz w:val="24"/>
          <w:szCs w:val="24"/>
        </w:rPr>
        <w:t xml:space="preserve">nonché dei canoni di imparzialità e buon andamento </w:t>
      </w:r>
      <w:r w:rsidR="00155091" w:rsidRPr="00944A90">
        <w:rPr>
          <w:rFonts w:ascii="Garamond" w:hAnsi="Garamond"/>
          <w:i/>
          <w:sz w:val="24"/>
          <w:szCs w:val="24"/>
        </w:rPr>
        <w:t>ex</w:t>
      </w:r>
      <w:r w:rsidR="00155091" w:rsidRPr="00944A90">
        <w:rPr>
          <w:rFonts w:ascii="Garamond" w:hAnsi="Garamond"/>
          <w:sz w:val="24"/>
          <w:szCs w:val="24"/>
        </w:rPr>
        <w:t xml:space="preserve"> art. 97 Cost., </w:t>
      </w:r>
      <w:r w:rsidR="00D936EB" w:rsidRPr="00944A90">
        <w:rPr>
          <w:rFonts w:ascii="Garamond" w:hAnsi="Garamond"/>
          <w:sz w:val="24"/>
          <w:szCs w:val="24"/>
        </w:rPr>
        <w:t xml:space="preserve">v. </w:t>
      </w:r>
      <w:r w:rsidR="00155091" w:rsidRPr="00944A90">
        <w:rPr>
          <w:rFonts w:ascii="Garamond" w:hAnsi="Garamond"/>
          <w:sz w:val="24"/>
          <w:szCs w:val="24"/>
        </w:rPr>
        <w:t xml:space="preserve">Cons. </w:t>
      </w:r>
      <w:r w:rsidR="00E01766" w:rsidRPr="00944A90">
        <w:rPr>
          <w:rFonts w:ascii="Garamond" w:hAnsi="Garamond"/>
          <w:sz w:val="24"/>
          <w:szCs w:val="24"/>
        </w:rPr>
        <w:t xml:space="preserve">St., </w:t>
      </w:r>
      <w:r w:rsidR="003A1912">
        <w:rPr>
          <w:rFonts w:ascii="Garamond" w:hAnsi="Garamond"/>
          <w:sz w:val="24"/>
          <w:szCs w:val="24"/>
        </w:rPr>
        <w:t xml:space="preserve">Sez. </w:t>
      </w:r>
      <w:r w:rsidR="00155091" w:rsidRPr="00944A90">
        <w:rPr>
          <w:rFonts w:ascii="Garamond" w:hAnsi="Garamond"/>
          <w:sz w:val="24"/>
          <w:szCs w:val="24"/>
        </w:rPr>
        <w:t>IV, 25 settembre 1998, n. 569</w:t>
      </w:r>
      <w:r w:rsidR="00E01766" w:rsidRPr="00944A90">
        <w:rPr>
          <w:rFonts w:ascii="Garamond" w:hAnsi="Garamond"/>
          <w:sz w:val="24"/>
          <w:szCs w:val="24"/>
        </w:rPr>
        <w:t xml:space="preserve">; id., </w:t>
      </w:r>
      <w:proofErr w:type="spellStart"/>
      <w:r w:rsidR="003A1912">
        <w:rPr>
          <w:rFonts w:ascii="Garamond" w:hAnsi="Garamond"/>
          <w:sz w:val="24"/>
          <w:szCs w:val="24"/>
        </w:rPr>
        <w:t>Sez.</w:t>
      </w:r>
      <w:r w:rsidR="00155091" w:rsidRPr="00944A90">
        <w:rPr>
          <w:rFonts w:ascii="Garamond" w:hAnsi="Garamond"/>
          <w:sz w:val="24"/>
          <w:szCs w:val="24"/>
        </w:rPr>
        <w:t>V</w:t>
      </w:r>
      <w:proofErr w:type="spellEnd"/>
      <w:r w:rsidR="00155091" w:rsidRPr="00944A90">
        <w:rPr>
          <w:rFonts w:ascii="Garamond" w:hAnsi="Garamond"/>
          <w:sz w:val="24"/>
          <w:szCs w:val="24"/>
        </w:rPr>
        <w:t>, 22 maggio 2001, n. 2823</w:t>
      </w:r>
      <w:r w:rsidR="00A8324A" w:rsidRPr="00944A90">
        <w:rPr>
          <w:rFonts w:ascii="Garamond" w:hAnsi="Garamond"/>
          <w:sz w:val="24"/>
          <w:szCs w:val="24"/>
        </w:rPr>
        <w:t xml:space="preserve">, tutte in </w:t>
      </w:r>
      <w:r w:rsidR="00A8324A" w:rsidRPr="00944A90">
        <w:rPr>
          <w:rFonts w:ascii="Garamond" w:hAnsi="Garamond"/>
          <w:i/>
          <w:sz w:val="24"/>
          <w:szCs w:val="24"/>
        </w:rPr>
        <w:t>www.giustizia-amministrativa.it</w:t>
      </w:r>
      <w:r w:rsidR="00155091" w:rsidRPr="00944A90">
        <w:rPr>
          <w:rFonts w:ascii="Garamond" w:hAnsi="Garamond"/>
          <w:sz w:val="24"/>
          <w:szCs w:val="24"/>
        </w:rPr>
        <w:t xml:space="preserve">; </w:t>
      </w:r>
      <w:r w:rsidR="00F34A8C" w:rsidRPr="00944A90">
        <w:rPr>
          <w:rFonts w:ascii="Garamond" w:hAnsi="Garamond"/>
          <w:sz w:val="24"/>
          <w:szCs w:val="24"/>
        </w:rPr>
        <w:t>Tar Sicilia -</w:t>
      </w:r>
      <w:r w:rsidRPr="00944A90">
        <w:rPr>
          <w:rFonts w:ascii="Garamond" w:hAnsi="Garamond"/>
          <w:sz w:val="24"/>
          <w:szCs w:val="24"/>
        </w:rPr>
        <w:t xml:space="preserve"> Catania</w:t>
      </w:r>
      <w:r w:rsidR="00D936EB" w:rsidRPr="00944A90">
        <w:rPr>
          <w:rFonts w:ascii="Garamond" w:hAnsi="Garamond"/>
          <w:sz w:val="24"/>
          <w:szCs w:val="24"/>
        </w:rPr>
        <w:t xml:space="preserve">, 31 gennaio 1994, n. 67, in </w:t>
      </w:r>
      <w:r w:rsidR="00D936EB" w:rsidRPr="00944A90">
        <w:rPr>
          <w:rFonts w:ascii="Garamond" w:hAnsi="Garamond"/>
          <w:i/>
          <w:sz w:val="24"/>
          <w:szCs w:val="24"/>
        </w:rPr>
        <w:t>Foro it</w:t>
      </w:r>
      <w:r w:rsidR="00D936EB" w:rsidRPr="00944A90">
        <w:rPr>
          <w:rFonts w:ascii="Garamond" w:hAnsi="Garamond"/>
          <w:sz w:val="24"/>
          <w:szCs w:val="24"/>
        </w:rPr>
        <w:t>.</w:t>
      </w:r>
      <w:r w:rsidR="00A8324A" w:rsidRPr="00944A90">
        <w:rPr>
          <w:rFonts w:ascii="Garamond" w:hAnsi="Garamond"/>
          <w:sz w:val="24"/>
          <w:szCs w:val="24"/>
        </w:rPr>
        <w:t>,</w:t>
      </w:r>
      <w:r w:rsidR="00D936EB" w:rsidRPr="00944A90">
        <w:rPr>
          <w:rFonts w:ascii="Garamond" w:hAnsi="Garamond"/>
          <w:sz w:val="24"/>
          <w:szCs w:val="24"/>
        </w:rPr>
        <w:t xml:space="preserve"> 1994, III, 448:</w:t>
      </w:r>
      <w:r w:rsidRPr="00944A90">
        <w:rPr>
          <w:rFonts w:ascii="Garamond" w:hAnsi="Garamond"/>
          <w:sz w:val="24"/>
          <w:szCs w:val="24"/>
        </w:rPr>
        <w:t xml:space="preserve"> </w:t>
      </w:r>
      <w:r w:rsidRPr="00944A90">
        <w:rPr>
          <w:rFonts w:ascii="Garamond" w:hAnsi="Garamond"/>
          <w:i/>
          <w:iCs/>
          <w:sz w:val="24"/>
          <w:szCs w:val="24"/>
        </w:rPr>
        <w:t>“</w:t>
      </w:r>
      <w:proofErr w:type="gramStart"/>
      <w:r w:rsidRPr="00944A90">
        <w:rPr>
          <w:rFonts w:ascii="Garamond" w:hAnsi="Garamond"/>
          <w:i/>
          <w:iCs/>
          <w:sz w:val="24"/>
          <w:szCs w:val="24"/>
        </w:rPr>
        <w:t>E’</w:t>
      </w:r>
      <w:proofErr w:type="gramEnd"/>
      <w:r w:rsidRPr="00944A90">
        <w:rPr>
          <w:rFonts w:ascii="Garamond" w:hAnsi="Garamond"/>
          <w:i/>
          <w:iCs/>
          <w:sz w:val="24"/>
          <w:szCs w:val="24"/>
        </w:rPr>
        <w:t xml:space="preserve"> proprio nell’istruttoria </w:t>
      </w:r>
      <w:r w:rsidR="000E1D13" w:rsidRPr="00944A90">
        <w:rPr>
          <w:rFonts w:ascii="Garamond" w:hAnsi="Garamond"/>
          <w:i/>
          <w:iCs/>
          <w:sz w:val="24"/>
          <w:szCs w:val="24"/>
        </w:rPr>
        <w:t xml:space="preserve">che </w:t>
      </w:r>
      <w:r w:rsidRPr="00944A90">
        <w:rPr>
          <w:rFonts w:ascii="Garamond" w:hAnsi="Garamond"/>
          <w:i/>
          <w:iCs/>
          <w:sz w:val="24"/>
          <w:szCs w:val="24"/>
        </w:rPr>
        <w:t>la partecipazione del destinatario dell’atto è, come si è visto, diventata indispensabile. Tale partecipazione denominata “funzionale” costituisce, infatti, uno dei momenti chiave della trasparenza dell’azione amministrativa in quanto grazie a essa il privato prende parte attivamente (con i diritti e le facoltà di cui agli artt. 10 e 11 della legge) alla definizione degli interessi che il provvedimento realizza, prima dell’emanazione del provvedimento stesso. Con la nuova legge avviene in sostanza una “</w:t>
      </w:r>
      <w:proofErr w:type="spellStart"/>
      <w:r w:rsidRPr="00944A90">
        <w:rPr>
          <w:rFonts w:ascii="Garamond" w:hAnsi="Garamond"/>
          <w:i/>
          <w:iCs/>
          <w:sz w:val="24"/>
          <w:szCs w:val="24"/>
        </w:rPr>
        <w:t>giurisdizionalizzazione</w:t>
      </w:r>
      <w:proofErr w:type="spellEnd"/>
      <w:r w:rsidRPr="00944A90">
        <w:rPr>
          <w:rFonts w:ascii="Garamond" w:hAnsi="Garamond"/>
          <w:i/>
          <w:iCs/>
          <w:sz w:val="24"/>
          <w:szCs w:val="24"/>
        </w:rPr>
        <w:t>” del procedimento amministrativo in quanto si introduce l’obbligatorietà del contraddittorio e si realizza quel principio del “giusto</w:t>
      </w:r>
      <w:r w:rsidR="000E1D13" w:rsidRPr="00944A90">
        <w:rPr>
          <w:rFonts w:ascii="Garamond" w:hAnsi="Garamond"/>
          <w:i/>
          <w:iCs/>
          <w:sz w:val="24"/>
          <w:szCs w:val="24"/>
        </w:rPr>
        <w:t xml:space="preserve"> </w:t>
      </w:r>
      <w:r w:rsidRPr="00944A90">
        <w:rPr>
          <w:rFonts w:ascii="Garamond" w:hAnsi="Garamond"/>
          <w:i/>
          <w:iCs/>
          <w:sz w:val="24"/>
          <w:szCs w:val="24"/>
        </w:rPr>
        <w:t>procedimento” desumibile dall’art. 97 Cost. Il principio dell’intervento dei privati, quindi, viene a collegarsi con quello dell’imparzialità e della buona amministrazione</w:t>
      </w:r>
      <w:r w:rsidRPr="00944A90">
        <w:rPr>
          <w:rFonts w:ascii="Garamond" w:hAnsi="Garamond"/>
          <w:sz w:val="24"/>
          <w:szCs w:val="24"/>
        </w:rPr>
        <w:t> </w:t>
      </w:r>
      <w:r w:rsidRPr="00944A90">
        <w:rPr>
          <w:rFonts w:ascii="Garamond" w:hAnsi="Garamond"/>
          <w:i/>
          <w:iCs/>
          <w:sz w:val="24"/>
          <w:szCs w:val="24"/>
        </w:rPr>
        <w:t>previsti espressamente dal citato art. 97 Cost. In definitiva, il procedimento è pur sempre rivolto a soddisfare interessi pubblici, ma nella nuova ottica legislativa l’intervento del privato e l’emersione del suo interesse nel procedimento serve proprio a consentire alla pubblica amministrazione una migliore soddisfazione dell’interesse pubblico attraverso una gestione più razionale e più democratica del potere, così da passare da una amministrazione di tipo monologico ad una di tipo dialogico</w:t>
      </w:r>
      <w:r w:rsidR="00D936EB" w:rsidRPr="00944A90">
        <w:rPr>
          <w:rFonts w:ascii="Garamond" w:hAnsi="Garamond"/>
          <w:i/>
          <w:iCs/>
          <w:sz w:val="24"/>
          <w:szCs w:val="24"/>
        </w:rPr>
        <w:t>”</w:t>
      </w:r>
      <w:r w:rsidRPr="00944A90">
        <w:rPr>
          <w:rFonts w:ascii="Garamond" w:hAnsi="Garamond"/>
          <w:i/>
          <w:iCs/>
          <w:sz w:val="24"/>
          <w:szCs w:val="24"/>
        </w:rPr>
        <w:t>.</w:t>
      </w:r>
    </w:p>
    <w:p w:rsidR="002328CA" w:rsidRPr="00944A90" w:rsidRDefault="003C58F2" w:rsidP="000E1D13">
      <w:pPr>
        <w:pStyle w:val="Testonotaapidipagina"/>
        <w:ind w:firstLine="284"/>
        <w:jc w:val="both"/>
        <w:rPr>
          <w:rFonts w:ascii="Garamond" w:hAnsi="Garamond"/>
          <w:iCs/>
          <w:sz w:val="24"/>
          <w:szCs w:val="24"/>
        </w:rPr>
      </w:pPr>
      <w:r w:rsidRPr="00944A90">
        <w:rPr>
          <w:rFonts w:ascii="Garamond" w:hAnsi="Garamond"/>
          <w:iCs/>
          <w:sz w:val="24"/>
          <w:szCs w:val="24"/>
        </w:rPr>
        <w:t>La Corte Costituzionale</w:t>
      </w:r>
      <w:r w:rsidR="00415EC6" w:rsidRPr="00944A90">
        <w:rPr>
          <w:rFonts w:ascii="Garamond" w:hAnsi="Garamond"/>
          <w:iCs/>
          <w:sz w:val="24"/>
          <w:szCs w:val="24"/>
        </w:rPr>
        <w:t>,</w:t>
      </w:r>
      <w:r w:rsidRPr="00944A90">
        <w:rPr>
          <w:rFonts w:ascii="Garamond" w:hAnsi="Garamond"/>
          <w:i/>
          <w:iCs/>
          <w:sz w:val="24"/>
          <w:szCs w:val="24"/>
        </w:rPr>
        <w:t xml:space="preserve"> </w:t>
      </w:r>
      <w:r w:rsidRPr="00944A90">
        <w:rPr>
          <w:rFonts w:ascii="Garamond" w:hAnsi="Garamond"/>
          <w:iCs/>
          <w:sz w:val="24"/>
          <w:szCs w:val="24"/>
        </w:rPr>
        <w:t xml:space="preserve">sin dalla nota pronuncia n. 13 del </w:t>
      </w:r>
      <w:r w:rsidR="00586CB8" w:rsidRPr="00944A90">
        <w:rPr>
          <w:rFonts w:ascii="Garamond" w:hAnsi="Garamond"/>
          <w:iCs/>
          <w:sz w:val="24"/>
          <w:szCs w:val="24"/>
        </w:rPr>
        <w:t xml:space="preserve">2 marzo </w:t>
      </w:r>
      <w:r w:rsidRPr="00944A90">
        <w:rPr>
          <w:rFonts w:ascii="Garamond" w:hAnsi="Garamond"/>
          <w:iCs/>
          <w:sz w:val="24"/>
          <w:szCs w:val="24"/>
        </w:rPr>
        <w:t xml:space="preserve">1962 (ma v. anche </w:t>
      </w:r>
      <w:proofErr w:type="spellStart"/>
      <w:r w:rsidR="00C06CE6" w:rsidRPr="00944A90">
        <w:rPr>
          <w:rFonts w:ascii="Garamond" w:hAnsi="Garamond"/>
          <w:iCs/>
          <w:sz w:val="24"/>
          <w:szCs w:val="24"/>
        </w:rPr>
        <w:t>sentt</w:t>
      </w:r>
      <w:proofErr w:type="spellEnd"/>
      <w:r w:rsidR="00C06CE6" w:rsidRPr="00944A90">
        <w:rPr>
          <w:rFonts w:ascii="Garamond" w:hAnsi="Garamond"/>
          <w:iCs/>
          <w:sz w:val="24"/>
          <w:szCs w:val="24"/>
        </w:rPr>
        <w:t xml:space="preserve">. 5 del </w:t>
      </w:r>
      <w:r w:rsidR="00586CB8" w:rsidRPr="00944A90">
        <w:rPr>
          <w:rFonts w:ascii="Garamond" w:hAnsi="Garamond"/>
          <w:iCs/>
          <w:sz w:val="24"/>
          <w:szCs w:val="24"/>
        </w:rPr>
        <w:t xml:space="preserve">30 gennaio </w:t>
      </w:r>
      <w:r w:rsidR="00C06CE6" w:rsidRPr="00944A90">
        <w:rPr>
          <w:rFonts w:ascii="Garamond" w:hAnsi="Garamond"/>
          <w:iCs/>
          <w:sz w:val="24"/>
          <w:szCs w:val="24"/>
        </w:rPr>
        <w:t xml:space="preserve">1980, 103 del </w:t>
      </w:r>
      <w:r w:rsidR="00586CB8" w:rsidRPr="00944A90">
        <w:rPr>
          <w:rFonts w:ascii="Garamond" w:hAnsi="Garamond"/>
          <w:iCs/>
          <w:sz w:val="24"/>
          <w:szCs w:val="24"/>
        </w:rPr>
        <w:t xml:space="preserve">19 marzo </w:t>
      </w:r>
      <w:r w:rsidR="00C06CE6" w:rsidRPr="00944A90">
        <w:rPr>
          <w:rFonts w:ascii="Garamond" w:hAnsi="Garamond"/>
          <w:iCs/>
          <w:sz w:val="24"/>
          <w:szCs w:val="24"/>
        </w:rPr>
        <w:t xml:space="preserve">1993, 197 del </w:t>
      </w:r>
      <w:r w:rsidR="00586CB8" w:rsidRPr="00944A90">
        <w:rPr>
          <w:rFonts w:ascii="Garamond" w:hAnsi="Garamond"/>
          <w:iCs/>
          <w:sz w:val="24"/>
          <w:szCs w:val="24"/>
        </w:rPr>
        <w:t xml:space="preserve">26 maggio </w:t>
      </w:r>
      <w:r w:rsidR="00C06CE6" w:rsidRPr="00944A90">
        <w:rPr>
          <w:rFonts w:ascii="Garamond" w:hAnsi="Garamond"/>
          <w:iCs/>
          <w:sz w:val="24"/>
          <w:szCs w:val="24"/>
        </w:rPr>
        <w:t xml:space="preserve">1994, 126 del </w:t>
      </w:r>
      <w:r w:rsidR="00586CB8" w:rsidRPr="00944A90">
        <w:rPr>
          <w:rFonts w:ascii="Garamond" w:hAnsi="Garamond"/>
          <w:iCs/>
          <w:sz w:val="24"/>
          <w:szCs w:val="24"/>
        </w:rPr>
        <w:t xml:space="preserve">14 aprile </w:t>
      </w:r>
      <w:r w:rsidR="00C06CE6" w:rsidRPr="00944A90">
        <w:rPr>
          <w:rFonts w:ascii="Garamond" w:hAnsi="Garamond"/>
          <w:iCs/>
          <w:sz w:val="24"/>
          <w:szCs w:val="24"/>
        </w:rPr>
        <w:t xml:space="preserve">1995, 104 del </w:t>
      </w:r>
      <w:r w:rsidR="00586CB8" w:rsidRPr="00944A90">
        <w:rPr>
          <w:rFonts w:ascii="Garamond" w:hAnsi="Garamond"/>
          <w:iCs/>
          <w:sz w:val="24"/>
          <w:szCs w:val="24"/>
        </w:rPr>
        <w:t xml:space="preserve">23 marzo </w:t>
      </w:r>
      <w:r w:rsidR="00C06CE6" w:rsidRPr="00944A90">
        <w:rPr>
          <w:rFonts w:ascii="Garamond" w:hAnsi="Garamond"/>
          <w:iCs/>
          <w:sz w:val="24"/>
          <w:szCs w:val="24"/>
        </w:rPr>
        <w:t>2007</w:t>
      </w:r>
      <w:r w:rsidR="00030269" w:rsidRPr="00944A90">
        <w:rPr>
          <w:rFonts w:ascii="Garamond" w:hAnsi="Garamond"/>
          <w:iCs/>
          <w:sz w:val="24"/>
          <w:szCs w:val="24"/>
        </w:rPr>
        <w:t xml:space="preserve">, tutte in </w:t>
      </w:r>
      <w:r w:rsidR="00030269" w:rsidRPr="00944A90">
        <w:rPr>
          <w:rFonts w:ascii="Garamond" w:hAnsi="Garamond"/>
          <w:i/>
          <w:iCs/>
          <w:sz w:val="24"/>
          <w:szCs w:val="24"/>
        </w:rPr>
        <w:t>www.cortecostituzionale.it</w:t>
      </w:r>
      <w:r w:rsidR="00C06CE6" w:rsidRPr="00944A90">
        <w:rPr>
          <w:rFonts w:ascii="Garamond" w:hAnsi="Garamond"/>
          <w:iCs/>
          <w:sz w:val="24"/>
          <w:szCs w:val="24"/>
        </w:rPr>
        <w:t>)</w:t>
      </w:r>
      <w:r w:rsidR="00415EC6" w:rsidRPr="00944A90">
        <w:rPr>
          <w:rFonts w:ascii="Garamond" w:hAnsi="Garamond"/>
          <w:iCs/>
          <w:sz w:val="24"/>
          <w:szCs w:val="24"/>
        </w:rPr>
        <w:t>,</w:t>
      </w:r>
      <w:r w:rsidR="00C06CE6" w:rsidRPr="00944A90">
        <w:rPr>
          <w:rFonts w:ascii="Garamond" w:hAnsi="Garamond"/>
          <w:iCs/>
          <w:sz w:val="24"/>
          <w:szCs w:val="24"/>
        </w:rPr>
        <w:t xml:space="preserve"> </w:t>
      </w:r>
      <w:r w:rsidRPr="00944A90">
        <w:rPr>
          <w:rFonts w:ascii="Garamond" w:hAnsi="Garamond"/>
          <w:iCs/>
          <w:sz w:val="24"/>
          <w:szCs w:val="24"/>
        </w:rPr>
        <w:t>ascrive al</w:t>
      </w:r>
      <w:r w:rsidR="00015225" w:rsidRPr="00944A90">
        <w:rPr>
          <w:rFonts w:ascii="Garamond" w:hAnsi="Garamond"/>
          <w:iCs/>
          <w:sz w:val="24"/>
          <w:szCs w:val="24"/>
        </w:rPr>
        <w:t xml:space="preserve"> principio del giusto procedimento </w:t>
      </w:r>
      <w:r w:rsidR="000E1D13" w:rsidRPr="00944A90">
        <w:rPr>
          <w:rFonts w:ascii="Garamond" w:hAnsi="Garamond"/>
          <w:iCs/>
          <w:sz w:val="24"/>
          <w:szCs w:val="24"/>
        </w:rPr>
        <w:t>natura di</w:t>
      </w:r>
      <w:r w:rsidR="00015225" w:rsidRPr="00944A90">
        <w:rPr>
          <w:rFonts w:ascii="Garamond" w:hAnsi="Garamond"/>
          <w:iCs/>
          <w:sz w:val="24"/>
          <w:szCs w:val="24"/>
        </w:rPr>
        <w:t xml:space="preserve"> principio </w:t>
      </w:r>
      <w:r w:rsidR="00131C6F" w:rsidRPr="00944A90">
        <w:rPr>
          <w:rFonts w:ascii="Garamond" w:hAnsi="Garamond"/>
          <w:iCs/>
          <w:sz w:val="24"/>
          <w:szCs w:val="24"/>
        </w:rPr>
        <w:t xml:space="preserve">di carattere </w:t>
      </w:r>
      <w:r w:rsidR="00015225" w:rsidRPr="00944A90">
        <w:rPr>
          <w:rFonts w:ascii="Garamond" w:hAnsi="Garamond"/>
          <w:iCs/>
          <w:sz w:val="24"/>
          <w:szCs w:val="24"/>
        </w:rPr>
        <w:t>generale</w:t>
      </w:r>
      <w:r w:rsidR="000E1D13" w:rsidRPr="00944A90">
        <w:rPr>
          <w:rFonts w:ascii="Garamond" w:hAnsi="Garamond"/>
          <w:iCs/>
          <w:sz w:val="24"/>
          <w:szCs w:val="24"/>
        </w:rPr>
        <w:t>, anche ai fini del riparto di competenze alla l</w:t>
      </w:r>
      <w:r w:rsidRPr="00944A90">
        <w:rPr>
          <w:rFonts w:ascii="Garamond" w:hAnsi="Garamond"/>
          <w:iCs/>
          <w:sz w:val="24"/>
          <w:szCs w:val="24"/>
        </w:rPr>
        <w:t>uce</w:t>
      </w:r>
      <w:r w:rsidR="00550A38" w:rsidRPr="00944A90">
        <w:rPr>
          <w:rFonts w:ascii="Garamond" w:hAnsi="Garamond"/>
          <w:iCs/>
          <w:sz w:val="24"/>
          <w:szCs w:val="24"/>
        </w:rPr>
        <w:t xml:space="preserve"> del novellato art. 117 Cost.</w:t>
      </w:r>
      <w:r w:rsidR="000E1D13" w:rsidRPr="00944A90">
        <w:rPr>
          <w:rFonts w:ascii="Garamond" w:hAnsi="Garamond"/>
          <w:iCs/>
          <w:sz w:val="24"/>
          <w:szCs w:val="24"/>
        </w:rPr>
        <w:t xml:space="preserve"> A tal proposito, è utile sottolineare che l</w:t>
      </w:r>
      <w:r w:rsidR="00607A42" w:rsidRPr="00944A90">
        <w:rPr>
          <w:rFonts w:ascii="Garamond" w:hAnsi="Garamond"/>
          <w:iCs/>
          <w:sz w:val="24"/>
          <w:szCs w:val="24"/>
        </w:rPr>
        <w:t xml:space="preserve">a giurisprudenza ammette la </w:t>
      </w:r>
      <w:r w:rsidR="000E1D13" w:rsidRPr="00944A90">
        <w:rPr>
          <w:rFonts w:ascii="Garamond" w:hAnsi="Garamond"/>
          <w:iCs/>
          <w:sz w:val="24"/>
          <w:szCs w:val="24"/>
        </w:rPr>
        <w:t>possibilità che le normative di settore o gli enti locali, nell’esercizio delle proprie competenze, prevedano forme partecipative ulteriori:</w:t>
      </w:r>
      <w:r w:rsidR="00EA68F2" w:rsidRPr="00944A90">
        <w:rPr>
          <w:rFonts w:ascii="Garamond" w:hAnsi="Garamond"/>
          <w:iCs/>
          <w:sz w:val="24"/>
          <w:szCs w:val="24"/>
        </w:rPr>
        <w:t xml:space="preserve"> conseguentemente</w:t>
      </w:r>
      <w:r w:rsidR="000E1D13" w:rsidRPr="00944A90">
        <w:rPr>
          <w:rFonts w:ascii="Garamond" w:hAnsi="Garamond"/>
          <w:iCs/>
          <w:sz w:val="24"/>
          <w:szCs w:val="24"/>
        </w:rPr>
        <w:t>, la</w:t>
      </w:r>
      <w:r w:rsidR="00C728E1" w:rsidRPr="00944A90">
        <w:rPr>
          <w:rFonts w:ascii="Garamond" w:hAnsi="Garamond"/>
          <w:iCs/>
          <w:sz w:val="24"/>
          <w:szCs w:val="24"/>
        </w:rPr>
        <w:t xml:space="preserve"> L. 7 agosto 19</w:t>
      </w:r>
      <w:r w:rsidR="00EA68F2" w:rsidRPr="00944A90">
        <w:rPr>
          <w:rFonts w:ascii="Garamond" w:hAnsi="Garamond"/>
          <w:iCs/>
          <w:sz w:val="24"/>
          <w:szCs w:val="24"/>
        </w:rPr>
        <w:t>90</w:t>
      </w:r>
      <w:r w:rsidR="00C728E1" w:rsidRPr="00944A90">
        <w:rPr>
          <w:rFonts w:ascii="Garamond" w:hAnsi="Garamond"/>
          <w:iCs/>
          <w:sz w:val="24"/>
          <w:szCs w:val="24"/>
        </w:rPr>
        <w:t>, n. 241</w:t>
      </w:r>
      <w:r w:rsidR="00514364">
        <w:rPr>
          <w:rFonts w:ascii="Garamond" w:hAnsi="Garamond"/>
          <w:iCs/>
          <w:sz w:val="24"/>
          <w:szCs w:val="24"/>
        </w:rPr>
        <w:t>,</w:t>
      </w:r>
      <w:r w:rsidR="00EA68F2" w:rsidRPr="00944A90">
        <w:rPr>
          <w:rFonts w:ascii="Garamond" w:hAnsi="Garamond"/>
          <w:iCs/>
          <w:sz w:val="24"/>
          <w:szCs w:val="24"/>
        </w:rPr>
        <w:t xml:space="preserve"> </w:t>
      </w:r>
      <w:r w:rsidR="000E1D13" w:rsidRPr="00944A90">
        <w:rPr>
          <w:rFonts w:ascii="Garamond" w:hAnsi="Garamond"/>
          <w:iCs/>
          <w:sz w:val="24"/>
          <w:szCs w:val="24"/>
        </w:rPr>
        <w:t>è assunta quale normativa</w:t>
      </w:r>
      <w:r w:rsidR="00EA68F2" w:rsidRPr="00944A90">
        <w:rPr>
          <w:rFonts w:ascii="Garamond" w:hAnsi="Garamond"/>
          <w:iCs/>
          <w:sz w:val="24"/>
          <w:szCs w:val="24"/>
        </w:rPr>
        <w:t xml:space="preserve"> </w:t>
      </w:r>
      <w:r w:rsidR="000E1D13" w:rsidRPr="00944A90">
        <w:rPr>
          <w:rFonts w:ascii="Garamond" w:hAnsi="Garamond"/>
          <w:i/>
          <w:iCs/>
          <w:sz w:val="24"/>
          <w:szCs w:val="24"/>
        </w:rPr>
        <w:t xml:space="preserve">de </w:t>
      </w:r>
      <w:proofErr w:type="spellStart"/>
      <w:r w:rsidR="000E1D13" w:rsidRPr="00944A90">
        <w:rPr>
          <w:rFonts w:ascii="Garamond" w:hAnsi="Garamond"/>
          <w:i/>
          <w:iCs/>
          <w:sz w:val="24"/>
          <w:szCs w:val="24"/>
        </w:rPr>
        <w:t>minimis</w:t>
      </w:r>
      <w:proofErr w:type="spellEnd"/>
      <w:r w:rsidR="00EA68F2" w:rsidRPr="00944A90">
        <w:rPr>
          <w:rFonts w:ascii="Garamond" w:hAnsi="Garamond"/>
          <w:iCs/>
          <w:sz w:val="24"/>
          <w:szCs w:val="24"/>
        </w:rPr>
        <w:t xml:space="preserve">, </w:t>
      </w:r>
      <w:r w:rsidR="005F5ED2" w:rsidRPr="00944A90">
        <w:rPr>
          <w:rFonts w:ascii="Garamond" w:hAnsi="Garamond"/>
          <w:iCs/>
          <w:sz w:val="24"/>
          <w:szCs w:val="24"/>
        </w:rPr>
        <w:t xml:space="preserve">che si impone all’autonomia normativa degli enti sub-statali ed è derogabile solo </w:t>
      </w:r>
      <w:r w:rsidR="005F5ED2" w:rsidRPr="00944A90">
        <w:rPr>
          <w:rFonts w:ascii="Garamond" w:hAnsi="Garamond"/>
          <w:i/>
          <w:iCs/>
          <w:sz w:val="24"/>
          <w:szCs w:val="24"/>
        </w:rPr>
        <w:t xml:space="preserve">in </w:t>
      </w:r>
      <w:proofErr w:type="spellStart"/>
      <w:r w:rsidR="005F5ED2" w:rsidRPr="00944A90">
        <w:rPr>
          <w:rFonts w:ascii="Garamond" w:hAnsi="Garamond"/>
          <w:i/>
          <w:iCs/>
          <w:sz w:val="24"/>
          <w:szCs w:val="24"/>
        </w:rPr>
        <w:t>melius</w:t>
      </w:r>
      <w:proofErr w:type="spellEnd"/>
      <w:r w:rsidR="005F5ED2" w:rsidRPr="00944A90">
        <w:rPr>
          <w:rFonts w:ascii="Garamond" w:hAnsi="Garamond"/>
          <w:i/>
          <w:iCs/>
          <w:sz w:val="24"/>
          <w:szCs w:val="24"/>
        </w:rPr>
        <w:t xml:space="preserve"> </w:t>
      </w:r>
      <w:r w:rsidR="005F5ED2" w:rsidRPr="00944A90">
        <w:rPr>
          <w:rFonts w:ascii="Garamond" w:hAnsi="Garamond"/>
          <w:iCs/>
          <w:sz w:val="24"/>
          <w:szCs w:val="24"/>
        </w:rPr>
        <w:t>per il cittadino, in</w:t>
      </w:r>
      <w:r w:rsidR="005F5ED2" w:rsidRPr="00944A90">
        <w:rPr>
          <w:rFonts w:ascii="Garamond" w:hAnsi="Garamond"/>
          <w:i/>
          <w:iCs/>
          <w:sz w:val="24"/>
          <w:szCs w:val="24"/>
        </w:rPr>
        <w:t xml:space="preserve"> </w:t>
      </w:r>
      <w:r w:rsidR="005F5ED2" w:rsidRPr="00944A90">
        <w:rPr>
          <w:rFonts w:ascii="Garamond" w:hAnsi="Garamond"/>
          <w:iCs/>
          <w:sz w:val="24"/>
          <w:szCs w:val="24"/>
        </w:rPr>
        <w:t>quanto</w:t>
      </w:r>
      <w:r w:rsidR="005F5ED2" w:rsidRPr="00944A90">
        <w:rPr>
          <w:rFonts w:ascii="Garamond" w:hAnsi="Garamond"/>
          <w:i/>
          <w:iCs/>
          <w:sz w:val="24"/>
          <w:szCs w:val="24"/>
        </w:rPr>
        <w:t xml:space="preserve"> </w:t>
      </w:r>
      <w:r w:rsidR="00EA68F2" w:rsidRPr="00944A90">
        <w:rPr>
          <w:rFonts w:ascii="Garamond" w:hAnsi="Garamond"/>
          <w:iCs/>
          <w:sz w:val="24"/>
          <w:szCs w:val="24"/>
        </w:rPr>
        <w:t>ri</w:t>
      </w:r>
      <w:r w:rsidR="000E1D13" w:rsidRPr="00944A90">
        <w:rPr>
          <w:rFonts w:ascii="Garamond" w:hAnsi="Garamond"/>
          <w:iCs/>
          <w:sz w:val="24"/>
          <w:szCs w:val="24"/>
        </w:rPr>
        <w:t xml:space="preserve">conducibile </w:t>
      </w:r>
      <w:r w:rsidR="00EA68F2" w:rsidRPr="00944A90">
        <w:rPr>
          <w:rFonts w:ascii="Garamond" w:hAnsi="Garamond"/>
          <w:iCs/>
          <w:sz w:val="24"/>
          <w:szCs w:val="24"/>
        </w:rPr>
        <w:t>alla potestà legislativa st</w:t>
      </w:r>
      <w:r w:rsidR="000E1D13" w:rsidRPr="00944A90">
        <w:rPr>
          <w:rFonts w:ascii="Garamond" w:hAnsi="Garamond"/>
          <w:iCs/>
          <w:sz w:val="24"/>
          <w:szCs w:val="24"/>
        </w:rPr>
        <w:t>atale esclusiva in materia di “</w:t>
      </w:r>
      <w:r w:rsidR="00EA68F2" w:rsidRPr="00944A90">
        <w:rPr>
          <w:rFonts w:ascii="Garamond" w:hAnsi="Garamond"/>
          <w:i/>
          <w:iCs/>
          <w:sz w:val="24"/>
          <w:szCs w:val="24"/>
        </w:rPr>
        <w:t xml:space="preserve">determinazione dei livelli essenziali delle prestazioni concernenti i diritti civili e sociali che devono essere garantiti su </w:t>
      </w:r>
      <w:r w:rsidR="000E1D13" w:rsidRPr="00944A90">
        <w:rPr>
          <w:rFonts w:ascii="Garamond" w:hAnsi="Garamond"/>
          <w:i/>
          <w:iCs/>
          <w:sz w:val="24"/>
          <w:szCs w:val="24"/>
        </w:rPr>
        <w:t>tutto il territorio nazionale</w:t>
      </w:r>
      <w:r w:rsidR="000E1D13" w:rsidRPr="00944A90">
        <w:rPr>
          <w:rFonts w:ascii="Garamond" w:hAnsi="Garamond"/>
          <w:iCs/>
          <w:sz w:val="24"/>
          <w:szCs w:val="24"/>
        </w:rPr>
        <w:t>”</w:t>
      </w:r>
      <w:r w:rsidR="00EA68F2" w:rsidRPr="00944A90">
        <w:rPr>
          <w:rFonts w:ascii="Garamond" w:hAnsi="Garamond"/>
          <w:iCs/>
          <w:sz w:val="24"/>
          <w:szCs w:val="24"/>
        </w:rPr>
        <w:t xml:space="preserve">: cfr. </w:t>
      </w:r>
      <w:proofErr w:type="spellStart"/>
      <w:r w:rsidR="00EA68F2" w:rsidRPr="00944A90">
        <w:rPr>
          <w:rFonts w:ascii="Garamond" w:hAnsi="Garamond"/>
          <w:iCs/>
          <w:sz w:val="24"/>
          <w:szCs w:val="24"/>
        </w:rPr>
        <w:t>Cons</w:t>
      </w:r>
      <w:proofErr w:type="spellEnd"/>
      <w:r w:rsidR="00EA68F2" w:rsidRPr="00944A90">
        <w:rPr>
          <w:rFonts w:ascii="Garamond" w:hAnsi="Garamond"/>
          <w:iCs/>
          <w:sz w:val="24"/>
          <w:szCs w:val="24"/>
        </w:rPr>
        <w:t xml:space="preserve"> St., </w:t>
      </w:r>
      <w:proofErr w:type="spellStart"/>
      <w:r w:rsidR="003A1912">
        <w:rPr>
          <w:rFonts w:ascii="Garamond" w:hAnsi="Garamond"/>
          <w:iCs/>
          <w:sz w:val="24"/>
          <w:szCs w:val="24"/>
        </w:rPr>
        <w:t>Sez.</w:t>
      </w:r>
      <w:r w:rsidR="00EA68F2" w:rsidRPr="00944A90">
        <w:rPr>
          <w:rFonts w:ascii="Garamond" w:hAnsi="Garamond"/>
          <w:iCs/>
          <w:sz w:val="24"/>
          <w:szCs w:val="24"/>
        </w:rPr>
        <w:t>V</w:t>
      </w:r>
      <w:proofErr w:type="spellEnd"/>
      <w:r w:rsidR="00EA68F2" w:rsidRPr="00944A90">
        <w:rPr>
          <w:rFonts w:ascii="Garamond" w:hAnsi="Garamond"/>
          <w:iCs/>
          <w:sz w:val="24"/>
          <w:szCs w:val="24"/>
        </w:rPr>
        <w:t xml:space="preserve">, 8 febbraio 2005, n. 342, in </w:t>
      </w:r>
      <w:r w:rsidR="00EA68F2" w:rsidRPr="00944A90">
        <w:rPr>
          <w:rFonts w:ascii="Garamond" w:hAnsi="Garamond"/>
          <w:i/>
          <w:iCs/>
          <w:sz w:val="24"/>
          <w:szCs w:val="24"/>
        </w:rPr>
        <w:t>www.giustamm.it</w:t>
      </w:r>
      <w:r w:rsidR="00EA68F2" w:rsidRPr="00944A90">
        <w:rPr>
          <w:rFonts w:ascii="Garamond" w:hAnsi="Garamond"/>
          <w:iCs/>
          <w:sz w:val="24"/>
          <w:szCs w:val="24"/>
        </w:rPr>
        <w:t>.</w:t>
      </w:r>
      <w:r w:rsidR="002F2917" w:rsidRPr="00944A90">
        <w:rPr>
          <w:rFonts w:ascii="Garamond" w:hAnsi="Garamond"/>
          <w:iCs/>
          <w:sz w:val="24"/>
          <w:szCs w:val="24"/>
        </w:rPr>
        <w:t xml:space="preserve"> </w:t>
      </w:r>
    </w:p>
    <w:p w:rsidR="00607A42" w:rsidRPr="00944A90" w:rsidRDefault="002F2917" w:rsidP="000E1D13">
      <w:pPr>
        <w:pStyle w:val="Testonotaapidipagina"/>
        <w:ind w:firstLine="284"/>
        <w:jc w:val="both"/>
        <w:rPr>
          <w:rFonts w:ascii="Garamond" w:hAnsi="Garamond"/>
          <w:iCs/>
          <w:sz w:val="24"/>
          <w:szCs w:val="24"/>
        </w:rPr>
      </w:pPr>
      <w:r w:rsidRPr="00944A90">
        <w:rPr>
          <w:rFonts w:ascii="Garamond" w:hAnsi="Garamond"/>
          <w:iCs/>
          <w:sz w:val="24"/>
          <w:szCs w:val="24"/>
        </w:rPr>
        <w:t>S</w:t>
      </w:r>
      <w:r w:rsidR="009E1379" w:rsidRPr="00944A90">
        <w:rPr>
          <w:rFonts w:ascii="Garamond" w:hAnsi="Garamond"/>
          <w:iCs/>
          <w:sz w:val="24"/>
          <w:szCs w:val="24"/>
        </w:rPr>
        <w:t>ulla natura di “le</w:t>
      </w:r>
      <w:r w:rsidR="005F5ED2" w:rsidRPr="00944A90">
        <w:rPr>
          <w:rFonts w:ascii="Garamond" w:hAnsi="Garamond"/>
          <w:iCs/>
          <w:sz w:val="24"/>
          <w:szCs w:val="24"/>
        </w:rPr>
        <w:t>g</w:t>
      </w:r>
      <w:r w:rsidR="00C728E1" w:rsidRPr="00944A90">
        <w:rPr>
          <w:rFonts w:ascii="Garamond" w:hAnsi="Garamond"/>
          <w:iCs/>
          <w:sz w:val="24"/>
          <w:szCs w:val="24"/>
        </w:rPr>
        <w:t>ge breve” della L. 7 agosto 19</w:t>
      </w:r>
      <w:r w:rsidR="009E1379" w:rsidRPr="00944A90">
        <w:rPr>
          <w:rFonts w:ascii="Garamond" w:hAnsi="Garamond"/>
          <w:iCs/>
          <w:sz w:val="24"/>
          <w:szCs w:val="24"/>
        </w:rPr>
        <w:t>90</w:t>
      </w:r>
      <w:r w:rsidR="00C728E1" w:rsidRPr="00944A90">
        <w:rPr>
          <w:rFonts w:ascii="Garamond" w:hAnsi="Garamond"/>
          <w:iCs/>
          <w:sz w:val="24"/>
          <w:szCs w:val="24"/>
        </w:rPr>
        <w:t>, n. 241</w:t>
      </w:r>
      <w:r w:rsidR="009E1379" w:rsidRPr="00944A90">
        <w:rPr>
          <w:rFonts w:ascii="Garamond" w:hAnsi="Garamond"/>
          <w:iCs/>
          <w:sz w:val="24"/>
          <w:szCs w:val="24"/>
        </w:rPr>
        <w:t xml:space="preserve">, </w:t>
      </w:r>
      <w:r w:rsidR="005F5ED2" w:rsidRPr="00944A90">
        <w:rPr>
          <w:rFonts w:ascii="Garamond" w:hAnsi="Garamond"/>
          <w:iCs/>
          <w:sz w:val="24"/>
          <w:szCs w:val="24"/>
        </w:rPr>
        <w:t xml:space="preserve">v. anche </w:t>
      </w:r>
      <w:r w:rsidR="009E1379" w:rsidRPr="00944A90">
        <w:rPr>
          <w:rFonts w:ascii="Garamond" w:hAnsi="Garamond"/>
          <w:iCs/>
          <w:sz w:val="24"/>
          <w:szCs w:val="24"/>
        </w:rPr>
        <w:t xml:space="preserve">Cons. St., Ad. </w:t>
      </w:r>
      <w:proofErr w:type="spellStart"/>
      <w:r w:rsidR="009E1379" w:rsidRPr="00944A90">
        <w:rPr>
          <w:rFonts w:ascii="Garamond" w:hAnsi="Garamond"/>
          <w:iCs/>
          <w:sz w:val="24"/>
          <w:szCs w:val="24"/>
        </w:rPr>
        <w:t>Plen</w:t>
      </w:r>
      <w:proofErr w:type="spellEnd"/>
      <w:r w:rsidR="009E1379" w:rsidRPr="00944A90">
        <w:rPr>
          <w:rFonts w:ascii="Garamond" w:hAnsi="Garamond"/>
          <w:iCs/>
          <w:sz w:val="24"/>
          <w:szCs w:val="24"/>
        </w:rPr>
        <w:t xml:space="preserve">., </w:t>
      </w:r>
      <w:r w:rsidR="00CC0D82" w:rsidRPr="00944A90">
        <w:rPr>
          <w:rFonts w:ascii="Garamond" w:hAnsi="Garamond"/>
          <w:iCs/>
          <w:sz w:val="24"/>
          <w:szCs w:val="24"/>
        </w:rPr>
        <w:t>15 settembre</w:t>
      </w:r>
      <w:r w:rsidR="009E1379" w:rsidRPr="00944A90">
        <w:rPr>
          <w:rFonts w:ascii="Garamond" w:hAnsi="Garamond"/>
          <w:iCs/>
          <w:sz w:val="24"/>
          <w:szCs w:val="24"/>
        </w:rPr>
        <w:t xml:space="preserve"> 1999</w:t>
      </w:r>
      <w:r w:rsidR="004A28C5" w:rsidRPr="00944A90">
        <w:rPr>
          <w:rFonts w:ascii="Garamond" w:hAnsi="Garamond"/>
          <w:iCs/>
          <w:sz w:val="24"/>
          <w:szCs w:val="24"/>
        </w:rPr>
        <w:t>,</w:t>
      </w:r>
      <w:r w:rsidR="009E1379" w:rsidRPr="00944A90">
        <w:rPr>
          <w:rFonts w:ascii="Garamond" w:hAnsi="Garamond"/>
          <w:iCs/>
          <w:sz w:val="24"/>
          <w:szCs w:val="24"/>
        </w:rPr>
        <w:t xml:space="preserve"> n. 14</w:t>
      </w:r>
      <w:r w:rsidR="00CC0D82" w:rsidRPr="00944A90">
        <w:rPr>
          <w:rFonts w:ascii="Garamond" w:hAnsi="Garamond"/>
          <w:i/>
          <w:iCs/>
          <w:sz w:val="24"/>
          <w:szCs w:val="24"/>
        </w:rPr>
        <w:t xml:space="preserve">, </w:t>
      </w:r>
      <w:r w:rsidR="00CC0D82" w:rsidRPr="00944A90">
        <w:rPr>
          <w:rFonts w:ascii="Garamond" w:hAnsi="Garamond"/>
          <w:iCs/>
          <w:sz w:val="24"/>
          <w:szCs w:val="24"/>
        </w:rPr>
        <w:t>cit.</w:t>
      </w:r>
    </w:p>
  </w:footnote>
  <w:footnote w:id="4">
    <w:p w:rsidR="00653FC2" w:rsidRPr="00944A90" w:rsidRDefault="00DF3277"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00653FC2" w:rsidRPr="00944A90">
        <w:rPr>
          <w:rFonts w:ascii="Garamond" w:hAnsi="Garamond"/>
          <w:sz w:val="24"/>
          <w:szCs w:val="24"/>
        </w:rPr>
        <w:t xml:space="preserve"> </w:t>
      </w:r>
      <w:r w:rsidR="00C86A93" w:rsidRPr="00944A90">
        <w:rPr>
          <w:rFonts w:ascii="Garamond" w:hAnsi="Garamond"/>
          <w:sz w:val="24"/>
          <w:szCs w:val="24"/>
        </w:rPr>
        <w:t xml:space="preserve">CASSESE S., </w:t>
      </w:r>
      <w:r w:rsidR="00C86A93" w:rsidRPr="00944A90">
        <w:rPr>
          <w:rFonts w:ascii="Garamond" w:hAnsi="Garamond"/>
          <w:i/>
          <w:iCs/>
          <w:sz w:val="24"/>
          <w:szCs w:val="24"/>
        </w:rPr>
        <w:t>La partecipazione dei privati alle decisioni pubbliche. Saggio di diritto comparato</w:t>
      </w:r>
      <w:r w:rsidR="00C86A93" w:rsidRPr="00944A90">
        <w:rPr>
          <w:rFonts w:ascii="Garamond" w:hAnsi="Garamond"/>
          <w:sz w:val="24"/>
          <w:szCs w:val="24"/>
        </w:rPr>
        <w:t>, in </w:t>
      </w:r>
      <w:r w:rsidR="00C86A93" w:rsidRPr="00944A90">
        <w:rPr>
          <w:rFonts w:ascii="Garamond" w:hAnsi="Garamond"/>
          <w:i/>
          <w:iCs/>
          <w:sz w:val="24"/>
          <w:szCs w:val="24"/>
        </w:rPr>
        <w:t>Riv. trim. dir. pubbl.</w:t>
      </w:r>
      <w:r w:rsidR="00C86A93" w:rsidRPr="00944A90">
        <w:rPr>
          <w:rFonts w:ascii="Garamond" w:hAnsi="Garamond"/>
          <w:sz w:val="24"/>
          <w:szCs w:val="24"/>
        </w:rPr>
        <w:t>, 13;</w:t>
      </w:r>
      <w:r w:rsidR="00C86A93" w:rsidRPr="00944A90">
        <w:rPr>
          <w:rFonts w:ascii="Garamond" w:hAnsi="Garamond"/>
          <w:color w:val="3E3F3E"/>
          <w:sz w:val="24"/>
          <w:szCs w:val="24"/>
          <w:shd w:val="clear" w:color="auto" w:fill="FAF9F6"/>
        </w:rPr>
        <w:t xml:space="preserve"> </w:t>
      </w:r>
      <w:r w:rsidR="00C86A93" w:rsidRPr="00944A90">
        <w:rPr>
          <w:rFonts w:ascii="Garamond" w:hAnsi="Garamond"/>
          <w:sz w:val="24"/>
          <w:szCs w:val="24"/>
        </w:rPr>
        <w:t>NIGRO A., </w:t>
      </w:r>
      <w:r w:rsidR="00C86A93" w:rsidRPr="00944A90">
        <w:rPr>
          <w:rFonts w:ascii="Garamond" w:hAnsi="Garamond"/>
          <w:i/>
          <w:iCs/>
          <w:sz w:val="24"/>
          <w:szCs w:val="24"/>
        </w:rPr>
        <w:t>Il nodo della partecipazione</w:t>
      </w:r>
      <w:r w:rsidR="00C86A93" w:rsidRPr="00944A90">
        <w:rPr>
          <w:rFonts w:ascii="Garamond" w:hAnsi="Garamond"/>
          <w:sz w:val="24"/>
          <w:szCs w:val="24"/>
        </w:rPr>
        <w:t xml:space="preserve">, </w:t>
      </w:r>
      <w:r w:rsidR="00C86A93" w:rsidRPr="00944A90">
        <w:rPr>
          <w:rFonts w:ascii="Garamond" w:hAnsi="Garamond"/>
          <w:i/>
          <w:sz w:val="24"/>
          <w:szCs w:val="24"/>
        </w:rPr>
        <w:t>ivi</w:t>
      </w:r>
      <w:r w:rsidR="00C86A93" w:rsidRPr="00944A90">
        <w:rPr>
          <w:rFonts w:ascii="Garamond" w:hAnsi="Garamond"/>
          <w:sz w:val="24"/>
          <w:szCs w:val="24"/>
        </w:rPr>
        <w:t>,</w:t>
      </w:r>
      <w:r w:rsidR="00C816F5" w:rsidRPr="00944A90">
        <w:rPr>
          <w:rFonts w:ascii="Garamond" w:hAnsi="Garamond"/>
          <w:sz w:val="24"/>
          <w:szCs w:val="24"/>
        </w:rPr>
        <w:t xml:space="preserve"> 225</w:t>
      </w:r>
      <w:r w:rsidR="00C86A93" w:rsidRPr="00944A90">
        <w:rPr>
          <w:rFonts w:ascii="Garamond" w:hAnsi="Garamond"/>
          <w:sz w:val="24"/>
          <w:szCs w:val="24"/>
        </w:rPr>
        <w:t>;</w:t>
      </w:r>
      <w:r w:rsidR="00C816F5" w:rsidRPr="00944A90">
        <w:rPr>
          <w:rFonts w:ascii="Garamond" w:hAnsi="Garamond"/>
          <w:sz w:val="24"/>
          <w:szCs w:val="24"/>
          <w:shd w:val="clear" w:color="auto" w:fill="FAF9F6"/>
        </w:rPr>
        <w:t xml:space="preserve"> </w:t>
      </w:r>
      <w:r w:rsidR="002A5D5F" w:rsidRPr="00944A90">
        <w:rPr>
          <w:rFonts w:ascii="Garamond" w:hAnsi="Garamond"/>
          <w:sz w:val="24"/>
          <w:szCs w:val="24"/>
          <w:shd w:val="clear" w:color="auto" w:fill="FAF9F6"/>
        </w:rPr>
        <w:t> SA</w:t>
      </w:r>
      <w:r w:rsidR="00A12C1B" w:rsidRPr="00944A90">
        <w:rPr>
          <w:rFonts w:ascii="Garamond" w:hAnsi="Garamond"/>
          <w:sz w:val="24"/>
          <w:szCs w:val="24"/>
          <w:shd w:val="clear" w:color="auto" w:fill="FAF9F6"/>
        </w:rPr>
        <w:t>I</w:t>
      </w:r>
      <w:r w:rsidR="002A5D5F" w:rsidRPr="00944A90">
        <w:rPr>
          <w:rFonts w:ascii="Garamond" w:hAnsi="Garamond"/>
          <w:sz w:val="24"/>
          <w:szCs w:val="24"/>
          <w:shd w:val="clear" w:color="auto" w:fill="FAF9F6"/>
        </w:rPr>
        <w:t>TTA F., </w:t>
      </w:r>
      <w:r w:rsidR="002A5D5F" w:rsidRPr="00944A90">
        <w:rPr>
          <w:rFonts w:ascii="Garamond" w:hAnsi="Garamond"/>
          <w:i/>
          <w:iCs/>
          <w:sz w:val="24"/>
          <w:szCs w:val="24"/>
          <w:shd w:val="clear" w:color="auto" w:fill="FAF9F6"/>
        </w:rPr>
        <w:t>Contraddittorio e partecipazione nel procedimento amministrativo</w:t>
      </w:r>
      <w:r w:rsidR="002A5D5F" w:rsidRPr="00944A90">
        <w:rPr>
          <w:rFonts w:ascii="Garamond" w:hAnsi="Garamond"/>
          <w:sz w:val="24"/>
          <w:szCs w:val="24"/>
          <w:shd w:val="clear" w:color="auto" w:fill="FAF9F6"/>
        </w:rPr>
        <w:t>, in </w:t>
      </w:r>
      <w:r w:rsidR="002A5D5F" w:rsidRPr="00944A90">
        <w:rPr>
          <w:rFonts w:ascii="Garamond" w:hAnsi="Garamond"/>
          <w:i/>
          <w:iCs/>
          <w:sz w:val="24"/>
          <w:szCs w:val="24"/>
          <w:shd w:val="clear" w:color="auto" w:fill="FAF9F6"/>
        </w:rPr>
        <w:t>Dir. amm</w:t>
      </w:r>
      <w:r w:rsidR="002A5D5F" w:rsidRPr="00944A90">
        <w:rPr>
          <w:rFonts w:ascii="Garamond" w:hAnsi="Garamond"/>
          <w:sz w:val="24"/>
          <w:szCs w:val="24"/>
          <w:shd w:val="clear" w:color="auto" w:fill="FAF9F6"/>
        </w:rPr>
        <w:t xml:space="preserve">., 2010, 299; </w:t>
      </w:r>
      <w:r w:rsidR="00C816F5" w:rsidRPr="00944A90">
        <w:rPr>
          <w:rFonts w:ascii="Garamond" w:hAnsi="Garamond"/>
          <w:sz w:val="24"/>
          <w:szCs w:val="24"/>
        </w:rPr>
        <w:t>DELLA CANANEA G., </w:t>
      </w:r>
      <w:r w:rsidR="00C816F5" w:rsidRPr="00944A90">
        <w:rPr>
          <w:rFonts w:ascii="Garamond" w:hAnsi="Garamond"/>
          <w:i/>
          <w:iCs/>
          <w:sz w:val="24"/>
          <w:szCs w:val="24"/>
        </w:rPr>
        <w:t>Il diritto di essere sentiti e la partecipazione</w:t>
      </w:r>
      <w:r w:rsidR="00C816F5" w:rsidRPr="00944A90">
        <w:rPr>
          <w:rFonts w:ascii="Garamond" w:hAnsi="Garamond"/>
          <w:sz w:val="24"/>
          <w:szCs w:val="24"/>
        </w:rPr>
        <w:t xml:space="preserve">, in </w:t>
      </w:r>
      <w:r w:rsidR="002A5D5F" w:rsidRPr="00944A90">
        <w:rPr>
          <w:rFonts w:ascii="Garamond" w:hAnsi="Garamond"/>
          <w:sz w:val="24"/>
          <w:szCs w:val="24"/>
        </w:rPr>
        <w:t>CERULLI IRELLI V. (</w:t>
      </w:r>
      <w:r w:rsidR="00C816F5" w:rsidRPr="00944A90">
        <w:rPr>
          <w:rFonts w:ascii="Garamond" w:hAnsi="Garamond"/>
          <w:sz w:val="24"/>
          <w:szCs w:val="24"/>
        </w:rPr>
        <w:t>a cura di</w:t>
      </w:r>
      <w:r w:rsidR="002A5D5F" w:rsidRPr="00944A90">
        <w:rPr>
          <w:rFonts w:ascii="Garamond" w:hAnsi="Garamond"/>
          <w:sz w:val="24"/>
          <w:szCs w:val="24"/>
        </w:rPr>
        <w:t>)</w:t>
      </w:r>
      <w:r w:rsidR="00C816F5" w:rsidRPr="00944A90">
        <w:rPr>
          <w:rFonts w:ascii="Garamond" w:hAnsi="Garamond"/>
          <w:sz w:val="24"/>
          <w:szCs w:val="24"/>
        </w:rPr>
        <w:t>, </w:t>
      </w:r>
      <w:r w:rsidR="00C816F5" w:rsidRPr="00944A90">
        <w:rPr>
          <w:rFonts w:ascii="Garamond" w:hAnsi="Garamond"/>
          <w:i/>
          <w:iCs/>
          <w:sz w:val="24"/>
          <w:szCs w:val="24"/>
        </w:rPr>
        <w:t>Il procedimento amministrativo</w:t>
      </w:r>
      <w:r w:rsidR="00C816F5" w:rsidRPr="00944A90">
        <w:rPr>
          <w:rFonts w:ascii="Garamond" w:hAnsi="Garamond"/>
          <w:sz w:val="24"/>
          <w:szCs w:val="24"/>
        </w:rPr>
        <w:t>, Napoli, 2007, 81</w:t>
      </w:r>
      <w:r w:rsidR="002A5D5F" w:rsidRPr="00944A90">
        <w:rPr>
          <w:rFonts w:ascii="Garamond" w:hAnsi="Garamond"/>
          <w:sz w:val="24"/>
          <w:szCs w:val="24"/>
        </w:rPr>
        <w:t>;</w:t>
      </w:r>
      <w:r w:rsidR="00C86A93" w:rsidRPr="00944A90">
        <w:rPr>
          <w:rFonts w:ascii="Garamond" w:hAnsi="Garamond"/>
          <w:sz w:val="24"/>
          <w:szCs w:val="24"/>
        </w:rPr>
        <w:t xml:space="preserve"> in giurisprudenza, </w:t>
      </w:r>
      <w:r w:rsidR="00C86A93" w:rsidRPr="00944A90">
        <w:rPr>
          <w:rFonts w:ascii="Garamond" w:hAnsi="Garamond"/>
          <w:i/>
          <w:sz w:val="24"/>
          <w:szCs w:val="24"/>
        </w:rPr>
        <w:t>e</w:t>
      </w:r>
      <w:r w:rsidR="00653FC2" w:rsidRPr="00944A90">
        <w:rPr>
          <w:rFonts w:ascii="Garamond" w:hAnsi="Garamond"/>
          <w:i/>
          <w:sz w:val="24"/>
          <w:szCs w:val="24"/>
        </w:rPr>
        <w:t xml:space="preserve">x </w:t>
      </w:r>
      <w:proofErr w:type="spellStart"/>
      <w:r w:rsidR="00653FC2" w:rsidRPr="00944A90">
        <w:rPr>
          <w:rFonts w:ascii="Garamond" w:hAnsi="Garamond"/>
          <w:i/>
          <w:sz w:val="24"/>
          <w:szCs w:val="24"/>
        </w:rPr>
        <w:t>plurimis</w:t>
      </w:r>
      <w:proofErr w:type="spellEnd"/>
      <w:r w:rsidR="00653FC2" w:rsidRPr="00944A90">
        <w:rPr>
          <w:rFonts w:ascii="Garamond" w:hAnsi="Garamond"/>
          <w:sz w:val="24"/>
          <w:szCs w:val="24"/>
        </w:rPr>
        <w:t xml:space="preserve">, </w:t>
      </w:r>
      <w:proofErr w:type="spellStart"/>
      <w:r w:rsidR="00653FC2" w:rsidRPr="00944A90">
        <w:rPr>
          <w:rFonts w:ascii="Garamond" w:hAnsi="Garamond"/>
          <w:sz w:val="24"/>
          <w:szCs w:val="24"/>
        </w:rPr>
        <w:t>Cons</w:t>
      </w:r>
      <w:proofErr w:type="spellEnd"/>
      <w:r w:rsidR="00653FC2" w:rsidRPr="00944A90">
        <w:rPr>
          <w:rFonts w:ascii="Garamond" w:hAnsi="Garamond"/>
          <w:sz w:val="24"/>
          <w:szCs w:val="24"/>
        </w:rPr>
        <w:t>. St.,</w:t>
      </w:r>
      <w:r w:rsidR="005F5ED2" w:rsidRPr="00944A90">
        <w:rPr>
          <w:rFonts w:ascii="Garamond" w:hAnsi="Garamond"/>
          <w:sz w:val="24"/>
          <w:szCs w:val="24"/>
        </w:rPr>
        <w:t xml:space="preserve"> </w:t>
      </w:r>
      <w:proofErr w:type="spellStart"/>
      <w:r w:rsidR="003A1912">
        <w:rPr>
          <w:rFonts w:ascii="Garamond" w:hAnsi="Garamond"/>
          <w:sz w:val="24"/>
          <w:szCs w:val="24"/>
        </w:rPr>
        <w:t>Sez.</w:t>
      </w:r>
      <w:r w:rsidR="00456405" w:rsidRPr="00944A90">
        <w:rPr>
          <w:rFonts w:ascii="Garamond" w:hAnsi="Garamond"/>
          <w:sz w:val="24"/>
          <w:szCs w:val="24"/>
        </w:rPr>
        <w:t>V</w:t>
      </w:r>
      <w:proofErr w:type="spellEnd"/>
      <w:r w:rsidR="00456405" w:rsidRPr="00944A90">
        <w:rPr>
          <w:rFonts w:ascii="Garamond" w:hAnsi="Garamond"/>
          <w:sz w:val="24"/>
          <w:szCs w:val="24"/>
        </w:rPr>
        <w:t xml:space="preserve">, 10 gennaio 2007, n. 36; </w:t>
      </w:r>
      <w:r w:rsidR="005F5ED2" w:rsidRPr="00944A90">
        <w:rPr>
          <w:rFonts w:ascii="Garamond" w:hAnsi="Garamond"/>
          <w:sz w:val="24"/>
          <w:szCs w:val="24"/>
        </w:rPr>
        <w:t xml:space="preserve">id., </w:t>
      </w:r>
      <w:r w:rsidR="003A1912">
        <w:rPr>
          <w:rFonts w:ascii="Garamond" w:hAnsi="Garamond"/>
          <w:sz w:val="24"/>
          <w:szCs w:val="24"/>
        </w:rPr>
        <w:t>Sez.</w:t>
      </w:r>
      <w:r w:rsidR="005F5ED2" w:rsidRPr="00944A90">
        <w:rPr>
          <w:rFonts w:ascii="Garamond" w:hAnsi="Garamond"/>
          <w:sz w:val="24"/>
          <w:szCs w:val="24"/>
        </w:rPr>
        <w:t xml:space="preserve">VI, 20 aprile </w:t>
      </w:r>
      <w:r w:rsidR="00456405" w:rsidRPr="00944A90">
        <w:rPr>
          <w:rFonts w:ascii="Garamond" w:hAnsi="Garamond"/>
          <w:sz w:val="24"/>
          <w:szCs w:val="24"/>
        </w:rPr>
        <w:t>2000, n</w:t>
      </w:r>
      <w:r w:rsidR="00E84A0D" w:rsidRPr="00944A90">
        <w:rPr>
          <w:rFonts w:ascii="Garamond" w:hAnsi="Garamond"/>
          <w:sz w:val="24"/>
          <w:szCs w:val="24"/>
        </w:rPr>
        <w:t xml:space="preserve">. 2443; id., </w:t>
      </w:r>
      <w:proofErr w:type="spellStart"/>
      <w:r w:rsidR="003A1912">
        <w:rPr>
          <w:rFonts w:ascii="Garamond" w:hAnsi="Garamond"/>
          <w:sz w:val="24"/>
          <w:szCs w:val="24"/>
        </w:rPr>
        <w:t>Sez.</w:t>
      </w:r>
      <w:r w:rsidR="00E84A0D" w:rsidRPr="00944A90">
        <w:rPr>
          <w:rFonts w:ascii="Garamond" w:hAnsi="Garamond"/>
          <w:sz w:val="24"/>
          <w:szCs w:val="24"/>
        </w:rPr>
        <w:t>V</w:t>
      </w:r>
      <w:proofErr w:type="spellEnd"/>
      <w:r w:rsidR="00E84A0D" w:rsidRPr="00944A90">
        <w:rPr>
          <w:rFonts w:ascii="Garamond" w:hAnsi="Garamond"/>
          <w:sz w:val="24"/>
          <w:szCs w:val="24"/>
        </w:rPr>
        <w:t>, 11 maggio 2004,</w:t>
      </w:r>
      <w:r w:rsidR="00A0129B" w:rsidRPr="00944A90">
        <w:rPr>
          <w:rFonts w:ascii="Garamond" w:hAnsi="Garamond"/>
          <w:sz w:val="24"/>
          <w:szCs w:val="24"/>
        </w:rPr>
        <w:t xml:space="preserve"> n. 2953, tutte in </w:t>
      </w:r>
      <w:r w:rsidR="00A0129B" w:rsidRPr="00944A90">
        <w:rPr>
          <w:rFonts w:ascii="Garamond" w:hAnsi="Garamond"/>
          <w:i/>
          <w:sz w:val="24"/>
          <w:szCs w:val="24"/>
        </w:rPr>
        <w:t>www.giustizia-amministrativa.it</w:t>
      </w:r>
      <w:r w:rsidR="00A0129B" w:rsidRPr="00944A90">
        <w:rPr>
          <w:rFonts w:ascii="Garamond" w:hAnsi="Garamond"/>
          <w:sz w:val="24"/>
          <w:szCs w:val="24"/>
        </w:rPr>
        <w:t>.</w:t>
      </w:r>
    </w:p>
    <w:p w:rsidR="0045280B" w:rsidRPr="00944A90" w:rsidRDefault="0045280B" w:rsidP="000E1D13">
      <w:pPr>
        <w:pStyle w:val="Testonotaapidipagina"/>
        <w:ind w:firstLine="284"/>
        <w:jc w:val="both"/>
        <w:rPr>
          <w:rFonts w:ascii="Garamond" w:hAnsi="Garamond"/>
          <w:sz w:val="24"/>
          <w:szCs w:val="24"/>
        </w:rPr>
      </w:pPr>
      <w:r w:rsidRPr="00944A90">
        <w:rPr>
          <w:rFonts w:ascii="Garamond" w:hAnsi="Garamond"/>
          <w:sz w:val="24"/>
          <w:szCs w:val="24"/>
        </w:rPr>
        <w:t>P</w:t>
      </w:r>
      <w:r w:rsidR="005F5ED2" w:rsidRPr="00944A90">
        <w:rPr>
          <w:rFonts w:ascii="Garamond" w:hAnsi="Garamond"/>
          <w:sz w:val="24"/>
          <w:szCs w:val="24"/>
        </w:rPr>
        <w:t xml:space="preserve">er un’approfondita disamina sull’evoluzione della teoria del procedimento amministrativo, </w:t>
      </w:r>
      <w:r w:rsidRPr="00944A90">
        <w:rPr>
          <w:rFonts w:ascii="Garamond" w:hAnsi="Garamond"/>
          <w:sz w:val="24"/>
          <w:szCs w:val="24"/>
        </w:rPr>
        <w:t xml:space="preserve">dalla concezione formale alla concezione funzionale, </w:t>
      </w:r>
      <w:r w:rsidR="005F5ED2" w:rsidRPr="00944A90">
        <w:rPr>
          <w:rFonts w:ascii="Garamond" w:hAnsi="Garamond"/>
          <w:sz w:val="24"/>
          <w:szCs w:val="24"/>
        </w:rPr>
        <w:t xml:space="preserve">si rinvia a </w:t>
      </w:r>
      <w:r w:rsidRPr="00944A90">
        <w:rPr>
          <w:rFonts w:ascii="Garamond" w:hAnsi="Garamond"/>
          <w:sz w:val="24"/>
          <w:szCs w:val="24"/>
        </w:rPr>
        <w:t xml:space="preserve">SANDULLI A., </w:t>
      </w:r>
      <w:r w:rsidRPr="00944A90">
        <w:rPr>
          <w:rFonts w:ascii="Garamond" w:hAnsi="Garamond"/>
          <w:i/>
          <w:sz w:val="24"/>
          <w:szCs w:val="24"/>
        </w:rPr>
        <w:t>Il procedimento amministrativo</w:t>
      </w:r>
      <w:r w:rsidR="004D1195" w:rsidRPr="00944A90">
        <w:rPr>
          <w:rFonts w:ascii="Garamond" w:hAnsi="Garamond"/>
          <w:sz w:val="24"/>
          <w:szCs w:val="24"/>
        </w:rPr>
        <w:t>, Milano, 1964; BENVENUTI F.</w:t>
      </w:r>
      <w:r w:rsidRPr="00944A90">
        <w:rPr>
          <w:rFonts w:ascii="Garamond" w:hAnsi="Garamond"/>
          <w:sz w:val="24"/>
          <w:szCs w:val="24"/>
        </w:rPr>
        <w:t xml:space="preserve">, </w:t>
      </w:r>
      <w:r w:rsidRPr="00944A90">
        <w:rPr>
          <w:rFonts w:ascii="Garamond" w:hAnsi="Garamond"/>
          <w:i/>
          <w:sz w:val="24"/>
          <w:szCs w:val="24"/>
        </w:rPr>
        <w:t>Funzione</w:t>
      </w:r>
      <w:r w:rsidRPr="00944A90">
        <w:rPr>
          <w:rFonts w:ascii="Garamond" w:hAnsi="Garamond"/>
          <w:sz w:val="24"/>
          <w:szCs w:val="24"/>
        </w:rPr>
        <w:t xml:space="preserve"> </w:t>
      </w:r>
      <w:r w:rsidRPr="00944A90">
        <w:rPr>
          <w:rFonts w:ascii="Garamond" w:hAnsi="Garamond"/>
          <w:i/>
          <w:iCs/>
          <w:sz w:val="24"/>
          <w:szCs w:val="24"/>
        </w:rPr>
        <w:t>amministrativa, procedimento, processo</w:t>
      </w:r>
      <w:r w:rsidRPr="00944A90">
        <w:rPr>
          <w:rFonts w:ascii="Garamond" w:hAnsi="Garamond"/>
          <w:sz w:val="24"/>
          <w:szCs w:val="24"/>
        </w:rPr>
        <w:t xml:space="preserve">, in </w:t>
      </w:r>
      <w:r w:rsidRPr="00944A90">
        <w:rPr>
          <w:rFonts w:ascii="Garamond" w:hAnsi="Garamond"/>
          <w:i/>
          <w:iCs/>
          <w:sz w:val="24"/>
          <w:szCs w:val="24"/>
        </w:rPr>
        <w:t>Riv. trim. dir. pubbl</w:t>
      </w:r>
      <w:r w:rsidRPr="00944A90">
        <w:rPr>
          <w:rFonts w:ascii="Garamond" w:hAnsi="Garamond"/>
          <w:sz w:val="24"/>
          <w:szCs w:val="24"/>
        </w:rPr>
        <w:t>., 1952, 126 e ss.</w:t>
      </w:r>
    </w:p>
    <w:p w:rsidR="00D936EB" w:rsidRPr="00944A90" w:rsidRDefault="00D936EB" w:rsidP="000E1D13">
      <w:pPr>
        <w:pStyle w:val="Testonotaapidipagina"/>
        <w:ind w:firstLine="284"/>
        <w:jc w:val="both"/>
        <w:rPr>
          <w:rFonts w:ascii="Garamond" w:hAnsi="Garamond"/>
          <w:sz w:val="24"/>
          <w:szCs w:val="24"/>
        </w:rPr>
      </w:pPr>
      <w:r w:rsidRPr="00944A90">
        <w:rPr>
          <w:rFonts w:ascii="Garamond" w:hAnsi="Garamond"/>
          <w:sz w:val="24"/>
          <w:szCs w:val="24"/>
        </w:rPr>
        <w:t xml:space="preserve">Per le posizioni della giurisprudenza interna, v. </w:t>
      </w:r>
      <w:r w:rsidR="00E01766" w:rsidRPr="00944A90">
        <w:rPr>
          <w:rFonts w:ascii="Garamond" w:hAnsi="Garamond"/>
          <w:sz w:val="24"/>
          <w:szCs w:val="24"/>
        </w:rPr>
        <w:t xml:space="preserve">Cons. Stato, </w:t>
      </w:r>
      <w:r w:rsidR="003A1912">
        <w:rPr>
          <w:rFonts w:ascii="Garamond" w:hAnsi="Garamond"/>
          <w:sz w:val="24"/>
          <w:szCs w:val="24"/>
        </w:rPr>
        <w:t>Sez.</w:t>
      </w:r>
      <w:r w:rsidRPr="00944A90">
        <w:rPr>
          <w:rFonts w:ascii="Garamond" w:hAnsi="Garamond"/>
          <w:sz w:val="24"/>
          <w:szCs w:val="24"/>
        </w:rPr>
        <w:t>VI, 8 aprile</w:t>
      </w:r>
      <w:r w:rsidR="00B94E91" w:rsidRPr="00944A90">
        <w:rPr>
          <w:rFonts w:ascii="Garamond" w:hAnsi="Garamond"/>
          <w:sz w:val="24"/>
          <w:szCs w:val="24"/>
        </w:rPr>
        <w:t xml:space="preserve"> 2003, n. 1882; Tar</w:t>
      </w:r>
      <w:r w:rsidR="00E01766" w:rsidRPr="00944A90">
        <w:rPr>
          <w:rFonts w:ascii="Garamond" w:hAnsi="Garamond"/>
          <w:sz w:val="24"/>
          <w:szCs w:val="24"/>
        </w:rPr>
        <w:t xml:space="preserve"> Sicilia - </w:t>
      </w:r>
      <w:r w:rsidRPr="00944A90">
        <w:rPr>
          <w:rFonts w:ascii="Garamond" w:hAnsi="Garamond"/>
          <w:sz w:val="24"/>
          <w:szCs w:val="24"/>
        </w:rPr>
        <w:t>Catania</w:t>
      </w:r>
      <w:r w:rsidR="00E01766" w:rsidRPr="00944A90">
        <w:rPr>
          <w:rFonts w:ascii="Garamond" w:hAnsi="Garamond"/>
          <w:sz w:val="24"/>
          <w:szCs w:val="24"/>
        </w:rPr>
        <w:t xml:space="preserve">, </w:t>
      </w:r>
      <w:proofErr w:type="spellStart"/>
      <w:r w:rsidR="003A1912">
        <w:rPr>
          <w:rFonts w:ascii="Garamond" w:hAnsi="Garamond"/>
          <w:sz w:val="24"/>
          <w:szCs w:val="24"/>
        </w:rPr>
        <w:t>Sez.</w:t>
      </w:r>
      <w:r w:rsidR="009A60BF" w:rsidRPr="00944A90">
        <w:rPr>
          <w:rFonts w:ascii="Garamond" w:hAnsi="Garamond"/>
          <w:sz w:val="24"/>
          <w:szCs w:val="24"/>
        </w:rPr>
        <w:t>I</w:t>
      </w:r>
      <w:proofErr w:type="spellEnd"/>
      <w:r w:rsidR="009A60BF" w:rsidRPr="00944A90">
        <w:rPr>
          <w:rFonts w:ascii="Garamond" w:hAnsi="Garamond"/>
          <w:sz w:val="24"/>
          <w:szCs w:val="24"/>
        </w:rPr>
        <w:t>, 1 aprile 2003, n, 563;</w:t>
      </w:r>
      <w:r w:rsidR="00E01766" w:rsidRPr="00944A90">
        <w:rPr>
          <w:rFonts w:ascii="Garamond" w:hAnsi="Garamond"/>
          <w:sz w:val="24"/>
          <w:szCs w:val="24"/>
        </w:rPr>
        <w:t xml:space="preserve"> Cons. Stato, </w:t>
      </w:r>
      <w:r w:rsidR="003A1912">
        <w:rPr>
          <w:rFonts w:ascii="Garamond" w:hAnsi="Garamond"/>
          <w:sz w:val="24"/>
          <w:szCs w:val="24"/>
        </w:rPr>
        <w:t>Sez.</w:t>
      </w:r>
      <w:r w:rsidRPr="00944A90">
        <w:rPr>
          <w:rFonts w:ascii="Garamond" w:hAnsi="Garamond"/>
          <w:sz w:val="24"/>
          <w:szCs w:val="24"/>
        </w:rPr>
        <w:t xml:space="preserve">VI, 14 gennaio 3003, n. 98. </w:t>
      </w:r>
      <w:r w:rsidR="009A60BF" w:rsidRPr="00944A90">
        <w:rPr>
          <w:rFonts w:ascii="Garamond" w:hAnsi="Garamond"/>
          <w:i/>
          <w:sz w:val="24"/>
          <w:szCs w:val="24"/>
        </w:rPr>
        <w:t xml:space="preserve">In </w:t>
      </w:r>
      <w:proofErr w:type="spellStart"/>
      <w:r w:rsidR="009A60BF" w:rsidRPr="00944A90">
        <w:rPr>
          <w:rFonts w:ascii="Garamond" w:hAnsi="Garamond"/>
          <w:i/>
          <w:sz w:val="24"/>
          <w:szCs w:val="24"/>
        </w:rPr>
        <w:t>terminis</w:t>
      </w:r>
      <w:proofErr w:type="spellEnd"/>
      <w:r w:rsidR="00B94E91" w:rsidRPr="00944A90">
        <w:rPr>
          <w:rFonts w:ascii="Garamond" w:hAnsi="Garamond"/>
          <w:sz w:val="24"/>
          <w:szCs w:val="24"/>
        </w:rPr>
        <w:t xml:space="preserve">, si veda </w:t>
      </w:r>
      <w:proofErr w:type="spellStart"/>
      <w:r w:rsidR="00E01766" w:rsidRPr="00944A90">
        <w:rPr>
          <w:rFonts w:ascii="Garamond" w:hAnsi="Garamond"/>
          <w:sz w:val="24"/>
          <w:szCs w:val="24"/>
        </w:rPr>
        <w:t>Cons</w:t>
      </w:r>
      <w:proofErr w:type="spellEnd"/>
      <w:r w:rsidR="00E01766" w:rsidRPr="00944A90">
        <w:rPr>
          <w:rFonts w:ascii="Garamond" w:hAnsi="Garamond"/>
          <w:sz w:val="24"/>
          <w:szCs w:val="24"/>
        </w:rPr>
        <w:t xml:space="preserve">. Stato, </w:t>
      </w:r>
      <w:r w:rsidR="003A1912">
        <w:rPr>
          <w:rFonts w:ascii="Garamond" w:hAnsi="Garamond"/>
          <w:sz w:val="24"/>
          <w:szCs w:val="24"/>
        </w:rPr>
        <w:t>Sez.</w:t>
      </w:r>
      <w:r w:rsidRPr="00944A90">
        <w:rPr>
          <w:rFonts w:ascii="Garamond" w:hAnsi="Garamond"/>
          <w:sz w:val="24"/>
          <w:szCs w:val="24"/>
        </w:rPr>
        <w:t xml:space="preserve">VI, 12 marzo 2002, n. 1453, </w:t>
      </w:r>
      <w:r w:rsidR="008660A8">
        <w:rPr>
          <w:rFonts w:ascii="Garamond" w:hAnsi="Garamond"/>
          <w:sz w:val="24"/>
          <w:szCs w:val="24"/>
        </w:rPr>
        <w:t xml:space="preserve">in cui si è </w:t>
      </w:r>
      <w:r w:rsidRPr="00944A90">
        <w:rPr>
          <w:rFonts w:ascii="Garamond" w:hAnsi="Garamond"/>
          <w:sz w:val="24"/>
          <w:szCs w:val="24"/>
        </w:rPr>
        <w:t>precisato che il privato ha diritto a partecipare al procedimento amministrativo per lui potenzialmente lesivo </w:t>
      </w:r>
      <w:r w:rsidR="006A1D69" w:rsidRPr="00944A90">
        <w:rPr>
          <w:rFonts w:ascii="Garamond" w:hAnsi="Garamond"/>
          <w:sz w:val="24"/>
          <w:szCs w:val="24"/>
        </w:rPr>
        <w:t>“</w:t>
      </w:r>
      <w:r w:rsidRPr="00944A90">
        <w:rPr>
          <w:rFonts w:ascii="Garamond" w:hAnsi="Garamond"/>
          <w:i/>
          <w:iCs/>
          <w:sz w:val="24"/>
          <w:szCs w:val="24"/>
        </w:rPr>
        <w:t>non solo al fine di accrescere l’apporto conoscitivo dell’amministrazione, o di collaborare alla migliore realizzazione dell’interesse pubblico per una scelta più consapevole da parte dell’amministrazione, ma anche per fare emergere la propria posizione differenziata</w:t>
      </w:r>
      <w:r w:rsidR="004D1195" w:rsidRPr="00944A90">
        <w:rPr>
          <w:rFonts w:ascii="Garamond" w:hAnsi="Garamond"/>
          <w:sz w:val="24"/>
          <w:szCs w:val="24"/>
        </w:rPr>
        <w:t>”</w:t>
      </w:r>
      <w:r w:rsidR="00C86A93" w:rsidRPr="00944A90">
        <w:rPr>
          <w:rFonts w:ascii="Garamond" w:hAnsi="Garamond"/>
          <w:sz w:val="24"/>
          <w:szCs w:val="24"/>
        </w:rPr>
        <w:t xml:space="preserve">; </w:t>
      </w:r>
      <w:r w:rsidR="009A60BF" w:rsidRPr="00944A90">
        <w:rPr>
          <w:rFonts w:ascii="Garamond" w:hAnsi="Garamond"/>
          <w:sz w:val="24"/>
          <w:szCs w:val="24"/>
        </w:rPr>
        <w:t>cfr. anche</w:t>
      </w:r>
      <w:r w:rsidR="00C86A93" w:rsidRPr="00944A90">
        <w:rPr>
          <w:rFonts w:ascii="Garamond" w:hAnsi="Garamond"/>
          <w:i/>
          <w:sz w:val="24"/>
          <w:szCs w:val="24"/>
        </w:rPr>
        <w:t xml:space="preserve"> </w:t>
      </w:r>
      <w:r w:rsidR="00E01766" w:rsidRPr="00944A90">
        <w:rPr>
          <w:rFonts w:ascii="Garamond" w:hAnsi="Garamond"/>
          <w:sz w:val="24"/>
          <w:szCs w:val="24"/>
        </w:rPr>
        <w:t xml:space="preserve">Cons. St., </w:t>
      </w:r>
      <w:r w:rsidR="003A1912">
        <w:rPr>
          <w:rFonts w:ascii="Garamond" w:hAnsi="Garamond"/>
          <w:sz w:val="24"/>
          <w:szCs w:val="24"/>
        </w:rPr>
        <w:t>Sez.</w:t>
      </w:r>
      <w:r w:rsidR="00C86A93" w:rsidRPr="00944A90">
        <w:rPr>
          <w:rFonts w:ascii="Garamond" w:hAnsi="Garamond"/>
          <w:sz w:val="24"/>
          <w:szCs w:val="24"/>
        </w:rPr>
        <w:t xml:space="preserve">VI, 8 aprile 2003, n. 1882; </w:t>
      </w:r>
      <w:r w:rsidR="00E01766" w:rsidRPr="00944A90">
        <w:rPr>
          <w:rFonts w:ascii="Garamond" w:hAnsi="Garamond"/>
          <w:sz w:val="24"/>
          <w:szCs w:val="24"/>
        </w:rPr>
        <w:t xml:space="preserve">id., </w:t>
      </w:r>
      <w:proofErr w:type="spellStart"/>
      <w:r w:rsidR="003A1912">
        <w:rPr>
          <w:rFonts w:ascii="Garamond" w:hAnsi="Garamond"/>
          <w:sz w:val="24"/>
          <w:szCs w:val="24"/>
        </w:rPr>
        <w:t>Sez.</w:t>
      </w:r>
      <w:r w:rsidR="00C86A93" w:rsidRPr="00944A90">
        <w:rPr>
          <w:rFonts w:ascii="Garamond" w:hAnsi="Garamond"/>
          <w:sz w:val="24"/>
          <w:szCs w:val="24"/>
        </w:rPr>
        <w:t>IV</w:t>
      </w:r>
      <w:proofErr w:type="spellEnd"/>
      <w:r w:rsidR="00C86A93" w:rsidRPr="00944A90">
        <w:rPr>
          <w:rFonts w:ascii="Garamond" w:hAnsi="Garamond"/>
          <w:sz w:val="24"/>
          <w:szCs w:val="24"/>
        </w:rPr>
        <w:t>, 13 dicembre 2001, n. 6238</w:t>
      </w:r>
      <w:r w:rsidR="0005078B" w:rsidRPr="00944A90">
        <w:rPr>
          <w:rFonts w:ascii="Garamond" w:hAnsi="Garamond"/>
          <w:sz w:val="24"/>
          <w:szCs w:val="24"/>
        </w:rPr>
        <w:t xml:space="preserve">, tutte in </w:t>
      </w:r>
      <w:r w:rsidR="0005078B" w:rsidRPr="00944A90">
        <w:rPr>
          <w:rFonts w:ascii="Garamond" w:hAnsi="Garamond"/>
          <w:i/>
          <w:sz w:val="24"/>
          <w:szCs w:val="24"/>
        </w:rPr>
        <w:t>www.giustizia-amministrativa.it</w:t>
      </w:r>
      <w:r w:rsidR="0005078B" w:rsidRPr="00944A90">
        <w:rPr>
          <w:rFonts w:ascii="Garamond" w:hAnsi="Garamond"/>
          <w:sz w:val="24"/>
          <w:szCs w:val="24"/>
        </w:rPr>
        <w:t>.</w:t>
      </w:r>
    </w:p>
  </w:footnote>
  <w:footnote w:id="5">
    <w:p w:rsidR="00D278EF" w:rsidRPr="00944A90" w:rsidRDefault="00D278EF"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La letteratura in materia di legislazione e prevenzione antimafia è sterminata: </w:t>
      </w:r>
      <w:r w:rsidR="00B94E91" w:rsidRPr="00944A90">
        <w:rPr>
          <w:rFonts w:ascii="Garamond" w:hAnsi="Garamond"/>
          <w:sz w:val="24"/>
          <w:szCs w:val="24"/>
        </w:rPr>
        <w:t xml:space="preserve">ai testi ed Autori già citati nelle note precedenti, si aggiungono, </w:t>
      </w:r>
      <w:r w:rsidRPr="00944A90">
        <w:rPr>
          <w:rFonts w:ascii="Garamond" w:hAnsi="Garamond"/>
          <w:sz w:val="24"/>
          <w:szCs w:val="24"/>
        </w:rPr>
        <w:t xml:space="preserve">per tutti, </w:t>
      </w:r>
      <w:r w:rsidR="00704131" w:rsidRPr="00944A90">
        <w:rPr>
          <w:rFonts w:ascii="Garamond" w:hAnsi="Garamond"/>
          <w:sz w:val="24"/>
          <w:szCs w:val="24"/>
        </w:rPr>
        <w:t>TONNARA P.,</w:t>
      </w:r>
      <w:r w:rsidR="00704131" w:rsidRPr="00944A90">
        <w:rPr>
          <w:rFonts w:ascii="Garamond" w:hAnsi="Garamond"/>
          <w:i/>
          <w:sz w:val="24"/>
          <w:szCs w:val="24"/>
        </w:rPr>
        <w:t xml:space="preserve"> Informative antimafia e discrezionalità del prefetto</w:t>
      </w:r>
      <w:r w:rsidR="00704131" w:rsidRPr="00944A90">
        <w:rPr>
          <w:rFonts w:ascii="Garamond" w:hAnsi="Garamond"/>
          <w:sz w:val="24"/>
          <w:szCs w:val="24"/>
        </w:rPr>
        <w:t xml:space="preserve">, nota a Cons. St., </w:t>
      </w:r>
      <w:r w:rsidR="003A1912">
        <w:rPr>
          <w:rFonts w:ascii="Garamond" w:hAnsi="Garamond"/>
          <w:sz w:val="24"/>
          <w:szCs w:val="24"/>
        </w:rPr>
        <w:t>Sez. III</w:t>
      </w:r>
      <w:r w:rsidR="00704131" w:rsidRPr="00944A90">
        <w:rPr>
          <w:rFonts w:ascii="Garamond" w:hAnsi="Garamond"/>
          <w:sz w:val="24"/>
          <w:szCs w:val="24"/>
        </w:rPr>
        <w:t xml:space="preserve">, 9 febbraio 2017, n. 565, in </w:t>
      </w:r>
      <w:r w:rsidR="00704131" w:rsidRPr="00944A90">
        <w:rPr>
          <w:rFonts w:ascii="Garamond" w:hAnsi="Garamond"/>
          <w:i/>
          <w:sz w:val="24"/>
          <w:szCs w:val="24"/>
        </w:rPr>
        <w:t>Urbanistica e appalti</w:t>
      </w:r>
      <w:r w:rsidR="00704131" w:rsidRPr="00944A90">
        <w:rPr>
          <w:rFonts w:ascii="Garamond" w:hAnsi="Garamond"/>
          <w:sz w:val="24"/>
          <w:szCs w:val="24"/>
        </w:rPr>
        <w:t>, 2017, 2, 223 e ss.</w:t>
      </w:r>
      <w:r w:rsidR="00FC0D46" w:rsidRPr="00944A90">
        <w:rPr>
          <w:rFonts w:ascii="Garamond" w:hAnsi="Garamond"/>
          <w:sz w:val="24"/>
          <w:szCs w:val="24"/>
        </w:rPr>
        <w:t xml:space="preserve">; </w:t>
      </w:r>
      <w:r w:rsidR="00342F1B" w:rsidRPr="00944A90">
        <w:rPr>
          <w:rFonts w:ascii="Garamond" w:hAnsi="Garamond"/>
          <w:sz w:val="24"/>
          <w:szCs w:val="24"/>
        </w:rPr>
        <w:t xml:space="preserve">GIUSTINIANI M., FONTANA P., </w:t>
      </w:r>
      <w:r w:rsidR="00342F1B" w:rsidRPr="00944A90">
        <w:rPr>
          <w:rFonts w:ascii="Garamond" w:hAnsi="Garamond"/>
          <w:i/>
          <w:sz w:val="24"/>
          <w:szCs w:val="24"/>
        </w:rPr>
        <w:t>La tutela nei confronti delle infiltrazioni mafiose nelle attività economiche</w:t>
      </w:r>
      <w:r w:rsidR="00342F1B" w:rsidRPr="00944A90">
        <w:rPr>
          <w:rFonts w:ascii="Garamond" w:hAnsi="Garamond"/>
          <w:sz w:val="24"/>
          <w:szCs w:val="24"/>
        </w:rPr>
        <w:t xml:space="preserve">, nota a Cons. St., </w:t>
      </w:r>
      <w:r w:rsidR="003A1912">
        <w:rPr>
          <w:rFonts w:ascii="Garamond" w:hAnsi="Garamond"/>
          <w:sz w:val="24"/>
          <w:szCs w:val="24"/>
        </w:rPr>
        <w:t>Sez. III</w:t>
      </w:r>
      <w:r w:rsidR="00342F1B" w:rsidRPr="00944A90">
        <w:rPr>
          <w:rFonts w:ascii="Garamond" w:hAnsi="Garamond"/>
          <w:sz w:val="24"/>
          <w:szCs w:val="24"/>
        </w:rPr>
        <w:t xml:space="preserve">, 8 marzo 2017, n. 1109, in </w:t>
      </w:r>
      <w:r w:rsidR="00342F1B" w:rsidRPr="00944A90">
        <w:rPr>
          <w:rFonts w:ascii="Garamond" w:hAnsi="Garamond"/>
          <w:i/>
          <w:sz w:val="24"/>
          <w:szCs w:val="24"/>
        </w:rPr>
        <w:t>Giur. it.,</w:t>
      </w:r>
      <w:r w:rsidR="00B94E91" w:rsidRPr="00944A90">
        <w:rPr>
          <w:rFonts w:ascii="Garamond" w:hAnsi="Garamond"/>
          <w:sz w:val="24"/>
          <w:szCs w:val="24"/>
        </w:rPr>
        <w:t xml:space="preserve"> 2017, 6, 1414.</w:t>
      </w:r>
      <w:r w:rsidR="00342F1B" w:rsidRPr="00944A90">
        <w:rPr>
          <w:rFonts w:ascii="Garamond" w:hAnsi="Garamond"/>
          <w:sz w:val="24"/>
          <w:szCs w:val="24"/>
        </w:rPr>
        <w:t xml:space="preserve"> </w:t>
      </w:r>
    </w:p>
  </w:footnote>
  <w:footnote w:id="6">
    <w:p w:rsidR="008B463F" w:rsidRPr="00944A90" w:rsidRDefault="008B463F" w:rsidP="008B463F">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Pr="00944A90">
        <w:rPr>
          <w:rFonts w:ascii="Garamond" w:hAnsi="Garamond"/>
          <w:i/>
          <w:sz w:val="24"/>
          <w:szCs w:val="24"/>
        </w:rPr>
        <w:t>“Non può pensarsi che gli organi dello Stato contrastino con armi impari la pervasiva diffusione delle organizzazioni mafiose che hanno, nei sistemi globalizzati, vaste reti di collegamento e profitti criminali quale “ragione sociale” per tendere al controllo di interi territori”:</w:t>
      </w:r>
      <w:r w:rsidRPr="00944A90">
        <w:rPr>
          <w:rFonts w:ascii="Garamond" w:hAnsi="Garamond"/>
          <w:sz w:val="24"/>
          <w:szCs w:val="24"/>
        </w:rPr>
        <w:t xml:space="preserve"> così, Cons. St., </w:t>
      </w:r>
      <w:r w:rsidR="003A1912">
        <w:rPr>
          <w:rFonts w:ascii="Garamond" w:hAnsi="Garamond"/>
          <w:sz w:val="24"/>
          <w:szCs w:val="24"/>
        </w:rPr>
        <w:t>Sez. III</w:t>
      </w:r>
      <w:r w:rsidRPr="00944A90">
        <w:rPr>
          <w:rFonts w:ascii="Garamond" w:hAnsi="Garamond"/>
          <w:sz w:val="24"/>
          <w:szCs w:val="24"/>
        </w:rPr>
        <w:t>, 9 febbraio 2017, n. 565, cit.; ma v. anche Corte Cost., 18 gennaio 2018, n. 4</w:t>
      </w:r>
      <w:r w:rsidR="004B7F4A">
        <w:rPr>
          <w:rFonts w:ascii="Garamond" w:hAnsi="Garamond"/>
          <w:sz w:val="24"/>
          <w:szCs w:val="24"/>
        </w:rPr>
        <w:t xml:space="preserve">, nonché, </w:t>
      </w:r>
      <w:r w:rsidR="00C50DBE">
        <w:rPr>
          <w:rFonts w:ascii="Garamond" w:hAnsi="Garamond"/>
          <w:sz w:val="24"/>
          <w:szCs w:val="24"/>
        </w:rPr>
        <w:t>di recente, Corte Cost., 26 marzo 2020, n. 57.</w:t>
      </w:r>
    </w:p>
  </w:footnote>
  <w:footnote w:id="7">
    <w:p w:rsidR="00D278EF" w:rsidRPr="00944A90" w:rsidRDefault="00D278EF" w:rsidP="000E1D13">
      <w:pPr>
        <w:pStyle w:val="Testonotaapidipagina"/>
        <w:ind w:firstLine="284"/>
        <w:jc w:val="both"/>
        <w:rPr>
          <w:rFonts w:ascii="Garamond" w:hAnsi="Garamond"/>
          <w:b/>
          <w:sz w:val="24"/>
          <w:szCs w:val="24"/>
        </w:rPr>
      </w:pPr>
      <w:r w:rsidRPr="00944A90">
        <w:rPr>
          <w:rStyle w:val="Rimandonotaapidipagina"/>
          <w:rFonts w:ascii="Garamond" w:hAnsi="Garamond"/>
          <w:sz w:val="24"/>
          <w:szCs w:val="24"/>
        </w:rPr>
        <w:footnoteRef/>
      </w:r>
      <w:r w:rsidR="00C33008" w:rsidRPr="00944A90">
        <w:rPr>
          <w:rFonts w:ascii="Garamond" w:hAnsi="Garamond"/>
          <w:sz w:val="24"/>
          <w:szCs w:val="24"/>
        </w:rPr>
        <w:t xml:space="preserve"> Sulla funzione di “frontiera avanzata” dell’informazione antimafia nel confronto tra Stato e criminalità, cfr., da ultimo, Cons. St., </w:t>
      </w:r>
      <w:r w:rsidR="003A1912">
        <w:rPr>
          <w:rFonts w:ascii="Garamond" w:hAnsi="Garamond"/>
          <w:sz w:val="24"/>
          <w:szCs w:val="24"/>
        </w:rPr>
        <w:t>Sez. III</w:t>
      </w:r>
      <w:r w:rsidR="00C33008" w:rsidRPr="00944A90">
        <w:rPr>
          <w:rFonts w:ascii="Garamond" w:hAnsi="Garamond"/>
          <w:sz w:val="24"/>
          <w:szCs w:val="24"/>
        </w:rPr>
        <w:t xml:space="preserve">, 24 aprile 2020, n. 2651; Tar Lazio - Roma, </w:t>
      </w:r>
      <w:proofErr w:type="spellStart"/>
      <w:r w:rsidR="003A1912">
        <w:rPr>
          <w:rFonts w:ascii="Garamond" w:hAnsi="Garamond"/>
          <w:sz w:val="24"/>
          <w:szCs w:val="24"/>
        </w:rPr>
        <w:t>Sez.</w:t>
      </w:r>
      <w:r w:rsidR="00C33008" w:rsidRPr="00944A90">
        <w:rPr>
          <w:rFonts w:ascii="Garamond" w:hAnsi="Garamond"/>
          <w:sz w:val="24"/>
          <w:szCs w:val="24"/>
        </w:rPr>
        <w:t>I</w:t>
      </w:r>
      <w:proofErr w:type="spellEnd"/>
      <w:r w:rsidR="00C33008" w:rsidRPr="00944A90">
        <w:rPr>
          <w:rFonts w:ascii="Garamond" w:hAnsi="Garamond"/>
          <w:sz w:val="24"/>
          <w:szCs w:val="24"/>
        </w:rPr>
        <w:t xml:space="preserve"> ter, 3 febbraio 2020, n. 1370; Tar Puglia - Bari, </w:t>
      </w:r>
      <w:proofErr w:type="spellStart"/>
      <w:r w:rsidR="003A1912">
        <w:rPr>
          <w:rFonts w:ascii="Garamond" w:hAnsi="Garamond"/>
          <w:sz w:val="24"/>
          <w:szCs w:val="24"/>
        </w:rPr>
        <w:t>Sez.</w:t>
      </w:r>
      <w:r w:rsidR="00C33008" w:rsidRPr="00944A90">
        <w:rPr>
          <w:rFonts w:ascii="Garamond" w:hAnsi="Garamond"/>
          <w:sz w:val="24"/>
          <w:szCs w:val="24"/>
        </w:rPr>
        <w:t>II</w:t>
      </w:r>
      <w:proofErr w:type="spellEnd"/>
      <w:r w:rsidR="00C33008" w:rsidRPr="00944A90">
        <w:rPr>
          <w:rFonts w:ascii="Garamond" w:hAnsi="Garamond"/>
          <w:sz w:val="24"/>
          <w:szCs w:val="24"/>
        </w:rPr>
        <w:t xml:space="preserve">, 18 febbraio 2020, n. 275, in </w:t>
      </w:r>
      <w:r w:rsidR="00C33008" w:rsidRPr="00944A90">
        <w:rPr>
          <w:rFonts w:ascii="Garamond" w:hAnsi="Garamond"/>
          <w:i/>
          <w:sz w:val="24"/>
          <w:szCs w:val="24"/>
        </w:rPr>
        <w:t>www.giustizia-amministrativa.it.</w:t>
      </w:r>
    </w:p>
  </w:footnote>
  <w:footnote w:id="8">
    <w:p w:rsidR="00D278EF" w:rsidRPr="00944A90" w:rsidRDefault="00D278EF" w:rsidP="000E1D13">
      <w:pPr>
        <w:pStyle w:val="Testonotaapidipagina"/>
        <w:ind w:firstLine="284"/>
        <w:jc w:val="both"/>
        <w:rPr>
          <w:rFonts w:ascii="Garamond" w:hAnsi="Garamond"/>
          <w:i/>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Imprescindibile la lettura di Cons</w:t>
      </w:r>
      <w:r w:rsidR="00C705F1" w:rsidRPr="00944A90">
        <w:rPr>
          <w:rFonts w:ascii="Garamond" w:hAnsi="Garamond"/>
          <w:sz w:val="24"/>
          <w:szCs w:val="24"/>
        </w:rPr>
        <w:t>.</w:t>
      </w:r>
      <w:r w:rsidRPr="00944A90">
        <w:rPr>
          <w:rFonts w:ascii="Garamond" w:hAnsi="Garamond"/>
          <w:sz w:val="24"/>
          <w:szCs w:val="24"/>
        </w:rPr>
        <w:t xml:space="preserve"> St., </w:t>
      </w:r>
      <w:r w:rsidR="003A1912">
        <w:rPr>
          <w:rFonts w:ascii="Garamond" w:hAnsi="Garamond"/>
          <w:sz w:val="24"/>
          <w:szCs w:val="24"/>
        </w:rPr>
        <w:t>Sez. III</w:t>
      </w:r>
      <w:r w:rsidRPr="00944A90">
        <w:rPr>
          <w:rFonts w:ascii="Garamond" w:hAnsi="Garamond"/>
          <w:sz w:val="24"/>
          <w:szCs w:val="24"/>
        </w:rPr>
        <w:t>,</w:t>
      </w:r>
      <w:r w:rsidR="00835C70" w:rsidRPr="00944A90">
        <w:rPr>
          <w:rFonts w:ascii="Garamond" w:hAnsi="Garamond"/>
          <w:sz w:val="24"/>
          <w:szCs w:val="24"/>
        </w:rPr>
        <w:t xml:space="preserve"> 3 maggio 201</w:t>
      </w:r>
      <w:r w:rsidR="00A374B4" w:rsidRPr="00944A90">
        <w:rPr>
          <w:rFonts w:ascii="Garamond" w:hAnsi="Garamond"/>
          <w:sz w:val="24"/>
          <w:szCs w:val="24"/>
        </w:rPr>
        <w:t>6</w:t>
      </w:r>
      <w:r w:rsidR="00835C70" w:rsidRPr="00944A90">
        <w:rPr>
          <w:rFonts w:ascii="Garamond" w:hAnsi="Garamond"/>
          <w:sz w:val="24"/>
          <w:szCs w:val="24"/>
        </w:rPr>
        <w:t xml:space="preserve">, n. 1743, </w:t>
      </w:r>
      <w:r w:rsidR="00795F12" w:rsidRPr="00944A90">
        <w:rPr>
          <w:rFonts w:ascii="Garamond" w:hAnsi="Garamond"/>
          <w:sz w:val="24"/>
          <w:szCs w:val="24"/>
        </w:rPr>
        <w:t xml:space="preserve">nonché </w:t>
      </w:r>
      <w:r w:rsidR="00BA3019" w:rsidRPr="00944A90">
        <w:rPr>
          <w:rFonts w:ascii="Garamond" w:hAnsi="Garamond"/>
          <w:sz w:val="24"/>
          <w:szCs w:val="24"/>
        </w:rPr>
        <w:t xml:space="preserve">Cons. St., </w:t>
      </w:r>
      <w:r w:rsidR="003A1912">
        <w:rPr>
          <w:rFonts w:ascii="Garamond" w:hAnsi="Garamond"/>
          <w:sz w:val="24"/>
          <w:szCs w:val="24"/>
        </w:rPr>
        <w:t>Sez. III</w:t>
      </w:r>
      <w:r w:rsidR="00795F12" w:rsidRPr="00944A90">
        <w:rPr>
          <w:rFonts w:ascii="Garamond" w:hAnsi="Garamond"/>
          <w:sz w:val="24"/>
          <w:szCs w:val="24"/>
        </w:rPr>
        <w:t xml:space="preserve">, 26 settembre 2017, n. 4483, in </w:t>
      </w:r>
      <w:r w:rsidR="00795F12" w:rsidRPr="00944A90">
        <w:rPr>
          <w:rFonts w:ascii="Garamond" w:hAnsi="Garamond"/>
          <w:i/>
          <w:sz w:val="24"/>
          <w:szCs w:val="24"/>
        </w:rPr>
        <w:t>www.giustizia-amministrativa.it</w:t>
      </w:r>
      <w:r w:rsidR="00795F12" w:rsidRPr="00944A90">
        <w:rPr>
          <w:rFonts w:ascii="Garamond" w:hAnsi="Garamond"/>
          <w:sz w:val="24"/>
          <w:szCs w:val="24"/>
        </w:rPr>
        <w:t>.</w:t>
      </w:r>
      <w:r w:rsidR="001363AE" w:rsidRPr="00944A90">
        <w:rPr>
          <w:rFonts w:ascii="Garamond" w:hAnsi="Garamond"/>
          <w:sz w:val="24"/>
          <w:szCs w:val="24"/>
        </w:rPr>
        <w:t xml:space="preserve"> Cfr. anche Cons. St., </w:t>
      </w:r>
      <w:r w:rsidR="003A1912">
        <w:rPr>
          <w:rFonts w:ascii="Garamond" w:hAnsi="Garamond"/>
          <w:sz w:val="24"/>
          <w:szCs w:val="24"/>
        </w:rPr>
        <w:t>Sez. III</w:t>
      </w:r>
      <w:r w:rsidR="001363AE" w:rsidRPr="00944A90">
        <w:rPr>
          <w:rFonts w:ascii="Garamond" w:hAnsi="Garamond"/>
          <w:sz w:val="24"/>
          <w:szCs w:val="24"/>
        </w:rPr>
        <w:t xml:space="preserve">, 29 luglio 2016, n. 247; id., 28 agosto 2017, n. 379; id., 6 marzo 2018, n. 125, </w:t>
      </w:r>
      <w:r w:rsidR="001363AE" w:rsidRPr="00944A90">
        <w:rPr>
          <w:rFonts w:ascii="Garamond" w:hAnsi="Garamond"/>
          <w:i/>
          <w:sz w:val="24"/>
          <w:szCs w:val="24"/>
        </w:rPr>
        <w:t>ivi.</w:t>
      </w:r>
    </w:p>
  </w:footnote>
  <w:footnote w:id="9">
    <w:p w:rsidR="00F21061" w:rsidRPr="00944A90" w:rsidRDefault="00F21061"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Cfr. Cons. St., </w:t>
      </w:r>
      <w:r w:rsidR="003A1912">
        <w:rPr>
          <w:rFonts w:ascii="Garamond" w:hAnsi="Garamond"/>
          <w:sz w:val="24"/>
          <w:szCs w:val="24"/>
        </w:rPr>
        <w:t>Sez. III</w:t>
      </w:r>
      <w:r w:rsidRPr="00944A90">
        <w:rPr>
          <w:rFonts w:ascii="Garamond" w:hAnsi="Garamond"/>
          <w:sz w:val="24"/>
          <w:szCs w:val="24"/>
        </w:rPr>
        <w:t>, 9 febbraio 2017, n. 565; id., 15 marzo 2016, n. 1038; id., 28 giugno 2017, n. 3170</w:t>
      </w:r>
      <w:r w:rsidR="00233430" w:rsidRPr="00944A90">
        <w:rPr>
          <w:rFonts w:ascii="Garamond" w:hAnsi="Garamond"/>
          <w:sz w:val="24"/>
          <w:szCs w:val="24"/>
        </w:rPr>
        <w:t xml:space="preserve">, in </w:t>
      </w:r>
      <w:r w:rsidR="00233430" w:rsidRPr="00944A90">
        <w:rPr>
          <w:rFonts w:ascii="Garamond" w:hAnsi="Garamond"/>
          <w:i/>
          <w:sz w:val="24"/>
          <w:szCs w:val="24"/>
        </w:rPr>
        <w:t>www.giustizia-amministrativa.it</w:t>
      </w:r>
      <w:r w:rsidR="00233430" w:rsidRPr="00944A90">
        <w:rPr>
          <w:rFonts w:ascii="Garamond" w:hAnsi="Garamond"/>
          <w:sz w:val="24"/>
          <w:szCs w:val="24"/>
        </w:rPr>
        <w:t>.</w:t>
      </w:r>
    </w:p>
  </w:footnote>
  <w:footnote w:id="10">
    <w:p w:rsidR="00E82EF3" w:rsidRPr="00944A90" w:rsidRDefault="00E82EF3"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C</w:t>
      </w:r>
      <w:r w:rsidRPr="00944A90">
        <w:rPr>
          <w:rFonts w:ascii="Garamond" w:hAnsi="Garamond"/>
          <w:sz w:val="24"/>
          <w:szCs w:val="24"/>
          <w:lang w:val="x-none"/>
        </w:rPr>
        <w:t>. Cost.</w:t>
      </w:r>
      <w:r w:rsidR="00895517" w:rsidRPr="00944A90">
        <w:rPr>
          <w:rFonts w:ascii="Garamond" w:hAnsi="Garamond"/>
          <w:sz w:val="24"/>
          <w:szCs w:val="24"/>
        </w:rPr>
        <w:t>,</w:t>
      </w:r>
      <w:r w:rsidRPr="00944A90">
        <w:rPr>
          <w:rFonts w:ascii="Garamond" w:hAnsi="Garamond"/>
          <w:sz w:val="24"/>
          <w:szCs w:val="24"/>
          <w:lang w:val="x-none"/>
        </w:rPr>
        <w:t xml:space="preserve"> 19 marzo 1993</w:t>
      </w:r>
      <w:r w:rsidRPr="00944A90">
        <w:rPr>
          <w:rFonts w:ascii="Garamond" w:hAnsi="Garamond"/>
          <w:sz w:val="24"/>
          <w:szCs w:val="24"/>
        </w:rPr>
        <w:t>, n. 103</w:t>
      </w:r>
      <w:r w:rsidRPr="00944A90">
        <w:rPr>
          <w:rFonts w:ascii="Garamond" w:hAnsi="Garamond"/>
          <w:sz w:val="24"/>
          <w:szCs w:val="24"/>
          <w:lang w:val="x-none"/>
        </w:rPr>
        <w:t xml:space="preserve">; </w:t>
      </w:r>
      <w:r w:rsidRPr="00944A90">
        <w:rPr>
          <w:rFonts w:ascii="Garamond" w:hAnsi="Garamond"/>
          <w:sz w:val="24"/>
          <w:szCs w:val="24"/>
        </w:rPr>
        <w:t xml:space="preserve">cfr. anche </w:t>
      </w:r>
      <w:proofErr w:type="spellStart"/>
      <w:r w:rsidR="00AD40E7" w:rsidRPr="00944A90">
        <w:rPr>
          <w:rFonts w:ascii="Garamond" w:hAnsi="Garamond"/>
          <w:sz w:val="24"/>
          <w:szCs w:val="24"/>
        </w:rPr>
        <w:t>sen</w:t>
      </w:r>
      <w:r w:rsidR="009A60BF" w:rsidRPr="00944A90">
        <w:rPr>
          <w:rFonts w:ascii="Garamond" w:hAnsi="Garamond"/>
          <w:sz w:val="24"/>
          <w:szCs w:val="24"/>
        </w:rPr>
        <w:t>t</w:t>
      </w:r>
      <w:r w:rsidR="00AD40E7" w:rsidRPr="00944A90">
        <w:rPr>
          <w:rFonts w:ascii="Garamond" w:hAnsi="Garamond"/>
          <w:sz w:val="24"/>
          <w:szCs w:val="24"/>
        </w:rPr>
        <w:t>t</w:t>
      </w:r>
      <w:proofErr w:type="spellEnd"/>
      <w:r w:rsidR="00AD40E7" w:rsidRPr="00944A90">
        <w:rPr>
          <w:rFonts w:ascii="Garamond" w:hAnsi="Garamond"/>
          <w:sz w:val="24"/>
          <w:szCs w:val="24"/>
        </w:rPr>
        <w:t xml:space="preserve">. </w:t>
      </w:r>
      <w:r w:rsidRPr="00944A90">
        <w:rPr>
          <w:rFonts w:ascii="Garamond" w:hAnsi="Garamond"/>
          <w:sz w:val="24"/>
          <w:szCs w:val="24"/>
          <w:lang w:val="x-none"/>
        </w:rPr>
        <w:t>26</w:t>
      </w:r>
      <w:r w:rsidR="00AD40E7" w:rsidRPr="00944A90">
        <w:rPr>
          <w:rFonts w:ascii="Garamond" w:hAnsi="Garamond"/>
          <w:sz w:val="24"/>
          <w:szCs w:val="24"/>
        </w:rPr>
        <w:t xml:space="preserve"> giugno </w:t>
      </w:r>
      <w:r w:rsidRPr="00944A90">
        <w:rPr>
          <w:rFonts w:ascii="Garamond" w:hAnsi="Garamond"/>
          <w:sz w:val="24"/>
          <w:szCs w:val="24"/>
          <w:lang w:val="x-none"/>
        </w:rPr>
        <w:t>2007</w:t>
      </w:r>
      <w:r w:rsidR="00AD40E7" w:rsidRPr="00944A90">
        <w:rPr>
          <w:rFonts w:ascii="Garamond" w:hAnsi="Garamond"/>
          <w:sz w:val="24"/>
          <w:szCs w:val="24"/>
        </w:rPr>
        <w:t>, n. 237</w:t>
      </w:r>
      <w:r w:rsidRPr="00944A90">
        <w:rPr>
          <w:rFonts w:ascii="Garamond" w:hAnsi="Garamond"/>
          <w:sz w:val="24"/>
          <w:szCs w:val="24"/>
          <w:lang w:val="x-none"/>
        </w:rPr>
        <w:t xml:space="preserve">; </w:t>
      </w:r>
      <w:r w:rsidR="00E84A0D" w:rsidRPr="00944A90">
        <w:rPr>
          <w:rFonts w:ascii="Garamond" w:hAnsi="Garamond"/>
          <w:sz w:val="24"/>
          <w:szCs w:val="24"/>
          <w:lang w:val="x-none"/>
        </w:rPr>
        <w:t xml:space="preserve">23 giugno </w:t>
      </w:r>
      <w:r w:rsidRPr="00944A90">
        <w:rPr>
          <w:rFonts w:ascii="Garamond" w:hAnsi="Garamond"/>
          <w:sz w:val="24"/>
          <w:szCs w:val="24"/>
          <w:lang w:val="x-none"/>
        </w:rPr>
        <w:t>2014</w:t>
      </w:r>
      <w:r w:rsidR="00E84A0D" w:rsidRPr="00944A90">
        <w:rPr>
          <w:rFonts w:ascii="Garamond" w:hAnsi="Garamond"/>
          <w:sz w:val="24"/>
          <w:szCs w:val="24"/>
        </w:rPr>
        <w:t>, n. 182</w:t>
      </w:r>
      <w:r w:rsidR="00E84A0D" w:rsidRPr="00944A90">
        <w:rPr>
          <w:rFonts w:ascii="Garamond" w:hAnsi="Garamond"/>
          <w:sz w:val="24"/>
          <w:szCs w:val="24"/>
          <w:lang w:val="x-none"/>
        </w:rPr>
        <w:t xml:space="preserve">; 30 aprile </w:t>
      </w:r>
      <w:r w:rsidRPr="00944A90">
        <w:rPr>
          <w:rFonts w:ascii="Garamond" w:hAnsi="Garamond"/>
          <w:sz w:val="24"/>
          <w:szCs w:val="24"/>
          <w:lang w:val="x-none"/>
        </w:rPr>
        <w:t>2015</w:t>
      </w:r>
      <w:r w:rsidR="00C126FA" w:rsidRPr="00944A90">
        <w:rPr>
          <w:rFonts w:ascii="Garamond" w:hAnsi="Garamond"/>
          <w:sz w:val="24"/>
          <w:szCs w:val="24"/>
        </w:rPr>
        <w:t xml:space="preserve">, n. 71, tutte in </w:t>
      </w:r>
      <w:r w:rsidR="00C126FA" w:rsidRPr="00944A90">
        <w:rPr>
          <w:rFonts w:ascii="Garamond" w:hAnsi="Garamond"/>
          <w:i/>
          <w:sz w:val="24"/>
          <w:szCs w:val="24"/>
        </w:rPr>
        <w:t>www.cortecostituzionale.it</w:t>
      </w:r>
      <w:r w:rsidR="00C126FA" w:rsidRPr="00944A90">
        <w:rPr>
          <w:rFonts w:ascii="Garamond" w:hAnsi="Garamond"/>
          <w:sz w:val="24"/>
          <w:szCs w:val="24"/>
        </w:rPr>
        <w:t>.</w:t>
      </w:r>
    </w:p>
  </w:footnote>
  <w:footnote w:id="11">
    <w:p w:rsidR="00AD40E7" w:rsidRPr="00944A90" w:rsidRDefault="00AD40E7"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C. Cos</w:t>
      </w:r>
      <w:r w:rsidR="002709E0" w:rsidRPr="00944A90">
        <w:rPr>
          <w:rFonts w:ascii="Garamond" w:hAnsi="Garamond"/>
          <w:sz w:val="24"/>
          <w:szCs w:val="24"/>
        </w:rPr>
        <w:t xml:space="preserve">t., 19 marzo 1993, n. 103, cit., la quale ha conseguentemente statuito nel senso che, essendo le misure antimafia </w:t>
      </w:r>
      <w:r w:rsidR="002709E0" w:rsidRPr="00944A90">
        <w:rPr>
          <w:rFonts w:ascii="Garamond" w:hAnsi="Garamond"/>
          <w:i/>
          <w:sz w:val="24"/>
          <w:szCs w:val="24"/>
        </w:rPr>
        <w:t xml:space="preserve">“caratterizzate dal fatto di costituire la reazione dell’ordinamento alle ipotesi di attentato all’ordine ed alla sicurezza pubblica”, </w:t>
      </w:r>
      <w:r w:rsidR="002709E0" w:rsidRPr="00944A90">
        <w:rPr>
          <w:rFonts w:ascii="Garamond" w:hAnsi="Garamond"/>
          <w:sz w:val="24"/>
          <w:szCs w:val="24"/>
        </w:rPr>
        <w:t>sono ragionevoli e non contrastano con l’art. 97 Cost. le deroghe legislativamente previste agli obblighi partecipativi previsti dalla L. 7 agosto 1990, n. 241</w:t>
      </w:r>
      <w:r w:rsidR="002709E0" w:rsidRPr="00944A90">
        <w:rPr>
          <w:rFonts w:ascii="Garamond" w:hAnsi="Garamond"/>
          <w:i/>
          <w:sz w:val="24"/>
          <w:szCs w:val="24"/>
        </w:rPr>
        <w:t>, “dato che la disciplina del procedimento amministrativo è rimessa alla discrezionalità del legislatore nei limiti della ragionevolezza e del rispetto degli altri principi costituzionali, tra i quali […] non è compreso quello del “giusto procedimento” amministrativo, dato che la tutela delle situazioni soggettive è comunque assicurata in sede giurisdizionale dagli artt. 24 e 113 Cost.”.</w:t>
      </w:r>
    </w:p>
  </w:footnote>
  <w:footnote w:id="12">
    <w:p w:rsidR="001C4C0C" w:rsidRPr="00944A90" w:rsidRDefault="001C4C0C"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00AD40E7" w:rsidRPr="00944A90">
        <w:rPr>
          <w:rFonts w:ascii="Garamond" w:hAnsi="Garamond"/>
          <w:sz w:val="24"/>
          <w:szCs w:val="24"/>
        </w:rPr>
        <w:t xml:space="preserve"> Si veda, in tal senso, </w:t>
      </w:r>
      <w:r w:rsidRPr="00944A90">
        <w:rPr>
          <w:rFonts w:ascii="Garamond" w:hAnsi="Garamond"/>
          <w:sz w:val="24"/>
          <w:szCs w:val="24"/>
        </w:rPr>
        <w:t>la recente pronuncia del Consiglio di Stato</w:t>
      </w:r>
      <w:r w:rsidR="00E01766" w:rsidRPr="00944A90">
        <w:rPr>
          <w:rFonts w:ascii="Garamond" w:hAnsi="Garamond"/>
          <w:sz w:val="24"/>
          <w:szCs w:val="24"/>
        </w:rPr>
        <w:t xml:space="preserve">, </w:t>
      </w:r>
      <w:r w:rsidR="003A1912">
        <w:rPr>
          <w:rFonts w:ascii="Garamond" w:hAnsi="Garamond"/>
          <w:sz w:val="24"/>
          <w:szCs w:val="24"/>
        </w:rPr>
        <w:t>Sez. III</w:t>
      </w:r>
      <w:r w:rsidRPr="00944A90">
        <w:rPr>
          <w:rFonts w:ascii="Garamond" w:hAnsi="Garamond"/>
          <w:sz w:val="24"/>
          <w:szCs w:val="24"/>
        </w:rPr>
        <w:t xml:space="preserve">, n. </w:t>
      </w:r>
      <w:r w:rsidR="00D00659" w:rsidRPr="00944A90">
        <w:rPr>
          <w:rFonts w:ascii="Garamond" w:hAnsi="Garamond"/>
          <w:sz w:val="24"/>
          <w:szCs w:val="24"/>
        </w:rPr>
        <w:t>1968</w:t>
      </w:r>
      <w:r w:rsidRPr="00944A90">
        <w:rPr>
          <w:rFonts w:ascii="Garamond" w:hAnsi="Garamond"/>
          <w:sz w:val="24"/>
          <w:szCs w:val="24"/>
        </w:rPr>
        <w:t xml:space="preserve"> del 25 marzo 2019, nella quale si legge che: “</w:t>
      </w:r>
      <w:r w:rsidRPr="00944A90">
        <w:rPr>
          <w:rFonts w:ascii="Garamond" w:hAnsi="Garamond"/>
          <w:i/>
          <w:iCs/>
          <w:sz w:val="24"/>
          <w:szCs w:val="24"/>
        </w:rPr>
        <w:t xml:space="preserve">il procedimento </w:t>
      </w:r>
      <w:proofErr w:type="spellStart"/>
      <w:r w:rsidRPr="00944A90">
        <w:rPr>
          <w:rFonts w:ascii="Garamond" w:hAnsi="Garamond"/>
          <w:i/>
          <w:iCs/>
          <w:sz w:val="24"/>
          <w:szCs w:val="24"/>
        </w:rPr>
        <w:t>interdittivo</w:t>
      </w:r>
      <w:proofErr w:type="spellEnd"/>
      <w:r w:rsidRPr="00944A90">
        <w:rPr>
          <w:rFonts w:ascii="Garamond" w:hAnsi="Garamond"/>
          <w:i/>
          <w:iCs/>
          <w:sz w:val="24"/>
          <w:szCs w:val="24"/>
        </w:rPr>
        <w:t xml:space="preserve"> antimafia conosce una attenuazione delle garanzie partecipative per via della intrinseca urgenza, tipica della prevenzione in questa materia, e [..] il principio del giusto procedimento non è un valore assoluto, sciolto, cioè, dal doveroso bilanciamento con altri e, se del caso, prevalenti principî, in quanto la partecipazione procedimentale, garantita in via di principio dall’art. 7 della l. n. 241 del 1990, può incontrare deroghe e limiti in esigenze inderogabili di ordine pubblico, come nel caso di specie”</w:t>
      </w:r>
      <w:r w:rsidRPr="00944A90">
        <w:rPr>
          <w:rFonts w:ascii="Garamond" w:hAnsi="Garamond"/>
          <w:sz w:val="24"/>
          <w:szCs w:val="24"/>
        </w:rPr>
        <w:t xml:space="preserve">; cfr. anche Cons. St., </w:t>
      </w:r>
      <w:r w:rsidR="003A1912">
        <w:rPr>
          <w:rFonts w:ascii="Garamond" w:hAnsi="Garamond"/>
          <w:sz w:val="24"/>
          <w:szCs w:val="24"/>
        </w:rPr>
        <w:t>Sez. III</w:t>
      </w:r>
      <w:r w:rsidR="0068287F" w:rsidRPr="00944A90">
        <w:rPr>
          <w:rFonts w:ascii="Garamond" w:hAnsi="Garamond"/>
          <w:sz w:val="24"/>
          <w:szCs w:val="24"/>
        </w:rPr>
        <w:t xml:space="preserve">, </w:t>
      </w:r>
      <w:r w:rsidRPr="00944A90">
        <w:rPr>
          <w:rFonts w:ascii="Garamond" w:hAnsi="Garamond"/>
          <w:sz w:val="24"/>
          <w:szCs w:val="24"/>
        </w:rPr>
        <w:t>30 gennaio 2019, n. 758; id., 5 settembre 2019, n. 6105; id., 31 gennaio 2020, n. 820</w:t>
      </w:r>
      <w:r w:rsidR="0068287F" w:rsidRPr="00944A90">
        <w:rPr>
          <w:rFonts w:ascii="Garamond" w:hAnsi="Garamond"/>
          <w:sz w:val="24"/>
          <w:szCs w:val="24"/>
        </w:rPr>
        <w:t xml:space="preserve"> (</w:t>
      </w:r>
      <w:r w:rsidRPr="00944A90">
        <w:rPr>
          <w:rFonts w:ascii="Garamond" w:hAnsi="Garamond"/>
          <w:sz w:val="24"/>
          <w:szCs w:val="24"/>
        </w:rPr>
        <w:t>della quale si tratterà più avanti</w:t>
      </w:r>
      <w:r w:rsidR="0068287F" w:rsidRPr="00944A90">
        <w:rPr>
          <w:rFonts w:ascii="Garamond" w:hAnsi="Garamond"/>
          <w:sz w:val="24"/>
          <w:szCs w:val="24"/>
        </w:rPr>
        <w:t>).</w:t>
      </w:r>
      <w:r w:rsidR="000E2D1E" w:rsidRPr="00944A90">
        <w:rPr>
          <w:rFonts w:ascii="Garamond" w:hAnsi="Garamond"/>
          <w:sz w:val="24"/>
          <w:szCs w:val="24"/>
        </w:rPr>
        <w:t xml:space="preserve"> Ancora, si veda Cons. St., </w:t>
      </w:r>
      <w:r w:rsidR="003A1912">
        <w:rPr>
          <w:rFonts w:ascii="Garamond" w:hAnsi="Garamond"/>
          <w:sz w:val="24"/>
          <w:szCs w:val="24"/>
        </w:rPr>
        <w:t>Sez. III</w:t>
      </w:r>
      <w:r w:rsidR="000E2D1E" w:rsidRPr="00944A90">
        <w:rPr>
          <w:rFonts w:ascii="Garamond" w:hAnsi="Garamond"/>
          <w:sz w:val="24"/>
          <w:szCs w:val="24"/>
        </w:rPr>
        <w:t xml:space="preserve">, 28 ottobre 2016, n. 4555 per la ricostruzione del procedimento in materia di tutela antimafia come </w:t>
      </w:r>
      <w:r w:rsidR="000E2D1E" w:rsidRPr="00944A90">
        <w:rPr>
          <w:rFonts w:ascii="Garamond" w:hAnsi="Garamond"/>
          <w:i/>
          <w:sz w:val="24"/>
          <w:szCs w:val="24"/>
        </w:rPr>
        <w:t>“intrinsecamente caratterizzato da profili del tutto specifici connessi ad attività di indagine, oltre che da finalità, da destinatari e da presupposti incompatibili con le procedure partecipative, nonché da oggettive e intrinseche ragioni di urgenza”.</w:t>
      </w:r>
    </w:p>
  </w:footnote>
  <w:footnote w:id="13">
    <w:p w:rsidR="0068287F" w:rsidRPr="00944A90" w:rsidRDefault="0068287F" w:rsidP="0068287F">
      <w:pPr>
        <w:pStyle w:val="Testonotaapidipagina"/>
        <w:ind w:firstLine="284"/>
        <w:jc w:val="both"/>
        <w:rPr>
          <w:rFonts w:ascii="Garamond" w:hAnsi="Garamond"/>
          <w:i/>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Si legge in Cons. St., </w:t>
      </w:r>
      <w:r w:rsidR="003A1912">
        <w:rPr>
          <w:rFonts w:ascii="Garamond" w:hAnsi="Garamond"/>
          <w:sz w:val="24"/>
          <w:szCs w:val="24"/>
        </w:rPr>
        <w:t>Sez. III</w:t>
      </w:r>
      <w:r w:rsidRPr="00944A90">
        <w:rPr>
          <w:rFonts w:ascii="Garamond" w:hAnsi="Garamond"/>
          <w:sz w:val="24"/>
          <w:szCs w:val="24"/>
        </w:rPr>
        <w:t xml:space="preserve">, 9 febbraio 2017, n. 565: </w:t>
      </w:r>
      <w:r w:rsidRPr="00944A90">
        <w:rPr>
          <w:rFonts w:ascii="Garamond" w:hAnsi="Garamond"/>
          <w:i/>
          <w:sz w:val="24"/>
          <w:szCs w:val="24"/>
        </w:rPr>
        <w:t>“la delicatezza di tale ponderazione intesa a contrastare in via preventiva la minaccia insidiosa ed esiziale delle organizzazioni mafiose, richiesta all’autorità amministrativa, può comportare anche un’attenuazione, se non una eliminazione, del contraddittorio procedimentale, che del resto non è un valore assoluto, slegato dal doveroso contemperamento di esso con interessi di pari se non superiore rango costituzionale, né un bene in sé, o un fine supremo e ad ogni costo irrinunciabile, ma è un principio strumentale al buon andamento della pubblica amministrazione (art. 97 Cost.) e, in ultima analisi, al principio di legalità sostanziale (art. 3, comma secondo, Cost.), vero e più profondo fondamento del moderno diritto amministrativo”</w:t>
      </w:r>
      <w:r w:rsidR="00E83E37" w:rsidRPr="00944A90">
        <w:rPr>
          <w:rFonts w:ascii="Garamond" w:hAnsi="Garamond"/>
          <w:i/>
          <w:sz w:val="24"/>
          <w:szCs w:val="24"/>
        </w:rPr>
        <w:t>.</w:t>
      </w:r>
    </w:p>
  </w:footnote>
  <w:footnote w:id="14">
    <w:p w:rsidR="00A52663" w:rsidRPr="00944A90" w:rsidRDefault="00A52663"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0068287F" w:rsidRPr="00944A90">
        <w:rPr>
          <w:rFonts w:ascii="Garamond" w:hAnsi="Garamond"/>
          <w:sz w:val="24"/>
          <w:szCs w:val="24"/>
        </w:rPr>
        <w:t xml:space="preserve">A mente dell’art. 93, c. 7, D.Lgs. n. 159 del 2011, infatti, </w:t>
      </w:r>
      <w:r w:rsidR="0068287F" w:rsidRPr="00944A90">
        <w:rPr>
          <w:rFonts w:ascii="Garamond" w:hAnsi="Garamond"/>
          <w:i/>
          <w:sz w:val="24"/>
          <w:szCs w:val="24"/>
        </w:rPr>
        <w:t>“il prefetto competente al rilascio dell’informazione, ove lo ritenga utile, sulla base della documentazione e delle informazioni acquisite invita, in sede di audizione personale, i soggetti interessati a produrre, anche allegando elementi documentali, ogni informazione ritenuta utile”.</w:t>
      </w:r>
    </w:p>
  </w:footnote>
  <w:footnote w:id="15">
    <w:p w:rsidR="00CD1303" w:rsidRPr="00944A90" w:rsidRDefault="008F3002"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00015225" w:rsidRPr="00944A90">
        <w:rPr>
          <w:rFonts w:ascii="Garamond" w:hAnsi="Garamond"/>
          <w:sz w:val="24"/>
          <w:szCs w:val="24"/>
        </w:rPr>
        <w:t>L’</w:t>
      </w:r>
      <w:r w:rsidR="002F2917" w:rsidRPr="00944A90">
        <w:rPr>
          <w:rFonts w:ascii="Garamond" w:hAnsi="Garamond"/>
          <w:sz w:val="24"/>
          <w:szCs w:val="24"/>
        </w:rPr>
        <w:t>istituto del “preavviso di rigetto (dell’istanza) o (pre)avviso di provvedimento sfavorevole” (</w:t>
      </w:r>
      <w:r w:rsidR="003A1912" w:rsidRPr="00944A90">
        <w:rPr>
          <w:rFonts w:ascii="Garamond" w:hAnsi="Garamond"/>
          <w:sz w:val="24"/>
          <w:szCs w:val="24"/>
        </w:rPr>
        <w:t>S.</w:t>
      </w:r>
      <w:r w:rsidR="002F2917" w:rsidRPr="00944A90">
        <w:rPr>
          <w:rFonts w:ascii="Garamond" w:hAnsi="Garamond"/>
          <w:sz w:val="24"/>
          <w:szCs w:val="24"/>
        </w:rPr>
        <w:t xml:space="preserve">TARULLO, </w:t>
      </w:r>
      <w:r w:rsidR="001F3E71" w:rsidRPr="00944A90">
        <w:rPr>
          <w:rFonts w:ascii="Garamond" w:hAnsi="Garamond"/>
          <w:i/>
          <w:iCs/>
          <w:sz w:val="24"/>
          <w:szCs w:val="24"/>
        </w:rPr>
        <w:t xml:space="preserve">L’art. 10 </w:t>
      </w:r>
      <w:r w:rsidR="002F2917" w:rsidRPr="00944A90">
        <w:rPr>
          <w:rFonts w:ascii="Garamond" w:hAnsi="Garamond"/>
          <w:i/>
          <w:iCs/>
          <w:sz w:val="24"/>
          <w:szCs w:val="24"/>
        </w:rPr>
        <w:t>bis della l. n. 241/90: il preavviso di rigetto tra garanzia partecipativa e collaborazione istruttoria</w:t>
      </w:r>
      <w:r w:rsidR="002F2917" w:rsidRPr="00944A90">
        <w:rPr>
          <w:rFonts w:ascii="Garamond" w:hAnsi="Garamond"/>
          <w:sz w:val="24"/>
          <w:szCs w:val="24"/>
        </w:rPr>
        <w:t xml:space="preserve">, in </w:t>
      </w:r>
      <w:r w:rsidR="002F2917" w:rsidRPr="007B0E13">
        <w:rPr>
          <w:rFonts w:ascii="Garamond" w:hAnsi="Garamond"/>
          <w:i/>
          <w:iCs/>
          <w:sz w:val="24"/>
          <w:szCs w:val="24"/>
        </w:rPr>
        <w:t>www.giustamm.it</w:t>
      </w:r>
      <w:r w:rsidR="002F2917" w:rsidRPr="00944A90">
        <w:rPr>
          <w:rFonts w:ascii="Garamond" w:hAnsi="Garamond"/>
          <w:sz w:val="24"/>
          <w:szCs w:val="24"/>
        </w:rPr>
        <w:t xml:space="preserve">) </w:t>
      </w:r>
      <w:r w:rsidR="001F3E71" w:rsidRPr="00944A90">
        <w:rPr>
          <w:rFonts w:ascii="Garamond" w:hAnsi="Garamond"/>
          <w:sz w:val="24"/>
          <w:szCs w:val="24"/>
        </w:rPr>
        <w:t>è stato impiantato nella L. 7 agosto 19</w:t>
      </w:r>
      <w:r w:rsidR="002F2917" w:rsidRPr="00944A90">
        <w:rPr>
          <w:rFonts w:ascii="Garamond" w:hAnsi="Garamond"/>
          <w:sz w:val="24"/>
          <w:szCs w:val="24"/>
        </w:rPr>
        <w:t>90</w:t>
      </w:r>
      <w:r w:rsidR="001F3E71" w:rsidRPr="00944A90">
        <w:rPr>
          <w:rFonts w:ascii="Garamond" w:hAnsi="Garamond"/>
          <w:sz w:val="24"/>
          <w:szCs w:val="24"/>
        </w:rPr>
        <w:t>, n. 241,</w:t>
      </w:r>
      <w:r w:rsidR="002F2917" w:rsidRPr="00944A90">
        <w:rPr>
          <w:rFonts w:ascii="Garamond" w:hAnsi="Garamond"/>
          <w:sz w:val="24"/>
          <w:szCs w:val="24"/>
        </w:rPr>
        <w:t xml:space="preserve"> dalla L. </w:t>
      </w:r>
      <w:r w:rsidR="001F3E71" w:rsidRPr="00944A90">
        <w:rPr>
          <w:rFonts w:ascii="Garamond" w:hAnsi="Garamond"/>
          <w:sz w:val="24"/>
          <w:szCs w:val="24"/>
        </w:rPr>
        <w:t xml:space="preserve">11 febbraio </w:t>
      </w:r>
      <w:r w:rsidR="002F2917" w:rsidRPr="00944A90">
        <w:rPr>
          <w:rFonts w:ascii="Garamond" w:hAnsi="Garamond"/>
          <w:sz w:val="24"/>
          <w:szCs w:val="24"/>
        </w:rPr>
        <w:t>2005</w:t>
      </w:r>
      <w:r w:rsidR="001F3E71" w:rsidRPr="00944A90">
        <w:rPr>
          <w:rFonts w:ascii="Garamond" w:hAnsi="Garamond"/>
          <w:sz w:val="24"/>
          <w:szCs w:val="24"/>
        </w:rPr>
        <w:t>, n. 15</w:t>
      </w:r>
      <w:r w:rsidR="009A60BF" w:rsidRPr="00944A90">
        <w:rPr>
          <w:rFonts w:ascii="Garamond" w:hAnsi="Garamond"/>
          <w:sz w:val="24"/>
          <w:szCs w:val="24"/>
        </w:rPr>
        <w:t>. E</w:t>
      </w:r>
      <w:r w:rsidR="00CD1303" w:rsidRPr="00944A90">
        <w:rPr>
          <w:rFonts w:ascii="Garamond" w:hAnsi="Garamond"/>
          <w:sz w:val="24"/>
          <w:szCs w:val="24"/>
        </w:rPr>
        <w:t>sso vale ad introdurre un’ulteriore fase partecipativa all’interno del procedimento</w:t>
      </w:r>
      <w:r w:rsidR="00E12505" w:rsidRPr="00944A90">
        <w:rPr>
          <w:rFonts w:ascii="Garamond" w:hAnsi="Garamond"/>
          <w:sz w:val="24"/>
          <w:szCs w:val="24"/>
        </w:rPr>
        <w:t xml:space="preserve">, inserendosi </w:t>
      </w:r>
      <w:r w:rsidR="00CD1303" w:rsidRPr="00944A90">
        <w:rPr>
          <w:rFonts w:ascii="Garamond" w:hAnsi="Garamond"/>
          <w:sz w:val="24"/>
          <w:szCs w:val="24"/>
        </w:rPr>
        <w:t>“</w:t>
      </w:r>
      <w:r w:rsidR="00CD1303" w:rsidRPr="00944A90">
        <w:rPr>
          <w:rFonts w:ascii="Garamond" w:hAnsi="Garamond"/>
          <w:i/>
          <w:iCs/>
          <w:sz w:val="24"/>
          <w:szCs w:val="24"/>
        </w:rPr>
        <w:t xml:space="preserve">nella scansione procedimentale come una seconda comunicazione volta, a differenza di quella prevista dall’art. 7, a rappresentare al soggetto che ha attivato l’azione amministrativa l’esistenza di motivi che ostano all’accoglimento della sua istanza. Tale comunicazione ha valenza istruttoria (consentendo al destinatario di presentare memorie e documenti) e nello stesso tempo rafforza il contraddittorio, anticipandolo già nella fase procedimentale, al chiaro fine di realizzare una funzione deflattiva (…). L’anticipazione del contraddittorio, che normalmente ha luogo nel processo, consente all’Amministrazione di mutare il proprio orientamento, ove le osservazioni dell’interessato dovessero rilevarsi </w:t>
      </w:r>
      <w:r w:rsidR="00E12505" w:rsidRPr="00944A90">
        <w:rPr>
          <w:rFonts w:ascii="Garamond" w:hAnsi="Garamond"/>
          <w:i/>
          <w:iCs/>
          <w:sz w:val="24"/>
          <w:szCs w:val="24"/>
        </w:rPr>
        <w:t xml:space="preserve">convincenti” </w:t>
      </w:r>
      <w:r w:rsidR="00E12505" w:rsidRPr="00944A90">
        <w:rPr>
          <w:rFonts w:ascii="Garamond" w:hAnsi="Garamond"/>
          <w:iCs/>
          <w:sz w:val="24"/>
          <w:szCs w:val="24"/>
        </w:rPr>
        <w:t xml:space="preserve">(T.A.R. Lombardia </w:t>
      </w:r>
      <w:r w:rsidR="009A60BF" w:rsidRPr="00944A90">
        <w:rPr>
          <w:rFonts w:ascii="Garamond" w:hAnsi="Garamond"/>
          <w:iCs/>
          <w:sz w:val="24"/>
          <w:szCs w:val="24"/>
        </w:rPr>
        <w:t xml:space="preserve">- </w:t>
      </w:r>
      <w:r w:rsidR="00E01766" w:rsidRPr="00944A90">
        <w:rPr>
          <w:rFonts w:ascii="Garamond" w:hAnsi="Garamond"/>
          <w:iCs/>
          <w:sz w:val="24"/>
          <w:szCs w:val="24"/>
        </w:rPr>
        <w:t xml:space="preserve">Milano, </w:t>
      </w:r>
      <w:proofErr w:type="spellStart"/>
      <w:r w:rsidR="003A1912">
        <w:rPr>
          <w:rFonts w:ascii="Garamond" w:hAnsi="Garamond"/>
          <w:iCs/>
          <w:sz w:val="24"/>
          <w:szCs w:val="24"/>
        </w:rPr>
        <w:t>Sez.</w:t>
      </w:r>
      <w:r w:rsidR="00E12505" w:rsidRPr="00944A90">
        <w:rPr>
          <w:rFonts w:ascii="Garamond" w:hAnsi="Garamond"/>
          <w:iCs/>
          <w:sz w:val="24"/>
          <w:szCs w:val="24"/>
        </w:rPr>
        <w:t>IV</w:t>
      </w:r>
      <w:proofErr w:type="spellEnd"/>
      <w:r w:rsidR="00E12505" w:rsidRPr="00944A90">
        <w:rPr>
          <w:rFonts w:ascii="Garamond" w:hAnsi="Garamond"/>
          <w:iCs/>
          <w:sz w:val="24"/>
          <w:szCs w:val="24"/>
        </w:rPr>
        <w:t xml:space="preserve">, </w:t>
      </w:r>
      <w:r w:rsidR="00EF5638">
        <w:rPr>
          <w:rFonts w:ascii="Garamond" w:hAnsi="Garamond"/>
          <w:iCs/>
          <w:sz w:val="24"/>
          <w:szCs w:val="24"/>
        </w:rPr>
        <w:t>3</w:t>
      </w:r>
      <w:r w:rsidR="00E12505" w:rsidRPr="00944A90">
        <w:rPr>
          <w:rFonts w:ascii="Garamond" w:hAnsi="Garamond"/>
          <w:iCs/>
          <w:sz w:val="24"/>
          <w:szCs w:val="24"/>
        </w:rPr>
        <w:t xml:space="preserve"> luglio 2012, n. 1888).</w:t>
      </w:r>
    </w:p>
    <w:p w:rsidR="00864174" w:rsidRPr="00944A90" w:rsidRDefault="00E12505" w:rsidP="003D6E73">
      <w:pPr>
        <w:pStyle w:val="Testonotaapidipagina"/>
        <w:ind w:firstLine="284"/>
        <w:jc w:val="both"/>
        <w:rPr>
          <w:rFonts w:ascii="Garamond" w:hAnsi="Garamond"/>
          <w:sz w:val="24"/>
          <w:szCs w:val="24"/>
        </w:rPr>
      </w:pPr>
      <w:r w:rsidRPr="00944A90">
        <w:rPr>
          <w:rFonts w:ascii="Garamond" w:hAnsi="Garamond"/>
          <w:sz w:val="24"/>
          <w:szCs w:val="24"/>
        </w:rPr>
        <w:t xml:space="preserve">Dalla riconosciuta finalità deflattiva del contenzioso, parte della giurisprudenza ha ritenuto </w:t>
      </w:r>
      <w:r w:rsidR="00847E9F" w:rsidRPr="00944A90">
        <w:rPr>
          <w:rFonts w:ascii="Garamond" w:hAnsi="Garamond"/>
          <w:sz w:val="24"/>
          <w:szCs w:val="24"/>
        </w:rPr>
        <w:t xml:space="preserve">che </w:t>
      </w:r>
      <w:r w:rsidRPr="00944A90">
        <w:rPr>
          <w:rFonts w:ascii="Garamond" w:hAnsi="Garamond"/>
          <w:sz w:val="24"/>
          <w:szCs w:val="24"/>
        </w:rPr>
        <w:t xml:space="preserve">il </w:t>
      </w:r>
      <w:r w:rsidR="00847E9F" w:rsidRPr="00944A90">
        <w:rPr>
          <w:rFonts w:ascii="Garamond" w:hAnsi="Garamond"/>
          <w:sz w:val="24"/>
          <w:szCs w:val="24"/>
        </w:rPr>
        <w:t>privato, che</w:t>
      </w:r>
      <w:r w:rsidRPr="00944A90">
        <w:rPr>
          <w:rFonts w:ascii="Garamond" w:hAnsi="Garamond"/>
          <w:sz w:val="24"/>
          <w:szCs w:val="24"/>
        </w:rPr>
        <w:t xml:space="preserve"> non a</w:t>
      </w:r>
      <w:r w:rsidR="00847E9F" w:rsidRPr="00944A90">
        <w:rPr>
          <w:rFonts w:ascii="Garamond" w:hAnsi="Garamond"/>
          <w:sz w:val="24"/>
          <w:szCs w:val="24"/>
        </w:rPr>
        <w:t>bbia</w:t>
      </w:r>
      <w:r w:rsidRPr="00944A90">
        <w:rPr>
          <w:rFonts w:ascii="Garamond" w:hAnsi="Garamond"/>
          <w:sz w:val="24"/>
          <w:szCs w:val="24"/>
        </w:rPr>
        <w:t xml:space="preserve"> prodotto elementi a </w:t>
      </w:r>
      <w:r w:rsidR="00847E9F" w:rsidRPr="00944A90">
        <w:rPr>
          <w:rFonts w:ascii="Garamond" w:hAnsi="Garamond"/>
          <w:sz w:val="24"/>
          <w:szCs w:val="24"/>
        </w:rPr>
        <w:t>proprio</w:t>
      </w:r>
      <w:r w:rsidRPr="00944A90">
        <w:rPr>
          <w:rFonts w:ascii="Garamond" w:hAnsi="Garamond"/>
          <w:sz w:val="24"/>
          <w:szCs w:val="24"/>
        </w:rPr>
        <w:t xml:space="preserve"> favore a seguito dell’invio del preavviso di rigetto dell’istanza, </w:t>
      </w:r>
      <w:r w:rsidR="00847E9F" w:rsidRPr="00944A90">
        <w:rPr>
          <w:rFonts w:ascii="Garamond" w:hAnsi="Garamond"/>
          <w:sz w:val="24"/>
          <w:szCs w:val="24"/>
        </w:rPr>
        <w:t>non possa ritenersi successivamente legittimato ad impugnare il provvedimento di segno negativo emesso dall’Amministrazione, in quanto il contegno passivo tenuto nella fase procedimentale rileverebbe in sede processuale quale acquiescenza o accettazione tacita nei confronti del provvedimento stesso</w:t>
      </w:r>
      <w:r w:rsidR="003D6E73" w:rsidRPr="00944A90">
        <w:rPr>
          <w:rFonts w:ascii="Garamond" w:hAnsi="Garamond"/>
          <w:sz w:val="24"/>
          <w:szCs w:val="24"/>
        </w:rPr>
        <w:t>, con conseguente declaratoria di inammissibilità del ricorso</w:t>
      </w:r>
      <w:r w:rsidR="00847E9F" w:rsidRPr="00944A90">
        <w:rPr>
          <w:rFonts w:ascii="Garamond" w:hAnsi="Garamond"/>
          <w:sz w:val="24"/>
          <w:szCs w:val="24"/>
        </w:rPr>
        <w:t>.</w:t>
      </w:r>
      <w:r w:rsidR="0097532D" w:rsidRPr="00944A90">
        <w:rPr>
          <w:rFonts w:ascii="Garamond" w:hAnsi="Garamond"/>
          <w:sz w:val="24"/>
          <w:szCs w:val="24"/>
        </w:rPr>
        <w:t xml:space="preserve"> </w:t>
      </w:r>
      <w:r w:rsidR="00847E9F" w:rsidRPr="00944A90">
        <w:rPr>
          <w:rFonts w:ascii="Garamond" w:hAnsi="Garamond"/>
          <w:sz w:val="24"/>
          <w:szCs w:val="24"/>
        </w:rPr>
        <w:t>Interessante</w:t>
      </w:r>
      <w:r w:rsidR="00644C69" w:rsidRPr="00944A90">
        <w:rPr>
          <w:rFonts w:ascii="Garamond" w:hAnsi="Garamond"/>
          <w:sz w:val="24"/>
          <w:szCs w:val="24"/>
        </w:rPr>
        <w:t xml:space="preserve">, </w:t>
      </w:r>
      <w:r w:rsidR="00847E9F" w:rsidRPr="00944A90">
        <w:rPr>
          <w:rFonts w:ascii="Garamond" w:hAnsi="Garamond"/>
          <w:sz w:val="24"/>
          <w:szCs w:val="24"/>
        </w:rPr>
        <w:t>a tal proposito</w:t>
      </w:r>
      <w:r w:rsidR="00644C69" w:rsidRPr="00944A90">
        <w:rPr>
          <w:rFonts w:ascii="Garamond" w:hAnsi="Garamond"/>
          <w:sz w:val="24"/>
          <w:szCs w:val="24"/>
        </w:rPr>
        <w:t xml:space="preserve">, la sentenza resa dal Tar Puglia - Bari, </w:t>
      </w:r>
      <w:proofErr w:type="spellStart"/>
      <w:r w:rsidR="003A1912">
        <w:rPr>
          <w:rFonts w:ascii="Garamond" w:hAnsi="Garamond"/>
          <w:sz w:val="24"/>
          <w:szCs w:val="24"/>
        </w:rPr>
        <w:t>Sez.</w:t>
      </w:r>
      <w:r w:rsidR="00644C69" w:rsidRPr="00944A90">
        <w:rPr>
          <w:rFonts w:ascii="Garamond" w:hAnsi="Garamond"/>
          <w:sz w:val="24"/>
          <w:szCs w:val="24"/>
        </w:rPr>
        <w:t>I</w:t>
      </w:r>
      <w:proofErr w:type="spellEnd"/>
      <w:r w:rsidR="00644C69" w:rsidRPr="00944A90">
        <w:rPr>
          <w:rFonts w:ascii="Garamond" w:hAnsi="Garamond"/>
          <w:sz w:val="24"/>
          <w:szCs w:val="24"/>
        </w:rPr>
        <w:t xml:space="preserve">, 9 maggio 2002, n. 2269: </w:t>
      </w:r>
      <w:r w:rsidR="003D6E73" w:rsidRPr="00944A90">
        <w:rPr>
          <w:rFonts w:ascii="Garamond" w:hAnsi="Garamond"/>
          <w:sz w:val="24"/>
          <w:szCs w:val="24"/>
        </w:rPr>
        <w:t>“</w:t>
      </w:r>
      <w:r w:rsidR="003D6E73" w:rsidRPr="00944A90">
        <w:rPr>
          <w:rFonts w:ascii="Garamond" w:hAnsi="Garamond"/>
          <w:i/>
          <w:sz w:val="24"/>
          <w:szCs w:val="24"/>
        </w:rPr>
        <w:t xml:space="preserve">Si potrebbe a questo punto obiettare che, ad ogni buon conto, sostanziandosi l’acquiescenza in termini di rinuncia (espressa o tacita) al ricorso, non può aversi nei confronti di un provvedimento amministrativo non ancora emanato (così, ad esempio, Cons. Stato, </w:t>
      </w:r>
      <w:proofErr w:type="spellStart"/>
      <w:r w:rsidR="003A1912">
        <w:rPr>
          <w:rFonts w:ascii="Garamond" w:hAnsi="Garamond"/>
          <w:i/>
          <w:sz w:val="24"/>
          <w:szCs w:val="24"/>
        </w:rPr>
        <w:t>Sez.</w:t>
      </w:r>
      <w:r w:rsidR="003D6E73" w:rsidRPr="00944A90">
        <w:rPr>
          <w:rFonts w:ascii="Garamond" w:hAnsi="Garamond"/>
          <w:i/>
          <w:sz w:val="24"/>
          <w:szCs w:val="24"/>
        </w:rPr>
        <w:t>V</w:t>
      </w:r>
      <w:proofErr w:type="spellEnd"/>
      <w:r w:rsidR="003D6E73" w:rsidRPr="00944A90">
        <w:rPr>
          <w:rFonts w:ascii="Garamond" w:hAnsi="Garamond"/>
          <w:i/>
          <w:sz w:val="24"/>
          <w:szCs w:val="24"/>
        </w:rPr>
        <w:t xml:space="preserve">, 26/10/1998, n. 1540). </w:t>
      </w:r>
    </w:p>
    <w:p w:rsidR="00864174" w:rsidRPr="00944A90" w:rsidRDefault="003D6E73" w:rsidP="003D6E73">
      <w:pPr>
        <w:pStyle w:val="Testonotaapidipagina"/>
        <w:ind w:firstLine="284"/>
        <w:jc w:val="both"/>
        <w:rPr>
          <w:rFonts w:ascii="Garamond" w:hAnsi="Garamond"/>
          <w:i/>
          <w:sz w:val="24"/>
          <w:szCs w:val="24"/>
        </w:rPr>
      </w:pPr>
      <w:r w:rsidRPr="00944A90">
        <w:rPr>
          <w:rFonts w:ascii="Garamond" w:hAnsi="Garamond"/>
          <w:i/>
          <w:sz w:val="24"/>
          <w:szCs w:val="24"/>
        </w:rPr>
        <w:t xml:space="preserve">Ritiene il Collegio che tale assunto, il quale, nella sua assolutezza, nega la stessa configurabilità di un’acquiescenza preventiva nei confronti di atti in corso di formazione, a parte il fatto che non ha mai trovato rigorosa applicazione nell’ordinamento (si veda in senso contrario Cons. Stato, </w:t>
      </w:r>
      <w:r w:rsidR="003A1912">
        <w:rPr>
          <w:rFonts w:ascii="Garamond" w:hAnsi="Garamond"/>
          <w:i/>
          <w:sz w:val="24"/>
          <w:szCs w:val="24"/>
        </w:rPr>
        <w:t>Sez.</w:t>
      </w:r>
      <w:r w:rsidRPr="00944A90">
        <w:rPr>
          <w:rFonts w:ascii="Garamond" w:hAnsi="Garamond"/>
          <w:i/>
          <w:sz w:val="24"/>
          <w:szCs w:val="24"/>
        </w:rPr>
        <w:t>VI, 8/5/1963, n. 235),</w:t>
      </w:r>
      <w:r w:rsidRPr="00944A90">
        <w:rPr>
          <w:rFonts w:ascii="Garamond" w:eastAsia="Times New Roman" w:hAnsi="Garamond" w:cs="Times New Roman"/>
          <w:i/>
          <w:sz w:val="24"/>
          <w:szCs w:val="24"/>
        </w:rPr>
        <w:t xml:space="preserve"> </w:t>
      </w:r>
      <w:r w:rsidRPr="00944A90">
        <w:rPr>
          <w:rFonts w:ascii="Garamond" w:hAnsi="Garamond"/>
          <w:i/>
          <w:sz w:val="24"/>
          <w:szCs w:val="24"/>
        </w:rPr>
        <w:t xml:space="preserve">non risulta comunque condivisibile nella nuova ed attuale dimensione di amministrazione partecipata (con tale espressione facendosi riferimento non solo al tema, ovviamente centrale, della partecipazione procedimentale, ma, in accezione più lata, ad ogni rapporto di comunicazione tra Amministrazione e privato relativo ad un problema che impegna l’azione amministrativa ed interessa un determinato soggetto). E’ infatti un naturale corollario dell’inserimento del cittadino all’interno del procedimento e della conseguente dimensione relazionale che lo stesso assume quello della valorizzazione del principio di buona fede o correttezza, non solo sotto il profilo della tutela dell’affidamento del privato, ma in condizione di reciprocità. </w:t>
      </w:r>
    </w:p>
    <w:p w:rsidR="00864174" w:rsidRPr="00944A90" w:rsidRDefault="003D6E73" w:rsidP="003D6E73">
      <w:pPr>
        <w:pStyle w:val="Testonotaapidipagina"/>
        <w:ind w:firstLine="284"/>
        <w:jc w:val="both"/>
        <w:rPr>
          <w:rFonts w:ascii="Garamond" w:hAnsi="Garamond"/>
          <w:i/>
          <w:sz w:val="24"/>
          <w:szCs w:val="24"/>
        </w:rPr>
      </w:pPr>
      <w:r w:rsidRPr="00944A90">
        <w:rPr>
          <w:rFonts w:ascii="Garamond" w:hAnsi="Garamond"/>
          <w:i/>
          <w:sz w:val="24"/>
          <w:szCs w:val="24"/>
        </w:rPr>
        <w:t xml:space="preserve">Se dunque proprio il contesto dell’amministrazione partecipata ha indotto la giurisprudenza, di recente, a riconoscere una responsabilità da contatto (cfr. T.A.R. Puglia - Bari, </w:t>
      </w:r>
      <w:proofErr w:type="spellStart"/>
      <w:r w:rsidR="003A1912">
        <w:rPr>
          <w:rFonts w:ascii="Garamond" w:hAnsi="Garamond"/>
          <w:i/>
          <w:sz w:val="24"/>
          <w:szCs w:val="24"/>
        </w:rPr>
        <w:t>Sez.</w:t>
      </w:r>
      <w:r w:rsidRPr="00944A90">
        <w:rPr>
          <w:rFonts w:ascii="Garamond" w:hAnsi="Garamond"/>
          <w:i/>
          <w:sz w:val="24"/>
          <w:szCs w:val="24"/>
        </w:rPr>
        <w:t>I</w:t>
      </w:r>
      <w:proofErr w:type="spellEnd"/>
      <w:r w:rsidRPr="00944A90">
        <w:rPr>
          <w:rFonts w:ascii="Garamond" w:hAnsi="Garamond"/>
          <w:i/>
          <w:sz w:val="24"/>
          <w:szCs w:val="24"/>
        </w:rPr>
        <w:t xml:space="preserve">, 17/5/2001, n. 1761, nonché Cons. Stato, </w:t>
      </w:r>
      <w:r w:rsidR="003A1912">
        <w:rPr>
          <w:rFonts w:ascii="Garamond" w:hAnsi="Garamond"/>
          <w:i/>
          <w:sz w:val="24"/>
          <w:szCs w:val="24"/>
        </w:rPr>
        <w:t>Sez.</w:t>
      </w:r>
      <w:r w:rsidRPr="00944A90">
        <w:rPr>
          <w:rFonts w:ascii="Garamond" w:hAnsi="Garamond"/>
          <w:i/>
          <w:sz w:val="24"/>
          <w:szCs w:val="24"/>
        </w:rPr>
        <w:t>VI, 6/8/2001, n. 4239), che rinviene il proprio fondamento nella considerazione che detto “contatto procedimentale, una volta innestato nell’ambito del rapporto amministrativo, caratterizzato da sviluppi istruttori e da un’ampia dialettica tra le parti sostanziali,</w:t>
      </w:r>
      <w:r w:rsidRPr="00944A90">
        <w:rPr>
          <w:rFonts w:ascii="Garamond" w:eastAsia="Times New Roman" w:hAnsi="Garamond" w:cs="Times New Roman"/>
          <w:i/>
          <w:sz w:val="24"/>
          <w:szCs w:val="24"/>
        </w:rPr>
        <w:t xml:space="preserve"> </w:t>
      </w:r>
      <w:r w:rsidRPr="00944A90">
        <w:rPr>
          <w:rFonts w:ascii="Garamond" w:hAnsi="Garamond"/>
          <w:i/>
          <w:sz w:val="24"/>
          <w:szCs w:val="24"/>
        </w:rPr>
        <w:t xml:space="preserve">impone al soggetto pubblico un preciso onere di diligenza, che lo rende garante del corretto sviluppo del procedimento e della sua legittima conclusione”(così la citata decisione del Cons. Stato), appare al contempo necessario, se non altro ai fini della coerenza e dell’efficienza del sistema, valorizzare detto obbligo di buona fede anche nei confronti del privato. </w:t>
      </w:r>
    </w:p>
    <w:p w:rsidR="00864174" w:rsidRPr="00944A90" w:rsidRDefault="003D6E73" w:rsidP="003D6E73">
      <w:pPr>
        <w:pStyle w:val="Testonotaapidipagina"/>
        <w:ind w:firstLine="284"/>
        <w:jc w:val="both"/>
        <w:rPr>
          <w:rFonts w:ascii="Garamond" w:hAnsi="Garamond"/>
          <w:i/>
          <w:sz w:val="24"/>
          <w:szCs w:val="24"/>
        </w:rPr>
      </w:pPr>
      <w:r w:rsidRPr="00944A90">
        <w:rPr>
          <w:rFonts w:ascii="Garamond" w:hAnsi="Garamond"/>
          <w:i/>
          <w:sz w:val="24"/>
          <w:szCs w:val="24"/>
        </w:rPr>
        <w:t xml:space="preserve">Ciò impone a quest’ultimo di attenersi in modo conseguenziale al proprio comportamento tenuto nel corso del procedimento, o comunque nei precedenti contatti non occasionali intervenuti con l’Amministrazione, salvo ad evidenziarsi una condizione di errore o di ignoranza del privato. </w:t>
      </w:r>
    </w:p>
    <w:p w:rsidR="00864174" w:rsidRPr="00944A90" w:rsidRDefault="003D6E73" w:rsidP="003D6E73">
      <w:pPr>
        <w:pStyle w:val="Testonotaapidipagina"/>
        <w:ind w:firstLine="284"/>
        <w:jc w:val="both"/>
        <w:rPr>
          <w:rFonts w:ascii="Garamond" w:eastAsia="Times New Roman" w:hAnsi="Garamond" w:cs="Times New Roman"/>
          <w:i/>
          <w:sz w:val="24"/>
          <w:szCs w:val="24"/>
        </w:rPr>
      </w:pPr>
      <w:r w:rsidRPr="00944A90">
        <w:rPr>
          <w:rFonts w:ascii="Garamond" w:hAnsi="Garamond"/>
          <w:i/>
          <w:sz w:val="24"/>
          <w:szCs w:val="24"/>
        </w:rPr>
        <w:t>E, così come del resto espressamente codificato in altri ordinamenti, risulta di agevole comprensione che il primo effetto dell’applicazione del principio di buona fede “a danno del privato” è proprio quello della preclusione dell’azione giurisdizionale che risulti in contrasto con il comportamento precedentemente tenuto.</w:t>
      </w:r>
      <w:r w:rsidRPr="00944A90">
        <w:rPr>
          <w:rFonts w:ascii="Garamond" w:eastAsia="Times New Roman" w:hAnsi="Garamond" w:cs="Times New Roman"/>
          <w:i/>
          <w:sz w:val="24"/>
          <w:szCs w:val="24"/>
        </w:rPr>
        <w:t xml:space="preserve"> </w:t>
      </w:r>
    </w:p>
    <w:p w:rsidR="003D6E73" w:rsidRPr="00944A90" w:rsidRDefault="003D6E73" w:rsidP="003D6E73">
      <w:pPr>
        <w:pStyle w:val="Testonotaapidipagina"/>
        <w:ind w:firstLine="284"/>
        <w:jc w:val="both"/>
        <w:rPr>
          <w:rFonts w:ascii="Garamond" w:hAnsi="Garamond"/>
          <w:sz w:val="24"/>
          <w:szCs w:val="24"/>
        </w:rPr>
      </w:pPr>
      <w:r w:rsidRPr="00944A90">
        <w:rPr>
          <w:rFonts w:ascii="Garamond" w:hAnsi="Garamond"/>
          <w:i/>
          <w:sz w:val="24"/>
          <w:szCs w:val="24"/>
        </w:rPr>
        <w:t>Questo obbligo di coerenza che la correttezza impone al privato che si rapporta con l’Amministrazione rileva dunque in termini di acquiescenza al successivo provvedimento”.</w:t>
      </w:r>
    </w:p>
    <w:p w:rsidR="00D22303" w:rsidRPr="00944A90" w:rsidRDefault="003D6E73" w:rsidP="000E1D13">
      <w:pPr>
        <w:pStyle w:val="Testonotaapidipagina"/>
        <w:ind w:firstLine="284"/>
        <w:jc w:val="both"/>
        <w:rPr>
          <w:rFonts w:ascii="Garamond" w:hAnsi="Garamond"/>
          <w:sz w:val="24"/>
          <w:szCs w:val="24"/>
        </w:rPr>
      </w:pPr>
      <w:r w:rsidRPr="00944A90">
        <w:rPr>
          <w:rFonts w:ascii="Garamond" w:hAnsi="Garamond"/>
          <w:sz w:val="24"/>
          <w:szCs w:val="24"/>
        </w:rPr>
        <w:t>Più in generale, sull’attuale configurazione dell’istituto partecipativo, non sono mancate</w:t>
      </w:r>
      <w:r w:rsidR="00C86A93" w:rsidRPr="00944A90">
        <w:rPr>
          <w:rFonts w:ascii="Garamond" w:hAnsi="Garamond"/>
          <w:sz w:val="24"/>
          <w:szCs w:val="24"/>
        </w:rPr>
        <w:t xml:space="preserve"> voci critiche in dottrina: denuncia il </w:t>
      </w:r>
      <w:r w:rsidR="00D22303" w:rsidRPr="00944A90">
        <w:rPr>
          <w:rFonts w:ascii="Garamond" w:hAnsi="Garamond"/>
          <w:sz w:val="24"/>
          <w:szCs w:val="24"/>
        </w:rPr>
        <w:t xml:space="preserve">rischio di aggravamento del procedimento e di impossibilità di rispettare il </w:t>
      </w:r>
      <w:r w:rsidR="00435862" w:rsidRPr="00944A90">
        <w:rPr>
          <w:rFonts w:ascii="Garamond" w:hAnsi="Garamond"/>
          <w:sz w:val="24"/>
          <w:szCs w:val="24"/>
        </w:rPr>
        <w:t>termine</w:t>
      </w:r>
      <w:r w:rsidR="00D22303" w:rsidRPr="00944A90">
        <w:rPr>
          <w:rFonts w:ascii="Garamond" w:hAnsi="Garamond"/>
          <w:sz w:val="24"/>
          <w:szCs w:val="24"/>
        </w:rPr>
        <w:t xml:space="preserve"> d</w:t>
      </w:r>
      <w:r w:rsidR="00C86A93" w:rsidRPr="00944A90">
        <w:rPr>
          <w:rFonts w:ascii="Garamond" w:hAnsi="Garamond"/>
          <w:sz w:val="24"/>
          <w:szCs w:val="24"/>
        </w:rPr>
        <w:t xml:space="preserve">i conclusione del procedimento </w:t>
      </w:r>
      <w:r w:rsidR="00435862" w:rsidRPr="00944A90">
        <w:rPr>
          <w:rFonts w:ascii="Garamond" w:hAnsi="Garamond"/>
          <w:sz w:val="24"/>
          <w:szCs w:val="24"/>
        </w:rPr>
        <w:t>CERULLI IRELLI V.</w:t>
      </w:r>
      <w:r w:rsidR="00D22303" w:rsidRPr="00944A90">
        <w:rPr>
          <w:rFonts w:ascii="Garamond" w:hAnsi="Garamond"/>
          <w:sz w:val="24"/>
          <w:szCs w:val="24"/>
        </w:rPr>
        <w:t xml:space="preserve">, </w:t>
      </w:r>
      <w:r w:rsidR="00D22303" w:rsidRPr="00944A90">
        <w:rPr>
          <w:rFonts w:ascii="Garamond" w:hAnsi="Garamond"/>
          <w:i/>
          <w:sz w:val="24"/>
          <w:szCs w:val="24"/>
        </w:rPr>
        <w:t xml:space="preserve">Osservazioni generali sulla legge di modifica della l. n. 241/90, </w:t>
      </w:r>
      <w:r w:rsidR="00D22303" w:rsidRPr="00944A90">
        <w:rPr>
          <w:rFonts w:ascii="Garamond" w:hAnsi="Garamond"/>
          <w:sz w:val="24"/>
          <w:szCs w:val="24"/>
        </w:rPr>
        <w:t>in</w:t>
      </w:r>
      <w:r w:rsidR="00C86A93" w:rsidRPr="00944A90">
        <w:rPr>
          <w:rFonts w:ascii="Garamond" w:hAnsi="Garamond"/>
          <w:i/>
          <w:sz w:val="24"/>
          <w:szCs w:val="24"/>
        </w:rPr>
        <w:t xml:space="preserve"> www. giustamm.it; </w:t>
      </w:r>
      <w:r w:rsidR="00C86A93" w:rsidRPr="00944A90">
        <w:rPr>
          <w:rFonts w:ascii="Garamond" w:hAnsi="Garamond"/>
          <w:sz w:val="24"/>
          <w:szCs w:val="24"/>
        </w:rPr>
        <w:t>in termini di “</w:t>
      </w:r>
      <w:r w:rsidR="00C86A93" w:rsidRPr="00944A90">
        <w:rPr>
          <w:rFonts w:ascii="Garamond" w:hAnsi="Garamond"/>
          <w:i/>
          <w:sz w:val="24"/>
          <w:szCs w:val="24"/>
        </w:rPr>
        <w:t>sovraccarico procedimentale</w:t>
      </w:r>
      <w:r w:rsidR="00C86A93" w:rsidRPr="00944A90">
        <w:rPr>
          <w:rFonts w:ascii="Garamond" w:hAnsi="Garamond"/>
          <w:sz w:val="24"/>
          <w:szCs w:val="24"/>
        </w:rPr>
        <w:t>” si esprime anche CARDI E., </w:t>
      </w:r>
      <w:r w:rsidR="00C86A93" w:rsidRPr="00944A90">
        <w:rPr>
          <w:rFonts w:ascii="Garamond" w:hAnsi="Garamond"/>
          <w:i/>
          <w:iCs/>
          <w:sz w:val="24"/>
          <w:szCs w:val="24"/>
        </w:rPr>
        <w:t>La manifestazione di interessi nei procedimenti amministrativi</w:t>
      </w:r>
      <w:r w:rsidR="00C86A93" w:rsidRPr="00944A90">
        <w:rPr>
          <w:rFonts w:ascii="Garamond" w:hAnsi="Garamond"/>
          <w:sz w:val="24"/>
          <w:szCs w:val="24"/>
        </w:rPr>
        <w:t xml:space="preserve">, I e II, Rimini, 1983-1984, 3; </w:t>
      </w:r>
      <w:r w:rsidR="00C75609" w:rsidRPr="00944A90">
        <w:rPr>
          <w:rFonts w:ascii="Garamond" w:hAnsi="Garamond"/>
          <w:sz w:val="24"/>
          <w:szCs w:val="24"/>
        </w:rPr>
        <w:t xml:space="preserve">si tratterebbe, in ogni caso, di costi non eliminabili in quanto </w:t>
      </w:r>
      <w:r w:rsidR="00C75609" w:rsidRPr="00944A90">
        <w:rPr>
          <w:rFonts w:ascii="Garamond" w:hAnsi="Garamond"/>
          <w:i/>
          <w:sz w:val="24"/>
          <w:szCs w:val="24"/>
        </w:rPr>
        <w:t>“ciascun vincolo procedurale genera costi e benefici che vanno attentamente calcolati al fine di stabilire il loro livello ottimale”</w:t>
      </w:r>
      <w:r w:rsidR="00C75609" w:rsidRPr="00944A90">
        <w:rPr>
          <w:rFonts w:ascii="Garamond" w:hAnsi="Garamond"/>
          <w:sz w:val="24"/>
          <w:szCs w:val="24"/>
        </w:rPr>
        <w:t xml:space="preserve"> (NAPOLITANO G., ABRESCIA M., </w:t>
      </w:r>
      <w:r w:rsidR="00C75609" w:rsidRPr="00944A90">
        <w:rPr>
          <w:rFonts w:ascii="Garamond" w:hAnsi="Garamond"/>
          <w:i/>
          <w:iCs/>
          <w:sz w:val="24"/>
          <w:szCs w:val="24"/>
        </w:rPr>
        <w:t>Analisi economica del diritto pubblico</w:t>
      </w:r>
      <w:r w:rsidR="00C75609" w:rsidRPr="00944A90">
        <w:rPr>
          <w:rFonts w:ascii="Garamond" w:hAnsi="Garamond"/>
          <w:sz w:val="24"/>
          <w:szCs w:val="24"/>
        </w:rPr>
        <w:t>, Bologna, 2009, 258).</w:t>
      </w:r>
    </w:p>
  </w:footnote>
  <w:footnote w:id="16">
    <w:p w:rsidR="003F7A2E" w:rsidRPr="007B734A" w:rsidRDefault="003873E2" w:rsidP="007B734A">
      <w:pPr>
        <w:pStyle w:val="Testonotaapidipagina"/>
        <w:ind w:left="284"/>
        <w:jc w:val="both"/>
        <w:rPr>
          <w:rFonts w:ascii="Garamond" w:hAnsi="Garamond"/>
          <w:sz w:val="24"/>
          <w:szCs w:val="24"/>
        </w:rPr>
      </w:pPr>
      <w:r>
        <w:rPr>
          <w:rStyle w:val="Rimandonotaapidipagina"/>
        </w:rPr>
        <w:footnoteRef/>
      </w:r>
      <w:r>
        <w:t xml:space="preserve"> </w:t>
      </w:r>
      <w:r w:rsidR="009A12AC" w:rsidRPr="00D06CFE">
        <w:rPr>
          <w:rFonts w:ascii="Garamond" w:hAnsi="Garamond"/>
          <w:sz w:val="24"/>
          <w:szCs w:val="24"/>
        </w:rPr>
        <w:t>Interessante la</w:t>
      </w:r>
      <w:r w:rsidR="00F31AE6" w:rsidRPr="00D06CFE">
        <w:rPr>
          <w:rFonts w:ascii="Garamond" w:hAnsi="Garamond"/>
          <w:sz w:val="24"/>
          <w:szCs w:val="24"/>
        </w:rPr>
        <w:t xml:space="preserve"> proposta </w:t>
      </w:r>
      <w:r w:rsidR="00F31AE6" w:rsidRPr="00D06CFE">
        <w:rPr>
          <w:rFonts w:ascii="Garamond" w:hAnsi="Garamond"/>
          <w:i/>
          <w:iCs/>
          <w:sz w:val="24"/>
          <w:szCs w:val="24"/>
        </w:rPr>
        <w:t>de iure condendo</w:t>
      </w:r>
      <w:r w:rsidR="00F31AE6" w:rsidRPr="00D06CFE">
        <w:rPr>
          <w:rFonts w:ascii="Garamond" w:hAnsi="Garamond"/>
          <w:sz w:val="24"/>
          <w:szCs w:val="24"/>
        </w:rPr>
        <w:t xml:space="preserve"> </w:t>
      </w:r>
      <w:r w:rsidR="009A12AC" w:rsidRPr="00D06CFE">
        <w:rPr>
          <w:rFonts w:ascii="Garamond" w:hAnsi="Garamond"/>
          <w:sz w:val="24"/>
          <w:szCs w:val="24"/>
        </w:rPr>
        <w:t>avanzata dal</w:t>
      </w:r>
      <w:r w:rsidR="00FC0B27" w:rsidRPr="00D06CFE">
        <w:rPr>
          <w:rFonts w:ascii="Garamond" w:hAnsi="Garamond"/>
          <w:sz w:val="24"/>
          <w:szCs w:val="24"/>
        </w:rPr>
        <w:t xml:space="preserve">la </w:t>
      </w:r>
      <w:r w:rsidR="003A798A" w:rsidRPr="00D06CFE">
        <w:rPr>
          <w:rFonts w:ascii="Garamond" w:hAnsi="Garamond"/>
          <w:sz w:val="24"/>
          <w:szCs w:val="24"/>
        </w:rPr>
        <w:t>Terza Sezione del Consiglio di Stato nella sentenza 10 agosto 2020, n. 4979</w:t>
      </w:r>
      <w:r w:rsidR="003F7A2E">
        <w:rPr>
          <w:rFonts w:ascii="Garamond" w:hAnsi="Garamond"/>
          <w:sz w:val="24"/>
          <w:szCs w:val="24"/>
        </w:rPr>
        <w:t xml:space="preserve">, </w:t>
      </w:r>
      <w:r w:rsidR="00EE5381">
        <w:rPr>
          <w:rFonts w:ascii="Garamond" w:hAnsi="Garamond"/>
          <w:sz w:val="24"/>
          <w:szCs w:val="24"/>
        </w:rPr>
        <w:t xml:space="preserve">nel senso di </w:t>
      </w:r>
      <w:r w:rsidR="003E0081">
        <w:rPr>
          <w:rFonts w:ascii="Garamond" w:hAnsi="Garamond"/>
          <w:sz w:val="24"/>
          <w:szCs w:val="24"/>
        </w:rPr>
        <w:t xml:space="preserve">instaurare due regimi differenziati: uno, </w:t>
      </w:r>
      <w:r w:rsidR="00F6342A">
        <w:rPr>
          <w:rFonts w:ascii="Garamond" w:hAnsi="Garamond"/>
          <w:sz w:val="24"/>
          <w:szCs w:val="24"/>
        </w:rPr>
        <w:t xml:space="preserve">avente natura di eccezione </w:t>
      </w:r>
      <w:r w:rsidR="007863FC">
        <w:rPr>
          <w:rFonts w:ascii="Garamond" w:hAnsi="Garamond"/>
          <w:sz w:val="24"/>
          <w:szCs w:val="24"/>
        </w:rPr>
        <w:t xml:space="preserve">e caratterizzato dalla sospensione delle garanzie procedimentali, per le sole ipotesi </w:t>
      </w:r>
      <w:r w:rsidR="00887E9F">
        <w:rPr>
          <w:rFonts w:ascii="Garamond" w:hAnsi="Garamond"/>
          <w:sz w:val="24"/>
          <w:szCs w:val="24"/>
        </w:rPr>
        <w:t xml:space="preserve">effettivamente </w:t>
      </w:r>
      <w:r w:rsidR="004A5C73">
        <w:rPr>
          <w:rFonts w:ascii="Garamond" w:hAnsi="Garamond"/>
          <w:sz w:val="24"/>
          <w:szCs w:val="24"/>
        </w:rPr>
        <w:t>rientranti</w:t>
      </w:r>
      <w:r w:rsidR="00887E9F">
        <w:rPr>
          <w:rFonts w:ascii="Garamond" w:hAnsi="Garamond"/>
          <w:sz w:val="24"/>
          <w:szCs w:val="24"/>
        </w:rPr>
        <w:t xml:space="preserve"> nel perimetro dell’art. 7 della L. n. 241/90</w:t>
      </w:r>
      <w:r w:rsidR="008167C8">
        <w:rPr>
          <w:rFonts w:ascii="Garamond" w:hAnsi="Garamond"/>
          <w:sz w:val="24"/>
          <w:szCs w:val="24"/>
        </w:rPr>
        <w:t xml:space="preserve">; l’altro, al contrario, </w:t>
      </w:r>
      <w:r w:rsidR="002A0135">
        <w:rPr>
          <w:rFonts w:ascii="Garamond" w:hAnsi="Garamond"/>
          <w:sz w:val="24"/>
          <w:szCs w:val="24"/>
        </w:rPr>
        <w:t>condotto nel pieno rispetto delle</w:t>
      </w:r>
      <w:r w:rsidR="007B734A">
        <w:rPr>
          <w:rFonts w:ascii="Garamond" w:hAnsi="Garamond"/>
          <w:sz w:val="24"/>
          <w:szCs w:val="24"/>
        </w:rPr>
        <w:t xml:space="preserve"> esigenze partecipative del privato e </w:t>
      </w:r>
      <w:r w:rsidR="008167C8">
        <w:rPr>
          <w:rFonts w:ascii="Garamond" w:hAnsi="Garamond"/>
          <w:sz w:val="24"/>
          <w:szCs w:val="24"/>
        </w:rPr>
        <w:t xml:space="preserve">valido </w:t>
      </w:r>
      <w:r w:rsidR="004A5C73">
        <w:rPr>
          <w:rFonts w:ascii="Garamond" w:hAnsi="Garamond"/>
          <w:sz w:val="24"/>
          <w:szCs w:val="24"/>
        </w:rPr>
        <w:t>per la generalità dei casi</w:t>
      </w:r>
      <w:r w:rsidR="007B734A">
        <w:rPr>
          <w:rFonts w:ascii="Garamond" w:hAnsi="Garamond"/>
          <w:sz w:val="24"/>
          <w:szCs w:val="24"/>
        </w:rPr>
        <w:t>. Di seguito, il passaggio di riferimento</w:t>
      </w:r>
      <w:r w:rsidR="003F7A2E">
        <w:rPr>
          <w:rFonts w:ascii="Garamond" w:hAnsi="Garamond"/>
          <w:sz w:val="24"/>
          <w:szCs w:val="24"/>
        </w:rPr>
        <w:t xml:space="preserve">: </w:t>
      </w:r>
      <w:r w:rsidR="006B3508">
        <w:rPr>
          <w:rFonts w:ascii="Garamond" w:hAnsi="Garamond"/>
          <w:sz w:val="24"/>
          <w:szCs w:val="24"/>
        </w:rPr>
        <w:t>“</w:t>
      </w:r>
      <w:r w:rsidR="003F7A2E" w:rsidRPr="006B3508">
        <w:rPr>
          <w:rFonts w:ascii="Garamond" w:hAnsi="Garamond"/>
          <w:i/>
          <w:iCs/>
          <w:sz w:val="24"/>
          <w:szCs w:val="24"/>
        </w:rPr>
        <w:t xml:space="preserve">37.1. In tutte queste ipotesi dunque, laddove la partecipazione procedimentale non frustri l’urgenza del provvedere e le particolari esigenze di celerità del procedimento – art. 7 della l. n. 241 del 1990 – per bloccare un grave, incontrollabile o imminente pericolo di infiltrazione mafiosa e, dunque, non ostacoli la ratio stessa dell’informazione antimafia quale strumento di massima tutela preventiva nella lotta contro la mafia, la partecipazione procedimentale, prima di adottare un provvedimento </w:t>
      </w:r>
      <w:proofErr w:type="spellStart"/>
      <w:r w:rsidR="003F7A2E" w:rsidRPr="006B3508">
        <w:rPr>
          <w:rFonts w:ascii="Garamond" w:hAnsi="Garamond"/>
          <w:i/>
          <w:iCs/>
          <w:sz w:val="24"/>
          <w:szCs w:val="24"/>
        </w:rPr>
        <w:t>interdittivo</w:t>
      </w:r>
      <w:proofErr w:type="spellEnd"/>
      <w:r w:rsidR="003F7A2E" w:rsidRPr="006B3508">
        <w:rPr>
          <w:rFonts w:ascii="Garamond" w:hAnsi="Garamond"/>
          <w:i/>
          <w:iCs/>
          <w:sz w:val="24"/>
          <w:szCs w:val="24"/>
        </w:rPr>
        <w:t>, potrebbe e dovrebbe essere ammessa in via generale perché:</w:t>
      </w:r>
    </w:p>
    <w:p w:rsidR="003F7A2E" w:rsidRPr="006B3508" w:rsidRDefault="003F7A2E" w:rsidP="006B3508">
      <w:pPr>
        <w:pStyle w:val="Testonotaapidipagina"/>
        <w:ind w:left="284"/>
        <w:jc w:val="both"/>
        <w:rPr>
          <w:rFonts w:ascii="Garamond" w:hAnsi="Garamond"/>
          <w:i/>
          <w:iCs/>
          <w:sz w:val="24"/>
          <w:szCs w:val="24"/>
        </w:rPr>
      </w:pPr>
      <w:r w:rsidRPr="006B3508">
        <w:rPr>
          <w:rFonts w:ascii="Garamond" w:hAnsi="Garamond"/>
          <w:i/>
          <w:iCs/>
          <w:sz w:val="24"/>
          <w:szCs w:val="24"/>
        </w:rPr>
        <w:t xml:space="preserve">a) consentirebbe all’impresa di esercitare in sede procedimentale i propri diritti di difesa e di spiegare le ragioni alternative di determinati atti o condotte, ritenuti dalla Prefettura sintomatici di infiltrazione mafiosa, nonché di adottare, eventualmente su proposta e sotto la supervisione della stessa Prefettura, misure di self </w:t>
      </w:r>
      <w:proofErr w:type="spellStart"/>
      <w:r w:rsidRPr="006B3508">
        <w:rPr>
          <w:rFonts w:ascii="Garamond" w:hAnsi="Garamond"/>
          <w:i/>
          <w:iCs/>
          <w:sz w:val="24"/>
          <w:szCs w:val="24"/>
        </w:rPr>
        <w:t>cleaning</w:t>
      </w:r>
      <w:proofErr w:type="spellEnd"/>
      <w:r w:rsidRPr="006B3508">
        <w:rPr>
          <w:rFonts w:ascii="Garamond" w:hAnsi="Garamond"/>
          <w:i/>
          <w:iCs/>
          <w:sz w:val="24"/>
          <w:szCs w:val="24"/>
        </w:rPr>
        <w:t xml:space="preserve">, che lo stesso legislatore potrebbe introdurre già in sede procedimentale con un’apposita rivisitazione delle misure straordinarie, ad esempio, dall’art. 32, comma 10, del d.l. n. 90 del 2014, </w:t>
      </w:r>
      <w:proofErr w:type="spellStart"/>
      <w:r w:rsidRPr="006B3508">
        <w:rPr>
          <w:rFonts w:ascii="Garamond" w:hAnsi="Garamond"/>
          <w:i/>
          <w:iCs/>
          <w:sz w:val="24"/>
          <w:szCs w:val="24"/>
        </w:rPr>
        <w:t>conv</w:t>
      </w:r>
      <w:proofErr w:type="spellEnd"/>
      <w:r w:rsidRPr="006B3508">
        <w:rPr>
          <w:rFonts w:ascii="Garamond" w:hAnsi="Garamond"/>
          <w:i/>
          <w:iCs/>
          <w:sz w:val="24"/>
          <w:szCs w:val="24"/>
        </w:rPr>
        <w:t xml:space="preserve">. con </w:t>
      </w:r>
      <w:proofErr w:type="spellStart"/>
      <w:r w:rsidRPr="006B3508">
        <w:rPr>
          <w:rFonts w:ascii="Garamond" w:hAnsi="Garamond"/>
          <w:i/>
          <w:iCs/>
          <w:sz w:val="24"/>
          <w:szCs w:val="24"/>
        </w:rPr>
        <w:t>mod</w:t>
      </w:r>
      <w:proofErr w:type="spellEnd"/>
      <w:r w:rsidRPr="006B3508">
        <w:rPr>
          <w:rFonts w:ascii="Garamond" w:hAnsi="Garamond"/>
          <w:i/>
          <w:iCs/>
          <w:sz w:val="24"/>
          <w:szCs w:val="24"/>
        </w:rPr>
        <w:t>. in l. n. 114 del 2014, da ammettersi, ove la situazione lo consenta, prima e al fine di evitare che si adotti la misura più incisiva dell’informazione antimafia;</w:t>
      </w:r>
    </w:p>
    <w:p w:rsidR="003F7A2E" w:rsidRPr="006B3508" w:rsidRDefault="003F7A2E" w:rsidP="006B3508">
      <w:pPr>
        <w:pStyle w:val="Testonotaapidipagina"/>
        <w:ind w:left="284"/>
        <w:jc w:val="both"/>
        <w:rPr>
          <w:rFonts w:ascii="Garamond" w:hAnsi="Garamond"/>
          <w:i/>
          <w:iCs/>
          <w:sz w:val="24"/>
          <w:szCs w:val="24"/>
        </w:rPr>
      </w:pPr>
      <w:r w:rsidRPr="006B3508">
        <w:rPr>
          <w:rFonts w:ascii="Garamond" w:hAnsi="Garamond"/>
          <w:i/>
          <w:iCs/>
          <w:sz w:val="24"/>
          <w:szCs w:val="24"/>
        </w:rPr>
        <w:t xml:space="preserve">b) consentirebbe allo stesso Prefetto di intervenire con il provvedimento </w:t>
      </w:r>
      <w:proofErr w:type="spellStart"/>
      <w:r w:rsidRPr="006B3508">
        <w:rPr>
          <w:rFonts w:ascii="Garamond" w:hAnsi="Garamond"/>
          <w:i/>
          <w:iCs/>
          <w:sz w:val="24"/>
          <w:szCs w:val="24"/>
        </w:rPr>
        <w:t>interdittivo</w:t>
      </w:r>
      <w:proofErr w:type="spellEnd"/>
      <w:r w:rsidRPr="006B3508">
        <w:rPr>
          <w:rFonts w:ascii="Garamond" w:hAnsi="Garamond"/>
          <w:i/>
          <w:iCs/>
          <w:sz w:val="24"/>
          <w:szCs w:val="24"/>
        </w:rPr>
        <w:t xml:space="preserve"> quale </w:t>
      </w:r>
      <w:proofErr w:type="spellStart"/>
      <w:r w:rsidRPr="006B3508">
        <w:rPr>
          <w:rFonts w:ascii="Garamond" w:hAnsi="Garamond"/>
          <w:i/>
          <w:iCs/>
          <w:sz w:val="24"/>
          <w:szCs w:val="24"/>
        </w:rPr>
        <w:t>extrema</w:t>
      </w:r>
      <w:proofErr w:type="spellEnd"/>
      <w:r w:rsidRPr="006B3508">
        <w:rPr>
          <w:rFonts w:ascii="Garamond" w:hAnsi="Garamond"/>
          <w:i/>
          <w:iCs/>
          <w:sz w:val="24"/>
          <w:szCs w:val="24"/>
        </w:rPr>
        <w:t xml:space="preserve"> ratio solo a fronte di situazioni gravi, chiare, inequivocabili, non altrimenti giustificabili e giustificate dall’impresa, secondo la logica della probabilità cruciale, di infiltrazione mafiosa, all’esito di una istruttoria più completa, approfondita, meditata, che si rifletta in un apparato motivazionale del provvedimento amministrativo, fondamento e presidio della legalità sostanziale in un ordinamento democratico, che sia il più possibile esaustivo ed argomentato;</w:t>
      </w:r>
    </w:p>
    <w:p w:rsidR="009A12AC" w:rsidRPr="006B3508" w:rsidRDefault="003F7A2E" w:rsidP="006B3508">
      <w:pPr>
        <w:pStyle w:val="Testonotaapidipagina"/>
        <w:ind w:left="284"/>
        <w:jc w:val="both"/>
        <w:rPr>
          <w:rFonts w:ascii="Garamond" w:hAnsi="Garamond"/>
          <w:i/>
          <w:iCs/>
          <w:sz w:val="24"/>
          <w:szCs w:val="24"/>
        </w:rPr>
      </w:pPr>
      <w:r w:rsidRPr="006B3508">
        <w:rPr>
          <w:rFonts w:ascii="Garamond" w:hAnsi="Garamond"/>
          <w:i/>
          <w:iCs/>
          <w:sz w:val="24"/>
          <w:szCs w:val="24"/>
        </w:rPr>
        <w:t xml:space="preserve">c) consentirebbe infine al giudice amministrativo di esercitare con maggiore pienezza il proprio sindacato giurisdizionale sugli elementi già valutati dalla Prefettura in sede procedimentale, anche previo approfondimento istruttorio nel contraddittorio con l’impresa, nonché sul conseguente corredo motivazionale del provvedimento prefettizio, e di affinare così ulteriormente, nell’ottica della full </w:t>
      </w:r>
      <w:proofErr w:type="spellStart"/>
      <w:r w:rsidRPr="006B3508">
        <w:rPr>
          <w:rFonts w:ascii="Garamond" w:hAnsi="Garamond"/>
          <w:i/>
          <w:iCs/>
          <w:sz w:val="24"/>
          <w:szCs w:val="24"/>
        </w:rPr>
        <w:t>jurisdiction</w:t>
      </w:r>
      <w:proofErr w:type="spellEnd"/>
      <w:r w:rsidRPr="006B3508">
        <w:rPr>
          <w:rFonts w:ascii="Garamond" w:hAnsi="Garamond"/>
          <w:i/>
          <w:iCs/>
          <w:sz w:val="24"/>
          <w:szCs w:val="24"/>
        </w:rPr>
        <w:t xml:space="preserve">, i propri poteri cognitori e istruttori in questa delicata materia, crocevia di fondamentali valori costituzionali, </w:t>
      </w:r>
      <w:proofErr w:type="spellStart"/>
      <w:r w:rsidRPr="006B3508">
        <w:rPr>
          <w:rFonts w:ascii="Garamond" w:hAnsi="Garamond"/>
          <w:i/>
          <w:iCs/>
          <w:sz w:val="24"/>
          <w:szCs w:val="24"/>
        </w:rPr>
        <w:t>eurounitari</w:t>
      </w:r>
      <w:proofErr w:type="spellEnd"/>
      <w:r w:rsidRPr="006B3508">
        <w:rPr>
          <w:rFonts w:ascii="Garamond" w:hAnsi="Garamond"/>
          <w:i/>
          <w:iCs/>
          <w:sz w:val="24"/>
          <w:szCs w:val="24"/>
        </w:rPr>
        <w:t xml:space="preserve"> e convenzionali in gioco.</w:t>
      </w:r>
      <w:r w:rsidR="006B3508">
        <w:rPr>
          <w:rFonts w:ascii="Garamond" w:hAnsi="Garamond"/>
          <w:i/>
          <w:iCs/>
          <w:sz w:val="24"/>
          <w:szCs w:val="24"/>
        </w:rPr>
        <w:t>”</w:t>
      </w:r>
    </w:p>
  </w:footnote>
  <w:footnote w:id="17">
    <w:p w:rsidR="005F5ED2" w:rsidRPr="00944A90" w:rsidRDefault="005F5ED2" w:rsidP="005F5ED2">
      <w:pPr>
        <w:pStyle w:val="Testonotaapidipagina"/>
        <w:ind w:firstLine="284"/>
        <w:jc w:val="both"/>
        <w:rPr>
          <w:rFonts w:ascii="Garamond" w:hAnsi="Garamond"/>
          <w:sz w:val="24"/>
          <w:szCs w:val="24"/>
        </w:rPr>
      </w:pPr>
      <w:r w:rsidRPr="00D06CFE">
        <w:rPr>
          <w:rStyle w:val="Rimandonotaapidipagina"/>
          <w:rFonts w:ascii="Garamond" w:hAnsi="Garamond"/>
          <w:sz w:val="24"/>
          <w:szCs w:val="24"/>
        </w:rPr>
        <w:footnoteRef/>
      </w:r>
      <w:r w:rsidRPr="00D06CFE">
        <w:rPr>
          <w:rFonts w:ascii="Garamond" w:hAnsi="Garamond"/>
          <w:sz w:val="24"/>
          <w:szCs w:val="24"/>
        </w:rPr>
        <w:t xml:space="preserve"> Sulla centralità del dir</w:t>
      </w:r>
      <w:r w:rsidRPr="00944A90">
        <w:rPr>
          <w:rFonts w:ascii="Garamond" w:hAnsi="Garamond"/>
          <w:sz w:val="24"/>
          <w:szCs w:val="24"/>
        </w:rPr>
        <w:t xml:space="preserve">itto di difesa </w:t>
      </w:r>
      <w:proofErr w:type="spellStart"/>
      <w:r w:rsidRPr="00944A90">
        <w:rPr>
          <w:rFonts w:ascii="Garamond" w:hAnsi="Garamond"/>
          <w:sz w:val="24"/>
          <w:szCs w:val="24"/>
        </w:rPr>
        <w:t>endoprocedimentale</w:t>
      </w:r>
      <w:proofErr w:type="spellEnd"/>
      <w:r w:rsidRPr="00944A90">
        <w:rPr>
          <w:rFonts w:ascii="Garamond" w:hAnsi="Garamond"/>
          <w:sz w:val="24"/>
          <w:szCs w:val="24"/>
        </w:rPr>
        <w:t xml:space="preserve"> del privato, anche alla luce degli articoli 41 della Carta dei diritti fondamentali dell’Unione europea e 6 </w:t>
      </w:r>
      <w:proofErr w:type="spellStart"/>
      <w:r w:rsidRPr="00944A90">
        <w:rPr>
          <w:rFonts w:ascii="Garamond" w:hAnsi="Garamond"/>
          <w:sz w:val="24"/>
          <w:szCs w:val="24"/>
        </w:rPr>
        <w:t>Cedu</w:t>
      </w:r>
      <w:proofErr w:type="spellEnd"/>
      <w:r w:rsidRPr="00944A90">
        <w:rPr>
          <w:rFonts w:ascii="Garamond" w:hAnsi="Garamond"/>
          <w:sz w:val="24"/>
          <w:szCs w:val="24"/>
        </w:rPr>
        <w:t>, cfr. Corte di Giustizia C.E. 12 febbraio 1992, cause riunite C-48/90 e C-66/90</w:t>
      </w:r>
      <w:r w:rsidRPr="00944A90">
        <w:rPr>
          <w:rFonts w:ascii="Garamond" w:hAnsi="Garamond"/>
          <w:i/>
          <w:iCs/>
          <w:sz w:val="24"/>
          <w:szCs w:val="24"/>
        </w:rPr>
        <w:t>: “è giurisprudenza costante che, anche in mancanza di espresse disposizioni, il principio generale del rispetto dei diritti della difesa vale per tutte le istituzioni comunitarie che devono adottare</w:t>
      </w:r>
      <w:r w:rsidR="003F7A2E">
        <w:rPr>
          <w:rFonts w:ascii="Garamond" w:hAnsi="Garamond"/>
          <w:i/>
          <w:iCs/>
          <w:sz w:val="24"/>
          <w:szCs w:val="24"/>
        </w:rPr>
        <w:t>,</w:t>
      </w:r>
      <w:r w:rsidRPr="00944A90">
        <w:rPr>
          <w:rFonts w:ascii="Garamond" w:hAnsi="Garamond"/>
          <w:i/>
          <w:iCs/>
          <w:sz w:val="24"/>
          <w:szCs w:val="24"/>
        </w:rPr>
        <w:t xml:space="preserve"> un atto idoneo a ledere il destinatario. [..] Il rispetto dei diritti della difesa in qualsiasi procedimento promosso nei confronti di una persona e che possa concludersi con un atto per questa lesivo costituisce un principio fondamentale di diritto comunitario e deve essere </w:t>
      </w:r>
      <w:r w:rsidR="00D610A6" w:rsidRPr="00944A90">
        <w:rPr>
          <w:rFonts w:ascii="Garamond" w:hAnsi="Garamond"/>
          <w:i/>
          <w:iCs/>
          <w:sz w:val="24"/>
          <w:szCs w:val="24"/>
        </w:rPr>
        <w:t xml:space="preserve">garantito anche in assenza di norme specifiche”. </w:t>
      </w:r>
      <w:r w:rsidR="00D610A6" w:rsidRPr="00944A90">
        <w:rPr>
          <w:rFonts w:ascii="Garamond" w:hAnsi="Garamond"/>
          <w:iCs/>
          <w:sz w:val="24"/>
          <w:szCs w:val="24"/>
        </w:rPr>
        <w:t xml:space="preserve">Ancora, </w:t>
      </w:r>
      <w:r w:rsidR="00E80F14" w:rsidRPr="00944A90">
        <w:rPr>
          <w:rFonts w:ascii="Garamond" w:hAnsi="Garamond"/>
          <w:iCs/>
          <w:sz w:val="24"/>
          <w:szCs w:val="24"/>
        </w:rPr>
        <w:t xml:space="preserve">si vedano le pronunce </w:t>
      </w:r>
      <w:r w:rsidRPr="00944A90">
        <w:rPr>
          <w:rFonts w:ascii="Garamond" w:hAnsi="Garamond"/>
          <w:sz w:val="24"/>
          <w:szCs w:val="24"/>
        </w:rPr>
        <w:t xml:space="preserve">Corte di Giustizia </w:t>
      </w:r>
      <w:r w:rsidR="00D610A6" w:rsidRPr="00944A90">
        <w:rPr>
          <w:rFonts w:ascii="Garamond" w:hAnsi="Garamond"/>
          <w:sz w:val="24"/>
          <w:szCs w:val="24"/>
        </w:rPr>
        <w:t xml:space="preserve">21 novembre </w:t>
      </w:r>
      <w:r w:rsidR="00E80F14" w:rsidRPr="00944A90">
        <w:rPr>
          <w:rFonts w:ascii="Garamond" w:hAnsi="Garamond"/>
          <w:sz w:val="24"/>
          <w:szCs w:val="24"/>
        </w:rPr>
        <w:t xml:space="preserve">1991, </w:t>
      </w:r>
      <w:r w:rsidR="007E5A45" w:rsidRPr="00944A90">
        <w:rPr>
          <w:rFonts w:ascii="Garamond" w:hAnsi="Garamond"/>
          <w:sz w:val="24"/>
          <w:szCs w:val="24"/>
        </w:rPr>
        <w:t>in</w:t>
      </w:r>
      <w:r w:rsidR="00E80F14" w:rsidRPr="00944A90">
        <w:rPr>
          <w:rFonts w:ascii="Garamond" w:hAnsi="Garamond"/>
          <w:sz w:val="24"/>
          <w:szCs w:val="24"/>
        </w:rPr>
        <w:t xml:space="preserve"> </w:t>
      </w:r>
      <w:r w:rsidRPr="00944A90">
        <w:rPr>
          <w:rFonts w:ascii="Garamond" w:hAnsi="Garamond"/>
          <w:sz w:val="24"/>
          <w:szCs w:val="24"/>
        </w:rPr>
        <w:t>C</w:t>
      </w:r>
      <w:r w:rsidR="00E80F14" w:rsidRPr="00944A90">
        <w:rPr>
          <w:rFonts w:ascii="Garamond" w:hAnsi="Garamond"/>
          <w:sz w:val="24"/>
          <w:szCs w:val="24"/>
        </w:rPr>
        <w:t>-</w:t>
      </w:r>
      <w:r w:rsidRPr="00944A90">
        <w:rPr>
          <w:rFonts w:ascii="Garamond" w:hAnsi="Garamond"/>
          <w:sz w:val="24"/>
          <w:szCs w:val="24"/>
        </w:rPr>
        <w:t>269/90</w:t>
      </w:r>
      <w:r w:rsidR="00E80F14" w:rsidRPr="00944A90">
        <w:rPr>
          <w:rFonts w:ascii="Garamond" w:hAnsi="Garamond"/>
          <w:sz w:val="24"/>
          <w:szCs w:val="24"/>
        </w:rPr>
        <w:t xml:space="preserve"> e 29 giugno 19</w:t>
      </w:r>
      <w:r w:rsidRPr="00944A90">
        <w:rPr>
          <w:rFonts w:ascii="Garamond" w:hAnsi="Garamond"/>
          <w:sz w:val="24"/>
          <w:szCs w:val="24"/>
        </w:rPr>
        <w:t xml:space="preserve">94, </w:t>
      </w:r>
      <w:r w:rsidR="007E5A45" w:rsidRPr="00944A90">
        <w:rPr>
          <w:rFonts w:ascii="Garamond" w:hAnsi="Garamond"/>
          <w:sz w:val="24"/>
          <w:szCs w:val="24"/>
        </w:rPr>
        <w:t>in</w:t>
      </w:r>
      <w:r w:rsidRPr="00944A90">
        <w:rPr>
          <w:rFonts w:ascii="Garamond" w:hAnsi="Garamond"/>
          <w:sz w:val="24"/>
          <w:szCs w:val="24"/>
        </w:rPr>
        <w:t xml:space="preserve"> C-135/92</w:t>
      </w:r>
      <w:r w:rsidR="00E80F14" w:rsidRPr="00944A90">
        <w:rPr>
          <w:rFonts w:ascii="Garamond" w:hAnsi="Garamond"/>
          <w:sz w:val="24"/>
          <w:szCs w:val="24"/>
        </w:rPr>
        <w:t xml:space="preserve">, ove si afferma che </w:t>
      </w:r>
      <w:r w:rsidRPr="00944A90">
        <w:rPr>
          <w:rFonts w:ascii="Garamond" w:hAnsi="Garamond"/>
          <w:i/>
          <w:iCs/>
          <w:sz w:val="24"/>
          <w:szCs w:val="24"/>
        </w:rPr>
        <w:t>“il rispetto del diritto alla difesa richiede che chiunque possa vedersi infliggere una sanzione sia messo in condizione di far conoscere utilmente il proprio punto di vista sugli elementi presi in considerazione dalla Commissione per infliggere la sanzione”</w:t>
      </w:r>
      <w:r w:rsidRPr="00944A90">
        <w:rPr>
          <w:rFonts w:ascii="Garamond" w:hAnsi="Garamond"/>
          <w:sz w:val="24"/>
          <w:szCs w:val="24"/>
        </w:rPr>
        <w:t>.</w:t>
      </w:r>
      <w:r w:rsidR="00C816F5" w:rsidRPr="00944A90">
        <w:rPr>
          <w:rFonts w:ascii="Garamond" w:hAnsi="Garamond"/>
          <w:sz w:val="24"/>
          <w:szCs w:val="24"/>
        </w:rPr>
        <w:t xml:space="preserve"> </w:t>
      </w:r>
    </w:p>
  </w:footnote>
  <w:footnote w:id="18">
    <w:p w:rsidR="00623812" w:rsidRPr="00944A90" w:rsidRDefault="00570596" w:rsidP="000E1D13">
      <w:pPr>
        <w:pStyle w:val="Testonotaapidipagina"/>
        <w:ind w:firstLine="284"/>
        <w:jc w:val="both"/>
        <w:rPr>
          <w:rFonts w:ascii="Garamond" w:hAnsi="Garamond"/>
          <w:i/>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0086438C" w:rsidRPr="00944A90">
        <w:rPr>
          <w:rFonts w:ascii="Garamond" w:hAnsi="Garamond"/>
          <w:sz w:val="24"/>
          <w:szCs w:val="24"/>
        </w:rPr>
        <w:t xml:space="preserve">Per tutti, si veda la nota pronuncia 27 settembre 2011, Ric. n. 43509/08, </w:t>
      </w:r>
      <w:r w:rsidR="0086438C" w:rsidRPr="00944A90">
        <w:rPr>
          <w:rFonts w:ascii="Garamond" w:hAnsi="Garamond"/>
          <w:i/>
          <w:sz w:val="24"/>
          <w:szCs w:val="24"/>
        </w:rPr>
        <w:t xml:space="preserve">Menarini </w:t>
      </w:r>
      <w:proofErr w:type="spellStart"/>
      <w:r w:rsidR="0086438C" w:rsidRPr="00944A90">
        <w:rPr>
          <w:rFonts w:ascii="Garamond" w:hAnsi="Garamond"/>
          <w:i/>
          <w:sz w:val="24"/>
          <w:szCs w:val="24"/>
        </w:rPr>
        <w:t>Diagnostics</w:t>
      </w:r>
      <w:proofErr w:type="spellEnd"/>
      <w:r w:rsidR="0086438C" w:rsidRPr="00944A90">
        <w:rPr>
          <w:rFonts w:ascii="Garamond" w:hAnsi="Garamond"/>
          <w:i/>
          <w:sz w:val="24"/>
          <w:szCs w:val="24"/>
        </w:rPr>
        <w:t xml:space="preserve"> s.r.l. c. Italia; </w:t>
      </w:r>
      <w:r w:rsidR="0086438C" w:rsidRPr="00944A90">
        <w:rPr>
          <w:rFonts w:ascii="Garamond" w:hAnsi="Garamond"/>
          <w:sz w:val="24"/>
          <w:szCs w:val="24"/>
        </w:rPr>
        <w:t xml:space="preserve">cfr. anche sentenza 21 dicembre 2010, Proc. n. 29613/08, </w:t>
      </w:r>
      <w:proofErr w:type="spellStart"/>
      <w:r w:rsidR="0086438C" w:rsidRPr="00944A90">
        <w:rPr>
          <w:rFonts w:ascii="Garamond" w:hAnsi="Garamond"/>
          <w:i/>
          <w:sz w:val="24"/>
          <w:szCs w:val="24"/>
        </w:rPr>
        <w:t>Primagaz</w:t>
      </w:r>
      <w:proofErr w:type="spellEnd"/>
      <w:r w:rsidR="0086438C" w:rsidRPr="00944A90">
        <w:rPr>
          <w:rFonts w:ascii="Garamond" w:hAnsi="Garamond"/>
          <w:i/>
          <w:sz w:val="24"/>
          <w:szCs w:val="24"/>
        </w:rPr>
        <w:t xml:space="preserve"> c. Francia</w:t>
      </w:r>
      <w:r w:rsidR="0086438C" w:rsidRPr="00944A90">
        <w:rPr>
          <w:rFonts w:ascii="Garamond" w:hAnsi="Garamond"/>
          <w:sz w:val="24"/>
          <w:szCs w:val="24"/>
        </w:rPr>
        <w:t>.</w:t>
      </w:r>
      <w:r w:rsidR="00623812" w:rsidRPr="00944A90">
        <w:rPr>
          <w:rFonts w:ascii="Garamond" w:hAnsi="Garamond"/>
          <w:sz w:val="24"/>
          <w:szCs w:val="24"/>
        </w:rPr>
        <w:t xml:space="preserve"> </w:t>
      </w:r>
      <w:r w:rsidR="004C7455" w:rsidRPr="00944A90">
        <w:rPr>
          <w:rFonts w:ascii="Garamond" w:hAnsi="Garamond"/>
          <w:sz w:val="24"/>
          <w:szCs w:val="24"/>
        </w:rPr>
        <w:t xml:space="preserve">Nella pronuncia 6 febbraio 2020, Ric. n. 44221/14, </w:t>
      </w:r>
      <w:r w:rsidR="004C7455" w:rsidRPr="00944A90">
        <w:rPr>
          <w:rFonts w:ascii="Garamond" w:hAnsi="Garamond"/>
          <w:i/>
          <w:sz w:val="24"/>
          <w:szCs w:val="24"/>
        </w:rPr>
        <w:t>Felloni c. Italia</w:t>
      </w:r>
      <w:r w:rsidR="004C7455" w:rsidRPr="00944A90">
        <w:rPr>
          <w:rFonts w:ascii="Garamond" w:hAnsi="Garamond"/>
          <w:sz w:val="24"/>
          <w:szCs w:val="24"/>
        </w:rPr>
        <w:t>, la Corte ha in particolare affermato che “</w:t>
      </w:r>
      <w:r w:rsidR="004C7455" w:rsidRPr="00944A90">
        <w:rPr>
          <w:rFonts w:ascii="Garamond" w:hAnsi="Garamond"/>
          <w:i/>
          <w:sz w:val="24"/>
          <w:szCs w:val="24"/>
        </w:rPr>
        <w:t xml:space="preserve">la motivazione è finalizzata soprattutto a dimostrare alle parti che sono state ascoltate e, quindi, a contribuire ad una migliore accettazione della decisione (si veda, </w:t>
      </w:r>
      <w:proofErr w:type="spellStart"/>
      <w:r w:rsidR="004C7455" w:rsidRPr="00944A90">
        <w:rPr>
          <w:rFonts w:ascii="Garamond" w:hAnsi="Garamond"/>
          <w:i/>
          <w:sz w:val="24"/>
          <w:szCs w:val="24"/>
        </w:rPr>
        <w:t>mutatis</w:t>
      </w:r>
      <w:proofErr w:type="spellEnd"/>
      <w:r w:rsidR="004C7455" w:rsidRPr="00944A90">
        <w:rPr>
          <w:rFonts w:ascii="Garamond" w:hAnsi="Garamond"/>
          <w:i/>
          <w:sz w:val="24"/>
          <w:szCs w:val="24"/>
        </w:rPr>
        <w:t xml:space="preserve"> </w:t>
      </w:r>
      <w:proofErr w:type="spellStart"/>
      <w:r w:rsidR="004C7455" w:rsidRPr="00944A90">
        <w:rPr>
          <w:rFonts w:ascii="Garamond" w:hAnsi="Garamond"/>
          <w:i/>
          <w:sz w:val="24"/>
          <w:szCs w:val="24"/>
        </w:rPr>
        <w:t>mutandis</w:t>
      </w:r>
      <w:proofErr w:type="spellEnd"/>
      <w:r w:rsidR="004C7455" w:rsidRPr="00944A90">
        <w:rPr>
          <w:rFonts w:ascii="Garamond" w:hAnsi="Garamond"/>
          <w:i/>
          <w:sz w:val="24"/>
          <w:szCs w:val="24"/>
        </w:rPr>
        <w:t xml:space="preserve">, </w:t>
      </w:r>
      <w:proofErr w:type="spellStart"/>
      <w:r w:rsidR="004C7455" w:rsidRPr="00944A90">
        <w:rPr>
          <w:rFonts w:ascii="Garamond" w:hAnsi="Garamond"/>
          <w:i/>
          <w:sz w:val="24"/>
          <w:szCs w:val="24"/>
        </w:rPr>
        <w:t>Taxquet</w:t>
      </w:r>
      <w:proofErr w:type="spellEnd"/>
      <w:r w:rsidR="004C7455" w:rsidRPr="00944A90">
        <w:rPr>
          <w:rFonts w:ascii="Garamond" w:hAnsi="Garamond"/>
          <w:i/>
          <w:sz w:val="24"/>
          <w:szCs w:val="24"/>
        </w:rPr>
        <w:t xml:space="preserve"> c. Belgio [GC], n. 926/05, CEDU 2010, 16 novembre 2010, § 91)”.</w:t>
      </w:r>
      <w:r w:rsidR="00742D4B" w:rsidRPr="00944A90">
        <w:rPr>
          <w:rFonts w:ascii="Garamond" w:hAnsi="Garamond"/>
          <w:i/>
          <w:sz w:val="24"/>
          <w:szCs w:val="24"/>
        </w:rPr>
        <w:t xml:space="preserve"> </w:t>
      </w:r>
      <w:r w:rsidR="00623812" w:rsidRPr="00944A90">
        <w:rPr>
          <w:rFonts w:ascii="Garamond" w:hAnsi="Garamond"/>
          <w:sz w:val="24"/>
          <w:szCs w:val="24"/>
        </w:rPr>
        <w:t xml:space="preserve">In dottrina, ALLENA M., </w:t>
      </w:r>
      <w:r w:rsidR="00623812" w:rsidRPr="00944A90">
        <w:rPr>
          <w:rFonts w:ascii="Garamond" w:hAnsi="Garamond"/>
          <w:i/>
          <w:sz w:val="24"/>
          <w:szCs w:val="24"/>
        </w:rPr>
        <w:t xml:space="preserve">Art. 6 </w:t>
      </w:r>
      <w:proofErr w:type="spellStart"/>
      <w:r w:rsidR="00623812" w:rsidRPr="00944A90">
        <w:rPr>
          <w:rFonts w:ascii="Garamond" w:hAnsi="Garamond"/>
          <w:i/>
          <w:sz w:val="24"/>
          <w:szCs w:val="24"/>
        </w:rPr>
        <w:t>Cedu</w:t>
      </w:r>
      <w:proofErr w:type="spellEnd"/>
      <w:r w:rsidR="00623812" w:rsidRPr="00944A90">
        <w:rPr>
          <w:rFonts w:ascii="Garamond" w:hAnsi="Garamond"/>
          <w:i/>
          <w:sz w:val="24"/>
          <w:szCs w:val="24"/>
        </w:rPr>
        <w:t>. Procedimento e processo amministrativo</w:t>
      </w:r>
      <w:r w:rsidR="00623812" w:rsidRPr="00944A90">
        <w:rPr>
          <w:rFonts w:ascii="Garamond" w:hAnsi="Garamond"/>
          <w:sz w:val="24"/>
          <w:szCs w:val="24"/>
        </w:rPr>
        <w:t>, Napoli, 2012.</w:t>
      </w:r>
    </w:p>
  </w:footnote>
  <w:footnote w:id="19">
    <w:p w:rsidR="00570596" w:rsidRPr="00944A90" w:rsidRDefault="00570596"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0086438C" w:rsidRPr="00944A90">
        <w:rPr>
          <w:rFonts w:ascii="Garamond" w:hAnsi="Garamond"/>
          <w:sz w:val="24"/>
          <w:szCs w:val="24"/>
        </w:rPr>
        <w:t xml:space="preserve">Il riferimento è alla sentenza 8 giugno 1976, Ric. nn. 5100/71, 5101/71 e 5102/71, </w:t>
      </w:r>
      <w:r w:rsidR="0086438C" w:rsidRPr="00944A90">
        <w:rPr>
          <w:rFonts w:ascii="Garamond" w:hAnsi="Garamond"/>
          <w:i/>
          <w:sz w:val="24"/>
          <w:szCs w:val="24"/>
        </w:rPr>
        <w:t>Engel e a. c. Paesi Bassi</w:t>
      </w:r>
      <w:r w:rsidR="0086438C" w:rsidRPr="00944A90">
        <w:rPr>
          <w:rFonts w:ascii="Garamond" w:hAnsi="Garamond"/>
          <w:sz w:val="24"/>
          <w:szCs w:val="24"/>
        </w:rPr>
        <w:t>.</w:t>
      </w:r>
    </w:p>
  </w:footnote>
  <w:footnote w:id="20">
    <w:p w:rsidR="00A66148" w:rsidRPr="00944A90" w:rsidRDefault="00570596" w:rsidP="000E1D13">
      <w:pPr>
        <w:pStyle w:val="Testonotaapidipagina"/>
        <w:ind w:firstLine="284"/>
        <w:jc w:val="both"/>
        <w:rPr>
          <w:rFonts w:ascii="Garamond" w:hAnsi="Garamond"/>
          <w:sz w:val="24"/>
          <w:szCs w:val="24"/>
        </w:rPr>
      </w:pPr>
      <w:r w:rsidRPr="00944A90">
        <w:rPr>
          <w:rStyle w:val="Rimandonotaapidipagina"/>
          <w:rFonts w:ascii="Garamond" w:hAnsi="Garamond"/>
          <w:sz w:val="24"/>
          <w:szCs w:val="24"/>
        </w:rPr>
        <w:footnoteRef/>
      </w:r>
      <w:r w:rsidRPr="00944A90">
        <w:rPr>
          <w:rFonts w:ascii="Garamond" w:hAnsi="Garamond"/>
          <w:sz w:val="24"/>
          <w:szCs w:val="24"/>
        </w:rPr>
        <w:t xml:space="preserve"> </w:t>
      </w:r>
      <w:r w:rsidR="00A66148" w:rsidRPr="00944A90">
        <w:rPr>
          <w:rFonts w:ascii="Garamond" w:hAnsi="Garamond"/>
          <w:sz w:val="24"/>
          <w:szCs w:val="24"/>
        </w:rPr>
        <w:t xml:space="preserve">In </w:t>
      </w:r>
      <w:r w:rsidR="00192C40" w:rsidRPr="00944A90">
        <w:rPr>
          <w:rFonts w:ascii="Garamond" w:hAnsi="Garamond"/>
          <w:sz w:val="24"/>
          <w:szCs w:val="24"/>
        </w:rPr>
        <w:t xml:space="preserve">particolare, la Corte ha affermato che </w:t>
      </w:r>
      <w:r w:rsidR="00192C40" w:rsidRPr="00944A90">
        <w:rPr>
          <w:rFonts w:ascii="Garamond" w:hAnsi="Garamond"/>
          <w:i/>
          <w:sz w:val="24"/>
          <w:szCs w:val="24"/>
        </w:rPr>
        <w:t xml:space="preserve">“mentre la certezza è altamente auspicabile, può portare come strascico una eccessiva rigidità e la legge deve essere in grado di tenere il passo con il mutare delle circostanze”, </w:t>
      </w:r>
      <w:r w:rsidR="00192C40" w:rsidRPr="00944A90">
        <w:rPr>
          <w:rFonts w:ascii="Garamond" w:hAnsi="Garamond"/>
          <w:sz w:val="24"/>
          <w:szCs w:val="24"/>
        </w:rPr>
        <w:t>e ciò spiega perché</w:t>
      </w:r>
      <w:r w:rsidR="00192C40" w:rsidRPr="00944A90">
        <w:rPr>
          <w:rFonts w:ascii="Garamond" w:hAnsi="Garamond"/>
          <w:i/>
          <w:sz w:val="24"/>
          <w:szCs w:val="24"/>
        </w:rPr>
        <w:t xml:space="preserve"> “molte leggi sono inevitabilmente formulate in termini che, in misura maggiore o minore, sono vaghi e la cui interpretazione e applicazione sono questioni di pratica”</w:t>
      </w:r>
      <w:r w:rsidR="00192C40" w:rsidRPr="00944A90">
        <w:rPr>
          <w:rFonts w:ascii="Garamond" w:hAnsi="Garamond"/>
          <w:sz w:val="24"/>
          <w:szCs w:val="24"/>
        </w:rPr>
        <w:t xml:space="preserve"> (§ 107)</w:t>
      </w:r>
      <w:r w:rsidR="00A374B4" w:rsidRPr="00944A90">
        <w:rPr>
          <w:rFonts w:ascii="Garamond" w:hAnsi="Garamond"/>
          <w:sz w:val="24"/>
          <w:szCs w:val="24"/>
        </w:rPr>
        <w:t>.</w:t>
      </w:r>
    </w:p>
    <w:p w:rsidR="00570596" w:rsidRPr="004179CB" w:rsidRDefault="009F78D7" w:rsidP="000E1D13">
      <w:pPr>
        <w:pStyle w:val="Testonotaapidipagina"/>
        <w:ind w:firstLine="284"/>
        <w:jc w:val="both"/>
        <w:rPr>
          <w:rFonts w:ascii="Garamond" w:hAnsi="Garamond"/>
          <w:sz w:val="24"/>
          <w:szCs w:val="24"/>
        </w:rPr>
      </w:pPr>
      <w:r w:rsidRPr="00944A90">
        <w:rPr>
          <w:rFonts w:ascii="Garamond" w:hAnsi="Garamond"/>
          <w:sz w:val="24"/>
          <w:szCs w:val="24"/>
        </w:rPr>
        <w:t>Imprescindibili, sul punto, le sentenze</w:t>
      </w:r>
      <w:r w:rsidR="002170E2" w:rsidRPr="00944A90">
        <w:rPr>
          <w:rFonts w:ascii="Garamond" w:hAnsi="Garamond"/>
          <w:sz w:val="24"/>
          <w:szCs w:val="24"/>
        </w:rPr>
        <w:t xml:space="preserve"> Cons. St., </w:t>
      </w:r>
      <w:r w:rsidR="003A1912">
        <w:rPr>
          <w:rFonts w:ascii="Garamond" w:hAnsi="Garamond"/>
          <w:sz w:val="24"/>
          <w:szCs w:val="24"/>
        </w:rPr>
        <w:t>Sez. III</w:t>
      </w:r>
      <w:r w:rsidR="002170E2" w:rsidRPr="00944A90">
        <w:rPr>
          <w:rFonts w:ascii="Garamond" w:hAnsi="Garamond"/>
          <w:sz w:val="24"/>
          <w:szCs w:val="24"/>
        </w:rPr>
        <w:t>, 5 settembre 2019, n. 6150, con nota di AMORE A.</w:t>
      </w:r>
      <w:r w:rsidR="002170E2" w:rsidRPr="00944A90">
        <w:rPr>
          <w:rFonts w:ascii="Garamond" w:hAnsi="Garamond"/>
          <w:i/>
          <w:sz w:val="24"/>
          <w:szCs w:val="24"/>
        </w:rPr>
        <w:t xml:space="preserve">, Il deficit di tipicità delle </w:t>
      </w:r>
      <w:proofErr w:type="spellStart"/>
      <w:r w:rsidR="002170E2" w:rsidRPr="00944A90">
        <w:rPr>
          <w:rFonts w:ascii="Garamond" w:hAnsi="Garamond"/>
          <w:i/>
          <w:sz w:val="24"/>
          <w:szCs w:val="24"/>
        </w:rPr>
        <w:t>interdittive</w:t>
      </w:r>
      <w:proofErr w:type="spellEnd"/>
      <w:r w:rsidR="002170E2" w:rsidRPr="00944A90">
        <w:rPr>
          <w:rFonts w:ascii="Garamond" w:hAnsi="Garamond"/>
          <w:i/>
          <w:sz w:val="24"/>
          <w:szCs w:val="24"/>
        </w:rPr>
        <w:t xml:space="preserve"> antimafia, </w:t>
      </w:r>
      <w:r w:rsidR="002170E2" w:rsidRPr="00944A90">
        <w:rPr>
          <w:rFonts w:ascii="Garamond" w:hAnsi="Garamond"/>
          <w:sz w:val="24"/>
          <w:szCs w:val="24"/>
        </w:rPr>
        <w:t>in</w:t>
      </w:r>
      <w:r w:rsidR="002170E2" w:rsidRPr="00944A90">
        <w:rPr>
          <w:rFonts w:ascii="Garamond" w:hAnsi="Garamond"/>
          <w:i/>
          <w:sz w:val="24"/>
          <w:szCs w:val="24"/>
        </w:rPr>
        <w:t xml:space="preserve"> Urbanistica e appalti</w:t>
      </w:r>
      <w:r w:rsidR="003D031C" w:rsidRPr="00944A90">
        <w:rPr>
          <w:rFonts w:ascii="Garamond" w:hAnsi="Garamond"/>
          <w:sz w:val="24"/>
          <w:szCs w:val="24"/>
        </w:rPr>
        <w:t xml:space="preserve">, </w:t>
      </w:r>
      <w:r w:rsidR="002170E2" w:rsidRPr="00944A90">
        <w:rPr>
          <w:rFonts w:ascii="Garamond" w:hAnsi="Garamond"/>
          <w:sz w:val="24"/>
          <w:szCs w:val="24"/>
        </w:rPr>
        <w:t xml:space="preserve">2020, </w:t>
      </w:r>
      <w:r w:rsidR="003D031C" w:rsidRPr="00944A90">
        <w:rPr>
          <w:rFonts w:ascii="Garamond" w:hAnsi="Garamond"/>
          <w:sz w:val="24"/>
          <w:szCs w:val="24"/>
        </w:rPr>
        <w:t xml:space="preserve">2, </w:t>
      </w:r>
      <w:r w:rsidR="002170E2" w:rsidRPr="00944A90">
        <w:rPr>
          <w:rFonts w:ascii="Garamond" w:hAnsi="Garamond"/>
          <w:sz w:val="24"/>
          <w:szCs w:val="24"/>
        </w:rPr>
        <w:t>243 e ss.</w:t>
      </w:r>
      <w:r w:rsidRPr="00944A90">
        <w:rPr>
          <w:rFonts w:ascii="Garamond" w:hAnsi="Garamond"/>
          <w:sz w:val="24"/>
          <w:szCs w:val="24"/>
        </w:rPr>
        <w:t>, nonché Corte Cost., 27 feb</w:t>
      </w:r>
      <w:r w:rsidR="008B463F" w:rsidRPr="00944A90">
        <w:rPr>
          <w:rFonts w:ascii="Garamond" w:hAnsi="Garamond"/>
          <w:sz w:val="24"/>
          <w:szCs w:val="24"/>
        </w:rPr>
        <w:t xml:space="preserve">braio 2019, </w:t>
      </w:r>
      <w:r w:rsidR="00F33E8F">
        <w:rPr>
          <w:rFonts w:ascii="Garamond" w:hAnsi="Garamond"/>
          <w:sz w:val="24"/>
          <w:szCs w:val="24"/>
        </w:rPr>
        <w:t>n</w:t>
      </w:r>
      <w:r w:rsidR="008B463F" w:rsidRPr="00944A90">
        <w:rPr>
          <w:rFonts w:ascii="Garamond" w:hAnsi="Garamond"/>
          <w:sz w:val="24"/>
          <w:szCs w:val="24"/>
        </w:rPr>
        <w:t>. 24</w:t>
      </w:r>
      <w:r w:rsidR="001D51EF" w:rsidRPr="00944A90">
        <w:rPr>
          <w:rFonts w:ascii="Garamond" w:hAnsi="Garamond"/>
          <w:sz w:val="24"/>
          <w:szCs w:val="24"/>
        </w:rPr>
        <w:t xml:space="preserve"> e 24 luglio 2019 n. 195</w:t>
      </w:r>
      <w:r w:rsidR="008B463F" w:rsidRPr="00944A90">
        <w:rPr>
          <w:rFonts w:ascii="Garamond" w:hAnsi="Garamond"/>
          <w:sz w:val="24"/>
          <w:szCs w:val="24"/>
        </w:rPr>
        <w:t xml:space="preserve">; critico sull’intero sistema di prevenzione antimafia, MAIELLO V., </w:t>
      </w:r>
      <w:r w:rsidR="008B463F" w:rsidRPr="00944A90">
        <w:rPr>
          <w:rFonts w:ascii="Garamond" w:hAnsi="Garamond"/>
          <w:i/>
          <w:sz w:val="24"/>
          <w:szCs w:val="24"/>
        </w:rPr>
        <w:t>De Tommaso c. Italia e la cattiva coscienza delle misure di prevenzione</w:t>
      </w:r>
      <w:r w:rsidR="008B463F" w:rsidRPr="00944A90">
        <w:rPr>
          <w:rFonts w:ascii="Garamond" w:hAnsi="Garamond"/>
          <w:sz w:val="24"/>
          <w:szCs w:val="24"/>
        </w:rPr>
        <w:t xml:space="preserve">, </w:t>
      </w:r>
      <w:r w:rsidR="008B463F" w:rsidRPr="00C13F4B">
        <w:rPr>
          <w:rFonts w:ascii="Garamond" w:hAnsi="Garamond"/>
          <w:iCs/>
          <w:sz w:val="24"/>
          <w:szCs w:val="24"/>
        </w:rPr>
        <w:t>in</w:t>
      </w:r>
      <w:r w:rsidR="008B463F" w:rsidRPr="00944A90">
        <w:rPr>
          <w:rFonts w:ascii="Garamond" w:hAnsi="Garamond"/>
          <w:i/>
          <w:sz w:val="24"/>
          <w:szCs w:val="24"/>
        </w:rPr>
        <w:t xml:space="preserve"> Dir. </w:t>
      </w:r>
      <w:proofErr w:type="spellStart"/>
      <w:r w:rsidR="008B463F" w:rsidRPr="00944A90">
        <w:rPr>
          <w:rFonts w:ascii="Garamond" w:hAnsi="Garamond"/>
          <w:i/>
          <w:sz w:val="24"/>
          <w:szCs w:val="24"/>
        </w:rPr>
        <w:t>pen</w:t>
      </w:r>
      <w:proofErr w:type="spellEnd"/>
      <w:r w:rsidR="008B463F" w:rsidRPr="00944A90">
        <w:rPr>
          <w:rFonts w:ascii="Garamond" w:hAnsi="Garamond"/>
          <w:i/>
          <w:sz w:val="24"/>
          <w:szCs w:val="24"/>
        </w:rPr>
        <w:t>. proc</w:t>
      </w:r>
      <w:r w:rsidR="008B463F" w:rsidRPr="00944A90">
        <w:rPr>
          <w:rFonts w:ascii="Garamond" w:hAnsi="Garamond"/>
          <w:sz w:val="24"/>
          <w:szCs w:val="24"/>
        </w:rPr>
        <w:t xml:space="preserve">., 2017, </w:t>
      </w:r>
      <w:r w:rsidR="008B463F" w:rsidRPr="004179CB">
        <w:rPr>
          <w:rFonts w:ascii="Garamond" w:hAnsi="Garamond"/>
          <w:sz w:val="24"/>
          <w:szCs w:val="24"/>
        </w:rPr>
        <w:t>1039 e ss.</w:t>
      </w:r>
      <w:r w:rsidR="00A35E31" w:rsidRPr="004179CB">
        <w:rPr>
          <w:rFonts w:ascii="Garamond" w:hAnsi="Garamond"/>
          <w:sz w:val="24"/>
          <w:szCs w:val="24"/>
        </w:rPr>
        <w:t xml:space="preserve">; una ricostruzione approfondita si ritrova poi in AMARELLI G., </w:t>
      </w:r>
      <w:r w:rsidR="00A35E31" w:rsidRPr="004179CB">
        <w:rPr>
          <w:rFonts w:ascii="Garamond" w:hAnsi="Garamond"/>
          <w:i/>
          <w:sz w:val="24"/>
          <w:szCs w:val="24"/>
        </w:rPr>
        <w:t>L’onda lunga della sentenza De Tommaso: ore contate per l’</w:t>
      </w:r>
      <w:proofErr w:type="spellStart"/>
      <w:r w:rsidR="00A35E31" w:rsidRPr="004179CB">
        <w:rPr>
          <w:rFonts w:ascii="Garamond" w:hAnsi="Garamond"/>
          <w:i/>
          <w:sz w:val="24"/>
          <w:szCs w:val="24"/>
        </w:rPr>
        <w:t>interdittiva</w:t>
      </w:r>
      <w:proofErr w:type="spellEnd"/>
      <w:r w:rsidR="00A35E31" w:rsidRPr="004179CB">
        <w:rPr>
          <w:rFonts w:ascii="Garamond" w:hAnsi="Garamond"/>
          <w:i/>
          <w:sz w:val="24"/>
          <w:szCs w:val="24"/>
        </w:rPr>
        <w:t xml:space="preserve"> antimafia “generica” ex art. 84, co. 4, lett. d) ed e) d. lgs. n. 159/</w:t>
      </w:r>
      <w:proofErr w:type="gramStart"/>
      <w:r w:rsidR="00A35E31" w:rsidRPr="004179CB">
        <w:rPr>
          <w:rFonts w:ascii="Garamond" w:hAnsi="Garamond"/>
          <w:i/>
          <w:sz w:val="24"/>
          <w:szCs w:val="24"/>
        </w:rPr>
        <w:t>2011?</w:t>
      </w:r>
      <w:r w:rsidR="00A35E31" w:rsidRPr="004179CB">
        <w:rPr>
          <w:rFonts w:ascii="Garamond" w:hAnsi="Garamond"/>
          <w:sz w:val="24"/>
          <w:szCs w:val="24"/>
        </w:rPr>
        <w:t>,</w:t>
      </w:r>
      <w:proofErr w:type="gramEnd"/>
      <w:r w:rsidR="00A35E31" w:rsidRPr="004179CB">
        <w:rPr>
          <w:rFonts w:ascii="Garamond" w:hAnsi="Garamond"/>
          <w:sz w:val="24"/>
          <w:szCs w:val="24"/>
        </w:rPr>
        <w:t xml:space="preserve"> in </w:t>
      </w:r>
      <w:r w:rsidR="00A35E31" w:rsidRPr="004179CB">
        <w:rPr>
          <w:rFonts w:ascii="Garamond" w:hAnsi="Garamond"/>
          <w:i/>
          <w:sz w:val="24"/>
          <w:szCs w:val="24"/>
        </w:rPr>
        <w:t xml:space="preserve">Dir. </w:t>
      </w:r>
      <w:proofErr w:type="spellStart"/>
      <w:r w:rsidR="00A35E31" w:rsidRPr="004179CB">
        <w:rPr>
          <w:rFonts w:ascii="Garamond" w:hAnsi="Garamond"/>
          <w:i/>
          <w:sz w:val="24"/>
          <w:szCs w:val="24"/>
        </w:rPr>
        <w:t>pen</w:t>
      </w:r>
      <w:proofErr w:type="spellEnd"/>
      <w:r w:rsidR="00A35E31" w:rsidRPr="004179CB">
        <w:rPr>
          <w:rFonts w:ascii="Garamond" w:hAnsi="Garamond"/>
          <w:i/>
          <w:sz w:val="24"/>
          <w:szCs w:val="24"/>
        </w:rPr>
        <w:t>. cont</w:t>
      </w:r>
      <w:r w:rsidR="00A35E31" w:rsidRPr="004179CB">
        <w:rPr>
          <w:rFonts w:ascii="Garamond" w:hAnsi="Garamond"/>
          <w:sz w:val="24"/>
          <w:szCs w:val="24"/>
        </w:rPr>
        <w:t>., 2017, 10 ss.</w:t>
      </w:r>
    </w:p>
  </w:footnote>
  <w:footnote w:id="21">
    <w:p w:rsidR="008A6806" w:rsidRPr="004179CB" w:rsidRDefault="008A6806" w:rsidP="008A6806">
      <w:pPr>
        <w:ind w:firstLine="340"/>
        <w:jc w:val="both"/>
        <w:rPr>
          <w:rFonts w:ascii="Garamond" w:hAnsi="Garamond"/>
          <w:sz w:val="24"/>
          <w:szCs w:val="24"/>
        </w:rPr>
      </w:pPr>
      <w:r w:rsidRPr="004179CB">
        <w:rPr>
          <w:rStyle w:val="Rimandonotaapidipagina"/>
          <w:rFonts w:ascii="Garamond" w:hAnsi="Garamond"/>
          <w:sz w:val="24"/>
          <w:szCs w:val="24"/>
        </w:rPr>
        <w:footnoteRef/>
      </w:r>
      <w:r w:rsidRPr="004179CB">
        <w:rPr>
          <w:rFonts w:ascii="Garamond" w:hAnsi="Garamond"/>
          <w:sz w:val="24"/>
          <w:szCs w:val="24"/>
        </w:rPr>
        <w:t xml:space="preserve"> Per conoscenza, si riporta il quesito sul quale la Corte era stata chiamata a pronunciarsi: </w:t>
      </w:r>
      <w:r w:rsidRPr="004179CB">
        <w:rPr>
          <w:rFonts w:ascii="Garamond" w:hAnsi="Garamond"/>
          <w:i/>
          <w:sz w:val="24"/>
          <w:szCs w:val="24"/>
        </w:rPr>
        <w:t xml:space="preserve">“il Tribunale Amministrativo Regionale per la Puglia, sede di Bari, sezione III, chiede alla Corte di Giustizia dell’Unione Europea di chiarire pregiudizialmente, ai fini della decisione della presente controversia, se gli artt. 91, 92 e 93 del Decreto Legislativo 6 settembre 2011, n. 159, nella parte in cui non prevedono il contraddittorio </w:t>
      </w:r>
      <w:proofErr w:type="spellStart"/>
      <w:r w:rsidRPr="004179CB">
        <w:rPr>
          <w:rFonts w:ascii="Garamond" w:hAnsi="Garamond"/>
          <w:i/>
          <w:sz w:val="24"/>
          <w:szCs w:val="24"/>
        </w:rPr>
        <w:t>endoprocedimentale</w:t>
      </w:r>
      <w:proofErr w:type="spellEnd"/>
      <w:r w:rsidRPr="004179CB">
        <w:rPr>
          <w:rFonts w:ascii="Garamond" w:hAnsi="Garamond"/>
          <w:i/>
          <w:sz w:val="24"/>
          <w:szCs w:val="24"/>
        </w:rPr>
        <w:t xml:space="preserve"> in favore del soggetto nei cui riguardi l’Amministrazione si propone di rilasciare una-OMISSIS-, siano compatibili con il principio del contraddittorio, così come ricostruito e riconosciuto quale principio di diritto dell’Unione”</w:t>
      </w:r>
      <w:r w:rsidRPr="004179CB">
        <w:rPr>
          <w:rFonts w:ascii="Garamond" w:hAnsi="Garamond"/>
          <w:sz w:val="24"/>
          <w:szCs w:val="24"/>
        </w:rPr>
        <w:t>.</w:t>
      </w:r>
    </w:p>
  </w:footnote>
  <w:footnote w:id="22">
    <w:p w:rsidR="00570596" w:rsidRPr="00222BD4" w:rsidRDefault="00897360" w:rsidP="00897360">
      <w:pPr>
        <w:pStyle w:val="Testonotaapidipagina"/>
        <w:jc w:val="both"/>
        <w:rPr>
          <w:rFonts w:ascii="Garamond" w:hAnsi="Garamond"/>
          <w:i/>
          <w:iCs/>
          <w:sz w:val="24"/>
          <w:szCs w:val="24"/>
        </w:rPr>
      </w:pPr>
      <w:r>
        <w:rPr>
          <w:rFonts w:ascii="Garamond" w:hAnsi="Garamond"/>
          <w:sz w:val="24"/>
          <w:szCs w:val="24"/>
        </w:rPr>
        <w:t xml:space="preserve">      </w:t>
      </w:r>
      <w:r w:rsidR="00570596" w:rsidRPr="004179CB">
        <w:rPr>
          <w:rStyle w:val="Rimandonotaapidipagina"/>
          <w:rFonts w:ascii="Garamond" w:hAnsi="Garamond"/>
          <w:sz w:val="24"/>
          <w:szCs w:val="24"/>
        </w:rPr>
        <w:footnoteRef/>
      </w:r>
      <w:r w:rsidR="00570596" w:rsidRPr="004179CB">
        <w:rPr>
          <w:rFonts w:ascii="Garamond" w:hAnsi="Garamond"/>
          <w:sz w:val="24"/>
          <w:szCs w:val="24"/>
        </w:rPr>
        <w:t xml:space="preserve"> </w:t>
      </w:r>
      <w:r w:rsidR="00D2654B">
        <w:rPr>
          <w:rFonts w:ascii="Garamond" w:hAnsi="Garamond"/>
          <w:sz w:val="24"/>
          <w:szCs w:val="24"/>
        </w:rPr>
        <w:t>C</w:t>
      </w:r>
      <w:r w:rsidR="005458A4">
        <w:rPr>
          <w:rFonts w:ascii="Garamond" w:hAnsi="Garamond"/>
          <w:sz w:val="24"/>
          <w:szCs w:val="24"/>
        </w:rPr>
        <w:t>fr</w:t>
      </w:r>
      <w:r w:rsidR="00570596" w:rsidRPr="004179CB">
        <w:rPr>
          <w:rFonts w:ascii="Garamond" w:hAnsi="Garamond"/>
          <w:sz w:val="24"/>
          <w:szCs w:val="24"/>
        </w:rPr>
        <w:t xml:space="preserve">. sentenza 9 novembre 2017, in C-298/16, nella quale la Corte </w:t>
      </w:r>
      <w:r w:rsidR="00C13F4B" w:rsidRPr="004179CB">
        <w:rPr>
          <w:rFonts w:ascii="Garamond" w:hAnsi="Garamond"/>
          <w:sz w:val="24"/>
          <w:szCs w:val="24"/>
        </w:rPr>
        <w:t>ha ammesso</w:t>
      </w:r>
      <w:r w:rsidR="00570596" w:rsidRPr="004179CB">
        <w:rPr>
          <w:rFonts w:ascii="Garamond" w:hAnsi="Garamond"/>
          <w:sz w:val="24"/>
          <w:szCs w:val="24"/>
        </w:rPr>
        <w:t xml:space="preserve"> limitazioni o esclusioni dei diritti della difesa purché “</w:t>
      </w:r>
      <w:r w:rsidR="00570596" w:rsidRPr="004179CB">
        <w:rPr>
          <w:rFonts w:ascii="Garamond" w:hAnsi="Garamond"/>
          <w:i/>
          <w:iCs/>
          <w:sz w:val="24"/>
          <w:szCs w:val="24"/>
        </w:rPr>
        <w:t>queste rispondano effettivamente a obiettivi di interesse generale perseguiti dalla misura di cui trattasi e non costituiscano, rispetto allo scopo perseguito, un interven</w:t>
      </w:r>
      <w:r w:rsidR="00570596" w:rsidRPr="00944A90">
        <w:rPr>
          <w:rFonts w:ascii="Garamond" w:hAnsi="Garamond"/>
          <w:i/>
          <w:iCs/>
          <w:sz w:val="24"/>
          <w:szCs w:val="24"/>
        </w:rPr>
        <w:t>to sproporzionato e inaccettabile, tale da ledere la sostanza stessa dei diritti così garantiti</w:t>
      </w:r>
      <w:r w:rsidR="00570596" w:rsidRPr="00944A90">
        <w:rPr>
          <w:rFonts w:ascii="Garamond" w:hAnsi="Garamond"/>
          <w:sz w:val="24"/>
          <w:szCs w:val="24"/>
        </w:rPr>
        <w:t>”</w:t>
      </w:r>
      <w:r w:rsidR="00B9193E" w:rsidRPr="00944A90">
        <w:rPr>
          <w:rFonts w:ascii="Garamond" w:hAnsi="Garamond"/>
          <w:sz w:val="24"/>
          <w:szCs w:val="24"/>
        </w:rPr>
        <w:t>; nonché</w:t>
      </w:r>
      <w:r w:rsidR="00570596" w:rsidRPr="00944A90">
        <w:rPr>
          <w:rFonts w:ascii="Garamond" w:hAnsi="Garamond"/>
          <w:sz w:val="24"/>
          <w:szCs w:val="24"/>
        </w:rPr>
        <w:t xml:space="preserve"> la pronuncia 26 settembre 2019, in C-63/18, nella quale la Corte ha affermato che “</w:t>
      </w:r>
      <w:r w:rsidR="00570596" w:rsidRPr="00944A90">
        <w:rPr>
          <w:rFonts w:ascii="Garamond" w:hAnsi="Garamond"/>
          <w:i/>
          <w:iCs/>
          <w:sz w:val="24"/>
          <w:szCs w:val="24"/>
        </w:rPr>
        <w:t>il contrasto al fenomeno dell’infiltrazione della criminalità organizzata nel settore degli appalti pubblici costituisce un obiettivo legittimo che può giustificare una restrizione alle regole fondamentali e ai principi generali del TFUE che si applicano nell’ambito delle procedure di aggiudicazione degli appalti pubblici”</w:t>
      </w:r>
      <w:r w:rsidR="00A37E72" w:rsidRPr="00944A90">
        <w:rPr>
          <w:rFonts w:ascii="Garamond" w:hAnsi="Garamond"/>
          <w:sz w:val="24"/>
          <w:szCs w:val="24"/>
        </w:rPr>
        <w:t>; più in generale, la Corte (sentenza 22 ottobre 2015, in C-425/14) ha riconosciuto agli Stati membri “</w:t>
      </w:r>
      <w:r w:rsidR="00A37E72" w:rsidRPr="00944A90">
        <w:rPr>
          <w:rFonts w:ascii="Garamond" w:hAnsi="Garamond"/>
          <w:i/>
          <w:sz w:val="24"/>
          <w:szCs w:val="24"/>
        </w:rPr>
        <w:t xml:space="preserve">un certo potere discrezionale nell’adozione delle misure destinate a garantire il rispetto del principio della parità di trattamento e dell’obbligo di trasparenza, i quali si impongono alle amministrazioni aggiudicatrici in tutte le procedure di aggiudicazione di un appalto pubblico”, </w:t>
      </w:r>
      <w:r w:rsidR="00A37E72" w:rsidRPr="00944A90">
        <w:rPr>
          <w:rFonts w:ascii="Garamond" w:hAnsi="Garamond"/>
          <w:sz w:val="24"/>
          <w:szCs w:val="24"/>
        </w:rPr>
        <w:t>trovandosi essi</w:t>
      </w:r>
      <w:r w:rsidR="00A37E72" w:rsidRPr="00944A90">
        <w:rPr>
          <w:rFonts w:ascii="Garamond" w:hAnsi="Garamond"/>
          <w:i/>
          <w:sz w:val="24"/>
          <w:szCs w:val="24"/>
        </w:rPr>
        <w:t xml:space="preserve"> “nella posizione migliore per individuare, alla luce di considerazione di ordine storico, giuridico, economico o sociale che gli sono proprie, le situazioni favorevoli</w:t>
      </w:r>
      <w:r w:rsidR="00A37E72" w:rsidRPr="00944A90">
        <w:rPr>
          <w:rFonts w:ascii="Garamond" w:hAnsi="Garamond"/>
          <w:sz w:val="24"/>
          <w:szCs w:val="24"/>
        </w:rPr>
        <w:t xml:space="preserve"> </w:t>
      </w:r>
      <w:r w:rsidR="00A37E72" w:rsidRPr="00944A90">
        <w:rPr>
          <w:rFonts w:ascii="Garamond" w:hAnsi="Garamond"/>
          <w:i/>
          <w:sz w:val="24"/>
          <w:szCs w:val="24"/>
        </w:rPr>
        <w:t>alla comparsa di comportamenti in grado di provocare violazioni del rispetto del principio e dell’obbligo summenzionati”.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50D6"/>
    <w:multiLevelType w:val="hybridMultilevel"/>
    <w:tmpl w:val="AB185564"/>
    <w:lvl w:ilvl="0" w:tplc="FFFFFFF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6D7429"/>
    <w:multiLevelType w:val="hybridMultilevel"/>
    <w:tmpl w:val="D988CBD4"/>
    <w:lvl w:ilvl="0" w:tplc="02B09226">
      <w:start w:val="1"/>
      <w:numFmt w:val="lowerLetter"/>
      <w:lvlText w:val="%1)"/>
      <w:lvlJc w:val="left"/>
      <w:pPr>
        <w:ind w:left="1080" w:hanging="360"/>
      </w:pPr>
      <w:rPr>
        <w:rFonts w:hint="default"/>
        <w:b w:val="0"/>
        <w:bCs/>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8E70E97"/>
    <w:multiLevelType w:val="hybridMultilevel"/>
    <w:tmpl w:val="F1EA2716"/>
    <w:lvl w:ilvl="0" w:tplc="FFFFFFFF">
      <w:start w:val="26"/>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76E2289"/>
    <w:multiLevelType w:val="hybridMultilevel"/>
    <w:tmpl w:val="4ADE84EA"/>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44"/>
    <w:rsid w:val="0000111E"/>
    <w:rsid w:val="00002B0E"/>
    <w:rsid w:val="00005D59"/>
    <w:rsid w:val="00015225"/>
    <w:rsid w:val="00015DA6"/>
    <w:rsid w:val="00023C6D"/>
    <w:rsid w:val="00024F20"/>
    <w:rsid w:val="00030269"/>
    <w:rsid w:val="0003681A"/>
    <w:rsid w:val="000404EE"/>
    <w:rsid w:val="00042009"/>
    <w:rsid w:val="000444F9"/>
    <w:rsid w:val="00046F1B"/>
    <w:rsid w:val="0004799F"/>
    <w:rsid w:val="0005078B"/>
    <w:rsid w:val="00053A86"/>
    <w:rsid w:val="00055374"/>
    <w:rsid w:val="00055B83"/>
    <w:rsid w:val="0005760E"/>
    <w:rsid w:val="00060046"/>
    <w:rsid w:val="00061B8A"/>
    <w:rsid w:val="00063254"/>
    <w:rsid w:val="00070098"/>
    <w:rsid w:val="00075953"/>
    <w:rsid w:val="00075B69"/>
    <w:rsid w:val="000866D3"/>
    <w:rsid w:val="0008780B"/>
    <w:rsid w:val="0009019B"/>
    <w:rsid w:val="00090A24"/>
    <w:rsid w:val="00097E97"/>
    <w:rsid w:val="000A6501"/>
    <w:rsid w:val="000B0383"/>
    <w:rsid w:val="000B40E6"/>
    <w:rsid w:val="000B4392"/>
    <w:rsid w:val="000B7524"/>
    <w:rsid w:val="000C7BE5"/>
    <w:rsid w:val="000D36E9"/>
    <w:rsid w:val="000D7C1A"/>
    <w:rsid w:val="000E04D8"/>
    <w:rsid w:val="000E1D13"/>
    <w:rsid w:val="000E2D1E"/>
    <w:rsid w:val="000E4351"/>
    <w:rsid w:val="000F4A0C"/>
    <w:rsid w:val="001240E9"/>
    <w:rsid w:val="001316C5"/>
    <w:rsid w:val="00131C6F"/>
    <w:rsid w:val="00135529"/>
    <w:rsid w:val="001363AE"/>
    <w:rsid w:val="001368FD"/>
    <w:rsid w:val="001549DE"/>
    <w:rsid w:val="00154ECA"/>
    <w:rsid w:val="00154F57"/>
    <w:rsid w:val="00155091"/>
    <w:rsid w:val="0015540B"/>
    <w:rsid w:val="00163328"/>
    <w:rsid w:val="00166882"/>
    <w:rsid w:val="00167F09"/>
    <w:rsid w:val="00174DEF"/>
    <w:rsid w:val="0018509A"/>
    <w:rsid w:val="0019295E"/>
    <w:rsid w:val="00192C40"/>
    <w:rsid w:val="001A59D2"/>
    <w:rsid w:val="001A60A9"/>
    <w:rsid w:val="001C4C0C"/>
    <w:rsid w:val="001C5436"/>
    <w:rsid w:val="001C6F69"/>
    <w:rsid w:val="001C7929"/>
    <w:rsid w:val="001D51EF"/>
    <w:rsid w:val="001E59C0"/>
    <w:rsid w:val="001F2012"/>
    <w:rsid w:val="001F2798"/>
    <w:rsid w:val="001F3E71"/>
    <w:rsid w:val="00213549"/>
    <w:rsid w:val="0021626B"/>
    <w:rsid w:val="002170E2"/>
    <w:rsid w:val="00222BD4"/>
    <w:rsid w:val="0022346C"/>
    <w:rsid w:val="00226A8F"/>
    <w:rsid w:val="002312C0"/>
    <w:rsid w:val="002328CA"/>
    <w:rsid w:val="00233430"/>
    <w:rsid w:val="002432B4"/>
    <w:rsid w:val="0024721F"/>
    <w:rsid w:val="00252AC8"/>
    <w:rsid w:val="0025402F"/>
    <w:rsid w:val="002709E0"/>
    <w:rsid w:val="00272402"/>
    <w:rsid w:val="0027280C"/>
    <w:rsid w:val="002835DF"/>
    <w:rsid w:val="0029078E"/>
    <w:rsid w:val="002A0135"/>
    <w:rsid w:val="002A56EB"/>
    <w:rsid w:val="002A5D5F"/>
    <w:rsid w:val="002A5F65"/>
    <w:rsid w:val="002A7102"/>
    <w:rsid w:val="002B4CF5"/>
    <w:rsid w:val="002B5A09"/>
    <w:rsid w:val="002D0B06"/>
    <w:rsid w:val="002D428C"/>
    <w:rsid w:val="002D519B"/>
    <w:rsid w:val="002E7D18"/>
    <w:rsid w:val="002F2917"/>
    <w:rsid w:val="002F6A54"/>
    <w:rsid w:val="00304321"/>
    <w:rsid w:val="00304809"/>
    <w:rsid w:val="003100FC"/>
    <w:rsid w:val="00311BDE"/>
    <w:rsid w:val="00311ED8"/>
    <w:rsid w:val="00317B5A"/>
    <w:rsid w:val="0032046F"/>
    <w:rsid w:val="00321A91"/>
    <w:rsid w:val="00325719"/>
    <w:rsid w:val="0032625C"/>
    <w:rsid w:val="00342F1B"/>
    <w:rsid w:val="0034517B"/>
    <w:rsid w:val="003469E8"/>
    <w:rsid w:val="00352183"/>
    <w:rsid w:val="00380757"/>
    <w:rsid w:val="003814F2"/>
    <w:rsid w:val="00381647"/>
    <w:rsid w:val="003873E2"/>
    <w:rsid w:val="0039012E"/>
    <w:rsid w:val="00390AB1"/>
    <w:rsid w:val="00396FD6"/>
    <w:rsid w:val="003A1912"/>
    <w:rsid w:val="003A516B"/>
    <w:rsid w:val="003A56F4"/>
    <w:rsid w:val="003A798A"/>
    <w:rsid w:val="003B0B23"/>
    <w:rsid w:val="003B29DB"/>
    <w:rsid w:val="003B79ED"/>
    <w:rsid w:val="003C0E9A"/>
    <w:rsid w:val="003C58F2"/>
    <w:rsid w:val="003D031C"/>
    <w:rsid w:val="003D0DBF"/>
    <w:rsid w:val="003D4D6B"/>
    <w:rsid w:val="003D6852"/>
    <w:rsid w:val="003D6E73"/>
    <w:rsid w:val="003E0081"/>
    <w:rsid w:val="003E0C4D"/>
    <w:rsid w:val="003E5CC8"/>
    <w:rsid w:val="003F69BB"/>
    <w:rsid w:val="003F7A2E"/>
    <w:rsid w:val="0041589E"/>
    <w:rsid w:val="00415EC6"/>
    <w:rsid w:val="004179CB"/>
    <w:rsid w:val="00423DFC"/>
    <w:rsid w:val="00426983"/>
    <w:rsid w:val="00435862"/>
    <w:rsid w:val="004404E7"/>
    <w:rsid w:val="004413A3"/>
    <w:rsid w:val="004435EA"/>
    <w:rsid w:val="00446388"/>
    <w:rsid w:val="0045280B"/>
    <w:rsid w:val="00456405"/>
    <w:rsid w:val="00456847"/>
    <w:rsid w:val="0046623A"/>
    <w:rsid w:val="0047030B"/>
    <w:rsid w:val="00484EE0"/>
    <w:rsid w:val="00494502"/>
    <w:rsid w:val="004A28C5"/>
    <w:rsid w:val="004A3BAF"/>
    <w:rsid w:val="004A5C73"/>
    <w:rsid w:val="004B19F9"/>
    <w:rsid w:val="004B3F60"/>
    <w:rsid w:val="004B7F4A"/>
    <w:rsid w:val="004C0694"/>
    <w:rsid w:val="004C44B2"/>
    <w:rsid w:val="004C7455"/>
    <w:rsid w:val="004D046B"/>
    <w:rsid w:val="004D1195"/>
    <w:rsid w:val="004D4664"/>
    <w:rsid w:val="004D5A93"/>
    <w:rsid w:val="004E6B2F"/>
    <w:rsid w:val="004E7627"/>
    <w:rsid w:val="004F26BB"/>
    <w:rsid w:val="004F2BEB"/>
    <w:rsid w:val="004F759E"/>
    <w:rsid w:val="00501751"/>
    <w:rsid w:val="00514364"/>
    <w:rsid w:val="005152E5"/>
    <w:rsid w:val="005179A8"/>
    <w:rsid w:val="00523522"/>
    <w:rsid w:val="00530405"/>
    <w:rsid w:val="00540669"/>
    <w:rsid w:val="00543F01"/>
    <w:rsid w:val="005458A4"/>
    <w:rsid w:val="00550A38"/>
    <w:rsid w:val="005551AC"/>
    <w:rsid w:val="00560D97"/>
    <w:rsid w:val="00570596"/>
    <w:rsid w:val="0057117E"/>
    <w:rsid w:val="00572D00"/>
    <w:rsid w:val="005733AA"/>
    <w:rsid w:val="0057395C"/>
    <w:rsid w:val="00573C37"/>
    <w:rsid w:val="00575CCB"/>
    <w:rsid w:val="00586CB8"/>
    <w:rsid w:val="005906AE"/>
    <w:rsid w:val="00590B64"/>
    <w:rsid w:val="005A126E"/>
    <w:rsid w:val="005A4765"/>
    <w:rsid w:val="005C75D2"/>
    <w:rsid w:val="005D2820"/>
    <w:rsid w:val="005D7B04"/>
    <w:rsid w:val="005E13EF"/>
    <w:rsid w:val="005E2743"/>
    <w:rsid w:val="005F5ED2"/>
    <w:rsid w:val="005F7778"/>
    <w:rsid w:val="00603D63"/>
    <w:rsid w:val="00604193"/>
    <w:rsid w:val="00605292"/>
    <w:rsid w:val="006076B0"/>
    <w:rsid w:val="00607A42"/>
    <w:rsid w:val="0062288C"/>
    <w:rsid w:val="00623812"/>
    <w:rsid w:val="00624002"/>
    <w:rsid w:val="00625465"/>
    <w:rsid w:val="00625507"/>
    <w:rsid w:val="00644C69"/>
    <w:rsid w:val="006479D5"/>
    <w:rsid w:val="0065194D"/>
    <w:rsid w:val="0065380F"/>
    <w:rsid w:val="00653FC2"/>
    <w:rsid w:val="00662244"/>
    <w:rsid w:val="00665870"/>
    <w:rsid w:val="00667E26"/>
    <w:rsid w:val="00680887"/>
    <w:rsid w:val="00681B12"/>
    <w:rsid w:val="0068287F"/>
    <w:rsid w:val="00683462"/>
    <w:rsid w:val="006843F3"/>
    <w:rsid w:val="006921E8"/>
    <w:rsid w:val="00692CED"/>
    <w:rsid w:val="006A025E"/>
    <w:rsid w:val="006A18DD"/>
    <w:rsid w:val="006A1D69"/>
    <w:rsid w:val="006B0FB0"/>
    <w:rsid w:val="006B3508"/>
    <w:rsid w:val="006B5CDA"/>
    <w:rsid w:val="006D6B49"/>
    <w:rsid w:val="006D7E39"/>
    <w:rsid w:val="006E1725"/>
    <w:rsid w:val="006E3065"/>
    <w:rsid w:val="006E7F4E"/>
    <w:rsid w:val="006F08E3"/>
    <w:rsid w:val="006F3560"/>
    <w:rsid w:val="006F7313"/>
    <w:rsid w:val="007018BD"/>
    <w:rsid w:val="007023EF"/>
    <w:rsid w:val="00704131"/>
    <w:rsid w:val="00705D00"/>
    <w:rsid w:val="00710CA0"/>
    <w:rsid w:val="00710DE8"/>
    <w:rsid w:val="00716C09"/>
    <w:rsid w:val="007230AE"/>
    <w:rsid w:val="00725985"/>
    <w:rsid w:val="00726765"/>
    <w:rsid w:val="007305ED"/>
    <w:rsid w:val="00742D4B"/>
    <w:rsid w:val="00746218"/>
    <w:rsid w:val="00752099"/>
    <w:rsid w:val="00757A1F"/>
    <w:rsid w:val="00757DE7"/>
    <w:rsid w:val="00760C04"/>
    <w:rsid w:val="00762229"/>
    <w:rsid w:val="0076340A"/>
    <w:rsid w:val="00766082"/>
    <w:rsid w:val="00766503"/>
    <w:rsid w:val="007714B5"/>
    <w:rsid w:val="00783ED7"/>
    <w:rsid w:val="00785191"/>
    <w:rsid w:val="007863FC"/>
    <w:rsid w:val="00787464"/>
    <w:rsid w:val="00792DA9"/>
    <w:rsid w:val="00795F12"/>
    <w:rsid w:val="007A45BA"/>
    <w:rsid w:val="007A4712"/>
    <w:rsid w:val="007B0E13"/>
    <w:rsid w:val="007B49AD"/>
    <w:rsid w:val="007B734A"/>
    <w:rsid w:val="007D4A42"/>
    <w:rsid w:val="007D7B3F"/>
    <w:rsid w:val="007E5A45"/>
    <w:rsid w:val="008000C7"/>
    <w:rsid w:val="008167C8"/>
    <w:rsid w:val="00824C96"/>
    <w:rsid w:val="00835479"/>
    <w:rsid w:val="00835C70"/>
    <w:rsid w:val="00837AC7"/>
    <w:rsid w:val="00841E30"/>
    <w:rsid w:val="0084240B"/>
    <w:rsid w:val="00844215"/>
    <w:rsid w:val="00847E9F"/>
    <w:rsid w:val="0086308B"/>
    <w:rsid w:val="00864174"/>
    <w:rsid w:val="0086438C"/>
    <w:rsid w:val="008660A8"/>
    <w:rsid w:val="0088306F"/>
    <w:rsid w:val="008836A0"/>
    <w:rsid w:val="00883D5C"/>
    <w:rsid w:val="00883E8B"/>
    <w:rsid w:val="00887E9F"/>
    <w:rsid w:val="008915BD"/>
    <w:rsid w:val="00894777"/>
    <w:rsid w:val="00895517"/>
    <w:rsid w:val="00897360"/>
    <w:rsid w:val="008A6806"/>
    <w:rsid w:val="008B2658"/>
    <w:rsid w:val="008B463F"/>
    <w:rsid w:val="008B467A"/>
    <w:rsid w:val="008B6A45"/>
    <w:rsid w:val="008B6A80"/>
    <w:rsid w:val="008C4DFD"/>
    <w:rsid w:val="008E0018"/>
    <w:rsid w:val="008E00D8"/>
    <w:rsid w:val="008E4082"/>
    <w:rsid w:val="008F3002"/>
    <w:rsid w:val="008F77D0"/>
    <w:rsid w:val="0090100E"/>
    <w:rsid w:val="00901AE0"/>
    <w:rsid w:val="00915402"/>
    <w:rsid w:val="00916FDE"/>
    <w:rsid w:val="0092775B"/>
    <w:rsid w:val="00930E46"/>
    <w:rsid w:val="0093110F"/>
    <w:rsid w:val="00931AA9"/>
    <w:rsid w:val="0093620E"/>
    <w:rsid w:val="009405E2"/>
    <w:rsid w:val="00944A90"/>
    <w:rsid w:val="0095250C"/>
    <w:rsid w:val="00952874"/>
    <w:rsid w:val="00965AC4"/>
    <w:rsid w:val="009667E6"/>
    <w:rsid w:val="009733C6"/>
    <w:rsid w:val="00974ED8"/>
    <w:rsid w:val="0097532D"/>
    <w:rsid w:val="00980657"/>
    <w:rsid w:val="00980FDC"/>
    <w:rsid w:val="00990590"/>
    <w:rsid w:val="00990E1E"/>
    <w:rsid w:val="009A0D71"/>
    <w:rsid w:val="009A12AC"/>
    <w:rsid w:val="009A2857"/>
    <w:rsid w:val="009A60BF"/>
    <w:rsid w:val="009B3E25"/>
    <w:rsid w:val="009C02A2"/>
    <w:rsid w:val="009C3355"/>
    <w:rsid w:val="009C7631"/>
    <w:rsid w:val="009D4043"/>
    <w:rsid w:val="009E1379"/>
    <w:rsid w:val="009E2ED8"/>
    <w:rsid w:val="009E5814"/>
    <w:rsid w:val="009F1234"/>
    <w:rsid w:val="009F78D7"/>
    <w:rsid w:val="00A0129B"/>
    <w:rsid w:val="00A02F30"/>
    <w:rsid w:val="00A03373"/>
    <w:rsid w:val="00A07E0C"/>
    <w:rsid w:val="00A12C1B"/>
    <w:rsid w:val="00A207B1"/>
    <w:rsid w:val="00A31E31"/>
    <w:rsid w:val="00A32B1E"/>
    <w:rsid w:val="00A332B0"/>
    <w:rsid w:val="00A3448D"/>
    <w:rsid w:val="00A35E31"/>
    <w:rsid w:val="00A36735"/>
    <w:rsid w:val="00A374B4"/>
    <w:rsid w:val="00A37E72"/>
    <w:rsid w:val="00A40687"/>
    <w:rsid w:val="00A421D5"/>
    <w:rsid w:val="00A500E2"/>
    <w:rsid w:val="00A52663"/>
    <w:rsid w:val="00A643C1"/>
    <w:rsid w:val="00A64BC1"/>
    <w:rsid w:val="00A6514F"/>
    <w:rsid w:val="00A66148"/>
    <w:rsid w:val="00A72F18"/>
    <w:rsid w:val="00A7604F"/>
    <w:rsid w:val="00A7690F"/>
    <w:rsid w:val="00A77DBC"/>
    <w:rsid w:val="00A80F8A"/>
    <w:rsid w:val="00A81A92"/>
    <w:rsid w:val="00A8324A"/>
    <w:rsid w:val="00A912A3"/>
    <w:rsid w:val="00A95915"/>
    <w:rsid w:val="00A97DB6"/>
    <w:rsid w:val="00AA5ABF"/>
    <w:rsid w:val="00AA75B8"/>
    <w:rsid w:val="00AB15E6"/>
    <w:rsid w:val="00AB1B6C"/>
    <w:rsid w:val="00AB67D1"/>
    <w:rsid w:val="00AD201F"/>
    <w:rsid w:val="00AD2630"/>
    <w:rsid w:val="00AD40E7"/>
    <w:rsid w:val="00AD480A"/>
    <w:rsid w:val="00AD4B6E"/>
    <w:rsid w:val="00AD4D7B"/>
    <w:rsid w:val="00AD4E93"/>
    <w:rsid w:val="00AE4548"/>
    <w:rsid w:val="00AF5CF8"/>
    <w:rsid w:val="00B04046"/>
    <w:rsid w:val="00B11740"/>
    <w:rsid w:val="00B13F9F"/>
    <w:rsid w:val="00B1424F"/>
    <w:rsid w:val="00B1746A"/>
    <w:rsid w:val="00B2446C"/>
    <w:rsid w:val="00B26FEC"/>
    <w:rsid w:val="00B30C50"/>
    <w:rsid w:val="00B347C1"/>
    <w:rsid w:val="00B46F11"/>
    <w:rsid w:val="00B62EE8"/>
    <w:rsid w:val="00B74BEE"/>
    <w:rsid w:val="00B81750"/>
    <w:rsid w:val="00B82B65"/>
    <w:rsid w:val="00B85077"/>
    <w:rsid w:val="00B86B17"/>
    <w:rsid w:val="00B9193E"/>
    <w:rsid w:val="00B94E91"/>
    <w:rsid w:val="00BA3019"/>
    <w:rsid w:val="00BB0DAD"/>
    <w:rsid w:val="00BB2BA3"/>
    <w:rsid w:val="00BB32EC"/>
    <w:rsid w:val="00BB4590"/>
    <w:rsid w:val="00BB4D60"/>
    <w:rsid w:val="00BB7CCC"/>
    <w:rsid w:val="00BC0CC0"/>
    <w:rsid w:val="00BD58AB"/>
    <w:rsid w:val="00BE0BB2"/>
    <w:rsid w:val="00BE22D5"/>
    <w:rsid w:val="00BF66C5"/>
    <w:rsid w:val="00C00A89"/>
    <w:rsid w:val="00C00C7C"/>
    <w:rsid w:val="00C01883"/>
    <w:rsid w:val="00C05641"/>
    <w:rsid w:val="00C06CE6"/>
    <w:rsid w:val="00C126FA"/>
    <w:rsid w:val="00C13F4B"/>
    <w:rsid w:val="00C2035B"/>
    <w:rsid w:val="00C269AE"/>
    <w:rsid w:val="00C26EBD"/>
    <w:rsid w:val="00C305A8"/>
    <w:rsid w:val="00C32733"/>
    <w:rsid w:val="00C33008"/>
    <w:rsid w:val="00C4510E"/>
    <w:rsid w:val="00C455AC"/>
    <w:rsid w:val="00C50DBE"/>
    <w:rsid w:val="00C541CA"/>
    <w:rsid w:val="00C552E5"/>
    <w:rsid w:val="00C705F1"/>
    <w:rsid w:val="00C70860"/>
    <w:rsid w:val="00C728E1"/>
    <w:rsid w:val="00C74EEA"/>
    <w:rsid w:val="00C75609"/>
    <w:rsid w:val="00C80680"/>
    <w:rsid w:val="00C816F5"/>
    <w:rsid w:val="00C86A93"/>
    <w:rsid w:val="00CA20EC"/>
    <w:rsid w:val="00CA5D57"/>
    <w:rsid w:val="00CB0568"/>
    <w:rsid w:val="00CB450E"/>
    <w:rsid w:val="00CB79AB"/>
    <w:rsid w:val="00CC0D82"/>
    <w:rsid w:val="00CC79D3"/>
    <w:rsid w:val="00CD1303"/>
    <w:rsid w:val="00CE5977"/>
    <w:rsid w:val="00CF5145"/>
    <w:rsid w:val="00D00659"/>
    <w:rsid w:val="00D0337C"/>
    <w:rsid w:val="00D06CFE"/>
    <w:rsid w:val="00D10F65"/>
    <w:rsid w:val="00D13B65"/>
    <w:rsid w:val="00D14F9B"/>
    <w:rsid w:val="00D21920"/>
    <w:rsid w:val="00D22303"/>
    <w:rsid w:val="00D2654B"/>
    <w:rsid w:val="00D278EF"/>
    <w:rsid w:val="00D27BF9"/>
    <w:rsid w:val="00D30EF6"/>
    <w:rsid w:val="00D30F77"/>
    <w:rsid w:val="00D31363"/>
    <w:rsid w:val="00D31BFD"/>
    <w:rsid w:val="00D42DEC"/>
    <w:rsid w:val="00D53644"/>
    <w:rsid w:val="00D60275"/>
    <w:rsid w:val="00D610A6"/>
    <w:rsid w:val="00D63E6A"/>
    <w:rsid w:val="00D65AFF"/>
    <w:rsid w:val="00D71E48"/>
    <w:rsid w:val="00D754A5"/>
    <w:rsid w:val="00D833F2"/>
    <w:rsid w:val="00D936EB"/>
    <w:rsid w:val="00DA017D"/>
    <w:rsid w:val="00DA3877"/>
    <w:rsid w:val="00DA6256"/>
    <w:rsid w:val="00DB0801"/>
    <w:rsid w:val="00DB30AE"/>
    <w:rsid w:val="00DB3291"/>
    <w:rsid w:val="00DC086B"/>
    <w:rsid w:val="00DC5521"/>
    <w:rsid w:val="00DD1114"/>
    <w:rsid w:val="00DD2C94"/>
    <w:rsid w:val="00DD45C5"/>
    <w:rsid w:val="00DD7D3A"/>
    <w:rsid w:val="00DE3CD5"/>
    <w:rsid w:val="00DF198F"/>
    <w:rsid w:val="00DF3277"/>
    <w:rsid w:val="00E012CB"/>
    <w:rsid w:val="00E01766"/>
    <w:rsid w:val="00E02483"/>
    <w:rsid w:val="00E06C33"/>
    <w:rsid w:val="00E06FAA"/>
    <w:rsid w:val="00E0706A"/>
    <w:rsid w:val="00E12505"/>
    <w:rsid w:val="00E32C18"/>
    <w:rsid w:val="00E3422D"/>
    <w:rsid w:val="00E35A44"/>
    <w:rsid w:val="00E37B89"/>
    <w:rsid w:val="00E47FEC"/>
    <w:rsid w:val="00E57109"/>
    <w:rsid w:val="00E573AC"/>
    <w:rsid w:val="00E6048A"/>
    <w:rsid w:val="00E64283"/>
    <w:rsid w:val="00E66B70"/>
    <w:rsid w:val="00E778CC"/>
    <w:rsid w:val="00E80F14"/>
    <w:rsid w:val="00E82EF3"/>
    <w:rsid w:val="00E83974"/>
    <w:rsid w:val="00E83E37"/>
    <w:rsid w:val="00E84A0D"/>
    <w:rsid w:val="00E90F3E"/>
    <w:rsid w:val="00EA50EB"/>
    <w:rsid w:val="00EA68F2"/>
    <w:rsid w:val="00EB1D4A"/>
    <w:rsid w:val="00EB685A"/>
    <w:rsid w:val="00EC4450"/>
    <w:rsid w:val="00EC70C7"/>
    <w:rsid w:val="00ED288D"/>
    <w:rsid w:val="00ED4CC6"/>
    <w:rsid w:val="00EE1A6C"/>
    <w:rsid w:val="00EE5381"/>
    <w:rsid w:val="00EF5638"/>
    <w:rsid w:val="00EF7BAF"/>
    <w:rsid w:val="00F1311F"/>
    <w:rsid w:val="00F21061"/>
    <w:rsid w:val="00F27A33"/>
    <w:rsid w:val="00F31AE6"/>
    <w:rsid w:val="00F33E8F"/>
    <w:rsid w:val="00F34A8C"/>
    <w:rsid w:val="00F352F5"/>
    <w:rsid w:val="00F410A1"/>
    <w:rsid w:val="00F47F35"/>
    <w:rsid w:val="00F51F0A"/>
    <w:rsid w:val="00F52154"/>
    <w:rsid w:val="00F529C4"/>
    <w:rsid w:val="00F55135"/>
    <w:rsid w:val="00F6342A"/>
    <w:rsid w:val="00F64EE9"/>
    <w:rsid w:val="00F713CD"/>
    <w:rsid w:val="00F71C28"/>
    <w:rsid w:val="00F72263"/>
    <w:rsid w:val="00F74B41"/>
    <w:rsid w:val="00F824E1"/>
    <w:rsid w:val="00F864D1"/>
    <w:rsid w:val="00F86C42"/>
    <w:rsid w:val="00F876DC"/>
    <w:rsid w:val="00F90BC5"/>
    <w:rsid w:val="00F91C70"/>
    <w:rsid w:val="00F94D51"/>
    <w:rsid w:val="00F963CF"/>
    <w:rsid w:val="00FA29FC"/>
    <w:rsid w:val="00FA3DA3"/>
    <w:rsid w:val="00FA43B3"/>
    <w:rsid w:val="00FA6021"/>
    <w:rsid w:val="00FA695E"/>
    <w:rsid w:val="00FB2E16"/>
    <w:rsid w:val="00FB4311"/>
    <w:rsid w:val="00FB7640"/>
    <w:rsid w:val="00FC0B27"/>
    <w:rsid w:val="00FC0D46"/>
    <w:rsid w:val="00FC1271"/>
    <w:rsid w:val="00FC176E"/>
    <w:rsid w:val="00FC3287"/>
    <w:rsid w:val="00FC6ABB"/>
    <w:rsid w:val="00FD0F33"/>
    <w:rsid w:val="00FD19D4"/>
    <w:rsid w:val="00FD2026"/>
    <w:rsid w:val="00FE2183"/>
    <w:rsid w:val="00FE44EB"/>
    <w:rsid w:val="00FF072B"/>
    <w:rsid w:val="00FF594B"/>
    <w:rsid w:val="00FF6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1972"/>
  <w15:chartTrackingRefBased/>
  <w15:docId w15:val="{5699A737-0118-AC40-A961-0D6291E4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45C5"/>
    <w:pPr>
      <w:ind w:left="720"/>
      <w:contextualSpacing/>
    </w:pPr>
  </w:style>
  <w:style w:type="paragraph" w:styleId="Testonotaapidipagina">
    <w:name w:val="footnote text"/>
    <w:basedOn w:val="Normale"/>
    <w:link w:val="TestonotaapidipaginaCarattere"/>
    <w:uiPriority w:val="99"/>
    <w:unhideWhenUsed/>
    <w:rsid w:val="001C4C0C"/>
    <w:rPr>
      <w:sz w:val="20"/>
      <w:szCs w:val="20"/>
    </w:rPr>
  </w:style>
  <w:style w:type="character" w:customStyle="1" w:styleId="TestonotaapidipaginaCarattere">
    <w:name w:val="Testo nota a piè di pagina Carattere"/>
    <w:basedOn w:val="Carpredefinitoparagrafo"/>
    <w:link w:val="Testonotaapidipagina"/>
    <w:uiPriority w:val="99"/>
    <w:rsid w:val="001C4C0C"/>
    <w:rPr>
      <w:sz w:val="20"/>
      <w:szCs w:val="20"/>
    </w:rPr>
  </w:style>
  <w:style w:type="character" w:styleId="Rimandonotaapidipagina">
    <w:name w:val="footnote reference"/>
    <w:basedOn w:val="Carpredefinitoparagrafo"/>
    <w:uiPriority w:val="99"/>
    <w:semiHidden/>
    <w:unhideWhenUsed/>
    <w:rsid w:val="001C4C0C"/>
    <w:rPr>
      <w:vertAlign w:val="superscript"/>
    </w:rPr>
  </w:style>
  <w:style w:type="paragraph" w:styleId="Intestazione">
    <w:name w:val="header"/>
    <w:basedOn w:val="Normale"/>
    <w:link w:val="IntestazioneCarattere"/>
    <w:uiPriority w:val="99"/>
    <w:unhideWhenUsed/>
    <w:rsid w:val="00DF3277"/>
    <w:pPr>
      <w:tabs>
        <w:tab w:val="center" w:pos="4819"/>
        <w:tab w:val="right" w:pos="9638"/>
      </w:tabs>
    </w:pPr>
  </w:style>
  <w:style w:type="character" w:customStyle="1" w:styleId="IntestazioneCarattere">
    <w:name w:val="Intestazione Carattere"/>
    <w:basedOn w:val="Carpredefinitoparagrafo"/>
    <w:link w:val="Intestazione"/>
    <w:uiPriority w:val="99"/>
    <w:rsid w:val="00DF3277"/>
  </w:style>
  <w:style w:type="paragraph" w:styleId="Pidipagina">
    <w:name w:val="footer"/>
    <w:basedOn w:val="Normale"/>
    <w:link w:val="PidipaginaCarattere"/>
    <w:uiPriority w:val="99"/>
    <w:unhideWhenUsed/>
    <w:rsid w:val="00DF3277"/>
    <w:pPr>
      <w:tabs>
        <w:tab w:val="center" w:pos="4819"/>
        <w:tab w:val="right" w:pos="9638"/>
      </w:tabs>
    </w:pPr>
  </w:style>
  <w:style w:type="character" w:customStyle="1" w:styleId="PidipaginaCarattere">
    <w:name w:val="Piè di pagina Carattere"/>
    <w:basedOn w:val="Carpredefinitoparagrafo"/>
    <w:link w:val="Pidipagina"/>
    <w:uiPriority w:val="99"/>
    <w:rsid w:val="00DF3277"/>
  </w:style>
  <w:style w:type="paragraph" w:customStyle="1" w:styleId="sentnormal">
    <w:name w:val="sent_normal"/>
    <w:basedOn w:val="Normale"/>
    <w:rsid w:val="00D71E4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447">
      <w:bodyDiv w:val="1"/>
      <w:marLeft w:val="0"/>
      <w:marRight w:val="0"/>
      <w:marTop w:val="0"/>
      <w:marBottom w:val="0"/>
      <w:divBdr>
        <w:top w:val="none" w:sz="0" w:space="0" w:color="auto"/>
        <w:left w:val="none" w:sz="0" w:space="0" w:color="auto"/>
        <w:bottom w:val="none" w:sz="0" w:space="0" w:color="auto"/>
        <w:right w:val="none" w:sz="0" w:space="0" w:color="auto"/>
      </w:divBdr>
    </w:div>
    <w:div w:id="350837274">
      <w:bodyDiv w:val="1"/>
      <w:marLeft w:val="0"/>
      <w:marRight w:val="0"/>
      <w:marTop w:val="0"/>
      <w:marBottom w:val="0"/>
      <w:divBdr>
        <w:top w:val="none" w:sz="0" w:space="0" w:color="auto"/>
        <w:left w:val="none" w:sz="0" w:space="0" w:color="auto"/>
        <w:bottom w:val="none" w:sz="0" w:space="0" w:color="auto"/>
        <w:right w:val="none" w:sz="0" w:space="0" w:color="auto"/>
      </w:divBdr>
    </w:div>
    <w:div w:id="615521389">
      <w:bodyDiv w:val="1"/>
      <w:marLeft w:val="0"/>
      <w:marRight w:val="0"/>
      <w:marTop w:val="0"/>
      <w:marBottom w:val="0"/>
      <w:divBdr>
        <w:top w:val="none" w:sz="0" w:space="0" w:color="auto"/>
        <w:left w:val="none" w:sz="0" w:space="0" w:color="auto"/>
        <w:bottom w:val="none" w:sz="0" w:space="0" w:color="auto"/>
        <w:right w:val="none" w:sz="0" w:space="0" w:color="auto"/>
      </w:divBdr>
    </w:div>
    <w:div w:id="8249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3B5C-3A14-4094-B134-2E4E2810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10</Pages>
  <Words>2922</Words>
  <Characters>16656</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Sammarco</dc:creator>
  <cp:keywords/>
  <dc:description/>
  <cp:lastModifiedBy>FERRARI Giulia</cp:lastModifiedBy>
  <cp:revision>575</cp:revision>
  <dcterms:created xsi:type="dcterms:W3CDTF">2020-03-28T12:41:00Z</dcterms:created>
  <dcterms:modified xsi:type="dcterms:W3CDTF">2020-12-03T06:54:00Z</dcterms:modified>
</cp:coreProperties>
</file>