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8EFAF" w14:textId="77777777" w:rsidR="00AE0C3E" w:rsidRPr="00E9174D" w:rsidRDefault="00AE0C3E" w:rsidP="00136F2A">
      <w:pPr>
        <w:ind w:right="1985"/>
        <w:rPr>
          <w:rFonts w:ascii="Garamond" w:hAnsi="Garamond" w:cs="Arial"/>
          <w:b/>
          <w:sz w:val="25"/>
          <w:szCs w:val="25"/>
        </w:rPr>
      </w:pPr>
    </w:p>
    <w:p w14:paraId="47EEC40A" w14:textId="77777777" w:rsidR="00AE0C3E" w:rsidRPr="00E9174D" w:rsidRDefault="00AE0C3E" w:rsidP="00CE20AA">
      <w:pPr>
        <w:ind w:right="1985"/>
        <w:rPr>
          <w:rFonts w:ascii="Garamond" w:hAnsi="Garamond" w:cs="Arial"/>
          <w:b/>
          <w:sz w:val="25"/>
          <w:szCs w:val="25"/>
        </w:rPr>
      </w:pPr>
    </w:p>
    <w:p w14:paraId="44FB6B05" w14:textId="6733AE4B" w:rsidR="002F61EE" w:rsidRPr="00E9174D" w:rsidRDefault="002F61EE" w:rsidP="002F61EE">
      <w:pPr>
        <w:ind w:left="1985" w:right="1985" w:hanging="851"/>
        <w:jc w:val="center"/>
        <w:rPr>
          <w:rFonts w:ascii="Garamond" w:hAnsi="Garamond" w:cs="Arial"/>
          <w:b/>
        </w:rPr>
      </w:pPr>
      <w:bookmarkStart w:id="0" w:name="_GoBack"/>
      <w:bookmarkEnd w:id="0"/>
      <w:r w:rsidRPr="00E9174D">
        <w:rPr>
          <w:rFonts w:ascii="Garamond" w:hAnsi="Garamond" w:cs="Arial"/>
          <w:b/>
        </w:rPr>
        <w:t xml:space="preserve">Il potere di annullamento straordinario </w:t>
      </w:r>
      <w:r w:rsidRPr="00E9174D">
        <w:rPr>
          <w:rFonts w:ascii="Garamond" w:hAnsi="Garamond" w:cs="Arial"/>
          <w:b/>
          <w:i/>
        </w:rPr>
        <w:t xml:space="preserve">ex </w:t>
      </w:r>
      <w:r w:rsidRPr="00E9174D">
        <w:rPr>
          <w:rFonts w:ascii="Garamond" w:hAnsi="Garamond" w:cs="Arial"/>
          <w:b/>
        </w:rPr>
        <w:t>art. 138 TUEL</w:t>
      </w:r>
      <w:r w:rsidR="007B7A5C" w:rsidRPr="00E9174D">
        <w:rPr>
          <w:rFonts w:ascii="Garamond" w:hAnsi="Garamond" w:cs="Arial"/>
          <w:b/>
        </w:rPr>
        <w:t xml:space="preserve"> di un’ordinanza comunale</w:t>
      </w:r>
      <w:r w:rsidRPr="00E9174D">
        <w:rPr>
          <w:rFonts w:ascii="Garamond" w:hAnsi="Garamond" w:cs="Arial"/>
          <w:b/>
        </w:rPr>
        <w:t xml:space="preserve">: </w:t>
      </w:r>
      <w:r w:rsidR="00FB7572" w:rsidRPr="00E9174D">
        <w:rPr>
          <w:rFonts w:ascii="Garamond" w:hAnsi="Garamond" w:cs="Arial"/>
          <w:b/>
        </w:rPr>
        <w:t xml:space="preserve">il </w:t>
      </w:r>
      <w:r w:rsidR="007B7A5C" w:rsidRPr="00E9174D">
        <w:rPr>
          <w:rFonts w:ascii="Garamond" w:hAnsi="Garamond" w:cs="Arial"/>
          <w:b/>
        </w:rPr>
        <w:t>Covid-19 non “chiude” lo stretto di Messina</w:t>
      </w:r>
      <w:r w:rsidR="00362D58" w:rsidRPr="00E9174D">
        <w:rPr>
          <w:rStyle w:val="Rimandonotaapidipagina"/>
          <w:rFonts w:ascii="Garamond" w:hAnsi="Garamond" w:cs="Arial"/>
          <w:sz w:val="25"/>
          <w:szCs w:val="25"/>
        </w:rPr>
        <w:footnoteReference w:id="1"/>
      </w:r>
    </w:p>
    <w:p w14:paraId="7C45883D" w14:textId="77777777" w:rsidR="002F61EE" w:rsidRPr="00E9174D" w:rsidRDefault="002F61EE" w:rsidP="002F61EE">
      <w:pPr>
        <w:ind w:left="1985" w:right="1985" w:hanging="851"/>
        <w:jc w:val="center"/>
        <w:rPr>
          <w:rFonts w:ascii="Garamond" w:hAnsi="Garamond" w:cs="Arial"/>
          <w:b/>
        </w:rPr>
      </w:pPr>
    </w:p>
    <w:p w14:paraId="5AD8700D" w14:textId="77777777" w:rsidR="00AE0C3E" w:rsidRPr="00E9174D" w:rsidRDefault="00AE0C3E" w:rsidP="002F61EE">
      <w:pPr>
        <w:ind w:left="1985" w:right="1985" w:hanging="851"/>
        <w:jc w:val="center"/>
        <w:rPr>
          <w:rFonts w:ascii="Garamond" w:hAnsi="Garamond" w:cs="Arial"/>
          <w:b/>
          <w:sz w:val="25"/>
          <w:szCs w:val="25"/>
        </w:rPr>
      </w:pPr>
    </w:p>
    <w:p w14:paraId="260B029B" w14:textId="64C4F3C2" w:rsidR="00B02408" w:rsidRPr="00E9174D" w:rsidRDefault="00773C45" w:rsidP="006F4A22">
      <w:pPr>
        <w:ind w:left="709" w:right="1268"/>
        <w:jc w:val="both"/>
        <w:rPr>
          <w:rFonts w:ascii="Garamond" w:hAnsi="Garamond" w:cs="Arial"/>
          <w:b/>
          <w:sz w:val="21"/>
          <w:szCs w:val="21"/>
        </w:rPr>
      </w:pPr>
      <w:r w:rsidRPr="00E9174D">
        <w:rPr>
          <w:rFonts w:ascii="Garamond" w:hAnsi="Garamond" w:cs="Arial"/>
          <w:b/>
          <w:bCs/>
          <w:smallCaps/>
          <w:sz w:val="21"/>
          <w:szCs w:val="21"/>
        </w:rPr>
        <w:t>Sommario:</w:t>
      </w:r>
      <w:r w:rsidRPr="00E9174D">
        <w:rPr>
          <w:rFonts w:ascii="Garamond" w:hAnsi="Garamond" w:cs="Arial"/>
          <w:b/>
          <w:sz w:val="21"/>
          <w:szCs w:val="21"/>
        </w:rPr>
        <w:t xml:space="preserve"> </w:t>
      </w:r>
      <w:r w:rsidR="002F61EE" w:rsidRPr="00E9174D">
        <w:rPr>
          <w:rFonts w:ascii="Garamond" w:hAnsi="Garamond" w:cs="Arial"/>
          <w:sz w:val="21"/>
          <w:szCs w:val="21"/>
        </w:rPr>
        <w:t>1.</w:t>
      </w:r>
      <w:r w:rsidR="002F61EE" w:rsidRPr="00E9174D">
        <w:rPr>
          <w:rFonts w:ascii="Garamond" w:hAnsi="Garamond" w:cs="Arial"/>
          <w:b/>
          <w:sz w:val="21"/>
          <w:szCs w:val="21"/>
        </w:rPr>
        <w:t xml:space="preserve"> </w:t>
      </w:r>
      <w:r w:rsidR="002F61EE" w:rsidRPr="00E9174D">
        <w:rPr>
          <w:rFonts w:ascii="Garamond" w:hAnsi="Garamond" w:cs="Arial"/>
          <w:sz w:val="21"/>
          <w:szCs w:val="21"/>
        </w:rPr>
        <w:t>Il fatto</w:t>
      </w:r>
      <w:r w:rsidR="00C869DA" w:rsidRPr="00E9174D">
        <w:rPr>
          <w:rFonts w:ascii="Garamond" w:hAnsi="Garamond" w:cs="Arial"/>
          <w:sz w:val="21"/>
          <w:szCs w:val="21"/>
        </w:rPr>
        <w:t>. Il tentativo di isolare l’isola</w:t>
      </w:r>
      <w:r w:rsidR="007B7A5C" w:rsidRPr="00E9174D">
        <w:rPr>
          <w:rFonts w:ascii="Garamond" w:hAnsi="Garamond" w:cs="Arial"/>
          <w:sz w:val="21"/>
          <w:szCs w:val="21"/>
        </w:rPr>
        <w:t xml:space="preserve"> con un’</w:t>
      </w:r>
      <w:r w:rsidRPr="00E9174D">
        <w:rPr>
          <w:rFonts w:ascii="Garamond" w:hAnsi="Garamond" w:cs="Arial"/>
          <w:sz w:val="21"/>
          <w:szCs w:val="21"/>
        </w:rPr>
        <w:t>ordinanza sindacale</w:t>
      </w:r>
      <w:r w:rsidR="00C869DA" w:rsidRPr="00E9174D">
        <w:rPr>
          <w:rFonts w:ascii="Garamond" w:hAnsi="Garamond" w:cs="Arial"/>
          <w:sz w:val="21"/>
          <w:szCs w:val="21"/>
        </w:rPr>
        <w:t xml:space="preserve">. </w:t>
      </w:r>
      <w:r w:rsidR="00916FCB" w:rsidRPr="00E9174D">
        <w:rPr>
          <w:rFonts w:ascii="Garamond" w:hAnsi="Garamond" w:cs="Arial"/>
          <w:sz w:val="21"/>
          <w:szCs w:val="21"/>
        </w:rPr>
        <w:t>-</w:t>
      </w:r>
      <w:r w:rsidR="00D94570" w:rsidRPr="00E9174D">
        <w:rPr>
          <w:rFonts w:ascii="Garamond" w:hAnsi="Garamond" w:cs="Arial"/>
          <w:sz w:val="21"/>
          <w:szCs w:val="21"/>
        </w:rPr>
        <w:t xml:space="preserve"> 2. La matrice storica dell’art. 138 TUEL – 3. La vigenza dell’art. 138 TUEL dopo la riforma del Titolo V</w:t>
      </w:r>
      <w:r w:rsidR="00916FCB" w:rsidRPr="00E9174D">
        <w:rPr>
          <w:rFonts w:ascii="Garamond" w:hAnsi="Garamond" w:cs="Arial"/>
          <w:sz w:val="21"/>
          <w:szCs w:val="21"/>
        </w:rPr>
        <w:t>. -</w:t>
      </w:r>
      <w:r w:rsidR="00B02408" w:rsidRPr="00E9174D">
        <w:rPr>
          <w:rFonts w:ascii="Garamond" w:hAnsi="Garamond" w:cs="Arial"/>
          <w:sz w:val="21"/>
          <w:szCs w:val="21"/>
        </w:rPr>
        <w:t xml:space="preserve"> 4. La natura multiforme del potere di annullamento straordinario. - 5.  Il parere del Consiglio di Stato e la motivazione. - 6. Il contraddittorio. - 7. L’interesse del Governo all’annullamento e non alla mera dichiarazione di inefficacia</w:t>
      </w:r>
      <w:r w:rsidR="00916FCB" w:rsidRPr="00E9174D">
        <w:rPr>
          <w:rFonts w:ascii="Garamond" w:hAnsi="Garamond" w:cs="Arial"/>
          <w:sz w:val="21"/>
          <w:szCs w:val="21"/>
        </w:rPr>
        <w:t>.</w:t>
      </w:r>
    </w:p>
    <w:p w14:paraId="3B46B178" w14:textId="2AD327E8" w:rsidR="00B02408" w:rsidRPr="00E9174D" w:rsidRDefault="00B02408" w:rsidP="006F4A22">
      <w:pPr>
        <w:ind w:left="709" w:right="1268"/>
        <w:jc w:val="both"/>
        <w:rPr>
          <w:rFonts w:ascii="Garamond" w:hAnsi="Garamond" w:cs="Arial"/>
          <w:sz w:val="25"/>
          <w:szCs w:val="25"/>
        </w:rPr>
      </w:pPr>
    </w:p>
    <w:p w14:paraId="2B1139E4" w14:textId="00E70F68" w:rsidR="00B02408" w:rsidRPr="00E9174D" w:rsidRDefault="00B02408" w:rsidP="00B02408">
      <w:pPr>
        <w:jc w:val="both"/>
        <w:rPr>
          <w:rFonts w:ascii="Garamond" w:hAnsi="Garamond" w:cs="Arial"/>
          <w:sz w:val="25"/>
          <w:szCs w:val="25"/>
        </w:rPr>
      </w:pPr>
    </w:p>
    <w:p w14:paraId="7227057A" w14:textId="4D501C7A" w:rsidR="002F61EE" w:rsidRPr="00E9174D" w:rsidRDefault="006F4A22" w:rsidP="00E41FB6">
      <w:pPr>
        <w:spacing w:line="320" w:lineRule="exact"/>
        <w:ind w:firstLine="426"/>
        <w:jc w:val="both"/>
        <w:rPr>
          <w:rFonts w:ascii="Garamond" w:hAnsi="Garamond" w:cs="Arial"/>
          <w:i/>
          <w:sz w:val="25"/>
          <w:szCs w:val="25"/>
        </w:rPr>
      </w:pPr>
      <w:r w:rsidRPr="00E9174D">
        <w:rPr>
          <w:rFonts w:ascii="Garamond" w:hAnsi="Garamond" w:cs="Arial"/>
          <w:sz w:val="25"/>
          <w:szCs w:val="25"/>
        </w:rPr>
        <w:t>1.</w:t>
      </w:r>
      <w:r w:rsidRPr="00E9174D">
        <w:rPr>
          <w:rFonts w:ascii="Garamond" w:hAnsi="Garamond" w:cs="Arial"/>
          <w:b/>
          <w:sz w:val="25"/>
          <w:szCs w:val="25"/>
        </w:rPr>
        <w:t xml:space="preserve"> </w:t>
      </w:r>
      <w:r w:rsidRPr="00E9174D">
        <w:rPr>
          <w:rFonts w:ascii="Garamond" w:hAnsi="Garamond" w:cs="Arial"/>
          <w:i/>
          <w:sz w:val="25"/>
          <w:szCs w:val="25"/>
        </w:rPr>
        <w:t>Il fatto. Il tentativo di isolare l’isola</w:t>
      </w:r>
      <w:r w:rsidR="007B7A5C" w:rsidRPr="00E9174D">
        <w:rPr>
          <w:rFonts w:ascii="Garamond" w:hAnsi="Garamond" w:cs="Arial"/>
          <w:i/>
          <w:sz w:val="25"/>
          <w:szCs w:val="25"/>
        </w:rPr>
        <w:t xml:space="preserve"> con un’</w:t>
      </w:r>
      <w:r w:rsidR="00773C45" w:rsidRPr="00E9174D">
        <w:rPr>
          <w:rFonts w:ascii="Garamond" w:hAnsi="Garamond" w:cs="Arial"/>
          <w:i/>
          <w:sz w:val="25"/>
          <w:szCs w:val="25"/>
        </w:rPr>
        <w:t>ordinanza sindacale</w:t>
      </w:r>
      <w:r w:rsidRPr="00E9174D">
        <w:rPr>
          <w:rFonts w:ascii="Garamond" w:hAnsi="Garamond" w:cs="Arial"/>
          <w:i/>
          <w:sz w:val="25"/>
          <w:szCs w:val="25"/>
        </w:rPr>
        <w:t>.</w:t>
      </w:r>
    </w:p>
    <w:p w14:paraId="199B5E73" w14:textId="77777777" w:rsidR="002F61EE" w:rsidRPr="00E9174D" w:rsidRDefault="002F61EE" w:rsidP="00E41FB6">
      <w:pPr>
        <w:spacing w:line="320" w:lineRule="exact"/>
        <w:ind w:firstLine="426"/>
        <w:jc w:val="both"/>
        <w:rPr>
          <w:rFonts w:ascii="Garamond" w:hAnsi="Garamond" w:cs="Arial"/>
          <w:i/>
          <w:sz w:val="25"/>
          <w:szCs w:val="25"/>
        </w:rPr>
      </w:pPr>
    </w:p>
    <w:p w14:paraId="53BD46C1" w14:textId="77777777" w:rsidR="00711376" w:rsidRPr="00E9174D" w:rsidRDefault="002F61EE" w:rsidP="00E41FB6">
      <w:pPr>
        <w:spacing w:line="320" w:lineRule="exact"/>
        <w:ind w:firstLine="426"/>
        <w:jc w:val="both"/>
        <w:rPr>
          <w:rFonts w:ascii="Garamond" w:hAnsi="Garamond" w:cs="Arial"/>
          <w:sz w:val="25"/>
          <w:szCs w:val="25"/>
        </w:rPr>
      </w:pPr>
      <w:r w:rsidRPr="00E9174D">
        <w:rPr>
          <w:rFonts w:ascii="Garamond" w:hAnsi="Garamond" w:cs="Arial"/>
          <w:sz w:val="25"/>
          <w:szCs w:val="25"/>
        </w:rPr>
        <w:t>Nel vo</w:t>
      </w:r>
      <w:r w:rsidR="004E2393" w:rsidRPr="00E9174D">
        <w:rPr>
          <w:rFonts w:ascii="Garamond" w:hAnsi="Garamond" w:cs="Arial"/>
          <w:sz w:val="25"/>
          <w:szCs w:val="25"/>
        </w:rPr>
        <w:t>rtice emergenziale il Sindaco del Comune di</w:t>
      </w:r>
      <w:r w:rsidRPr="00E9174D">
        <w:rPr>
          <w:rFonts w:ascii="Garamond" w:hAnsi="Garamond" w:cs="Arial"/>
          <w:sz w:val="25"/>
          <w:szCs w:val="25"/>
        </w:rPr>
        <w:t xml:space="preserve"> Messina ha adottato </w:t>
      </w:r>
      <w:r w:rsidRPr="00E9174D">
        <w:rPr>
          <w:rFonts w:ascii="Garamond" w:hAnsi="Garamond" w:cs="Arial"/>
          <w:i/>
          <w:sz w:val="25"/>
          <w:szCs w:val="25"/>
        </w:rPr>
        <w:t xml:space="preserve">ex </w:t>
      </w:r>
      <w:r w:rsidRPr="00E9174D">
        <w:rPr>
          <w:rFonts w:ascii="Garamond" w:hAnsi="Garamond" w:cs="Arial"/>
          <w:sz w:val="25"/>
          <w:szCs w:val="25"/>
        </w:rPr>
        <w:t xml:space="preserve">art. 50 TUEL </w:t>
      </w:r>
      <w:r w:rsidR="00711376" w:rsidRPr="00E9174D">
        <w:rPr>
          <w:rFonts w:ascii="Garamond" w:hAnsi="Garamond" w:cs="Arial"/>
          <w:sz w:val="25"/>
          <w:szCs w:val="25"/>
        </w:rPr>
        <w:t>l’ordinanza n.</w:t>
      </w:r>
      <w:r w:rsidR="00126E7E" w:rsidRPr="00E9174D">
        <w:rPr>
          <w:rFonts w:ascii="Garamond" w:hAnsi="Garamond" w:cs="Arial"/>
          <w:sz w:val="25"/>
          <w:szCs w:val="25"/>
        </w:rPr>
        <w:t>105 del 5.4.2020</w:t>
      </w:r>
      <w:r w:rsidR="00B34BA3" w:rsidRPr="00E9174D">
        <w:rPr>
          <w:rFonts w:ascii="Garamond" w:hAnsi="Garamond" w:cs="Arial"/>
          <w:sz w:val="25"/>
          <w:szCs w:val="25"/>
        </w:rPr>
        <w:t xml:space="preserve"> </w:t>
      </w:r>
      <w:r w:rsidR="004E2393" w:rsidRPr="00E9174D">
        <w:rPr>
          <w:rFonts w:ascii="Garamond" w:hAnsi="Garamond" w:cs="Arial"/>
          <w:sz w:val="25"/>
          <w:szCs w:val="25"/>
        </w:rPr>
        <w:t>recante per “chiunque intende fare ingresso in Sicilia attraverso il Porto di Messina”</w:t>
      </w:r>
      <w:r w:rsidR="00711376" w:rsidRPr="00E9174D">
        <w:rPr>
          <w:rFonts w:ascii="Garamond" w:hAnsi="Garamond" w:cs="Arial"/>
          <w:color w:val="800000"/>
          <w:sz w:val="25"/>
          <w:szCs w:val="25"/>
        </w:rPr>
        <w:t xml:space="preserve"> </w:t>
      </w:r>
      <w:r w:rsidR="008D7868" w:rsidRPr="00E9174D">
        <w:rPr>
          <w:rFonts w:ascii="Garamond" w:hAnsi="Garamond" w:cs="Arial"/>
          <w:sz w:val="25"/>
          <w:szCs w:val="25"/>
        </w:rPr>
        <w:t>(i)</w:t>
      </w:r>
      <w:r w:rsidR="00B34BA3" w:rsidRPr="00E9174D">
        <w:rPr>
          <w:rFonts w:ascii="Garamond" w:hAnsi="Garamond" w:cs="Arial"/>
          <w:sz w:val="25"/>
          <w:szCs w:val="25"/>
        </w:rPr>
        <w:t xml:space="preserve"> </w:t>
      </w:r>
      <w:r w:rsidR="008D7868" w:rsidRPr="00E9174D">
        <w:rPr>
          <w:rFonts w:ascii="Garamond" w:hAnsi="Garamond" w:cs="Arial"/>
          <w:sz w:val="25"/>
          <w:szCs w:val="25"/>
        </w:rPr>
        <w:t>l’</w:t>
      </w:r>
      <w:r w:rsidR="004E2393" w:rsidRPr="00E9174D">
        <w:rPr>
          <w:rFonts w:ascii="Garamond" w:hAnsi="Garamond" w:cs="Arial"/>
          <w:sz w:val="25"/>
          <w:szCs w:val="25"/>
        </w:rPr>
        <w:t>obbli</w:t>
      </w:r>
      <w:r w:rsidR="008D7868" w:rsidRPr="00E9174D">
        <w:rPr>
          <w:rFonts w:ascii="Garamond" w:hAnsi="Garamond" w:cs="Arial"/>
          <w:sz w:val="25"/>
          <w:szCs w:val="25"/>
        </w:rPr>
        <w:t xml:space="preserve">go di registrazione </w:t>
      </w:r>
      <w:r w:rsidR="008D7868" w:rsidRPr="00E9174D">
        <w:rPr>
          <w:rFonts w:ascii="Garamond" w:hAnsi="Garamond" w:cs="Arial"/>
          <w:i/>
          <w:sz w:val="25"/>
          <w:szCs w:val="25"/>
        </w:rPr>
        <w:t>on line</w:t>
      </w:r>
      <w:r w:rsidR="008D7868" w:rsidRPr="00E9174D">
        <w:rPr>
          <w:rFonts w:ascii="Garamond" w:hAnsi="Garamond" w:cs="Arial"/>
          <w:sz w:val="25"/>
          <w:szCs w:val="25"/>
        </w:rPr>
        <w:t xml:space="preserve"> </w:t>
      </w:r>
      <w:r w:rsidR="004E2393" w:rsidRPr="00E9174D">
        <w:rPr>
          <w:rFonts w:ascii="Garamond" w:hAnsi="Garamond" w:cs="Arial"/>
          <w:sz w:val="25"/>
          <w:szCs w:val="25"/>
        </w:rPr>
        <w:t>48 ore prima dell’orario previsto di partenza (dovendo quindi fornire una serie di dati identificativi personali e relativi alla località di provenienza, a quella di destinazione e ai motivi del trasferimento</w:t>
      </w:r>
      <w:r w:rsidR="00711376" w:rsidRPr="00E9174D">
        <w:rPr>
          <w:rFonts w:ascii="Garamond" w:hAnsi="Garamond" w:cs="Arial"/>
          <w:sz w:val="25"/>
          <w:szCs w:val="25"/>
        </w:rPr>
        <w:t xml:space="preserve">), </w:t>
      </w:r>
      <w:r w:rsidR="004E2393" w:rsidRPr="00E9174D">
        <w:rPr>
          <w:rFonts w:ascii="Garamond" w:hAnsi="Garamond" w:cs="Arial"/>
          <w:sz w:val="25"/>
          <w:szCs w:val="25"/>
        </w:rPr>
        <w:t xml:space="preserve">ii) l’obbligo di attendere il rilascio </w:t>
      </w:r>
      <w:r w:rsidR="00930503" w:rsidRPr="00E9174D">
        <w:rPr>
          <w:rFonts w:ascii="Garamond" w:hAnsi="Garamond" w:cs="Arial"/>
          <w:sz w:val="25"/>
          <w:szCs w:val="25"/>
        </w:rPr>
        <w:t>da parte del Comune di</w:t>
      </w:r>
      <w:r w:rsidR="004E2393" w:rsidRPr="00E9174D">
        <w:rPr>
          <w:rFonts w:ascii="Garamond" w:hAnsi="Garamond" w:cs="Arial"/>
          <w:sz w:val="25"/>
          <w:szCs w:val="25"/>
        </w:rPr>
        <w:t xml:space="preserve"> un “</w:t>
      </w:r>
      <w:r w:rsidR="008D7868" w:rsidRPr="00E9174D">
        <w:rPr>
          <w:rFonts w:ascii="Garamond" w:hAnsi="Garamond" w:cs="Arial"/>
          <w:sz w:val="25"/>
          <w:szCs w:val="25"/>
        </w:rPr>
        <w:t>n</w:t>
      </w:r>
      <w:r w:rsidR="004E2393" w:rsidRPr="00E9174D">
        <w:rPr>
          <w:rFonts w:ascii="Garamond" w:hAnsi="Garamond" w:cs="Arial"/>
          <w:sz w:val="25"/>
          <w:szCs w:val="25"/>
        </w:rPr>
        <w:t>ulla Osta allo sposta</w:t>
      </w:r>
      <w:r w:rsidR="00711376" w:rsidRPr="00E9174D">
        <w:rPr>
          <w:rFonts w:ascii="Garamond" w:hAnsi="Garamond" w:cs="Arial"/>
          <w:sz w:val="25"/>
          <w:szCs w:val="25"/>
        </w:rPr>
        <w:t>mento”,</w:t>
      </w:r>
      <w:r w:rsidR="004E2393" w:rsidRPr="00E9174D">
        <w:rPr>
          <w:rFonts w:ascii="Garamond" w:hAnsi="Garamond" w:cs="Arial"/>
          <w:sz w:val="25"/>
          <w:szCs w:val="25"/>
        </w:rPr>
        <w:t xml:space="preserve"> </w:t>
      </w:r>
      <w:r w:rsidR="008D7868" w:rsidRPr="00E9174D">
        <w:rPr>
          <w:rFonts w:ascii="Garamond" w:hAnsi="Garamond" w:cs="Arial"/>
          <w:sz w:val="25"/>
          <w:szCs w:val="25"/>
        </w:rPr>
        <w:t>inoltre (iii) per “c</w:t>
      </w:r>
      <w:r w:rsidR="004E2393" w:rsidRPr="00E9174D">
        <w:rPr>
          <w:rFonts w:ascii="Garamond" w:hAnsi="Garamond" w:cs="Arial"/>
          <w:sz w:val="25"/>
          <w:szCs w:val="25"/>
        </w:rPr>
        <w:t>hiunque intende fuoriuscire dalla Sicilia attraverso i collegamenti navali del Porto di Messina</w:t>
      </w:r>
      <w:r w:rsidR="008D7868" w:rsidRPr="00E9174D">
        <w:rPr>
          <w:rFonts w:ascii="Garamond" w:hAnsi="Garamond" w:cs="Arial"/>
          <w:sz w:val="25"/>
          <w:szCs w:val="25"/>
        </w:rPr>
        <w:t>”</w:t>
      </w:r>
      <w:r w:rsidR="004E2393" w:rsidRPr="00E9174D">
        <w:rPr>
          <w:rFonts w:ascii="Garamond" w:hAnsi="Garamond" w:cs="Arial"/>
          <w:sz w:val="25"/>
          <w:szCs w:val="25"/>
        </w:rPr>
        <w:t xml:space="preserve"> </w:t>
      </w:r>
      <w:r w:rsidR="008D7868" w:rsidRPr="00E9174D">
        <w:rPr>
          <w:rFonts w:ascii="Garamond" w:hAnsi="Garamond" w:cs="Arial"/>
          <w:sz w:val="25"/>
          <w:szCs w:val="25"/>
        </w:rPr>
        <w:t>l’obbligo di registrazione prima</w:t>
      </w:r>
      <w:r w:rsidR="004E2393" w:rsidRPr="00E9174D">
        <w:rPr>
          <w:rFonts w:ascii="Garamond" w:hAnsi="Garamond" w:cs="Arial"/>
          <w:sz w:val="25"/>
          <w:szCs w:val="25"/>
        </w:rPr>
        <w:t xml:space="preserve"> </w:t>
      </w:r>
      <w:r w:rsidR="008D7868" w:rsidRPr="00E9174D">
        <w:rPr>
          <w:rFonts w:ascii="Garamond" w:hAnsi="Garamond" w:cs="Arial"/>
          <w:sz w:val="25"/>
          <w:szCs w:val="25"/>
        </w:rPr>
        <w:t>dell’imbarco</w:t>
      </w:r>
      <w:r w:rsidR="004E2393" w:rsidRPr="00E9174D">
        <w:rPr>
          <w:rFonts w:ascii="Garamond" w:hAnsi="Garamond" w:cs="Arial"/>
          <w:sz w:val="25"/>
          <w:szCs w:val="25"/>
        </w:rPr>
        <w:t xml:space="preserve">. </w:t>
      </w:r>
    </w:p>
    <w:p w14:paraId="6A5B0A4D" w14:textId="1F5037A0" w:rsidR="004E2393" w:rsidRPr="00E9174D" w:rsidRDefault="008D7868" w:rsidP="00E41FB6">
      <w:pPr>
        <w:spacing w:line="320" w:lineRule="exact"/>
        <w:ind w:firstLine="426"/>
        <w:jc w:val="both"/>
        <w:rPr>
          <w:rFonts w:ascii="Garamond" w:hAnsi="Garamond" w:cs="Arial"/>
          <w:sz w:val="25"/>
          <w:szCs w:val="25"/>
        </w:rPr>
      </w:pPr>
      <w:r w:rsidRPr="00E9174D">
        <w:rPr>
          <w:rFonts w:ascii="Garamond" w:hAnsi="Garamond" w:cs="Arial"/>
          <w:sz w:val="25"/>
          <w:szCs w:val="25"/>
        </w:rPr>
        <w:t xml:space="preserve">L’ordinanza avrebbe avuto efficacia dalle </w:t>
      </w:r>
      <w:r w:rsidR="004E2393" w:rsidRPr="00E9174D">
        <w:rPr>
          <w:rFonts w:ascii="Garamond" w:hAnsi="Garamond" w:cs="Arial"/>
          <w:sz w:val="25"/>
          <w:szCs w:val="25"/>
        </w:rPr>
        <w:t xml:space="preserve">ore 00.01 dell’8 aprile 2020 </w:t>
      </w:r>
      <w:r w:rsidRPr="00E9174D">
        <w:rPr>
          <w:rFonts w:ascii="Garamond" w:hAnsi="Garamond" w:cs="Arial"/>
          <w:sz w:val="25"/>
          <w:szCs w:val="25"/>
        </w:rPr>
        <w:t>sino al 13 aprile 2020.</w:t>
      </w:r>
    </w:p>
    <w:p w14:paraId="257F56EC" w14:textId="60624237" w:rsidR="003A055F" w:rsidRPr="00E9174D" w:rsidRDefault="00126E7E" w:rsidP="00E41FB6">
      <w:pPr>
        <w:spacing w:line="320" w:lineRule="exact"/>
        <w:ind w:firstLine="426"/>
        <w:jc w:val="both"/>
        <w:rPr>
          <w:rFonts w:ascii="Garamond" w:hAnsi="Garamond" w:cs="Arial"/>
          <w:sz w:val="25"/>
          <w:szCs w:val="25"/>
        </w:rPr>
      </w:pPr>
      <w:r w:rsidRPr="00E9174D">
        <w:rPr>
          <w:rFonts w:ascii="Garamond" w:hAnsi="Garamond" w:cs="Arial"/>
          <w:sz w:val="25"/>
          <w:szCs w:val="25"/>
        </w:rPr>
        <w:t>Tuttavia in data 7 aprile</w:t>
      </w:r>
      <w:r w:rsidR="008D7868" w:rsidRPr="00E9174D">
        <w:rPr>
          <w:rFonts w:ascii="Garamond" w:hAnsi="Garamond" w:cs="Arial"/>
          <w:sz w:val="25"/>
          <w:szCs w:val="25"/>
        </w:rPr>
        <w:t xml:space="preserve"> la Presidenza del Consiglio dei Ministri ha</w:t>
      </w:r>
      <w:r w:rsidR="001F35CE" w:rsidRPr="00E9174D">
        <w:rPr>
          <w:rFonts w:ascii="Garamond" w:hAnsi="Garamond" w:cs="Arial"/>
          <w:sz w:val="25"/>
          <w:szCs w:val="25"/>
        </w:rPr>
        <w:t xml:space="preserve"> tempestivamente</w:t>
      </w:r>
      <w:r w:rsidR="008D7868" w:rsidRPr="00E9174D">
        <w:rPr>
          <w:rFonts w:ascii="Garamond" w:hAnsi="Garamond" w:cs="Arial"/>
          <w:sz w:val="25"/>
          <w:szCs w:val="25"/>
        </w:rPr>
        <w:t xml:space="preserve"> inoltrato al Consiglio di Stato in sede consultiva la r</w:t>
      </w:r>
      <w:r w:rsidR="00CC01DF" w:rsidRPr="00E9174D">
        <w:rPr>
          <w:rFonts w:ascii="Garamond" w:hAnsi="Garamond" w:cs="Arial"/>
          <w:sz w:val="25"/>
          <w:szCs w:val="25"/>
        </w:rPr>
        <w:t>ichiesta di parere del Ministro dell’Interno</w:t>
      </w:r>
      <w:r w:rsidR="00B33531" w:rsidRPr="00E9174D">
        <w:rPr>
          <w:rFonts w:ascii="Garamond" w:hAnsi="Garamond" w:cs="Arial"/>
          <w:sz w:val="25"/>
          <w:szCs w:val="25"/>
        </w:rPr>
        <w:t>, approvata con deliberazione del Consiglio dei Ministri del 6 aprile,</w:t>
      </w:r>
      <w:r w:rsidR="00CC01DF" w:rsidRPr="00E9174D">
        <w:rPr>
          <w:rFonts w:ascii="Garamond" w:hAnsi="Garamond" w:cs="Arial"/>
          <w:sz w:val="25"/>
          <w:szCs w:val="25"/>
        </w:rPr>
        <w:t xml:space="preserve"> in merito alla</w:t>
      </w:r>
      <w:r w:rsidR="001F35CE" w:rsidRPr="00E9174D">
        <w:rPr>
          <w:rFonts w:ascii="Garamond" w:hAnsi="Garamond" w:cs="Arial"/>
          <w:sz w:val="25"/>
          <w:szCs w:val="25"/>
        </w:rPr>
        <w:t xml:space="preserve"> proposta di annullamento straordinario della suddetta ordinanza, attivando così il procedimento previsto dall’art. 138 TUEL; la </w:t>
      </w:r>
      <w:r w:rsidR="001F35CE" w:rsidRPr="00E9174D">
        <w:rPr>
          <w:rFonts w:ascii="Garamond" w:hAnsi="Garamond" w:cs="Arial"/>
          <w:sz w:val="25"/>
          <w:szCs w:val="25"/>
        </w:rPr>
        <w:lastRenderedPageBreak/>
        <w:t>richiesta di parere è stata motivata alla luce</w:t>
      </w:r>
      <w:r w:rsidRPr="00E9174D">
        <w:rPr>
          <w:rFonts w:ascii="Garamond" w:hAnsi="Garamond" w:cs="Arial"/>
          <w:sz w:val="25"/>
          <w:szCs w:val="25"/>
        </w:rPr>
        <w:t xml:space="preserve"> di molteplici profili di illegi</w:t>
      </w:r>
      <w:r w:rsidR="00711376" w:rsidRPr="00E9174D">
        <w:rPr>
          <w:rFonts w:ascii="Garamond" w:hAnsi="Garamond" w:cs="Arial"/>
          <w:sz w:val="25"/>
          <w:szCs w:val="25"/>
        </w:rPr>
        <w:t xml:space="preserve">ttimità nonché </w:t>
      </w:r>
      <w:r w:rsidR="001F35CE" w:rsidRPr="00E9174D">
        <w:rPr>
          <w:rFonts w:ascii="Garamond" w:hAnsi="Garamond" w:cs="Arial"/>
          <w:sz w:val="25"/>
          <w:szCs w:val="25"/>
        </w:rPr>
        <w:t xml:space="preserve">dell’esigenza di salvaguardare in una situazione di crisi epidemiologica il ruolo dello Stato come garante dell’unità dell’ordinamento, nel quale deve ritenersi ammessa per i Comuni “esclusivamente la possibilità di intervenire con ordinanze all’interno e conformemente alla cornice delineata dai provvedimenti statali”. </w:t>
      </w:r>
    </w:p>
    <w:p w14:paraId="0F640778" w14:textId="36C27F93" w:rsidR="001F35CE" w:rsidRPr="00E9174D" w:rsidRDefault="001F35CE" w:rsidP="00E41FB6">
      <w:pPr>
        <w:spacing w:line="320" w:lineRule="exact"/>
        <w:ind w:firstLine="426"/>
        <w:jc w:val="both"/>
        <w:rPr>
          <w:rFonts w:ascii="Garamond" w:hAnsi="Garamond" w:cs="Arial"/>
          <w:sz w:val="25"/>
          <w:szCs w:val="25"/>
        </w:rPr>
      </w:pPr>
      <w:r w:rsidRPr="00E9174D">
        <w:rPr>
          <w:rFonts w:ascii="Garamond" w:hAnsi="Garamond" w:cs="Arial"/>
          <w:sz w:val="25"/>
          <w:szCs w:val="25"/>
        </w:rPr>
        <w:t>La I sezione del Consiglio di Stato</w:t>
      </w:r>
      <w:r w:rsidR="009E0779" w:rsidRPr="00E9174D">
        <w:rPr>
          <w:rFonts w:ascii="Garamond" w:hAnsi="Garamond" w:cs="Arial"/>
          <w:sz w:val="25"/>
          <w:szCs w:val="25"/>
        </w:rPr>
        <w:t xml:space="preserve"> nella</w:t>
      </w:r>
      <w:r w:rsidR="00126E7E" w:rsidRPr="00E9174D">
        <w:rPr>
          <w:rFonts w:ascii="Garamond" w:hAnsi="Garamond" w:cs="Arial"/>
          <w:sz w:val="25"/>
          <w:szCs w:val="25"/>
        </w:rPr>
        <w:t xml:space="preserve"> stessa giornata, riunendosi in videoconferenza, ha</w:t>
      </w:r>
      <w:r w:rsidR="003F4665" w:rsidRPr="00E9174D">
        <w:rPr>
          <w:rFonts w:ascii="Garamond" w:hAnsi="Garamond" w:cs="Arial"/>
          <w:sz w:val="25"/>
          <w:szCs w:val="25"/>
        </w:rPr>
        <w:t xml:space="preserve"> reso il proprio parere, ritenendo</w:t>
      </w:r>
      <w:r w:rsidR="00126E7E" w:rsidRPr="00E9174D">
        <w:rPr>
          <w:rFonts w:ascii="Garamond" w:hAnsi="Garamond" w:cs="Arial"/>
          <w:sz w:val="25"/>
          <w:szCs w:val="25"/>
        </w:rPr>
        <w:t xml:space="preserve"> sussistenti, sotto plurimi profili, i presupposti per l’annullamento straordinario dell’ordinanza</w:t>
      </w:r>
      <w:r w:rsidR="001E2CA0" w:rsidRPr="00E9174D">
        <w:rPr>
          <w:rFonts w:ascii="Garamond" w:hAnsi="Garamond" w:cs="Arial"/>
          <w:sz w:val="25"/>
          <w:szCs w:val="25"/>
        </w:rPr>
        <w:t xml:space="preserve"> (parere 7.4.2020 n. 735 in </w:t>
      </w:r>
      <w:hyperlink r:id="rId6" w:history="1">
        <w:r w:rsidR="001E2CA0" w:rsidRPr="00E9174D">
          <w:rPr>
            <w:rStyle w:val="Collegamentoipertestuale"/>
            <w:rFonts w:ascii="Garamond" w:hAnsi="Garamond" w:cs="Arial"/>
            <w:sz w:val="25"/>
            <w:szCs w:val="25"/>
          </w:rPr>
          <w:t>www.giustizia-amministrativa.it</w:t>
        </w:r>
      </w:hyperlink>
      <w:r w:rsidR="001E2CA0" w:rsidRPr="00E9174D">
        <w:rPr>
          <w:rFonts w:ascii="Garamond" w:hAnsi="Garamond" w:cs="Arial"/>
          <w:sz w:val="25"/>
          <w:szCs w:val="25"/>
        </w:rPr>
        <w:t>)</w:t>
      </w:r>
      <w:r w:rsidR="00126E7E" w:rsidRPr="00E9174D">
        <w:rPr>
          <w:rFonts w:ascii="Garamond" w:hAnsi="Garamond" w:cs="Arial"/>
          <w:sz w:val="25"/>
          <w:szCs w:val="25"/>
        </w:rPr>
        <w:t>.</w:t>
      </w:r>
    </w:p>
    <w:p w14:paraId="01A2D347" w14:textId="5EA4F22F" w:rsidR="00CF229A" w:rsidRPr="00E9174D" w:rsidRDefault="00A07156" w:rsidP="00E41FB6">
      <w:pPr>
        <w:spacing w:line="320" w:lineRule="exact"/>
        <w:ind w:firstLine="426"/>
        <w:jc w:val="both"/>
        <w:rPr>
          <w:rFonts w:ascii="Garamond" w:hAnsi="Garamond" w:cs="Arial"/>
          <w:sz w:val="25"/>
          <w:szCs w:val="25"/>
        </w:rPr>
      </w:pPr>
      <w:r w:rsidRPr="00E9174D">
        <w:rPr>
          <w:rFonts w:ascii="Garamond" w:hAnsi="Garamond" w:cs="Arial"/>
          <w:sz w:val="25"/>
          <w:szCs w:val="25"/>
        </w:rPr>
        <w:t>In data 9 aprile il Consiglio dei Ministri, visto il parere f</w:t>
      </w:r>
      <w:r w:rsidR="00C869DA" w:rsidRPr="00E9174D">
        <w:rPr>
          <w:rFonts w:ascii="Garamond" w:hAnsi="Garamond" w:cs="Arial"/>
          <w:sz w:val="25"/>
          <w:szCs w:val="25"/>
        </w:rPr>
        <w:t>avorevole, ha quindi deliberato (all’esito del Consiglio dei Ministri n. 40, terminato alle 11.45</w:t>
      </w:r>
      <w:r w:rsidR="00CF229A" w:rsidRPr="00E9174D">
        <w:rPr>
          <w:rFonts w:ascii="Garamond" w:hAnsi="Garamond" w:cs="Arial"/>
          <w:sz w:val="25"/>
          <w:szCs w:val="25"/>
        </w:rPr>
        <w:t xml:space="preserve">) </w:t>
      </w:r>
      <w:r w:rsidR="00AD2C9B" w:rsidRPr="00E9174D">
        <w:rPr>
          <w:rFonts w:ascii="Garamond" w:hAnsi="Garamond" w:cs="Arial"/>
          <w:sz w:val="25"/>
          <w:szCs w:val="25"/>
        </w:rPr>
        <w:t>nel senso del</w:t>
      </w:r>
      <w:r w:rsidR="00CF229A" w:rsidRPr="00E9174D">
        <w:rPr>
          <w:rFonts w:ascii="Garamond" w:hAnsi="Garamond" w:cs="Arial"/>
          <w:sz w:val="25"/>
          <w:szCs w:val="25"/>
        </w:rPr>
        <w:t>l’annullamento dell’ordinanza.</w:t>
      </w:r>
    </w:p>
    <w:p w14:paraId="79B67833" w14:textId="0235B2DF" w:rsidR="00C869DA" w:rsidRPr="00E9174D" w:rsidRDefault="00440ACF" w:rsidP="00E41FB6">
      <w:pPr>
        <w:spacing w:line="320" w:lineRule="exact"/>
        <w:ind w:firstLine="426"/>
        <w:jc w:val="both"/>
        <w:rPr>
          <w:rFonts w:ascii="Garamond" w:hAnsi="Garamond" w:cs="Arial"/>
          <w:sz w:val="25"/>
          <w:szCs w:val="25"/>
        </w:rPr>
      </w:pPr>
      <w:r w:rsidRPr="00E9174D">
        <w:rPr>
          <w:rFonts w:ascii="Garamond" w:hAnsi="Garamond" w:cs="Arial"/>
          <w:sz w:val="25"/>
          <w:szCs w:val="25"/>
        </w:rPr>
        <w:t>Il procedimento è stato</w:t>
      </w:r>
      <w:r w:rsidR="00AB111F" w:rsidRPr="00E9174D">
        <w:rPr>
          <w:rFonts w:ascii="Garamond" w:hAnsi="Garamond" w:cs="Arial"/>
          <w:sz w:val="25"/>
          <w:szCs w:val="25"/>
        </w:rPr>
        <w:t xml:space="preserve"> quindi</w:t>
      </w:r>
      <w:r w:rsidRPr="00E9174D">
        <w:rPr>
          <w:rFonts w:ascii="Garamond" w:hAnsi="Garamond" w:cs="Arial"/>
          <w:sz w:val="25"/>
          <w:szCs w:val="25"/>
        </w:rPr>
        <w:t xml:space="preserve"> definito con il </w:t>
      </w:r>
      <w:r w:rsidR="00CF229A" w:rsidRPr="00E9174D">
        <w:rPr>
          <w:rFonts w:ascii="Garamond" w:hAnsi="Garamond" w:cs="Arial"/>
          <w:sz w:val="25"/>
          <w:szCs w:val="25"/>
        </w:rPr>
        <w:t>Decreto del Presidente della R</w:t>
      </w:r>
      <w:r w:rsidR="0081350C" w:rsidRPr="00E9174D">
        <w:rPr>
          <w:rFonts w:ascii="Garamond" w:hAnsi="Garamond" w:cs="Arial"/>
          <w:sz w:val="25"/>
          <w:szCs w:val="25"/>
        </w:rPr>
        <w:t>epubblica del 9 aprile (già pubblicato in</w:t>
      </w:r>
      <w:r w:rsidRPr="00E9174D">
        <w:rPr>
          <w:rFonts w:ascii="Garamond" w:hAnsi="Garamond" w:cs="Arial"/>
          <w:sz w:val="25"/>
          <w:szCs w:val="25"/>
        </w:rPr>
        <w:t xml:space="preserve"> G.U. n. 96 del 10.4.2020), controf</w:t>
      </w:r>
      <w:r w:rsidR="00AD2C9B" w:rsidRPr="00E9174D">
        <w:rPr>
          <w:rFonts w:ascii="Garamond" w:hAnsi="Garamond" w:cs="Arial"/>
          <w:sz w:val="25"/>
          <w:szCs w:val="25"/>
        </w:rPr>
        <w:t>irmato dal Ministro</w:t>
      </w:r>
      <w:r w:rsidR="00AB111F" w:rsidRPr="00E9174D">
        <w:rPr>
          <w:rFonts w:ascii="Garamond" w:hAnsi="Garamond" w:cs="Arial"/>
          <w:sz w:val="25"/>
          <w:szCs w:val="25"/>
        </w:rPr>
        <w:t xml:space="preserve"> dell’Interno</w:t>
      </w:r>
      <w:r w:rsidR="00AD2C9B" w:rsidRPr="00E9174D">
        <w:rPr>
          <w:rFonts w:ascii="Garamond" w:hAnsi="Garamond" w:cs="Arial"/>
          <w:sz w:val="25"/>
          <w:szCs w:val="25"/>
        </w:rPr>
        <w:t xml:space="preserve"> proponente, che ha annullato l’ordinanza comunale, recependo</w:t>
      </w:r>
      <w:r w:rsidR="00AB111F" w:rsidRPr="00E9174D">
        <w:rPr>
          <w:rFonts w:ascii="Garamond" w:hAnsi="Garamond" w:cs="Arial"/>
          <w:sz w:val="25"/>
          <w:szCs w:val="25"/>
        </w:rPr>
        <w:t xml:space="preserve"> integralmente</w:t>
      </w:r>
      <w:r w:rsidR="00AD2C9B" w:rsidRPr="00E9174D">
        <w:rPr>
          <w:rFonts w:ascii="Garamond" w:hAnsi="Garamond" w:cs="Arial"/>
          <w:sz w:val="25"/>
          <w:szCs w:val="25"/>
        </w:rPr>
        <w:t xml:space="preserve"> le motivazioni del parere</w:t>
      </w:r>
    </w:p>
    <w:p w14:paraId="5642540D" w14:textId="66F93FF1" w:rsidR="000E45B7" w:rsidRPr="00E9174D" w:rsidRDefault="00711376" w:rsidP="000E45B7">
      <w:pPr>
        <w:spacing w:line="320" w:lineRule="exact"/>
        <w:ind w:firstLine="426"/>
        <w:jc w:val="both"/>
        <w:rPr>
          <w:rFonts w:ascii="Garamond" w:hAnsi="Garamond" w:cs="Arial"/>
          <w:sz w:val="25"/>
          <w:szCs w:val="25"/>
        </w:rPr>
      </w:pPr>
      <w:r w:rsidRPr="00E9174D">
        <w:rPr>
          <w:rFonts w:ascii="Garamond" w:hAnsi="Garamond" w:cs="Arial"/>
          <w:sz w:val="25"/>
          <w:szCs w:val="25"/>
        </w:rPr>
        <w:t>È stato</w:t>
      </w:r>
      <w:r w:rsidR="00102491" w:rsidRPr="00E9174D">
        <w:rPr>
          <w:rFonts w:ascii="Garamond" w:hAnsi="Garamond" w:cs="Arial"/>
          <w:sz w:val="25"/>
          <w:szCs w:val="25"/>
        </w:rPr>
        <w:t xml:space="preserve"> quindi attivato e concluso, con una tempistica ed un incisività superiore a quella che un qualunque cittadino avrebbe potuto ottenere con un provvedimento cautelare mo</w:t>
      </w:r>
      <w:r w:rsidR="00930503" w:rsidRPr="00E9174D">
        <w:rPr>
          <w:rFonts w:ascii="Garamond" w:hAnsi="Garamond" w:cs="Arial"/>
          <w:sz w:val="25"/>
          <w:szCs w:val="25"/>
        </w:rPr>
        <w:t>nocratico innanzi al giudice amministrativo in sede giurisdizionale</w:t>
      </w:r>
      <w:r w:rsidR="00102491" w:rsidRPr="00E9174D">
        <w:rPr>
          <w:rFonts w:ascii="Garamond" w:hAnsi="Garamond" w:cs="Arial"/>
          <w:sz w:val="25"/>
          <w:szCs w:val="25"/>
        </w:rPr>
        <w:t>, il proce</w:t>
      </w:r>
      <w:r w:rsidR="00AB111F" w:rsidRPr="00E9174D">
        <w:rPr>
          <w:rFonts w:ascii="Garamond" w:hAnsi="Garamond" w:cs="Arial"/>
          <w:sz w:val="25"/>
          <w:szCs w:val="25"/>
        </w:rPr>
        <w:t xml:space="preserve">dimento relativo all’esercizio </w:t>
      </w:r>
      <w:r w:rsidR="00102491" w:rsidRPr="00E9174D">
        <w:rPr>
          <w:rFonts w:ascii="Garamond" w:hAnsi="Garamond" w:cs="Arial"/>
          <w:sz w:val="25"/>
          <w:szCs w:val="25"/>
        </w:rPr>
        <w:t>di un potere</w:t>
      </w:r>
      <w:r w:rsidR="003F4665" w:rsidRPr="00E9174D">
        <w:rPr>
          <w:rFonts w:ascii="Garamond" w:hAnsi="Garamond" w:cs="Arial"/>
          <w:sz w:val="25"/>
          <w:szCs w:val="25"/>
        </w:rPr>
        <w:t xml:space="preserve"> di annullamento straordinario</w:t>
      </w:r>
      <w:r w:rsidR="00102491" w:rsidRPr="00E9174D">
        <w:rPr>
          <w:rFonts w:ascii="Garamond" w:hAnsi="Garamond" w:cs="Arial"/>
          <w:sz w:val="25"/>
          <w:szCs w:val="25"/>
        </w:rPr>
        <w:t>, che forse avevamo dimenticato, in un sistema costituzionale pluralistico delle autonomie territoriali, e che, invece, l</w:t>
      </w:r>
      <w:r w:rsidR="000E45B7" w:rsidRPr="00E9174D">
        <w:rPr>
          <w:rFonts w:ascii="Garamond" w:hAnsi="Garamond" w:cs="Arial"/>
          <w:sz w:val="25"/>
          <w:szCs w:val="25"/>
        </w:rPr>
        <w:t>a pandemia ha fatto riemergere.</w:t>
      </w:r>
    </w:p>
    <w:p w14:paraId="7A020C34" w14:textId="653CDEAF" w:rsidR="00A4368C" w:rsidRPr="00E9174D" w:rsidRDefault="000E45B7" w:rsidP="000E45B7">
      <w:pPr>
        <w:spacing w:line="320" w:lineRule="exact"/>
        <w:ind w:firstLine="426"/>
        <w:jc w:val="both"/>
        <w:rPr>
          <w:rFonts w:ascii="Garamond" w:hAnsi="Garamond" w:cs="Arial"/>
          <w:sz w:val="25"/>
          <w:szCs w:val="25"/>
        </w:rPr>
      </w:pPr>
      <w:r w:rsidRPr="00E9174D">
        <w:rPr>
          <w:rFonts w:ascii="Garamond" w:hAnsi="Garamond" w:cs="Arial"/>
          <w:sz w:val="25"/>
          <w:szCs w:val="25"/>
        </w:rPr>
        <w:t>L</w:t>
      </w:r>
      <w:r w:rsidR="0090520B" w:rsidRPr="00E9174D">
        <w:rPr>
          <w:rFonts w:ascii="Garamond" w:hAnsi="Garamond" w:cs="Arial"/>
          <w:sz w:val="25"/>
          <w:szCs w:val="25"/>
        </w:rPr>
        <w:t xml:space="preserve">’istituto </w:t>
      </w:r>
      <w:r w:rsidRPr="00E9174D">
        <w:rPr>
          <w:rFonts w:ascii="Garamond" w:hAnsi="Garamond" w:cs="Arial"/>
          <w:sz w:val="25"/>
          <w:szCs w:val="25"/>
        </w:rPr>
        <w:t>era</w:t>
      </w:r>
      <w:r w:rsidR="0090520B" w:rsidRPr="00E9174D">
        <w:rPr>
          <w:rFonts w:ascii="Garamond" w:hAnsi="Garamond" w:cs="Arial"/>
          <w:sz w:val="25"/>
          <w:szCs w:val="25"/>
        </w:rPr>
        <w:t xml:space="preserve"> stato</w:t>
      </w:r>
      <w:r w:rsidRPr="00E9174D">
        <w:rPr>
          <w:rFonts w:ascii="Garamond" w:hAnsi="Garamond" w:cs="Arial"/>
          <w:sz w:val="25"/>
          <w:szCs w:val="25"/>
        </w:rPr>
        <w:t xml:space="preserve"> soltanto</w:t>
      </w:r>
      <w:r w:rsidR="0090520B" w:rsidRPr="00E9174D">
        <w:rPr>
          <w:rFonts w:ascii="Garamond" w:hAnsi="Garamond" w:cs="Arial"/>
          <w:sz w:val="25"/>
          <w:szCs w:val="25"/>
        </w:rPr>
        <w:t xml:space="preserve"> mediaticamente minacciato, per quanto mai attivato, dal Ministro Salvini nei confronti dei Sindaci, che avevano pubblicamente dichiarato la volontà di adottare provvedimenti in contrasto con il d.l. n. 113/2018 (c.d. Decreto Salvini).</w:t>
      </w:r>
    </w:p>
    <w:p w14:paraId="205F1053" w14:textId="77777777" w:rsidR="00A4368C" w:rsidRPr="00E9174D" w:rsidRDefault="00A4368C" w:rsidP="00E41FB6">
      <w:pPr>
        <w:spacing w:line="320" w:lineRule="exact"/>
        <w:ind w:firstLine="426"/>
        <w:jc w:val="both"/>
        <w:rPr>
          <w:rFonts w:ascii="Garamond" w:hAnsi="Garamond" w:cs="Arial"/>
          <w:sz w:val="25"/>
          <w:szCs w:val="25"/>
        </w:rPr>
      </w:pPr>
    </w:p>
    <w:p w14:paraId="0B02BB70" w14:textId="77777777" w:rsidR="00916FCB" w:rsidRPr="00E9174D" w:rsidRDefault="00916FCB" w:rsidP="00A4368C">
      <w:pPr>
        <w:spacing w:line="320" w:lineRule="exact"/>
        <w:jc w:val="both"/>
        <w:rPr>
          <w:rFonts w:ascii="Garamond" w:hAnsi="Garamond" w:cs="Arial"/>
          <w:sz w:val="25"/>
          <w:szCs w:val="25"/>
        </w:rPr>
      </w:pPr>
    </w:p>
    <w:p w14:paraId="566D7B12" w14:textId="640D3757" w:rsidR="00C869DA" w:rsidRPr="00E9174D" w:rsidRDefault="00C869DA" w:rsidP="00E41FB6">
      <w:pPr>
        <w:spacing w:line="320" w:lineRule="exact"/>
        <w:ind w:firstLine="426"/>
        <w:jc w:val="both"/>
        <w:rPr>
          <w:rFonts w:ascii="Garamond" w:hAnsi="Garamond" w:cs="Arial"/>
          <w:sz w:val="25"/>
          <w:szCs w:val="25"/>
        </w:rPr>
      </w:pPr>
      <w:r w:rsidRPr="00E9174D">
        <w:rPr>
          <w:rFonts w:ascii="Garamond" w:hAnsi="Garamond" w:cs="Arial"/>
          <w:sz w:val="25"/>
          <w:szCs w:val="25"/>
        </w:rPr>
        <w:t xml:space="preserve">2. </w:t>
      </w:r>
      <w:r w:rsidR="00A869D2" w:rsidRPr="00E9174D">
        <w:rPr>
          <w:rFonts w:ascii="Garamond" w:hAnsi="Garamond" w:cs="Arial"/>
          <w:i/>
          <w:sz w:val="25"/>
          <w:szCs w:val="25"/>
        </w:rPr>
        <w:t xml:space="preserve">La </w:t>
      </w:r>
      <w:r w:rsidR="002C11EE" w:rsidRPr="00E9174D">
        <w:rPr>
          <w:rFonts w:ascii="Garamond" w:hAnsi="Garamond" w:cs="Arial"/>
          <w:i/>
          <w:sz w:val="25"/>
          <w:szCs w:val="25"/>
        </w:rPr>
        <w:t>matrice storica</w:t>
      </w:r>
      <w:r w:rsidR="00A869D2" w:rsidRPr="00E9174D">
        <w:rPr>
          <w:rFonts w:ascii="Garamond" w:hAnsi="Garamond" w:cs="Arial"/>
          <w:i/>
          <w:sz w:val="25"/>
          <w:szCs w:val="25"/>
        </w:rPr>
        <w:t xml:space="preserve"> </w:t>
      </w:r>
      <w:r w:rsidR="002C11EE" w:rsidRPr="00E9174D">
        <w:rPr>
          <w:rFonts w:ascii="Garamond" w:hAnsi="Garamond" w:cs="Arial"/>
          <w:i/>
          <w:sz w:val="25"/>
          <w:szCs w:val="25"/>
        </w:rPr>
        <w:t>dell’art. 138 TUEL</w:t>
      </w:r>
    </w:p>
    <w:p w14:paraId="2E474F30" w14:textId="77777777" w:rsidR="001F35CE" w:rsidRPr="00E9174D" w:rsidRDefault="001F35CE" w:rsidP="00E41FB6">
      <w:pPr>
        <w:spacing w:line="320" w:lineRule="exact"/>
        <w:ind w:firstLine="426"/>
        <w:jc w:val="both"/>
        <w:rPr>
          <w:rFonts w:ascii="Garamond" w:hAnsi="Garamond" w:cs="Arial"/>
          <w:sz w:val="25"/>
          <w:szCs w:val="25"/>
        </w:rPr>
      </w:pPr>
    </w:p>
    <w:p w14:paraId="306E699C" w14:textId="3EDA93E0" w:rsidR="00102491" w:rsidRPr="00E9174D" w:rsidRDefault="00102491" w:rsidP="00E41FB6">
      <w:pPr>
        <w:spacing w:line="320" w:lineRule="exact"/>
        <w:ind w:firstLine="426"/>
        <w:jc w:val="both"/>
        <w:rPr>
          <w:rFonts w:ascii="Garamond" w:hAnsi="Garamond" w:cs="Arial"/>
          <w:sz w:val="25"/>
          <w:szCs w:val="25"/>
        </w:rPr>
      </w:pPr>
      <w:r w:rsidRPr="00E9174D">
        <w:rPr>
          <w:rFonts w:ascii="Garamond" w:hAnsi="Garamond" w:cs="Arial"/>
          <w:sz w:val="25"/>
          <w:szCs w:val="25"/>
        </w:rPr>
        <w:t>Il Consiglio di Stato nella prima parte del proprio parere (Considerato nn. 1-2) richiama si</w:t>
      </w:r>
      <w:r w:rsidR="0095602C" w:rsidRPr="00E9174D">
        <w:rPr>
          <w:rFonts w:ascii="Garamond" w:hAnsi="Garamond" w:cs="Arial"/>
          <w:sz w:val="25"/>
          <w:szCs w:val="25"/>
        </w:rPr>
        <w:t>nteticamente l’attuale</w:t>
      </w:r>
      <w:r w:rsidRPr="00E9174D">
        <w:rPr>
          <w:rFonts w:ascii="Garamond" w:hAnsi="Garamond" w:cs="Arial"/>
          <w:sz w:val="25"/>
          <w:szCs w:val="25"/>
        </w:rPr>
        <w:t xml:space="preserve"> quadro normativo. </w:t>
      </w:r>
    </w:p>
    <w:p w14:paraId="54CC7E83" w14:textId="5D0649E3" w:rsidR="00F21009" w:rsidRPr="00E9174D" w:rsidRDefault="00507229" w:rsidP="00E41FB6">
      <w:pPr>
        <w:spacing w:line="320" w:lineRule="exact"/>
        <w:ind w:firstLine="426"/>
        <w:jc w:val="both"/>
        <w:rPr>
          <w:rFonts w:ascii="Garamond" w:hAnsi="Garamond" w:cs="Arial"/>
          <w:sz w:val="25"/>
          <w:szCs w:val="25"/>
        </w:rPr>
      </w:pPr>
      <w:r w:rsidRPr="00E9174D">
        <w:rPr>
          <w:rFonts w:ascii="Garamond" w:hAnsi="Garamond" w:cs="Arial"/>
          <w:sz w:val="25"/>
          <w:szCs w:val="25"/>
        </w:rPr>
        <w:t>Deve essere rammentato</w:t>
      </w:r>
      <w:r w:rsidR="00FA233B" w:rsidRPr="00E9174D">
        <w:rPr>
          <w:rFonts w:ascii="Garamond" w:hAnsi="Garamond" w:cs="Arial"/>
          <w:sz w:val="25"/>
          <w:szCs w:val="25"/>
        </w:rPr>
        <w:t xml:space="preserve"> come l’annullamento straordinario sia</w:t>
      </w:r>
      <w:r w:rsidR="00F37B7A" w:rsidRPr="00E9174D">
        <w:rPr>
          <w:rFonts w:ascii="Garamond" w:hAnsi="Garamond" w:cs="Arial"/>
          <w:sz w:val="25"/>
          <w:szCs w:val="25"/>
        </w:rPr>
        <w:t xml:space="preserve"> un residuo</w:t>
      </w:r>
      <w:r w:rsidR="00FA233B" w:rsidRPr="00E9174D">
        <w:rPr>
          <w:rFonts w:ascii="Garamond" w:hAnsi="Garamond" w:cs="Arial"/>
          <w:sz w:val="25"/>
          <w:szCs w:val="25"/>
        </w:rPr>
        <w:t xml:space="preserve"> </w:t>
      </w:r>
      <w:r w:rsidR="002211A9" w:rsidRPr="00E9174D">
        <w:rPr>
          <w:rFonts w:ascii="Garamond" w:hAnsi="Garamond" w:cs="Arial"/>
          <w:sz w:val="25"/>
          <w:szCs w:val="25"/>
        </w:rPr>
        <w:t>della Monarchia</w:t>
      </w:r>
      <w:r w:rsidR="00F21009" w:rsidRPr="00E9174D">
        <w:rPr>
          <w:rFonts w:ascii="Garamond" w:hAnsi="Garamond" w:cs="Arial"/>
          <w:sz w:val="25"/>
          <w:szCs w:val="25"/>
        </w:rPr>
        <w:t>, che</w:t>
      </w:r>
      <w:r w:rsidR="00711376" w:rsidRPr="00E9174D">
        <w:rPr>
          <w:rFonts w:ascii="Garamond" w:hAnsi="Garamond" w:cs="Arial"/>
          <w:sz w:val="25"/>
          <w:szCs w:val="25"/>
        </w:rPr>
        <w:t>,</w:t>
      </w:r>
      <w:r w:rsidR="00F21009" w:rsidRPr="00E9174D">
        <w:rPr>
          <w:rFonts w:ascii="Garamond" w:hAnsi="Garamond" w:cs="Arial"/>
          <w:sz w:val="25"/>
          <w:szCs w:val="25"/>
        </w:rPr>
        <w:t xml:space="preserve"> come altri istituti di tale forma di Stato</w:t>
      </w:r>
      <w:r w:rsidR="00153D1B" w:rsidRPr="00E9174D">
        <w:rPr>
          <w:rFonts w:ascii="Garamond" w:hAnsi="Garamond" w:cs="Arial"/>
          <w:sz w:val="25"/>
          <w:szCs w:val="25"/>
        </w:rPr>
        <w:t>,</w:t>
      </w:r>
      <w:r w:rsidR="00F21009" w:rsidRPr="00E9174D">
        <w:rPr>
          <w:rFonts w:ascii="Garamond" w:hAnsi="Garamond" w:cs="Arial"/>
          <w:sz w:val="25"/>
          <w:szCs w:val="25"/>
        </w:rPr>
        <w:t xml:space="preserve"> transitati e sopravvissuti in quello democratico (si pensi </w:t>
      </w:r>
      <w:r w:rsidR="00153D1B" w:rsidRPr="00E9174D">
        <w:rPr>
          <w:rFonts w:ascii="Garamond" w:hAnsi="Garamond" w:cs="Arial"/>
          <w:sz w:val="25"/>
          <w:szCs w:val="25"/>
        </w:rPr>
        <w:t>a</w:t>
      </w:r>
      <w:r w:rsidR="00F21009" w:rsidRPr="00E9174D">
        <w:rPr>
          <w:rFonts w:ascii="Garamond" w:hAnsi="Garamond" w:cs="Arial"/>
          <w:sz w:val="25"/>
          <w:szCs w:val="25"/>
        </w:rPr>
        <w:t xml:space="preserve">l ricorso straordinario o alla controfirma ministeriale), ha posto molteplici problematiche di adattamento e di individuazione del fondamento costituzionale. </w:t>
      </w:r>
    </w:p>
    <w:p w14:paraId="229E51E1" w14:textId="62323652" w:rsidR="00F21009" w:rsidRPr="00E9174D" w:rsidRDefault="00F21009" w:rsidP="00E41FB6">
      <w:pPr>
        <w:spacing w:line="320" w:lineRule="exact"/>
        <w:ind w:firstLine="426"/>
        <w:jc w:val="both"/>
        <w:rPr>
          <w:rFonts w:ascii="Garamond" w:hAnsi="Garamond" w:cs="Arial"/>
          <w:sz w:val="25"/>
          <w:szCs w:val="25"/>
        </w:rPr>
      </w:pPr>
      <w:r w:rsidRPr="00E9174D">
        <w:rPr>
          <w:rFonts w:ascii="Garamond" w:hAnsi="Garamond" w:cs="Arial"/>
          <w:sz w:val="25"/>
          <w:szCs w:val="25"/>
        </w:rPr>
        <w:t>L’art. 114 r.d. 30.12.1923 n. 2839</w:t>
      </w:r>
      <w:r w:rsidR="00F37B7A" w:rsidRPr="00E9174D">
        <w:rPr>
          <w:rFonts w:ascii="Garamond" w:hAnsi="Garamond" w:cs="Arial"/>
          <w:sz w:val="25"/>
          <w:szCs w:val="25"/>
        </w:rPr>
        <w:t xml:space="preserve"> (riproducendo testualmente l’art. 164 r.d. 12.2.1911 n. 297)</w:t>
      </w:r>
      <w:r w:rsidRPr="00E9174D">
        <w:rPr>
          <w:rFonts w:ascii="Garamond" w:hAnsi="Garamond" w:cs="Arial"/>
          <w:sz w:val="25"/>
          <w:szCs w:val="25"/>
        </w:rPr>
        <w:t xml:space="preserve"> attribuiva al Governo del Re la facoltà “in qualunque tempo” di </w:t>
      </w:r>
      <w:r w:rsidR="00A869D2" w:rsidRPr="00E9174D">
        <w:rPr>
          <w:rFonts w:ascii="Garamond" w:hAnsi="Garamond" w:cs="Arial"/>
          <w:sz w:val="25"/>
          <w:szCs w:val="25"/>
        </w:rPr>
        <w:t>di</w:t>
      </w:r>
      <w:r w:rsidRPr="00E9174D">
        <w:rPr>
          <w:rFonts w:ascii="Garamond" w:hAnsi="Garamond" w:cs="Arial"/>
          <w:sz w:val="25"/>
          <w:szCs w:val="25"/>
        </w:rPr>
        <w:t>chiarare per decreto reale, “sentito il Consiglio di Stato” la nullità degli atti o provvedimenti che contenessero “violazioni di leggi o di regolamenti generali o speciali”</w:t>
      </w:r>
      <w:r w:rsidR="00F37B7A" w:rsidRPr="00E9174D">
        <w:rPr>
          <w:rFonts w:ascii="Garamond" w:hAnsi="Garamond" w:cs="Arial"/>
          <w:sz w:val="25"/>
          <w:szCs w:val="25"/>
        </w:rPr>
        <w:t xml:space="preserve">. Tale disposizione è stata riproposta, nella sostanza, con l’art. 6 r.d. 3.3.1934 n. 383, recante il Testo unico della legge comunale e provinciale, che attribuiva al Governo la facoltà di annullare, “in qualunque tempo” (anche in questa formulazione, “d’ufficio o su denuncia”), “sentito il Consiglio di Stato”, i provvedimenti viziati da violazione di legge, incompetenza o eccesso di potere. Evidentemente si trattava della previsione di un potere di annullamento che s’inseriva in un contesto ordinamentale centralistico nel quale gli Enti locali dovevano ritenersi amministrazioni indirette dello Stato. </w:t>
      </w:r>
    </w:p>
    <w:p w14:paraId="5C25ADDB" w14:textId="704534F0" w:rsidR="006F3541" w:rsidRPr="00E9174D" w:rsidRDefault="00153D1B" w:rsidP="00E41FB6">
      <w:pPr>
        <w:spacing w:line="320" w:lineRule="exact"/>
        <w:ind w:firstLine="426"/>
        <w:jc w:val="both"/>
        <w:rPr>
          <w:rFonts w:ascii="Garamond" w:hAnsi="Garamond" w:cs="Arial"/>
          <w:sz w:val="25"/>
          <w:szCs w:val="25"/>
        </w:rPr>
      </w:pPr>
      <w:r w:rsidRPr="00E9174D">
        <w:rPr>
          <w:rFonts w:ascii="Garamond" w:hAnsi="Garamond" w:cs="Arial"/>
          <w:sz w:val="25"/>
          <w:szCs w:val="25"/>
        </w:rPr>
        <w:t>Tale disposizione, pur non espressamente abrogata, è stata superata e attualizzata</w:t>
      </w:r>
      <w:r w:rsidR="00CF229A" w:rsidRPr="00E9174D">
        <w:rPr>
          <w:rFonts w:ascii="Garamond" w:hAnsi="Garamond" w:cs="Arial"/>
          <w:sz w:val="25"/>
          <w:szCs w:val="25"/>
        </w:rPr>
        <w:t>, nel sistema costituzionale,</w:t>
      </w:r>
      <w:r w:rsidRPr="00E9174D">
        <w:rPr>
          <w:rFonts w:ascii="Garamond" w:hAnsi="Garamond" w:cs="Arial"/>
          <w:sz w:val="25"/>
          <w:szCs w:val="25"/>
        </w:rPr>
        <w:t xml:space="preserve"> dall’art. 2, 3° comma, let. p) della l. 23.8.1988 n. 400, che ha attribuito espressamente al Consiglio dei Ministri (in applicazione del diritto vivente formatosi a partire dalla Ad. Pl. n. 6.12.1968 n. 30)</w:t>
      </w:r>
      <w:r w:rsidR="006F3541" w:rsidRPr="00E9174D">
        <w:rPr>
          <w:rFonts w:ascii="Garamond" w:hAnsi="Garamond" w:cs="Arial"/>
          <w:sz w:val="25"/>
          <w:szCs w:val="25"/>
        </w:rPr>
        <w:t>, “a tutela dell’unità dell’ordinamento”,</w:t>
      </w:r>
      <w:r w:rsidR="00662724" w:rsidRPr="00E9174D">
        <w:rPr>
          <w:rFonts w:ascii="Garamond" w:hAnsi="Garamond" w:cs="Arial"/>
          <w:sz w:val="25"/>
          <w:szCs w:val="25"/>
        </w:rPr>
        <w:t xml:space="preserve"> il potere di annullamento degli atti amministrativi illegittimi</w:t>
      </w:r>
      <w:r w:rsidR="00A869D2" w:rsidRPr="00E9174D">
        <w:rPr>
          <w:rFonts w:ascii="Garamond" w:hAnsi="Garamond" w:cs="Arial"/>
          <w:sz w:val="25"/>
          <w:szCs w:val="25"/>
        </w:rPr>
        <w:t xml:space="preserve"> (di qualsiasi amministrazione pubblica)</w:t>
      </w:r>
      <w:r w:rsidR="00662724" w:rsidRPr="00E9174D">
        <w:rPr>
          <w:rFonts w:ascii="Garamond" w:hAnsi="Garamond" w:cs="Arial"/>
          <w:sz w:val="25"/>
          <w:szCs w:val="25"/>
        </w:rPr>
        <w:t>, previo parere del Consiglio di Stato e</w:t>
      </w:r>
      <w:r w:rsidR="006F3541" w:rsidRPr="00E9174D">
        <w:rPr>
          <w:rFonts w:ascii="Garamond" w:hAnsi="Garamond" w:cs="Arial"/>
          <w:sz w:val="25"/>
          <w:szCs w:val="25"/>
        </w:rPr>
        <w:t>,</w:t>
      </w:r>
      <w:r w:rsidR="00662724" w:rsidRPr="00E9174D">
        <w:rPr>
          <w:rFonts w:ascii="Garamond" w:hAnsi="Garamond" w:cs="Arial"/>
          <w:sz w:val="25"/>
          <w:szCs w:val="25"/>
        </w:rPr>
        <w:t xml:space="preserve"> nei soli casi di annullamento dei provvedimenti delle Regi</w:t>
      </w:r>
      <w:r w:rsidR="006F3541" w:rsidRPr="00E9174D">
        <w:rPr>
          <w:rFonts w:ascii="Garamond" w:hAnsi="Garamond" w:cs="Arial"/>
          <w:sz w:val="25"/>
          <w:szCs w:val="25"/>
        </w:rPr>
        <w:t xml:space="preserve">oni e delle Provincie autonome, </w:t>
      </w:r>
      <w:r w:rsidR="00662724" w:rsidRPr="00E9174D">
        <w:rPr>
          <w:rFonts w:ascii="Garamond" w:hAnsi="Garamond" w:cs="Arial"/>
          <w:sz w:val="25"/>
          <w:szCs w:val="25"/>
        </w:rPr>
        <w:t>anche della Commissione parlamentare per le questioni regionali (per quanto la Corte costituzionale</w:t>
      </w:r>
      <w:r w:rsidR="006F3541" w:rsidRPr="00E9174D">
        <w:rPr>
          <w:rFonts w:ascii="Garamond" w:hAnsi="Garamond" w:cs="Arial"/>
          <w:sz w:val="25"/>
          <w:szCs w:val="25"/>
        </w:rPr>
        <w:t xml:space="preserve"> con la sentenza n. 229/1989</w:t>
      </w:r>
      <w:r w:rsidR="00662724" w:rsidRPr="00E9174D">
        <w:rPr>
          <w:rFonts w:ascii="Garamond" w:hAnsi="Garamond" w:cs="Arial"/>
          <w:sz w:val="25"/>
          <w:szCs w:val="25"/>
        </w:rPr>
        <w:t xml:space="preserve"> abbia dichiarato incostituzionale la disposizione proprio nella parte in cui prevedeva l’annullamento</w:t>
      </w:r>
      <w:r w:rsidR="006F3541" w:rsidRPr="00E9174D">
        <w:rPr>
          <w:rFonts w:ascii="Garamond" w:hAnsi="Garamond" w:cs="Arial"/>
          <w:sz w:val="25"/>
          <w:szCs w:val="25"/>
        </w:rPr>
        <w:t xml:space="preserve"> dei provvedimenti delle Regioni, ritenendo lesa l’autonomia regionale).</w:t>
      </w:r>
    </w:p>
    <w:p w14:paraId="759CCD30" w14:textId="3933F81A" w:rsidR="00662724" w:rsidRPr="00E9174D" w:rsidRDefault="00711376" w:rsidP="00E41FB6">
      <w:pPr>
        <w:spacing w:line="320" w:lineRule="exact"/>
        <w:ind w:firstLine="426"/>
        <w:jc w:val="both"/>
        <w:rPr>
          <w:rFonts w:ascii="Garamond" w:hAnsi="Garamond" w:cs="Arial"/>
          <w:sz w:val="25"/>
          <w:szCs w:val="25"/>
        </w:rPr>
      </w:pPr>
      <w:r w:rsidRPr="00E9174D">
        <w:rPr>
          <w:rFonts w:ascii="Garamond" w:hAnsi="Garamond" w:cs="Arial"/>
          <w:sz w:val="25"/>
          <w:szCs w:val="25"/>
        </w:rPr>
        <w:t>L’art. 138 Dlgs. n. 267/2000 (TUEL)</w:t>
      </w:r>
      <w:r w:rsidRPr="00E9174D">
        <w:rPr>
          <w:rStyle w:val="Rimandonotaapidipagina"/>
          <w:rFonts w:ascii="Garamond" w:hAnsi="Garamond" w:cs="Arial"/>
          <w:sz w:val="25"/>
          <w:szCs w:val="25"/>
        </w:rPr>
        <w:footnoteReference w:id="2"/>
      </w:r>
      <w:r w:rsidRPr="00E9174D">
        <w:rPr>
          <w:rFonts w:ascii="Garamond" w:hAnsi="Garamond" w:cs="Arial"/>
          <w:sz w:val="25"/>
          <w:szCs w:val="25"/>
        </w:rPr>
        <w:t>, i</w:t>
      </w:r>
      <w:r w:rsidR="006F3541" w:rsidRPr="00E9174D">
        <w:rPr>
          <w:rFonts w:ascii="Garamond" w:hAnsi="Garamond" w:cs="Arial"/>
          <w:sz w:val="25"/>
          <w:szCs w:val="25"/>
        </w:rPr>
        <w:t>n specifica applicazione d</w:t>
      </w:r>
      <w:r w:rsidR="00CF229A" w:rsidRPr="00E9174D">
        <w:rPr>
          <w:rFonts w:ascii="Garamond" w:hAnsi="Garamond" w:cs="Arial"/>
          <w:sz w:val="25"/>
          <w:szCs w:val="25"/>
        </w:rPr>
        <w:t xml:space="preserve">ell’art. 2, 3° comma, let. p), </w:t>
      </w:r>
      <w:r w:rsidR="006F3541" w:rsidRPr="00E9174D">
        <w:rPr>
          <w:rFonts w:ascii="Garamond" w:hAnsi="Garamond" w:cs="Arial"/>
          <w:sz w:val="25"/>
          <w:szCs w:val="25"/>
        </w:rPr>
        <w:t>ne ha riproposto il contenuto con riferimento ai p</w:t>
      </w:r>
      <w:r w:rsidR="00384E09" w:rsidRPr="00E9174D">
        <w:rPr>
          <w:rFonts w:ascii="Garamond" w:hAnsi="Garamond" w:cs="Arial"/>
          <w:sz w:val="25"/>
          <w:szCs w:val="25"/>
        </w:rPr>
        <w:t>rovvedimenti degli Enti locali (dovendo intendersi quelli elencati dall’art. 2 del TUEL: Comuni, Provincie, Città Metropolitane, Comunità Montane, Comunità isolane, Unione dei Comuni</w:t>
      </w:r>
      <w:r w:rsidR="00303B4E" w:rsidRPr="00E9174D">
        <w:rPr>
          <w:rFonts w:ascii="Garamond" w:hAnsi="Garamond" w:cs="Arial"/>
          <w:sz w:val="25"/>
          <w:szCs w:val="25"/>
        </w:rPr>
        <w:t>; un catalogo quindi più ampio di quello dell’art. 114 Cost.</w:t>
      </w:r>
      <w:r w:rsidR="005F1BA0" w:rsidRPr="00E9174D">
        <w:rPr>
          <w:rFonts w:ascii="Garamond" w:hAnsi="Garamond" w:cs="Arial"/>
          <w:sz w:val="25"/>
          <w:szCs w:val="25"/>
        </w:rPr>
        <w:t xml:space="preserve">); con specifico riferimento </w:t>
      </w:r>
      <w:r w:rsidR="00B2329F" w:rsidRPr="00E9174D">
        <w:rPr>
          <w:rFonts w:ascii="Garamond" w:hAnsi="Garamond" w:cs="Arial"/>
          <w:sz w:val="25"/>
          <w:szCs w:val="25"/>
        </w:rPr>
        <w:t xml:space="preserve">ai provvedimenti del Comune possono dirsi oggetto dell’annullamento straordinario tutti gli atti sia degli organi politici (Sindaco, Giunta, Consiglio) sia degli organi amministrativi. </w:t>
      </w:r>
    </w:p>
    <w:p w14:paraId="2D60F347" w14:textId="5E52648C" w:rsidR="00CF229A" w:rsidRPr="00E9174D" w:rsidRDefault="00CF229A" w:rsidP="00E41FB6">
      <w:pPr>
        <w:spacing w:line="320" w:lineRule="exact"/>
        <w:ind w:firstLine="426"/>
        <w:jc w:val="both"/>
        <w:rPr>
          <w:rFonts w:ascii="Garamond" w:hAnsi="Garamond" w:cs="Arial"/>
          <w:sz w:val="25"/>
          <w:szCs w:val="25"/>
        </w:rPr>
      </w:pPr>
      <w:r w:rsidRPr="00E9174D">
        <w:rPr>
          <w:rFonts w:ascii="Garamond" w:hAnsi="Garamond" w:cs="Arial"/>
          <w:sz w:val="25"/>
          <w:szCs w:val="25"/>
        </w:rPr>
        <w:t>In sintesi,</w:t>
      </w:r>
      <w:r w:rsidR="00384E09" w:rsidRPr="00E9174D">
        <w:rPr>
          <w:rFonts w:ascii="Garamond" w:hAnsi="Garamond" w:cs="Arial"/>
          <w:sz w:val="25"/>
          <w:szCs w:val="25"/>
        </w:rPr>
        <w:t xml:space="preserve"> </w:t>
      </w:r>
      <w:r w:rsidRPr="00E9174D">
        <w:rPr>
          <w:rFonts w:ascii="Garamond" w:hAnsi="Garamond" w:cs="Arial"/>
          <w:sz w:val="25"/>
          <w:szCs w:val="25"/>
        </w:rPr>
        <w:t>la disposizione</w:t>
      </w:r>
      <w:r w:rsidR="00384E09" w:rsidRPr="00E9174D">
        <w:rPr>
          <w:rFonts w:ascii="Garamond" w:hAnsi="Garamond" w:cs="Arial"/>
          <w:sz w:val="25"/>
          <w:szCs w:val="25"/>
        </w:rPr>
        <w:t xml:space="preserve"> prevede sotto il profilo </w:t>
      </w:r>
      <w:r w:rsidR="00384E09" w:rsidRPr="00E9174D">
        <w:rPr>
          <w:rFonts w:ascii="Garamond" w:hAnsi="Garamond" w:cs="Arial"/>
          <w:i/>
          <w:sz w:val="25"/>
          <w:szCs w:val="25"/>
        </w:rPr>
        <w:t>procedimentale</w:t>
      </w:r>
      <w:r w:rsidRPr="00E9174D">
        <w:rPr>
          <w:rFonts w:ascii="Garamond" w:hAnsi="Garamond" w:cs="Arial"/>
          <w:sz w:val="25"/>
          <w:szCs w:val="25"/>
        </w:rPr>
        <w:t xml:space="preserve">: a) la proposta di annullamento del Ministro dell’Interno; b) il parere del Consiglio di Stato, da ritenersi obbligatorio ma non vincolante; c) la deliberazione del Consiglio dei Ministri; d) il Decreto </w:t>
      </w:r>
      <w:r w:rsidR="00384E09" w:rsidRPr="00E9174D">
        <w:rPr>
          <w:rFonts w:ascii="Garamond" w:hAnsi="Garamond" w:cs="Arial"/>
          <w:sz w:val="25"/>
          <w:szCs w:val="25"/>
        </w:rPr>
        <w:t>del Presidente della Repubblica; sotto</w:t>
      </w:r>
      <w:r w:rsidRPr="00E9174D">
        <w:rPr>
          <w:rFonts w:ascii="Garamond" w:hAnsi="Garamond" w:cs="Arial"/>
          <w:sz w:val="25"/>
          <w:szCs w:val="25"/>
        </w:rPr>
        <w:t xml:space="preserve"> </w:t>
      </w:r>
      <w:r w:rsidR="00384E09" w:rsidRPr="00E9174D">
        <w:rPr>
          <w:rFonts w:ascii="Garamond" w:hAnsi="Garamond" w:cs="Arial"/>
          <w:sz w:val="25"/>
          <w:szCs w:val="25"/>
        </w:rPr>
        <w:t xml:space="preserve">il profilo </w:t>
      </w:r>
      <w:r w:rsidR="00384E09" w:rsidRPr="00E9174D">
        <w:rPr>
          <w:rFonts w:ascii="Garamond" w:hAnsi="Garamond" w:cs="Arial"/>
          <w:i/>
          <w:sz w:val="25"/>
          <w:szCs w:val="25"/>
        </w:rPr>
        <w:t>teleologico</w:t>
      </w:r>
      <w:r w:rsidR="00B44E8F" w:rsidRPr="00E9174D">
        <w:rPr>
          <w:rFonts w:ascii="Garamond" w:hAnsi="Garamond" w:cs="Arial"/>
          <w:i/>
          <w:sz w:val="25"/>
          <w:szCs w:val="25"/>
        </w:rPr>
        <w:t xml:space="preserve"> </w:t>
      </w:r>
      <w:r w:rsidR="00B44E8F" w:rsidRPr="00E9174D">
        <w:rPr>
          <w:rFonts w:ascii="Garamond" w:hAnsi="Garamond" w:cs="Arial"/>
          <w:sz w:val="25"/>
          <w:szCs w:val="25"/>
        </w:rPr>
        <w:t>esige, invece,</w:t>
      </w:r>
      <w:r w:rsidR="00B77093" w:rsidRPr="00E9174D">
        <w:rPr>
          <w:rFonts w:ascii="Garamond" w:hAnsi="Garamond" w:cs="Arial"/>
          <w:sz w:val="25"/>
          <w:szCs w:val="25"/>
        </w:rPr>
        <w:t xml:space="preserve"> </w:t>
      </w:r>
      <w:r w:rsidR="00B44E8F" w:rsidRPr="00E9174D">
        <w:rPr>
          <w:rFonts w:ascii="Garamond" w:hAnsi="Garamond" w:cs="Arial"/>
          <w:sz w:val="25"/>
          <w:szCs w:val="25"/>
        </w:rPr>
        <w:t xml:space="preserve">la sussistenza di </w:t>
      </w:r>
      <w:r w:rsidR="00B77093" w:rsidRPr="00E9174D">
        <w:rPr>
          <w:rFonts w:ascii="Garamond" w:hAnsi="Garamond" w:cs="Arial"/>
          <w:sz w:val="25"/>
          <w:szCs w:val="25"/>
        </w:rPr>
        <w:t xml:space="preserve">un </w:t>
      </w:r>
      <w:r w:rsidR="00384E09" w:rsidRPr="00E9174D">
        <w:rPr>
          <w:rFonts w:ascii="Garamond" w:hAnsi="Garamond" w:cs="Arial"/>
          <w:sz w:val="25"/>
          <w:szCs w:val="25"/>
        </w:rPr>
        <w:t>interesse pubblico ulteriore, rispetto al mero riprist</w:t>
      </w:r>
      <w:r w:rsidR="00CD60BA" w:rsidRPr="00E9174D">
        <w:rPr>
          <w:rFonts w:ascii="Garamond" w:hAnsi="Garamond" w:cs="Arial"/>
          <w:sz w:val="25"/>
          <w:szCs w:val="25"/>
        </w:rPr>
        <w:t>ino della legalità (che legittimava, invece,</w:t>
      </w:r>
      <w:r w:rsidR="00384E09" w:rsidRPr="00E9174D">
        <w:rPr>
          <w:rFonts w:ascii="Garamond" w:hAnsi="Garamond" w:cs="Arial"/>
          <w:sz w:val="25"/>
          <w:szCs w:val="25"/>
        </w:rPr>
        <w:t xml:space="preserve"> il potere di annullamento </w:t>
      </w:r>
      <w:r w:rsidR="00384E09" w:rsidRPr="00E9174D">
        <w:rPr>
          <w:rFonts w:ascii="Garamond" w:hAnsi="Garamond" w:cs="Arial"/>
          <w:i/>
          <w:sz w:val="25"/>
          <w:szCs w:val="25"/>
        </w:rPr>
        <w:t>ex</w:t>
      </w:r>
      <w:r w:rsidR="00384E09" w:rsidRPr="00E9174D">
        <w:rPr>
          <w:rFonts w:ascii="Garamond" w:hAnsi="Garamond" w:cs="Arial"/>
          <w:sz w:val="25"/>
          <w:szCs w:val="25"/>
        </w:rPr>
        <w:t xml:space="preserve"> art. 6 r.d. n. 383/1934), ossia quello alla tutela dell’unità dell’ordi</w:t>
      </w:r>
      <w:r w:rsidR="00303B4E" w:rsidRPr="00E9174D">
        <w:rPr>
          <w:rFonts w:ascii="Garamond" w:hAnsi="Garamond" w:cs="Arial"/>
          <w:sz w:val="25"/>
          <w:szCs w:val="25"/>
        </w:rPr>
        <w:t>namento giuridico, che configura</w:t>
      </w:r>
      <w:r w:rsidR="00384E09" w:rsidRPr="00E9174D">
        <w:rPr>
          <w:rFonts w:ascii="Garamond" w:hAnsi="Garamond" w:cs="Arial"/>
          <w:sz w:val="25"/>
          <w:szCs w:val="25"/>
        </w:rPr>
        <w:t xml:space="preserve"> </w:t>
      </w:r>
      <w:r w:rsidR="00303B4E" w:rsidRPr="00E9174D">
        <w:rPr>
          <w:rFonts w:ascii="Garamond" w:hAnsi="Garamond" w:cs="Arial"/>
          <w:sz w:val="25"/>
          <w:szCs w:val="25"/>
        </w:rPr>
        <w:t xml:space="preserve">il </w:t>
      </w:r>
      <w:r w:rsidR="00384E09" w:rsidRPr="00E9174D">
        <w:rPr>
          <w:rFonts w:ascii="Garamond" w:hAnsi="Garamond" w:cs="Arial"/>
          <w:sz w:val="25"/>
          <w:szCs w:val="25"/>
        </w:rPr>
        <w:t>potere di annullamento straordinario come un potere esercitabile “in qualunque tempo”</w:t>
      </w:r>
      <w:r w:rsidR="002717F8" w:rsidRPr="00E9174D">
        <w:rPr>
          <w:rFonts w:ascii="Garamond" w:hAnsi="Garamond" w:cs="Arial"/>
          <w:sz w:val="25"/>
          <w:szCs w:val="25"/>
        </w:rPr>
        <w:t xml:space="preserve">. </w:t>
      </w:r>
      <w:r w:rsidR="00384E09" w:rsidRPr="00E9174D">
        <w:rPr>
          <w:rFonts w:ascii="Garamond" w:hAnsi="Garamond" w:cs="Arial"/>
          <w:sz w:val="25"/>
          <w:szCs w:val="25"/>
        </w:rPr>
        <w:t xml:space="preserve"> </w:t>
      </w:r>
    </w:p>
    <w:p w14:paraId="7237BD49" w14:textId="77777777" w:rsidR="00384E09" w:rsidRPr="00E9174D" w:rsidRDefault="00384E09" w:rsidP="00E41FB6">
      <w:pPr>
        <w:spacing w:line="320" w:lineRule="exact"/>
        <w:ind w:firstLine="426"/>
        <w:jc w:val="both"/>
        <w:rPr>
          <w:rFonts w:ascii="Garamond" w:hAnsi="Garamond" w:cs="Arial"/>
          <w:sz w:val="25"/>
          <w:szCs w:val="25"/>
        </w:rPr>
      </w:pPr>
    </w:p>
    <w:p w14:paraId="02DD75F5" w14:textId="77777777" w:rsidR="00916FCB" w:rsidRPr="00E9174D" w:rsidRDefault="00916FCB" w:rsidP="00E41FB6">
      <w:pPr>
        <w:spacing w:line="320" w:lineRule="exact"/>
        <w:ind w:firstLine="426"/>
        <w:jc w:val="both"/>
        <w:rPr>
          <w:rFonts w:ascii="Garamond" w:hAnsi="Garamond" w:cs="Arial"/>
          <w:sz w:val="25"/>
          <w:szCs w:val="25"/>
        </w:rPr>
      </w:pPr>
    </w:p>
    <w:p w14:paraId="539CAFDC" w14:textId="2DF0F0B2" w:rsidR="00384E09" w:rsidRPr="00E9174D" w:rsidRDefault="00102491" w:rsidP="00E41FB6">
      <w:pPr>
        <w:spacing w:line="320" w:lineRule="exact"/>
        <w:ind w:firstLine="426"/>
        <w:jc w:val="both"/>
        <w:rPr>
          <w:rFonts w:ascii="Garamond" w:hAnsi="Garamond" w:cs="Arial"/>
          <w:sz w:val="25"/>
          <w:szCs w:val="25"/>
        </w:rPr>
      </w:pPr>
      <w:r w:rsidRPr="00E9174D">
        <w:rPr>
          <w:rFonts w:ascii="Garamond" w:hAnsi="Garamond" w:cs="Arial"/>
          <w:sz w:val="25"/>
          <w:szCs w:val="25"/>
        </w:rPr>
        <w:t xml:space="preserve">3. </w:t>
      </w:r>
      <w:r w:rsidR="004941F0" w:rsidRPr="00E9174D">
        <w:rPr>
          <w:rFonts w:ascii="Garamond" w:hAnsi="Garamond" w:cs="Arial"/>
          <w:i/>
          <w:sz w:val="25"/>
          <w:szCs w:val="25"/>
        </w:rPr>
        <w:t>La vigenza</w:t>
      </w:r>
      <w:r w:rsidRPr="00E9174D">
        <w:rPr>
          <w:rFonts w:ascii="Garamond" w:hAnsi="Garamond" w:cs="Arial"/>
          <w:i/>
          <w:sz w:val="25"/>
          <w:szCs w:val="25"/>
        </w:rPr>
        <w:t xml:space="preserve"> dell’art. 138 TUEL</w:t>
      </w:r>
      <w:r w:rsidR="0095602C" w:rsidRPr="00E9174D">
        <w:rPr>
          <w:rFonts w:ascii="Garamond" w:hAnsi="Garamond" w:cs="Arial"/>
          <w:i/>
          <w:sz w:val="25"/>
          <w:szCs w:val="25"/>
        </w:rPr>
        <w:t xml:space="preserve"> </w:t>
      </w:r>
      <w:r w:rsidRPr="00E9174D">
        <w:rPr>
          <w:rFonts w:ascii="Garamond" w:hAnsi="Garamond" w:cs="Arial"/>
          <w:i/>
          <w:sz w:val="25"/>
          <w:szCs w:val="25"/>
        </w:rPr>
        <w:t>dopo la riforma del Titolo V</w:t>
      </w:r>
    </w:p>
    <w:p w14:paraId="02208EFA" w14:textId="77777777" w:rsidR="00102491" w:rsidRPr="00E9174D" w:rsidRDefault="00102491" w:rsidP="00E41FB6">
      <w:pPr>
        <w:spacing w:line="320" w:lineRule="exact"/>
        <w:ind w:firstLine="426"/>
        <w:jc w:val="both"/>
        <w:rPr>
          <w:rFonts w:ascii="Garamond" w:hAnsi="Garamond" w:cs="Arial"/>
          <w:sz w:val="25"/>
          <w:szCs w:val="25"/>
        </w:rPr>
      </w:pPr>
    </w:p>
    <w:p w14:paraId="01F4FF99" w14:textId="43698963" w:rsidR="00DE00EE" w:rsidRPr="00E9174D" w:rsidRDefault="00E36708" w:rsidP="00E41FB6">
      <w:pPr>
        <w:spacing w:line="320" w:lineRule="exact"/>
        <w:ind w:firstLine="426"/>
        <w:jc w:val="both"/>
        <w:rPr>
          <w:rFonts w:ascii="Garamond" w:hAnsi="Garamond" w:cs="Arial"/>
          <w:sz w:val="25"/>
          <w:szCs w:val="25"/>
        </w:rPr>
      </w:pPr>
      <w:r w:rsidRPr="00E9174D">
        <w:rPr>
          <w:rFonts w:ascii="Garamond" w:hAnsi="Garamond" w:cs="Arial"/>
          <w:sz w:val="25"/>
          <w:szCs w:val="25"/>
        </w:rPr>
        <w:t>Il Consiglio di Stato ha quindi in via preliminare</w:t>
      </w:r>
      <w:r w:rsidR="00303B4E" w:rsidRPr="00E9174D">
        <w:rPr>
          <w:rFonts w:ascii="Garamond" w:hAnsi="Garamond" w:cs="Arial"/>
          <w:sz w:val="25"/>
          <w:szCs w:val="25"/>
        </w:rPr>
        <w:t xml:space="preserve"> (par. 4)</w:t>
      </w:r>
      <w:r w:rsidRPr="00E9174D">
        <w:rPr>
          <w:rFonts w:ascii="Garamond" w:hAnsi="Garamond" w:cs="Arial"/>
          <w:sz w:val="25"/>
          <w:szCs w:val="25"/>
        </w:rPr>
        <w:t xml:space="preserve"> riconosciuto la perdurante attualità e vigenza del potere straordinario di annullamento dei provvedimenti degli Enti locali, “pur dopo” la riforma del Titolo V della II Parte della Costituzione, “in quanto compatibile con le prerogative riconosciute agli Enti locali, se applicate nelle materie riservate alla competenze esclusiva dello Stato” (citando alcuni precedenti della I sezione: pareri nn. 1588/2010, 1675/2009, 1796/2008, 1707/2007, 1481/2006, 9771/2005, 1313/2003). Tale orientamento è stato confermato </w:t>
      </w:r>
      <w:r w:rsidRPr="00E9174D">
        <w:rPr>
          <w:rFonts w:ascii="Garamond" w:hAnsi="Garamond" w:cs="Arial"/>
          <w:i/>
          <w:sz w:val="25"/>
          <w:szCs w:val="25"/>
        </w:rPr>
        <w:t>a fortiori</w:t>
      </w:r>
      <w:r w:rsidRPr="00E9174D">
        <w:rPr>
          <w:rFonts w:ascii="Garamond" w:hAnsi="Garamond" w:cs="Arial"/>
          <w:sz w:val="25"/>
          <w:szCs w:val="25"/>
        </w:rPr>
        <w:t xml:space="preserve"> in una situazione di emergenza sanitaria, nella quale l’esigenza di tutela dell’unità de</w:t>
      </w:r>
      <w:r w:rsidR="00CA4ECD" w:rsidRPr="00E9174D">
        <w:rPr>
          <w:rFonts w:ascii="Garamond" w:hAnsi="Garamond" w:cs="Arial"/>
          <w:sz w:val="25"/>
          <w:szCs w:val="25"/>
        </w:rPr>
        <w:t xml:space="preserve">ll’ordinamento giuridico si impone in modo ancor più intenso. </w:t>
      </w:r>
    </w:p>
    <w:p w14:paraId="2EFE2F74" w14:textId="10B123D9" w:rsidR="00DE00EE" w:rsidRPr="00E9174D" w:rsidRDefault="00DE00EE" w:rsidP="00E41FB6">
      <w:pPr>
        <w:spacing w:line="320" w:lineRule="exact"/>
        <w:ind w:firstLine="426"/>
        <w:jc w:val="both"/>
        <w:rPr>
          <w:rFonts w:ascii="Garamond" w:hAnsi="Garamond" w:cs="Arial"/>
          <w:sz w:val="25"/>
          <w:szCs w:val="25"/>
        </w:rPr>
      </w:pPr>
      <w:r w:rsidRPr="00E9174D">
        <w:rPr>
          <w:rFonts w:ascii="Garamond" w:hAnsi="Garamond" w:cs="Arial"/>
          <w:sz w:val="25"/>
          <w:szCs w:val="25"/>
        </w:rPr>
        <w:t>Il parere quind</w:t>
      </w:r>
      <w:r w:rsidR="003C2F65" w:rsidRPr="00E9174D">
        <w:rPr>
          <w:rFonts w:ascii="Garamond" w:hAnsi="Garamond" w:cs="Arial"/>
          <w:sz w:val="25"/>
          <w:szCs w:val="25"/>
        </w:rPr>
        <w:t>i assume come risolta</w:t>
      </w:r>
      <w:r w:rsidRPr="00E9174D">
        <w:rPr>
          <w:rFonts w:ascii="Garamond" w:hAnsi="Garamond" w:cs="Arial"/>
          <w:sz w:val="25"/>
          <w:szCs w:val="25"/>
        </w:rPr>
        <w:t>, in continuità</w:t>
      </w:r>
      <w:r w:rsidR="00545897" w:rsidRPr="00E9174D">
        <w:rPr>
          <w:rFonts w:ascii="Garamond" w:hAnsi="Garamond" w:cs="Arial"/>
          <w:sz w:val="25"/>
          <w:szCs w:val="25"/>
        </w:rPr>
        <w:t xml:space="preserve"> </w:t>
      </w:r>
      <w:r w:rsidRPr="00E9174D">
        <w:rPr>
          <w:rFonts w:ascii="Garamond" w:hAnsi="Garamond" w:cs="Arial"/>
          <w:sz w:val="25"/>
          <w:szCs w:val="25"/>
        </w:rPr>
        <w:t xml:space="preserve">con i precedenti </w:t>
      </w:r>
      <w:r w:rsidR="00545897" w:rsidRPr="00E9174D">
        <w:rPr>
          <w:rFonts w:ascii="Garamond" w:hAnsi="Garamond" w:cs="Arial"/>
          <w:sz w:val="25"/>
          <w:szCs w:val="25"/>
        </w:rPr>
        <w:t>della Sezione, senza una particolare diffusione motivazionale (vista anche la ristrettezza dei tempi i</w:t>
      </w:r>
      <w:r w:rsidR="003C2F65" w:rsidRPr="00E9174D">
        <w:rPr>
          <w:rFonts w:ascii="Garamond" w:hAnsi="Garamond" w:cs="Arial"/>
          <w:sz w:val="25"/>
          <w:szCs w:val="25"/>
        </w:rPr>
        <w:t xml:space="preserve">n cui il parere è stato reso), </w:t>
      </w:r>
      <w:r w:rsidR="00545897" w:rsidRPr="00E9174D">
        <w:rPr>
          <w:rFonts w:ascii="Garamond" w:hAnsi="Garamond" w:cs="Arial"/>
          <w:sz w:val="25"/>
          <w:szCs w:val="25"/>
        </w:rPr>
        <w:t>una problematica complessa.</w:t>
      </w:r>
    </w:p>
    <w:p w14:paraId="244E5889" w14:textId="7194B150" w:rsidR="00CA4ECD" w:rsidRPr="00E9174D" w:rsidRDefault="00CA4ECD" w:rsidP="00E41FB6">
      <w:pPr>
        <w:spacing w:line="320" w:lineRule="exact"/>
        <w:ind w:firstLine="426"/>
        <w:jc w:val="both"/>
        <w:rPr>
          <w:rFonts w:ascii="Garamond" w:hAnsi="Garamond" w:cs="Arial"/>
          <w:sz w:val="25"/>
          <w:szCs w:val="25"/>
        </w:rPr>
      </w:pPr>
      <w:r w:rsidRPr="00E9174D">
        <w:rPr>
          <w:rFonts w:ascii="Garamond" w:hAnsi="Garamond" w:cs="Arial"/>
          <w:sz w:val="25"/>
          <w:szCs w:val="25"/>
        </w:rPr>
        <w:t xml:space="preserve">In realtà </w:t>
      </w:r>
      <w:r w:rsidR="00493347" w:rsidRPr="00E9174D">
        <w:rPr>
          <w:rFonts w:ascii="Garamond" w:hAnsi="Garamond" w:cs="Arial"/>
          <w:sz w:val="25"/>
          <w:szCs w:val="25"/>
        </w:rPr>
        <w:t xml:space="preserve">deve rilevarsi </w:t>
      </w:r>
      <w:r w:rsidRPr="00E9174D">
        <w:rPr>
          <w:rFonts w:ascii="Garamond" w:hAnsi="Garamond" w:cs="Arial"/>
          <w:sz w:val="25"/>
          <w:szCs w:val="25"/>
        </w:rPr>
        <w:t>come non</w:t>
      </w:r>
      <w:r w:rsidR="003C2F65" w:rsidRPr="00E9174D">
        <w:rPr>
          <w:rFonts w:ascii="Garamond" w:hAnsi="Garamond" w:cs="Arial"/>
          <w:sz w:val="25"/>
          <w:szCs w:val="25"/>
        </w:rPr>
        <w:t xml:space="preserve"> fosse del tutto</w:t>
      </w:r>
      <w:r w:rsidR="00B83050" w:rsidRPr="00E9174D">
        <w:rPr>
          <w:rFonts w:ascii="Garamond" w:hAnsi="Garamond" w:cs="Arial"/>
          <w:sz w:val="25"/>
          <w:szCs w:val="25"/>
        </w:rPr>
        <w:t xml:space="preserve"> pacifica</w:t>
      </w:r>
      <w:r w:rsidR="0095602C" w:rsidRPr="00E9174D">
        <w:rPr>
          <w:rFonts w:ascii="Garamond" w:hAnsi="Garamond" w:cs="Arial"/>
          <w:sz w:val="25"/>
          <w:szCs w:val="25"/>
        </w:rPr>
        <w:t xml:space="preserve"> </w:t>
      </w:r>
      <w:r w:rsidRPr="00E9174D">
        <w:rPr>
          <w:rFonts w:ascii="Garamond" w:hAnsi="Garamond" w:cs="Arial"/>
          <w:sz w:val="25"/>
          <w:szCs w:val="25"/>
        </w:rPr>
        <w:t>la sopravvivenza</w:t>
      </w:r>
      <w:r w:rsidR="00DE00EE" w:rsidRPr="00E9174D">
        <w:rPr>
          <w:rFonts w:ascii="Garamond" w:hAnsi="Garamond" w:cs="Arial"/>
          <w:sz w:val="25"/>
          <w:szCs w:val="25"/>
        </w:rPr>
        <w:t xml:space="preserve"> </w:t>
      </w:r>
      <w:r w:rsidRPr="00E9174D">
        <w:rPr>
          <w:rFonts w:ascii="Garamond" w:hAnsi="Garamond" w:cs="Arial"/>
          <w:sz w:val="25"/>
          <w:szCs w:val="25"/>
        </w:rPr>
        <w:t>dell’art. 138 TUEL alla l. cost. n. 3/2001</w:t>
      </w:r>
      <w:r w:rsidR="00B83050" w:rsidRPr="00E9174D">
        <w:rPr>
          <w:rFonts w:ascii="Garamond" w:hAnsi="Garamond" w:cs="Arial"/>
          <w:sz w:val="25"/>
          <w:szCs w:val="25"/>
        </w:rPr>
        <w:t xml:space="preserve"> e comunque </w:t>
      </w:r>
      <w:r w:rsidR="0095602C" w:rsidRPr="00E9174D">
        <w:rPr>
          <w:rFonts w:ascii="Garamond" w:hAnsi="Garamond" w:cs="Arial"/>
          <w:sz w:val="25"/>
          <w:szCs w:val="25"/>
        </w:rPr>
        <w:t xml:space="preserve">come rimanga critica </w:t>
      </w:r>
      <w:r w:rsidR="00B83050" w:rsidRPr="00E9174D">
        <w:rPr>
          <w:rFonts w:ascii="Garamond" w:hAnsi="Garamond" w:cs="Arial"/>
          <w:sz w:val="25"/>
          <w:szCs w:val="25"/>
        </w:rPr>
        <w:t>la sua conformità all’attuale quadro costituzionale</w:t>
      </w:r>
      <w:r w:rsidRPr="00E9174D">
        <w:rPr>
          <w:rFonts w:ascii="Garamond" w:hAnsi="Garamond" w:cs="Arial"/>
          <w:sz w:val="25"/>
          <w:szCs w:val="25"/>
        </w:rPr>
        <w:t>, posto che la costituzionalizzazione dell’autonomia degli Enti locali (art. 114 Cost.) ha indotto la dottrina</w:t>
      </w:r>
      <w:r w:rsidR="0025022E" w:rsidRPr="00E9174D">
        <w:rPr>
          <w:rStyle w:val="Rimandonotaapidipagina"/>
          <w:rFonts w:ascii="Garamond" w:hAnsi="Garamond" w:cs="Arial"/>
          <w:sz w:val="25"/>
          <w:szCs w:val="25"/>
        </w:rPr>
        <w:footnoteReference w:id="3"/>
      </w:r>
      <w:r w:rsidR="0025022E" w:rsidRPr="00E9174D">
        <w:rPr>
          <w:rFonts w:ascii="Garamond" w:hAnsi="Garamond" w:cs="Arial"/>
          <w:sz w:val="25"/>
          <w:szCs w:val="25"/>
        </w:rPr>
        <w:t>, anche</w:t>
      </w:r>
      <w:r w:rsidR="006D29F2" w:rsidRPr="00E9174D">
        <w:rPr>
          <w:rFonts w:ascii="Garamond" w:hAnsi="Garamond" w:cs="Arial"/>
          <w:sz w:val="25"/>
          <w:szCs w:val="25"/>
        </w:rPr>
        <w:t xml:space="preserve"> più</w:t>
      </w:r>
      <w:r w:rsidR="0025022E" w:rsidRPr="00E9174D">
        <w:rPr>
          <w:rFonts w:ascii="Garamond" w:hAnsi="Garamond" w:cs="Arial"/>
          <w:sz w:val="25"/>
          <w:szCs w:val="25"/>
        </w:rPr>
        <w:t xml:space="preserve"> di recente</w:t>
      </w:r>
      <w:r w:rsidR="0025022E" w:rsidRPr="00E9174D">
        <w:rPr>
          <w:rStyle w:val="Rimandonotaapidipagina"/>
          <w:rFonts w:ascii="Garamond" w:hAnsi="Garamond" w:cs="Arial"/>
          <w:sz w:val="25"/>
          <w:szCs w:val="25"/>
        </w:rPr>
        <w:footnoteReference w:id="4"/>
      </w:r>
      <w:r w:rsidR="0025022E" w:rsidRPr="00E9174D">
        <w:rPr>
          <w:rFonts w:ascii="Garamond" w:hAnsi="Garamond" w:cs="Arial"/>
          <w:sz w:val="25"/>
          <w:szCs w:val="25"/>
        </w:rPr>
        <w:t>,</w:t>
      </w:r>
      <w:r w:rsidR="00303B4E" w:rsidRPr="00E9174D">
        <w:rPr>
          <w:rFonts w:ascii="Garamond" w:hAnsi="Garamond" w:cs="Arial"/>
          <w:sz w:val="25"/>
          <w:szCs w:val="25"/>
        </w:rPr>
        <w:t xml:space="preserve"> </w:t>
      </w:r>
      <w:r w:rsidR="00DE00EE" w:rsidRPr="00E9174D">
        <w:rPr>
          <w:rFonts w:ascii="Garamond" w:hAnsi="Garamond" w:cs="Arial"/>
          <w:sz w:val="25"/>
          <w:szCs w:val="25"/>
        </w:rPr>
        <w:t>a ritenere tale disposizione implicitamente abrogata o a</w:t>
      </w:r>
      <w:r w:rsidRPr="00E9174D">
        <w:rPr>
          <w:rFonts w:ascii="Garamond" w:hAnsi="Garamond" w:cs="Arial"/>
          <w:sz w:val="25"/>
          <w:szCs w:val="25"/>
        </w:rPr>
        <w:t xml:space="preserve"> formulare considerazioni analoghe a quelle sulla base delle quali la Corte costituzionale (con la sentenza n. 229/1989) aveva dichiarato incostituzionale il potere di annullamento dei provvedimenti delle Regioni e delle Provincie autonome. </w:t>
      </w:r>
    </w:p>
    <w:p w14:paraId="26B7CC15" w14:textId="28D9AE9E" w:rsidR="00B83050" w:rsidRPr="00E9174D" w:rsidRDefault="00111A5D" w:rsidP="00E41FB6">
      <w:pPr>
        <w:spacing w:line="320" w:lineRule="exact"/>
        <w:ind w:firstLine="426"/>
        <w:jc w:val="both"/>
        <w:rPr>
          <w:rFonts w:ascii="Garamond" w:hAnsi="Garamond" w:cs="Arial"/>
          <w:sz w:val="25"/>
          <w:szCs w:val="25"/>
        </w:rPr>
      </w:pPr>
      <w:r w:rsidRPr="00E9174D">
        <w:rPr>
          <w:rFonts w:ascii="Garamond" w:hAnsi="Garamond" w:cs="Arial"/>
          <w:sz w:val="25"/>
          <w:szCs w:val="25"/>
        </w:rPr>
        <w:t xml:space="preserve">Il </w:t>
      </w:r>
      <w:r w:rsidR="00AE514C" w:rsidRPr="00E9174D">
        <w:rPr>
          <w:rFonts w:ascii="Garamond" w:hAnsi="Garamond" w:cs="Arial"/>
          <w:sz w:val="25"/>
          <w:szCs w:val="25"/>
        </w:rPr>
        <w:t xml:space="preserve">Consiglio di Stato </w:t>
      </w:r>
      <w:r w:rsidRPr="00E9174D">
        <w:rPr>
          <w:rFonts w:ascii="Garamond" w:hAnsi="Garamond" w:cs="Arial"/>
          <w:sz w:val="25"/>
          <w:szCs w:val="25"/>
        </w:rPr>
        <w:t>da subito ha ritenuto di sostenere</w:t>
      </w:r>
      <w:r w:rsidR="00AE514C" w:rsidRPr="00E9174D">
        <w:rPr>
          <w:rFonts w:ascii="Garamond" w:hAnsi="Garamond" w:cs="Arial"/>
          <w:sz w:val="25"/>
          <w:szCs w:val="25"/>
        </w:rPr>
        <w:t xml:space="preserve"> la</w:t>
      </w:r>
      <w:r w:rsidRPr="00E9174D">
        <w:rPr>
          <w:rFonts w:ascii="Garamond" w:hAnsi="Garamond" w:cs="Arial"/>
          <w:sz w:val="25"/>
          <w:szCs w:val="25"/>
        </w:rPr>
        <w:t xml:space="preserve"> tesi della</w:t>
      </w:r>
      <w:r w:rsidR="00AE514C" w:rsidRPr="00E9174D">
        <w:rPr>
          <w:rFonts w:ascii="Garamond" w:hAnsi="Garamond" w:cs="Arial"/>
          <w:sz w:val="25"/>
          <w:szCs w:val="25"/>
        </w:rPr>
        <w:t xml:space="preserve"> s</w:t>
      </w:r>
      <w:r w:rsidR="0095602C" w:rsidRPr="00E9174D">
        <w:rPr>
          <w:rFonts w:ascii="Garamond" w:hAnsi="Garamond" w:cs="Arial"/>
          <w:sz w:val="25"/>
          <w:szCs w:val="25"/>
        </w:rPr>
        <w:t xml:space="preserve">opravvivenza dell’art. 138 TUEL </w:t>
      </w:r>
      <w:r w:rsidRPr="00E9174D">
        <w:rPr>
          <w:rFonts w:ascii="Garamond" w:hAnsi="Garamond" w:cs="Arial"/>
          <w:sz w:val="25"/>
          <w:szCs w:val="25"/>
        </w:rPr>
        <w:t xml:space="preserve">sulla base </w:t>
      </w:r>
      <w:r w:rsidR="00C44D02" w:rsidRPr="00E9174D">
        <w:rPr>
          <w:rFonts w:ascii="Garamond" w:hAnsi="Garamond" w:cs="Arial"/>
          <w:sz w:val="25"/>
          <w:szCs w:val="25"/>
        </w:rPr>
        <w:t>di una ritenuta</w:t>
      </w:r>
      <w:r w:rsidR="0095602C" w:rsidRPr="00E9174D">
        <w:rPr>
          <w:rFonts w:ascii="Garamond" w:hAnsi="Garamond" w:cs="Arial"/>
          <w:sz w:val="25"/>
          <w:szCs w:val="25"/>
        </w:rPr>
        <w:t xml:space="preserve"> </w:t>
      </w:r>
      <w:r w:rsidR="00AE514C" w:rsidRPr="00E9174D">
        <w:rPr>
          <w:rFonts w:ascii="Garamond" w:hAnsi="Garamond" w:cs="Arial"/>
          <w:sz w:val="25"/>
          <w:szCs w:val="25"/>
        </w:rPr>
        <w:t>differenza tra autonomia</w:t>
      </w:r>
      <w:r w:rsidRPr="00E9174D">
        <w:rPr>
          <w:rFonts w:ascii="Garamond" w:hAnsi="Garamond" w:cs="Arial"/>
          <w:sz w:val="25"/>
          <w:szCs w:val="25"/>
        </w:rPr>
        <w:t xml:space="preserve"> regionale e autonomia locale nonché</w:t>
      </w:r>
      <w:r w:rsidR="00303B4E" w:rsidRPr="00E9174D">
        <w:rPr>
          <w:rFonts w:ascii="Garamond" w:hAnsi="Garamond" w:cs="Arial"/>
          <w:sz w:val="25"/>
          <w:szCs w:val="25"/>
        </w:rPr>
        <w:t xml:space="preserve"> </w:t>
      </w:r>
      <w:r w:rsidR="00AE514C" w:rsidRPr="00E9174D">
        <w:rPr>
          <w:rFonts w:ascii="Garamond" w:hAnsi="Garamond" w:cs="Arial"/>
          <w:sz w:val="25"/>
          <w:szCs w:val="25"/>
        </w:rPr>
        <w:t>del riconoscimento del fondamento costituzionale di tale potere, che dovrebbe rinvenirsi nell’art. 95 Cost., che attribuisce al Presidente del Consiglio l’obbligo di “assicurare il mantenimento dell’unità di indirizzo politico e amministrativo</w:t>
      </w:r>
      <w:r w:rsidR="00F97B88" w:rsidRPr="00E9174D">
        <w:rPr>
          <w:rFonts w:ascii="Garamond" w:hAnsi="Garamond" w:cs="Arial"/>
          <w:sz w:val="25"/>
          <w:szCs w:val="25"/>
        </w:rPr>
        <w:t>, nel quadro di unità e di indivisibilità della Repubblica, di cui all’art. 5 Cost.” (Cons. St., sez. I, 2.4.2003 n. 1313</w:t>
      </w:r>
      <w:r w:rsidR="00303B4E" w:rsidRPr="00E9174D">
        <w:rPr>
          <w:rFonts w:ascii="Garamond" w:hAnsi="Garamond" w:cs="Arial"/>
          <w:sz w:val="25"/>
          <w:szCs w:val="25"/>
        </w:rPr>
        <w:t>)</w:t>
      </w:r>
      <w:r w:rsidR="00B77093" w:rsidRPr="00E9174D">
        <w:rPr>
          <w:rFonts w:ascii="Garamond" w:hAnsi="Garamond" w:cs="Arial"/>
          <w:color w:val="800000"/>
          <w:sz w:val="25"/>
          <w:szCs w:val="25"/>
        </w:rPr>
        <w:t>.</w:t>
      </w:r>
      <w:r w:rsidR="00F97B88" w:rsidRPr="00E9174D">
        <w:rPr>
          <w:rFonts w:ascii="Garamond" w:hAnsi="Garamond" w:cs="Arial"/>
          <w:sz w:val="25"/>
          <w:szCs w:val="25"/>
        </w:rPr>
        <w:t xml:space="preserve"> </w:t>
      </w:r>
      <w:r w:rsidR="00B77093" w:rsidRPr="00E9174D">
        <w:rPr>
          <w:rFonts w:ascii="Garamond" w:hAnsi="Garamond" w:cs="Arial"/>
          <w:sz w:val="25"/>
          <w:szCs w:val="25"/>
        </w:rPr>
        <w:t>S</w:t>
      </w:r>
      <w:r w:rsidR="00B83050" w:rsidRPr="00E9174D">
        <w:rPr>
          <w:rFonts w:ascii="Garamond" w:hAnsi="Garamond" w:cs="Arial"/>
          <w:sz w:val="25"/>
          <w:szCs w:val="25"/>
        </w:rPr>
        <w:t xml:space="preserve">uccessivamente </w:t>
      </w:r>
      <w:r w:rsidR="00870F92" w:rsidRPr="00E9174D">
        <w:rPr>
          <w:rFonts w:ascii="Garamond" w:hAnsi="Garamond" w:cs="Arial"/>
          <w:sz w:val="25"/>
          <w:szCs w:val="25"/>
        </w:rPr>
        <w:t>il Consiglio di Stato (</w:t>
      </w:r>
      <w:r w:rsidR="00F97B88" w:rsidRPr="00E9174D">
        <w:rPr>
          <w:rFonts w:ascii="Garamond" w:hAnsi="Garamond" w:cs="Arial"/>
          <w:sz w:val="25"/>
          <w:szCs w:val="25"/>
        </w:rPr>
        <w:t>sez. I, 20.10.2004 n. 9771</w:t>
      </w:r>
      <w:r w:rsidRPr="00E9174D">
        <w:rPr>
          <w:rFonts w:ascii="Garamond" w:hAnsi="Garamond" w:cs="Arial"/>
          <w:sz w:val="25"/>
          <w:szCs w:val="25"/>
        </w:rPr>
        <w:t>) si è posto in modo più problematico rispetto a</w:t>
      </w:r>
      <w:r w:rsidR="00870F92" w:rsidRPr="00E9174D">
        <w:rPr>
          <w:rFonts w:ascii="Garamond" w:hAnsi="Garamond" w:cs="Arial"/>
          <w:sz w:val="25"/>
          <w:szCs w:val="25"/>
        </w:rPr>
        <w:t>l</w:t>
      </w:r>
      <w:r w:rsidR="00FA25C1" w:rsidRPr="00E9174D">
        <w:rPr>
          <w:rFonts w:ascii="Garamond" w:hAnsi="Garamond" w:cs="Arial"/>
          <w:sz w:val="25"/>
          <w:szCs w:val="25"/>
        </w:rPr>
        <w:t>la individuazione del</w:t>
      </w:r>
      <w:r w:rsidR="00870F92" w:rsidRPr="00E9174D">
        <w:rPr>
          <w:rFonts w:ascii="Garamond" w:hAnsi="Garamond" w:cs="Arial"/>
          <w:sz w:val="25"/>
          <w:szCs w:val="25"/>
        </w:rPr>
        <w:t xml:space="preserve"> fondamento costituzionale del potere straor</w:t>
      </w:r>
      <w:r w:rsidRPr="00E9174D">
        <w:rPr>
          <w:rFonts w:ascii="Garamond" w:hAnsi="Garamond" w:cs="Arial"/>
          <w:sz w:val="25"/>
          <w:szCs w:val="25"/>
        </w:rPr>
        <w:t>dinario di annulla</w:t>
      </w:r>
      <w:r w:rsidR="00C52954" w:rsidRPr="00E9174D">
        <w:rPr>
          <w:rFonts w:ascii="Garamond" w:hAnsi="Garamond" w:cs="Arial"/>
          <w:sz w:val="25"/>
          <w:szCs w:val="25"/>
        </w:rPr>
        <w:t>mento, precisando come non possa ritenersi</w:t>
      </w:r>
      <w:r w:rsidRPr="00E9174D">
        <w:rPr>
          <w:rFonts w:ascii="Garamond" w:hAnsi="Garamond" w:cs="Arial"/>
          <w:sz w:val="25"/>
          <w:szCs w:val="25"/>
        </w:rPr>
        <w:t xml:space="preserve"> </w:t>
      </w:r>
      <w:r w:rsidR="00870F92" w:rsidRPr="00E9174D">
        <w:rPr>
          <w:rFonts w:ascii="Garamond" w:hAnsi="Garamond" w:cs="Arial"/>
          <w:sz w:val="25"/>
          <w:szCs w:val="25"/>
        </w:rPr>
        <w:t>decisiva</w:t>
      </w:r>
      <w:r w:rsidR="00C44D02" w:rsidRPr="00E9174D">
        <w:rPr>
          <w:rFonts w:ascii="Garamond" w:hAnsi="Garamond" w:cs="Arial"/>
          <w:sz w:val="25"/>
          <w:szCs w:val="25"/>
        </w:rPr>
        <w:t xml:space="preserve"> i</w:t>
      </w:r>
      <w:r w:rsidR="00303B4E" w:rsidRPr="00E9174D">
        <w:rPr>
          <w:rFonts w:ascii="Garamond" w:hAnsi="Garamond" w:cs="Arial"/>
          <w:sz w:val="25"/>
          <w:szCs w:val="25"/>
        </w:rPr>
        <w:t>n</w:t>
      </w:r>
      <w:r w:rsidR="00C44D02" w:rsidRPr="00E9174D">
        <w:rPr>
          <w:rFonts w:ascii="Garamond" w:hAnsi="Garamond" w:cs="Arial"/>
          <w:sz w:val="25"/>
          <w:szCs w:val="25"/>
        </w:rPr>
        <w:t xml:space="preserve"> senso ostativo</w:t>
      </w:r>
      <w:r w:rsidR="00870F92" w:rsidRPr="00E9174D">
        <w:rPr>
          <w:rFonts w:ascii="Garamond" w:hAnsi="Garamond" w:cs="Arial"/>
          <w:sz w:val="25"/>
          <w:szCs w:val="25"/>
        </w:rPr>
        <w:t xml:space="preserve"> la mancanza di una disposizione</w:t>
      </w:r>
      <w:r w:rsidR="00B83050" w:rsidRPr="00E9174D">
        <w:rPr>
          <w:rFonts w:ascii="Garamond" w:hAnsi="Garamond" w:cs="Arial"/>
          <w:sz w:val="25"/>
          <w:szCs w:val="25"/>
        </w:rPr>
        <w:t xml:space="preserve"> costituzionale</w:t>
      </w:r>
      <w:r w:rsidR="00870F92" w:rsidRPr="00E9174D">
        <w:rPr>
          <w:rFonts w:ascii="Garamond" w:hAnsi="Garamond" w:cs="Arial"/>
          <w:sz w:val="25"/>
          <w:szCs w:val="25"/>
        </w:rPr>
        <w:t xml:space="preserve"> espressa, “perché la fonte legittimante può essere implicita nelle norme o nei principi costituzionali, dovendo l’autonomia costituzionalmente garantita, armonizzarsi con i precetti e i principi tutti ricavabili dalla Costituzione”.</w:t>
      </w:r>
      <w:r w:rsidR="00D37D2E" w:rsidRPr="00E9174D">
        <w:rPr>
          <w:rFonts w:ascii="Garamond" w:hAnsi="Garamond" w:cs="Arial"/>
          <w:sz w:val="25"/>
          <w:szCs w:val="25"/>
        </w:rPr>
        <w:t xml:space="preserve"> </w:t>
      </w:r>
      <w:r w:rsidR="00493347" w:rsidRPr="00E9174D">
        <w:rPr>
          <w:rFonts w:ascii="Garamond" w:hAnsi="Garamond" w:cs="Arial"/>
          <w:sz w:val="25"/>
          <w:szCs w:val="25"/>
        </w:rPr>
        <w:t>In questa logica</w:t>
      </w:r>
      <w:r w:rsidR="00D37D2E" w:rsidRPr="00E9174D">
        <w:rPr>
          <w:rFonts w:ascii="Garamond" w:hAnsi="Garamond" w:cs="Arial"/>
          <w:sz w:val="25"/>
          <w:szCs w:val="25"/>
        </w:rPr>
        <w:t xml:space="preserve"> il fondamento implicito è stato rinvenuto</w:t>
      </w:r>
      <w:r w:rsidR="00B83050" w:rsidRPr="00E9174D">
        <w:rPr>
          <w:rFonts w:ascii="Garamond" w:hAnsi="Garamond" w:cs="Arial"/>
          <w:sz w:val="25"/>
          <w:szCs w:val="25"/>
        </w:rPr>
        <w:t>, non tanto nell’art. 95 Cost. (e quindi nell’unità dell’indirizzo politico e amministrativo ma</w:t>
      </w:r>
      <w:r w:rsidR="00217F86" w:rsidRPr="00E9174D">
        <w:rPr>
          <w:rFonts w:ascii="Garamond" w:hAnsi="Garamond" w:cs="Arial"/>
          <w:sz w:val="25"/>
          <w:szCs w:val="25"/>
        </w:rPr>
        <w:t>)</w:t>
      </w:r>
      <w:r w:rsidR="00D37D2E" w:rsidRPr="00E9174D">
        <w:rPr>
          <w:rFonts w:ascii="Garamond" w:hAnsi="Garamond" w:cs="Arial"/>
          <w:sz w:val="25"/>
          <w:szCs w:val="25"/>
        </w:rPr>
        <w:t xml:space="preserve"> nell’art. 117, 2° comma, Cost., che attribu</w:t>
      </w:r>
      <w:r w:rsidR="003F3938" w:rsidRPr="00E9174D">
        <w:rPr>
          <w:rFonts w:ascii="Garamond" w:hAnsi="Garamond" w:cs="Arial"/>
          <w:sz w:val="25"/>
          <w:szCs w:val="25"/>
        </w:rPr>
        <w:t>isce alcune materie</w:t>
      </w:r>
      <w:r w:rsidR="00D37D2E" w:rsidRPr="00E9174D">
        <w:rPr>
          <w:rFonts w:ascii="Garamond" w:hAnsi="Garamond" w:cs="Arial"/>
          <w:sz w:val="25"/>
          <w:szCs w:val="25"/>
        </w:rPr>
        <w:t xml:space="preserve"> alla potestà </w:t>
      </w:r>
      <w:r w:rsidR="003F3938" w:rsidRPr="00E9174D">
        <w:rPr>
          <w:rFonts w:ascii="Garamond" w:hAnsi="Garamond" w:cs="Arial"/>
          <w:sz w:val="25"/>
          <w:szCs w:val="25"/>
        </w:rPr>
        <w:t>legislativa esclusiva statale, e ne</w:t>
      </w:r>
      <w:r w:rsidR="00D37D2E" w:rsidRPr="00E9174D">
        <w:rPr>
          <w:rFonts w:ascii="Garamond" w:hAnsi="Garamond" w:cs="Arial"/>
          <w:sz w:val="25"/>
          <w:szCs w:val="25"/>
        </w:rPr>
        <w:t>ll’art. 117, 6° comma, Cost, che in tali materie attribuisce al Governo il potere regolamentare</w:t>
      </w:r>
      <w:r w:rsidR="00B83050" w:rsidRPr="00E9174D">
        <w:rPr>
          <w:rFonts w:ascii="Garamond" w:hAnsi="Garamond" w:cs="Arial"/>
          <w:sz w:val="25"/>
          <w:szCs w:val="25"/>
        </w:rPr>
        <w:t>, dovendo desumersi da tali disposizioni</w:t>
      </w:r>
      <w:r w:rsidR="003F3938" w:rsidRPr="00E9174D">
        <w:rPr>
          <w:rFonts w:ascii="Garamond" w:hAnsi="Garamond" w:cs="Arial"/>
          <w:sz w:val="25"/>
          <w:szCs w:val="25"/>
        </w:rPr>
        <w:t xml:space="preserve"> un principio di unitarietà dell’ordinamento, nei limiti del quale deve vivere</w:t>
      </w:r>
      <w:r w:rsidR="00C44D02" w:rsidRPr="00E9174D">
        <w:rPr>
          <w:rFonts w:ascii="Garamond" w:hAnsi="Garamond" w:cs="Arial"/>
          <w:sz w:val="25"/>
          <w:szCs w:val="25"/>
        </w:rPr>
        <w:t xml:space="preserve"> anche</w:t>
      </w:r>
      <w:r w:rsidR="003F3938" w:rsidRPr="00E9174D">
        <w:rPr>
          <w:rFonts w:ascii="Garamond" w:hAnsi="Garamond" w:cs="Arial"/>
          <w:sz w:val="25"/>
          <w:szCs w:val="25"/>
        </w:rPr>
        <w:t xml:space="preserve"> l’autonomia locale (art. 114</w:t>
      </w:r>
      <w:r w:rsidR="00C44D02" w:rsidRPr="00E9174D">
        <w:rPr>
          <w:rFonts w:ascii="Garamond" w:hAnsi="Garamond" w:cs="Arial"/>
          <w:sz w:val="25"/>
          <w:szCs w:val="25"/>
        </w:rPr>
        <w:t>, 2° comma,</w:t>
      </w:r>
      <w:r w:rsidR="00217F86" w:rsidRPr="00E9174D">
        <w:rPr>
          <w:rFonts w:ascii="Garamond" w:hAnsi="Garamond" w:cs="Arial"/>
          <w:sz w:val="25"/>
          <w:szCs w:val="25"/>
        </w:rPr>
        <w:t xml:space="preserve"> Cost.);</w:t>
      </w:r>
      <w:r w:rsidR="003F3938" w:rsidRPr="00E9174D">
        <w:rPr>
          <w:rFonts w:ascii="Garamond" w:hAnsi="Garamond" w:cs="Arial"/>
          <w:sz w:val="25"/>
          <w:szCs w:val="25"/>
        </w:rPr>
        <w:t xml:space="preserve"> ne deriva che “nei settori la cui cura è affidata in via primaria alla responsabilità dello Stato la situazione non è dissimile da quella precedente riforma, sicché, come allora, nulla si oppone a che lo Stato, nel regolamentare la materia, preveda la possibilità di un suo intervento diretto a tutela </w:t>
      </w:r>
      <w:r w:rsidR="006D29F2" w:rsidRPr="00E9174D">
        <w:rPr>
          <w:rFonts w:ascii="Garamond" w:hAnsi="Garamond" w:cs="Arial"/>
          <w:sz w:val="25"/>
          <w:szCs w:val="25"/>
        </w:rPr>
        <w:t>d</w:t>
      </w:r>
      <w:r w:rsidR="003F3938" w:rsidRPr="00E9174D">
        <w:rPr>
          <w:rFonts w:ascii="Garamond" w:hAnsi="Garamond" w:cs="Arial"/>
          <w:sz w:val="25"/>
          <w:szCs w:val="25"/>
        </w:rPr>
        <w:t xml:space="preserve">ella unitarietà dell’ordinamento”. </w:t>
      </w:r>
    </w:p>
    <w:p w14:paraId="3F9C3FF6" w14:textId="77777777" w:rsidR="001126DF" w:rsidRPr="00E9174D" w:rsidRDefault="003F3938" w:rsidP="00E41FB6">
      <w:pPr>
        <w:spacing w:line="320" w:lineRule="exact"/>
        <w:ind w:firstLine="426"/>
        <w:jc w:val="both"/>
        <w:rPr>
          <w:rFonts w:ascii="Garamond" w:hAnsi="Garamond" w:cs="Arial"/>
          <w:sz w:val="25"/>
          <w:szCs w:val="25"/>
        </w:rPr>
      </w:pPr>
      <w:r w:rsidRPr="00E9174D">
        <w:rPr>
          <w:rFonts w:ascii="Garamond" w:hAnsi="Garamond" w:cs="Arial"/>
          <w:sz w:val="25"/>
          <w:szCs w:val="25"/>
        </w:rPr>
        <w:t>Non può negarsi, però, come nello stesso parere</w:t>
      </w:r>
      <w:r w:rsidR="001126DF" w:rsidRPr="00E9174D">
        <w:rPr>
          <w:rFonts w:ascii="Garamond" w:hAnsi="Garamond" w:cs="Arial"/>
          <w:sz w:val="25"/>
          <w:szCs w:val="25"/>
        </w:rPr>
        <w:t xml:space="preserve"> citato</w:t>
      </w:r>
      <w:r w:rsidRPr="00E9174D">
        <w:rPr>
          <w:rFonts w:ascii="Garamond" w:hAnsi="Garamond" w:cs="Arial"/>
          <w:sz w:val="25"/>
          <w:szCs w:val="25"/>
        </w:rPr>
        <w:t xml:space="preserve"> si ammetta, riconoscendo l’opinabilità di tale rico</w:t>
      </w:r>
      <w:r w:rsidR="00C52954" w:rsidRPr="00E9174D">
        <w:rPr>
          <w:rFonts w:ascii="Garamond" w:hAnsi="Garamond" w:cs="Arial"/>
          <w:sz w:val="25"/>
          <w:szCs w:val="25"/>
        </w:rPr>
        <w:t xml:space="preserve">struzione, che </w:t>
      </w:r>
      <w:r w:rsidRPr="00E9174D">
        <w:rPr>
          <w:rFonts w:ascii="Garamond" w:hAnsi="Garamond" w:cs="Arial"/>
          <w:sz w:val="25"/>
          <w:szCs w:val="25"/>
        </w:rPr>
        <w:t>“la parola risolutiva spetterà” alla Corte costituzionale “se e quando ve</w:t>
      </w:r>
      <w:r w:rsidR="00B83050" w:rsidRPr="00E9174D">
        <w:rPr>
          <w:rFonts w:ascii="Garamond" w:hAnsi="Garamond" w:cs="Arial"/>
          <w:sz w:val="25"/>
          <w:szCs w:val="25"/>
        </w:rPr>
        <w:t xml:space="preserve">rrà investita della questione”. </w:t>
      </w:r>
    </w:p>
    <w:p w14:paraId="7E4DA2BE" w14:textId="684E9C27" w:rsidR="00DD2623" w:rsidRPr="00E9174D" w:rsidRDefault="003F3938" w:rsidP="00E41FB6">
      <w:pPr>
        <w:spacing w:line="320" w:lineRule="exact"/>
        <w:ind w:firstLine="426"/>
        <w:jc w:val="both"/>
        <w:rPr>
          <w:rFonts w:ascii="Garamond" w:hAnsi="Garamond" w:cs="Arial"/>
          <w:sz w:val="25"/>
          <w:szCs w:val="25"/>
        </w:rPr>
      </w:pPr>
      <w:r w:rsidRPr="00E9174D">
        <w:rPr>
          <w:rFonts w:ascii="Garamond" w:hAnsi="Garamond" w:cs="Arial"/>
          <w:sz w:val="25"/>
          <w:szCs w:val="25"/>
        </w:rPr>
        <w:t xml:space="preserve">In realtà quest’ultima evocazione non ha trovato seguito. </w:t>
      </w:r>
      <w:r w:rsidR="00DD2623" w:rsidRPr="00E9174D">
        <w:rPr>
          <w:rFonts w:ascii="Garamond" w:hAnsi="Garamond" w:cs="Arial"/>
          <w:sz w:val="25"/>
          <w:szCs w:val="25"/>
        </w:rPr>
        <w:t xml:space="preserve">Non risultano </w:t>
      </w:r>
      <w:r w:rsidR="00C44D02" w:rsidRPr="00E9174D">
        <w:rPr>
          <w:rFonts w:ascii="Garamond" w:hAnsi="Garamond" w:cs="Arial"/>
          <w:sz w:val="25"/>
          <w:szCs w:val="25"/>
        </w:rPr>
        <w:t xml:space="preserve">sollevate </w:t>
      </w:r>
      <w:r w:rsidR="00DD2623" w:rsidRPr="00E9174D">
        <w:rPr>
          <w:rFonts w:ascii="Garamond" w:hAnsi="Garamond" w:cs="Arial"/>
          <w:sz w:val="25"/>
          <w:szCs w:val="25"/>
        </w:rPr>
        <w:t>questioni di legittimità costituzionale in tal senso.</w:t>
      </w:r>
    </w:p>
    <w:p w14:paraId="056843BC" w14:textId="77777777" w:rsidR="00C52954" w:rsidRPr="00E9174D" w:rsidRDefault="00C52954" w:rsidP="00C52954">
      <w:pPr>
        <w:spacing w:line="320" w:lineRule="exact"/>
        <w:ind w:firstLine="426"/>
        <w:jc w:val="both"/>
        <w:rPr>
          <w:rFonts w:ascii="Garamond" w:hAnsi="Garamond" w:cs="Arial"/>
          <w:sz w:val="25"/>
          <w:szCs w:val="25"/>
        </w:rPr>
      </w:pPr>
      <w:r w:rsidRPr="00E9174D">
        <w:rPr>
          <w:rFonts w:ascii="Garamond" w:hAnsi="Garamond" w:cs="Arial"/>
          <w:sz w:val="25"/>
          <w:szCs w:val="25"/>
        </w:rPr>
        <w:t>In ogni caso la giurisprudenza del Consiglio di Stato in sede consultiva è rimasta granitica (cfr., oltre ai precedenti citati nel parere, anche Cons. St., sez. I, 4145/2006;  551/2006, 2848/2007).</w:t>
      </w:r>
    </w:p>
    <w:p w14:paraId="0FE36550" w14:textId="15A289DE" w:rsidR="00C52954" w:rsidRPr="00E9174D" w:rsidRDefault="00C52954" w:rsidP="00C52954">
      <w:pPr>
        <w:spacing w:line="320" w:lineRule="exact"/>
        <w:ind w:firstLine="426"/>
        <w:jc w:val="both"/>
        <w:rPr>
          <w:rFonts w:ascii="Garamond" w:hAnsi="Garamond" w:cs="Arial"/>
          <w:sz w:val="25"/>
          <w:szCs w:val="25"/>
        </w:rPr>
      </w:pPr>
      <w:r w:rsidRPr="00E9174D">
        <w:rPr>
          <w:rFonts w:ascii="Garamond" w:hAnsi="Garamond" w:cs="Arial"/>
          <w:sz w:val="25"/>
          <w:szCs w:val="25"/>
        </w:rPr>
        <w:t>Deve comunque essere rilevato come il Consiglio di Stato non avrebbe potuto in sede consultiva (nell’ambito del procedimento dell’art. 138 TUEL) sollevare questione di legittimità costituzionale; sarebbe spettato in ipotesi al Consiglio di Stato in sede giurisdizionale o al giudice amministrativo di primo grado sollevare questione di legittimità in via incidentale nell’ambito di un giudizio di impugnazione, attivato da un Ente locale, della delibera del Consiglio dei Ministri recante l’annullamento straordinario</w:t>
      </w:r>
      <w:r w:rsidR="002F162D" w:rsidRPr="00E9174D">
        <w:rPr>
          <w:rStyle w:val="Rimandonotaapidipagina"/>
          <w:rFonts w:ascii="Garamond" w:hAnsi="Garamond" w:cs="Arial"/>
          <w:sz w:val="25"/>
          <w:szCs w:val="25"/>
        </w:rPr>
        <w:footnoteReference w:id="5"/>
      </w:r>
      <w:r w:rsidRPr="00E9174D">
        <w:rPr>
          <w:rFonts w:ascii="Garamond" w:hAnsi="Garamond" w:cs="Arial"/>
          <w:sz w:val="25"/>
          <w:szCs w:val="25"/>
        </w:rPr>
        <w:t xml:space="preserve">. </w:t>
      </w:r>
    </w:p>
    <w:p w14:paraId="6D8A2456" w14:textId="2AC97191" w:rsidR="00BC6F74" w:rsidRPr="00E9174D" w:rsidRDefault="00C52954" w:rsidP="00E41FB6">
      <w:pPr>
        <w:spacing w:line="320" w:lineRule="exact"/>
        <w:ind w:firstLine="426"/>
        <w:jc w:val="both"/>
        <w:rPr>
          <w:rFonts w:ascii="Garamond" w:hAnsi="Garamond" w:cs="Arial"/>
          <w:sz w:val="25"/>
          <w:szCs w:val="25"/>
        </w:rPr>
      </w:pPr>
      <w:r w:rsidRPr="00E9174D">
        <w:rPr>
          <w:rFonts w:ascii="Garamond" w:hAnsi="Garamond" w:cs="Arial"/>
          <w:sz w:val="25"/>
          <w:szCs w:val="25"/>
        </w:rPr>
        <w:t>Tuttavia</w:t>
      </w:r>
      <w:r w:rsidR="001126DF" w:rsidRPr="00E9174D">
        <w:rPr>
          <w:rFonts w:ascii="Garamond" w:hAnsi="Garamond" w:cs="Arial"/>
          <w:sz w:val="25"/>
          <w:szCs w:val="25"/>
        </w:rPr>
        <w:t xml:space="preserve"> ad oggi</w:t>
      </w:r>
      <w:r w:rsidRPr="00E9174D">
        <w:rPr>
          <w:rFonts w:ascii="Garamond" w:hAnsi="Garamond" w:cs="Arial"/>
          <w:sz w:val="25"/>
          <w:szCs w:val="25"/>
        </w:rPr>
        <w:t xml:space="preserve"> permangono</w:t>
      </w:r>
      <w:r w:rsidR="00303B4E" w:rsidRPr="00E9174D">
        <w:rPr>
          <w:rFonts w:ascii="Garamond" w:hAnsi="Garamond" w:cs="Arial"/>
          <w:sz w:val="25"/>
          <w:szCs w:val="25"/>
        </w:rPr>
        <w:t xml:space="preserve"> alcuni profili critici, con cui</w:t>
      </w:r>
      <w:r w:rsidR="003F19C7" w:rsidRPr="00E9174D">
        <w:rPr>
          <w:rFonts w:ascii="Garamond" w:hAnsi="Garamond" w:cs="Arial"/>
          <w:sz w:val="25"/>
          <w:szCs w:val="25"/>
        </w:rPr>
        <w:t xml:space="preserve"> il Consiglio di Stato </w:t>
      </w:r>
      <w:r w:rsidR="00C66DB6" w:rsidRPr="00E9174D">
        <w:rPr>
          <w:rFonts w:ascii="Garamond" w:hAnsi="Garamond" w:cs="Arial"/>
          <w:sz w:val="25"/>
          <w:szCs w:val="25"/>
        </w:rPr>
        <w:t>in sede consultiva</w:t>
      </w:r>
      <w:r w:rsidRPr="00E9174D">
        <w:rPr>
          <w:rFonts w:ascii="Garamond" w:hAnsi="Garamond" w:cs="Arial"/>
          <w:sz w:val="25"/>
          <w:szCs w:val="25"/>
        </w:rPr>
        <w:t>, in un’occasione meno emergenziale e contingentata</w:t>
      </w:r>
      <w:r w:rsidR="000537CD" w:rsidRPr="00E9174D">
        <w:rPr>
          <w:rFonts w:ascii="Garamond" w:hAnsi="Garamond" w:cs="Arial"/>
          <w:sz w:val="25"/>
          <w:szCs w:val="25"/>
        </w:rPr>
        <w:t>, dovrà confrontarsi</w:t>
      </w:r>
      <w:r w:rsidR="003F19C7" w:rsidRPr="00E9174D">
        <w:rPr>
          <w:rFonts w:ascii="Garamond" w:hAnsi="Garamond" w:cs="Arial"/>
          <w:sz w:val="25"/>
          <w:szCs w:val="25"/>
        </w:rPr>
        <w:t>:</w:t>
      </w:r>
    </w:p>
    <w:p w14:paraId="6324AE0F" w14:textId="69884448" w:rsidR="00174582" w:rsidRPr="00E9174D" w:rsidRDefault="003F19C7" w:rsidP="00E41FB6">
      <w:pPr>
        <w:spacing w:line="320" w:lineRule="exact"/>
        <w:ind w:firstLine="426"/>
        <w:jc w:val="both"/>
        <w:rPr>
          <w:rFonts w:ascii="Garamond" w:hAnsi="Garamond" w:cs="Arial"/>
          <w:sz w:val="25"/>
          <w:szCs w:val="25"/>
        </w:rPr>
      </w:pPr>
      <w:r w:rsidRPr="00E9174D">
        <w:rPr>
          <w:rFonts w:ascii="Garamond" w:hAnsi="Garamond" w:cs="Arial"/>
          <w:sz w:val="25"/>
          <w:szCs w:val="25"/>
        </w:rPr>
        <w:t>a) in primo luogo la differenziazione tra autonomia regionale e autonomia locale</w:t>
      </w:r>
      <w:r w:rsidR="00DD2623" w:rsidRPr="00E9174D">
        <w:rPr>
          <w:rFonts w:ascii="Garamond" w:hAnsi="Garamond" w:cs="Arial"/>
          <w:sz w:val="25"/>
          <w:szCs w:val="25"/>
        </w:rPr>
        <w:t xml:space="preserve"> (art. </w:t>
      </w:r>
      <w:r w:rsidR="00174582" w:rsidRPr="00E9174D">
        <w:rPr>
          <w:rFonts w:ascii="Garamond" w:hAnsi="Garamond" w:cs="Arial"/>
          <w:sz w:val="25"/>
          <w:szCs w:val="25"/>
        </w:rPr>
        <w:t xml:space="preserve">5, </w:t>
      </w:r>
      <w:r w:rsidR="00DD2623" w:rsidRPr="00E9174D">
        <w:rPr>
          <w:rFonts w:ascii="Garamond" w:hAnsi="Garamond" w:cs="Arial"/>
          <w:sz w:val="25"/>
          <w:szCs w:val="25"/>
        </w:rPr>
        <w:t>114 Cost.)</w:t>
      </w:r>
      <w:r w:rsidRPr="00E9174D">
        <w:rPr>
          <w:rFonts w:ascii="Garamond" w:hAnsi="Garamond" w:cs="Arial"/>
          <w:sz w:val="25"/>
          <w:szCs w:val="25"/>
        </w:rPr>
        <w:t>, ai</w:t>
      </w:r>
      <w:r w:rsidR="00217F86" w:rsidRPr="00E9174D">
        <w:rPr>
          <w:rFonts w:ascii="Garamond" w:hAnsi="Garamond" w:cs="Arial"/>
          <w:sz w:val="25"/>
          <w:szCs w:val="25"/>
        </w:rPr>
        <w:t xml:space="preserve"> fini dell’art. 138 TUEL, appare</w:t>
      </w:r>
      <w:r w:rsidRPr="00E9174D">
        <w:rPr>
          <w:rFonts w:ascii="Garamond" w:hAnsi="Garamond" w:cs="Arial"/>
          <w:sz w:val="25"/>
          <w:szCs w:val="25"/>
        </w:rPr>
        <w:t xml:space="preserve"> debole; </w:t>
      </w:r>
      <w:r w:rsidR="00217F86" w:rsidRPr="00E9174D">
        <w:rPr>
          <w:rFonts w:ascii="Garamond" w:hAnsi="Garamond" w:cs="Arial"/>
          <w:sz w:val="25"/>
          <w:szCs w:val="25"/>
        </w:rPr>
        <w:t>b) rimane da verificare fino in fondo la coerenza della sopravvivenza di questo potere con i principi affermati dalla Corte costituzionale nella sentenza n. 229/1989; c</w:t>
      </w:r>
      <w:r w:rsidR="000A3761" w:rsidRPr="00E9174D">
        <w:rPr>
          <w:rFonts w:ascii="Garamond" w:hAnsi="Garamond" w:cs="Arial"/>
          <w:sz w:val="25"/>
          <w:szCs w:val="25"/>
        </w:rPr>
        <w:t>) inoltre</w:t>
      </w:r>
      <w:r w:rsidRPr="00E9174D">
        <w:rPr>
          <w:rFonts w:ascii="Garamond" w:hAnsi="Garamond" w:cs="Arial"/>
          <w:sz w:val="25"/>
          <w:szCs w:val="25"/>
        </w:rPr>
        <w:t xml:space="preserve"> il richiamo </w:t>
      </w:r>
      <w:r w:rsidR="00DD2623" w:rsidRPr="00E9174D">
        <w:rPr>
          <w:rFonts w:ascii="Garamond" w:hAnsi="Garamond" w:cs="Arial"/>
          <w:sz w:val="25"/>
          <w:szCs w:val="25"/>
        </w:rPr>
        <w:t>all’art. 95 Cost. (che è presente anche nel parere i</w:t>
      </w:r>
      <w:r w:rsidR="006721AC" w:rsidRPr="00E9174D">
        <w:rPr>
          <w:rFonts w:ascii="Garamond" w:hAnsi="Garamond" w:cs="Arial"/>
          <w:sz w:val="25"/>
          <w:szCs w:val="25"/>
        </w:rPr>
        <w:t>n questione) tende a sovrapporre</w:t>
      </w:r>
      <w:r w:rsidR="00DD2623" w:rsidRPr="00E9174D">
        <w:rPr>
          <w:rFonts w:ascii="Garamond" w:hAnsi="Garamond" w:cs="Arial"/>
          <w:sz w:val="25"/>
          <w:szCs w:val="25"/>
        </w:rPr>
        <w:t xml:space="preserve"> </w:t>
      </w:r>
      <w:r w:rsidR="006721AC" w:rsidRPr="00E9174D">
        <w:rPr>
          <w:rFonts w:ascii="Garamond" w:hAnsi="Garamond" w:cs="Arial"/>
          <w:sz w:val="25"/>
          <w:szCs w:val="25"/>
        </w:rPr>
        <w:t>la nozione</w:t>
      </w:r>
      <w:r w:rsidR="00C44D02" w:rsidRPr="00E9174D">
        <w:rPr>
          <w:rFonts w:ascii="Garamond" w:hAnsi="Garamond" w:cs="Arial"/>
          <w:sz w:val="25"/>
          <w:szCs w:val="25"/>
        </w:rPr>
        <w:t xml:space="preserve"> di </w:t>
      </w:r>
      <w:r w:rsidR="006721AC" w:rsidRPr="00E9174D">
        <w:rPr>
          <w:rFonts w:ascii="Garamond" w:hAnsi="Garamond" w:cs="Arial"/>
          <w:sz w:val="25"/>
          <w:szCs w:val="25"/>
        </w:rPr>
        <w:t>“</w:t>
      </w:r>
      <w:r w:rsidR="00C44D02" w:rsidRPr="00E9174D">
        <w:rPr>
          <w:rFonts w:ascii="Garamond" w:hAnsi="Garamond" w:cs="Arial"/>
          <w:sz w:val="25"/>
          <w:szCs w:val="25"/>
        </w:rPr>
        <w:t>unità dell’indirizzo politico ed amministrativo</w:t>
      </w:r>
      <w:r w:rsidR="006721AC" w:rsidRPr="00E9174D">
        <w:rPr>
          <w:rFonts w:ascii="Garamond" w:hAnsi="Garamond" w:cs="Arial"/>
          <w:sz w:val="25"/>
          <w:szCs w:val="25"/>
        </w:rPr>
        <w:t>” al</w:t>
      </w:r>
      <w:r w:rsidR="00DD2623" w:rsidRPr="00E9174D">
        <w:rPr>
          <w:rFonts w:ascii="Garamond" w:hAnsi="Garamond" w:cs="Arial"/>
          <w:sz w:val="25"/>
          <w:szCs w:val="25"/>
        </w:rPr>
        <w:t xml:space="preserve">la nozione di “unità dell’ordinamento” giuridico (contenuta nell’art. 138 </w:t>
      </w:r>
      <w:r w:rsidR="00C66DB6" w:rsidRPr="00E9174D">
        <w:rPr>
          <w:rFonts w:ascii="Garamond" w:hAnsi="Garamond" w:cs="Arial"/>
          <w:sz w:val="25"/>
          <w:szCs w:val="25"/>
        </w:rPr>
        <w:t xml:space="preserve">TUEL), maggiormente assimilabile </w:t>
      </w:r>
      <w:r w:rsidR="00DD2623" w:rsidRPr="00E9174D">
        <w:rPr>
          <w:rFonts w:ascii="Garamond" w:hAnsi="Garamond" w:cs="Arial"/>
          <w:sz w:val="25"/>
          <w:szCs w:val="25"/>
        </w:rPr>
        <w:t>alla nozione di “unità giuridica” contenuta nell</w:t>
      </w:r>
      <w:r w:rsidR="006721AC" w:rsidRPr="00E9174D">
        <w:rPr>
          <w:rFonts w:ascii="Garamond" w:hAnsi="Garamond" w:cs="Arial"/>
          <w:sz w:val="25"/>
          <w:szCs w:val="25"/>
        </w:rPr>
        <w:t>’art. 120 Cost.</w:t>
      </w:r>
      <w:r w:rsidR="00217F86" w:rsidRPr="00E9174D">
        <w:rPr>
          <w:rFonts w:ascii="Garamond" w:hAnsi="Garamond" w:cs="Arial"/>
          <w:sz w:val="25"/>
          <w:szCs w:val="25"/>
        </w:rPr>
        <w:t>; d</w:t>
      </w:r>
      <w:r w:rsidR="00DD2623" w:rsidRPr="00E9174D">
        <w:rPr>
          <w:rFonts w:ascii="Garamond" w:hAnsi="Garamond" w:cs="Arial"/>
          <w:sz w:val="25"/>
          <w:szCs w:val="25"/>
        </w:rPr>
        <w:t>) inoltre sembra non decisivo il richiamo all’art. 117, 2° comma, Cost., quale matrice unitaria</w:t>
      </w:r>
      <w:r w:rsidR="00412C2D" w:rsidRPr="00E9174D">
        <w:rPr>
          <w:rFonts w:ascii="Garamond" w:hAnsi="Garamond" w:cs="Arial"/>
          <w:sz w:val="25"/>
          <w:szCs w:val="25"/>
        </w:rPr>
        <w:t>, posto che dopo la riforma del Titolo</w:t>
      </w:r>
      <w:r w:rsidR="00C66DB6" w:rsidRPr="00E9174D">
        <w:rPr>
          <w:rFonts w:ascii="Garamond" w:hAnsi="Garamond" w:cs="Arial"/>
          <w:sz w:val="25"/>
          <w:szCs w:val="25"/>
        </w:rPr>
        <w:t xml:space="preserve"> V non può certamente dirsi che le competenze legislative statali siano uscite rafforzate; </w:t>
      </w:r>
      <w:r w:rsidR="00111A5D" w:rsidRPr="00E9174D">
        <w:rPr>
          <w:rFonts w:ascii="Garamond" w:hAnsi="Garamond" w:cs="Arial"/>
          <w:sz w:val="25"/>
          <w:szCs w:val="25"/>
        </w:rPr>
        <w:t>e) emerge</w:t>
      </w:r>
      <w:r w:rsidR="00A45166" w:rsidRPr="00E9174D">
        <w:rPr>
          <w:rFonts w:ascii="Garamond" w:hAnsi="Garamond" w:cs="Arial"/>
          <w:sz w:val="25"/>
          <w:szCs w:val="25"/>
        </w:rPr>
        <w:t xml:space="preserve"> forse l’esigenza </w:t>
      </w:r>
      <w:r w:rsidR="00035048" w:rsidRPr="00E9174D">
        <w:rPr>
          <w:rFonts w:ascii="Garamond" w:hAnsi="Garamond" w:cs="Arial"/>
          <w:sz w:val="25"/>
          <w:szCs w:val="25"/>
        </w:rPr>
        <w:t xml:space="preserve">di ricondurre in modo espresso </w:t>
      </w:r>
      <w:r w:rsidR="00A45166" w:rsidRPr="00E9174D">
        <w:rPr>
          <w:rFonts w:ascii="Garamond" w:hAnsi="Garamond" w:cs="Arial"/>
          <w:sz w:val="25"/>
          <w:szCs w:val="25"/>
        </w:rPr>
        <w:t xml:space="preserve">il </w:t>
      </w:r>
      <w:r w:rsidR="00111A5D" w:rsidRPr="00E9174D">
        <w:rPr>
          <w:rFonts w:ascii="Garamond" w:hAnsi="Garamond" w:cs="Arial"/>
          <w:sz w:val="25"/>
          <w:szCs w:val="25"/>
        </w:rPr>
        <w:t xml:space="preserve">potere straordinario di annullamento </w:t>
      </w:r>
      <w:r w:rsidR="00C63E7A" w:rsidRPr="00E9174D">
        <w:rPr>
          <w:rFonts w:ascii="Garamond" w:hAnsi="Garamond" w:cs="Arial"/>
          <w:sz w:val="25"/>
          <w:szCs w:val="25"/>
        </w:rPr>
        <w:t xml:space="preserve">proprio </w:t>
      </w:r>
      <w:r w:rsidR="00A45166" w:rsidRPr="00E9174D">
        <w:rPr>
          <w:rFonts w:ascii="Garamond" w:hAnsi="Garamond" w:cs="Arial"/>
          <w:sz w:val="25"/>
          <w:szCs w:val="25"/>
        </w:rPr>
        <w:t>nell’alveo de</w:t>
      </w:r>
      <w:r w:rsidR="00111A5D" w:rsidRPr="00E9174D">
        <w:rPr>
          <w:rFonts w:ascii="Garamond" w:hAnsi="Garamond" w:cs="Arial"/>
          <w:sz w:val="25"/>
          <w:szCs w:val="25"/>
        </w:rPr>
        <w:t xml:space="preserve">l potere sostitutivo </w:t>
      </w:r>
      <w:r w:rsidR="00111A5D" w:rsidRPr="00E9174D">
        <w:rPr>
          <w:rFonts w:ascii="Garamond" w:hAnsi="Garamond" w:cs="Arial"/>
          <w:i/>
          <w:sz w:val="25"/>
          <w:szCs w:val="25"/>
        </w:rPr>
        <w:t>ex</w:t>
      </w:r>
      <w:r w:rsidR="00111A5D" w:rsidRPr="00E9174D">
        <w:rPr>
          <w:rFonts w:ascii="Garamond" w:hAnsi="Garamond" w:cs="Arial"/>
          <w:sz w:val="25"/>
          <w:szCs w:val="25"/>
        </w:rPr>
        <w:t xml:space="preserve"> art. 120, 2° comma, Cost.</w:t>
      </w:r>
      <w:r w:rsidR="006721AC" w:rsidRPr="00E9174D">
        <w:rPr>
          <w:rFonts w:ascii="Garamond" w:hAnsi="Garamond" w:cs="Arial"/>
          <w:sz w:val="25"/>
          <w:szCs w:val="25"/>
        </w:rPr>
        <w:t xml:space="preserve">, </w:t>
      </w:r>
      <w:r w:rsidR="007812AE" w:rsidRPr="00E9174D">
        <w:rPr>
          <w:rFonts w:ascii="Garamond" w:hAnsi="Garamond" w:cs="Arial"/>
          <w:sz w:val="25"/>
          <w:szCs w:val="25"/>
        </w:rPr>
        <w:t>dovend</w:t>
      </w:r>
      <w:r w:rsidR="00035048" w:rsidRPr="00E9174D">
        <w:rPr>
          <w:rFonts w:ascii="Garamond" w:hAnsi="Garamond" w:cs="Arial"/>
          <w:sz w:val="25"/>
          <w:szCs w:val="25"/>
        </w:rPr>
        <w:t xml:space="preserve">o però arrivare a riconoscersi </w:t>
      </w:r>
      <w:r w:rsidR="000B3F42" w:rsidRPr="00E9174D">
        <w:rPr>
          <w:rFonts w:ascii="Garamond" w:hAnsi="Garamond" w:cs="Arial"/>
          <w:sz w:val="25"/>
          <w:szCs w:val="25"/>
        </w:rPr>
        <w:t>che il potere sostitutivo possa</w:t>
      </w:r>
      <w:r w:rsidR="00AF6269" w:rsidRPr="00E9174D">
        <w:rPr>
          <w:rFonts w:ascii="Garamond" w:hAnsi="Garamond" w:cs="Arial"/>
          <w:sz w:val="25"/>
          <w:szCs w:val="25"/>
        </w:rPr>
        <w:t xml:space="preserve"> essere esercitato non soltanto in caso di inerzia ma anche</w:t>
      </w:r>
      <w:r w:rsidR="000B3F42" w:rsidRPr="00E9174D">
        <w:rPr>
          <w:rFonts w:ascii="Garamond" w:hAnsi="Garamond" w:cs="Arial"/>
          <w:sz w:val="25"/>
          <w:szCs w:val="25"/>
        </w:rPr>
        <w:t>, a fini demolitori,</w:t>
      </w:r>
      <w:r w:rsidR="00AF6269" w:rsidRPr="00E9174D">
        <w:rPr>
          <w:rFonts w:ascii="Garamond" w:hAnsi="Garamond" w:cs="Arial"/>
          <w:sz w:val="25"/>
          <w:szCs w:val="25"/>
        </w:rPr>
        <w:t xml:space="preserve"> in caso di adozione di provvedimenti es</w:t>
      </w:r>
      <w:r w:rsidR="00931555" w:rsidRPr="00E9174D">
        <w:rPr>
          <w:rFonts w:ascii="Garamond" w:hAnsi="Garamond" w:cs="Arial"/>
          <w:sz w:val="25"/>
          <w:szCs w:val="25"/>
        </w:rPr>
        <w:t>pres</w:t>
      </w:r>
      <w:r w:rsidR="000B3F42" w:rsidRPr="00E9174D">
        <w:rPr>
          <w:rFonts w:ascii="Garamond" w:hAnsi="Garamond" w:cs="Arial"/>
          <w:sz w:val="25"/>
          <w:szCs w:val="25"/>
        </w:rPr>
        <w:t>si illegittimi da parte degli Enti locali</w:t>
      </w:r>
      <w:r w:rsidR="00035048" w:rsidRPr="00E9174D">
        <w:rPr>
          <w:rFonts w:ascii="Garamond" w:hAnsi="Garamond" w:cs="Arial"/>
          <w:sz w:val="25"/>
          <w:szCs w:val="25"/>
        </w:rPr>
        <w:t xml:space="preserve"> (per quanto l’esito non sia pacifico anche alla luce della giurisprudenza costituzionale)</w:t>
      </w:r>
      <w:r w:rsidR="000B3F42" w:rsidRPr="00E9174D">
        <w:rPr>
          <w:rFonts w:ascii="Garamond" w:hAnsi="Garamond" w:cs="Arial"/>
          <w:sz w:val="25"/>
          <w:szCs w:val="25"/>
        </w:rPr>
        <w:t xml:space="preserve">. </w:t>
      </w:r>
    </w:p>
    <w:p w14:paraId="6097088E" w14:textId="19976699" w:rsidR="00111A5D" w:rsidRPr="00E9174D" w:rsidRDefault="00217F86" w:rsidP="00E41FB6">
      <w:pPr>
        <w:spacing w:line="320" w:lineRule="exact"/>
        <w:ind w:firstLine="426"/>
        <w:jc w:val="both"/>
        <w:rPr>
          <w:rFonts w:ascii="Garamond" w:hAnsi="Garamond" w:cs="Arial"/>
          <w:sz w:val="25"/>
          <w:szCs w:val="25"/>
        </w:rPr>
      </w:pPr>
      <w:r w:rsidRPr="00E9174D">
        <w:rPr>
          <w:rFonts w:ascii="Garamond" w:hAnsi="Garamond" w:cs="Arial"/>
          <w:sz w:val="25"/>
          <w:szCs w:val="25"/>
        </w:rPr>
        <w:t xml:space="preserve">In questa prospettiva </w:t>
      </w:r>
      <w:r w:rsidR="00931555" w:rsidRPr="00E9174D">
        <w:rPr>
          <w:rFonts w:ascii="Garamond" w:hAnsi="Garamond" w:cs="Arial"/>
          <w:sz w:val="25"/>
          <w:szCs w:val="25"/>
        </w:rPr>
        <w:t xml:space="preserve">l’art. 138 TUEL costituirebbe una sorta di </w:t>
      </w:r>
      <w:r w:rsidR="00931555" w:rsidRPr="00E9174D">
        <w:rPr>
          <w:rFonts w:ascii="Garamond" w:hAnsi="Garamond" w:cs="Arial"/>
          <w:i/>
          <w:sz w:val="25"/>
          <w:szCs w:val="25"/>
        </w:rPr>
        <w:t>procedimentalizzazione</w:t>
      </w:r>
      <w:r w:rsidR="00931555" w:rsidRPr="00E9174D">
        <w:rPr>
          <w:rFonts w:ascii="Garamond" w:hAnsi="Garamond" w:cs="Arial"/>
          <w:sz w:val="25"/>
          <w:szCs w:val="25"/>
        </w:rPr>
        <w:t xml:space="preserve"> dell’art. 120, 2° comm</w:t>
      </w:r>
      <w:r w:rsidR="007812AE" w:rsidRPr="00E9174D">
        <w:rPr>
          <w:rFonts w:ascii="Garamond" w:hAnsi="Garamond" w:cs="Arial"/>
          <w:sz w:val="25"/>
          <w:szCs w:val="25"/>
        </w:rPr>
        <w:t xml:space="preserve">a, Cost., nella dimensione (non dell’omesso esercizio del potere ma) dell’esercizio del potere. </w:t>
      </w:r>
    </w:p>
    <w:p w14:paraId="4D7FBD06" w14:textId="77777777" w:rsidR="00AF6269" w:rsidRPr="00E9174D" w:rsidRDefault="00AF6269" w:rsidP="00E41FB6">
      <w:pPr>
        <w:spacing w:line="320" w:lineRule="exact"/>
        <w:ind w:firstLine="426"/>
        <w:jc w:val="both"/>
        <w:rPr>
          <w:rFonts w:ascii="Garamond" w:hAnsi="Garamond" w:cs="Arial"/>
          <w:sz w:val="25"/>
          <w:szCs w:val="25"/>
        </w:rPr>
      </w:pPr>
    </w:p>
    <w:p w14:paraId="0502E950" w14:textId="77777777" w:rsidR="00916FCB" w:rsidRPr="00E9174D" w:rsidRDefault="00916FCB" w:rsidP="00E41FB6">
      <w:pPr>
        <w:spacing w:line="320" w:lineRule="exact"/>
        <w:ind w:firstLine="426"/>
        <w:jc w:val="both"/>
        <w:rPr>
          <w:rFonts w:ascii="Garamond" w:hAnsi="Garamond" w:cs="Arial"/>
          <w:sz w:val="25"/>
          <w:szCs w:val="25"/>
        </w:rPr>
      </w:pPr>
    </w:p>
    <w:p w14:paraId="0939E273" w14:textId="330B8BF5" w:rsidR="00C66DB6" w:rsidRPr="00E9174D" w:rsidRDefault="00B07F48" w:rsidP="00E41FB6">
      <w:pPr>
        <w:spacing w:line="320" w:lineRule="exact"/>
        <w:ind w:firstLine="426"/>
        <w:jc w:val="both"/>
        <w:rPr>
          <w:rFonts w:ascii="Garamond" w:hAnsi="Garamond" w:cs="Arial"/>
          <w:i/>
          <w:sz w:val="25"/>
          <w:szCs w:val="25"/>
        </w:rPr>
      </w:pPr>
      <w:r w:rsidRPr="00E9174D">
        <w:rPr>
          <w:rFonts w:ascii="Garamond" w:hAnsi="Garamond" w:cs="Arial"/>
          <w:sz w:val="25"/>
          <w:szCs w:val="25"/>
        </w:rPr>
        <w:t xml:space="preserve">4. </w:t>
      </w:r>
      <w:r w:rsidRPr="00E9174D">
        <w:rPr>
          <w:rFonts w:ascii="Garamond" w:hAnsi="Garamond" w:cs="Arial"/>
          <w:i/>
          <w:sz w:val="25"/>
          <w:szCs w:val="25"/>
        </w:rPr>
        <w:t>La natura multiforme del potere di annullamento straordinario</w:t>
      </w:r>
    </w:p>
    <w:p w14:paraId="3AD199FD" w14:textId="77777777" w:rsidR="00111A5D" w:rsidRPr="00E9174D" w:rsidRDefault="00111A5D" w:rsidP="00E41FB6">
      <w:pPr>
        <w:spacing w:line="320" w:lineRule="exact"/>
        <w:ind w:firstLine="426"/>
        <w:jc w:val="both"/>
        <w:rPr>
          <w:rFonts w:ascii="Garamond" w:hAnsi="Garamond" w:cs="Arial"/>
          <w:i/>
          <w:sz w:val="25"/>
          <w:szCs w:val="25"/>
        </w:rPr>
      </w:pPr>
    </w:p>
    <w:p w14:paraId="4FF8FB41" w14:textId="11FEA23B" w:rsidR="00C66DB6" w:rsidRPr="00E9174D" w:rsidRDefault="00B07F48" w:rsidP="00E41FB6">
      <w:pPr>
        <w:spacing w:line="320" w:lineRule="exact"/>
        <w:ind w:firstLine="426"/>
        <w:jc w:val="both"/>
        <w:rPr>
          <w:rFonts w:ascii="Garamond" w:hAnsi="Garamond" w:cs="Arial"/>
          <w:sz w:val="25"/>
          <w:szCs w:val="25"/>
        </w:rPr>
      </w:pPr>
      <w:r w:rsidRPr="00E9174D">
        <w:rPr>
          <w:rFonts w:ascii="Garamond" w:hAnsi="Garamond" w:cs="Arial"/>
          <w:sz w:val="25"/>
          <w:szCs w:val="25"/>
        </w:rPr>
        <w:t xml:space="preserve">Il parere </w:t>
      </w:r>
      <w:r w:rsidR="00C10038" w:rsidRPr="00E9174D">
        <w:rPr>
          <w:rFonts w:ascii="Garamond" w:hAnsi="Garamond" w:cs="Arial"/>
          <w:sz w:val="25"/>
          <w:szCs w:val="25"/>
        </w:rPr>
        <w:t>si sofferma altresì sulla natura giuridica</w:t>
      </w:r>
      <w:r w:rsidRPr="00E9174D">
        <w:rPr>
          <w:rFonts w:ascii="Garamond" w:hAnsi="Garamond" w:cs="Arial"/>
          <w:sz w:val="25"/>
          <w:szCs w:val="25"/>
        </w:rPr>
        <w:t xml:space="preserve"> del potere di annullamento</w:t>
      </w:r>
      <w:r w:rsidR="00C10038" w:rsidRPr="00E9174D">
        <w:rPr>
          <w:rFonts w:ascii="Garamond" w:hAnsi="Garamond" w:cs="Arial"/>
          <w:sz w:val="25"/>
          <w:szCs w:val="25"/>
        </w:rPr>
        <w:t xml:space="preserve"> (par. 5), dando atto </w:t>
      </w:r>
      <w:r w:rsidR="001B2950" w:rsidRPr="00E9174D">
        <w:rPr>
          <w:rFonts w:ascii="Garamond" w:hAnsi="Garamond" w:cs="Arial"/>
          <w:sz w:val="25"/>
          <w:szCs w:val="25"/>
        </w:rPr>
        <w:t>della molteplicità delle opzioni ermeneutiche maturate intorno ad essa.</w:t>
      </w:r>
    </w:p>
    <w:p w14:paraId="646E19E5" w14:textId="33BA2D98" w:rsidR="001B2950" w:rsidRPr="00E9174D" w:rsidRDefault="001B2950" w:rsidP="00E41FB6">
      <w:pPr>
        <w:spacing w:line="320" w:lineRule="exact"/>
        <w:ind w:firstLine="426"/>
        <w:jc w:val="both"/>
        <w:rPr>
          <w:rFonts w:ascii="Garamond" w:hAnsi="Garamond" w:cs="Arial"/>
          <w:sz w:val="25"/>
          <w:szCs w:val="25"/>
        </w:rPr>
      </w:pPr>
      <w:r w:rsidRPr="00E9174D">
        <w:rPr>
          <w:rFonts w:ascii="Garamond" w:hAnsi="Garamond" w:cs="Arial"/>
          <w:sz w:val="25"/>
          <w:szCs w:val="25"/>
        </w:rPr>
        <w:t>Non può negarsi, infatti, come finanche nella giurisprudenza costituzionale, sviluppatasi sul previgente art. 6 r.d</w:t>
      </w:r>
      <w:r w:rsidR="00C10038" w:rsidRPr="00E9174D">
        <w:rPr>
          <w:rFonts w:ascii="Garamond" w:hAnsi="Garamond" w:cs="Arial"/>
          <w:sz w:val="25"/>
          <w:szCs w:val="25"/>
        </w:rPr>
        <w:t xml:space="preserve">. n. 383/1934, siano emersi indirizzi diversi; l’annullamento straordinario in alcuni casi è stato qualificato come </w:t>
      </w:r>
      <w:r w:rsidR="007158EB" w:rsidRPr="00E9174D">
        <w:rPr>
          <w:rFonts w:ascii="Garamond" w:hAnsi="Garamond" w:cs="Arial"/>
          <w:sz w:val="25"/>
          <w:szCs w:val="25"/>
        </w:rPr>
        <w:t>“</w:t>
      </w:r>
      <w:r w:rsidR="00C10038" w:rsidRPr="00E9174D">
        <w:rPr>
          <w:rFonts w:ascii="Garamond" w:hAnsi="Garamond" w:cs="Arial"/>
          <w:sz w:val="25"/>
          <w:szCs w:val="25"/>
        </w:rPr>
        <w:t>controllo sugli atti</w:t>
      </w:r>
      <w:r w:rsidR="007158EB" w:rsidRPr="00E9174D">
        <w:rPr>
          <w:rFonts w:ascii="Garamond" w:hAnsi="Garamond" w:cs="Arial"/>
          <w:sz w:val="25"/>
          <w:szCs w:val="25"/>
        </w:rPr>
        <w:t>”</w:t>
      </w:r>
      <w:r w:rsidR="00C10038" w:rsidRPr="00E9174D">
        <w:rPr>
          <w:rFonts w:ascii="Garamond" w:hAnsi="Garamond" w:cs="Arial"/>
          <w:sz w:val="25"/>
          <w:szCs w:val="25"/>
        </w:rPr>
        <w:t xml:space="preserve"> (Corte cost. n. 24/1957), in altri come atto di </w:t>
      </w:r>
      <w:r w:rsidR="007158EB" w:rsidRPr="00E9174D">
        <w:rPr>
          <w:rFonts w:ascii="Garamond" w:hAnsi="Garamond" w:cs="Arial"/>
          <w:sz w:val="25"/>
          <w:szCs w:val="25"/>
        </w:rPr>
        <w:t>“</w:t>
      </w:r>
      <w:r w:rsidR="00C10038" w:rsidRPr="00E9174D">
        <w:rPr>
          <w:rFonts w:ascii="Garamond" w:hAnsi="Garamond" w:cs="Arial"/>
          <w:sz w:val="25"/>
          <w:szCs w:val="25"/>
        </w:rPr>
        <w:t>alta amministrazione</w:t>
      </w:r>
      <w:r w:rsidR="007158EB" w:rsidRPr="00E9174D">
        <w:rPr>
          <w:rFonts w:ascii="Garamond" w:hAnsi="Garamond" w:cs="Arial"/>
          <w:sz w:val="25"/>
          <w:szCs w:val="25"/>
        </w:rPr>
        <w:t>”</w:t>
      </w:r>
      <w:r w:rsidR="00C10038" w:rsidRPr="00E9174D">
        <w:rPr>
          <w:rFonts w:ascii="Garamond" w:hAnsi="Garamond" w:cs="Arial"/>
          <w:sz w:val="25"/>
          <w:szCs w:val="25"/>
        </w:rPr>
        <w:t xml:space="preserve"> (Corte cost. nn. 73, 74/1960; Corte cost. n. 4/1966), in altri ancora come atto di </w:t>
      </w:r>
      <w:r w:rsidR="007158EB" w:rsidRPr="00E9174D">
        <w:rPr>
          <w:rFonts w:ascii="Garamond" w:hAnsi="Garamond" w:cs="Arial"/>
          <w:sz w:val="25"/>
          <w:szCs w:val="25"/>
        </w:rPr>
        <w:t>“</w:t>
      </w:r>
      <w:r w:rsidR="00C10038" w:rsidRPr="00E9174D">
        <w:rPr>
          <w:rFonts w:ascii="Garamond" w:hAnsi="Garamond" w:cs="Arial"/>
          <w:sz w:val="25"/>
          <w:szCs w:val="25"/>
        </w:rPr>
        <w:t>autotutela amministrativa</w:t>
      </w:r>
      <w:r w:rsidR="007158EB" w:rsidRPr="00E9174D">
        <w:rPr>
          <w:rFonts w:ascii="Garamond" w:hAnsi="Garamond" w:cs="Arial"/>
          <w:sz w:val="25"/>
          <w:szCs w:val="25"/>
        </w:rPr>
        <w:t>”</w:t>
      </w:r>
      <w:r w:rsidR="00C10038" w:rsidRPr="00E9174D">
        <w:rPr>
          <w:rFonts w:ascii="Garamond" w:hAnsi="Garamond" w:cs="Arial"/>
          <w:sz w:val="25"/>
          <w:szCs w:val="25"/>
        </w:rPr>
        <w:t xml:space="preserve"> (Corte cost. n. 23/1959; 128/1963), per quanto preordinato a tutelare le esigenze unitarie dell’ordinamento. </w:t>
      </w:r>
    </w:p>
    <w:p w14:paraId="4877EC89" w14:textId="0BE04206" w:rsidR="00E870DF" w:rsidRPr="00E9174D" w:rsidRDefault="00C10038" w:rsidP="00E41FB6">
      <w:pPr>
        <w:spacing w:line="320" w:lineRule="exact"/>
        <w:ind w:firstLine="426"/>
        <w:jc w:val="both"/>
        <w:rPr>
          <w:rFonts w:ascii="Garamond" w:hAnsi="Garamond" w:cs="Arial"/>
          <w:sz w:val="25"/>
          <w:szCs w:val="25"/>
        </w:rPr>
      </w:pPr>
      <w:r w:rsidRPr="00E9174D">
        <w:rPr>
          <w:rFonts w:ascii="Garamond" w:hAnsi="Garamond" w:cs="Arial"/>
          <w:sz w:val="25"/>
          <w:szCs w:val="25"/>
        </w:rPr>
        <w:t>In realtà il Consiglio</w:t>
      </w:r>
      <w:r w:rsidR="00336890" w:rsidRPr="00E9174D">
        <w:rPr>
          <w:rFonts w:ascii="Garamond" w:hAnsi="Garamond" w:cs="Arial"/>
          <w:sz w:val="25"/>
          <w:szCs w:val="25"/>
        </w:rPr>
        <w:t xml:space="preserve"> di Stato</w:t>
      </w:r>
      <w:r w:rsidR="00C33C81" w:rsidRPr="00E9174D">
        <w:rPr>
          <w:rFonts w:ascii="Garamond" w:hAnsi="Garamond" w:cs="Arial"/>
          <w:sz w:val="25"/>
          <w:szCs w:val="25"/>
        </w:rPr>
        <w:t xml:space="preserve"> nel parere in questione</w:t>
      </w:r>
      <w:r w:rsidR="00336890" w:rsidRPr="00E9174D">
        <w:rPr>
          <w:rFonts w:ascii="Garamond" w:hAnsi="Garamond" w:cs="Arial"/>
          <w:sz w:val="25"/>
          <w:szCs w:val="25"/>
        </w:rPr>
        <w:t xml:space="preserve">, valorizzando </w:t>
      </w:r>
      <w:r w:rsidRPr="00E9174D">
        <w:rPr>
          <w:rFonts w:ascii="Garamond" w:hAnsi="Garamond" w:cs="Arial"/>
          <w:sz w:val="25"/>
          <w:szCs w:val="25"/>
        </w:rPr>
        <w:t>il contenuto della sentenza della Corte costituzionale n. 229/1989 (rimasta</w:t>
      </w:r>
      <w:r w:rsidR="00336890" w:rsidRPr="00E9174D">
        <w:rPr>
          <w:rFonts w:ascii="Garamond" w:hAnsi="Garamond" w:cs="Arial"/>
          <w:sz w:val="25"/>
          <w:szCs w:val="25"/>
        </w:rPr>
        <w:t xml:space="preserve"> </w:t>
      </w:r>
      <w:r w:rsidRPr="00E9174D">
        <w:rPr>
          <w:rFonts w:ascii="Garamond" w:hAnsi="Garamond" w:cs="Arial"/>
          <w:sz w:val="25"/>
          <w:szCs w:val="25"/>
        </w:rPr>
        <w:t>in ombra,</w:t>
      </w:r>
      <w:r w:rsidR="00336890" w:rsidRPr="00E9174D">
        <w:rPr>
          <w:rFonts w:ascii="Garamond" w:hAnsi="Garamond" w:cs="Arial"/>
          <w:sz w:val="25"/>
          <w:szCs w:val="25"/>
        </w:rPr>
        <w:t xml:space="preserve"> invece, </w:t>
      </w:r>
      <w:r w:rsidRPr="00E9174D">
        <w:rPr>
          <w:rFonts w:ascii="Garamond" w:hAnsi="Garamond" w:cs="Arial"/>
          <w:sz w:val="25"/>
          <w:szCs w:val="25"/>
        </w:rPr>
        <w:t>sotto altro profilo</w:t>
      </w:r>
      <w:r w:rsidR="00336890" w:rsidRPr="00E9174D">
        <w:rPr>
          <w:rFonts w:ascii="Garamond" w:hAnsi="Garamond" w:cs="Arial"/>
          <w:sz w:val="25"/>
          <w:szCs w:val="25"/>
        </w:rPr>
        <w:t>, come visto sopra</w:t>
      </w:r>
      <w:r w:rsidRPr="00E9174D">
        <w:rPr>
          <w:rFonts w:ascii="Garamond" w:hAnsi="Garamond" w:cs="Arial"/>
          <w:sz w:val="25"/>
          <w:szCs w:val="25"/>
        </w:rPr>
        <w:t xml:space="preserve">), arriva a riconoscere una natura multiforme, nella quale convivono sia profili propri del controllo (posteriore) di legittimità (vista l’abrogazione dei controlli preventivi </w:t>
      </w:r>
      <w:r w:rsidRPr="00E9174D">
        <w:rPr>
          <w:rFonts w:ascii="Garamond" w:hAnsi="Garamond" w:cs="Arial"/>
          <w:i/>
          <w:sz w:val="25"/>
          <w:szCs w:val="25"/>
        </w:rPr>
        <w:t>ex</w:t>
      </w:r>
      <w:r w:rsidRPr="00E9174D">
        <w:rPr>
          <w:rFonts w:ascii="Garamond" w:hAnsi="Garamond" w:cs="Arial"/>
          <w:sz w:val="25"/>
          <w:szCs w:val="25"/>
        </w:rPr>
        <w:t xml:space="preserve"> art. 130 Cost.)</w:t>
      </w:r>
      <w:r w:rsidR="008C1B6F" w:rsidRPr="00E9174D">
        <w:rPr>
          <w:rFonts w:ascii="Garamond" w:hAnsi="Garamond" w:cs="Arial"/>
          <w:sz w:val="25"/>
          <w:szCs w:val="25"/>
        </w:rPr>
        <w:t xml:space="preserve"> sia profili di amm</w:t>
      </w:r>
      <w:r w:rsidR="00211C49" w:rsidRPr="00E9174D">
        <w:rPr>
          <w:rFonts w:ascii="Garamond" w:hAnsi="Garamond" w:cs="Arial"/>
          <w:sz w:val="25"/>
          <w:szCs w:val="25"/>
        </w:rPr>
        <w:t>inistrazione attiva, generatrice di atti</w:t>
      </w:r>
      <w:r w:rsidR="008C1B6F" w:rsidRPr="00E9174D">
        <w:rPr>
          <w:rFonts w:ascii="Garamond" w:hAnsi="Garamond" w:cs="Arial"/>
          <w:sz w:val="25"/>
          <w:szCs w:val="25"/>
        </w:rPr>
        <w:t xml:space="preserve"> </w:t>
      </w:r>
      <w:r w:rsidR="00211C49" w:rsidRPr="00E9174D">
        <w:rPr>
          <w:rFonts w:ascii="Garamond" w:hAnsi="Garamond" w:cs="Arial"/>
          <w:sz w:val="25"/>
          <w:szCs w:val="25"/>
        </w:rPr>
        <w:t xml:space="preserve">di </w:t>
      </w:r>
      <w:r w:rsidR="008C1B6F" w:rsidRPr="00E9174D">
        <w:rPr>
          <w:rFonts w:ascii="Garamond" w:hAnsi="Garamond" w:cs="Arial"/>
          <w:sz w:val="25"/>
          <w:szCs w:val="25"/>
        </w:rPr>
        <w:t>alta amministrazione</w:t>
      </w:r>
      <w:r w:rsidR="009C69C1" w:rsidRPr="00E9174D">
        <w:rPr>
          <w:rStyle w:val="Rimandonotaapidipagina"/>
          <w:rFonts w:ascii="Garamond" w:hAnsi="Garamond" w:cs="Arial"/>
          <w:sz w:val="25"/>
          <w:szCs w:val="25"/>
        </w:rPr>
        <w:footnoteReference w:id="6"/>
      </w:r>
      <w:r w:rsidR="004E77E4" w:rsidRPr="00E9174D">
        <w:rPr>
          <w:rFonts w:ascii="Garamond" w:hAnsi="Garamond" w:cs="Arial"/>
          <w:sz w:val="25"/>
          <w:szCs w:val="25"/>
        </w:rPr>
        <w:t xml:space="preserve"> (in questo senso già Ad. Pl. n</w:t>
      </w:r>
      <w:r w:rsidR="008C1B6F" w:rsidRPr="00E9174D">
        <w:rPr>
          <w:rFonts w:ascii="Garamond" w:hAnsi="Garamond" w:cs="Arial"/>
          <w:sz w:val="25"/>
          <w:szCs w:val="25"/>
        </w:rPr>
        <w:t>.</w:t>
      </w:r>
      <w:r w:rsidR="004E77E4" w:rsidRPr="00E9174D">
        <w:rPr>
          <w:rFonts w:ascii="Garamond" w:hAnsi="Garamond" w:cs="Arial"/>
          <w:sz w:val="25"/>
          <w:szCs w:val="25"/>
        </w:rPr>
        <w:t xml:space="preserve"> 30/1968; Cons. St., sez. IV, 23.4.1969 n. 133)</w:t>
      </w:r>
      <w:r w:rsidR="00486696" w:rsidRPr="00E9174D">
        <w:rPr>
          <w:rFonts w:ascii="Garamond" w:hAnsi="Garamond" w:cs="Arial"/>
          <w:sz w:val="25"/>
          <w:szCs w:val="25"/>
        </w:rPr>
        <w:t xml:space="preserve">, come confermato anche dal coinvolgimento procedimentale della Presidenza della Repubblica, come organo costituzionale rappresentativo della </w:t>
      </w:r>
      <w:r w:rsidR="005968B6" w:rsidRPr="00E9174D">
        <w:rPr>
          <w:rFonts w:ascii="Garamond" w:hAnsi="Garamond" w:cs="Arial"/>
          <w:sz w:val="25"/>
          <w:szCs w:val="25"/>
        </w:rPr>
        <w:t>“</w:t>
      </w:r>
      <w:r w:rsidR="00486696" w:rsidRPr="00E9174D">
        <w:rPr>
          <w:rFonts w:ascii="Garamond" w:hAnsi="Garamond" w:cs="Arial"/>
          <w:sz w:val="25"/>
          <w:szCs w:val="25"/>
        </w:rPr>
        <w:t>unità nazionale</w:t>
      </w:r>
      <w:r w:rsidR="005968B6" w:rsidRPr="00E9174D">
        <w:rPr>
          <w:rFonts w:ascii="Garamond" w:hAnsi="Garamond" w:cs="Arial"/>
          <w:sz w:val="25"/>
          <w:szCs w:val="25"/>
        </w:rPr>
        <w:t xml:space="preserve">” (art. 87 Cost.) </w:t>
      </w:r>
      <w:r w:rsidR="00E870DF" w:rsidRPr="00E9174D">
        <w:rPr>
          <w:rFonts w:ascii="Garamond" w:hAnsi="Garamond" w:cs="Arial"/>
          <w:sz w:val="25"/>
          <w:szCs w:val="25"/>
        </w:rPr>
        <w:t>e quindi anche dell’</w:t>
      </w:r>
      <w:r w:rsidR="00486696" w:rsidRPr="00E9174D">
        <w:rPr>
          <w:rFonts w:ascii="Garamond" w:hAnsi="Garamond" w:cs="Arial"/>
          <w:sz w:val="25"/>
          <w:szCs w:val="25"/>
        </w:rPr>
        <w:t>unità ordinamentale</w:t>
      </w:r>
      <w:r w:rsidR="004E77E4" w:rsidRPr="00E9174D">
        <w:rPr>
          <w:rFonts w:ascii="Garamond" w:hAnsi="Garamond" w:cs="Arial"/>
          <w:sz w:val="25"/>
          <w:szCs w:val="25"/>
        </w:rPr>
        <w:t>.</w:t>
      </w:r>
      <w:r w:rsidR="00336890" w:rsidRPr="00E9174D">
        <w:rPr>
          <w:rFonts w:ascii="Garamond" w:hAnsi="Garamond" w:cs="Arial"/>
          <w:sz w:val="25"/>
          <w:szCs w:val="25"/>
        </w:rPr>
        <w:t xml:space="preserve"> </w:t>
      </w:r>
    </w:p>
    <w:p w14:paraId="68D19499" w14:textId="77777777" w:rsidR="00B2329F" w:rsidRPr="00E9174D" w:rsidRDefault="008C1B6F" w:rsidP="00E41FB6">
      <w:pPr>
        <w:spacing w:line="320" w:lineRule="exact"/>
        <w:ind w:firstLine="426"/>
        <w:jc w:val="both"/>
        <w:rPr>
          <w:rFonts w:ascii="Garamond" w:hAnsi="Garamond" w:cs="Arial"/>
          <w:sz w:val="25"/>
          <w:szCs w:val="25"/>
        </w:rPr>
      </w:pPr>
      <w:r w:rsidRPr="00E9174D">
        <w:rPr>
          <w:rFonts w:ascii="Garamond" w:hAnsi="Garamond" w:cs="Arial"/>
          <w:sz w:val="25"/>
          <w:szCs w:val="25"/>
        </w:rPr>
        <w:t xml:space="preserve">Non si tratta evidentemente di atti politici del Governo, </w:t>
      </w:r>
      <w:r w:rsidR="00336890" w:rsidRPr="00E9174D">
        <w:rPr>
          <w:rFonts w:ascii="Garamond" w:hAnsi="Garamond" w:cs="Arial"/>
          <w:sz w:val="25"/>
          <w:szCs w:val="25"/>
        </w:rPr>
        <w:t>in quanto tali insin</w:t>
      </w:r>
      <w:r w:rsidR="008328FC" w:rsidRPr="00E9174D">
        <w:rPr>
          <w:rFonts w:ascii="Garamond" w:hAnsi="Garamond" w:cs="Arial"/>
          <w:sz w:val="25"/>
          <w:szCs w:val="25"/>
        </w:rPr>
        <w:t>dacabili in sede giurisdizionale</w:t>
      </w:r>
      <w:r w:rsidR="00336890" w:rsidRPr="00E9174D">
        <w:rPr>
          <w:rFonts w:ascii="Garamond" w:hAnsi="Garamond" w:cs="Arial"/>
          <w:sz w:val="25"/>
          <w:szCs w:val="25"/>
        </w:rPr>
        <w:t xml:space="preserve"> (art. 7, 1° comma, c.p.a.), ma di provvedimenti amministrativi</w:t>
      </w:r>
      <w:r w:rsidR="00F32086" w:rsidRPr="00E9174D">
        <w:rPr>
          <w:rFonts w:ascii="Garamond" w:hAnsi="Garamond" w:cs="Arial"/>
          <w:sz w:val="25"/>
          <w:szCs w:val="25"/>
        </w:rPr>
        <w:t>, sindacabili in sede giurisdizionale,</w:t>
      </w:r>
      <w:r w:rsidR="00336890" w:rsidRPr="00E9174D">
        <w:rPr>
          <w:rFonts w:ascii="Garamond" w:hAnsi="Garamond" w:cs="Arial"/>
          <w:sz w:val="25"/>
          <w:szCs w:val="25"/>
        </w:rPr>
        <w:t xml:space="preserve"> caratterizzati da una forte discrezionalità e preordinati al soddisfacimento di un interesse pubblico qualificabile come un meta-interesse cos</w:t>
      </w:r>
      <w:r w:rsidR="004E77E4" w:rsidRPr="00E9174D">
        <w:rPr>
          <w:rFonts w:ascii="Garamond" w:hAnsi="Garamond" w:cs="Arial"/>
          <w:sz w:val="25"/>
          <w:szCs w:val="25"/>
        </w:rPr>
        <w:t>tituzionale, ossia que</w:t>
      </w:r>
      <w:r w:rsidR="002D3627" w:rsidRPr="00E9174D">
        <w:rPr>
          <w:rFonts w:ascii="Garamond" w:hAnsi="Garamond" w:cs="Arial"/>
          <w:sz w:val="25"/>
          <w:szCs w:val="25"/>
        </w:rPr>
        <w:t>llo dell’unità dell’ordinamento. T</w:t>
      </w:r>
      <w:r w:rsidR="004E77E4" w:rsidRPr="00E9174D">
        <w:rPr>
          <w:rFonts w:ascii="Garamond" w:hAnsi="Garamond" w:cs="Arial"/>
          <w:sz w:val="25"/>
          <w:szCs w:val="25"/>
        </w:rPr>
        <w:t>ale elemento finalistico assume certamente una funzione prevalente rispetto al</w:t>
      </w:r>
      <w:r w:rsidR="007158EB" w:rsidRPr="00E9174D">
        <w:rPr>
          <w:rFonts w:ascii="Garamond" w:hAnsi="Garamond" w:cs="Arial"/>
          <w:sz w:val="25"/>
          <w:szCs w:val="25"/>
        </w:rPr>
        <w:t>l’accertamento del</w:t>
      </w:r>
      <w:r w:rsidR="004E77E4" w:rsidRPr="00E9174D">
        <w:rPr>
          <w:rFonts w:ascii="Garamond" w:hAnsi="Garamond" w:cs="Arial"/>
          <w:sz w:val="25"/>
          <w:szCs w:val="25"/>
        </w:rPr>
        <w:t xml:space="preserve"> mero vizio di legittimità (in</w:t>
      </w:r>
      <w:r w:rsidR="007158EB" w:rsidRPr="00E9174D">
        <w:rPr>
          <w:rFonts w:ascii="Garamond" w:hAnsi="Garamond" w:cs="Arial"/>
          <w:sz w:val="25"/>
          <w:szCs w:val="25"/>
        </w:rPr>
        <w:t xml:space="preserve">teso </w:t>
      </w:r>
      <w:r w:rsidR="004E77E4" w:rsidRPr="00E9174D">
        <w:rPr>
          <w:rFonts w:ascii="Garamond" w:hAnsi="Garamond" w:cs="Arial"/>
          <w:sz w:val="25"/>
          <w:szCs w:val="25"/>
        </w:rPr>
        <w:t>come annullabilità o nullità) del provvedimento amministrativo oggett</w:t>
      </w:r>
      <w:r w:rsidR="008328FC" w:rsidRPr="00E9174D">
        <w:rPr>
          <w:rFonts w:ascii="Garamond" w:hAnsi="Garamond" w:cs="Arial"/>
          <w:sz w:val="25"/>
          <w:szCs w:val="25"/>
        </w:rPr>
        <w:t>o di annullamento straordinario. I</w:t>
      </w:r>
      <w:r w:rsidR="002D3627" w:rsidRPr="00E9174D">
        <w:rPr>
          <w:rFonts w:ascii="Garamond" w:hAnsi="Garamond" w:cs="Arial"/>
          <w:sz w:val="25"/>
          <w:szCs w:val="25"/>
        </w:rPr>
        <w:t>n questa prospettiva per l’esercizio del potere di annullamento straordinario non soltanto non è sufficiente la sussistenza di un vizio di legittimità, e quindi l’interesse al mero ripristino della legalità, ma non è neppure sufficiente la rilevazione di un</w:t>
      </w:r>
      <w:r w:rsidR="00ED45F7" w:rsidRPr="00E9174D">
        <w:rPr>
          <w:rFonts w:ascii="Garamond" w:hAnsi="Garamond" w:cs="Arial"/>
          <w:sz w:val="25"/>
          <w:szCs w:val="25"/>
        </w:rPr>
        <w:t xml:space="preserve"> qualsiasi</w:t>
      </w:r>
      <w:r w:rsidR="002D3627" w:rsidRPr="00E9174D">
        <w:rPr>
          <w:rFonts w:ascii="Garamond" w:hAnsi="Garamond" w:cs="Arial"/>
          <w:sz w:val="25"/>
          <w:szCs w:val="25"/>
        </w:rPr>
        <w:t xml:space="preserve"> interesse pubblico ulteriore, pur di rango costituzionale, essendo necessario che tale interesse ulteriore sia quello p</w:t>
      </w:r>
      <w:r w:rsidR="00E870DF" w:rsidRPr="00E9174D">
        <w:rPr>
          <w:rFonts w:ascii="Garamond" w:hAnsi="Garamond" w:cs="Arial"/>
          <w:sz w:val="25"/>
          <w:szCs w:val="25"/>
        </w:rPr>
        <w:t>redeterminato dall’art. 138 TUEL</w:t>
      </w:r>
      <w:r w:rsidR="00ED45F7" w:rsidRPr="00E9174D">
        <w:rPr>
          <w:rFonts w:ascii="Garamond" w:hAnsi="Garamond" w:cs="Arial"/>
          <w:sz w:val="25"/>
          <w:szCs w:val="25"/>
        </w:rPr>
        <w:t xml:space="preserve">. </w:t>
      </w:r>
    </w:p>
    <w:p w14:paraId="3F937CCE" w14:textId="77777777" w:rsidR="000046C7" w:rsidRPr="00E9174D" w:rsidRDefault="000046C7" w:rsidP="000046C7">
      <w:pPr>
        <w:spacing w:line="320" w:lineRule="exact"/>
        <w:ind w:firstLine="426"/>
        <w:jc w:val="both"/>
        <w:rPr>
          <w:rFonts w:ascii="Garamond" w:hAnsi="Garamond" w:cs="Arial"/>
          <w:sz w:val="25"/>
          <w:szCs w:val="25"/>
        </w:rPr>
      </w:pPr>
      <w:r w:rsidRPr="00E9174D">
        <w:rPr>
          <w:rFonts w:ascii="Garamond" w:hAnsi="Garamond" w:cs="Arial"/>
          <w:sz w:val="25"/>
          <w:szCs w:val="25"/>
        </w:rPr>
        <w:t>Tuttavia anche in questa prospettiva l’ampiezza della clausola normativa necessita, secondo i canoni dell’interpretazione costituzionalmente conforme, di una ponderazione seria alla luce del contenuto dell’art. 5 Cost. (e dell’art. 120 Cost,), nel quale può dirsi che “non può ledere le autonomie il ripristino da parte dello Stato della legalità turbata da atti degli Enti pubblici” (Corte cost. n. 23/1959).</w:t>
      </w:r>
    </w:p>
    <w:p w14:paraId="102D2998" w14:textId="46FC062D" w:rsidR="002F162D" w:rsidRPr="00E9174D" w:rsidRDefault="002F162D" w:rsidP="00E41FB6">
      <w:pPr>
        <w:spacing w:line="320" w:lineRule="exact"/>
        <w:ind w:firstLine="426"/>
        <w:jc w:val="both"/>
        <w:rPr>
          <w:rFonts w:ascii="Garamond" w:hAnsi="Garamond" w:cs="Arial"/>
          <w:sz w:val="25"/>
          <w:szCs w:val="25"/>
        </w:rPr>
      </w:pPr>
      <w:r w:rsidRPr="00E9174D">
        <w:rPr>
          <w:rFonts w:ascii="Garamond" w:hAnsi="Garamond" w:cs="Arial"/>
          <w:sz w:val="25"/>
          <w:szCs w:val="25"/>
        </w:rPr>
        <w:t>Non vi è dubbio ch</w:t>
      </w:r>
      <w:r w:rsidR="000046C7" w:rsidRPr="00E9174D">
        <w:rPr>
          <w:rFonts w:ascii="Garamond" w:hAnsi="Garamond" w:cs="Arial"/>
          <w:sz w:val="25"/>
          <w:szCs w:val="25"/>
        </w:rPr>
        <w:t>e questa peculiare natura, assieme</w:t>
      </w:r>
      <w:r w:rsidRPr="00E9174D">
        <w:rPr>
          <w:rFonts w:ascii="Garamond" w:hAnsi="Garamond" w:cs="Arial"/>
          <w:sz w:val="25"/>
          <w:szCs w:val="25"/>
        </w:rPr>
        <w:t xml:space="preserve"> alla formulazione espres</w:t>
      </w:r>
      <w:r w:rsidR="000046C7" w:rsidRPr="00E9174D">
        <w:rPr>
          <w:rFonts w:ascii="Garamond" w:hAnsi="Garamond" w:cs="Arial"/>
          <w:sz w:val="25"/>
          <w:szCs w:val="25"/>
        </w:rPr>
        <w:t>sa dell’art. 138 TUEL, escluda</w:t>
      </w:r>
      <w:r w:rsidRPr="00E9174D">
        <w:rPr>
          <w:rFonts w:ascii="Garamond" w:hAnsi="Garamond" w:cs="Arial"/>
          <w:sz w:val="25"/>
          <w:szCs w:val="25"/>
        </w:rPr>
        <w:t xml:space="preserve"> che il procedimen</w:t>
      </w:r>
      <w:r w:rsidR="000046C7" w:rsidRPr="00E9174D">
        <w:rPr>
          <w:rFonts w:ascii="Garamond" w:hAnsi="Garamond" w:cs="Arial"/>
          <w:sz w:val="25"/>
          <w:szCs w:val="25"/>
        </w:rPr>
        <w:t xml:space="preserve">to possa arrestarsi </w:t>
      </w:r>
      <w:r w:rsidRPr="00E9174D">
        <w:rPr>
          <w:rFonts w:ascii="Garamond" w:hAnsi="Garamond" w:cs="Arial"/>
          <w:sz w:val="25"/>
          <w:szCs w:val="25"/>
        </w:rPr>
        <w:t>con il parere del Consiglio di Stato (come è avvenuto sino alla Ad. Pl. 6.12.1968 n. 30)</w:t>
      </w:r>
      <w:r w:rsidR="001D4C18" w:rsidRPr="00E9174D">
        <w:rPr>
          <w:rFonts w:ascii="Garamond" w:hAnsi="Garamond" w:cs="Arial"/>
          <w:sz w:val="25"/>
          <w:szCs w:val="25"/>
        </w:rPr>
        <w:t xml:space="preserve">, essendo indispensabile la deliberazione del Consiglio dei Ministri e la relativa assunzione di responsabilità politica. </w:t>
      </w:r>
    </w:p>
    <w:p w14:paraId="02DE372A" w14:textId="5CA36801" w:rsidR="00B2329F" w:rsidRPr="00E9174D" w:rsidRDefault="001B7461" w:rsidP="00E41FB6">
      <w:pPr>
        <w:spacing w:line="320" w:lineRule="exact"/>
        <w:ind w:firstLine="426"/>
        <w:jc w:val="both"/>
        <w:rPr>
          <w:rFonts w:ascii="Garamond" w:hAnsi="Garamond" w:cs="Arial"/>
          <w:sz w:val="25"/>
          <w:szCs w:val="25"/>
        </w:rPr>
      </w:pPr>
      <w:r w:rsidRPr="00E9174D">
        <w:rPr>
          <w:rFonts w:ascii="Garamond" w:hAnsi="Garamond" w:cs="Arial"/>
          <w:sz w:val="25"/>
          <w:szCs w:val="25"/>
        </w:rPr>
        <w:t>Lo stesso fine</w:t>
      </w:r>
      <w:r w:rsidR="00B2329F" w:rsidRPr="00E9174D">
        <w:rPr>
          <w:rFonts w:ascii="Garamond" w:hAnsi="Garamond" w:cs="Arial"/>
          <w:sz w:val="25"/>
          <w:szCs w:val="25"/>
        </w:rPr>
        <w:t xml:space="preserve"> della tutela dell’unità dell’ordinamento giuridico configura il potere di annullamento straordinario come un potere inesauribile, quindi esercitabile “in qualunque tempo” (diversamente, ad esempio, dal mero potere di annullamento in autotutela, oggi esercitabile entro il termine di 18 mesi di cui all’art. 21 </w:t>
      </w:r>
      <w:r w:rsidR="00B2329F" w:rsidRPr="00E9174D">
        <w:rPr>
          <w:rFonts w:ascii="Garamond" w:hAnsi="Garamond" w:cs="Arial"/>
          <w:i/>
          <w:sz w:val="25"/>
          <w:szCs w:val="25"/>
        </w:rPr>
        <w:t xml:space="preserve">nonies </w:t>
      </w:r>
      <w:r w:rsidR="00B2329F" w:rsidRPr="00E9174D">
        <w:rPr>
          <w:rFonts w:ascii="Garamond" w:hAnsi="Garamond" w:cs="Arial"/>
          <w:sz w:val="25"/>
          <w:szCs w:val="25"/>
        </w:rPr>
        <w:t>l. n. 241/1990); il potere di annullamento è da ritenersi esercitabile anche in pendenza di un ricorso giurisdizionale avverso il medesimo provvedimento (Ad. Pl. 1.7.1959 n. 11).</w:t>
      </w:r>
    </w:p>
    <w:p w14:paraId="5A1FF76C" w14:textId="55A8DAB0" w:rsidR="00A4368C" w:rsidRPr="00E9174D" w:rsidRDefault="00A4368C" w:rsidP="00E41FB6">
      <w:pPr>
        <w:spacing w:line="320" w:lineRule="exact"/>
        <w:ind w:firstLine="426"/>
        <w:jc w:val="both"/>
        <w:rPr>
          <w:rFonts w:ascii="Garamond" w:hAnsi="Garamond" w:cs="Arial"/>
          <w:sz w:val="25"/>
          <w:szCs w:val="25"/>
        </w:rPr>
      </w:pPr>
      <w:r w:rsidRPr="00E9174D">
        <w:rPr>
          <w:rFonts w:ascii="Garamond" w:hAnsi="Garamond" w:cs="Arial"/>
          <w:sz w:val="25"/>
          <w:szCs w:val="25"/>
        </w:rPr>
        <w:t>Peraltro nessuna rilevanza in senso limitativo può assumere la collocazione del Comune di Messina all’interno di una Regione a statuto speciale (come è stato già affermato in passato in sede giurisdizionale; cfr. Cons. St., sez. V, 22.11.1974, n. 552).</w:t>
      </w:r>
    </w:p>
    <w:p w14:paraId="1D49B45B" w14:textId="77777777" w:rsidR="00B64205" w:rsidRPr="00E9174D" w:rsidRDefault="00B64205" w:rsidP="00E41FB6">
      <w:pPr>
        <w:spacing w:line="320" w:lineRule="exact"/>
        <w:ind w:firstLine="426"/>
        <w:jc w:val="both"/>
        <w:rPr>
          <w:rFonts w:ascii="Garamond" w:hAnsi="Garamond" w:cs="Arial"/>
          <w:i/>
          <w:sz w:val="25"/>
          <w:szCs w:val="25"/>
        </w:rPr>
      </w:pPr>
    </w:p>
    <w:p w14:paraId="5BBD431B" w14:textId="77777777" w:rsidR="00916FCB" w:rsidRPr="00E9174D" w:rsidRDefault="00916FCB" w:rsidP="00E41FB6">
      <w:pPr>
        <w:spacing w:line="320" w:lineRule="exact"/>
        <w:ind w:firstLine="426"/>
        <w:jc w:val="both"/>
        <w:rPr>
          <w:rFonts w:ascii="Garamond" w:hAnsi="Garamond" w:cs="Arial"/>
          <w:i/>
          <w:sz w:val="25"/>
          <w:szCs w:val="25"/>
        </w:rPr>
      </w:pPr>
    </w:p>
    <w:p w14:paraId="66ED46A2" w14:textId="37B8E671" w:rsidR="004B7D5F" w:rsidRPr="00E9174D" w:rsidRDefault="00185D01" w:rsidP="00E41FB6">
      <w:pPr>
        <w:spacing w:line="320" w:lineRule="exact"/>
        <w:ind w:firstLine="426"/>
        <w:jc w:val="both"/>
        <w:rPr>
          <w:rFonts w:ascii="Garamond" w:hAnsi="Garamond" w:cs="Arial"/>
          <w:sz w:val="25"/>
          <w:szCs w:val="25"/>
        </w:rPr>
      </w:pPr>
      <w:r w:rsidRPr="00E9174D">
        <w:rPr>
          <w:rFonts w:ascii="Garamond" w:hAnsi="Garamond" w:cs="Arial"/>
          <w:sz w:val="25"/>
          <w:szCs w:val="25"/>
        </w:rPr>
        <w:t>5.</w:t>
      </w:r>
      <w:r w:rsidRPr="00E9174D">
        <w:rPr>
          <w:rFonts w:ascii="Garamond" w:hAnsi="Garamond" w:cs="Arial"/>
          <w:i/>
          <w:sz w:val="25"/>
          <w:szCs w:val="25"/>
        </w:rPr>
        <w:t xml:space="preserve"> Il parere del Consiglio di Stato e la motivazione</w:t>
      </w:r>
    </w:p>
    <w:p w14:paraId="346BCACC" w14:textId="77777777" w:rsidR="004B7D5F" w:rsidRPr="00E9174D" w:rsidRDefault="004B7D5F" w:rsidP="00E41FB6">
      <w:pPr>
        <w:spacing w:line="320" w:lineRule="exact"/>
        <w:ind w:firstLine="426"/>
        <w:jc w:val="both"/>
        <w:rPr>
          <w:rFonts w:ascii="Garamond" w:hAnsi="Garamond" w:cs="Arial"/>
          <w:sz w:val="25"/>
          <w:szCs w:val="25"/>
        </w:rPr>
      </w:pPr>
    </w:p>
    <w:p w14:paraId="468596E8" w14:textId="3B337DDA" w:rsidR="00E417F2" w:rsidRPr="00E9174D" w:rsidRDefault="00E417F2" w:rsidP="00E41FB6">
      <w:pPr>
        <w:spacing w:line="320" w:lineRule="exact"/>
        <w:ind w:firstLine="426"/>
        <w:jc w:val="both"/>
        <w:rPr>
          <w:rFonts w:ascii="Garamond" w:hAnsi="Garamond" w:cs="Arial"/>
          <w:sz w:val="25"/>
          <w:szCs w:val="25"/>
        </w:rPr>
      </w:pPr>
      <w:r w:rsidRPr="00E9174D">
        <w:rPr>
          <w:rFonts w:ascii="Garamond" w:hAnsi="Garamond" w:cs="Arial"/>
          <w:sz w:val="25"/>
          <w:szCs w:val="25"/>
        </w:rPr>
        <w:t>Nel caso di specie il Consiglio di Stato ha ritenuto sussistenti i presupposti di cui all’art. 138 TUEL (par. 6</w:t>
      </w:r>
      <w:r w:rsidR="005A3D07" w:rsidRPr="00E9174D">
        <w:rPr>
          <w:rFonts w:ascii="Garamond" w:hAnsi="Garamond" w:cs="Arial"/>
          <w:sz w:val="25"/>
          <w:szCs w:val="25"/>
        </w:rPr>
        <w:t>-9</w:t>
      </w:r>
      <w:r w:rsidRPr="00E9174D">
        <w:rPr>
          <w:rFonts w:ascii="Garamond" w:hAnsi="Garamond" w:cs="Arial"/>
          <w:sz w:val="25"/>
          <w:szCs w:val="25"/>
        </w:rPr>
        <w:t>), rilevando:</w:t>
      </w:r>
    </w:p>
    <w:p w14:paraId="53EF202D" w14:textId="37075C73" w:rsidR="00E417F2" w:rsidRPr="00E9174D" w:rsidRDefault="00E417F2" w:rsidP="00E41FB6">
      <w:pPr>
        <w:spacing w:line="320" w:lineRule="exact"/>
        <w:ind w:firstLine="426"/>
        <w:jc w:val="both"/>
        <w:rPr>
          <w:rFonts w:ascii="Garamond" w:hAnsi="Garamond" w:cs="Arial"/>
          <w:sz w:val="25"/>
          <w:szCs w:val="25"/>
        </w:rPr>
      </w:pPr>
      <w:r w:rsidRPr="00E9174D">
        <w:rPr>
          <w:rFonts w:ascii="Garamond" w:hAnsi="Garamond" w:cs="Arial"/>
          <w:sz w:val="25"/>
          <w:szCs w:val="25"/>
        </w:rPr>
        <w:t>a) una molteplicità di vizi di legittimi</w:t>
      </w:r>
      <w:r w:rsidR="00211C49" w:rsidRPr="00E9174D">
        <w:rPr>
          <w:rFonts w:ascii="Garamond" w:hAnsi="Garamond" w:cs="Arial"/>
          <w:sz w:val="25"/>
          <w:szCs w:val="25"/>
        </w:rPr>
        <w:t>tà</w:t>
      </w:r>
      <w:r w:rsidRPr="00E9174D">
        <w:rPr>
          <w:rFonts w:ascii="Garamond" w:hAnsi="Garamond" w:cs="Arial"/>
          <w:sz w:val="25"/>
          <w:szCs w:val="25"/>
        </w:rPr>
        <w:t xml:space="preserve"> dell’ordinanza: i) un vizio di competenza territoriale, vista la produzione degli effetti anche al di là del territorio comunale; ii) la violazione dell’art. 23 Cost., imponendo delle prestazioni non previste dalla legge; iii) la violazione dell’art. 3 Cost., introducendo una disparità di trattamento tra la generalità dei cittadini e quelli che per motivi legittimi hanno necessità di attraversare lo stretto; iiii) la violazione degli artt. 13 e 16 Cost.,</w:t>
      </w:r>
      <w:r w:rsidR="005C1A79" w:rsidRPr="00E9174D">
        <w:rPr>
          <w:rFonts w:ascii="Garamond" w:hAnsi="Garamond" w:cs="Arial"/>
          <w:sz w:val="25"/>
          <w:szCs w:val="25"/>
        </w:rPr>
        <w:t xml:space="preserve"> limitando</w:t>
      </w:r>
      <w:r w:rsidR="005A3D07" w:rsidRPr="00E9174D">
        <w:rPr>
          <w:rFonts w:ascii="Garamond" w:hAnsi="Garamond" w:cs="Arial"/>
          <w:sz w:val="25"/>
          <w:szCs w:val="25"/>
        </w:rPr>
        <w:t>, in assenza di presupposti costituzionali,</w:t>
      </w:r>
      <w:r w:rsidR="005C1A79" w:rsidRPr="00E9174D">
        <w:rPr>
          <w:rFonts w:ascii="Garamond" w:hAnsi="Garamond" w:cs="Arial"/>
          <w:sz w:val="25"/>
          <w:szCs w:val="25"/>
        </w:rPr>
        <w:t xml:space="preserve"> la libertà personale e quella di circolazione; iiiii) la violazione della normativa sulla privacy, imponendo la indicazione di una pluralità di dati personali; iiiii) la violazione della competenza esclusiva statale in materia di ordine e sicurezza pubblica; iiiiii) la violazione dell’art. 117, 2° comma, let. q), invadendo la competenza legislativa statale in materia di profilassi internazionale; iiiiiii) la violazione dell’art. 3 d.l. 25.3.2020 n. 19, che delimita il potere di ordinanza comunale, nonché il DPCM 22.3.2020 e il D.M. 17.3.2020, sotto specifici profili attinenti alla disciplina emergenziale;</w:t>
      </w:r>
    </w:p>
    <w:p w14:paraId="2C092C12" w14:textId="10E8AABC" w:rsidR="00C55BFE" w:rsidRPr="00E9174D" w:rsidRDefault="005C1A79" w:rsidP="00E41FB6">
      <w:pPr>
        <w:spacing w:line="320" w:lineRule="exact"/>
        <w:ind w:firstLine="426"/>
        <w:jc w:val="both"/>
        <w:rPr>
          <w:rFonts w:ascii="Garamond" w:hAnsi="Garamond" w:cs="Arial"/>
          <w:sz w:val="25"/>
          <w:szCs w:val="25"/>
        </w:rPr>
      </w:pPr>
      <w:r w:rsidRPr="00E9174D">
        <w:rPr>
          <w:rFonts w:ascii="Garamond" w:hAnsi="Garamond" w:cs="Arial"/>
          <w:sz w:val="25"/>
          <w:szCs w:val="25"/>
        </w:rPr>
        <w:t>b)</w:t>
      </w:r>
      <w:r w:rsidR="005A3D07" w:rsidRPr="00E9174D">
        <w:rPr>
          <w:rFonts w:ascii="Garamond" w:hAnsi="Garamond" w:cs="Arial"/>
          <w:sz w:val="25"/>
          <w:szCs w:val="25"/>
        </w:rPr>
        <w:t xml:space="preserve"> quanto, invece, all’interesse ulteriore all</w:t>
      </w:r>
      <w:r w:rsidR="00615E74" w:rsidRPr="00E9174D">
        <w:rPr>
          <w:rFonts w:ascii="Garamond" w:hAnsi="Garamond" w:cs="Arial"/>
          <w:sz w:val="25"/>
          <w:szCs w:val="25"/>
        </w:rPr>
        <w:t xml:space="preserve">a tutela dell’unità </w:t>
      </w:r>
      <w:r w:rsidR="009D4BAD" w:rsidRPr="00E9174D">
        <w:rPr>
          <w:rFonts w:ascii="Garamond" w:hAnsi="Garamond" w:cs="Arial"/>
          <w:sz w:val="25"/>
          <w:szCs w:val="25"/>
        </w:rPr>
        <w:t>dell’</w:t>
      </w:r>
      <w:r w:rsidR="00615E74" w:rsidRPr="00E9174D">
        <w:rPr>
          <w:rFonts w:ascii="Garamond" w:hAnsi="Garamond" w:cs="Arial"/>
          <w:sz w:val="25"/>
          <w:szCs w:val="25"/>
        </w:rPr>
        <w:t>ordinamento, il parere appare assai sintetico, presupponendo quasi un auto-evidenza di tale interesse: “</w:t>
      </w:r>
      <w:r w:rsidR="00C55BFE" w:rsidRPr="00E9174D">
        <w:rPr>
          <w:rFonts w:ascii="Garamond" w:hAnsi="Garamond" w:cs="Arial"/>
          <w:sz w:val="25"/>
          <w:szCs w:val="25"/>
        </w:rPr>
        <w:t>in presenza di emergenze di carattere nazionale, dunque, pur nel rispetto delle autonomie costituzionalmente tutelate, vi deve essere una gestione unitaria della crisi per evitare che interventi regionali o locali possano vanificare la strategia complessiva di gestione dell’emergenza, soprattutto in casi in cui non si tratta solo di erogare aiuti o effettuare interventi ma anche di limitare le libertà costituzionali”.</w:t>
      </w:r>
    </w:p>
    <w:p w14:paraId="7418D7C9" w14:textId="0BE77C03" w:rsidR="00B64205" w:rsidRPr="00E9174D" w:rsidRDefault="00C55BFE" w:rsidP="00E41FB6">
      <w:pPr>
        <w:spacing w:line="320" w:lineRule="exact"/>
        <w:ind w:firstLine="426"/>
        <w:jc w:val="both"/>
        <w:rPr>
          <w:rFonts w:ascii="Garamond" w:hAnsi="Garamond" w:cs="Arial"/>
          <w:sz w:val="25"/>
          <w:szCs w:val="25"/>
        </w:rPr>
      </w:pPr>
      <w:r w:rsidRPr="00E9174D">
        <w:rPr>
          <w:rFonts w:ascii="Garamond" w:hAnsi="Garamond" w:cs="Arial"/>
          <w:sz w:val="25"/>
          <w:szCs w:val="25"/>
        </w:rPr>
        <w:t>Può forse rilevarsi come la sinteticità della motivazione</w:t>
      </w:r>
      <w:r w:rsidR="00A642BB" w:rsidRPr="00E9174D">
        <w:rPr>
          <w:rFonts w:ascii="Garamond" w:hAnsi="Garamond" w:cs="Arial"/>
          <w:sz w:val="25"/>
          <w:szCs w:val="25"/>
        </w:rPr>
        <w:t xml:space="preserve"> su tale profilo</w:t>
      </w:r>
      <w:r w:rsidR="0015411F" w:rsidRPr="00E9174D">
        <w:rPr>
          <w:rFonts w:ascii="Garamond" w:hAnsi="Garamond" w:cs="Arial"/>
          <w:sz w:val="25"/>
          <w:szCs w:val="25"/>
        </w:rPr>
        <w:t xml:space="preserve">, </w:t>
      </w:r>
      <w:r w:rsidR="00A420B9" w:rsidRPr="00E9174D">
        <w:rPr>
          <w:rFonts w:ascii="Garamond" w:hAnsi="Garamond" w:cs="Arial"/>
          <w:sz w:val="25"/>
          <w:szCs w:val="25"/>
        </w:rPr>
        <w:t xml:space="preserve">richiamata </w:t>
      </w:r>
      <w:r w:rsidR="00A642BB" w:rsidRPr="00E9174D">
        <w:rPr>
          <w:rFonts w:ascii="Garamond" w:hAnsi="Garamond" w:cs="Arial"/>
          <w:sz w:val="25"/>
          <w:szCs w:val="25"/>
        </w:rPr>
        <w:t>nella delibera del Consiglio dei Ministri</w:t>
      </w:r>
      <w:r w:rsidR="00A420B9" w:rsidRPr="00E9174D">
        <w:rPr>
          <w:rFonts w:ascii="Garamond" w:hAnsi="Garamond" w:cs="Arial"/>
          <w:sz w:val="25"/>
          <w:szCs w:val="25"/>
        </w:rPr>
        <w:t xml:space="preserve"> e nel D.P.R.</w:t>
      </w:r>
      <w:r w:rsidR="00A642BB" w:rsidRPr="00E9174D">
        <w:rPr>
          <w:rFonts w:ascii="Garamond" w:hAnsi="Garamond" w:cs="Arial"/>
          <w:sz w:val="25"/>
          <w:szCs w:val="25"/>
        </w:rPr>
        <w:t>,</w:t>
      </w:r>
      <w:r w:rsidRPr="00E9174D">
        <w:rPr>
          <w:rFonts w:ascii="Garamond" w:hAnsi="Garamond" w:cs="Arial"/>
          <w:sz w:val="25"/>
          <w:szCs w:val="25"/>
        </w:rPr>
        <w:t xml:space="preserve"> </w:t>
      </w:r>
      <w:r w:rsidR="00A642BB" w:rsidRPr="00E9174D">
        <w:rPr>
          <w:rFonts w:ascii="Garamond" w:hAnsi="Garamond" w:cs="Arial"/>
          <w:sz w:val="25"/>
          <w:szCs w:val="25"/>
        </w:rPr>
        <w:t>non</w:t>
      </w:r>
      <w:r w:rsidR="00B64205" w:rsidRPr="00E9174D">
        <w:rPr>
          <w:rFonts w:ascii="Garamond" w:hAnsi="Garamond" w:cs="Arial"/>
          <w:sz w:val="25"/>
          <w:szCs w:val="25"/>
        </w:rPr>
        <w:t xml:space="preserve"> possa ritenersi auspicabile anche in altri casi, diversi dall’eccezionalità del momento, </w:t>
      </w:r>
      <w:r w:rsidRPr="00E9174D">
        <w:rPr>
          <w:rFonts w:ascii="Garamond" w:hAnsi="Garamond" w:cs="Arial"/>
          <w:sz w:val="25"/>
          <w:szCs w:val="25"/>
        </w:rPr>
        <w:t>posto che il sacrific</w:t>
      </w:r>
      <w:r w:rsidR="00B64205" w:rsidRPr="00E9174D">
        <w:rPr>
          <w:rFonts w:ascii="Garamond" w:hAnsi="Garamond" w:cs="Arial"/>
          <w:sz w:val="25"/>
          <w:szCs w:val="25"/>
        </w:rPr>
        <w:t>i</w:t>
      </w:r>
      <w:r w:rsidRPr="00E9174D">
        <w:rPr>
          <w:rFonts w:ascii="Garamond" w:hAnsi="Garamond" w:cs="Arial"/>
          <w:sz w:val="25"/>
          <w:szCs w:val="25"/>
        </w:rPr>
        <w:t>o dell’autonomia costitu</w:t>
      </w:r>
      <w:r w:rsidR="00FE516D" w:rsidRPr="00E9174D">
        <w:rPr>
          <w:rFonts w:ascii="Garamond" w:hAnsi="Garamond" w:cs="Arial"/>
          <w:sz w:val="25"/>
          <w:szCs w:val="25"/>
        </w:rPr>
        <w:t>z</w:t>
      </w:r>
      <w:r w:rsidR="009D4BAD" w:rsidRPr="00E9174D">
        <w:rPr>
          <w:rFonts w:ascii="Garamond" w:hAnsi="Garamond" w:cs="Arial"/>
          <w:sz w:val="25"/>
          <w:szCs w:val="25"/>
        </w:rPr>
        <w:t>ionale degli Enti locali impone</w:t>
      </w:r>
      <w:r w:rsidRPr="00E9174D">
        <w:rPr>
          <w:rFonts w:ascii="Garamond" w:hAnsi="Garamond" w:cs="Arial"/>
          <w:sz w:val="25"/>
          <w:szCs w:val="25"/>
        </w:rPr>
        <w:t xml:space="preserve"> una solida motivazione del provvedimento amministrativo, a maggior ragione considerata la natura f</w:t>
      </w:r>
      <w:r w:rsidR="0099200A" w:rsidRPr="00E9174D">
        <w:rPr>
          <w:rFonts w:ascii="Garamond" w:hAnsi="Garamond" w:cs="Arial"/>
          <w:sz w:val="25"/>
          <w:szCs w:val="25"/>
        </w:rPr>
        <w:t>ortemente discrezionale di esso.</w:t>
      </w:r>
      <w:r w:rsidR="009D4BAD" w:rsidRPr="00E9174D">
        <w:rPr>
          <w:rFonts w:ascii="Garamond" w:hAnsi="Garamond" w:cs="Arial"/>
          <w:sz w:val="25"/>
          <w:szCs w:val="25"/>
        </w:rPr>
        <w:t xml:space="preserve"> </w:t>
      </w:r>
    </w:p>
    <w:p w14:paraId="14DDAF9E" w14:textId="76B8FDC2" w:rsidR="00DC1A98" w:rsidRPr="00E9174D" w:rsidRDefault="00B64205" w:rsidP="00E41FB6">
      <w:pPr>
        <w:spacing w:line="320" w:lineRule="exact"/>
        <w:ind w:firstLine="426"/>
        <w:jc w:val="both"/>
        <w:rPr>
          <w:rFonts w:ascii="Garamond" w:hAnsi="Garamond" w:cs="Arial"/>
          <w:sz w:val="25"/>
          <w:szCs w:val="25"/>
        </w:rPr>
      </w:pPr>
      <w:r w:rsidRPr="00E9174D">
        <w:rPr>
          <w:rFonts w:ascii="Garamond" w:hAnsi="Garamond" w:cs="Arial"/>
          <w:sz w:val="25"/>
          <w:szCs w:val="25"/>
        </w:rPr>
        <w:t>In ogni caso al fine di apprezzare la differenza tra il c</w:t>
      </w:r>
      <w:r w:rsidR="00493347" w:rsidRPr="00E9174D">
        <w:rPr>
          <w:rFonts w:ascii="Garamond" w:hAnsi="Garamond" w:cs="Arial"/>
          <w:sz w:val="25"/>
          <w:szCs w:val="25"/>
        </w:rPr>
        <w:t>aso in esame e i precedenti, è</w:t>
      </w:r>
      <w:r w:rsidRPr="00E9174D">
        <w:rPr>
          <w:rFonts w:ascii="Garamond" w:hAnsi="Garamond" w:cs="Arial"/>
          <w:sz w:val="25"/>
          <w:szCs w:val="25"/>
        </w:rPr>
        <w:t xml:space="preserve"> sufficiente </w:t>
      </w:r>
      <w:r w:rsidR="00FE516D" w:rsidRPr="00E9174D">
        <w:rPr>
          <w:rFonts w:ascii="Garamond" w:hAnsi="Garamond" w:cs="Arial"/>
          <w:sz w:val="25"/>
          <w:szCs w:val="25"/>
        </w:rPr>
        <w:t>rammenta</w:t>
      </w:r>
      <w:r w:rsidRPr="00E9174D">
        <w:rPr>
          <w:rFonts w:ascii="Garamond" w:hAnsi="Garamond" w:cs="Arial"/>
          <w:sz w:val="25"/>
          <w:szCs w:val="25"/>
        </w:rPr>
        <w:t xml:space="preserve">re </w:t>
      </w:r>
      <w:r w:rsidR="00FE516D" w:rsidRPr="00E9174D">
        <w:rPr>
          <w:rFonts w:ascii="Garamond" w:hAnsi="Garamond" w:cs="Arial"/>
          <w:sz w:val="25"/>
          <w:szCs w:val="25"/>
        </w:rPr>
        <w:t>l’annullamento dei regolamenti comunali che prevedevano punteggi preferenziali per i cittadini residenti in determinate Regioni, ponendosi in contrasto con l’unità dell’ordinamento giuridico e con l’uguaglianza nell’accesso ai pubblici uffici (es. DPR 4.5.1998, DPR 3.11.1998, DPR 5.2.1999)</w:t>
      </w:r>
      <w:r w:rsidR="00F32086" w:rsidRPr="00E9174D">
        <w:rPr>
          <w:rFonts w:ascii="Garamond" w:hAnsi="Garamond" w:cs="Arial"/>
          <w:sz w:val="25"/>
          <w:szCs w:val="25"/>
        </w:rPr>
        <w:t>,</w:t>
      </w:r>
      <w:r w:rsidR="00FE516D" w:rsidRPr="00E9174D">
        <w:rPr>
          <w:rFonts w:ascii="Garamond" w:hAnsi="Garamond" w:cs="Arial"/>
          <w:sz w:val="25"/>
          <w:szCs w:val="25"/>
        </w:rPr>
        <w:t xml:space="preserve"> oppure, secondo logica analoga, dei regolamenti che prevedevano punteggi preferenziali per l’accesso agli asili nido (DPR 25.8.1999); </w:t>
      </w:r>
      <w:r w:rsidR="00101515" w:rsidRPr="00E9174D">
        <w:rPr>
          <w:rFonts w:ascii="Garamond" w:hAnsi="Garamond" w:cs="Arial"/>
          <w:sz w:val="25"/>
          <w:szCs w:val="25"/>
        </w:rPr>
        <w:t xml:space="preserve">degli statuti comunali </w:t>
      </w:r>
      <w:r w:rsidR="00DC1A98" w:rsidRPr="00E9174D">
        <w:rPr>
          <w:rFonts w:ascii="Garamond" w:hAnsi="Garamond" w:cs="Arial"/>
          <w:sz w:val="25"/>
          <w:szCs w:val="25"/>
        </w:rPr>
        <w:t>che attribuiva</w:t>
      </w:r>
      <w:r w:rsidR="00101515" w:rsidRPr="00E9174D">
        <w:rPr>
          <w:rFonts w:ascii="Garamond" w:hAnsi="Garamond" w:cs="Arial"/>
          <w:sz w:val="25"/>
          <w:szCs w:val="25"/>
        </w:rPr>
        <w:t>no</w:t>
      </w:r>
      <w:r w:rsidR="00DC1A98" w:rsidRPr="00E9174D">
        <w:rPr>
          <w:rFonts w:ascii="Garamond" w:hAnsi="Garamond" w:cs="Arial"/>
          <w:sz w:val="25"/>
          <w:szCs w:val="25"/>
        </w:rPr>
        <w:t xml:space="preserve"> agli stranieri extracomunitari l’elettorato attivo e passivo nelle elezioni comunali (DPR n. </w:t>
      </w:r>
      <w:r w:rsidR="00B93526" w:rsidRPr="00E9174D">
        <w:rPr>
          <w:rFonts w:ascii="Garamond" w:hAnsi="Garamond" w:cs="Arial"/>
          <w:sz w:val="25"/>
          <w:szCs w:val="25"/>
        </w:rPr>
        <w:t>20.3.2006, 3.4.2006, 14.4.2006)</w:t>
      </w:r>
      <w:r w:rsidR="002211A9" w:rsidRPr="00E9174D">
        <w:rPr>
          <w:rStyle w:val="Rimandonotaapidipagina"/>
          <w:rFonts w:ascii="Garamond" w:hAnsi="Garamond" w:cs="Arial"/>
          <w:sz w:val="25"/>
          <w:szCs w:val="25"/>
        </w:rPr>
        <w:footnoteReference w:id="7"/>
      </w:r>
      <w:r w:rsidR="00B93526" w:rsidRPr="00E9174D">
        <w:rPr>
          <w:rFonts w:ascii="Garamond" w:hAnsi="Garamond" w:cs="Arial"/>
          <w:sz w:val="25"/>
          <w:szCs w:val="25"/>
        </w:rPr>
        <w:t>.</w:t>
      </w:r>
      <w:r w:rsidR="00F4073F" w:rsidRPr="00E9174D">
        <w:rPr>
          <w:rFonts w:ascii="Garamond" w:hAnsi="Garamond" w:cs="Arial"/>
          <w:sz w:val="25"/>
          <w:szCs w:val="25"/>
        </w:rPr>
        <w:t xml:space="preserve"> </w:t>
      </w:r>
      <w:r w:rsidR="00B93526" w:rsidRPr="00E9174D">
        <w:rPr>
          <w:rFonts w:ascii="Garamond" w:hAnsi="Garamond" w:cs="Arial"/>
          <w:sz w:val="25"/>
          <w:szCs w:val="25"/>
        </w:rPr>
        <w:t xml:space="preserve">Diversi i casi in cui la stravaganza </w:t>
      </w:r>
      <w:r w:rsidR="005540AA" w:rsidRPr="00E9174D">
        <w:rPr>
          <w:rFonts w:ascii="Garamond" w:hAnsi="Garamond" w:cs="Arial"/>
          <w:sz w:val="25"/>
          <w:szCs w:val="25"/>
        </w:rPr>
        <w:t xml:space="preserve">e l’abnormità del provvedimento comunale, </w:t>
      </w:r>
      <w:r w:rsidR="00B93526" w:rsidRPr="00E9174D">
        <w:rPr>
          <w:rFonts w:ascii="Garamond" w:hAnsi="Garamond" w:cs="Arial"/>
          <w:sz w:val="25"/>
          <w:szCs w:val="25"/>
        </w:rPr>
        <w:t>ha</w:t>
      </w:r>
      <w:r w:rsidR="005540AA" w:rsidRPr="00E9174D">
        <w:rPr>
          <w:rFonts w:ascii="Garamond" w:hAnsi="Garamond" w:cs="Arial"/>
          <w:sz w:val="25"/>
          <w:szCs w:val="25"/>
        </w:rPr>
        <w:t>nno</w:t>
      </w:r>
      <w:r w:rsidR="00B93526" w:rsidRPr="00E9174D">
        <w:rPr>
          <w:rFonts w:ascii="Garamond" w:hAnsi="Garamond" w:cs="Arial"/>
          <w:sz w:val="25"/>
          <w:szCs w:val="25"/>
        </w:rPr>
        <w:t xml:space="preserve"> palesato </w:t>
      </w:r>
      <w:r w:rsidR="005540AA" w:rsidRPr="00E9174D">
        <w:rPr>
          <w:rFonts w:ascii="Garamond" w:hAnsi="Garamond" w:cs="Arial"/>
          <w:sz w:val="25"/>
          <w:szCs w:val="25"/>
        </w:rPr>
        <w:t>l’esigenza di tutelare l’unità dell’ordinamento. S</w:t>
      </w:r>
      <w:r w:rsidR="00B93526" w:rsidRPr="00E9174D">
        <w:rPr>
          <w:rFonts w:ascii="Garamond" w:hAnsi="Garamond" w:cs="Arial"/>
          <w:sz w:val="25"/>
          <w:szCs w:val="25"/>
        </w:rPr>
        <w:t>i rammenti l’annullamento dell’ordinanza di un Sindaco che aveva vietato l’atterraggio di arei militari nell’aeroporto cittadino a tutela della pubblica incolumità, vista la presenza nei pressi dell’</w:t>
      </w:r>
      <w:r w:rsidR="00211C49" w:rsidRPr="00E9174D">
        <w:rPr>
          <w:rFonts w:ascii="Garamond" w:hAnsi="Garamond" w:cs="Arial"/>
          <w:sz w:val="25"/>
          <w:szCs w:val="25"/>
        </w:rPr>
        <w:t>aeroporto di una raffineria (</w:t>
      </w:r>
      <w:r w:rsidR="00B93526" w:rsidRPr="00E9174D">
        <w:rPr>
          <w:rFonts w:ascii="Garamond" w:hAnsi="Garamond" w:cs="Arial"/>
          <w:sz w:val="25"/>
          <w:szCs w:val="25"/>
        </w:rPr>
        <w:t>cfr. parer</w:t>
      </w:r>
      <w:r w:rsidR="00227EA2" w:rsidRPr="00E9174D">
        <w:rPr>
          <w:rFonts w:ascii="Garamond" w:hAnsi="Garamond" w:cs="Arial"/>
          <w:sz w:val="25"/>
          <w:szCs w:val="25"/>
        </w:rPr>
        <w:t>e Cons. St., sez. I, 1313/2003).</w:t>
      </w:r>
    </w:p>
    <w:p w14:paraId="17A6EEDB" w14:textId="77777777" w:rsidR="00DC1A98" w:rsidRPr="00E9174D" w:rsidRDefault="00DC1A98" w:rsidP="00E41FB6">
      <w:pPr>
        <w:spacing w:line="320" w:lineRule="exact"/>
        <w:ind w:firstLine="426"/>
        <w:jc w:val="both"/>
        <w:rPr>
          <w:rFonts w:ascii="Garamond" w:hAnsi="Garamond" w:cs="Arial"/>
          <w:sz w:val="25"/>
          <w:szCs w:val="25"/>
        </w:rPr>
      </w:pPr>
    </w:p>
    <w:p w14:paraId="06C4579E" w14:textId="77777777" w:rsidR="00916FCB" w:rsidRPr="00E9174D" w:rsidRDefault="00916FCB" w:rsidP="00E41FB6">
      <w:pPr>
        <w:spacing w:line="320" w:lineRule="exact"/>
        <w:ind w:firstLine="426"/>
        <w:jc w:val="both"/>
        <w:rPr>
          <w:rFonts w:ascii="Garamond" w:hAnsi="Garamond" w:cs="Arial"/>
          <w:sz w:val="25"/>
          <w:szCs w:val="25"/>
        </w:rPr>
      </w:pPr>
    </w:p>
    <w:p w14:paraId="6B571329" w14:textId="2E9CE875" w:rsidR="00C55BFE" w:rsidRPr="00E9174D" w:rsidRDefault="00185D01" w:rsidP="00E41FB6">
      <w:pPr>
        <w:spacing w:line="320" w:lineRule="exact"/>
        <w:ind w:firstLine="426"/>
        <w:jc w:val="both"/>
        <w:rPr>
          <w:rFonts w:ascii="Garamond" w:hAnsi="Garamond" w:cs="Arial"/>
          <w:sz w:val="25"/>
          <w:szCs w:val="25"/>
        </w:rPr>
      </w:pPr>
      <w:r w:rsidRPr="00E9174D">
        <w:rPr>
          <w:rFonts w:ascii="Garamond" w:hAnsi="Garamond" w:cs="Arial"/>
          <w:sz w:val="25"/>
          <w:szCs w:val="25"/>
        </w:rPr>
        <w:t>6</w:t>
      </w:r>
      <w:r w:rsidR="009766E0" w:rsidRPr="00E9174D">
        <w:rPr>
          <w:rFonts w:ascii="Garamond" w:hAnsi="Garamond" w:cs="Arial"/>
          <w:sz w:val="25"/>
          <w:szCs w:val="25"/>
        </w:rPr>
        <w:t xml:space="preserve">. </w:t>
      </w:r>
      <w:r w:rsidR="009766E0" w:rsidRPr="00E9174D">
        <w:rPr>
          <w:rFonts w:ascii="Garamond" w:hAnsi="Garamond" w:cs="Arial"/>
          <w:i/>
          <w:sz w:val="25"/>
          <w:szCs w:val="25"/>
        </w:rPr>
        <w:t>Il contraddittorio</w:t>
      </w:r>
    </w:p>
    <w:p w14:paraId="764B8907" w14:textId="77777777" w:rsidR="009766E0" w:rsidRPr="00E9174D" w:rsidRDefault="009766E0" w:rsidP="00E41FB6">
      <w:pPr>
        <w:spacing w:line="320" w:lineRule="exact"/>
        <w:ind w:firstLine="426"/>
        <w:jc w:val="both"/>
        <w:rPr>
          <w:rFonts w:ascii="Garamond" w:hAnsi="Garamond" w:cs="Arial"/>
          <w:sz w:val="25"/>
          <w:szCs w:val="25"/>
        </w:rPr>
      </w:pPr>
    </w:p>
    <w:p w14:paraId="5D4C4E80" w14:textId="5A0C3813" w:rsidR="009766E0" w:rsidRPr="00E9174D" w:rsidRDefault="009766E0" w:rsidP="00E41FB6">
      <w:pPr>
        <w:spacing w:line="320" w:lineRule="exact"/>
        <w:ind w:firstLine="426"/>
        <w:jc w:val="both"/>
        <w:rPr>
          <w:rFonts w:ascii="Garamond" w:hAnsi="Garamond" w:cs="Arial"/>
          <w:sz w:val="25"/>
          <w:szCs w:val="25"/>
        </w:rPr>
      </w:pPr>
      <w:r w:rsidRPr="00E9174D">
        <w:rPr>
          <w:rFonts w:ascii="Garamond" w:hAnsi="Garamond" w:cs="Arial"/>
          <w:sz w:val="25"/>
          <w:szCs w:val="25"/>
        </w:rPr>
        <w:t xml:space="preserve">Il Consiglio di Stato ha peraltro ritenuto (par. 10) che non fosse necessario garantire </w:t>
      </w:r>
      <w:r w:rsidR="00682C28" w:rsidRPr="00E9174D">
        <w:rPr>
          <w:rFonts w:ascii="Garamond" w:hAnsi="Garamond" w:cs="Arial"/>
          <w:sz w:val="25"/>
          <w:szCs w:val="25"/>
        </w:rPr>
        <w:t>la partecipazione del Comune di Messina al procedimento amministrativo, vista l’urgenza di provvedere alla tempestiva rimozione dall’ordinamento giuridico dell’ordinanza</w:t>
      </w:r>
      <w:r w:rsidR="00BE00C3" w:rsidRPr="00E9174D">
        <w:rPr>
          <w:rFonts w:ascii="Garamond" w:hAnsi="Garamond" w:cs="Arial"/>
          <w:sz w:val="25"/>
          <w:szCs w:val="25"/>
        </w:rPr>
        <w:t xml:space="preserve"> (</w:t>
      </w:r>
      <w:r w:rsidR="000B4AFA" w:rsidRPr="00E9174D">
        <w:rPr>
          <w:rFonts w:ascii="Garamond" w:hAnsi="Garamond" w:cs="Arial"/>
          <w:sz w:val="25"/>
          <w:szCs w:val="25"/>
        </w:rPr>
        <w:t xml:space="preserve">sulle garanzie partecipative </w:t>
      </w:r>
      <w:r w:rsidR="00BE00C3" w:rsidRPr="00E9174D">
        <w:rPr>
          <w:rFonts w:ascii="Garamond" w:hAnsi="Garamond" w:cs="Arial"/>
          <w:sz w:val="25"/>
          <w:szCs w:val="25"/>
        </w:rPr>
        <w:t>cfr. Cons</w:t>
      </w:r>
      <w:r w:rsidR="00682C28" w:rsidRPr="00E9174D">
        <w:rPr>
          <w:rFonts w:ascii="Garamond" w:hAnsi="Garamond" w:cs="Arial"/>
          <w:sz w:val="25"/>
          <w:szCs w:val="25"/>
        </w:rPr>
        <w:t>.</w:t>
      </w:r>
      <w:r w:rsidR="00BE00C3" w:rsidRPr="00E9174D">
        <w:rPr>
          <w:rFonts w:ascii="Garamond" w:hAnsi="Garamond" w:cs="Arial"/>
          <w:sz w:val="25"/>
          <w:szCs w:val="25"/>
        </w:rPr>
        <w:t xml:space="preserve"> St., sez. I, 9771/2004).</w:t>
      </w:r>
    </w:p>
    <w:p w14:paraId="4D7E8E73" w14:textId="1893E4FF" w:rsidR="00682C28" w:rsidRPr="00E9174D" w:rsidRDefault="00F32086" w:rsidP="00E41FB6">
      <w:pPr>
        <w:spacing w:line="320" w:lineRule="exact"/>
        <w:ind w:firstLine="426"/>
        <w:jc w:val="both"/>
        <w:rPr>
          <w:rFonts w:ascii="Garamond" w:hAnsi="Garamond" w:cs="Arial"/>
          <w:sz w:val="25"/>
          <w:szCs w:val="25"/>
        </w:rPr>
      </w:pPr>
      <w:r w:rsidRPr="00E9174D">
        <w:rPr>
          <w:rFonts w:ascii="Garamond" w:hAnsi="Garamond" w:cs="Arial"/>
          <w:sz w:val="25"/>
          <w:szCs w:val="25"/>
        </w:rPr>
        <w:t>Non vi è dubbio come</w:t>
      </w:r>
      <w:r w:rsidR="00682C28" w:rsidRPr="00E9174D">
        <w:rPr>
          <w:rFonts w:ascii="Garamond" w:hAnsi="Garamond" w:cs="Arial"/>
          <w:sz w:val="25"/>
          <w:szCs w:val="25"/>
        </w:rPr>
        <w:t xml:space="preserve"> nel caso di specie, vista anche la tempistica dell’ordinanza e la data in cui il parere è stato reso, l’art. 7 l. n. 241/1990 l</w:t>
      </w:r>
      <w:r w:rsidR="00AB111F" w:rsidRPr="00E9174D">
        <w:rPr>
          <w:rFonts w:ascii="Garamond" w:hAnsi="Garamond" w:cs="Arial"/>
          <w:sz w:val="25"/>
          <w:szCs w:val="25"/>
        </w:rPr>
        <w:t>egittimi</w:t>
      </w:r>
      <w:r w:rsidR="000B4AFA" w:rsidRPr="00E9174D">
        <w:rPr>
          <w:rFonts w:ascii="Garamond" w:hAnsi="Garamond" w:cs="Arial"/>
          <w:sz w:val="25"/>
          <w:szCs w:val="25"/>
        </w:rPr>
        <w:t xml:space="preserve"> certamente</w:t>
      </w:r>
      <w:r w:rsidR="00682C28" w:rsidRPr="00E9174D">
        <w:rPr>
          <w:rFonts w:ascii="Garamond" w:hAnsi="Garamond" w:cs="Arial"/>
          <w:sz w:val="25"/>
          <w:szCs w:val="25"/>
        </w:rPr>
        <w:t xml:space="preserve"> il sacrificio del</w:t>
      </w:r>
      <w:r w:rsidR="00AB111F" w:rsidRPr="00E9174D">
        <w:rPr>
          <w:rFonts w:ascii="Garamond" w:hAnsi="Garamond" w:cs="Arial"/>
          <w:sz w:val="25"/>
          <w:szCs w:val="25"/>
        </w:rPr>
        <w:t xml:space="preserve"> contraddittorio procedimentale (per quanto il Comune di Messina sia riuscito a far giungere direttamente al Consiglio dei Ministri del 9 aprile il proprio apporto procedimentale, ritenuto nel merito non decisivo).</w:t>
      </w:r>
    </w:p>
    <w:p w14:paraId="52F408A9" w14:textId="5F19531D" w:rsidR="00CE2FF3" w:rsidRPr="00E9174D" w:rsidRDefault="00682C28" w:rsidP="00E41FB6">
      <w:pPr>
        <w:spacing w:line="320" w:lineRule="exact"/>
        <w:ind w:firstLine="426"/>
        <w:jc w:val="both"/>
        <w:rPr>
          <w:rFonts w:ascii="Garamond" w:hAnsi="Garamond" w:cs="Arial"/>
          <w:sz w:val="25"/>
          <w:szCs w:val="25"/>
        </w:rPr>
      </w:pPr>
      <w:r w:rsidRPr="00E9174D">
        <w:rPr>
          <w:rFonts w:ascii="Garamond" w:hAnsi="Garamond" w:cs="Arial"/>
          <w:sz w:val="25"/>
          <w:szCs w:val="25"/>
        </w:rPr>
        <w:t>Tuttavia</w:t>
      </w:r>
      <w:r w:rsidR="00211C49" w:rsidRPr="00E9174D">
        <w:rPr>
          <w:rFonts w:ascii="Garamond" w:hAnsi="Garamond" w:cs="Arial"/>
          <w:sz w:val="25"/>
          <w:szCs w:val="25"/>
        </w:rPr>
        <w:t>,</w:t>
      </w:r>
      <w:r w:rsidR="002810B3" w:rsidRPr="00E9174D">
        <w:rPr>
          <w:rFonts w:ascii="Garamond" w:hAnsi="Garamond" w:cs="Arial"/>
          <w:sz w:val="25"/>
          <w:szCs w:val="25"/>
        </w:rPr>
        <w:t xml:space="preserve"> più in generale</w:t>
      </w:r>
      <w:r w:rsidR="00211C49" w:rsidRPr="00E9174D">
        <w:rPr>
          <w:rFonts w:ascii="Garamond" w:hAnsi="Garamond" w:cs="Arial"/>
          <w:sz w:val="25"/>
          <w:szCs w:val="25"/>
        </w:rPr>
        <w:t>,</w:t>
      </w:r>
      <w:r w:rsidRPr="00E9174D">
        <w:rPr>
          <w:rFonts w:ascii="Garamond" w:hAnsi="Garamond" w:cs="Arial"/>
          <w:sz w:val="25"/>
          <w:szCs w:val="25"/>
        </w:rPr>
        <w:t xml:space="preserve"> riteniamo che</w:t>
      </w:r>
      <w:r w:rsidR="002810B3" w:rsidRPr="00E9174D">
        <w:rPr>
          <w:rFonts w:ascii="Garamond" w:hAnsi="Garamond" w:cs="Arial"/>
          <w:sz w:val="25"/>
          <w:szCs w:val="25"/>
        </w:rPr>
        <w:t xml:space="preserve"> la riconducibilità dell’art. 138 TUEL nell’alveo del potere sostitutivo </w:t>
      </w:r>
      <w:r w:rsidR="002810B3" w:rsidRPr="00E9174D">
        <w:rPr>
          <w:rFonts w:ascii="Garamond" w:hAnsi="Garamond" w:cs="Arial"/>
          <w:i/>
          <w:sz w:val="25"/>
          <w:szCs w:val="25"/>
        </w:rPr>
        <w:t>ex</w:t>
      </w:r>
      <w:r w:rsidR="002810B3" w:rsidRPr="00E9174D">
        <w:rPr>
          <w:rFonts w:ascii="Garamond" w:hAnsi="Garamond" w:cs="Arial"/>
          <w:sz w:val="25"/>
          <w:szCs w:val="25"/>
        </w:rPr>
        <w:t xml:space="preserve"> art. 120, 2° comma, Cost.</w:t>
      </w:r>
      <w:r w:rsidR="00D66278" w:rsidRPr="00E9174D">
        <w:rPr>
          <w:rFonts w:ascii="Garamond" w:hAnsi="Garamond" w:cs="Arial"/>
          <w:sz w:val="25"/>
          <w:szCs w:val="25"/>
        </w:rPr>
        <w:t xml:space="preserve"> </w:t>
      </w:r>
      <w:r w:rsidR="002810B3" w:rsidRPr="00E9174D">
        <w:rPr>
          <w:rFonts w:ascii="Garamond" w:hAnsi="Garamond" w:cs="Arial"/>
          <w:sz w:val="25"/>
          <w:szCs w:val="25"/>
        </w:rPr>
        <w:t>imporrebbe, quale bilanciamento della compressione dell’autonomia locale, un rafforzamento delle garanzie partecipative</w:t>
      </w:r>
      <w:r w:rsidR="00211C49" w:rsidRPr="00E9174D">
        <w:rPr>
          <w:rFonts w:ascii="Garamond" w:hAnsi="Garamond" w:cs="Arial"/>
          <w:sz w:val="25"/>
          <w:szCs w:val="25"/>
        </w:rPr>
        <w:t xml:space="preserve"> (finanche rispe</w:t>
      </w:r>
      <w:r w:rsidR="00493347" w:rsidRPr="00E9174D">
        <w:rPr>
          <w:rFonts w:ascii="Garamond" w:hAnsi="Garamond" w:cs="Arial"/>
          <w:sz w:val="25"/>
          <w:szCs w:val="25"/>
        </w:rPr>
        <w:t>tto agli artt. 7 e 10 l. n. 241/</w:t>
      </w:r>
      <w:r w:rsidR="00211C49" w:rsidRPr="00E9174D">
        <w:rPr>
          <w:rFonts w:ascii="Garamond" w:hAnsi="Garamond" w:cs="Arial"/>
          <w:sz w:val="25"/>
          <w:szCs w:val="25"/>
        </w:rPr>
        <w:t>1990)</w:t>
      </w:r>
      <w:r w:rsidR="002810B3" w:rsidRPr="00E9174D">
        <w:rPr>
          <w:rFonts w:ascii="Garamond" w:hAnsi="Garamond" w:cs="Arial"/>
          <w:sz w:val="25"/>
          <w:szCs w:val="25"/>
        </w:rPr>
        <w:t xml:space="preserve">, in conformità al principio di leale collaborazione </w:t>
      </w:r>
      <w:r w:rsidR="002810B3" w:rsidRPr="00E9174D">
        <w:rPr>
          <w:rFonts w:ascii="Garamond" w:hAnsi="Garamond" w:cs="Arial"/>
          <w:i/>
          <w:sz w:val="25"/>
          <w:szCs w:val="25"/>
        </w:rPr>
        <w:t>ex</w:t>
      </w:r>
      <w:r w:rsidR="002810B3" w:rsidRPr="00E9174D">
        <w:rPr>
          <w:rFonts w:ascii="Garamond" w:hAnsi="Garamond" w:cs="Arial"/>
          <w:sz w:val="25"/>
          <w:szCs w:val="25"/>
        </w:rPr>
        <w:t xml:space="preserve"> art. 120, 3° comma, Cost. In questa logica potrebbe ritenersi applicabile in via analogica quanto previsto dall’art. 8, 1° comma, l. n. 131/2003, secondo cui è assegnato </w:t>
      </w:r>
      <w:r w:rsidR="00CE2FF3" w:rsidRPr="00E9174D">
        <w:rPr>
          <w:rFonts w:ascii="Garamond" w:hAnsi="Garamond" w:cs="Arial"/>
          <w:sz w:val="25"/>
          <w:szCs w:val="25"/>
        </w:rPr>
        <w:t>“all’</w:t>
      </w:r>
      <w:r w:rsidR="002810B3" w:rsidRPr="00E9174D">
        <w:rPr>
          <w:rFonts w:ascii="Garamond" w:hAnsi="Garamond" w:cs="Arial"/>
          <w:sz w:val="25"/>
          <w:szCs w:val="25"/>
        </w:rPr>
        <w:t>ente interessato</w:t>
      </w:r>
      <w:r w:rsidR="00CE2FF3" w:rsidRPr="00E9174D">
        <w:rPr>
          <w:rFonts w:ascii="Garamond" w:hAnsi="Garamond" w:cs="Arial"/>
          <w:sz w:val="25"/>
          <w:szCs w:val="25"/>
        </w:rPr>
        <w:t>”</w:t>
      </w:r>
      <w:r w:rsidR="002810B3" w:rsidRPr="00E9174D">
        <w:rPr>
          <w:rFonts w:ascii="Garamond" w:hAnsi="Garamond" w:cs="Arial"/>
          <w:sz w:val="25"/>
          <w:szCs w:val="25"/>
        </w:rPr>
        <w:t xml:space="preserve"> un congruo termine per adottare “i provvedimenti dovuti o necessari”, dovendo intendersi</w:t>
      </w:r>
      <w:r w:rsidR="00F366BB" w:rsidRPr="00E9174D">
        <w:rPr>
          <w:rFonts w:ascii="Garamond" w:hAnsi="Garamond" w:cs="Arial"/>
          <w:sz w:val="25"/>
          <w:szCs w:val="25"/>
        </w:rPr>
        <w:t xml:space="preserve"> con tale nozione</w:t>
      </w:r>
      <w:r w:rsidR="002810B3" w:rsidRPr="00E9174D">
        <w:rPr>
          <w:rFonts w:ascii="Garamond" w:hAnsi="Garamond" w:cs="Arial"/>
          <w:sz w:val="25"/>
          <w:szCs w:val="25"/>
        </w:rPr>
        <w:t xml:space="preserve"> ai fini dell’art. 138 TUEL (non quelli in luogo dell’inerzia ma) quelli di annullamento in autotutela dei provvedimenti precedentemente</w:t>
      </w:r>
      <w:r w:rsidR="00CE2FF3" w:rsidRPr="00E9174D">
        <w:rPr>
          <w:rFonts w:ascii="Garamond" w:hAnsi="Garamond" w:cs="Arial"/>
          <w:sz w:val="25"/>
          <w:szCs w:val="25"/>
        </w:rPr>
        <w:t xml:space="preserve"> adottati; soltanto una volta decorso tale termine il Governo potrebbe esercitare il potere di annullamento straordinario.</w:t>
      </w:r>
    </w:p>
    <w:p w14:paraId="66976B4B" w14:textId="77777777" w:rsidR="00CE2FF3" w:rsidRPr="00E9174D" w:rsidRDefault="00CE2FF3" w:rsidP="00E41FB6">
      <w:pPr>
        <w:spacing w:line="320" w:lineRule="exact"/>
        <w:ind w:firstLine="426"/>
        <w:jc w:val="both"/>
        <w:rPr>
          <w:rFonts w:ascii="Garamond" w:hAnsi="Garamond" w:cs="Arial"/>
          <w:sz w:val="25"/>
          <w:szCs w:val="25"/>
        </w:rPr>
      </w:pPr>
    </w:p>
    <w:p w14:paraId="3561F369" w14:textId="77777777" w:rsidR="00916FCB" w:rsidRPr="00E9174D" w:rsidRDefault="00916FCB" w:rsidP="00E41FB6">
      <w:pPr>
        <w:spacing w:line="320" w:lineRule="exact"/>
        <w:ind w:firstLine="426"/>
        <w:jc w:val="both"/>
        <w:rPr>
          <w:rFonts w:ascii="Garamond" w:hAnsi="Garamond" w:cs="Arial"/>
          <w:sz w:val="25"/>
          <w:szCs w:val="25"/>
        </w:rPr>
      </w:pPr>
    </w:p>
    <w:p w14:paraId="59FC10C2" w14:textId="020A1F1F" w:rsidR="00CE2FF3" w:rsidRPr="00E9174D" w:rsidRDefault="00185D01" w:rsidP="00E41FB6">
      <w:pPr>
        <w:spacing w:line="320" w:lineRule="exact"/>
        <w:ind w:firstLine="426"/>
        <w:jc w:val="both"/>
        <w:rPr>
          <w:rFonts w:ascii="Garamond" w:hAnsi="Garamond" w:cs="Arial"/>
          <w:sz w:val="25"/>
          <w:szCs w:val="25"/>
        </w:rPr>
      </w:pPr>
      <w:r w:rsidRPr="00E9174D">
        <w:rPr>
          <w:rFonts w:ascii="Garamond" w:hAnsi="Garamond" w:cs="Arial"/>
          <w:sz w:val="25"/>
          <w:szCs w:val="25"/>
        </w:rPr>
        <w:t>7</w:t>
      </w:r>
      <w:r w:rsidR="00CC5C4D" w:rsidRPr="00E9174D">
        <w:rPr>
          <w:rFonts w:ascii="Garamond" w:hAnsi="Garamond" w:cs="Arial"/>
          <w:sz w:val="25"/>
          <w:szCs w:val="25"/>
        </w:rPr>
        <w:t xml:space="preserve">. </w:t>
      </w:r>
      <w:r w:rsidR="00CC5C4D" w:rsidRPr="00E9174D">
        <w:rPr>
          <w:rFonts w:ascii="Garamond" w:hAnsi="Garamond" w:cs="Arial"/>
          <w:i/>
          <w:sz w:val="25"/>
          <w:szCs w:val="25"/>
        </w:rPr>
        <w:t>L’interesse del Governo all’annullamento e non alla</w:t>
      </w:r>
      <w:r w:rsidRPr="00E9174D">
        <w:rPr>
          <w:rFonts w:ascii="Garamond" w:hAnsi="Garamond" w:cs="Arial"/>
          <w:i/>
          <w:sz w:val="25"/>
          <w:szCs w:val="25"/>
        </w:rPr>
        <w:t xml:space="preserve"> mera</w:t>
      </w:r>
      <w:r w:rsidR="00CC5C4D" w:rsidRPr="00E9174D">
        <w:rPr>
          <w:rFonts w:ascii="Garamond" w:hAnsi="Garamond" w:cs="Arial"/>
          <w:i/>
          <w:sz w:val="25"/>
          <w:szCs w:val="25"/>
        </w:rPr>
        <w:t xml:space="preserve"> dichiarazione di inefficacia</w:t>
      </w:r>
      <w:r w:rsidR="00274F50" w:rsidRPr="00E9174D">
        <w:rPr>
          <w:rFonts w:ascii="Garamond" w:hAnsi="Garamond" w:cs="Arial"/>
          <w:i/>
          <w:sz w:val="25"/>
          <w:szCs w:val="25"/>
        </w:rPr>
        <w:t xml:space="preserve"> </w:t>
      </w:r>
    </w:p>
    <w:p w14:paraId="2A3E6E8D" w14:textId="77777777" w:rsidR="00763B7F" w:rsidRPr="00E9174D" w:rsidRDefault="00763B7F" w:rsidP="00E41FB6">
      <w:pPr>
        <w:spacing w:line="320" w:lineRule="exact"/>
        <w:ind w:firstLine="426"/>
        <w:jc w:val="both"/>
        <w:rPr>
          <w:rFonts w:ascii="Garamond" w:hAnsi="Garamond" w:cs="Arial"/>
          <w:sz w:val="25"/>
          <w:szCs w:val="25"/>
        </w:rPr>
      </w:pPr>
    </w:p>
    <w:p w14:paraId="105FD63D" w14:textId="101900C4" w:rsidR="00BE00C3" w:rsidRPr="00E9174D" w:rsidRDefault="00763B7F" w:rsidP="00BE00C3">
      <w:pPr>
        <w:spacing w:line="320" w:lineRule="exact"/>
        <w:ind w:firstLine="426"/>
        <w:jc w:val="both"/>
        <w:rPr>
          <w:rFonts w:ascii="Garamond" w:hAnsi="Garamond" w:cs="Arial"/>
          <w:sz w:val="25"/>
          <w:szCs w:val="25"/>
        </w:rPr>
      </w:pPr>
      <w:r w:rsidRPr="00E9174D">
        <w:rPr>
          <w:rFonts w:ascii="Garamond" w:hAnsi="Garamond" w:cs="Arial"/>
          <w:sz w:val="25"/>
          <w:szCs w:val="25"/>
        </w:rPr>
        <w:t>Nel parere</w:t>
      </w:r>
      <w:r w:rsidR="000F6D06" w:rsidRPr="00E9174D">
        <w:rPr>
          <w:rFonts w:ascii="Garamond" w:hAnsi="Garamond" w:cs="Arial"/>
          <w:sz w:val="25"/>
          <w:szCs w:val="25"/>
        </w:rPr>
        <w:t xml:space="preserve"> (par. 9)</w:t>
      </w:r>
      <w:r w:rsidRPr="00E9174D">
        <w:rPr>
          <w:rFonts w:ascii="Garamond" w:hAnsi="Garamond" w:cs="Arial"/>
          <w:sz w:val="25"/>
          <w:szCs w:val="25"/>
        </w:rPr>
        <w:t xml:space="preserve"> si osse</w:t>
      </w:r>
      <w:r w:rsidR="00AD2C9B" w:rsidRPr="00E9174D">
        <w:rPr>
          <w:rFonts w:ascii="Garamond" w:hAnsi="Garamond" w:cs="Arial"/>
          <w:sz w:val="25"/>
          <w:szCs w:val="25"/>
        </w:rPr>
        <w:t>rva</w:t>
      </w:r>
      <w:r w:rsidR="000F6D06" w:rsidRPr="00E9174D">
        <w:rPr>
          <w:rFonts w:ascii="Garamond" w:hAnsi="Garamond" w:cs="Arial"/>
          <w:sz w:val="25"/>
          <w:szCs w:val="25"/>
        </w:rPr>
        <w:t xml:space="preserve"> </w:t>
      </w:r>
      <w:r w:rsidR="00AD2C9B" w:rsidRPr="00E9174D">
        <w:rPr>
          <w:rFonts w:ascii="Garamond" w:hAnsi="Garamond" w:cs="Arial"/>
          <w:sz w:val="25"/>
          <w:szCs w:val="25"/>
        </w:rPr>
        <w:t xml:space="preserve">altresì come la sanzione di </w:t>
      </w:r>
      <w:r w:rsidRPr="00E9174D">
        <w:rPr>
          <w:rFonts w:ascii="Garamond" w:hAnsi="Garamond" w:cs="Arial"/>
          <w:sz w:val="25"/>
          <w:szCs w:val="25"/>
        </w:rPr>
        <w:t>inefficacia prevista espressamente dall’art. 3, 2° comma, d.l. n. 19/2020 per le ordinanze contingibili ed urgenti dirette a fronteggiare l’emergenza in c</w:t>
      </w:r>
      <w:r w:rsidR="000F6D06" w:rsidRPr="00E9174D">
        <w:rPr>
          <w:rFonts w:ascii="Garamond" w:hAnsi="Garamond" w:cs="Arial"/>
          <w:sz w:val="25"/>
          <w:szCs w:val="25"/>
        </w:rPr>
        <w:t xml:space="preserve">ontrasto con le misure statali </w:t>
      </w:r>
      <w:r w:rsidRPr="00E9174D">
        <w:rPr>
          <w:rFonts w:ascii="Garamond" w:hAnsi="Garamond" w:cs="Arial"/>
          <w:sz w:val="25"/>
          <w:szCs w:val="25"/>
        </w:rPr>
        <w:t>o ecceden</w:t>
      </w:r>
      <w:r w:rsidR="000F6D06" w:rsidRPr="00E9174D">
        <w:rPr>
          <w:rFonts w:ascii="Garamond" w:hAnsi="Garamond" w:cs="Arial"/>
          <w:sz w:val="25"/>
          <w:szCs w:val="25"/>
        </w:rPr>
        <w:t>ti il limite di cui al 1° comma</w:t>
      </w:r>
      <w:r w:rsidRPr="00E9174D">
        <w:rPr>
          <w:rFonts w:ascii="Garamond" w:hAnsi="Garamond" w:cs="Arial"/>
          <w:sz w:val="25"/>
          <w:szCs w:val="25"/>
        </w:rPr>
        <w:t xml:space="preserve"> non faccia venir meno l’interesse dello Stato a</w:t>
      </w:r>
      <w:r w:rsidR="002937E0" w:rsidRPr="00E9174D">
        <w:rPr>
          <w:rFonts w:ascii="Garamond" w:hAnsi="Garamond" w:cs="Arial"/>
          <w:sz w:val="25"/>
          <w:szCs w:val="25"/>
        </w:rPr>
        <w:t>l tempestivo annullamento dell’</w:t>
      </w:r>
      <w:r w:rsidR="00CC5C4D" w:rsidRPr="00E9174D">
        <w:rPr>
          <w:rFonts w:ascii="Garamond" w:hAnsi="Garamond" w:cs="Arial"/>
          <w:sz w:val="25"/>
          <w:szCs w:val="25"/>
        </w:rPr>
        <w:t>ordinanza, viste la esigenza di rimozione dell’ordinanza per ragioni di “chiarezza e univocità dei precetti a cui i cittadini devono attenersi”.</w:t>
      </w:r>
    </w:p>
    <w:p w14:paraId="7632C046" w14:textId="5AD06D8E" w:rsidR="00BE00C3" w:rsidRPr="00E9174D" w:rsidRDefault="00BE00C3" w:rsidP="00BE00C3">
      <w:pPr>
        <w:spacing w:line="320" w:lineRule="exact"/>
        <w:ind w:firstLine="426"/>
        <w:jc w:val="both"/>
        <w:rPr>
          <w:rFonts w:ascii="Garamond" w:hAnsi="Garamond" w:cs="Arial"/>
          <w:sz w:val="25"/>
          <w:szCs w:val="25"/>
        </w:rPr>
      </w:pPr>
      <w:r w:rsidRPr="00E9174D">
        <w:rPr>
          <w:rFonts w:ascii="Garamond" w:hAnsi="Garamond" w:cs="Arial"/>
          <w:sz w:val="25"/>
          <w:szCs w:val="25"/>
        </w:rPr>
        <w:t>Si tratta di un interesse che la giurisprudenza aveva già qualificato come un interesse statale che deve configurarsi come concreto e attuale sia al momento dell’attivazione del procedimento sia al momento della rimozione (</w:t>
      </w:r>
      <w:r w:rsidR="000F6D06" w:rsidRPr="00E9174D">
        <w:rPr>
          <w:rFonts w:ascii="Garamond" w:hAnsi="Garamond" w:cs="Arial"/>
          <w:sz w:val="25"/>
          <w:szCs w:val="25"/>
        </w:rPr>
        <w:t xml:space="preserve">cfr. già </w:t>
      </w:r>
      <w:r w:rsidRPr="00E9174D">
        <w:rPr>
          <w:rFonts w:ascii="Garamond" w:hAnsi="Garamond" w:cs="Arial"/>
          <w:sz w:val="25"/>
          <w:szCs w:val="25"/>
        </w:rPr>
        <w:t>Tar Lazio, 4.7.1987 n. 1180; Tar Abruzzo, 2.9.1987 n. 312).</w:t>
      </w:r>
    </w:p>
    <w:p w14:paraId="3134ACEF" w14:textId="4A83AE19" w:rsidR="00763B7F" w:rsidRPr="00E9174D" w:rsidRDefault="00763B7F" w:rsidP="00E41FB6">
      <w:pPr>
        <w:spacing w:line="320" w:lineRule="exact"/>
        <w:ind w:firstLine="426"/>
        <w:jc w:val="both"/>
        <w:rPr>
          <w:rFonts w:ascii="Garamond" w:hAnsi="Garamond" w:cs="Arial"/>
          <w:sz w:val="25"/>
          <w:szCs w:val="25"/>
        </w:rPr>
      </w:pPr>
      <w:r w:rsidRPr="00E9174D">
        <w:rPr>
          <w:rFonts w:ascii="Garamond" w:hAnsi="Garamond" w:cs="Arial"/>
          <w:sz w:val="25"/>
          <w:szCs w:val="25"/>
        </w:rPr>
        <w:t>In altre parole la v</w:t>
      </w:r>
      <w:r w:rsidR="002937E0" w:rsidRPr="00E9174D">
        <w:rPr>
          <w:rFonts w:ascii="Garamond" w:hAnsi="Garamond" w:cs="Arial"/>
          <w:sz w:val="25"/>
          <w:szCs w:val="25"/>
        </w:rPr>
        <w:t>icenda in esame palesa tutta l’</w:t>
      </w:r>
      <w:r w:rsidRPr="00E9174D">
        <w:rPr>
          <w:rFonts w:ascii="Garamond" w:hAnsi="Garamond" w:cs="Arial"/>
          <w:sz w:val="25"/>
          <w:szCs w:val="25"/>
        </w:rPr>
        <w:t>inutilità giuridica della suddetta sanzione</w:t>
      </w:r>
      <w:r w:rsidR="000F6D06" w:rsidRPr="00E9174D">
        <w:rPr>
          <w:rFonts w:ascii="Garamond" w:hAnsi="Garamond" w:cs="Arial"/>
          <w:sz w:val="25"/>
          <w:szCs w:val="25"/>
        </w:rPr>
        <w:t xml:space="preserve"> dell’inefficacia</w:t>
      </w:r>
      <w:r w:rsidRPr="00E9174D">
        <w:rPr>
          <w:rFonts w:ascii="Garamond" w:hAnsi="Garamond" w:cs="Arial"/>
          <w:sz w:val="25"/>
          <w:szCs w:val="25"/>
        </w:rPr>
        <w:t>, al di fuori della tutela giurisdizionale demolitoria (attivabile da parte di un cittadino) e di quella demolitoria straord</w:t>
      </w:r>
      <w:r w:rsidR="00A4368C" w:rsidRPr="00E9174D">
        <w:rPr>
          <w:rFonts w:ascii="Garamond" w:hAnsi="Garamond" w:cs="Arial"/>
          <w:sz w:val="25"/>
          <w:szCs w:val="25"/>
        </w:rPr>
        <w:t xml:space="preserve">inaria (attivabile dal Governo), che analogamente producono effetti </w:t>
      </w:r>
      <w:r w:rsidR="00A4368C" w:rsidRPr="00E9174D">
        <w:rPr>
          <w:rFonts w:ascii="Garamond" w:hAnsi="Garamond" w:cs="Arial"/>
          <w:i/>
          <w:sz w:val="25"/>
          <w:szCs w:val="25"/>
        </w:rPr>
        <w:t>ex tunc</w:t>
      </w:r>
      <w:r w:rsidR="00A4368C" w:rsidRPr="00E9174D">
        <w:rPr>
          <w:rFonts w:ascii="Garamond" w:hAnsi="Garamond" w:cs="Arial"/>
          <w:sz w:val="25"/>
          <w:szCs w:val="25"/>
        </w:rPr>
        <w:t xml:space="preserve"> nonché analogamente caducanti degli atti meramente consequenziali. </w:t>
      </w:r>
    </w:p>
    <w:p w14:paraId="3D6CA2EB" w14:textId="0CA5F56C" w:rsidR="00CC5C4D" w:rsidRPr="00E9174D" w:rsidRDefault="00CC5C4D" w:rsidP="00E41FB6">
      <w:pPr>
        <w:spacing w:line="320" w:lineRule="exact"/>
        <w:ind w:firstLine="426"/>
        <w:jc w:val="both"/>
        <w:rPr>
          <w:rFonts w:ascii="Garamond" w:hAnsi="Garamond" w:cs="Arial"/>
          <w:sz w:val="25"/>
          <w:szCs w:val="25"/>
        </w:rPr>
      </w:pPr>
      <w:r w:rsidRPr="00E9174D">
        <w:rPr>
          <w:rFonts w:ascii="Garamond" w:hAnsi="Garamond" w:cs="Arial"/>
          <w:sz w:val="25"/>
          <w:szCs w:val="25"/>
        </w:rPr>
        <w:t>Nello stesso parere peraltro si fornisce un contributo alla delimitazione degli spazi residui per l’adozione del potere dei sindaci, individuando le seguenti condizioni (par. 8.5)</w:t>
      </w:r>
      <w:r w:rsidR="00EF7E2A" w:rsidRPr="00E9174D">
        <w:rPr>
          <w:rFonts w:ascii="Garamond" w:hAnsi="Garamond" w:cs="Arial"/>
          <w:sz w:val="25"/>
          <w:szCs w:val="25"/>
        </w:rPr>
        <w:t xml:space="preserve">. </w:t>
      </w:r>
    </w:p>
    <w:p w14:paraId="72442448" w14:textId="13898738" w:rsidR="005D6F24" w:rsidRPr="00E9174D" w:rsidRDefault="000F6D06" w:rsidP="00E41FB6">
      <w:pPr>
        <w:spacing w:line="320" w:lineRule="exact"/>
        <w:ind w:firstLine="426"/>
        <w:jc w:val="both"/>
        <w:rPr>
          <w:rFonts w:ascii="Garamond" w:hAnsi="Garamond" w:cs="Arial"/>
          <w:sz w:val="25"/>
          <w:szCs w:val="25"/>
        </w:rPr>
      </w:pPr>
      <w:r w:rsidRPr="00E9174D">
        <w:rPr>
          <w:rFonts w:ascii="Garamond" w:hAnsi="Garamond" w:cs="Arial"/>
          <w:sz w:val="25"/>
          <w:szCs w:val="25"/>
        </w:rPr>
        <w:t>I</w:t>
      </w:r>
      <w:r w:rsidR="005D6F24" w:rsidRPr="00E9174D">
        <w:rPr>
          <w:rFonts w:ascii="Garamond" w:hAnsi="Garamond" w:cs="Arial"/>
          <w:sz w:val="25"/>
          <w:szCs w:val="25"/>
        </w:rPr>
        <w:t>l Com</w:t>
      </w:r>
      <w:r w:rsidR="00274F50" w:rsidRPr="00E9174D">
        <w:rPr>
          <w:rFonts w:ascii="Garamond" w:hAnsi="Garamond" w:cs="Arial"/>
          <w:sz w:val="25"/>
          <w:szCs w:val="25"/>
        </w:rPr>
        <w:t>une</w:t>
      </w:r>
      <w:r w:rsidRPr="00E9174D">
        <w:rPr>
          <w:rFonts w:ascii="Garamond" w:hAnsi="Garamond" w:cs="Arial"/>
          <w:sz w:val="25"/>
          <w:szCs w:val="25"/>
        </w:rPr>
        <w:t xml:space="preserve"> di Messina</w:t>
      </w:r>
      <w:r w:rsidR="00274F50" w:rsidRPr="00E9174D">
        <w:rPr>
          <w:rFonts w:ascii="Garamond" w:hAnsi="Garamond" w:cs="Arial"/>
          <w:sz w:val="25"/>
          <w:szCs w:val="25"/>
        </w:rPr>
        <w:t>, a seguito dell’annullamento, ha chiuso</w:t>
      </w:r>
      <w:r w:rsidR="005D6F24" w:rsidRPr="00E9174D">
        <w:rPr>
          <w:rFonts w:ascii="Garamond" w:hAnsi="Garamond" w:cs="Arial"/>
          <w:sz w:val="25"/>
          <w:szCs w:val="25"/>
        </w:rPr>
        <w:t xml:space="preserve"> l’evocativo sito </w:t>
      </w:r>
      <w:hyperlink r:id="rId7" w:history="1">
        <w:r w:rsidR="005D6F24" w:rsidRPr="00E9174D">
          <w:rPr>
            <w:rStyle w:val="Collegamentoipertestuale"/>
            <w:rFonts w:ascii="Garamond" w:hAnsi="Garamond" w:cs="Arial"/>
            <w:sz w:val="25"/>
            <w:szCs w:val="25"/>
          </w:rPr>
          <w:t>www.sipassaacondizione.comune.messina.it</w:t>
        </w:r>
      </w:hyperlink>
      <w:r w:rsidR="005D6F24" w:rsidRPr="00E9174D">
        <w:rPr>
          <w:rFonts w:ascii="Garamond" w:hAnsi="Garamond" w:cs="Arial"/>
          <w:sz w:val="25"/>
          <w:szCs w:val="25"/>
        </w:rPr>
        <w:t xml:space="preserve">, sul quale venivano registrate le domande. </w:t>
      </w:r>
    </w:p>
    <w:p w14:paraId="762A443B" w14:textId="1E152B83" w:rsidR="005D6F24" w:rsidRPr="00E9174D" w:rsidRDefault="005D6F24" w:rsidP="005D6F24">
      <w:pPr>
        <w:spacing w:line="320" w:lineRule="exact"/>
        <w:ind w:firstLine="426"/>
        <w:jc w:val="both"/>
        <w:rPr>
          <w:rFonts w:ascii="Garamond" w:hAnsi="Garamond" w:cs="Arial"/>
          <w:sz w:val="25"/>
          <w:szCs w:val="25"/>
        </w:rPr>
      </w:pPr>
      <w:r w:rsidRPr="00E9174D">
        <w:rPr>
          <w:rFonts w:ascii="Garamond" w:hAnsi="Garamond" w:cs="Arial"/>
          <w:sz w:val="25"/>
          <w:szCs w:val="25"/>
        </w:rPr>
        <w:t>Nel sito</w:t>
      </w:r>
      <w:r w:rsidR="000F6D06" w:rsidRPr="00E9174D">
        <w:rPr>
          <w:rFonts w:ascii="Garamond" w:hAnsi="Garamond" w:cs="Arial"/>
          <w:sz w:val="25"/>
          <w:szCs w:val="25"/>
        </w:rPr>
        <w:t xml:space="preserve"> oggi</w:t>
      </w:r>
      <w:r w:rsidRPr="00E9174D">
        <w:rPr>
          <w:rFonts w:ascii="Garamond" w:hAnsi="Garamond" w:cs="Arial"/>
          <w:sz w:val="25"/>
          <w:szCs w:val="25"/>
        </w:rPr>
        <w:t xml:space="preserve"> si legge “</w:t>
      </w:r>
      <w:r w:rsidRPr="00E9174D">
        <w:rPr>
          <w:rFonts w:ascii="Garamond" w:hAnsi="Garamond" w:cs="Arial"/>
          <w:bCs/>
          <w:sz w:val="25"/>
          <w:szCs w:val="25"/>
        </w:rPr>
        <w:t>Preso atto della delibera del 9 aprile 2020 del Consiglio dei Ministri, con la quale è stata accolta la richiesta del Ministro dell’Interno avente ad oggetto l’annullamento straordinario ex art. 138 D. Lgs. N. 267/2000 dell’O.S. n. 105 del 5 aprile 2020; si sospende</w:t>
      </w:r>
      <w:r w:rsidRPr="00E9174D">
        <w:rPr>
          <w:rFonts w:ascii="Garamond" w:hAnsi="Garamond" w:cs="Arial"/>
          <w:sz w:val="25"/>
          <w:szCs w:val="25"/>
        </w:rPr>
        <w:t xml:space="preserve"> </w:t>
      </w:r>
      <w:r w:rsidRPr="00E9174D">
        <w:rPr>
          <w:rFonts w:ascii="Garamond" w:hAnsi="Garamond" w:cs="Arial"/>
          <w:bCs/>
          <w:sz w:val="25"/>
          <w:szCs w:val="25"/>
        </w:rPr>
        <w:t>la piattaforma on-line, con disapplicazione delle domande di registrazione sulla detta banca dati fino alla definizione del procedimento”.</w:t>
      </w:r>
    </w:p>
    <w:p w14:paraId="7EB686EC" w14:textId="426766EB" w:rsidR="005D6F24" w:rsidRPr="00E9174D" w:rsidRDefault="005D6F24" w:rsidP="005D6F24">
      <w:pPr>
        <w:spacing w:line="320" w:lineRule="exact"/>
        <w:ind w:firstLine="426"/>
        <w:jc w:val="both"/>
        <w:rPr>
          <w:rFonts w:ascii="Garamond" w:hAnsi="Garamond" w:cs="Arial"/>
          <w:sz w:val="25"/>
          <w:szCs w:val="25"/>
        </w:rPr>
      </w:pPr>
      <w:r w:rsidRPr="00E9174D">
        <w:rPr>
          <w:rFonts w:ascii="Garamond" w:hAnsi="Garamond" w:cs="Arial"/>
          <w:sz w:val="25"/>
          <w:szCs w:val="25"/>
        </w:rPr>
        <w:t>Lo s</w:t>
      </w:r>
      <w:r w:rsidR="00CB466C" w:rsidRPr="00E9174D">
        <w:rPr>
          <w:rFonts w:ascii="Garamond" w:hAnsi="Garamond" w:cs="Arial"/>
          <w:sz w:val="25"/>
          <w:szCs w:val="25"/>
        </w:rPr>
        <w:t xml:space="preserve">tretto Messina non si “chiude”, almeno con ordinanza comunale. </w:t>
      </w:r>
    </w:p>
    <w:p w14:paraId="1EF63366" w14:textId="3B30DC43" w:rsidR="00D10348" w:rsidRPr="00E9174D" w:rsidRDefault="00D10348" w:rsidP="00E41FB6">
      <w:pPr>
        <w:spacing w:line="320" w:lineRule="exact"/>
        <w:ind w:firstLine="426"/>
        <w:jc w:val="both"/>
        <w:rPr>
          <w:rFonts w:ascii="Garamond" w:hAnsi="Garamond" w:cs="Arial"/>
          <w:sz w:val="25"/>
          <w:szCs w:val="25"/>
        </w:rPr>
      </w:pPr>
    </w:p>
    <w:p w14:paraId="75F7A67D" w14:textId="77777777" w:rsidR="005D6F24" w:rsidRPr="00E9174D" w:rsidRDefault="005D6F24" w:rsidP="00E41FB6">
      <w:pPr>
        <w:spacing w:line="320" w:lineRule="exact"/>
        <w:ind w:firstLine="426"/>
        <w:jc w:val="both"/>
        <w:rPr>
          <w:rFonts w:ascii="Garamond" w:hAnsi="Garamond" w:cs="Arial"/>
          <w:sz w:val="25"/>
          <w:szCs w:val="25"/>
        </w:rPr>
      </w:pPr>
    </w:p>
    <w:p w14:paraId="38BB008C" w14:textId="77777777" w:rsidR="005D6F24" w:rsidRPr="00E9174D" w:rsidRDefault="005D6F24" w:rsidP="00E41FB6">
      <w:pPr>
        <w:spacing w:line="320" w:lineRule="exact"/>
        <w:ind w:firstLine="426"/>
        <w:jc w:val="both"/>
        <w:rPr>
          <w:rFonts w:ascii="Garamond" w:hAnsi="Garamond" w:cs="Arial"/>
          <w:sz w:val="25"/>
          <w:szCs w:val="25"/>
        </w:rPr>
      </w:pPr>
    </w:p>
    <w:p w14:paraId="6DC44E21" w14:textId="77777777" w:rsidR="00D10348" w:rsidRPr="00E9174D" w:rsidRDefault="00D10348" w:rsidP="00E41FB6">
      <w:pPr>
        <w:spacing w:line="320" w:lineRule="exact"/>
        <w:ind w:firstLine="426"/>
        <w:jc w:val="both"/>
        <w:rPr>
          <w:rFonts w:ascii="Garamond" w:hAnsi="Garamond" w:cs="Arial"/>
          <w:sz w:val="25"/>
          <w:szCs w:val="25"/>
        </w:rPr>
      </w:pPr>
    </w:p>
    <w:p w14:paraId="6C4B5432" w14:textId="77777777" w:rsidR="00362D58" w:rsidRPr="00E9174D" w:rsidRDefault="00362D58" w:rsidP="00362D58">
      <w:pPr>
        <w:ind w:left="1985" w:right="1985"/>
        <w:jc w:val="right"/>
        <w:rPr>
          <w:rFonts w:ascii="Garamond" w:hAnsi="Garamond" w:cs="Arial"/>
          <w:b/>
          <w:bCs/>
          <w:smallCaps/>
          <w:sz w:val="25"/>
          <w:szCs w:val="25"/>
        </w:rPr>
      </w:pPr>
      <w:r w:rsidRPr="00E9174D">
        <w:rPr>
          <w:rFonts w:ascii="Garamond" w:hAnsi="Garamond" w:cs="Arial"/>
          <w:b/>
          <w:bCs/>
          <w:smallCaps/>
          <w:sz w:val="25"/>
          <w:szCs w:val="25"/>
        </w:rPr>
        <w:t>Nicola Pignatelli</w:t>
      </w:r>
    </w:p>
    <w:p w14:paraId="20E9E4D9" w14:textId="77777777" w:rsidR="00362D58" w:rsidRPr="00E9174D" w:rsidRDefault="00362D58" w:rsidP="00362D58">
      <w:pPr>
        <w:ind w:left="1985" w:right="1985"/>
        <w:jc w:val="right"/>
        <w:rPr>
          <w:rFonts w:ascii="Garamond" w:hAnsi="Garamond" w:cs="Arial"/>
          <w:sz w:val="25"/>
          <w:szCs w:val="25"/>
        </w:rPr>
      </w:pPr>
      <w:r w:rsidRPr="00E9174D">
        <w:rPr>
          <w:rFonts w:ascii="Garamond" w:hAnsi="Garamond" w:cs="Arial"/>
          <w:sz w:val="25"/>
          <w:szCs w:val="25"/>
        </w:rPr>
        <w:t>(Professore Associato di Istituzioni di Diritto Pubblico nell’Università degli Studi di Bari “Aldo Moro”)</w:t>
      </w:r>
    </w:p>
    <w:p w14:paraId="47FD14D9" w14:textId="77777777" w:rsidR="00362D58" w:rsidRPr="00E9174D" w:rsidRDefault="00362D58" w:rsidP="00362D58">
      <w:pPr>
        <w:ind w:left="1985" w:right="1985"/>
        <w:jc w:val="right"/>
        <w:rPr>
          <w:rFonts w:ascii="Garamond" w:hAnsi="Garamond" w:cs="Arial"/>
          <w:b/>
          <w:sz w:val="25"/>
          <w:szCs w:val="25"/>
        </w:rPr>
      </w:pPr>
    </w:p>
    <w:p w14:paraId="5315B5A1" w14:textId="77777777" w:rsidR="00362D58" w:rsidRPr="00E9174D" w:rsidRDefault="00362D58" w:rsidP="00362D58">
      <w:pPr>
        <w:ind w:left="1985" w:right="1985"/>
        <w:jc w:val="right"/>
        <w:rPr>
          <w:rFonts w:ascii="Garamond" w:hAnsi="Garamond" w:cs="Arial"/>
          <w:b/>
          <w:sz w:val="25"/>
          <w:szCs w:val="25"/>
        </w:rPr>
      </w:pPr>
    </w:p>
    <w:p w14:paraId="02E5B171" w14:textId="77777777" w:rsidR="00362D58" w:rsidRPr="00E9174D" w:rsidRDefault="00362D58" w:rsidP="00362D58">
      <w:pPr>
        <w:ind w:left="1985" w:right="1985"/>
        <w:jc w:val="right"/>
        <w:rPr>
          <w:rFonts w:ascii="Garamond" w:hAnsi="Garamond" w:cs="Arial"/>
          <w:b/>
          <w:sz w:val="25"/>
          <w:szCs w:val="25"/>
        </w:rPr>
      </w:pPr>
    </w:p>
    <w:p w14:paraId="40D4E842" w14:textId="3553FF7A" w:rsidR="00362D58" w:rsidRPr="00E9174D" w:rsidRDefault="00362D58" w:rsidP="00362D58">
      <w:pPr>
        <w:ind w:left="1985" w:right="1985"/>
        <w:jc w:val="right"/>
        <w:rPr>
          <w:rFonts w:ascii="Garamond" w:hAnsi="Garamond" w:cs="Arial"/>
          <w:sz w:val="25"/>
          <w:szCs w:val="25"/>
        </w:rPr>
      </w:pPr>
      <w:r>
        <w:rPr>
          <w:rFonts w:ascii="Garamond" w:hAnsi="Garamond" w:cs="Arial"/>
          <w:sz w:val="25"/>
          <w:szCs w:val="25"/>
        </w:rPr>
        <w:t xml:space="preserve">Pubblicato il </w:t>
      </w:r>
      <w:r w:rsidRPr="00E9174D">
        <w:rPr>
          <w:rFonts w:ascii="Garamond" w:hAnsi="Garamond" w:cs="Arial"/>
          <w:sz w:val="25"/>
          <w:szCs w:val="25"/>
        </w:rPr>
        <w:t>1</w:t>
      </w:r>
      <w:r>
        <w:rPr>
          <w:rFonts w:ascii="Garamond" w:hAnsi="Garamond" w:cs="Arial"/>
          <w:sz w:val="25"/>
          <w:szCs w:val="25"/>
        </w:rPr>
        <w:t>4</w:t>
      </w:r>
      <w:r w:rsidRPr="00E9174D">
        <w:rPr>
          <w:rFonts w:ascii="Garamond" w:hAnsi="Garamond" w:cs="Arial"/>
          <w:sz w:val="25"/>
          <w:szCs w:val="25"/>
        </w:rPr>
        <w:t xml:space="preserve"> aprile 2020</w:t>
      </w:r>
    </w:p>
    <w:p w14:paraId="3C23EFC0" w14:textId="77777777" w:rsidR="00AE0C3E" w:rsidRPr="00E9174D" w:rsidRDefault="00AE0C3E" w:rsidP="00362D58">
      <w:pPr>
        <w:spacing w:line="320" w:lineRule="exact"/>
        <w:ind w:right="1985" w:firstLine="426"/>
        <w:jc w:val="right"/>
        <w:rPr>
          <w:rFonts w:ascii="Garamond" w:hAnsi="Garamond" w:cs="Arial"/>
          <w:b/>
          <w:sz w:val="25"/>
          <w:szCs w:val="25"/>
        </w:rPr>
      </w:pPr>
    </w:p>
    <w:sectPr w:rsidR="00AE0C3E" w:rsidRPr="00E9174D" w:rsidSect="00E718AA">
      <w:footerReference w:type="even" r:id="rId8"/>
      <w:footerReference w:type="default" r:id="rId9"/>
      <w:pgSz w:w="11900" w:h="16840"/>
      <w:pgMar w:top="2552" w:right="1985" w:bottom="294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ECD51" w14:textId="77777777" w:rsidR="00D439E2" w:rsidRDefault="00D439E2" w:rsidP="00AE0C3E">
      <w:r>
        <w:separator/>
      </w:r>
    </w:p>
  </w:endnote>
  <w:endnote w:type="continuationSeparator" w:id="0">
    <w:p w14:paraId="50CAC9B0" w14:textId="77777777" w:rsidR="00D439E2" w:rsidRDefault="00D439E2" w:rsidP="00AE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870B" w14:textId="77777777" w:rsidR="00440ACF" w:rsidRDefault="00440ACF" w:rsidP="00111A5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DC7E261" w14:textId="77777777" w:rsidR="00440ACF" w:rsidRDefault="00440ACF" w:rsidP="00111A5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CF7F5" w14:textId="395720FC" w:rsidR="00440ACF" w:rsidRDefault="00440ACF" w:rsidP="00111A5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62D58">
      <w:rPr>
        <w:rStyle w:val="Numeropagina"/>
        <w:noProof/>
      </w:rPr>
      <w:t>1</w:t>
    </w:r>
    <w:r>
      <w:rPr>
        <w:rStyle w:val="Numeropagina"/>
      </w:rPr>
      <w:fldChar w:fldCharType="end"/>
    </w:r>
  </w:p>
  <w:p w14:paraId="0473890A" w14:textId="77777777" w:rsidR="00440ACF" w:rsidRDefault="00440ACF" w:rsidP="00111A5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28F54" w14:textId="77777777" w:rsidR="00D439E2" w:rsidRDefault="00D439E2" w:rsidP="00AE0C3E">
      <w:r>
        <w:separator/>
      </w:r>
    </w:p>
  </w:footnote>
  <w:footnote w:type="continuationSeparator" w:id="0">
    <w:p w14:paraId="3BDEFBD3" w14:textId="77777777" w:rsidR="00D439E2" w:rsidRDefault="00D439E2" w:rsidP="00AE0C3E">
      <w:r>
        <w:continuationSeparator/>
      </w:r>
    </w:p>
  </w:footnote>
  <w:footnote w:id="1">
    <w:p w14:paraId="44B267D6" w14:textId="214EE122" w:rsidR="00362D58" w:rsidRPr="00E9174D" w:rsidRDefault="00362D58" w:rsidP="00362D58">
      <w:pPr>
        <w:pStyle w:val="Testonotaapidipagina"/>
        <w:ind w:firstLine="426"/>
        <w:rPr>
          <w:rFonts w:ascii="Garamond" w:hAnsi="Garamond"/>
          <w:sz w:val="21"/>
          <w:szCs w:val="21"/>
        </w:rPr>
      </w:pPr>
      <w:r w:rsidRPr="00E9174D">
        <w:rPr>
          <w:rStyle w:val="Rimandonotaapidipagina"/>
          <w:rFonts w:ascii="Garamond" w:hAnsi="Garamond"/>
          <w:sz w:val="21"/>
          <w:szCs w:val="21"/>
        </w:rPr>
        <w:footnoteRef/>
      </w:r>
      <w:r w:rsidRPr="00E9174D">
        <w:rPr>
          <w:rFonts w:ascii="Garamond" w:hAnsi="Garamond"/>
          <w:sz w:val="21"/>
          <w:szCs w:val="21"/>
        </w:rPr>
        <w:t xml:space="preserve"> </w:t>
      </w:r>
      <w:r>
        <w:rPr>
          <w:rFonts w:ascii="Garamond" w:hAnsi="Garamond"/>
          <w:sz w:val="21"/>
          <w:szCs w:val="21"/>
        </w:rPr>
        <w:t xml:space="preserve">Il presente contributo è stato pubblicato in data 12.4.2020 in </w:t>
      </w:r>
      <w:hyperlink r:id="rId1" w:history="1">
        <w:r w:rsidRPr="00A60499">
          <w:rPr>
            <w:rStyle w:val="Collegamentoipertestuale"/>
            <w:rFonts w:ascii="Garamond" w:hAnsi="Garamond"/>
            <w:sz w:val="21"/>
            <w:szCs w:val="21"/>
          </w:rPr>
          <w:t>www.dirittiregionali.it</w:t>
        </w:r>
      </w:hyperlink>
      <w:r>
        <w:rPr>
          <w:rFonts w:ascii="Garamond" w:hAnsi="Garamond"/>
          <w:sz w:val="21"/>
          <w:szCs w:val="21"/>
        </w:rPr>
        <w:t xml:space="preserve"> </w:t>
      </w:r>
    </w:p>
  </w:footnote>
  <w:footnote w:id="2">
    <w:p w14:paraId="161EFDA6" w14:textId="77777777" w:rsidR="00440ACF" w:rsidRPr="00E9174D" w:rsidRDefault="00440ACF" w:rsidP="00711376">
      <w:pPr>
        <w:pStyle w:val="Testonotaapidipagina"/>
        <w:ind w:firstLine="426"/>
        <w:jc w:val="both"/>
        <w:rPr>
          <w:rFonts w:ascii="Garamond" w:hAnsi="Garamond"/>
          <w:sz w:val="21"/>
          <w:szCs w:val="21"/>
        </w:rPr>
      </w:pPr>
      <w:r w:rsidRPr="00E9174D">
        <w:rPr>
          <w:rStyle w:val="Rimandonotaapidipagina"/>
          <w:rFonts w:ascii="Garamond" w:hAnsi="Garamond"/>
          <w:sz w:val="21"/>
          <w:szCs w:val="21"/>
        </w:rPr>
        <w:footnoteRef/>
      </w:r>
      <w:r w:rsidRPr="00E9174D">
        <w:rPr>
          <w:rFonts w:ascii="Garamond" w:hAnsi="Garamond"/>
          <w:sz w:val="21"/>
          <w:szCs w:val="21"/>
        </w:rPr>
        <w:t xml:space="preserve"> Per un inquadramento dell’istituto cfr. </w:t>
      </w:r>
      <w:r w:rsidRPr="00E9174D">
        <w:rPr>
          <w:rFonts w:ascii="Garamond" w:hAnsi="Garamond"/>
          <w:smallCaps/>
          <w:sz w:val="21"/>
          <w:szCs w:val="21"/>
        </w:rPr>
        <w:t>A. Pertici</w:t>
      </w:r>
      <w:r w:rsidRPr="00E9174D">
        <w:rPr>
          <w:rFonts w:ascii="Garamond" w:hAnsi="Garamond"/>
          <w:sz w:val="21"/>
          <w:szCs w:val="21"/>
        </w:rPr>
        <w:t xml:space="preserve">, </w:t>
      </w:r>
      <w:r w:rsidRPr="00E9174D">
        <w:rPr>
          <w:rFonts w:ascii="Garamond" w:hAnsi="Garamond"/>
          <w:i/>
          <w:sz w:val="21"/>
          <w:szCs w:val="21"/>
        </w:rPr>
        <w:t>art. 138 TUEL</w:t>
      </w:r>
      <w:r w:rsidRPr="00E9174D">
        <w:rPr>
          <w:rFonts w:ascii="Garamond" w:hAnsi="Garamond"/>
          <w:sz w:val="21"/>
          <w:szCs w:val="21"/>
        </w:rPr>
        <w:t xml:space="preserve">, in </w:t>
      </w:r>
      <w:r w:rsidRPr="00E9174D">
        <w:rPr>
          <w:rFonts w:ascii="Garamond" w:hAnsi="Garamond"/>
          <w:smallCaps/>
          <w:sz w:val="21"/>
          <w:szCs w:val="21"/>
        </w:rPr>
        <w:t>C. Napoli, N. Pignatelli</w:t>
      </w:r>
      <w:r w:rsidRPr="00E9174D">
        <w:rPr>
          <w:rFonts w:ascii="Garamond" w:hAnsi="Garamond"/>
          <w:sz w:val="21"/>
          <w:szCs w:val="21"/>
        </w:rPr>
        <w:t xml:space="preserve">  (a cura di), </w:t>
      </w:r>
      <w:r w:rsidRPr="00E9174D">
        <w:rPr>
          <w:rFonts w:ascii="Garamond" w:hAnsi="Garamond"/>
          <w:i/>
          <w:sz w:val="21"/>
          <w:szCs w:val="21"/>
        </w:rPr>
        <w:t>Codice degli Enti locali,</w:t>
      </w:r>
      <w:r w:rsidRPr="00E9174D">
        <w:rPr>
          <w:rFonts w:ascii="Garamond" w:hAnsi="Garamond"/>
          <w:sz w:val="21"/>
          <w:szCs w:val="21"/>
        </w:rPr>
        <w:t xml:space="preserve"> Roma, 2019, 774 ss. </w:t>
      </w:r>
    </w:p>
  </w:footnote>
  <w:footnote w:id="3">
    <w:p w14:paraId="5BB8AFC5" w14:textId="5FA2A8BC" w:rsidR="00440ACF" w:rsidRPr="00E9174D" w:rsidRDefault="00440ACF" w:rsidP="00E41FB6">
      <w:pPr>
        <w:pStyle w:val="Testonotaapidipagina"/>
        <w:ind w:firstLine="426"/>
        <w:jc w:val="both"/>
        <w:rPr>
          <w:rFonts w:ascii="Garamond" w:hAnsi="Garamond"/>
          <w:sz w:val="21"/>
          <w:szCs w:val="21"/>
        </w:rPr>
      </w:pPr>
      <w:r w:rsidRPr="00E9174D">
        <w:rPr>
          <w:rStyle w:val="Rimandonotaapidipagina"/>
          <w:rFonts w:ascii="Garamond" w:hAnsi="Garamond"/>
          <w:sz w:val="21"/>
          <w:szCs w:val="21"/>
        </w:rPr>
        <w:footnoteRef/>
      </w:r>
      <w:r w:rsidRPr="00E9174D">
        <w:rPr>
          <w:rFonts w:ascii="Garamond" w:hAnsi="Garamond"/>
          <w:sz w:val="21"/>
          <w:szCs w:val="21"/>
        </w:rPr>
        <w:t xml:space="preserve"> </w:t>
      </w:r>
      <w:r w:rsidRPr="00E9174D">
        <w:rPr>
          <w:rFonts w:ascii="Garamond" w:hAnsi="Garamond"/>
          <w:smallCaps/>
          <w:sz w:val="21"/>
          <w:szCs w:val="21"/>
        </w:rPr>
        <w:t xml:space="preserve">V. Cerulli Irelli, </w:t>
      </w:r>
      <w:r w:rsidRPr="00E9174D">
        <w:rPr>
          <w:rFonts w:ascii="Garamond" w:hAnsi="Garamond"/>
          <w:i/>
          <w:sz w:val="21"/>
          <w:szCs w:val="21"/>
        </w:rPr>
        <w:t>Commento all’art. 8</w:t>
      </w:r>
      <w:r w:rsidRPr="00E9174D">
        <w:rPr>
          <w:rFonts w:ascii="Garamond" w:hAnsi="Garamond"/>
          <w:sz w:val="21"/>
          <w:szCs w:val="21"/>
        </w:rPr>
        <w:t xml:space="preserve">, in AA.VV., </w:t>
      </w:r>
      <w:r w:rsidRPr="00E9174D">
        <w:rPr>
          <w:rFonts w:ascii="Garamond" w:hAnsi="Garamond"/>
          <w:i/>
          <w:sz w:val="21"/>
          <w:szCs w:val="21"/>
        </w:rPr>
        <w:t>La legge “La Loggia”</w:t>
      </w:r>
      <w:r w:rsidRPr="00E9174D">
        <w:rPr>
          <w:rFonts w:ascii="Garamond" w:hAnsi="Garamond"/>
          <w:sz w:val="21"/>
          <w:szCs w:val="21"/>
        </w:rPr>
        <w:t xml:space="preserve">, Rimini, 2003, 179; </w:t>
      </w:r>
      <w:r w:rsidRPr="00E9174D">
        <w:rPr>
          <w:rFonts w:ascii="Garamond" w:hAnsi="Garamond"/>
          <w:smallCaps/>
          <w:sz w:val="21"/>
          <w:szCs w:val="21"/>
        </w:rPr>
        <w:t>F. Pinto</w:t>
      </w:r>
      <w:r w:rsidRPr="00E9174D">
        <w:rPr>
          <w:rFonts w:ascii="Garamond" w:hAnsi="Garamond"/>
          <w:sz w:val="21"/>
          <w:szCs w:val="21"/>
        </w:rPr>
        <w:t xml:space="preserve">, </w:t>
      </w:r>
      <w:r w:rsidRPr="00E9174D">
        <w:rPr>
          <w:rFonts w:ascii="Garamond" w:hAnsi="Garamond"/>
          <w:i/>
          <w:sz w:val="21"/>
          <w:szCs w:val="21"/>
        </w:rPr>
        <w:t>Diritto degli Enti locali</w:t>
      </w:r>
      <w:r w:rsidRPr="00E9174D">
        <w:rPr>
          <w:rFonts w:ascii="Garamond" w:hAnsi="Garamond"/>
          <w:sz w:val="21"/>
          <w:szCs w:val="21"/>
        </w:rPr>
        <w:t xml:space="preserve">, Torino, 2003, 387; </w:t>
      </w:r>
      <w:r w:rsidRPr="00E9174D">
        <w:rPr>
          <w:rFonts w:ascii="Garamond" w:hAnsi="Garamond"/>
          <w:smallCaps/>
          <w:sz w:val="21"/>
          <w:szCs w:val="21"/>
        </w:rPr>
        <w:t>R. Cameli</w:t>
      </w:r>
      <w:r w:rsidRPr="00E9174D">
        <w:rPr>
          <w:rFonts w:ascii="Garamond" w:hAnsi="Garamond"/>
          <w:sz w:val="21"/>
          <w:szCs w:val="21"/>
        </w:rPr>
        <w:t xml:space="preserve">, </w:t>
      </w:r>
      <w:r w:rsidRPr="00E9174D">
        <w:rPr>
          <w:rFonts w:ascii="Garamond" w:hAnsi="Garamond"/>
          <w:i/>
          <w:sz w:val="21"/>
          <w:szCs w:val="21"/>
        </w:rPr>
        <w:t>Poteri sostitutivi del Governo e autonomia costituzionale degli Enti territoriali</w:t>
      </w:r>
      <w:r w:rsidRPr="00E9174D">
        <w:rPr>
          <w:rFonts w:ascii="Garamond" w:hAnsi="Garamond"/>
          <w:sz w:val="21"/>
          <w:szCs w:val="21"/>
        </w:rPr>
        <w:t xml:space="preserve">, in </w:t>
      </w:r>
      <w:r w:rsidRPr="00E9174D">
        <w:rPr>
          <w:rFonts w:ascii="Garamond" w:hAnsi="Garamond"/>
          <w:i/>
          <w:sz w:val="21"/>
          <w:szCs w:val="21"/>
        </w:rPr>
        <w:t>Giur cost</w:t>
      </w:r>
      <w:r w:rsidRPr="00E9174D">
        <w:rPr>
          <w:rFonts w:ascii="Garamond" w:hAnsi="Garamond"/>
          <w:sz w:val="21"/>
          <w:szCs w:val="21"/>
        </w:rPr>
        <w:t xml:space="preserve">., 2004, 3402; </w:t>
      </w:r>
      <w:r w:rsidRPr="00E9174D">
        <w:rPr>
          <w:rFonts w:ascii="Garamond" w:hAnsi="Garamond"/>
          <w:smallCaps/>
          <w:sz w:val="21"/>
          <w:szCs w:val="21"/>
        </w:rPr>
        <w:t>G. Vesperini</w:t>
      </w:r>
      <w:r w:rsidRPr="00E9174D">
        <w:rPr>
          <w:rFonts w:ascii="Garamond" w:hAnsi="Garamond"/>
          <w:sz w:val="21"/>
          <w:szCs w:val="21"/>
        </w:rPr>
        <w:t xml:space="preserve">, </w:t>
      </w:r>
      <w:r w:rsidRPr="00E9174D">
        <w:rPr>
          <w:rFonts w:ascii="Garamond" w:hAnsi="Garamond"/>
          <w:i/>
          <w:sz w:val="21"/>
          <w:szCs w:val="21"/>
        </w:rPr>
        <w:t>Gli Enti locali</w:t>
      </w:r>
      <w:r w:rsidRPr="00E9174D">
        <w:rPr>
          <w:rFonts w:ascii="Garamond" w:hAnsi="Garamond"/>
          <w:sz w:val="21"/>
          <w:szCs w:val="21"/>
        </w:rPr>
        <w:t xml:space="preserve">, Roma, Bari, 2004, 103; </w:t>
      </w:r>
      <w:r w:rsidRPr="00E9174D">
        <w:rPr>
          <w:rFonts w:ascii="Garamond" w:hAnsi="Garamond"/>
          <w:smallCaps/>
          <w:sz w:val="21"/>
          <w:szCs w:val="21"/>
        </w:rPr>
        <w:t>Brunetti</w:t>
      </w:r>
      <w:r w:rsidRPr="00E9174D">
        <w:rPr>
          <w:rFonts w:ascii="Garamond" w:hAnsi="Garamond"/>
          <w:sz w:val="21"/>
          <w:szCs w:val="21"/>
        </w:rPr>
        <w:t xml:space="preserve">, </w:t>
      </w:r>
      <w:r w:rsidRPr="00E9174D">
        <w:rPr>
          <w:rFonts w:ascii="Garamond" w:hAnsi="Garamond"/>
          <w:i/>
          <w:sz w:val="21"/>
          <w:szCs w:val="21"/>
        </w:rPr>
        <w:t>Considerazioni sul potere di annullamento di cui all’art. 138 TUEL e sulla riconducibilità all’art. 120, comma 2 Cost</w:t>
      </w:r>
      <w:r w:rsidRPr="00E9174D">
        <w:rPr>
          <w:rFonts w:ascii="Garamond" w:hAnsi="Garamond"/>
          <w:sz w:val="21"/>
          <w:szCs w:val="21"/>
        </w:rPr>
        <w:t xml:space="preserve">., in </w:t>
      </w:r>
      <w:r w:rsidRPr="00E9174D">
        <w:rPr>
          <w:rFonts w:ascii="Garamond" w:hAnsi="Garamond"/>
          <w:i/>
          <w:sz w:val="21"/>
          <w:szCs w:val="21"/>
        </w:rPr>
        <w:t>Dir. Amm</w:t>
      </w:r>
      <w:r w:rsidRPr="00E9174D">
        <w:rPr>
          <w:rFonts w:ascii="Garamond" w:hAnsi="Garamond"/>
          <w:sz w:val="21"/>
          <w:szCs w:val="21"/>
        </w:rPr>
        <w:t>., 2006, 721</w:t>
      </w:r>
    </w:p>
  </w:footnote>
  <w:footnote w:id="4">
    <w:p w14:paraId="456432CD" w14:textId="203A1254" w:rsidR="00440ACF" w:rsidRPr="00E9174D" w:rsidRDefault="00440ACF" w:rsidP="00E41FB6">
      <w:pPr>
        <w:pStyle w:val="Testonotaapidipagina"/>
        <w:ind w:firstLine="426"/>
        <w:jc w:val="both"/>
        <w:rPr>
          <w:rFonts w:ascii="Garamond" w:hAnsi="Garamond"/>
          <w:sz w:val="21"/>
          <w:szCs w:val="21"/>
        </w:rPr>
      </w:pPr>
      <w:r w:rsidRPr="00E9174D">
        <w:rPr>
          <w:rStyle w:val="Rimandonotaapidipagina"/>
          <w:rFonts w:ascii="Garamond" w:hAnsi="Garamond"/>
          <w:sz w:val="21"/>
          <w:szCs w:val="21"/>
        </w:rPr>
        <w:footnoteRef/>
      </w:r>
      <w:r w:rsidRPr="00E9174D">
        <w:rPr>
          <w:rFonts w:ascii="Garamond" w:hAnsi="Garamond"/>
          <w:sz w:val="21"/>
          <w:szCs w:val="21"/>
        </w:rPr>
        <w:t xml:space="preserve"> </w:t>
      </w:r>
      <w:r w:rsidRPr="00E9174D">
        <w:rPr>
          <w:rFonts w:ascii="Garamond" w:hAnsi="Garamond"/>
          <w:smallCaps/>
          <w:sz w:val="21"/>
          <w:szCs w:val="21"/>
        </w:rPr>
        <w:t>L. Sambucci</w:t>
      </w:r>
      <w:r w:rsidRPr="00E9174D">
        <w:rPr>
          <w:rFonts w:ascii="Garamond" w:hAnsi="Garamond"/>
          <w:sz w:val="21"/>
          <w:szCs w:val="21"/>
        </w:rPr>
        <w:t xml:space="preserve">, </w:t>
      </w:r>
      <w:r w:rsidRPr="00E9174D">
        <w:rPr>
          <w:rFonts w:ascii="Garamond" w:hAnsi="Garamond"/>
          <w:i/>
          <w:sz w:val="21"/>
          <w:szCs w:val="21"/>
        </w:rPr>
        <w:t>Annullamento governativo degli atti degli Enti locali e sistema costituzionale delle autonomie</w:t>
      </w:r>
      <w:r w:rsidRPr="00E9174D">
        <w:rPr>
          <w:rFonts w:ascii="Garamond" w:hAnsi="Garamond"/>
          <w:sz w:val="21"/>
          <w:szCs w:val="21"/>
        </w:rPr>
        <w:t xml:space="preserve">, in </w:t>
      </w:r>
      <w:r w:rsidRPr="00E9174D">
        <w:rPr>
          <w:rFonts w:ascii="Garamond" w:hAnsi="Garamond"/>
          <w:i/>
          <w:sz w:val="21"/>
          <w:szCs w:val="21"/>
        </w:rPr>
        <w:t>www.contabilitàpubblica.it</w:t>
      </w:r>
      <w:r w:rsidRPr="00E9174D">
        <w:rPr>
          <w:rFonts w:ascii="Garamond" w:hAnsi="Garamond"/>
          <w:sz w:val="21"/>
          <w:szCs w:val="21"/>
        </w:rPr>
        <w:t>, 2012, 11 ss.</w:t>
      </w:r>
    </w:p>
  </w:footnote>
  <w:footnote w:id="5">
    <w:p w14:paraId="178FB689" w14:textId="7A1EF1BF" w:rsidR="00440ACF" w:rsidRPr="00E9174D" w:rsidRDefault="00440ACF" w:rsidP="002F162D">
      <w:pPr>
        <w:pStyle w:val="Testonotaapidipagina"/>
        <w:jc w:val="both"/>
        <w:rPr>
          <w:rFonts w:ascii="Garamond" w:hAnsi="Garamond"/>
          <w:sz w:val="21"/>
          <w:szCs w:val="21"/>
        </w:rPr>
      </w:pPr>
      <w:r w:rsidRPr="00E9174D">
        <w:rPr>
          <w:rStyle w:val="Rimandonotaapidipagina"/>
          <w:rFonts w:ascii="Garamond" w:hAnsi="Garamond"/>
          <w:sz w:val="21"/>
          <w:szCs w:val="21"/>
        </w:rPr>
        <w:footnoteRef/>
      </w:r>
      <w:r w:rsidRPr="00E9174D">
        <w:rPr>
          <w:rFonts w:ascii="Garamond" w:hAnsi="Garamond"/>
          <w:sz w:val="21"/>
          <w:szCs w:val="21"/>
        </w:rPr>
        <w:t xml:space="preserve"> Sulla problematica del sollevamento della questione di costituzionalità nel processo amministrativo sia consentito rinviare a </w:t>
      </w:r>
      <w:r w:rsidRPr="00E9174D">
        <w:rPr>
          <w:rFonts w:ascii="Garamond" w:hAnsi="Garamond"/>
          <w:smallCaps/>
          <w:sz w:val="21"/>
          <w:szCs w:val="21"/>
        </w:rPr>
        <w:t>N. Pignatelli</w:t>
      </w:r>
      <w:r w:rsidRPr="00E9174D">
        <w:rPr>
          <w:rFonts w:ascii="Garamond" w:hAnsi="Garamond"/>
          <w:sz w:val="21"/>
          <w:szCs w:val="21"/>
        </w:rPr>
        <w:t xml:space="preserve">, </w:t>
      </w:r>
      <w:r w:rsidRPr="00E9174D">
        <w:rPr>
          <w:rFonts w:ascii="Garamond" w:hAnsi="Garamond"/>
          <w:i/>
          <w:sz w:val="21"/>
          <w:szCs w:val="21"/>
        </w:rPr>
        <w:t>Le “interazioni” tra processo amministrativo e processo costituzionale in via incidentale</w:t>
      </w:r>
      <w:r w:rsidRPr="00E9174D">
        <w:rPr>
          <w:rFonts w:ascii="Garamond" w:hAnsi="Garamond"/>
          <w:sz w:val="21"/>
          <w:szCs w:val="21"/>
        </w:rPr>
        <w:t>, Torino, 2008.</w:t>
      </w:r>
    </w:p>
  </w:footnote>
  <w:footnote w:id="6">
    <w:p w14:paraId="3E17911C" w14:textId="08F8D481" w:rsidR="00440ACF" w:rsidRPr="00E9174D" w:rsidRDefault="00440ACF" w:rsidP="00E41FB6">
      <w:pPr>
        <w:pStyle w:val="Testonotaapidipagina"/>
        <w:ind w:firstLine="426"/>
        <w:jc w:val="both"/>
        <w:rPr>
          <w:rFonts w:ascii="Garamond" w:hAnsi="Garamond"/>
          <w:sz w:val="21"/>
          <w:szCs w:val="21"/>
        </w:rPr>
      </w:pPr>
      <w:r w:rsidRPr="00E9174D">
        <w:rPr>
          <w:rStyle w:val="Rimandonotaapidipagina"/>
          <w:rFonts w:ascii="Garamond" w:hAnsi="Garamond"/>
          <w:sz w:val="21"/>
          <w:szCs w:val="21"/>
        </w:rPr>
        <w:footnoteRef/>
      </w:r>
      <w:r w:rsidRPr="00E9174D">
        <w:rPr>
          <w:rFonts w:ascii="Garamond" w:hAnsi="Garamond"/>
          <w:sz w:val="21"/>
          <w:szCs w:val="21"/>
        </w:rPr>
        <w:t xml:space="preserve"> In dottrina cfr. </w:t>
      </w:r>
      <w:r w:rsidRPr="00E9174D">
        <w:rPr>
          <w:rFonts w:ascii="Garamond" w:hAnsi="Garamond"/>
          <w:smallCaps/>
          <w:sz w:val="21"/>
          <w:szCs w:val="21"/>
        </w:rPr>
        <w:t xml:space="preserve">E. Cannada Bartoli, </w:t>
      </w:r>
      <w:r w:rsidRPr="00E9174D">
        <w:rPr>
          <w:rFonts w:ascii="Garamond" w:hAnsi="Garamond"/>
          <w:i/>
          <w:sz w:val="21"/>
          <w:szCs w:val="21"/>
        </w:rPr>
        <w:t>Annullabilità e annullamento</w:t>
      </w:r>
      <w:r w:rsidRPr="00E9174D">
        <w:rPr>
          <w:rFonts w:ascii="Garamond" w:hAnsi="Garamond"/>
          <w:sz w:val="21"/>
          <w:szCs w:val="21"/>
        </w:rPr>
        <w:t xml:space="preserve">, in </w:t>
      </w:r>
      <w:r w:rsidRPr="00E9174D">
        <w:rPr>
          <w:rFonts w:ascii="Garamond" w:hAnsi="Garamond"/>
          <w:i/>
          <w:sz w:val="21"/>
          <w:szCs w:val="21"/>
        </w:rPr>
        <w:t>Enc. dir</w:t>
      </w:r>
      <w:r w:rsidRPr="00E9174D">
        <w:rPr>
          <w:rFonts w:ascii="Garamond" w:hAnsi="Garamond"/>
          <w:sz w:val="21"/>
          <w:szCs w:val="21"/>
        </w:rPr>
        <w:t xml:space="preserve">., 1958, 492; </w:t>
      </w:r>
      <w:r w:rsidRPr="00E9174D">
        <w:rPr>
          <w:rFonts w:ascii="Garamond" w:hAnsi="Garamond"/>
          <w:smallCaps/>
          <w:sz w:val="21"/>
          <w:szCs w:val="21"/>
        </w:rPr>
        <w:t>F. Cuocolo</w:t>
      </w:r>
      <w:r w:rsidRPr="00E9174D">
        <w:rPr>
          <w:rFonts w:ascii="Garamond" w:hAnsi="Garamond"/>
          <w:sz w:val="21"/>
          <w:szCs w:val="21"/>
        </w:rPr>
        <w:t xml:space="preserve">, </w:t>
      </w:r>
      <w:r w:rsidRPr="00E9174D">
        <w:rPr>
          <w:rFonts w:ascii="Garamond" w:hAnsi="Garamond"/>
          <w:i/>
          <w:sz w:val="21"/>
          <w:szCs w:val="21"/>
        </w:rPr>
        <w:t>Conflitti di attribuzioni; interessi regionali; potere governativo di annullamento di atti amministrativi illegittimi</w:t>
      </w:r>
      <w:r w:rsidRPr="00E9174D">
        <w:rPr>
          <w:rFonts w:ascii="Garamond" w:hAnsi="Garamond"/>
          <w:sz w:val="21"/>
          <w:szCs w:val="21"/>
        </w:rPr>
        <w:t xml:space="preserve">, in </w:t>
      </w:r>
      <w:r w:rsidRPr="00E9174D">
        <w:rPr>
          <w:rFonts w:ascii="Garamond" w:hAnsi="Garamond"/>
          <w:i/>
          <w:sz w:val="21"/>
          <w:szCs w:val="21"/>
        </w:rPr>
        <w:t>Giur. cost</w:t>
      </w:r>
      <w:r w:rsidRPr="00E9174D">
        <w:rPr>
          <w:rFonts w:ascii="Garamond" w:hAnsi="Garamond"/>
          <w:sz w:val="21"/>
          <w:szCs w:val="21"/>
        </w:rPr>
        <w:t xml:space="preserve">., 1966, 58. </w:t>
      </w:r>
    </w:p>
  </w:footnote>
  <w:footnote w:id="7">
    <w:p w14:paraId="3442DE3E" w14:textId="514700C3" w:rsidR="00440ACF" w:rsidRPr="00E9174D" w:rsidRDefault="00440ACF" w:rsidP="002211A9">
      <w:pPr>
        <w:pStyle w:val="Testonotaapidipagina"/>
        <w:jc w:val="both"/>
        <w:rPr>
          <w:rFonts w:ascii="Garamond" w:hAnsi="Garamond"/>
          <w:sz w:val="21"/>
          <w:szCs w:val="21"/>
        </w:rPr>
      </w:pPr>
      <w:r w:rsidRPr="00E9174D">
        <w:rPr>
          <w:rStyle w:val="Rimandonotaapidipagina"/>
          <w:rFonts w:ascii="Garamond" w:hAnsi="Garamond"/>
          <w:sz w:val="21"/>
          <w:szCs w:val="21"/>
        </w:rPr>
        <w:footnoteRef/>
      </w:r>
      <w:r w:rsidRPr="00E9174D">
        <w:rPr>
          <w:rFonts w:ascii="Garamond" w:hAnsi="Garamond"/>
          <w:sz w:val="21"/>
          <w:szCs w:val="21"/>
        </w:rPr>
        <w:t xml:space="preserve"> Cfr. </w:t>
      </w:r>
      <w:r w:rsidRPr="00E9174D">
        <w:rPr>
          <w:rFonts w:ascii="Garamond" w:hAnsi="Garamond"/>
          <w:smallCaps/>
          <w:sz w:val="21"/>
          <w:szCs w:val="21"/>
        </w:rPr>
        <w:t>A. Pitino</w:t>
      </w:r>
      <w:r w:rsidRPr="00E9174D">
        <w:rPr>
          <w:rFonts w:ascii="Garamond" w:hAnsi="Garamond"/>
          <w:sz w:val="21"/>
          <w:szCs w:val="21"/>
        </w:rPr>
        <w:t xml:space="preserve">, </w:t>
      </w:r>
      <w:r w:rsidRPr="00E9174D">
        <w:rPr>
          <w:rFonts w:ascii="Garamond" w:hAnsi="Garamond"/>
          <w:i/>
          <w:sz w:val="21"/>
          <w:szCs w:val="21"/>
        </w:rPr>
        <w:t>Il potere governativo di annullamento straordinario degli atti amministrativi illegittimi</w:t>
      </w:r>
      <w:r w:rsidRPr="00E9174D">
        <w:rPr>
          <w:rFonts w:ascii="Garamond" w:hAnsi="Garamond"/>
          <w:sz w:val="21"/>
          <w:szCs w:val="21"/>
        </w:rPr>
        <w:t xml:space="preserve">, in </w:t>
      </w:r>
      <w:r w:rsidRPr="00E9174D">
        <w:rPr>
          <w:rFonts w:ascii="Garamond" w:hAnsi="Garamond"/>
          <w:i/>
          <w:sz w:val="21"/>
          <w:szCs w:val="21"/>
        </w:rPr>
        <w:t>Le Regioni</w:t>
      </w:r>
      <w:r w:rsidRPr="00E9174D">
        <w:rPr>
          <w:rFonts w:ascii="Garamond" w:hAnsi="Garamond"/>
          <w:sz w:val="21"/>
          <w:szCs w:val="21"/>
        </w:rPr>
        <w:t>, 2006, 1146 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87"/>
    <w:rsid w:val="000046C7"/>
    <w:rsid w:val="00022CFF"/>
    <w:rsid w:val="00035048"/>
    <w:rsid w:val="000537CD"/>
    <w:rsid w:val="00074A55"/>
    <w:rsid w:val="000A3761"/>
    <w:rsid w:val="000B05C1"/>
    <w:rsid w:val="000B3F42"/>
    <w:rsid w:val="000B4AFA"/>
    <w:rsid w:val="000B7C71"/>
    <w:rsid w:val="000D2C66"/>
    <w:rsid w:val="000E45B7"/>
    <w:rsid w:val="000F6D06"/>
    <w:rsid w:val="00101515"/>
    <w:rsid w:val="00102491"/>
    <w:rsid w:val="00111A5D"/>
    <w:rsid w:val="001126DF"/>
    <w:rsid w:val="00126E7E"/>
    <w:rsid w:val="00136F2A"/>
    <w:rsid w:val="00153D1B"/>
    <w:rsid w:val="0015411F"/>
    <w:rsid w:val="00174582"/>
    <w:rsid w:val="00182CCD"/>
    <w:rsid w:val="00185D01"/>
    <w:rsid w:val="0019059A"/>
    <w:rsid w:val="001B2950"/>
    <w:rsid w:val="001B7461"/>
    <w:rsid w:val="001D233E"/>
    <w:rsid w:val="001D3B75"/>
    <w:rsid w:val="001D4C18"/>
    <w:rsid w:val="001D7C43"/>
    <w:rsid w:val="001E2CA0"/>
    <w:rsid w:val="001F35CE"/>
    <w:rsid w:val="0020151F"/>
    <w:rsid w:val="00211C49"/>
    <w:rsid w:val="0021202E"/>
    <w:rsid w:val="00217F86"/>
    <w:rsid w:val="002211A9"/>
    <w:rsid w:val="00227EA2"/>
    <w:rsid w:val="0025022E"/>
    <w:rsid w:val="002717F8"/>
    <w:rsid w:val="002724AF"/>
    <w:rsid w:val="00274F50"/>
    <w:rsid w:val="002810B3"/>
    <w:rsid w:val="002937E0"/>
    <w:rsid w:val="002C11EE"/>
    <w:rsid w:val="002D3627"/>
    <w:rsid w:val="002F162D"/>
    <w:rsid w:val="002F61EE"/>
    <w:rsid w:val="00303B4E"/>
    <w:rsid w:val="00334B7F"/>
    <w:rsid w:val="00336890"/>
    <w:rsid w:val="003503F7"/>
    <w:rsid w:val="00356B0B"/>
    <w:rsid w:val="00362D58"/>
    <w:rsid w:val="003834F3"/>
    <w:rsid w:val="00384E09"/>
    <w:rsid w:val="003A055F"/>
    <w:rsid w:val="003C2F65"/>
    <w:rsid w:val="003F19C7"/>
    <w:rsid w:val="003F3938"/>
    <w:rsid w:val="003F4665"/>
    <w:rsid w:val="00412C2D"/>
    <w:rsid w:val="00437000"/>
    <w:rsid w:val="00440ACF"/>
    <w:rsid w:val="00486696"/>
    <w:rsid w:val="00493347"/>
    <w:rsid w:val="004941F0"/>
    <w:rsid w:val="004A4C07"/>
    <w:rsid w:val="004B3382"/>
    <w:rsid w:val="004B7D5F"/>
    <w:rsid w:val="004C0C64"/>
    <w:rsid w:val="004E2393"/>
    <w:rsid w:val="004E77E4"/>
    <w:rsid w:val="00503587"/>
    <w:rsid w:val="00507229"/>
    <w:rsid w:val="00545897"/>
    <w:rsid w:val="005540AA"/>
    <w:rsid w:val="005968B6"/>
    <w:rsid w:val="005A3D07"/>
    <w:rsid w:val="005B7E96"/>
    <w:rsid w:val="005C1A79"/>
    <w:rsid w:val="005D5D2E"/>
    <w:rsid w:val="005D6F24"/>
    <w:rsid w:val="005F1BA0"/>
    <w:rsid w:val="00615E74"/>
    <w:rsid w:val="006467A1"/>
    <w:rsid w:val="00662724"/>
    <w:rsid w:val="006721AC"/>
    <w:rsid w:val="00682C28"/>
    <w:rsid w:val="006D29F2"/>
    <w:rsid w:val="006D6937"/>
    <w:rsid w:val="006F16F2"/>
    <w:rsid w:val="006F3541"/>
    <w:rsid w:val="006F4A22"/>
    <w:rsid w:val="00711376"/>
    <w:rsid w:val="007158EB"/>
    <w:rsid w:val="00751C4F"/>
    <w:rsid w:val="00763B7F"/>
    <w:rsid w:val="00773C45"/>
    <w:rsid w:val="00777E70"/>
    <w:rsid w:val="007812AE"/>
    <w:rsid w:val="007A46CB"/>
    <w:rsid w:val="007B14CC"/>
    <w:rsid w:val="007B7A5C"/>
    <w:rsid w:val="0081350C"/>
    <w:rsid w:val="00813EE9"/>
    <w:rsid w:val="00820256"/>
    <w:rsid w:val="008328FC"/>
    <w:rsid w:val="00867568"/>
    <w:rsid w:val="00870F92"/>
    <w:rsid w:val="00890D85"/>
    <w:rsid w:val="008C1B6F"/>
    <w:rsid w:val="008D0C7A"/>
    <w:rsid w:val="008D6C27"/>
    <w:rsid w:val="008D7868"/>
    <w:rsid w:val="0090520B"/>
    <w:rsid w:val="00916FCB"/>
    <w:rsid w:val="00930503"/>
    <w:rsid w:val="00931555"/>
    <w:rsid w:val="00951725"/>
    <w:rsid w:val="0095602C"/>
    <w:rsid w:val="009766E0"/>
    <w:rsid w:val="0099200A"/>
    <w:rsid w:val="009C69C1"/>
    <w:rsid w:val="009D4BAD"/>
    <w:rsid w:val="009E0779"/>
    <w:rsid w:val="009F651D"/>
    <w:rsid w:val="00A07156"/>
    <w:rsid w:val="00A229DC"/>
    <w:rsid w:val="00A420B9"/>
    <w:rsid w:val="00A4368C"/>
    <w:rsid w:val="00A45166"/>
    <w:rsid w:val="00A633DE"/>
    <w:rsid w:val="00A642BB"/>
    <w:rsid w:val="00A869D2"/>
    <w:rsid w:val="00AB111F"/>
    <w:rsid w:val="00AD2C9B"/>
    <w:rsid w:val="00AE0C3E"/>
    <w:rsid w:val="00AE514C"/>
    <w:rsid w:val="00AF6269"/>
    <w:rsid w:val="00B02408"/>
    <w:rsid w:val="00B07F48"/>
    <w:rsid w:val="00B2329F"/>
    <w:rsid w:val="00B33531"/>
    <w:rsid w:val="00B34BA3"/>
    <w:rsid w:val="00B44E8F"/>
    <w:rsid w:val="00B51EF6"/>
    <w:rsid w:val="00B64205"/>
    <w:rsid w:val="00B77093"/>
    <w:rsid w:val="00B83050"/>
    <w:rsid w:val="00B93526"/>
    <w:rsid w:val="00BA3079"/>
    <w:rsid w:val="00BC554A"/>
    <w:rsid w:val="00BC6F74"/>
    <w:rsid w:val="00BE00C3"/>
    <w:rsid w:val="00C10038"/>
    <w:rsid w:val="00C17315"/>
    <w:rsid w:val="00C33C81"/>
    <w:rsid w:val="00C44D02"/>
    <w:rsid w:val="00C52954"/>
    <w:rsid w:val="00C55BFE"/>
    <w:rsid w:val="00C63E7A"/>
    <w:rsid w:val="00C66DB6"/>
    <w:rsid w:val="00C81D0D"/>
    <w:rsid w:val="00C869DA"/>
    <w:rsid w:val="00CA4ECD"/>
    <w:rsid w:val="00CB466C"/>
    <w:rsid w:val="00CC01DF"/>
    <w:rsid w:val="00CC5C4D"/>
    <w:rsid w:val="00CD60BA"/>
    <w:rsid w:val="00CE20AA"/>
    <w:rsid w:val="00CE2FF3"/>
    <w:rsid w:val="00CF229A"/>
    <w:rsid w:val="00D10348"/>
    <w:rsid w:val="00D37D2E"/>
    <w:rsid w:val="00D439E2"/>
    <w:rsid w:val="00D66278"/>
    <w:rsid w:val="00D94570"/>
    <w:rsid w:val="00DC1A98"/>
    <w:rsid w:val="00DD2623"/>
    <w:rsid w:val="00DE00EE"/>
    <w:rsid w:val="00E04A8D"/>
    <w:rsid w:val="00E36708"/>
    <w:rsid w:val="00E417F2"/>
    <w:rsid w:val="00E41FB6"/>
    <w:rsid w:val="00E718AA"/>
    <w:rsid w:val="00E870DF"/>
    <w:rsid w:val="00E9174D"/>
    <w:rsid w:val="00ED3B88"/>
    <w:rsid w:val="00ED45F7"/>
    <w:rsid w:val="00EF7E2A"/>
    <w:rsid w:val="00F21009"/>
    <w:rsid w:val="00F32086"/>
    <w:rsid w:val="00F366BB"/>
    <w:rsid w:val="00F37B7A"/>
    <w:rsid w:val="00F4073F"/>
    <w:rsid w:val="00F95251"/>
    <w:rsid w:val="00F959FA"/>
    <w:rsid w:val="00F97B88"/>
    <w:rsid w:val="00FA233B"/>
    <w:rsid w:val="00FA25C1"/>
    <w:rsid w:val="00FB7572"/>
    <w:rsid w:val="00FC22A6"/>
    <w:rsid w:val="00FE516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56432"/>
  <w14:defaultImageDpi w14:val="300"/>
  <w15:docId w15:val="{FDCD69EE-D360-489C-95E8-3EEC5DC2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AE0C3E"/>
  </w:style>
  <w:style w:type="character" w:customStyle="1" w:styleId="TestonotaapidipaginaCarattere">
    <w:name w:val="Testo nota a piè di pagina Carattere"/>
    <w:basedOn w:val="Carpredefinitoparagrafo"/>
    <w:link w:val="Testonotaapidipagina"/>
    <w:uiPriority w:val="99"/>
    <w:rsid w:val="00AE0C3E"/>
  </w:style>
  <w:style w:type="character" w:styleId="Rimandonotaapidipagina">
    <w:name w:val="footnote reference"/>
    <w:basedOn w:val="Carpredefinitoparagrafo"/>
    <w:uiPriority w:val="99"/>
    <w:unhideWhenUsed/>
    <w:rsid w:val="00AE0C3E"/>
    <w:rPr>
      <w:vertAlign w:val="superscript"/>
    </w:rPr>
  </w:style>
  <w:style w:type="character" w:styleId="Collegamentoipertestuale">
    <w:name w:val="Hyperlink"/>
    <w:basedOn w:val="Carpredefinitoparagrafo"/>
    <w:uiPriority w:val="99"/>
    <w:unhideWhenUsed/>
    <w:rsid w:val="0025022E"/>
    <w:rPr>
      <w:color w:val="0000FF" w:themeColor="hyperlink"/>
      <w:u w:val="single"/>
    </w:rPr>
  </w:style>
  <w:style w:type="paragraph" w:styleId="Pidipagina">
    <w:name w:val="footer"/>
    <w:basedOn w:val="Normale"/>
    <w:link w:val="PidipaginaCarattere"/>
    <w:uiPriority w:val="99"/>
    <w:unhideWhenUsed/>
    <w:rsid w:val="00111A5D"/>
    <w:pPr>
      <w:tabs>
        <w:tab w:val="center" w:pos="4819"/>
        <w:tab w:val="right" w:pos="9638"/>
      </w:tabs>
    </w:pPr>
  </w:style>
  <w:style w:type="character" w:customStyle="1" w:styleId="PidipaginaCarattere">
    <w:name w:val="Piè di pagina Carattere"/>
    <w:basedOn w:val="Carpredefinitoparagrafo"/>
    <w:link w:val="Pidipagina"/>
    <w:uiPriority w:val="99"/>
    <w:rsid w:val="00111A5D"/>
  </w:style>
  <w:style w:type="character" w:styleId="Numeropagina">
    <w:name w:val="page number"/>
    <w:basedOn w:val="Carpredefinitoparagrafo"/>
    <w:uiPriority w:val="99"/>
    <w:semiHidden/>
    <w:unhideWhenUsed/>
    <w:rsid w:val="00111A5D"/>
  </w:style>
  <w:style w:type="paragraph" w:styleId="NormaleWeb">
    <w:name w:val="Normal (Web)"/>
    <w:basedOn w:val="Normale"/>
    <w:uiPriority w:val="99"/>
    <w:semiHidden/>
    <w:unhideWhenUsed/>
    <w:rsid w:val="005D6F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88832">
      <w:bodyDiv w:val="1"/>
      <w:marLeft w:val="0"/>
      <w:marRight w:val="0"/>
      <w:marTop w:val="0"/>
      <w:marBottom w:val="0"/>
      <w:divBdr>
        <w:top w:val="none" w:sz="0" w:space="0" w:color="auto"/>
        <w:left w:val="none" w:sz="0" w:space="0" w:color="auto"/>
        <w:bottom w:val="none" w:sz="0" w:space="0" w:color="auto"/>
        <w:right w:val="none" w:sz="0" w:space="0" w:color="auto"/>
      </w:divBdr>
    </w:div>
    <w:div w:id="173154979">
      <w:bodyDiv w:val="1"/>
      <w:marLeft w:val="0"/>
      <w:marRight w:val="0"/>
      <w:marTop w:val="0"/>
      <w:marBottom w:val="0"/>
      <w:divBdr>
        <w:top w:val="none" w:sz="0" w:space="0" w:color="auto"/>
        <w:left w:val="none" w:sz="0" w:space="0" w:color="auto"/>
        <w:bottom w:val="none" w:sz="0" w:space="0" w:color="auto"/>
        <w:right w:val="none" w:sz="0" w:space="0" w:color="auto"/>
      </w:divBdr>
    </w:div>
    <w:div w:id="270237202">
      <w:bodyDiv w:val="1"/>
      <w:marLeft w:val="0"/>
      <w:marRight w:val="0"/>
      <w:marTop w:val="0"/>
      <w:marBottom w:val="0"/>
      <w:divBdr>
        <w:top w:val="none" w:sz="0" w:space="0" w:color="auto"/>
        <w:left w:val="none" w:sz="0" w:space="0" w:color="auto"/>
        <w:bottom w:val="none" w:sz="0" w:space="0" w:color="auto"/>
        <w:right w:val="none" w:sz="0" w:space="0" w:color="auto"/>
      </w:divBdr>
    </w:div>
    <w:div w:id="335351632">
      <w:bodyDiv w:val="1"/>
      <w:marLeft w:val="0"/>
      <w:marRight w:val="0"/>
      <w:marTop w:val="0"/>
      <w:marBottom w:val="0"/>
      <w:divBdr>
        <w:top w:val="none" w:sz="0" w:space="0" w:color="auto"/>
        <w:left w:val="none" w:sz="0" w:space="0" w:color="auto"/>
        <w:bottom w:val="none" w:sz="0" w:space="0" w:color="auto"/>
        <w:right w:val="none" w:sz="0" w:space="0" w:color="auto"/>
      </w:divBdr>
    </w:div>
    <w:div w:id="338892225">
      <w:bodyDiv w:val="1"/>
      <w:marLeft w:val="0"/>
      <w:marRight w:val="0"/>
      <w:marTop w:val="0"/>
      <w:marBottom w:val="0"/>
      <w:divBdr>
        <w:top w:val="none" w:sz="0" w:space="0" w:color="auto"/>
        <w:left w:val="none" w:sz="0" w:space="0" w:color="auto"/>
        <w:bottom w:val="none" w:sz="0" w:space="0" w:color="auto"/>
        <w:right w:val="none" w:sz="0" w:space="0" w:color="auto"/>
      </w:divBdr>
    </w:div>
    <w:div w:id="474419330">
      <w:bodyDiv w:val="1"/>
      <w:marLeft w:val="0"/>
      <w:marRight w:val="0"/>
      <w:marTop w:val="0"/>
      <w:marBottom w:val="0"/>
      <w:divBdr>
        <w:top w:val="none" w:sz="0" w:space="0" w:color="auto"/>
        <w:left w:val="none" w:sz="0" w:space="0" w:color="auto"/>
        <w:bottom w:val="none" w:sz="0" w:space="0" w:color="auto"/>
        <w:right w:val="none" w:sz="0" w:space="0" w:color="auto"/>
      </w:divBdr>
    </w:div>
    <w:div w:id="864901898">
      <w:bodyDiv w:val="1"/>
      <w:marLeft w:val="0"/>
      <w:marRight w:val="0"/>
      <w:marTop w:val="0"/>
      <w:marBottom w:val="0"/>
      <w:divBdr>
        <w:top w:val="none" w:sz="0" w:space="0" w:color="auto"/>
        <w:left w:val="none" w:sz="0" w:space="0" w:color="auto"/>
        <w:bottom w:val="none" w:sz="0" w:space="0" w:color="auto"/>
        <w:right w:val="none" w:sz="0" w:space="0" w:color="auto"/>
      </w:divBdr>
    </w:div>
    <w:div w:id="1162937346">
      <w:bodyDiv w:val="1"/>
      <w:marLeft w:val="0"/>
      <w:marRight w:val="0"/>
      <w:marTop w:val="0"/>
      <w:marBottom w:val="0"/>
      <w:divBdr>
        <w:top w:val="none" w:sz="0" w:space="0" w:color="auto"/>
        <w:left w:val="none" w:sz="0" w:space="0" w:color="auto"/>
        <w:bottom w:val="none" w:sz="0" w:space="0" w:color="auto"/>
        <w:right w:val="none" w:sz="0" w:space="0" w:color="auto"/>
      </w:divBdr>
    </w:div>
    <w:div w:id="1759785600">
      <w:bodyDiv w:val="1"/>
      <w:marLeft w:val="0"/>
      <w:marRight w:val="0"/>
      <w:marTop w:val="0"/>
      <w:marBottom w:val="0"/>
      <w:divBdr>
        <w:top w:val="none" w:sz="0" w:space="0" w:color="auto"/>
        <w:left w:val="none" w:sz="0" w:space="0" w:color="auto"/>
        <w:bottom w:val="none" w:sz="0" w:space="0" w:color="auto"/>
        <w:right w:val="none" w:sz="0" w:space="0" w:color="auto"/>
      </w:divBdr>
    </w:div>
    <w:div w:id="1783649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ipassaacondizione.comune.messin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ustizia-amministrativa.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dirittiregiona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3834</Words>
  <Characters>21857</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Pignatelli</dc:creator>
  <cp:lastModifiedBy>FERRARI Giulia</cp:lastModifiedBy>
  <cp:revision>2</cp:revision>
  <dcterms:created xsi:type="dcterms:W3CDTF">2020-04-14T09:58:00Z</dcterms:created>
  <dcterms:modified xsi:type="dcterms:W3CDTF">2020-04-14T09:58:00Z</dcterms:modified>
</cp:coreProperties>
</file>