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55" w:rsidRDefault="001449CC" w:rsidP="00D11519">
      <w:pPr>
        <w:spacing w:after="0" w:line="240" w:lineRule="auto"/>
        <w:ind w:left="1134" w:right="1418" w:firstLine="426"/>
        <w:jc w:val="center"/>
        <w:rPr>
          <w:rFonts w:ascii="Times New Roman" w:hAnsi="Times New Roman"/>
          <w:sz w:val="25"/>
        </w:rPr>
      </w:pPr>
      <w:r w:rsidRPr="00D11519">
        <w:rPr>
          <w:rFonts w:ascii="Times New Roman" w:hAnsi="Times New Roman"/>
          <w:b/>
          <w:sz w:val="36"/>
          <w:szCs w:val="36"/>
        </w:rPr>
        <w:t>I</w:t>
      </w:r>
      <w:r w:rsidR="004B69CC" w:rsidRPr="00D11519">
        <w:rPr>
          <w:rFonts w:ascii="Times New Roman" w:hAnsi="Times New Roman"/>
          <w:b/>
          <w:sz w:val="36"/>
          <w:szCs w:val="36"/>
        </w:rPr>
        <w:t>l</w:t>
      </w:r>
      <w:r w:rsidRPr="00D11519">
        <w:rPr>
          <w:rFonts w:ascii="Times New Roman" w:hAnsi="Times New Roman"/>
          <w:b/>
          <w:sz w:val="36"/>
          <w:szCs w:val="36"/>
        </w:rPr>
        <w:t xml:space="preserve"> Consiglio di Stato ed il </w:t>
      </w:r>
      <w:r w:rsidR="00E05355" w:rsidRPr="00D11519">
        <w:rPr>
          <w:rFonts w:ascii="Times New Roman" w:hAnsi="Times New Roman"/>
          <w:b/>
          <w:sz w:val="36"/>
          <w:szCs w:val="36"/>
        </w:rPr>
        <w:t xml:space="preserve">vizio della opacità dell’algoritmo </w:t>
      </w:r>
      <w:r w:rsidR="00165F45" w:rsidRPr="00D11519">
        <w:rPr>
          <w:rFonts w:ascii="Times New Roman" w:hAnsi="Times New Roman"/>
          <w:b/>
          <w:sz w:val="36"/>
          <w:szCs w:val="36"/>
        </w:rPr>
        <w:t>tra diritto interno e diritto sovranazionale</w:t>
      </w:r>
      <w:bookmarkStart w:id="0" w:name="_GoBack"/>
      <w:bookmarkEnd w:id="0"/>
    </w:p>
    <w:p w:rsidR="00E05355" w:rsidRDefault="00E05355" w:rsidP="00A41343">
      <w:pPr>
        <w:pStyle w:val="Paragrafoelenco"/>
        <w:spacing w:after="0" w:line="240" w:lineRule="auto"/>
        <w:ind w:left="1134" w:right="1418" w:firstLine="426"/>
        <w:jc w:val="both"/>
        <w:rPr>
          <w:rFonts w:ascii="Times New Roman" w:hAnsi="Times New Roman"/>
          <w:sz w:val="24"/>
          <w:szCs w:val="24"/>
        </w:rPr>
      </w:pPr>
    </w:p>
    <w:p w:rsidR="00E05355" w:rsidRDefault="00A41343" w:rsidP="00E05355">
      <w:pPr>
        <w:spacing w:after="0" w:line="240" w:lineRule="auto"/>
        <w:ind w:left="1134" w:right="1418" w:firstLine="426"/>
        <w:jc w:val="both"/>
        <w:rPr>
          <w:rFonts w:ascii="Times New Roman" w:hAnsi="Times New Roman"/>
          <w:sz w:val="25"/>
        </w:rPr>
      </w:pPr>
      <w:r>
        <w:rPr>
          <w:rFonts w:ascii="Times New Roman" w:hAnsi="Times New Roman"/>
          <w:sz w:val="24"/>
          <w:szCs w:val="24"/>
        </w:rPr>
        <w:t xml:space="preserve">1. </w:t>
      </w:r>
      <w:r w:rsidR="00E05355">
        <w:rPr>
          <w:rFonts w:ascii="Times New Roman" w:hAnsi="Times New Roman"/>
          <w:sz w:val="25"/>
        </w:rPr>
        <w:t xml:space="preserve">La logica sottesa all’algoritmo non è facilmente intellegibile, a volte, nemmeno per chi l’algoritmo ha progettato oltre che per </w:t>
      </w:r>
      <w:r w:rsidR="00B5191E">
        <w:rPr>
          <w:rFonts w:ascii="Times New Roman" w:hAnsi="Times New Roman"/>
          <w:sz w:val="25"/>
        </w:rPr>
        <w:t xml:space="preserve">chi </w:t>
      </w:r>
      <w:r w:rsidR="00E05355">
        <w:rPr>
          <w:rFonts w:ascii="Times New Roman" w:hAnsi="Times New Roman"/>
          <w:sz w:val="25"/>
        </w:rPr>
        <w:t xml:space="preserve">lo utilizza. La p.a. quasi mai, </w:t>
      </w:r>
      <w:r w:rsidR="001449CC">
        <w:rPr>
          <w:rFonts w:ascii="Times New Roman" w:hAnsi="Times New Roman"/>
          <w:sz w:val="25"/>
        </w:rPr>
        <w:t>al pari de</w:t>
      </w:r>
      <w:r w:rsidR="00E05355">
        <w:rPr>
          <w:rFonts w:ascii="Times New Roman" w:hAnsi="Times New Roman"/>
          <w:sz w:val="25"/>
        </w:rPr>
        <w:t xml:space="preserve">i comuni </w:t>
      </w:r>
      <w:r w:rsidR="001449CC">
        <w:rPr>
          <w:rFonts w:ascii="Times New Roman" w:hAnsi="Times New Roman"/>
          <w:sz w:val="25"/>
        </w:rPr>
        <w:t>cittadini</w:t>
      </w:r>
      <w:r w:rsidR="00E05355">
        <w:rPr>
          <w:rFonts w:ascii="Times New Roman" w:hAnsi="Times New Roman"/>
          <w:sz w:val="25"/>
        </w:rPr>
        <w:t>, è nelle condizioni di conoscere nel profondo il meccanismo algoritmico cioè la sua base di conoscenza</w:t>
      </w:r>
      <w:r w:rsidR="00E05355">
        <w:rPr>
          <w:rStyle w:val="Rimandonotaapidipagina"/>
          <w:rFonts w:ascii="Times New Roman" w:hAnsi="Times New Roman"/>
          <w:sz w:val="25"/>
        </w:rPr>
        <w:footnoteReference w:id="1"/>
      </w:r>
      <w:r w:rsidR="00E05355">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L’inaccessibilità della logica sottesa al funzionamento dell’algoritmo, si riverbera sul piano procedural</w:t>
      </w:r>
      <w:r w:rsidR="001449CC">
        <w:rPr>
          <w:rFonts w:ascii="Times New Roman" w:hAnsi="Times New Roman"/>
          <w:sz w:val="25"/>
        </w:rPr>
        <w:t>e</w:t>
      </w:r>
      <w:r>
        <w:rPr>
          <w:rFonts w:ascii="Times New Roman" w:hAnsi="Times New Roman"/>
          <w:sz w:val="25"/>
        </w:rPr>
        <w:t xml:space="preserve"> sulla impossibilità di fatto di rendere conoscibile la base di conoscenza e di apprendimento</w:t>
      </w:r>
      <w:r w:rsidR="001449CC">
        <w:rPr>
          <w:rFonts w:ascii="Times New Roman" w:hAnsi="Times New Roman"/>
          <w:sz w:val="25"/>
        </w:rPr>
        <w:t>,</w:t>
      </w:r>
      <w:r>
        <w:rPr>
          <w:rFonts w:ascii="Times New Roman" w:hAnsi="Times New Roman"/>
          <w:sz w:val="25"/>
        </w:rPr>
        <w:t xml:space="preserve"> sulla cui base la decisione viene assunta dalla macchina. Come nel caso degli algoritmi che sfruttano le reti neurali, capaci di elaborare in modo autonomo le regole di funzionamento con modalità che sfuggono agli stessi programmatori del sistema</w:t>
      </w:r>
      <w:r>
        <w:rPr>
          <w:rStyle w:val="Rimandonotaapidipagina"/>
          <w:rFonts w:ascii="Times New Roman" w:hAnsi="Times New Roman"/>
          <w:sz w:val="25"/>
        </w:rPr>
        <w:footnoteReference w:id="2"/>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In queste ipotesi, il problema della conoscenza dell’algoritmo nella fase istruttoria del procedimento assume significato pregnante, considerato che la p.a. non solo si scontra con il problema della opacità tecnica ma deve tutelare sul piano giuridico anche gli interessi economici che derivano dai diritti di proprietà intellettuale e dal segreto industriale. Ostacoli che si riverberano, a loro volta, con le norme poste a presidio delle garanzie di partecipazione al procedimento e di accesso agli atti. </w:t>
      </w:r>
    </w:p>
    <w:p w:rsidR="00A41343" w:rsidRDefault="00E05355" w:rsidP="00A41343">
      <w:pPr>
        <w:pStyle w:val="Paragrafoelenco"/>
        <w:spacing w:after="0" w:line="240" w:lineRule="auto"/>
        <w:ind w:left="1134" w:right="1418" w:firstLine="426"/>
        <w:jc w:val="both"/>
        <w:rPr>
          <w:rFonts w:ascii="Times New Roman" w:hAnsi="Times New Roman"/>
          <w:sz w:val="24"/>
          <w:szCs w:val="24"/>
        </w:rPr>
      </w:pPr>
      <w:r>
        <w:rPr>
          <w:rFonts w:ascii="Times New Roman" w:hAnsi="Times New Roman"/>
          <w:sz w:val="24"/>
          <w:szCs w:val="24"/>
        </w:rPr>
        <w:t xml:space="preserve">2. </w:t>
      </w:r>
      <w:r w:rsidR="00A41343">
        <w:rPr>
          <w:rFonts w:ascii="Times New Roman" w:hAnsi="Times New Roman"/>
          <w:sz w:val="24"/>
          <w:szCs w:val="24"/>
        </w:rPr>
        <w:t>I</w:t>
      </w:r>
      <w:r w:rsidR="00A41343" w:rsidRPr="00244EDC">
        <w:rPr>
          <w:rFonts w:ascii="Times New Roman" w:hAnsi="Times New Roman"/>
          <w:sz w:val="24"/>
          <w:szCs w:val="24"/>
        </w:rPr>
        <w:t xml:space="preserve"> confini tra potere pubblico ed uso dell’algoritmo, sul versante interno Stato-cittadini, con i relativi limiti in ordine all’utilizzo della decisione automatizzata nel contesto dell’attività vincolata e dell’attività discrezionale della p.a., </w:t>
      </w:r>
      <w:r w:rsidR="00A41343">
        <w:rPr>
          <w:rFonts w:ascii="Times New Roman" w:hAnsi="Times New Roman"/>
          <w:sz w:val="24"/>
          <w:szCs w:val="24"/>
        </w:rPr>
        <w:t xml:space="preserve">sono stati esaminati </w:t>
      </w:r>
      <w:r>
        <w:rPr>
          <w:rFonts w:ascii="Times New Roman" w:hAnsi="Times New Roman"/>
          <w:sz w:val="24"/>
          <w:szCs w:val="24"/>
        </w:rPr>
        <w:t xml:space="preserve">una prima volta </w:t>
      </w:r>
      <w:r w:rsidR="00A41343">
        <w:rPr>
          <w:rFonts w:ascii="Times New Roman" w:hAnsi="Times New Roman"/>
          <w:sz w:val="24"/>
          <w:szCs w:val="24"/>
        </w:rPr>
        <w:t xml:space="preserve">dalla sentenza </w:t>
      </w:r>
      <w:r w:rsidR="00A41343" w:rsidRPr="00244EDC">
        <w:rPr>
          <w:rFonts w:ascii="Times New Roman" w:hAnsi="Times New Roman"/>
          <w:sz w:val="24"/>
          <w:szCs w:val="24"/>
        </w:rPr>
        <w:t>d</w:t>
      </w:r>
      <w:r w:rsidR="00A41343">
        <w:rPr>
          <w:rFonts w:ascii="Times New Roman" w:hAnsi="Times New Roman"/>
          <w:sz w:val="24"/>
          <w:szCs w:val="24"/>
        </w:rPr>
        <w:t>e</w:t>
      </w:r>
      <w:r w:rsidR="00A41343" w:rsidRPr="00244EDC">
        <w:rPr>
          <w:rFonts w:ascii="Times New Roman" w:hAnsi="Times New Roman"/>
          <w:sz w:val="24"/>
          <w:szCs w:val="24"/>
        </w:rPr>
        <w:t xml:space="preserve">l Consiglio di Stato </w:t>
      </w:r>
      <w:r w:rsidR="00A41343">
        <w:rPr>
          <w:rFonts w:ascii="Times New Roman" w:hAnsi="Times New Roman"/>
          <w:sz w:val="24"/>
          <w:szCs w:val="24"/>
        </w:rPr>
        <w:t>(</w:t>
      </w:r>
      <w:r w:rsidR="00A41343" w:rsidRPr="00244EDC">
        <w:rPr>
          <w:rFonts w:ascii="Times New Roman" w:hAnsi="Times New Roman"/>
          <w:sz w:val="24"/>
          <w:szCs w:val="24"/>
        </w:rPr>
        <w:t>VI sezione</w:t>
      </w:r>
      <w:r w:rsidR="00A41343">
        <w:rPr>
          <w:rFonts w:ascii="Times New Roman" w:hAnsi="Times New Roman"/>
          <w:sz w:val="24"/>
          <w:szCs w:val="24"/>
        </w:rPr>
        <w:t>)</w:t>
      </w:r>
      <w:r w:rsidR="00A41343" w:rsidRPr="00244EDC">
        <w:rPr>
          <w:rFonts w:ascii="Times New Roman" w:hAnsi="Times New Roman"/>
          <w:sz w:val="24"/>
          <w:szCs w:val="24"/>
        </w:rPr>
        <w:t xml:space="preserve"> </w:t>
      </w:r>
      <w:r w:rsidR="00A41343">
        <w:rPr>
          <w:rFonts w:ascii="Times New Roman" w:hAnsi="Times New Roman"/>
          <w:sz w:val="24"/>
          <w:szCs w:val="24"/>
        </w:rPr>
        <w:t>dell’</w:t>
      </w:r>
      <w:r w:rsidR="00A41343" w:rsidRPr="00244EDC">
        <w:rPr>
          <w:rFonts w:ascii="Times New Roman" w:hAnsi="Times New Roman"/>
          <w:sz w:val="24"/>
          <w:szCs w:val="24"/>
        </w:rPr>
        <w:t xml:space="preserve">8 aprile 2019 n. 2270, con la quale, in sintesi: a) si ritiene doverosa declinazione dell’art. 97 </w:t>
      </w:r>
      <w:proofErr w:type="spellStart"/>
      <w:r w:rsidR="00A41343" w:rsidRPr="00244EDC">
        <w:rPr>
          <w:rFonts w:ascii="Times New Roman" w:hAnsi="Times New Roman"/>
          <w:sz w:val="24"/>
          <w:szCs w:val="24"/>
        </w:rPr>
        <w:t>Cost</w:t>
      </w:r>
      <w:proofErr w:type="spellEnd"/>
      <w:r w:rsidR="00A41343" w:rsidRPr="00244EDC">
        <w:rPr>
          <w:rFonts w:ascii="Times New Roman" w:hAnsi="Times New Roman"/>
          <w:sz w:val="24"/>
          <w:szCs w:val="24"/>
        </w:rPr>
        <w:t xml:space="preserve">., coerente con l’attuale evoluzione tecnologica, l’assenza di intervento umano in un’attività di mera classificazione automatica di </w:t>
      </w:r>
      <w:r w:rsidR="00A41343" w:rsidRPr="00244EDC">
        <w:rPr>
          <w:rFonts w:ascii="Times New Roman" w:hAnsi="Times New Roman"/>
          <w:i/>
          <w:sz w:val="24"/>
          <w:szCs w:val="24"/>
        </w:rPr>
        <w:t>istanze numerose</w:t>
      </w:r>
      <w:r w:rsidR="00A41343" w:rsidRPr="00244EDC">
        <w:rPr>
          <w:rFonts w:ascii="Times New Roman" w:hAnsi="Times New Roman"/>
          <w:sz w:val="24"/>
          <w:szCs w:val="24"/>
        </w:rPr>
        <w:t xml:space="preserve">, secondo regole predeterminate (elaborate dall’uomo) e l’affidamento di tale attività a un efficiente elaboratore elettronico;  b) si afferma che la regola tecnica che governa ciascun algoritmo resta pur sempre una </w:t>
      </w:r>
      <w:r w:rsidR="00A41343" w:rsidRPr="00244EDC">
        <w:rPr>
          <w:rFonts w:ascii="Times New Roman" w:hAnsi="Times New Roman"/>
          <w:i/>
          <w:sz w:val="24"/>
          <w:szCs w:val="24"/>
        </w:rPr>
        <w:t>regola amministrativa generale</w:t>
      </w:r>
      <w:r w:rsidR="00A41343" w:rsidRPr="00244EDC">
        <w:rPr>
          <w:rFonts w:ascii="Times New Roman" w:hAnsi="Times New Roman"/>
          <w:sz w:val="24"/>
          <w:szCs w:val="24"/>
        </w:rPr>
        <w:t xml:space="preserve">, costruita dall’uomo e non dalla macchina, per essere poi (solo) applicata da quest’ultima, anche se ciò avviene in via esclusiva; c) si deduce che la regola algoritmica, quindi, ossia il software, deve essere considerato a tutti gli effetti come un “atto amministrativo informatico” e deve prevedere con ragionevolezza </w:t>
      </w:r>
      <w:r w:rsidR="00A41343" w:rsidRPr="00244EDC">
        <w:rPr>
          <w:rFonts w:ascii="Times New Roman" w:hAnsi="Times New Roman"/>
          <w:i/>
          <w:sz w:val="24"/>
          <w:szCs w:val="24"/>
        </w:rPr>
        <w:t>una soluzione definita per tutti i casi possibili</w:t>
      </w:r>
      <w:r w:rsidR="00A41343" w:rsidRPr="00244EDC">
        <w:rPr>
          <w:rFonts w:ascii="Times New Roman" w:hAnsi="Times New Roman"/>
          <w:sz w:val="24"/>
          <w:szCs w:val="24"/>
        </w:rPr>
        <w:t xml:space="preserve">, anche i più improbabili; d) si onera la p.a. di costantemente aggiornare e </w:t>
      </w:r>
      <w:r w:rsidR="00A41343" w:rsidRPr="00244EDC">
        <w:rPr>
          <w:rFonts w:ascii="Times New Roman" w:hAnsi="Times New Roman"/>
          <w:i/>
          <w:sz w:val="24"/>
          <w:szCs w:val="24"/>
        </w:rPr>
        <w:t>perfezionare</w:t>
      </w:r>
      <w:r w:rsidR="00A41343" w:rsidRPr="00244EDC">
        <w:rPr>
          <w:rFonts w:ascii="Times New Roman" w:hAnsi="Times New Roman"/>
          <w:sz w:val="24"/>
          <w:szCs w:val="24"/>
        </w:rPr>
        <w:t xml:space="preserve"> l’algoritmo (soprattutto nel caso di apprendimento progressivo e di </w:t>
      </w:r>
      <w:proofErr w:type="spellStart"/>
      <w:r w:rsidR="00A41343" w:rsidRPr="00244EDC">
        <w:rPr>
          <w:rFonts w:ascii="Times New Roman" w:hAnsi="Times New Roman"/>
          <w:i/>
          <w:sz w:val="24"/>
          <w:szCs w:val="24"/>
        </w:rPr>
        <w:t>deep</w:t>
      </w:r>
      <w:proofErr w:type="spellEnd"/>
      <w:r w:rsidR="00A41343" w:rsidRPr="00244EDC">
        <w:rPr>
          <w:rFonts w:ascii="Times New Roman" w:hAnsi="Times New Roman"/>
          <w:i/>
          <w:sz w:val="24"/>
          <w:szCs w:val="24"/>
        </w:rPr>
        <w:t xml:space="preserve"> </w:t>
      </w:r>
      <w:proofErr w:type="spellStart"/>
      <w:r w:rsidR="00A41343" w:rsidRPr="00244EDC">
        <w:rPr>
          <w:rFonts w:ascii="Times New Roman" w:hAnsi="Times New Roman"/>
          <w:i/>
          <w:sz w:val="24"/>
          <w:szCs w:val="24"/>
        </w:rPr>
        <w:t>learning</w:t>
      </w:r>
      <w:proofErr w:type="spellEnd"/>
      <w:r w:rsidR="00A41343" w:rsidRPr="00244EDC">
        <w:rPr>
          <w:rFonts w:ascii="Times New Roman" w:hAnsi="Times New Roman"/>
          <w:sz w:val="24"/>
          <w:szCs w:val="24"/>
        </w:rPr>
        <w:t xml:space="preserve">); e)  si statuisce sia  che l’algoritmo deve essere </w:t>
      </w:r>
      <w:r w:rsidR="00A41343" w:rsidRPr="00244EDC">
        <w:rPr>
          <w:rFonts w:ascii="Times New Roman" w:hAnsi="Times New Roman"/>
          <w:i/>
          <w:sz w:val="24"/>
          <w:szCs w:val="24"/>
        </w:rPr>
        <w:t>pienamente conoscibile</w:t>
      </w:r>
      <w:r w:rsidR="00A41343" w:rsidRPr="00244EDC">
        <w:rPr>
          <w:rFonts w:ascii="Times New Roman" w:hAnsi="Times New Roman"/>
          <w:sz w:val="24"/>
          <w:szCs w:val="24"/>
        </w:rPr>
        <w:t xml:space="preserve"> in sé sia che il giudice amministrativo </w:t>
      </w:r>
      <w:r w:rsidR="00A41343" w:rsidRPr="00244EDC">
        <w:rPr>
          <w:rFonts w:ascii="Times New Roman" w:hAnsi="Times New Roman"/>
          <w:sz w:val="24"/>
          <w:szCs w:val="24"/>
        </w:rPr>
        <w:lastRenderedPageBreak/>
        <w:t>possa valutarne la correttezza del processo automatizzato in tutte le sue componenti e nella pienezza del sindacato giurisdizionale</w:t>
      </w:r>
      <w:r w:rsidR="00A41343" w:rsidRPr="00244EDC">
        <w:rPr>
          <w:rStyle w:val="Rimandonotaapidipagina"/>
          <w:rFonts w:ascii="Times New Roman" w:hAnsi="Times New Roman"/>
          <w:sz w:val="24"/>
          <w:szCs w:val="24"/>
        </w:rPr>
        <w:footnoteReference w:id="3"/>
      </w:r>
      <w:r w:rsidR="00A41343">
        <w:rPr>
          <w:rFonts w:ascii="Times New Roman" w:hAnsi="Times New Roman"/>
          <w:sz w:val="24"/>
          <w:szCs w:val="24"/>
        </w:rPr>
        <w:t>.</w:t>
      </w:r>
    </w:p>
    <w:p w:rsidR="00A41343" w:rsidRDefault="00A41343" w:rsidP="00A41343">
      <w:pPr>
        <w:spacing w:after="0" w:line="240" w:lineRule="auto"/>
        <w:ind w:left="1134" w:right="1418" w:firstLine="426"/>
        <w:jc w:val="both"/>
        <w:rPr>
          <w:rFonts w:ascii="Times New Roman" w:hAnsi="Times New Roman"/>
          <w:sz w:val="24"/>
          <w:szCs w:val="24"/>
        </w:rPr>
      </w:pPr>
      <w:r>
        <w:rPr>
          <w:rFonts w:ascii="Times New Roman" w:hAnsi="Times New Roman"/>
          <w:sz w:val="24"/>
          <w:szCs w:val="24"/>
        </w:rPr>
        <w:t xml:space="preserve"> Il giudice amministrativo afferma (dandolo per scontato) che il responsabile del procedimento, che per legge</w:t>
      </w:r>
      <w:r>
        <w:t xml:space="preserve"> “</w:t>
      </w:r>
      <w:r w:rsidRPr="00177C36">
        <w:rPr>
          <w:rFonts w:ascii="Times New Roman" w:hAnsi="Times New Roman"/>
          <w:i/>
          <w:sz w:val="24"/>
          <w:szCs w:val="24"/>
        </w:rPr>
        <w:t>accerta di ufficio i fatti, disponendo il compimento degli atti all'uopo necessari</w:t>
      </w:r>
      <w:r>
        <w:rPr>
          <w:rFonts w:ascii="Times New Roman" w:hAnsi="Times New Roman"/>
          <w:sz w:val="24"/>
          <w:szCs w:val="24"/>
        </w:rPr>
        <w:t>” (art. 6 l.n. 241/90)</w:t>
      </w:r>
      <w:r w:rsidRPr="00177C36">
        <w:rPr>
          <w:rFonts w:ascii="Times New Roman" w:hAnsi="Times New Roman"/>
          <w:sz w:val="24"/>
          <w:szCs w:val="24"/>
        </w:rPr>
        <w:t>,</w:t>
      </w:r>
      <w:r>
        <w:rPr>
          <w:rFonts w:ascii="Times New Roman" w:hAnsi="Times New Roman"/>
          <w:sz w:val="24"/>
          <w:szCs w:val="24"/>
        </w:rPr>
        <w:t xml:space="preserve"> debba identificarsi in un essere umano, non in una macchina, cui spetta anche adottare i criteri, che una macchina può elaborare. La stessa sentenza riconosce perciò la piena legittimità dell’utilizzo di algoritmi di apprendimento progressivo (o </w:t>
      </w:r>
      <w:r w:rsidRPr="008A4C3E">
        <w:rPr>
          <w:rFonts w:ascii="Times New Roman" w:hAnsi="Times New Roman"/>
          <w:i/>
          <w:sz w:val="24"/>
          <w:szCs w:val="24"/>
        </w:rPr>
        <w:t xml:space="preserve">machine </w:t>
      </w:r>
      <w:proofErr w:type="spellStart"/>
      <w:r w:rsidRPr="008A4C3E">
        <w:rPr>
          <w:rFonts w:ascii="Times New Roman" w:hAnsi="Times New Roman"/>
          <w:i/>
          <w:sz w:val="24"/>
          <w:szCs w:val="24"/>
        </w:rPr>
        <w:t>learning</w:t>
      </w:r>
      <w:proofErr w:type="spellEnd"/>
      <w:r>
        <w:rPr>
          <w:rFonts w:ascii="Times New Roman" w:hAnsi="Times New Roman"/>
          <w:sz w:val="24"/>
          <w:szCs w:val="24"/>
        </w:rPr>
        <w:t xml:space="preserve">), con l’unico </w:t>
      </w:r>
      <w:proofErr w:type="spellStart"/>
      <w:r w:rsidRPr="008A4C3E">
        <w:rPr>
          <w:rFonts w:ascii="Times New Roman" w:hAnsi="Times New Roman"/>
          <w:i/>
          <w:sz w:val="24"/>
          <w:szCs w:val="24"/>
        </w:rPr>
        <w:t>caveat</w:t>
      </w:r>
      <w:proofErr w:type="spellEnd"/>
      <w:r>
        <w:rPr>
          <w:rFonts w:ascii="Times New Roman" w:hAnsi="Times New Roman"/>
          <w:sz w:val="24"/>
          <w:szCs w:val="24"/>
        </w:rPr>
        <w:t xml:space="preserve"> di perfezionarne l’uso: se necessario, evidentemente.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3. Dopo la decisione n. 2270 del 2019, questi ultimi aspetti sono stati oggetto di una seconda e per certi versi più rilevante sentenza del Consiglio di Stato</w:t>
      </w:r>
      <w:r w:rsidR="00517B06">
        <w:rPr>
          <w:rFonts w:ascii="Times New Roman" w:hAnsi="Times New Roman"/>
          <w:sz w:val="25"/>
        </w:rPr>
        <w:t>:</w:t>
      </w:r>
      <w:r w:rsidR="00517B06" w:rsidRPr="00517B06">
        <w:t xml:space="preserve"> </w:t>
      </w:r>
      <w:r w:rsidR="00517B06">
        <w:rPr>
          <w:rFonts w:ascii="Times New Roman" w:hAnsi="Times New Roman"/>
          <w:sz w:val="25"/>
        </w:rPr>
        <w:t xml:space="preserve">la </w:t>
      </w:r>
      <w:r w:rsidR="00517B06" w:rsidRPr="00517B06">
        <w:rPr>
          <w:rFonts w:ascii="Times New Roman" w:hAnsi="Times New Roman"/>
          <w:sz w:val="25"/>
        </w:rPr>
        <w:t>n. 8472</w:t>
      </w:r>
      <w:r w:rsidR="00517B06">
        <w:rPr>
          <w:rFonts w:ascii="Times New Roman" w:hAnsi="Times New Roman"/>
          <w:sz w:val="25"/>
        </w:rPr>
        <w:t>/2019</w:t>
      </w:r>
      <w:r>
        <w:rPr>
          <w:rStyle w:val="Rimandonotaapidipagina"/>
          <w:rFonts w:ascii="Times New Roman" w:hAnsi="Times New Roman"/>
          <w:sz w:val="25"/>
        </w:rPr>
        <w:footnoteReference w:id="4"/>
      </w:r>
      <w:r>
        <w:rPr>
          <w:rFonts w:ascii="Times New Roman" w:hAnsi="Times New Roman"/>
          <w:sz w:val="25"/>
        </w:rPr>
        <w:t xml:space="preserve">. Ancora una volta era insorta una </w:t>
      </w:r>
      <w:r w:rsidRPr="00C35236">
        <w:rPr>
          <w:rFonts w:ascii="Times New Roman" w:hAnsi="Times New Roman"/>
          <w:sz w:val="25"/>
        </w:rPr>
        <w:t xml:space="preserve">controversia </w:t>
      </w:r>
      <w:r>
        <w:rPr>
          <w:rFonts w:ascii="Times New Roman" w:hAnsi="Times New Roman"/>
          <w:sz w:val="25"/>
        </w:rPr>
        <w:t xml:space="preserve">promossa da </w:t>
      </w:r>
      <w:r w:rsidRPr="00C35236">
        <w:rPr>
          <w:rFonts w:ascii="Times New Roman" w:hAnsi="Times New Roman"/>
          <w:sz w:val="25"/>
        </w:rPr>
        <w:t xml:space="preserve">docenti immessi in ruolo nella c.d. fase C del piano straordinario assunzionale di cui alla </w:t>
      </w:r>
      <w:r>
        <w:rPr>
          <w:rFonts w:ascii="Times New Roman" w:hAnsi="Times New Roman"/>
          <w:sz w:val="25"/>
        </w:rPr>
        <w:t>l</w:t>
      </w:r>
      <w:r w:rsidRPr="00C35236">
        <w:rPr>
          <w:rFonts w:ascii="Times New Roman" w:hAnsi="Times New Roman"/>
          <w:sz w:val="25"/>
        </w:rPr>
        <w:t>. n. 107 del 2015, avverso gli esiti della procedura nazionale di mobilità attuata con O</w:t>
      </w:r>
      <w:r>
        <w:rPr>
          <w:rFonts w:ascii="Times New Roman" w:hAnsi="Times New Roman"/>
          <w:sz w:val="25"/>
        </w:rPr>
        <w:t>rd</w:t>
      </w:r>
      <w:r w:rsidRPr="00C35236">
        <w:rPr>
          <w:rFonts w:ascii="Times New Roman" w:hAnsi="Times New Roman"/>
          <w:sz w:val="25"/>
        </w:rPr>
        <w:t>.</w:t>
      </w:r>
      <w:r>
        <w:rPr>
          <w:rFonts w:ascii="Times New Roman" w:hAnsi="Times New Roman"/>
          <w:sz w:val="25"/>
        </w:rPr>
        <w:t xml:space="preserve"> </w:t>
      </w:r>
      <w:r w:rsidRPr="00C35236">
        <w:rPr>
          <w:rFonts w:ascii="Times New Roman" w:hAnsi="Times New Roman"/>
          <w:sz w:val="25"/>
        </w:rPr>
        <w:t>M</w:t>
      </w:r>
      <w:r>
        <w:rPr>
          <w:rFonts w:ascii="Times New Roman" w:hAnsi="Times New Roman"/>
          <w:sz w:val="25"/>
        </w:rPr>
        <w:t xml:space="preserve">IUR </w:t>
      </w:r>
      <w:r w:rsidRPr="00C35236">
        <w:rPr>
          <w:rFonts w:ascii="Times New Roman" w:hAnsi="Times New Roman"/>
          <w:sz w:val="25"/>
        </w:rPr>
        <w:t>n. 241 del 2016 in attuazione dell'art. 1, co</w:t>
      </w:r>
      <w:r>
        <w:rPr>
          <w:rFonts w:ascii="Times New Roman" w:hAnsi="Times New Roman"/>
          <w:sz w:val="25"/>
        </w:rPr>
        <w:t>mma</w:t>
      </w:r>
      <w:r w:rsidRPr="00C35236">
        <w:rPr>
          <w:rFonts w:ascii="Times New Roman" w:hAnsi="Times New Roman"/>
          <w:sz w:val="25"/>
        </w:rPr>
        <w:t xml:space="preserve"> 108</w:t>
      </w:r>
      <w:r>
        <w:rPr>
          <w:rFonts w:ascii="Times New Roman" w:hAnsi="Times New Roman"/>
          <w:sz w:val="25"/>
        </w:rPr>
        <w:t>,</w:t>
      </w:r>
      <w:r w:rsidRPr="00C35236">
        <w:rPr>
          <w:rFonts w:ascii="Times New Roman" w:hAnsi="Times New Roman"/>
          <w:sz w:val="25"/>
        </w:rPr>
        <w:t xml:space="preserve"> della citata legge. In particolare, la contestazione riguarda</w:t>
      </w:r>
      <w:r>
        <w:rPr>
          <w:rFonts w:ascii="Times New Roman" w:hAnsi="Times New Roman"/>
          <w:sz w:val="25"/>
        </w:rPr>
        <w:t>va</w:t>
      </w:r>
      <w:r w:rsidRPr="00C35236">
        <w:rPr>
          <w:rFonts w:ascii="Times New Roman" w:hAnsi="Times New Roman"/>
          <w:sz w:val="25"/>
        </w:rPr>
        <w:t xml:space="preserve"> l'esito della procedura la quale, svolta sulla base di un </w:t>
      </w:r>
      <w:r>
        <w:rPr>
          <w:rFonts w:ascii="Times New Roman" w:hAnsi="Times New Roman"/>
          <w:sz w:val="25"/>
        </w:rPr>
        <w:t>“</w:t>
      </w:r>
      <w:r w:rsidRPr="00754CD0">
        <w:rPr>
          <w:rFonts w:ascii="Times New Roman" w:hAnsi="Times New Roman"/>
          <w:i/>
          <w:sz w:val="25"/>
        </w:rPr>
        <w:t>algoritmo tuttora sconosciuto</w:t>
      </w:r>
      <w:r>
        <w:rPr>
          <w:rFonts w:ascii="Times New Roman" w:hAnsi="Times New Roman"/>
          <w:sz w:val="25"/>
        </w:rPr>
        <w:t>”</w:t>
      </w:r>
      <w:r w:rsidRPr="00C35236">
        <w:rPr>
          <w:rFonts w:ascii="Times New Roman" w:hAnsi="Times New Roman"/>
          <w:sz w:val="25"/>
        </w:rPr>
        <w:t xml:space="preserve">, </w:t>
      </w:r>
      <w:r>
        <w:rPr>
          <w:rFonts w:ascii="Times New Roman" w:hAnsi="Times New Roman"/>
          <w:sz w:val="25"/>
        </w:rPr>
        <w:t xml:space="preserve">ha </w:t>
      </w:r>
      <w:r w:rsidRPr="00C35236">
        <w:rPr>
          <w:rFonts w:ascii="Times New Roman" w:hAnsi="Times New Roman"/>
          <w:sz w:val="25"/>
        </w:rPr>
        <w:t>disposto i trasferimenti senza tener conto delle preferenze espresse, pur in presenza di posti disponibili nelle province indicate</w:t>
      </w:r>
      <w:r>
        <w:rPr>
          <w:rFonts w:ascii="Times New Roman" w:hAnsi="Times New Roman"/>
          <w:sz w:val="25"/>
        </w:rPr>
        <w:t>,</w:t>
      </w:r>
      <w:r w:rsidRPr="00754CD0">
        <w:rPr>
          <w:rFonts w:ascii="Times New Roman" w:hAnsi="Times New Roman"/>
          <w:sz w:val="25"/>
        </w:rPr>
        <w:t xml:space="preserve"> in evidente contrasto </w:t>
      </w:r>
      <w:r>
        <w:rPr>
          <w:rFonts w:ascii="Times New Roman" w:hAnsi="Times New Roman"/>
          <w:sz w:val="25"/>
        </w:rPr>
        <w:t>“</w:t>
      </w:r>
      <w:r w:rsidRPr="00887088">
        <w:rPr>
          <w:rFonts w:ascii="Times New Roman" w:hAnsi="Times New Roman"/>
          <w:i/>
          <w:sz w:val="25"/>
        </w:rPr>
        <w:t>con il fondamentale principio della strumentalità del ricorso all’informatica nelle procedure amministrative</w:t>
      </w:r>
      <w:r>
        <w:rPr>
          <w:rFonts w:ascii="Times New Roman" w:hAnsi="Times New Roman"/>
          <w:i/>
          <w:sz w:val="25"/>
        </w:rPr>
        <w:t>”</w:t>
      </w:r>
      <w:r>
        <w:rPr>
          <w:rStyle w:val="Rimandonotaapidipagina"/>
          <w:rFonts w:ascii="Times New Roman" w:hAnsi="Times New Roman"/>
          <w:i/>
          <w:sz w:val="25"/>
        </w:rPr>
        <w:footnoteReference w:id="5"/>
      </w:r>
      <w:r w:rsidRPr="00C35236">
        <w:rPr>
          <w:rFonts w:ascii="Times New Roman" w:hAnsi="Times New Roman"/>
          <w:sz w:val="25"/>
        </w:rPr>
        <w:t xml:space="preserve"> </w:t>
      </w:r>
      <w:r>
        <w:rPr>
          <w:rFonts w:ascii="Times New Roman" w:hAnsi="Times New Roman"/>
          <w:sz w:val="25"/>
        </w:rPr>
        <w:t>Nella prospettazione dei docenti</w:t>
      </w:r>
      <w:r w:rsidRPr="00C35236">
        <w:rPr>
          <w:rFonts w:ascii="Times New Roman" w:hAnsi="Times New Roman"/>
          <w:sz w:val="25"/>
        </w:rPr>
        <w:t xml:space="preserve">, il meccanismo straordinario di mobilità si è rivelato pregiudizievole per </w:t>
      </w:r>
      <w:r>
        <w:rPr>
          <w:rFonts w:ascii="Times New Roman" w:hAnsi="Times New Roman"/>
          <w:sz w:val="25"/>
        </w:rPr>
        <w:t>coloro i quali</w:t>
      </w:r>
      <w:r w:rsidRPr="00C35236">
        <w:rPr>
          <w:rFonts w:ascii="Times New Roman" w:hAnsi="Times New Roman"/>
          <w:sz w:val="25"/>
        </w:rPr>
        <w:t>, immessi in ruolo nella fase C, sono stati trasferiti in province più lontane da quella di propria residenza o quella comunque scelta con priorità in sede di partecipazione alla procedura, benché in tali province di elezione fossero disponibili svariati di posti.</w:t>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4. Il giudice amministrativo, dopo aver ribadito il principio per cui </w:t>
      </w:r>
      <w:r w:rsidRPr="00C35236">
        <w:rPr>
          <w:rFonts w:ascii="Times New Roman" w:hAnsi="Times New Roman"/>
          <w:sz w:val="25"/>
        </w:rPr>
        <w:t xml:space="preserve">la "formula tecnica", che di fatto rappresenta l'algoritmo, </w:t>
      </w:r>
      <w:r>
        <w:rPr>
          <w:rFonts w:ascii="Times New Roman" w:hAnsi="Times New Roman"/>
          <w:sz w:val="25"/>
        </w:rPr>
        <w:t>deve essere</w:t>
      </w:r>
      <w:r w:rsidRPr="00C35236">
        <w:rPr>
          <w:rFonts w:ascii="Times New Roman" w:hAnsi="Times New Roman"/>
          <w:sz w:val="25"/>
        </w:rPr>
        <w:t xml:space="preserve"> corredata da spiegazioni che la traducano nella "regola giuridica" ad essa sottesa e che la rendano leggibile e comprensibile</w:t>
      </w:r>
      <w:r>
        <w:rPr>
          <w:rStyle w:val="Rimandonotaapidipagina"/>
          <w:rFonts w:ascii="Times New Roman" w:hAnsi="Times New Roman"/>
          <w:sz w:val="25"/>
        </w:rPr>
        <w:footnoteReference w:id="6"/>
      </w:r>
      <w:r>
        <w:rPr>
          <w:rFonts w:ascii="Times New Roman" w:hAnsi="Times New Roman"/>
          <w:sz w:val="25"/>
        </w:rPr>
        <w:t>, afferma che in senso contrario “</w:t>
      </w:r>
      <w:r w:rsidRPr="00C35236">
        <w:rPr>
          <w:rFonts w:ascii="Times New Roman" w:hAnsi="Times New Roman"/>
          <w:i/>
          <w:sz w:val="25"/>
        </w:rPr>
        <w:t>non può assumere rilievo l'invocata riservatezza delle imprese produttrici dei meccanismi informatici utilizzati i quali, ponendo al servizio del potere autoritativo tali strumenti, all'evidenza ne accettano le relative conseguenze in termini di necessaria trasparenza</w:t>
      </w:r>
      <w:r>
        <w:rPr>
          <w:rFonts w:ascii="Times New Roman" w:hAnsi="Times New Roman"/>
          <w:sz w:val="25"/>
        </w:rPr>
        <w:t>”</w:t>
      </w:r>
      <w:r>
        <w:rPr>
          <w:rStyle w:val="Rimandonotaapidipagina"/>
          <w:rFonts w:ascii="Times New Roman" w:hAnsi="Times New Roman"/>
          <w:sz w:val="25"/>
        </w:rPr>
        <w:footnoteReference w:id="7"/>
      </w:r>
      <w:r w:rsidRPr="00C35236">
        <w:rPr>
          <w:rFonts w:ascii="Times New Roman" w:hAnsi="Times New Roman"/>
          <w:sz w:val="25"/>
        </w:rPr>
        <w:t>.</w:t>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L’argomento, apparentemente secondario nell’economia processuale ma di cruciale snodo, </w:t>
      </w:r>
      <w:r w:rsidRPr="005D0F83">
        <w:rPr>
          <w:rFonts w:ascii="Times New Roman" w:hAnsi="Times New Roman"/>
          <w:sz w:val="25"/>
        </w:rPr>
        <w:t>trova un significativo precedente nella sentenza del TAR Lazio n. 3742/2017</w:t>
      </w:r>
      <w:r>
        <w:rPr>
          <w:rStyle w:val="Rimandonotaapidipagina"/>
          <w:rFonts w:ascii="Times New Roman" w:hAnsi="Times New Roman"/>
          <w:sz w:val="25"/>
        </w:rPr>
        <w:footnoteReference w:id="8"/>
      </w:r>
      <w:r>
        <w:rPr>
          <w:rFonts w:ascii="Times New Roman" w:hAnsi="Times New Roman"/>
          <w:sz w:val="25"/>
        </w:rPr>
        <w:t>,</w:t>
      </w:r>
      <w:r w:rsidRPr="005D0F83">
        <w:rPr>
          <w:rFonts w:ascii="Times New Roman" w:hAnsi="Times New Roman"/>
          <w:sz w:val="25"/>
        </w:rPr>
        <w:t xml:space="preserve"> nel cui giudizio l'amministrazione aveva fornito a parte ricorrente un </w:t>
      </w:r>
      <w:r w:rsidRPr="00B5191E">
        <w:rPr>
          <w:rFonts w:ascii="Times New Roman" w:hAnsi="Times New Roman"/>
          <w:i/>
          <w:sz w:val="25"/>
        </w:rPr>
        <w:t>memorandum</w:t>
      </w:r>
      <w:r w:rsidRPr="005D0F83">
        <w:rPr>
          <w:rFonts w:ascii="Times New Roman" w:hAnsi="Times New Roman"/>
          <w:sz w:val="25"/>
        </w:rPr>
        <w:t>, con le istruzioni espresse in lingua italiana e in forma di algoritmo in quanto descrittive della sequenza ordinata dei relativi passaggi logici. Adempimento che se “</w:t>
      </w:r>
      <w:r w:rsidRPr="007234F3">
        <w:rPr>
          <w:rFonts w:ascii="Times New Roman" w:hAnsi="Times New Roman"/>
          <w:i/>
          <w:sz w:val="25"/>
        </w:rPr>
        <w:t>permette evidentemente di assicurare la comprensibilità del funzionamento del software anche al cittadino comune</w:t>
      </w:r>
      <w:r w:rsidRPr="005D0F83">
        <w:rPr>
          <w:rFonts w:ascii="Times New Roman" w:hAnsi="Times New Roman"/>
          <w:sz w:val="25"/>
        </w:rPr>
        <w:t>” non è stato considerato sufficiente al fine di avere “</w:t>
      </w:r>
      <w:r w:rsidRPr="007234F3">
        <w:rPr>
          <w:rFonts w:ascii="Times New Roman" w:hAnsi="Times New Roman"/>
          <w:i/>
          <w:sz w:val="25"/>
        </w:rPr>
        <w:t>piena contezza anche del programma informatico che può aversi solo con l'acquisizione del relativo linguaggio sorgente, indicato nel ricorso come codice sorgente, del software relativo all'algoritmo di cui trattasi</w:t>
      </w:r>
      <w:r w:rsidRPr="005D0F83">
        <w:rPr>
          <w:rFonts w:ascii="Times New Roman" w:hAnsi="Times New Roman"/>
          <w:sz w:val="25"/>
        </w:rPr>
        <w:t xml:space="preserve">”. Il giudice vuole sapere </w:t>
      </w:r>
      <w:r>
        <w:rPr>
          <w:rFonts w:ascii="Times New Roman" w:hAnsi="Times New Roman"/>
          <w:sz w:val="25"/>
        </w:rPr>
        <w:t xml:space="preserve">molto </w:t>
      </w:r>
      <w:r w:rsidRPr="005D0F83">
        <w:rPr>
          <w:rFonts w:ascii="Times New Roman" w:hAnsi="Times New Roman"/>
          <w:sz w:val="25"/>
        </w:rPr>
        <w:t>più della mera descrizione dell'algoritmo e del suo funzionamento in lingua italiana, che “</w:t>
      </w:r>
      <w:r w:rsidRPr="007234F3">
        <w:rPr>
          <w:rFonts w:ascii="Times New Roman" w:hAnsi="Times New Roman"/>
          <w:i/>
          <w:sz w:val="25"/>
        </w:rPr>
        <w:t>non assolve alla medesima funzione conoscitiva data dall'acquisizione diretta del linguaggio informatico sorgente</w:t>
      </w:r>
      <w:r w:rsidRPr="005D0F83">
        <w:rPr>
          <w:rFonts w:ascii="Times New Roman" w:hAnsi="Times New Roman"/>
          <w:sz w:val="25"/>
        </w:rPr>
        <w:t>”</w:t>
      </w:r>
      <w:r>
        <w:rPr>
          <w:rStyle w:val="Rimandonotaapidipagina"/>
          <w:rFonts w:ascii="Times New Roman" w:hAnsi="Times New Roman"/>
          <w:sz w:val="25"/>
        </w:rPr>
        <w:footnoteReference w:id="9"/>
      </w:r>
      <w:r w:rsidRPr="005D0F83">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Si pone dal giudice così, anzitutto, un significativo argine alla opacità algoritmica dovuta ad ostacoli giuridici, destinato tuttavia a pesare non poco nei rapporti negoziali tra imprese produttrici di sistemi informatici e p.a., considerato </w:t>
      </w:r>
      <w:r w:rsidR="001449CC">
        <w:rPr>
          <w:rFonts w:ascii="Times New Roman" w:hAnsi="Times New Roman"/>
          <w:sz w:val="25"/>
        </w:rPr>
        <w:t xml:space="preserve">peraltro </w:t>
      </w:r>
      <w:r>
        <w:rPr>
          <w:rFonts w:ascii="Times New Roman" w:hAnsi="Times New Roman"/>
          <w:sz w:val="25"/>
        </w:rPr>
        <w:t xml:space="preserve">che </w:t>
      </w:r>
      <w:r w:rsidR="00B5191E">
        <w:rPr>
          <w:rFonts w:ascii="Times New Roman" w:hAnsi="Times New Roman"/>
          <w:sz w:val="25"/>
        </w:rPr>
        <w:t>queste ultime</w:t>
      </w:r>
      <w:r>
        <w:rPr>
          <w:rFonts w:ascii="Times New Roman" w:hAnsi="Times New Roman"/>
          <w:sz w:val="25"/>
        </w:rPr>
        <w:t xml:space="preserve"> non </w:t>
      </w:r>
      <w:r w:rsidR="001449CC">
        <w:rPr>
          <w:rFonts w:ascii="Times New Roman" w:hAnsi="Times New Roman"/>
          <w:sz w:val="25"/>
        </w:rPr>
        <w:t>sono state coinvolte nel processo</w:t>
      </w:r>
      <w:r>
        <w:rPr>
          <w:rStyle w:val="Rimandonotaapidipagina"/>
          <w:rFonts w:ascii="Times New Roman" w:hAnsi="Times New Roman"/>
          <w:sz w:val="25"/>
        </w:rPr>
        <w:footnoteReference w:id="10"/>
      </w:r>
      <w:r>
        <w:rPr>
          <w:rFonts w:ascii="Times New Roman" w:hAnsi="Times New Roman"/>
          <w:sz w:val="25"/>
        </w:rPr>
        <w:t xml:space="preserve">. </w:t>
      </w:r>
    </w:p>
    <w:p w:rsidR="00E05355" w:rsidRDefault="007B03C5" w:rsidP="00E05355">
      <w:pPr>
        <w:spacing w:after="0" w:line="240" w:lineRule="auto"/>
        <w:ind w:left="1134" w:right="1418" w:firstLine="426"/>
        <w:jc w:val="both"/>
        <w:rPr>
          <w:rFonts w:ascii="Times New Roman" w:hAnsi="Times New Roman"/>
          <w:sz w:val="25"/>
        </w:rPr>
      </w:pPr>
      <w:r>
        <w:rPr>
          <w:rFonts w:ascii="Times New Roman" w:hAnsi="Times New Roman"/>
          <w:sz w:val="25"/>
        </w:rPr>
        <w:t>5</w:t>
      </w:r>
      <w:r w:rsidR="00E05355">
        <w:rPr>
          <w:rFonts w:ascii="Times New Roman" w:hAnsi="Times New Roman"/>
          <w:sz w:val="25"/>
        </w:rPr>
        <w:t>. Superato questo ostacolo, affrontato per la verità senza particolari problemi dal Consiglio di Stato attraverso un rinvio alla categoria generale del potere autoritativo</w:t>
      </w:r>
      <w:r w:rsidR="00E05355">
        <w:rPr>
          <w:rStyle w:val="Rimandonotaapidipagina"/>
          <w:rFonts w:ascii="Times New Roman" w:hAnsi="Times New Roman"/>
          <w:sz w:val="25"/>
        </w:rPr>
        <w:footnoteReference w:id="11"/>
      </w:r>
      <w:r w:rsidR="00E05355">
        <w:rPr>
          <w:rFonts w:ascii="Times New Roman" w:hAnsi="Times New Roman"/>
          <w:sz w:val="25"/>
        </w:rPr>
        <w:t>, la questione processuale poteva dirsi chiusa.</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L’esito del contenzioso è sfavorevole alla p.a. perché </w:t>
      </w:r>
      <w:r w:rsidRPr="00017451">
        <w:rPr>
          <w:rFonts w:ascii="Times New Roman" w:hAnsi="Times New Roman"/>
          <w:sz w:val="25"/>
        </w:rPr>
        <w:t xml:space="preserve">l'impossibilità di comprendere le modalità con le quali, attraverso </w:t>
      </w:r>
      <w:r>
        <w:rPr>
          <w:rFonts w:ascii="Times New Roman" w:hAnsi="Times New Roman"/>
          <w:sz w:val="25"/>
        </w:rPr>
        <w:t>l’</w:t>
      </w:r>
      <w:r w:rsidRPr="00017451">
        <w:rPr>
          <w:rFonts w:ascii="Times New Roman" w:hAnsi="Times New Roman"/>
          <w:sz w:val="25"/>
        </w:rPr>
        <w:t xml:space="preserve">algoritmo, </w:t>
      </w:r>
      <w:r>
        <w:rPr>
          <w:rFonts w:ascii="Times New Roman" w:hAnsi="Times New Roman"/>
          <w:sz w:val="25"/>
        </w:rPr>
        <w:t xml:space="preserve">sono </w:t>
      </w:r>
      <w:r w:rsidRPr="00017451">
        <w:rPr>
          <w:rFonts w:ascii="Times New Roman" w:hAnsi="Times New Roman"/>
          <w:sz w:val="25"/>
        </w:rPr>
        <w:t>stati assegnati i posti disponibili</w:t>
      </w:r>
      <w:r>
        <w:rPr>
          <w:rFonts w:ascii="Times New Roman" w:hAnsi="Times New Roman"/>
          <w:sz w:val="25"/>
        </w:rPr>
        <w:t xml:space="preserve"> di docente</w:t>
      </w:r>
      <w:r w:rsidRPr="00017451">
        <w:rPr>
          <w:rFonts w:ascii="Times New Roman" w:hAnsi="Times New Roman"/>
          <w:sz w:val="25"/>
        </w:rPr>
        <w:t>, costituisce di per sé un vizio tale da inficiare la procedura</w:t>
      </w:r>
      <w:r>
        <w:rPr>
          <w:rFonts w:ascii="Times New Roman" w:hAnsi="Times New Roman"/>
          <w:sz w:val="25"/>
        </w:rPr>
        <w:t xml:space="preserve"> e più radicalmente “</w:t>
      </w:r>
      <w:r w:rsidRPr="00333062">
        <w:rPr>
          <w:rFonts w:ascii="Times New Roman" w:hAnsi="Times New Roman"/>
          <w:i/>
          <w:sz w:val="25"/>
        </w:rPr>
        <w:t>il metodo in quanto tale per il difetto di trasparenza dello stesso</w:t>
      </w:r>
      <w:r>
        <w:rPr>
          <w:rFonts w:ascii="Times New Roman" w:hAnsi="Times New Roman"/>
          <w:sz w:val="25"/>
        </w:rPr>
        <w:t>”</w:t>
      </w:r>
      <w:r w:rsidRPr="00017451">
        <w:rPr>
          <w:rFonts w:ascii="Times New Roman" w:hAnsi="Times New Roman"/>
          <w:sz w:val="25"/>
        </w:rPr>
        <w:t>.</w:t>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La </w:t>
      </w:r>
      <w:r w:rsidRPr="00887088">
        <w:rPr>
          <w:rFonts w:ascii="Times New Roman" w:hAnsi="Times New Roman"/>
          <w:sz w:val="25"/>
        </w:rPr>
        <w:t>conoscibilità dell’algoritmo deve essere</w:t>
      </w:r>
      <w:r>
        <w:rPr>
          <w:rFonts w:ascii="Times New Roman" w:hAnsi="Times New Roman"/>
          <w:sz w:val="25"/>
        </w:rPr>
        <w:t xml:space="preserve"> </w:t>
      </w:r>
      <w:r w:rsidRPr="00887088">
        <w:rPr>
          <w:rFonts w:ascii="Times New Roman" w:hAnsi="Times New Roman"/>
          <w:sz w:val="25"/>
        </w:rPr>
        <w:t>garantita in tutti gli aspetti: dai suoi autori al procedimento usato per la sua elaborazione, al meccanismo di decisione, comprensivo delle priorità assegnate nella procedura valutativa e decisionale e dei dati selezionati come rilevanti. Ciò al fine di poter verificare che i criteri, i presupposti e gli esiti del procedimento robotizzato siano conformi alle prescrizioni e alle finalità stabilite dalla legge o dalla stessa amministrazione a monte di tale procedimento e affinché siano chiare – e conseguentemente sindacabili – le modalità e le regole in base alle quali esso è stato impostato.</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Si può immaginare, quindi, il problema generato da una decisione algoritmica annullata dal giudice a valle di un procedimento complesso coinvolgente migliaia di persone, la cui esecuzione comporta enormi sforzi organizzativi per la p.a. a causa di errori, tutto sommato, poco imputabili alla stessa amministrazione e molto all’opacità del sistema-macchina ed alle difficoltà procedurali: il risultato raggiunto è diametralmente opposto ai benefici che il ricorso alle ICT</w:t>
      </w:r>
      <w:r w:rsidR="00B5191E">
        <w:rPr>
          <w:rStyle w:val="Rimandonotaapidipagina"/>
          <w:rFonts w:ascii="Times New Roman" w:hAnsi="Times New Roman"/>
          <w:sz w:val="25"/>
        </w:rPr>
        <w:footnoteReference w:id="12"/>
      </w:r>
      <w:r>
        <w:rPr>
          <w:rFonts w:ascii="Times New Roman" w:hAnsi="Times New Roman"/>
          <w:sz w:val="25"/>
        </w:rPr>
        <w:t xml:space="preserve"> da parte dell’amministrazione intendeva </w:t>
      </w:r>
      <w:r w:rsidR="007B03C5">
        <w:rPr>
          <w:rFonts w:ascii="Times New Roman" w:hAnsi="Times New Roman"/>
          <w:sz w:val="25"/>
        </w:rPr>
        <w:t>perseguire</w:t>
      </w:r>
      <w:r>
        <w:rPr>
          <w:rFonts w:ascii="Times New Roman" w:hAnsi="Times New Roman"/>
          <w:sz w:val="25"/>
        </w:rPr>
        <w:t>.</w:t>
      </w:r>
    </w:p>
    <w:p w:rsidR="00E05355" w:rsidRPr="00887088"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6. La sentenza in esame assume rilievo, però, non tanto per l’esito, da ritenersi prevedibile visto il precedente n. 2270/2019, quant</w:t>
      </w:r>
      <w:r w:rsidR="00B5191E">
        <w:rPr>
          <w:rFonts w:ascii="Times New Roman" w:hAnsi="Times New Roman"/>
          <w:sz w:val="25"/>
        </w:rPr>
        <w:t>o per le considerazioni logico-</w:t>
      </w:r>
      <w:r>
        <w:rPr>
          <w:rFonts w:ascii="Times New Roman" w:hAnsi="Times New Roman"/>
          <w:sz w:val="25"/>
        </w:rPr>
        <w:t xml:space="preserve">giuridiche che ne costituiscono il substrato. Tutte, significativamente, riconducibili al diritto sovranazionale: il Regolamento europeo 679/2016; la Carta sulla Robotica; la Convenzione europea sui diritti umani. Come se l’invocato </w:t>
      </w:r>
      <w:r w:rsidRPr="00887088">
        <w:rPr>
          <w:rFonts w:ascii="Times New Roman" w:hAnsi="Times New Roman"/>
          <w:sz w:val="25"/>
        </w:rPr>
        <w:t>principio di trasparenza</w:t>
      </w:r>
      <w:r>
        <w:rPr>
          <w:rFonts w:ascii="Times New Roman" w:hAnsi="Times New Roman"/>
          <w:sz w:val="25"/>
        </w:rPr>
        <w:t>, per quanto rafforzato e diretto alla “</w:t>
      </w:r>
      <w:r w:rsidRPr="00887088">
        <w:rPr>
          <w:rFonts w:ascii="Times New Roman" w:hAnsi="Times New Roman"/>
          <w:sz w:val="25"/>
        </w:rPr>
        <w:t>piena conoscibilità di una regola espressa in un linguaggio differente da quello giuridico</w:t>
      </w:r>
      <w:r>
        <w:rPr>
          <w:rFonts w:ascii="Times New Roman" w:hAnsi="Times New Roman"/>
          <w:sz w:val="25"/>
        </w:rPr>
        <w:t>” non fosse comunque sufficiente ad illustrare la motivazione in quello che appare, senza dubbio, un “</w:t>
      </w:r>
      <w:proofErr w:type="spellStart"/>
      <w:r w:rsidRPr="00681872">
        <w:rPr>
          <w:rFonts w:ascii="Times New Roman" w:hAnsi="Times New Roman"/>
          <w:i/>
          <w:sz w:val="25"/>
        </w:rPr>
        <w:t>leading</w:t>
      </w:r>
      <w:proofErr w:type="spellEnd"/>
      <w:r w:rsidRPr="00681872">
        <w:rPr>
          <w:rFonts w:ascii="Times New Roman" w:hAnsi="Times New Roman"/>
          <w:i/>
          <w:sz w:val="25"/>
        </w:rPr>
        <w:t xml:space="preserve"> case</w:t>
      </w:r>
      <w:r>
        <w:rPr>
          <w:rFonts w:ascii="Times New Roman" w:hAnsi="Times New Roman"/>
          <w:sz w:val="25"/>
        </w:rPr>
        <w:t>”</w:t>
      </w:r>
      <w:r w:rsidRPr="00887088">
        <w:rPr>
          <w:rFonts w:ascii="Times New Roman" w:hAnsi="Times New Roman"/>
          <w:sz w:val="25"/>
        </w:rPr>
        <w:t>.</w:t>
      </w:r>
    </w:p>
    <w:p w:rsidR="00E05355" w:rsidRPr="00BE62DC"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6.1. Partendo dall’assunto che il </w:t>
      </w:r>
      <w:r w:rsidRPr="00BE62DC">
        <w:rPr>
          <w:rFonts w:ascii="Times New Roman" w:hAnsi="Times New Roman"/>
          <w:sz w:val="25"/>
        </w:rPr>
        <w:t xml:space="preserve">Regolamento europeo in materia </w:t>
      </w:r>
      <w:r>
        <w:rPr>
          <w:rFonts w:ascii="Times New Roman" w:hAnsi="Times New Roman"/>
          <w:sz w:val="25"/>
        </w:rPr>
        <w:t>di protezione dei dati personali (2016/679) persegue “</w:t>
      </w:r>
      <w:r w:rsidRPr="00D84E78">
        <w:rPr>
          <w:rFonts w:ascii="Times New Roman" w:hAnsi="Times New Roman"/>
          <w:i/>
          <w:sz w:val="25"/>
        </w:rPr>
        <w:t>l'intento di arginare il rischio di trattamenti discriminatori per l'individuo che trovino la propria origine in una cieca fiducia nell'utilizzo degli algoritmi</w:t>
      </w:r>
      <w:r>
        <w:rPr>
          <w:rFonts w:ascii="Times New Roman" w:hAnsi="Times New Roman"/>
          <w:sz w:val="25"/>
        </w:rPr>
        <w:t>”, il giudice amministrativo  individua i diritti de</w:t>
      </w:r>
      <w:r w:rsidRPr="00BE62DC">
        <w:rPr>
          <w:rFonts w:ascii="Times New Roman" w:hAnsi="Times New Roman"/>
          <w:sz w:val="25"/>
        </w:rPr>
        <w:t>i soggetti coinvolti dall'attività amministrativa informatizzata in termini istruttori e decisori</w:t>
      </w:r>
      <w:r>
        <w:rPr>
          <w:rFonts w:ascii="Times New Roman" w:hAnsi="Times New Roman"/>
          <w:sz w:val="25"/>
        </w:rPr>
        <w:t xml:space="preserve">: (a) richiamando </w:t>
      </w:r>
      <w:r w:rsidRPr="00BE62DC">
        <w:rPr>
          <w:rFonts w:ascii="Times New Roman" w:hAnsi="Times New Roman"/>
          <w:sz w:val="25"/>
        </w:rPr>
        <w:t>gli articoli 13 e 14 del Regolamento</w:t>
      </w:r>
      <w:r>
        <w:rPr>
          <w:rFonts w:ascii="Times New Roman" w:hAnsi="Times New Roman"/>
          <w:sz w:val="25"/>
        </w:rPr>
        <w:t xml:space="preserve">, secondo cui  </w:t>
      </w:r>
      <w:r w:rsidRPr="00BE62DC">
        <w:rPr>
          <w:rFonts w:ascii="Times New Roman" w:hAnsi="Times New Roman"/>
          <w:sz w:val="25"/>
        </w:rPr>
        <w:t xml:space="preserve">nell'informativa rivolta all'interessato </w:t>
      </w:r>
      <w:r>
        <w:rPr>
          <w:rFonts w:ascii="Times New Roman" w:hAnsi="Times New Roman"/>
          <w:sz w:val="25"/>
        </w:rPr>
        <w:t xml:space="preserve">deve essere </w:t>
      </w:r>
      <w:r w:rsidRPr="00BE62DC">
        <w:rPr>
          <w:rFonts w:ascii="Times New Roman" w:hAnsi="Times New Roman"/>
          <w:sz w:val="25"/>
        </w:rPr>
        <w:t>data notizia dell'eventuale esecuzione di un processo decisionale automatizzato, sia che la raccolta dei dati venga effettuata direttamente presso l'interessato sia che venga compiuta in via indiretta</w:t>
      </w:r>
      <w:r>
        <w:rPr>
          <w:rFonts w:ascii="Times New Roman" w:hAnsi="Times New Roman"/>
          <w:sz w:val="25"/>
        </w:rPr>
        <w:t xml:space="preserve">; (b) ricordando la </w:t>
      </w:r>
      <w:r w:rsidRPr="00BE62DC">
        <w:rPr>
          <w:rFonts w:ascii="Times New Roman" w:hAnsi="Times New Roman"/>
          <w:sz w:val="25"/>
        </w:rPr>
        <w:t xml:space="preserve">garanzia </w:t>
      </w:r>
      <w:r>
        <w:rPr>
          <w:rFonts w:ascii="Times New Roman" w:hAnsi="Times New Roman"/>
          <w:sz w:val="25"/>
        </w:rPr>
        <w:t xml:space="preserve">che spetta all’interessato </w:t>
      </w:r>
      <w:r w:rsidRPr="00BE62DC">
        <w:rPr>
          <w:rFonts w:ascii="Times New Roman" w:hAnsi="Times New Roman"/>
          <w:sz w:val="25"/>
        </w:rPr>
        <w:t>allorché il processo sia interamente automatizzato essendo richiesto, almeno in simili ipotesi, che il titolare debba fornire "informazioni significative sulla logica utilizzata, nonché l'importanza e le conseguenze previste di tale</w:t>
      </w:r>
      <w:r>
        <w:rPr>
          <w:rFonts w:ascii="Times New Roman" w:hAnsi="Times New Roman"/>
          <w:sz w:val="25"/>
        </w:rPr>
        <w:t xml:space="preserve"> trattamento per l'interessato",  con il presidio </w:t>
      </w:r>
      <w:r w:rsidRPr="00BE62DC">
        <w:rPr>
          <w:rFonts w:ascii="Times New Roman" w:hAnsi="Times New Roman"/>
          <w:sz w:val="25"/>
        </w:rPr>
        <w:t>d</w:t>
      </w:r>
      <w:r>
        <w:rPr>
          <w:rFonts w:ascii="Times New Roman" w:hAnsi="Times New Roman"/>
          <w:sz w:val="25"/>
        </w:rPr>
        <w:t>e</w:t>
      </w:r>
      <w:r w:rsidRPr="00BE62DC">
        <w:rPr>
          <w:rFonts w:ascii="Times New Roman" w:hAnsi="Times New Roman"/>
          <w:sz w:val="25"/>
        </w:rPr>
        <w:t>ll'articolo 15 del Regolamento che contempla, a sua volta, la possibilità di ricevere informazioni relative all'esistenza di eventuali processi decisionali automatizzati.</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Il riferimento al Regolamento in esame porta il giudice amministrativo ad applicare, per la prima volta (a quanto risulta) al procedimento amministrativo, l</w:t>
      </w:r>
      <w:r w:rsidRPr="00BA75C3">
        <w:rPr>
          <w:rFonts w:ascii="Times New Roman" w:hAnsi="Times New Roman"/>
          <w:sz w:val="25"/>
        </w:rPr>
        <w:t xml:space="preserve">'articolo 22, paragrafo 1, </w:t>
      </w:r>
      <w:r>
        <w:rPr>
          <w:rFonts w:ascii="Times New Roman" w:hAnsi="Times New Roman"/>
          <w:sz w:val="25"/>
        </w:rPr>
        <w:t xml:space="preserve">del predetto Regolamento 679/2016, che </w:t>
      </w:r>
      <w:r w:rsidRPr="00BA75C3">
        <w:rPr>
          <w:rFonts w:ascii="Times New Roman" w:hAnsi="Times New Roman"/>
          <w:sz w:val="25"/>
        </w:rPr>
        <w:t xml:space="preserve">riconosce alla persona il diritto di non essere sottoposta a decisioni automatizzate prive di un coinvolgimento umano e che, allo stesso tempo, producano effetti giuridici o incidano in modo analogo sull'individuo.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Il richiamo viene fatto sia per individuare “</w:t>
      </w:r>
      <w:r w:rsidRPr="00BF4D51">
        <w:rPr>
          <w:rFonts w:ascii="Times New Roman" w:hAnsi="Times New Roman"/>
          <w:i/>
          <w:sz w:val="25"/>
        </w:rPr>
        <w:t>un espresso limite allo svolgimento di processi decisionali interamente automatizzati</w:t>
      </w:r>
      <w:r>
        <w:rPr>
          <w:rFonts w:ascii="Times New Roman" w:hAnsi="Times New Roman"/>
          <w:sz w:val="25"/>
        </w:rPr>
        <w:t>” sia, soprattutto,</w:t>
      </w:r>
      <w:r w:rsidRPr="00BF4D51">
        <w:rPr>
          <w:rFonts w:ascii="Times New Roman" w:hAnsi="Times New Roman"/>
          <w:sz w:val="25"/>
        </w:rPr>
        <w:t xml:space="preserve"> </w:t>
      </w:r>
      <w:r>
        <w:rPr>
          <w:rFonts w:ascii="Times New Roman" w:hAnsi="Times New Roman"/>
          <w:sz w:val="25"/>
        </w:rPr>
        <w:t>per giustificare “</w:t>
      </w:r>
      <w:r w:rsidRPr="00BA75C3">
        <w:rPr>
          <w:rFonts w:ascii="Times New Roman" w:hAnsi="Times New Roman"/>
          <w:i/>
          <w:sz w:val="25"/>
        </w:rPr>
        <w:t>l'individuazione di un centro di imputazione e di responsabilità, che sia in grado di verificare la legittimità e logicità della decisione dettata dall'algoritmo</w:t>
      </w:r>
      <w:r>
        <w:rPr>
          <w:rFonts w:ascii="Times New Roman" w:hAnsi="Times New Roman"/>
          <w:sz w:val="25"/>
        </w:rPr>
        <w:t>”</w:t>
      </w:r>
      <w:r>
        <w:rPr>
          <w:rStyle w:val="Rimandonotaapidipagina"/>
          <w:rFonts w:ascii="Times New Roman" w:hAnsi="Times New Roman"/>
          <w:sz w:val="25"/>
        </w:rPr>
        <w:footnoteReference w:id="13"/>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Occorre riflettere bene sul significato di questa disposizione e sulla relativa -non del tutto scontata- applicabilità piena al procedimento amministrativo condotto con modalità automatizzata.</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L</w:t>
      </w:r>
      <w:r w:rsidRPr="00BF4D51">
        <w:rPr>
          <w:rFonts w:ascii="Times New Roman" w:hAnsi="Times New Roman"/>
          <w:sz w:val="25"/>
        </w:rPr>
        <w:t>’art. 22</w:t>
      </w:r>
      <w:r>
        <w:rPr>
          <w:rFonts w:ascii="Times New Roman" w:hAnsi="Times New Roman"/>
          <w:sz w:val="25"/>
        </w:rPr>
        <w:t>, paragrafo 1,</w:t>
      </w:r>
      <w:r w:rsidRPr="00BF4D51">
        <w:rPr>
          <w:rFonts w:ascii="Times New Roman" w:hAnsi="Times New Roman"/>
          <w:sz w:val="25"/>
        </w:rPr>
        <w:t xml:space="preserve"> del Re</w:t>
      </w:r>
      <w:r>
        <w:rPr>
          <w:rFonts w:ascii="Times New Roman" w:hAnsi="Times New Roman"/>
          <w:sz w:val="25"/>
        </w:rPr>
        <w:t>golamento europeo sulla privacy</w:t>
      </w:r>
      <w:r w:rsidRPr="00BF4D51">
        <w:rPr>
          <w:rFonts w:ascii="Times New Roman" w:hAnsi="Times New Roman"/>
          <w:sz w:val="25"/>
        </w:rPr>
        <w:t xml:space="preserve"> </w:t>
      </w:r>
      <w:r>
        <w:rPr>
          <w:rFonts w:ascii="Times New Roman" w:hAnsi="Times New Roman"/>
          <w:sz w:val="25"/>
        </w:rPr>
        <w:t xml:space="preserve">dispone che </w:t>
      </w:r>
      <w:r w:rsidRPr="00BF4D51">
        <w:rPr>
          <w:rFonts w:ascii="Times New Roman" w:hAnsi="Times New Roman"/>
          <w:sz w:val="25"/>
        </w:rPr>
        <w:t>“</w:t>
      </w:r>
      <w:r w:rsidRPr="00BF4D51">
        <w:rPr>
          <w:rFonts w:ascii="Times New Roman" w:hAnsi="Times New Roman"/>
          <w:i/>
          <w:sz w:val="25"/>
        </w:rPr>
        <w:t>L'interessato ha il diritto di non essere sottoposto a una decisione basata unicamente sul trattamento automatizzato, compresa la profilazione, che produca effetti giuridici che lo riguardano o che incida in modo analogo significativamente sulla sua persona</w:t>
      </w:r>
      <w:r w:rsidRPr="00BF4D51">
        <w:rPr>
          <w:rFonts w:ascii="Times New Roman" w:hAnsi="Times New Roman"/>
          <w:sz w:val="25"/>
        </w:rPr>
        <w:t>”.</w:t>
      </w:r>
    </w:p>
    <w:p w:rsidR="00E05355" w:rsidRPr="00174B7E" w:rsidRDefault="00E05355" w:rsidP="00E05355">
      <w:pPr>
        <w:spacing w:after="0" w:line="240" w:lineRule="auto"/>
        <w:ind w:left="1134" w:right="1418" w:firstLine="426"/>
        <w:jc w:val="both"/>
        <w:rPr>
          <w:rFonts w:ascii="Times New Roman" w:hAnsi="Times New Roman"/>
          <w:i/>
          <w:sz w:val="25"/>
        </w:rPr>
      </w:pPr>
      <w:r>
        <w:rPr>
          <w:rFonts w:ascii="Times New Roman" w:hAnsi="Times New Roman"/>
          <w:sz w:val="25"/>
        </w:rPr>
        <w:t>Al paragrafo 2 dell’art. 22, il Regolamento precisa però che “</w:t>
      </w:r>
      <w:r>
        <w:rPr>
          <w:rFonts w:ascii="Times New Roman" w:hAnsi="Times New Roman"/>
          <w:i/>
          <w:sz w:val="25"/>
        </w:rPr>
        <w:t>I</w:t>
      </w:r>
      <w:r w:rsidRPr="00174B7E">
        <w:rPr>
          <w:rFonts w:ascii="Times New Roman" w:hAnsi="Times New Roman"/>
          <w:i/>
          <w:sz w:val="25"/>
        </w:rPr>
        <w:t>l paragrafo 1 non si applica nel caso in cui la decisione</w:t>
      </w:r>
      <w:r>
        <w:rPr>
          <w:rFonts w:ascii="Times New Roman" w:hAnsi="Times New Roman"/>
          <w:i/>
          <w:sz w:val="25"/>
        </w:rPr>
        <w:t>:</w:t>
      </w:r>
      <w:r w:rsidRPr="00174B7E">
        <w:rPr>
          <w:rFonts w:ascii="Times New Roman" w:hAnsi="Times New Roman"/>
          <w:i/>
          <w:sz w:val="25"/>
        </w:rPr>
        <w:t xml:space="preserve"> </w:t>
      </w:r>
    </w:p>
    <w:p w:rsidR="00E05355" w:rsidRPr="00174B7E" w:rsidRDefault="00E05355" w:rsidP="00E05355">
      <w:pPr>
        <w:pStyle w:val="Paragrafoelenco"/>
        <w:numPr>
          <w:ilvl w:val="0"/>
          <w:numId w:val="1"/>
        </w:numPr>
        <w:spacing w:after="0" w:line="240" w:lineRule="auto"/>
        <w:ind w:right="1418"/>
        <w:jc w:val="both"/>
        <w:rPr>
          <w:rFonts w:ascii="Times New Roman" w:hAnsi="Times New Roman"/>
          <w:i/>
          <w:sz w:val="25"/>
        </w:rPr>
      </w:pPr>
      <w:proofErr w:type="gramStart"/>
      <w:r w:rsidRPr="00174B7E">
        <w:rPr>
          <w:rFonts w:ascii="Times New Roman" w:hAnsi="Times New Roman"/>
          <w:i/>
          <w:sz w:val="25"/>
        </w:rPr>
        <w:t>sia</w:t>
      </w:r>
      <w:proofErr w:type="gramEnd"/>
      <w:r w:rsidRPr="00174B7E">
        <w:rPr>
          <w:rFonts w:ascii="Times New Roman" w:hAnsi="Times New Roman"/>
          <w:i/>
          <w:sz w:val="25"/>
        </w:rPr>
        <w:t xml:space="preserve"> necessaria per la conclusione o l'esecuzione di un contratto tra l'interessato e un titolare del trattamento; </w:t>
      </w:r>
    </w:p>
    <w:p w:rsidR="00E05355" w:rsidRPr="00174B7E" w:rsidRDefault="00E05355" w:rsidP="00E05355">
      <w:pPr>
        <w:pStyle w:val="Paragrafoelenco"/>
        <w:numPr>
          <w:ilvl w:val="0"/>
          <w:numId w:val="1"/>
        </w:numPr>
        <w:spacing w:after="0" w:line="240" w:lineRule="auto"/>
        <w:ind w:right="1418"/>
        <w:jc w:val="both"/>
        <w:rPr>
          <w:rFonts w:ascii="Times New Roman" w:hAnsi="Times New Roman"/>
          <w:i/>
          <w:sz w:val="25"/>
        </w:rPr>
      </w:pPr>
      <w:proofErr w:type="gramStart"/>
      <w:r w:rsidRPr="00174B7E">
        <w:rPr>
          <w:rFonts w:ascii="Times New Roman" w:hAnsi="Times New Roman"/>
          <w:i/>
          <w:sz w:val="25"/>
        </w:rPr>
        <w:t>sia</w:t>
      </w:r>
      <w:proofErr w:type="gramEnd"/>
      <w:r w:rsidRPr="00174B7E">
        <w:rPr>
          <w:rFonts w:ascii="Times New Roman" w:hAnsi="Times New Roman"/>
          <w:i/>
          <w:sz w:val="25"/>
        </w:rPr>
        <w:t xml:space="preserve"> autorizzata dal diritto dell'Unione o dello Stato membro cui è soggetto il titolare del trattamento, che precisa altresì misure adeguate a tutela dei diritti, delle libertà e dei legittimi interessi dell'interessato;</w:t>
      </w:r>
    </w:p>
    <w:p w:rsidR="00E05355" w:rsidRPr="00174B7E" w:rsidRDefault="00E05355" w:rsidP="00E05355">
      <w:pPr>
        <w:pStyle w:val="Paragrafoelenco"/>
        <w:numPr>
          <w:ilvl w:val="0"/>
          <w:numId w:val="1"/>
        </w:numPr>
        <w:spacing w:after="0" w:line="240" w:lineRule="auto"/>
        <w:ind w:right="1418"/>
        <w:jc w:val="both"/>
        <w:rPr>
          <w:rFonts w:ascii="Times New Roman" w:hAnsi="Times New Roman"/>
          <w:sz w:val="25"/>
        </w:rPr>
      </w:pPr>
      <w:proofErr w:type="gramStart"/>
      <w:r w:rsidRPr="00174B7E">
        <w:rPr>
          <w:rFonts w:ascii="Times New Roman" w:hAnsi="Times New Roman"/>
          <w:i/>
          <w:sz w:val="25"/>
        </w:rPr>
        <w:t>si</w:t>
      </w:r>
      <w:proofErr w:type="gramEnd"/>
      <w:r w:rsidRPr="00174B7E">
        <w:rPr>
          <w:rFonts w:ascii="Times New Roman" w:hAnsi="Times New Roman"/>
          <w:i/>
          <w:sz w:val="25"/>
        </w:rPr>
        <w:t xml:space="preserve"> basi sul consenso esplicito dell'interessato</w:t>
      </w:r>
      <w:r w:rsidRPr="00174B7E">
        <w:rPr>
          <w:rFonts w:ascii="Times New Roman" w:hAnsi="Times New Roman"/>
          <w:sz w:val="25"/>
        </w:rPr>
        <w:t>.</w:t>
      </w:r>
    </w:p>
    <w:p w:rsidR="00E05355" w:rsidRPr="00174B7E"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Il paragrafo 3 stabilisce:</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w:t>
      </w:r>
      <w:r w:rsidRPr="00174B7E">
        <w:rPr>
          <w:rFonts w:ascii="Times New Roman" w:hAnsi="Times New Roman"/>
          <w:i/>
          <w:sz w:val="25"/>
        </w:rPr>
        <w:t>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r>
        <w:rPr>
          <w:rFonts w:ascii="Times New Roman" w:hAnsi="Times New Roman"/>
          <w:sz w:val="25"/>
        </w:rPr>
        <w:t>”</w:t>
      </w:r>
      <w:r w:rsidRPr="00174B7E">
        <w:rPr>
          <w:rFonts w:ascii="Times New Roman" w:hAnsi="Times New Roman"/>
          <w:sz w:val="25"/>
        </w:rPr>
        <w:t>.</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Infine, il paragrafo 4 chiude la norma:</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w:t>
      </w:r>
      <w:r w:rsidRPr="004921DA">
        <w:rPr>
          <w:rFonts w:ascii="Times New Roman" w:hAnsi="Times New Roman"/>
          <w:i/>
          <w:sz w:val="25"/>
        </w:rPr>
        <w:t>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r>
        <w:rPr>
          <w:rFonts w:ascii="Times New Roman" w:hAnsi="Times New Roman"/>
          <w:sz w:val="25"/>
        </w:rPr>
        <w:t>”</w:t>
      </w:r>
      <w:r w:rsidRPr="004921DA">
        <w:rPr>
          <w:rFonts w:ascii="Times New Roman" w:hAnsi="Times New Roman"/>
          <w:sz w:val="25"/>
        </w:rPr>
        <w:t>.</w:t>
      </w:r>
    </w:p>
    <w:p w:rsidR="00E05355" w:rsidRPr="00174B7E"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A sua volta, l’art. 9, paragrafo 1, contiene il divieto di “</w:t>
      </w:r>
      <w:r w:rsidRPr="004921DA">
        <w:rPr>
          <w:rFonts w:ascii="Times New Roman" w:hAnsi="Times New Roman"/>
          <w:i/>
          <w:sz w:val="25"/>
        </w:rPr>
        <w:t>trattare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r>
        <w:rPr>
          <w:rFonts w:ascii="Times New Roman" w:hAnsi="Times New Roman"/>
          <w:sz w:val="25"/>
        </w:rPr>
        <w:t>”</w:t>
      </w:r>
      <w:r w:rsidRPr="00174B7E">
        <w:rPr>
          <w:rFonts w:ascii="Times New Roman" w:hAnsi="Times New Roman"/>
          <w:sz w:val="25"/>
        </w:rPr>
        <w:t>.</w:t>
      </w:r>
      <w:r>
        <w:rPr>
          <w:rFonts w:ascii="Times New Roman" w:hAnsi="Times New Roman"/>
          <w:sz w:val="25"/>
        </w:rPr>
        <w:t xml:space="preserve"> Disposizione che però non si applica nelle numerose ipotesi di cui al successivo paragrafo 2, richiamato dall’art. 22 e per quanto qui rileva:</w:t>
      </w:r>
    </w:p>
    <w:p w:rsidR="00E05355" w:rsidRPr="00174B7E" w:rsidRDefault="00E05355" w:rsidP="00E05355">
      <w:pPr>
        <w:spacing w:after="0" w:line="240" w:lineRule="auto"/>
        <w:ind w:left="1134" w:right="1418" w:firstLine="426"/>
        <w:jc w:val="both"/>
        <w:rPr>
          <w:rFonts w:ascii="Times New Roman" w:hAnsi="Times New Roman"/>
          <w:sz w:val="25"/>
        </w:rPr>
      </w:pPr>
      <w:proofErr w:type="gramStart"/>
      <w:r>
        <w:rPr>
          <w:rFonts w:ascii="Times New Roman" w:hAnsi="Times New Roman"/>
          <w:sz w:val="25"/>
        </w:rPr>
        <w:t>lettera</w:t>
      </w:r>
      <w:proofErr w:type="gramEnd"/>
      <w:r>
        <w:rPr>
          <w:rFonts w:ascii="Times New Roman" w:hAnsi="Times New Roman"/>
          <w:sz w:val="25"/>
        </w:rPr>
        <w:t xml:space="preserve"> </w:t>
      </w:r>
      <w:r w:rsidRPr="00174B7E">
        <w:rPr>
          <w:rFonts w:ascii="Times New Roman" w:hAnsi="Times New Roman"/>
          <w:sz w:val="25"/>
        </w:rPr>
        <w:t>a)</w:t>
      </w:r>
      <w:r>
        <w:rPr>
          <w:rFonts w:ascii="Times New Roman" w:hAnsi="Times New Roman"/>
          <w:sz w:val="25"/>
        </w:rPr>
        <w:t>: “</w:t>
      </w:r>
      <w:r w:rsidRPr="004921DA">
        <w:rPr>
          <w:rFonts w:ascii="Times New Roman" w:hAnsi="Times New Roman"/>
          <w:i/>
          <w:sz w:val="25"/>
        </w:rPr>
        <w:t>l'interessato ha prestato il proprio consenso esplicito al trattamento di tali dati personali per una o più finalità specifiche, salvo nei casi in cui il diritto dell'Unione o degli Stati membri dispone che l'interessato non possa revocare il divieto di cui al paragrafo 1</w:t>
      </w:r>
      <w:r>
        <w:rPr>
          <w:rFonts w:ascii="Times New Roman" w:hAnsi="Times New Roman"/>
          <w:sz w:val="25"/>
        </w:rPr>
        <w:t>”</w:t>
      </w:r>
      <w:r w:rsidRPr="00174B7E">
        <w:rPr>
          <w:rFonts w:ascii="Times New Roman" w:hAnsi="Times New Roman"/>
          <w:sz w:val="25"/>
        </w:rPr>
        <w:t>;</w:t>
      </w:r>
    </w:p>
    <w:p w:rsidR="00E05355" w:rsidRPr="00174B7E" w:rsidRDefault="00E05355" w:rsidP="00E05355">
      <w:pPr>
        <w:spacing w:after="0" w:line="240" w:lineRule="auto"/>
        <w:ind w:left="1134" w:right="1418" w:firstLine="426"/>
        <w:jc w:val="both"/>
        <w:rPr>
          <w:rFonts w:ascii="Times New Roman" w:hAnsi="Times New Roman"/>
          <w:sz w:val="25"/>
        </w:rPr>
      </w:pPr>
      <w:proofErr w:type="gramStart"/>
      <w:r>
        <w:rPr>
          <w:rFonts w:ascii="Times New Roman" w:hAnsi="Times New Roman"/>
          <w:sz w:val="25"/>
        </w:rPr>
        <w:t>lettera</w:t>
      </w:r>
      <w:proofErr w:type="gramEnd"/>
      <w:r>
        <w:rPr>
          <w:rFonts w:ascii="Times New Roman" w:hAnsi="Times New Roman"/>
          <w:sz w:val="25"/>
        </w:rPr>
        <w:t xml:space="preserve"> </w:t>
      </w:r>
      <w:r w:rsidRPr="00174B7E">
        <w:rPr>
          <w:rFonts w:ascii="Times New Roman" w:hAnsi="Times New Roman"/>
          <w:sz w:val="25"/>
        </w:rPr>
        <w:t>g)</w:t>
      </w:r>
      <w:r>
        <w:rPr>
          <w:rFonts w:ascii="Times New Roman" w:hAnsi="Times New Roman"/>
          <w:sz w:val="25"/>
        </w:rPr>
        <w:t>: “</w:t>
      </w:r>
      <w:r w:rsidRPr="004921DA">
        <w:rPr>
          <w:rFonts w:ascii="Times New Roman" w:hAnsi="Times New Roman"/>
          <w:i/>
          <w:sz w:val="25"/>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r>
        <w:rPr>
          <w:rFonts w:ascii="Times New Roman" w:hAnsi="Times New Roman"/>
          <w:sz w:val="25"/>
        </w:rPr>
        <w:t>”.</w:t>
      </w:r>
    </w:p>
    <w:p w:rsidR="00E05355" w:rsidRDefault="003E7861"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Ciò chiarito, giova </w:t>
      </w:r>
      <w:r w:rsidR="00E05355">
        <w:rPr>
          <w:rFonts w:ascii="Times New Roman" w:hAnsi="Times New Roman"/>
          <w:sz w:val="25"/>
        </w:rPr>
        <w:t xml:space="preserve">ricordare che il </w:t>
      </w:r>
      <w:r w:rsidR="00E05355" w:rsidRPr="00BF4D51">
        <w:rPr>
          <w:rFonts w:ascii="Times New Roman" w:hAnsi="Times New Roman"/>
          <w:sz w:val="25"/>
        </w:rPr>
        <w:t>diritto</w:t>
      </w:r>
      <w:r w:rsidR="00E05355">
        <w:rPr>
          <w:rFonts w:ascii="Times New Roman" w:hAnsi="Times New Roman"/>
          <w:sz w:val="25"/>
        </w:rPr>
        <w:t xml:space="preserve"> in esame </w:t>
      </w:r>
      <w:r w:rsidR="00E05355" w:rsidRPr="00BF4D51">
        <w:rPr>
          <w:rFonts w:ascii="Times New Roman" w:hAnsi="Times New Roman"/>
          <w:sz w:val="25"/>
        </w:rPr>
        <w:t>già era previsto da più di un decennio in una precedente norma comunitaria (art. 15 della direttiva 95/46), ma la relativa previsione non è stata risolutiva (come</w:t>
      </w:r>
      <w:r w:rsidR="00E05355">
        <w:rPr>
          <w:rFonts w:ascii="Times New Roman" w:hAnsi="Times New Roman"/>
          <w:sz w:val="25"/>
        </w:rPr>
        <w:t>, si teme,</w:t>
      </w:r>
      <w:r w:rsidR="00E05355" w:rsidRPr="00BF4D51">
        <w:rPr>
          <w:rFonts w:ascii="Times New Roman" w:hAnsi="Times New Roman"/>
          <w:sz w:val="25"/>
        </w:rPr>
        <w:t xml:space="preserve"> non lo sarà quest’ultima) nelle relazioni tra utenti e p.</w:t>
      </w:r>
      <w:r w:rsidR="00E05355">
        <w:rPr>
          <w:rFonts w:ascii="Times New Roman" w:hAnsi="Times New Roman"/>
          <w:sz w:val="25"/>
        </w:rPr>
        <w:t>a.</w:t>
      </w:r>
      <w:r w:rsidR="00E05355" w:rsidRPr="00BF4D51">
        <w:rPr>
          <w:rFonts w:ascii="Times New Roman" w:hAnsi="Times New Roman"/>
          <w:sz w:val="25"/>
        </w:rPr>
        <w:t xml:space="preserve">, per l’ovvia predominanza della seconda sui primi, potendo difficilmente l’utente opporre allo Stato il proprio diniego di trattamento dei propri dati e, quindi, lo stesso utilizzo della tecnologia: se lo facesse, non potrebbe più interloquire </w:t>
      </w:r>
      <w:r w:rsidR="00E05355">
        <w:rPr>
          <w:rFonts w:ascii="Times New Roman" w:hAnsi="Times New Roman"/>
          <w:sz w:val="25"/>
        </w:rPr>
        <w:t>-</w:t>
      </w:r>
      <w:r w:rsidR="00E05355" w:rsidRPr="00BF4D51">
        <w:rPr>
          <w:rFonts w:ascii="Times New Roman" w:hAnsi="Times New Roman"/>
          <w:sz w:val="25"/>
        </w:rPr>
        <w:t>telematicamente</w:t>
      </w:r>
      <w:r w:rsidR="00E05355">
        <w:rPr>
          <w:rStyle w:val="Rimandonotaapidipagina"/>
          <w:rFonts w:ascii="Times New Roman" w:hAnsi="Times New Roman"/>
          <w:sz w:val="25"/>
        </w:rPr>
        <w:footnoteReference w:id="14"/>
      </w:r>
      <w:r w:rsidR="00E05355" w:rsidRPr="00BF4D51">
        <w:rPr>
          <w:rFonts w:ascii="Times New Roman" w:hAnsi="Times New Roman"/>
          <w:sz w:val="25"/>
        </w:rPr>
        <w:t>- con esso (ciò, peraltro, è vero pure con i privati) e sarebbe letteralmente “tagliato fuori” da ogni ambito dell’azione amministrativa</w:t>
      </w:r>
      <w:r w:rsidR="00E05355">
        <w:rPr>
          <w:rFonts w:ascii="Times New Roman" w:hAnsi="Times New Roman"/>
          <w:sz w:val="25"/>
        </w:rPr>
        <w:t>. Da qui la scontata deroga indicata al par. c) del paragrafo 2 della norma in esame.</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Secondo una tesi, che appare condivisibile, la fattispecie individuata dall’art. 22 del Regolamento del 2016, il cui ambito di applicazione va ben oltre la decisione amministrativa, non sarebbe formulata </w:t>
      </w:r>
      <w:r w:rsidR="003E7861">
        <w:rPr>
          <w:rFonts w:ascii="Times New Roman" w:hAnsi="Times New Roman"/>
          <w:sz w:val="25"/>
        </w:rPr>
        <w:t xml:space="preserve">in realtà </w:t>
      </w:r>
      <w:r>
        <w:rPr>
          <w:rFonts w:ascii="Times New Roman" w:hAnsi="Times New Roman"/>
          <w:sz w:val="25"/>
        </w:rPr>
        <w:t>con riferimento al potere di adottare la decisione amministrativa automatizzata, ma alle sole garanzie dell’individuo a non essere sottoposto a tale tipo di decisione a meno che non ricorrano determinate condizioni</w:t>
      </w:r>
      <w:r>
        <w:rPr>
          <w:rStyle w:val="Rimandonotaapidipagina"/>
          <w:rFonts w:ascii="Times New Roman" w:hAnsi="Times New Roman"/>
          <w:sz w:val="25"/>
        </w:rPr>
        <w:footnoteReference w:id="15"/>
      </w:r>
      <w:r>
        <w:rPr>
          <w:rFonts w:ascii="Times New Roman" w:hAnsi="Times New Roman"/>
          <w:sz w:val="25"/>
        </w:rPr>
        <w:t xml:space="preserve">. Appare indubbio, infatti, che la stessa norma non autorizza né riduce il potere della p.a. di adottare decisioni automatizzate, proprio in virtù del complessivo assetto di permessi e divieti di cui ai singoli paragrafi sopra richiamati (specie, il par. 2, lett. b), se è vero i poteri pubblici già dispongono di adeguata base legale per utilizzare le ICT (la legge n. 241/90 ed il Codice dell’amministrazione digitale, con la copertura dell’art. 97 </w:t>
      </w:r>
      <w:proofErr w:type="spellStart"/>
      <w:r>
        <w:rPr>
          <w:rFonts w:ascii="Times New Roman" w:hAnsi="Times New Roman"/>
          <w:sz w:val="25"/>
        </w:rPr>
        <w:t>Cost</w:t>
      </w:r>
      <w:proofErr w:type="spellEnd"/>
      <w:r>
        <w:rPr>
          <w:rFonts w:ascii="Times New Roman" w:hAnsi="Times New Roman"/>
          <w:sz w:val="25"/>
        </w:rPr>
        <w:t>.).</w:t>
      </w:r>
    </w:p>
    <w:p w:rsidR="00E05355" w:rsidRPr="00C85FAA"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6.2. Il secondo ordine di argomentazioni del giudice amministrativo rinvia al</w:t>
      </w:r>
      <w:r w:rsidRPr="00C85FAA">
        <w:rPr>
          <w:rFonts w:ascii="Times New Roman" w:hAnsi="Times New Roman"/>
          <w:sz w:val="25"/>
        </w:rPr>
        <w:t>la Carta della Robotica, approvata nel</w:t>
      </w:r>
      <w:r>
        <w:rPr>
          <w:rFonts w:ascii="Times New Roman" w:hAnsi="Times New Roman"/>
          <w:sz w:val="25"/>
        </w:rPr>
        <w:t>la seduta del 16</w:t>
      </w:r>
      <w:r w:rsidRPr="00C85FAA">
        <w:rPr>
          <w:rFonts w:ascii="Times New Roman" w:hAnsi="Times New Roman"/>
          <w:sz w:val="25"/>
        </w:rPr>
        <w:t xml:space="preserve"> febbraio del 2017 dal Parlamento Europeo</w:t>
      </w:r>
      <w:r>
        <w:rPr>
          <w:rFonts w:ascii="Times New Roman" w:hAnsi="Times New Roman"/>
          <w:sz w:val="25"/>
        </w:rPr>
        <w:t xml:space="preserve">, secondo cui </w:t>
      </w:r>
      <w:r w:rsidRPr="00C85FAA">
        <w:rPr>
          <w:rFonts w:ascii="Times New Roman" w:hAnsi="Times New Roman"/>
          <w:sz w:val="25"/>
        </w:rPr>
        <w:t>"l'autonomia di un robot può essere definita come la capacità di prendere decisioni e metterle in atto nel mondo esterno, indipendentemente da un controllo o un'influenza esterna; (...) tale autonomia è di natura puramente tecnologica e il suo livello dipende dal grado di complessità con cui è stata progettata l'interazione di un robot con l'ambiente; (...) nell'ipotesi in cui un robot possa prendere decisioni autonome, le norme tradizionali non sono sufficienti per attivare la responsabilità per i danni causati da un robot, in quanto non consentirebbero di determinare qual è il soggetto cui incombe la responsabilità del risarcimento né di esigere da tale soggetto la riparazione dei danni causati".</w:t>
      </w:r>
      <w:r>
        <w:rPr>
          <w:rFonts w:ascii="Times New Roman" w:hAnsi="Times New Roman"/>
          <w:sz w:val="25"/>
        </w:rPr>
        <w:t xml:space="preserve"> Il rinvio alla Carta, che riguarda però il solo settore civile, serve essenzialmente al giudice per rafforzare l’inquadramento teorico sul tema della </w:t>
      </w:r>
      <w:r w:rsidRPr="002F44A1">
        <w:rPr>
          <w:rFonts w:ascii="Times New Roman" w:hAnsi="Times New Roman"/>
          <w:sz w:val="25"/>
        </w:rPr>
        <w:t>imputabilità</w:t>
      </w:r>
      <w:r>
        <w:rPr>
          <w:rFonts w:ascii="Times New Roman" w:hAnsi="Times New Roman"/>
          <w:sz w:val="25"/>
        </w:rPr>
        <w:t xml:space="preserve"> della decisione robotizzata, più che alla legittimità in sé del procedimento amministrativo.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6.3. Il terzo ordine di argomentazione, più rilevante, rinvia ad altrettanti principi, scolpiti nel diritto extra-statuale.</w:t>
      </w:r>
    </w:p>
    <w:p w:rsidR="00E05355" w:rsidRPr="00985B1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 a) I</w:t>
      </w:r>
      <w:r w:rsidRPr="00985B15">
        <w:rPr>
          <w:rFonts w:ascii="Times New Roman" w:hAnsi="Times New Roman"/>
          <w:sz w:val="25"/>
        </w:rPr>
        <w:t>l principio di conoscibilità, per cui ognuno ha diritto a conoscere l'esistenza di processi decisionali automatizzati che lo riguardino ed in questo caso a ricevere informazioni significative sulla logica utilizzata.</w:t>
      </w:r>
      <w:r>
        <w:rPr>
          <w:rFonts w:ascii="Times New Roman" w:hAnsi="Times New Roman"/>
          <w:sz w:val="25"/>
        </w:rPr>
        <w:t xml:space="preserve"> </w:t>
      </w:r>
      <w:r w:rsidRPr="00985B15">
        <w:rPr>
          <w:rFonts w:ascii="Times New Roman" w:hAnsi="Times New Roman"/>
          <w:sz w:val="25"/>
        </w:rPr>
        <w:t xml:space="preserve">Il principio, </w:t>
      </w:r>
      <w:r>
        <w:rPr>
          <w:rFonts w:ascii="Times New Roman" w:hAnsi="Times New Roman"/>
          <w:sz w:val="25"/>
        </w:rPr>
        <w:t xml:space="preserve">ad avviso del giudice </w:t>
      </w:r>
      <w:r w:rsidRPr="00985B15">
        <w:rPr>
          <w:rFonts w:ascii="Times New Roman" w:hAnsi="Times New Roman"/>
          <w:sz w:val="25"/>
        </w:rPr>
        <w:t xml:space="preserve">formulato in maniera generale e, perciò, applicabile sia a decisioni prese da soggetti privati che da soggetti pubblici, costituisce diretta applicazione specifica dell'art. 42 della Carta Europea dei Diritti Fondamentali ("Right to a </w:t>
      </w:r>
      <w:proofErr w:type="spellStart"/>
      <w:r w:rsidRPr="00985B15">
        <w:rPr>
          <w:rFonts w:ascii="Times New Roman" w:hAnsi="Times New Roman"/>
          <w:sz w:val="25"/>
        </w:rPr>
        <w:t>good</w:t>
      </w:r>
      <w:proofErr w:type="spellEnd"/>
      <w:r w:rsidRPr="00985B15">
        <w:rPr>
          <w:rFonts w:ascii="Times New Roman" w:hAnsi="Times New Roman"/>
          <w:sz w:val="25"/>
        </w:rPr>
        <w:t xml:space="preserve"> </w:t>
      </w:r>
      <w:proofErr w:type="spellStart"/>
      <w:r w:rsidRPr="00985B15">
        <w:rPr>
          <w:rFonts w:ascii="Times New Roman" w:hAnsi="Times New Roman"/>
          <w:sz w:val="25"/>
        </w:rPr>
        <w:t>administration</w:t>
      </w:r>
      <w:proofErr w:type="spellEnd"/>
      <w:r w:rsidRPr="00985B15">
        <w:rPr>
          <w:rFonts w:ascii="Times New Roman" w:hAnsi="Times New Roman"/>
          <w:sz w:val="25"/>
        </w:rPr>
        <w:t>"), laddove afferma che quando la Pubblica Amministrazione intende adottare una decisione che può avere effetti avversi su di una persona, essa ha l'obbligo di sentirla prima di agire, di consentirle l'accesso ai suoi archivi e documenti, ed, infine, ha l'obbligo di "dare le ragioni della propria decisione".</w:t>
      </w:r>
      <w:r>
        <w:rPr>
          <w:rFonts w:ascii="Times New Roman" w:hAnsi="Times New Roman"/>
          <w:sz w:val="25"/>
        </w:rPr>
        <w:t xml:space="preserve"> Il </w:t>
      </w:r>
      <w:r w:rsidRPr="00985B15">
        <w:rPr>
          <w:rFonts w:ascii="Times New Roman" w:hAnsi="Times New Roman"/>
          <w:sz w:val="25"/>
        </w:rPr>
        <w:t xml:space="preserve">diritto alla conoscenza dell'esistenza di decisioni che ci riguardino prese da algoritmi e, correlativamente, come dovere da parte di chi tratta i dati in maniera automatizzata, di porre l'interessato a conoscenza, va accompagnato </w:t>
      </w:r>
      <w:r>
        <w:rPr>
          <w:rFonts w:ascii="Times New Roman" w:hAnsi="Times New Roman"/>
          <w:sz w:val="25"/>
        </w:rPr>
        <w:t xml:space="preserve">-prosegue il giudice- </w:t>
      </w:r>
      <w:r w:rsidRPr="00985B15">
        <w:rPr>
          <w:rFonts w:ascii="Times New Roman" w:hAnsi="Times New Roman"/>
          <w:sz w:val="25"/>
        </w:rPr>
        <w:t>da meccanismi in grado di decifrarne la logica. In tale ottica, il principio di conoscibilità si completa con il principio di comprensibilità, ovverosia la possibilità, per riprendere l'espressione del Regolamento</w:t>
      </w:r>
      <w:r>
        <w:rPr>
          <w:rFonts w:ascii="Times New Roman" w:hAnsi="Times New Roman"/>
          <w:sz w:val="25"/>
        </w:rPr>
        <w:t xml:space="preserve"> sulla privacy</w:t>
      </w:r>
      <w:r w:rsidRPr="00985B15">
        <w:rPr>
          <w:rFonts w:ascii="Times New Roman" w:hAnsi="Times New Roman"/>
          <w:sz w:val="25"/>
        </w:rPr>
        <w:t>, di ricevere "informazioni significative sulla logica utilizzata".</w:t>
      </w:r>
    </w:p>
    <w:p w:rsidR="00E05355" w:rsidRPr="00985B1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b) Il secondo </w:t>
      </w:r>
      <w:r w:rsidRPr="00985B15">
        <w:rPr>
          <w:rFonts w:ascii="Times New Roman" w:hAnsi="Times New Roman"/>
          <w:sz w:val="25"/>
        </w:rPr>
        <w:t>principio del diritto europeo rilevante in materia è definibile come il principio di non esclusività della decisione algoritmica.</w:t>
      </w:r>
      <w:r>
        <w:rPr>
          <w:rFonts w:ascii="Times New Roman" w:hAnsi="Times New Roman"/>
          <w:sz w:val="25"/>
        </w:rPr>
        <w:t xml:space="preserve"> </w:t>
      </w:r>
      <w:r w:rsidRPr="00985B15">
        <w:rPr>
          <w:rFonts w:ascii="Times New Roman" w:hAnsi="Times New Roman"/>
          <w:sz w:val="25"/>
        </w:rPr>
        <w:t>Nel caso in cui una decisione automatizzata "produca effetti giuridici che riguardano o che incidano</w:t>
      </w:r>
      <w:r>
        <w:rPr>
          <w:rFonts w:ascii="Times New Roman" w:hAnsi="Times New Roman"/>
          <w:sz w:val="25"/>
        </w:rPr>
        <w:t xml:space="preserve"> </w:t>
      </w:r>
      <w:r w:rsidRPr="00985B15">
        <w:rPr>
          <w:rFonts w:ascii="Times New Roman" w:hAnsi="Times New Roman"/>
          <w:sz w:val="25"/>
        </w:rPr>
        <w:t xml:space="preserve">significativamente su una persona", questa ha diritto a che tale decisione non sia basata </w:t>
      </w:r>
      <w:r>
        <w:rPr>
          <w:rFonts w:ascii="Times New Roman" w:hAnsi="Times New Roman"/>
          <w:sz w:val="25"/>
        </w:rPr>
        <w:t>u</w:t>
      </w:r>
      <w:r w:rsidRPr="00985B15">
        <w:rPr>
          <w:rFonts w:ascii="Times New Roman" w:hAnsi="Times New Roman"/>
          <w:sz w:val="25"/>
        </w:rPr>
        <w:t>nicamente</w:t>
      </w:r>
      <w:r>
        <w:rPr>
          <w:rFonts w:ascii="Times New Roman" w:hAnsi="Times New Roman"/>
          <w:sz w:val="25"/>
        </w:rPr>
        <w:t xml:space="preserve"> </w:t>
      </w:r>
      <w:r w:rsidRPr="00985B15">
        <w:rPr>
          <w:rFonts w:ascii="Times New Roman" w:hAnsi="Times New Roman"/>
          <w:sz w:val="25"/>
        </w:rPr>
        <w:t>su tale processo automatizzato (art. 22 Reg.). In proposito, deve comunque esistere nel processo decisionale un contributo umano capace di controllare, validare ovvero smentire la decisione automatica. In ambito matematico ed informativo il modello viene definito come HITL (</w:t>
      </w:r>
      <w:r w:rsidRPr="00681872">
        <w:rPr>
          <w:rFonts w:ascii="Times New Roman" w:hAnsi="Times New Roman"/>
          <w:i/>
          <w:sz w:val="25"/>
        </w:rPr>
        <w:t xml:space="preserve">human in the </w:t>
      </w:r>
      <w:proofErr w:type="spellStart"/>
      <w:r w:rsidRPr="00681872">
        <w:rPr>
          <w:rFonts w:ascii="Times New Roman" w:hAnsi="Times New Roman"/>
          <w:i/>
          <w:sz w:val="25"/>
        </w:rPr>
        <w:t>loop</w:t>
      </w:r>
      <w:proofErr w:type="spellEnd"/>
      <w:r w:rsidRPr="00985B15">
        <w:rPr>
          <w:rFonts w:ascii="Times New Roman" w:hAnsi="Times New Roman"/>
          <w:sz w:val="25"/>
        </w:rPr>
        <w:t>), in cui, per produrre il suo risultato è necessario che la macchina interagisca con l'essere umano.</w:t>
      </w:r>
      <w:r>
        <w:rPr>
          <w:rFonts w:ascii="Times New Roman" w:hAnsi="Times New Roman"/>
          <w:sz w:val="25"/>
        </w:rPr>
        <w:t xml:space="preserve"> Il richiamo al principio di non esclusività compiuto dal giudice amministrativo risente, innegabilmente, dell’influenza di riferimenti etici che, secondo autorevoli teorici del diritto e della scienza, devono governare l’impiego della IA nel settore pubblico</w:t>
      </w:r>
      <w:r>
        <w:rPr>
          <w:rStyle w:val="Rimandonotaapidipagina"/>
          <w:rFonts w:ascii="Times New Roman" w:hAnsi="Times New Roman"/>
          <w:sz w:val="25"/>
        </w:rPr>
        <w:footnoteReference w:id="16"/>
      </w:r>
      <w:r>
        <w:rPr>
          <w:rFonts w:ascii="Times New Roman" w:hAnsi="Times New Roman"/>
          <w:sz w:val="25"/>
        </w:rPr>
        <w:t>. In particolare, nello “</w:t>
      </w:r>
      <w:r w:rsidRPr="00861607">
        <w:rPr>
          <w:rFonts w:ascii="Times New Roman" w:hAnsi="Times New Roman"/>
          <w:i/>
          <w:sz w:val="25"/>
        </w:rPr>
        <w:t xml:space="preserve">Statement on </w:t>
      </w:r>
      <w:proofErr w:type="spellStart"/>
      <w:r w:rsidRPr="00861607">
        <w:rPr>
          <w:rFonts w:ascii="Times New Roman" w:hAnsi="Times New Roman"/>
          <w:i/>
          <w:sz w:val="25"/>
        </w:rPr>
        <w:t>Artificial</w:t>
      </w:r>
      <w:proofErr w:type="spellEnd"/>
      <w:r w:rsidRPr="00861607">
        <w:rPr>
          <w:rFonts w:ascii="Times New Roman" w:hAnsi="Times New Roman"/>
          <w:i/>
          <w:sz w:val="25"/>
        </w:rPr>
        <w:t xml:space="preserve"> Intelligence, </w:t>
      </w:r>
      <w:proofErr w:type="spellStart"/>
      <w:r w:rsidRPr="00861607">
        <w:rPr>
          <w:rFonts w:ascii="Times New Roman" w:hAnsi="Times New Roman"/>
          <w:i/>
          <w:sz w:val="25"/>
        </w:rPr>
        <w:t>Robotics</w:t>
      </w:r>
      <w:proofErr w:type="spellEnd"/>
      <w:r w:rsidRPr="00861607">
        <w:rPr>
          <w:rFonts w:ascii="Times New Roman" w:hAnsi="Times New Roman"/>
          <w:i/>
          <w:sz w:val="25"/>
        </w:rPr>
        <w:t xml:space="preserve"> and ‘</w:t>
      </w:r>
      <w:proofErr w:type="spellStart"/>
      <w:r w:rsidRPr="00861607">
        <w:rPr>
          <w:rFonts w:ascii="Times New Roman" w:hAnsi="Times New Roman"/>
          <w:i/>
          <w:sz w:val="25"/>
        </w:rPr>
        <w:t>Autonomous</w:t>
      </w:r>
      <w:proofErr w:type="spellEnd"/>
      <w:r w:rsidRPr="00861607">
        <w:rPr>
          <w:rFonts w:ascii="Times New Roman" w:hAnsi="Times New Roman"/>
          <w:i/>
          <w:sz w:val="25"/>
        </w:rPr>
        <w:t>’ Systems</w:t>
      </w:r>
      <w:r>
        <w:rPr>
          <w:rFonts w:ascii="Times New Roman" w:hAnsi="Times New Roman"/>
          <w:sz w:val="25"/>
        </w:rPr>
        <w:t xml:space="preserve">” presentato alla Commissione </w:t>
      </w:r>
      <w:r w:rsidRPr="007E4D96">
        <w:rPr>
          <w:rFonts w:ascii="Times New Roman" w:hAnsi="Times New Roman"/>
          <w:i/>
          <w:sz w:val="25"/>
        </w:rPr>
        <w:t>dall’</w:t>
      </w:r>
      <w:proofErr w:type="spellStart"/>
      <w:r w:rsidRPr="007E4D96">
        <w:rPr>
          <w:rFonts w:ascii="Times New Roman" w:hAnsi="Times New Roman"/>
          <w:i/>
          <w:sz w:val="25"/>
        </w:rPr>
        <w:t>European</w:t>
      </w:r>
      <w:proofErr w:type="spellEnd"/>
      <w:r w:rsidRPr="007E4D96">
        <w:rPr>
          <w:rFonts w:ascii="Times New Roman" w:hAnsi="Times New Roman"/>
          <w:i/>
          <w:sz w:val="25"/>
        </w:rPr>
        <w:t xml:space="preserve"> Group on </w:t>
      </w:r>
      <w:proofErr w:type="spellStart"/>
      <w:r w:rsidRPr="007E4D96">
        <w:rPr>
          <w:rFonts w:ascii="Times New Roman" w:hAnsi="Times New Roman"/>
          <w:i/>
          <w:sz w:val="25"/>
        </w:rPr>
        <w:t>Ethics</w:t>
      </w:r>
      <w:proofErr w:type="spellEnd"/>
      <w:r w:rsidRPr="007E4D96">
        <w:rPr>
          <w:rFonts w:ascii="Times New Roman" w:hAnsi="Times New Roman"/>
          <w:i/>
          <w:sz w:val="25"/>
        </w:rPr>
        <w:t xml:space="preserve"> in Science and New Technologies</w:t>
      </w:r>
      <w:r>
        <w:rPr>
          <w:rStyle w:val="Rimandonotaapidipagina"/>
          <w:rFonts w:ascii="Times New Roman" w:hAnsi="Times New Roman"/>
          <w:sz w:val="25"/>
        </w:rPr>
        <w:footnoteReference w:id="17"/>
      </w:r>
      <w:r>
        <w:rPr>
          <w:rFonts w:ascii="Times New Roman" w:hAnsi="Times New Roman"/>
          <w:sz w:val="25"/>
        </w:rPr>
        <w:t xml:space="preserve">, sono individuati nove “principi etici e requisiti </w:t>
      </w:r>
      <w:proofErr w:type="spellStart"/>
      <w:r>
        <w:rPr>
          <w:rFonts w:ascii="Times New Roman" w:hAnsi="Times New Roman"/>
          <w:sz w:val="25"/>
        </w:rPr>
        <w:t>pre</w:t>
      </w:r>
      <w:proofErr w:type="spellEnd"/>
      <w:r>
        <w:rPr>
          <w:rFonts w:ascii="Times New Roman" w:hAnsi="Times New Roman"/>
          <w:sz w:val="25"/>
        </w:rPr>
        <w:t>-democratici” che dovrebbero fornire una guida futura per legislatori, regolatori e giudici: dignità umana</w:t>
      </w:r>
      <w:r>
        <w:rPr>
          <w:rStyle w:val="Rimandonotaapidipagina"/>
          <w:rFonts w:ascii="Times New Roman" w:hAnsi="Times New Roman"/>
          <w:sz w:val="25"/>
        </w:rPr>
        <w:footnoteReference w:id="18"/>
      </w:r>
      <w:r>
        <w:rPr>
          <w:rFonts w:ascii="Times New Roman" w:hAnsi="Times New Roman"/>
          <w:sz w:val="25"/>
        </w:rPr>
        <w:t>; autonomia</w:t>
      </w:r>
      <w:r>
        <w:rPr>
          <w:rStyle w:val="Rimandonotaapidipagina"/>
          <w:rFonts w:ascii="Times New Roman" w:hAnsi="Times New Roman"/>
          <w:sz w:val="25"/>
        </w:rPr>
        <w:footnoteReference w:id="19"/>
      </w:r>
      <w:r>
        <w:rPr>
          <w:rFonts w:ascii="Times New Roman" w:hAnsi="Times New Roman"/>
          <w:sz w:val="25"/>
        </w:rPr>
        <w:t>; responsabilità</w:t>
      </w:r>
      <w:r>
        <w:rPr>
          <w:rStyle w:val="Rimandonotaapidipagina"/>
          <w:rFonts w:ascii="Times New Roman" w:hAnsi="Times New Roman"/>
          <w:sz w:val="25"/>
        </w:rPr>
        <w:footnoteReference w:id="20"/>
      </w:r>
      <w:r>
        <w:rPr>
          <w:rFonts w:ascii="Times New Roman" w:hAnsi="Times New Roman"/>
          <w:sz w:val="25"/>
        </w:rPr>
        <w:t>; giustizia, equità e solidarietà</w:t>
      </w:r>
      <w:r>
        <w:rPr>
          <w:rStyle w:val="Rimandonotaapidipagina"/>
          <w:rFonts w:ascii="Times New Roman" w:hAnsi="Times New Roman"/>
          <w:sz w:val="25"/>
        </w:rPr>
        <w:footnoteReference w:id="21"/>
      </w:r>
      <w:r>
        <w:rPr>
          <w:rFonts w:ascii="Times New Roman" w:hAnsi="Times New Roman"/>
          <w:sz w:val="25"/>
        </w:rPr>
        <w:t>; democrazia</w:t>
      </w:r>
      <w:r>
        <w:rPr>
          <w:rStyle w:val="Rimandonotaapidipagina"/>
          <w:rFonts w:ascii="Times New Roman" w:hAnsi="Times New Roman"/>
          <w:sz w:val="25"/>
        </w:rPr>
        <w:footnoteReference w:id="22"/>
      </w:r>
      <w:r>
        <w:rPr>
          <w:rFonts w:ascii="Times New Roman" w:hAnsi="Times New Roman"/>
          <w:sz w:val="25"/>
        </w:rPr>
        <w:t>; “</w:t>
      </w:r>
      <w:proofErr w:type="spellStart"/>
      <w:r>
        <w:rPr>
          <w:rFonts w:ascii="Times New Roman" w:hAnsi="Times New Roman"/>
          <w:sz w:val="25"/>
        </w:rPr>
        <w:t>rule</w:t>
      </w:r>
      <w:proofErr w:type="spellEnd"/>
      <w:r>
        <w:rPr>
          <w:rFonts w:ascii="Times New Roman" w:hAnsi="Times New Roman"/>
          <w:sz w:val="25"/>
        </w:rPr>
        <w:t xml:space="preserve"> of law and </w:t>
      </w:r>
      <w:proofErr w:type="spellStart"/>
      <w:r>
        <w:rPr>
          <w:rFonts w:ascii="Times New Roman" w:hAnsi="Times New Roman"/>
          <w:sz w:val="25"/>
        </w:rPr>
        <w:t>accountability</w:t>
      </w:r>
      <w:proofErr w:type="spellEnd"/>
      <w:r>
        <w:rPr>
          <w:rFonts w:ascii="Times New Roman" w:hAnsi="Times New Roman"/>
          <w:sz w:val="25"/>
        </w:rPr>
        <w:t>”</w:t>
      </w:r>
      <w:r>
        <w:rPr>
          <w:rStyle w:val="Rimandonotaapidipagina"/>
          <w:rFonts w:ascii="Times New Roman" w:hAnsi="Times New Roman"/>
          <w:sz w:val="25"/>
        </w:rPr>
        <w:footnoteReference w:id="23"/>
      </w:r>
      <w:r>
        <w:rPr>
          <w:rFonts w:ascii="Times New Roman" w:hAnsi="Times New Roman"/>
          <w:sz w:val="25"/>
        </w:rPr>
        <w:t>; sicurezza, integrità fisica e mentale</w:t>
      </w:r>
      <w:r>
        <w:rPr>
          <w:rStyle w:val="Rimandonotaapidipagina"/>
          <w:rFonts w:ascii="Times New Roman" w:hAnsi="Times New Roman"/>
          <w:sz w:val="25"/>
        </w:rPr>
        <w:footnoteReference w:id="24"/>
      </w:r>
      <w:r>
        <w:rPr>
          <w:rFonts w:ascii="Times New Roman" w:hAnsi="Times New Roman"/>
          <w:sz w:val="25"/>
        </w:rPr>
        <w:t>; protezione dei dati e privacy</w:t>
      </w:r>
      <w:r>
        <w:rPr>
          <w:rStyle w:val="Rimandonotaapidipagina"/>
          <w:rFonts w:ascii="Times New Roman" w:hAnsi="Times New Roman"/>
          <w:sz w:val="25"/>
        </w:rPr>
        <w:footnoteReference w:id="25"/>
      </w:r>
      <w:r>
        <w:rPr>
          <w:rFonts w:ascii="Times New Roman" w:hAnsi="Times New Roman"/>
          <w:sz w:val="25"/>
        </w:rPr>
        <w:t>; sostenibilità</w:t>
      </w:r>
      <w:r>
        <w:rPr>
          <w:rStyle w:val="Rimandonotaapidipagina"/>
          <w:rFonts w:ascii="Times New Roman" w:hAnsi="Times New Roman"/>
          <w:sz w:val="25"/>
        </w:rPr>
        <w:footnoteReference w:id="26"/>
      </w:r>
      <w:r>
        <w:rPr>
          <w:rFonts w:ascii="Times New Roman" w:hAnsi="Times New Roman"/>
          <w:sz w:val="25"/>
        </w:rPr>
        <w:t>. Si tratta della “visione antropocentrica” della IA richiamata dalla Commissione UE nella C</w:t>
      </w:r>
      <w:r w:rsidRPr="007E4D96">
        <w:rPr>
          <w:rFonts w:ascii="Times New Roman" w:hAnsi="Times New Roman"/>
          <w:sz w:val="25"/>
        </w:rPr>
        <w:t xml:space="preserve">omunicazione al </w:t>
      </w:r>
      <w:r>
        <w:rPr>
          <w:rFonts w:ascii="Times New Roman" w:hAnsi="Times New Roman"/>
          <w:sz w:val="25"/>
        </w:rPr>
        <w:t>P</w:t>
      </w:r>
      <w:r w:rsidRPr="007E4D96">
        <w:rPr>
          <w:rFonts w:ascii="Times New Roman" w:hAnsi="Times New Roman"/>
          <w:sz w:val="25"/>
        </w:rPr>
        <w:t>arlamento europeo,</w:t>
      </w:r>
      <w:r>
        <w:rPr>
          <w:rFonts w:ascii="Times New Roman" w:hAnsi="Times New Roman"/>
          <w:sz w:val="25"/>
        </w:rPr>
        <w:t xml:space="preserve"> a</w:t>
      </w:r>
      <w:r w:rsidRPr="007E4D96">
        <w:rPr>
          <w:rFonts w:ascii="Times New Roman" w:hAnsi="Times New Roman"/>
          <w:sz w:val="25"/>
        </w:rPr>
        <w:t xml:space="preserve">l </w:t>
      </w:r>
      <w:r>
        <w:rPr>
          <w:rFonts w:ascii="Times New Roman" w:hAnsi="Times New Roman"/>
          <w:sz w:val="25"/>
        </w:rPr>
        <w:t>C</w:t>
      </w:r>
      <w:r w:rsidRPr="007E4D96">
        <w:rPr>
          <w:rFonts w:ascii="Times New Roman" w:hAnsi="Times New Roman"/>
          <w:sz w:val="25"/>
        </w:rPr>
        <w:t xml:space="preserve">onsiglio, al </w:t>
      </w:r>
      <w:r>
        <w:rPr>
          <w:rFonts w:ascii="Times New Roman" w:hAnsi="Times New Roman"/>
          <w:sz w:val="25"/>
        </w:rPr>
        <w:t>C</w:t>
      </w:r>
      <w:r w:rsidRPr="007E4D96">
        <w:rPr>
          <w:rFonts w:ascii="Times New Roman" w:hAnsi="Times New Roman"/>
          <w:sz w:val="25"/>
        </w:rPr>
        <w:t>omitato economico e sociale europeo e</w:t>
      </w:r>
      <w:r>
        <w:rPr>
          <w:rFonts w:ascii="Times New Roman" w:hAnsi="Times New Roman"/>
          <w:sz w:val="25"/>
        </w:rPr>
        <w:t xml:space="preserve"> al</w:t>
      </w:r>
      <w:r w:rsidRPr="007E4D96">
        <w:rPr>
          <w:rFonts w:ascii="Times New Roman" w:hAnsi="Times New Roman"/>
          <w:sz w:val="25"/>
        </w:rPr>
        <w:t xml:space="preserve"> </w:t>
      </w:r>
      <w:r>
        <w:rPr>
          <w:rFonts w:ascii="Times New Roman" w:hAnsi="Times New Roman"/>
          <w:sz w:val="25"/>
        </w:rPr>
        <w:t>C</w:t>
      </w:r>
      <w:r w:rsidRPr="007E4D96">
        <w:rPr>
          <w:rFonts w:ascii="Times New Roman" w:hAnsi="Times New Roman"/>
          <w:sz w:val="25"/>
        </w:rPr>
        <w:t>omitato delle regioni</w:t>
      </w:r>
      <w:r>
        <w:rPr>
          <w:rFonts w:ascii="Times New Roman" w:hAnsi="Times New Roman"/>
          <w:sz w:val="25"/>
        </w:rPr>
        <w:t xml:space="preserve"> dell’aprile 2019</w:t>
      </w:r>
      <w:r>
        <w:rPr>
          <w:rStyle w:val="Rimandonotaapidipagina"/>
          <w:rFonts w:ascii="Times New Roman" w:hAnsi="Times New Roman"/>
          <w:sz w:val="25"/>
        </w:rPr>
        <w:footnoteReference w:id="27"/>
      </w:r>
      <w:r>
        <w:rPr>
          <w:rFonts w:ascii="Times New Roman" w:hAnsi="Times New Roman"/>
          <w:sz w:val="25"/>
        </w:rPr>
        <w:t>, affidata alle seguenti parole: “</w:t>
      </w:r>
      <w:r w:rsidRPr="007E4D96">
        <w:rPr>
          <w:rFonts w:ascii="Times New Roman" w:hAnsi="Times New Roman"/>
          <w:i/>
          <w:sz w:val="25"/>
        </w:rPr>
        <w:t>La strategia europea per l'IA e il piano coordinato sull'IA indicano chiaramente che la fiducia è una condizione indispensabile per assicurare un approccio antropocentrico all'IA: l'intelligenza artificiale non è fine a se stessa, ma è uno strumento a servizio delle persone che ha come fine ultimo quello di migliorare il benessere degli esseri umani</w:t>
      </w:r>
      <w:r>
        <w:rPr>
          <w:rFonts w:ascii="Times New Roman" w:hAnsi="Times New Roman"/>
          <w:sz w:val="25"/>
        </w:rPr>
        <w:t>”</w:t>
      </w:r>
      <w:r w:rsidRPr="007E4D96">
        <w:rPr>
          <w:rFonts w:ascii="Times New Roman" w:hAnsi="Times New Roman"/>
          <w:sz w:val="25"/>
        </w:rPr>
        <w:t>.</w:t>
      </w:r>
      <w:r>
        <w:rPr>
          <w:rFonts w:ascii="Times New Roman" w:hAnsi="Times New Roman"/>
          <w:sz w:val="25"/>
        </w:rPr>
        <w:t xml:space="preserve"> Il </w:t>
      </w:r>
      <w:r w:rsidRPr="00295DED">
        <w:rPr>
          <w:rFonts w:ascii="Times New Roman" w:hAnsi="Times New Roman"/>
          <w:sz w:val="25"/>
        </w:rPr>
        <w:t>presupposto per ottenere un</w:t>
      </w:r>
      <w:r>
        <w:rPr>
          <w:rFonts w:ascii="Times New Roman" w:hAnsi="Times New Roman"/>
          <w:sz w:val="25"/>
        </w:rPr>
        <w:t>a “</w:t>
      </w:r>
      <w:r w:rsidRPr="00295DED">
        <w:rPr>
          <w:rFonts w:ascii="Times New Roman" w:hAnsi="Times New Roman"/>
          <w:sz w:val="25"/>
        </w:rPr>
        <w:t>intelligenza artificiale affidabile</w:t>
      </w:r>
      <w:r>
        <w:rPr>
          <w:rFonts w:ascii="Times New Roman" w:hAnsi="Times New Roman"/>
          <w:sz w:val="25"/>
        </w:rPr>
        <w:t>”</w:t>
      </w:r>
      <w:r w:rsidRPr="00295DED">
        <w:rPr>
          <w:rFonts w:ascii="Times New Roman" w:hAnsi="Times New Roman"/>
          <w:sz w:val="25"/>
        </w:rPr>
        <w:t xml:space="preserve"> </w:t>
      </w:r>
      <w:r>
        <w:rPr>
          <w:rFonts w:ascii="Times New Roman" w:hAnsi="Times New Roman"/>
          <w:sz w:val="25"/>
        </w:rPr>
        <w:t xml:space="preserve">è legato a </w:t>
      </w:r>
      <w:r w:rsidRPr="00295DED">
        <w:rPr>
          <w:rFonts w:ascii="Times New Roman" w:hAnsi="Times New Roman"/>
          <w:sz w:val="25"/>
        </w:rPr>
        <w:t xml:space="preserve">tre elementi: </w:t>
      </w:r>
      <w:r>
        <w:rPr>
          <w:rFonts w:ascii="Times New Roman" w:hAnsi="Times New Roman"/>
          <w:sz w:val="25"/>
        </w:rPr>
        <w:t>i</w:t>
      </w:r>
      <w:r w:rsidRPr="00295DED">
        <w:rPr>
          <w:rFonts w:ascii="Times New Roman" w:hAnsi="Times New Roman"/>
          <w:sz w:val="25"/>
        </w:rPr>
        <w:t xml:space="preserve">) </w:t>
      </w:r>
      <w:r>
        <w:rPr>
          <w:rFonts w:ascii="Times New Roman" w:hAnsi="Times New Roman"/>
          <w:sz w:val="25"/>
        </w:rPr>
        <w:t>il rispetto del principio di legalità (</w:t>
      </w:r>
      <w:proofErr w:type="spellStart"/>
      <w:r>
        <w:rPr>
          <w:rFonts w:ascii="Times New Roman" w:hAnsi="Times New Roman"/>
          <w:sz w:val="25"/>
        </w:rPr>
        <w:t>rule</w:t>
      </w:r>
      <w:proofErr w:type="spellEnd"/>
      <w:r>
        <w:rPr>
          <w:rFonts w:ascii="Times New Roman" w:hAnsi="Times New Roman"/>
          <w:sz w:val="25"/>
        </w:rPr>
        <w:t xml:space="preserve"> of law) da parte del</w:t>
      </w:r>
      <w:r w:rsidRPr="00295DED">
        <w:rPr>
          <w:rFonts w:ascii="Times New Roman" w:hAnsi="Times New Roman"/>
          <w:sz w:val="25"/>
        </w:rPr>
        <w:t>l'IA</w:t>
      </w:r>
      <w:r>
        <w:rPr>
          <w:rFonts w:ascii="Times New Roman" w:hAnsi="Times New Roman"/>
          <w:sz w:val="25"/>
        </w:rPr>
        <w:t>;</w:t>
      </w:r>
      <w:r w:rsidRPr="00295DED">
        <w:rPr>
          <w:rFonts w:ascii="Times New Roman" w:hAnsi="Times New Roman"/>
          <w:sz w:val="25"/>
        </w:rPr>
        <w:t xml:space="preserve"> </w:t>
      </w:r>
      <w:r>
        <w:rPr>
          <w:rFonts w:ascii="Times New Roman" w:hAnsi="Times New Roman"/>
          <w:sz w:val="25"/>
        </w:rPr>
        <w:t>ii</w:t>
      </w:r>
      <w:r w:rsidRPr="00295DED">
        <w:rPr>
          <w:rFonts w:ascii="Times New Roman" w:hAnsi="Times New Roman"/>
          <w:sz w:val="25"/>
        </w:rPr>
        <w:t xml:space="preserve">) </w:t>
      </w:r>
      <w:r>
        <w:rPr>
          <w:rFonts w:ascii="Times New Roman" w:hAnsi="Times New Roman"/>
          <w:sz w:val="25"/>
        </w:rPr>
        <w:t>l’osservanza de</w:t>
      </w:r>
      <w:r w:rsidRPr="00295DED">
        <w:rPr>
          <w:rFonts w:ascii="Times New Roman" w:hAnsi="Times New Roman"/>
          <w:sz w:val="25"/>
        </w:rPr>
        <w:t>i principi etici</w:t>
      </w:r>
      <w:r>
        <w:rPr>
          <w:rFonts w:ascii="Times New Roman" w:hAnsi="Times New Roman"/>
          <w:sz w:val="25"/>
        </w:rPr>
        <w:t>; iii</w:t>
      </w:r>
      <w:r w:rsidRPr="00295DED">
        <w:rPr>
          <w:rFonts w:ascii="Times New Roman" w:hAnsi="Times New Roman"/>
          <w:sz w:val="25"/>
        </w:rPr>
        <w:t xml:space="preserve">) </w:t>
      </w:r>
      <w:r>
        <w:rPr>
          <w:rFonts w:ascii="Times New Roman" w:hAnsi="Times New Roman"/>
          <w:sz w:val="25"/>
        </w:rPr>
        <w:t>la prova di solidità del sistema</w:t>
      </w:r>
      <w:r w:rsidRPr="00295DED">
        <w:rPr>
          <w:rFonts w:ascii="Times New Roman" w:hAnsi="Times New Roman"/>
          <w:sz w:val="25"/>
        </w:rPr>
        <w:t xml:space="preserve">. Sulla base di questi tre elementi </w:t>
      </w:r>
      <w:r>
        <w:rPr>
          <w:rFonts w:ascii="Times New Roman" w:hAnsi="Times New Roman"/>
          <w:sz w:val="25"/>
        </w:rPr>
        <w:t xml:space="preserve">la Commissione </w:t>
      </w:r>
      <w:r w:rsidRPr="00295DED">
        <w:rPr>
          <w:rFonts w:ascii="Times New Roman" w:hAnsi="Times New Roman"/>
          <w:sz w:val="25"/>
        </w:rPr>
        <w:t>individua</w:t>
      </w:r>
      <w:r>
        <w:rPr>
          <w:rFonts w:ascii="Times New Roman" w:hAnsi="Times New Roman"/>
          <w:sz w:val="25"/>
        </w:rPr>
        <w:t xml:space="preserve"> (con una operazione di sintesi rispetto alle indicazioni di EGE) </w:t>
      </w:r>
      <w:r w:rsidRPr="00295DED">
        <w:rPr>
          <w:rFonts w:ascii="Times New Roman" w:hAnsi="Times New Roman"/>
          <w:sz w:val="25"/>
        </w:rPr>
        <w:t>sette requisiti fondamentali che le applicazioni di IA dovrebbero soddisfare per essere considerate affidabili</w:t>
      </w:r>
      <w:r>
        <w:rPr>
          <w:rFonts w:ascii="Times New Roman" w:hAnsi="Times New Roman"/>
          <w:sz w:val="25"/>
        </w:rPr>
        <w:t xml:space="preserve">: </w:t>
      </w:r>
      <w:r w:rsidRPr="00295DED">
        <w:rPr>
          <w:rFonts w:ascii="Times New Roman" w:hAnsi="Times New Roman"/>
          <w:sz w:val="25"/>
        </w:rPr>
        <w:t xml:space="preserve">intervento e sorveglianza umani, robustezza tecnica e sicurezza, riservatezza e governance dei dati, trasparenza, diversità, non discriminazione ed equità, benessere sociale e ambientale, </w:t>
      </w:r>
      <w:proofErr w:type="spellStart"/>
      <w:r w:rsidRPr="00295DED">
        <w:rPr>
          <w:rFonts w:ascii="Times New Roman" w:hAnsi="Times New Roman"/>
          <w:sz w:val="25"/>
        </w:rPr>
        <w:t>accountability</w:t>
      </w:r>
      <w:proofErr w:type="spellEnd"/>
      <w:r w:rsidRPr="00295DED">
        <w:rPr>
          <w:rFonts w:ascii="Times New Roman" w:hAnsi="Times New Roman"/>
          <w:sz w:val="25"/>
        </w:rPr>
        <w:t>.</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c) </w:t>
      </w:r>
      <w:r w:rsidRPr="00985B15">
        <w:rPr>
          <w:rFonts w:ascii="Times New Roman" w:hAnsi="Times New Roman"/>
          <w:sz w:val="25"/>
        </w:rPr>
        <w:t>In</w:t>
      </w:r>
      <w:r>
        <w:rPr>
          <w:rFonts w:ascii="Times New Roman" w:hAnsi="Times New Roman"/>
          <w:sz w:val="25"/>
        </w:rPr>
        <w:t>fine,</w:t>
      </w:r>
      <w:r w:rsidRPr="00985B15">
        <w:rPr>
          <w:rFonts w:ascii="Times New Roman" w:hAnsi="Times New Roman"/>
          <w:sz w:val="25"/>
        </w:rPr>
        <w:t xml:space="preserve"> </w:t>
      </w:r>
      <w:r>
        <w:rPr>
          <w:rFonts w:ascii="Times New Roman" w:hAnsi="Times New Roman"/>
          <w:sz w:val="25"/>
        </w:rPr>
        <w:t xml:space="preserve">viene richiamato dai giudici di Palazzo Spada il </w:t>
      </w:r>
      <w:r w:rsidRPr="00985B15">
        <w:rPr>
          <w:rFonts w:ascii="Times New Roman" w:hAnsi="Times New Roman"/>
          <w:sz w:val="25"/>
        </w:rPr>
        <w:t>considerando n. 71 del Regolamento 679/2016</w:t>
      </w:r>
      <w:r>
        <w:rPr>
          <w:rFonts w:ascii="Times New Roman" w:hAnsi="Times New Roman"/>
          <w:sz w:val="25"/>
        </w:rPr>
        <w:t xml:space="preserve">, sul </w:t>
      </w:r>
      <w:r w:rsidRPr="00985B15">
        <w:rPr>
          <w:rFonts w:ascii="Times New Roman" w:hAnsi="Times New Roman"/>
          <w:sz w:val="25"/>
        </w:rPr>
        <w:t xml:space="preserve">principio </w:t>
      </w:r>
      <w:r>
        <w:rPr>
          <w:rFonts w:ascii="Times New Roman" w:hAnsi="Times New Roman"/>
          <w:sz w:val="25"/>
        </w:rPr>
        <w:t xml:space="preserve"> </w:t>
      </w:r>
      <w:r w:rsidRPr="00985B15">
        <w:rPr>
          <w:rFonts w:ascii="Times New Roman" w:hAnsi="Times New Roman"/>
          <w:sz w:val="25"/>
        </w:rPr>
        <w:t>di non discriminazione algoritmica, secondo cui è opportuno che il titolare del trattamento utilizzi procedure matematiche o statistiche appropriate per la profilazione, mettendo in atto misure tecniche e organizzative adeguate al fine di garantire, in particolare, che siano rettificati i fattori che comportano inesattezze dei dati e sia minimizzato il rischio di errori e al fine di garantire la sicurezza dei dati personali, secondo una modalità che tenga conto dei potenziali rischi esistenti per gli interessi e i diritti dell'interessato e che impedisca tra l'altro effetti discriminatori nei confronti di persone fisiche sulla base della razza o dell'origine etnica, delle opinioni politiche, della religione o delle convinzioni personali, dell'appartenenza sindacale, dello status genetico, dello stato di salute o dell'orientamento sessuale, ovvero che comportano misure aventi tali effetti.</w:t>
      </w:r>
      <w:r>
        <w:rPr>
          <w:rFonts w:ascii="Times New Roman" w:hAnsi="Times New Roman"/>
          <w:sz w:val="25"/>
        </w:rPr>
        <w:t xml:space="preserve"> Anche in questa ipotesi, si tratta di un richiamo, opportuno, alla cornice ed alla visione di insieme della materia, utilizzato dal giudice come elemento di indirizzo della futura attività amministrativa fondata sul procedimento robotizzato.</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7. Il </w:t>
      </w:r>
      <w:r w:rsidRPr="0040660F">
        <w:rPr>
          <w:rFonts w:ascii="Times New Roman" w:hAnsi="Times New Roman"/>
          <w:i/>
          <w:sz w:val="25"/>
        </w:rPr>
        <w:t>vademecum</w:t>
      </w:r>
      <w:r>
        <w:rPr>
          <w:rFonts w:ascii="Times New Roman" w:hAnsi="Times New Roman"/>
          <w:sz w:val="25"/>
        </w:rPr>
        <w:t xml:space="preserve"> tracciato dal Consiglio di Stato consente di trarre qualche indicazione di sintesi sull’uso dell’algoritmo, specie della IA, da parte della p.a., sulla cui ammissibilità e legittimità peraltro non si nutrono dubbi</w:t>
      </w:r>
      <w:r w:rsidR="0048632D">
        <w:rPr>
          <w:rFonts w:ascii="Times New Roman" w:hAnsi="Times New Roman"/>
          <w:sz w:val="25"/>
        </w:rPr>
        <w:t xml:space="preserve"> in ogni ambito di attività, sia essa vincolata o discrezionale</w:t>
      </w:r>
      <w:r>
        <w:rPr>
          <w:rFonts w:ascii="Times New Roman" w:hAnsi="Times New Roman"/>
          <w:sz w:val="25"/>
        </w:rPr>
        <w:t xml:space="preserv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L’efficacia dell’azione amministrativa non può essere considerata in questa materia preminente, dovendosi individuare un bilanciamento tra due tipologie di interessi: l’interesse ad una procedura prevedibile, snella, trasparente, efficace, che tipicamente si ritiene raggiungibile con la delega alla macchina e all’uso di ICT; l’interesse, più tradizionale ma ineliminabile in una certa misura, al mantenimento in capo all’essere umano del controllo del potere delegato alla macchina, che può e deve essere di regola revocabile</w:t>
      </w:r>
      <w:r w:rsidR="001F7067">
        <w:rPr>
          <w:rStyle w:val="Rimandonotaapidipagina"/>
          <w:rFonts w:ascii="Times New Roman" w:hAnsi="Times New Roman"/>
          <w:sz w:val="25"/>
        </w:rPr>
        <w:footnoteReference w:id="28"/>
      </w:r>
      <w:r>
        <w:rPr>
          <w:rFonts w:ascii="Times New Roman" w:hAnsi="Times New Roman"/>
          <w:sz w:val="25"/>
        </w:rPr>
        <w:t xml:space="preserve">. </w:t>
      </w:r>
    </w:p>
    <w:p w:rsidR="00E765FB"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Se si torna al caso affrontato dal giudice amministrativo con le due sentenze del 2019, la verifica del bilanciamento degli interessi può apparire più complessa.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Leggendo l’Ord. ministeriale 241/2016 del MIUR non si ha tanto </w:t>
      </w:r>
      <w:r w:rsidR="00F07D82">
        <w:rPr>
          <w:rFonts w:ascii="Times New Roman" w:hAnsi="Times New Roman"/>
          <w:sz w:val="25"/>
        </w:rPr>
        <w:t>la certezza</w:t>
      </w:r>
      <w:r>
        <w:rPr>
          <w:rFonts w:ascii="Times New Roman" w:hAnsi="Times New Roman"/>
          <w:sz w:val="25"/>
        </w:rPr>
        <w:t xml:space="preserve"> che sia stato utilizzato un procedimento interamente robotizzato (anzi, l’esame del testo di legge e della stessa Ord. min.) sembra condurre ad una prevalenza dell’essere umano), quanto una generale </w:t>
      </w:r>
      <w:r w:rsidR="00F07D82">
        <w:rPr>
          <w:rFonts w:ascii="Times New Roman" w:hAnsi="Times New Roman"/>
          <w:sz w:val="25"/>
        </w:rPr>
        <w:t xml:space="preserve">impressione di </w:t>
      </w:r>
      <w:r>
        <w:rPr>
          <w:rFonts w:ascii="Times New Roman" w:hAnsi="Times New Roman"/>
          <w:sz w:val="25"/>
        </w:rPr>
        <w:t xml:space="preserve">macchinosità della fase procedurale, resa ancor più oscura in qualche passaggio delegato alla macchina. Per cui, da criteri (umani) oscuri, non poteva che scaturire dalla macchina un </w:t>
      </w:r>
      <w:r w:rsidRPr="000607F7">
        <w:rPr>
          <w:rFonts w:ascii="Times New Roman" w:hAnsi="Times New Roman"/>
          <w:i/>
          <w:sz w:val="25"/>
        </w:rPr>
        <w:t>output</w:t>
      </w:r>
      <w:r>
        <w:rPr>
          <w:rFonts w:ascii="Times New Roman" w:hAnsi="Times New Roman"/>
          <w:sz w:val="25"/>
        </w:rPr>
        <w:t xml:space="preserve"> non desiderabile. </w:t>
      </w:r>
    </w:p>
    <w:p w:rsidR="003E7997" w:rsidRDefault="00F07D82" w:rsidP="00F66D6D">
      <w:pPr>
        <w:spacing w:after="0" w:line="240" w:lineRule="auto"/>
        <w:ind w:left="1134" w:right="1418" w:firstLine="426"/>
        <w:jc w:val="both"/>
        <w:rPr>
          <w:rFonts w:ascii="Times New Roman" w:hAnsi="Times New Roman"/>
          <w:sz w:val="25"/>
        </w:rPr>
      </w:pPr>
      <w:r>
        <w:rPr>
          <w:rFonts w:ascii="Times New Roman" w:hAnsi="Times New Roman"/>
          <w:sz w:val="25"/>
        </w:rPr>
        <w:t>L</w:t>
      </w:r>
      <w:r w:rsidR="00E05355">
        <w:rPr>
          <w:rFonts w:ascii="Times New Roman" w:hAnsi="Times New Roman"/>
          <w:sz w:val="25"/>
        </w:rPr>
        <w:t xml:space="preserve">’interesse ritenuto meritevole di apprezzamento non </w:t>
      </w:r>
      <w:r>
        <w:rPr>
          <w:rFonts w:ascii="Times New Roman" w:hAnsi="Times New Roman"/>
          <w:sz w:val="25"/>
        </w:rPr>
        <w:t xml:space="preserve">sembra però coincidere con </w:t>
      </w:r>
      <w:r w:rsidR="003E7997">
        <w:rPr>
          <w:rFonts w:ascii="Times New Roman" w:hAnsi="Times New Roman"/>
          <w:sz w:val="25"/>
        </w:rPr>
        <w:t>la</w:t>
      </w:r>
      <w:r w:rsidR="00E05355">
        <w:rPr>
          <w:rFonts w:ascii="Times New Roman" w:hAnsi="Times New Roman"/>
          <w:sz w:val="25"/>
        </w:rPr>
        <w:t xml:space="preserve"> copertura di tutte le cattedre vacanti (elemento di natura discrezionale che il giudice non può valutare), </w:t>
      </w:r>
      <w:r>
        <w:rPr>
          <w:rFonts w:ascii="Times New Roman" w:hAnsi="Times New Roman"/>
          <w:sz w:val="25"/>
        </w:rPr>
        <w:t xml:space="preserve">ma con </w:t>
      </w:r>
      <w:r w:rsidR="00E05355">
        <w:rPr>
          <w:rFonts w:ascii="Times New Roman" w:hAnsi="Times New Roman"/>
          <w:sz w:val="25"/>
        </w:rPr>
        <w:t xml:space="preserve">l’interesse privato all’ottenimento di una sede in linea </w:t>
      </w:r>
      <w:r>
        <w:rPr>
          <w:rFonts w:ascii="Times New Roman" w:hAnsi="Times New Roman"/>
          <w:sz w:val="25"/>
        </w:rPr>
        <w:t xml:space="preserve">quanto </w:t>
      </w:r>
      <w:r w:rsidR="00E05355">
        <w:rPr>
          <w:rFonts w:ascii="Times New Roman" w:hAnsi="Times New Roman"/>
          <w:sz w:val="25"/>
        </w:rPr>
        <w:t>più possibile con la preferenza espressa dal docente e riconducibile esclusivamente a ragioni personali</w:t>
      </w:r>
      <w:r w:rsidR="00E05355">
        <w:rPr>
          <w:rStyle w:val="Rimandonotaapidipagina"/>
          <w:rFonts w:ascii="Times New Roman" w:hAnsi="Times New Roman"/>
          <w:sz w:val="25"/>
        </w:rPr>
        <w:footnoteReference w:id="29"/>
      </w:r>
      <w:r w:rsidR="00E05355">
        <w:rPr>
          <w:rFonts w:ascii="Times New Roman" w:hAnsi="Times New Roman"/>
          <w:sz w:val="25"/>
        </w:rPr>
        <w:t xml:space="preserve">. </w:t>
      </w:r>
      <w:r w:rsidR="00F66D6D">
        <w:rPr>
          <w:rFonts w:ascii="Times New Roman" w:hAnsi="Times New Roman"/>
          <w:sz w:val="25"/>
        </w:rPr>
        <w:t xml:space="preserve">Un interesse </w:t>
      </w:r>
      <w:r>
        <w:rPr>
          <w:rFonts w:ascii="Times New Roman" w:hAnsi="Times New Roman"/>
          <w:sz w:val="25"/>
        </w:rPr>
        <w:t xml:space="preserve">che meritava forse di essere </w:t>
      </w:r>
      <w:r w:rsidR="00E765FB">
        <w:rPr>
          <w:rFonts w:ascii="Times New Roman" w:hAnsi="Times New Roman"/>
          <w:sz w:val="25"/>
        </w:rPr>
        <w:t>bilancia</w:t>
      </w:r>
      <w:r>
        <w:rPr>
          <w:rFonts w:ascii="Times New Roman" w:hAnsi="Times New Roman"/>
          <w:sz w:val="25"/>
        </w:rPr>
        <w:t>to</w:t>
      </w:r>
      <w:r w:rsidR="00E765FB">
        <w:rPr>
          <w:rFonts w:ascii="Times New Roman" w:hAnsi="Times New Roman"/>
          <w:sz w:val="25"/>
        </w:rPr>
        <w:t xml:space="preserve"> meglio, secondo la volontà della legge, </w:t>
      </w:r>
      <w:r w:rsidR="00F66D6D">
        <w:rPr>
          <w:rFonts w:ascii="Times New Roman" w:hAnsi="Times New Roman"/>
          <w:sz w:val="25"/>
        </w:rPr>
        <w:t>con quello pubblico alla copertura delle</w:t>
      </w:r>
      <w:r w:rsidR="003E7997">
        <w:rPr>
          <w:rFonts w:ascii="Times New Roman" w:hAnsi="Times New Roman"/>
          <w:sz w:val="25"/>
        </w:rPr>
        <w:t xml:space="preserve"> sedi </w:t>
      </w:r>
      <w:r w:rsidR="00F66D6D">
        <w:rPr>
          <w:rFonts w:ascii="Times New Roman" w:hAnsi="Times New Roman"/>
          <w:sz w:val="25"/>
        </w:rPr>
        <w:t xml:space="preserve">“nel </w:t>
      </w:r>
      <w:r w:rsidR="00F66D6D" w:rsidRPr="00F66D6D">
        <w:rPr>
          <w:rFonts w:ascii="Times New Roman" w:hAnsi="Times New Roman"/>
          <w:sz w:val="25"/>
        </w:rPr>
        <w:t>limite dei posti vacanti   e</w:t>
      </w:r>
      <w:r w:rsidR="00F66D6D">
        <w:rPr>
          <w:rFonts w:ascii="Times New Roman" w:hAnsi="Times New Roman"/>
          <w:sz w:val="25"/>
        </w:rPr>
        <w:t xml:space="preserve"> </w:t>
      </w:r>
      <w:r w:rsidR="00F66D6D" w:rsidRPr="00F66D6D">
        <w:rPr>
          <w:rFonts w:ascii="Times New Roman" w:hAnsi="Times New Roman"/>
          <w:sz w:val="25"/>
        </w:rPr>
        <w:t>disponibili</w:t>
      </w:r>
      <w:r w:rsidR="00F66D6D">
        <w:rPr>
          <w:rFonts w:ascii="Times New Roman" w:hAnsi="Times New Roman"/>
          <w:sz w:val="25"/>
        </w:rPr>
        <w:t xml:space="preserve">” (articolo 1, comma 98 e ss. l.n. 107/2015), rispetto al quale </w:t>
      </w:r>
      <w:r w:rsidR="00F66D6D" w:rsidRPr="00F66D6D">
        <w:rPr>
          <w:rFonts w:ascii="Times New Roman" w:hAnsi="Times New Roman"/>
          <w:sz w:val="25"/>
        </w:rPr>
        <w:t xml:space="preserve">l'ordine di preferenza </w:t>
      </w:r>
      <w:r w:rsidR="00F66D6D">
        <w:rPr>
          <w:rFonts w:ascii="Times New Roman" w:hAnsi="Times New Roman"/>
          <w:sz w:val="25"/>
        </w:rPr>
        <w:t>non poteva prevalere (“</w:t>
      </w:r>
      <w:r w:rsidR="00F66D6D" w:rsidRPr="00F66D6D">
        <w:rPr>
          <w:rFonts w:ascii="Times New Roman" w:hAnsi="Times New Roman"/>
          <w:sz w:val="25"/>
        </w:rPr>
        <w:t>In caso di indisponibilit</w:t>
      </w:r>
      <w:r w:rsidR="00F66D6D">
        <w:rPr>
          <w:rFonts w:ascii="Times New Roman" w:hAnsi="Times New Roman"/>
          <w:sz w:val="25"/>
        </w:rPr>
        <w:t>à</w:t>
      </w:r>
      <w:r w:rsidR="00F66D6D" w:rsidRPr="00F66D6D">
        <w:rPr>
          <w:rFonts w:ascii="Times New Roman" w:hAnsi="Times New Roman"/>
          <w:sz w:val="25"/>
        </w:rPr>
        <w:t xml:space="preserve"> sui posti per tutte le</w:t>
      </w:r>
      <w:r w:rsidR="00F66D6D">
        <w:rPr>
          <w:rFonts w:ascii="Times New Roman" w:hAnsi="Times New Roman"/>
          <w:sz w:val="25"/>
        </w:rPr>
        <w:t xml:space="preserve"> </w:t>
      </w:r>
      <w:r w:rsidR="00F66D6D" w:rsidRPr="00F66D6D">
        <w:rPr>
          <w:rFonts w:ascii="Times New Roman" w:hAnsi="Times New Roman"/>
          <w:sz w:val="25"/>
        </w:rPr>
        <w:t>province, non si procede all'assunzione</w:t>
      </w:r>
      <w:r w:rsidR="00F66D6D">
        <w:rPr>
          <w:rFonts w:ascii="Times New Roman" w:hAnsi="Times New Roman"/>
          <w:sz w:val="25"/>
        </w:rPr>
        <w:t>”). S</w:t>
      </w:r>
      <w:r w:rsidR="00E05355">
        <w:rPr>
          <w:rFonts w:ascii="Times New Roman" w:hAnsi="Times New Roman"/>
          <w:sz w:val="25"/>
        </w:rPr>
        <w:t xml:space="preserve">e ci riflette, ogni volta che si partecipa ad un concorso pubblico non si può sapere in anticipo se si riuscirà ad occupare una certa sede né assumono rilievo le preferenze personali dei candidati.  </w:t>
      </w:r>
    </w:p>
    <w:p w:rsidR="00F07D82"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L’uso della macchina e della decisione automatizzata non sembra aver travalicato di per sé i limiti etico-giuridici sopra indicati, semmai il procedimento umano non è stato condotto in modo impeccabile: come accade spesso. L’essere umano, nel procedimento in esame, ha mantenuto o poteva mantenere, stando alle norme che regolano il caso concreto, il controllo del segmento procedurale gestito dall’algoritmo.</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L’elemento negativo, fortemente censurato dal giudice, ha riguardato a ben vedere l’opacità del passaggio procedimentale fondato sull’algoritmo più che l’algoritmo in sé o il modo con il quale esso è stato istruito. </w:t>
      </w:r>
      <w:r w:rsidR="00E765FB">
        <w:rPr>
          <w:rFonts w:ascii="Times New Roman" w:hAnsi="Times New Roman"/>
          <w:sz w:val="25"/>
        </w:rPr>
        <w:t>Elemento che ha finito per travolgere la procedura</w:t>
      </w:r>
      <w:r w:rsidR="00F07D82">
        <w:rPr>
          <w:rFonts w:ascii="Times New Roman" w:hAnsi="Times New Roman"/>
          <w:sz w:val="25"/>
        </w:rPr>
        <w:t xml:space="preserve"> e lo stesso interesse pubblico</w:t>
      </w:r>
      <w:r w:rsidR="00E765FB">
        <w:rPr>
          <w:rFonts w:ascii="Times New Roman" w:hAnsi="Times New Roman"/>
          <w:sz w:val="25"/>
        </w:rPr>
        <w:t xml:space="preserve">. Non sembra invece che possa estendersi il giudizio negativo sull’algoritmo di per sé utilizzato, anche se </w:t>
      </w:r>
      <w:r>
        <w:rPr>
          <w:rFonts w:ascii="Times New Roman" w:hAnsi="Times New Roman"/>
          <w:sz w:val="25"/>
        </w:rPr>
        <w:t xml:space="preserve">il punto non </w:t>
      </w:r>
      <w:r w:rsidR="00F66D6D">
        <w:rPr>
          <w:rFonts w:ascii="Times New Roman" w:hAnsi="Times New Roman"/>
          <w:sz w:val="25"/>
        </w:rPr>
        <w:t>sembra essere</w:t>
      </w:r>
      <w:r>
        <w:rPr>
          <w:rFonts w:ascii="Times New Roman" w:hAnsi="Times New Roman"/>
          <w:sz w:val="25"/>
        </w:rPr>
        <w:t xml:space="preserve"> stato oggetto di disamina particolare dal giudice e dalle parti (a quanto si comprende) né in primo né in secondo grado, ribaltandosi piuttosto sull’</w:t>
      </w:r>
      <w:r w:rsidRPr="00AD2684">
        <w:rPr>
          <w:rFonts w:ascii="Times New Roman" w:hAnsi="Times New Roman"/>
          <w:sz w:val="25"/>
        </w:rPr>
        <w:t>amministrazione</w:t>
      </w:r>
      <w:r>
        <w:rPr>
          <w:rFonts w:ascii="Times New Roman" w:hAnsi="Times New Roman"/>
          <w:sz w:val="25"/>
        </w:rPr>
        <w:t xml:space="preserve"> un difetto di prova in ordine alle </w:t>
      </w:r>
      <w:r w:rsidRPr="00AD2684">
        <w:rPr>
          <w:rFonts w:ascii="Times New Roman" w:hAnsi="Times New Roman"/>
          <w:sz w:val="25"/>
        </w:rPr>
        <w:t>operazioni algoritmiche</w:t>
      </w:r>
      <w:r>
        <w:rPr>
          <w:rFonts w:ascii="Times New Roman" w:hAnsi="Times New Roman"/>
          <w:sz w:val="25"/>
        </w:rPr>
        <w:t xml:space="preserve">. Ciò </w:t>
      </w:r>
      <w:r w:rsidR="00E765FB">
        <w:rPr>
          <w:rFonts w:ascii="Times New Roman" w:hAnsi="Times New Roman"/>
          <w:sz w:val="25"/>
        </w:rPr>
        <w:t xml:space="preserve">che </w:t>
      </w:r>
      <w:r>
        <w:rPr>
          <w:rFonts w:ascii="Times New Roman" w:hAnsi="Times New Roman"/>
          <w:sz w:val="25"/>
        </w:rPr>
        <w:t>finisce ad avviso del giudicante per incidere sullo stesso principio di legalità della decisione robotizzata,</w:t>
      </w:r>
      <w:r w:rsidRPr="00AD2684">
        <w:rPr>
          <w:rFonts w:ascii="Times New Roman" w:hAnsi="Times New Roman"/>
          <w:sz w:val="25"/>
        </w:rPr>
        <w:t xml:space="preserve"> che deve invece essere sempre provata ed illustrata sul piano tecnico, </w:t>
      </w:r>
      <w:r>
        <w:rPr>
          <w:rFonts w:ascii="Times New Roman" w:hAnsi="Times New Roman"/>
          <w:sz w:val="25"/>
        </w:rPr>
        <w:t xml:space="preserve">come precisa la sentenza, </w:t>
      </w:r>
      <w:r w:rsidRPr="00AD2684">
        <w:rPr>
          <w:rFonts w:ascii="Times New Roman" w:hAnsi="Times New Roman"/>
          <w:sz w:val="25"/>
        </w:rPr>
        <w:t xml:space="preserve">quantomeno </w:t>
      </w:r>
      <w:r>
        <w:rPr>
          <w:rFonts w:ascii="Times New Roman" w:hAnsi="Times New Roman"/>
          <w:sz w:val="25"/>
        </w:rPr>
        <w:t>“</w:t>
      </w:r>
      <w:r w:rsidRPr="00AD2684">
        <w:rPr>
          <w:rFonts w:ascii="Times New Roman" w:hAnsi="Times New Roman"/>
          <w:sz w:val="25"/>
        </w:rPr>
        <w:t>chiarendo le circostanze prima citate, ossia le istruzioni impartite e le modalità di funzionamento delle operazioni informatiche se ed in quanto ricostruibili sul piano effettuale perché dipendenti dalla preventiva, eventualmente contemporanea o successiva azione umana di impostazione e/o controllo dello strumento</w:t>
      </w:r>
      <w:r>
        <w:rPr>
          <w:rFonts w:ascii="Times New Roman" w:hAnsi="Times New Roman"/>
          <w:sz w:val="25"/>
        </w:rPr>
        <w:t>”.</w:t>
      </w:r>
    </w:p>
    <w:p w:rsidR="00E05355" w:rsidRDefault="005836F7" w:rsidP="00E05355">
      <w:pPr>
        <w:spacing w:after="0" w:line="240" w:lineRule="auto"/>
        <w:ind w:left="1134" w:right="1418" w:firstLine="426"/>
        <w:jc w:val="both"/>
        <w:rPr>
          <w:rFonts w:ascii="Times New Roman" w:hAnsi="Times New Roman"/>
          <w:sz w:val="25"/>
        </w:rPr>
      </w:pPr>
      <w:r>
        <w:rPr>
          <w:rFonts w:ascii="Times New Roman" w:hAnsi="Times New Roman"/>
          <w:sz w:val="25"/>
        </w:rPr>
        <w:t>Sarebbe stato</w:t>
      </w:r>
      <w:r w:rsidR="00E05355">
        <w:rPr>
          <w:rFonts w:ascii="Times New Roman" w:hAnsi="Times New Roman"/>
          <w:sz w:val="25"/>
        </w:rPr>
        <w:t xml:space="preserve"> interessante in questo senso accertare, per esempio, tramite una consulenza tecnica, l’</w:t>
      </w:r>
      <w:r w:rsidR="00E05355" w:rsidRPr="007E05AB">
        <w:rPr>
          <w:rFonts w:ascii="Times New Roman" w:hAnsi="Times New Roman"/>
          <w:i/>
          <w:sz w:val="25"/>
        </w:rPr>
        <w:t>input</w:t>
      </w:r>
      <w:r w:rsidR="00E05355">
        <w:rPr>
          <w:rFonts w:ascii="Times New Roman" w:hAnsi="Times New Roman"/>
          <w:sz w:val="25"/>
        </w:rPr>
        <w:t xml:space="preserve"> che era stato fornito alla macchina e le istruzioni oggetto di delega umana.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8. </w:t>
      </w:r>
      <w:r w:rsidR="00754A6C">
        <w:rPr>
          <w:rFonts w:ascii="Times New Roman" w:hAnsi="Times New Roman"/>
          <w:sz w:val="25"/>
        </w:rPr>
        <w:t>L</w:t>
      </w:r>
      <w:r>
        <w:rPr>
          <w:rFonts w:ascii="Times New Roman" w:hAnsi="Times New Roman"/>
          <w:sz w:val="25"/>
        </w:rPr>
        <w:t>a chiave di volta del contenzioso è retta dalla violazione delle regole procedimental</w:t>
      </w:r>
      <w:r w:rsidR="00165F45">
        <w:rPr>
          <w:rFonts w:ascii="Times New Roman" w:hAnsi="Times New Roman"/>
          <w:sz w:val="25"/>
        </w:rPr>
        <w:t>i</w:t>
      </w:r>
      <w:r>
        <w:rPr>
          <w:rFonts w:ascii="Times New Roman" w:hAnsi="Times New Roman"/>
          <w:sz w:val="25"/>
        </w:rPr>
        <w:t xml:space="preserve"> poste a presidio della conoscenza dell</w:t>
      </w:r>
      <w:r w:rsidR="00165F45">
        <w:rPr>
          <w:rFonts w:ascii="Times New Roman" w:hAnsi="Times New Roman"/>
          <w:sz w:val="25"/>
        </w:rPr>
        <w:t>a</w:t>
      </w:r>
      <w:r>
        <w:rPr>
          <w:rFonts w:ascii="Times New Roman" w:hAnsi="Times New Roman"/>
          <w:sz w:val="25"/>
        </w:rPr>
        <w:t xml:space="preserve"> fas</w:t>
      </w:r>
      <w:r w:rsidR="00165F45">
        <w:rPr>
          <w:rFonts w:ascii="Times New Roman" w:hAnsi="Times New Roman"/>
          <w:sz w:val="25"/>
        </w:rPr>
        <w:t>e</w:t>
      </w:r>
      <w:r>
        <w:rPr>
          <w:rFonts w:ascii="Times New Roman" w:hAnsi="Times New Roman"/>
          <w:sz w:val="25"/>
        </w:rPr>
        <w:t xml:space="preserve"> dell’istruttoria. Nel momento in cui il diritto di accesso agli atti non ha potuto avere un esito pienamente satisfattivo agli occhi dell’interessato e soprattutto del giudice, a fronte della opposizione dell’impresa privata che aveva programmato l’algoritmo rispetto alla quale nulla ha opposto la p.a., il piano della questione si è spostato dal fatto e dai dati raccolti ai principi generali che regolano l’attività amministrativa. Un giudice, come quello amministrativo, abituato ad utilizzare pieni poteri nei confronti della p.a. omissiva o recalcitrante, ha fatto largo uso anche di scienza propria ed ha colto l’occasione di affermare il proprio autorevole punto di vista sull’intera materia della delega algoritmica e dell’uso della IA da parte della p.a., in una chiave che appare </w:t>
      </w:r>
      <w:r w:rsidR="003E7997">
        <w:rPr>
          <w:rFonts w:ascii="Times New Roman" w:hAnsi="Times New Roman"/>
          <w:sz w:val="25"/>
        </w:rPr>
        <w:t xml:space="preserve">comunque </w:t>
      </w:r>
      <w:r>
        <w:rPr>
          <w:rFonts w:ascii="Times New Roman" w:hAnsi="Times New Roman"/>
          <w:sz w:val="25"/>
        </w:rPr>
        <w:t>meno conservatrice rispetto alla posizione attuale della giurisprudenza</w:t>
      </w:r>
      <w:r>
        <w:rPr>
          <w:rStyle w:val="Rimandonotaapidipagina"/>
          <w:rFonts w:ascii="Times New Roman" w:hAnsi="Times New Roman"/>
          <w:sz w:val="25"/>
        </w:rPr>
        <w:footnoteReference w:id="30"/>
      </w:r>
      <w:r>
        <w:rPr>
          <w:rFonts w:ascii="Times New Roman" w:hAnsi="Times New Roman"/>
          <w:sz w:val="25"/>
        </w:rPr>
        <w:t xml:space="preserve">. </w:t>
      </w:r>
    </w:p>
    <w:p w:rsidR="00F10E2B"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9. Emblematico del </w:t>
      </w:r>
      <w:r w:rsidRPr="00F07D82">
        <w:rPr>
          <w:rFonts w:ascii="Times New Roman" w:hAnsi="Times New Roman"/>
          <w:i/>
          <w:sz w:val="25"/>
        </w:rPr>
        <w:t xml:space="preserve">background </w:t>
      </w:r>
      <w:r>
        <w:rPr>
          <w:rFonts w:ascii="Times New Roman" w:hAnsi="Times New Roman"/>
          <w:sz w:val="25"/>
        </w:rPr>
        <w:t xml:space="preserve">culturale </w:t>
      </w:r>
      <w:r w:rsidR="00F07D82">
        <w:rPr>
          <w:rFonts w:ascii="Times New Roman" w:hAnsi="Times New Roman"/>
          <w:sz w:val="25"/>
        </w:rPr>
        <w:t xml:space="preserve">in cui mostra di muoversi il Consiglio di Stato </w:t>
      </w:r>
      <w:r>
        <w:rPr>
          <w:rFonts w:ascii="Times New Roman" w:hAnsi="Times New Roman"/>
          <w:sz w:val="25"/>
        </w:rPr>
        <w:t>è il</w:t>
      </w:r>
      <w:r w:rsidR="00F10E2B">
        <w:rPr>
          <w:rFonts w:ascii="Times New Roman" w:hAnsi="Times New Roman"/>
          <w:sz w:val="25"/>
        </w:rPr>
        <w:t xml:space="preserve"> </w:t>
      </w:r>
      <w:r>
        <w:rPr>
          <w:rFonts w:ascii="Times New Roman" w:hAnsi="Times New Roman"/>
          <w:sz w:val="25"/>
        </w:rPr>
        <w:t>richiamo (</w:t>
      </w:r>
      <w:r w:rsidR="00F10E2B">
        <w:rPr>
          <w:rFonts w:ascii="Times New Roman" w:hAnsi="Times New Roman"/>
          <w:sz w:val="25"/>
        </w:rPr>
        <w:t xml:space="preserve">fugace </w:t>
      </w:r>
      <w:r>
        <w:rPr>
          <w:rFonts w:ascii="Times New Roman" w:hAnsi="Times New Roman"/>
          <w:sz w:val="25"/>
        </w:rPr>
        <w:t xml:space="preserve">ma significativo) alla sentenza della Corte suprema del Wisconsin relativa al controverso caso </w:t>
      </w:r>
      <w:proofErr w:type="spellStart"/>
      <w:r>
        <w:rPr>
          <w:rFonts w:ascii="Times New Roman" w:hAnsi="Times New Roman"/>
          <w:sz w:val="25"/>
        </w:rPr>
        <w:t>Loomis</w:t>
      </w:r>
      <w:proofErr w:type="spellEnd"/>
      <w:r>
        <w:rPr>
          <w:rStyle w:val="Rimandonotaapidipagina"/>
          <w:rFonts w:ascii="Times New Roman" w:hAnsi="Times New Roman"/>
          <w:sz w:val="25"/>
        </w:rPr>
        <w:footnoteReference w:id="31"/>
      </w:r>
      <w:r w:rsidR="00165F45">
        <w:rPr>
          <w:rFonts w:ascii="Times New Roman" w:hAnsi="Times New Roman"/>
          <w:sz w:val="25"/>
        </w:rPr>
        <w:t>, che merita un</w:t>
      </w:r>
      <w:r w:rsidR="007B03C5">
        <w:rPr>
          <w:rFonts w:ascii="Times New Roman" w:hAnsi="Times New Roman"/>
          <w:sz w:val="25"/>
        </w:rPr>
        <w:t xml:space="preserve"> accenno </w:t>
      </w:r>
      <w:r w:rsidR="00165F45">
        <w:rPr>
          <w:rFonts w:ascii="Times New Roman" w:hAnsi="Times New Roman"/>
          <w:sz w:val="25"/>
        </w:rPr>
        <w:t>in questa sede</w:t>
      </w:r>
      <w:r>
        <w:rPr>
          <w:rFonts w:ascii="Times New Roman" w:hAnsi="Times New Roman"/>
          <w:sz w:val="25"/>
        </w:rPr>
        <w:t xml:space="preserve">. In breve, il programma </w:t>
      </w:r>
      <w:proofErr w:type="spellStart"/>
      <w:r w:rsidRPr="007B50D1">
        <w:rPr>
          <w:rFonts w:ascii="Times New Roman" w:hAnsi="Times New Roman"/>
          <w:sz w:val="25"/>
        </w:rPr>
        <w:t>Compas</w:t>
      </w:r>
      <w:proofErr w:type="spellEnd"/>
      <w:r>
        <w:rPr>
          <w:rFonts w:ascii="Times New Roman" w:hAnsi="Times New Roman"/>
          <w:sz w:val="25"/>
        </w:rPr>
        <w:t xml:space="preserve"> (</w:t>
      </w:r>
      <w:r w:rsidRPr="00D46DBB">
        <w:rPr>
          <w:rFonts w:ascii="Times New Roman" w:hAnsi="Times New Roman"/>
          <w:sz w:val="25"/>
        </w:rPr>
        <w:t xml:space="preserve">acronimo di </w:t>
      </w:r>
      <w:proofErr w:type="spellStart"/>
      <w:r w:rsidRPr="00174B41">
        <w:rPr>
          <w:rFonts w:ascii="Times New Roman" w:hAnsi="Times New Roman"/>
          <w:i/>
          <w:sz w:val="25"/>
        </w:rPr>
        <w:t>Correctional</w:t>
      </w:r>
      <w:proofErr w:type="spellEnd"/>
      <w:r w:rsidRPr="00174B41">
        <w:rPr>
          <w:rFonts w:ascii="Times New Roman" w:hAnsi="Times New Roman"/>
          <w:i/>
          <w:sz w:val="25"/>
        </w:rPr>
        <w:t xml:space="preserve"> offender management </w:t>
      </w:r>
      <w:proofErr w:type="spellStart"/>
      <w:r w:rsidRPr="00174B41">
        <w:rPr>
          <w:rFonts w:ascii="Times New Roman" w:hAnsi="Times New Roman"/>
          <w:i/>
          <w:sz w:val="25"/>
        </w:rPr>
        <w:t>profiling</w:t>
      </w:r>
      <w:proofErr w:type="spellEnd"/>
      <w:r w:rsidRPr="00174B41">
        <w:rPr>
          <w:rFonts w:ascii="Times New Roman" w:hAnsi="Times New Roman"/>
          <w:i/>
          <w:sz w:val="25"/>
        </w:rPr>
        <w:t xml:space="preserve"> for alternative </w:t>
      </w:r>
      <w:proofErr w:type="spellStart"/>
      <w:r w:rsidRPr="00174B41">
        <w:rPr>
          <w:rFonts w:ascii="Times New Roman" w:hAnsi="Times New Roman"/>
          <w:i/>
          <w:sz w:val="25"/>
        </w:rPr>
        <w:t>sanctions</w:t>
      </w:r>
      <w:proofErr w:type="spellEnd"/>
      <w:r>
        <w:rPr>
          <w:rFonts w:ascii="Times New Roman" w:hAnsi="Times New Roman"/>
          <w:sz w:val="25"/>
        </w:rPr>
        <w:t>)</w:t>
      </w:r>
      <w:r w:rsidRPr="00D46DBB">
        <w:rPr>
          <w:rFonts w:ascii="Times New Roman" w:hAnsi="Times New Roman"/>
          <w:sz w:val="25"/>
        </w:rPr>
        <w:t xml:space="preserve"> </w:t>
      </w:r>
      <w:r>
        <w:rPr>
          <w:rFonts w:ascii="Times New Roman" w:hAnsi="Times New Roman"/>
          <w:sz w:val="25"/>
        </w:rPr>
        <w:t xml:space="preserve">è stato </w:t>
      </w:r>
      <w:r w:rsidRPr="007B50D1">
        <w:rPr>
          <w:rFonts w:ascii="Times New Roman" w:hAnsi="Times New Roman"/>
          <w:sz w:val="25"/>
        </w:rPr>
        <w:t>concepito per prevedere il rischio di recidiva</w:t>
      </w:r>
      <w:r w:rsidRPr="00D46DBB">
        <w:rPr>
          <w:rFonts w:ascii="Times New Roman" w:hAnsi="Times New Roman"/>
          <w:sz w:val="25"/>
        </w:rPr>
        <w:t>. Funziona attraverso un algoritmo</w:t>
      </w:r>
      <w:r>
        <w:rPr>
          <w:rFonts w:ascii="Times New Roman" w:hAnsi="Times New Roman"/>
          <w:sz w:val="25"/>
        </w:rPr>
        <w:t xml:space="preserve"> predittivo</w:t>
      </w:r>
      <w:r w:rsidRPr="00D46DBB">
        <w:rPr>
          <w:rFonts w:ascii="Times New Roman" w:hAnsi="Times New Roman"/>
          <w:sz w:val="25"/>
        </w:rPr>
        <w:t>, coperto da brevetto, che prende in considerazione alcune risposte date a un questionario di 137 domande.</w:t>
      </w:r>
      <w:r>
        <w:rPr>
          <w:rFonts w:ascii="Times New Roman" w:hAnsi="Times New Roman"/>
          <w:sz w:val="25"/>
        </w:rPr>
        <w:t xml:space="preserve"> </w:t>
      </w:r>
      <w:r w:rsidRPr="007B50D1">
        <w:rPr>
          <w:rFonts w:ascii="Times New Roman" w:hAnsi="Times New Roman"/>
          <w:sz w:val="25"/>
        </w:rPr>
        <w:t xml:space="preserve">L’algoritmo elabora i dati ottenuti dal fascicolo dell’imputato e dalle risposte fornite nel colloquio con lo stesso. </w:t>
      </w:r>
      <w:r>
        <w:rPr>
          <w:rFonts w:ascii="Times New Roman" w:hAnsi="Times New Roman"/>
          <w:sz w:val="25"/>
        </w:rPr>
        <w:t xml:space="preserve">Compas poi assegna i </w:t>
      </w:r>
      <w:r w:rsidRPr="007B50D1">
        <w:rPr>
          <w:rFonts w:ascii="Times New Roman" w:hAnsi="Times New Roman"/>
          <w:sz w:val="25"/>
        </w:rPr>
        <w:t>punteggi</w:t>
      </w:r>
      <w:r>
        <w:rPr>
          <w:rFonts w:ascii="Times New Roman" w:hAnsi="Times New Roman"/>
          <w:sz w:val="25"/>
        </w:rPr>
        <w:t>, su scala, dai quali evidenziare la probabilità della commissione di nuovi reati</w:t>
      </w:r>
      <w:r>
        <w:rPr>
          <w:rStyle w:val="Rimandonotaapidipagina"/>
          <w:rFonts w:ascii="Times New Roman" w:hAnsi="Times New Roman"/>
          <w:sz w:val="25"/>
        </w:rPr>
        <w:footnoteReference w:id="32"/>
      </w:r>
      <w:r w:rsidRPr="007B50D1">
        <w:rPr>
          <w:rFonts w:ascii="Times New Roman" w:hAnsi="Times New Roman"/>
          <w:sz w:val="25"/>
        </w:rPr>
        <w:t>.</w:t>
      </w:r>
      <w:r>
        <w:rPr>
          <w:rFonts w:ascii="Times New Roman" w:hAnsi="Times New Roman"/>
          <w:sz w:val="25"/>
        </w:rPr>
        <w:t xml:space="preserve"> Come si evince dai resoconti</w:t>
      </w:r>
      <w:r>
        <w:rPr>
          <w:rStyle w:val="Rimandonotaapidipagina"/>
          <w:rFonts w:ascii="Times New Roman" w:hAnsi="Times New Roman"/>
          <w:sz w:val="25"/>
        </w:rPr>
        <w:footnoteReference w:id="33"/>
      </w:r>
      <w:r>
        <w:rPr>
          <w:rFonts w:ascii="Times New Roman" w:hAnsi="Times New Roman"/>
          <w:sz w:val="25"/>
        </w:rPr>
        <w:t>, n</w:t>
      </w:r>
      <w:r w:rsidRPr="0073783A">
        <w:rPr>
          <w:rFonts w:ascii="Times New Roman" w:hAnsi="Times New Roman"/>
          <w:sz w:val="25"/>
        </w:rPr>
        <w:t xml:space="preserve">el febbraio del 2013 Eric </w:t>
      </w:r>
      <w:proofErr w:type="spellStart"/>
      <w:r w:rsidRPr="0073783A">
        <w:rPr>
          <w:rFonts w:ascii="Times New Roman" w:hAnsi="Times New Roman"/>
          <w:sz w:val="25"/>
        </w:rPr>
        <w:t>Loomis</w:t>
      </w:r>
      <w:proofErr w:type="spellEnd"/>
      <w:r>
        <w:rPr>
          <w:rFonts w:ascii="Times New Roman" w:hAnsi="Times New Roman"/>
          <w:sz w:val="25"/>
        </w:rPr>
        <w:t>,</w:t>
      </w:r>
      <w:r w:rsidRPr="0073783A">
        <w:rPr>
          <w:rFonts w:ascii="Times New Roman" w:hAnsi="Times New Roman"/>
          <w:sz w:val="25"/>
        </w:rPr>
        <w:t xml:space="preserve"> mentre guidava un’automobile usata durante una sparatoria nel Wisconsin</w:t>
      </w:r>
      <w:r>
        <w:rPr>
          <w:rFonts w:ascii="Times New Roman" w:hAnsi="Times New Roman"/>
          <w:sz w:val="25"/>
        </w:rPr>
        <w:t xml:space="preserve">, veniva </w:t>
      </w:r>
      <w:r w:rsidRPr="0073783A">
        <w:rPr>
          <w:rFonts w:ascii="Times New Roman" w:hAnsi="Times New Roman"/>
          <w:sz w:val="25"/>
        </w:rPr>
        <w:t>arrestato con l’accusa di non essersi fermato al controllo della polizia</w:t>
      </w:r>
      <w:r>
        <w:rPr>
          <w:rFonts w:ascii="Times New Roman" w:hAnsi="Times New Roman"/>
          <w:sz w:val="25"/>
        </w:rPr>
        <w:t xml:space="preserve">. A seguito di contestazione di vari capi di imputazione, tutti in recidiva, il </w:t>
      </w:r>
      <w:r w:rsidRPr="0073783A">
        <w:rPr>
          <w:rFonts w:ascii="Times New Roman" w:hAnsi="Times New Roman"/>
          <w:sz w:val="25"/>
        </w:rPr>
        <w:t>giudice che ha stabilito la pena non si è basato solo sulla fedina penale, ma anche sul punteggio assegnato all’imputato da Compas</w:t>
      </w:r>
      <w:r>
        <w:rPr>
          <w:rFonts w:ascii="Times New Roman" w:hAnsi="Times New Roman"/>
          <w:sz w:val="25"/>
        </w:rPr>
        <w:t xml:space="preserve"> che aveva individuato in </w:t>
      </w:r>
      <w:proofErr w:type="spellStart"/>
      <w:r>
        <w:rPr>
          <w:rFonts w:ascii="Times New Roman" w:hAnsi="Times New Roman"/>
          <w:sz w:val="25"/>
        </w:rPr>
        <w:t>Loomis</w:t>
      </w:r>
      <w:proofErr w:type="spellEnd"/>
      <w:r>
        <w:rPr>
          <w:rFonts w:ascii="Times New Roman" w:hAnsi="Times New Roman"/>
          <w:sz w:val="25"/>
        </w:rPr>
        <w:t xml:space="preserve">, che pure aveva ammesso i fatti contestati, un </w:t>
      </w:r>
      <w:r w:rsidRPr="008E713F">
        <w:rPr>
          <w:rFonts w:ascii="Times New Roman" w:hAnsi="Times New Roman"/>
          <w:sz w:val="25"/>
        </w:rPr>
        <w:t>soggetto ad alto rischio di recidiva.</w:t>
      </w:r>
      <w:r>
        <w:rPr>
          <w:rFonts w:ascii="Times New Roman" w:hAnsi="Times New Roman"/>
          <w:sz w:val="25"/>
        </w:rPr>
        <w:t xml:space="preserve"> Quest’ultimo, per la prima volta negli USA e forse nella storia, si è opposto alla sentenza emessa anche sulla base di un algoritmo predittivo, fondato su un questionario di 137 domande potenzialmente discriminatorie specie per persone provenienti da certe aree urbane o appartenenti a minoranze. La questione è giunta sino alla Corte suprema del </w:t>
      </w:r>
      <w:r w:rsidRPr="0073783A">
        <w:rPr>
          <w:rFonts w:ascii="Times New Roman" w:hAnsi="Times New Roman"/>
          <w:sz w:val="25"/>
        </w:rPr>
        <w:t>Wisconsin</w:t>
      </w:r>
      <w:r>
        <w:rPr>
          <w:rFonts w:ascii="Times New Roman" w:hAnsi="Times New Roman"/>
          <w:sz w:val="25"/>
        </w:rPr>
        <w:t xml:space="preserve">, dinanzi alla quale è stata denunciata la violazione del diritto ad ottenere un processo equo e non discriminatorio del diritto umano. La Corte ha riconosciuto la legittimità dell’uso del sistema Compas perché la scelta della sanzione, alla fine, è sempre rimessa nelle mani del giudice, non della macchina che funge da mero strumento di ausilio, si suppone disinteressato ed oggettivo, alla decisione dell’essere umano. </w:t>
      </w:r>
    </w:p>
    <w:p w:rsidR="00F10E2B"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In realtà, la fiducia nel sistema giudiziario, più che in quello dell’apparato amministrativo, può valere sino ad un certo punto. Il modo in cui la conoscenza viene rappresentata dall’uomo alla macchina ha una influenza rilevante sulle decisioni ed operazioni dell</w:t>
      </w:r>
      <w:r w:rsidR="003E7997">
        <w:rPr>
          <w:rFonts w:ascii="Times New Roman" w:hAnsi="Times New Roman"/>
          <w:sz w:val="25"/>
        </w:rPr>
        <w:t>’algoritmo, potendo la selezione</w:t>
      </w:r>
      <w:r>
        <w:rPr>
          <w:rFonts w:ascii="Times New Roman" w:hAnsi="Times New Roman"/>
          <w:sz w:val="25"/>
        </w:rPr>
        <w:t xml:space="preserve"> delle informazioni essere più o meno accurata ed oggettiva, più o meno imparziale piuttosto che libera o condizionata da valori individuali. Nel caso </w:t>
      </w:r>
      <w:proofErr w:type="spellStart"/>
      <w:r>
        <w:rPr>
          <w:rFonts w:ascii="Times New Roman" w:hAnsi="Times New Roman"/>
          <w:sz w:val="25"/>
        </w:rPr>
        <w:t>Loomis</w:t>
      </w:r>
      <w:proofErr w:type="spellEnd"/>
      <w:r>
        <w:rPr>
          <w:rFonts w:ascii="Times New Roman" w:hAnsi="Times New Roman"/>
          <w:sz w:val="25"/>
        </w:rPr>
        <w:t xml:space="preserve">, la difesa dell’imputato era convinta che l’algoritmo, mai reso trasparente, </w:t>
      </w:r>
      <w:r w:rsidR="00F10E2B">
        <w:rPr>
          <w:rFonts w:ascii="Times New Roman" w:hAnsi="Times New Roman"/>
          <w:sz w:val="25"/>
        </w:rPr>
        <w:t>era</w:t>
      </w:r>
      <w:r>
        <w:rPr>
          <w:rFonts w:ascii="Times New Roman" w:hAnsi="Times New Roman"/>
          <w:sz w:val="25"/>
        </w:rPr>
        <w:t xml:space="preserve"> stato programmato </w:t>
      </w:r>
      <w:r w:rsidR="00F10E2B">
        <w:rPr>
          <w:rFonts w:ascii="Times New Roman" w:hAnsi="Times New Roman"/>
          <w:sz w:val="25"/>
        </w:rPr>
        <w:t xml:space="preserve">(o poteva esserlo) </w:t>
      </w:r>
      <w:r>
        <w:rPr>
          <w:rFonts w:ascii="Times New Roman" w:hAnsi="Times New Roman"/>
          <w:sz w:val="25"/>
        </w:rPr>
        <w:t>sulla base di conoscenze ed esperienze (vita familiare; pregresse condotte; razza di provenienza; etc.) in grado di condizionare il giudizio sulla persona, alterandolo rispetto all’ipotesi contraria di valutazione posta in essere senza l’uso della macchina.</w:t>
      </w:r>
      <w:r w:rsidR="007B03C5">
        <w:rPr>
          <w:rFonts w:ascii="Times New Roman" w:hAnsi="Times New Roman"/>
          <w:sz w:val="25"/>
        </w:rPr>
        <w:t xml:space="preserve"> </w:t>
      </w:r>
    </w:p>
    <w:p w:rsidR="00A9068B" w:rsidRDefault="007B03C5" w:rsidP="00E05355">
      <w:pPr>
        <w:spacing w:after="0" w:line="240" w:lineRule="auto"/>
        <w:ind w:left="1134" w:right="1418" w:firstLine="426"/>
        <w:jc w:val="both"/>
        <w:rPr>
          <w:rFonts w:ascii="Times New Roman" w:hAnsi="Times New Roman"/>
          <w:sz w:val="25"/>
        </w:rPr>
      </w:pPr>
      <w:r>
        <w:rPr>
          <w:rFonts w:ascii="Times New Roman" w:hAnsi="Times New Roman"/>
          <w:sz w:val="25"/>
        </w:rPr>
        <w:t>La Corte</w:t>
      </w:r>
      <w:r w:rsidR="00F10E2B">
        <w:rPr>
          <w:rFonts w:ascii="Times New Roman" w:hAnsi="Times New Roman"/>
          <w:sz w:val="25"/>
        </w:rPr>
        <w:t xml:space="preserve"> suprema</w:t>
      </w:r>
      <w:r>
        <w:rPr>
          <w:rFonts w:ascii="Times New Roman" w:hAnsi="Times New Roman"/>
          <w:sz w:val="25"/>
        </w:rPr>
        <w:t xml:space="preserve">, facendo leva sull’onnipotenza e saggezza di quel sistema giudiziario, ha respinto l’argomento senza neppure accertare il codice sorgente. </w:t>
      </w:r>
    </w:p>
    <w:p w:rsidR="00A9068B" w:rsidRDefault="007B03C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In questo senso, nella fattispecie, il nostro giudice amministrativo si mostra </w:t>
      </w:r>
      <w:r w:rsidR="004F259A">
        <w:rPr>
          <w:rFonts w:ascii="Times New Roman" w:hAnsi="Times New Roman"/>
          <w:sz w:val="25"/>
        </w:rPr>
        <w:t xml:space="preserve">a prima vista </w:t>
      </w:r>
      <w:r>
        <w:rPr>
          <w:rFonts w:ascii="Times New Roman" w:hAnsi="Times New Roman"/>
          <w:sz w:val="25"/>
        </w:rPr>
        <w:t>più garantista, facendo prevalere sulle ragioni dell’impresa privata quelle del cittadino</w:t>
      </w:r>
      <w:r w:rsidR="004F259A">
        <w:rPr>
          <w:rFonts w:ascii="Times New Roman" w:hAnsi="Times New Roman"/>
          <w:sz w:val="25"/>
        </w:rPr>
        <w:t>, in nome della trasparenza amministrativa che</w:t>
      </w:r>
      <w:r w:rsidR="003E7997">
        <w:rPr>
          <w:rFonts w:ascii="Times New Roman" w:hAnsi="Times New Roman"/>
          <w:sz w:val="25"/>
        </w:rPr>
        <w:t>, secondo la nostra giurisprudenza,</w:t>
      </w:r>
      <w:r w:rsidR="004F259A">
        <w:rPr>
          <w:rFonts w:ascii="Times New Roman" w:hAnsi="Times New Roman"/>
          <w:sz w:val="25"/>
        </w:rPr>
        <w:t xml:space="preserve"> deve prevalere </w:t>
      </w:r>
      <w:r w:rsidR="003E7997">
        <w:rPr>
          <w:rFonts w:ascii="Times New Roman" w:hAnsi="Times New Roman"/>
          <w:sz w:val="25"/>
        </w:rPr>
        <w:t>di regola</w:t>
      </w:r>
      <w:r w:rsidR="004F259A">
        <w:rPr>
          <w:rFonts w:ascii="Times New Roman" w:hAnsi="Times New Roman"/>
          <w:sz w:val="25"/>
        </w:rPr>
        <w:t xml:space="preserve"> sulla opacità del sistema</w:t>
      </w:r>
      <w:r w:rsidR="003E7997">
        <w:rPr>
          <w:rFonts w:ascii="Times New Roman" w:hAnsi="Times New Roman"/>
          <w:sz w:val="25"/>
        </w:rPr>
        <w:t>, a maggior ragione se</w:t>
      </w:r>
      <w:r w:rsidR="004F259A">
        <w:rPr>
          <w:rFonts w:ascii="Times New Roman" w:hAnsi="Times New Roman"/>
          <w:sz w:val="25"/>
        </w:rPr>
        <w:t xml:space="preserve"> informatico</w:t>
      </w:r>
      <w:r>
        <w:rPr>
          <w:rFonts w:ascii="Times New Roman" w:hAnsi="Times New Roman"/>
          <w:sz w:val="25"/>
        </w:rPr>
        <w:t>.</w:t>
      </w:r>
      <w:r w:rsidR="00E14FCC">
        <w:rPr>
          <w:rFonts w:ascii="Times New Roman" w:hAnsi="Times New Roman"/>
          <w:sz w:val="25"/>
        </w:rPr>
        <w:t xml:space="preserve"> </w:t>
      </w:r>
    </w:p>
    <w:p w:rsidR="00F07D82" w:rsidRDefault="008E3E01" w:rsidP="00E05355">
      <w:pPr>
        <w:spacing w:after="0" w:line="240" w:lineRule="auto"/>
        <w:ind w:left="1134" w:right="1418" w:firstLine="426"/>
        <w:jc w:val="both"/>
        <w:rPr>
          <w:rFonts w:ascii="Times New Roman" w:hAnsi="Times New Roman"/>
          <w:sz w:val="25"/>
        </w:rPr>
      </w:pPr>
      <w:r>
        <w:rPr>
          <w:rFonts w:ascii="Times New Roman" w:hAnsi="Times New Roman"/>
          <w:sz w:val="25"/>
        </w:rPr>
        <w:t>La diversa impostazione</w:t>
      </w:r>
      <w:r w:rsidR="003E7997">
        <w:rPr>
          <w:rFonts w:ascii="Times New Roman" w:hAnsi="Times New Roman"/>
          <w:sz w:val="25"/>
        </w:rPr>
        <w:t xml:space="preserve"> tra la Corte americana e le nostre</w:t>
      </w:r>
      <w:r>
        <w:rPr>
          <w:rFonts w:ascii="Times New Roman" w:hAnsi="Times New Roman"/>
          <w:sz w:val="25"/>
        </w:rPr>
        <w:t xml:space="preserve">, </w:t>
      </w:r>
      <w:r w:rsidR="00E14FCC">
        <w:rPr>
          <w:rFonts w:ascii="Times New Roman" w:hAnsi="Times New Roman"/>
          <w:sz w:val="25"/>
        </w:rPr>
        <w:t>peraltro</w:t>
      </w:r>
      <w:r>
        <w:rPr>
          <w:rFonts w:ascii="Times New Roman" w:hAnsi="Times New Roman"/>
          <w:sz w:val="25"/>
        </w:rPr>
        <w:t>,</w:t>
      </w:r>
      <w:r w:rsidR="00E14FCC">
        <w:rPr>
          <w:rFonts w:ascii="Times New Roman" w:hAnsi="Times New Roman"/>
          <w:sz w:val="25"/>
        </w:rPr>
        <w:t xml:space="preserve"> </w:t>
      </w:r>
      <w:r>
        <w:rPr>
          <w:rFonts w:ascii="Times New Roman" w:hAnsi="Times New Roman"/>
          <w:sz w:val="25"/>
        </w:rPr>
        <w:t xml:space="preserve">risente anche del differente </w:t>
      </w:r>
      <w:r w:rsidR="004F259A">
        <w:rPr>
          <w:rFonts w:ascii="Times New Roman" w:hAnsi="Times New Roman"/>
          <w:sz w:val="25"/>
        </w:rPr>
        <w:t>modo di intendere, almeno nel settore tecnologico, il concetto giuridico di trasparenza, sul quale una più attenta riflessione si impone in futuro</w:t>
      </w:r>
      <w:r w:rsidR="00504FD9">
        <w:rPr>
          <w:rFonts w:ascii="Times New Roman" w:hAnsi="Times New Roman"/>
          <w:sz w:val="25"/>
        </w:rPr>
        <w:t xml:space="preserve">, al pari della complessiva relazione tra giudice e </w:t>
      </w:r>
      <w:proofErr w:type="gramStart"/>
      <w:r w:rsidR="00504FD9">
        <w:rPr>
          <w:rFonts w:ascii="Times New Roman" w:hAnsi="Times New Roman"/>
          <w:sz w:val="25"/>
        </w:rPr>
        <w:t>p.a.</w:t>
      </w:r>
      <w:r w:rsidR="00504FD9">
        <w:rPr>
          <w:rStyle w:val="Rimandonotaapidipagina"/>
          <w:rFonts w:ascii="Times New Roman" w:hAnsi="Times New Roman"/>
          <w:sz w:val="25"/>
        </w:rPr>
        <w:footnoteReference w:id="34"/>
      </w:r>
      <w:r w:rsidR="00F07D82">
        <w:rPr>
          <w:rFonts w:ascii="Times New Roman" w:hAnsi="Times New Roman"/>
          <w:sz w:val="25"/>
        </w:rPr>
        <w:t>.</w:t>
      </w:r>
      <w:proofErr w:type="gramEnd"/>
      <w:r w:rsidR="004F259A">
        <w:rPr>
          <w:rFonts w:ascii="Times New Roman" w:hAnsi="Times New Roman"/>
          <w:sz w:val="25"/>
        </w:rPr>
        <w:t xml:space="preserve"> </w:t>
      </w:r>
    </w:p>
    <w:p w:rsidR="00E05355" w:rsidRDefault="004F259A"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Secondo una tesi, </w:t>
      </w:r>
      <w:r w:rsidR="00F07D82">
        <w:rPr>
          <w:rFonts w:ascii="Times New Roman" w:hAnsi="Times New Roman"/>
          <w:sz w:val="25"/>
        </w:rPr>
        <w:t>ad esempio</w:t>
      </w:r>
      <w:r>
        <w:rPr>
          <w:rFonts w:ascii="Times New Roman" w:hAnsi="Times New Roman"/>
          <w:sz w:val="25"/>
        </w:rPr>
        <w:t>, nell’ambito delle ICT, ove si assiste ad un sistema multi-agente in cui gli attori in capo sono molti (lo Stato, le imprese multinazionali, le istituzionali sovranazionali, il mercato, i cittadini) si dovrebbe passare ad una concezione innovativa della trasparenza</w:t>
      </w:r>
      <w:r w:rsidR="00A9068B">
        <w:rPr>
          <w:rFonts w:ascii="Times New Roman" w:hAnsi="Times New Roman"/>
          <w:sz w:val="25"/>
        </w:rPr>
        <w:t>. Una tecnologia è tanto più “trasparente” quanto è “</w:t>
      </w:r>
      <w:r w:rsidR="003E7997">
        <w:rPr>
          <w:rFonts w:ascii="Times New Roman" w:hAnsi="Times New Roman"/>
          <w:sz w:val="25"/>
        </w:rPr>
        <w:t xml:space="preserve">più </w:t>
      </w:r>
      <w:r w:rsidR="00A9068B">
        <w:rPr>
          <w:rFonts w:ascii="Times New Roman" w:hAnsi="Times New Roman"/>
          <w:sz w:val="25"/>
        </w:rPr>
        <w:t>invisibile”, cioè idonea a svolgere in modo efficace ed affidabile, ma impercettibile, i compiti ad essa affidati dall’essere umano.  Deve cioè funzionare al meglio, non essere resa necessariamente conoscibile a terze parti in tutti i suoi elementi tecnici e ciò per evitare conflitti esasperati tra</w:t>
      </w:r>
      <w:r w:rsidR="00624590">
        <w:rPr>
          <w:rFonts w:ascii="Times New Roman" w:hAnsi="Times New Roman"/>
          <w:sz w:val="25"/>
        </w:rPr>
        <w:t xml:space="preserve"> lo</w:t>
      </w:r>
      <w:r w:rsidR="00A9068B">
        <w:rPr>
          <w:rFonts w:ascii="Times New Roman" w:hAnsi="Times New Roman"/>
          <w:sz w:val="25"/>
        </w:rPr>
        <w:t xml:space="preserve"> Stato e </w:t>
      </w:r>
      <w:r w:rsidR="00624590">
        <w:rPr>
          <w:rFonts w:ascii="Times New Roman" w:hAnsi="Times New Roman"/>
          <w:sz w:val="25"/>
        </w:rPr>
        <w:t>l’</w:t>
      </w:r>
      <w:r w:rsidR="00A9068B">
        <w:rPr>
          <w:rFonts w:ascii="Times New Roman" w:hAnsi="Times New Roman"/>
          <w:sz w:val="25"/>
        </w:rPr>
        <w:t xml:space="preserve">impresa che progetta e fornisce gli algoritmi. Si tratta, in altri termini, di declinare in forma diversa alcune categorie dell’interesse </w:t>
      </w:r>
      <w:r w:rsidR="006D0C8F">
        <w:rPr>
          <w:rFonts w:ascii="Times New Roman" w:hAnsi="Times New Roman"/>
          <w:sz w:val="25"/>
        </w:rPr>
        <w:t>(</w:t>
      </w:r>
      <w:r w:rsidR="00A9068B">
        <w:rPr>
          <w:rFonts w:ascii="Times New Roman" w:hAnsi="Times New Roman"/>
          <w:sz w:val="25"/>
        </w:rPr>
        <w:t>pubblico</w:t>
      </w:r>
      <w:r w:rsidR="006D0C8F">
        <w:rPr>
          <w:rFonts w:ascii="Times New Roman" w:hAnsi="Times New Roman"/>
          <w:sz w:val="25"/>
        </w:rPr>
        <w:t xml:space="preserve"> e privato)</w:t>
      </w:r>
      <w:r w:rsidR="00A9068B">
        <w:rPr>
          <w:rFonts w:ascii="Times New Roman" w:hAnsi="Times New Roman"/>
          <w:sz w:val="25"/>
        </w:rPr>
        <w:t>, la cui cura deve passare da uno Stato multi-agente che utilizza tecnologie sicure, scevre da pregiudizi di partenza ed affidabili tecnicamente, nel rispetto di tutti i valori di cui sono espressione i vari agenti convolti nel sistema</w:t>
      </w:r>
      <w:r w:rsidR="006D0C8F">
        <w:rPr>
          <w:rStyle w:val="Rimandonotaapidipagina"/>
          <w:rFonts w:ascii="Times New Roman" w:hAnsi="Times New Roman"/>
          <w:sz w:val="25"/>
        </w:rPr>
        <w:footnoteReference w:id="35"/>
      </w:r>
      <w:r w:rsidR="00A9068B">
        <w:rPr>
          <w:rFonts w:ascii="Times New Roman" w:hAnsi="Times New Roman"/>
          <w:sz w:val="25"/>
        </w:rPr>
        <w:t>.</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10. Non sempre dietro la selezione delle informazioni alla macchina si nasconde un pregiudizio, evidentemente. Ad esempio,</w:t>
      </w:r>
      <w:r w:rsidR="003E7997">
        <w:rPr>
          <w:rFonts w:ascii="Times New Roman" w:hAnsi="Times New Roman"/>
          <w:sz w:val="25"/>
        </w:rPr>
        <w:t xml:space="preserve"> </w:t>
      </w:r>
      <w:r>
        <w:rPr>
          <w:rFonts w:ascii="Times New Roman" w:hAnsi="Times New Roman"/>
          <w:sz w:val="25"/>
        </w:rPr>
        <w:t>l’algoritmo della “</w:t>
      </w:r>
      <w:r w:rsidRPr="00800299">
        <w:rPr>
          <w:rFonts w:ascii="Times New Roman" w:hAnsi="Times New Roman"/>
          <w:i/>
          <w:sz w:val="25"/>
        </w:rPr>
        <w:t>buona scuola</w:t>
      </w:r>
      <w:r>
        <w:rPr>
          <w:rFonts w:ascii="Times New Roman" w:hAnsi="Times New Roman"/>
          <w:sz w:val="25"/>
        </w:rPr>
        <w:t xml:space="preserve">”, cassato dal giudice, non era </w:t>
      </w:r>
      <w:r w:rsidR="005836F7">
        <w:rPr>
          <w:rFonts w:ascii="Times New Roman" w:hAnsi="Times New Roman"/>
          <w:sz w:val="25"/>
        </w:rPr>
        <w:t>(ma non abbiamo la prova inconfutabile)</w:t>
      </w:r>
      <w:r>
        <w:rPr>
          <w:rFonts w:ascii="Times New Roman" w:hAnsi="Times New Roman"/>
          <w:sz w:val="25"/>
        </w:rPr>
        <w:t xml:space="preserve"> condizionato da pregiudizi sociali o politici, quanto </w:t>
      </w:r>
      <w:r w:rsidR="005836F7">
        <w:rPr>
          <w:rFonts w:ascii="Times New Roman" w:hAnsi="Times New Roman"/>
          <w:sz w:val="25"/>
        </w:rPr>
        <w:t xml:space="preserve">verosimilmente </w:t>
      </w:r>
      <w:r>
        <w:rPr>
          <w:rFonts w:ascii="Times New Roman" w:hAnsi="Times New Roman"/>
          <w:sz w:val="25"/>
        </w:rPr>
        <w:t xml:space="preserve">da errori nella rappresentazione della realtà, trasferita alla macchina dall’uomo. Una volta assegnato il posto del professore in base alle esigenze regionali, non aveva senso impedire correzioni </w:t>
      </w:r>
      <w:r w:rsidR="007B03C5">
        <w:rPr>
          <w:rFonts w:ascii="Times New Roman" w:hAnsi="Times New Roman"/>
          <w:sz w:val="25"/>
        </w:rPr>
        <w:t xml:space="preserve">-anche </w:t>
      </w:r>
      <w:r>
        <w:rPr>
          <w:rFonts w:ascii="Times New Roman" w:hAnsi="Times New Roman"/>
          <w:sz w:val="25"/>
        </w:rPr>
        <w:t>automatiche della sede</w:t>
      </w:r>
      <w:r w:rsidR="007B03C5">
        <w:rPr>
          <w:rFonts w:ascii="Times New Roman" w:hAnsi="Times New Roman"/>
          <w:sz w:val="25"/>
        </w:rPr>
        <w:t xml:space="preserve">- </w:t>
      </w:r>
      <w:r>
        <w:rPr>
          <w:rFonts w:ascii="Times New Roman" w:hAnsi="Times New Roman"/>
          <w:sz w:val="25"/>
        </w:rPr>
        <w:t xml:space="preserve"> legate all’anagraf</w:t>
      </w:r>
      <w:r w:rsidR="007B03C5">
        <w:rPr>
          <w:rFonts w:ascii="Times New Roman" w:hAnsi="Times New Roman"/>
          <w:sz w:val="25"/>
        </w:rPr>
        <w:t>e</w:t>
      </w:r>
      <w:r>
        <w:rPr>
          <w:rFonts w:ascii="Times New Roman" w:hAnsi="Times New Roman"/>
          <w:sz w:val="25"/>
        </w:rPr>
        <w:t xml:space="preserve"> o alla presenza di figli.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E’ sicuro, però, che i cd. </w:t>
      </w:r>
      <w:proofErr w:type="spellStart"/>
      <w:proofErr w:type="gramStart"/>
      <w:r w:rsidRPr="000C2CF5">
        <w:rPr>
          <w:rFonts w:ascii="Times New Roman" w:hAnsi="Times New Roman"/>
          <w:i/>
          <w:sz w:val="25"/>
        </w:rPr>
        <w:t>bias</w:t>
      </w:r>
      <w:proofErr w:type="spellEnd"/>
      <w:proofErr w:type="gramEnd"/>
      <w:r>
        <w:rPr>
          <w:rFonts w:ascii="Times New Roman" w:hAnsi="Times New Roman"/>
          <w:sz w:val="25"/>
        </w:rPr>
        <w:t xml:space="preserve"> cognitivi</w:t>
      </w:r>
      <w:r>
        <w:rPr>
          <w:rStyle w:val="Rimandonotaapidipagina"/>
          <w:rFonts w:ascii="Times New Roman" w:hAnsi="Times New Roman"/>
          <w:sz w:val="25"/>
        </w:rPr>
        <w:footnoteReference w:id="36"/>
      </w:r>
      <w:r>
        <w:rPr>
          <w:rFonts w:ascii="Times New Roman" w:hAnsi="Times New Roman"/>
          <w:sz w:val="25"/>
        </w:rPr>
        <w:t xml:space="preserve"> possono influenzare la macchina ed in una certa misura potrebbero essere ineliminabili ed anzi il fatto che essi esistano potrebbe rivelarsi la migliore garanzia  che l’intero procedimento resti nei confini dell’umano e non del virtuale.  Se non si trovano meccanismi idonei a conoscere in anticipo, se non a correggere, i </w:t>
      </w:r>
      <w:proofErr w:type="spellStart"/>
      <w:r w:rsidRPr="00A66FEB">
        <w:rPr>
          <w:rFonts w:ascii="Times New Roman" w:hAnsi="Times New Roman"/>
          <w:i/>
          <w:sz w:val="25"/>
        </w:rPr>
        <w:t>bias</w:t>
      </w:r>
      <w:proofErr w:type="spellEnd"/>
      <w:r>
        <w:rPr>
          <w:rFonts w:ascii="Times New Roman" w:hAnsi="Times New Roman"/>
          <w:sz w:val="25"/>
        </w:rPr>
        <w:t xml:space="preserve"> cognitivi, si rischia di pregiudicare sia l’interesse pubblico sia quello privato: si raggiunge, cioè, un obiettivo del tutto opposto rispetto a quello che intende promuovere l’uso delle ICT da parte della p.a. (efficienza, rapidità, contenimento dei costi, trasparenza, prevedibilità e neutralità della decisione).  </w:t>
      </w:r>
    </w:p>
    <w:p w:rsidR="00E05355"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 xml:space="preserve">Se la delega informatica contiene un </w:t>
      </w:r>
      <w:proofErr w:type="spellStart"/>
      <w:r w:rsidRPr="00776111">
        <w:rPr>
          <w:rFonts w:ascii="Times New Roman" w:hAnsi="Times New Roman"/>
          <w:i/>
          <w:sz w:val="25"/>
        </w:rPr>
        <w:t>bias</w:t>
      </w:r>
      <w:proofErr w:type="spellEnd"/>
      <w:r>
        <w:rPr>
          <w:rFonts w:ascii="Times New Roman" w:hAnsi="Times New Roman"/>
          <w:sz w:val="25"/>
        </w:rPr>
        <w:t xml:space="preserve"> cognitivo, cioè una base di conoscenze orientata e non oggettiva, che pesa sulla decisione finale in ragione dell’istruttoria condotta in virtù dell’algoritmo, l’intero provvedimento rischia di essere annullato dal giudice, se non altro, per violazione del principio di imparzialità. Lo sforzo, quindi deve essere concentrato sul modo di riconoscere gli errori (inevitabili) e per raggiungere questo obiettivo occorre sapere come e da chi sono stati selezionati i dati che rappresentano la base di conoscenza dell’algoritmo (l’</w:t>
      </w:r>
      <w:r w:rsidRPr="00802D1C">
        <w:rPr>
          <w:rFonts w:ascii="Times New Roman" w:hAnsi="Times New Roman"/>
          <w:i/>
          <w:sz w:val="25"/>
        </w:rPr>
        <w:t>input</w:t>
      </w:r>
      <w:r>
        <w:rPr>
          <w:rFonts w:ascii="Times New Roman" w:hAnsi="Times New Roman"/>
          <w:sz w:val="25"/>
        </w:rPr>
        <w:t xml:space="preserve">). In definitiva, è dirimente conoscere la logica del funzionamento dell’istruttoria algoritmica che, se resta opaca, non permette di rilevare il </w:t>
      </w:r>
      <w:proofErr w:type="spellStart"/>
      <w:r w:rsidRPr="00776111">
        <w:rPr>
          <w:rFonts w:ascii="Times New Roman" w:hAnsi="Times New Roman"/>
          <w:i/>
          <w:sz w:val="25"/>
        </w:rPr>
        <w:t>bias</w:t>
      </w:r>
      <w:proofErr w:type="spellEnd"/>
      <w:r>
        <w:rPr>
          <w:rFonts w:ascii="Times New Roman" w:hAnsi="Times New Roman"/>
          <w:sz w:val="25"/>
        </w:rPr>
        <w:t xml:space="preserve"> e di contestare se del caso la decisione finale. </w:t>
      </w:r>
    </w:p>
    <w:p w:rsidR="006D0C8F" w:rsidRDefault="00E05355" w:rsidP="00E05355">
      <w:pPr>
        <w:spacing w:after="0" w:line="240" w:lineRule="auto"/>
        <w:ind w:left="1134" w:right="1418" w:firstLine="426"/>
        <w:jc w:val="both"/>
        <w:rPr>
          <w:rFonts w:ascii="Times New Roman" w:hAnsi="Times New Roman"/>
          <w:sz w:val="25"/>
        </w:rPr>
      </w:pPr>
      <w:r>
        <w:rPr>
          <w:rFonts w:ascii="Times New Roman" w:hAnsi="Times New Roman"/>
          <w:sz w:val="25"/>
        </w:rPr>
        <w:t>11.</w:t>
      </w:r>
      <w:r w:rsidR="006D0C8F">
        <w:rPr>
          <w:rFonts w:ascii="Times New Roman" w:hAnsi="Times New Roman"/>
          <w:sz w:val="25"/>
        </w:rPr>
        <w:t xml:space="preserve"> In chiusura, s</w:t>
      </w:r>
      <w:r w:rsidR="006D0C8F" w:rsidRPr="006D0C8F">
        <w:rPr>
          <w:rFonts w:ascii="Times New Roman" w:hAnsi="Times New Roman"/>
          <w:sz w:val="25"/>
        </w:rPr>
        <w:t xml:space="preserve">e, da un lato, il Consiglio di Stato ribadisce la natura servente dell’algoritmo per la p.a. (secondo il canone “la macchina per l’uomo, non viceversa”), dall’altro lato, pone le premesse per un esplicito superamento anche dei limiti di utilizzo dell’algoritmo e della stessa IA nei diversi ambiti dell’attività amministrativa. </w:t>
      </w:r>
    </w:p>
    <w:p w:rsidR="00E05355" w:rsidRDefault="006D0C8F" w:rsidP="00504FD9">
      <w:pPr>
        <w:spacing w:after="0" w:line="240" w:lineRule="auto"/>
        <w:ind w:left="1134" w:right="1418" w:firstLine="426"/>
        <w:jc w:val="both"/>
        <w:rPr>
          <w:rFonts w:ascii="Times New Roman" w:hAnsi="Times New Roman"/>
          <w:sz w:val="25"/>
        </w:rPr>
      </w:pPr>
      <w:r w:rsidRPr="006D0C8F">
        <w:rPr>
          <w:rFonts w:ascii="Times New Roman" w:hAnsi="Times New Roman"/>
          <w:sz w:val="25"/>
        </w:rPr>
        <w:t>In particolare, pare superato il più controverso dei limiti, rappresentato sino ad ora dalla discrezionalità amministrativa</w:t>
      </w:r>
      <w:r>
        <w:rPr>
          <w:rStyle w:val="Rimandonotaapidipagina"/>
          <w:rFonts w:ascii="Times New Roman" w:hAnsi="Times New Roman"/>
          <w:sz w:val="25"/>
        </w:rPr>
        <w:footnoteReference w:id="37"/>
      </w:r>
      <w:r w:rsidRPr="006D0C8F">
        <w:rPr>
          <w:rFonts w:ascii="Times New Roman" w:hAnsi="Times New Roman"/>
          <w:sz w:val="25"/>
        </w:rPr>
        <w:t>. Sul punto la sentenza stabilisce con chiarezza che “In disparte la stessa sostenibilità a monte dell'attualità di una tale distinzione, atteso che ogni attività autoritativa comporta una fase quantomeno di accertamento e di verifica della scelta ai fini attribuiti dalla legge, se il ricorso agli strumenti informatici può apparire di più semplice utilizzo in relazione alla c.d. attività vincolata, nulla vieta che i medesimi fini predetti, perseguiti con il ricorso all'algoritmo informatico, possano perseguirsi anche in relazione ad attività connotata da ambiti di discrezionalità…..Piuttosto, se nel caso dell'attività vincolata ben più rilevante, sia in termini quantitativi che qualitativi, potrà essere il ricorso a strumenti di automazione della raccolta e valutazione dei dati, anche l'esercizio di attività discrezionale, in specie tecnica, può in astratto beneficiare delle efficienze e, più in generale, dei vantaggi offerti dagli strumenti stessi”</w:t>
      </w:r>
      <w:r w:rsidR="00504FD9">
        <w:rPr>
          <w:rStyle w:val="Rimandonotaapidipagina"/>
          <w:rFonts w:ascii="Times New Roman" w:hAnsi="Times New Roman"/>
          <w:sz w:val="25"/>
        </w:rPr>
        <w:footnoteReference w:id="38"/>
      </w:r>
      <w:r w:rsidRPr="006D0C8F">
        <w:rPr>
          <w:rFonts w:ascii="Times New Roman" w:hAnsi="Times New Roman"/>
          <w:sz w:val="25"/>
        </w:rPr>
        <w:t>.</w:t>
      </w:r>
      <w:r w:rsidR="00B832F0">
        <w:rPr>
          <w:rFonts w:ascii="Times New Roman" w:hAnsi="Times New Roman"/>
          <w:sz w:val="25"/>
        </w:rPr>
        <w:t xml:space="preserve"> Ma ciò non implica il superamento del valore in sé della discrezionalità amministrativa, quanto di una diversa declinazione del problema</w:t>
      </w:r>
      <w:r w:rsidR="00B832F0">
        <w:rPr>
          <w:rStyle w:val="Rimandonotaapidipagina"/>
          <w:rFonts w:ascii="Times New Roman" w:hAnsi="Times New Roman"/>
          <w:sz w:val="25"/>
        </w:rPr>
        <w:footnoteReference w:id="39"/>
      </w:r>
      <w:r w:rsidR="00504FD9">
        <w:rPr>
          <w:rFonts w:ascii="Times New Roman" w:hAnsi="Times New Roman"/>
          <w:sz w:val="25"/>
        </w:rPr>
        <w:t xml:space="preserve">. </w:t>
      </w:r>
      <w:r w:rsidR="002D2741">
        <w:rPr>
          <w:rFonts w:ascii="Times New Roman" w:hAnsi="Times New Roman"/>
          <w:sz w:val="25"/>
        </w:rPr>
        <w:t xml:space="preserve">Il tema </w:t>
      </w:r>
      <w:r w:rsidR="00A96709">
        <w:rPr>
          <w:rFonts w:ascii="Times New Roman" w:hAnsi="Times New Roman"/>
          <w:sz w:val="25"/>
        </w:rPr>
        <w:t xml:space="preserve">del presente </w:t>
      </w:r>
      <w:r w:rsidR="002D2741">
        <w:rPr>
          <w:rFonts w:ascii="Times New Roman" w:hAnsi="Times New Roman"/>
          <w:sz w:val="25"/>
        </w:rPr>
        <w:t xml:space="preserve">è il </w:t>
      </w:r>
      <w:proofErr w:type="spellStart"/>
      <w:r w:rsidR="002D2741" w:rsidRPr="00D93182">
        <w:rPr>
          <w:rFonts w:ascii="Times New Roman" w:hAnsi="Times New Roman"/>
          <w:i/>
          <w:sz w:val="25"/>
        </w:rPr>
        <w:t>quomodo</w:t>
      </w:r>
      <w:proofErr w:type="spellEnd"/>
      <w:r w:rsidR="002D2741">
        <w:rPr>
          <w:rFonts w:ascii="Times New Roman" w:hAnsi="Times New Roman"/>
          <w:sz w:val="25"/>
        </w:rPr>
        <w:t xml:space="preserve">, non più </w:t>
      </w:r>
      <w:proofErr w:type="spellStart"/>
      <w:r w:rsidR="002D2741">
        <w:rPr>
          <w:rFonts w:ascii="Times New Roman" w:hAnsi="Times New Roman"/>
          <w:sz w:val="25"/>
        </w:rPr>
        <w:t>l’</w:t>
      </w:r>
      <w:r w:rsidR="002D2741" w:rsidRPr="00D93182">
        <w:rPr>
          <w:rFonts w:ascii="Times New Roman" w:hAnsi="Times New Roman"/>
          <w:i/>
          <w:sz w:val="25"/>
        </w:rPr>
        <w:t>an</w:t>
      </w:r>
      <w:proofErr w:type="spellEnd"/>
      <w:r w:rsidR="002D2741">
        <w:rPr>
          <w:rFonts w:ascii="Times New Roman" w:hAnsi="Times New Roman"/>
          <w:sz w:val="25"/>
        </w:rPr>
        <w:t xml:space="preserve"> della decisione amministrativa robotizzata</w:t>
      </w:r>
      <w:r w:rsidR="00E05355">
        <w:rPr>
          <w:rFonts w:ascii="Times New Roman" w:hAnsi="Times New Roman"/>
          <w:sz w:val="25"/>
        </w:rPr>
        <w:t>.</w:t>
      </w:r>
      <w:r w:rsidR="00504FD9">
        <w:rPr>
          <w:rFonts w:ascii="Times New Roman" w:hAnsi="Times New Roman"/>
          <w:sz w:val="25"/>
        </w:rPr>
        <w:t xml:space="preserve"> </w:t>
      </w:r>
    </w:p>
    <w:p w:rsidR="00416A54" w:rsidRDefault="00416A54" w:rsidP="0016478A">
      <w:pPr>
        <w:spacing w:after="0" w:line="240" w:lineRule="auto"/>
        <w:ind w:left="1134" w:right="1418" w:firstLine="426"/>
        <w:jc w:val="right"/>
        <w:rPr>
          <w:rFonts w:ascii="Times New Roman" w:hAnsi="Times New Roman"/>
          <w:sz w:val="25"/>
        </w:rPr>
      </w:pPr>
    </w:p>
    <w:p w:rsidR="0016478A" w:rsidRPr="00416A54" w:rsidRDefault="0016478A" w:rsidP="0016478A">
      <w:pPr>
        <w:spacing w:after="0" w:line="240" w:lineRule="auto"/>
        <w:ind w:left="1134" w:right="1418" w:firstLine="426"/>
        <w:jc w:val="right"/>
        <w:rPr>
          <w:rFonts w:ascii="Times New Roman" w:hAnsi="Times New Roman"/>
          <w:b/>
          <w:sz w:val="25"/>
        </w:rPr>
      </w:pPr>
      <w:r w:rsidRPr="00416A54">
        <w:rPr>
          <w:rFonts w:ascii="Times New Roman" w:hAnsi="Times New Roman"/>
          <w:b/>
          <w:sz w:val="25"/>
        </w:rPr>
        <w:t>Giovanni Pesce</w:t>
      </w:r>
    </w:p>
    <w:p w:rsidR="00416A54" w:rsidRDefault="00416A54" w:rsidP="00416A54">
      <w:pPr>
        <w:spacing w:after="0" w:line="240" w:lineRule="auto"/>
        <w:ind w:left="1134" w:right="1418" w:firstLine="426"/>
        <w:jc w:val="both"/>
        <w:rPr>
          <w:rFonts w:ascii="Times New Roman" w:hAnsi="Times New Roman"/>
          <w:sz w:val="25"/>
        </w:rPr>
      </w:pPr>
    </w:p>
    <w:p w:rsidR="00416A54" w:rsidRDefault="00416A54" w:rsidP="00416A54">
      <w:pPr>
        <w:spacing w:after="0" w:line="240" w:lineRule="auto"/>
        <w:ind w:left="1134" w:right="1418" w:firstLine="426"/>
        <w:jc w:val="right"/>
        <w:rPr>
          <w:rFonts w:ascii="Times New Roman" w:hAnsi="Times New Roman"/>
          <w:sz w:val="25"/>
        </w:rPr>
      </w:pPr>
      <w:r w:rsidRPr="00416A54">
        <w:rPr>
          <w:rFonts w:ascii="Times New Roman" w:hAnsi="Times New Roman"/>
          <w:sz w:val="25"/>
        </w:rPr>
        <w:t xml:space="preserve">Professore </w:t>
      </w:r>
      <w:r w:rsidRPr="00416A54">
        <w:rPr>
          <w:rFonts w:ascii="Times New Roman" w:hAnsi="Times New Roman"/>
          <w:sz w:val="25"/>
        </w:rPr>
        <w:t>di diritto dell’amministrazione digitale presso l’Università Internazionale Telematica</w:t>
      </w:r>
    </w:p>
    <w:p w:rsidR="009A274F" w:rsidRDefault="009A274F" w:rsidP="0016478A">
      <w:pPr>
        <w:spacing w:after="0" w:line="240" w:lineRule="auto"/>
        <w:ind w:left="1134" w:right="1418" w:firstLine="426"/>
        <w:jc w:val="right"/>
        <w:rPr>
          <w:rFonts w:ascii="Times New Roman" w:hAnsi="Times New Roman"/>
          <w:sz w:val="25"/>
        </w:rPr>
      </w:pPr>
    </w:p>
    <w:p w:rsidR="00416A54" w:rsidRDefault="00D11519" w:rsidP="0016478A">
      <w:pPr>
        <w:spacing w:after="0" w:line="240" w:lineRule="auto"/>
        <w:ind w:left="1134" w:right="1418" w:firstLine="426"/>
        <w:jc w:val="right"/>
        <w:rPr>
          <w:rFonts w:ascii="Times New Roman" w:hAnsi="Times New Roman"/>
          <w:sz w:val="25"/>
        </w:rPr>
      </w:pPr>
      <w:r>
        <w:rPr>
          <w:rFonts w:ascii="Times New Roman" w:hAnsi="Times New Roman"/>
          <w:sz w:val="25"/>
        </w:rPr>
        <w:t>Pubblicato</w:t>
      </w:r>
      <w:r w:rsidR="00416A54">
        <w:rPr>
          <w:rFonts w:ascii="Times New Roman" w:hAnsi="Times New Roman"/>
          <w:sz w:val="25"/>
        </w:rPr>
        <w:t xml:space="preserve"> il 1</w:t>
      </w:r>
      <w:r>
        <w:rPr>
          <w:rFonts w:ascii="Times New Roman" w:hAnsi="Times New Roman"/>
          <w:sz w:val="25"/>
        </w:rPr>
        <w:t>6 gennaio 2020</w:t>
      </w:r>
    </w:p>
    <w:p w:rsidR="00F848AD" w:rsidRDefault="00D11519"/>
    <w:sectPr w:rsidR="00F848AD" w:rsidSect="00B832F0">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C2" w:rsidRDefault="001C74C2" w:rsidP="00A41343">
      <w:pPr>
        <w:spacing w:after="0" w:line="240" w:lineRule="auto"/>
      </w:pPr>
      <w:r>
        <w:separator/>
      </w:r>
    </w:p>
  </w:endnote>
  <w:endnote w:type="continuationSeparator" w:id="0">
    <w:p w:rsidR="001C74C2" w:rsidRDefault="001C74C2" w:rsidP="00A4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C2" w:rsidRDefault="001C74C2" w:rsidP="00A41343">
      <w:pPr>
        <w:spacing w:after="0" w:line="240" w:lineRule="auto"/>
      </w:pPr>
      <w:r>
        <w:separator/>
      </w:r>
    </w:p>
  </w:footnote>
  <w:footnote w:type="continuationSeparator" w:id="0">
    <w:p w:rsidR="001C74C2" w:rsidRDefault="001C74C2" w:rsidP="00A41343">
      <w:pPr>
        <w:spacing w:after="0" w:line="240" w:lineRule="auto"/>
      </w:pPr>
      <w:r>
        <w:continuationSeparator/>
      </w:r>
    </w:p>
  </w:footnote>
  <w:footnote w:id="1">
    <w:p w:rsidR="00E05355" w:rsidRDefault="00E05355" w:rsidP="001F7067">
      <w:pPr>
        <w:pStyle w:val="Testonotaapidipagina"/>
        <w:ind w:left="1134" w:right="1418"/>
        <w:jc w:val="both"/>
      </w:pPr>
      <w:r>
        <w:rPr>
          <w:rStyle w:val="Rimandonotaapidipagina"/>
        </w:rPr>
        <w:footnoteRef/>
      </w:r>
      <w:r>
        <w:t xml:space="preserve"> </w:t>
      </w:r>
      <w:r w:rsidRPr="00FC6C09">
        <w:t>Vi sono autori che hanno dedicato</w:t>
      </w:r>
      <w:r>
        <w:t xml:space="preserve"> ampi studi all’argomento dell’opacità </w:t>
      </w:r>
      <w:r w:rsidR="00D2043A">
        <w:t>d</w:t>
      </w:r>
      <w:r>
        <w:t xml:space="preserve">ell’algoritmo e relativa impossibilità di comprenderne il funzionamento logico. </w:t>
      </w:r>
      <w:r w:rsidRPr="00416A54">
        <w:rPr>
          <w:lang w:val="en-US"/>
        </w:rPr>
        <w:t xml:space="preserve">Si </w:t>
      </w:r>
      <w:proofErr w:type="spellStart"/>
      <w:r w:rsidRPr="00416A54">
        <w:rPr>
          <w:lang w:val="en-US"/>
        </w:rPr>
        <w:t>rinvia</w:t>
      </w:r>
      <w:proofErr w:type="spellEnd"/>
      <w:r w:rsidRPr="00416A54">
        <w:rPr>
          <w:lang w:val="en-US"/>
        </w:rPr>
        <w:t xml:space="preserve"> a F. Pasquale, </w:t>
      </w:r>
      <w:r w:rsidRPr="00416A54">
        <w:rPr>
          <w:i/>
          <w:lang w:val="en-US"/>
        </w:rPr>
        <w:t xml:space="preserve">The Black box society, </w:t>
      </w:r>
      <w:r w:rsidR="00D2043A" w:rsidRPr="00416A54">
        <w:rPr>
          <w:i/>
          <w:lang w:val="en-US"/>
        </w:rPr>
        <w:t>The Secret Algorithms That Control Money and Information</w:t>
      </w:r>
      <w:r w:rsidR="00D2043A" w:rsidRPr="00416A54">
        <w:rPr>
          <w:lang w:val="en-US"/>
        </w:rPr>
        <w:t xml:space="preserve">, </w:t>
      </w:r>
      <w:r w:rsidRPr="00416A54">
        <w:rPr>
          <w:lang w:val="en-US"/>
        </w:rPr>
        <w:t>pp. 144 e ss..</w:t>
      </w:r>
      <w:r w:rsidR="00D2043A" w:rsidRPr="00416A54">
        <w:rPr>
          <w:lang w:val="en-US"/>
        </w:rPr>
        <w:t xml:space="preserve">, </w:t>
      </w:r>
      <w:proofErr w:type="spellStart"/>
      <w:r w:rsidR="00D2043A" w:rsidRPr="00416A54">
        <w:rPr>
          <w:lang w:val="en-US"/>
        </w:rPr>
        <w:t>Harv</w:t>
      </w:r>
      <w:proofErr w:type="spellEnd"/>
      <w:r w:rsidR="00D2043A" w:rsidRPr="00416A54">
        <w:rPr>
          <w:lang w:val="en-US"/>
        </w:rPr>
        <w:t xml:space="preserve">. Un. </w:t>
      </w:r>
      <w:r w:rsidR="00D2043A">
        <w:t>Press, 2015.</w:t>
      </w:r>
    </w:p>
  </w:footnote>
  <w:footnote w:id="2">
    <w:p w:rsidR="00E05355" w:rsidRDefault="00E05355" w:rsidP="001F7067">
      <w:pPr>
        <w:pStyle w:val="Testonotaapidipagina"/>
        <w:ind w:left="1134" w:right="1418"/>
      </w:pPr>
      <w:r>
        <w:rPr>
          <w:rStyle w:val="Rimandonotaapidipagina"/>
        </w:rPr>
        <w:footnoteRef/>
      </w:r>
      <w:r>
        <w:t xml:space="preserve"> M. Durante, </w:t>
      </w:r>
      <w:r w:rsidR="006F4E8D" w:rsidRPr="006F4E8D">
        <w:rPr>
          <w:i/>
        </w:rPr>
        <w:t>Potere computazionale</w:t>
      </w:r>
      <w:r w:rsidR="006F4E8D">
        <w:t>, Torino, 2019</w:t>
      </w:r>
      <w:r>
        <w:t>, p. 244.</w:t>
      </w:r>
    </w:p>
  </w:footnote>
  <w:footnote w:id="3">
    <w:p w:rsidR="00A41343" w:rsidRDefault="00A41343" w:rsidP="001F7067">
      <w:pPr>
        <w:pStyle w:val="Testonotaapidipagina"/>
        <w:ind w:left="1134" w:right="1418"/>
        <w:jc w:val="both"/>
      </w:pPr>
      <w:r>
        <w:rPr>
          <w:rStyle w:val="Rimandonotaapidipagina"/>
        </w:rPr>
        <w:footnoteRef/>
      </w:r>
      <w:r>
        <w:t xml:space="preserve"> Con il relativo annullamento dell’atto impugnato, in quel caso concreto, per violazione dei principi di imparzialità, pubblicità e trasparenza, poiché non era dato comprendere per quale ragione le legittime aspettative di soggetti collocati in una determinata posizione in graduatoria di un concorso pubblico fossero andate deluse.</w:t>
      </w:r>
    </w:p>
  </w:footnote>
  <w:footnote w:id="4">
    <w:p w:rsidR="00E05355" w:rsidRDefault="00E05355" w:rsidP="001F7067">
      <w:pPr>
        <w:pStyle w:val="Testonotaapidipagina"/>
        <w:ind w:left="1134" w:right="1418"/>
      </w:pPr>
      <w:r>
        <w:rPr>
          <w:rStyle w:val="Rimandonotaapidipagina"/>
        </w:rPr>
        <w:footnoteRef/>
      </w:r>
      <w:r>
        <w:t xml:space="preserve"> </w:t>
      </w:r>
      <w:r w:rsidRPr="00C35236">
        <w:t xml:space="preserve">Cons. Stato Sez. VI, </w:t>
      </w:r>
      <w:proofErr w:type="gramStart"/>
      <w:r w:rsidRPr="00C35236">
        <w:t>Sent.,</w:t>
      </w:r>
      <w:proofErr w:type="gramEnd"/>
      <w:r w:rsidRPr="00C35236">
        <w:t xml:space="preserve"> 13-12-2019, n. 8472</w:t>
      </w:r>
      <w:r>
        <w:t xml:space="preserve"> in </w:t>
      </w:r>
      <w:hyperlink r:id="rId1" w:history="1">
        <w:r w:rsidRPr="00885DD8">
          <w:rPr>
            <w:rStyle w:val="Collegamentoipertestuale"/>
          </w:rPr>
          <w:t>www.giustizia-amministrativa.it</w:t>
        </w:r>
      </w:hyperlink>
      <w:r>
        <w:t xml:space="preserve"> </w:t>
      </w:r>
    </w:p>
  </w:footnote>
  <w:footnote w:id="5">
    <w:p w:rsidR="00E05355" w:rsidRDefault="00E05355" w:rsidP="001F7067">
      <w:pPr>
        <w:pStyle w:val="Testonotaapidipagina"/>
        <w:ind w:left="1134" w:right="1418"/>
        <w:jc w:val="both"/>
      </w:pPr>
      <w:r>
        <w:rPr>
          <w:rStyle w:val="Rimandonotaapidipagina"/>
        </w:rPr>
        <w:footnoteRef/>
      </w:r>
      <w:r>
        <w:t xml:space="preserve"> In concreto, come chiarisce bene il TAR Lazio nella sentenza n. 3742/2017 della III bis (che si segnala anche perché affronta il tema dell’accesso agli “atti algoritmici”), l'algoritmo di cui trattasi era stato predisposto da parte della società H.S. su incarico del MIUR al fine di consentire all'amministrazione di potere agevolmente gestire in concreto la procedura della mobilità dei docenti. Il predetto algoritmo, a quanto è dato di capire, ha gestito in modo automatico e per mezzo di un complesso sistema informatico il procedimento della mobilità dei docenti, atteso che l'individuazione, in concreto, della concreta sede spettante al singolo docente nell'ambito della mobilità sarebbe stata individuata esclusivamente dal predetto algoritmo. Pertanto, gli atti </w:t>
      </w:r>
      <w:proofErr w:type="spellStart"/>
      <w:r>
        <w:t>endoprocedimentali</w:t>
      </w:r>
      <w:proofErr w:type="spellEnd"/>
      <w:r>
        <w:t xml:space="preserve"> di acquisizione dei dati necessari ai fini della relativa istruttoria nonché lo stesso atto finale del procedimento sono, conseguentemente, confluiti e si si sono esauriti nel solo funzionamento dell'algoritmo di cui trattasi, con la conseguenza ulteriore dell'assimilabilità dell'algoritmo di cui trattasi all'atto amministrativo o meglio, del riconoscimento della diretta riconducibilità del software che gestisce l'algoritmo alla categoria del cd. </w:t>
      </w:r>
      <w:proofErr w:type="gramStart"/>
      <w:r>
        <w:t>atto</w:t>
      </w:r>
      <w:proofErr w:type="gramEnd"/>
      <w:r>
        <w:t xml:space="preserve"> amministrativo informatico di cui alla lett d) dell'art. 22 della L. n. 241 del 1990.</w:t>
      </w:r>
    </w:p>
  </w:footnote>
  <w:footnote w:id="6">
    <w:p w:rsidR="00E05355" w:rsidRDefault="00E05355" w:rsidP="001F7067">
      <w:pPr>
        <w:pStyle w:val="Testonotaapidipagina"/>
        <w:ind w:left="1134" w:right="1418"/>
        <w:jc w:val="both"/>
      </w:pPr>
      <w:r>
        <w:rPr>
          <w:rStyle w:val="Rimandonotaapidipagina"/>
        </w:rPr>
        <w:footnoteRef/>
      </w:r>
      <w:r>
        <w:t xml:space="preserve"> Principio espresso al punto </w:t>
      </w:r>
      <w:r w:rsidRPr="00C35236">
        <w:t xml:space="preserve">8.3 della motivazione della </w:t>
      </w:r>
      <w:r>
        <w:t xml:space="preserve">precedente </w:t>
      </w:r>
      <w:r w:rsidRPr="00C35236">
        <w:t xml:space="preserve">sentenza </w:t>
      </w:r>
      <w:r>
        <w:t xml:space="preserve">n. </w:t>
      </w:r>
      <w:r w:rsidRPr="00C35236">
        <w:t>2270</w:t>
      </w:r>
      <w:r>
        <w:t>/2019.</w:t>
      </w:r>
    </w:p>
  </w:footnote>
  <w:footnote w:id="7">
    <w:p w:rsidR="00E05355" w:rsidRDefault="00E05355" w:rsidP="001F7067">
      <w:pPr>
        <w:pStyle w:val="Testonotaapidipagina"/>
        <w:ind w:left="1134" w:right="1418"/>
      </w:pPr>
      <w:r>
        <w:rPr>
          <w:rStyle w:val="Rimandonotaapidipagina"/>
        </w:rPr>
        <w:footnoteRef/>
      </w:r>
      <w:r>
        <w:t xml:space="preserve"> Capo 13.1. </w:t>
      </w:r>
      <w:proofErr w:type="gramStart"/>
      <w:r>
        <w:t>della</w:t>
      </w:r>
      <w:proofErr w:type="gramEnd"/>
      <w:r>
        <w:t xml:space="preserve"> motivazione.</w:t>
      </w:r>
    </w:p>
  </w:footnote>
  <w:footnote w:id="8">
    <w:p w:rsidR="00E05355" w:rsidRDefault="00E05355" w:rsidP="001F7067">
      <w:pPr>
        <w:pStyle w:val="Testonotaapidipagina"/>
        <w:ind w:left="1134" w:right="1418"/>
        <w:jc w:val="both"/>
      </w:pPr>
      <w:r>
        <w:rPr>
          <w:rStyle w:val="Rimandonotaapidipagina"/>
        </w:rPr>
        <w:footnoteRef/>
      </w:r>
      <w:r>
        <w:t>G</w:t>
      </w:r>
      <w:r w:rsidRPr="005D0F83">
        <w:t>ià citata</w:t>
      </w:r>
      <w:r>
        <w:t xml:space="preserve"> nell</w:t>
      </w:r>
      <w:r w:rsidR="00D2043A">
        <w:t>a</w:t>
      </w:r>
      <w:r>
        <w:t xml:space="preserve"> not</w:t>
      </w:r>
      <w:r w:rsidR="00D2043A">
        <w:t>a</w:t>
      </w:r>
      <w:r>
        <w:t xml:space="preserve"> che prece</w:t>
      </w:r>
      <w:r w:rsidR="00D2043A">
        <w:t>de</w:t>
      </w:r>
      <w:r w:rsidRPr="005D0F83">
        <w:t>, non appellata dal MIUR</w:t>
      </w:r>
      <w:r>
        <w:t>.</w:t>
      </w:r>
    </w:p>
  </w:footnote>
  <w:footnote w:id="9">
    <w:p w:rsidR="00E05355" w:rsidRDefault="00E05355" w:rsidP="001F7067">
      <w:pPr>
        <w:pStyle w:val="Testonotaapidipagina"/>
        <w:ind w:left="1134" w:right="1418"/>
        <w:jc w:val="both"/>
      </w:pPr>
      <w:r>
        <w:rPr>
          <w:rStyle w:val="Rimandonotaapidipagina"/>
        </w:rPr>
        <w:footnoteRef/>
      </w:r>
      <w:r>
        <w:t xml:space="preserve"> Per completezza, q</w:t>
      </w:r>
      <w:r w:rsidRPr="00443B46">
        <w:t>uanto poi alla natura di opera dell'ingegno del software che gestisce l'algoritmo, la questione viene affrontata dal TAR</w:t>
      </w:r>
      <w:r w:rsidR="00D2043A">
        <w:t xml:space="preserve"> Lazio riconoscendo </w:t>
      </w:r>
      <w:r w:rsidR="00165F45">
        <w:t xml:space="preserve">comunque </w:t>
      </w:r>
      <w:r w:rsidRPr="00443B46">
        <w:t xml:space="preserve">l'accesso </w:t>
      </w:r>
      <w:r w:rsidR="00165F45">
        <w:t xml:space="preserve">agli atti </w:t>
      </w:r>
      <w:r w:rsidRPr="00443B46">
        <w:t xml:space="preserve">ai cd. </w:t>
      </w:r>
      <w:proofErr w:type="gramStart"/>
      <w:r w:rsidRPr="00443B46">
        <w:t>codici</w:t>
      </w:r>
      <w:proofErr w:type="gramEnd"/>
      <w:r w:rsidRPr="00443B46">
        <w:t xml:space="preserve"> sorgenti o linguaggio sorgente del software dell'algoritmo</w:t>
      </w:r>
      <w:r w:rsidR="00165F45">
        <w:t>.</w:t>
      </w:r>
    </w:p>
  </w:footnote>
  <w:footnote w:id="10">
    <w:p w:rsidR="00E05355" w:rsidRDefault="00E05355" w:rsidP="001F7067">
      <w:pPr>
        <w:pStyle w:val="Testonotaapidipagina"/>
        <w:ind w:left="1134" w:right="1418"/>
        <w:jc w:val="both"/>
      </w:pPr>
      <w:r>
        <w:rPr>
          <w:rStyle w:val="Rimandonotaapidipagina"/>
        </w:rPr>
        <w:footnoteRef/>
      </w:r>
      <w:r>
        <w:t xml:space="preserve"> Sarebbe stato utile sentire l’impresa su alcuni punti, quali la modalità di programmazione dell’algoritmo ed i diritti di sfruttamento economico del software e relativa pattuizione.</w:t>
      </w:r>
    </w:p>
  </w:footnote>
  <w:footnote w:id="11">
    <w:p w:rsidR="00E05355" w:rsidRDefault="00E05355" w:rsidP="001F7067">
      <w:pPr>
        <w:pStyle w:val="Testonotaapidipagina"/>
        <w:ind w:left="1134" w:right="1418"/>
        <w:jc w:val="both"/>
      </w:pPr>
      <w:r>
        <w:rPr>
          <w:rStyle w:val="Rimandonotaapidipagina"/>
        </w:rPr>
        <w:footnoteRef/>
      </w:r>
      <w:r>
        <w:t xml:space="preserve"> </w:t>
      </w:r>
      <w:r w:rsidR="001449CC">
        <w:t>Qualche d</w:t>
      </w:r>
      <w:r>
        <w:t>ubbi</w:t>
      </w:r>
      <w:r w:rsidR="001449CC">
        <w:t>o residua</w:t>
      </w:r>
      <w:r>
        <w:t xml:space="preserve"> in effetti perché tra l’impresa e la p.a. esiste un contratto che permette alla prima di opporre il diritto alla tutela della proprietà intellettuale, ragione per cui il rapporto dovrebbe essere paritetico collocabile al di fuori della logica del potere autoritativo, in assenza di provvedimenti di altro segno in grado di incidere sul contratto stesso.</w:t>
      </w:r>
    </w:p>
  </w:footnote>
  <w:footnote w:id="12">
    <w:p w:rsidR="00B5191E" w:rsidRDefault="00B5191E" w:rsidP="001F7067">
      <w:pPr>
        <w:pStyle w:val="Testonotaapidipagina"/>
        <w:ind w:left="1134" w:right="1418"/>
        <w:jc w:val="both"/>
      </w:pPr>
      <w:r>
        <w:rPr>
          <w:rStyle w:val="Rimandonotaapidipagina"/>
        </w:rPr>
        <w:footnoteRef/>
      </w:r>
      <w:r>
        <w:t xml:space="preserve"> ICT – </w:t>
      </w:r>
      <w:r w:rsidRPr="003E7861">
        <w:rPr>
          <w:i/>
        </w:rPr>
        <w:t xml:space="preserve">Information </w:t>
      </w:r>
      <w:proofErr w:type="spellStart"/>
      <w:r w:rsidRPr="003E7861">
        <w:rPr>
          <w:i/>
        </w:rPr>
        <w:t>Communication</w:t>
      </w:r>
      <w:proofErr w:type="spellEnd"/>
      <w:r w:rsidRPr="003E7861">
        <w:rPr>
          <w:i/>
        </w:rPr>
        <w:t xml:space="preserve"> </w:t>
      </w:r>
      <w:proofErr w:type="spellStart"/>
      <w:r w:rsidRPr="003E7861">
        <w:rPr>
          <w:i/>
        </w:rPr>
        <w:t>Tecnolog</w:t>
      </w:r>
      <w:r w:rsidR="003E7861" w:rsidRPr="003E7861">
        <w:rPr>
          <w:i/>
        </w:rPr>
        <w:t>y</w:t>
      </w:r>
      <w:proofErr w:type="spellEnd"/>
      <w:r>
        <w:t xml:space="preserve">, acronimo che ricomprende per brevità tutte le tecnologie in uso, compresa l’Intelligenza Artificiale: cfr. ad esempio </w:t>
      </w:r>
      <w:r w:rsidR="003E7861" w:rsidRPr="003E7861">
        <w:t xml:space="preserve">A. </w:t>
      </w:r>
      <w:proofErr w:type="spellStart"/>
      <w:r w:rsidR="003E7861" w:rsidRPr="003E7861">
        <w:t>Greenfield</w:t>
      </w:r>
      <w:proofErr w:type="spellEnd"/>
      <w:r w:rsidR="003E7861" w:rsidRPr="003E7861">
        <w:t xml:space="preserve">, </w:t>
      </w:r>
      <w:r w:rsidR="003E7861" w:rsidRPr="003E7861">
        <w:rPr>
          <w:i/>
        </w:rPr>
        <w:t>Tecnologie radicali</w:t>
      </w:r>
      <w:r w:rsidR="003E7861" w:rsidRPr="003E7861">
        <w:t>, Torino, 2017</w:t>
      </w:r>
      <w:r w:rsidR="003E7861">
        <w:t>.</w:t>
      </w:r>
      <w:r>
        <w:t xml:space="preserve">  </w:t>
      </w:r>
    </w:p>
  </w:footnote>
  <w:footnote w:id="13">
    <w:p w:rsidR="00E05355" w:rsidRDefault="00E05355" w:rsidP="001F7067">
      <w:pPr>
        <w:pStyle w:val="Testonotaapidipagina"/>
        <w:ind w:left="1134" w:right="1418"/>
      </w:pPr>
      <w:r>
        <w:rPr>
          <w:rStyle w:val="Rimandonotaapidipagina"/>
        </w:rPr>
        <w:footnoteRef/>
      </w:r>
      <w:r>
        <w:t xml:space="preserve"> Capo 14. 2 della motivazione. </w:t>
      </w:r>
    </w:p>
  </w:footnote>
  <w:footnote w:id="14">
    <w:p w:rsidR="00E05355" w:rsidRDefault="00E05355" w:rsidP="001F7067">
      <w:pPr>
        <w:pStyle w:val="Testonotaapidipagina"/>
        <w:ind w:left="1134" w:right="1418"/>
      </w:pPr>
      <w:r>
        <w:rPr>
          <w:rStyle w:val="Rimandonotaapidipagina"/>
        </w:rPr>
        <w:footnoteRef/>
      </w:r>
      <w:r>
        <w:t xml:space="preserve"> E quindi, secondo la tendenza futura, sempre.</w:t>
      </w:r>
    </w:p>
  </w:footnote>
  <w:footnote w:id="15">
    <w:p w:rsidR="00E05355" w:rsidRDefault="00E05355" w:rsidP="001F7067">
      <w:pPr>
        <w:pStyle w:val="Testonotaapidipagina"/>
        <w:ind w:left="1134" w:right="1418"/>
        <w:jc w:val="both"/>
      </w:pPr>
      <w:r>
        <w:rPr>
          <w:rStyle w:val="Rimandonotaapidipagina"/>
        </w:rPr>
        <w:footnoteRef/>
      </w:r>
      <w:r>
        <w:t xml:space="preserve"> Sul tema cfr. S. Civitarese Matteucci, “</w:t>
      </w:r>
      <w:r w:rsidRPr="003D1EA3">
        <w:rPr>
          <w:i/>
        </w:rPr>
        <w:t>Umano troppo umano”. Decisioni amministrative automatizzate e princ</w:t>
      </w:r>
      <w:r w:rsidR="003E7861">
        <w:rPr>
          <w:i/>
        </w:rPr>
        <w:t>i</w:t>
      </w:r>
      <w:r w:rsidRPr="003D1EA3">
        <w:rPr>
          <w:i/>
        </w:rPr>
        <w:t>pio di legalità</w:t>
      </w:r>
      <w:r>
        <w:t xml:space="preserve">, in </w:t>
      </w:r>
      <w:r w:rsidRPr="003D1EA3">
        <w:rPr>
          <w:i/>
        </w:rPr>
        <w:t xml:space="preserve">Dir. </w:t>
      </w:r>
      <w:proofErr w:type="spellStart"/>
      <w:r w:rsidRPr="003D1EA3">
        <w:rPr>
          <w:i/>
        </w:rPr>
        <w:t>pubbl</w:t>
      </w:r>
      <w:proofErr w:type="spellEnd"/>
      <w:r>
        <w:t>. 1/2019, p. 23, che ricorda come non siano state sul punto recepite le Linee guida del gruppo di lavoro A29WP secondo cui l’art. 22 del Regolamento in esame si risolverebbe nella divieto di decisioni completamente automatizzate che producano effetti giuridici o rilevanti effetti a questi assimilabili.</w:t>
      </w:r>
    </w:p>
  </w:footnote>
  <w:footnote w:id="16">
    <w:p w:rsidR="00E05355" w:rsidRDefault="00E05355" w:rsidP="001F7067">
      <w:pPr>
        <w:pStyle w:val="Testonotaapidipagina"/>
        <w:ind w:left="1134" w:right="1418"/>
        <w:jc w:val="both"/>
      </w:pPr>
      <w:r>
        <w:rPr>
          <w:rStyle w:val="Rimandonotaapidipagina"/>
        </w:rPr>
        <w:footnoteRef/>
      </w:r>
      <w:r w:rsidRPr="00416A54">
        <w:rPr>
          <w:lang w:val="en-US"/>
        </w:rPr>
        <w:t xml:space="preserve"> </w:t>
      </w:r>
      <w:proofErr w:type="spellStart"/>
      <w:r w:rsidRPr="00416A54">
        <w:rPr>
          <w:lang w:val="en-US"/>
        </w:rPr>
        <w:t>Fondamentale</w:t>
      </w:r>
      <w:proofErr w:type="spellEnd"/>
      <w:r w:rsidRPr="00416A54">
        <w:rPr>
          <w:lang w:val="en-US"/>
        </w:rPr>
        <w:t xml:space="preserve"> </w:t>
      </w:r>
      <w:proofErr w:type="spellStart"/>
      <w:r w:rsidRPr="00416A54">
        <w:rPr>
          <w:lang w:val="en-US"/>
        </w:rPr>
        <w:t>il</w:t>
      </w:r>
      <w:proofErr w:type="spellEnd"/>
      <w:r w:rsidRPr="00416A54">
        <w:rPr>
          <w:lang w:val="en-US"/>
        </w:rPr>
        <w:t xml:space="preserve"> </w:t>
      </w:r>
      <w:proofErr w:type="spellStart"/>
      <w:r w:rsidRPr="00416A54">
        <w:rPr>
          <w:lang w:val="en-US"/>
        </w:rPr>
        <w:t>contributo</w:t>
      </w:r>
      <w:proofErr w:type="spellEnd"/>
      <w:r w:rsidRPr="00416A54">
        <w:rPr>
          <w:lang w:val="en-US"/>
        </w:rPr>
        <w:t xml:space="preserve"> di L. </w:t>
      </w:r>
      <w:proofErr w:type="spellStart"/>
      <w:r w:rsidRPr="00416A54">
        <w:rPr>
          <w:lang w:val="en-US"/>
        </w:rPr>
        <w:t>Floridi</w:t>
      </w:r>
      <w:proofErr w:type="spellEnd"/>
      <w:r w:rsidR="003E7861" w:rsidRPr="00416A54">
        <w:rPr>
          <w:lang w:val="en-US"/>
        </w:rPr>
        <w:t>,</w:t>
      </w:r>
      <w:r w:rsidRPr="00416A54">
        <w:rPr>
          <w:lang w:val="en-US"/>
        </w:rPr>
        <w:t xml:space="preserve"> </w:t>
      </w:r>
      <w:r w:rsidR="003E7861" w:rsidRPr="00416A54">
        <w:rPr>
          <w:i/>
          <w:lang w:val="en-US"/>
        </w:rPr>
        <w:t xml:space="preserve">The Fourth Revolution, How the </w:t>
      </w:r>
      <w:proofErr w:type="spellStart"/>
      <w:r w:rsidR="003E7861" w:rsidRPr="00416A54">
        <w:rPr>
          <w:i/>
          <w:lang w:val="en-US"/>
        </w:rPr>
        <w:t>Infosphere</w:t>
      </w:r>
      <w:proofErr w:type="spellEnd"/>
      <w:r w:rsidR="003E7861" w:rsidRPr="00416A54">
        <w:rPr>
          <w:i/>
          <w:lang w:val="en-US"/>
        </w:rPr>
        <w:t xml:space="preserve"> is Reshaping Human Reality</w:t>
      </w:r>
      <w:r w:rsidR="003E7861" w:rsidRPr="00416A54">
        <w:rPr>
          <w:lang w:val="en-US"/>
        </w:rPr>
        <w:t>, Oxford University Press, 2014</w:t>
      </w:r>
      <w:r w:rsidRPr="00416A54">
        <w:rPr>
          <w:lang w:val="en-US"/>
        </w:rPr>
        <w:t xml:space="preserve">.  </w:t>
      </w:r>
      <w:r w:rsidR="003E7861" w:rsidRPr="003E7861">
        <w:t xml:space="preserve">Dopo quella copernicana (sul sistema solare e sul posizionamento della Terra), darwiniana (sulla catena degli esseri viventi) e freudiana (sugli studi sull’inconscio, con riflessi sulle neuroscienze), la quarta rivoluzione, partendo dagli studi di </w:t>
      </w:r>
      <w:proofErr w:type="spellStart"/>
      <w:r w:rsidR="003E7861" w:rsidRPr="003E7861">
        <w:t>Turing</w:t>
      </w:r>
      <w:proofErr w:type="spellEnd"/>
      <w:r w:rsidR="003E7861" w:rsidRPr="003E7861">
        <w:t>, evidenzia la natura umana di organismi interconnessi con esseri umani ed artificiali in un ambiente fatto di scambio di informazioni</w:t>
      </w:r>
      <w:r w:rsidR="0048632D">
        <w:t xml:space="preserve">. </w:t>
      </w:r>
      <w:r w:rsidR="003E7861">
        <w:t xml:space="preserve">Cfr. anche </w:t>
      </w:r>
      <w:r w:rsidR="003E7861" w:rsidRPr="003E7861">
        <w:t xml:space="preserve">U. </w:t>
      </w:r>
      <w:proofErr w:type="spellStart"/>
      <w:r w:rsidR="003E7861" w:rsidRPr="003E7861">
        <w:t>Pagallo</w:t>
      </w:r>
      <w:proofErr w:type="spellEnd"/>
      <w:r w:rsidR="003E7861" w:rsidRPr="003E7861">
        <w:t xml:space="preserve">, </w:t>
      </w:r>
      <w:r w:rsidR="003E7861" w:rsidRPr="003E7861">
        <w:rPr>
          <w:i/>
        </w:rPr>
        <w:t>Il diritto nell’età dell’informazione</w:t>
      </w:r>
      <w:r w:rsidR="003E7861" w:rsidRPr="003E7861">
        <w:t xml:space="preserve">, Torino, 2014; J. </w:t>
      </w:r>
      <w:proofErr w:type="spellStart"/>
      <w:r w:rsidR="003E7861" w:rsidRPr="003E7861">
        <w:t>Kaplan</w:t>
      </w:r>
      <w:proofErr w:type="spellEnd"/>
      <w:r w:rsidR="003E7861" w:rsidRPr="003E7861">
        <w:t xml:space="preserve">, </w:t>
      </w:r>
      <w:proofErr w:type="spellStart"/>
      <w:r w:rsidR="003E7861" w:rsidRPr="003E7861">
        <w:rPr>
          <w:i/>
        </w:rPr>
        <w:t>Artificial</w:t>
      </w:r>
      <w:proofErr w:type="spellEnd"/>
      <w:r w:rsidR="003E7861" w:rsidRPr="003E7861">
        <w:rPr>
          <w:i/>
        </w:rPr>
        <w:t xml:space="preserve"> Intelligence</w:t>
      </w:r>
      <w:r w:rsidR="003E7861" w:rsidRPr="003E7861">
        <w:t xml:space="preserve">, Oxford </w:t>
      </w:r>
      <w:proofErr w:type="spellStart"/>
      <w:r w:rsidR="003E7861" w:rsidRPr="003E7861">
        <w:t>University</w:t>
      </w:r>
      <w:proofErr w:type="spellEnd"/>
      <w:r w:rsidR="003E7861" w:rsidRPr="003E7861">
        <w:t xml:space="preserve"> Press, 2017 (</w:t>
      </w:r>
      <w:proofErr w:type="spellStart"/>
      <w:r w:rsidR="003E7861" w:rsidRPr="003E7861">
        <w:t>trad</w:t>
      </w:r>
      <w:proofErr w:type="spellEnd"/>
      <w:r w:rsidR="003E7861" w:rsidRPr="003E7861">
        <w:t xml:space="preserve">. </w:t>
      </w:r>
      <w:proofErr w:type="spellStart"/>
      <w:proofErr w:type="gramStart"/>
      <w:r w:rsidR="003E7861" w:rsidRPr="003E7861">
        <w:t>it</w:t>
      </w:r>
      <w:proofErr w:type="spellEnd"/>
      <w:proofErr w:type="gramEnd"/>
      <w:r w:rsidR="003E7861" w:rsidRPr="003E7861">
        <w:t xml:space="preserve">. </w:t>
      </w:r>
      <w:proofErr w:type="gramStart"/>
      <w:r w:rsidR="003E7861" w:rsidRPr="003E7861">
        <w:t>ed</w:t>
      </w:r>
      <w:proofErr w:type="gramEnd"/>
      <w:r w:rsidR="003E7861" w:rsidRPr="003E7861">
        <w:t>. Luiss, 2017)</w:t>
      </w:r>
      <w:r w:rsidR="0048632D">
        <w:t xml:space="preserve">, oltre al già citato volume di M. Durante sul </w:t>
      </w:r>
      <w:r w:rsidR="0048632D" w:rsidRPr="0048632D">
        <w:rPr>
          <w:i/>
        </w:rPr>
        <w:t>Potere computazi</w:t>
      </w:r>
      <w:r w:rsidR="0048632D">
        <w:rPr>
          <w:i/>
        </w:rPr>
        <w:t>onale</w:t>
      </w:r>
      <w:r w:rsidR="0048632D">
        <w:t>.</w:t>
      </w:r>
      <w:r>
        <w:t xml:space="preserve"> </w:t>
      </w:r>
    </w:p>
  </w:footnote>
  <w:footnote w:id="17">
    <w:p w:rsidR="00E05355" w:rsidRDefault="00E05355" w:rsidP="001F7067">
      <w:pPr>
        <w:pStyle w:val="Testonotaapidipagina"/>
        <w:ind w:left="1134" w:right="1418"/>
        <w:jc w:val="both"/>
      </w:pPr>
      <w:r>
        <w:rPr>
          <w:rStyle w:val="Rimandonotaapidipagina"/>
        </w:rPr>
        <w:footnoteRef/>
      </w:r>
      <w:r>
        <w:t xml:space="preserve"> L’</w:t>
      </w:r>
      <w:proofErr w:type="spellStart"/>
      <w:r w:rsidRPr="00861607">
        <w:t>European</w:t>
      </w:r>
      <w:proofErr w:type="spellEnd"/>
      <w:r w:rsidRPr="00861607">
        <w:t xml:space="preserve"> Group on </w:t>
      </w:r>
      <w:proofErr w:type="spellStart"/>
      <w:r w:rsidRPr="00861607">
        <w:t>Ethics</w:t>
      </w:r>
      <w:proofErr w:type="spellEnd"/>
      <w:r w:rsidRPr="00861607">
        <w:t xml:space="preserve"> in Science and New Technologies </w:t>
      </w:r>
      <w:r>
        <w:t xml:space="preserve">(EGE) è un organismo di consulenza indipendente del Presidente della Commissione UE. Il report è del </w:t>
      </w:r>
      <w:r w:rsidRPr="00502CE7">
        <w:t xml:space="preserve">9 </w:t>
      </w:r>
      <w:r>
        <w:t xml:space="preserve">marzo </w:t>
      </w:r>
      <w:r w:rsidRPr="00502CE7">
        <w:t>2018</w:t>
      </w:r>
      <w:r>
        <w:t xml:space="preserve"> e si può leggere su </w:t>
      </w:r>
      <w:r w:rsidRPr="00502CE7">
        <w:t>http://ec.europa.eu/research/ege/pdf/ege_ai_statement_2018.pdf</w:t>
      </w:r>
    </w:p>
  </w:footnote>
  <w:footnote w:id="18">
    <w:p w:rsidR="00E05355" w:rsidRDefault="00E05355" w:rsidP="001F7067">
      <w:pPr>
        <w:pStyle w:val="Testonotaapidipagina"/>
        <w:ind w:left="1134" w:right="1418"/>
        <w:jc w:val="both"/>
      </w:pPr>
      <w:r>
        <w:rPr>
          <w:rStyle w:val="Rimandonotaapidipagina"/>
        </w:rPr>
        <w:footnoteRef/>
      </w:r>
      <w:r>
        <w:t xml:space="preserve"> Il principio della dignità umana, inteso come riconoscimento dello stato umano intrinseco di essere degno di rispetto e che non deve essere violato da tecnologie "autonome".</w:t>
      </w:r>
    </w:p>
  </w:footnote>
  <w:footnote w:id="19">
    <w:p w:rsidR="00E05355" w:rsidRDefault="00E05355" w:rsidP="001F7067">
      <w:pPr>
        <w:pStyle w:val="Testonotaapidipagina"/>
        <w:ind w:left="1134" w:right="1418"/>
        <w:jc w:val="both"/>
      </w:pPr>
      <w:r>
        <w:rPr>
          <w:rStyle w:val="Rimandonotaapidipagina"/>
        </w:rPr>
        <w:footnoteRef/>
      </w:r>
      <w:r>
        <w:t xml:space="preserve"> Il principio di autonomia implica la libertà dell'essere umano. Questo si traduce in responsabilità umana e quindi controllo e conoscenza sui sistemi "autonomi" in quanto essi non devono compromettere la libertà umana. Tutte le tecnologie "autonome" devono, quindi, onorare l'umana capacità di scegliere se, quando e come delegare decisioni e azioni alle macchine.</w:t>
      </w:r>
    </w:p>
  </w:footnote>
  <w:footnote w:id="20">
    <w:p w:rsidR="00E05355" w:rsidRDefault="00E05355" w:rsidP="001F7067">
      <w:pPr>
        <w:pStyle w:val="Testonotaapidipagina"/>
        <w:ind w:left="1134" w:right="1418"/>
        <w:jc w:val="both"/>
      </w:pPr>
      <w:r>
        <w:rPr>
          <w:rStyle w:val="Rimandonotaapidipagina"/>
        </w:rPr>
        <w:footnoteRef/>
      </w:r>
      <w:r>
        <w:t>I sistemi "autonomi" dovrebbero essere sviluppati e utilizzati solo in modi che servano il bene sociale e ambientale globale, come determinato da risultati di processi democratici deliberativi. Ciò implica che essi dovrebbero essere progettati in modo che i loro effetti si allineino con una pluralità di fondamentali valori e diritti umani. Le applicazioni dell'IA e della robotica non dovrebbero porre rischi inaccettabili di danni agli esseri umani e non devono compromettere la salute umana, la libertà e l’autonomia dell’essere umano, riducendo illegittimamente e surrettiziamente le opzioni per la conoscenza dei cittadini.</w:t>
      </w:r>
    </w:p>
  </w:footnote>
  <w:footnote w:id="21">
    <w:p w:rsidR="00E05355" w:rsidRDefault="00E05355" w:rsidP="001F7067">
      <w:pPr>
        <w:pStyle w:val="Testonotaapidipagina"/>
        <w:ind w:left="1134" w:right="1418"/>
        <w:jc w:val="both"/>
      </w:pPr>
      <w:r>
        <w:rPr>
          <w:rStyle w:val="Rimandonotaapidipagina"/>
        </w:rPr>
        <w:footnoteRef/>
      </w:r>
      <w:r>
        <w:t xml:space="preserve"> L'IA dovrebbe contribuire alla giustizia globale e alla parità di accesso ai benefici e alle vantaggi che l'IA, la robotica e i sistemi "autonomi" possono portare. I pregiudizi discriminatori (“</w:t>
      </w:r>
      <w:proofErr w:type="spellStart"/>
      <w:r>
        <w:t>bias</w:t>
      </w:r>
      <w:proofErr w:type="spellEnd"/>
      <w:r>
        <w:t>”) nei set di dati utilizzati per addestrare e far funzionare i sistemi di IA dovrebbero essere prevenuti o rilevati, segnalati e neutralizzati al più presto possibile.</w:t>
      </w:r>
    </w:p>
  </w:footnote>
  <w:footnote w:id="22">
    <w:p w:rsidR="00E05355" w:rsidRDefault="00E05355" w:rsidP="001F7067">
      <w:pPr>
        <w:pStyle w:val="Testonotaapidipagina"/>
        <w:ind w:left="1134" w:right="1418"/>
        <w:jc w:val="both"/>
      </w:pPr>
      <w:r>
        <w:rPr>
          <w:rStyle w:val="Rimandonotaapidipagina"/>
        </w:rPr>
        <w:footnoteRef/>
      </w:r>
      <w:r>
        <w:t xml:space="preserve"> Le decisioni chiave sulla regolamentazione dello sviluppo e dell'applicazione dell'IA dovrebbero essere il risultato di un dibattito democratico e di un impegno pubblico.</w:t>
      </w:r>
    </w:p>
  </w:footnote>
  <w:footnote w:id="23">
    <w:p w:rsidR="00E05355" w:rsidRDefault="00E05355" w:rsidP="001F7067">
      <w:pPr>
        <w:pStyle w:val="Testonotaapidipagina"/>
        <w:ind w:left="1134" w:right="1418"/>
        <w:jc w:val="both"/>
      </w:pPr>
      <w:r>
        <w:rPr>
          <w:rStyle w:val="Rimandonotaapidipagina"/>
        </w:rPr>
        <w:footnoteRef/>
      </w:r>
      <w:r>
        <w:t xml:space="preserve"> Lo stato di diritto, l'accesso alla giustizia e il diritto a un ricorso e a un processo equo prevedono il quadro necessario per garantire il rispetto dei diritti umani standard e potenziali normative specifiche per l'IA. Ciò include le protezioni contro i rischi derivanti da sistemi "autonomi" che potrebbero violare diritti umani, come la sicurezza e la privacy.</w:t>
      </w:r>
    </w:p>
  </w:footnote>
  <w:footnote w:id="24">
    <w:p w:rsidR="00E05355" w:rsidRDefault="00E05355" w:rsidP="001F7067">
      <w:pPr>
        <w:pStyle w:val="Testonotaapidipagina"/>
        <w:ind w:left="1134" w:right="1418"/>
        <w:jc w:val="both"/>
      </w:pPr>
      <w:r>
        <w:rPr>
          <w:rStyle w:val="Rimandonotaapidipagina"/>
        </w:rPr>
        <w:footnoteRef/>
      </w:r>
      <w:r>
        <w:t xml:space="preserve"> </w:t>
      </w:r>
      <w:r w:rsidRPr="003B68D0">
        <w:t>La sicurezza e la protezione dei sistemi "autonomi" si concretizza in tre forme: (1) sicurezza esterna per l'ambiente e gli utenti, (2) affidabilità e robustezza interna, ad esempio contro l'</w:t>
      </w:r>
      <w:proofErr w:type="spellStart"/>
      <w:r w:rsidRPr="003B68D0">
        <w:t>hacking</w:t>
      </w:r>
      <w:proofErr w:type="spellEnd"/>
      <w:r w:rsidRPr="003B68D0">
        <w:t xml:space="preserve">, e (3) sicurezza emotiva con rispetto </w:t>
      </w:r>
      <w:r>
        <w:t>a</w:t>
      </w:r>
      <w:r w:rsidRPr="003B68D0">
        <w:t>ll'interazione uomo-macchina</w:t>
      </w:r>
      <w:r>
        <w:t>.</w:t>
      </w:r>
    </w:p>
  </w:footnote>
  <w:footnote w:id="25">
    <w:p w:rsidR="00E05355" w:rsidRDefault="00E05355" w:rsidP="001F7067">
      <w:pPr>
        <w:pStyle w:val="Testonotaapidipagina"/>
        <w:ind w:left="1134" w:right="1418"/>
        <w:jc w:val="both"/>
      </w:pPr>
      <w:r>
        <w:rPr>
          <w:rStyle w:val="Rimandonotaapidipagina"/>
        </w:rPr>
        <w:footnoteRef/>
      </w:r>
      <w:r>
        <w:t xml:space="preserve"> In un'epoca di onnipresente e massiccia raccolta di dati attraverso il digitale tecnologie della comunicazione, il diritto alla protezione dei dati personali e il diritto al rispetto della privacy sono messi in discussione. Sia il robot della IA sia quello che è parte dell'Internet delle Cose, così come i </w:t>
      </w:r>
      <w:proofErr w:type="spellStart"/>
      <w:r>
        <w:t>softbot</w:t>
      </w:r>
      <w:proofErr w:type="spellEnd"/>
      <w:r>
        <w:t xml:space="preserve"> di IA che operano attraverso il World Wide Web devono rispettare la protezione dei dati e non raccogliere e diffondere dati o essere eseguito su set di dati per il cui uso e la cui diffusione non ha dato il consenso informato. I sistemi "autonomi" non devono interferire con il diritto alla vita privata che comprende il diritto di essere liberi da tecnologie che influenzano il personale sviluppo e le opinioni, il diritto di stabilire e sviluppare relazioni con altri esseri umani e il diritto di essere liberi dalla sorveglianza della macchina.</w:t>
      </w:r>
    </w:p>
  </w:footnote>
  <w:footnote w:id="26">
    <w:p w:rsidR="00E05355" w:rsidRDefault="00E05355" w:rsidP="001F7067">
      <w:pPr>
        <w:pStyle w:val="Testonotaapidipagina"/>
        <w:ind w:left="1134" w:right="1418"/>
        <w:jc w:val="both"/>
      </w:pPr>
      <w:r>
        <w:rPr>
          <w:rStyle w:val="Rimandonotaapidipagina"/>
        </w:rPr>
        <w:footnoteRef/>
      </w:r>
      <w:r>
        <w:t xml:space="preserve"> La tecnologia dell'IA deve essere in linea con la responsabilità umana di garantire i prerequisiti fondamentali per la vita sul nostro pianeta, continuando a prosperare per l'umanità e la conservazione di un buon ambiente per le generazioni future.</w:t>
      </w:r>
    </w:p>
  </w:footnote>
  <w:footnote w:id="27">
    <w:p w:rsidR="00E05355" w:rsidRDefault="00E05355" w:rsidP="001F7067">
      <w:pPr>
        <w:pStyle w:val="Testonotaapidipagina"/>
        <w:ind w:left="1134" w:right="1418"/>
        <w:jc w:val="both"/>
      </w:pPr>
      <w:r>
        <w:rPr>
          <w:rStyle w:val="Rimandonotaapidipagina"/>
        </w:rPr>
        <w:footnoteRef/>
      </w:r>
      <w:r>
        <w:t xml:space="preserve">Disponibile on line: </w:t>
      </w:r>
      <w:hyperlink r:id="rId2" w:history="1">
        <w:r w:rsidRPr="00AF0945">
          <w:rPr>
            <w:rStyle w:val="Collegamentoipertestuale"/>
          </w:rPr>
          <w:t>https://ec.europa.eu/transparency/regdoc/rep/1/2019/IT/COM-2019-168-F1-IT-MAIN-PART-1.PDF</w:t>
        </w:r>
      </w:hyperlink>
      <w:r>
        <w:t xml:space="preserve">  </w:t>
      </w:r>
      <w:r w:rsidR="0048632D">
        <w:t xml:space="preserve"> </w:t>
      </w:r>
      <w:r>
        <w:t xml:space="preserve">Cfr. </w:t>
      </w:r>
      <w:r w:rsidR="0048632D">
        <w:t xml:space="preserve"> </w:t>
      </w:r>
      <w:proofErr w:type="gramStart"/>
      <w:r w:rsidR="0048632D">
        <w:t>in</w:t>
      </w:r>
      <w:proofErr w:type="gramEnd"/>
      <w:r w:rsidR="0048632D">
        <w:t xml:space="preserve"> argomento S</w:t>
      </w:r>
      <w:r>
        <w:t>. Crisci</w:t>
      </w:r>
      <w:r w:rsidR="008E3E01">
        <w:t xml:space="preserve">, </w:t>
      </w:r>
      <w:r w:rsidR="008E3E01" w:rsidRPr="008E3E01">
        <w:rPr>
          <w:i/>
        </w:rPr>
        <w:t>Intelligenza artificiale ed etica dell’algoritmo</w:t>
      </w:r>
      <w:r w:rsidR="008E3E01">
        <w:t xml:space="preserve">, in </w:t>
      </w:r>
      <w:r w:rsidR="008E3E01" w:rsidRPr="008E3E01">
        <w:rPr>
          <w:i/>
        </w:rPr>
        <w:t xml:space="preserve">Foro </w:t>
      </w:r>
      <w:proofErr w:type="spellStart"/>
      <w:r w:rsidR="008E3E01" w:rsidRPr="008E3E01">
        <w:rPr>
          <w:i/>
        </w:rPr>
        <w:t>amm</w:t>
      </w:r>
      <w:proofErr w:type="spellEnd"/>
      <w:r w:rsidR="008E3E01">
        <w:t>., fasc. 10/2018.</w:t>
      </w:r>
      <w:r>
        <w:t xml:space="preserve">  </w:t>
      </w:r>
    </w:p>
  </w:footnote>
  <w:footnote w:id="28">
    <w:p w:rsidR="001F7067" w:rsidRDefault="001F7067" w:rsidP="001F7067">
      <w:pPr>
        <w:pStyle w:val="Testonotaapidipagina"/>
        <w:ind w:left="1134" w:right="1418"/>
        <w:jc w:val="both"/>
      </w:pPr>
      <w:r>
        <w:rPr>
          <w:rStyle w:val="Rimandonotaapidipagina"/>
        </w:rPr>
        <w:footnoteRef/>
      </w:r>
      <w:r>
        <w:t xml:space="preserve"> Sulle difficoltà di implementare, comunque, i</w:t>
      </w:r>
      <w:r w:rsidRPr="001F7067">
        <w:t xml:space="preserve"> sistemi di IA</w:t>
      </w:r>
      <w:r>
        <w:t xml:space="preserve"> e renderli davvero efficaci, con le relative implicazioni giuridiche, </w:t>
      </w:r>
      <w:r w:rsidRPr="001F7067">
        <w:t xml:space="preserve">C. </w:t>
      </w:r>
      <w:proofErr w:type="spellStart"/>
      <w:r w:rsidRPr="001F7067">
        <w:t>Coglianese</w:t>
      </w:r>
      <w:proofErr w:type="spellEnd"/>
      <w:r>
        <w:t xml:space="preserve"> -</w:t>
      </w:r>
      <w:r w:rsidRPr="001F7067">
        <w:t xml:space="preserve"> D. </w:t>
      </w:r>
      <w:proofErr w:type="spellStart"/>
      <w:r w:rsidRPr="001F7067">
        <w:t>Lehr</w:t>
      </w:r>
      <w:proofErr w:type="spellEnd"/>
      <w:r w:rsidRPr="001F7067">
        <w:t xml:space="preserve">, </w:t>
      </w:r>
      <w:proofErr w:type="spellStart"/>
      <w:r w:rsidRPr="001F7067">
        <w:rPr>
          <w:i/>
        </w:rPr>
        <w:t>Regulating</w:t>
      </w:r>
      <w:proofErr w:type="spellEnd"/>
      <w:r w:rsidRPr="001F7067">
        <w:rPr>
          <w:i/>
        </w:rPr>
        <w:t xml:space="preserve"> by Robot: </w:t>
      </w:r>
      <w:proofErr w:type="spellStart"/>
      <w:r w:rsidRPr="001F7067">
        <w:rPr>
          <w:i/>
        </w:rPr>
        <w:t>Administrative</w:t>
      </w:r>
      <w:proofErr w:type="spellEnd"/>
      <w:r w:rsidRPr="001F7067">
        <w:rPr>
          <w:i/>
        </w:rPr>
        <w:t xml:space="preserve"> </w:t>
      </w:r>
      <w:proofErr w:type="spellStart"/>
      <w:r w:rsidRPr="001F7067">
        <w:rPr>
          <w:i/>
        </w:rPr>
        <w:t>Decision</w:t>
      </w:r>
      <w:proofErr w:type="spellEnd"/>
      <w:r w:rsidRPr="001F7067">
        <w:rPr>
          <w:i/>
        </w:rPr>
        <w:t xml:space="preserve"> </w:t>
      </w:r>
      <w:proofErr w:type="spellStart"/>
      <w:r w:rsidRPr="001F7067">
        <w:rPr>
          <w:i/>
        </w:rPr>
        <w:t>Making</w:t>
      </w:r>
      <w:proofErr w:type="spellEnd"/>
      <w:r w:rsidRPr="001F7067">
        <w:rPr>
          <w:i/>
        </w:rPr>
        <w:t xml:space="preserve"> in the Machine-Learning Era</w:t>
      </w:r>
      <w:r w:rsidRPr="001F7067">
        <w:t xml:space="preserve">, in </w:t>
      </w:r>
      <w:r w:rsidRPr="001F7067">
        <w:rPr>
          <w:i/>
        </w:rPr>
        <w:t>Georg. Law Journal Online</w:t>
      </w:r>
      <w:r w:rsidRPr="001F7067">
        <w:t>, 2017 (vol. 105/5)</w:t>
      </w:r>
      <w:r>
        <w:t>.</w:t>
      </w:r>
    </w:p>
  </w:footnote>
  <w:footnote w:id="29">
    <w:p w:rsidR="00E05355" w:rsidRDefault="00E05355" w:rsidP="001F7067">
      <w:pPr>
        <w:pStyle w:val="Testonotaapidipagina"/>
        <w:ind w:left="1134" w:right="1418"/>
        <w:jc w:val="both"/>
      </w:pPr>
      <w:r>
        <w:rPr>
          <w:rStyle w:val="Rimandonotaapidipagina"/>
        </w:rPr>
        <w:footnoteRef/>
      </w:r>
      <w:r>
        <w:t xml:space="preserve"> Quali, la volontà di restare nei pressi della propria residenza abituale o evitare spostamenti e trasferte familiari.  Esigenza avvertita dallo stesso Consiglio di Stato che, in altro collegato contenzioso, aveva ad</w:t>
      </w:r>
      <w:r w:rsidR="00610E3C">
        <w:t xml:space="preserve"> esempio ordinato</w:t>
      </w:r>
      <w:r>
        <w:t xml:space="preserve"> in sede cautelare al MIUR </w:t>
      </w:r>
      <w:r w:rsidRPr="00730484">
        <w:t xml:space="preserve">di rivalutare </w:t>
      </w:r>
      <w:r>
        <w:t xml:space="preserve">le domande dei docenti </w:t>
      </w:r>
      <w:r w:rsidRPr="00730484">
        <w:t>“con precisione e rigore, al di là di automatismi informativi d’altro tenore, di offrire agli appellanti sedi disponibili in loco più coerenti con il loro profilo lavorativo e le loro richieste”</w:t>
      </w:r>
      <w:r>
        <w:t xml:space="preserve"> (</w:t>
      </w:r>
      <w:r w:rsidRPr="00730484">
        <w:t>Ordinanza n. 3082/2017</w:t>
      </w:r>
      <w:r>
        <w:t>)</w:t>
      </w:r>
      <w:r w:rsidR="00F66D6D">
        <w:t>.</w:t>
      </w:r>
    </w:p>
  </w:footnote>
  <w:footnote w:id="30">
    <w:p w:rsidR="00E05355" w:rsidRDefault="00E05355" w:rsidP="001F7067">
      <w:pPr>
        <w:pStyle w:val="Testonotaapidipagina"/>
        <w:ind w:left="1134" w:right="1418"/>
        <w:jc w:val="both"/>
      </w:pPr>
      <w:r>
        <w:rPr>
          <w:rStyle w:val="Rimandonotaapidipagina"/>
        </w:rPr>
        <w:footnoteRef/>
      </w:r>
      <w:r>
        <w:t xml:space="preserve"> Ben più </w:t>
      </w:r>
      <w:r w:rsidRPr="00D66FF4">
        <w:rPr>
          <w:i/>
        </w:rPr>
        <w:t>tranchant</w:t>
      </w:r>
      <w:r>
        <w:t xml:space="preserve"> appare in questo senso </w:t>
      </w:r>
      <w:r w:rsidR="00754A6C">
        <w:t>il giudizio (negativo) sull’uso dell’algoritmo nel procedimento amministrativo da parte del</w:t>
      </w:r>
      <w:r>
        <w:t>la sentenza di primo grado n. 9230/2018 del TAR Lazio</w:t>
      </w:r>
      <w:r w:rsidR="00754A6C">
        <w:t>,</w:t>
      </w:r>
      <w:r>
        <w:t xml:space="preserve"> che è stata non a caso confe</w:t>
      </w:r>
      <w:r w:rsidR="00754A6C">
        <w:t>rmata ma con altra motivazione</w:t>
      </w:r>
      <w:r>
        <w:t>.</w:t>
      </w:r>
    </w:p>
  </w:footnote>
  <w:footnote w:id="31">
    <w:p w:rsidR="00E05355" w:rsidRDefault="00E05355" w:rsidP="001F7067">
      <w:pPr>
        <w:pStyle w:val="Testonotaapidipagina"/>
        <w:ind w:left="1134" w:right="1418"/>
        <w:jc w:val="both"/>
      </w:pPr>
      <w:r>
        <w:rPr>
          <w:rStyle w:val="Rimandonotaapidipagina"/>
        </w:rPr>
        <w:footnoteRef/>
      </w:r>
      <w:r>
        <w:t xml:space="preserve"> S</w:t>
      </w:r>
      <w:r w:rsidRPr="007E05AB">
        <w:t xml:space="preserve">entenza </w:t>
      </w:r>
      <w:r>
        <w:t>del</w:t>
      </w:r>
      <w:r w:rsidRPr="007E05AB">
        <w:t>la Corte</w:t>
      </w:r>
      <w:r w:rsidR="00F10E2B">
        <w:t xml:space="preserve"> Suprema del Wisconsin (</w:t>
      </w:r>
      <w:r w:rsidRPr="007E05AB">
        <w:t xml:space="preserve">Wisconsin v. Eric L. </w:t>
      </w:r>
      <w:proofErr w:type="spellStart"/>
      <w:r w:rsidRPr="007E05AB">
        <w:t>Loomis</w:t>
      </w:r>
      <w:proofErr w:type="spellEnd"/>
      <w:r>
        <w:t>)</w:t>
      </w:r>
      <w:r w:rsidRPr="007E05AB">
        <w:t xml:space="preserve"> 13 Luglio 2016</w:t>
      </w:r>
      <w:r>
        <w:t xml:space="preserve"> in</w:t>
      </w:r>
      <w:r w:rsidR="00F10E2B">
        <w:t xml:space="preserve"> </w:t>
      </w:r>
      <w:r w:rsidRPr="007B50D1">
        <w:t>httpps://www.wicourts.gov/sc/opinion/DisplayDocument.pdf?content=pdf&amp;seqNo=171690</w:t>
      </w:r>
    </w:p>
  </w:footnote>
  <w:footnote w:id="32">
    <w:p w:rsidR="00E05355" w:rsidRDefault="00E05355" w:rsidP="001F7067">
      <w:pPr>
        <w:pStyle w:val="Testonotaapidipagina"/>
        <w:ind w:left="1134" w:right="1418"/>
        <w:jc w:val="both"/>
      </w:pPr>
      <w:r>
        <w:rPr>
          <w:rStyle w:val="Rimandonotaapidipagina"/>
        </w:rPr>
        <w:footnoteRef/>
      </w:r>
      <w:r>
        <w:t xml:space="preserve"> </w:t>
      </w:r>
      <w:r w:rsidRPr="00D46DBB">
        <w:t xml:space="preserve">S. </w:t>
      </w:r>
      <w:proofErr w:type="spellStart"/>
      <w:r w:rsidRPr="00D46DBB">
        <w:t>Carrer</w:t>
      </w:r>
      <w:proofErr w:type="spellEnd"/>
      <w:r w:rsidRPr="00D46DBB">
        <w:t xml:space="preserve">, </w:t>
      </w:r>
      <w:r w:rsidRPr="00D46DBB">
        <w:rPr>
          <w:i/>
        </w:rPr>
        <w:t>Se l’</w:t>
      </w:r>
      <w:proofErr w:type="spellStart"/>
      <w:r w:rsidRPr="00D46DBB">
        <w:rPr>
          <w:i/>
        </w:rPr>
        <w:t>amicus</w:t>
      </w:r>
      <w:proofErr w:type="spellEnd"/>
      <w:r w:rsidRPr="00D46DBB">
        <w:rPr>
          <w:i/>
        </w:rPr>
        <w:t xml:space="preserve"> </w:t>
      </w:r>
      <w:proofErr w:type="spellStart"/>
      <w:r w:rsidRPr="00D46DBB">
        <w:rPr>
          <w:i/>
        </w:rPr>
        <w:t>curiae</w:t>
      </w:r>
      <w:proofErr w:type="spellEnd"/>
      <w:r w:rsidRPr="00D46DBB">
        <w:rPr>
          <w:i/>
        </w:rPr>
        <w:t xml:space="preserve"> è un algoritmo: il chiacchierato caso </w:t>
      </w:r>
      <w:proofErr w:type="spellStart"/>
      <w:r w:rsidRPr="00D46DBB">
        <w:rPr>
          <w:i/>
        </w:rPr>
        <w:t>Loomis</w:t>
      </w:r>
      <w:proofErr w:type="spellEnd"/>
      <w:r w:rsidRPr="00D46DBB">
        <w:rPr>
          <w:i/>
        </w:rPr>
        <w:t xml:space="preserve"> alla Corte Suprema del Wisconsin</w:t>
      </w:r>
      <w:r w:rsidRPr="00D46DBB">
        <w:t xml:space="preserve">, in </w:t>
      </w:r>
      <w:r w:rsidRPr="00D46DBB">
        <w:rPr>
          <w:i/>
        </w:rPr>
        <w:t>Giurisprudenza Penale Web</w:t>
      </w:r>
      <w:r w:rsidRPr="00D46DBB">
        <w:t>, 2019, 4</w:t>
      </w:r>
      <w:r>
        <w:t>.</w:t>
      </w:r>
    </w:p>
  </w:footnote>
  <w:footnote w:id="33">
    <w:p w:rsidR="00E05355" w:rsidRDefault="00E05355" w:rsidP="001F7067">
      <w:pPr>
        <w:pStyle w:val="Testonotaapidipagina"/>
        <w:ind w:left="1134" w:right="1418"/>
        <w:jc w:val="both"/>
      </w:pPr>
      <w:r>
        <w:rPr>
          <w:rStyle w:val="Rimandonotaapidipagina"/>
        </w:rPr>
        <w:footnoteRef/>
      </w:r>
      <w:r>
        <w:t xml:space="preserve"> Per esempio, Ed Yong, </w:t>
      </w:r>
      <w:r w:rsidRPr="007770E2">
        <w:rPr>
          <w:i/>
        </w:rPr>
        <w:t>A che servono gli algoritmi nei tribunali statunitensi</w:t>
      </w:r>
      <w:r>
        <w:t>, p</w:t>
      </w:r>
      <w:r w:rsidR="005836F7">
        <w:t xml:space="preserve">ubblicato su Internazionale il </w:t>
      </w:r>
      <w:r>
        <w:t>16 febbraio 2018.</w:t>
      </w:r>
    </w:p>
  </w:footnote>
  <w:footnote w:id="34">
    <w:p w:rsidR="00504FD9" w:rsidRDefault="00504FD9" w:rsidP="001F7067">
      <w:pPr>
        <w:pStyle w:val="Testonotaapidipagina"/>
        <w:ind w:left="1134" w:right="1418"/>
        <w:jc w:val="both"/>
      </w:pPr>
      <w:r>
        <w:rPr>
          <w:rStyle w:val="Rimandonotaapidipagina"/>
        </w:rPr>
        <w:footnoteRef/>
      </w:r>
      <w:r>
        <w:t xml:space="preserve"> </w:t>
      </w:r>
      <w:r w:rsidRPr="00504FD9">
        <w:t xml:space="preserve">F.  </w:t>
      </w:r>
      <w:proofErr w:type="gramStart"/>
      <w:r w:rsidRPr="00504FD9">
        <w:t>Patroni  Griffi</w:t>
      </w:r>
      <w:proofErr w:type="gramEnd"/>
      <w:r w:rsidRPr="00504FD9">
        <w:t xml:space="preserve">, </w:t>
      </w:r>
      <w:r w:rsidRPr="00504FD9">
        <w:rPr>
          <w:i/>
        </w:rPr>
        <w:t>La  decisione  robotica  e  il giudice  amministrativo</w:t>
      </w:r>
      <w:r w:rsidRPr="00504FD9">
        <w:t xml:space="preserve">,  in </w:t>
      </w:r>
      <w:hyperlink r:id="rId3" w:history="1">
        <w:r w:rsidRPr="005050AC">
          <w:rPr>
            <w:rStyle w:val="Collegamentoipertestuale"/>
          </w:rPr>
          <w:t>https://www.giustizia-amministrativa.it</w:t>
        </w:r>
      </w:hyperlink>
      <w:r w:rsidRPr="00504FD9">
        <w:t>.</w:t>
      </w:r>
      <w:r>
        <w:t xml:space="preserve"> </w:t>
      </w:r>
      <w:r w:rsidRPr="00504FD9">
        <w:t>(28.08.2018), p. 5</w:t>
      </w:r>
    </w:p>
  </w:footnote>
  <w:footnote w:id="35">
    <w:p w:rsidR="006D0C8F" w:rsidRDefault="006D0C8F" w:rsidP="001F7067">
      <w:pPr>
        <w:pStyle w:val="Testonotaapidipagina"/>
        <w:ind w:left="1134" w:right="1418"/>
        <w:jc w:val="both"/>
      </w:pPr>
      <w:r>
        <w:rPr>
          <w:rStyle w:val="Rimandonotaapidipagina"/>
        </w:rPr>
        <w:footnoteRef/>
      </w:r>
      <w:r>
        <w:t xml:space="preserve"> Riferimenti in L. Floridi, </w:t>
      </w:r>
      <w:r w:rsidRPr="003E7997">
        <w:rPr>
          <w:i/>
        </w:rPr>
        <w:t>op. cit</w:t>
      </w:r>
      <w:r>
        <w:t xml:space="preserve">., p 216 e </w:t>
      </w:r>
      <w:proofErr w:type="gramStart"/>
      <w:r>
        <w:t>ss..</w:t>
      </w:r>
      <w:proofErr w:type="gramEnd"/>
      <w:r w:rsidR="00DD2E00" w:rsidRPr="00DD2E00">
        <w:t xml:space="preserve"> </w:t>
      </w:r>
      <w:r w:rsidR="00DD2E00">
        <w:t xml:space="preserve">Per una visione d’insieme, trasparenza e accesso dei cittadini, B.G. </w:t>
      </w:r>
      <w:r w:rsidR="00DD2E00" w:rsidRPr="00DD2E00">
        <w:t>Mattarella</w:t>
      </w:r>
      <w:r w:rsidR="005836F7">
        <w:t>-</w:t>
      </w:r>
      <w:r w:rsidR="00DD2E00">
        <w:t>M.</w:t>
      </w:r>
      <w:r w:rsidR="00DD2E00" w:rsidRPr="00DD2E00">
        <w:t xml:space="preserve"> Savino, </w:t>
      </w:r>
      <w:r w:rsidR="00DD2E00" w:rsidRPr="005836F7">
        <w:rPr>
          <w:i/>
        </w:rPr>
        <w:t>L’accesso dei cittadini: Esperienze di informazione amministrativa a confronto</w:t>
      </w:r>
      <w:r w:rsidR="00DD2E00">
        <w:t>, Napoli</w:t>
      </w:r>
      <w:r w:rsidR="003E7997">
        <w:t>,</w:t>
      </w:r>
      <w:r w:rsidR="00DD2E00">
        <w:t xml:space="preserve"> 2018</w:t>
      </w:r>
      <w:r w:rsidR="005836F7">
        <w:t xml:space="preserve">; </w:t>
      </w:r>
      <w:r w:rsidR="003E7997">
        <w:t xml:space="preserve">S. Civitarese Matteucci – L. Torchia, </w:t>
      </w:r>
      <w:r w:rsidR="003E7997" w:rsidRPr="0079158D">
        <w:rPr>
          <w:i/>
        </w:rPr>
        <w:t xml:space="preserve">La </w:t>
      </w:r>
      <w:proofErr w:type="spellStart"/>
      <w:r w:rsidR="003E7997" w:rsidRPr="0079158D">
        <w:rPr>
          <w:i/>
        </w:rPr>
        <w:t>Tecnificazione</w:t>
      </w:r>
      <w:proofErr w:type="spellEnd"/>
      <w:r w:rsidR="003E7997" w:rsidRPr="0079158D">
        <w:rPr>
          <w:i/>
        </w:rPr>
        <w:t>, ne “A 150 anni dall’unificazione amministrativa</w:t>
      </w:r>
      <w:r w:rsidR="003E7997">
        <w:t xml:space="preserve">, Studi, a cura di L. Ferrara e D. </w:t>
      </w:r>
      <w:proofErr w:type="spellStart"/>
      <w:r w:rsidR="003E7997">
        <w:t>Sorace</w:t>
      </w:r>
      <w:proofErr w:type="spellEnd"/>
      <w:r w:rsidR="003E7997">
        <w:t>, vol. IV, Firenze, 2016</w:t>
      </w:r>
      <w:r w:rsidR="00754A6C">
        <w:t xml:space="preserve"> ed ivi </w:t>
      </w:r>
      <w:r w:rsidR="001F7067">
        <w:t xml:space="preserve"> </w:t>
      </w:r>
      <w:r w:rsidR="00754A6C" w:rsidRPr="00754A6C">
        <w:t>M. D’</w:t>
      </w:r>
      <w:proofErr w:type="spellStart"/>
      <w:r w:rsidR="00754A6C" w:rsidRPr="00754A6C">
        <w:t>Angelosante</w:t>
      </w:r>
      <w:proofErr w:type="spellEnd"/>
      <w:r w:rsidR="00754A6C" w:rsidRPr="00754A6C">
        <w:t xml:space="preserve">, </w:t>
      </w:r>
      <w:r w:rsidR="00754A6C" w:rsidRPr="00754A6C">
        <w:rPr>
          <w:i/>
        </w:rPr>
        <w:t xml:space="preserve">La consistenza del modello dell’amministrazione ‘invisibile’ nell’età della </w:t>
      </w:r>
      <w:proofErr w:type="spellStart"/>
      <w:r w:rsidR="00754A6C" w:rsidRPr="00754A6C">
        <w:rPr>
          <w:i/>
        </w:rPr>
        <w:t>tecnificazione</w:t>
      </w:r>
      <w:proofErr w:type="spellEnd"/>
      <w:r w:rsidR="00754A6C" w:rsidRPr="00754A6C">
        <w:rPr>
          <w:i/>
        </w:rPr>
        <w:t>: dalla formazione</w:t>
      </w:r>
      <w:r w:rsidR="001F7067">
        <w:rPr>
          <w:i/>
        </w:rPr>
        <w:t xml:space="preserve"> </w:t>
      </w:r>
      <w:r w:rsidR="00754A6C" w:rsidRPr="00754A6C">
        <w:rPr>
          <w:i/>
        </w:rPr>
        <w:t>delle decisioni alla responsabilità per le decisioni</w:t>
      </w:r>
      <w:r w:rsidR="00754A6C" w:rsidRPr="00754A6C">
        <w:t>, p. 165.</w:t>
      </w:r>
      <w:r w:rsidR="003E7997">
        <w:t xml:space="preserve">; </w:t>
      </w:r>
      <w:r w:rsidR="005836F7">
        <w:t xml:space="preserve">F. Cardarelli, </w:t>
      </w:r>
      <w:r w:rsidR="005836F7" w:rsidRPr="005836F7">
        <w:rPr>
          <w:i/>
        </w:rPr>
        <w:t>Amministrazione digitale, trasparenza e principio di legalità</w:t>
      </w:r>
      <w:r w:rsidR="005836F7" w:rsidRPr="005836F7">
        <w:t>,</w:t>
      </w:r>
      <w:r w:rsidR="005836F7">
        <w:t xml:space="preserve"> in </w:t>
      </w:r>
      <w:r w:rsidR="005836F7" w:rsidRPr="005836F7">
        <w:rPr>
          <w:i/>
        </w:rPr>
        <w:t>Il diritto dell’informazione e dell’informatica</w:t>
      </w:r>
      <w:r w:rsidR="005836F7" w:rsidRPr="005836F7">
        <w:t>, 2015, 2</w:t>
      </w:r>
      <w:r w:rsidR="005836F7">
        <w:t>.</w:t>
      </w:r>
    </w:p>
  </w:footnote>
  <w:footnote w:id="36">
    <w:p w:rsidR="00E05355" w:rsidRDefault="00E05355" w:rsidP="001F7067">
      <w:pPr>
        <w:pStyle w:val="Testonotaapidipagina"/>
        <w:ind w:left="1134" w:right="1418"/>
      </w:pPr>
      <w:r>
        <w:rPr>
          <w:rStyle w:val="Rimandonotaapidipagina"/>
        </w:rPr>
        <w:footnoteRef/>
      </w:r>
      <w:r>
        <w:t xml:space="preserve"> </w:t>
      </w:r>
      <w:r w:rsidRPr="00800299">
        <w:t xml:space="preserve">Un </w:t>
      </w:r>
      <w:proofErr w:type="spellStart"/>
      <w:r w:rsidRPr="00800299">
        <w:t>bias</w:t>
      </w:r>
      <w:proofErr w:type="spellEnd"/>
      <w:r w:rsidRPr="00800299">
        <w:t xml:space="preserve"> cognitivo è uno schema di deviazione del giudizio che si verifica in presenza di certi presupposti.</w:t>
      </w:r>
    </w:p>
  </w:footnote>
  <w:footnote w:id="37">
    <w:p w:rsidR="006D0C8F" w:rsidRDefault="006D0C8F" w:rsidP="001F7067">
      <w:pPr>
        <w:pStyle w:val="Testonotaapidipagina"/>
        <w:ind w:left="1134" w:right="1418"/>
        <w:jc w:val="both"/>
      </w:pPr>
      <w:r>
        <w:rPr>
          <w:rStyle w:val="Rimandonotaapidipagina"/>
        </w:rPr>
        <w:footnoteRef/>
      </w:r>
      <w:r>
        <w:t xml:space="preserve"> </w:t>
      </w:r>
      <w:r w:rsidR="00B832F0">
        <w:t xml:space="preserve">Cfr. </w:t>
      </w:r>
      <w:r>
        <w:t xml:space="preserve">D.U. </w:t>
      </w:r>
      <w:proofErr w:type="spellStart"/>
      <w:r w:rsidRPr="006D0C8F">
        <w:t>Galetta</w:t>
      </w:r>
      <w:proofErr w:type="spellEnd"/>
      <w:r w:rsidRPr="006D0C8F">
        <w:t>-</w:t>
      </w:r>
      <w:r>
        <w:t xml:space="preserve"> J.G. </w:t>
      </w:r>
      <w:proofErr w:type="spellStart"/>
      <w:r w:rsidRPr="006D0C8F">
        <w:t>Corvalan</w:t>
      </w:r>
      <w:proofErr w:type="spellEnd"/>
      <w:r w:rsidRPr="006D0C8F">
        <w:t xml:space="preserve">, </w:t>
      </w:r>
      <w:r w:rsidRPr="006D0C8F">
        <w:rPr>
          <w:i/>
        </w:rPr>
        <w:t>Intelligenza artificiale, per una p.a. 4.0?</w:t>
      </w:r>
      <w:r w:rsidR="00504FD9" w:rsidRPr="00504FD9">
        <w:t xml:space="preserve"> </w:t>
      </w:r>
      <w:r w:rsidR="00504FD9" w:rsidRPr="00504FD9">
        <w:rPr>
          <w:i/>
        </w:rPr>
        <w:t xml:space="preserve">Potenzialità, rischi </w:t>
      </w:r>
      <w:proofErr w:type="spellStart"/>
      <w:r w:rsidR="00504FD9" w:rsidRPr="00504FD9">
        <w:rPr>
          <w:i/>
        </w:rPr>
        <w:t>esfide</w:t>
      </w:r>
      <w:proofErr w:type="spellEnd"/>
      <w:r w:rsidR="00504FD9" w:rsidRPr="00504FD9">
        <w:rPr>
          <w:i/>
        </w:rPr>
        <w:t xml:space="preserve"> della rivoluzione tecnologica in atto</w:t>
      </w:r>
      <w:r w:rsidR="00504FD9">
        <w:t xml:space="preserve">, </w:t>
      </w:r>
      <w:r w:rsidRPr="006D0C8F">
        <w:t>in Federalismi.it 3/2019</w:t>
      </w:r>
      <w:r>
        <w:t xml:space="preserve"> (http://www.federalismi.it)</w:t>
      </w:r>
      <w:r w:rsidRPr="006D0C8F">
        <w:t xml:space="preserve">; </w:t>
      </w:r>
      <w:r>
        <w:t xml:space="preserve">G. </w:t>
      </w:r>
      <w:proofErr w:type="spellStart"/>
      <w:r w:rsidRPr="006D0C8F">
        <w:t>Avanzini</w:t>
      </w:r>
      <w:proofErr w:type="spellEnd"/>
      <w:r w:rsidRPr="006D0C8F">
        <w:t xml:space="preserve">, </w:t>
      </w:r>
      <w:r w:rsidRPr="006D0C8F">
        <w:rPr>
          <w:i/>
        </w:rPr>
        <w:t>op. cit</w:t>
      </w:r>
      <w:r>
        <w:t xml:space="preserve">., </w:t>
      </w:r>
      <w:r w:rsidRPr="006D0C8F">
        <w:t>p. 94</w:t>
      </w:r>
      <w:r>
        <w:t>.</w:t>
      </w:r>
      <w:r w:rsidRPr="006D0C8F">
        <w:t xml:space="preserve"> </w:t>
      </w:r>
      <w:r>
        <w:t>S</w:t>
      </w:r>
      <w:r w:rsidRPr="006D0C8F">
        <w:t xml:space="preserve">ulla </w:t>
      </w:r>
      <w:r w:rsidR="00504FD9">
        <w:t xml:space="preserve">relazione </w:t>
      </w:r>
      <w:r w:rsidRPr="006D0C8F">
        <w:t>ammissibilità</w:t>
      </w:r>
      <w:r>
        <w:t xml:space="preserve"> dell’uso delle ICT</w:t>
      </w:r>
      <w:r w:rsidRPr="006D0C8F">
        <w:t xml:space="preserve">, </w:t>
      </w:r>
      <w:r>
        <w:t xml:space="preserve">in quanto </w:t>
      </w:r>
      <w:r w:rsidRPr="006D0C8F">
        <w:t>riconducibile alla generale fase di riduzione della discrezionalità, cf</w:t>
      </w:r>
      <w:r w:rsidR="00DD2E00">
        <w:t>r</w:t>
      </w:r>
      <w:r w:rsidRPr="006D0C8F">
        <w:t xml:space="preserve">. </w:t>
      </w:r>
      <w:proofErr w:type="spellStart"/>
      <w:r>
        <w:t>R.</w:t>
      </w:r>
      <w:r w:rsidRPr="006D0C8F">
        <w:t>Villata-</w:t>
      </w:r>
      <w:r>
        <w:t>M.</w:t>
      </w:r>
      <w:r w:rsidRPr="006D0C8F">
        <w:t>Ramajoli</w:t>
      </w:r>
      <w:proofErr w:type="spellEnd"/>
      <w:r w:rsidRPr="006D0C8F">
        <w:t xml:space="preserve">, </w:t>
      </w:r>
      <w:r>
        <w:t xml:space="preserve">Estratto da </w:t>
      </w:r>
      <w:r w:rsidRPr="006D0C8F">
        <w:rPr>
          <w:i/>
        </w:rPr>
        <w:t>Il provvedimento amministrativo</w:t>
      </w:r>
      <w:r w:rsidR="005836F7">
        <w:t xml:space="preserve">, Torino, 2017, 184 e </w:t>
      </w:r>
      <w:proofErr w:type="gramStart"/>
      <w:r w:rsidR="005836F7">
        <w:t>ss.</w:t>
      </w:r>
      <w:r w:rsidR="00DD2E00">
        <w:t>.</w:t>
      </w:r>
      <w:proofErr w:type="gramEnd"/>
      <w:r w:rsidR="00DD2E00">
        <w:t xml:space="preserve"> </w:t>
      </w:r>
    </w:p>
  </w:footnote>
  <w:footnote w:id="38">
    <w:p w:rsidR="00504FD9" w:rsidRDefault="00504FD9" w:rsidP="001F7067">
      <w:pPr>
        <w:pStyle w:val="Testonotaapidipagina"/>
        <w:ind w:left="1134" w:right="1418"/>
        <w:jc w:val="both"/>
      </w:pPr>
      <w:r>
        <w:rPr>
          <w:rStyle w:val="Rimandonotaapidipagina"/>
        </w:rPr>
        <w:footnoteRef/>
      </w:r>
      <w:r>
        <w:t xml:space="preserve"> Depone, del resto, in questo senso anche l’art. 12, comma 1, del codice dell’amministrazione digitale.</w:t>
      </w:r>
    </w:p>
  </w:footnote>
  <w:footnote w:id="39">
    <w:p w:rsidR="00B832F0" w:rsidRDefault="00B832F0" w:rsidP="001F7067">
      <w:pPr>
        <w:pStyle w:val="Testonotaapidipagina"/>
        <w:ind w:left="1134" w:right="1418"/>
        <w:jc w:val="both"/>
      </w:pPr>
      <w:r>
        <w:rPr>
          <w:rStyle w:val="Rimandonotaapidipagina"/>
        </w:rPr>
        <w:footnoteRef/>
      </w:r>
      <w:r>
        <w:t xml:space="preserve"> </w:t>
      </w:r>
      <w:r w:rsidRPr="00B832F0">
        <w:t>Sul valore della discrezionalità amministrativa</w:t>
      </w:r>
      <w:r>
        <w:t xml:space="preserve"> e delle differenti nozioni interesse e relativa cura</w:t>
      </w:r>
      <w:r w:rsidRPr="00B832F0">
        <w:t xml:space="preserve">, </w:t>
      </w:r>
      <w:r>
        <w:t xml:space="preserve">solo un rinvio a </w:t>
      </w:r>
      <w:r w:rsidRPr="00B832F0">
        <w:t xml:space="preserve">G. Corso, </w:t>
      </w:r>
      <w:r w:rsidRPr="00B832F0">
        <w:rPr>
          <w:i/>
        </w:rPr>
        <w:t>Manuale di diritto amministrativo</w:t>
      </w:r>
      <w:r w:rsidRPr="00B832F0">
        <w:t>, Torino, 201</w:t>
      </w:r>
      <w:r>
        <w:t>7</w:t>
      </w:r>
      <w:r w:rsidRPr="00B832F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E7E40"/>
    <w:multiLevelType w:val="hybridMultilevel"/>
    <w:tmpl w:val="2B4C4C3C"/>
    <w:lvl w:ilvl="0" w:tplc="1CA8A7CE">
      <w:start w:val="1"/>
      <w:numFmt w:val="lowerLetter"/>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43"/>
    <w:rsid w:val="00136EB7"/>
    <w:rsid w:val="001449CC"/>
    <w:rsid w:val="0016478A"/>
    <w:rsid w:val="00165F45"/>
    <w:rsid w:val="001C74C2"/>
    <w:rsid w:val="001F7067"/>
    <w:rsid w:val="002D2741"/>
    <w:rsid w:val="00331238"/>
    <w:rsid w:val="003E7861"/>
    <w:rsid w:val="003E7997"/>
    <w:rsid w:val="00416A54"/>
    <w:rsid w:val="0048632D"/>
    <w:rsid w:val="004B69CC"/>
    <w:rsid w:val="004F259A"/>
    <w:rsid w:val="00504FD9"/>
    <w:rsid w:val="005077DC"/>
    <w:rsid w:val="00517B06"/>
    <w:rsid w:val="005836F7"/>
    <w:rsid w:val="00610E3C"/>
    <w:rsid w:val="00624590"/>
    <w:rsid w:val="006D0C8F"/>
    <w:rsid w:val="006F4E8D"/>
    <w:rsid w:val="00754A6C"/>
    <w:rsid w:val="007770E2"/>
    <w:rsid w:val="007B03C5"/>
    <w:rsid w:val="007F4AEA"/>
    <w:rsid w:val="00806D63"/>
    <w:rsid w:val="008A4452"/>
    <w:rsid w:val="008E3E01"/>
    <w:rsid w:val="009A274F"/>
    <w:rsid w:val="009F056D"/>
    <w:rsid w:val="00A41343"/>
    <w:rsid w:val="00A57C7E"/>
    <w:rsid w:val="00A9068B"/>
    <w:rsid w:val="00A96709"/>
    <w:rsid w:val="00AA4E47"/>
    <w:rsid w:val="00B5191E"/>
    <w:rsid w:val="00B832F0"/>
    <w:rsid w:val="00B9630A"/>
    <w:rsid w:val="00C61D88"/>
    <w:rsid w:val="00D11519"/>
    <w:rsid w:val="00D2043A"/>
    <w:rsid w:val="00DA79CE"/>
    <w:rsid w:val="00DD2E00"/>
    <w:rsid w:val="00E05355"/>
    <w:rsid w:val="00E14FCC"/>
    <w:rsid w:val="00E765FB"/>
    <w:rsid w:val="00EF0749"/>
    <w:rsid w:val="00F07D82"/>
    <w:rsid w:val="00F10E2B"/>
    <w:rsid w:val="00F22B55"/>
    <w:rsid w:val="00F66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2926-7B53-4FE4-81E1-FFD45740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13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Nota de Rodapé ABNT,Testo nota a piè di pagina Carattere1 Carattere,Testo nota a piè di pagina Carattere Carattere Carattere,Testo nota a piè di pagina Carattere1 Carattere Carattere Carattere"/>
    <w:basedOn w:val="Normale"/>
    <w:link w:val="TestonotaapidipaginaCarattere"/>
    <w:unhideWhenUsed/>
    <w:rsid w:val="00A41343"/>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aliases w:val="Nota de Rodapé ABNT Carattere,Testo nota a piè di pagina Carattere1 Carattere Carattere,Testo nota a piè di pagina Carattere Carattere Carattere Carattere"/>
    <w:basedOn w:val="Carpredefinitoparagrafo"/>
    <w:link w:val="Testonotaapidipagina"/>
    <w:uiPriority w:val="99"/>
    <w:rsid w:val="00A41343"/>
    <w:rPr>
      <w:rFonts w:ascii="Calibri" w:eastAsia="Calibri" w:hAnsi="Calibri" w:cs="Times New Roman"/>
      <w:sz w:val="20"/>
      <w:szCs w:val="20"/>
    </w:rPr>
  </w:style>
  <w:style w:type="character" w:styleId="Rimandonotaapidipagina">
    <w:name w:val="footnote reference"/>
    <w:unhideWhenUsed/>
    <w:rsid w:val="00A41343"/>
    <w:rPr>
      <w:vertAlign w:val="superscript"/>
    </w:rPr>
  </w:style>
  <w:style w:type="paragraph" w:styleId="Paragrafoelenco">
    <w:name w:val="List Paragraph"/>
    <w:basedOn w:val="Normale"/>
    <w:uiPriority w:val="34"/>
    <w:qFormat/>
    <w:rsid w:val="00A41343"/>
    <w:pPr>
      <w:spacing w:after="200" w:line="276" w:lineRule="auto"/>
      <w:ind w:left="720"/>
      <w:contextualSpacing/>
    </w:pPr>
    <w:rPr>
      <w:rFonts w:ascii="Calibri" w:eastAsia="Calibri" w:hAnsi="Calibri" w:cs="Times New Roman"/>
    </w:rPr>
  </w:style>
  <w:style w:type="character" w:styleId="Collegamentoipertestuale">
    <w:name w:val="Hyperlink"/>
    <w:unhideWhenUsed/>
    <w:rsid w:val="00E05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iustizia-amministrativa.it" TargetMode="External"/><Relationship Id="rId2" Type="http://schemas.openxmlformats.org/officeDocument/2006/relationships/hyperlink" Target="https://ec.europa.eu/transparency/regdoc/rep/1/2019/IT/COM-2019-168-F1-IT-MAIN-PART-1.PDF"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8C3E-8484-4D15-A0C2-AAB8D4FD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5452</Words>
  <Characters>31080</Characters>
  <Application>Microsoft Office Word</Application>
  <DocSecurity>4</DocSecurity>
  <Lines>259</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Pesce</dc:creator>
  <cp:keywords/>
  <dc:description/>
  <cp:lastModifiedBy>FERRARI Giulia</cp:lastModifiedBy>
  <cp:revision>2</cp:revision>
  <dcterms:created xsi:type="dcterms:W3CDTF">2020-01-15T18:05:00Z</dcterms:created>
  <dcterms:modified xsi:type="dcterms:W3CDTF">2020-01-15T18:05:00Z</dcterms:modified>
</cp:coreProperties>
</file>