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93" w:rsidRPr="00AB3693" w:rsidRDefault="00523E2C" w:rsidP="00523E2C">
      <w:pPr>
        <w:jc w:val="center"/>
        <w:rPr>
          <w:rFonts w:ascii="Times New Roman" w:hAnsi="Times New Roman" w:cs="Times New Roman"/>
          <w:b/>
          <w:sz w:val="32"/>
          <w:szCs w:val="32"/>
        </w:rPr>
      </w:pPr>
      <w:r w:rsidRPr="00AB3693">
        <w:rPr>
          <w:rFonts w:ascii="Times New Roman" w:hAnsi="Times New Roman" w:cs="Times New Roman"/>
          <w:b/>
          <w:sz w:val="32"/>
          <w:szCs w:val="32"/>
        </w:rPr>
        <w:t xml:space="preserve">In </w:t>
      </w:r>
      <w:r>
        <w:rPr>
          <w:rFonts w:ascii="Times New Roman" w:hAnsi="Times New Roman" w:cs="Times New Roman"/>
          <w:b/>
          <w:sz w:val="32"/>
          <w:szCs w:val="32"/>
        </w:rPr>
        <w:t>r</w:t>
      </w:r>
      <w:r w:rsidRPr="00AB3693">
        <w:rPr>
          <w:rFonts w:ascii="Times New Roman" w:hAnsi="Times New Roman" w:cs="Times New Roman"/>
          <w:b/>
          <w:sz w:val="32"/>
          <w:szCs w:val="32"/>
        </w:rPr>
        <w:t xml:space="preserve">icordo </w:t>
      </w:r>
      <w:r>
        <w:rPr>
          <w:rFonts w:ascii="Times New Roman" w:hAnsi="Times New Roman" w:cs="Times New Roman"/>
          <w:b/>
          <w:sz w:val="32"/>
          <w:szCs w:val="32"/>
        </w:rPr>
        <w:t>d</w:t>
      </w:r>
      <w:r w:rsidRPr="00AB3693">
        <w:rPr>
          <w:rFonts w:ascii="Times New Roman" w:hAnsi="Times New Roman" w:cs="Times New Roman"/>
          <w:b/>
          <w:sz w:val="32"/>
          <w:szCs w:val="32"/>
        </w:rPr>
        <w:t xml:space="preserve">i Giuseppe Guarino: </w:t>
      </w:r>
      <w:r>
        <w:rPr>
          <w:rFonts w:ascii="Times New Roman" w:hAnsi="Times New Roman" w:cs="Times New Roman"/>
          <w:b/>
          <w:sz w:val="32"/>
          <w:szCs w:val="32"/>
        </w:rPr>
        <w:t>u</w:t>
      </w:r>
      <w:r w:rsidRPr="00AB3693">
        <w:rPr>
          <w:rFonts w:ascii="Times New Roman" w:hAnsi="Times New Roman" w:cs="Times New Roman"/>
          <w:b/>
          <w:sz w:val="32"/>
          <w:szCs w:val="32"/>
        </w:rPr>
        <w:t xml:space="preserve">na </w:t>
      </w:r>
      <w:r>
        <w:rPr>
          <w:rFonts w:ascii="Times New Roman" w:hAnsi="Times New Roman" w:cs="Times New Roman"/>
          <w:b/>
          <w:sz w:val="32"/>
          <w:szCs w:val="32"/>
        </w:rPr>
        <w:t>i</w:t>
      </w:r>
      <w:r w:rsidRPr="00AB3693">
        <w:rPr>
          <w:rFonts w:ascii="Times New Roman" w:hAnsi="Times New Roman" w:cs="Times New Roman"/>
          <w:b/>
          <w:sz w:val="32"/>
          <w:szCs w:val="32"/>
        </w:rPr>
        <w:t>ntroduzione</w:t>
      </w:r>
    </w:p>
    <w:p w:rsidR="000F796C" w:rsidRDefault="000F796C" w:rsidP="000F796C">
      <w:pPr>
        <w:jc w:val="right"/>
        <w:rPr>
          <w:sz w:val="28"/>
          <w:szCs w:val="28"/>
        </w:rPr>
      </w:pPr>
      <w:r>
        <w:rPr>
          <w:sz w:val="28"/>
          <w:szCs w:val="28"/>
        </w:rPr>
        <w:t>di Filippo Patroni Griffi</w:t>
      </w:r>
    </w:p>
    <w:p w:rsidR="00AB3693" w:rsidRDefault="00AB3693" w:rsidP="007671B4">
      <w:pPr>
        <w:jc w:val="both"/>
        <w:rPr>
          <w:rFonts w:ascii="Times New Roman" w:hAnsi="Times New Roman" w:cs="Times New Roman"/>
          <w:sz w:val="32"/>
          <w:szCs w:val="32"/>
        </w:rPr>
      </w:pPr>
      <w:bookmarkStart w:id="0" w:name="_GoBack"/>
      <w:bookmarkEnd w:id="0"/>
    </w:p>
    <w:p w:rsidR="001B51FC" w:rsidRDefault="00E8142B" w:rsidP="007671B4">
      <w:pPr>
        <w:jc w:val="both"/>
        <w:rPr>
          <w:rFonts w:ascii="Times New Roman" w:hAnsi="Times New Roman" w:cs="Times New Roman"/>
          <w:sz w:val="32"/>
          <w:szCs w:val="32"/>
        </w:rPr>
      </w:pPr>
      <w:r>
        <w:rPr>
          <w:rFonts w:ascii="Times New Roman" w:hAnsi="Times New Roman" w:cs="Times New Roman"/>
          <w:sz w:val="32"/>
          <w:szCs w:val="32"/>
        </w:rPr>
        <w:t>Credo che vada lodata l’iniziativa della Società Italiana degli Avvocati Amministrativisti volta a ricordare la figura e l’opera di Giuseppe Guarino, che a buon titolo, e senza retorica, appartiene alla storia della cultura giuridica italiana.</w:t>
      </w:r>
    </w:p>
    <w:p w:rsidR="00E8142B" w:rsidRDefault="00E8142B" w:rsidP="007671B4">
      <w:pPr>
        <w:jc w:val="both"/>
        <w:rPr>
          <w:rFonts w:ascii="Times New Roman" w:hAnsi="Times New Roman" w:cs="Times New Roman"/>
          <w:sz w:val="32"/>
          <w:szCs w:val="32"/>
        </w:rPr>
      </w:pPr>
      <w:r>
        <w:rPr>
          <w:rFonts w:ascii="Times New Roman" w:hAnsi="Times New Roman" w:cs="Times New Roman"/>
          <w:sz w:val="32"/>
          <w:szCs w:val="32"/>
        </w:rPr>
        <w:t xml:space="preserve">In questa mia breve introduzione non vorrei richiamare il suo </w:t>
      </w:r>
      <w:r w:rsidRPr="00AF52D3">
        <w:rPr>
          <w:rFonts w:ascii="Times New Roman" w:hAnsi="Times New Roman" w:cs="Times New Roman"/>
          <w:i/>
          <w:sz w:val="32"/>
          <w:szCs w:val="32"/>
        </w:rPr>
        <w:t>curriculum</w:t>
      </w:r>
      <w:r>
        <w:rPr>
          <w:rFonts w:ascii="Times New Roman" w:hAnsi="Times New Roman" w:cs="Times New Roman"/>
          <w:sz w:val="32"/>
          <w:szCs w:val="32"/>
        </w:rPr>
        <w:t xml:space="preserve"> di scienziato del diritto, perché noto ai più e perché altri potranno farlo meglio di me;</w:t>
      </w:r>
      <w:r w:rsidR="00AE3E89">
        <w:rPr>
          <w:rFonts w:ascii="Times New Roman" w:hAnsi="Times New Roman" w:cs="Times New Roman"/>
          <w:sz w:val="32"/>
          <w:szCs w:val="32"/>
        </w:rPr>
        <w:t xml:space="preserve"> della carriera accademica mi limiterei a ricordare, per ragioni di orgoglio campanilistico, che Guarino, oltre a nascere e laurearsi a Napoli, entrò nel 1947 nei ruoli universitari come assistente ordinario</w:t>
      </w:r>
      <w:r>
        <w:rPr>
          <w:rFonts w:ascii="Times New Roman" w:hAnsi="Times New Roman" w:cs="Times New Roman"/>
          <w:sz w:val="32"/>
          <w:szCs w:val="32"/>
        </w:rPr>
        <w:t xml:space="preserve"> </w:t>
      </w:r>
      <w:r w:rsidR="00AE3E89">
        <w:rPr>
          <w:rFonts w:ascii="Times New Roman" w:hAnsi="Times New Roman" w:cs="Times New Roman"/>
          <w:sz w:val="32"/>
          <w:szCs w:val="32"/>
        </w:rPr>
        <w:t>dell’Università di Napoli e nel 1956 vi fu chiamato come professore ordinario di istituzioni di diritto pubblico presso la Facoltà di economia e commercio. Né intendo</w:t>
      </w:r>
      <w:r>
        <w:rPr>
          <w:rFonts w:ascii="Times New Roman" w:hAnsi="Times New Roman" w:cs="Times New Roman"/>
          <w:sz w:val="32"/>
          <w:szCs w:val="32"/>
        </w:rPr>
        <w:t xml:space="preserve"> soffermarmi sul suo impegno politico</w:t>
      </w:r>
      <w:r w:rsidR="00AE3E89">
        <w:rPr>
          <w:rFonts w:ascii="Times New Roman" w:hAnsi="Times New Roman" w:cs="Times New Roman"/>
          <w:sz w:val="32"/>
          <w:szCs w:val="32"/>
        </w:rPr>
        <w:t xml:space="preserve">, che visse come impegno civile e che non si esaurì nella prestigiosa nomina a Ministro delle finanze nel Governo Fanfani del 1987 e a Ministro dell’industria e, </w:t>
      </w:r>
      <w:r w:rsidR="00AE3E89" w:rsidRPr="00AE3E89">
        <w:rPr>
          <w:rFonts w:ascii="Times New Roman" w:hAnsi="Times New Roman" w:cs="Times New Roman"/>
          <w:i/>
          <w:sz w:val="32"/>
          <w:szCs w:val="32"/>
        </w:rPr>
        <w:t>ad interim</w:t>
      </w:r>
      <w:r w:rsidR="00AE3E89">
        <w:rPr>
          <w:rFonts w:ascii="Times New Roman" w:hAnsi="Times New Roman" w:cs="Times New Roman"/>
          <w:sz w:val="32"/>
          <w:szCs w:val="32"/>
        </w:rPr>
        <w:t>, delle partecipazioni statali nel Governo Amato nel 1992.</w:t>
      </w:r>
    </w:p>
    <w:p w:rsidR="00AE3E89" w:rsidRDefault="00AE3E89" w:rsidP="007671B4">
      <w:pPr>
        <w:jc w:val="both"/>
        <w:rPr>
          <w:rFonts w:ascii="Times New Roman" w:hAnsi="Times New Roman" w:cs="Times New Roman"/>
          <w:sz w:val="32"/>
          <w:szCs w:val="32"/>
        </w:rPr>
      </w:pPr>
      <w:r>
        <w:rPr>
          <w:rFonts w:ascii="Times New Roman" w:hAnsi="Times New Roman" w:cs="Times New Roman"/>
          <w:sz w:val="32"/>
          <w:szCs w:val="32"/>
        </w:rPr>
        <w:t>Vorrei dire alcune parole su Giuseppe Guarino studioso, di quel particolare settore noto sin da allora come diritto pubblico dell’economia, e di Giuseppe Guarino avvocato, visto dal punto di vista del magistrato. Si tratta di parole spese per esperienza diretta del professore Guarino.</w:t>
      </w:r>
    </w:p>
    <w:p w:rsidR="00AE3E89" w:rsidRDefault="00AE3E89" w:rsidP="007671B4">
      <w:pPr>
        <w:jc w:val="both"/>
        <w:rPr>
          <w:rFonts w:ascii="Times New Roman" w:hAnsi="Times New Roman" w:cs="Times New Roman"/>
          <w:sz w:val="32"/>
          <w:szCs w:val="32"/>
        </w:rPr>
      </w:pPr>
      <w:r>
        <w:rPr>
          <w:rFonts w:ascii="Times New Roman" w:hAnsi="Times New Roman" w:cs="Times New Roman"/>
          <w:sz w:val="32"/>
          <w:szCs w:val="32"/>
        </w:rPr>
        <w:t xml:space="preserve">Il mio primo incontro con Giuseppe Guarino, infatti, è un incontro, oggi diremmo, virtuale; in realtà, molto più profondo e attento di un incontro sui </w:t>
      </w:r>
      <w:r w:rsidRPr="00AF52D3">
        <w:rPr>
          <w:rFonts w:ascii="Times New Roman" w:hAnsi="Times New Roman" w:cs="Times New Roman"/>
          <w:i/>
          <w:sz w:val="32"/>
          <w:szCs w:val="32"/>
        </w:rPr>
        <w:t>social</w:t>
      </w:r>
      <w:r>
        <w:rPr>
          <w:rFonts w:ascii="Times New Roman" w:hAnsi="Times New Roman" w:cs="Times New Roman"/>
          <w:sz w:val="32"/>
          <w:szCs w:val="32"/>
        </w:rPr>
        <w:t xml:space="preserve"> o in </w:t>
      </w:r>
      <w:r w:rsidRPr="00AF52D3">
        <w:rPr>
          <w:rFonts w:ascii="Times New Roman" w:hAnsi="Times New Roman" w:cs="Times New Roman"/>
          <w:i/>
          <w:sz w:val="32"/>
          <w:szCs w:val="32"/>
        </w:rPr>
        <w:t>chat</w:t>
      </w:r>
      <w:r>
        <w:rPr>
          <w:rFonts w:ascii="Times New Roman" w:hAnsi="Times New Roman" w:cs="Times New Roman"/>
          <w:sz w:val="32"/>
          <w:szCs w:val="32"/>
        </w:rPr>
        <w:t>, perché fu l’incontro di un giovane studente</w:t>
      </w:r>
      <w:r w:rsidR="00E739C5">
        <w:rPr>
          <w:rFonts w:ascii="Times New Roman" w:hAnsi="Times New Roman" w:cs="Times New Roman"/>
          <w:sz w:val="32"/>
          <w:szCs w:val="32"/>
        </w:rPr>
        <w:t>, alle prese con la tesi di laurea sulle partecipazioni statali,</w:t>
      </w:r>
      <w:r w:rsidR="002B7A43">
        <w:rPr>
          <w:rFonts w:ascii="Times New Roman" w:hAnsi="Times New Roman" w:cs="Times New Roman"/>
          <w:sz w:val="32"/>
          <w:szCs w:val="32"/>
        </w:rPr>
        <w:t xml:space="preserve"> con gli scritti di un Maestro. Scritti, già allora, non in un settore tradizionale e statico del diritto amministrativo, bensì in un settore di grande rilevanza politica, in forte evoluzione, in cui le categorie tradizionali del diritto amministrativo si contaminavano con altri settori del diritto</w:t>
      </w:r>
      <w:r w:rsidR="00914F92">
        <w:rPr>
          <w:rFonts w:ascii="Times New Roman" w:hAnsi="Times New Roman" w:cs="Times New Roman"/>
          <w:sz w:val="32"/>
          <w:szCs w:val="32"/>
        </w:rPr>
        <w:t xml:space="preserve"> (soprattutto il costituzionale il privato)</w:t>
      </w:r>
      <w:r w:rsidR="002B7A43">
        <w:rPr>
          <w:rFonts w:ascii="Times New Roman" w:hAnsi="Times New Roman" w:cs="Times New Roman"/>
          <w:sz w:val="32"/>
          <w:szCs w:val="32"/>
        </w:rPr>
        <w:t xml:space="preserve">, con altri </w:t>
      </w:r>
      <w:proofErr w:type="spellStart"/>
      <w:r w:rsidR="002B7A43">
        <w:rPr>
          <w:rFonts w:ascii="Times New Roman" w:hAnsi="Times New Roman" w:cs="Times New Roman"/>
          <w:sz w:val="32"/>
          <w:szCs w:val="32"/>
        </w:rPr>
        <w:t>saperi</w:t>
      </w:r>
      <w:proofErr w:type="spellEnd"/>
      <w:r w:rsidR="002B7A43">
        <w:rPr>
          <w:rFonts w:ascii="Times New Roman" w:hAnsi="Times New Roman" w:cs="Times New Roman"/>
          <w:sz w:val="32"/>
          <w:szCs w:val="32"/>
        </w:rPr>
        <w:t xml:space="preserve"> e in particolare con l’economia, dimostrando così quanto il diritto, se correttamente contestuali</w:t>
      </w:r>
      <w:r w:rsidR="00AF52D3">
        <w:rPr>
          <w:rFonts w:ascii="Times New Roman" w:hAnsi="Times New Roman" w:cs="Times New Roman"/>
          <w:sz w:val="32"/>
          <w:szCs w:val="32"/>
        </w:rPr>
        <w:t>zzato, possa “servire” allo svi</w:t>
      </w:r>
      <w:r w:rsidR="002B7A43">
        <w:rPr>
          <w:rFonts w:ascii="Times New Roman" w:hAnsi="Times New Roman" w:cs="Times New Roman"/>
          <w:sz w:val="32"/>
          <w:szCs w:val="32"/>
        </w:rPr>
        <w:t>luppo della società e a quello che Guarino definiva, e su cui insisteva, il “benessere collettivo”.</w:t>
      </w:r>
    </w:p>
    <w:p w:rsidR="002B7A43" w:rsidRDefault="002B7A43" w:rsidP="007671B4">
      <w:pPr>
        <w:jc w:val="both"/>
        <w:rPr>
          <w:rFonts w:ascii="Times New Roman" w:hAnsi="Times New Roman" w:cs="Times New Roman"/>
          <w:sz w:val="32"/>
          <w:szCs w:val="32"/>
        </w:rPr>
      </w:pPr>
      <w:r>
        <w:rPr>
          <w:rFonts w:ascii="Times New Roman" w:hAnsi="Times New Roman" w:cs="Times New Roman"/>
          <w:sz w:val="32"/>
          <w:szCs w:val="32"/>
        </w:rPr>
        <w:lastRenderedPageBreak/>
        <w:t xml:space="preserve">“Le organizzazioni amministrative sono macchine complesse, che vanno attentamente progettate e calibrate. I nomi sono irrilevanti; ciò che conta è l’analitica disposizione degli ingranaggi e la effettiva idoneità a funzionare dell’insieme”. Così scrive il Professore nella prefazione agli </w:t>
      </w:r>
      <w:r w:rsidRPr="00AF52D3">
        <w:rPr>
          <w:rFonts w:ascii="Times New Roman" w:hAnsi="Times New Roman" w:cs="Times New Roman"/>
          <w:i/>
          <w:sz w:val="32"/>
          <w:szCs w:val="32"/>
        </w:rPr>
        <w:t>Scritti di diritto pubblico dell’economia</w:t>
      </w:r>
      <w:r>
        <w:rPr>
          <w:rFonts w:ascii="Times New Roman" w:hAnsi="Times New Roman" w:cs="Times New Roman"/>
          <w:sz w:val="32"/>
          <w:szCs w:val="32"/>
        </w:rPr>
        <w:t xml:space="preserve"> del 1</w:t>
      </w:r>
      <w:r w:rsidR="00AF52D3">
        <w:rPr>
          <w:rFonts w:ascii="Times New Roman" w:hAnsi="Times New Roman" w:cs="Times New Roman"/>
          <w:sz w:val="32"/>
          <w:szCs w:val="32"/>
        </w:rPr>
        <w:t>9</w:t>
      </w:r>
      <w:r>
        <w:rPr>
          <w:rFonts w:ascii="Times New Roman" w:hAnsi="Times New Roman" w:cs="Times New Roman"/>
          <w:sz w:val="32"/>
          <w:szCs w:val="32"/>
        </w:rPr>
        <w:t xml:space="preserve">70, a conferma della sua naturale tendenza, e capacità, </w:t>
      </w:r>
      <w:r w:rsidR="002F3AF4">
        <w:rPr>
          <w:rFonts w:ascii="Times New Roman" w:hAnsi="Times New Roman" w:cs="Times New Roman"/>
          <w:sz w:val="32"/>
          <w:szCs w:val="32"/>
        </w:rPr>
        <w:t>di utilizzare le lenti del diritto per individuare le migliori soluzioni organizzative nel settore pubblico. E così, Egli continua, “Dappertutto lo Stato…oltre ad aver assunto un ruolo rilevante ed estese responsabilità è divenuto un grosso fattore di produzione e di consumo: il grado di rendimento dei suoi organi incide di conseguenza, in modo diretto e necessario, sulla sfera dei cittadini e sul benessere collettivo”.</w:t>
      </w:r>
    </w:p>
    <w:p w:rsidR="002F3AF4" w:rsidRDefault="002F3AF4" w:rsidP="007671B4">
      <w:pPr>
        <w:jc w:val="both"/>
        <w:rPr>
          <w:rFonts w:ascii="Times New Roman" w:hAnsi="Times New Roman" w:cs="Times New Roman"/>
          <w:sz w:val="32"/>
          <w:szCs w:val="32"/>
        </w:rPr>
      </w:pPr>
      <w:r>
        <w:rPr>
          <w:rFonts w:ascii="Times New Roman" w:hAnsi="Times New Roman" w:cs="Times New Roman"/>
          <w:sz w:val="32"/>
          <w:szCs w:val="32"/>
        </w:rPr>
        <w:t xml:space="preserve">Siamo nell’età della programmazione economica e dell’intervento pubblico nell’economia, che influirà sulla scienza giuridica italiana sia pure in termini ben diversi dalla scuola di </w:t>
      </w:r>
      <w:r w:rsidRPr="002F3AF4">
        <w:rPr>
          <w:rFonts w:ascii="Times New Roman" w:hAnsi="Times New Roman" w:cs="Times New Roman"/>
          <w:i/>
          <w:sz w:val="32"/>
          <w:szCs w:val="32"/>
        </w:rPr>
        <w:t xml:space="preserve">Law and </w:t>
      </w:r>
      <w:proofErr w:type="spellStart"/>
      <w:r w:rsidRPr="002F3AF4">
        <w:rPr>
          <w:rFonts w:ascii="Times New Roman" w:hAnsi="Times New Roman" w:cs="Times New Roman"/>
          <w:i/>
          <w:sz w:val="32"/>
          <w:szCs w:val="32"/>
        </w:rPr>
        <w:t>Economics</w:t>
      </w:r>
      <w:proofErr w:type="spellEnd"/>
      <w:r w:rsidR="00AF52D3">
        <w:rPr>
          <w:rFonts w:ascii="Times New Roman" w:hAnsi="Times New Roman" w:cs="Times New Roman"/>
          <w:sz w:val="32"/>
          <w:szCs w:val="32"/>
        </w:rPr>
        <w:t>;</w:t>
      </w:r>
      <w:r>
        <w:rPr>
          <w:rFonts w:ascii="Times New Roman" w:hAnsi="Times New Roman" w:cs="Times New Roman"/>
          <w:sz w:val="32"/>
          <w:szCs w:val="32"/>
        </w:rPr>
        <w:t xml:space="preserve"> </w:t>
      </w:r>
      <w:r w:rsidR="00AF52D3">
        <w:rPr>
          <w:rFonts w:ascii="Times New Roman" w:hAnsi="Times New Roman" w:cs="Times New Roman"/>
          <w:sz w:val="32"/>
          <w:szCs w:val="32"/>
        </w:rPr>
        <w:t>scienza giuridica che</w:t>
      </w:r>
      <w:r>
        <w:rPr>
          <w:rFonts w:ascii="Times New Roman" w:hAnsi="Times New Roman" w:cs="Times New Roman"/>
          <w:sz w:val="32"/>
          <w:szCs w:val="32"/>
        </w:rPr>
        <w:t xml:space="preserve">, a sua volta, sarà decisiva nell’approntamento degli strumenti di direzione pubblica dell’economia. Siamo infatti in quella che Guarino definisce la seconda fase dell’intervento pubblico nell’economia, quella in cui l’attenzione “si sposta dai singoli poteri alle organizzazioni”. </w:t>
      </w: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l’epoca degli ordinamenti sezionali</w:t>
      </w:r>
      <w:r w:rsidR="00AF52D3">
        <w:rPr>
          <w:rFonts w:ascii="Times New Roman" w:hAnsi="Times New Roman" w:cs="Times New Roman"/>
          <w:sz w:val="32"/>
          <w:szCs w:val="32"/>
        </w:rPr>
        <w:t>,</w:t>
      </w:r>
      <w:r>
        <w:rPr>
          <w:rFonts w:ascii="Times New Roman" w:hAnsi="Times New Roman" w:cs="Times New Roman"/>
          <w:sz w:val="32"/>
          <w:szCs w:val="32"/>
        </w:rPr>
        <w:t xml:space="preserve"> </w:t>
      </w:r>
      <w:r w:rsidRPr="00AF52D3">
        <w:rPr>
          <w:rFonts w:ascii="Times New Roman" w:hAnsi="Times New Roman" w:cs="Times New Roman"/>
          <w:i/>
          <w:sz w:val="32"/>
          <w:szCs w:val="32"/>
        </w:rPr>
        <w:t>in primis</w:t>
      </w:r>
      <w:r>
        <w:rPr>
          <w:rFonts w:ascii="Times New Roman" w:hAnsi="Times New Roman" w:cs="Times New Roman"/>
          <w:sz w:val="32"/>
          <w:szCs w:val="32"/>
        </w:rPr>
        <w:t xml:space="preserve"> quello bancario, del </w:t>
      </w:r>
      <w:r w:rsidRPr="00AF52D3">
        <w:rPr>
          <w:rFonts w:ascii="Times New Roman" w:hAnsi="Times New Roman" w:cs="Times New Roman"/>
          <w:i/>
          <w:sz w:val="32"/>
          <w:szCs w:val="32"/>
        </w:rPr>
        <w:t xml:space="preserve">Rapporto sulla programmazione </w:t>
      </w:r>
      <w:r>
        <w:rPr>
          <w:rFonts w:ascii="Times New Roman" w:hAnsi="Times New Roman" w:cs="Times New Roman"/>
          <w:sz w:val="32"/>
          <w:szCs w:val="32"/>
        </w:rPr>
        <w:t xml:space="preserve">di Giorgio Ruffolo e della </w:t>
      </w:r>
      <w:r w:rsidRPr="00AF52D3">
        <w:rPr>
          <w:rFonts w:ascii="Times New Roman" w:hAnsi="Times New Roman" w:cs="Times New Roman"/>
          <w:i/>
          <w:sz w:val="32"/>
          <w:szCs w:val="32"/>
        </w:rPr>
        <w:t>Nota</w:t>
      </w:r>
      <w:r>
        <w:rPr>
          <w:rFonts w:ascii="Times New Roman" w:hAnsi="Times New Roman" w:cs="Times New Roman"/>
          <w:sz w:val="32"/>
          <w:szCs w:val="32"/>
        </w:rPr>
        <w:t xml:space="preserve"> La Malfa, degli studi e della legislazione sul </w:t>
      </w:r>
      <w:proofErr w:type="spellStart"/>
      <w:r>
        <w:rPr>
          <w:rFonts w:ascii="Times New Roman" w:hAnsi="Times New Roman" w:cs="Times New Roman"/>
          <w:sz w:val="32"/>
          <w:szCs w:val="32"/>
        </w:rPr>
        <w:t>Cipe</w:t>
      </w:r>
      <w:proofErr w:type="spellEnd"/>
      <w:r>
        <w:rPr>
          <w:rFonts w:ascii="Times New Roman" w:hAnsi="Times New Roman" w:cs="Times New Roman"/>
          <w:sz w:val="32"/>
          <w:szCs w:val="32"/>
        </w:rPr>
        <w:t xml:space="preserve"> che segue l’esperienza</w:t>
      </w:r>
      <w:r w:rsidR="00AF52D3">
        <w:rPr>
          <w:rFonts w:ascii="Times New Roman" w:hAnsi="Times New Roman" w:cs="Times New Roman"/>
          <w:sz w:val="32"/>
          <w:szCs w:val="32"/>
        </w:rPr>
        <w:t xml:space="preserve"> della Cassa per il Mezzogiorno;</w:t>
      </w:r>
      <w:r>
        <w:rPr>
          <w:rFonts w:ascii="Times New Roman" w:hAnsi="Times New Roman" w:cs="Times New Roman"/>
          <w:sz w:val="32"/>
          <w:szCs w:val="32"/>
        </w:rPr>
        <w:t xml:space="preserve"> è soprattutto l’epoca delle partecipazioni statali, epigoni e sistemazione dell’esperienza degli enti pubblici economici</w:t>
      </w:r>
      <w:r w:rsidR="00B3350D">
        <w:rPr>
          <w:rFonts w:ascii="Times New Roman" w:hAnsi="Times New Roman" w:cs="Times New Roman"/>
          <w:sz w:val="32"/>
          <w:szCs w:val="32"/>
        </w:rPr>
        <w:t xml:space="preserve"> e delle grandi imprese pubbliche nazionali, a cominciare dall’Enel.</w:t>
      </w:r>
    </w:p>
    <w:p w:rsidR="00B3350D" w:rsidRDefault="00B3350D" w:rsidP="007671B4">
      <w:pPr>
        <w:jc w:val="both"/>
        <w:rPr>
          <w:rFonts w:ascii="Times New Roman" w:hAnsi="Times New Roman" w:cs="Times New Roman"/>
          <w:sz w:val="32"/>
          <w:szCs w:val="32"/>
        </w:rPr>
      </w:pPr>
      <w:r>
        <w:rPr>
          <w:rFonts w:ascii="Times New Roman" w:hAnsi="Times New Roman" w:cs="Times New Roman"/>
          <w:sz w:val="32"/>
          <w:szCs w:val="32"/>
        </w:rPr>
        <w:t xml:space="preserve">Guarino </w:t>
      </w:r>
      <w:r w:rsidR="00E739C5">
        <w:rPr>
          <w:rFonts w:ascii="Times New Roman" w:hAnsi="Times New Roman" w:cs="Times New Roman"/>
          <w:sz w:val="32"/>
          <w:szCs w:val="32"/>
        </w:rPr>
        <w:t>da subito comprese</w:t>
      </w:r>
      <w:r>
        <w:rPr>
          <w:rFonts w:ascii="Times New Roman" w:hAnsi="Times New Roman" w:cs="Times New Roman"/>
          <w:sz w:val="32"/>
          <w:szCs w:val="32"/>
        </w:rPr>
        <w:t xml:space="preserve"> potenzialità e rischi del sistema di intervento pubblico che, in parte, si andava sistemando e</w:t>
      </w:r>
      <w:r w:rsidR="009C7134">
        <w:rPr>
          <w:rFonts w:ascii="Times New Roman" w:hAnsi="Times New Roman" w:cs="Times New Roman"/>
          <w:sz w:val="32"/>
          <w:szCs w:val="32"/>
        </w:rPr>
        <w:t>,</w:t>
      </w:r>
      <w:r>
        <w:rPr>
          <w:rFonts w:ascii="Times New Roman" w:hAnsi="Times New Roman" w:cs="Times New Roman"/>
          <w:sz w:val="32"/>
          <w:szCs w:val="32"/>
        </w:rPr>
        <w:t xml:space="preserve"> in parte</w:t>
      </w:r>
      <w:r w:rsidR="009C7134">
        <w:rPr>
          <w:rFonts w:ascii="Times New Roman" w:hAnsi="Times New Roman" w:cs="Times New Roman"/>
          <w:sz w:val="32"/>
          <w:szCs w:val="32"/>
        </w:rPr>
        <w:t>,</w:t>
      </w:r>
      <w:r>
        <w:rPr>
          <w:rFonts w:ascii="Times New Roman" w:hAnsi="Times New Roman" w:cs="Times New Roman"/>
          <w:sz w:val="32"/>
          <w:szCs w:val="32"/>
        </w:rPr>
        <w:t xml:space="preserve"> si andava delineando</w:t>
      </w:r>
      <w:r w:rsidR="009C7134">
        <w:rPr>
          <w:rFonts w:ascii="Times New Roman" w:hAnsi="Times New Roman" w:cs="Times New Roman"/>
          <w:sz w:val="32"/>
          <w:szCs w:val="32"/>
        </w:rPr>
        <w:t xml:space="preserve"> su nuove basi</w:t>
      </w:r>
      <w:r>
        <w:rPr>
          <w:rFonts w:ascii="Times New Roman" w:hAnsi="Times New Roman" w:cs="Times New Roman"/>
          <w:sz w:val="32"/>
          <w:szCs w:val="32"/>
        </w:rPr>
        <w:t>.</w:t>
      </w:r>
    </w:p>
    <w:p w:rsidR="00B3350D" w:rsidRDefault="00B3350D" w:rsidP="007671B4">
      <w:pPr>
        <w:jc w:val="both"/>
        <w:rPr>
          <w:rFonts w:ascii="Times New Roman" w:hAnsi="Times New Roman" w:cs="Times New Roman"/>
          <w:sz w:val="32"/>
          <w:szCs w:val="32"/>
        </w:rPr>
      </w:pPr>
      <w:r>
        <w:rPr>
          <w:rFonts w:ascii="Times New Roman" w:hAnsi="Times New Roman" w:cs="Times New Roman"/>
          <w:sz w:val="32"/>
          <w:szCs w:val="32"/>
        </w:rPr>
        <w:t xml:space="preserve">Egli coglie, con spirito acuto e duttile come sempre, le opportunità e le potenzialità offerte da una flessibile utilizzazione combinata degli strumenti di diritto pubblico e privato, sul piano sia dell’organizzazione sia dell’azione di intervento nell’economia: penso al saggio </w:t>
      </w:r>
      <w:r w:rsidRPr="00B3350D">
        <w:rPr>
          <w:rFonts w:ascii="Times New Roman" w:hAnsi="Times New Roman" w:cs="Times New Roman"/>
          <w:i/>
          <w:sz w:val="32"/>
          <w:szCs w:val="32"/>
        </w:rPr>
        <w:t>sull’Utilizzazione di modelli differenziati nella organizzazione pubblica</w:t>
      </w:r>
      <w:r>
        <w:rPr>
          <w:rFonts w:ascii="Times New Roman" w:hAnsi="Times New Roman" w:cs="Times New Roman"/>
          <w:sz w:val="32"/>
          <w:szCs w:val="32"/>
        </w:rPr>
        <w:t xml:space="preserve"> (1968).</w:t>
      </w:r>
    </w:p>
    <w:p w:rsidR="00B3350D" w:rsidRDefault="00AF52D3" w:rsidP="007671B4">
      <w:pPr>
        <w:jc w:val="both"/>
        <w:rPr>
          <w:rFonts w:ascii="Times New Roman" w:hAnsi="Times New Roman" w:cs="Times New Roman"/>
          <w:sz w:val="32"/>
          <w:szCs w:val="32"/>
        </w:rPr>
      </w:pPr>
      <w:r>
        <w:rPr>
          <w:rFonts w:ascii="Times New Roman" w:hAnsi="Times New Roman" w:cs="Times New Roman"/>
          <w:sz w:val="32"/>
          <w:szCs w:val="32"/>
        </w:rPr>
        <w:t>Al tempo stesso, delineava</w:t>
      </w:r>
      <w:r w:rsidR="00B3350D">
        <w:rPr>
          <w:rFonts w:ascii="Times New Roman" w:hAnsi="Times New Roman" w:cs="Times New Roman"/>
          <w:sz w:val="32"/>
          <w:szCs w:val="32"/>
        </w:rPr>
        <w:t xml:space="preserve"> i rischi che derivavano da una non accorta e corretta configurazione degli </w:t>
      </w:r>
      <w:r w:rsidR="00B3350D" w:rsidRPr="00B3350D">
        <w:rPr>
          <w:rFonts w:ascii="Times New Roman" w:hAnsi="Times New Roman" w:cs="Times New Roman"/>
          <w:sz w:val="32"/>
          <w:szCs w:val="32"/>
        </w:rPr>
        <w:t>enti di gestione delle partecipazioni statali</w:t>
      </w:r>
      <w:r w:rsidR="00B3350D">
        <w:rPr>
          <w:rFonts w:ascii="Times New Roman" w:hAnsi="Times New Roman" w:cs="Times New Roman"/>
          <w:sz w:val="32"/>
          <w:szCs w:val="32"/>
        </w:rPr>
        <w:t xml:space="preserve"> </w:t>
      </w:r>
      <w:r w:rsidR="00B3350D">
        <w:rPr>
          <w:rFonts w:ascii="Times New Roman" w:hAnsi="Times New Roman" w:cs="Times New Roman"/>
          <w:sz w:val="32"/>
          <w:szCs w:val="32"/>
        </w:rPr>
        <w:lastRenderedPageBreak/>
        <w:t>come enti dotati di personalità giuridica pubblica e capacità di diritto privato: una condizione necessaria per l’operatività di questi enti, che richiedeva una considerazione attenta degli strumenti di direzione e controllo affinché quello che definiva</w:t>
      </w:r>
      <w:r w:rsidR="007E3E8B">
        <w:rPr>
          <w:rFonts w:ascii="Times New Roman" w:hAnsi="Times New Roman" w:cs="Times New Roman"/>
          <w:sz w:val="32"/>
          <w:szCs w:val="32"/>
        </w:rPr>
        <w:t xml:space="preserve">, negli </w:t>
      </w:r>
      <w:r w:rsidR="007E3E8B" w:rsidRPr="007E3E8B">
        <w:rPr>
          <w:rFonts w:ascii="Times New Roman" w:hAnsi="Times New Roman" w:cs="Times New Roman"/>
          <w:i/>
          <w:sz w:val="32"/>
          <w:szCs w:val="32"/>
        </w:rPr>
        <w:t>Scritti</w:t>
      </w:r>
      <w:r w:rsidR="007E3E8B">
        <w:rPr>
          <w:rFonts w:ascii="Times New Roman" w:hAnsi="Times New Roman" w:cs="Times New Roman"/>
          <w:sz w:val="32"/>
          <w:szCs w:val="32"/>
        </w:rPr>
        <w:t xml:space="preserve"> del 1962,</w:t>
      </w:r>
      <w:r w:rsidR="00B3350D">
        <w:rPr>
          <w:rFonts w:ascii="Times New Roman" w:hAnsi="Times New Roman" w:cs="Times New Roman"/>
          <w:sz w:val="32"/>
          <w:szCs w:val="32"/>
        </w:rPr>
        <w:t xml:space="preserve"> il </w:t>
      </w:r>
      <w:r w:rsidR="007E3E8B">
        <w:rPr>
          <w:rFonts w:ascii="Times New Roman" w:hAnsi="Times New Roman" w:cs="Times New Roman"/>
          <w:sz w:val="32"/>
          <w:szCs w:val="32"/>
        </w:rPr>
        <w:t>“</w:t>
      </w:r>
      <w:r w:rsidR="00B3350D">
        <w:rPr>
          <w:rFonts w:ascii="Times New Roman" w:hAnsi="Times New Roman" w:cs="Times New Roman"/>
          <w:sz w:val="32"/>
          <w:szCs w:val="32"/>
        </w:rPr>
        <w:t>problema politico degli enti di gestione</w:t>
      </w:r>
      <w:r w:rsidR="007E3E8B">
        <w:rPr>
          <w:rFonts w:ascii="Times New Roman" w:hAnsi="Times New Roman" w:cs="Times New Roman"/>
          <w:sz w:val="32"/>
          <w:szCs w:val="32"/>
        </w:rPr>
        <w:t>”</w:t>
      </w:r>
      <w:r w:rsidR="00B3350D">
        <w:rPr>
          <w:rFonts w:ascii="Times New Roman" w:hAnsi="Times New Roman" w:cs="Times New Roman"/>
          <w:sz w:val="32"/>
          <w:szCs w:val="32"/>
        </w:rPr>
        <w:t xml:space="preserve"> non degenerasse in una forma di non corretto rapporto tra politica ed economia.</w:t>
      </w:r>
      <w:r w:rsidR="007E3E8B">
        <w:rPr>
          <w:rFonts w:ascii="Times New Roman" w:hAnsi="Times New Roman" w:cs="Times New Roman"/>
          <w:sz w:val="32"/>
          <w:szCs w:val="32"/>
        </w:rPr>
        <w:t xml:space="preserve"> Problema politico che nasceva da fattori giuridico-istituzionali, e segnatamente dalla “combinata circostanza” che questi enti operano sul mercato e con strumenti privatistici (in un certo senso “liberi nel fine”), ma nella situazione soggettiva “privilegiata” di avere personalità giuridica di diritto pubblico.</w:t>
      </w:r>
    </w:p>
    <w:p w:rsidR="00B3350D" w:rsidRDefault="00B3350D" w:rsidP="007671B4">
      <w:pPr>
        <w:jc w:val="both"/>
        <w:rPr>
          <w:rFonts w:ascii="Times New Roman" w:hAnsi="Times New Roman" w:cs="Times New Roman"/>
          <w:sz w:val="32"/>
          <w:szCs w:val="32"/>
        </w:rPr>
      </w:pPr>
      <w:r>
        <w:rPr>
          <w:rFonts w:ascii="Times New Roman" w:hAnsi="Times New Roman" w:cs="Times New Roman"/>
          <w:sz w:val="32"/>
          <w:szCs w:val="32"/>
        </w:rPr>
        <w:t>Già da questi esempi nasce la preveggenza in Guarino di due aspetti che sarebbero stati centrali nella tematica dell’intervento pubblico nell’econom</w:t>
      </w:r>
      <w:r w:rsidR="007E3E8B">
        <w:rPr>
          <w:rFonts w:ascii="Times New Roman" w:hAnsi="Times New Roman" w:cs="Times New Roman"/>
          <w:sz w:val="32"/>
          <w:szCs w:val="32"/>
        </w:rPr>
        <w:t>ia e che sostanzialmente restano tali pur nelle mutate condizioni attuali di contesto.</w:t>
      </w:r>
    </w:p>
    <w:p w:rsidR="007E3E8B" w:rsidRDefault="007E3E8B" w:rsidP="007671B4">
      <w:pPr>
        <w:jc w:val="both"/>
        <w:rPr>
          <w:rFonts w:ascii="Times New Roman" w:hAnsi="Times New Roman" w:cs="Times New Roman"/>
          <w:sz w:val="32"/>
          <w:szCs w:val="32"/>
        </w:rPr>
      </w:pPr>
      <w:r>
        <w:rPr>
          <w:rFonts w:ascii="Times New Roman" w:hAnsi="Times New Roman" w:cs="Times New Roman"/>
          <w:sz w:val="32"/>
          <w:szCs w:val="32"/>
        </w:rPr>
        <w:t>Mi riferisco, in primo luogo, all’idea di una “terza fase” dell’intervento pubblico che coinvolge l’organizzazione amministrativa nel suo complesso: la pubblica amministrazione, non solo quella preposta ai settori tradizionali dell’economia, è “l’elemento che massimamente condiziona qualsiasi processo economico”. E oggi siamo pienamente consapevoli del fatto che la pubblica amministrazione, in ragione del suo funzionamento, può costituire un fattore di crescita che fa</w:t>
      </w:r>
      <w:r w:rsidR="00AF52D3">
        <w:rPr>
          <w:rFonts w:ascii="Times New Roman" w:hAnsi="Times New Roman" w:cs="Times New Roman"/>
          <w:sz w:val="32"/>
          <w:szCs w:val="32"/>
        </w:rPr>
        <w:t>ccia</w:t>
      </w:r>
      <w:r>
        <w:rPr>
          <w:rFonts w:ascii="Times New Roman" w:hAnsi="Times New Roman" w:cs="Times New Roman"/>
          <w:sz w:val="32"/>
          <w:szCs w:val="32"/>
        </w:rPr>
        <w:t xml:space="preserve"> da volano allo sviluppo economico o un fattore di freno all’economia e agli investimenti. Ma se così è, se cioè il funzionamento dell’amministrazione e il perimetro del pubblico condizionano l’economia, “tutto o quasi il diritto amministrativo entra a far parte del diritto pubblico dell’economia”.</w:t>
      </w:r>
    </w:p>
    <w:p w:rsidR="007E3E8B" w:rsidRDefault="007E3E8B" w:rsidP="007671B4">
      <w:pPr>
        <w:jc w:val="both"/>
        <w:rPr>
          <w:rFonts w:ascii="Times New Roman" w:hAnsi="Times New Roman" w:cs="Times New Roman"/>
          <w:sz w:val="32"/>
          <w:szCs w:val="32"/>
        </w:rPr>
      </w:pPr>
      <w:r>
        <w:rPr>
          <w:rFonts w:ascii="Times New Roman" w:hAnsi="Times New Roman" w:cs="Times New Roman"/>
          <w:sz w:val="32"/>
          <w:szCs w:val="32"/>
        </w:rPr>
        <w:t xml:space="preserve">Il secondo profilo che emerge dalla riflessione di Guarino è la consapevolezza di quanto sia delicato, e difficile da gestire, il rapporto tra politica ed economia; o meglio, più in particolare, </w:t>
      </w:r>
      <w:r w:rsidR="00F90544">
        <w:rPr>
          <w:rFonts w:ascii="Times New Roman" w:hAnsi="Times New Roman" w:cs="Times New Roman"/>
          <w:sz w:val="32"/>
          <w:szCs w:val="32"/>
        </w:rPr>
        <w:t xml:space="preserve">quanto sia difficile dosare intervento pubblico e mercato, ragioni dell’economia e ragioni sociali, di coesione e solidarietà, imposte dalla ricerca del “benessere collettivo”. Sul piano giuridico in lui è costante la preoccupazione -anche </w:t>
      </w:r>
      <w:r w:rsidR="00F90544">
        <w:rPr>
          <w:rFonts w:ascii="Times New Roman" w:hAnsi="Times New Roman" w:cs="Times New Roman"/>
          <w:i/>
          <w:sz w:val="32"/>
          <w:szCs w:val="32"/>
        </w:rPr>
        <w:t>de iure co</w:t>
      </w:r>
      <w:r w:rsidR="00F90544" w:rsidRPr="00F90544">
        <w:rPr>
          <w:rFonts w:ascii="Times New Roman" w:hAnsi="Times New Roman" w:cs="Times New Roman"/>
          <w:i/>
          <w:sz w:val="32"/>
          <w:szCs w:val="32"/>
        </w:rPr>
        <w:t>ndendo</w:t>
      </w:r>
      <w:r w:rsidR="00F90544">
        <w:rPr>
          <w:rFonts w:ascii="Times New Roman" w:hAnsi="Times New Roman" w:cs="Times New Roman"/>
          <w:i/>
          <w:sz w:val="32"/>
          <w:szCs w:val="32"/>
        </w:rPr>
        <w:t>,</w:t>
      </w:r>
      <w:r w:rsidR="00F90544">
        <w:rPr>
          <w:rFonts w:ascii="Times New Roman" w:hAnsi="Times New Roman" w:cs="Times New Roman"/>
          <w:sz w:val="32"/>
          <w:szCs w:val="32"/>
        </w:rPr>
        <w:t xml:space="preserve"> come si evince nel lungo saggio </w:t>
      </w:r>
      <w:r w:rsidR="00F90544" w:rsidRPr="00F90544">
        <w:rPr>
          <w:rFonts w:ascii="Times New Roman" w:hAnsi="Times New Roman" w:cs="Times New Roman"/>
          <w:i/>
          <w:sz w:val="32"/>
          <w:szCs w:val="32"/>
        </w:rPr>
        <w:t>Programmazione economica ed imprese pubbliche: aspetti giuridici</w:t>
      </w:r>
      <w:r w:rsidR="00F90544">
        <w:rPr>
          <w:rFonts w:ascii="Times New Roman" w:hAnsi="Times New Roman" w:cs="Times New Roman"/>
          <w:sz w:val="32"/>
          <w:szCs w:val="32"/>
        </w:rPr>
        <w:t xml:space="preserve"> (1963)- di assicurare un costante raccordo tra centri decisionali della politica e centri decisionali “imprenditoriali”, in un difficile equilibrio tra autonomia decisionale degli enti e loro carattere necessariamente “strumentale” alla politica economica del governo, senza il quale –a ben guardare- diventa difficile scorgere la stessa ragion d’essere dell’intervento pubblico nell’economia.</w:t>
      </w:r>
    </w:p>
    <w:p w:rsidR="009C7134" w:rsidRDefault="009C7134" w:rsidP="007671B4">
      <w:pPr>
        <w:jc w:val="both"/>
        <w:rPr>
          <w:rFonts w:ascii="Times New Roman" w:hAnsi="Times New Roman" w:cs="Times New Roman"/>
          <w:sz w:val="32"/>
          <w:szCs w:val="32"/>
        </w:rPr>
      </w:pPr>
      <w:r>
        <w:rPr>
          <w:rFonts w:ascii="Times New Roman" w:hAnsi="Times New Roman" w:cs="Times New Roman"/>
          <w:sz w:val="32"/>
          <w:szCs w:val="32"/>
        </w:rPr>
        <w:t>E siamo a Guarino avvocato, visto dal punto di vista del magistrato.</w:t>
      </w:r>
    </w:p>
    <w:p w:rsidR="009C7134" w:rsidRDefault="009C7134" w:rsidP="007671B4">
      <w:pPr>
        <w:jc w:val="both"/>
        <w:rPr>
          <w:rFonts w:ascii="Times New Roman" w:hAnsi="Times New Roman" w:cs="Times New Roman"/>
          <w:sz w:val="32"/>
          <w:szCs w:val="32"/>
        </w:rPr>
      </w:pPr>
      <w:r>
        <w:rPr>
          <w:rFonts w:ascii="Times New Roman" w:hAnsi="Times New Roman" w:cs="Times New Roman"/>
          <w:sz w:val="32"/>
          <w:szCs w:val="32"/>
        </w:rPr>
        <w:t xml:space="preserve">Quanto entrai in Consiglio, metà anni 80, mi colpì il numero di illustri professori, per me anziani, che frequentavano le aule di Palazzo Spada: </w:t>
      </w:r>
      <w:proofErr w:type="spellStart"/>
      <w:r>
        <w:rPr>
          <w:rFonts w:ascii="Times New Roman" w:hAnsi="Times New Roman" w:cs="Times New Roman"/>
          <w:sz w:val="32"/>
          <w:szCs w:val="32"/>
        </w:rPr>
        <w:t>Nigro</w:t>
      </w:r>
      <w:proofErr w:type="spellEnd"/>
      <w:r>
        <w:rPr>
          <w:rFonts w:ascii="Times New Roman" w:hAnsi="Times New Roman" w:cs="Times New Roman"/>
          <w:sz w:val="32"/>
          <w:szCs w:val="32"/>
        </w:rPr>
        <w:t xml:space="preserve">, Piras, Benvenuti, Raggi, </w:t>
      </w:r>
      <w:proofErr w:type="spellStart"/>
      <w:r>
        <w:rPr>
          <w:rFonts w:ascii="Times New Roman" w:hAnsi="Times New Roman" w:cs="Times New Roman"/>
          <w:sz w:val="32"/>
          <w:szCs w:val="32"/>
        </w:rPr>
        <w:t>Predieri</w:t>
      </w:r>
      <w:proofErr w:type="spellEnd"/>
      <w:r>
        <w:rPr>
          <w:rFonts w:ascii="Times New Roman" w:hAnsi="Times New Roman" w:cs="Times New Roman"/>
          <w:sz w:val="32"/>
          <w:szCs w:val="32"/>
        </w:rPr>
        <w:t>, Acquarone, Giannini e, per l’appunto, Guarino. Dietro di loro, la generazione di coloro che poi, secondo le leggi di natura, sono a tutt’oggi in Palazzo Spada</w:t>
      </w:r>
      <w:r w:rsidR="00A032E5">
        <w:rPr>
          <w:rFonts w:ascii="Times New Roman" w:hAnsi="Times New Roman" w:cs="Times New Roman"/>
          <w:sz w:val="32"/>
          <w:szCs w:val="32"/>
        </w:rPr>
        <w:t>, onorando la toga e spesso l’accademia</w:t>
      </w:r>
      <w:r>
        <w:rPr>
          <w:rFonts w:ascii="Times New Roman" w:hAnsi="Times New Roman" w:cs="Times New Roman"/>
          <w:sz w:val="32"/>
          <w:szCs w:val="32"/>
        </w:rPr>
        <w:t>. Mi parve subito il segno evidente di quello che mi era stato detto da più anziani colleghi, ma che in realtà già emergeva dallo studio del diritto amministrativo</w:t>
      </w:r>
      <w:r w:rsidR="004B1182">
        <w:rPr>
          <w:rFonts w:ascii="Times New Roman" w:hAnsi="Times New Roman" w:cs="Times New Roman"/>
          <w:sz w:val="32"/>
          <w:szCs w:val="32"/>
        </w:rPr>
        <w:t xml:space="preserve">: l’esercizio di una giurisdizione in cui, assai più che in altri settori, accademici, avvocati e magistrati contribuivano, in occasione della trattazione delle cause, o dovrei dire dei casi, a costruire un sistema, processuale ma spesso anche sostanziale, di diritto. Un processo senza codice, un diritto con poche fattispecie e molti princìpi, un modo di difendere e di giudicare che, ancorché incentrato su un diritto “pretorio”, forse era assai più prevedibile di oggi, in un sistema molto più regolato da norme e assistito da un codice del processo. Questo probabilmente accadeva per molte ragioni –difficilmente un fenomeno si spiega per una sola causa- ma sicuramente avveniva, a mio avviso, per l’omogeneità di formazione e di cultura, direi anche </w:t>
      </w:r>
      <w:r w:rsidR="00AF52D3">
        <w:rPr>
          <w:rFonts w:ascii="Times New Roman" w:hAnsi="Times New Roman" w:cs="Times New Roman"/>
          <w:sz w:val="32"/>
          <w:szCs w:val="32"/>
        </w:rPr>
        <w:t>per</w:t>
      </w:r>
      <w:r w:rsidR="004B1182">
        <w:rPr>
          <w:rFonts w:ascii="Times New Roman" w:hAnsi="Times New Roman" w:cs="Times New Roman"/>
          <w:sz w:val="32"/>
          <w:szCs w:val="32"/>
        </w:rPr>
        <w:t xml:space="preserve"> un comune sentire che d</w:t>
      </w:r>
      <w:r w:rsidR="00AF52D3">
        <w:rPr>
          <w:rFonts w:ascii="Times New Roman" w:hAnsi="Times New Roman" w:cs="Times New Roman"/>
          <w:sz w:val="32"/>
          <w:szCs w:val="32"/>
        </w:rPr>
        <w:t>erivava dal confronto aperto, co</w:t>
      </w:r>
      <w:r w:rsidR="004B1182">
        <w:rPr>
          <w:rFonts w:ascii="Times New Roman" w:hAnsi="Times New Roman" w:cs="Times New Roman"/>
          <w:sz w:val="32"/>
          <w:szCs w:val="32"/>
        </w:rPr>
        <w:t>lto, fuori e dent</w:t>
      </w:r>
      <w:r w:rsidR="00E739C5">
        <w:rPr>
          <w:rFonts w:ascii="Times New Roman" w:hAnsi="Times New Roman" w:cs="Times New Roman"/>
          <w:sz w:val="32"/>
          <w:szCs w:val="32"/>
        </w:rPr>
        <w:t>r</w:t>
      </w:r>
      <w:r w:rsidR="004B1182">
        <w:rPr>
          <w:rFonts w:ascii="Times New Roman" w:hAnsi="Times New Roman" w:cs="Times New Roman"/>
          <w:sz w:val="32"/>
          <w:szCs w:val="32"/>
        </w:rPr>
        <w:t>o le aule di giustizia, tra gli attori del processo, attori che impersonavano ovviamente il loro ruolo, ma che erano in primo luogo persone che si conoscevano, si frequentavano, si confrontavano nelle aule di giustizia, nei seminari accademici e non, talvolta nella vita di relazione.</w:t>
      </w:r>
    </w:p>
    <w:p w:rsidR="004B1182" w:rsidRDefault="004B1182" w:rsidP="007671B4">
      <w:pPr>
        <w:jc w:val="both"/>
        <w:rPr>
          <w:rFonts w:ascii="Times New Roman" w:hAnsi="Times New Roman" w:cs="Times New Roman"/>
          <w:sz w:val="32"/>
          <w:szCs w:val="32"/>
        </w:rPr>
      </w:pPr>
      <w:r>
        <w:rPr>
          <w:rFonts w:ascii="Times New Roman" w:hAnsi="Times New Roman" w:cs="Times New Roman"/>
          <w:sz w:val="32"/>
          <w:szCs w:val="32"/>
        </w:rPr>
        <w:t xml:space="preserve">Giuseppe Guarino era parte di questo mondo. Era una parte attiva, di una intelligenza acuta (che mi pare la cifra sintetica del suo essere), di quel senso pratico che può derivare solo da un profondo retroterra teorico, di cui non faceva sfoggio come avvocato se non nella misura in cui gli serviva per illustrare al giudice la giustezza della sua tesi in relazione al caso. Con un eloquio senza dubbio fascinoso, forbito, egli non amava sbavature, diceva solo le cose che serviva dire, </w:t>
      </w:r>
      <w:r w:rsidR="00A032E5">
        <w:rPr>
          <w:rFonts w:ascii="Times New Roman" w:hAnsi="Times New Roman" w:cs="Times New Roman"/>
          <w:sz w:val="32"/>
          <w:szCs w:val="32"/>
        </w:rPr>
        <w:t>sempre col sorriso, talvolta un po’ benevolmente beffardo. Un difensore appassionato fino al momento di passare il testimone alla decisione del giudice; poi distaccato, perché aveva fatto il suo mestiere.</w:t>
      </w:r>
    </w:p>
    <w:p w:rsidR="00A032E5" w:rsidRDefault="00A032E5" w:rsidP="007671B4">
      <w:pPr>
        <w:jc w:val="both"/>
        <w:rPr>
          <w:rFonts w:ascii="Times New Roman" w:hAnsi="Times New Roman" w:cs="Times New Roman"/>
          <w:sz w:val="32"/>
          <w:szCs w:val="32"/>
        </w:rPr>
      </w:pPr>
      <w:r>
        <w:rPr>
          <w:rFonts w:ascii="Times New Roman" w:hAnsi="Times New Roman" w:cs="Times New Roman"/>
          <w:sz w:val="32"/>
          <w:szCs w:val="32"/>
        </w:rPr>
        <w:t>Il mondo cui apparteneva Giuseppe Guarino non esiste più, quanto meno è profondamente cambiato. E</w:t>
      </w:r>
      <w:r w:rsidR="00AF52D3">
        <w:rPr>
          <w:rFonts w:ascii="Times New Roman" w:hAnsi="Times New Roman" w:cs="Times New Roman"/>
          <w:sz w:val="32"/>
          <w:szCs w:val="32"/>
        </w:rPr>
        <w:t>d</w:t>
      </w:r>
      <w:r>
        <w:rPr>
          <w:rFonts w:ascii="Times New Roman" w:hAnsi="Times New Roman" w:cs="Times New Roman"/>
          <w:sz w:val="32"/>
          <w:szCs w:val="32"/>
        </w:rPr>
        <w:t xml:space="preserve"> è inevitabile che sia così. Io credo che però stia a noi, avvocati, professori e magistrati “di seconda generazione” (rispetto a Lui e a coloro che ci hanno preceduto), perpetuare ma soprattutto –cosa più difficile- tramandare quei valori di fondo che abbiamo avuto la fortuna prima di vivere e poi di ereditare</w:t>
      </w:r>
      <w:r w:rsidR="009072B0">
        <w:rPr>
          <w:rFonts w:ascii="Times New Roman" w:hAnsi="Times New Roman" w:cs="Times New Roman"/>
          <w:sz w:val="32"/>
          <w:szCs w:val="32"/>
        </w:rPr>
        <w:t>.</w:t>
      </w:r>
    </w:p>
    <w:p w:rsidR="00AB3693" w:rsidRDefault="00AB3693" w:rsidP="00AB3693">
      <w:pPr>
        <w:jc w:val="right"/>
        <w:rPr>
          <w:rFonts w:ascii="Times New Roman" w:hAnsi="Times New Roman" w:cs="Times New Roman"/>
          <w:sz w:val="32"/>
          <w:szCs w:val="32"/>
        </w:rPr>
      </w:pPr>
    </w:p>
    <w:p w:rsidR="009072B0" w:rsidRPr="00E8142B" w:rsidRDefault="009072B0" w:rsidP="00AB3693">
      <w:pPr>
        <w:jc w:val="right"/>
        <w:rPr>
          <w:rFonts w:ascii="Times New Roman" w:hAnsi="Times New Roman" w:cs="Times New Roman"/>
          <w:sz w:val="32"/>
          <w:szCs w:val="32"/>
        </w:rPr>
      </w:pPr>
      <w:r>
        <w:rPr>
          <w:rFonts w:ascii="Times New Roman" w:hAnsi="Times New Roman" w:cs="Times New Roman"/>
          <w:sz w:val="32"/>
          <w:szCs w:val="32"/>
        </w:rPr>
        <w:t>Filippo Patroni Griffi</w:t>
      </w:r>
    </w:p>
    <w:sectPr w:rsidR="009072B0" w:rsidRPr="00E8142B">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B4" w:rsidRDefault="007671B4" w:rsidP="007671B4">
      <w:pPr>
        <w:spacing w:after="0" w:line="240" w:lineRule="auto"/>
      </w:pPr>
      <w:r>
        <w:separator/>
      </w:r>
    </w:p>
  </w:endnote>
  <w:endnote w:type="continuationSeparator" w:id="0">
    <w:p w:rsidR="007671B4" w:rsidRDefault="007671B4" w:rsidP="0076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12439"/>
      <w:docPartObj>
        <w:docPartGallery w:val="Page Numbers (Bottom of Page)"/>
        <w:docPartUnique/>
      </w:docPartObj>
    </w:sdtPr>
    <w:sdtEndPr/>
    <w:sdtContent>
      <w:p w:rsidR="007671B4" w:rsidRDefault="007671B4">
        <w:pPr>
          <w:pStyle w:val="Pidipagina"/>
          <w:jc w:val="right"/>
        </w:pPr>
        <w:r>
          <w:fldChar w:fldCharType="begin"/>
        </w:r>
        <w:r>
          <w:instrText>PAGE   \* MERGEFORMAT</w:instrText>
        </w:r>
        <w:r>
          <w:fldChar w:fldCharType="separate"/>
        </w:r>
        <w:r w:rsidR="000F796C">
          <w:rPr>
            <w:noProof/>
          </w:rPr>
          <w:t>5</w:t>
        </w:r>
        <w:r>
          <w:fldChar w:fldCharType="end"/>
        </w:r>
      </w:p>
    </w:sdtContent>
  </w:sdt>
  <w:p w:rsidR="007671B4" w:rsidRDefault="007671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B4" w:rsidRDefault="007671B4" w:rsidP="007671B4">
      <w:pPr>
        <w:spacing w:after="0" w:line="240" w:lineRule="auto"/>
      </w:pPr>
      <w:r>
        <w:separator/>
      </w:r>
    </w:p>
  </w:footnote>
  <w:footnote w:type="continuationSeparator" w:id="0">
    <w:p w:rsidR="007671B4" w:rsidRDefault="007671B4" w:rsidP="00767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2B"/>
    <w:rsid w:val="000F796C"/>
    <w:rsid w:val="001B51FC"/>
    <w:rsid w:val="002B7A43"/>
    <w:rsid w:val="002F3AF4"/>
    <w:rsid w:val="004B1182"/>
    <w:rsid w:val="00523E2C"/>
    <w:rsid w:val="007671B4"/>
    <w:rsid w:val="007E3E8B"/>
    <w:rsid w:val="009072B0"/>
    <w:rsid w:val="00914F92"/>
    <w:rsid w:val="009C7134"/>
    <w:rsid w:val="00A032E5"/>
    <w:rsid w:val="00AB3693"/>
    <w:rsid w:val="00AE3E89"/>
    <w:rsid w:val="00AF52D3"/>
    <w:rsid w:val="00B3350D"/>
    <w:rsid w:val="00E739C5"/>
    <w:rsid w:val="00E8142B"/>
    <w:rsid w:val="00F90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0A34"/>
  <w15:chartTrackingRefBased/>
  <w15:docId w15:val="{11FF91DA-0FAF-4F51-ADE7-8E52E439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71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1B4"/>
  </w:style>
  <w:style w:type="paragraph" w:styleId="Pidipagina">
    <w:name w:val="footer"/>
    <w:basedOn w:val="Normale"/>
    <w:link w:val="PidipaginaCarattere"/>
    <w:uiPriority w:val="99"/>
    <w:unhideWhenUsed/>
    <w:rsid w:val="007671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1528</Words>
  <Characters>8710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3</cp:revision>
  <dcterms:created xsi:type="dcterms:W3CDTF">2020-06-10T06:55:00Z</dcterms:created>
  <dcterms:modified xsi:type="dcterms:W3CDTF">2020-06-10T07:15:00Z</dcterms:modified>
</cp:coreProperties>
</file>