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7FC" w:rsidRPr="005C17FC" w:rsidRDefault="006C0F5B" w:rsidP="005C17FC">
      <w:pPr>
        <w:jc w:val="center"/>
        <w:rPr>
          <w:rFonts w:ascii="Times New Roman" w:hAnsi="Times New Roman" w:cs="Times New Roman"/>
          <w:color w:val="002060"/>
          <w:sz w:val="30"/>
          <w:szCs w:val="30"/>
        </w:rPr>
      </w:pPr>
      <w:r>
        <w:rPr>
          <w:rFonts w:ascii="Times New Roman" w:hAnsi="Times New Roman" w:cs="Times New Roman"/>
          <w:i/>
          <w:color w:val="002060"/>
          <w:sz w:val="30"/>
          <w:szCs w:val="30"/>
        </w:rPr>
        <w:t xml:space="preserve">Introduzione al </w:t>
      </w:r>
      <w:r w:rsidR="005C17FC" w:rsidRPr="005C17FC">
        <w:rPr>
          <w:rFonts w:ascii="Times New Roman" w:hAnsi="Times New Roman" w:cs="Times New Roman"/>
          <w:i/>
          <w:color w:val="002060"/>
          <w:sz w:val="30"/>
          <w:szCs w:val="30"/>
        </w:rPr>
        <w:t>Webinar</w:t>
      </w:r>
    </w:p>
    <w:p w:rsidR="001870EF" w:rsidRPr="001870EF" w:rsidRDefault="001870EF" w:rsidP="001870EF">
      <w:pPr>
        <w:spacing w:after="0" w:line="240" w:lineRule="auto"/>
        <w:jc w:val="center"/>
        <w:rPr>
          <w:rFonts w:ascii="Times New Roman" w:hAnsi="Times New Roman" w:cs="Times New Roman"/>
          <w:b/>
          <w:i/>
          <w:color w:val="002060"/>
          <w:sz w:val="32"/>
          <w:szCs w:val="32"/>
        </w:rPr>
      </w:pPr>
      <w:r w:rsidRPr="001870EF">
        <w:rPr>
          <w:rFonts w:ascii="Times New Roman" w:hAnsi="Times New Roman" w:cs="Times New Roman"/>
          <w:b/>
          <w:i/>
          <w:color w:val="002060"/>
          <w:sz w:val="32"/>
          <w:szCs w:val="32"/>
        </w:rPr>
        <w:t xml:space="preserve">Dieci anni di Codice del processo amministrativo: </w:t>
      </w:r>
    </w:p>
    <w:p w:rsidR="005C17FC" w:rsidRPr="001870EF" w:rsidRDefault="001870EF" w:rsidP="001870EF">
      <w:pPr>
        <w:spacing w:after="0" w:line="240" w:lineRule="auto"/>
        <w:jc w:val="center"/>
        <w:rPr>
          <w:rFonts w:ascii="Times New Roman" w:hAnsi="Times New Roman" w:cs="Times New Roman"/>
          <w:b/>
          <w:i/>
          <w:color w:val="002060"/>
          <w:sz w:val="32"/>
          <w:szCs w:val="32"/>
        </w:rPr>
      </w:pPr>
      <w:r w:rsidRPr="001870EF">
        <w:rPr>
          <w:rFonts w:ascii="Times New Roman" w:hAnsi="Times New Roman" w:cs="Times New Roman"/>
          <w:b/>
          <w:i/>
          <w:color w:val="002060"/>
          <w:sz w:val="32"/>
          <w:szCs w:val="32"/>
        </w:rPr>
        <w:t>bilanci e prospettive</w:t>
      </w:r>
    </w:p>
    <w:p w:rsidR="005C17FC" w:rsidRPr="005C17FC" w:rsidRDefault="006C0F5B" w:rsidP="005C17FC">
      <w:pPr>
        <w:jc w:val="center"/>
        <w:rPr>
          <w:rFonts w:ascii="Times New Roman" w:hAnsi="Times New Roman" w:cs="Times New Roman"/>
          <w:color w:val="002060"/>
          <w:sz w:val="30"/>
          <w:szCs w:val="30"/>
        </w:rPr>
      </w:pPr>
      <w:r>
        <w:rPr>
          <w:rFonts w:ascii="Times New Roman" w:hAnsi="Times New Roman" w:cs="Times New Roman"/>
          <w:color w:val="002060"/>
          <w:sz w:val="30"/>
          <w:szCs w:val="30"/>
        </w:rPr>
        <w:t xml:space="preserve">Università RomaTre </w:t>
      </w:r>
      <w:r w:rsidR="001870EF">
        <w:rPr>
          <w:rFonts w:ascii="Times New Roman" w:hAnsi="Times New Roman" w:cs="Times New Roman"/>
          <w:color w:val="002060"/>
          <w:sz w:val="30"/>
          <w:szCs w:val="30"/>
        </w:rPr>
        <w:t>16 settembre</w:t>
      </w:r>
      <w:r w:rsidR="005C17FC" w:rsidRPr="005C17FC">
        <w:rPr>
          <w:rFonts w:ascii="Times New Roman" w:hAnsi="Times New Roman" w:cs="Times New Roman"/>
          <w:color w:val="002060"/>
          <w:sz w:val="30"/>
          <w:szCs w:val="30"/>
        </w:rPr>
        <w:t xml:space="preserve"> 2020</w:t>
      </w:r>
    </w:p>
    <w:p w:rsidR="005C17FC" w:rsidRDefault="005C17FC" w:rsidP="005C17FC">
      <w:pPr>
        <w:jc w:val="center"/>
        <w:rPr>
          <w:rFonts w:ascii="Times New Roman" w:hAnsi="Times New Roman" w:cs="Times New Roman"/>
          <w:color w:val="002060"/>
          <w:sz w:val="30"/>
          <w:szCs w:val="30"/>
        </w:rPr>
      </w:pPr>
      <w:r w:rsidRPr="005C17FC">
        <w:rPr>
          <w:rFonts w:ascii="Times New Roman" w:hAnsi="Times New Roman" w:cs="Times New Roman"/>
          <w:color w:val="002060"/>
          <w:sz w:val="30"/>
          <w:szCs w:val="30"/>
        </w:rPr>
        <w:t>* * *</w:t>
      </w:r>
    </w:p>
    <w:p w:rsidR="001870EF" w:rsidRPr="001870EF" w:rsidRDefault="001870EF" w:rsidP="005C17FC">
      <w:pPr>
        <w:jc w:val="center"/>
        <w:rPr>
          <w:rFonts w:ascii="Times New Roman" w:hAnsi="Times New Roman" w:cs="Times New Roman"/>
          <w:b/>
          <w:i/>
          <w:color w:val="002060"/>
          <w:sz w:val="40"/>
          <w:szCs w:val="40"/>
        </w:rPr>
      </w:pPr>
      <w:r>
        <w:rPr>
          <w:rFonts w:ascii="Times New Roman" w:hAnsi="Times New Roman" w:cs="Times New Roman"/>
          <w:b/>
          <w:i/>
          <w:color w:val="002060"/>
          <w:sz w:val="40"/>
          <w:szCs w:val="40"/>
        </w:rPr>
        <w:t>Il</w:t>
      </w:r>
      <w:r w:rsidRPr="001870EF">
        <w:rPr>
          <w:rFonts w:ascii="Times New Roman" w:hAnsi="Times New Roman" w:cs="Times New Roman"/>
          <w:b/>
          <w:i/>
          <w:color w:val="002060"/>
          <w:sz w:val="40"/>
          <w:szCs w:val="40"/>
        </w:rPr>
        <w:t xml:space="preserve"> Codice del processo amministrativo </w:t>
      </w:r>
    </w:p>
    <w:p w:rsidR="001870EF" w:rsidRPr="001870EF" w:rsidRDefault="001870EF" w:rsidP="005C17FC">
      <w:pPr>
        <w:jc w:val="center"/>
        <w:rPr>
          <w:rFonts w:ascii="Times New Roman" w:hAnsi="Times New Roman" w:cs="Times New Roman"/>
          <w:b/>
          <w:i/>
          <w:color w:val="002060"/>
          <w:sz w:val="40"/>
          <w:szCs w:val="40"/>
        </w:rPr>
      </w:pPr>
      <w:r w:rsidRPr="001870EF">
        <w:rPr>
          <w:rFonts w:ascii="Times New Roman" w:hAnsi="Times New Roman" w:cs="Times New Roman"/>
          <w:b/>
          <w:i/>
          <w:color w:val="002060"/>
          <w:sz w:val="40"/>
          <w:szCs w:val="40"/>
        </w:rPr>
        <w:t>come strumento di piena giurisdizione</w:t>
      </w:r>
    </w:p>
    <w:p w:rsidR="001870EF" w:rsidRDefault="001870EF" w:rsidP="005C17FC">
      <w:pPr>
        <w:jc w:val="center"/>
        <w:rPr>
          <w:rFonts w:ascii="Times New Roman" w:hAnsi="Times New Roman" w:cs="Times New Roman"/>
          <w:color w:val="002060"/>
          <w:sz w:val="30"/>
          <w:szCs w:val="30"/>
        </w:rPr>
      </w:pPr>
    </w:p>
    <w:p w:rsidR="001870EF" w:rsidRPr="005C17FC" w:rsidRDefault="00FE7FD1" w:rsidP="005C17FC">
      <w:pPr>
        <w:jc w:val="center"/>
        <w:rPr>
          <w:rFonts w:ascii="Times New Roman" w:hAnsi="Times New Roman" w:cs="Times New Roman"/>
          <w:color w:val="002060"/>
          <w:sz w:val="30"/>
          <w:szCs w:val="30"/>
        </w:rPr>
      </w:pPr>
      <w:r>
        <w:rPr>
          <w:rFonts w:ascii="Times New Roman" w:hAnsi="Times New Roman" w:cs="Times New Roman"/>
          <w:color w:val="002060"/>
          <w:sz w:val="30"/>
          <w:szCs w:val="30"/>
        </w:rPr>
        <w:t>* * *</w:t>
      </w:r>
    </w:p>
    <w:p w:rsidR="00854D3E" w:rsidRDefault="00854D3E"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Il</w:t>
      </w:r>
      <w:r w:rsidR="006C0F5B">
        <w:rPr>
          <w:rFonts w:ascii="Times New Roman" w:hAnsi="Times New Roman" w:cs="Times New Roman"/>
          <w:color w:val="002060"/>
          <w:sz w:val="28"/>
          <w:szCs w:val="28"/>
        </w:rPr>
        <w:t xml:space="preserve"> c</w:t>
      </w:r>
      <w:r w:rsidR="00FE7FD1">
        <w:rPr>
          <w:rFonts w:ascii="Times New Roman" w:hAnsi="Times New Roman" w:cs="Times New Roman"/>
          <w:color w:val="002060"/>
          <w:sz w:val="28"/>
          <w:szCs w:val="28"/>
        </w:rPr>
        <w:t>odice del processo amministrativo</w:t>
      </w:r>
      <w:r>
        <w:rPr>
          <w:rFonts w:ascii="Times New Roman" w:hAnsi="Times New Roman" w:cs="Times New Roman"/>
          <w:color w:val="002060"/>
          <w:sz w:val="28"/>
          <w:szCs w:val="28"/>
        </w:rPr>
        <w:t xml:space="preserve"> costituisce una tappa fondamentale nell’evoluzione del sistema delle tutele nei confronti dei pubblici poteri e del conseguente ruolo del giudice amministrativo.</w:t>
      </w:r>
    </w:p>
    <w:p w:rsidR="00854D3E" w:rsidRPr="00854D3E" w:rsidRDefault="00854D3E" w:rsidP="00854D3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Evoluzione che mi sentirei di sintetizzare nei seguenti termini: </w:t>
      </w:r>
      <w:r w:rsidR="006C0F5B">
        <w:rPr>
          <w:rFonts w:ascii="Times New Roman" w:hAnsi="Times New Roman" w:cs="Times New Roman"/>
          <w:color w:val="002060"/>
          <w:sz w:val="28"/>
          <w:szCs w:val="28"/>
        </w:rPr>
        <w:t>il</w:t>
      </w:r>
      <w:r w:rsidRPr="00854D3E">
        <w:rPr>
          <w:rFonts w:ascii="Times New Roman" w:hAnsi="Times New Roman" w:cs="Times New Roman"/>
          <w:color w:val="002060"/>
          <w:sz w:val="28"/>
          <w:szCs w:val="28"/>
        </w:rPr>
        <w:t xml:space="preserve"> giudice amministrativo </w:t>
      </w:r>
      <w:r>
        <w:rPr>
          <w:rFonts w:ascii="Times New Roman" w:hAnsi="Times New Roman" w:cs="Times New Roman"/>
          <w:color w:val="002060"/>
          <w:sz w:val="28"/>
          <w:szCs w:val="28"/>
        </w:rPr>
        <w:t>n</w:t>
      </w:r>
      <w:r w:rsidRPr="00854D3E">
        <w:rPr>
          <w:rFonts w:ascii="Times New Roman" w:hAnsi="Times New Roman" w:cs="Times New Roman"/>
          <w:color w:val="002060"/>
          <w:sz w:val="28"/>
          <w:szCs w:val="28"/>
        </w:rPr>
        <w:t xml:space="preserve">asce come un giudice </w:t>
      </w:r>
      <w:r w:rsidRPr="00854D3E">
        <w:rPr>
          <w:rFonts w:ascii="Times New Roman" w:hAnsi="Times New Roman" w:cs="Times New Roman"/>
          <w:i/>
          <w:color w:val="002060"/>
          <w:sz w:val="28"/>
          <w:szCs w:val="28"/>
        </w:rPr>
        <w:t>nell’</w:t>
      </w:r>
      <w:r w:rsidRPr="00854D3E">
        <w:rPr>
          <w:rFonts w:ascii="Times New Roman" w:hAnsi="Times New Roman" w:cs="Times New Roman"/>
          <w:color w:val="002060"/>
          <w:sz w:val="28"/>
          <w:szCs w:val="28"/>
        </w:rPr>
        <w:t xml:space="preserve">amministrazione, per l’idea che l’amministrazione non può essere giudicata che da sé stessa; si trasforma gradualmente, ma abbastanza repentinamente, in un giudice </w:t>
      </w:r>
      <w:r w:rsidRPr="00854D3E">
        <w:rPr>
          <w:rFonts w:ascii="Times New Roman" w:hAnsi="Times New Roman" w:cs="Times New Roman"/>
          <w:i/>
          <w:color w:val="002060"/>
          <w:sz w:val="28"/>
          <w:szCs w:val="28"/>
        </w:rPr>
        <w:t>dell’</w:t>
      </w:r>
      <w:r w:rsidRPr="00854D3E">
        <w:rPr>
          <w:rFonts w:ascii="Times New Roman" w:hAnsi="Times New Roman" w:cs="Times New Roman"/>
          <w:color w:val="002060"/>
          <w:sz w:val="28"/>
          <w:szCs w:val="28"/>
        </w:rPr>
        <w:t xml:space="preserve">amministrazione, cioè un giudice che </w:t>
      </w:r>
      <w:r w:rsidRPr="00854D3E">
        <w:rPr>
          <w:rFonts w:ascii="Times New Roman" w:hAnsi="Times New Roman" w:cs="Times New Roman"/>
          <w:i/>
          <w:color w:val="002060"/>
          <w:sz w:val="28"/>
          <w:szCs w:val="28"/>
        </w:rPr>
        <w:t>giudica</w:t>
      </w:r>
      <w:r w:rsidRPr="00854D3E">
        <w:rPr>
          <w:rFonts w:ascii="Times New Roman" w:hAnsi="Times New Roman" w:cs="Times New Roman"/>
          <w:color w:val="002060"/>
          <w:sz w:val="28"/>
          <w:szCs w:val="28"/>
        </w:rPr>
        <w:t xml:space="preserve"> l’amministrazione.</w:t>
      </w:r>
    </w:p>
    <w:p w:rsidR="0032006E" w:rsidRDefault="00E5118E"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Quello della “piena giurisdizione” è</w:t>
      </w:r>
      <w:r w:rsidR="00FE7FD1">
        <w:rPr>
          <w:rFonts w:ascii="Times New Roman" w:hAnsi="Times New Roman" w:cs="Times New Roman"/>
          <w:color w:val="002060"/>
          <w:sz w:val="28"/>
          <w:szCs w:val="28"/>
        </w:rPr>
        <w:t xml:space="preserve"> </w:t>
      </w:r>
      <w:r w:rsidR="00FE7FD1" w:rsidRPr="00FE7FD1">
        <w:rPr>
          <w:rFonts w:ascii="Times New Roman" w:hAnsi="Times New Roman" w:cs="Times New Roman"/>
          <w:i/>
          <w:color w:val="002060"/>
          <w:sz w:val="28"/>
          <w:szCs w:val="28"/>
        </w:rPr>
        <w:t>non</w:t>
      </w:r>
      <w:r w:rsidR="00FE7FD1">
        <w:rPr>
          <w:rFonts w:ascii="Times New Roman" w:hAnsi="Times New Roman" w:cs="Times New Roman"/>
          <w:color w:val="002060"/>
          <w:sz w:val="28"/>
          <w:szCs w:val="28"/>
        </w:rPr>
        <w:t xml:space="preserve"> </w:t>
      </w:r>
      <w:r w:rsidR="00FE7FD1" w:rsidRPr="00FE7FD1">
        <w:rPr>
          <w:rFonts w:ascii="Times New Roman" w:hAnsi="Times New Roman" w:cs="Times New Roman"/>
          <w:i/>
          <w:color w:val="002060"/>
          <w:sz w:val="28"/>
          <w:szCs w:val="28"/>
        </w:rPr>
        <w:t xml:space="preserve"> uno</w:t>
      </w:r>
      <w:r w:rsidR="00FE7FD1">
        <w:rPr>
          <w:rFonts w:ascii="Times New Roman" w:hAnsi="Times New Roman" w:cs="Times New Roman"/>
          <w:color w:val="002060"/>
          <w:sz w:val="28"/>
          <w:szCs w:val="28"/>
        </w:rPr>
        <w:t xml:space="preserve"> </w:t>
      </w:r>
      <w:r w:rsidR="00FE7FD1" w:rsidRPr="00275AD0">
        <w:rPr>
          <w:rFonts w:ascii="Times New Roman" w:hAnsi="Times New Roman" w:cs="Times New Roman"/>
          <w:i/>
          <w:color w:val="002060"/>
          <w:sz w:val="28"/>
          <w:szCs w:val="28"/>
        </w:rPr>
        <w:t>dei temi</w:t>
      </w:r>
      <w:r w:rsidR="00FE7FD1">
        <w:rPr>
          <w:rFonts w:ascii="Times New Roman" w:hAnsi="Times New Roman" w:cs="Times New Roman"/>
          <w:color w:val="002060"/>
          <w:sz w:val="28"/>
          <w:szCs w:val="28"/>
        </w:rPr>
        <w:t xml:space="preserve"> che caratterizzano </w:t>
      </w:r>
      <w:r w:rsidR="00275AD0">
        <w:rPr>
          <w:rFonts w:ascii="Times New Roman" w:hAnsi="Times New Roman" w:cs="Times New Roman"/>
          <w:color w:val="002060"/>
          <w:sz w:val="28"/>
          <w:szCs w:val="28"/>
        </w:rPr>
        <w:t xml:space="preserve">la genesi e </w:t>
      </w:r>
      <w:r w:rsidR="00FE7FD1">
        <w:rPr>
          <w:rFonts w:ascii="Times New Roman" w:hAnsi="Times New Roman" w:cs="Times New Roman"/>
          <w:color w:val="002060"/>
          <w:sz w:val="28"/>
          <w:szCs w:val="28"/>
        </w:rPr>
        <w:t xml:space="preserve">l’evoluzione del sistema processuale amministrativo, bensì </w:t>
      </w:r>
      <w:r w:rsidR="00771C5B">
        <w:rPr>
          <w:rFonts w:ascii="Times New Roman" w:hAnsi="Times New Roman" w:cs="Times New Roman"/>
          <w:i/>
          <w:color w:val="002060"/>
          <w:sz w:val="28"/>
          <w:szCs w:val="28"/>
        </w:rPr>
        <w:t>i</w:t>
      </w:r>
      <w:r w:rsidR="00FE7FD1" w:rsidRPr="00FE7FD1">
        <w:rPr>
          <w:rFonts w:ascii="Times New Roman" w:hAnsi="Times New Roman" w:cs="Times New Roman"/>
          <w:i/>
          <w:color w:val="002060"/>
          <w:sz w:val="28"/>
          <w:szCs w:val="28"/>
        </w:rPr>
        <w:t>l tema</w:t>
      </w:r>
      <w:r w:rsidR="00FE7FD1">
        <w:rPr>
          <w:rFonts w:ascii="Times New Roman" w:hAnsi="Times New Roman" w:cs="Times New Roman"/>
          <w:color w:val="002060"/>
          <w:sz w:val="28"/>
          <w:szCs w:val="28"/>
        </w:rPr>
        <w:t xml:space="preserve"> per antonomasia con il </w:t>
      </w:r>
      <w:r w:rsidR="00FE7FD1" w:rsidRPr="00D93DA0">
        <w:rPr>
          <w:rFonts w:ascii="Times New Roman" w:hAnsi="Times New Roman" w:cs="Times New Roman"/>
          <w:color w:val="002060"/>
          <w:sz w:val="28"/>
          <w:szCs w:val="28"/>
        </w:rPr>
        <w:t xml:space="preserve">quale deve necessariamente confrontarsi </w:t>
      </w:r>
      <w:r w:rsidR="006C0F5B">
        <w:rPr>
          <w:rFonts w:ascii="Times New Roman" w:hAnsi="Times New Roman" w:cs="Times New Roman"/>
          <w:color w:val="002060"/>
          <w:sz w:val="28"/>
          <w:szCs w:val="28"/>
        </w:rPr>
        <w:t>il l</w:t>
      </w:r>
      <w:r w:rsidR="00275AD0" w:rsidRPr="00D93DA0">
        <w:rPr>
          <w:rFonts w:ascii="Times New Roman" w:hAnsi="Times New Roman" w:cs="Times New Roman"/>
          <w:color w:val="002060"/>
          <w:sz w:val="28"/>
          <w:szCs w:val="28"/>
        </w:rPr>
        <w:t xml:space="preserve">egislatore quando pone mano </w:t>
      </w:r>
      <w:r w:rsidR="007E2CA4" w:rsidRPr="00D93DA0">
        <w:rPr>
          <w:rFonts w:ascii="Times New Roman" w:hAnsi="Times New Roman" w:cs="Times New Roman"/>
          <w:color w:val="002060"/>
          <w:sz w:val="28"/>
          <w:szCs w:val="28"/>
        </w:rPr>
        <w:t>a qualun</w:t>
      </w:r>
      <w:r w:rsidR="007E2CA4">
        <w:rPr>
          <w:rFonts w:ascii="Times New Roman" w:hAnsi="Times New Roman" w:cs="Times New Roman"/>
          <w:color w:val="002060"/>
          <w:sz w:val="28"/>
          <w:szCs w:val="28"/>
        </w:rPr>
        <w:t>que riforma</w:t>
      </w:r>
      <w:r w:rsidR="00275AD0">
        <w:rPr>
          <w:rFonts w:ascii="Times New Roman" w:hAnsi="Times New Roman" w:cs="Times New Roman"/>
          <w:color w:val="002060"/>
          <w:sz w:val="28"/>
          <w:szCs w:val="28"/>
        </w:rPr>
        <w:t xml:space="preserve"> nella materia processuale.</w:t>
      </w:r>
    </w:p>
    <w:p w:rsidR="00275AD0" w:rsidRDefault="00275AD0"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E</w:t>
      </w:r>
      <w:r w:rsidR="00C0562C">
        <w:rPr>
          <w:rFonts w:ascii="Times New Roman" w:hAnsi="Times New Roman" w:cs="Times New Roman"/>
          <w:color w:val="002060"/>
          <w:sz w:val="28"/>
          <w:szCs w:val="28"/>
        </w:rPr>
        <w:t xml:space="preserve">d infatti, se è vero che il processo rappresenta </w:t>
      </w:r>
      <w:r w:rsidR="000C7618">
        <w:rPr>
          <w:rFonts w:ascii="Times New Roman" w:hAnsi="Times New Roman" w:cs="Times New Roman"/>
          <w:color w:val="002060"/>
          <w:sz w:val="28"/>
          <w:szCs w:val="28"/>
        </w:rPr>
        <w:t xml:space="preserve">al contempo </w:t>
      </w:r>
      <w:r w:rsidR="00C0562C" w:rsidRPr="000C7618">
        <w:rPr>
          <w:rFonts w:ascii="Times New Roman" w:hAnsi="Times New Roman" w:cs="Times New Roman"/>
          <w:i/>
          <w:color w:val="002060"/>
          <w:sz w:val="28"/>
          <w:szCs w:val="28"/>
        </w:rPr>
        <w:t xml:space="preserve">la sede </w:t>
      </w:r>
      <w:r w:rsidR="00C0562C">
        <w:rPr>
          <w:rFonts w:ascii="Times New Roman" w:hAnsi="Times New Roman" w:cs="Times New Roman"/>
          <w:color w:val="002060"/>
          <w:sz w:val="28"/>
          <w:szCs w:val="28"/>
        </w:rPr>
        <w:t xml:space="preserve">e </w:t>
      </w:r>
      <w:r w:rsidR="00C0562C" w:rsidRPr="000C7618">
        <w:rPr>
          <w:rFonts w:ascii="Times New Roman" w:hAnsi="Times New Roman" w:cs="Times New Roman"/>
          <w:i/>
          <w:color w:val="002060"/>
          <w:sz w:val="28"/>
          <w:szCs w:val="28"/>
        </w:rPr>
        <w:t>il mezzo</w:t>
      </w:r>
      <w:r w:rsidR="00C0562C">
        <w:rPr>
          <w:rFonts w:ascii="Times New Roman" w:hAnsi="Times New Roman" w:cs="Times New Roman"/>
          <w:color w:val="002060"/>
          <w:sz w:val="28"/>
          <w:szCs w:val="28"/>
        </w:rPr>
        <w:t xml:space="preserve"> per l’attuazione della tutela dei diritti e degli interessi</w:t>
      </w:r>
      <w:r w:rsidR="00854D3E">
        <w:rPr>
          <w:rFonts w:ascii="Times New Roman" w:hAnsi="Times New Roman" w:cs="Times New Roman"/>
          <w:color w:val="002060"/>
          <w:sz w:val="28"/>
          <w:szCs w:val="28"/>
        </w:rPr>
        <w:t xml:space="preserve">, il </w:t>
      </w:r>
      <w:r w:rsidR="00854D3E" w:rsidRPr="00854D3E">
        <w:rPr>
          <w:rFonts w:ascii="Times New Roman" w:hAnsi="Times New Roman" w:cs="Times New Roman"/>
          <w:i/>
          <w:color w:val="002060"/>
          <w:sz w:val="28"/>
          <w:szCs w:val="28"/>
        </w:rPr>
        <w:t>luogo</w:t>
      </w:r>
      <w:r w:rsidR="00854D3E">
        <w:rPr>
          <w:rFonts w:ascii="Times New Roman" w:hAnsi="Times New Roman" w:cs="Times New Roman"/>
          <w:color w:val="002060"/>
          <w:sz w:val="28"/>
          <w:szCs w:val="28"/>
        </w:rPr>
        <w:t xml:space="preserve"> per la soluzione dei conflitti tra autorità e libertà </w:t>
      </w:r>
      <w:r w:rsidR="00974B18">
        <w:rPr>
          <w:rFonts w:ascii="Times New Roman" w:hAnsi="Times New Roman" w:cs="Times New Roman"/>
          <w:color w:val="002060"/>
          <w:sz w:val="28"/>
          <w:szCs w:val="28"/>
        </w:rPr>
        <w:t>(</w:t>
      </w:r>
      <w:r w:rsidR="002E5372">
        <w:rPr>
          <w:rFonts w:ascii="Times New Roman" w:hAnsi="Times New Roman" w:cs="Times New Roman"/>
          <w:color w:val="002060"/>
          <w:sz w:val="28"/>
          <w:szCs w:val="28"/>
        </w:rPr>
        <w:t>correttamente la dottrina</w:t>
      </w:r>
      <w:r w:rsidR="002E5372">
        <w:rPr>
          <w:rStyle w:val="Rimandonotaapidipagina"/>
          <w:rFonts w:ascii="Times New Roman" w:hAnsi="Times New Roman" w:cs="Times New Roman"/>
          <w:color w:val="002060"/>
          <w:sz w:val="28"/>
          <w:szCs w:val="28"/>
        </w:rPr>
        <w:footnoteReference w:id="1"/>
      </w:r>
      <w:r w:rsidR="00974B18">
        <w:rPr>
          <w:rFonts w:ascii="Times New Roman" w:hAnsi="Times New Roman" w:cs="Times New Roman"/>
          <w:color w:val="002060"/>
          <w:sz w:val="28"/>
          <w:szCs w:val="28"/>
        </w:rPr>
        <w:t xml:space="preserve"> ha parlato</w:t>
      </w:r>
      <w:r w:rsidR="00974B18" w:rsidRPr="00D93DA0">
        <w:rPr>
          <w:rFonts w:ascii="Times New Roman" w:hAnsi="Times New Roman" w:cs="Times New Roman"/>
          <w:color w:val="002060"/>
          <w:sz w:val="28"/>
          <w:szCs w:val="28"/>
        </w:rPr>
        <w:t xml:space="preserve"> al riguardo di “</w:t>
      </w:r>
      <w:r w:rsidR="00974B18" w:rsidRPr="00D93DA0">
        <w:rPr>
          <w:rFonts w:ascii="Times New Roman" w:hAnsi="Times New Roman" w:cs="Times New Roman"/>
          <w:i/>
          <w:color w:val="002060"/>
          <w:sz w:val="28"/>
          <w:szCs w:val="28"/>
        </w:rPr>
        <w:t>tecniche di attuazione dei diritti nel processo amministrativo</w:t>
      </w:r>
      <w:r w:rsidR="00974B18" w:rsidRPr="00D93DA0">
        <w:rPr>
          <w:rFonts w:ascii="Times New Roman" w:hAnsi="Times New Roman" w:cs="Times New Roman"/>
          <w:color w:val="002060"/>
          <w:sz w:val="28"/>
          <w:szCs w:val="28"/>
        </w:rPr>
        <w:t>”)</w:t>
      </w:r>
      <w:r w:rsidR="00C0562C" w:rsidRPr="00D93DA0">
        <w:rPr>
          <w:rFonts w:ascii="Times New Roman" w:hAnsi="Times New Roman" w:cs="Times New Roman"/>
          <w:color w:val="002060"/>
          <w:sz w:val="28"/>
          <w:szCs w:val="28"/>
        </w:rPr>
        <w:t>, allora la qualità delle regole del processo viene misurata in base alla loro capacità di attu</w:t>
      </w:r>
      <w:r w:rsidR="00C0562C">
        <w:rPr>
          <w:rFonts w:ascii="Times New Roman" w:hAnsi="Times New Roman" w:cs="Times New Roman"/>
          <w:color w:val="002060"/>
          <w:sz w:val="28"/>
          <w:szCs w:val="28"/>
        </w:rPr>
        <w:t xml:space="preserve">are in modo pieno ed effettivo tale tutela. </w:t>
      </w:r>
    </w:p>
    <w:p w:rsidR="00D63105" w:rsidRPr="0032006E" w:rsidRDefault="00D63105" w:rsidP="00D63105">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E se è vero che, </w:t>
      </w:r>
      <w:r w:rsidR="006C0F5B">
        <w:rPr>
          <w:rFonts w:ascii="Times New Roman" w:hAnsi="Times New Roman" w:cs="Times New Roman"/>
          <w:color w:val="002060"/>
          <w:sz w:val="28"/>
          <w:szCs w:val="28"/>
        </w:rPr>
        <w:t>nel sistema costituzionale, il g</w:t>
      </w:r>
      <w:r>
        <w:rPr>
          <w:rFonts w:ascii="Times New Roman" w:hAnsi="Times New Roman" w:cs="Times New Roman"/>
          <w:color w:val="002060"/>
          <w:sz w:val="28"/>
          <w:szCs w:val="28"/>
        </w:rPr>
        <w:t xml:space="preserve">iudice amministrativo </w:t>
      </w:r>
      <w:r w:rsidR="00854D3E">
        <w:rPr>
          <w:rFonts w:ascii="Times New Roman" w:hAnsi="Times New Roman" w:cs="Times New Roman"/>
          <w:color w:val="002060"/>
          <w:sz w:val="28"/>
          <w:szCs w:val="28"/>
        </w:rPr>
        <w:t>è</w:t>
      </w:r>
      <w:r>
        <w:rPr>
          <w:rFonts w:ascii="Times New Roman" w:hAnsi="Times New Roman" w:cs="Times New Roman"/>
          <w:color w:val="002060"/>
          <w:sz w:val="28"/>
          <w:szCs w:val="28"/>
        </w:rPr>
        <w:t xml:space="preserve"> </w:t>
      </w:r>
      <w:r w:rsidR="00D93DA0">
        <w:rPr>
          <w:rFonts w:ascii="Times New Roman" w:hAnsi="Times New Roman" w:cs="Times New Roman"/>
          <w:color w:val="002060"/>
          <w:sz w:val="28"/>
          <w:szCs w:val="28"/>
        </w:rPr>
        <w:t xml:space="preserve">concepito </w:t>
      </w:r>
      <w:r w:rsidR="00854D3E">
        <w:rPr>
          <w:rFonts w:ascii="Times New Roman" w:hAnsi="Times New Roman" w:cs="Times New Roman"/>
          <w:color w:val="002060"/>
          <w:sz w:val="28"/>
          <w:szCs w:val="28"/>
        </w:rPr>
        <w:t>non tanto come il mero</w:t>
      </w:r>
      <w:r w:rsidR="002E5372">
        <w:rPr>
          <w:rFonts w:ascii="Times New Roman" w:hAnsi="Times New Roman" w:cs="Times New Roman"/>
          <w:color w:val="002060"/>
          <w:sz w:val="28"/>
          <w:szCs w:val="28"/>
        </w:rPr>
        <w:t xml:space="preserve"> </w:t>
      </w:r>
      <w:r>
        <w:rPr>
          <w:rFonts w:ascii="Times New Roman" w:hAnsi="Times New Roman" w:cs="Times New Roman"/>
          <w:color w:val="002060"/>
          <w:sz w:val="28"/>
          <w:szCs w:val="28"/>
        </w:rPr>
        <w:t>garante della legittimità amministrativa (</w:t>
      </w:r>
      <w:r w:rsidR="00854D3E">
        <w:rPr>
          <w:rFonts w:ascii="Times New Roman" w:hAnsi="Times New Roman" w:cs="Times New Roman"/>
          <w:color w:val="002060"/>
          <w:sz w:val="28"/>
          <w:szCs w:val="28"/>
        </w:rPr>
        <w:t xml:space="preserve">che ne costituisce semmai il riflesso) </w:t>
      </w:r>
      <w:r>
        <w:rPr>
          <w:rFonts w:ascii="Times New Roman" w:hAnsi="Times New Roman" w:cs="Times New Roman"/>
          <w:color w:val="002060"/>
          <w:sz w:val="28"/>
          <w:szCs w:val="28"/>
        </w:rPr>
        <w:t xml:space="preserve">quanto, piuttosto, </w:t>
      </w:r>
      <w:r w:rsidR="00D93DA0">
        <w:rPr>
          <w:rFonts w:ascii="Times New Roman" w:hAnsi="Times New Roman" w:cs="Times New Roman"/>
          <w:color w:val="002060"/>
          <w:sz w:val="28"/>
          <w:szCs w:val="28"/>
        </w:rPr>
        <w:t xml:space="preserve">come </w:t>
      </w:r>
      <w:r w:rsidR="006C0F5B">
        <w:rPr>
          <w:rFonts w:ascii="Times New Roman" w:hAnsi="Times New Roman" w:cs="Times New Roman"/>
          <w:color w:val="002060"/>
          <w:sz w:val="28"/>
          <w:szCs w:val="28"/>
        </w:rPr>
        <w:t>il g</w:t>
      </w:r>
      <w:r>
        <w:rPr>
          <w:rFonts w:ascii="Times New Roman" w:hAnsi="Times New Roman" w:cs="Times New Roman"/>
          <w:color w:val="002060"/>
          <w:sz w:val="28"/>
          <w:szCs w:val="28"/>
        </w:rPr>
        <w:t xml:space="preserve">iudice che assicura la tutela dei diritti e </w:t>
      </w:r>
      <w:r>
        <w:rPr>
          <w:rFonts w:ascii="Times New Roman" w:hAnsi="Times New Roman" w:cs="Times New Roman"/>
          <w:color w:val="002060"/>
          <w:sz w:val="28"/>
          <w:szCs w:val="28"/>
        </w:rPr>
        <w:lastRenderedPageBreak/>
        <w:t>degli interessi nei confr</w:t>
      </w:r>
      <w:r w:rsidR="00854D3E">
        <w:rPr>
          <w:rFonts w:ascii="Times New Roman" w:hAnsi="Times New Roman" w:cs="Times New Roman"/>
          <w:color w:val="002060"/>
          <w:sz w:val="28"/>
          <w:szCs w:val="28"/>
        </w:rPr>
        <w:t>onti dell’azione amministrativa</w:t>
      </w:r>
      <w:r>
        <w:rPr>
          <w:rFonts w:ascii="Times New Roman" w:hAnsi="Times New Roman" w:cs="Times New Roman"/>
          <w:color w:val="002060"/>
          <w:sz w:val="28"/>
          <w:szCs w:val="28"/>
        </w:rPr>
        <w:t>, allora le regole processuali, la loro qualità e la loro funzionalità, assumono un ruolo del tutto centrale per la piena realizzazione del</w:t>
      </w:r>
      <w:r w:rsidR="000C7618">
        <w:rPr>
          <w:rFonts w:ascii="Times New Roman" w:hAnsi="Times New Roman" w:cs="Times New Roman"/>
          <w:color w:val="002060"/>
          <w:sz w:val="28"/>
          <w:szCs w:val="28"/>
        </w:rPr>
        <w:t>lo stesso</w:t>
      </w:r>
      <w:r>
        <w:rPr>
          <w:rFonts w:ascii="Times New Roman" w:hAnsi="Times New Roman" w:cs="Times New Roman"/>
          <w:color w:val="002060"/>
          <w:sz w:val="28"/>
          <w:szCs w:val="28"/>
        </w:rPr>
        <w:t xml:space="preserve"> disegno costituzionale.</w:t>
      </w:r>
    </w:p>
    <w:p w:rsidR="0032006E" w:rsidRPr="0032006E" w:rsidRDefault="006C0F5B"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Sin dall’inizio dell’e</w:t>
      </w:r>
      <w:r w:rsidR="00286F6F">
        <w:rPr>
          <w:rFonts w:ascii="Times New Roman" w:hAnsi="Times New Roman" w:cs="Times New Roman"/>
          <w:color w:val="002060"/>
          <w:sz w:val="28"/>
          <w:szCs w:val="28"/>
        </w:rPr>
        <w:t xml:space="preserve">tà moderna, pressoché </w:t>
      </w:r>
      <w:r w:rsidR="00286F6F" w:rsidRPr="00286F6F">
        <w:rPr>
          <w:rFonts w:ascii="Times New Roman" w:hAnsi="Times New Roman" w:cs="Times New Roman"/>
          <w:i/>
          <w:color w:val="002060"/>
          <w:sz w:val="28"/>
          <w:szCs w:val="28"/>
        </w:rPr>
        <w:t>tutti</w:t>
      </w:r>
      <w:r w:rsidR="00286F6F">
        <w:rPr>
          <w:rFonts w:ascii="Times New Roman" w:hAnsi="Times New Roman" w:cs="Times New Roman"/>
          <w:color w:val="002060"/>
          <w:sz w:val="28"/>
          <w:szCs w:val="28"/>
        </w:rPr>
        <w:t xml:space="preserve"> i sistemi giuridici si sono confrontati con il tema della piena garanzia dei diritti </w:t>
      </w:r>
      <w:r w:rsidR="00854D3E">
        <w:rPr>
          <w:rFonts w:ascii="Times New Roman" w:hAnsi="Times New Roman" w:cs="Times New Roman"/>
          <w:color w:val="002060"/>
          <w:sz w:val="28"/>
          <w:szCs w:val="28"/>
        </w:rPr>
        <w:t>e</w:t>
      </w:r>
      <w:r w:rsidR="00286F6F" w:rsidRPr="00354EEF">
        <w:rPr>
          <w:rFonts w:ascii="Times New Roman" w:hAnsi="Times New Roman" w:cs="Times New Roman"/>
          <w:color w:val="002060"/>
          <w:sz w:val="28"/>
          <w:szCs w:val="28"/>
        </w:rPr>
        <w:t xml:space="preserve"> </w:t>
      </w:r>
      <w:r w:rsidR="00EF7115" w:rsidRPr="00354EEF">
        <w:rPr>
          <w:rFonts w:ascii="Times New Roman" w:hAnsi="Times New Roman" w:cs="Times New Roman"/>
          <w:color w:val="002060"/>
          <w:sz w:val="28"/>
          <w:szCs w:val="28"/>
        </w:rPr>
        <w:t xml:space="preserve">hanno affidato il concreto conseguimento di tali garanzie alle </w:t>
      </w:r>
      <w:r w:rsidR="00EF7115" w:rsidRPr="00354EEF">
        <w:rPr>
          <w:rFonts w:ascii="Times New Roman" w:hAnsi="Times New Roman" w:cs="Times New Roman"/>
          <w:i/>
          <w:color w:val="002060"/>
          <w:sz w:val="28"/>
          <w:szCs w:val="28"/>
        </w:rPr>
        <w:t>regole del processo</w:t>
      </w:r>
      <w:r w:rsidR="00EF7115" w:rsidRPr="00354EEF">
        <w:rPr>
          <w:rFonts w:ascii="Times New Roman" w:hAnsi="Times New Roman" w:cs="Times New Roman"/>
          <w:color w:val="002060"/>
          <w:sz w:val="28"/>
          <w:szCs w:val="28"/>
        </w:rPr>
        <w:t xml:space="preserve"> </w:t>
      </w:r>
      <w:r w:rsidR="00354EEF">
        <w:rPr>
          <w:rFonts w:ascii="Times New Roman" w:hAnsi="Times New Roman" w:cs="Times New Roman"/>
          <w:color w:val="002060"/>
          <w:sz w:val="28"/>
          <w:szCs w:val="28"/>
        </w:rPr>
        <w:t xml:space="preserve">– ossia, </w:t>
      </w:r>
      <w:r w:rsidR="007E2CA4">
        <w:rPr>
          <w:rFonts w:ascii="Times New Roman" w:hAnsi="Times New Roman" w:cs="Times New Roman"/>
          <w:color w:val="002060"/>
          <w:sz w:val="28"/>
          <w:szCs w:val="28"/>
        </w:rPr>
        <w:t xml:space="preserve">in definitiva, </w:t>
      </w:r>
      <w:r w:rsidR="00354EEF">
        <w:rPr>
          <w:rFonts w:ascii="Times New Roman" w:hAnsi="Times New Roman" w:cs="Times New Roman"/>
          <w:color w:val="002060"/>
          <w:sz w:val="28"/>
          <w:szCs w:val="28"/>
        </w:rPr>
        <w:t xml:space="preserve">al </w:t>
      </w:r>
      <w:r w:rsidR="00354EEF" w:rsidRPr="00354EEF">
        <w:rPr>
          <w:rFonts w:ascii="Times New Roman" w:hAnsi="Times New Roman" w:cs="Times New Roman"/>
          <w:i/>
          <w:color w:val="002060"/>
          <w:sz w:val="28"/>
          <w:szCs w:val="28"/>
        </w:rPr>
        <w:t>diritto processuale</w:t>
      </w:r>
      <w:r w:rsidR="00EF7115" w:rsidRPr="00354EEF">
        <w:rPr>
          <w:rFonts w:ascii="Times New Roman" w:hAnsi="Times New Roman" w:cs="Times New Roman"/>
          <w:color w:val="002060"/>
          <w:sz w:val="28"/>
          <w:szCs w:val="28"/>
        </w:rPr>
        <w:t>.</w:t>
      </w:r>
    </w:p>
    <w:p w:rsidR="001E3CCC" w:rsidRDefault="002915AE" w:rsidP="00854D3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E non dimentichiamo che l’intera parabola della giustizia amministrativa nazionale si fa solitamente coincidere con il discorso pronunciato a Bergamo nel maggio del 1880 da Silvio Spaventa, il quale</w:t>
      </w:r>
      <w:r w:rsidR="001E3CCC">
        <w:rPr>
          <w:rFonts w:ascii="Times New Roman" w:hAnsi="Times New Roman" w:cs="Times New Roman"/>
          <w:color w:val="002060"/>
          <w:sz w:val="28"/>
          <w:szCs w:val="28"/>
        </w:rPr>
        <w:t xml:space="preserve"> aveva sottolineato come </w:t>
      </w:r>
      <w:r w:rsidR="006C0F5B">
        <w:rPr>
          <w:rFonts w:ascii="Times New Roman" w:hAnsi="Times New Roman" w:cs="Times New Roman"/>
          <w:color w:val="002060"/>
          <w:sz w:val="28"/>
          <w:szCs w:val="28"/>
        </w:rPr>
        <w:t>al</w:t>
      </w:r>
      <w:r w:rsidR="001E3CCC">
        <w:rPr>
          <w:rFonts w:ascii="Times New Roman" w:hAnsi="Times New Roman" w:cs="Times New Roman"/>
          <w:color w:val="002060"/>
          <w:sz w:val="28"/>
          <w:szCs w:val="28"/>
        </w:rPr>
        <w:t xml:space="preserve">l’ingerenza della politica nell’attività amministrativa (e </w:t>
      </w:r>
      <w:r w:rsidR="006C0F5B">
        <w:rPr>
          <w:rFonts w:ascii="Times New Roman" w:hAnsi="Times New Roman" w:cs="Times New Roman"/>
          <w:color w:val="002060"/>
          <w:sz w:val="28"/>
          <w:szCs w:val="28"/>
        </w:rPr>
        <w:t>al</w:t>
      </w:r>
      <w:r w:rsidR="001E3CCC">
        <w:rPr>
          <w:rFonts w:ascii="Times New Roman" w:hAnsi="Times New Roman" w:cs="Times New Roman"/>
          <w:color w:val="002060"/>
          <w:sz w:val="28"/>
          <w:szCs w:val="28"/>
        </w:rPr>
        <w:t xml:space="preserve">le conseguenze che essa produce in termini di </w:t>
      </w:r>
      <w:r w:rsidR="001E3CCC" w:rsidRPr="001E3CCC">
        <w:rPr>
          <w:rFonts w:ascii="Times New Roman" w:hAnsi="Times New Roman" w:cs="Times New Roman"/>
          <w:i/>
          <w:color w:val="002060"/>
          <w:sz w:val="28"/>
          <w:szCs w:val="28"/>
        </w:rPr>
        <w:t>maladministration</w:t>
      </w:r>
      <w:r w:rsidR="001E3CCC">
        <w:rPr>
          <w:rFonts w:ascii="Times New Roman" w:hAnsi="Times New Roman" w:cs="Times New Roman"/>
          <w:color w:val="002060"/>
          <w:sz w:val="28"/>
          <w:szCs w:val="28"/>
        </w:rPr>
        <w:t xml:space="preserve">) </w:t>
      </w:r>
      <w:r w:rsidR="006C0F5B">
        <w:rPr>
          <w:rFonts w:ascii="Times New Roman" w:hAnsi="Times New Roman" w:cs="Times New Roman"/>
          <w:color w:val="002060"/>
          <w:sz w:val="28"/>
          <w:szCs w:val="28"/>
        </w:rPr>
        <w:t>si potesse porre rimedio</w:t>
      </w:r>
      <w:r w:rsidR="001E3CCC">
        <w:rPr>
          <w:rFonts w:ascii="Times New Roman" w:hAnsi="Times New Roman" w:cs="Times New Roman"/>
          <w:color w:val="002060"/>
          <w:sz w:val="28"/>
          <w:szCs w:val="28"/>
        </w:rPr>
        <w:t xml:space="preserve"> non tanto con </w:t>
      </w:r>
      <w:r w:rsidR="002E5372">
        <w:rPr>
          <w:rFonts w:ascii="Times New Roman" w:hAnsi="Times New Roman" w:cs="Times New Roman"/>
          <w:color w:val="002060"/>
          <w:sz w:val="28"/>
          <w:szCs w:val="28"/>
        </w:rPr>
        <w:t xml:space="preserve">il perfezionamento delle </w:t>
      </w:r>
      <w:r w:rsidR="001E3CCC">
        <w:rPr>
          <w:rFonts w:ascii="Times New Roman" w:hAnsi="Times New Roman" w:cs="Times New Roman"/>
          <w:color w:val="002060"/>
          <w:sz w:val="28"/>
          <w:szCs w:val="28"/>
        </w:rPr>
        <w:t>regole so</w:t>
      </w:r>
      <w:r w:rsidR="006C0F5B">
        <w:rPr>
          <w:rFonts w:ascii="Times New Roman" w:hAnsi="Times New Roman" w:cs="Times New Roman"/>
          <w:color w:val="002060"/>
          <w:sz w:val="28"/>
          <w:szCs w:val="28"/>
        </w:rPr>
        <w:t xml:space="preserve">stanziali, quanto piuttosto </w:t>
      </w:r>
      <w:r w:rsidR="001E3CCC">
        <w:rPr>
          <w:rFonts w:ascii="Times New Roman" w:hAnsi="Times New Roman" w:cs="Times New Roman"/>
          <w:color w:val="002060"/>
          <w:sz w:val="28"/>
          <w:szCs w:val="28"/>
        </w:rPr>
        <w:t xml:space="preserve">con </w:t>
      </w:r>
      <w:r w:rsidR="002E5372">
        <w:rPr>
          <w:rFonts w:ascii="Times New Roman" w:hAnsi="Times New Roman" w:cs="Times New Roman"/>
          <w:color w:val="002060"/>
          <w:sz w:val="28"/>
          <w:szCs w:val="28"/>
        </w:rPr>
        <w:t xml:space="preserve">l’introduzione di un funzionale sistema di </w:t>
      </w:r>
      <w:r w:rsidR="001E3CCC">
        <w:rPr>
          <w:rFonts w:ascii="Times New Roman" w:hAnsi="Times New Roman" w:cs="Times New Roman"/>
          <w:color w:val="002060"/>
          <w:sz w:val="28"/>
          <w:szCs w:val="28"/>
        </w:rPr>
        <w:t>regole e garanzie di carattere processuale.</w:t>
      </w:r>
      <w:r w:rsidR="00854D3E">
        <w:rPr>
          <w:rFonts w:ascii="Times New Roman" w:hAnsi="Times New Roman" w:cs="Times New Roman"/>
          <w:color w:val="002060"/>
          <w:sz w:val="28"/>
          <w:szCs w:val="28"/>
        </w:rPr>
        <w:t xml:space="preserve"> Regole che, avrebbe detto più tardi Chiovenda con riferimento al processo come istituto, </w:t>
      </w:r>
      <w:r w:rsidR="006C0F5B">
        <w:rPr>
          <w:rFonts w:ascii="Times New Roman" w:hAnsi="Times New Roman" w:cs="Times New Roman"/>
          <w:color w:val="002060"/>
          <w:sz w:val="28"/>
          <w:szCs w:val="28"/>
        </w:rPr>
        <w:t>sono volte</w:t>
      </w:r>
      <w:r w:rsidR="00854D3E">
        <w:rPr>
          <w:rFonts w:ascii="Times New Roman" w:hAnsi="Times New Roman" w:cs="Times New Roman"/>
          <w:color w:val="002060"/>
          <w:sz w:val="28"/>
          <w:szCs w:val="28"/>
        </w:rPr>
        <w:t xml:space="preserve"> ad assicurare </w:t>
      </w:r>
      <w:r w:rsidR="00A42AD8">
        <w:rPr>
          <w:rFonts w:ascii="Times New Roman" w:hAnsi="Times New Roman" w:cs="Times New Roman"/>
          <w:color w:val="002060"/>
          <w:sz w:val="28"/>
          <w:szCs w:val="28"/>
        </w:rPr>
        <w:t>al ricorrente  “</w:t>
      </w:r>
      <w:r w:rsidR="00A42AD8" w:rsidRPr="00A42AD8">
        <w:rPr>
          <w:rFonts w:ascii="Times New Roman" w:hAnsi="Times New Roman" w:cs="Times New Roman"/>
          <w:i/>
          <w:color w:val="002060"/>
          <w:sz w:val="28"/>
          <w:szCs w:val="28"/>
        </w:rPr>
        <w:t>quello, tutto quello e solo quello che spetta secondo il diritto sostanziale</w:t>
      </w:r>
      <w:r w:rsidR="00A42AD8">
        <w:rPr>
          <w:rFonts w:ascii="Times New Roman" w:hAnsi="Times New Roman" w:cs="Times New Roman"/>
          <w:color w:val="002060"/>
          <w:sz w:val="28"/>
          <w:szCs w:val="28"/>
        </w:rPr>
        <w:t>”.</w:t>
      </w:r>
    </w:p>
    <w:p w:rsidR="0032006E" w:rsidRPr="0032006E" w:rsidRDefault="00A42AD8"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E credo di poter affermare che, a dieci anni dalla sua entrata in vigore, il </w:t>
      </w:r>
      <w:r w:rsidR="006C0F5B">
        <w:rPr>
          <w:rFonts w:ascii="Times New Roman" w:hAnsi="Times New Roman" w:cs="Times New Roman"/>
          <w:color w:val="002060"/>
          <w:sz w:val="28"/>
          <w:szCs w:val="28"/>
        </w:rPr>
        <w:t>codice del processo</w:t>
      </w:r>
      <w:r>
        <w:rPr>
          <w:rFonts w:ascii="Times New Roman" w:hAnsi="Times New Roman" w:cs="Times New Roman"/>
          <w:color w:val="002060"/>
          <w:sz w:val="28"/>
          <w:szCs w:val="28"/>
        </w:rPr>
        <w:t xml:space="preserve"> abbia conseguito (se non in maniera integrale, quanto meno) in modo adeguato questo ambizioso obiettivo.</w:t>
      </w:r>
    </w:p>
    <w:p w:rsidR="0032006E" w:rsidRPr="0032006E" w:rsidRDefault="00A42AD8" w:rsidP="00A42AD8">
      <w:pPr>
        <w:spacing w:after="120" w:line="288"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
    <w:p w:rsidR="00B76527" w:rsidRDefault="00B76527"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Il percorso che conduce al conseguimento del canone della </w:t>
      </w:r>
      <w:r w:rsidRPr="00854D3E">
        <w:rPr>
          <w:rFonts w:ascii="Times New Roman" w:hAnsi="Times New Roman" w:cs="Times New Roman"/>
          <w:i/>
          <w:color w:val="002060"/>
          <w:sz w:val="28"/>
          <w:szCs w:val="28"/>
        </w:rPr>
        <w:t>piena giurisdizione</w:t>
      </w:r>
      <w:r>
        <w:rPr>
          <w:rFonts w:ascii="Times New Roman" w:hAnsi="Times New Roman" w:cs="Times New Roman"/>
          <w:color w:val="002060"/>
          <w:sz w:val="28"/>
          <w:szCs w:val="28"/>
        </w:rPr>
        <w:t xml:space="preserve"> non è stato breve, né privo di difficoltà</w:t>
      </w:r>
      <w:r w:rsidR="006C0F5B">
        <w:rPr>
          <w:rFonts w:ascii="Times New Roman" w:hAnsi="Times New Roman" w:cs="Times New Roman"/>
          <w:color w:val="002060"/>
          <w:sz w:val="28"/>
          <w:szCs w:val="28"/>
        </w:rPr>
        <w:t>,</w:t>
      </w:r>
      <w:r>
        <w:rPr>
          <w:rFonts w:ascii="Times New Roman" w:hAnsi="Times New Roman" w:cs="Times New Roman"/>
          <w:color w:val="002060"/>
          <w:sz w:val="28"/>
          <w:szCs w:val="28"/>
        </w:rPr>
        <w:t xml:space="preserve"> e si è snodato nell’arco di oltre un secolo.</w:t>
      </w:r>
    </w:p>
    <w:p w:rsidR="00B76527" w:rsidRDefault="00B76527"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Il </w:t>
      </w:r>
      <w:r w:rsidR="008E34CC">
        <w:rPr>
          <w:rFonts w:ascii="Times New Roman" w:hAnsi="Times New Roman" w:cs="Times New Roman"/>
          <w:color w:val="002060"/>
          <w:sz w:val="28"/>
          <w:szCs w:val="28"/>
        </w:rPr>
        <w:t>codice del processo amministrativo</w:t>
      </w:r>
      <w:r>
        <w:rPr>
          <w:rFonts w:ascii="Times New Roman" w:hAnsi="Times New Roman" w:cs="Times New Roman"/>
          <w:color w:val="002060"/>
          <w:sz w:val="28"/>
          <w:szCs w:val="28"/>
        </w:rPr>
        <w:t xml:space="preserve"> rappresenta una tappa senz’</w:t>
      </w:r>
      <w:r w:rsidR="00D65E14">
        <w:rPr>
          <w:rFonts w:ascii="Times New Roman" w:hAnsi="Times New Roman" w:cs="Times New Roman"/>
          <w:color w:val="002060"/>
          <w:sz w:val="28"/>
          <w:szCs w:val="28"/>
        </w:rPr>
        <w:t>altro central</w:t>
      </w:r>
      <w:r>
        <w:rPr>
          <w:rFonts w:ascii="Times New Roman" w:hAnsi="Times New Roman" w:cs="Times New Roman"/>
          <w:color w:val="002060"/>
          <w:sz w:val="28"/>
          <w:szCs w:val="28"/>
        </w:rPr>
        <w:t xml:space="preserve">e nell’ambito di tale percorso ma (nonostante i suoi meriti) non </w:t>
      </w:r>
      <w:r w:rsidR="008E34CC">
        <w:rPr>
          <w:rFonts w:ascii="Times New Roman" w:hAnsi="Times New Roman" w:cs="Times New Roman"/>
          <w:color w:val="002060"/>
          <w:sz w:val="28"/>
          <w:szCs w:val="28"/>
        </w:rPr>
        <w:t>può costituire</w:t>
      </w:r>
      <w:r>
        <w:rPr>
          <w:rFonts w:ascii="Times New Roman" w:hAnsi="Times New Roman" w:cs="Times New Roman"/>
          <w:color w:val="002060"/>
          <w:sz w:val="28"/>
          <w:szCs w:val="28"/>
        </w:rPr>
        <w:t xml:space="preserve"> un’acquisizione definitiva.</w:t>
      </w:r>
    </w:p>
    <w:p w:rsidR="00B76527" w:rsidRDefault="008E34CC"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Semplificando al massimo per evidenti ragioni di tempo</w:t>
      </w:r>
      <w:r w:rsidR="00EB1070">
        <w:rPr>
          <w:rFonts w:ascii="Times New Roman" w:hAnsi="Times New Roman" w:cs="Times New Roman"/>
          <w:color w:val="002060"/>
          <w:sz w:val="28"/>
          <w:szCs w:val="28"/>
        </w:rPr>
        <w:t xml:space="preserve"> le principali tappe di questo percorso, possiamo dire che esso si è snodato essenzialmente in tre fasi</w:t>
      </w:r>
      <w:r>
        <w:rPr>
          <w:rFonts w:ascii="Times New Roman" w:hAnsi="Times New Roman" w:cs="Times New Roman"/>
          <w:color w:val="002060"/>
          <w:sz w:val="28"/>
          <w:szCs w:val="28"/>
        </w:rPr>
        <w:t xml:space="preserve">, </w:t>
      </w:r>
      <w:r w:rsidR="00EB1070">
        <w:rPr>
          <w:rFonts w:ascii="Times New Roman" w:hAnsi="Times New Roman" w:cs="Times New Roman"/>
          <w:color w:val="002060"/>
          <w:sz w:val="28"/>
          <w:szCs w:val="28"/>
        </w:rPr>
        <w:t xml:space="preserve">l’ultima delle quali – </w:t>
      </w:r>
      <w:r>
        <w:rPr>
          <w:rFonts w:ascii="Times New Roman" w:hAnsi="Times New Roman" w:cs="Times New Roman"/>
          <w:color w:val="002060"/>
          <w:sz w:val="28"/>
          <w:szCs w:val="28"/>
        </w:rPr>
        <w:t>ch</w:t>
      </w:r>
      <w:r w:rsidR="00EB1070">
        <w:rPr>
          <w:rFonts w:ascii="Times New Roman" w:hAnsi="Times New Roman" w:cs="Times New Roman"/>
          <w:color w:val="002060"/>
          <w:sz w:val="28"/>
          <w:szCs w:val="28"/>
        </w:rPr>
        <w:t>e, in</w:t>
      </w:r>
      <w:r>
        <w:rPr>
          <w:rFonts w:ascii="Times New Roman" w:hAnsi="Times New Roman" w:cs="Times New Roman"/>
          <w:color w:val="002060"/>
          <w:sz w:val="28"/>
          <w:szCs w:val="28"/>
        </w:rPr>
        <w:t xml:space="preserve"> un</w:t>
      </w:r>
      <w:r w:rsidR="00EB1070">
        <w:rPr>
          <w:rFonts w:ascii="Times New Roman" w:hAnsi="Times New Roman" w:cs="Times New Roman"/>
          <w:color w:val="002060"/>
          <w:sz w:val="28"/>
          <w:szCs w:val="28"/>
        </w:rPr>
        <w:t xml:space="preserve"> certo senso, </w:t>
      </w:r>
      <w:r>
        <w:rPr>
          <w:rFonts w:ascii="Times New Roman" w:hAnsi="Times New Roman" w:cs="Times New Roman"/>
          <w:color w:val="002060"/>
          <w:sz w:val="28"/>
          <w:szCs w:val="28"/>
        </w:rPr>
        <w:t xml:space="preserve">ne costituisce </w:t>
      </w:r>
      <w:r w:rsidR="00EB1070">
        <w:rPr>
          <w:rFonts w:ascii="Times New Roman" w:hAnsi="Times New Roman" w:cs="Times New Roman"/>
          <w:color w:val="002060"/>
          <w:sz w:val="28"/>
          <w:szCs w:val="28"/>
        </w:rPr>
        <w:t>il ‘punto di approdo’</w:t>
      </w:r>
      <w:r>
        <w:rPr>
          <w:rFonts w:ascii="Times New Roman" w:hAnsi="Times New Roman" w:cs="Times New Roman"/>
          <w:color w:val="002060"/>
          <w:sz w:val="28"/>
          <w:szCs w:val="28"/>
        </w:rPr>
        <w:t xml:space="preserve"> – è rappresentata dal codice del 2010</w:t>
      </w:r>
      <w:r w:rsidR="00EB1070">
        <w:rPr>
          <w:rFonts w:ascii="Times New Roman" w:hAnsi="Times New Roman" w:cs="Times New Roman"/>
          <w:color w:val="002060"/>
          <w:sz w:val="28"/>
          <w:szCs w:val="28"/>
        </w:rPr>
        <w:t>.</w:t>
      </w:r>
      <w:r w:rsidR="00854D3E">
        <w:rPr>
          <w:rFonts w:ascii="Times New Roman" w:hAnsi="Times New Roman" w:cs="Times New Roman"/>
          <w:color w:val="002060"/>
          <w:sz w:val="28"/>
          <w:szCs w:val="28"/>
        </w:rPr>
        <w:t xml:space="preserve"> Trattasi peraltro di un punto di approdo intrinsecamente e necessariamente mobile, se è vero che è il fabbisogno di tutela a determinare la domanda di giustizia e quindi a richiedere l’adeguamento dell’offerta di tutela.</w:t>
      </w:r>
    </w:p>
    <w:p w:rsidR="00C86152" w:rsidRDefault="00EB1070"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Nel corso di una prima fase </w:t>
      </w:r>
      <w:r w:rsidR="00C86152">
        <w:rPr>
          <w:rFonts w:ascii="Times New Roman" w:hAnsi="Times New Roman" w:cs="Times New Roman"/>
          <w:color w:val="002060"/>
          <w:sz w:val="28"/>
          <w:szCs w:val="28"/>
        </w:rPr>
        <w:t>il modello nazionale</w:t>
      </w:r>
      <w:r w:rsidR="00D65E14">
        <w:rPr>
          <w:rFonts w:ascii="Times New Roman" w:hAnsi="Times New Roman" w:cs="Times New Roman"/>
          <w:color w:val="002060"/>
          <w:sz w:val="28"/>
          <w:szCs w:val="28"/>
        </w:rPr>
        <w:t xml:space="preserve"> di giustizia amministrativa era</w:t>
      </w:r>
      <w:r w:rsidR="00C86152">
        <w:rPr>
          <w:rFonts w:ascii="Times New Roman" w:hAnsi="Times New Roman" w:cs="Times New Roman"/>
          <w:color w:val="002060"/>
          <w:sz w:val="28"/>
          <w:szCs w:val="28"/>
        </w:rPr>
        <w:t xml:space="preserve"> basato su un sistema di azioni tipiche: l’intera vicenda amministrativa veniva sempre e </w:t>
      </w:r>
      <w:r w:rsidR="00C86152">
        <w:rPr>
          <w:rFonts w:ascii="Times New Roman" w:hAnsi="Times New Roman" w:cs="Times New Roman"/>
          <w:color w:val="002060"/>
          <w:sz w:val="28"/>
          <w:szCs w:val="28"/>
        </w:rPr>
        <w:lastRenderedPageBreak/>
        <w:t>comunque riguardata attraverso lo ‘schermo’ della questione della validità del provvedimento amministrativo.</w:t>
      </w:r>
    </w:p>
    <w:p w:rsidR="00B76527" w:rsidRDefault="00854D3E"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Progressivamente</w:t>
      </w:r>
      <w:r w:rsidR="00F84DF6">
        <w:rPr>
          <w:rFonts w:ascii="Times New Roman" w:hAnsi="Times New Roman" w:cs="Times New Roman"/>
          <w:color w:val="002060"/>
          <w:sz w:val="28"/>
          <w:szCs w:val="28"/>
        </w:rPr>
        <w:t xml:space="preserve"> l’ordinamento processuale amministrativo si è in seguito affrancato dal paradigma del mero accertamento della validità </w:t>
      </w:r>
      <w:r>
        <w:rPr>
          <w:rFonts w:ascii="Times New Roman" w:hAnsi="Times New Roman" w:cs="Times New Roman"/>
          <w:color w:val="002060"/>
          <w:sz w:val="28"/>
          <w:szCs w:val="28"/>
        </w:rPr>
        <w:t xml:space="preserve">dell’atto in chiave caducatoria. </w:t>
      </w:r>
      <w:r w:rsidR="009A6926">
        <w:rPr>
          <w:rFonts w:ascii="Times New Roman" w:hAnsi="Times New Roman" w:cs="Times New Roman"/>
          <w:color w:val="002060"/>
          <w:sz w:val="28"/>
          <w:szCs w:val="28"/>
        </w:rPr>
        <w:t xml:space="preserve">Nel corso di un secondo periodo (che possiamo collocare nel ventennio fra i primi anni Novanta dello scorso secolo e l’emanazione del </w:t>
      </w:r>
      <w:r w:rsidR="008E34CC">
        <w:rPr>
          <w:rFonts w:ascii="Times New Roman" w:hAnsi="Times New Roman" w:cs="Times New Roman"/>
          <w:color w:val="002060"/>
          <w:sz w:val="28"/>
          <w:szCs w:val="28"/>
        </w:rPr>
        <w:t>codice del processo amministrativo</w:t>
      </w:r>
      <w:r>
        <w:rPr>
          <w:rFonts w:ascii="Times New Roman" w:hAnsi="Times New Roman" w:cs="Times New Roman"/>
          <w:color w:val="002060"/>
          <w:sz w:val="28"/>
          <w:szCs w:val="28"/>
        </w:rPr>
        <w:t xml:space="preserve">, passando per il </w:t>
      </w:r>
      <w:r w:rsidR="00BF6142">
        <w:rPr>
          <w:rFonts w:ascii="Times New Roman" w:hAnsi="Times New Roman" w:cs="Times New Roman"/>
          <w:color w:val="002060"/>
          <w:sz w:val="28"/>
          <w:szCs w:val="28"/>
        </w:rPr>
        <w:t>disegno costituzionale della giustizia amministrativa)</w:t>
      </w:r>
      <w:r w:rsidR="009A6926">
        <w:rPr>
          <w:rFonts w:ascii="Times New Roman" w:hAnsi="Times New Roman" w:cs="Times New Roman"/>
          <w:color w:val="002060"/>
          <w:sz w:val="28"/>
          <w:szCs w:val="28"/>
        </w:rPr>
        <w:t xml:space="preserve"> il modello </w:t>
      </w:r>
      <w:r w:rsidR="00BF6142">
        <w:rPr>
          <w:rFonts w:ascii="Times New Roman" w:hAnsi="Times New Roman" w:cs="Times New Roman"/>
          <w:color w:val="002060"/>
          <w:sz w:val="28"/>
          <w:szCs w:val="28"/>
        </w:rPr>
        <w:t>si sposta</w:t>
      </w:r>
      <w:r w:rsidR="009A6926">
        <w:rPr>
          <w:rFonts w:ascii="Times New Roman" w:hAnsi="Times New Roman" w:cs="Times New Roman"/>
          <w:color w:val="002060"/>
          <w:sz w:val="28"/>
          <w:szCs w:val="28"/>
        </w:rPr>
        <w:t xml:space="preserve"> nella direzione del riconoscimento in chiave sostanziale e</w:t>
      </w:r>
      <w:r w:rsidR="00590EB6">
        <w:rPr>
          <w:rFonts w:ascii="Times New Roman" w:hAnsi="Times New Roman" w:cs="Times New Roman"/>
          <w:color w:val="002060"/>
          <w:sz w:val="28"/>
          <w:szCs w:val="28"/>
        </w:rPr>
        <w:t xml:space="preserve"> </w:t>
      </w:r>
      <w:r w:rsidR="009A6926">
        <w:rPr>
          <w:rFonts w:ascii="Times New Roman" w:hAnsi="Times New Roman" w:cs="Times New Roman"/>
          <w:color w:val="002060"/>
          <w:sz w:val="28"/>
          <w:szCs w:val="28"/>
        </w:rPr>
        <w:t>‘di spettanza’ della pretesa dedotta.</w:t>
      </w:r>
    </w:p>
    <w:p w:rsidR="009A6926" w:rsidRDefault="00BF6142"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A questa evoluzione contribuisco</w:t>
      </w:r>
      <w:r w:rsidR="00DD7574">
        <w:rPr>
          <w:rFonts w:ascii="Times New Roman" w:hAnsi="Times New Roman" w:cs="Times New Roman"/>
          <w:color w:val="002060"/>
          <w:sz w:val="28"/>
          <w:szCs w:val="28"/>
        </w:rPr>
        <w:t>no elementi di ordine sostanziale e di ordine processuale.</w:t>
      </w:r>
    </w:p>
    <w:p w:rsidR="00825E7A" w:rsidRDefault="00DD7574"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Dal punto di vista della disciplina sostanziale, nel periodo in questione si assiste al tendenziale superamento del modello autoritativo e unilaterale che aveva sino ad allora caratterizzato l’azione amministrativa e a un rafforzamento dei modelli di partecipazione trasparente del cittadino </w:t>
      </w:r>
      <w:r w:rsidR="008E34CC">
        <w:rPr>
          <w:rFonts w:ascii="Times New Roman" w:hAnsi="Times New Roman" w:cs="Times New Roman"/>
          <w:color w:val="002060"/>
          <w:sz w:val="28"/>
          <w:szCs w:val="28"/>
        </w:rPr>
        <w:t>a</w:t>
      </w:r>
      <w:r>
        <w:rPr>
          <w:rFonts w:ascii="Times New Roman" w:hAnsi="Times New Roman" w:cs="Times New Roman"/>
          <w:color w:val="002060"/>
          <w:sz w:val="28"/>
          <w:szCs w:val="28"/>
        </w:rPr>
        <w:t xml:space="preserve">ll’attività della </w:t>
      </w:r>
      <w:r w:rsidR="008E34CC">
        <w:rPr>
          <w:rFonts w:ascii="Times New Roman" w:hAnsi="Times New Roman" w:cs="Times New Roman"/>
          <w:color w:val="002060"/>
          <w:sz w:val="28"/>
          <w:szCs w:val="28"/>
        </w:rPr>
        <w:t>pubblica amministrazione</w:t>
      </w:r>
      <w:r w:rsidR="00BF6142">
        <w:rPr>
          <w:rFonts w:ascii="Times New Roman" w:hAnsi="Times New Roman" w:cs="Times New Roman"/>
          <w:color w:val="002060"/>
          <w:sz w:val="28"/>
          <w:szCs w:val="28"/>
        </w:rPr>
        <w:t xml:space="preserve">. Il principio di legalità sostanziale evolve verso un modello di legalità procedurale che, tenendo ferma la legalità formale sul piano dell’attribuzione del potere, configura l’interesse pubblico perseguito come il prodotto di un farsi </w:t>
      </w:r>
      <w:r w:rsidR="00BF6142" w:rsidRPr="008E34CC">
        <w:rPr>
          <w:rFonts w:ascii="Times New Roman" w:hAnsi="Times New Roman" w:cs="Times New Roman"/>
          <w:i/>
          <w:color w:val="002060"/>
          <w:sz w:val="28"/>
          <w:szCs w:val="28"/>
        </w:rPr>
        <w:t>in progress</w:t>
      </w:r>
      <w:r w:rsidR="00BF6142">
        <w:rPr>
          <w:rFonts w:ascii="Times New Roman" w:hAnsi="Times New Roman" w:cs="Times New Roman"/>
          <w:color w:val="002060"/>
          <w:sz w:val="28"/>
          <w:szCs w:val="28"/>
        </w:rPr>
        <w:t xml:space="preserve"> nel confronto procedimentale con gli altri interessi coinvolti, pubblici e privati.</w:t>
      </w:r>
    </w:p>
    <w:p w:rsidR="00825E7A" w:rsidRDefault="00825E7A"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Questa evoluzione trova conferma anche nella disciplina processuale, la quale mira in modo più incisivo che nel passato </w:t>
      </w:r>
      <w:r w:rsidR="00100CE2">
        <w:rPr>
          <w:rFonts w:ascii="Times New Roman" w:hAnsi="Times New Roman" w:cs="Times New Roman"/>
          <w:color w:val="002060"/>
          <w:sz w:val="28"/>
          <w:szCs w:val="28"/>
        </w:rPr>
        <w:t>a garantire una risposta definitiva alla domanda del privato mirante ad ottenere l’acquisizione o la conservazione di un determinato bene della vita, rifuggendo – nei limiti del possibile - da soluzioni meramente formali.</w:t>
      </w:r>
    </w:p>
    <w:p w:rsidR="006F19B7" w:rsidRDefault="006D3897"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La terza fase della richiamata evoluzione prende avvio con l’entrata in vigore del </w:t>
      </w:r>
      <w:r w:rsidR="008E34CC">
        <w:rPr>
          <w:rFonts w:ascii="Times New Roman" w:hAnsi="Times New Roman" w:cs="Times New Roman"/>
          <w:color w:val="002060"/>
          <w:sz w:val="28"/>
          <w:szCs w:val="28"/>
        </w:rPr>
        <w:t>codice del processo</w:t>
      </w:r>
      <w:r>
        <w:rPr>
          <w:rFonts w:ascii="Times New Roman" w:hAnsi="Times New Roman" w:cs="Times New Roman"/>
          <w:color w:val="002060"/>
          <w:sz w:val="28"/>
          <w:szCs w:val="28"/>
        </w:rPr>
        <w:t xml:space="preserve"> </w:t>
      </w:r>
      <w:r w:rsidR="006F19B7">
        <w:rPr>
          <w:rFonts w:ascii="Times New Roman" w:hAnsi="Times New Roman" w:cs="Times New Roman"/>
          <w:color w:val="002060"/>
          <w:sz w:val="28"/>
          <w:szCs w:val="28"/>
        </w:rPr>
        <w:t>e segna il superamento di ogni residuo della concezione oggettiva che aveva caratterizzato all’origine il processo amministrativo di annullamento.</w:t>
      </w:r>
    </w:p>
    <w:p w:rsidR="006F19B7" w:rsidRDefault="008E34CC"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Il c</w:t>
      </w:r>
      <w:r w:rsidR="006F19B7">
        <w:rPr>
          <w:rFonts w:ascii="Times New Roman" w:hAnsi="Times New Roman" w:cs="Times New Roman"/>
          <w:color w:val="002060"/>
          <w:sz w:val="28"/>
          <w:szCs w:val="28"/>
        </w:rPr>
        <w:t>odice del 2010, in particolare, risulta funzionale a un sistema di tutela che pone al proprio centro il rapporto giuridico amministrativo (e non la pura e semplice ricerca di un possibile profili di illegittimità del</w:t>
      </w:r>
      <w:r w:rsidR="00BF6142">
        <w:rPr>
          <w:rFonts w:ascii="Times New Roman" w:hAnsi="Times New Roman" w:cs="Times New Roman"/>
          <w:color w:val="002060"/>
          <w:sz w:val="28"/>
          <w:szCs w:val="28"/>
        </w:rPr>
        <w:t>l</w:t>
      </w:r>
      <w:r w:rsidR="006F19B7">
        <w:rPr>
          <w:rFonts w:ascii="Times New Roman" w:hAnsi="Times New Roman" w:cs="Times New Roman"/>
          <w:color w:val="002060"/>
          <w:sz w:val="28"/>
          <w:szCs w:val="28"/>
        </w:rPr>
        <w:t>’atto).</w:t>
      </w:r>
    </w:p>
    <w:p w:rsidR="006D3897" w:rsidRDefault="006F19B7"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Il sis</w:t>
      </w:r>
      <w:r w:rsidR="008E34CC">
        <w:rPr>
          <w:rFonts w:ascii="Times New Roman" w:hAnsi="Times New Roman" w:cs="Times New Roman"/>
          <w:color w:val="002060"/>
          <w:sz w:val="28"/>
          <w:szCs w:val="28"/>
        </w:rPr>
        <w:t>tema processuale delineato dal c</w:t>
      </w:r>
      <w:r>
        <w:rPr>
          <w:rFonts w:ascii="Times New Roman" w:hAnsi="Times New Roman" w:cs="Times New Roman"/>
          <w:color w:val="002060"/>
          <w:sz w:val="28"/>
          <w:szCs w:val="28"/>
        </w:rPr>
        <w:t>odice presenta un carattere aperto e non si fonda più – come nel passato – su un no</w:t>
      </w:r>
      <w:r w:rsidR="00BF6142">
        <w:rPr>
          <w:rFonts w:ascii="Times New Roman" w:hAnsi="Times New Roman" w:cs="Times New Roman"/>
          <w:color w:val="002060"/>
          <w:sz w:val="28"/>
          <w:szCs w:val="28"/>
        </w:rPr>
        <w:t>vero ‘chiuso’ di azioni tipiche: p</w:t>
      </w:r>
      <w:r w:rsidR="009711F9">
        <w:rPr>
          <w:rFonts w:ascii="Times New Roman" w:hAnsi="Times New Roman" w:cs="Times New Roman"/>
          <w:color w:val="002060"/>
          <w:sz w:val="28"/>
          <w:szCs w:val="28"/>
        </w:rPr>
        <w:t>ur confermandosi la centralità de</w:t>
      </w:r>
      <w:r w:rsidR="008E34CC">
        <w:rPr>
          <w:rFonts w:ascii="Times New Roman" w:hAnsi="Times New Roman" w:cs="Times New Roman"/>
          <w:color w:val="002060"/>
          <w:sz w:val="28"/>
          <w:szCs w:val="28"/>
        </w:rPr>
        <w:t>l giudizio di impugnazione, il c</w:t>
      </w:r>
      <w:r w:rsidR="009711F9">
        <w:rPr>
          <w:rFonts w:ascii="Times New Roman" w:hAnsi="Times New Roman" w:cs="Times New Roman"/>
          <w:color w:val="002060"/>
          <w:sz w:val="28"/>
          <w:szCs w:val="28"/>
        </w:rPr>
        <w:t xml:space="preserve">odice </w:t>
      </w:r>
      <w:r w:rsidR="008E34CC">
        <w:rPr>
          <w:rFonts w:ascii="Times New Roman" w:hAnsi="Times New Roman" w:cs="Times New Roman"/>
          <w:color w:val="002060"/>
          <w:sz w:val="28"/>
          <w:szCs w:val="28"/>
        </w:rPr>
        <w:t>è</w:t>
      </w:r>
      <w:r w:rsidR="009711F9">
        <w:rPr>
          <w:rFonts w:ascii="Times New Roman" w:hAnsi="Times New Roman" w:cs="Times New Roman"/>
          <w:color w:val="002060"/>
          <w:sz w:val="28"/>
          <w:szCs w:val="28"/>
        </w:rPr>
        <w:t xml:space="preserve"> ispirato </w:t>
      </w:r>
      <w:r w:rsidR="009711F9">
        <w:rPr>
          <w:rFonts w:ascii="Times New Roman" w:hAnsi="Times New Roman" w:cs="Times New Roman"/>
          <w:color w:val="002060"/>
          <w:sz w:val="28"/>
          <w:szCs w:val="28"/>
        </w:rPr>
        <w:lastRenderedPageBreak/>
        <w:t>all’obiettivo della concentrazione delle tutele e all’espansione in massimo grado delle potenzialità del giudizio di cognizione.</w:t>
      </w:r>
    </w:p>
    <w:p w:rsidR="009711F9" w:rsidRDefault="009711F9"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Viene inoltre assicurato un più stretto raccordo fra la pronuncia di cognizione e la successiva fase dell’esecuzione, ancora una volta con l’obiettivo di assicurare un più incisivo grado di effettività della risposta di giustizia.</w:t>
      </w:r>
    </w:p>
    <w:p w:rsidR="00B76527" w:rsidRDefault="00B76527" w:rsidP="0032006E">
      <w:pPr>
        <w:spacing w:after="120" w:line="288" w:lineRule="auto"/>
        <w:ind w:firstLine="567"/>
        <w:jc w:val="both"/>
        <w:rPr>
          <w:rFonts w:ascii="Times New Roman" w:hAnsi="Times New Roman" w:cs="Times New Roman"/>
          <w:color w:val="002060"/>
          <w:sz w:val="28"/>
          <w:szCs w:val="28"/>
        </w:rPr>
      </w:pPr>
    </w:p>
    <w:p w:rsidR="00B76527" w:rsidRDefault="00B76527" w:rsidP="00B76527">
      <w:pPr>
        <w:spacing w:after="120" w:line="288"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
    <w:p w:rsidR="00BF6142" w:rsidRDefault="00BF6142"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Le conseguenze della mutata impostazione sono molteplici. Ne enumero alcune, in ordine sparso.</w:t>
      </w:r>
    </w:p>
    <w:p w:rsidR="00BF6142" w:rsidRDefault="00BF6142" w:rsidP="00BF6142">
      <w:pPr>
        <w:pStyle w:val="Paragrafoelenco"/>
        <w:numPr>
          <w:ilvl w:val="0"/>
          <w:numId w:val="11"/>
        </w:numPr>
        <w:spacing w:after="120" w:line="288"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Il fatto si apre completamente all’accertamento giudiziale. Ciò comporta una rivalutazione dei mezzi di prova, ma soprattutto un diverso approccio culturale: viene meno lo schermo del provvedimento nell’accertamento del fatto (ammesso che nella pratica giurisprudenziale ci sia mai stato o quanto meno ci sia sempre stato);</w:t>
      </w:r>
    </w:p>
    <w:p w:rsidR="00C61D0C" w:rsidRDefault="00BF6142" w:rsidP="00BF6142">
      <w:pPr>
        <w:pStyle w:val="Paragrafoelenco"/>
        <w:numPr>
          <w:ilvl w:val="0"/>
          <w:numId w:val="11"/>
        </w:numPr>
        <w:spacing w:after="120" w:line="288" w:lineRule="auto"/>
        <w:jc w:val="both"/>
        <w:rPr>
          <w:rFonts w:ascii="Times New Roman" w:hAnsi="Times New Roman" w:cs="Times New Roman"/>
          <w:color w:val="002060"/>
          <w:sz w:val="28"/>
          <w:szCs w:val="28"/>
        </w:rPr>
      </w:pPr>
      <w:r w:rsidRPr="00BF6142">
        <w:rPr>
          <w:rFonts w:ascii="Times New Roman" w:hAnsi="Times New Roman" w:cs="Times New Roman"/>
          <w:color w:val="002060"/>
          <w:sz w:val="28"/>
          <w:szCs w:val="28"/>
        </w:rPr>
        <w:t>Vengono meno categorie processuali del sindacato giurisdizionale, fondate su</w:t>
      </w:r>
      <w:r w:rsidR="00CC00B4" w:rsidRPr="00BF6142">
        <w:rPr>
          <w:rFonts w:ascii="Times New Roman" w:hAnsi="Times New Roman" w:cs="Times New Roman"/>
          <w:color w:val="002060"/>
          <w:sz w:val="28"/>
          <w:szCs w:val="28"/>
        </w:rPr>
        <w:t xml:space="preserve"> di</w:t>
      </w:r>
      <w:r w:rsidR="00684BF4" w:rsidRPr="00BF6142">
        <w:rPr>
          <w:rFonts w:ascii="Times New Roman" w:hAnsi="Times New Roman" w:cs="Times New Roman"/>
          <w:color w:val="002060"/>
          <w:sz w:val="28"/>
          <w:szCs w:val="28"/>
        </w:rPr>
        <w:t xml:space="preserve">stinzioni </w:t>
      </w:r>
      <w:r w:rsidRPr="00BF6142">
        <w:rPr>
          <w:rFonts w:ascii="Times New Roman" w:hAnsi="Times New Roman" w:cs="Times New Roman"/>
          <w:color w:val="002060"/>
          <w:sz w:val="28"/>
          <w:szCs w:val="28"/>
        </w:rPr>
        <w:t>t</w:t>
      </w:r>
      <w:r w:rsidR="00CC00B4" w:rsidRPr="00BF6142">
        <w:rPr>
          <w:rFonts w:ascii="Times New Roman" w:hAnsi="Times New Roman" w:cs="Times New Roman"/>
          <w:color w:val="002060"/>
          <w:sz w:val="28"/>
          <w:szCs w:val="28"/>
        </w:rPr>
        <w:t xml:space="preserve">ra forme di </w:t>
      </w:r>
      <w:r w:rsidR="00CC00B4" w:rsidRPr="00BF6142">
        <w:rPr>
          <w:rFonts w:ascii="Times New Roman" w:hAnsi="Times New Roman" w:cs="Times New Roman"/>
          <w:i/>
          <w:color w:val="002060"/>
          <w:sz w:val="28"/>
          <w:szCs w:val="28"/>
        </w:rPr>
        <w:t>sindacato forte e debole</w:t>
      </w:r>
      <w:r w:rsidR="00CC00B4" w:rsidRPr="00BF6142">
        <w:rPr>
          <w:rFonts w:ascii="Times New Roman" w:hAnsi="Times New Roman" w:cs="Times New Roman"/>
          <w:color w:val="002060"/>
          <w:sz w:val="28"/>
          <w:szCs w:val="28"/>
        </w:rPr>
        <w:t xml:space="preserve"> (ovvero fra </w:t>
      </w:r>
      <w:r w:rsidR="00CC00B4" w:rsidRPr="00BF6142">
        <w:rPr>
          <w:rFonts w:ascii="Times New Roman" w:hAnsi="Times New Roman" w:cs="Times New Roman"/>
          <w:i/>
          <w:color w:val="002060"/>
          <w:sz w:val="28"/>
          <w:szCs w:val="28"/>
        </w:rPr>
        <w:t>sindacato sostitutivo e non sostitutivo</w:t>
      </w:r>
      <w:r w:rsidR="0071525C" w:rsidRPr="00BF6142">
        <w:rPr>
          <w:rFonts w:ascii="Times New Roman" w:hAnsi="Times New Roman" w:cs="Times New Roman"/>
          <w:color w:val="002060"/>
          <w:sz w:val="28"/>
          <w:szCs w:val="28"/>
        </w:rPr>
        <w:t xml:space="preserve">, ovvero ancora fra </w:t>
      </w:r>
      <w:r w:rsidR="0071525C" w:rsidRPr="00BF6142">
        <w:rPr>
          <w:rFonts w:ascii="Times New Roman" w:hAnsi="Times New Roman" w:cs="Times New Roman"/>
          <w:i/>
          <w:color w:val="002060"/>
          <w:sz w:val="28"/>
          <w:szCs w:val="28"/>
        </w:rPr>
        <w:t>sindacato intrinseco ed estrinseco</w:t>
      </w:r>
      <w:r w:rsidR="00CC00B4" w:rsidRPr="00BF6142">
        <w:rPr>
          <w:rFonts w:ascii="Times New Roman" w:hAnsi="Times New Roman" w:cs="Times New Roman"/>
          <w:color w:val="002060"/>
          <w:sz w:val="28"/>
          <w:szCs w:val="28"/>
        </w:rPr>
        <w:t>)</w:t>
      </w:r>
      <w:r w:rsidR="0071525C" w:rsidRPr="00BF6142">
        <w:rPr>
          <w:rFonts w:ascii="Times New Roman" w:hAnsi="Times New Roman" w:cs="Times New Roman"/>
          <w:color w:val="002060"/>
          <w:sz w:val="28"/>
          <w:szCs w:val="28"/>
        </w:rPr>
        <w:t>: il sindacato di p</w:t>
      </w:r>
      <w:r w:rsidR="0072339F" w:rsidRPr="00BF6142">
        <w:rPr>
          <w:rFonts w:ascii="Times New Roman" w:hAnsi="Times New Roman" w:cs="Times New Roman"/>
          <w:color w:val="002060"/>
          <w:sz w:val="28"/>
          <w:szCs w:val="28"/>
        </w:rPr>
        <w:t>i</w:t>
      </w:r>
      <w:r w:rsidR="0071525C" w:rsidRPr="00BF6142">
        <w:rPr>
          <w:rFonts w:ascii="Times New Roman" w:hAnsi="Times New Roman" w:cs="Times New Roman"/>
          <w:color w:val="002060"/>
          <w:sz w:val="28"/>
          <w:szCs w:val="28"/>
        </w:rPr>
        <w:t xml:space="preserve">ena giurisdizione </w:t>
      </w:r>
      <w:r w:rsidR="00404D99" w:rsidRPr="00BF6142">
        <w:rPr>
          <w:rFonts w:ascii="Times New Roman" w:hAnsi="Times New Roman" w:cs="Times New Roman"/>
          <w:color w:val="002060"/>
          <w:sz w:val="28"/>
          <w:szCs w:val="28"/>
        </w:rPr>
        <w:t xml:space="preserve">oggi </w:t>
      </w:r>
      <w:r w:rsidR="0071525C" w:rsidRPr="00BF6142">
        <w:rPr>
          <w:rFonts w:ascii="Times New Roman" w:hAnsi="Times New Roman" w:cs="Times New Roman"/>
          <w:color w:val="002060"/>
          <w:sz w:val="28"/>
          <w:szCs w:val="28"/>
        </w:rPr>
        <w:t xml:space="preserve">disciplinato dal </w:t>
      </w:r>
      <w:r w:rsidR="008E34CC">
        <w:rPr>
          <w:rFonts w:ascii="Times New Roman" w:hAnsi="Times New Roman" w:cs="Times New Roman"/>
          <w:color w:val="002060"/>
          <w:sz w:val="28"/>
          <w:szCs w:val="28"/>
        </w:rPr>
        <w:t>codice</w:t>
      </w:r>
      <w:r w:rsidR="0071525C" w:rsidRPr="00BF6142">
        <w:rPr>
          <w:rFonts w:ascii="Times New Roman" w:hAnsi="Times New Roman" w:cs="Times New Roman"/>
          <w:color w:val="002060"/>
          <w:sz w:val="28"/>
          <w:szCs w:val="28"/>
        </w:rPr>
        <w:t xml:space="preserve"> consente al </w:t>
      </w:r>
      <w:r w:rsidR="008E34CC">
        <w:rPr>
          <w:rFonts w:ascii="Times New Roman" w:hAnsi="Times New Roman" w:cs="Times New Roman"/>
          <w:color w:val="002060"/>
          <w:sz w:val="28"/>
          <w:szCs w:val="28"/>
        </w:rPr>
        <w:t>g</w:t>
      </w:r>
      <w:r w:rsidR="0071525C" w:rsidRPr="00BF6142">
        <w:rPr>
          <w:rFonts w:ascii="Times New Roman" w:hAnsi="Times New Roman" w:cs="Times New Roman"/>
          <w:color w:val="002060"/>
          <w:sz w:val="28"/>
          <w:szCs w:val="28"/>
        </w:rPr>
        <w:t xml:space="preserve">iudice amministrativo </w:t>
      </w:r>
      <w:r w:rsidR="00404D99" w:rsidRPr="00BF6142">
        <w:rPr>
          <w:rFonts w:ascii="Times New Roman" w:hAnsi="Times New Roman" w:cs="Times New Roman"/>
          <w:color w:val="002060"/>
          <w:sz w:val="28"/>
          <w:szCs w:val="28"/>
        </w:rPr>
        <w:t xml:space="preserve">una piena ‘signoria sul fatto’ e sulle circostanze rilevanti (senza che residuino aree di riservato </w:t>
      </w:r>
      <w:r w:rsidR="00C61D0C" w:rsidRPr="00BF6142">
        <w:rPr>
          <w:rFonts w:ascii="Times New Roman" w:hAnsi="Times New Roman" w:cs="Times New Roman"/>
          <w:color w:val="002060"/>
          <w:sz w:val="28"/>
          <w:szCs w:val="28"/>
        </w:rPr>
        <w:t>dominio per l’amministrazione)</w:t>
      </w:r>
      <w:r w:rsidRPr="00BF6142">
        <w:rPr>
          <w:rFonts w:ascii="Times New Roman" w:hAnsi="Times New Roman" w:cs="Times New Roman"/>
          <w:color w:val="002060"/>
          <w:sz w:val="28"/>
          <w:szCs w:val="28"/>
        </w:rPr>
        <w:t>, se non quelle rimesse</w:t>
      </w:r>
      <w:r w:rsidR="008E34CC">
        <w:rPr>
          <w:rFonts w:ascii="Times New Roman" w:hAnsi="Times New Roman" w:cs="Times New Roman"/>
          <w:color w:val="002060"/>
          <w:sz w:val="28"/>
          <w:szCs w:val="28"/>
        </w:rPr>
        <w:t xml:space="preserve"> </w:t>
      </w:r>
      <w:r w:rsidRPr="00BF6142">
        <w:rPr>
          <w:rFonts w:ascii="Times New Roman" w:hAnsi="Times New Roman" w:cs="Times New Roman"/>
          <w:color w:val="002060"/>
          <w:sz w:val="28"/>
          <w:szCs w:val="28"/>
        </w:rPr>
        <w:t>alla vera e propria scelta amministrativa;</w:t>
      </w:r>
    </w:p>
    <w:p w:rsidR="00660F55" w:rsidRDefault="00BF6142" w:rsidP="00456EE5">
      <w:pPr>
        <w:pStyle w:val="Paragrafoelenco"/>
        <w:numPr>
          <w:ilvl w:val="0"/>
          <w:numId w:val="11"/>
        </w:numPr>
        <w:jc w:val="both"/>
        <w:rPr>
          <w:rFonts w:ascii="Times New Roman" w:hAnsi="Times New Roman" w:cs="Times New Roman"/>
          <w:color w:val="002060"/>
          <w:sz w:val="28"/>
          <w:szCs w:val="28"/>
        </w:rPr>
      </w:pPr>
      <w:r>
        <w:rPr>
          <w:rFonts w:ascii="Times New Roman" w:hAnsi="Times New Roman" w:cs="Times New Roman"/>
          <w:color w:val="002060"/>
          <w:sz w:val="28"/>
          <w:szCs w:val="28"/>
        </w:rPr>
        <w:t>Si amplia il perimetro del sindacato giurisdizionale in relazione</w:t>
      </w:r>
      <w:r w:rsidR="00660F55">
        <w:rPr>
          <w:rFonts w:ascii="Times New Roman" w:hAnsi="Times New Roman" w:cs="Times New Roman"/>
          <w:color w:val="002060"/>
          <w:sz w:val="28"/>
          <w:szCs w:val="28"/>
        </w:rPr>
        <w:t xml:space="preserve"> anche</w:t>
      </w:r>
      <w:r>
        <w:rPr>
          <w:rFonts w:ascii="Times New Roman" w:hAnsi="Times New Roman" w:cs="Times New Roman"/>
          <w:color w:val="002060"/>
          <w:sz w:val="28"/>
          <w:szCs w:val="28"/>
        </w:rPr>
        <w:t xml:space="preserve"> alla discrezionalità tecnica</w:t>
      </w:r>
      <w:r w:rsidR="008E34CC">
        <w:rPr>
          <w:rFonts w:ascii="Times New Roman" w:hAnsi="Times New Roman" w:cs="Times New Roman"/>
          <w:color w:val="002060"/>
          <w:sz w:val="28"/>
          <w:szCs w:val="28"/>
        </w:rPr>
        <w:t>,</w:t>
      </w:r>
      <w:r w:rsidR="00660F55">
        <w:rPr>
          <w:rFonts w:ascii="Times New Roman" w:hAnsi="Times New Roman" w:cs="Times New Roman"/>
          <w:color w:val="002060"/>
          <w:sz w:val="28"/>
          <w:szCs w:val="28"/>
        </w:rPr>
        <w:t xml:space="preserve"> </w:t>
      </w:r>
      <w:r w:rsidR="00660F55" w:rsidRPr="00660F55">
        <w:rPr>
          <w:rFonts w:ascii="Times New Roman" w:hAnsi="Times New Roman" w:cs="Times New Roman"/>
          <w:color w:val="002060"/>
          <w:sz w:val="28"/>
          <w:szCs w:val="28"/>
        </w:rPr>
        <w:t>in tal modo verificando che la soluzione adottata dall’amministrazione sia la più attendibile fra quelle prospettate dalle parti in sede giurisdizionale.</w:t>
      </w:r>
      <w:r w:rsidR="00660F55">
        <w:rPr>
          <w:rFonts w:ascii="Times New Roman" w:hAnsi="Times New Roman" w:cs="Times New Roman"/>
          <w:color w:val="002060"/>
          <w:sz w:val="28"/>
          <w:szCs w:val="28"/>
        </w:rPr>
        <w:t xml:space="preserve"> Tale orientamento si combina con quello volto a ridurre gli spazi di discrezionalità dell’amministrazione a fronte del ripetutamente illegittimo esercizio del potere, che ne riduce progressivamente la discrezionalità </w:t>
      </w:r>
      <w:r w:rsidR="00FC6FDC">
        <w:rPr>
          <w:rFonts w:ascii="Times New Roman" w:hAnsi="Times New Roman" w:cs="Times New Roman"/>
          <w:color w:val="002060"/>
          <w:sz w:val="28"/>
          <w:szCs w:val="28"/>
        </w:rPr>
        <w:t>e</w:t>
      </w:r>
      <w:r w:rsidR="00660F55">
        <w:rPr>
          <w:rFonts w:ascii="Times New Roman" w:hAnsi="Times New Roman" w:cs="Times New Roman"/>
          <w:color w:val="002060"/>
          <w:sz w:val="28"/>
          <w:szCs w:val="28"/>
        </w:rPr>
        <w:t>d è significativo che tale orientamento, proposto dalla Sezione</w:t>
      </w:r>
      <w:r w:rsidR="00FC6FDC">
        <w:rPr>
          <w:rFonts w:ascii="Times New Roman" w:hAnsi="Times New Roman" w:cs="Times New Roman"/>
          <w:color w:val="002060"/>
          <w:sz w:val="28"/>
          <w:szCs w:val="28"/>
        </w:rPr>
        <w:t xml:space="preserve"> </w:t>
      </w:r>
      <w:r w:rsidR="008E34CC">
        <w:rPr>
          <w:rFonts w:ascii="Times New Roman" w:hAnsi="Times New Roman" w:cs="Times New Roman"/>
          <w:color w:val="002060"/>
          <w:sz w:val="28"/>
          <w:szCs w:val="28"/>
        </w:rPr>
        <w:t xml:space="preserve">Sesta del Consiglio di Stato </w:t>
      </w:r>
      <w:r w:rsidR="00FC6FDC">
        <w:rPr>
          <w:rFonts w:ascii="Times New Roman" w:hAnsi="Times New Roman" w:cs="Times New Roman"/>
          <w:color w:val="002060"/>
          <w:sz w:val="28"/>
          <w:szCs w:val="28"/>
        </w:rPr>
        <w:t>(sent. 25 febbraio 2019, n. 1321)</w:t>
      </w:r>
      <w:r w:rsidR="00660F55">
        <w:rPr>
          <w:rFonts w:ascii="Times New Roman" w:hAnsi="Times New Roman" w:cs="Times New Roman"/>
          <w:color w:val="002060"/>
          <w:sz w:val="28"/>
          <w:szCs w:val="28"/>
        </w:rPr>
        <w:t xml:space="preserve"> in relazione all’abilitazione alla prima fascia di un professore universitario, sia stato di recente confermato dalla Corte di cassazione </w:t>
      </w:r>
      <w:r w:rsidR="00FC6FDC">
        <w:rPr>
          <w:rFonts w:ascii="Times New Roman" w:hAnsi="Times New Roman" w:cs="Times New Roman"/>
          <w:color w:val="002060"/>
          <w:sz w:val="28"/>
          <w:szCs w:val="28"/>
        </w:rPr>
        <w:t xml:space="preserve">(SS.UU. 7 settembre 2020, n. 18592) </w:t>
      </w:r>
      <w:r w:rsidR="00660F55">
        <w:rPr>
          <w:rFonts w:ascii="Times New Roman" w:hAnsi="Times New Roman" w:cs="Times New Roman"/>
          <w:color w:val="002060"/>
          <w:sz w:val="28"/>
          <w:szCs w:val="28"/>
        </w:rPr>
        <w:t>che ha individuato nello stesso una forma di interpretazione evolutiva delle norme che regolano il sindacato giurisdizionale per f</w:t>
      </w:r>
      <w:r w:rsidR="008E34CC">
        <w:rPr>
          <w:rFonts w:ascii="Times New Roman" w:hAnsi="Times New Roman" w:cs="Times New Roman"/>
          <w:color w:val="002060"/>
          <w:sz w:val="28"/>
          <w:szCs w:val="28"/>
        </w:rPr>
        <w:t>ini di effettività della tutela;</w:t>
      </w:r>
    </w:p>
    <w:p w:rsidR="00660F55" w:rsidRPr="00660F55" w:rsidRDefault="00660F55" w:rsidP="00660F55">
      <w:pPr>
        <w:pStyle w:val="Paragrafoelenco"/>
        <w:numPr>
          <w:ilvl w:val="0"/>
          <w:numId w:val="11"/>
        </w:numPr>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Conseguentemente diventa incerto</w:t>
      </w:r>
      <w:r w:rsidR="008E34CC">
        <w:rPr>
          <w:rFonts w:ascii="Times New Roman" w:hAnsi="Times New Roman" w:cs="Times New Roman"/>
          <w:color w:val="002060"/>
          <w:sz w:val="28"/>
          <w:szCs w:val="28"/>
        </w:rPr>
        <w:t>, o meglio mobile,</w:t>
      </w:r>
      <w:r>
        <w:rPr>
          <w:rFonts w:ascii="Times New Roman" w:hAnsi="Times New Roman" w:cs="Times New Roman"/>
          <w:color w:val="002060"/>
          <w:sz w:val="28"/>
          <w:szCs w:val="28"/>
        </w:rPr>
        <w:t xml:space="preserve"> il confine tra legittimità e merito e tra cognizione e ottemperanza.</w:t>
      </w:r>
    </w:p>
    <w:p w:rsidR="0032006E" w:rsidRDefault="00861BFA" w:rsidP="00660F55">
      <w:pPr>
        <w:spacing w:after="120" w:line="288"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A</w:t>
      </w:r>
      <w:r w:rsidR="00404D99">
        <w:rPr>
          <w:rFonts w:ascii="Times New Roman" w:hAnsi="Times New Roman" w:cs="Times New Roman"/>
          <w:color w:val="002060"/>
          <w:sz w:val="28"/>
          <w:szCs w:val="28"/>
        </w:rPr>
        <w:t xml:space="preserve"> dieci anni dall’entrata in vigore del </w:t>
      </w:r>
      <w:r w:rsidR="008E34CC">
        <w:rPr>
          <w:rFonts w:ascii="Times New Roman" w:hAnsi="Times New Roman" w:cs="Times New Roman"/>
          <w:color w:val="002060"/>
          <w:sz w:val="28"/>
          <w:szCs w:val="28"/>
        </w:rPr>
        <w:t>codice del processo amministrativo</w:t>
      </w:r>
      <w:r w:rsidR="00660F55">
        <w:rPr>
          <w:rFonts w:ascii="Times New Roman" w:hAnsi="Times New Roman" w:cs="Times New Roman"/>
          <w:color w:val="002060"/>
          <w:sz w:val="28"/>
          <w:szCs w:val="28"/>
        </w:rPr>
        <w:t xml:space="preserve"> mi sentirei di </w:t>
      </w:r>
      <w:r w:rsidR="00404D99">
        <w:rPr>
          <w:rFonts w:ascii="Times New Roman" w:hAnsi="Times New Roman" w:cs="Times New Roman"/>
          <w:color w:val="002060"/>
          <w:sz w:val="28"/>
          <w:szCs w:val="28"/>
        </w:rPr>
        <w:t xml:space="preserve">affermare che questo strumento ha risposto in maniera complessivamente adeguata alle </w:t>
      </w:r>
      <w:r>
        <w:rPr>
          <w:rFonts w:ascii="Times New Roman" w:hAnsi="Times New Roman" w:cs="Times New Roman"/>
          <w:color w:val="002060"/>
          <w:sz w:val="28"/>
          <w:szCs w:val="28"/>
        </w:rPr>
        <w:t xml:space="preserve">esigenze </w:t>
      </w:r>
      <w:r w:rsidR="005D0D14">
        <w:rPr>
          <w:rFonts w:ascii="Times New Roman" w:hAnsi="Times New Roman" w:cs="Times New Roman"/>
          <w:color w:val="002060"/>
          <w:sz w:val="28"/>
          <w:szCs w:val="28"/>
        </w:rPr>
        <w:t xml:space="preserve">operative </w:t>
      </w:r>
      <w:r>
        <w:rPr>
          <w:rFonts w:ascii="Times New Roman" w:hAnsi="Times New Roman" w:cs="Times New Roman"/>
          <w:color w:val="002060"/>
          <w:sz w:val="28"/>
          <w:szCs w:val="28"/>
        </w:rPr>
        <w:t>proprie di quello che la Corte costituzionale ha definito come il</w:t>
      </w:r>
      <w:r w:rsidR="00404D99">
        <w:rPr>
          <w:rFonts w:ascii="Times New Roman" w:hAnsi="Times New Roman" w:cs="Times New Roman"/>
          <w:color w:val="002060"/>
          <w:sz w:val="28"/>
          <w:szCs w:val="28"/>
        </w:rPr>
        <w:t xml:space="preserve"> </w:t>
      </w:r>
      <w:r w:rsidR="008E34CC">
        <w:rPr>
          <w:rFonts w:ascii="Times New Roman" w:hAnsi="Times New Roman" w:cs="Times New Roman"/>
          <w:i/>
          <w:color w:val="002060"/>
          <w:sz w:val="28"/>
          <w:szCs w:val="28"/>
        </w:rPr>
        <w:t>g</w:t>
      </w:r>
      <w:r w:rsidR="00404D99" w:rsidRPr="00861BFA">
        <w:rPr>
          <w:rFonts w:ascii="Times New Roman" w:hAnsi="Times New Roman" w:cs="Times New Roman"/>
          <w:i/>
          <w:color w:val="002060"/>
          <w:sz w:val="28"/>
          <w:szCs w:val="28"/>
        </w:rPr>
        <w:t xml:space="preserve">iudice </w:t>
      </w:r>
      <w:r w:rsidRPr="00861BFA">
        <w:rPr>
          <w:rFonts w:ascii="Times New Roman" w:hAnsi="Times New Roman" w:cs="Times New Roman"/>
          <w:i/>
          <w:color w:val="002060"/>
          <w:sz w:val="28"/>
          <w:szCs w:val="28"/>
        </w:rPr>
        <w:t>naturale della legittimità dell’esercizio della funzione pubblica</w:t>
      </w:r>
      <w:r w:rsidR="008E34CC">
        <w:rPr>
          <w:rFonts w:ascii="Times New Roman" w:hAnsi="Times New Roman" w:cs="Times New Roman"/>
          <w:color w:val="002060"/>
          <w:sz w:val="28"/>
          <w:szCs w:val="28"/>
        </w:rPr>
        <w:t xml:space="preserve"> (di un g</w:t>
      </w:r>
      <w:r w:rsidR="00404D99">
        <w:rPr>
          <w:rFonts w:ascii="Times New Roman" w:hAnsi="Times New Roman" w:cs="Times New Roman"/>
          <w:color w:val="002060"/>
          <w:sz w:val="28"/>
          <w:szCs w:val="28"/>
        </w:rPr>
        <w:t xml:space="preserve">iudice, cioè, al </w:t>
      </w:r>
      <w:r w:rsidR="000E2412">
        <w:rPr>
          <w:rFonts w:ascii="Times New Roman" w:hAnsi="Times New Roman" w:cs="Times New Roman"/>
          <w:color w:val="002060"/>
          <w:sz w:val="28"/>
          <w:szCs w:val="28"/>
        </w:rPr>
        <w:t>quale devono essere riconosciuti</w:t>
      </w:r>
      <w:r w:rsidR="00404D99">
        <w:rPr>
          <w:rFonts w:ascii="Times New Roman" w:hAnsi="Times New Roman" w:cs="Times New Roman"/>
          <w:color w:val="002060"/>
          <w:sz w:val="28"/>
          <w:szCs w:val="28"/>
        </w:rPr>
        <w:t xml:space="preserve"> poteri </w:t>
      </w:r>
      <w:r w:rsidR="000E2412">
        <w:rPr>
          <w:rFonts w:ascii="Times New Roman" w:hAnsi="Times New Roman" w:cs="Times New Roman"/>
          <w:color w:val="002060"/>
          <w:sz w:val="28"/>
          <w:szCs w:val="28"/>
        </w:rPr>
        <w:t>di cognizione, di statuizione e di attuazione tanto più penetranti, quanto più rilevanti sono gli interessi pubblici – e, correlativamente, privati – che vengono coinvolti).</w:t>
      </w:r>
    </w:p>
    <w:p w:rsidR="0032006E" w:rsidRDefault="00660F55"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Vorrei in conclusione riassumere gli aspetti che mi sembrano consentire di definire oramai la giurisdizione amministrativa come piena ed effettiva:</w:t>
      </w:r>
    </w:p>
    <w:p w:rsidR="00735D32" w:rsidRDefault="001F059F" w:rsidP="001F059F">
      <w:pPr>
        <w:pStyle w:val="Paragrafoelenco"/>
        <w:numPr>
          <w:ilvl w:val="0"/>
          <w:numId w:val="10"/>
        </w:numPr>
        <w:spacing w:after="120" w:line="288" w:lineRule="auto"/>
        <w:ind w:left="567" w:hanging="567"/>
        <w:jc w:val="both"/>
        <w:rPr>
          <w:rFonts w:ascii="Times New Roman" w:hAnsi="Times New Roman" w:cs="Times New Roman"/>
          <w:color w:val="002060"/>
          <w:sz w:val="28"/>
          <w:szCs w:val="28"/>
        </w:rPr>
      </w:pPr>
      <w:r>
        <w:rPr>
          <w:rFonts w:ascii="Times New Roman" w:hAnsi="Times New Roman" w:cs="Times New Roman"/>
          <w:color w:val="002060"/>
          <w:sz w:val="28"/>
          <w:szCs w:val="28"/>
        </w:rPr>
        <w:t>i</w:t>
      </w:r>
      <w:r w:rsidR="00735D32">
        <w:rPr>
          <w:rFonts w:ascii="Times New Roman" w:hAnsi="Times New Roman" w:cs="Times New Roman"/>
          <w:color w:val="002060"/>
          <w:sz w:val="28"/>
          <w:szCs w:val="28"/>
        </w:rPr>
        <w:t xml:space="preserve">l </w:t>
      </w:r>
      <w:r w:rsidR="008E34CC">
        <w:rPr>
          <w:rFonts w:ascii="Times New Roman" w:hAnsi="Times New Roman" w:cs="Times New Roman"/>
          <w:color w:val="002060"/>
          <w:sz w:val="28"/>
          <w:szCs w:val="28"/>
        </w:rPr>
        <w:t>codice del processo</w:t>
      </w:r>
      <w:r w:rsidR="00735D32">
        <w:rPr>
          <w:rFonts w:ascii="Times New Roman" w:hAnsi="Times New Roman" w:cs="Times New Roman"/>
          <w:color w:val="002060"/>
          <w:sz w:val="28"/>
          <w:szCs w:val="28"/>
        </w:rPr>
        <w:t xml:space="preserve"> prefigura un sistema sostanzialmente aperto di tutele (</w:t>
      </w:r>
      <w:r w:rsidR="008E34CC">
        <w:rPr>
          <w:rFonts w:ascii="Times New Roman" w:hAnsi="Times New Roman" w:cs="Times New Roman"/>
          <w:color w:val="002060"/>
          <w:sz w:val="28"/>
          <w:szCs w:val="28"/>
        </w:rPr>
        <w:t>anzi</w:t>
      </w:r>
      <w:r w:rsidR="00735D32">
        <w:rPr>
          <w:rFonts w:ascii="Times New Roman" w:hAnsi="Times New Roman" w:cs="Times New Roman"/>
          <w:color w:val="002060"/>
          <w:sz w:val="28"/>
          <w:szCs w:val="28"/>
        </w:rPr>
        <w:t xml:space="preserve"> che un sistema ‘chiuso’ di azioni tipiche)</w:t>
      </w:r>
      <w:r w:rsidR="00974B08">
        <w:rPr>
          <w:rFonts w:ascii="Times New Roman" w:hAnsi="Times New Roman" w:cs="Times New Roman"/>
          <w:color w:val="002060"/>
          <w:sz w:val="28"/>
          <w:szCs w:val="28"/>
        </w:rPr>
        <w:t>: un sistema in cui la tutela risulta conformata non tanto (o non solo) in relazione alle posizioni giuridiche sostanziali, ma al bisogno differenziato di tutela dell’interesse protetto;</w:t>
      </w:r>
    </w:p>
    <w:p w:rsidR="00974B08" w:rsidRDefault="001F059F" w:rsidP="001F059F">
      <w:pPr>
        <w:pStyle w:val="Paragrafoelenco"/>
        <w:numPr>
          <w:ilvl w:val="0"/>
          <w:numId w:val="10"/>
        </w:numPr>
        <w:spacing w:after="120" w:line="288" w:lineRule="auto"/>
        <w:ind w:left="567" w:hanging="567"/>
        <w:jc w:val="both"/>
        <w:rPr>
          <w:rFonts w:ascii="Times New Roman" w:hAnsi="Times New Roman" w:cs="Times New Roman"/>
          <w:color w:val="002060"/>
          <w:sz w:val="28"/>
          <w:szCs w:val="28"/>
        </w:rPr>
      </w:pPr>
      <w:r>
        <w:rPr>
          <w:rFonts w:ascii="Times New Roman" w:hAnsi="Times New Roman" w:cs="Times New Roman"/>
          <w:color w:val="002060"/>
          <w:sz w:val="28"/>
          <w:szCs w:val="28"/>
        </w:rPr>
        <w:t>p</w:t>
      </w:r>
      <w:r w:rsidR="00974B08">
        <w:rPr>
          <w:rFonts w:ascii="Times New Roman" w:hAnsi="Times New Roman" w:cs="Times New Roman"/>
          <w:color w:val="002060"/>
          <w:sz w:val="28"/>
          <w:szCs w:val="28"/>
        </w:rPr>
        <w:t>ur mantenendo la storica centralità d</w:t>
      </w:r>
      <w:r w:rsidR="008E34CC">
        <w:rPr>
          <w:rFonts w:ascii="Times New Roman" w:hAnsi="Times New Roman" w:cs="Times New Roman"/>
          <w:color w:val="002060"/>
          <w:sz w:val="28"/>
          <w:szCs w:val="28"/>
        </w:rPr>
        <w:t>ell’azione di annullamento, il l</w:t>
      </w:r>
      <w:r w:rsidR="00974B08">
        <w:rPr>
          <w:rFonts w:ascii="Times New Roman" w:hAnsi="Times New Roman" w:cs="Times New Roman"/>
          <w:color w:val="002060"/>
          <w:sz w:val="28"/>
          <w:szCs w:val="28"/>
        </w:rPr>
        <w:t>egislatore del 2010 ha ampliato le potenzialità di tale azione, concentrando nell’ambito del giudizio di cognizione l’esame di questioni che, in precedenza, costituivano oggetto del giudizio di ottemperanza;</w:t>
      </w:r>
    </w:p>
    <w:p w:rsidR="00974B08" w:rsidRDefault="001F059F" w:rsidP="001F059F">
      <w:pPr>
        <w:pStyle w:val="Paragrafoelenco"/>
        <w:numPr>
          <w:ilvl w:val="0"/>
          <w:numId w:val="10"/>
        </w:numPr>
        <w:spacing w:after="120" w:line="288" w:lineRule="auto"/>
        <w:ind w:left="567" w:hanging="567"/>
        <w:jc w:val="both"/>
        <w:rPr>
          <w:rFonts w:ascii="Times New Roman" w:hAnsi="Times New Roman" w:cs="Times New Roman"/>
          <w:color w:val="002060"/>
          <w:sz w:val="28"/>
          <w:szCs w:val="28"/>
        </w:rPr>
      </w:pPr>
      <w:r>
        <w:rPr>
          <w:rFonts w:ascii="Times New Roman" w:hAnsi="Times New Roman" w:cs="Times New Roman"/>
          <w:color w:val="002060"/>
          <w:sz w:val="28"/>
          <w:szCs w:val="28"/>
        </w:rPr>
        <w:t>i</w:t>
      </w:r>
      <w:r w:rsidR="008E34CC">
        <w:rPr>
          <w:rFonts w:ascii="Times New Roman" w:hAnsi="Times New Roman" w:cs="Times New Roman"/>
          <w:color w:val="002060"/>
          <w:sz w:val="28"/>
          <w:szCs w:val="28"/>
        </w:rPr>
        <w:t>l codice consente oggi al g</w:t>
      </w:r>
      <w:r w:rsidR="00A74214">
        <w:rPr>
          <w:rFonts w:ascii="Times New Roman" w:hAnsi="Times New Roman" w:cs="Times New Roman"/>
          <w:color w:val="002060"/>
          <w:sz w:val="28"/>
          <w:szCs w:val="28"/>
        </w:rPr>
        <w:t>iudice di ‘spingersi oltre’ la prospettazione dei fatti contenuta nel procedimento (e trasfusa nel provvedimento)</w:t>
      </w:r>
      <w:r>
        <w:rPr>
          <w:rFonts w:ascii="Times New Roman" w:hAnsi="Times New Roman" w:cs="Times New Roman"/>
          <w:color w:val="002060"/>
          <w:sz w:val="28"/>
          <w:szCs w:val="28"/>
        </w:rPr>
        <w:t>: l’estensione del vaglio al rapporto s</w:t>
      </w:r>
      <w:r w:rsidR="008E34CC">
        <w:rPr>
          <w:rFonts w:ascii="Times New Roman" w:hAnsi="Times New Roman" w:cs="Times New Roman"/>
          <w:color w:val="002060"/>
          <w:sz w:val="28"/>
          <w:szCs w:val="28"/>
        </w:rPr>
        <w:t>ottostante consente infatti al g</w:t>
      </w:r>
      <w:r>
        <w:rPr>
          <w:rFonts w:ascii="Times New Roman" w:hAnsi="Times New Roman" w:cs="Times New Roman"/>
          <w:color w:val="002060"/>
          <w:sz w:val="28"/>
          <w:szCs w:val="28"/>
        </w:rPr>
        <w:t xml:space="preserve">iudice di accedere in modo pieno al fatto, senza che il </w:t>
      </w:r>
      <w:r w:rsidR="008E34CC">
        <w:rPr>
          <w:rFonts w:ascii="Times New Roman" w:hAnsi="Times New Roman" w:cs="Times New Roman"/>
          <w:color w:val="002060"/>
          <w:sz w:val="28"/>
          <w:szCs w:val="28"/>
        </w:rPr>
        <w:t>egli</w:t>
      </w:r>
      <w:r>
        <w:rPr>
          <w:rFonts w:ascii="Times New Roman" w:hAnsi="Times New Roman" w:cs="Times New Roman"/>
          <w:color w:val="002060"/>
          <w:sz w:val="28"/>
          <w:szCs w:val="28"/>
        </w:rPr>
        <w:t xml:space="preserve"> sia vincolato a quanto rappresentato nel provvedimento;</w:t>
      </w:r>
    </w:p>
    <w:p w:rsidR="001F059F" w:rsidRPr="00735D32" w:rsidRDefault="001F059F" w:rsidP="001F059F">
      <w:pPr>
        <w:pStyle w:val="Paragrafoelenco"/>
        <w:numPr>
          <w:ilvl w:val="0"/>
          <w:numId w:val="10"/>
        </w:numPr>
        <w:spacing w:after="120" w:line="288" w:lineRule="auto"/>
        <w:ind w:left="567" w:hanging="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più in generale, la </w:t>
      </w:r>
      <w:r w:rsidR="008E34CC">
        <w:rPr>
          <w:rFonts w:ascii="Times New Roman" w:hAnsi="Times New Roman" w:cs="Times New Roman"/>
          <w:color w:val="002060"/>
          <w:sz w:val="28"/>
          <w:szCs w:val="28"/>
        </w:rPr>
        <w:t>giurisdizione disciplinata dal c</w:t>
      </w:r>
      <w:r>
        <w:rPr>
          <w:rFonts w:ascii="Times New Roman" w:hAnsi="Times New Roman" w:cs="Times New Roman"/>
          <w:color w:val="002060"/>
          <w:sz w:val="28"/>
          <w:szCs w:val="28"/>
        </w:rPr>
        <w:t>o</w:t>
      </w:r>
      <w:r w:rsidR="008E34CC">
        <w:rPr>
          <w:rFonts w:ascii="Times New Roman" w:hAnsi="Times New Roman" w:cs="Times New Roman"/>
          <w:color w:val="002060"/>
          <w:sz w:val="28"/>
          <w:szCs w:val="28"/>
        </w:rPr>
        <w:t>dice è piena, nel senso che il g</w:t>
      </w:r>
      <w:r>
        <w:rPr>
          <w:rFonts w:ascii="Times New Roman" w:hAnsi="Times New Roman" w:cs="Times New Roman"/>
          <w:color w:val="002060"/>
          <w:sz w:val="28"/>
          <w:szCs w:val="28"/>
        </w:rPr>
        <w:t xml:space="preserve">iudice ha il potere di sindacare in qualsiasi punto – in fatto e </w:t>
      </w:r>
      <w:r w:rsidR="008E34CC">
        <w:rPr>
          <w:rFonts w:ascii="Times New Roman" w:hAnsi="Times New Roman" w:cs="Times New Roman"/>
          <w:color w:val="002060"/>
          <w:sz w:val="28"/>
          <w:szCs w:val="28"/>
        </w:rPr>
        <w:t>in diritto – la decisione dell’a</w:t>
      </w:r>
      <w:r>
        <w:rPr>
          <w:rFonts w:ascii="Times New Roman" w:hAnsi="Times New Roman" w:cs="Times New Roman"/>
          <w:color w:val="002060"/>
          <w:sz w:val="28"/>
          <w:szCs w:val="28"/>
        </w:rPr>
        <w:t>mministrazione.</w:t>
      </w:r>
    </w:p>
    <w:p w:rsidR="00504089" w:rsidRDefault="00504089" w:rsidP="00504089">
      <w:pPr>
        <w:spacing w:after="120" w:line="288"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
    <w:p w:rsidR="0032006E" w:rsidRDefault="00504089"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Concludo.</w:t>
      </w:r>
    </w:p>
    <w:p w:rsidR="00504089" w:rsidRDefault="00504089"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Il </w:t>
      </w:r>
      <w:r w:rsidR="008E34CC">
        <w:rPr>
          <w:rFonts w:ascii="Times New Roman" w:hAnsi="Times New Roman" w:cs="Times New Roman"/>
          <w:color w:val="002060"/>
          <w:sz w:val="28"/>
          <w:szCs w:val="28"/>
        </w:rPr>
        <w:t>codice del processo amministrativo</w:t>
      </w:r>
      <w:r>
        <w:rPr>
          <w:rFonts w:ascii="Times New Roman" w:hAnsi="Times New Roman" w:cs="Times New Roman"/>
          <w:color w:val="002060"/>
          <w:sz w:val="28"/>
          <w:szCs w:val="28"/>
        </w:rPr>
        <w:t xml:space="preserve"> giunge oggi a un traguardo importante della sua vita operativa e, </w:t>
      </w:r>
      <w:r w:rsidR="008E34CC">
        <w:rPr>
          <w:rFonts w:ascii="Times New Roman" w:hAnsi="Times New Roman" w:cs="Times New Roman"/>
          <w:color w:val="002060"/>
          <w:sz w:val="28"/>
          <w:szCs w:val="28"/>
        </w:rPr>
        <w:t>a</w:t>
      </w:r>
      <w:r>
        <w:rPr>
          <w:rFonts w:ascii="Times New Roman" w:hAnsi="Times New Roman" w:cs="Times New Roman"/>
          <w:color w:val="002060"/>
          <w:sz w:val="28"/>
          <w:szCs w:val="28"/>
        </w:rPr>
        <w:t xml:space="preserve"> un decennio della sua entrata in vigore, sento di poter dire che lo stesso ha risposto in modo</w:t>
      </w:r>
      <w:r w:rsidR="004A7A13">
        <w:rPr>
          <w:rFonts w:ascii="Times New Roman" w:hAnsi="Times New Roman" w:cs="Times New Roman"/>
          <w:color w:val="002060"/>
          <w:sz w:val="28"/>
          <w:szCs w:val="28"/>
        </w:rPr>
        <w:t xml:space="preserve"> complessivamente</w:t>
      </w:r>
      <w:r>
        <w:rPr>
          <w:rFonts w:ascii="Times New Roman" w:hAnsi="Times New Roman" w:cs="Times New Roman"/>
          <w:color w:val="002060"/>
          <w:sz w:val="28"/>
          <w:szCs w:val="28"/>
        </w:rPr>
        <w:t xml:space="preserve"> adeguato alla maggio</w:t>
      </w:r>
      <w:r w:rsidR="008E34CC">
        <w:rPr>
          <w:rFonts w:ascii="Times New Roman" w:hAnsi="Times New Roman" w:cs="Times New Roman"/>
          <w:color w:val="002060"/>
          <w:sz w:val="28"/>
          <w:szCs w:val="28"/>
        </w:rPr>
        <w:t>r parte degli obiettivi che il l</w:t>
      </w:r>
      <w:r>
        <w:rPr>
          <w:rFonts w:ascii="Times New Roman" w:hAnsi="Times New Roman" w:cs="Times New Roman"/>
          <w:color w:val="002060"/>
          <w:sz w:val="28"/>
          <w:szCs w:val="28"/>
        </w:rPr>
        <w:t xml:space="preserve">egislatore si era prefissato </w:t>
      </w:r>
      <w:r w:rsidR="0034311B">
        <w:rPr>
          <w:rFonts w:ascii="Times New Roman" w:hAnsi="Times New Roman" w:cs="Times New Roman"/>
          <w:color w:val="002060"/>
          <w:sz w:val="28"/>
          <w:szCs w:val="28"/>
        </w:rPr>
        <w:t>quando ne ha concepito l’emanazione.</w:t>
      </w:r>
    </w:p>
    <w:p w:rsidR="0034311B" w:rsidRDefault="0034311B"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La sostanziale stabilità normativa che lo ha caratterizzato (caso piuttosto raro nell’esperienza nazionale) e il numero assai limitato di pronunce di incostituzionalità </w:t>
      </w:r>
      <w:r>
        <w:rPr>
          <w:rFonts w:ascii="Times New Roman" w:hAnsi="Times New Roman" w:cs="Times New Roman"/>
          <w:color w:val="002060"/>
          <w:sz w:val="28"/>
          <w:szCs w:val="28"/>
        </w:rPr>
        <w:lastRenderedPageBreak/>
        <w:t>che lo hanno colpito rappresentano anch’essi testimonianza della complessiva bontà del modello.</w:t>
      </w:r>
    </w:p>
    <w:p w:rsidR="0034311B" w:rsidRDefault="0034311B" w:rsidP="0032006E">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Era possibile fare di più e meglio? </w:t>
      </w:r>
    </w:p>
    <w:p w:rsidR="00CC00B4" w:rsidRDefault="0034311B" w:rsidP="00660F55">
      <w:pPr>
        <w:spacing w:after="120" w:line="288" w:lineRule="auto"/>
        <w:ind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Probabilmente sì</w:t>
      </w:r>
      <w:r w:rsidR="00527067">
        <w:rPr>
          <w:rFonts w:ascii="Times New Roman" w:hAnsi="Times New Roman" w:cs="Times New Roman"/>
          <w:color w:val="002060"/>
          <w:sz w:val="28"/>
          <w:szCs w:val="28"/>
        </w:rPr>
        <w:t>, ma non credo rilevi</w:t>
      </w:r>
      <w:r>
        <w:rPr>
          <w:rFonts w:ascii="Times New Roman" w:hAnsi="Times New Roman" w:cs="Times New Roman"/>
          <w:color w:val="002060"/>
          <w:sz w:val="28"/>
          <w:szCs w:val="28"/>
        </w:rPr>
        <w:t>.</w:t>
      </w:r>
      <w:r w:rsidR="00527067">
        <w:rPr>
          <w:rFonts w:ascii="Times New Roman" w:hAnsi="Times New Roman" w:cs="Times New Roman"/>
          <w:color w:val="002060"/>
          <w:sz w:val="28"/>
          <w:szCs w:val="28"/>
        </w:rPr>
        <w:t xml:space="preserve"> C</w:t>
      </w:r>
      <w:r w:rsidR="00660F55">
        <w:rPr>
          <w:rFonts w:ascii="Times New Roman" w:hAnsi="Times New Roman" w:cs="Times New Roman"/>
          <w:color w:val="002060"/>
          <w:sz w:val="28"/>
          <w:szCs w:val="28"/>
        </w:rPr>
        <w:t>ostituire la tappa fondamentale di un percorso non significa aver raggiunto la meta. Specie quando questa è mobile, come dicevo all’inizio, perché mutano nella società le esigenze di tutela.</w:t>
      </w:r>
      <w:r w:rsidR="00527067">
        <w:rPr>
          <w:rFonts w:ascii="Times New Roman" w:hAnsi="Times New Roman" w:cs="Times New Roman"/>
          <w:color w:val="002060"/>
          <w:sz w:val="28"/>
          <w:szCs w:val="28"/>
        </w:rPr>
        <w:t xml:space="preserve"> Alla giurisprudenza e alla dottrina il compito di portare ancora più avanti il sistema delle tutele</w:t>
      </w:r>
      <w:r w:rsidR="008E34CC">
        <w:rPr>
          <w:rFonts w:ascii="Times New Roman" w:hAnsi="Times New Roman" w:cs="Times New Roman"/>
          <w:color w:val="002060"/>
          <w:sz w:val="28"/>
          <w:szCs w:val="28"/>
        </w:rPr>
        <w:t>,</w:t>
      </w:r>
      <w:bookmarkStart w:id="0" w:name="_GoBack"/>
      <w:bookmarkEnd w:id="0"/>
      <w:r w:rsidR="00FC6FDC">
        <w:rPr>
          <w:rFonts w:ascii="Times New Roman" w:hAnsi="Times New Roman" w:cs="Times New Roman"/>
          <w:color w:val="002060"/>
          <w:sz w:val="28"/>
          <w:szCs w:val="28"/>
        </w:rPr>
        <w:t xml:space="preserve"> alla ricerca di quello che una volta, in politica, si definiva “un equilibrio più avanzato”</w:t>
      </w:r>
      <w:r w:rsidR="00527067">
        <w:rPr>
          <w:rFonts w:ascii="Times New Roman" w:hAnsi="Times New Roman" w:cs="Times New Roman"/>
          <w:color w:val="002060"/>
          <w:sz w:val="28"/>
          <w:szCs w:val="28"/>
        </w:rPr>
        <w:t>. Come è sempre avvenuto nel processo e nello stesso diritto sostanziale amministrativo, che per lo più ha costituito storicamente il riflesso del processo e della tutela.</w:t>
      </w:r>
    </w:p>
    <w:p w:rsidR="00590EB6" w:rsidRDefault="00590EB6" w:rsidP="00660F55">
      <w:pPr>
        <w:spacing w:after="120" w:line="288" w:lineRule="auto"/>
        <w:ind w:firstLine="567"/>
        <w:jc w:val="both"/>
        <w:rPr>
          <w:rFonts w:ascii="Times New Roman" w:hAnsi="Times New Roman" w:cs="Times New Roman"/>
          <w:color w:val="002060"/>
          <w:sz w:val="28"/>
          <w:szCs w:val="28"/>
        </w:rPr>
      </w:pPr>
    </w:p>
    <w:p w:rsidR="00590EB6" w:rsidRDefault="00590EB6" w:rsidP="00590EB6">
      <w:pPr>
        <w:spacing w:after="120" w:line="288" w:lineRule="auto"/>
        <w:ind w:firstLine="567"/>
        <w:jc w:val="right"/>
        <w:rPr>
          <w:rFonts w:ascii="Times New Roman" w:hAnsi="Times New Roman" w:cs="Times New Roman"/>
          <w:color w:val="002060"/>
          <w:sz w:val="28"/>
          <w:szCs w:val="28"/>
        </w:rPr>
      </w:pPr>
      <w:r>
        <w:rPr>
          <w:rFonts w:ascii="Times New Roman" w:hAnsi="Times New Roman" w:cs="Times New Roman"/>
          <w:color w:val="002060"/>
          <w:sz w:val="28"/>
          <w:szCs w:val="28"/>
        </w:rPr>
        <w:t>Filippo Patroni Griffi</w:t>
      </w:r>
    </w:p>
    <w:p w:rsidR="00386551" w:rsidRDefault="00386551" w:rsidP="00590EB6">
      <w:pPr>
        <w:spacing w:after="120" w:line="288" w:lineRule="auto"/>
        <w:ind w:firstLine="567"/>
        <w:jc w:val="right"/>
        <w:rPr>
          <w:rFonts w:ascii="Times New Roman" w:hAnsi="Times New Roman" w:cs="Times New Roman"/>
          <w:color w:val="002060"/>
          <w:sz w:val="28"/>
          <w:szCs w:val="28"/>
        </w:rPr>
      </w:pPr>
      <w:r>
        <w:rPr>
          <w:rFonts w:ascii="Times New Roman" w:hAnsi="Times New Roman" w:cs="Times New Roman"/>
          <w:color w:val="002060"/>
          <w:sz w:val="28"/>
          <w:szCs w:val="28"/>
        </w:rPr>
        <w:t>Presidente del Consiglio di Stato</w:t>
      </w:r>
    </w:p>
    <w:p w:rsidR="00386551" w:rsidRDefault="00386551" w:rsidP="00590EB6">
      <w:pPr>
        <w:spacing w:after="120" w:line="288" w:lineRule="auto"/>
        <w:ind w:firstLine="567"/>
        <w:jc w:val="right"/>
        <w:rPr>
          <w:rFonts w:ascii="Times New Roman" w:hAnsi="Times New Roman" w:cs="Times New Roman"/>
          <w:color w:val="002060"/>
          <w:sz w:val="28"/>
          <w:szCs w:val="28"/>
        </w:rPr>
      </w:pPr>
    </w:p>
    <w:p w:rsidR="00386551" w:rsidRDefault="00386551" w:rsidP="00590EB6">
      <w:pPr>
        <w:spacing w:after="120" w:line="288" w:lineRule="auto"/>
        <w:ind w:firstLine="567"/>
        <w:jc w:val="right"/>
        <w:rPr>
          <w:rFonts w:ascii="Times New Roman" w:hAnsi="Times New Roman" w:cs="Times New Roman"/>
          <w:color w:val="002060"/>
          <w:sz w:val="28"/>
          <w:szCs w:val="28"/>
        </w:rPr>
      </w:pPr>
      <w:r>
        <w:rPr>
          <w:rFonts w:ascii="Times New Roman" w:hAnsi="Times New Roman" w:cs="Times New Roman"/>
          <w:color w:val="002060"/>
          <w:sz w:val="28"/>
          <w:szCs w:val="28"/>
        </w:rPr>
        <w:t>Pubblicato il 26 settembre 2020</w:t>
      </w:r>
    </w:p>
    <w:p w:rsidR="000E2412" w:rsidRDefault="000E2412" w:rsidP="0032006E">
      <w:pPr>
        <w:spacing w:after="120" w:line="288" w:lineRule="auto"/>
        <w:ind w:firstLine="567"/>
        <w:jc w:val="both"/>
        <w:rPr>
          <w:rFonts w:ascii="Times New Roman" w:hAnsi="Times New Roman" w:cs="Times New Roman"/>
          <w:color w:val="002060"/>
          <w:sz w:val="28"/>
          <w:szCs w:val="28"/>
        </w:rPr>
      </w:pPr>
    </w:p>
    <w:p w:rsidR="000E2412" w:rsidRDefault="000E2412" w:rsidP="0032006E">
      <w:pPr>
        <w:spacing w:after="120" w:line="288" w:lineRule="auto"/>
        <w:ind w:firstLine="567"/>
        <w:jc w:val="both"/>
        <w:rPr>
          <w:rFonts w:ascii="Times New Roman" w:hAnsi="Times New Roman" w:cs="Times New Roman"/>
          <w:color w:val="002060"/>
          <w:sz w:val="28"/>
          <w:szCs w:val="28"/>
        </w:rPr>
      </w:pPr>
    </w:p>
    <w:p w:rsidR="000E2412" w:rsidRDefault="000E2412" w:rsidP="0032006E">
      <w:pPr>
        <w:spacing w:after="120" w:line="288" w:lineRule="auto"/>
        <w:ind w:firstLine="567"/>
        <w:jc w:val="both"/>
        <w:rPr>
          <w:rFonts w:ascii="Times New Roman" w:hAnsi="Times New Roman" w:cs="Times New Roman"/>
          <w:color w:val="002060"/>
          <w:sz w:val="28"/>
          <w:szCs w:val="28"/>
        </w:rPr>
      </w:pPr>
    </w:p>
    <w:p w:rsidR="000E2412" w:rsidRDefault="000E2412" w:rsidP="0032006E">
      <w:pPr>
        <w:spacing w:after="120" w:line="288" w:lineRule="auto"/>
        <w:ind w:firstLine="567"/>
        <w:jc w:val="both"/>
        <w:rPr>
          <w:rFonts w:ascii="Times New Roman" w:hAnsi="Times New Roman" w:cs="Times New Roman"/>
          <w:color w:val="002060"/>
          <w:sz w:val="28"/>
          <w:szCs w:val="28"/>
        </w:rPr>
      </w:pPr>
    </w:p>
    <w:p w:rsidR="00CC00B4" w:rsidRPr="0032006E" w:rsidRDefault="00CC00B4" w:rsidP="0032006E">
      <w:pPr>
        <w:spacing w:after="120" w:line="288" w:lineRule="auto"/>
        <w:ind w:firstLine="567"/>
        <w:jc w:val="both"/>
        <w:rPr>
          <w:rFonts w:ascii="Times New Roman" w:hAnsi="Times New Roman" w:cs="Times New Roman"/>
          <w:color w:val="002060"/>
          <w:sz w:val="28"/>
          <w:szCs w:val="28"/>
        </w:rPr>
      </w:pPr>
    </w:p>
    <w:sectPr w:rsidR="00CC00B4" w:rsidRPr="0032006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723" w:rsidRDefault="00CC1723" w:rsidP="0032006E">
      <w:pPr>
        <w:spacing w:after="0" w:line="240" w:lineRule="auto"/>
      </w:pPr>
      <w:r>
        <w:separator/>
      </w:r>
    </w:p>
  </w:endnote>
  <w:endnote w:type="continuationSeparator" w:id="0">
    <w:p w:rsidR="00CC1723" w:rsidRDefault="00CC1723" w:rsidP="0032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64192"/>
      <w:docPartObj>
        <w:docPartGallery w:val="Page Numbers (Bottom of Page)"/>
        <w:docPartUnique/>
      </w:docPartObj>
    </w:sdtPr>
    <w:sdtEndPr/>
    <w:sdtContent>
      <w:p w:rsidR="0032006E" w:rsidRDefault="0032006E">
        <w:pPr>
          <w:pStyle w:val="Pidipagina"/>
          <w:jc w:val="center"/>
        </w:pPr>
        <w:r>
          <w:fldChar w:fldCharType="begin"/>
        </w:r>
        <w:r>
          <w:instrText>PAGE   \* MERGEFORMAT</w:instrText>
        </w:r>
        <w:r>
          <w:fldChar w:fldCharType="separate"/>
        </w:r>
        <w:r w:rsidR="00393870">
          <w:rPr>
            <w:noProof/>
          </w:rPr>
          <w:t>6</w:t>
        </w:r>
        <w:r>
          <w:fldChar w:fldCharType="end"/>
        </w:r>
      </w:p>
    </w:sdtContent>
  </w:sdt>
  <w:p w:rsidR="0032006E" w:rsidRDefault="003200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723" w:rsidRDefault="00CC1723" w:rsidP="0032006E">
      <w:pPr>
        <w:spacing w:after="0" w:line="240" w:lineRule="auto"/>
      </w:pPr>
      <w:r>
        <w:separator/>
      </w:r>
    </w:p>
  </w:footnote>
  <w:footnote w:type="continuationSeparator" w:id="0">
    <w:p w:rsidR="00CC1723" w:rsidRDefault="00CC1723" w:rsidP="0032006E">
      <w:pPr>
        <w:spacing w:after="0" w:line="240" w:lineRule="auto"/>
      </w:pPr>
      <w:r>
        <w:continuationSeparator/>
      </w:r>
    </w:p>
  </w:footnote>
  <w:footnote w:id="1">
    <w:p w:rsidR="002E5372" w:rsidRPr="002E5372" w:rsidRDefault="002E5372">
      <w:pPr>
        <w:pStyle w:val="Testonotaapidipagina"/>
        <w:rPr>
          <w:rFonts w:ascii="Times New Roman" w:hAnsi="Times New Roman" w:cs="Times New Roman"/>
          <w:sz w:val="22"/>
          <w:szCs w:val="22"/>
        </w:rPr>
      </w:pPr>
      <w:r w:rsidRPr="002E5372">
        <w:rPr>
          <w:rStyle w:val="Rimandonotaapidipagina"/>
          <w:rFonts w:ascii="Times New Roman" w:hAnsi="Times New Roman" w:cs="Times New Roman"/>
          <w:color w:val="002060"/>
          <w:sz w:val="22"/>
          <w:szCs w:val="22"/>
        </w:rPr>
        <w:footnoteRef/>
      </w:r>
      <w:r w:rsidRPr="002E5372">
        <w:rPr>
          <w:rFonts w:ascii="Times New Roman" w:hAnsi="Times New Roman" w:cs="Times New Roman"/>
          <w:color w:val="002060"/>
          <w:sz w:val="22"/>
          <w:szCs w:val="22"/>
        </w:rPr>
        <w:t xml:space="preserve"> M. MAZZAMUTO.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C24"/>
    <w:multiLevelType w:val="hybridMultilevel"/>
    <w:tmpl w:val="51860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3328A"/>
    <w:multiLevelType w:val="hybridMultilevel"/>
    <w:tmpl w:val="1736D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241BF5"/>
    <w:multiLevelType w:val="hybridMultilevel"/>
    <w:tmpl w:val="EFCACD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566F1D"/>
    <w:multiLevelType w:val="hybridMultilevel"/>
    <w:tmpl w:val="15581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34327E"/>
    <w:multiLevelType w:val="hybridMultilevel"/>
    <w:tmpl w:val="620A8740"/>
    <w:lvl w:ilvl="0" w:tplc="A5E48E44">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55DC0DD7"/>
    <w:multiLevelType w:val="hybridMultilevel"/>
    <w:tmpl w:val="4B686726"/>
    <w:lvl w:ilvl="0" w:tplc="8BD63644">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4C425F"/>
    <w:multiLevelType w:val="hybridMultilevel"/>
    <w:tmpl w:val="E34EB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E85EF7"/>
    <w:multiLevelType w:val="hybridMultilevel"/>
    <w:tmpl w:val="007AC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755D1E"/>
    <w:multiLevelType w:val="hybridMultilevel"/>
    <w:tmpl w:val="03A40CD2"/>
    <w:lvl w:ilvl="0" w:tplc="7F38EC2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6DD25BF4"/>
    <w:multiLevelType w:val="hybridMultilevel"/>
    <w:tmpl w:val="2F542F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B0C47F2"/>
    <w:multiLevelType w:val="hybridMultilevel"/>
    <w:tmpl w:val="C61C95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5"/>
  </w:num>
  <w:num w:numId="5">
    <w:abstractNumId w:val="7"/>
  </w:num>
  <w:num w:numId="6">
    <w:abstractNumId w:val="6"/>
  </w:num>
  <w:num w:numId="7">
    <w:abstractNumId w:val="0"/>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FC"/>
    <w:rsid w:val="00043B41"/>
    <w:rsid w:val="000B5E68"/>
    <w:rsid w:val="000C7618"/>
    <w:rsid w:val="000E2412"/>
    <w:rsid w:val="00100CE2"/>
    <w:rsid w:val="001870EF"/>
    <w:rsid w:val="001C2C3F"/>
    <w:rsid w:val="001E3CCC"/>
    <w:rsid w:val="001F059F"/>
    <w:rsid w:val="001F3542"/>
    <w:rsid w:val="002115FF"/>
    <w:rsid w:val="00275AD0"/>
    <w:rsid w:val="00286F6F"/>
    <w:rsid w:val="002915AE"/>
    <w:rsid w:val="002A69E8"/>
    <w:rsid w:val="002E5372"/>
    <w:rsid w:val="002F375F"/>
    <w:rsid w:val="00307256"/>
    <w:rsid w:val="0032006E"/>
    <w:rsid w:val="0034311B"/>
    <w:rsid w:val="0035444C"/>
    <w:rsid w:val="00354EEF"/>
    <w:rsid w:val="00386551"/>
    <w:rsid w:val="00393870"/>
    <w:rsid w:val="003E3B13"/>
    <w:rsid w:val="00404D99"/>
    <w:rsid w:val="00414606"/>
    <w:rsid w:val="00456EE5"/>
    <w:rsid w:val="004A3EF5"/>
    <w:rsid w:val="004A7A13"/>
    <w:rsid w:val="004F5271"/>
    <w:rsid w:val="00504089"/>
    <w:rsid w:val="00527067"/>
    <w:rsid w:val="00590EB6"/>
    <w:rsid w:val="005C17FC"/>
    <w:rsid w:val="005C43D8"/>
    <w:rsid w:val="005D0D14"/>
    <w:rsid w:val="00646D64"/>
    <w:rsid w:val="00647DB0"/>
    <w:rsid w:val="00660F55"/>
    <w:rsid w:val="00684BF4"/>
    <w:rsid w:val="006C0F5B"/>
    <w:rsid w:val="006D3897"/>
    <w:rsid w:val="006F19B7"/>
    <w:rsid w:val="0071525C"/>
    <w:rsid w:val="0072339F"/>
    <w:rsid w:val="00735D32"/>
    <w:rsid w:val="00771C5B"/>
    <w:rsid w:val="007A4EAC"/>
    <w:rsid w:val="007E2CA4"/>
    <w:rsid w:val="00825E7A"/>
    <w:rsid w:val="00854D3E"/>
    <w:rsid w:val="008562E1"/>
    <w:rsid w:val="00861BFA"/>
    <w:rsid w:val="008E1992"/>
    <w:rsid w:val="008E34CC"/>
    <w:rsid w:val="009711F9"/>
    <w:rsid w:val="00974B08"/>
    <w:rsid w:val="00974B18"/>
    <w:rsid w:val="009A6926"/>
    <w:rsid w:val="009B2E34"/>
    <w:rsid w:val="009B5D23"/>
    <w:rsid w:val="009C7CDA"/>
    <w:rsid w:val="009E6802"/>
    <w:rsid w:val="009F1647"/>
    <w:rsid w:val="00A42AD8"/>
    <w:rsid w:val="00A57F66"/>
    <w:rsid w:val="00A6093E"/>
    <w:rsid w:val="00A74214"/>
    <w:rsid w:val="00A76024"/>
    <w:rsid w:val="00B76527"/>
    <w:rsid w:val="00BF6142"/>
    <w:rsid w:val="00C0562C"/>
    <w:rsid w:val="00C2020A"/>
    <w:rsid w:val="00C61D0C"/>
    <w:rsid w:val="00C86152"/>
    <w:rsid w:val="00CC00B4"/>
    <w:rsid w:val="00CC1723"/>
    <w:rsid w:val="00D11BA1"/>
    <w:rsid w:val="00D13F5A"/>
    <w:rsid w:val="00D63105"/>
    <w:rsid w:val="00D65E14"/>
    <w:rsid w:val="00D93DA0"/>
    <w:rsid w:val="00D9557B"/>
    <w:rsid w:val="00DD7574"/>
    <w:rsid w:val="00E23EE6"/>
    <w:rsid w:val="00E5118E"/>
    <w:rsid w:val="00EB1070"/>
    <w:rsid w:val="00EC163C"/>
    <w:rsid w:val="00EE5E25"/>
    <w:rsid w:val="00EF7115"/>
    <w:rsid w:val="00F706DE"/>
    <w:rsid w:val="00F84DF6"/>
    <w:rsid w:val="00FC6FDC"/>
    <w:rsid w:val="00FE7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29A6"/>
  <w15:chartTrackingRefBased/>
  <w15:docId w15:val="{AE208618-289F-49AC-86EE-7545EA5B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17FC"/>
    <w:pPr>
      <w:ind w:left="720"/>
      <w:contextualSpacing/>
    </w:pPr>
  </w:style>
  <w:style w:type="paragraph" w:styleId="Testofumetto">
    <w:name w:val="Balloon Text"/>
    <w:basedOn w:val="Normale"/>
    <w:link w:val="TestofumettoCarattere"/>
    <w:uiPriority w:val="99"/>
    <w:semiHidden/>
    <w:unhideWhenUsed/>
    <w:rsid w:val="001C2C3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2C3F"/>
    <w:rPr>
      <w:rFonts w:ascii="Segoe UI" w:hAnsi="Segoe UI" w:cs="Segoe UI"/>
      <w:sz w:val="18"/>
      <w:szCs w:val="18"/>
    </w:rPr>
  </w:style>
  <w:style w:type="paragraph" w:styleId="Intestazione">
    <w:name w:val="header"/>
    <w:basedOn w:val="Normale"/>
    <w:link w:val="IntestazioneCarattere"/>
    <w:uiPriority w:val="99"/>
    <w:unhideWhenUsed/>
    <w:rsid w:val="003200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006E"/>
  </w:style>
  <w:style w:type="paragraph" w:styleId="Pidipagina">
    <w:name w:val="footer"/>
    <w:basedOn w:val="Normale"/>
    <w:link w:val="PidipaginaCarattere"/>
    <w:uiPriority w:val="99"/>
    <w:unhideWhenUsed/>
    <w:rsid w:val="003200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006E"/>
  </w:style>
  <w:style w:type="paragraph" w:styleId="Testonotaapidipagina">
    <w:name w:val="footnote text"/>
    <w:basedOn w:val="Normale"/>
    <w:link w:val="TestonotaapidipaginaCarattere"/>
    <w:uiPriority w:val="99"/>
    <w:semiHidden/>
    <w:unhideWhenUsed/>
    <w:rsid w:val="002E53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5372"/>
    <w:rPr>
      <w:sz w:val="20"/>
      <w:szCs w:val="20"/>
    </w:rPr>
  </w:style>
  <w:style w:type="character" w:styleId="Rimandonotaapidipagina">
    <w:name w:val="footnote reference"/>
    <w:basedOn w:val="Carpredefinitoparagrafo"/>
    <w:uiPriority w:val="99"/>
    <w:semiHidden/>
    <w:unhideWhenUsed/>
    <w:rsid w:val="002E5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1832</Words>
  <Characters>10448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PATRONI GRIFFI Filippo</cp:lastModifiedBy>
  <cp:revision>2</cp:revision>
  <cp:lastPrinted>2020-06-08T12:09:00Z</cp:lastPrinted>
  <dcterms:created xsi:type="dcterms:W3CDTF">2020-09-29T07:55:00Z</dcterms:created>
  <dcterms:modified xsi:type="dcterms:W3CDTF">2020-09-29T07:55:00Z</dcterms:modified>
</cp:coreProperties>
</file>