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E1A" w:rsidRDefault="0058354A" w:rsidP="00C63E1A">
      <w:pPr>
        <w:pStyle w:val="NormaleWeb"/>
        <w:jc w:val="center"/>
        <w:rPr>
          <w:b/>
          <w:bCs/>
          <w:color w:val="222222"/>
          <w:sz w:val="28"/>
          <w:szCs w:val="28"/>
          <w:bdr w:val="none" w:sz="0" w:space="0" w:color="auto" w:frame="1"/>
        </w:rPr>
      </w:pPr>
      <w:r>
        <w:rPr>
          <w:b/>
          <w:bCs/>
          <w:color w:val="222222"/>
          <w:sz w:val="28"/>
          <w:szCs w:val="28"/>
          <w:bdr w:val="none" w:sz="0" w:space="0" w:color="auto" w:frame="1"/>
        </w:rPr>
        <w:t>Nuovi percorsi del diritto amministrativo</w:t>
      </w:r>
    </w:p>
    <w:p w:rsidR="0058354A" w:rsidRPr="0058354A" w:rsidRDefault="0058354A" w:rsidP="00C63E1A">
      <w:pPr>
        <w:pStyle w:val="NormaleWeb"/>
        <w:jc w:val="center"/>
        <w:rPr>
          <w:b/>
          <w:bCs/>
          <w:color w:val="222222"/>
          <w:sz w:val="28"/>
          <w:szCs w:val="28"/>
          <w:bdr w:val="none" w:sz="0" w:space="0" w:color="auto" w:frame="1"/>
        </w:rPr>
      </w:pPr>
      <w:r w:rsidRPr="00C63E1A">
        <w:rPr>
          <w:bCs/>
          <w:color w:val="222222"/>
          <w:sz w:val="28"/>
          <w:szCs w:val="28"/>
          <w:bdr w:val="none" w:sz="0" w:space="0" w:color="auto" w:frame="1"/>
        </w:rPr>
        <w:t>(</w:t>
      </w:r>
      <w:proofErr w:type="spellStart"/>
      <w:r w:rsidRPr="000250AE">
        <w:rPr>
          <w:bCs/>
          <w:color w:val="222222"/>
          <w:sz w:val="20"/>
          <w:szCs w:val="20"/>
          <w:bdr w:val="none" w:sz="0" w:space="0" w:color="auto" w:frame="1"/>
        </w:rPr>
        <w:t>Webinar</w:t>
      </w:r>
      <w:proofErr w:type="spellEnd"/>
      <w:r w:rsidRPr="000250AE">
        <w:rPr>
          <w:bCs/>
          <w:color w:val="222222"/>
          <w:sz w:val="20"/>
          <w:szCs w:val="20"/>
          <w:bdr w:val="none" w:sz="0" w:space="0" w:color="auto" w:frame="1"/>
        </w:rPr>
        <w:t xml:space="preserve"> 30 novembre 2020 – in occasione della presentazione del volume “</w:t>
      </w:r>
      <w:r w:rsidR="00C63E1A" w:rsidRPr="000250AE">
        <w:rPr>
          <w:bCs/>
          <w:color w:val="222222"/>
          <w:sz w:val="20"/>
          <w:szCs w:val="20"/>
          <w:bdr w:val="none" w:sz="0" w:space="0" w:color="auto" w:frame="1"/>
        </w:rPr>
        <w:t>Temi e questioni di diri</w:t>
      </w:r>
      <w:r w:rsidRPr="000250AE">
        <w:rPr>
          <w:bCs/>
          <w:color w:val="222222"/>
          <w:sz w:val="20"/>
          <w:szCs w:val="20"/>
          <w:bdr w:val="none" w:sz="0" w:space="0" w:color="auto" w:frame="1"/>
        </w:rPr>
        <w:t xml:space="preserve">tto amministrativo” a cura di Giani, </w:t>
      </w:r>
      <w:proofErr w:type="spellStart"/>
      <w:r w:rsidRPr="000250AE">
        <w:rPr>
          <w:bCs/>
          <w:color w:val="222222"/>
          <w:sz w:val="20"/>
          <w:szCs w:val="20"/>
          <w:bdr w:val="none" w:sz="0" w:space="0" w:color="auto" w:frame="1"/>
        </w:rPr>
        <w:t>Immordino</w:t>
      </w:r>
      <w:proofErr w:type="spellEnd"/>
      <w:r w:rsidRPr="000250AE">
        <w:rPr>
          <w:bCs/>
          <w:color w:val="222222"/>
          <w:sz w:val="20"/>
          <w:szCs w:val="20"/>
          <w:bdr w:val="none" w:sz="0" w:space="0" w:color="auto" w:frame="1"/>
        </w:rPr>
        <w:t xml:space="preserve"> e </w:t>
      </w:r>
      <w:proofErr w:type="spellStart"/>
      <w:r w:rsidRPr="000250AE">
        <w:rPr>
          <w:bCs/>
          <w:color w:val="222222"/>
          <w:sz w:val="20"/>
          <w:szCs w:val="20"/>
          <w:bdr w:val="none" w:sz="0" w:space="0" w:color="auto" w:frame="1"/>
        </w:rPr>
        <w:t>Manganaro</w:t>
      </w:r>
      <w:proofErr w:type="spellEnd"/>
      <w:r>
        <w:rPr>
          <w:b/>
          <w:bCs/>
          <w:color w:val="222222"/>
          <w:sz w:val="28"/>
          <w:szCs w:val="28"/>
          <w:bdr w:val="none" w:sz="0" w:space="0" w:color="auto" w:frame="1"/>
        </w:rPr>
        <w:t>)</w:t>
      </w:r>
    </w:p>
    <w:p w:rsidR="0058354A" w:rsidRDefault="0058354A" w:rsidP="009633F9">
      <w:pPr>
        <w:pStyle w:val="NormaleWeb"/>
        <w:shd w:val="clear" w:color="auto" w:fill="FFFFFF"/>
        <w:spacing w:before="0" w:beforeAutospacing="0" w:after="0" w:afterAutospacing="0" w:line="360" w:lineRule="auto"/>
        <w:rPr>
          <w:b/>
          <w:bCs/>
          <w:color w:val="222222"/>
          <w:sz w:val="28"/>
          <w:szCs w:val="28"/>
          <w:bdr w:val="none" w:sz="0" w:space="0" w:color="auto" w:frame="1"/>
        </w:rPr>
      </w:pPr>
    </w:p>
    <w:p w:rsidR="00504104" w:rsidRPr="009633F9" w:rsidRDefault="00504104" w:rsidP="009633F9">
      <w:pPr>
        <w:pStyle w:val="NormaleWeb"/>
        <w:shd w:val="clear" w:color="auto" w:fill="FFFFFF"/>
        <w:spacing w:before="0" w:beforeAutospacing="0" w:after="0" w:afterAutospacing="0" w:line="360" w:lineRule="auto"/>
        <w:rPr>
          <w:b/>
          <w:bCs/>
          <w:color w:val="222222"/>
          <w:sz w:val="28"/>
          <w:szCs w:val="28"/>
          <w:bdr w:val="none" w:sz="0" w:space="0" w:color="auto" w:frame="1"/>
        </w:rPr>
      </w:pPr>
      <w:r w:rsidRPr="009633F9">
        <w:rPr>
          <w:b/>
          <w:bCs/>
          <w:color w:val="222222"/>
          <w:sz w:val="28"/>
          <w:szCs w:val="28"/>
          <w:bdr w:val="none" w:sz="0" w:space="0" w:color="auto" w:frame="1"/>
        </w:rPr>
        <w:t>QUESITO A PATRONI GRIFFI</w:t>
      </w:r>
    </w:p>
    <w:p w:rsidR="00504104" w:rsidRPr="009633F9" w:rsidRDefault="00504104" w:rsidP="009633F9">
      <w:pPr>
        <w:pStyle w:val="NormaleWeb"/>
        <w:shd w:val="clear" w:color="auto" w:fill="FFFFFF"/>
        <w:spacing w:before="0" w:beforeAutospacing="0" w:after="0" w:afterAutospacing="0" w:line="360" w:lineRule="auto"/>
        <w:jc w:val="both"/>
        <w:rPr>
          <w:bCs/>
          <w:color w:val="222222"/>
          <w:sz w:val="28"/>
          <w:szCs w:val="28"/>
          <w:bdr w:val="none" w:sz="0" w:space="0" w:color="auto" w:frame="1"/>
        </w:rPr>
      </w:pPr>
      <w:r w:rsidRPr="009633F9">
        <w:rPr>
          <w:bCs/>
          <w:color w:val="222222"/>
          <w:sz w:val="28"/>
          <w:szCs w:val="28"/>
          <w:bdr w:val="none" w:sz="0" w:space="0" w:color="auto" w:frame="1"/>
        </w:rPr>
        <w:t>«</w:t>
      </w:r>
      <w:r w:rsidRPr="009633F9">
        <w:rPr>
          <w:bCs/>
          <w:i/>
          <w:color w:val="222222"/>
          <w:sz w:val="28"/>
          <w:szCs w:val="28"/>
          <w:bdr w:val="none" w:sz="0" w:space="0" w:color="auto" w:frame="1"/>
        </w:rPr>
        <w:t>Si parla da un trentennio di riforme amministrative, l’evoluzione è continua e a tratti contraddittoria; l’idea di partire dalla semplificazione della legislazione è fallita (vedi esperienza testi unici, codici, leggi di principio, continuamente rimaneggiati quindi privi di quella completezza e stabilità che dovrebbe caratterizzarli): dobbiamo adeguarci ai nuovi principi della relatività, della contestualizzazione, del condizionamento – non solo finanziario ma sicuramente anche organizzativo –, affidando così maggiormente la scelta dell’interesse concreto all’indirizzo politico, se efficace, o in caso contrario alla stessa amministrazione, ampliando conseguentemente anche l’area di incidenza della valutazione in sede di giurisdizione amministrativa?</w:t>
      </w:r>
      <w:r w:rsidRPr="009633F9">
        <w:rPr>
          <w:bCs/>
          <w:color w:val="222222"/>
          <w:sz w:val="28"/>
          <w:szCs w:val="28"/>
          <w:bdr w:val="none" w:sz="0" w:space="0" w:color="auto" w:frame="1"/>
        </w:rPr>
        <w:t>»</w:t>
      </w:r>
    </w:p>
    <w:p w:rsidR="009633F9" w:rsidRPr="009633F9" w:rsidRDefault="009633F9" w:rsidP="009633F9">
      <w:pPr>
        <w:pStyle w:val="NormaleWeb"/>
        <w:shd w:val="clear" w:color="auto" w:fill="FFFFFF"/>
        <w:spacing w:before="0" w:beforeAutospacing="0" w:after="0" w:afterAutospacing="0" w:line="360" w:lineRule="auto"/>
        <w:jc w:val="both"/>
        <w:rPr>
          <w:bCs/>
          <w:color w:val="222222"/>
          <w:sz w:val="28"/>
          <w:szCs w:val="28"/>
          <w:bdr w:val="none" w:sz="0" w:space="0" w:color="auto" w:frame="1"/>
        </w:rPr>
      </w:pPr>
    </w:p>
    <w:p w:rsidR="009633F9" w:rsidRPr="009633F9" w:rsidRDefault="009633F9" w:rsidP="009633F9">
      <w:pPr>
        <w:pStyle w:val="NormaleWeb"/>
        <w:shd w:val="clear" w:color="auto" w:fill="FFFFFF"/>
        <w:spacing w:before="0" w:beforeAutospacing="0" w:after="0" w:afterAutospacing="0" w:line="360" w:lineRule="auto"/>
        <w:jc w:val="both"/>
        <w:rPr>
          <w:bCs/>
          <w:color w:val="222222"/>
          <w:sz w:val="28"/>
          <w:szCs w:val="28"/>
          <w:bdr w:val="none" w:sz="0" w:space="0" w:color="auto" w:frame="1"/>
        </w:rPr>
      </w:pPr>
    </w:p>
    <w:p w:rsidR="009633F9" w:rsidRPr="009633F9" w:rsidRDefault="009633F9" w:rsidP="00B11334">
      <w:pPr>
        <w:pStyle w:val="NormaleWeb"/>
        <w:shd w:val="clear" w:color="auto" w:fill="FFFFFF"/>
        <w:spacing w:line="360" w:lineRule="auto"/>
        <w:jc w:val="both"/>
        <w:rPr>
          <w:bCs/>
          <w:color w:val="222222"/>
          <w:sz w:val="28"/>
          <w:szCs w:val="28"/>
          <w:bdr w:val="none" w:sz="0" w:space="0" w:color="auto" w:frame="1"/>
        </w:rPr>
      </w:pPr>
      <w:r>
        <w:rPr>
          <w:bCs/>
          <w:color w:val="222222"/>
          <w:sz w:val="28"/>
          <w:szCs w:val="28"/>
          <w:bdr w:val="none" w:sz="0" w:space="0" w:color="auto" w:frame="1"/>
        </w:rPr>
        <w:t xml:space="preserve">Quando mi si parla di riforme amministrative, specie per constatarne la mancata realizzazione, mi torna sempre in mente il monito di Benedetto Croce </w:t>
      </w:r>
      <w:r w:rsidRPr="009633F9">
        <w:rPr>
          <w:bCs/>
          <w:color w:val="222222"/>
          <w:sz w:val="28"/>
          <w:szCs w:val="28"/>
          <w:bdr w:val="none" w:sz="0" w:space="0" w:color="auto" w:frame="1"/>
        </w:rPr>
        <w:t xml:space="preserve">nella raccolta di (precedenti) saggi su </w:t>
      </w:r>
      <w:r w:rsidRPr="009633F9">
        <w:rPr>
          <w:bCs/>
          <w:i/>
          <w:color w:val="222222"/>
          <w:sz w:val="28"/>
          <w:szCs w:val="28"/>
          <w:bdr w:val="none" w:sz="0" w:space="0" w:color="auto" w:frame="1"/>
        </w:rPr>
        <w:t>Etica e politica</w:t>
      </w:r>
      <w:r>
        <w:rPr>
          <w:bCs/>
          <w:color w:val="222222"/>
          <w:sz w:val="28"/>
          <w:szCs w:val="28"/>
          <w:bdr w:val="none" w:sz="0" w:space="0" w:color="auto" w:frame="1"/>
        </w:rPr>
        <w:t xml:space="preserve">, un misto tra consapevole scetticismo e impegnata determinazione: </w:t>
      </w:r>
      <w:r w:rsidRPr="009633F9">
        <w:rPr>
          <w:bCs/>
          <w:color w:val="222222"/>
          <w:sz w:val="28"/>
          <w:szCs w:val="28"/>
          <w:bdr w:val="none" w:sz="0" w:space="0" w:color="auto" w:frame="1"/>
        </w:rPr>
        <w:t xml:space="preserve">“E’ noto che non vi ha niente di più sciocco e noioso dei discorsi che si fanno, si son sempre fatti e sempre si faranno col censurare l’andamento delle pubbliche amministrazioni e notare negligenze, oziosità falsità, imbrogli, ruberie, viltà, per conchiudere che le cose vanno male, e anzi che il mondo peggiora e corre alla rovina. Il presupposto di queste censure, chiamate a ragione </w:t>
      </w:r>
      <w:r w:rsidRPr="009633F9">
        <w:rPr>
          <w:bCs/>
          <w:i/>
          <w:color w:val="222222"/>
          <w:sz w:val="28"/>
          <w:szCs w:val="28"/>
          <w:bdr w:val="none" w:sz="0" w:space="0" w:color="auto" w:frame="1"/>
        </w:rPr>
        <w:t>critiche facili</w:t>
      </w:r>
      <w:r w:rsidRPr="009633F9">
        <w:rPr>
          <w:bCs/>
          <w:color w:val="222222"/>
          <w:sz w:val="28"/>
          <w:szCs w:val="28"/>
          <w:bdr w:val="none" w:sz="0" w:space="0" w:color="auto" w:frame="1"/>
        </w:rPr>
        <w:t xml:space="preserve">, il presupposto da cui nasce la loro perpetuità, è la </w:t>
      </w:r>
      <w:r w:rsidRPr="009633F9">
        <w:rPr>
          <w:bCs/>
          <w:i/>
          <w:color w:val="222222"/>
          <w:sz w:val="28"/>
          <w:szCs w:val="28"/>
          <w:bdr w:val="none" w:sz="0" w:space="0" w:color="auto" w:frame="1"/>
        </w:rPr>
        <w:t>perfetta amministrazione</w:t>
      </w:r>
      <w:r w:rsidRPr="009633F9">
        <w:rPr>
          <w:bCs/>
          <w:color w:val="222222"/>
          <w:sz w:val="28"/>
          <w:szCs w:val="28"/>
          <w:bdr w:val="none" w:sz="0" w:space="0" w:color="auto" w:frame="1"/>
        </w:rPr>
        <w:t xml:space="preserve">, in cui ciascuno adempia con intelligenza perfetta e perfetta volontà il proprio dovere: cioè uno schema astratto che, come tale, non può trovare rispondenza nella realtà”. </w:t>
      </w:r>
      <w:r>
        <w:rPr>
          <w:bCs/>
          <w:color w:val="222222"/>
          <w:sz w:val="28"/>
          <w:szCs w:val="28"/>
          <w:bdr w:val="none" w:sz="0" w:space="0" w:color="auto" w:frame="1"/>
        </w:rPr>
        <w:t>Il</w:t>
      </w:r>
      <w:r w:rsidRPr="009633F9">
        <w:rPr>
          <w:bCs/>
          <w:color w:val="222222"/>
          <w:sz w:val="28"/>
          <w:szCs w:val="28"/>
          <w:bdr w:val="none" w:sz="0" w:space="0" w:color="auto" w:frame="1"/>
        </w:rPr>
        <w:t xml:space="preserve"> filosofo però continua: “Dal che non si trae, dunque, la conseguenza del lasciar correre, </w:t>
      </w:r>
      <w:r w:rsidRPr="009633F9">
        <w:rPr>
          <w:bCs/>
          <w:color w:val="222222"/>
          <w:sz w:val="28"/>
          <w:szCs w:val="28"/>
          <w:bdr w:val="none" w:sz="0" w:space="0" w:color="auto" w:frame="1"/>
        </w:rPr>
        <w:lastRenderedPageBreak/>
        <w:t>che è quella di tutti gli inetti e i cinici…La conseguenza è invece il dovere di un atteggiamento, non certo impaziente, ma fermo e combattente”.</w:t>
      </w:r>
    </w:p>
    <w:p w:rsidR="009633F9" w:rsidRPr="009633F9" w:rsidRDefault="009633F9" w:rsidP="009633F9">
      <w:pPr>
        <w:pStyle w:val="NormaleWeb"/>
        <w:shd w:val="clear" w:color="auto" w:fill="FFFFFF"/>
        <w:spacing w:before="0" w:beforeAutospacing="0" w:after="0" w:afterAutospacing="0" w:line="360" w:lineRule="auto"/>
        <w:jc w:val="both"/>
        <w:rPr>
          <w:bCs/>
          <w:color w:val="222222"/>
          <w:sz w:val="28"/>
          <w:szCs w:val="28"/>
          <w:bdr w:val="none" w:sz="0" w:space="0" w:color="auto" w:frame="1"/>
        </w:rPr>
      </w:pPr>
    </w:p>
    <w:p w:rsidR="009633F9" w:rsidRPr="009633F9" w:rsidRDefault="009633F9" w:rsidP="009633F9">
      <w:pPr>
        <w:pStyle w:val="NormaleWeb"/>
        <w:shd w:val="clear" w:color="auto" w:fill="FFFFFF"/>
        <w:spacing w:before="0" w:beforeAutospacing="0" w:after="0" w:afterAutospacing="0" w:line="360" w:lineRule="auto"/>
        <w:jc w:val="both"/>
        <w:rPr>
          <w:b/>
          <w:color w:val="323130"/>
          <w:sz w:val="28"/>
          <w:szCs w:val="28"/>
        </w:rPr>
      </w:pPr>
      <w:r>
        <w:rPr>
          <w:b/>
          <w:color w:val="323130"/>
          <w:sz w:val="28"/>
          <w:szCs w:val="28"/>
        </w:rPr>
        <w:t>A</w:t>
      </w:r>
      <w:r w:rsidRPr="009633F9">
        <w:rPr>
          <w:color w:val="323130"/>
          <w:sz w:val="28"/>
          <w:szCs w:val="28"/>
        </w:rPr>
        <w:t xml:space="preserve">) </w:t>
      </w:r>
      <w:r w:rsidRPr="009633F9">
        <w:rPr>
          <w:b/>
          <w:color w:val="323130"/>
          <w:sz w:val="28"/>
          <w:szCs w:val="28"/>
        </w:rPr>
        <w:t>Codificazione</w:t>
      </w:r>
    </w:p>
    <w:p w:rsidR="009633F9" w:rsidRPr="009633F9"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Personalmente, non credo che l’esperienza dei testi unici e della codificazione possa definirsi fallimentare</w:t>
      </w:r>
      <w:r>
        <w:rPr>
          <w:color w:val="323130"/>
          <w:sz w:val="28"/>
          <w:szCs w:val="28"/>
        </w:rPr>
        <w:t>, almeno in senso relativo rispetto alla riforma di altri settori del pubblico ma anche rispetto a esperienze di altri Paesi</w:t>
      </w:r>
      <w:r w:rsidRPr="009633F9">
        <w:rPr>
          <w:color w:val="323130"/>
          <w:sz w:val="28"/>
          <w:szCs w:val="28"/>
        </w:rPr>
        <w:t xml:space="preserve">. L’obiettivo della </w:t>
      </w:r>
      <w:r w:rsidR="000747A6">
        <w:rPr>
          <w:color w:val="323130"/>
          <w:sz w:val="28"/>
          <w:szCs w:val="28"/>
        </w:rPr>
        <w:t>codificazion</w:t>
      </w:r>
      <w:r w:rsidRPr="009633F9">
        <w:rPr>
          <w:color w:val="323130"/>
          <w:sz w:val="28"/>
          <w:szCs w:val="28"/>
        </w:rPr>
        <w:t>e normativa, in molti e fortunati casi (si pensi: codice ambiente, edilizia, espropriazioni,</w:t>
      </w:r>
      <w:r w:rsidR="000747A6">
        <w:rPr>
          <w:color w:val="323130"/>
          <w:sz w:val="28"/>
          <w:szCs w:val="28"/>
        </w:rPr>
        <w:t xml:space="preserve"> amministrazione digitale, ma anche all’antesignana </w:t>
      </w:r>
      <w:r w:rsidRPr="009633F9">
        <w:rPr>
          <w:color w:val="323130"/>
          <w:sz w:val="28"/>
          <w:szCs w:val="28"/>
        </w:rPr>
        <w:t xml:space="preserve">legge generale sul procedimento), è stato perseguito attraverso la concentrazione della disciplina dettata da diversi atti normativi all’interno di un unico atto-fonte, il quale </w:t>
      </w:r>
      <w:r w:rsidRPr="009633F9">
        <w:rPr>
          <w:sz w:val="28"/>
          <w:szCs w:val="28"/>
        </w:rPr>
        <w:t xml:space="preserve">aspira a possedere i caratteri della compiutezza e della sistematicità e quindi della potenziale autosufficienza. </w:t>
      </w:r>
      <w:r>
        <w:rPr>
          <w:sz w:val="28"/>
          <w:szCs w:val="28"/>
        </w:rPr>
        <w:t>Anche a non voler richiamare la tanto contestata (a mio avviso, con eccessiva superfici</w:t>
      </w:r>
      <w:r w:rsidR="000747A6">
        <w:rPr>
          <w:sz w:val="28"/>
          <w:szCs w:val="28"/>
        </w:rPr>
        <w:t>a</w:t>
      </w:r>
      <w:r>
        <w:rPr>
          <w:sz w:val="28"/>
          <w:szCs w:val="28"/>
        </w:rPr>
        <w:t xml:space="preserve">lità) esperienza dei tesi unici misti, </w:t>
      </w:r>
      <w:r w:rsidR="000747A6">
        <w:rPr>
          <w:sz w:val="28"/>
          <w:szCs w:val="28"/>
        </w:rPr>
        <w:t>abbiamo avuto una esperienza significativa sia di consolidazione sia di semplificazione in via normativa di procedimenti amministrativi alla fine degli anni Novanta.</w:t>
      </w:r>
    </w:p>
    <w:p w:rsidR="009633F9" w:rsidRPr="009633F9" w:rsidRDefault="000747A6" w:rsidP="009633F9">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All’esito della prima parte di quella stagione, a partire dal 2000, con i</w:t>
      </w:r>
      <w:r w:rsidR="009633F9" w:rsidRPr="009633F9">
        <w:rPr>
          <w:color w:val="323130"/>
          <w:sz w:val="28"/>
          <w:szCs w:val="28"/>
        </w:rPr>
        <w:t xml:space="preserve"> codici di settore alla unificazione normativa si accompagna un’opera di revisione e non di mero riassetto della disciplina previdente </w:t>
      </w:r>
      <w:r w:rsidR="009633F9" w:rsidRPr="009633F9">
        <w:rPr>
          <w:sz w:val="28"/>
          <w:szCs w:val="28"/>
        </w:rPr>
        <w:t>(cfr. l’art. 23, co. 3, l. 29.7.2003, n. 229, e l’espressa abrogazione dell’art. 7 della l. 8.3.1999, n. 50)</w:t>
      </w:r>
      <w:r w:rsidR="009633F9" w:rsidRPr="009633F9">
        <w:rPr>
          <w:color w:val="323130"/>
          <w:sz w:val="28"/>
          <w:szCs w:val="28"/>
        </w:rPr>
        <w:t xml:space="preserve">. Il testo unico si atteggia invece ad attività tipicamente tecnica, per la quale il Legislatore prevede coerentemente il parere obbligatorio del Consiglio di Stato </w:t>
      </w:r>
      <w:r w:rsidR="009633F9" w:rsidRPr="009633F9">
        <w:rPr>
          <w:sz w:val="28"/>
          <w:szCs w:val="28"/>
        </w:rPr>
        <w:t>così l’art. 17-bis, l. 23.8.1988, n. 400, come introdotto dall’art. 5, l. 18.6.2009, n. 69)</w:t>
      </w:r>
      <w:r w:rsidR="009633F9" w:rsidRPr="009633F9">
        <w:rPr>
          <w:color w:val="323130"/>
          <w:sz w:val="28"/>
          <w:szCs w:val="28"/>
        </w:rPr>
        <w:t>.</w:t>
      </w:r>
    </w:p>
    <w:p w:rsidR="009633F9"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La consolidazione normativa</w:t>
      </w:r>
      <w:r w:rsidR="000747A6">
        <w:rPr>
          <w:color w:val="323130"/>
          <w:sz w:val="28"/>
          <w:szCs w:val="28"/>
        </w:rPr>
        <w:t xml:space="preserve"> (uso il termine, di derivazione anglosassone ma controverso nei suoi termini nella nostra esperienza)</w:t>
      </w:r>
      <w:r w:rsidRPr="009633F9">
        <w:rPr>
          <w:color w:val="323130"/>
          <w:sz w:val="28"/>
          <w:szCs w:val="28"/>
        </w:rPr>
        <w:t xml:space="preserve"> aumenta</w:t>
      </w:r>
      <w:r w:rsidR="000747A6">
        <w:rPr>
          <w:color w:val="323130"/>
          <w:sz w:val="28"/>
          <w:szCs w:val="28"/>
        </w:rPr>
        <w:t>, in tesi,</w:t>
      </w:r>
      <w:r w:rsidRPr="009633F9">
        <w:rPr>
          <w:color w:val="323130"/>
          <w:sz w:val="28"/>
          <w:szCs w:val="28"/>
        </w:rPr>
        <w:t xml:space="preserve"> il tasso di sistematicità</w:t>
      </w:r>
      <w:r w:rsidR="000747A6">
        <w:rPr>
          <w:color w:val="323130"/>
          <w:sz w:val="28"/>
          <w:szCs w:val="28"/>
        </w:rPr>
        <w:t xml:space="preserve"> dell’ordinamento e, conseguentemente,</w:t>
      </w:r>
      <w:r w:rsidRPr="009633F9">
        <w:rPr>
          <w:color w:val="323130"/>
          <w:sz w:val="28"/>
          <w:szCs w:val="28"/>
        </w:rPr>
        <w:t xml:space="preserve"> di prevedibilità delle decisioni amministrative e giurisdizionali. Il bilancio, sotto questo profilo, è positivo.</w:t>
      </w:r>
      <w:r w:rsidR="000747A6">
        <w:rPr>
          <w:color w:val="323130"/>
          <w:sz w:val="28"/>
          <w:szCs w:val="28"/>
        </w:rPr>
        <w:t xml:space="preserve"> </w:t>
      </w:r>
    </w:p>
    <w:p w:rsidR="000747A6" w:rsidRPr="009633F9" w:rsidRDefault="000747A6" w:rsidP="009633F9">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Il problema, semmai, è che quel processo si è arrestato. Di più, è stato “intaccato”.</w:t>
      </w:r>
    </w:p>
    <w:p w:rsidR="009633F9" w:rsidRPr="009633F9"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lastRenderedPageBreak/>
        <w:t xml:space="preserve">Spesso, </w:t>
      </w:r>
      <w:r w:rsidR="000747A6">
        <w:rPr>
          <w:color w:val="323130"/>
          <w:sz w:val="28"/>
          <w:szCs w:val="28"/>
        </w:rPr>
        <w:t>infatti</w:t>
      </w:r>
      <w:r w:rsidRPr="009633F9">
        <w:rPr>
          <w:color w:val="323130"/>
          <w:sz w:val="28"/>
          <w:szCs w:val="28"/>
        </w:rPr>
        <w:t>, gli effetti benefici della codificazione risultano intaccati dall’«abuso» del diritto derogatorio, soprattutto quando degli strumenti dell’emergenza si fa un uso “ordinario” per fronteggiare l’inadeguatezza delle amministrazioni pubbliche a fronteggiare vicende complesse, avallandosi l’elusione di controlli e garanzie anche al di fuori dei parametri di ragionevolezza e proporzionalità.</w:t>
      </w:r>
    </w:p>
    <w:p w:rsidR="009633F9" w:rsidRPr="009633F9" w:rsidRDefault="009633F9" w:rsidP="009633F9">
      <w:pPr>
        <w:pStyle w:val="NormaleWeb"/>
        <w:shd w:val="clear" w:color="auto" w:fill="FFFFFF"/>
        <w:spacing w:before="0" w:beforeAutospacing="0" w:after="0" w:afterAutospacing="0" w:line="360" w:lineRule="auto"/>
        <w:jc w:val="both"/>
        <w:rPr>
          <w:color w:val="323130"/>
          <w:sz w:val="28"/>
          <w:szCs w:val="28"/>
        </w:rPr>
      </w:pPr>
    </w:p>
    <w:p w:rsidR="009633F9" w:rsidRPr="009633F9" w:rsidRDefault="001E21BB" w:rsidP="009633F9">
      <w:pPr>
        <w:pStyle w:val="NormaleWeb"/>
        <w:shd w:val="clear" w:color="auto" w:fill="FFFFFF"/>
        <w:spacing w:before="0" w:beforeAutospacing="0" w:after="0" w:afterAutospacing="0" w:line="360" w:lineRule="auto"/>
        <w:jc w:val="both"/>
        <w:rPr>
          <w:b/>
          <w:color w:val="323130"/>
          <w:sz w:val="28"/>
          <w:szCs w:val="28"/>
        </w:rPr>
      </w:pPr>
      <w:r>
        <w:rPr>
          <w:b/>
          <w:color w:val="323130"/>
          <w:sz w:val="28"/>
          <w:szCs w:val="28"/>
        </w:rPr>
        <w:t>B</w:t>
      </w:r>
      <w:r w:rsidR="009633F9" w:rsidRPr="009633F9">
        <w:rPr>
          <w:b/>
          <w:color w:val="323130"/>
          <w:sz w:val="28"/>
          <w:szCs w:val="28"/>
        </w:rPr>
        <w:t>) Semplificazione</w:t>
      </w:r>
    </w:p>
    <w:p w:rsidR="009633F9" w:rsidRPr="009633F9"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Nelle società complesse</w:t>
      </w:r>
      <w:r w:rsidR="001E21BB">
        <w:rPr>
          <w:color w:val="323130"/>
          <w:sz w:val="28"/>
          <w:szCs w:val="28"/>
        </w:rPr>
        <w:t xml:space="preserve"> l</w:t>
      </w:r>
      <w:r w:rsidRPr="009633F9">
        <w:rPr>
          <w:color w:val="323130"/>
          <w:sz w:val="28"/>
          <w:szCs w:val="28"/>
        </w:rPr>
        <w:t>’esigenza di favorire il rapido conseguimento della decisione spinge sempre più spesso il legislatore ad introdurre norme che vanno dalla riduzione dei procedimenti (con norme di accelerazione e di concentrazione) sino alla completa eliminazione degli stessi in una con la riduzione del perimetro pubblico.</w:t>
      </w:r>
    </w:p>
    <w:p w:rsidR="001E21BB"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 xml:space="preserve">La storia della semplificazione, tuttavia, insegna che dietro una direttrice normativa di indubbia utilità si nascondono complicazioni che attengono </w:t>
      </w:r>
      <w:r w:rsidR="001E21BB">
        <w:rPr>
          <w:color w:val="323130"/>
          <w:sz w:val="28"/>
          <w:szCs w:val="28"/>
        </w:rPr>
        <w:t>essenzialmente a due livelli:</w:t>
      </w:r>
    </w:p>
    <w:p w:rsidR="001E21BB" w:rsidRDefault="001E21BB" w:rsidP="001E21BB">
      <w:pPr>
        <w:pStyle w:val="NormaleWeb"/>
        <w:shd w:val="clear" w:color="auto" w:fill="FFFFFF"/>
        <w:spacing w:before="0" w:beforeAutospacing="0" w:after="0" w:afterAutospacing="0" w:line="360" w:lineRule="auto"/>
        <w:jc w:val="both"/>
        <w:rPr>
          <w:color w:val="323130"/>
          <w:sz w:val="28"/>
          <w:szCs w:val="28"/>
        </w:rPr>
      </w:pPr>
      <w:r w:rsidRPr="001E21BB">
        <w:rPr>
          <w:color w:val="323130"/>
          <w:sz w:val="28"/>
          <w:szCs w:val="28"/>
        </w:rPr>
        <w:t>a)</w:t>
      </w:r>
      <w:r>
        <w:rPr>
          <w:color w:val="323130"/>
          <w:sz w:val="28"/>
          <w:szCs w:val="28"/>
        </w:rPr>
        <w:t xml:space="preserve"> quello</w:t>
      </w:r>
      <w:r w:rsidR="009633F9" w:rsidRPr="009633F9">
        <w:rPr>
          <w:color w:val="323130"/>
          <w:sz w:val="28"/>
          <w:szCs w:val="28"/>
        </w:rPr>
        <w:t xml:space="preserve"> ordiname</w:t>
      </w:r>
      <w:r>
        <w:rPr>
          <w:color w:val="323130"/>
          <w:sz w:val="28"/>
          <w:szCs w:val="28"/>
        </w:rPr>
        <w:t xml:space="preserve">ntale: </w:t>
      </w:r>
      <w:r w:rsidR="009633F9" w:rsidRPr="009633F9">
        <w:rPr>
          <w:color w:val="323130"/>
          <w:sz w:val="28"/>
          <w:szCs w:val="28"/>
        </w:rPr>
        <w:t xml:space="preserve">mancato raccordo tra i diversi livelli di produzione normativi in materie dove spesso prevale la competenza del sistema delle autonomie, sostanziale arresto del processo di </w:t>
      </w:r>
      <w:r>
        <w:rPr>
          <w:color w:val="323130"/>
          <w:sz w:val="28"/>
          <w:szCs w:val="28"/>
        </w:rPr>
        <w:t>riordino normativo</w:t>
      </w:r>
    </w:p>
    <w:p w:rsidR="009633F9" w:rsidRPr="009633F9" w:rsidRDefault="001E21BB" w:rsidP="001E21BB">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b)</w:t>
      </w:r>
      <w:r w:rsidR="009633F9" w:rsidRPr="009633F9">
        <w:rPr>
          <w:color w:val="323130"/>
          <w:sz w:val="28"/>
          <w:szCs w:val="28"/>
        </w:rPr>
        <w:t xml:space="preserve"> </w:t>
      </w:r>
      <w:r w:rsidR="00651804">
        <w:rPr>
          <w:color w:val="323130"/>
          <w:sz w:val="28"/>
          <w:szCs w:val="28"/>
        </w:rPr>
        <w:t>quello organizzativo</w:t>
      </w:r>
      <w:r>
        <w:rPr>
          <w:color w:val="323130"/>
          <w:sz w:val="28"/>
          <w:szCs w:val="28"/>
        </w:rPr>
        <w:t>:</w:t>
      </w:r>
      <w:r w:rsidR="009633F9" w:rsidRPr="009633F9">
        <w:rPr>
          <w:color w:val="323130"/>
          <w:sz w:val="28"/>
          <w:szCs w:val="28"/>
        </w:rPr>
        <w:t xml:space="preserve"> assenza di professionalità tecniche stabili negli apparati di governo, centrale e locale; assenza di forme stabili di monitoraggio delle semplificazioni adottate e</w:t>
      </w:r>
      <w:r w:rsidR="006C7AC3">
        <w:rPr>
          <w:color w:val="323130"/>
          <w:sz w:val="28"/>
          <w:szCs w:val="28"/>
        </w:rPr>
        <w:t>,</w:t>
      </w:r>
      <w:r>
        <w:rPr>
          <w:color w:val="323130"/>
          <w:sz w:val="28"/>
          <w:szCs w:val="28"/>
        </w:rPr>
        <w:t xml:space="preserve"> a monte,</w:t>
      </w:r>
      <w:r w:rsidR="009633F9" w:rsidRPr="009633F9">
        <w:rPr>
          <w:color w:val="323130"/>
          <w:sz w:val="28"/>
          <w:szCs w:val="28"/>
        </w:rPr>
        <w:t xml:space="preserve"> di consultaz</w:t>
      </w:r>
      <w:r>
        <w:rPr>
          <w:color w:val="323130"/>
          <w:sz w:val="28"/>
          <w:szCs w:val="28"/>
        </w:rPr>
        <w:t>ione delle categorie produttive</w:t>
      </w:r>
      <w:r w:rsidR="009633F9" w:rsidRPr="009633F9">
        <w:rPr>
          <w:color w:val="323130"/>
          <w:sz w:val="28"/>
          <w:szCs w:val="28"/>
        </w:rPr>
        <w:t xml:space="preserve">. </w:t>
      </w:r>
    </w:p>
    <w:p w:rsidR="009633F9" w:rsidRPr="009633F9"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Emerge inoltre nella legislazione, soprattutto quella emergenziale, una dialettica irrisolta: da un lato, si invoca una maggiore duttilità dell’azione amministrativa, criticandosi i riti e gli oneri occulti della burocrazia; dall’altro, si persevera con l’</w:t>
      </w:r>
      <w:proofErr w:type="spellStart"/>
      <w:r w:rsidRPr="009633F9">
        <w:rPr>
          <w:color w:val="323130"/>
          <w:sz w:val="28"/>
          <w:szCs w:val="28"/>
        </w:rPr>
        <w:t>iper</w:t>
      </w:r>
      <w:proofErr w:type="spellEnd"/>
      <w:r w:rsidRPr="009633F9">
        <w:rPr>
          <w:color w:val="323130"/>
          <w:sz w:val="28"/>
          <w:szCs w:val="28"/>
        </w:rPr>
        <w:t>-regolazione, fenomeno tipico di sistemi nei quali prevale la sfiducia nei confronti degli amministratori e dei cittadini</w:t>
      </w:r>
      <w:r w:rsidR="006C7AC3">
        <w:rPr>
          <w:color w:val="323130"/>
          <w:sz w:val="28"/>
          <w:szCs w:val="28"/>
        </w:rPr>
        <w:t xml:space="preserve"> e che finisce con l’alimentare la sfiducia </w:t>
      </w:r>
      <w:proofErr w:type="gramStart"/>
      <w:r w:rsidR="006C7AC3">
        <w:rPr>
          <w:color w:val="323130"/>
          <w:sz w:val="28"/>
          <w:szCs w:val="28"/>
        </w:rPr>
        <w:t>dei  cittadini</w:t>
      </w:r>
      <w:proofErr w:type="gramEnd"/>
      <w:r w:rsidR="006C7AC3">
        <w:rPr>
          <w:color w:val="323130"/>
          <w:sz w:val="28"/>
          <w:szCs w:val="28"/>
        </w:rPr>
        <w:t xml:space="preserve"> nei confronti dell’amministrazione, della cd. burocrazia</w:t>
      </w:r>
      <w:r w:rsidRPr="009633F9">
        <w:rPr>
          <w:color w:val="323130"/>
          <w:sz w:val="28"/>
          <w:szCs w:val="28"/>
        </w:rPr>
        <w:t>.</w:t>
      </w:r>
    </w:p>
    <w:p w:rsidR="009633F9" w:rsidRPr="009633F9" w:rsidRDefault="009633F9"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 xml:space="preserve">Il decreto-legge 16 luglio 2020, n. 76 (un intervento di significativa importanza, che intercetta i principali settori dell’ordinamento amministrativo: contratti pubblici; edilizia; digitalizzazione della pubblica amministrazione; misure di settore a sostegno all’economia verde), ne è </w:t>
      </w:r>
      <w:r w:rsidR="00316986">
        <w:rPr>
          <w:color w:val="323130"/>
          <w:sz w:val="28"/>
          <w:szCs w:val="28"/>
        </w:rPr>
        <w:t>dimostrazione, per limitarci a due esempi</w:t>
      </w:r>
      <w:r w:rsidRPr="009633F9">
        <w:rPr>
          <w:color w:val="323130"/>
          <w:sz w:val="28"/>
          <w:szCs w:val="28"/>
        </w:rPr>
        <w:t>:</w:t>
      </w:r>
    </w:p>
    <w:p w:rsidR="009633F9" w:rsidRPr="009633F9" w:rsidRDefault="00D54074" w:rsidP="009633F9">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a) in materia di appalti:</w:t>
      </w:r>
      <w:r w:rsidR="009633F9" w:rsidRPr="009633F9">
        <w:rPr>
          <w:color w:val="323130"/>
          <w:sz w:val="28"/>
          <w:szCs w:val="28"/>
        </w:rPr>
        <w:t xml:space="preserve"> si elidono </w:t>
      </w:r>
      <w:r w:rsidR="006C7AC3">
        <w:rPr>
          <w:color w:val="323130"/>
          <w:sz w:val="28"/>
          <w:szCs w:val="28"/>
        </w:rPr>
        <w:t>passaggi</w:t>
      </w:r>
      <w:r w:rsidR="009633F9" w:rsidRPr="009633F9">
        <w:rPr>
          <w:color w:val="323130"/>
          <w:sz w:val="28"/>
          <w:szCs w:val="28"/>
        </w:rPr>
        <w:t xml:space="preserve"> procedimentali</w:t>
      </w:r>
      <w:r w:rsidR="006C7AC3">
        <w:rPr>
          <w:color w:val="323130"/>
          <w:sz w:val="28"/>
          <w:szCs w:val="28"/>
        </w:rPr>
        <w:t>, alcuni dei quali con finalità di garanzia,</w:t>
      </w:r>
      <w:r w:rsidR="009633F9" w:rsidRPr="009633F9">
        <w:rPr>
          <w:color w:val="323130"/>
          <w:sz w:val="28"/>
          <w:szCs w:val="28"/>
        </w:rPr>
        <w:t xml:space="preserve"> ma non </w:t>
      </w:r>
      <w:r w:rsidR="006C7AC3">
        <w:rPr>
          <w:color w:val="323130"/>
          <w:sz w:val="28"/>
          <w:szCs w:val="28"/>
        </w:rPr>
        <w:t>ci si preoccupa di incidere, nemmeno in prospettiva, sullo</w:t>
      </w:r>
      <w:r w:rsidR="009633F9" w:rsidRPr="009633F9">
        <w:rPr>
          <w:color w:val="323130"/>
          <w:sz w:val="28"/>
          <w:szCs w:val="28"/>
        </w:rPr>
        <w:t xml:space="preserve"> stock regolativo;</w:t>
      </w:r>
    </w:p>
    <w:p w:rsidR="009633F9" w:rsidRPr="009633F9" w:rsidRDefault="00D54074" w:rsidP="009633F9">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b) in materia edilizia:</w:t>
      </w:r>
      <w:r w:rsidR="009633F9" w:rsidRPr="009633F9">
        <w:rPr>
          <w:color w:val="323130"/>
          <w:sz w:val="28"/>
          <w:szCs w:val="28"/>
        </w:rPr>
        <w:t xml:space="preserve"> la semplificazione opera soprattutto sul versante della riduzione dell’area dei titoli abilitativi </w:t>
      </w:r>
      <w:r w:rsidR="009633F9" w:rsidRPr="006C7AC3">
        <w:rPr>
          <w:i/>
          <w:color w:val="323130"/>
          <w:sz w:val="28"/>
          <w:szCs w:val="28"/>
        </w:rPr>
        <w:t>ex ante</w:t>
      </w:r>
      <w:r w:rsidR="009633F9" w:rsidRPr="009633F9">
        <w:rPr>
          <w:color w:val="323130"/>
          <w:sz w:val="28"/>
          <w:szCs w:val="28"/>
        </w:rPr>
        <w:t xml:space="preserve">. Ma poiché lo stock regolativo dell’uso del territorio rimane immutato, </w:t>
      </w:r>
      <w:r w:rsidR="006C7AC3">
        <w:rPr>
          <w:color w:val="323130"/>
          <w:sz w:val="28"/>
          <w:szCs w:val="28"/>
        </w:rPr>
        <w:t xml:space="preserve">e purtroppo si snoda attraverso una pluralità di livelli di governo (in verticale e in orizzontale tra territori), </w:t>
      </w:r>
      <w:r w:rsidR="009633F9" w:rsidRPr="009633F9">
        <w:rPr>
          <w:color w:val="323130"/>
          <w:sz w:val="28"/>
          <w:szCs w:val="28"/>
        </w:rPr>
        <w:t xml:space="preserve">tale strada presenta delle insidie: in particolare, il sistema delle verifiche postume sulla correttezza della procedura, in luogo dei controlli preventivi che “rassicurano” il privato della legittimità del suo </w:t>
      </w:r>
      <w:r w:rsidR="009633F9" w:rsidRPr="006C7AC3">
        <w:rPr>
          <w:i/>
          <w:color w:val="323130"/>
          <w:sz w:val="28"/>
          <w:szCs w:val="28"/>
        </w:rPr>
        <w:t>modus operandi</w:t>
      </w:r>
      <w:r w:rsidR="009633F9" w:rsidRPr="009633F9">
        <w:rPr>
          <w:color w:val="323130"/>
          <w:sz w:val="28"/>
          <w:szCs w:val="28"/>
        </w:rPr>
        <w:t xml:space="preserve"> con un titolo amministrativo espresso e tendenzialmente stabile, può talvolta tradursi in un aggravio per il privato, chiamato a rilasciare “dichiarazioni sostitutive”, con conseguenti responsabilità. </w:t>
      </w:r>
    </w:p>
    <w:p w:rsidR="009633F9" w:rsidRPr="009633F9" w:rsidRDefault="009633F9" w:rsidP="009633F9">
      <w:pPr>
        <w:pStyle w:val="NormaleWeb"/>
        <w:shd w:val="clear" w:color="auto" w:fill="FFFFFF"/>
        <w:spacing w:before="0" w:beforeAutospacing="0" w:after="0" w:afterAutospacing="0" w:line="360" w:lineRule="auto"/>
        <w:jc w:val="both"/>
        <w:rPr>
          <w:bCs/>
          <w:color w:val="222222"/>
          <w:sz w:val="28"/>
          <w:szCs w:val="28"/>
          <w:bdr w:val="none" w:sz="0" w:space="0" w:color="auto" w:frame="1"/>
        </w:rPr>
      </w:pPr>
    </w:p>
    <w:p w:rsidR="003A7D1B" w:rsidRPr="009633F9" w:rsidRDefault="00316986" w:rsidP="009633F9">
      <w:pPr>
        <w:pStyle w:val="NormaleWeb"/>
        <w:shd w:val="clear" w:color="auto" w:fill="FFFFFF"/>
        <w:spacing w:before="0" w:beforeAutospacing="0" w:after="0" w:afterAutospacing="0" w:line="360" w:lineRule="auto"/>
        <w:jc w:val="both"/>
        <w:rPr>
          <w:b/>
          <w:color w:val="323130"/>
          <w:sz w:val="28"/>
          <w:szCs w:val="28"/>
        </w:rPr>
      </w:pPr>
      <w:r>
        <w:rPr>
          <w:b/>
          <w:color w:val="323130"/>
          <w:sz w:val="28"/>
          <w:szCs w:val="28"/>
        </w:rPr>
        <w:t>C</w:t>
      </w:r>
      <w:r w:rsidR="00504104" w:rsidRPr="009633F9">
        <w:rPr>
          <w:b/>
          <w:color w:val="323130"/>
          <w:sz w:val="28"/>
          <w:szCs w:val="28"/>
        </w:rPr>
        <w:t xml:space="preserve">) </w:t>
      </w:r>
      <w:r w:rsidR="003A7D1B" w:rsidRPr="009633F9">
        <w:rPr>
          <w:b/>
          <w:color w:val="323130"/>
          <w:sz w:val="28"/>
          <w:szCs w:val="28"/>
        </w:rPr>
        <w:t xml:space="preserve">Complessità e </w:t>
      </w:r>
      <w:r>
        <w:rPr>
          <w:b/>
          <w:color w:val="323130"/>
          <w:sz w:val="28"/>
          <w:szCs w:val="28"/>
        </w:rPr>
        <w:t>sistema</w:t>
      </w:r>
      <w:r w:rsidR="003A7D1B" w:rsidRPr="009633F9">
        <w:rPr>
          <w:b/>
          <w:color w:val="323130"/>
          <w:sz w:val="28"/>
          <w:szCs w:val="28"/>
        </w:rPr>
        <w:t xml:space="preserve"> delle fonti</w:t>
      </w:r>
    </w:p>
    <w:p w:rsidR="00780DDB" w:rsidRPr="009633F9" w:rsidRDefault="004377F4" w:rsidP="009633F9">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I due temi appena trattati evocano però problematiche</w:t>
      </w:r>
      <w:r w:rsidR="00316986">
        <w:rPr>
          <w:color w:val="323130"/>
          <w:sz w:val="28"/>
          <w:szCs w:val="28"/>
        </w:rPr>
        <w:t xml:space="preserve"> più generali,</w:t>
      </w:r>
      <w:r w:rsidR="003630A9" w:rsidRPr="009633F9">
        <w:rPr>
          <w:color w:val="323130"/>
          <w:sz w:val="28"/>
          <w:szCs w:val="28"/>
        </w:rPr>
        <w:t xml:space="preserve"> per così dire </w:t>
      </w:r>
      <w:r w:rsidR="00316986">
        <w:rPr>
          <w:color w:val="323130"/>
          <w:sz w:val="28"/>
          <w:szCs w:val="28"/>
        </w:rPr>
        <w:t xml:space="preserve">di ordine </w:t>
      </w:r>
      <w:r w:rsidR="00422E2A" w:rsidRPr="009633F9">
        <w:rPr>
          <w:color w:val="323130"/>
          <w:sz w:val="28"/>
          <w:szCs w:val="28"/>
        </w:rPr>
        <w:t>sistemico.</w:t>
      </w:r>
    </w:p>
    <w:p w:rsidR="00B46D97" w:rsidRDefault="00316986" w:rsidP="009633F9">
      <w:pPr>
        <w:pStyle w:val="NormaleWeb"/>
        <w:shd w:val="clear" w:color="auto" w:fill="FFFFFF"/>
        <w:spacing w:before="0" w:beforeAutospacing="0" w:after="0" w:afterAutospacing="0" w:line="360" w:lineRule="auto"/>
        <w:jc w:val="both"/>
        <w:rPr>
          <w:sz w:val="28"/>
          <w:szCs w:val="28"/>
        </w:rPr>
      </w:pPr>
      <w:r>
        <w:rPr>
          <w:sz w:val="28"/>
          <w:szCs w:val="28"/>
        </w:rPr>
        <w:t>Il sistema</w:t>
      </w:r>
      <w:r w:rsidR="00916B1F" w:rsidRPr="009633F9">
        <w:rPr>
          <w:sz w:val="28"/>
          <w:szCs w:val="28"/>
        </w:rPr>
        <w:t xml:space="preserve"> delle fonti</w:t>
      </w:r>
      <w:r>
        <w:rPr>
          <w:sz w:val="28"/>
          <w:szCs w:val="28"/>
        </w:rPr>
        <w:t xml:space="preserve"> è profondamente mutato.</w:t>
      </w:r>
      <w:r w:rsidR="00916B1F" w:rsidRPr="009633F9">
        <w:rPr>
          <w:sz w:val="28"/>
          <w:szCs w:val="28"/>
        </w:rPr>
        <w:t xml:space="preserve"> </w:t>
      </w:r>
      <w:r>
        <w:rPr>
          <w:sz w:val="28"/>
          <w:szCs w:val="28"/>
        </w:rPr>
        <w:t>I</w:t>
      </w:r>
      <w:r w:rsidR="00916B1F" w:rsidRPr="009633F9">
        <w:rPr>
          <w:sz w:val="28"/>
          <w:szCs w:val="28"/>
        </w:rPr>
        <w:t>l legislatore</w:t>
      </w:r>
      <w:r>
        <w:rPr>
          <w:sz w:val="28"/>
          <w:szCs w:val="28"/>
        </w:rPr>
        <w:t xml:space="preserve"> ha un duplice ordine di difficoltà: </w:t>
      </w:r>
    </w:p>
    <w:p w:rsidR="00B46D97" w:rsidRDefault="00B46D97" w:rsidP="00B46D97">
      <w:pPr>
        <w:pStyle w:val="NormaleWeb"/>
        <w:shd w:val="clear" w:color="auto" w:fill="FFFFFF"/>
        <w:spacing w:before="0" w:beforeAutospacing="0" w:after="0" w:afterAutospacing="0" w:line="360" w:lineRule="auto"/>
        <w:jc w:val="both"/>
        <w:rPr>
          <w:sz w:val="28"/>
          <w:szCs w:val="28"/>
        </w:rPr>
      </w:pPr>
      <w:r w:rsidRPr="00B46D97">
        <w:rPr>
          <w:sz w:val="28"/>
          <w:szCs w:val="28"/>
        </w:rPr>
        <w:t>a)</w:t>
      </w:r>
      <w:r>
        <w:rPr>
          <w:sz w:val="28"/>
          <w:szCs w:val="28"/>
        </w:rPr>
        <w:t xml:space="preserve"> la legge non riesce a comporre i conflitti, ad assumere la decisione “politica” tra interessi spesso in contrasto. Addirittura ha difficoltà a “decidere” se e come fornire riconoscimento e quindi protezione nel mondo del diritto a interessi “di fatto” (penso alle tematiche della bioetica);</w:t>
      </w:r>
    </w:p>
    <w:p w:rsidR="00504104" w:rsidRPr="009633F9" w:rsidRDefault="00B46D97" w:rsidP="00B46D97">
      <w:pPr>
        <w:pStyle w:val="NormaleWeb"/>
        <w:shd w:val="clear" w:color="auto" w:fill="FFFFFF"/>
        <w:spacing w:before="0" w:beforeAutospacing="0" w:after="0" w:afterAutospacing="0" w:line="360" w:lineRule="auto"/>
        <w:jc w:val="both"/>
        <w:rPr>
          <w:sz w:val="28"/>
          <w:szCs w:val="28"/>
        </w:rPr>
      </w:pPr>
      <w:r>
        <w:rPr>
          <w:sz w:val="28"/>
          <w:szCs w:val="28"/>
        </w:rPr>
        <w:t>b)</w:t>
      </w:r>
      <w:r w:rsidR="00916B1F" w:rsidRPr="009633F9">
        <w:rPr>
          <w:sz w:val="28"/>
          <w:szCs w:val="28"/>
        </w:rPr>
        <w:t xml:space="preserve"> </w:t>
      </w:r>
      <w:r>
        <w:rPr>
          <w:sz w:val="28"/>
          <w:szCs w:val="28"/>
        </w:rPr>
        <w:t>è difficile creare</w:t>
      </w:r>
      <w:r w:rsidR="00916B1F" w:rsidRPr="009633F9">
        <w:rPr>
          <w:sz w:val="28"/>
          <w:szCs w:val="28"/>
        </w:rPr>
        <w:t xml:space="preserve"> prescrizioni in settori specialistici che richiedono una capacità di adattamento alle incessanti evoluzioni tecniche, del tutto incompatibile con l’attuale ingolfamento dei processi legislativi.</w:t>
      </w:r>
    </w:p>
    <w:p w:rsidR="00DE75F1" w:rsidRPr="009633F9" w:rsidRDefault="00B46D97" w:rsidP="009633F9">
      <w:pPr>
        <w:pStyle w:val="NormaleWeb"/>
        <w:shd w:val="clear" w:color="auto" w:fill="FFFFFF"/>
        <w:spacing w:before="0" w:beforeAutospacing="0" w:after="0" w:afterAutospacing="0" w:line="360" w:lineRule="auto"/>
        <w:jc w:val="both"/>
        <w:rPr>
          <w:color w:val="323130"/>
          <w:sz w:val="28"/>
          <w:szCs w:val="28"/>
        </w:rPr>
      </w:pPr>
      <w:r>
        <w:rPr>
          <w:color w:val="323130"/>
          <w:sz w:val="28"/>
          <w:szCs w:val="28"/>
        </w:rPr>
        <w:t>In questo contesto, l</w:t>
      </w:r>
      <w:r w:rsidR="00577246" w:rsidRPr="009633F9">
        <w:rPr>
          <w:color w:val="323130"/>
          <w:sz w:val="28"/>
          <w:szCs w:val="28"/>
        </w:rPr>
        <w:t xml:space="preserve">a legge tende a farsi provvedimento amministrativo, perdendo i suoi connotati di generalità e astrattezza; </w:t>
      </w:r>
      <w:r>
        <w:rPr>
          <w:color w:val="323130"/>
          <w:sz w:val="28"/>
          <w:szCs w:val="28"/>
        </w:rPr>
        <w:t xml:space="preserve">l’amministrazione diventa “interprete”, in sede applicativa, dell’interesse pubblico in concreto, che non trova più nella norma il paradigma completo di riferimento; </w:t>
      </w:r>
      <w:r w:rsidR="00577246" w:rsidRPr="009633F9">
        <w:rPr>
          <w:color w:val="323130"/>
          <w:sz w:val="28"/>
          <w:szCs w:val="28"/>
        </w:rPr>
        <w:t xml:space="preserve">in </w:t>
      </w:r>
      <w:r>
        <w:rPr>
          <w:color w:val="323130"/>
          <w:sz w:val="28"/>
          <w:szCs w:val="28"/>
        </w:rPr>
        <w:t>questo</w:t>
      </w:r>
      <w:r w:rsidR="00577246" w:rsidRPr="009633F9">
        <w:rPr>
          <w:color w:val="323130"/>
          <w:sz w:val="28"/>
          <w:szCs w:val="28"/>
        </w:rPr>
        <w:t xml:space="preserve"> sistema “a legislazione confusa”</w:t>
      </w:r>
      <w:r>
        <w:rPr>
          <w:color w:val="323130"/>
          <w:sz w:val="28"/>
          <w:szCs w:val="28"/>
        </w:rPr>
        <w:t>,</w:t>
      </w:r>
      <w:r w:rsidR="00577246" w:rsidRPr="009633F9">
        <w:rPr>
          <w:color w:val="323130"/>
          <w:sz w:val="28"/>
          <w:szCs w:val="28"/>
        </w:rPr>
        <w:t xml:space="preserve"> il giudice lavora sempre di più per categorie generali e contribuisce a “creare diritto” anche nei sistemi a tradizione di </w:t>
      </w:r>
      <w:proofErr w:type="spellStart"/>
      <w:r w:rsidR="00577246" w:rsidRPr="00B46D97">
        <w:rPr>
          <w:i/>
          <w:color w:val="323130"/>
          <w:sz w:val="28"/>
          <w:szCs w:val="28"/>
        </w:rPr>
        <w:t>civil</w:t>
      </w:r>
      <w:proofErr w:type="spellEnd"/>
      <w:r w:rsidR="00577246" w:rsidRPr="00B46D97">
        <w:rPr>
          <w:i/>
          <w:color w:val="323130"/>
          <w:sz w:val="28"/>
          <w:szCs w:val="28"/>
        </w:rPr>
        <w:t xml:space="preserve"> law</w:t>
      </w:r>
      <w:r w:rsidR="00577246" w:rsidRPr="009633F9">
        <w:rPr>
          <w:color w:val="323130"/>
          <w:sz w:val="28"/>
          <w:szCs w:val="28"/>
        </w:rPr>
        <w:t>.</w:t>
      </w:r>
      <w:r w:rsidR="00902C05" w:rsidRPr="009633F9">
        <w:rPr>
          <w:color w:val="323130"/>
          <w:sz w:val="28"/>
          <w:szCs w:val="28"/>
        </w:rPr>
        <w:t xml:space="preserve"> Si modificano i rapporti tra giudice amministrativo</w:t>
      </w:r>
      <w:r w:rsidR="00902C05" w:rsidRPr="009633F9" w:rsidDel="00382D93">
        <w:rPr>
          <w:color w:val="323130"/>
          <w:sz w:val="28"/>
          <w:szCs w:val="28"/>
        </w:rPr>
        <w:t xml:space="preserve"> </w:t>
      </w:r>
      <w:r w:rsidR="00902C05" w:rsidRPr="009633F9">
        <w:rPr>
          <w:color w:val="323130"/>
          <w:sz w:val="28"/>
          <w:szCs w:val="28"/>
        </w:rPr>
        <w:t>e amministrazione: l’amministrazione ha paura di decidere; tende a difendersi più che a fare; quando non si “amministra per legge”, al giudice si impone talvolta, suo malgrado, di “amministrare per sentenza”.</w:t>
      </w:r>
      <w:r w:rsidR="0045319A">
        <w:rPr>
          <w:color w:val="323130"/>
          <w:sz w:val="28"/>
          <w:szCs w:val="28"/>
        </w:rPr>
        <w:t xml:space="preserve"> L’effetto conformativo della sentenza si dilata, al di fuori della controversia, e la </w:t>
      </w:r>
      <w:proofErr w:type="spellStart"/>
      <w:r w:rsidR="0045319A" w:rsidRPr="0045319A">
        <w:rPr>
          <w:i/>
          <w:color w:val="323130"/>
          <w:sz w:val="28"/>
          <w:szCs w:val="28"/>
        </w:rPr>
        <w:t>regula</w:t>
      </w:r>
      <w:proofErr w:type="spellEnd"/>
      <w:r w:rsidR="0045319A" w:rsidRPr="0045319A">
        <w:rPr>
          <w:i/>
          <w:color w:val="323130"/>
          <w:sz w:val="28"/>
          <w:szCs w:val="28"/>
        </w:rPr>
        <w:t xml:space="preserve"> </w:t>
      </w:r>
      <w:proofErr w:type="spellStart"/>
      <w:r w:rsidR="0045319A" w:rsidRPr="0045319A">
        <w:rPr>
          <w:i/>
          <w:color w:val="323130"/>
          <w:sz w:val="28"/>
          <w:szCs w:val="28"/>
        </w:rPr>
        <w:t>iuris</w:t>
      </w:r>
      <w:proofErr w:type="spellEnd"/>
      <w:r w:rsidR="0045319A">
        <w:rPr>
          <w:color w:val="323130"/>
          <w:sz w:val="28"/>
          <w:szCs w:val="28"/>
        </w:rPr>
        <w:t xml:space="preserve"> posta nella decisione tende a diventare </w:t>
      </w:r>
      <w:r w:rsidR="00647C2C" w:rsidRPr="008C6CD2">
        <w:rPr>
          <w:color w:val="323130"/>
          <w:sz w:val="28"/>
          <w:szCs w:val="28"/>
        </w:rPr>
        <w:t>regola</w:t>
      </w:r>
      <w:r w:rsidR="0045319A" w:rsidRPr="0045319A">
        <w:rPr>
          <w:i/>
          <w:color w:val="323130"/>
          <w:sz w:val="28"/>
          <w:szCs w:val="28"/>
        </w:rPr>
        <w:t xml:space="preserve"> tout court</w:t>
      </w:r>
      <w:r w:rsidR="0045319A">
        <w:rPr>
          <w:color w:val="323130"/>
          <w:sz w:val="28"/>
          <w:szCs w:val="28"/>
        </w:rPr>
        <w:t>.</w:t>
      </w:r>
      <w:r w:rsidR="00902C05" w:rsidRPr="009633F9">
        <w:rPr>
          <w:color w:val="323130"/>
          <w:sz w:val="28"/>
          <w:szCs w:val="28"/>
        </w:rPr>
        <w:t xml:space="preserve"> </w:t>
      </w:r>
    </w:p>
    <w:p w:rsidR="00DC23A3" w:rsidRPr="009633F9" w:rsidRDefault="00902C05" w:rsidP="009633F9">
      <w:pPr>
        <w:pStyle w:val="NormaleWeb"/>
        <w:shd w:val="clear" w:color="auto" w:fill="FFFFFF"/>
        <w:spacing w:before="0" w:beforeAutospacing="0" w:after="0" w:afterAutospacing="0" w:line="360" w:lineRule="auto"/>
        <w:jc w:val="both"/>
        <w:rPr>
          <w:sz w:val="28"/>
          <w:szCs w:val="28"/>
        </w:rPr>
      </w:pPr>
      <w:r w:rsidRPr="009633F9">
        <w:rPr>
          <w:color w:val="323130"/>
          <w:sz w:val="28"/>
          <w:szCs w:val="28"/>
        </w:rPr>
        <w:t xml:space="preserve">In questo quadro, l’esigenza di dare risposta all’aumento dell’incertezza del cittadino assegna, per dire così, un nuovo ruolo al giudice amministrativo: quello di contribuire alla riduzione dell’incertezza ed alla </w:t>
      </w:r>
      <w:proofErr w:type="spellStart"/>
      <w:r w:rsidRPr="009633F9">
        <w:rPr>
          <w:color w:val="323130"/>
          <w:sz w:val="28"/>
          <w:szCs w:val="28"/>
        </w:rPr>
        <w:t>ri</w:t>
      </w:r>
      <w:proofErr w:type="spellEnd"/>
      <w:r w:rsidRPr="009633F9">
        <w:rPr>
          <w:color w:val="323130"/>
          <w:sz w:val="28"/>
          <w:szCs w:val="28"/>
        </w:rPr>
        <w:t>-costruzione della fiducia nella capacità dell’ordinamento di dare risposte effettive.</w:t>
      </w:r>
      <w:r w:rsidR="00C622DC" w:rsidRPr="009633F9">
        <w:rPr>
          <w:color w:val="323130"/>
          <w:sz w:val="28"/>
          <w:szCs w:val="28"/>
        </w:rPr>
        <w:t xml:space="preserve"> </w:t>
      </w:r>
      <w:r w:rsidRPr="009633F9">
        <w:rPr>
          <w:color w:val="323130"/>
          <w:sz w:val="28"/>
          <w:szCs w:val="28"/>
        </w:rPr>
        <w:t>Al giudice amministrativo cittadini e amministrazioni chiedono ogni giorno di superare l’incertezza dei processi autorizzativi per le infrastrutture, di semplificare il quadro dei rapporti fra pubblica amministrazione e operatori economici, di vigilare sulla proporzionalità e ragionevolezza della regolazione economica.</w:t>
      </w:r>
      <w:r w:rsidR="00C622DC" w:rsidRPr="009633F9">
        <w:rPr>
          <w:color w:val="323130"/>
          <w:sz w:val="28"/>
          <w:szCs w:val="28"/>
        </w:rPr>
        <w:t xml:space="preserve"> </w:t>
      </w:r>
      <w:r w:rsidR="004E4CFF" w:rsidRPr="009633F9">
        <w:rPr>
          <w:color w:val="323130"/>
          <w:sz w:val="28"/>
          <w:szCs w:val="28"/>
        </w:rPr>
        <w:t>Sciogliere con chiarezza, prudenza ed equilibrio queste contraddizioni, nel segno della diminuzione dell’incertezza e del recupero della fiducia, è il compito che è rimesso alla fatica del giudicare, al servizio pubblico della giustizia amministrativa.</w:t>
      </w:r>
    </w:p>
    <w:p w:rsidR="0037603F" w:rsidRPr="009633F9" w:rsidRDefault="0037603F" w:rsidP="009633F9">
      <w:pPr>
        <w:pStyle w:val="NormaleWeb"/>
        <w:shd w:val="clear" w:color="auto" w:fill="FFFFFF"/>
        <w:spacing w:before="0" w:beforeAutospacing="0" w:after="0" w:afterAutospacing="0" w:line="360" w:lineRule="auto"/>
        <w:jc w:val="both"/>
        <w:rPr>
          <w:sz w:val="28"/>
          <w:szCs w:val="28"/>
        </w:rPr>
      </w:pPr>
    </w:p>
    <w:p w:rsidR="00C622DC" w:rsidRPr="009633F9" w:rsidRDefault="0045319A" w:rsidP="009633F9">
      <w:pPr>
        <w:pStyle w:val="NormaleWeb"/>
        <w:shd w:val="clear" w:color="auto" w:fill="FFFFFF"/>
        <w:spacing w:before="0" w:beforeAutospacing="0" w:after="0" w:afterAutospacing="0" w:line="360" w:lineRule="auto"/>
        <w:jc w:val="both"/>
        <w:rPr>
          <w:b/>
          <w:sz w:val="28"/>
          <w:szCs w:val="28"/>
        </w:rPr>
      </w:pPr>
      <w:r>
        <w:rPr>
          <w:b/>
          <w:sz w:val="28"/>
          <w:szCs w:val="28"/>
        </w:rPr>
        <w:t>D</w:t>
      </w:r>
      <w:r w:rsidR="00DE75F1" w:rsidRPr="009633F9">
        <w:rPr>
          <w:b/>
          <w:sz w:val="28"/>
          <w:szCs w:val="28"/>
        </w:rPr>
        <w:t xml:space="preserve">) </w:t>
      </w:r>
      <w:r w:rsidR="000555AD" w:rsidRPr="009633F9">
        <w:rPr>
          <w:b/>
          <w:sz w:val="28"/>
          <w:szCs w:val="28"/>
        </w:rPr>
        <w:t>Giudice “interferente” e bilanciamento</w:t>
      </w:r>
    </w:p>
    <w:p w:rsidR="00DC23A3" w:rsidRPr="009633F9" w:rsidRDefault="0045319A" w:rsidP="009633F9">
      <w:pPr>
        <w:pStyle w:val="NormaleWeb"/>
        <w:shd w:val="clear" w:color="auto" w:fill="FFFFFF"/>
        <w:spacing w:before="0" w:beforeAutospacing="0" w:after="0" w:afterAutospacing="0" w:line="360" w:lineRule="auto"/>
        <w:jc w:val="both"/>
        <w:rPr>
          <w:sz w:val="28"/>
          <w:szCs w:val="28"/>
        </w:rPr>
      </w:pPr>
      <w:r>
        <w:rPr>
          <w:sz w:val="28"/>
          <w:szCs w:val="28"/>
        </w:rPr>
        <w:t>Ma, nel quadro delineato, l</w:t>
      </w:r>
      <w:r w:rsidR="00902C05" w:rsidRPr="009633F9">
        <w:rPr>
          <w:sz w:val="28"/>
          <w:szCs w:val="28"/>
        </w:rPr>
        <w:t xml:space="preserve">’odierna sovraesposizione della giurisdizione amministrativa ‒ percepita talvolta dai </w:t>
      </w:r>
      <w:r w:rsidR="00902C05" w:rsidRPr="009633F9">
        <w:rPr>
          <w:i/>
          <w:sz w:val="28"/>
          <w:szCs w:val="28"/>
        </w:rPr>
        <w:t>commentatori</w:t>
      </w:r>
      <w:r w:rsidR="00902C05" w:rsidRPr="009633F9">
        <w:rPr>
          <w:sz w:val="28"/>
          <w:szCs w:val="28"/>
        </w:rPr>
        <w:t xml:space="preserve"> come istituzione non “</w:t>
      </w:r>
      <w:r w:rsidR="00902C05" w:rsidRPr="009633F9">
        <w:rPr>
          <w:i/>
          <w:sz w:val="28"/>
          <w:szCs w:val="28"/>
        </w:rPr>
        <w:t>giusdicente</w:t>
      </w:r>
      <w:r w:rsidR="00902C05" w:rsidRPr="009633F9">
        <w:rPr>
          <w:sz w:val="28"/>
          <w:szCs w:val="28"/>
        </w:rPr>
        <w:t>”, bensì “</w:t>
      </w:r>
      <w:r w:rsidR="00902C05" w:rsidRPr="009633F9">
        <w:rPr>
          <w:i/>
          <w:sz w:val="28"/>
          <w:szCs w:val="28"/>
        </w:rPr>
        <w:t>interferente</w:t>
      </w:r>
      <w:r w:rsidR="00902C05" w:rsidRPr="009633F9">
        <w:rPr>
          <w:sz w:val="28"/>
          <w:szCs w:val="28"/>
        </w:rPr>
        <w:t xml:space="preserve">” con la sfera delle decisioni politiche ‒ è dunque il portato di un </w:t>
      </w:r>
      <w:r w:rsidR="00902C05" w:rsidRPr="009633F9">
        <w:rPr>
          <w:i/>
          <w:sz w:val="28"/>
          <w:szCs w:val="28"/>
        </w:rPr>
        <w:t>deficit</w:t>
      </w:r>
      <w:r w:rsidR="00902C05" w:rsidRPr="009633F9">
        <w:rPr>
          <w:sz w:val="28"/>
          <w:szCs w:val="28"/>
        </w:rPr>
        <w:t xml:space="preserve"> strutturale dell’attuale ordinamento positivo e non</w:t>
      </w:r>
      <w:r>
        <w:rPr>
          <w:sz w:val="28"/>
          <w:szCs w:val="28"/>
        </w:rPr>
        <w:t>, se non in casi patologici,</w:t>
      </w:r>
      <w:r w:rsidR="00902C05" w:rsidRPr="009633F9">
        <w:rPr>
          <w:sz w:val="28"/>
          <w:szCs w:val="28"/>
        </w:rPr>
        <w:t xml:space="preserve"> del protagonismo individuale dei giudici.</w:t>
      </w:r>
    </w:p>
    <w:p w:rsidR="004E4CFF"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 xml:space="preserve">Se l’assetto di interessi non è “dato” ma deve essere episodicamente forgiato dai pubblici potere all’interno di una logica prettamente compositiva, ben si comprende il costante ricorso alla tecnica argomentativa giudiziale del </w:t>
      </w:r>
      <w:r w:rsidRPr="009633F9">
        <w:rPr>
          <w:i/>
          <w:sz w:val="28"/>
          <w:szCs w:val="28"/>
        </w:rPr>
        <w:t>bilanciamento</w:t>
      </w:r>
      <w:r w:rsidRPr="009633F9">
        <w:rPr>
          <w:sz w:val="28"/>
          <w:szCs w:val="28"/>
        </w:rPr>
        <w:t xml:space="preserve">. Il giudice amministrativo, allorché sia assente una graduazione chiara e predeterminata degli interessi in contrasto, trovando davanti a sé una pluralità di norme tutte valide e rilevanti per il caso da decidere, non può risolvere il </w:t>
      </w:r>
      <w:r w:rsidRPr="009633F9">
        <w:rPr>
          <w:i/>
          <w:sz w:val="28"/>
          <w:szCs w:val="28"/>
        </w:rPr>
        <w:t>conflitto</w:t>
      </w:r>
      <w:r w:rsidRPr="009633F9">
        <w:rPr>
          <w:sz w:val="28"/>
          <w:szCs w:val="28"/>
        </w:rPr>
        <w:t xml:space="preserve"> attraverso il tradizionale giudizio di conformità tra fattispecie astratta e concreta. Egli deve scegliere quale norma o interesse ritenere prevalente rispetto agli altri (ovvero cercare un </w:t>
      </w:r>
      <w:r w:rsidRPr="009633F9">
        <w:rPr>
          <w:i/>
          <w:sz w:val="28"/>
          <w:szCs w:val="28"/>
        </w:rPr>
        <w:t>contemperamento</w:t>
      </w:r>
      <w:r w:rsidRPr="009633F9">
        <w:rPr>
          <w:sz w:val="28"/>
          <w:szCs w:val="28"/>
        </w:rPr>
        <w:t xml:space="preserve"> tra gli stessi), avendo a disposizione soltanto una </w:t>
      </w:r>
      <w:r w:rsidRPr="009633F9">
        <w:rPr>
          <w:i/>
          <w:sz w:val="28"/>
          <w:szCs w:val="28"/>
        </w:rPr>
        <w:t>direttiva</w:t>
      </w:r>
      <w:r w:rsidRPr="009633F9">
        <w:rPr>
          <w:sz w:val="28"/>
          <w:szCs w:val="28"/>
        </w:rPr>
        <w:t xml:space="preserve"> normativa generale.</w:t>
      </w:r>
      <w:r w:rsidR="002D2802">
        <w:rPr>
          <w:sz w:val="28"/>
          <w:szCs w:val="28"/>
        </w:rPr>
        <w:t xml:space="preserve"> Si va ben oltre il sindacato di ragionevolezza o di proporzionalità.</w:t>
      </w:r>
    </w:p>
    <w:p w:rsidR="004E4CFF"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Pensiamo alla contrapposizione dei seguenti interessi</w:t>
      </w:r>
      <w:r w:rsidR="002A797F" w:rsidRPr="009633F9">
        <w:rPr>
          <w:sz w:val="28"/>
          <w:szCs w:val="28"/>
        </w:rPr>
        <w:t>, emerge</w:t>
      </w:r>
      <w:r w:rsidR="006D50FC">
        <w:rPr>
          <w:sz w:val="28"/>
          <w:szCs w:val="28"/>
        </w:rPr>
        <w:t>n</w:t>
      </w:r>
      <w:r w:rsidR="00C825E4" w:rsidRPr="009633F9">
        <w:rPr>
          <w:sz w:val="28"/>
          <w:szCs w:val="28"/>
        </w:rPr>
        <w:t>te</w:t>
      </w:r>
      <w:r w:rsidR="002A797F" w:rsidRPr="009633F9">
        <w:rPr>
          <w:sz w:val="28"/>
          <w:szCs w:val="28"/>
        </w:rPr>
        <w:t xml:space="preserve"> nel contenzioso davanti al </w:t>
      </w:r>
      <w:proofErr w:type="spellStart"/>
      <w:r w:rsidR="002A797F" w:rsidRPr="009633F9">
        <w:rPr>
          <w:sz w:val="28"/>
          <w:szCs w:val="28"/>
        </w:rPr>
        <w:t>g.a</w:t>
      </w:r>
      <w:proofErr w:type="spellEnd"/>
      <w:r w:rsidR="002A797F" w:rsidRPr="009633F9">
        <w:rPr>
          <w:sz w:val="28"/>
          <w:szCs w:val="28"/>
        </w:rPr>
        <w:t>.</w:t>
      </w:r>
      <w:r w:rsidRPr="009633F9">
        <w:rPr>
          <w:sz w:val="28"/>
          <w:szCs w:val="28"/>
        </w:rPr>
        <w:t>:</w:t>
      </w:r>
    </w:p>
    <w:p w:rsidR="008E5626"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 xml:space="preserve">i) </w:t>
      </w:r>
      <w:r w:rsidR="008E5626" w:rsidRPr="009633F9">
        <w:rPr>
          <w:sz w:val="28"/>
          <w:szCs w:val="28"/>
        </w:rPr>
        <w:t>Efficacia dell’azione pubblica vs leale collaborazione tra i diversi livelli istituzionali</w:t>
      </w:r>
    </w:p>
    <w:p w:rsidR="008E5626"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 xml:space="preserve">ii) </w:t>
      </w:r>
      <w:r w:rsidR="008E5626" w:rsidRPr="009633F9">
        <w:rPr>
          <w:sz w:val="28"/>
          <w:szCs w:val="28"/>
        </w:rPr>
        <w:t>Universalità del servizio pubblico vs sostenibilità economica</w:t>
      </w:r>
    </w:p>
    <w:p w:rsidR="008E5626"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 xml:space="preserve">iii) </w:t>
      </w:r>
      <w:r w:rsidR="008E5626" w:rsidRPr="009633F9">
        <w:rPr>
          <w:sz w:val="28"/>
          <w:szCs w:val="28"/>
        </w:rPr>
        <w:t>Adattabilità della funzione amministrativa vs principio di tutela dell’affidamento</w:t>
      </w:r>
    </w:p>
    <w:p w:rsidR="008E5626"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 xml:space="preserve">iv) </w:t>
      </w:r>
      <w:r w:rsidR="008E5626" w:rsidRPr="009633F9">
        <w:rPr>
          <w:sz w:val="28"/>
          <w:szCs w:val="28"/>
        </w:rPr>
        <w:t>Identità nazionale e cittadinanza europea</w:t>
      </w:r>
    </w:p>
    <w:p w:rsidR="008E5626" w:rsidRPr="009633F9" w:rsidRDefault="004E4CFF" w:rsidP="009633F9">
      <w:pPr>
        <w:pStyle w:val="NormaleWeb"/>
        <w:shd w:val="clear" w:color="auto" w:fill="FFFFFF"/>
        <w:spacing w:before="0" w:beforeAutospacing="0" w:after="0" w:afterAutospacing="0" w:line="360" w:lineRule="auto"/>
        <w:jc w:val="both"/>
        <w:rPr>
          <w:sz w:val="28"/>
          <w:szCs w:val="28"/>
        </w:rPr>
      </w:pPr>
      <w:r w:rsidRPr="009633F9">
        <w:rPr>
          <w:sz w:val="28"/>
          <w:szCs w:val="28"/>
        </w:rPr>
        <w:t xml:space="preserve">v) </w:t>
      </w:r>
      <w:r w:rsidR="008E5626" w:rsidRPr="009633F9">
        <w:rPr>
          <w:sz w:val="28"/>
          <w:szCs w:val="28"/>
        </w:rPr>
        <w:t>Diritto fondamentali vs vincoli finanziari</w:t>
      </w:r>
    </w:p>
    <w:p w:rsidR="004E7FC5" w:rsidRPr="009633F9" w:rsidRDefault="004E7FC5" w:rsidP="009633F9">
      <w:pPr>
        <w:pStyle w:val="NormaleWeb"/>
        <w:shd w:val="clear" w:color="auto" w:fill="FFFFFF"/>
        <w:spacing w:before="0" w:beforeAutospacing="0" w:after="0" w:afterAutospacing="0" w:line="360" w:lineRule="auto"/>
        <w:jc w:val="both"/>
        <w:rPr>
          <w:sz w:val="28"/>
          <w:szCs w:val="28"/>
        </w:rPr>
      </w:pPr>
    </w:p>
    <w:p w:rsidR="008B27C1" w:rsidRPr="009633F9" w:rsidRDefault="002D2802" w:rsidP="009633F9">
      <w:pPr>
        <w:pStyle w:val="NormaleWeb"/>
        <w:shd w:val="clear" w:color="auto" w:fill="FFFFFF"/>
        <w:spacing w:before="0" w:beforeAutospacing="0" w:after="0" w:afterAutospacing="0" w:line="360" w:lineRule="auto"/>
        <w:jc w:val="both"/>
        <w:rPr>
          <w:b/>
          <w:sz w:val="28"/>
          <w:szCs w:val="28"/>
        </w:rPr>
      </w:pPr>
      <w:r>
        <w:rPr>
          <w:b/>
          <w:sz w:val="28"/>
          <w:szCs w:val="28"/>
        </w:rPr>
        <w:t>E</w:t>
      </w:r>
      <w:r w:rsidR="004E4CFF" w:rsidRPr="009633F9">
        <w:rPr>
          <w:b/>
          <w:sz w:val="28"/>
          <w:szCs w:val="28"/>
        </w:rPr>
        <w:t xml:space="preserve">) </w:t>
      </w:r>
      <w:r w:rsidR="00EB4FEA" w:rsidRPr="009633F9">
        <w:rPr>
          <w:b/>
          <w:sz w:val="28"/>
          <w:szCs w:val="28"/>
        </w:rPr>
        <w:t>T</w:t>
      </w:r>
      <w:r w:rsidR="008B27C1" w:rsidRPr="009633F9">
        <w:rPr>
          <w:b/>
          <w:sz w:val="28"/>
          <w:szCs w:val="28"/>
        </w:rPr>
        <w:t>endenze della giustizia ammnistrativa</w:t>
      </w:r>
    </w:p>
    <w:p w:rsidR="002D2802" w:rsidRDefault="002D2802" w:rsidP="009633F9">
      <w:pPr>
        <w:pStyle w:val="NormaleWeb"/>
        <w:shd w:val="clear" w:color="auto" w:fill="FFFFFF"/>
        <w:spacing w:before="0" w:beforeAutospacing="0" w:after="0" w:afterAutospacing="0" w:line="360" w:lineRule="auto"/>
        <w:jc w:val="both"/>
        <w:rPr>
          <w:sz w:val="28"/>
          <w:szCs w:val="28"/>
        </w:rPr>
      </w:pPr>
      <w:r>
        <w:rPr>
          <w:sz w:val="28"/>
          <w:szCs w:val="28"/>
        </w:rPr>
        <w:t>Come sta reagendo in questa situazione la giurisdizione amministrativa?</w:t>
      </w:r>
    </w:p>
    <w:p w:rsidR="00FF3EBC" w:rsidRPr="009633F9" w:rsidRDefault="00653313" w:rsidP="009633F9">
      <w:pPr>
        <w:pStyle w:val="NormaleWeb"/>
        <w:shd w:val="clear" w:color="auto" w:fill="FFFFFF"/>
        <w:spacing w:before="0" w:beforeAutospacing="0" w:after="0" w:afterAutospacing="0" w:line="360" w:lineRule="auto"/>
        <w:jc w:val="both"/>
        <w:rPr>
          <w:color w:val="323130"/>
          <w:sz w:val="28"/>
          <w:szCs w:val="28"/>
        </w:rPr>
      </w:pPr>
      <w:r w:rsidRPr="009633F9">
        <w:rPr>
          <w:sz w:val="28"/>
          <w:szCs w:val="28"/>
        </w:rPr>
        <w:t>i</w:t>
      </w:r>
      <w:r w:rsidR="008B27C1" w:rsidRPr="009633F9">
        <w:rPr>
          <w:sz w:val="28"/>
          <w:szCs w:val="28"/>
        </w:rPr>
        <w:t xml:space="preserve">) </w:t>
      </w:r>
      <w:r w:rsidR="002D2802">
        <w:rPr>
          <w:sz w:val="28"/>
          <w:szCs w:val="28"/>
        </w:rPr>
        <w:t xml:space="preserve">In primo luogo, intervenendo sul </w:t>
      </w:r>
      <w:proofErr w:type="spellStart"/>
      <w:r w:rsidR="002D2802">
        <w:rPr>
          <w:sz w:val="28"/>
          <w:szCs w:val="28"/>
        </w:rPr>
        <w:t>riesercizio</w:t>
      </w:r>
      <w:proofErr w:type="spellEnd"/>
      <w:r w:rsidR="002D2802">
        <w:rPr>
          <w:sz w:val="28"/>
          <w:szCs w:val="28"/>
        </w:rPr>
        <w:t xml:space="preserve"> del potere all’esito di un giudizio: si è accentuata l’</w:t>
      </w:r>
      <w:r w:rsidR="00FF3EBC" w:rsidRPr="009633F9">
        <w:rPr>
          <w:color w:val="323130"/>
          <w:sz w:val="28"/>
          <w:szCs w:val="28"/>
        </w:rPr>
        <w:t>attitudine</w:t>
      </w:r>
      <w:r w:rsidR="002D2802">
        <w:rPr>
          <w:color w:val="323130"/>
          <w:sz w:val="28"/>
          <w:szCs w:val="28"/>
        </w:rPr>
        <w:t xml:space="preserve"> del giudizio</w:t>
      </w:r>
      <w:r w:rsidR="00FF3EBC" w:rsidRPr="009633F9">
        <w:rPr>
          <w:color w:val="323130"/>
          <w:sz w:val="28"/>
          <w:szCs w:val="28"/>
        </w:rPr>
        <w:t xml:space="preserve"> a fornire una “soluzione definitiva” del conflitto di cooperazione tra amministrazione e cittadino, evitando (ove possibile) estenua</w:t>
      </w:r>
      <w:r w:rsidR="002D2802">
        <w:rPr>
          <w:color w:val="323130"/>
          <w:sz w:val="28"/>
          <w:szCs w:val="28"/>
        </w:rPr>
        <w:t>nti riedizioni del procedimento:</w:t>
      </w:r>
      <w:r w:rsidR="00FF3EBC" w:rsidRPr="009633F9">
        <w:rPr>
          <w:color w:val="323130"/>
          <w:sz w:val="28"/>
          <w:szCs w:val="28"/>
        </w:rPr>
        <w:t xml:space="preserve"> anticipazione del</w:t>
      </w:r>
      <w:r w:rsidR="002D2802">
        <w:rPr>
          <w:color w:val="323130"/>
          <w:sz w:val="28"/>
          <w:szCs w:val="28"/>
        </w:rPr>
        <w:t xml:space="preserve">l’ottemperanza nella cognizione; limiti alla </w:t>
      </w:r>
      <w:proofErr w:type="spellStart"/>
      <w:proofErr w:type="gramStart"/>
      <w:r w:rsidR="002D2802">
        <w:rPr>
          <w:color w:val="323130"/>
          <w:sz w:val="28"/>
          <w:szCs w:val="28"/>
        </w:rPr>
        <w:t>cd.inesauribilità</w:t>
      </w:r>
      <w:proofErr w:type="spellEnd"/>
      <w:proofErr w:type="gramEnd"/>
      <w:r w:rsidR="002D2802">
        <w:rPr>
          <w:color w:val="323130"/>
          <w:sz w:val="28"/>
          <w:szCs w:val="28"/>
        </w:rPr>
        <w:t xml:space="preserve"> del potere </w:t>
      </w:r>
      <w:proofErr w:type="spellStart"/>
      <w:r w:rsidR="002D2802">
        <w:rPr>
          <w:color w:val="323130"/>
          <w:sz w:val="28"/>
          <w:szCs w:val="28"/>
        </w:rPr>
        <w:t>amminiustrativo</w:t>
      </w:r>
      <w:proofErr w:type="spellEnd"/>
      <w:r w:rsidR="002D2802">
        <w:rPr>
          <w:color w:val="323130"/>
          <w:sz w:val="28"/>
          <w:szCs w:val="28"/>
        </w:rPr>
        <w:t>;</w:t>
      </w:r>
    </w:p>
    <w:p w:rsidR="00EB4FEA" w:rsidRPr="009633F9" w:rsidRDefault="00EB4FEA"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Va segnalato come alla medesima esigenza di tutela sia ispirata anche la recente modifica introdotta dalla lettera e) dell’art. 12 del decreto-legge 16 luglio 2020, n. 76, che ha sostituito il terzo e quarto periodo del comma 1 dell’art. 10-bis della legge n. 241 del 1990, con i seguenti: «la comunicazione di cui al primo periodo sospende i termini di conclusione dei procedimenti, che ricominciano a decorrere dieci giorni dopo la presentazione delle osservazioni o, in mancanza delle stesse, dalla scadenza del termine di cui al secondo periodo. Qualora gli istanti abbiano presentato osservazioni, del loro eventuale mancato accoglimento il responsabile del procedimento o l’autorità competente sono tenuti a dare ragione nella motivazione del provvedimento finale di diniego indicando, se ve ne sono, i soli motivi ostativi ulteriori che sono conseguenza delle osservazioni. In caso di annullamento in giudizio del provvedimento così adottato, nell’esercitare nuovamente il suo potere, l’amministrazione non può addurre per la prima volta motivi ostativi già emergenti dall’istruttoria del provvedimento annullato».</w:t>
      </w:r>
    </w:p>
    <w:p w:rsidR="00EB4FEA" w:rsidRPr="009633F9" w:rsidRDefault="00EB4FEA"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 xml:space="preserve">Innestata all’interno del procedimento amministrativo, la regola dello </w:t>
      </w:r>
      <w:proofErr w:type="spellStart"/>
      <w:r w:rsidRPr="002D2802">
        <w:rPr>
          <w:i/>
          <w:color w:val="323130"/>
          <w:sz w:val="28"/>
          <w:szCs w:val="28"/>
        </w:rPr>
        <w:t>one</w:t>
      </w:r>
      <w:proofErr w:type="spellEnd"/>
      <w:r w:rsidRPr="002D2802">
        <w:rPr>
          <w:i/>
          <w:color w:val="323130"/>
          <w:sz w:val="28"/>
          <w:szCs w:val="28"/>
        </w:rPr>
        <w:t xml:space="preserve"> </w:t>
      </w:r>
      <w:proofErr w:type="spellStart"/>
      <w:r w:rsidRPr="002D2802">
        <w:rPr>
          <w:i/>
          <w:color w:val="323130"/>
          <w:sz w:val="28"/>
          <w:szCs w:val="28"/>
        </w:rPr>
        <w:t>shot</w:t>
      </w:r>
      <w:proofErr w:type="spellEnd"/>
      <w:r w:rsidRPr="009633F9">
        <w:rPr>
          <w:color w:val="323130"/>
          <w:sz w:val="28"/>
          <w:szCs w:val="28"/>
        </w:rPr>
        <w:t xml:space="preserve"> obbliga la P.A. ad esplicitare sin dall’adozione del primo provvedimento sfavorevole tutti gli elementi ostativi emergenti dall’istruttoria compiuta, potendo il secondo diniego, adottato in sede di </w:t>
      </w:r>
      <w:proofErr w:type="spellStart"/>
      <w:r w:rsidRPr="009633F9">
        <w:rPr>
          <w:color w:val="323130"/>
          <w:sz w:val="28"/>
          <w:szCs w:val="28"/>
        </w:rPr>
        <w:t>riesercizio</w:t>
      </w:r>
      <w:proofErr w:type="spellEnd"/>
      <w:r w:rsidRPr="009633F9">
        <w:rPr>
          <w:color w:val="323130"/>
          <w:sz w:val="28"/>
          <w:szCs w:val="28"/>
        </w:rPr>
        <w:t xml:space="preserve"> del potere, essere motivato soltanto sulla scorta di elementi fino ad allora non emersi nel corso dell’istruttoria e non di elementi noti e non esplicitati</w:t>
      </w:r>
      <w:r w:rsidRPr="009633F9">
        <w:rPr>
          <w:rStyle w:val="Rimandonotaapidipagina"/>
          <w:sz w:val="28"/>
          <w:szCs w:val="28"/>
        </w:rPr>
        <w:footnoteReference w:id="1"/>
      </w:r>
      <w:r w:rsidR="008C501D" w:rsidRPr="009633F9">
        <w:rPr>
          <w:color w:val="323130"/>
          <w:sz w:val="28"/>
          <w:szCs w:val="28"/>
        </w:rPr>
        <w:t>.</w:t>
      </w:r>
    </w:p>
    <w:p w:rsidR="00EB4FEA" w:rsidRPr="009633F9" w:rsidRDefault="00EB4FEA"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La giurisprudenza dovrà farsi carico di precisare tutte le implicazioni della predetta disposizione all’interno del sistema processuale amministrativo.</w:t>
      </w:r>
    </w:p>
    <w:p w:rsidR="00CA127E" w:rsidRPr="009633F9" w:rsidRDefault="00653313"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ii</w:t>
      </w:r>
      <w:r w:rsidR="00902C05" w:rsidRPr="009633F9">
        <w:rPr>
          <w:color w:val="323130"/>
          <w:sz w:val="28"/>
          <w:szCs w:val="28"/>
        </w:rPr>
        <w:t xml:space="preserve">) </w:t>
      </w:r>
      <w:r w:rsidR="006D4B08" w:rsidRPr="009633F9">
        <w:rPr>
          <w:color w:val="323130"/>
          <w:sz w:val="28"/>
          <w:szCs w:val="28"/>
        </w:rPr>
        <w:t>Assume</w:t>
      </w:r>
      <w:r w:rsidR="00310C35" w:rsidRPr="009633F9">
        <w:rPr>
          <w:color w:val="323130"/>
          <w:sz w:val="28"/>
          <w:szCs w:val="28"/>
        </w:rPr>
        <w:t xml:space="preserve"> poi</w:t>
      </w:r>
      <w:r w:rsidR="006D4B08" w:rsidRPr="009633F9">
        <w:rPr>
          <w:color w:val="323130"/>
          <w:sz w:val="28"/>
          <w:szCs w:val="28"/>
        </w:rPr>
        <w:t xml:space="preserve"> una crescente importanza l’esigenza di</w:t>
      </w:r>
      <w:r w:rsidR="00CA127E" w:rsidRPr="009633F9">
        <w:rPr>
          <w:color w:val="323130"/>
          <w:sz w:val="28"/>
          <w:szCs w:val="28"/>
        </w:rPr>
        <w:t xml:space="preserve"> una chiara e stabile giurisprudenza sulle vicende del cittadino nei confronti del potere pubblico. Una giustizia chiara nelle sue decisioni e coerente nei suoi orientamenti, efficace nell’esecuzione, è in grado di rendere poco convenienti i comportamenti che, violando le regole, tradiscono la fiducia, e di promuovere, invece, la cooperazione e l’adesione volontaria al precetto normativo.</w:t>
      </w:r>
    </w:p>
    <w:p w:rsidR="0037603F" w:rsidRPr="009633F9" w:rsidRDefault="00902C05"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La nomofilachia rafforza l’</w:t>
      </w:r>
      <w:proofErr w:type="spellStart"/>
      <w:r w:rsidRPr="002D2802">
        <w:rPr>
          <w:i/>
          <w:color w:val="323130"/>
          <w:sz w:val="28"/>
          <w:szCs w:val="28"/>
        </w:rPr>
        <w:t>accountability</w:t>
      </w:r>
      <w:proofErr w:type="spellEnd"/>
      <w:r w:rsidRPr="009633F9">
        <w:rPr>
          <w:color w:val="323130"/>
          <w:sz w:val="28"/>
          <w:szCs w:val="28"/>
        </w:rPr>
        <w:t xml:space="preserve"> del giudice, assicurando la prevedibilità delle decisioni giudiziarie, ma fornisce anche un servizio utile per le amministrazioni, tracciando le coordinate della legittimità della loro azione.</w:t>
      </w:r>
      <w:r w:rsidR="009757DE" w:rsidRPr="009633F9">
        <w:rPr>
          <w:color w:val="323130"/>
          <w:sz w:val="28"/>
          <w:szCs w:val="28"/>
        </w:rPr>
        <w:t xml:space="preserve"> </w:t>
      </w:r>
    </w:p>
    <w:p w:rsidR="00902C05" w:rsidRPr="009633F9" w:rsidRDefault="00902C05" w:rsidP="009633F9">
      <w:pPr>
        <w:pStyle w:val="NormaleWeb"/>
        <w:shd w:val="clear" w:color="auto" w:fill="FFFFFF"/>
        <w:spacing w:before="0" w:beforeAutospacing="0" w:after="0" w:afterAutospacing="0" w:line="360" w:lineRule="auto"/>
        <w:jc w:val="both"/>
        <w:rPr>
          <w:color w:val="323130"/>
          <w:sz w:val="28"/>
          <w:szCs w:val="28"/>
        </w:rPr>
      </w:pPr>
      <w:r w:rsidRPr="009633F9">
        <w:rPr>
          <w:color w:val="323130"/>
          <w:sz w:val="28"/>
          <w:szCs w:val="28"/>
        </w:rPr>
        <w:t>In una concezione ampia del concetto di nomofilachia rientra anche il sempre più intenso e produttivo dialogo tra Corti supreme, in particolare con la Corte di cassazione e le Corti europee</w:t>
      </w:r>
      <w:r w:rsidR="0037603F" w:rsidRPr="009633F9">
        <w:rPr>
          <w:color w:val="323130"/>
          <w:sz w:val="28"/>
          <w:szCs w:val="28"/>
        </w:rPr>
        <w:t xml:space="preserve"> (dialogo verticale e orizzontale)</w:t>
      </w:r>
      <w:r w:rsidRPr="009633F9">
        <w:rPr>
          <w:color w:val="323130"/>
          <w:sz w:val="28"/>
          <w:szCs w:val="28"/>
        </w:rPr>
        <w:t>.</w:t>
      </w:r>
    </w:p>
    <w:p w:rsidR="00CA127E" w:rsidRPr="009633F9" w:rsidRDefault="006D4B08" w:rsidP="009633F9">
      <w:pPr>
        <w:pStyle w:val="NormaleWeb"/>
        <w:shd w:val="clear" w:color="auto" w:fill="FFFFFF"/>
        <w:spacing w:before="0" w:beforeAutospacing="0" w:after="0" w:afterAutospacing="0" w:line="360" w:lineRule="auto"/>
        <w:jc w:val="both"/>
        <w:rPr>
          <w:b/>
          <w:sz w:val="28"/>
          <w:szCs w:val="28"/>
        </w:rPr>
      </w:pPr>
      <w:r w:rsidRPr="009633F9">
        <w:rPr>
          <w:color w:val="323130"/>
          <w:sz w:val="28"/>
          <w:szCs w:val="28"/>
        </w:rPr>
        <w:t>iii</w:t>
      </w:r>
      <w:r w:rsidR="00CA127E" w:rsidRPr="009633F9">
        <w:rPr>
          <w:color w:val="323130"/>
          <w:sz w:val="28"/>
          <w:szCs w:val="28"/>
        </w:rPr>
        <w:t>) Ambiti di azione e indirizzi più chiari non sono sufficienti a fornire un adeguato “servizio giustizia” se non migliorano anche i tempi e la produttività del giudice.</w:t>
      </w:r>
      <w:r w:rsidR="007F3B42" w:rsidRPr="009633F9">
        <w:rPr>
          <w:color w:val="323130"/>
          <w:sz w:val="28"/>
          <w:szCs w:val="28"/>
        </w:rPr>
        <w:t xml:space="preserve"> </w:t>
      </w:r>
      <w:r w:rsidR="00E303DE">
        <w:rPr>
          <w:color w:val="323130"/>
          <w:sz w:val="28"/>
          <w:szCs w:val="28"/>
        </w:rPr>
        <w:t>I dati statistici</w:t>
      </w:r>
      <w:r w:rsidR="00CA127E" w:rsidRPr="009633F9">
        <w:rPr>
          <w:color w:val="323130"/>
          <w:sz w:val="28"/>
          <w:szCs w:val="28"/>
        </w:rPr>
        <w:t xml:space="preserve"> offrono più </w:t>
      </w:r>
      <w:r w:rsidR="002D2802">
        <w:rPr>
          <w:color w:val="323130"/>
          <w:sz w:val="28"/>
          <w:szCs w:val="28"/>
        </w:rPr>
        <w:t>di un elemento di soddisfazione, specie se raffrontati con quelli di altre giurisdizioni. Ma c’è ancora da fare. E le potenzialità del PAT non sono del tutto sfruttate in sede di organizzazione dell’ufficio del processo.</w:t>
      </w:r>
    </w:p>
    <w:p w:rsidR="0021373C" w:rsidRDefault="00D14A2D" w:rsidP="009633F9">
      <w:pPr>
        <w:pStyle w:val="NormaleWeb"/>
        <w:shd w:val="clear" w:color="auto" w:fill="FFFFFF"/>
        <w:spacing w:before="0" w:beforeAutospacing="0" w:after="0" w:afterAutospacing="0" w:line="360" w:lineRule="auto"/>
        <w:jc w:val="both"/>
        <w:rPr>
          <w:color w:val="323130"/>
          <w:sz w:val="28"/>
          <w:szCs w:val="28"/>
        </w:rPr>
      </w:pPr>
      <w:r w:rsidRPr="009633F9">
        <w:rPr>
          <w:sz w:val="28"/>
          <w:szCs w:val="28"/>
        </w:rPr>
        <w:t>iv</w:t>
      </w:r>
      <w:r w:rsidR="00CA127E" w:rsidRPr="009633F9">
        <w:rPr>
          <w:sz w:val="28"/>
          <w:szCs w:val="28"/>
        </w:rPr>
        <w:t xml:space="preserve">) In questo quadro, </w:t>
      </w:r>
      <w:r w:rsidR="00902C05" w:rsidRPr="009633F9">
        <w:rPr>
          <w:color w:val="323130"/>
          <w:sz w:val="28"/>
          <w:szCs w:val="28"/>
        </w:rPr>
        <w:t xml:space="preserve">una importanza decisiva </w:t>
      </w:r>
      <w:r w:rsidR="00CA127E" w:rsidRPr="009633F9">
        <w:rPr>
          <w:color w:val="323130"/>
          <w:sz w:val="28"/>
          <w:szCs w:val="28"/>
        </w:rPr>
        <w:t xml:space="preserve">ha anche </w:t>
      </w:r>
      <w:r w:rsidR="00902C05" w:rsidRPr="009633F9">
        <w:rPr>
          <w:color w:val="323130"/>
          <w:sz w:val="28"/>
          <w:szCs w:val="28"/>
        </w:rPr>
        <w:t>il rilancio delle funzioni consultive</w:t>
      </w:r>
      <w:r w:rsidRPr="009633F9">
        <w:rPr>
          <w:color w:val="323130"/>
          <w:sz w:val="28"/>
          <w:szCs w:val="28"/>
        </w:rPr>
        <w:t xml:space="preserve"> del giudice a</w:t>
      </w:r>
      <w:r w:rsidR="00902C05" w:rsidRPr="009633F9">
        <w:rPr>
          <w:color w:val="323130"/>
          <w:sz w:val="28"/>
          <w:szCs w:val="28"/>
        </w:rPr>
        <w:t>mministrativo</w:t>
      </w:r>
      <w:r w:rsidR="00CA127E" w:rsidRPr="009633F9">
        <w:rPr>
          <w:color w:val="323130"/>
          <w:sz w:val="28"/>
          <w:szCs w:val="28"/>
        </w:rPr>
        <w:t>, attraverso</w:t>
      </w:r>
      <w:r w:rsidR="0021373C" w:rsidRPr="009633F9">
        <w:rPr>
          <w:color w:val="323130"/>
          <w:sz w:val="28"/>
          <w:szCs w:val="28"/>
        </w:rPr>
        <w:t xml:space="preserve"> </w:t>
      </w:r>
      <w:r w:rsidR="00CA127E" w:rsidRPr="009633F9">
        <w:rPr>
          <w:color w:val="323130"/>
          <w:sz w:val="28"/>
          <w:szCs w:val="28"/>
        </w:rPr>
        <w:t>una</w:t>
      </w:r>
      <w:r w:rsidR="0021373C" w:rsidRPr="009633F9">
        <w:rPr>
          <w:color w:val="323130"/>
          <w:sz w:val="28"/>
          <w:szCs w:val="28"/>
        </w:rPr>
        <w:t xml:space="preserve"> valutazione effettuata non soltanto giuridico-formale ma ispirata a criteri di qualità della regolazione di matrice internazionale.</w:t>
      </w:r>
    </w:p>
    <w:p w:rsidR="002D2802" w:rsidRPr="009633F9" w:rsidRDefault="002D2802" w:rsidP="009633F9">
      <w:pPr>
        <w:pStyle w:val="NormaleWeb"/>
        <w:shd w:val="clear" w:color="auto" w:fill="FFFFFF"/>
        <w:spacing w:before="0" w:beforeAutospacing="0" w:after="0" w:afterAutospacing="0" w:line="360" w:lineRule="auto"/>
        <w:jc w:val="both"/>
        <w:rPr>
          <w:color w:val="323130"/>
          <w:sz w:val="28"/>
          <w:szCs w:val="28"/>
        </w:rPr>
      </w:pPr>
    </w:p>
    <w:p w:rsidR="004E7FC5" w:rsidRPr="009633F9" w:rsidRDefault="002D2802" w:rsidP="009633F9">
      <w:pPr>
        <w:pStyle w:val="NormaleWeb"/>
        <w:shd w:val="clear" w:color="auto" w:fill="FFFFFF"/>
        <w:spacing w:before="0" w:beforeAutospacing="0" w:after="0" w:afterAutospacing="0" w:line="360" w:lineRule="auto"/>
        <w:jc w:val="both"/>
        <w:rPr>
          <w:color w:val="323130"/>
          <w:sz w:val="28"/>
          <w:szCs w:val="28"/>
        </w:rPr>
      </w:pPr>
      <w:r w:rsidRPr="009D2760">
        <w:rPr>
          <w:b/>
          <w:color w:val="323130"/>
          <w:sz w:val="28"/>
          <w:szCs w:val="28"/>
        </w:rPr>
        <w:t>F)</w:t>
      </w:r>
      <w:r>
        <w:rPr>
          <w:color w:val="323130"/>
          <w:sz w:val="28"/>
          <w:szCs w:val="28"/>
        </w:rPr>
        <w:t xml:space="preserve"> </w:t>
      </w:r>
      <w:r w:rsidR="0056634D">
        <w:rPr>
          <w:bCs/>
          <w:color w:val="323130"/>
          <w:sz w:val="28"/>
          <w:szCs w:val="28"/>
        </w:rPr>
        <w:t>In conclusione, come ci diceva Croce, abbiamo tutti</w:t>
      </w:r>
      <w:r w:rsidR="0056634D" w:rsidRPr="0056634D">
        <w:rPr>
          <w:bCs/>
          <w:color w:val="323130"/>
          <w:sz w:val="28"/>
          <w:szCs w:val="28"/>
        </w:rPr>
        <w:t xml:space="preserve"> </w:t>
      </w:r>
      <w:r w:rsidR="0056634D">
        <w:rPr>
          <w:bCs/>
          <w:color w:val="323130"/>
          <w:sz w:val="28"/>
          <w:szCs w:val="28"/>
        </w:rPr>
        <w:t>“</w:t>
      </w:r>
      <w:r w:rsidR="0056634D" w:rsidRPr="0056634D">
        <w:rPr>
          <w:bCs/>
          <w:color w:val="323130"/>
          <w:sz w:val="28"/>
          <w:szCs w:val="28"/>
        </w:rPr>
        <w:t>il dovere di un atteggiamento, non certo impaziente, ma fermo e combattente”</w:t>
      </w:r>
      <w:r w:rsidR="0056634D">
        <w:rPr>
          <w:bCs/>
          <w:color w:val="323130"/>
          <w:sz w:val="28"/>
          <w:szCs w:val="28"/>
        </w:rPr>
        <w:t>.</w:t>
      </w:r>
    </w:p>
    <w:p w:rsidR="0058354A" w:rsidRDefault="0058354A" w:rsidP="0058354A">
      <w:pPr>
        <w:pStyle w:val="NormaleWeb"/>
        <w:shd w:val="clear" w:color="auto" w:fill="FFFFFF"/>
        <w:spacing w:before="0" w:beforeAutospacing="0" w:after="0" w:afterAutospacing="0" w:line="360" w:lineRule="auto"/>
        <w:jc w:val="right"/>
        <w:rPr>
          <w:color w:val="323130"/>
          <w:sz w:val="28"/>
          <w:szCs w:val="28"/>
        </w:rPr>
      </w:pPr>
    </w:p>
    <w:p w:rsidR="00B7192E" w:rsidRPr="000250AE" w:rsidRDefault="0058354A" w:rsidP="0058354A">
      <w:pPr>
        <w:pStyle w:val="NormaleWeb"/>
        <w:shd w:val="clear" w:color="auto" w:fill="FFFFFF"/>
        <w:spacing w:before="0" w:beforeAutospacing="0" w:after="0" w:afterAutospacing="0" w:line="360" w:lineRule="auto"/>
        <w:jc w:val="right"/>
        <w:rPr>
          <w:b/>
          <w:color w:val="323130"/>
          <w:sz w:val="28"/>
          <w:szCs w:val="28"/>
        </w:rPr>
      </w:pPr>
      <w:r w:rsidRPr="000250AE">
        <w:rPr>
          <w:b/>
          <w:color w:val="323130"/>
          <w:sz w:val="28"/>
          <w:szCs w:val="28"/>
        </w:rPr>
        <w:t>Filippo Patroni Griffi</w:t>
      </w:r>
    </w:p>
    <w:p w:rsidR="000250AE" w:rsidRDefault="000250AE" w:rsidP="0058354A">
      <w:pPr>
        <w:pStyle w:val="NormaleWeb"/>
        <w:shd w:val="clear" w:color="auto" w:fill="FFFFFF"/>
        <w:spacing w:before="0" w:beforeAutospacing="0" w:after="0" w:afterAutospacing="0" w:line="360" w:lineRule="auto"/>
        <w:jc w:val="right"/>
        <w:rPr>
          <w:color w:val="323130"/>
          <w:sz w:val="28"/>
          <w:szCs w:val="28"/>
        </w:rPr>
      </w:pPr>
      <w:r>
        <w:rPr>
          <w:color w:val="323130"/>
          <w:sz w:val="28"/>
          <w:szCs w:val="28"/>
        </w:rPr>
        <w:t>Presidente del Consiglio di Stato</w:t>
      </w:r>
    </w:p>
    <w:p w:rsidR="000250AE" w:rsidRDefault="000250AE" w:rsidP="0058354A">
      <w:pPr>
        <w:pStyle w:val="NormaleWeb"/>
        <w:shd w:val="clear" w:color="auto" w:fill="FFFFFF"/>
        <w:spacing w:before="0" w:beforeAutospacing="0" w:after="0" w:afterAutospacing="0" w:line="360" w:lineRule="auto"/>
        <w:jc w:val="right"/>
        <w:rPr>
          <w:color w:val="323130"/>
          <w:sz w:val="28"/>
          <w:szCs w:val="28"/>
        </w:rPr>
      </w:pPr>
    </w:p>
    <w:p w:rsidR="000250AE" w:rsidRPr="009633F9" w:rsidRDefault="000250AE" w:rsidP="0058354A">
      <w:pPr>
        <w:pStyle w:val="NormaleWeb"/>
        <w:shd w:val="clear" w:color="auto" w:fill="FFFFFF"/>
        <w:spacing w:before="0" w:beforeAutospacing="0" w:after="0" w:afterAutospacing="0" w:line="360" w:lineRule="auto"/>
        <w:jc w:val="right"/>
        <w:rPr>
          <w:color w:val="323130"/>
          <w:sz w:val="28"/>
          <w:szCs w:val="28"/>
        </w:rPr>
      </w:pPr>
      <w:r>
        <w:rPr>
          <w:color w:val="323130"/>
          <w:sz w:val="28"/>
          <w:szCs w:val="28"/>
        </w:rPr>
        <w:t>Pubblicato il 3 dicembre 2020</w:t>
      </w:r>
      <w:bookmarkStart w:id="0" w:name="_GoBack"/>
      <w:bookmarkEnd w:id="0"/>
    </w:p>
    <w:sectPr w:rsidR="000250AE" w:rsidRPr="009633F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F36" w:rsidRDefault="00824F36" w:rsidP="00EB4FEA">
      <w:r>
        <w:separator/>
      </w:r>
    </w:p>
  </w:endnote>
  <w:endnote w:type="continuationSeparator" w:id="0">
    <w:p w:rsidR="00824F36" w:rsidRDefault="00824F36" w:rsidP="00EB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SF UI Text">
    <w:altName w:val="Times New Roman"/>
    <w:panose1 w:val="00000000000000000000"/>
    <w:charset w:val="00"/>
    <w:family w:val="roman"/>
    <w:notTrueType/>
    <w:pitch w:val="default"/>
    <w:sig w:usb0="00000003" w:usb1="00000000" w:usb2="00000000" w:usb3="00000000" w:csb0="00000001" w:csb1="00000000"/>
  </w:font>
  <w:font w:name=".SFUIText-Regula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257568"/>
      <w:docPartObj>
        <w:docPartGallery w:val="Page Numbers (Bottom of Page)"/>
        <w:docPartUnique/>
      </w:docPartObj>
    </w:sdtPr>
    <w:sdtEndPr/>
    <w:sdtContent>
      <w:p w:rsidR="009633F9" w:rsidRDefault="009633F9">
        <w:pPr>
          <w:pStyle w:val="Pidipagina"/>
          <w:jc w:val="right"/>
        </w:pPr>
        <w:r>
          <w:fldChar w:fldCharType="begin"/>
        </w:r>
        <w:r>
          <w:instrText>PAGE   \* MERGEFORMAT</w:instrText>
        </w:r>
        <w:r>
          <w:fldChar w:fldCharType="separate"/>
        </w:r>
        <w:r w:rsidR="000250AE">
          <w:rPr>
            <w:noProof/>
          </w:rPr>
          <w:t>8</w:t>
        </w:r>
        <w:r>
          <w:fldChar w:fldCharType="end"/>
        </w:r>
      </w:p>
    </w:sdtContent>
  </w:sdt>
  <w:p w:rsidR="009633F9" w:rsidRDefault="009633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F36" w:rsidRDefault="00824F36" w:rsidP="00EB4FEA">
      <w:r>
        <w:separator/>
      </w:r>
    </w:p>
  </w:footnote>
  <w:footnote w:type="continuationSeparator" w:id="0">
    <w:p w:rsidR="00824F36" w:rsidRDefault="00824F36" w:rsidP="00EB4FEA">
      <w:r>
        <w:continuationSeparator/>
      </w:r>
    </w:p>
  </w:footnote>
  <w:footnote w:id="1">
    <w:p w:rsidR="00EB4FEA" w:rsidRPr="00DC2E8B" w:rsidRDefault="00EB4FEA" w:rsidP="00EB4FEA">
      <w:pPr>
        <w:autoSpaceDE w:val="0"/>
        <w:autoSpaceDN w:val="0"/>
        <w:adjustRightInd w:val="0"/>
        <w:rPr>
          <w:sz w:val="20"/>
        </w:rPr>
      </w:pPr>
      <w:r w:rsidRPr="00DC2E8B">
        <w:rPr>
          <w:rStyle w:val="Rimandonotaapidipagina"/>
          <w:sz w:val="20"/>
        </w:rPr>
        <w:footnoteRef/>
      </w:r>
      <w:r w:rsidRPr="00DC2E8B">
        <w:rPr>
          <w:sz w:val="20"/>
        </w:rPr>
        <w:t xml:space="preserve"> Secondo la Relazione di accompagnamento, la disposizione «è finalizzata a evitare che l’annullamento  conseguente al mancato accoglimento delle osservazioni del privato a seguito della predetta comunicazione dia luogo a plurime reiterazioni dello stesso esito sfavorevole con motivazioni sempre diverse, tutte ostative, parcellizzando anche il processo amministrativo; in sostanza si vuole cercare di ricondurre a un’unica impugnazione giurisdizionale l’intera vicenda sostanziale evitando che la parte sia costretta a proporre tanti ricorsi quante sono le ragioni del diniego, perché non comunicate tutte nel medesimo atto».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A1"/>
    <w:multiLevelType w:val="hybridMultilevel"/>
    <w:tmpl w:val="08B683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CD93CB9"/>
    <w:multiLevelType w:val="hybridMultilevel"/>
    <w:tmpl w:val="7FD6B4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CB"/>
    <w:rsid w:val="00007CD7"/>
    <w:rsid w:val="000250AE"/>
    <w:rsid w:val="00041812"/>
    <w:rsid w:val="000555AD"/>
    <w:rsid w:val="00063159"/>
    <w:rsid w:val="0006557A"/>
    <w:rsid w:val="000747A6"/>
    <w:rsid w:val="000755E6"/>
    <w:rsid w:val="00093177"/>
    <w:rsid w:val="000C5E4D"/>
    <w:rsid w:val="00131EC4"/>
    <w:rsid w:val="001326F6"/>
    <w:rsid w:val="001502A3"/>
    <w:rsid w:val="001E21BB"/>
    <w:rsid w:val="002012B6"/>
    <w:rsid w:val="00202334"/>
    <w:rsid w:val="0021373C"/>
    <w:rsid w:val="002A797F"/>
    <w:rsid w:val="002D2802"/>
    <w:rsid w:val="002E0BCE"/>
    <w:rsid w:val="00310C35"/>
    <w:rsid w:val="00316986"/>
    <w:rsid w:val="003264B3"/>
    <w:rsid w:val="00351058"/>
    <w:rsid w:val="003630A9"/>
    <w:rsid w:val="00373704"/>
    <w:rsid w:val="0037603F"/>
    <w:rsid w:val="00386134"/>
    <w:rsid w:val="00392F82"/>
    <w:rsid w:val="003A7D1B"/>
    <w:rsid w:val="003B422C"/>
    <w:rsid w:val="003D0C4F"/>
    <w:rsid w:val="003D260A"/>
    <w:rsid w:val="00422E2A"/>
    <w:rsid w:val="004377F4"/>
    <w:rsid w:val="0045150D"/>
    <w:rsid w:val="0045319A"/>
    <w:rsid w:val="00453CD9"/>
    <w:rsid w:val="00472B5C"/>
    <w:rsid w:val="004810C3"/>
    <w:rsid w:val="004E3D88"/>
    <w:rsid w:val="004E4CFF"/>
    <w:rsid w:val="004E7FC5"/>
    <w:rsid w:val="004F7527"/>
    <w:rsid w:val="00504104"/>
    <w:rsid w:val="00511221"/>
    <w:rsid w:val="0054044D"/>
    <w:rsid w:val="0056634D"/>
    <w:rsid w:val="00566732"/>
    <w:rsid w:val="00577246"/>
    <w:rsid w:val="0058354A"/>
    <w:rsid w:val="005837DD"/>
    <w:rsid w:val="00586A64"/>
    <w:rsid w:val="005A2A21"/>
    <w:rsid w:val="005A7EA8"/>
    <w:rsid w:val="005D6680"/>
    <w:rsid w:val="00614076"/>
    <w:rsid w:val="006323CC"/>
    <w:rsid w:val="00647C2C"/>
    <w:rsid w:val="00651804"/>
    <w:rsid w:val="00653313"/>
    <w:rsid w:val="006C7AC3"/>
    <w:rsid w:val="006D4B08"/>
    <w:rsid w:val="006D50FC"/>
    <w:rsid w:val="006E77AC"/>
    <w:rsid w:val="00752B72"/>
    <w:rsid w:val="00780DDB"/>
    <w:rsid w:val="00784C2A"/>
    <w:rsid w:val="007C0EFE"/>
    <w:rsid w:val="007C510C"/>
    <w:rsid w:val="007F3B42"/>
    <w:rsid w:val="00805A8C"/>
    <w:rsid w:val="0081393D"/>
    <w:rsid w:val="00824F36"/>
    <w:rsid w:val="008A7CD1"/>
    <w:rsid w:val="008B27C1"/>
    <w:rsid w:val="008C501D"/>
    <w:rsid w:val="008C6CD2"/>
    <w:rsid w:val="008D1146"/>
    <w:rsid w:val="008E5626"/>
    <w:rsid w:val="009024A0"/>
    <w:rsid w:val="00902C05"/>
    <w:rsid w:val="00914ACE"/>
    <w:rsid w:val="00916B1F"/>
    <w:rsid w:val="009633F9"/>
    <w:rsid w:val="00966132"/>
    <w:rsid w:val="009757DE"/>
    <w:rsid w:val="00991433"/>
    <w:rsid w:val="009D2760"/>
    <w:rsid w:val="009F3C76"/>
    <w:rsid w:val="00A63A75"/>
    <w:rsid w:val="00AC57CB"/>
    <w:rsid w:val="00AF2188"/>
    <w:rsid w:val="00B11334"/>
    <w:rsid w:val="00B178E5"/>
    <w:rsid w:val="00B23BCE"/>
    <w:rsid w:val="00B46D97"/>
    <w:rsid w:val="00B543C6"/>
    <w:rsid w:val="00B7192E"/>
    <w:rsid w:val="00BA4541"/>
    <w:rsid w:val="00BA7C19"/>
    <w:rsid w:val="00C17994"/>
    <w:rsid w:val="00C4176F"/>
    <w:rsid w:val="00C50C82"/>
    <w:rsid w:val="00C622DC"/>
    <w:rsid w:val="00C63E1A"/>
    <w:rsid w:val="00C825E4"/>
    <w:rsid w:val="00CA127E"/>
    <w:rsid w:val="00CB4C6E"/>
    <w:rsid w:val="00D14A2D"/>
    <w:rsid w:val="00D34B47"/>
    <w:rsid w:val="00D54074"/>
    <w:rsid w:val="00D75B5A"/>
    <w:rsid w:val="00DC23A3"/>
    <w:rsid w:val="00DE75F1"/>
    <w:rsid w:val="00E13932"/>
    <w:rsid w:val="00E206F2"/>
    <w:rsid w:val="00E303DE"/>
    <w:rsid w:val="00E50143"/>
    <w:rsid w:val="00E749A2"/>
    <w:rsid w:val="00E86972"/>
    <w:rsid w:val="00EA4CBC"/>
    <w:rsid w:val="00EB2A4F"/>
    <w:rsid w:val="00EB4FEA"/>
    <w:rsid w:val="00ED54A8"/>
    <w:rsid w:val="00EF4A1B"/>
    <w:rsid w:val="00F426CB"/>
    <w:rsid w:val="00FA2AD0"/>
    <w:rsid w:val="00FF3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C281"/>
  <w15:chartTrackingRefBased/>
  <w15:docId w15:val="{70B8B8F6-BE08-4D8A-A9ED-32B75EC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7994"/>
    <w:pPr>
      <w:spacing w:after="0" w:line="240" w:lineRule="auto"/>
      <w:jc w:val="both"/>
    </w:pPr>
    <w:rPr>
      <w:rFonts w:ascii="Times New Roman" w:eastAsia="Times New Roman" w:hAnsi="Times New Roman" w:cs="Times New Roman"/>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C17994"/>
    <w:pPr>
      <w:ind w:left="720"/>
      <w:contextualSpacing/>
    </w:pPr>
  </w:style>
  <w:style w:type="paragraph" w:styleId="NormaleWeb">
    <w:name w:val="Normal (Web)"/>
    <w:basedOn w:val="Normale"/>
    <w:uiPriority w:val="99"/>
    <w:unhideWhenUsed/>
    <w:rsid w:val="00504104"/>
    <w:pPr>
      <w:spacing w:before="100" w:beforeAutospacing="1" w:after="100" w:afterAutospacing="1"/>
      <w:jc w:val="left"/>
    </w:pPr>
    <w:rPr>
      <w:sz w:val="24"/>
      <w:szCs w:val="24"/>
      <w:lang w:eastAsia="it-IT"/>
    </w:rPr>
  </w:style>
  <w:style w:type="character" w:customStyle="1" w:styleId="testo-intero-provvedimento">
    <w:name w:val="testo-intero-provvedimento"/>
    <w:basedOn w:val="Carpredefinitoparagrafo"/>
    <w:rsid w:val="00916B1F"/>
  </w:style>
  <w:style w:type="paragraph" w:customStyle="1" w:styleId="testo">
    <w:name w:val="testo"/>
    <w:uiPriority w:val="99"/>
    <w:rsid w:val="00FF3EBC"/>
    <w:pPr>
      <w:spacing w:after="0" w:line="240" w:lineRule="auto"/>
      <w:ind w:firstLine="284"/>
      <w:jc w:val="both"/>
    </w:pPr>
    <w:rPr>
      <w:rFonts w:ascii="Calisto MT" w:eastAsia="Times New Roman" w:hAnsi="Calisto MT" w:cs="Times New Roman"/>
      <w:szCs w:val="23"/>
      <w:lang w:eastAsia="it-IT"/>
    </w:rPr>
  </w:style>
  <w:style w:type="paragraph" w:customStyle="1" w:styleId="TestodelbloccoLatinoGaramond">
    <w:name w:val="Testo del blocco + (Latino) Garamond"/>
    <w:aliases w:val="14 pt,Sinistro:  0 cm,Destro 0 cm,In..."/>
    <w:basedOn w:val="Normale"/>
    <w:rsid w:val="00E749A2"/>
    <w:pPr>
      <w:spacing w:after="160" w:line="259" w:lineRule="auto"/>
      <w:ind w:left="180" w:right="638"/>
    </w:pPr>
    <w:rPr>
      <w:rFonts w:ascii="Garamond" w:hAnsi="Garamond"/>
      <w:b/>
      <w:sz w:val="28"/>
      <w:szCs w:val="28"/>
    </w:rPr>
  </w:style>
  <w:style w:type="paragraph" w:customStyle="1" w:styleId="Paragrafoelenco1">
    <w:name w:val="Paragrafo elenco1"/>
    <w:basedOn w:val="Normale"/>
    <w:rsid w:val="008D1146"/>
    <w:pPr>
      <w:spacing w:after="160" w:line="259" w:lineRule="auto"/>
      <w:ind w:left="720"/>
      <w:contextualSpacing/>
      <w:jc w:val="left"/>
    </w:pPr>
    <w:rPr>
      <w:rFonts w:ascii="Calibri" w:hAnsi="Calibri"/>
      <w:sz w:val="22"/>
      <w:szCs w:val="22"/>
    </w:rPr>
  </w:style>
  <w:style w:type="paragraph" w:customStyle="1" w:styleId="p1">
    <w:name w:val="p1"/>
    <w:basedOn w:val="Normale"/>
    <w:rsid w:val="008D1146"/>
    <w:pPr>
      <w:jc w:val="left"/>
    </w:pPr>
    <w:rPr>
      <w:rFonts w:ascii=".SF UI Text" w:hAnsi=".SF UI Text"/>
      <w:color w:val="454545"/>
      <w:sz w:val="26"/>
      <w:szCs w:val="26"/>
      <w:lang w:eastAsia="it-IT"/>
    </w:rPr>
  </w:style>
  <w:style w:type="character" w:customStyle="1" w:styleId="s1">
    <w:name w:val="s1"/>
    <w:rsid w:val="008D1146"/>
    <w:rPr>
      <w:rFonts w:ascii=".SFUIText-Regular" w:hAnsi=".SFUIText-Regular"/>
      <w:sz w:val="34"/>
    </w:rPr>
  </w:style>
  <w:style w:type="character" w:styleId="Enfasigrassetto">
    <w:name w:val="Strong"/>
    <w:basedOn w:val="Carpredefinitoparagrafo"/>
    <w:uiPriority w:val="22"/>
    <w:qFormat/>
    <w:rsid w:val="00991433"/>
    <w:rPr>
      <w:b/>
      <w:bCs/>
    </w:rPr>
  </w:style>
  <w:style w:type="paragraph" w:styleId="Testofumetto">
    <w:name w:val="Balloon Text"/>
    <w:basedOn w:val="Normale"/>
    <w:link w:val="TestofumettoCarattere"/>
    <w:uiPriority w:val="99"/>
    <w:semiHidden/>
    <w:unhideWhenUsed/>
    <w:rsid w:val="0099143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1433"/>
    <w:rPr>
      <w:rFonts w:ascii="Segoe UI" w:eastAsia="Times New Roman" w:hAnsi="Segoe UI" w:cs="Segoe UI"/>
      <w:sz w:val="18"/>
      <w:szCs w:val="18"/>
    </w:rPr>
  </w:style>
  <w:style w:type="paragraph" w:customStyle="1" w:styleId="xmsonormal">
    <w:name w:val="x_msonormal"/>
    <w:basedOn w:val="Normale"/>
    <w:rsid w:val="00B7192E"/>
    <w:pPr>
      <w:spacing w:before="100" w:beforeAutospacing="1" w:after="100" w:afterAutospacing="1"/>
      <w:jc w:val="left"/>
    </w:pPr>
    <w:rPr>
      <w:sz w:val="24"/>
      <w:szCs w:val="24"/>
      <w:lang w:eastAsia="it-IT"/>
    </w:rPr>
  </w:style>
  <w:style w:type="character" w:styleId="Rimandonotaapidipagina">
    <w:name w:val="footnote reference"/>
    <w:basedOn w:val="Carpredefinitoparagrafo"/>
    <w:uiPriority w:val="99"/>
    <w:unhideWhenUsed/>
    <w:rsid w:val="00EB4FEA"/>
    <w:rPr>
      <w:vertAlign w:val="superscript"/>
    </w:rPr>
  </w:style>
  <w:style w:type="paragraph" w:styleId="Testonotaapidipagina">
    <w:name w:val="footnote text"/>
    <w:basedOn w:val="Normale"/>
    <w:link w:val="TestonotaapidipaginaCarattere"/>
    <w:uiPriority w:val="99"/>
    <w:semiHidden/>
    <w:unhideWhenUsed/>
    <w:rsid w:val="00EB4FEA"/>
    <w:rPr>
      <w:sz w:val="20"/>
    </w:rPr>
  </w:style>
  <w:style w:type="character" w:customStyle="1" w:styleId="TestonotaapidipaginaCarattere">
    <w:name w:val="Testo nota a piè di pagina Carattere"/>
    <w:basedOn w:val="Carpredefinitoparagrafo"/>
    <w:link w:val="Testonotaapidipagina"/>
    <w:uiPriority w:val="99"/>
    <w:semiHidden/>
    <w:rsid w:val="00EB4FEA"/>
    <w:rPr>
      <w:rFonts w:ascii="Times New Roman" w:eastAsia="Times New Roman" w:hAnsi="Times New Roman" w:cs="Times New Roman"/>
      <w:sz w:val="20"/>
      <w:szCs w:val="20"/>
    </w:rPr>
  </w:style>
  <w:style w:type="paragraph" w:styleId="Intestazione">
    <w:name w:val="header"/>
    <w:basedOn w:val="Normale"/>
    <w:link w:val="IntestazioneCarattere"/>
    <w:uiPriority w:val="99"/>
    <w:unhideWhenUsed/>
    <w:rsid w:val="009633F9"/>
    <w:pPr>
      <w:tabs>
        <w:tab w:val="center" w:pos="4819"/>
        <w:tab w:val="right" w:pos="9638"/>
      </w:tabs>
    </w:pPr>
  </w:style>
  <w:style w:type="character" w:customStyle="1" w:styleId="IntestazioneCarattere">
    <w:name w:val="Intestazione Carattere"/>
    <w:basedOn w:val="Carpredefinitoparagrafo"/>
    <w:link w:val="Intestazione"/>
    <w:uiPriority w:val="99"/>
    <w:rsid w:val="009633F9"/>
    <w:rPr>
      <w:rFonts w:ascii="Times New Roman" w:eastAsia="Times New Roman" w:hAnsi="Times New Roman" w:cs="Times New Roman"/>
      <w:sz w:val="16"/>
      <w:szCs w:val="20"/>
    </w:rPr>
  </w:style>
  <w:style w:type="paragraph" w:styleId="Pidipagina">
    <w:name w:val="footer"/>
    <w:basedOn w:val="Normale"/>
    <w:link w:val="PidipaginaCarattere"/>
    <w:uiPriority w:val="99"/>
    <w:unhideWhenUsed/>
    <w:rsid w:val="009633F9"/>
    <w:pPr>
      <w:tabs>
        <w:tab w:val="center" w:pos="4819"/>
        <w:tab w:val="right" w:pos="9638"/>
      </w:tabs>
    </w:pPr>
  </w:style>
  <w:style w:type="character" w:customStyle="1" w:styleId="PidipaginaCarattere">
    <w:name w:val="Piè di pagina Carattere"/>
    <w:basedOn w:val="Carpredefinitoparagrafo"/>
    <w:link w:val="Pidipagina"/>
    <w:uiPriority w:val="99"/>
    <w:rsid w:val="009633F9"/>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C1D2-65DE-4220-8DB9-CCF0C04A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2328</Words>
  <Characters>13270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FERRARI Giulia</cp:lastModifiedBy>
  <cp:revision>2</cp:revision>
  <dcterms:created xsi:type="dcterms:W3CDTF">2020-12-03T08:16:00Z</dcterms:created>
  <dcterms:modified xsi:type="dcterms:W3CDTF">2020-12-03T08:16:00Z</dcterms:modified>
</cp:coreProperties>
</file>