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FDC" w:rsidRPr="003B6855" w:rsidRDefault="003B6855" w:rsidP="003B6855">
      <w:pPr>
        <w:spacing w:line="360" w:lineRule="auto"/>
        <w:jc w:val="center"/>
        <w:rPr>
          <w:rFonts w:ascii="Times New Roman" w:hAnsi="Times New Roman" w:cs="Times New Roman"/>
          <w:b/>
          <w:sz w:val="36"/>
          <w:szCs w:val="36"/>
        </w:rPr>
      </w:pPr>
      <w:r>
        <w:rPr>
          <w:rFonts w:ascii="Times New Roman" w:hAnsi="Times New Roman" w:cs="Times New Roman"/>
          <w:b/>
          <w:sz w:val="36"/>
          <w:szCs w:val="36"/>
        </w:rPr>
        <w:t>L</w:t>
      </w:r>
      <w:r w:rsidRPr="003B6855">
        <w:rPr>
          <w:rFonts w:ascii="Times New Roman" w:hAnsi="Times New Roman" w:cs="Times New Roman"/>
          <w:b/>
          <w:sz w:val="36"/>
          <w:szCs w:val="36"/>
        </w:rPr>
        <w:t>e giurisdizioni “sconfinate”</w:t>
      </w:r>
    </w:p>
    <w:p w:rsidR="00896FDC" w:rsidRDefault="00896FDC" w:rsidP="00896FDC">
      <w:pPr>
        <w:spacing w:line="360" w:lineRule="auto"/>
        <w:jc w:val="center"/>
        <w:rPr>
          <w:rFonts w:ascii="Times New Roman" w:hAnsi="Times New Roman" w:cs="Times New Roman"/>
          <w:sz w:val="28"/>
          <w:szCs w:val="28"/>
        </w:rPr>
      </w:pPr>
      <w:r w:rsidRPr="00896FDC">
        <w:rPr>
          <w:rFonts w:ascii="Times New Roman" w:hAnsi="Times New Roman" w:cs="Times New Roman"/>
          <w:i/>
          <w:sz w:val="28"/>
          <w:szCs w:val="28"/>
        </w:rPr>
        <w:t>Webinar</w:t>
      </w:r>
      <w:r w:rsidRPr="00896FDC">
        <w:rPr>
          <w:rFonts w:ascii="Times New Roman" w:hAnsi="Times New Roman" w:cs="Times New Roman"/>
          <w:sz w:val="28"/>
          <w:szCs w:val="28"/>
        </w:rPr>
        <w:t xml:space="preserve"> </w:t>
      </w:r>
      <w:r>
        <w:rPr>
          <w:rFonts w:ascii="Times New Roman" w:hAnsi="Times New Roman" w:cs="Times New Roman"/>
          <w:sz w:val="28"/>
          <w:szCs w:val="28"/>
        </w:rPr>
        <w:t>13 novembre 2020</w:t>
      </w:r>
    </w:p>
    <w:p w:rsidR="00896FDC" w:rsidRPr="00896FDC" w:rsidRDefault="00896FDC" w:rsidP="00896FDC">
      <w:pPr>
        <w:spacing w:line="360" w:lineRule="auto"/>
        <w:jc w:val="center"/>
        <w:rPr>
          <w:rFonts w:ascii="Times New Roman" w:hAnsi="Times New Roman" w:cs="Times New Roman"/>
          <w:sz w:val="28"/>
          <w:szCs w:val="28"/>
        </w:rPr>
      </w:pPr>
      <w:r w:rsidRPr="00896FDC">
        <w:rPr>
          <w:rFonts w:ascii="Times New Roman" w:hAnsi="Times New Roman" w:cs="Times New Roman"/>
          <w:sz w:val="28"/>
          <w:szCs w:val="28"/>
        </w:rPr>
        <w:t>organizzato dall’Associazione Avvocati amministrativisti del Veneto</w:t>
      </w:r>
    </w:p>
    <w:p w:rsidR="00896FDC" w:rsidRDefault="00896FDC" w:rsidP="00896FDC">
      <w:pPr>
        <w:spacing w:line="360" w:lineRule="auto"/>
        <w:jc w:val="center"/>
        <w:rPr>
          <w:rFonts w:ascii="Times New Roman" w:hAnsi="Times New Roman" w:cs="Times New Roman"/>
          <w:sz w:val="28"/>
          <w:szCs w:val="28"/>
        </w:rPr>
      </w:pPr>
    </w:p>
    <w:p w:rsidR="00295902" w:rsidRPr="00620CE6" w:rsidRDefault="00620CE6" w:rsidP="00620CE6">
      <w:pPr>
        <w:spacing w:line="360" w:lineRule="auto"/>
        <w:jc w:val="both"/>
        <w:rPr>
          <w:rFonts w:ascii="Times New Roman" w:hAnsi="Times New Roman" w:cs="Times New Roman"/>
          <w:sz w:val="28"/>
          <w:szCs w:val="28"/>
        </w:rPr>
      </w:pPr>
      <w:r w:rsidRPr="00620CE6">
        <w:rPr>
          <w:rFonts w:ascii="Times New Roman" w:hAnsi="Times New Roman" w:cs="Times New Roman"/>
          <w:sz w:val="28"/>
          <w:szCs w:val="28"/>
        </w:rPr>
        <w:t>1.</w:t>
      </w:r>
      <w:r>
        <w:rPr>
          <w:rFonts w:ascii="Times New Roman" w:hAnsi="Times New Roman" w:cs="Times New Roman"/>
          <w:sz w:val="28"/>
          <w:szCs w:val="28"/>
        </w:rPr>
        <w:t xml:space="preserve"> </w:t>
      </w:r>
      <w:r w:rsidR="00295902" w:rsidRPr="00620CE6">
        <w:rPr>
          <w:rFonts w:ascii="Times New Roman" w:hAnsi="Times New Roman" w:cs="Times New Roman"/>
          <w:sz w:val="28"/>
          <w:szCs w:val="28"/>
        </w:rPr>
        <w:t xml:space="preserve">Maria Rosaria Ferrarese, sociologa </w:t>
      </w:r>
      <w:r w:rsidR="00C71C2A" w:rsidRPr="00620CE6">
        <w:rPr>
          <w:rFonts w:ascii="Times New Roman" w:hAnsi="Times New Roman" w:cs="Times New Roman"/>
          <w:sz w:val="28"/>
          <w:szCs w:val="28"/>
        </w:rPr>
        <w:t xml:space="preserve">e </w:t>
      </w:r>
      <w:r w:rsidR="00A70CA3" w:rsidRPr="00620CE6">
        <w:rPr>
          <w:rFonts w:ascii="Times New Roman" w:hAnsi="Times New Roman" w:cs="Times New Roman"/>
          <w:sz w:val="28"/>
          <w:szCs w:val="28"/>
        </w:rPr>
        <w:t>autrice del</w:t>
      </w:r>
      <w:r w:rsidR="00295902" w:rsidRPr="00620CE6">
        <w:rPr>
          <w:rFonts w:ascii="Times New Roman" w:hAnsi="Times New Roman" w:cs="Times New Roman"/>
          <w:sz w:val="28"/>
          <w:szCs w:val="28"/>
        </w:rPr>
        <w:t xml:space="preserve"> bel volume sul “diritto</w:t>
      </w:r>
      <w:r w:rsidR="00A70CA3" w:rsidRPr="00620CE6">
        <w:rPr>
          <w:rFonts w:ascii="Times New Roman" w:hAnsi="Times New Roman" w:cs="Times New Roman"/>
          <w:sz w:val="28"/>
          <w:szCs w:val="28"/>
        </w:rPr>
        <w:t xml:space="preserve"> sconfinato”,</w:t>
      </w:r>
      <w:r w:rsidR="00145330" w:rsidRPr="00620CE6">
        <w:rPr>
          <w:rFonts w:ascii="Times New Roman" w:hAnsi="Times New Roman" w:cs="Times New Roman"/>
          <w:sz w:val="28"/>
          <w:szCs w:val="28"/>
        </w:rPr>
        <w:t xml:space="preserve"> </w:t>
      </w:r>
      <w:r w:rsidR="00A70CA3" w:rsidRPr="00620CE6">
        <w:rPr>
          <w:rFonts w:ascii="Times New Roman" w:hAnsi="Times New Roman" w:cs="Times New Roman"/>
          <w:sz w:val="28"/>
          <w:szCs w:val="28"/>
        </w:rPr>
        <w:t>in un saggio dal titolo “i confini e la voglia di attraversarli”</w:t>
      </w:r>
      <w:r w:rsidR="00A70CA3">
        <w:rPr>
          <w:rStyle w:val="Rimandonotaapidipagina"/>
          <w:rFonts w:ascii="Times New Roman" w:hAnsi="Times New Roman" w:cs="Times New Roman"/>
          <w:sz w:val="28"/>
          <w:szCs w:val="28"/>
        </w:rPr>
        <w:footnoteReference w:id="1"/>
      </w:r>
      <w:r w:rsidR="00A70CA3" w:rsidRPr="00620CE6">
        <w:rPr>
          <w:rFonts w:ascii="Times New Roman" w:hAnsi="Times New Roman" w:cs="Times New Roman"/>
          <w:sz w:val="28"/>
          <w:szCs w:val="28"/>
        </w:rPr>
        <w:t>- scrive: “I confini sono delle semplici linee. Ma quelle linee hanno una doppia e contraddittoria capacità. Da una parte rimandano infatti all’idea della loro invalicabilità</w:t>
      </w:r>
      <w:r w:rsidR="00145330" w:rsidRPr="00620CE6">
        <w:rPr>
          <w:rFonts w:ascii="Times New Roman" w:hAnsi="Times New Roman" w:cs="Times New Roman"/>
          <w:sz w:val="28"/>
          <w:szCs w:val="28"/>
        </w:rPr>
        <w:t>…Dall’altra, tuttavia, esse…rimandano all’idea del loro attraversamento”. E si crea così uno “spazio ricco di incontri e di attraversamenti”</w:t>
      </w:r>
      <w:r w:rsidR="003F422E" w:rsidRPr="00620CE6">
        <w:rPr>
          <w:rFonts w:ascii="Times New Roman" w:hAnsi="Times New Roman" w:cs="Times New Roman"/>
          <w:sz w:val="28"/>
          <w:szCs w:val="28"/>
        </w:rPr>
        <w:t>.</w:t>
      </w:r>
    </w:p>
    <w:p w:rsidR="003F422E" w:rsidRDefault="003F422E"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 questo spazio che oggi stiamo cercando di riempire, con un confronto di idee, sempre proficuo, ma che denota, pur in una ristretta cerchia di persone sostanzialmente formatesi alla stessa temperie di cultura giuridica, una varietà di vedute che inevitabilmente conduce a quella “incertezza del diritto” così ben tratteggiata, nei suoi </w:t>
      </w:r>
      <w:r w:rsidR="00C71C2A">
        <w:rPr>
          <w:rFonts w:ascii="Times New Roman" w:hAnsi="Times New Roman" w:cs="Times New Roman"/>
          <w:sz w:val="28"/>
          <w:szCs w:val="28"/>
        </w:rPr>
        <w:t>tratti</w:t>
      </w:r>
      <w:r>
        <w:rPr>
          <w:rFonts w:ascii="Times New Roman" w:hAnsi="Times New Roman" w:cs="Times New Roman"/>
          <w:sz w:val="28"/>
          <w:szCs w:val="28"/>
        </w:rPr>
        <w:t xml:space="preserve"> problematici, nella relazione introduttiva del prof. Volpe.</w:t>
      </w:r>
    </w:p>
    <w:p w:rsidR="003F422E" w:rsidRDefault="003F422E"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 temi trattati mi sembrano essere sostanzialmente quelli collegati alla disciplina degli appalti e quelli relativi al rapporto tra giurisdizioni. Il </w:t>
      </w:r>
      <w:r w:rsidR="00370D12">
        <w:rPr>
          <w:rFonts w:ascii="Times New Roman" w:hAnsi="Times New Roman" w:cs="Times New Roman"/>
          <w:sz w:val="28"/>
          <w:szCs w:val="28"/>
        </w:rPr>
        <w:t>filo</w:t>
      </w:r>
      <w:r>
        <w:rPr>
          <w:rFonts w:ascii="Times New Roman" w:hAnsi="Times New Roman" w:cs="Times New Roman"/>
          <w:sz w:val="28"/>
          <w:szCs w:val="28"/>
        </w:rPr>
        <w:t xml:space="preserve"> che lega questi temi, anche nei loro risvolti più specifici, mi sembra essere</w:t>
      </w:r>
      <w:r w:rsidR="00370D12">
        <w:rPr>
          <w:rFonts w:ascii="Times New Roman" w:hAnsi="Times New Roman" w:cs="Times New Roman"/>
          <w:sz w:val="28"/>
          <w:szCs w:val="28"/>
        </w:rPr>
        <w:t xml:space="preserve"> quello delle tutele, se vogliamo intendere sia la disciplina anche sostanziale di determinati settori (nel caso nostro, quello degli appalti), sia le questioni inerenti all’assetto delle giurisdizioni come volte a costituire un sistema di tutele efficace, prima ancora che effettivo, nei confronti dell’azione dell’amministrazione. E uso un termine –azione- volutamente non qualificato e non qualificante, perché è proprio dalla qualificazione dell’azione che deriva un corretto approccio alle più specifiche tematiche che sono state affrontate.</w:t>
      </w:r>
    </w:p>
    <w:p w:rsidR="00370D12" w:rsidRDefault="00370D12"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Un cosa va premessa: oggi l’azione amministrativa è in espansione, perché sempre più è richiesta l’intermediazione amministrativa negli svariati campi della società. Si tratti, nel settore dell’economia, di un’azione di regolazione e controllo dei mercati o di intervento diretto nella produzione a mezzo di figure soggettive pubbliche o di forme ibride con il privato o decisamente privatistiche; si tratti, nel settore dei diritti sociali, di servizi pubblici in senso stretto o di forme di incentivazione o contribuzione di servizi offerti dai privati ma ritenuti rilevanti dal pubblico. Oggi</w:t>
      </w:r>
      <w:r w:rsidR="00C71C2A">
        <w:rPr>
          <w:rFonts w:ascii="Times New Roman" w:hAnsi="Times New Roman" w:cs="Times New Roman"/>
          <w:sz w:val="28"/>
          <w:szCs w:val="28"/>
        </w:rPr>
        <w:t>, per esempio,</w:t>
      </w:r>
      <w:r>
        <w:rPr>
          <w:rFonts w:ascii="Times New Roman" w:hAnsi="Times New Roman" w:cs="Times New Roman"/>
          <w:sz w:val="28"/>
          <w:szCs w:val="28"/>
        </w:rPr>
        <w:t xml:space="preserve"> il governo del territorio non è più la vecchia urbanistica, ma una congerie di discipline comprendenti urbanistica, edilizia, espropriazione, ma anche problematiche ambientali (es.</w:t>
      </w:r>
      <w:r w:rsidR="00896FDC">
        <w:rPr>
          <w:rFonts w:ascii="Times New Roman" w:hAnsi="Times New Roman" w:cs="Times New Roman"/>
          <w:sz w:val="28"/>
          <w:szCs w:val="28"/>
        </w:rPr>
        <w:t xml:space="preserve"> </w:t>
      </w:r>
      <w:r>
        <w:rPr>
          <w:rFonts w:ascii="Times New Roman" w:hAnsi="Times New Roman" w:cs="Times New Roman"/>
          <w:sz w:val="28"/>
          <w:szCs w:val="28"/>
        </w:rPr>
        <w:t>bonifiche</w:t>
      </w:r>
      <w:r w:rsidR="00092EA4">
        <w:rPr>
          <w:rFonts w:ascii="Times New Roman" w:hAnsi="Times New Roman" w:cs="Times New Roman"/>
          <w:sz w:val="28"/>
          <w:szCs w:val="28"/>
        </w:rPr>
        <w:t>, vincoli idrogeol</w:t>
      </w:r>
      <w:r>
        <w:rPr>
          <w:rFonts w:ascii="Times New Roman" w:hAnsi="Times New Roman" w:cs="Times New Roman"/>
          <w:sz w:val="28"/>
          <w:szCs w:val="28"/>
        </w:rPr>
        <w:t>ogici) o di interesse culturale. L’attraversamento dei confini avviene dentro il diritto amministrativo, nei rapporti tra diritto costituzionale</w:t>
      </w:r>
      <w:r w:rsidR="00092EA4">
        <w:rPr>
          <w:rFonts w:ascii="Times New Roman" w:hAnsi="Times New Roman" w:cs="Times New Roman"/>
          <w:sz w:val="28"/>
          <w:szCs w:val="28"/>
        </w:rPr>
        <w:t xml:space="preserve"> (che guarda verso il diritto sovranazionale) e il diritto amministrativo (che rende “attuali” i diritti riconosciuti nella Costituzione e nel diritto sovranazionale), nei rapporti tra diritto privato e diritto pubblico, il primo, per dirla con Cassese, che invade campi e strumenti del diritto amministrativo e quest’ultimo che si applica sempre più anche a soggetti privati. E avviene tra il diritto e altri rami della conoscenza e delle applicazioni di questa, in un intersecarsi di saperi imposto da una società complessa.</w:t>
      </w:r>
    </w:p>
    <w:p w:rsidR="00092EA4" w:rsidRDefault="00092EA4"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 le Corti sono inevitabilmente protagoniste di questa complessità, in un quadro sempre più generale, se non generico, di riferimento normativo, dovuto, da una parte, alla difficoltà dei legislatori di seguire con tempestività il mutarsi dei bisogni, delle esigenze e dei valori di una società in rapido mutamento, e dall’altra dalla domanda di tutela non sempre ancorata a specifiche previsioni legislative; con il conseguente dubbio per il giudice di trovarsi di fronte a una lacuna da colmare o a una positiva </w:t>
      </w:r>
      <w:r w:rsidRPr="00092EA4">
        <w:rPr>
          <w:rFonts w:ascii="Times New Roman" w:hAnsi="Times New Roman" w:cs="Times New Roman"/>
          <w:i/>
          <w:sz w:val="28"/>
          <w:szCs w:val="28"/>
        </w:rPr>
        <w:t>voluntas legis</w:t>
      </w:r>
      <w:r>
        <w:rPr>
          <w:rFonts w:ascii="Times New Roman" w:hAnsi="Times New Roman" w:cs="Times New Roman"/>
          <w:sz w:val="28"/>
          <w:szCs w:val="28"/>
        </w:rPr>
        <w:t xml:space="preserve"> di non disciplinare un dato fenomeno o addirittura di non voler fornire riconoscimento e protezione giuridica a un determinato “interesse”.</w:t>
      </w:r>
    </w:p>
    <w:p w:rsidR="00E97640" w:rsidRDefault="00E97640"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E vengo ai temi trattati, inevitabilmente in modo schematico e riassuntivo.</w:t>
      </w:r>
    </w:p>
    <w:p w:rsidR="00620CE6" w:rsidRDefault="00620CE6" w:rsidP="00145330">
      <w:pPr>
        <w:spacing w:line="360" w:lineRule="auto"/>
        <w:jc w:val="both"/>
        <w:rPr>
          <w:rFonts w:ascii="Times New Roman" w:hAnsi="Times New Roman" w:cs="Times New Roman"/>
          <w:sz w:val="28"/>
          <w:szCs w:val="28"/>
        </w:rPr>
      </w:pPr>
    </w:p>
    <w:p w:rsidR="00620CE6" w:rsidRDefault="00620CE6" w:rsidP="00145330">
      <w:pPr>
        <w:spacing w:line="360" w:lineRule="auto"/>
        <w:jc w:val="both"/>
        <w:rPr>
          <w:rFonts w:ascii="Times New Roman" w:hAnsi="Times New Roman" w:cs="Times New Roman"/>
          <w:sz w:val="28"/>
          <w:szCs w:val="28"/>
        </w:rPr>
      </w:pPr>
    </w:p>
    <w:p w:rsidR="00620CE6" w:rsidRDefault="00620CE6"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700E80">
        <w:rPr>
          <w:rFonts w:ascii="Times New Roman" w:hAnsi="Times New Roman" w:cs="Times New Roman"/>
          <w:sz w:val="28"/>
          <w:szCs w:val="28"/>
        </w:rPr>
        <w:t>Appalti</w:t>
      </w:r>
    </w:p>
    <w:p w:rsidR="00620CE6" w:rsidRDefault="00620CE6"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La problematica degli appalti e il tema delle opere pubbliche sospese dal Tar costituisce oramai una nota ricorrente del dibattito italiano.</w:t>
      </w:r>
      <w:r w:rsidR="005C1287">
        <w:rPr>
          <w:rFonts w:ascii="Times New Roman" w:hAnsi="Times New Roman" w:cs="Times New Roman"/>
          <w:sz w:val="28"/>
          <w:szCs w:val="28"/>
        </w:rPr>
        <w:t xml:space="preserve"> Un dibattito non sempre informato sul piano della politica. Come dimostra uno studio fatto dal nostro ufficio studi su dati della giustizia amministrativa, dell’Anac e della Consip, la percentuale delle aggiudicazioni impugnate è molto bassa, e ancor più quella delle opere sospese. Sicché i ritardi nell’esecuzione delle opere pubbliche sono probabilmente da ricercare altrove (es. nella fase della progettazione, in misura minore nelle gare nonostante il numero ancora smisurato delle stazioni appaltanti, nella fase di esecuzione dei contratti spesso per ragioni extragiuridiche, quali il fallimento delle aggiudicatarie).</w:t>
      </w:r>
    </w:p>
    <w:p w:rsidR="005C1287" w:rsidRDefault="00495531"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P</w:t>
      </w:r>
      <w:r w:rsidR="005C1287">
        <w:rPr>
          <w:rFonts w:ascii="Times New Roman" w:hAnsi="Times New Roman" w:cs="Times New Roman"/>
          <w:sz w:val="28"/>
          <w:szCs w:val="28"/>
        </w:rPr>
        <w:t>er restare al processo</w:t>
      </w:r>
      <w:r>
        <w:rPr>
          <w:rFonts w:ascii="Times New Roman" w:hAnsi="Times New Roman" w:cs="Times New Roman"/>
          <w:sz w:val="28"/>
          <w:szCs w:val="28"/>
        </w:rPr>
        <w:t>,</w:t>
      </w:r>
      <w:r w:rsidR="005C1287">
        <w:rPr>
          <w:rFonts w:ascii="Times New Roman" w:hAnsi="Times New Roman" w:cs="Times New Roman"/>
          <w:sz w:val="28"/>
          <w:szCs w:val="28"/>
        </w:rPr>
        <w:t xml:space="preserve"> il punto cruciale potrebbe essere costituito dai tempi: questi, però, sono ovviamente molto brevi per i giudizi cautelari e nel 2019 sono scesi al di sotto dell</w:t>
      </w:r>
      <w:r>
        <w:rPr>
          <w:rFonts w:ascii="Times New Roman" w:hAnsi="Times New Roman" w:cs="Times New Roman"/>
          <w:sz w:val="28"/>
          <w:szCs w:val="28"/>
        </w:rPr>
        <w:t>’anno per le sentenze definitive</w:t>
      </w:r>
      <w:r w:rsidR="005C1287">
        <w:rPr>
          <w:rFonts w:ascii="Times New Roman" w:hAnsi="Times New Roman" w:cs="Times New Roman"/>
          <w:sz w:val="28"/>
          <w:szCs w:val="28"/>
        </w:rPr>
        <w:t xml:space="preserve"> di merito in due gradi. Si può migliorare un po’, difficile scendere al di sotto, a meno, forse, di non ridurre il giudice amministrativo a giudice dei (soli) appalti.</w:t>
      </w:r>
    </w:p>
    <w:p w:rsidR="005C1287" w:rsidRDefault="005C1287"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 criticità di ordine sostanziale sono state poste bene in luce da Lipari: per esempio con riferimento ai profili della trasparenza, su cui è intervenuto anche il DL 76. Mentre il controverso e complesso rapporto tra conclusione dei contratti e ricorsi giurisdizionali è stato analizzato da Andrea Manzi, anche in rapporto </w:t>
      </w:r>
      <w:r w:rsidR="00546B34">
        <w:rPr>
          <w:rFonts w:ascii="Times New Roman" w:hAnsi="Times New Roman" w:cs="Times New Roman"/>
          <w:sz w:val="28"/>
          <w:szCs w:val="28"/>
        </w:rPr>
        <w:t xml:space="preserve">allo </w:t>
      </w:r>
      <w:r w:rsidR="00546B34" w:rsidRPr="00495531">
        <w:rPr>
          <w:rFonts w:ascii="Times New Roman" w:hAnsi="Times New Roman" w:cs="Times New Roman"/>
          <w:i/>
          <w:sz w:val="28"/>
          <w:szCs w:val="28"/>
        </w:rPr>
        <w:t>stand still</w:t>
      </w:r>
      <w:r w:rsidR="00546B34">
        <w:rPr>
          <w:rFonts w:ascii="Times New Roman" w:hAnsi="Times New Roman" w:cs="Times New Roman"/>
          <w:sz w:val="28"/>
          <w:szCs w:val="28"/>
        </w:rPr>
        <w:t>. In un recente saggio</w:t>
      </w:r>
      <w:r w:rsidR="00495531">
        <w:rPr>
          <w:rStyle w:val="Rimandonotaapidipagina"/>
          <w:rFonts w:ascii="Times New Roman" w:hAnsi="Times New Roman" w:cs="Times New Roman"/>
          <w:sz w:val="28"/>
          <w:szCs w:val="28"/>
        </w:rPr>
        <w:footnoteReference w:id="2"/>
      </w:r>
      <w:r w:rsidR="00546B34">
        <w:rPr>
          <w:rFonts w:ascii="Times New Roman" w:hAnsi="Times New Roman" w:cs="Times New Roman"/>
          <w:sz w:val="28"/>
          <w:szCs w:val="28"/>
        </w:rPr>
        <w:t xml:space="preserve"> Guido Greco sostiene che non ci sia da scandalizzarsi se, una volta intervenuta la conclusione del contratto, il suo annullamento, ovviamente in caso di illegittimità dell’aggiudicazione, debba cedere il posto al risarcimento del danno: purché però la previsione sia limitata agli appalti di lavori (essendo meno problematico il subentro negli appalti di servizi e forniture), sia assicurata un’efficace tutela cautelare e sia rispettato un ragionevole termine di </w:t>
      </w:r>
      <w:r w:rsidR="00495531">
        <w:rPr>
          <w:rFonts w:ascii="Times New Roman" w:hAnsi="Times New Roman" w:cs="Times New Roman"/>
          <w:i/>
          <w:sz w:val="28"/>
          <w:szCs w:val="28"/>
        </w:rPr>
        <w:t>stand still</w:t>
      </w:r>
      <w:r w:rsidR="00546B34">
        <w:rPr>
          <w:rFonts w:ascii="Times New Roman" w:hAnsi="Times New Roman" w:cs="Times New Roman"/>
          <w:sz w:val="28"/>
          <w:szCs w:val="28"/>
        </w:rPr>
        <w:t xml:space="preserve">. In realtà queste “condizioni” sono messe in crisi dal dl 76 (la prima in realtà non è nel nostro ordinamento positivo), che </w:t>
      </w:r>
      <w:r w:rsidR="00495531">
        <w:rPr>
          <w:rFonts w:ascii="Times New Roman" w:hAnsi="Times New Roman" w:cs="Times New Roman"/>
          <w:sz w:val="28"/>
          <w:szCs w:val="28"/>
        </w:rPr>
        <w:t>incide</w:t>
      </w:r>
      <w:r w:rsidR="00546B34">
        <w:rPr>
          <w:rFonts w:ascii="Times New Roman" w:hAnsi="Times New Roman" w:cs="Times New Roman"/>
          <w:sz w:val="28"/>
          <w:szCs w:val="28"/>
        </w:rPr>
        <w:t xml:space="preserve">, nella legge di conversione meno che nel decreto legge, proprio su una tendenziale sovrapposizione tra giudizio cautelare e giudizio di merito (di dubbia realizzabilità come osservava Lipari) e a un accorciamento dello </w:t>
      </w:r>
      <w:r w:rsidR="00546B34" w:rsidRPr="00896FDC">
        <w:rPr>
          <w:rFonts w:ascii="Times New Roman" w:hAnsi="Times New Roman" w:cs="Times New Roman"/>
          <w:i/>
          <w:sz w:val="28"/>
          <w:szCs w:val="28"/>
        </w:rPr>
        <w:t>stand still</w:t>
      </w:r>
      <w:r w:rsidR="00546B34">
        <w:rPr>
          <w:rFonts w:ascii="Times New Roman" w:hAnsi="Times New Roman" w:cs="Times New Roman"/>
          <w:sz w:val="28"/>
          <w:szCs w:val="28"/>
        </w:rPr>
        <w:t>. Soprattutto, però, con l’estensione de</w:t>
      </w:r>
      <w:r w:rsidR="00495531">
        <w:rPr>
          <w:rFonts w:ascii="Times New Roman" w:hAnsi="Times New Roman" w:cs="Times New Roman"/>
          <w:sz w:val="28"/>
          <w:szCs w:val="28"/>
        </w:rPr>
        <w:t>l</w:t>
      </w:r>
      <w:r w:rsidR="00546B34">
        <w:rPr>
          <w:rFonts w:ascii="Times New Roman" w:hAnsi="Times New Roman" w:cs="Times New Roman"/>
          <w:sz w:val="28"/>
          <w:szCs w:val="28"/>
        </w:rPr>
        <w:t>l</w:t>
      </w:r>
      <w:r w:rsidR="00495531">
        <w:rPr>
          <w:rFonts w:ascii="Times New Roman" w:hAnsi="Times New Roman" w:cs="Times New Roman"/>
          <w:sz w:val="28"/>
          <w:szCs w:val="28"/>
        </w:rPr>
        <w:t>’ art.</w:t>
      </w:r>
      <w:r w:rsidR="00546B34">
        <w:rPr>
          <w:rFonts w:ascii="Times New Roman" w:hAnsi="Times New Roman" w:cs="Times New Roman"/>
          <w:sz w:val="28"/>
          <w:szCs w:val="28"/>
        </w:rPr>
        <w:t xml:space="preserve">125 comma 2, </w:t>
      </w:r>
      <w:r w:rsidR="00495531">
        <w:rPr>
          <w:rFonts w:ascii="Times New Roman" w:hAnsi="Times New Roman" w:cs="Times New Roman"/>
          <w:sz w:val="28"/>
          <w:szCs w:val="28"/>
        </w:rPr>
        <w:t>ai sensi del quale</w:t>
      </w:r>
      <w:r w:rsidR="00546B34">
        <w:rPr>
          <w:rFonts w:ascii="Times New Roman" w:hAnsi="Times New Roman" w:cs="Times New Roman"/>
          <w:sz w:val="28"/>
          <w:szCs w:val="28"/>
        </w:rPr>
        <w:t xml:space="preserve"> in fase cautelare occorre tener conto del preminente interesse nazionale all’esecuzione dell’opera (cosa che il giudice amministrativo ha in concreto sempre fatto senza però che la premine</w:t>
      </w:r>
      <w:r w:rsidR="00495531">
        <w:rPr>
          <w:rFonts w:ascii="Times New Roman" w:hAnsi="Times New Roman" w:cs="Times New Roman"/>
          <w:sz w:val="28"/>
          <w:szCs w:val="28"/>
        </w:rPr>
        <w:t>nza fosse “imposta” dalla legge)</w:t>
      </w:r>
      <w:r w:rsidR="00546B34">
        <w:rPr>
          <w:rFonts w:ascii="Times New Roman" w:hAnsi="Times New Roman" w:cs="Times New Roman"/>
          <w:sz w:val="28"/>
          <w:szCs w:val="28"/>
        </w:rPr>
        <w:t xml:space="preserve"> è chiaro che si mina la compatibilità comunitaria della limitazione della tutela definitiva al solo risarcimento, se la tutela cautelare perde in effettività perché non si fonda su una cognizione</w:t>
      </w:r>
      <w:r w:rsidR="00495531">
        <w:rPr>
          <w:rFonts w:ascii="Times New Roman" w:hAnsi="Times New Roman" w:cs="Times New Roman"/>
          <w:sz w:val="28"/>
          <w:szCs w:val="28"/>
        </w:rPr>
        <w:t>,</w:t>
      </w:r>
      <w:r w:rsidR="00546B34">
        <w:rPr>
          <w:rFonts w:ascii="Times New Roman" w:hAnsi="Times New Roman" w:cs="Times New Roman"/>
          <w:sz w:val="28"/>
          <w:szCs w:val="28"/>
        </w:rPr>
        <w:t xml:space="preserve"> semipiena sì, ma riferita sia al </w:t>
      </w:r>
      <w:r w:rsidR="00546B34" w:rsidRPr="00546B34">
        <w:rPr>
          <w:rFonts w:ascii="Times New Roman" w:hAnsi="Times New Roman" w:cs="Times New Roman"/>
          <w:i/>
          <w:sz w:val="28"/>
          <w:szCs w:val="28"/>
        </w:rPr>
        <w:t>periculum</w:t>
      </w:r>
      <w:r w:rsidR="00546B34">
        <w:rPr>
          <w:rFonts w:ascii="Times New Roman" w:hAnsi="Times New Roman" w:cs="Times New Roman"/>
          <w:sz w:val="28"/>
          <w:szCs w:val="28"/>
        </w:rPr>
        <w:t xml:space="preserve"> sia al </w:t>
      </w:r>
      <w:r w:rsidR="00546B34" w:rsidRPr="00546B34">
        <w:rPr>
          <w:rFonts w:ascii="Times New Roman" w:hAnsi="Times New Roman" w:cs="Times New Roman"/>
          <w:i/>
          <w:sz w:val="28"/>
          <w:szCs w:val="28"/>
        </w:rPr>
        <w:t>fumus</w:t>
      </w:r>
      <w:r w:rsidR="00546B34">
        <w:rPr>
          <w:rFonts w:ascii="Times New Roman" w:hAnsi="Times New Roman" w:cs="Times New Roman"/>
          <w:sz w:val="28"/>
          <w:szCs w:val="28"/>
        </w:rPr>
        <w:t xml:space="preserve"> della violazione del diritto europeo (Guido Greco</w:t>
      </w:r>
      <w:r w:rsidR="00495531">
        <w:rPr>
          <w:rFonts w:ascii="Times New Roman" w:hAnsi="Times New Roman" w:cs="Times New Roman"/>
          <w:sz w:val="28"/>
          <w:szCs w:val="28"/>
        </w:rPr>
        <w:t>, e in tal senso mi sembra si sia espresso anche Cintioli oggi</w:t>
      </w:r>
      <w:r w:rsidR="00546B34">
        <w:rPr>
          <w:rFonts w:ascii="Times New Roman" w:hAnsi="Times New Roman" w:cs="Times New Roman"/>
          <w:sz w:val="28"/>
          <w:szCs w:val="28"/>
        </w:rPr>
        <w:t>).</w:t>
      </w:r>
    </w:p>
    <w:p w:rsidR="004E2F28" w:rsidRDefault="00546B34"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Quanto ai tempi del processo, se i termini stretti per il deposito</w:t>
      </w:r>
      <w:r w:rsidR="00495531">
        <w:rPr>
          <w:rFonts w:ascii="Times New Roman" w:hAnsi="Times New Roman" w:cs="Times New Roman"/>
          <w:sz w:val="28"/>
          <w:szCs w:val="28"/>
        </w:rPr>
        <w:t xml:space="preserve"> della sentenza</w:t>
      </w:r>
      <w:r>
        <w:rPr>
          <w:rFonts w:ascii="Times New Roman" w:hAnsi="Times New Roman" w:cs="Times New Roman"/>
          <w:sz w:val="28"/>
          <w:szCs w:val="28"/>
        </w:rPr>
        <w:t xml:space="preserve"> può creare difficoltà al giudice (che specie in primo grado sarà tentato di</w:t>
      </w:r>
      <w:r w:rsidR="004E2F28">
        <w:rPr>
          <w:rFonts w:ascii="Times New Roman" w:hAnsi="Times New Roman" w:cs="Times New Roman"/>
          <w:sz w:val="28"/>
          <w:szCs w:val="28"/>
        </w:rPr>
        <w:t xml:space="preserve"> “essenzializzare” la motivazione, che non è detto sia un danno in sé), è chiaro che l’originaria previsione della risoluzione del giudizio cautelare in quello di merito delineava un’opzione impossibile, salvo, come dicevo, a rendere il contenzioso amministrativo diverso dagli appalti del tutto residuale nella giustizia amministrativa.</w:t>
      </w:r>
      <w:r w:rsidR="00896FDC">
        <w:rPr>
          <w:rFonts w:ascii="Times New Roman" w:hAnsi="Times New Roman" w:cs="Times New Roman"/>
          <w:sz w:val="28"/>
          <w:szCs w:val="28"/>
        </w:rPr>
        <w:t xml:space="preserve"> E avrebbe creato un serio problema di difesa anche per le parti, soprattutto l’amministrazione e il controinteressato.</w:t>
      </w:r>
    </w:p>
    <w:p w:rsidR="00E02CA1" w:rsidRDefault="004E2F28"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3. Giurisdizione – Il prof. Volpe bene rileva le incongruenze insite nella genesi della giustizia amministrativa; due su tutte: la mancata abolizione della legge abolitiva del contenzioso amministrativo al momento della introduzione della doppia giurisdizione; le lacune del patto D’Amelio-Santi Romano cui comunque riconosce il merito di avere, bene o male, retto per decenni in maniera dignitosa.</w:t>
      </w:r>
      <w:r w:rsidR="00623774">
        <w:rPr>
          <w:rFonts w:ascii="Times New Roman" w:hAnsi="Times New Roman" w:cs="Times New Roman"/>
          <w:sz w:val="28"/>
          <w:szCs w:val="28"/>
        </w:rPr>
        <w:t xml:space="preserve"> Del resto conosciamo le ragioni storiche della reintroduzione della giurisdizione amministrativa senza che venisse intaccato, in apparenza, l’ambito oggettivo della giurisdizione ordin</w:t>
      </w:r>
      <w:r w:rsidR="00E02CA1">
        <w:rPr>
          <w:rFonts w:ascii="Times New Roman" w:hAnsi="Times New Roman" w:cs="Times New Roman"/>
          <w:sz w:val="28"/>
          <w:szCs w:val="28"/>
        </w:rPr>
        <w:t xml:space="preserve">aria di cui alla legge del 1865; ciò </w:t>
      </w:r>
      <w:r w:rsidR="00623774">
        <w:rPr>
          <w:rFonts w:ascii="Times New Roman" w:hAnsi="Times New Roman" w:cs="Times New Roman"/>
          <w:sz w:val="28"/>
          <w:szCs w:val="28"/>
        </w:rPr>
        <w:t xml:space="preserve">in quanto la legge del 1889 si poneva in una dichiarata ottica di completamento della tutela offerta dalla legge 1865 (cosa vera forse dal punto di vista pratico e storico, perché in effetti fu offerta tutela a situazioni soggettive che non ricevevano tutela dal giudice ordinario, ma </w:t>
      </w:r>
      <w:r w:rsidR="00E02CA1">
        <w:rPr>
          <w:rFonts w:ascii="Times New Roman" w:hAnsi="Times New Roman" w:cs="Times New Roman"/>
          <w:sz w:val="28"/>
          <w:szCs w:val="28"/>
        </w:rPr>
        <w:t>-</w:t>
      </w:r>
      <w:r w:rsidR="00623774">
        <w:rPr>
          <w:rFonts w:ascii="Times New Roman" w:hAnsi="Times New Roman" w:cs="Times New Roman"/>
          <w:sz w:val="28"/>
          <w:szCs w:val="28"/>
        </w:rPr>
        <w:t>va riconosciuto</w:t>
      </w:r>
      <w:r w:rsidR="00E02CA1">
        <w:rPr>
          <w:rFonts w:ascii="Times New Roman" w:hAnsi="Times New Roman" w:cs="Times New Roman"/>
          <w:sz w:val="28"/>
          <w:szCs w:val="28"/>
        </w:rPr>
        <w:t>-</w:t>
      </w:r>
      <w:r w:rsidR="00623774">
        <w:rPr>
          <w:rFonts w:ascii="Times New Roman" w:hAnsi="Times New Roman" w:cs="Times New Roman"/>
          <w:sz w:val="28"/>
          <w:szCs w:val="28"/>
        </w:rPr>
        <w:t xml:space="preserve"> dal punto di vista concettuale gli impianti delle due leggi non erano compatibili). </w:t>
      </w:r>
    </w:p>
    <w:p w:rsidR="004E2F28" w:rsidRDefault="00623774"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C</w:t>
      </w:r>
      <w:r w:rsidR="004E2F28">
        <w:rPr>
          <w:rFonts w:ascii="Times New Roman" w:hAnsi="Times New Roman" w:cs="Times New Roman"/>
          <w:sz w:val="28"/>
          <w:szCs w:val="28"/>
        </w:rPr>
        <w:t xml:space="preserve">ondivido </w:t>
      </w:r>
      <w:r w:rsidR="00E02CA1">
        <w:rPr>
          <w:rFonts w:ascii="Times New Roman" w:hAnsi="Times New Roman" w:cs="Times New Roman"/>
          <w:sz w:val="28"/>
          <w:szCs w:val="28"/>
        </w:rPr>
        <w:t>pure</w:t>
      </w:r>
      <w:r w:rsidR="004E2F28">
        <w:rPr>
          <w:rFonts w:ascii="Times New Roman" w:hAnsi="Times New Roman" w:cs="Times New Roman"/>
          <w:sz w:val="28"/>
          <w:szCs w:val="28"/>
        </w:rPr>
        <w:t xml:space="preserve"> le forti perplessità, sottolineate anche dal pre</w:t>
      </w:r>
      <w:r>
        <w:rPr>
          <w:rFonts w:ascii="Times New Roman" w:hAnsi="Times New Roman" w:cs="Times New Roman"/>
          <w:sz w:val="28"/>
          <w:szCs w:val="28"/>
        </w:rPr>
        <w:t>s</w:t>
      </w:r>
      <w:r w:rsidR="004E2F28">
        <w:rPr>
          <w:rFonts w:ascii="Times New Roman" w:hAnsi="Times New Roman" w:cs="Times New Roman"/>
          <w:sz w:val="28"/>
          <w:szCs w:val="28"/>
        </w:rPr>
        <w:t>i</w:t>
      </w:r>
      <w:r>
        <w:rPr>
          <w:rFonts w:ascii="Times New Roman" w:hAnsi="Times New Roman" w:cs="Times New Roman"/>
          <w:sz w:val="28"/>
          <w:szCs w:val="28"/>
        </w:rPr>
        <w:t>d</w:t>
      </w:r>
      <w:r w:rsidR="004E2F28">
        <w:rPr>
          <w:rFonts w:ascii="Times New Roman" w:hAnsi="Times New Roman" w:cs="Times New Roman"/>
          <w:sz w:val="28"/>
          <w:szCs w:val="28"/>
        </w:rPr>
        <w:t>e</w:t>
      </w:r>
      <w:r>
        <w:rPr>
          <w:rFonts w:ascii="Times New Roman" w:hAnsi="Times New Roman" w:cs="Times New Roman"/>
          <w:sz w:val="28"/>
          <w:szCs w:val="28"/>
        </w:rPr>
        <w:t>n</w:t>
      </w:r>
      <w:r w:rsidR="004E2F28">
        <w:rPr>
          <w:rFonts w:ascii="Times New Roman" w:hAnsi="Times New Roman" w:cs="Times New Roman"/>
          <w:sz w:val="28"/>
          <w:szCs w:val="28"/>
        </w:rPr>
        <w:t>t</w:t>
      </w:r>
      <w:r>
        <w:rPr>
          <w:rFonts w:ascii="Times New Roman" w:hAnsi="Times New Roman" w:cs="Times New Roman"/>
          <w:sz w:val="28"/>
          <w:szCs w:val="28"/>
        </w:rPr>
        <w:t>e</w:t>
      </w:r>
      <w:r w:rsidR="004E2F28">
        <w:rPr>
          <w:rFonts w:ascii="Times New Roman" w:hAnsi="Times New Roman" w:cs="Times New Roman"/>
          <w:sz w:val="28"/>
          <w:szCs w:val="28"/>
        </w:rPr>
        <w:t xml:space="preserve"> Rordorf, rispetto a una estensione della giurisdizione esclusiva</w:t>
      </w:r>
      <w:r w:rsidR="00E02CA1">
        <w:rPr>
          <w:rFonts w:ascii="Times New Roman" w:hAnsi="Times New Roman" w:cs="Times New Roman"/>
          <w:sz w:val="28"/>
          <w:szCs w:val="28"/>
        </w:rPr>
        <w:t>,</w:t>
      </w:r>
      <w:r>
        <w:rPr>
          <w:rFonts w:ascii="Times New Roman" w:hAnsi="Times New Roman" w:cs="Times New Roman"/>
          <w:sz w:val="28"/>
          <w:szCs w:val="28"/>
        </w:rPr>
        <w:t xml:space="preserve"> eccessiva non solo</w:t>
      </w:r>
      <w:r w:rsidR="004E2F28">
        <w:rPr>
          <w:rFonts w:ascii="Times New Roman" w:hAnsi="Times New Roman" w:cs="Times New Roman"/>
          <w:sz w:val="28"/>
          <w:szCs w:val="28"/>
        </w:rPr>
        <w:t xml:space="preserve"> rispetto</w:t>
      </w:r>
      <w:r>
        <w:rPr>
          <w:rFonts w:ascii="Times New Roman" w:hAnsi="Times New Roman" w:cs="Times New Roman"/>
          <w:sz w:val="28"/>
          <w:szCs w:val="28"/>
        </w:rPr>
        <w:t xml:space="preserve"> al tradizionale parametro dell’intreccio tra diritti e interessi, ma anche rispetto all’esercizio di una funzione pubblica, o, per dirla diversamente, all’agire della pubblica amministrazione in veste di autorità.</w:t>
      </w:r>
    </w:p>
    <w:p w:rsidR="00623774" w:rsidRDefault="00623774"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Ho perplessità invece, se ho ben compreso quanto dice il prof. Volpe, sul fatto che il sindacato giurisdizionale si sia spostato da un sindacato per vizi di legittimità a un sindacato per clausole gene</w:t>
      </w:r>
      <w:r w:rsidR="00183CB7">
        <w:rPr>
          <w:rFonts w:ascii="Times New Roman" w:hAnsi="Times New Roman" w:cs="Times New Roman"/>
          <w:sz w:val="28"/>
          <w:szCs w:val="28"/>
        </w:rPr>
        <w:t>r</w:t>
      </w:r>
      <w:r>
        <w:rPr>
          <w:rFonts w:ascii="Times New Roman" w:hAnsi="Times New Roman" w:cs="Times New Roman"/>
          <w:sz w:val="28"/>
          <w:szCs w:val="28"/>
        </w:rPr>
        <w:t>ali di marca civilistica, quale è quello sulla buona fede. Perplesso in primo l</w:t>
      </w:r>
      <w:r w:rsidR="00183CB7">
        <w:rPr>
          <w:rFonts w:ascii="Times New Roman" w:hAnsi="Times New Roman" w:cs="Times New Roman"/>
          <w:sz w:val="28"/>
          <w:szCs w:val="28"/>
        </w:rPr>
        <w:t>uogo perché il sindacato per ecc</w:t>
      </w:r>
      <w:r>
        <w:rPr>
          <w:rFonts w:ascii="Times New Roman" w:hAnsi="Times New Roman" w:cs="Times New Roman"/>
          <w:sz w:val="28"/>
          <w:szCs w:val="28"/>
        </w:rPr>
        <w:t>esso di potere è un sindacato sostanzialmente condotto</w:t>
      </w:r>
      <w:r w:rsidR="00183CB7">
        <w:rPr>
          <w:rFonts w:ascii="Times New Roman" w:hAnsi="Times New Roman" w:cs="Times New Roman"/>
          <w:sz w:val="28"/>
          <w:szCs w:val="28"/>
        </w:rPr>
        <w:t xml:space="preserve"> per clausole generali o per princìpi (so che sono due cose distinte, la cui distinzione non sempre è agevole), quanto meno in relazione ad alcune delle fattispecie sintomatiche, alcune delle quali hanno trovato una più moderna declinazione nei princìpi (o clausole, o test) di ragionevolezza, proporzionalità e, per l’appunto, buona fede e affidamento. Ciò è probabilmente dovuto anche all’osmosi, favorita dalla giurisprudenza europea e dal metodo della triangolazione, tra famiglie del diritto e q</w:t>
      </w:r>
      <w:r w:rsidR="00E02CA1">
        <w:rPr>
          <w:rFonts w:ascii="Times New Roman" w:hAnsi="Times New Roman" w:cs="Times New Roman"/>
          <w:sz w:val="28"/>
          <w:szCs w:val="28"/>
        </w:rPr>
        <w:t xml:space="preserve">uindi, per quanto ci riguarda, </w:t>
      </w:r>
      <w:r w:rsidR="00183CB7">
        <w:rPr>
          <w:rFonts w:ascii="Times New Roman" w:hAnsi="Times New Roman" w:cs="Times New Roman"/>
          <w:sz w:val="28"/>
          <w:szCs w:val="28"/>
        </w:rPr>
        <w:t xml:space="preserve">all’influsso del diritto comune di marca anglosassone. Ma che questa sia una delle caratteristiche del </w:t>
      </w:r>
      <w:r w:rsidR="00183CB7" w:rsidRPr="00183CB7">
        <w:rPr>
          <w:rFonts w:ascii="Times New Roman" w:hAnsi="Times New Roman" w:cs="Times New Roman"/>
          <w:i/>
          <w:sz w:val="28"/>
          <w:szCs w:val="28"/>
        </w:rPr>
        <w:t xml:space="preserve">Judicial </w:t>
      </w:r>
      <w:r w:rsidR="00183CB7">
        <w:rPr>
          <w:rFonts w:ascii="Times New Roman" w:hAnsi="Times New Roman" w:cs="Times New Roman"/>
          <w:i/>
          <w:sz w:val="28"/>
          <w:szCs w:val="28"/>
        </w:rPr>
        <w:t>r</w:t>
      </w:r>
      <w:r w:rsidR="00183CB7" w:rsidRPr="00183CB7">
        <w:rPr>
          <w:rFonts w:ascii="Times New Roman" w:hAnsi="Times New Roman" w:cs="Times New Roman"/>
          <w:i/>
          <w:sz w:val="28"/>
          <w:szCs w:val="28"/>
        </w:rPr>
        <w:t>eview</w:t>
      </w:r>
      <w:r w:rsidR="00183CB7">
        <w:rPr>
          <w:rFonts w:ascii="Times New Roman" w:hAnsi="Times New Roman" w:cs="Times New Roman"/>
          <w:sz w:val="28"/>
          <w:szCs w:val="28"/>
        </w:rPr>
        <w:t xml:space="preserve"> dipende a mio avviso anche dalla struttura delle norme sostanziali di diritto amministrativo, che spesso costituiscono modelli normativi “aperti” (con la conseguente tensione di tale modello con una visione classica del principio di tipicità e, a monte, dello stess</w:t>
      </w:r>
      <w:r w:rsidR="00E02CA1">
        <w:rPr>
          <w:rFonts w:ascii="Times New Roman" w:hAnsi="Times New Roman" w:cs="Times New Roman"/>
          <w:sz w:val="28"/>
          <w:szCs w:val="28"/>
        </w:rPr>
        <w:t>o principio di legalità). Per altro verso,</w:t>
      </w:r>
      <w:r w:rsidR="00183CB7">
        <w:rPr>
          <w:rFonts w:ascii="Times New Roman" w:hAnsi="Times New Roman" w:cs="Times New Roman"/>
          <w:sz w:val="28"/>
          <w:szCs w:val="28"/>
        </w:rPr>
        <w:t xml:space="preserve"> vorrei poi rimarcare il ruolo che una moderna declinazione di altre fattispecie sintomatiche dell’eccesso di potere (travisamento del fatto e difetto di istruttoria) possono svolgere per assicurare al processo amministrativo una giurisdizione “piena”, attraverso l’accesso diretto del giudice al fatto e al materiale probatorio.</w:t>
      </w:r>
    </w:p>
    <w:p w:rsidR="00623774" w:rsidRDefault="00623774"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Ma</w:t>
      </w:r>
      <w:r w:rsidR="00183CB7">
        <w:rPr>
          <w:rFonts w:ascii="Times New Roman" w:hAnsi="Times New Roman" w:cs="Times New Roman"/>
          <w:sz w:val="28"/>
          <w:szCs w:val="28"/>
        </w:rPr>
        <w:t xml:space="preserve"> due aspetti critici sono il</w:t>
      </w:r>
      <w:r>
        <w:rPr>
          <w:rFonts w:ascii="Times New Roman" w:hAnsi="Times New Roman" w:cs="Times New Roman"/>
          <w:sz w:val="28"/>
          <w:szCs w:val="28"/>
        </w:rPr>
        <w:t xml:space="preserve"> criterio di riparto</w:t>
      </w:r>
      <w:r w:rsidR="00183CB7">
        <w:rPr>
          <w:rFonts w:ascii="Times New Roman" w:hAnsi="Times New Roman" w:cs="Times New Roman"/>
          <w:sz w:val="28"/>
          <w:szCs w:val="28"/>
        </w:rPr>
        <w:t xml:space="preserve"> e la questione di giurisdizione, come è stato evidenziato da più relatori: nella stessa relazione introduttiva, dai presidenti Rordorf e Filippi</w:t>
      </w:r>
      <w:r w:rsidR="00FC59E6">
        <w:rPr>
          <w:rFonts w:ascii="Times New Roman" w:hAnsi="Times New Roman" w:cs="Times New Roman"/>
          <w:sz w:val="28"/>
          <w:szCs w:val="28"/>
        </w:rPr>
        <w:t xml:space="preserve">. In parte alcune ricorrenti questioni derivano dall’uso di categorie già inappropriate all’origine e che si rivelano oggi ancor più inadeguate: mi riferisco alla distinzione tra attività vincolata e discrezionale o a quella tra carenza </w:t>
      </w:r>
      <w:r w:rsidR="00FC59E6" w:rsidRPr="00FC59E6">
        <w:rPr>
          <w:rFonts w:ascii="Times New Roman" w:hAnsi="Times New Roman" w:cs="Times New Roman"/>
          <w:sz w:val="28"/>
          <w:szCs w:val="28"/>
        </w:rPr>
        <w:t>(magari in astratto o in concreto)</w:t>
      </w:r>
      <w:r w:rsidR="00FC59E6">
        <w:rPr>
          <w:rFonts w:ascii="Times New Roman" w:hAnsi="Times New Roman" w:cs="Times New Roman"/>
          <w:sz w:val="28"/>
          <w:szCs w:val="28"/>
        </w:rPr>
        <w:t xml:space="preserve"> e cattivo uso del potere, che talvolta continuano a comparire in sentenze del giudice ordinario come di quello amministrativo (e non nego che queste distinzioni possano costituire un parametro argomentativo di riferimento, ma un criterio di identificazione delle situazioni soggettive direi di no). In realtà, esclusa ogni possibilità di fondare un criterio di riparto sulla materia o sulla presenza di un’amministrazione </w:t>
      </w:r>
      <w:r w:rsidR="00E02CA1">
        <w:rPr>
          <w:rFonts w:ascii="Times New Roman" w:hAnsi="Times New Roman" w:cs="Times New Roman"/>
          <w:sz w:val="28"/>
          <w:szCs w:val="28"/>
        </w:rPr>
        <w:t xml:space="preserve">nella controversia </w:t>
      </w:r>
      <w:r w:rsidR="00FC59E6">
        <w:rPr>
          <w:rFonts w:ascii="Times New Roman" w:hAnsi="Times New Roman" w:cs="Times New Roman"/>
          <w:sz w:val="28"/>
          <w:szCs w:val="28"/>
        </w:rPr>
        <w:t>(come invece</w:t>
      </w:r>
      <w:r w:rsidR="00E02CA1">
        <w:rPr>
          <w:rFonts w:ascii="Times New Roman" w:hAnsi="Times New Roman" w:cs="Times New Roman"/>
          <w:sz w:val="28"/>
          <w:szCs w:val="28"/>
        </w:rPr>
        <w:t xml:space="preserve"> avviene</w:t>
      </w:r>
      <w:r w:rsidR="00FC59E6">
        <w:rPr>
          <w:rFonts w:ascii="Times New Roman" w:hAnsi="Times New Roman" w:cs="Times New Roman"/>
          <w:sz w:val="28"/>
          <w:szCs w:val="28"/>
        </w:rPr>
        <w:t xml:space="preserve"> sostanzialmente in Francia o in Germania), il </w:t>
      </w:r>
      <w:r w:rsidR="00E02CA1">
        <w:rPr>
          <w:rFonts w:ascii="Times New Roman" w:hAnsi="Times New Roman" w:cs="Times New Roman"/>
          <w:sz w:val="28"/>
          <w:szCs w:val="28"/>
        </w:rPr>
        <w:t>criterio</w:t>
      </w:r>
      <w:r w:rsidR="00FC59E6">
        <w:rPr>
          <w:rFonts w:ascii="Times New Roman" w:hAnsi="Times New Roman" w:cs="Times New Roman"/>
          <w:sz w:val="28"/>
          <w:szCs w:val="28"/>
        </w:rPr>
        <w:t xml:space="preserve"> di fondo, alla luce della sentenza n. 204 del 2004, è costituito dal trovarsi la situazione soggettiva del privato </w:t>
      </w:r>
      <w:r w:rsidR="00E02CA1">
        <w:rPr>
          <w:rFonts w:ascii="Times New Roman" w:hAnsi="Times New Roman" w:cs="Times New Roman"/>
          <w:sz w:val="28"/>
          <w:szCs w:val="28"/>
        </w:rPr>
        <w:t>di</w:t>
      </w:r>
      <w:r w:rsidR="00FC59E6">
        <w:rPr>
          <w:rFonts w:ascii="Times New Roman" w:hAnsi="Times New Roman" w:cs="Times New Roman"/>
          <w:sz w:val="28"/>
          <w:szCs w:val="28"/>
        </w:rPr>
        <w:t xml:space="preserve"> fronte dell’esercizio di un potere pubblico in senso stretto, nell’ambito di un rapporto caratterizzato, come direbbe Scoca, dalla compresenza di due situazioni soggettive entrambe attive, il potere</w:t>
      </w:r>
      <w:r w:rsidR="00E02CA1">
        <w:rPr>
          <w:rFonts w:ascii="Times New Roman" w:hAnsi="Times New Roman" w:cs="Times New Roman"/>
          <w:sz w:val="28"/>
          <w:szCs w:val="28"/>
        </w:rPr>
        <w:t xml:space="preserve"> dell’amministrazione procedente</w:t>
      </w:r>
      <w:r w:rsidR="00FC59E6">
        <w:rPr>
          <w:rFonts w:ascii="Times New Roman" w:hAnsi="Times New Roman" w:cs="Times New Roman"/>
          <w:sz w:val="28"/>
          <w:szCs w:val="28"/>
        </w:rPr>
        <w:t xml:space="preserve"> e quello che chiamiamo interesse legittimo (cioè l’interesse giuridicamente protetto a fronte dell’esercizio di un potere pubblico) che si contrappongono l’un l’altra. Siamo molto lontani dallo schema della degradazione e anche da quello delle situazioni legittimanti “dietro” la posizione dell’interesse legittimo, secondo la sistematica di Pietro Virga.</w:t>
      </w:r>
    </w:p>
    <w:p w:rsidR="009A3443" w:rsidRDefault="009A3443"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E’chiaro che se non ci si libera da certe categorie continueremo ad avere pronunce contrastanti tra giurisdizioni e anche all’interno della stessa. Penso a una recente pronuncia della Corte di cassazione in materia di revisione prezzi che si richiama alla distinzione tra attività vincolata e discrezionale. O a una recente pronuncia della Terza sezione che attribuisce, ritengo correttamente, la giurisdizione sul diniego di cure all’estero al giudice amministrativo, a prescindere dal carattere vincolato o discrezionale della relativa attività, non senza aver fatto giustizia della teoria della incomprimibilità dei diritti fondamentali, cui per la verità aveva già pensato la Corte costituzionale. Del resto, oltre a non aver alcun appiglio teorico, la teoria della non degradabilità si scontrava s</w:t>
      </w:r>
      <w:r w:rsidR="00E02CA1">
        <w:rPr>
          <w:rFonts w:ascii="Times New Roman" w:hAnsi="Times New Roman" w:cs="Times New Roman"/>
          <w:sz w:val="28"/>
          <w:szCs w:val="28"/>
        </w:rPr>
        <w:t>ulla difficoltà storica e pratic</w:t>
      </w:r>
      <w:r>
        <w:rPr>
          <w:rFonts w:ascii="Times New Roman" w:hAnsi="Times New Roman" w:cs="Times New Roman"/>
          <w:sz w:val="28"/>
          <w:szCs w:val="28"/>
        </w:rPr>
        <w:t>a di definire un diritto fondamentale (un catalogo aperto, come è stato osservato), ma soprattutto con la realtà delle cose, che semmai suggerisce un concorso di giurisdizioni nelle ipotesi in cui ci sia un concorso di azioni previsto dalle norme: penso alla localizzazione di una industria pericolosa, contro cui è sicuramente proponibile un’impugnazione dinanzi al giudice amministrativo dell’atto di localizzazione (pur) facendo valere la lesione del diritto alla salute e alla tutela dalle immissioni che potrebbe essere fatta valere dinanzi al giudice ordinario.</w:t>
      </w:r>
    </w:p>
    <w:p w:rsidR="009A3443" w:rsidRDefault="009A3443"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Altro punto critico del riparto è quello del risarcimento del danno, la cui cognizione da parte del giudice amministrativo si è oltremodo estesa per il combinato disposto della risarcibilità dell’interesse legittimo e della giurisprudenza costituzionale</w:t>
      </w:r>
      <w:r w:rsidR="00120DFB">
        <w:rPr>
          <w:rFonts w:ascii="Times New Roman" w:hAnsi="Times New Roman" w:cs="Times New Roman"/>
          <w:sz w:val="28"/>
          <w:szCs w:val="28"/>
        </w:rPr>
        <w:t>, non tanto in tema di giurisdizione esclusiva, ma anche in sede di giurisdizione generale di legittimità. Esempio di questa criticità è proprio la questione, trattata da Volpe e Filippi, sulla lesione dell’affidamento. Io, fin dal 2011, propendo per la tesi di Maddalena Filippi</w:t>
      </w:r>
      <w:r w:rsidR="00E02CA1">
        <w:rPr>
          <w:rFonts w:ascii="Times New Roman" w:hAnsi="Times New Roman" w:cs="Times New Roman"/>
          <w:sz w:val="28"/>
          <w:szCs w:val="28"/>
        </w:rPr>
        <w:t xml:space="preserve"> della giurisdizione amministrativa</w:t>
      </w:r>
      <w:r w:rsidR="00120DFB">
        <w:rPr>
          <w:rFonts w:ascii="Times New Roman" w:hAnsi="Times New Roman" w:cs="Times New Roman"/>
          <w:sz w:val="28"/>
          <w:szCs w:val="28"/>
        </w:rPr>
        <w:t xml:space="preserve">. Ma il punto non è questo. Io credo che qui il problema sia originato da una diversità di approccio “culturale”. Volpe dice che vi sarebbe una lesione del principio di tipicità della giurisdizione sui diritti “se è vero che in tali casi l’oggetto dell’accertamento giudiziale sarebbe il diritto di credito al risarcimento del danno e che la lesione dell’interesse esprimerebbe, rispetto al primo, solo una questione pregiudiziale, valutata in sede incidentale”. Il ragionamento, per la verità, potrebbe essere capovolto: a seguire la tesi si avrebbe un accertamento diretto, sia pure con effetti </w:t>
      </w:r>
      <w:r w:rsidR="00120DFB" w:rsidRPr="00E02CA1">
        <w:rPr>
          <w:rFonts w:ascii="Times New Roman" w:hAnsi="Times New Roman" w:cs="Times New Roman"/>
          <w:i/>
          <w:sz w:val="28"/>
          <w:szCs w:val="28"/>
        </w:rPr>
        <w:t>incidenter tantum</w:t>
      </w:r>
      <w:r w:rsidR="00120DFB">
        <w:rPr>
          <w:rFonts w:ascii="Times New Roman" w:hAnsi="Times New Roman" w:cs="Times New Roman"/>
          <w:sz w:val="28"/>
          <w:szCs w:val="28"/>
        </w:rPr>
        <w:t xml:space="preserve">, sulla legittimità dell’atto amministrativo attraverso la cognizione sul diritto al risarcimento del danno, con una sorta di disapplicazione (che Sandulli ebbe a criticare nel suo </w:t>
      </w:r>
      <w:r w:rsidR="00120DFB" w:rsidRPr="00E02CA1">
        <w:rPr>
          <w:rFonts w:ascii="Times New Roman" w:hAnsi="Times New Roman" w:cs="Times New Roman"/>
          <w:i/>
          <w:sz w:val="28"/>
          <w:szCs w:val="28"/>
        </w:rPr>
        <w:t>Manuale</w:t>
      </w:r>
      <w:r w:rsidR="00120DFB">
        <w:rPr>
          <w:rFonts w:ascii="Times New Roman" w:hAnsi="Times New Roman" w:cs="Times New Roman"/>
          <w:sz w:val="28"/>
          <w:szCs w:val="28"/>
        </w:rPr>
        <w:t>) del provvedimento. Ma non è questo il punto. In realtà, parlavo di diverso approccio culturale perché il risarcimento del danno, nell’ottica del giudice ordinario e dello stesso sistema civilistico, è un vero e proprio diritto (di credito, lo definisce Volpe, e condivido, anche se la posizione della dottrina civilistica in materia di illecito è più articolata), in qualche misura autonomo dalla situazione sottostante (una volta che di questa si riconosca la protezione giuridica dall’ordinamento). Nell’ottica del giudice amministrativo, in questo sostenuto dalla Corte Costituzionale e da quella parte della do</w:t>
      </w:r>
      <w:r w:rsidR="005379C4">
        <w:rPr>
          <w:rFonts w:ascii="Times New Roman" w:hAnsi="Times New Roman" w:cs="Times New Roman"/>
          <w:sz w:val="28"/>
          <w:szCs w:val="28"/>
        </w:rPr>
        <w:t>t</w:t>
      </w:r>
      <w:r w:rsidR="00120DFB">
        <w:rPr>
          <w:rFonts w:ascii="Times New Roman" w:hAnsi="Times New Roman" w:cs="Times New Roman"/>
          <w:sz w:val="28"/>
          <w:szCs w:val="28"/>
        </w:rPr>
        <w:t>trina civilistica maggiormente propensa a una teoria dell’illecito in un’ottica rimediale</w:t>
      </w:r>
      <w:r w:rsidR="00E02CA1">
        <w:rPr>
          <w:rFonts w:ascii="Times New Roman" w:hAnsi="Times New Roman" w:cs="Times New Roman"/>
          <w:sz w:val="28"/>
          <w:szCs w:val="28"/>
        </w:rPr>
        <w:t xml:space="preserve"> (Di Majo)</w:t>
      </w:r>
      <w:r w:rsidR="00120DFB">
        <w:rPr>
          <w:rFonts w:ascii="Times New Roman" w:hAnsi="Times New Roman" w:cs="Times New Roman"/>
          <w:sz w:val="28"/>
          <w:szCs w:val="28"/>
        </w:rPr>
        <w:t>, il risa</w:t>
      </w:r>
      <w:r w:rsidR="005379C4">
        <w:rPr>
          <w:rFonts w:ascii="Times New Roman" w:hAnsi="Times New Roman" w:cs="Times New Roman"/>
          <w:sz w:val="28"/>
          <w:szCs w:val="28"/>
        </w:rPr>
        <w:t>rcimento è adoperato essenzialm</w:t>
      </w:r>
      <w:r w:rsidR="00120DFB">
        <w:rPr>
          <w:rFonts w:ascii="Times New Roman" w:hAnsi="Times New Roman" w:cs="Times New Roman"/>
          <w:sz w:val="28"/>
          <w:szCs w:val="28"/>
        </w:rPr>
        <w:t>e</w:t>
      </w:r>
      <w:r w:rsidR="005379C4">
        <w:rPr>
          <w:rFonts w:ascii="Times New Roman" w:hAnsi="Times New Roman" w:cs="Times New Roman"/>
          <w:sz w:val="28"/>
          <w:szCs w:val="28"/>
        </w:rPr>
        <w:t>n</w:t>
      </w:r>
      <w:r w:rsidR="00120DFB">
        <w:rPr>
          <w:rFonts w:ascii="Times New Roman" w:hAnsi="Times New Roman" w:cs="Times New Roman"/>
          <w:sz w:val="28"/>
          <w:szCs w:val="28"/>
        </w:rPr>
        <w:t xml:space="preserve">te come un rimedio </w:t>
      </w:r>
      <w:r w:rsidR="005379C4">
        <w:rPr>
          <w:rFonts w:ascii="Times New Roman" w:hAnsi="Times New Roman" w:cs="Times New Roman"/>
          <w:sz w:val="28"/>
          <w:szCs w:val="28"/>
        </w:rPr>
        <w:t xml:space="preserve">all’impossibilità o alla eccessiva difficoltà di tutela in forma specifica, tanto che tutti conosciamo le difficoltà con cui, in teoria prima del codice e in pratica </w:t>
      </w:r>
      <w:r w:rsidR="00E02CA1">
        <w:rPr>
          <w:rFonts w:ascii="Times New Roman" w:hAnsi="Times New Roman" w:cs="Times New Roman"/>
          <w:sz w:val="28"/>
          <w:szCs w:val="28"/>
        </w:rPr>
        <w:t>anche dopo</w:t>
      </w:r>
      <w:r w:rsidR="005379C4">
        <w:rPr>
          <w:rFonts w:ascii="Times New Roman" w:hAnsi="Times New Roman" w:cs="Times New Roman"/>
          <w:sz w:val="28"/>
          <w:szCs w:val="28"/>
        </w:rPr>
        <w:t xml:space="preserve">, è riconosciuta dal giudice amministrativo l’azione risarcitoria autonoma. D’altra parte, non può negarsi che la responsabilità delle pubbliche amministrazioni nell’esercizio del potere, anche quando ne </w:t>
      </w:r>
      <w:r w:rsidR="00E02CA1">
        <w:rPr>
          <w:rFonts w:ascii="Times New Roman" w:hAnsi="Times New Roman" w:cs="Times New Roman"/>
          <w:sz w:val="28"/>
          <w:szCs w:val="28"/>
        </w:rPr>
        <w:t xml:space="preserve">sia </w:t>
      </w:r>
      <w:r w:rsidR="005379C4">
        <w:rPr>
          <w:rFonts w:ascii="Times New Roman" w:hAnsi="Times New Roman" w:cs="Times New Roman"/>
          <w:sz w:val="28"/>
          <w:szCs w:val="28"/>
        </w:rPr>
        <w:t xml:space="preserve">affermata la natura analoga a quella civilistica, è marcatamente oggettiva, </w:t>
      </w:r>
      <w:r w:rsidR="00E02CA1">
        <w:rPr>
          <w:rFonts w:ascii="Times New Roman" w:hAnsi="Times New Roman" w:cs="Times New Roman"/>
          <w:sz w:val="28"/>
          <w:szCs w:val="28"/>
        </w:rPr>
        <w:t>pure</w:t>
      </w:r>
      <w:r w:rsidR="005379C4">
        <w:rPr>
          <w:rFonts w:ascii="Times New Roman" w:hAnsi="Times New Roman" w:cs="Times New Roman"/>
          <w:sz w:val="28"/>
          <w:szCs w:val="28"/>
        </w:rPr>
        <w:t xml:space="preserve"> per l’influsso del diritto europeo, ben oltre anche una visione oggettiva della colpa nei termini propugnati, per esempio, da Trimarchi. Ed effettivamente somiglia non poco a un indennizzo, anche quanto ai criteri concreti di liquidazione.</w:t>
      </w:r>
      <w:r w:rsidR="00E02CA1">
        <w:rPr>
          <w:rFonts w:ascii="Times New Roman" w:hAnsi="Times New Roman" w:cs="Times New Roman"/>
          <w:sz w:val="28"/>
          <w:szCs w:val="28"/>
        </w:rPr>
        <w:t xml:space="preserve"> Su ciò potrebbe avviarsi una riflessione </w:t>
      </w:r>
      <w:r w:rsidR="00E02CA1" w:rsidRPr="00E02CA1">
        <w:rPr>
          <w:rFonts w:ascii="Times New Roman" w:hAnsi="Times New Roman" w:cs="Times New Roman"/>
          <w:i/>
          <w:sz w:val="28"/>
          <w:szCs w:val="28"/>
        </w:rPr>
        <w:t>de iure condendo</w:t>
      </w:r>
      <w:r w:rsidR="00E02CA1">
        <w:rPr>
          <w:rFonts w:ascii="Times New Roman" w:hAnsi="Times New Roman" w:cs="Times New Roman"/>
          <w:sz w:val="28"/>
          <w:szCs w:val="28"/>
        </w:rPr>
        <w:t>.</w:t>
      </w:r>
    </w:p>
    <w:p w:rsidR="00623774" w:rsidRDefault="005379C4"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Una cosa finale va detta per quanto riguarda il rischio, paventato giustamente da Rordorf, di una nomofilachia diversa per figure giuridiche s</w:t>
      </w:r>
      <w:r w:rsidR="00896FDC">
        <w:rPr>
          <w:rFonts w:ascii="Times New Roman" w:hAnsi="Times New Roman" w:cs="Times New Roman"/>
          <w:sz w:val="28"/>
          <w:szCs w:val="28"/>
        </w:rPr>
        <w:t>o</w:t>
      </w:r>
      <w:r>
        <w:rPr>
          <w:rFonts w:ascii="Times New Roman" w:hAnsi="Times New Roman" w:cs="Times New Roman"/>
          <w:sz w:val="28"/>
          <w:szCs w:val="28"/>
        </w:rPr>
        <w:t>stanzialmente analoghe (per esempio proprio la materia risarcitoria). Questo è vero, anche se nella pratica i due giudici sono abbastanza attenti a evitarlo, a cominciare dallo stesso Consiglio di Stato che guarda attentamente alla giurisprudenza del</w:t>
      </w:r>
      <w:r w:rsidR="00896FDC">
        <w:rPr>
          <w:rFonts w:ascii="Times New Roman" w:hAnsi="Times New Roman" w:cs="Times New Roman"/>
          <w:sz w:val="28"/>
          <w:szCs w:val="28"/>
        </w:rPr>
        <w:t>l</w:t>
      </w:r>
      <w:r>
        <w:rPr>
          <w:rFonts w:ascii="Times New Roman" w:hAnsi="Times New Roman" w:cs="Times New Roman"/>
          <w:sz w:val="28"/>
          <w:szCs w:val="28"/>
        </w:rPr>
        <w:t>a Corte di cassazione in tema ordinariamente di diritti.</w:t>
      </w:r>
    </w:p>
    <w:p w:rsidR="005379C4" w:rsidRDefault="005379C4"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Però qui una precisazione va fatta con una certa nettezza: la nomofilachia appartiene all’organo posto al vertice della giurisdizione; quindi</w:t>
      </w:r>
      <w:r w:rsidR="00E02CA1">
        <w:rPr>
          <w:rFonts w:ascii="Times New Roman" w:hAnsi="Times New Roman" w:cs="Times New Roman"/>
          <w:sz w:val="28"/>
          <w:szCs w:val="28"/>
        </w:rPr>
        <w:t>, in</w:t>
      </w:r>
      <w:r>
        <w:rPr>
          <w:rFonts w:ascii="Times New Roman" w:hAnsi="Times New Roman" w:cs="Times New Roman"/>
          <w:sz w:val="28"/>
          <w:szCs w:val="28"/>
        </w:rPr>
        <w:t xml:space="preserve"> un sistema plurale di giurisdizioni, all’organo posto al vertice di quella giurisdizione. Mortara ebbe a scrivere: “Se la corte di cassazione è l’organo supremo della giurisdizione ordinaria, non è forse stato detto che la quarta sezione del consiglio di Stato è la corte di cassazione fra le giurisdizioni amministrative?”</w:t>
      </w:r>
      <w:r w:rsidR="00B564B6">
        <w:rPr>
          <w:rStyle w:val="Rimandonotaapidipagina"/>
          <w:rFonts w:ascii="Times New Roman" w:hAnsi="Times New Roman" w:cs="Times New Roman"/>
          <w:sz w:val="28"/>
          <w:szCs w:val="28"/>
        </w:rPr>
        <w:footnoteReference w:id="3"/>
      </w:r>
      <w:r>
        <w:rPr>
          <w:rFonts w:ascii="Times New Roman" w:hAnsi="Times New Roman" w:cs="Times New Roman"/>
          <w:sz w:val="28"/>
          <w:szCs w:val="28"/>
        </w:rPr>
        <w:t>. Correva l’anno 1897. Ma c’è una rag</w:t>
      </w:r>
      <w:r w:rsidR="004F796F">
        <w:rPr>
          <w:rFonts w:ascii="Times New Roman" w:hAnsi="Times New Roman" w:cs="Times New Roman"/>
          <w:sz w:val="28"/>
          <w:szCs w:val="28"/>
        </w:rPr>
        <w:t>ione di ordine logico e una, più recente, di ordine positivo. La prima: se la</w:t>
      </w:r>
      <w:r w:rsidR="00896FDC">
        <w:rPr>
          <w:rFonts w:ascii="Times New Roman" w:hAnsi="Times New Roman" w:cs="Times New Roman"/>
          <w:sz w:val="28"/>
          <w:szCs w:val="28"/>
        </w:rPr>
        <w:t xml:space="preserve"> </w:t>
      </w:r>
      <w:r w:rsidR="004F796F">
        <w:rPr>
          <w:rFonts w:ascii="Times New Roman" w:hAnsi="Times New Roman" w:cs="Times New Roman"/>
          <w:sz w:val="28"/>
          <w:szCs w:val="28"/>
        </w:rPr>
        <w:t>nomofilachia mira ad assicurare l’uniforme applicazione della legge in una data materia, che senso avrebbe affidare tale funzione all’organo posto al vertice di una giurisdizione che non ha giurisdizione su quella materia, e che quindi non è chiamata ad applicare quella legge? Dal punto di vista positivo: la funzione nomofilattica affidata ai tre organi di vertice delle relative giurisdizioni è sancita positivamente dai codici di rito (civile, amministrativo e contabile) che affidano tale funzione alle rispettive Corti in una data composizione. Del resto credo che in nessun ordinamento plurale la funzione nomofilattica sia attribuita a un organo appartenente alla diversa giurisdizione.</w:t>
      </w:r>
    </w:p>
    <w:p w:rsidR="00330B4C" w:rsidRDefault="004F796F"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Noi abbiamo però un’altra norma, che potrebbe sostenere il nostro ragionamento: l’articolo 111 della Costituzione, che attribuisce il sindacato sulle senten</w:t>
      </w:r>
      <w:r w:rsidR="00B3598D">
        <w:rPr>
          <w:rFonts w:ascii="Times New Roman" w:hAnsi="Times New Roman" w:cs="Times New Roman"/>
          <w:sz w:val="28"/>
          <w:szCs w:val="28"/>
        </w:rPr>
        <w:t>ze del Consiglio di Stato alla C</w:t>
      </w:r>
      <w:r>
        <w:rPr>
          <w:rFonts w:ascii="Times New Roman" w:hAnsi="Times New Roman" w:cs="Times New Roman"/>
          <w:sz w:val="28"/>
          <w:szCs w:val="28"/>
        </w:rPr>
        <w:t>orte di cassazione per i “</w:t>
      </w:r>
      <w:r w:rsidRPr="00330B4C">
        <w:rPr>
          <w:rFonts w:ascii="Times New Roman" w:hAnsi="Times New Roman" w:cs="Times New Roman"/>
          <w:i/>
          <w:sz w:val="28"/>
          <w:szCs w:val="28"/>
        </w:rPr>
        <w:t>soli</w:t>
      </w:r>
      <w:r>
        <w:rPr>
          <w:rFonts w:ascii="Times New Roman" w:hAnsi="Times New Roman" w:cs="Times New Roman"/>
          <w:sz w:val="28"/>
          <w:szCs w:val="28"/>
        </w:rPr>
        <w:t xml:space="preserve"> motivi inerenti alla giurisdizione”</w:t>
      </w:r>
      <w:r w:rsidR="00330B4C">
        <w:rPr>
          <w:rFonts w:ascii="Times New Roman" w:hAnsi="Times New Roman" w:cs="Times New Roman"/>
          <w:sz w:val="28"/>
          <w:szCs w:val="28"/>
        </w:rPr>
        <w:t xml:space="preserve"> (il corsivo è mio e lo sottolineo perché in genere l’attributo non compare in gran parte del dibattito)</w:t>
      </w:r>
      <w:r>
        <w:rPr>
          <w:rFonts w:ascii="Times New Roman" w:hAnsi="Times New Roman" w:cs="Times New Roman"/>
          <w:sz w:val="28"/>
          <w:szCs w:val="28"/>
        </w:rPr>
        <w:t xml:space="preserve">. Quindi non anche per motivi inerenti all’errata interpretazione o applicazione di norme di legge, sostanziale o processuale. Conseguenza ovvia, sulla base della semplice lettura </w:t>
      </w:r>
      <w:r w:rsidR="00330B4C">
        <w:rPr>
          <w:rFonts w:ascii="Times New Roman" w:hAnsi="Times New Roman" w:cs="Times New Roman"/>
          <w:sz w:val="28"/>
          <w:szCs w:val="28"/>
        </w:rPr>
        <w:t>della norma costituzionale, ma</w:t>
      </w:r>
      <w:r>
        <w:rPr>
          <w:rFonts w:ascii="Times New Roman" w:hAnsi="Times New Roman" w:cs="Times New Roman"/>
          <w:sz w:val="28"/>
          <w:szCs w:val="28"/>
        </w:rPr>
        <w:t xml:space="preserve"> di recente messa in dubbio anche da autorevole dottrina che sembrer</w:t>
      </w:r>
      <w:r w:rsidR="00330B4C">
        <w:rPr>
          <w:rFonts w:ascii="Times New Roman" w:hAnsi="Times New Roman" w:cs="Times New Roman"/>
          <w:sz w:val="28"/>
          <w:szCs w:val="28"/>
        </w:rPr>
        <w:t>ebbe ritenere compatibile con l’art.</w:t>
      </w:r>
      <w:r>
        <w:rPr>
          <w:rFonts w:ascii="Times New Roman" w:hAnsi="Times New Roman" w:cs="Times New Roman"/>
          <w:sz w:val="28"/>
          <w:szCs w:val="28"/>
        </w:rPr>
        <w:t>111 una interpretazione che, nel vietare di equiparare il Consiglio di Stato a una Corte di appello quanto a mezzi di impugnazione, consenta la ricorribilità delle sentenze del Consiglio di Stato per alcuni dei motivi previsti dal codice di procedura civile purché non per tutti.</w:t>
      </w:r>
      <w:r w:rsidR="00330B4C">
        <w:rPr>
          <w:rFonts w:ascii="Times New Roman" w:hAnsi="Times New Roman" w:cs="Times New Roman"/>
          <w:sz w:val="28"/>
          <w:szCs w:val="28"/>
        </w:rPr>
        <w:t xml:space="preserve"> </w:t>
      </w:r>
      <w:r w:rsidR="00B3598D">
        <w:rPr>
          <w:rFonts w:ascii="Times New Roman" w:hAnsi="Times New Roman" w:cs="Times New Roman"/>
          <w:sz w:val="28"/>
          <w:szCs w:val="28"/>
        </w:rPr>
        <w:t>E in particolare per quegli errori in iudicando o in procedendo che “ineriscano alla giurisdizione”</w:t>
      </w:r>
      <w:r w:rsidR="00B3598D">
        <w:rPr>
          <w:rStyle w:val="Rimandonotaapidipagina"/>
          <w:rFonts w:ascii="Times New Roman" w:hAnsi="Times New Roman" w:cs="Times New Roman"/>
          <w:sz w:val="28"/>
          <w:szCs w:val="28"/>
        </w:rPr>
        <w:footnoteReference w:id="4"/>
      </w:r>
      <w:r w:rsidR="00B3598D">
        <w:rPr>
          <w:rFonts w:ascii="Times New Roman" w:hAnsi="Times New Roman" w:cs="Times New Roman"/>
          <w:sz w:val="28"/>
          <w:szCs w:val="28"/>
        </w:rPr>
        <w:t xml:space="preserve">. </w:t>
      </w:r>
      <w:r w:rsidR="00330B4C">
        <w:rPr>
          <w:rFonts w:ascii="Times New Roman" w:hAnsi="Times New Roman" w:cs="Times New Roman"/>
          <w:sz w:val="28"/>
          <w:szCs w:val="28"/>
        </w:rPr>
        <w:t>Non mi soffermo.</w:t>
      </w:r>
    </w:p>
    <w:p w:rsidR="004F796F" w:rsidRDefault="000838C0"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Noi scontiamo una carenza storica: la mancanza di un Tribunale dei conflitti (come in Francia, a composizione paritetica e con turnazione della presidenza) o un criterio di riparto netto fondato sulla presenza in giudizio dell’amministrazione (come sostanzialmente in Germania, il che consente di risolvere i rari conflitti con una telefonata, o poco più, dei presidenti delle rispettive Corti supreme). Ma conosciamo le ragione della devoluzione alla Corte di cassazione, nel 1877, dei conflitti e poi, in Costituzione, anche del riparto: nel 1877 non esisteva il giudice amministrativo come tale e i conflitti riguardavano essenzialmente giudice e amministrazione; e questa tradizione viene mantenuta in Costituzione che configura Consiglio di Stato e Corte dei conti, sul piano formale, come giudici “speciali”. E no</w:t>
      </w:r>
      <w:r w:rsidR="00896FDC">
        <w:rPr>
          <w:rFonts w:ascii="Times New Roman" w:hAnsi="Times New Roman" w:cs="Times New Roman"/>
          <w:sz w:val="28"/>
          <w:szCs w:val="28"/>
        </w:rPr>
        <w:t>n</w:t>
      </w:r>
      <w:r>
        <w:rPr>
          <w:rFonts w:ascii="Times New Roman" w:hAnsi="Times New Roman" w:cs="Times New Roman"/>
          <w:sz w:val="28"/>
          <w:szCs w:val="28"/>
        </w:rPr>
        <w:t xml:space="preserve"> mi sembra il momento di mettere in discussione questo assetto che può ben funzionare, come, con qualche alto e basso, ha ben funzionato.</w:t>
      </w:r>
    </w:p>
    <w:p w:rsidR="004F796F" w:rsidRDefault="004F796F"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Ma occupiamoci di una criticità seria e vera: la nozione di giurisdizione ai sensi dell’articolo 111.</w:t>
      </w:r>
      <w:r w:rsidR="000838C0">
        <w:rPr>
          <w:rFonts w:ascii="Times New Roman" w:hAnsi="Times New Roman" w:cs="Times New Roman"/>
          <w:sz w:val="28"/>
          <w:szCs w:val="28"/>
        </w:rPr>
        <w:t xml:space="preserve"> Qui il percorso giurisprudenziale è stato ben delineato da Renato Rordorf, che ha anche sottolineato come nella pratica, al di fuori delle problematiche del riparto, l’ammissibilità del rimedio sotto il profilo dell’eccesso o del diniego di giurisdizione sia stato</w:t>
      </w:r>
      <w:r w:rsidR="00A62913">
        <w:rPr>
          <w:rFonts w:ascii="Times New Roman" w:hAnsi="Times New Roman" w:cs="Times New Roman"/>
          <w:sz w:val="28"/>
          <w:szCs w:val="28"/>
        </w:rPr>
        <w:t xml:space="preserve"> assai</w:t>
      </w:r>
      <w:r w:rsidR="000838C0">
        <w:rPr>
          <w:rFonts w:ascii="Times New Roman" w:hAnsi="Times New Roman" w:cs="Times New Roman"/>
          <w:sz w:val="28"/>
          <w:szCs w:val="28"/>
        </w:rPr>
        <w:t xml:space="preserve"> limitato. L’intervento della Corte costituzionale, con la sentenza n.6 del 2018, ha riportato la giurisdizione della Corte di cassazione sostanzialmente alla sola materia del riparto. Il confine tra eccesso o diniego di potere giurisdizionale rispetto alla errata interpretazione o applicazione di diritto è in effetti molto sfumato</w:t>
      </w:r>
      <w:r w:rsidR="00B564B6">
        <w:rPr>
          <w:rFonts w:ascii="Times New Roman" w:hAnsi="Times New Roman" w:cs="Times New Roman"/>
          <w:sz w:val="28"/>
          <w:szCs w:val="28"/>
        </w:rPr>
        <w:t xml:space="preserve">. Soprattutto è incerta l’individuazione del diniego di giurisdizione che dovrebbe risolversi nella (sola) ipotesi in cui il giudice amministrativo erroneamente sostenga che in astratto una data situazione soggettiva non riceva tutela nell’ordinamento e non anche in tutte quelle ipotesi in cui la tutela sia negata per ragioni di ordine processuale o per ragioni di merito. Nell’ipotesi </w:t>
      </w:r>
      <w:r w:rsidR="00A62913">
        <w:rPr>
          <w:rFonts w:ascii="Times New Roman" w:hAnsi="Times New Roman" w:cs="Times New Roman"/>
          <w:sz w:val="28"/>
          <w:szCs w:val="28"/>
        </w:rPr>
        <w:t>“abnorme”</w:t>
      </w:r>
      <w:r w:rsidR="00B564B6">
        <w:rPr>
          <w:rFonts w:ascii="Times New Roman" w:hAnsi="Times New Roman" w:cs="Times New Roman"/>
          <w:sz w:val="28"/>
          <w:szCs w:val="28"/>
        </w:rPr>
        <w:t xml:space="preserve"> io arriverei a</w:t>
      </w:r>
      <w:r w:rsidR="00A62913">
        <w:rPr>
          <w:rFonts w:ascii="Times New Roman" w:hAnsi="Times New Roman" w:cs="Times New Roman"/>
          <w:sz w:val="28"/>
          <w:szCs w:val="28"/>
        </w:rPr>
        <w:t>nche a comprendere</w:t>
      </w:r>
      <w:r w:rsidR="00B564B6">
        <w:rPr>
          <w:rFonts w:ascii="Times New Roman" w:hAnsi="Times New Roman" w:cs="Times New Roman"/>
          <w:sz w:val="28"/>
          <w:szCs w:val="28"/>
        </w:rPr>
        <w:t xml:space="preserve"> </w:t>
      </w:r>
      <w:r w:rsidR="00A62913">
        <w:rPr>
          <w:rFonts w:ascii="Times New Roman" w:hAnsi="Times New Roman" w:cs="Times New Roman"/>
          <w:sz w:val="28"/>
          <w:szCs w:val="28"/>
        </w:rPr>
        <w:t>una tesi che sostenga la ricorribilità per</w:t>
      </w:r>
      <w:r w:rsidR="00B564B6">
        <w:rPr>
          <w:rFonts w:ascii="Times New Roman" w:hAnsi="Times New Roman" w:cs="Times New Roman"/>
          <w:sz w:val="28"/>
          <w:szCs w:val="28"/>
        </w:rPr>
        <w:t xml:space="preserve"> cassazione, ma sono ipotesi, come si evince dalla stessa giurisprudenza della Corte, “estreme”. La Corte costituzionale è stata molto più </w:t>
      </w:r>
      <w:r w:rsidR="00B564B6" w:rsidRPr="00A62913">
        <w:rPr>
          <w:rFonts w:ascii="Times New Roman" w:hAnsi="Times New Roman" w:cs="Times New Roman"/>
          <w:i/>
          <w:sz w:val="28"/>
          <w:szCs w:val="28"/>
        </w:rPr>
        <w:t>tranchant</w:t>
      </w:r>
      <w:r w:rsidR="00B564B6">
        <w:rPr>
          <w:rFonts w:ascii="Times New Roman" w:hAnsi="Times New Roman" w:cs="Times New Roman"/>
          <w:sz w:val="28"/>
          <w:szCs w:val="28"/>
        </w:rPr>
        <w:t xml:space="preserve"> negando in assoluto la riconducibilità del diniego o dell’eccesso di giurisdizione (ovviamente non ci riferiamo allo sconfinamento </w:t>
      </w:r>
      <w:r w:rsidR="00A62913">
        <w:rPr>
          <w:rFonts w:ascii="Times New Roman" w:hAnsi="Times New Roman" w:cs="Times New Roman"/>
          <w:sz w:val="28"/>
          <w:szCs w:val="28"/>
        </w:rPr>
        <w:t>nell’attività legislativa o n</w:t>
      </w:r>
      <w:r w:rsidR="00B564B6">
        <w:rPr>
          <w:rFonts w:ascii="Times New Roman" w:hAnsi="Times New Roman" w:cs="Times New Roman"/>
          <w:sz w:val="28"/>
          <w:szCs w:val="28"/>
        </w:rPr>
        <w:t xml:space="preserve">el merito amministrativo, che pone altre problematiche) ai motivi inerenti alla giurisdizione. E la Corte di cassazione da circa due anni si è adeguata a questa interpretazione della norma costituzionale, </w:t>
      </w:r>
      <w:r w:rsidR="00A62913">
        <w:rPr>
          <w:rFonts w:ascii="Times New Roman" w:hAnsi="Times New Roman" w:cs="Times New Roman"/>
          <w:sz w:val="28"/>
          <w:szCs w:val="28"/>
        </w:rPr>
        <w:t xml:space="preserve">che, </w:t>
      </w:r>
      <w:r w:rsidR="00B564B6">
        <w:rPr>
          <w:rFonts w:ascii="Times New Roman" w:hAnsi="Times New Roman" w:cs="Times New Roman"/>
          <w:sz w:val="28"/>
          <w:szCs w:val="28"/>
        </w:rPr>
        <w:t>tutto sommato</w:t>
      </w:r>
      <w:r w:rsidR="00A62913">
        <w:rPr>
          <w:rFonts w:ascii="Times New Roman" w:hAnsi="Times New Roman" w:cs="Times New Roman"/>
          <w:sz w:val="28"/>
          <w:szCs w:val="28"/>
        </w:rPr>
        <w:t>, è stata</w:t>
      </w:r>
      <w:r w:rsidR="00B564B6">
        <w:rPr>
          <w:rFonts w:ascii="Times New Roman" w:hAnsi="Times New Roman" w:cs="Times New Roman"/>
          <w:sz w:val="28"/>
          <w:szCs w:val="28"/>
        </w:rPr>
        <w:t xml:space="preserve"> fornita dalla Corte costituzionale.</w:t>
      </w:r>
    </w:p>
    <w:p w:rsidR="00B564B6" w:rsidRDefault="00B564B6"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Se non che, con la nota ordinanza</w:t>
      </w:r>
      <w:r w:rsidR="00A62913">
        <w:rPr>
          <w:rFonts w:ascii="Times New Roman" w:hAnsi="Times New Roman" w:cs="Times New Roman"/>
          <w:sz w:val="28"/>
          <w:szCs w:val="28"/>
        </w:rPr>
        <w:t xml:space="preserve"> 18 settembre 2020 n. 19598 delle Sezioni unite</w:t>
      </w:r>
      <w:r>
        <w:rPr>
          <w:rFonts w:ascii="Times New Roman" w:hAnsi="Times New Roman" w:cs="Times New Roman"/>
          <w:sz w:val="28"/>
          <w:szCs w:val="28"/>
        </w:rPr>
        <w:t>, tutto è stato rimesso in discussione</w:t>
      </w:r>
      <w:r w:rsidR="00F472E3">
        <w:rPr>
          <w:rFonts w:ascii="Times New Roman" w:hAnsi="Times New Roman" w:cs="Times New Roman"/>
          <w:sz w:val="28"/>
          <w:szCs w:val="28"/>
        </w:rPr>
        <w:t xml:space="preserve"> (cosa lecita), per di pi</w:t>
      </w:r>
      <w:r>
        <w:rPr>
          <w:rFonts w:ascii="Times New Roman" w:hAnsi="Times New Roman" w:cs="Times New Roman"/>
          <w:sz w:val="28"/>
          <w:szCs w:val="28"/>
        </w:rPr>
        <w:t xml:space="preserve">ù dinanzi alla Corte di giustizia UE. E a tale riguardo, prescindendo dal merito della questione, </w:t>
      </w:r>
      <w:r w:rsidR="00F472E3">
        <w:rPr>
          <w:rFonts w:ascii="Times New Roman" w:hAnsi="Times New Roman" w:cs="Times New Roman"/>
          <w:sz w:val="28"/>
          <w:szCs w:val="28"/>
        </w:rPr>
        <w:t xml:space="preserve">ciò che colpisce dell’ordinanza di rinvio pregiudiziale –come osserva, tra gli altri, </w:t>
      </w:r>
      <w:r>
        <w:rPr>
          <w:rFonts w:ascii="Times New Roman" w:hAnsi="Times New Roman" w:cs="Times New Roman"/>
          <w:sz w:val="28"/>
          <w:szCs w:val="28"/>
        </w:rPr>
        <w:t>Beniamino Caravita</w:t>
      </w:r>
      <w:r>
        <w:rPr>
          <w:rStyle w:val="Rimandonotaapidipagina"/>
          <w:rFonts w:ascii="Times New Roman" w:hAnsi="Times New Roman" w:cs="Times New Roman"/>
          <w:sz w:val="28"/>
          <w:szCs w:val="28"/>
        </w:rPr>
        <w:footnoteReference w:id="5"/>
      </w:r>
      <w:r w:rsidR="00F472E3">
        <w:rPr>
          <w:rFonts w:ascii="Times New Roman" w:hAnsi="Times New Roman" w:cs="Times New Roman"/>
          <w:sz w:val="28"/>
          <w:szCs w:val="28"/>
        </w:rPr>
        <w:t>- è la rimessione</w:t>
      </w:r>
      <w:r w:rsidR="00A62913">
        <w:rPr>
          <w:rFonts w:ascii="Times New Roman" w:hAnsi="Times New Roman" w:cs="Times New Roman"/>
          <w:sz w:val="28"/>
          <w:szCs w:val="28"/>
        </w:rPr>
        <w:t xml:space="preserve"> a una corte sovranazionale</w:t>
      </w:r>
      <w:r w:rsidR="00F472E3">
        <w:rPr>
          <w:rFonts w:ascii="Times New Roman" w:hAnsi="Times New Roman" w:cs="Times New Roman"/>
          <w:sz w:val="28"/>
          <w:szCs w:val="28"/>
        </w:rPr>
        <w:t xml:space="preserve"> di una questione </w:t>
      </w:r>
      <w:r w:rsidR="00852167">
        <w:rPr>
          <w:rFonts w:ascii="Times New Roman" w:hAnsi="Times New Roman" w:cs="Times New Roman"/>
          <w:sz w:val="28"/>
          <w:szCs w:val="28"/>
        </w:rPr>
        <w:t>concernent</w:t>
      </w:r>
      <w:r w:rsidR="00F472E3">
        <w:rPr>
          <w:rFonts w:ascii="Times New Roman" w:hAnsi="Times New Roman" w:cs="Times New Roman"/>
          <w:sz w:val="28"/>
          <w:szCs w:val="28"/>
        </w:rPr>
        <w:t>e, tutto in una volta, una norma costituzionale, una sentenza della Corte costituzionale e l’assetto costituzionale e stratificatosi nel tempo della giurisdizione</w:t>
      </w:r>
      <w:r w:rsidR="00A62913">
        <w:rPr>
          <w:rFonts w:ascii="Times New Roman" w:hAnsi="Times New Roman" w:cs="Times New Roman"/>
          <w:sz w:val="28"/>
          <w:szCs w:val="28"/>
        </w:rPr>
        <w:t xml:space="preserve"> nella nostra Carta.</w:t>
      </w:r>
      <w:r w:rsidR="00F472E3">
        <w:rPr>
          <w:rFonts w:ascii="Times New Roman" w:hAnsi="Times New Roman" w:cs="Times New Roman"/>
          <w:sz w:val="28"/>
          <w:szCs w:val="28"/>
        </w:rPr>
        <w:t xml:space="preserve"> Dubito, con Caravita, che ciò sia mai avvenuto e mai pensavo potesse accadere. Tralascio la complessità, che talvolta si riduce a singolarità, di certe argomentazioni –e per la verità anche il tono- della sentenza; così come il caso sottoposto denota l’incertezza dei confini tra diniego di giurisdizione e insussistenza dei presupposti processuali e delle condizioni dell’azione (nella nota fattispecie del ricorso incidentale escludente in cui oramai l’Adunanza plenaria si è definitivamente adeguata alla Corte di giustizia). Ma queste breve notazioni mi sentirei di farle:</w:t>
      </w:r>
    </w:p>
    <w:p w:rsidR="00F472E3" w:rsidRDefault="00F472E3" w:rsidP="00F472E3">
      <w:pPr>
        <w:pStyle w:val="Paragrafoelenco"/>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Qual è il principio di diritto europeo che, in contrasto anche col principio dell’autonomia procedurale, impone un mezzo di impugnazione e tre gradi di giudizio a un ordinamento statale, prima di far scattare, in caso di violazione del diritto europeo, il principio di responsabilità dello Stato;</w:t>
      </w:r>
    </w:p>
    <w:p w:rsidR="00F472E3" w:rsidRDefault="00F472E3" w:rsidP="00F472E3">
      <w:pPr>
        <w:pStyle w:val="Paragrafoelenco"/>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Perché, pur in tale ottica, la Corte di cassazione è l’organo che meglio assicura la corretta interpretazione a livello nazionale del diritto europeo pur in materie che non rientrano nella propria giurisdizione;</w:t>
      </w:r>
    </w:p>
    <w:p w:rsidR="00F472E3" w:rsidRDefault="00F472E3" w:rsidP="00F472E3">
      <w:pPr>
        <w:pStyle w:val="Paragrafoelenco"/>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Se la Corte di giustizia affermasse tali princìpi, aprendo un conflitto diretto con la Corte costituzionale e indiretto con la Corte di vertice della giurisdizione amministrativa, come potrebbe negarsi che, applicando, questa volta correttamente</w:t>
      </w:r>
      <w:r w:rsidR="00852167">
        <w:rPr>
          <w:rFonts w:ascii="Times New Roman" w:hAnsi="Times New Roman" w:cs="Times New Roman"/>
          <w:sz w:val="28"/>
          <w:szCs w:val="28"/>
        </w:rPr>
        <w:t xml:space="preserve">, il principio di equivalenza, analoga protezione avverso gli errori di diritto non debba essere estesa anche </w:t>
      </w:r>
      <w:r w:rsidR="00896FDC">
        <w:rPr>
          <w:rFonts w:ascii="Times New Roman" w:hAnsi="Times New Roman" w:cs="Times New Roman"/>
          <w:sz w:val="28"/>
          <w:szCs w:val="28"/>
        </w:rPr>
        <w:t>al</w:t>
      </w:r>
      <w:r w:rsidR="00852167">
        <w:rPr>
          <w:rFonts w:ascii="Times New Roman" w:hAnsi="Times New Roman" w:cs="Times New Roman"/>
          <w:sz w:val="28"/>
          <w:szCs w:val="28"/>
        </w:rPr>
        <w:t>le situazioni non di derivazione comunitaria.</w:t>
      </w:r>
    </w:p>
    <w:p w:rsidR="004E2F28" w:rsidRDefault="00852167"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E’quest’ultima la tesi sostenuta da</w:t>
      </w:r>
      <w:r w:rsidR="00EE0362">
        <w:rPr>
          <w:rFonts w:ascii="Times New Roman" w:hAnsi="Times New Roman" w:cs="Times New Roman"/>
          <w:sz w:val="28"/>
          <w:szCs w:val="28"/>
        </w:rPr>
        <w:t>gli</w:t>
      </w:r>
      <w:r>
        <w:rPr>
          <w:rFonts w:ascii="Times New Roman" w:hAnsi="Times New Roman" w:cs="Times New Roman"/>
          <w:sz w:val="28"/>
          <w:szCs w:val="28"/>
        </w:rPr>
        <w:t xml:space="preserve"> autorevoli processualcivilisti </w:t>
      </w:r>
      <w:r w:rsidR="00EE0362">
        <w:rPr>
          <w:rFonts w:ascii="Times New Roman" w:hAnsi="Times New Roman" w:cs="Times New Roman"/>
          <w:sz w:val="28"/>
          <w:szCs w:val="28"/>
        </w:rPr>
        <w:t xml:space="preserve">nel </w:t>
      </w:r>
      <w:r>
        <w:rPr>
          <w:rFonts w:ascii="Times New Roman" w:hAnsi="Times New Roman" w:cs="Times New Roman"/>
          <w:sz w:val="28"/>
          <w:szCs w:val="28"/>
        </w:rPr>
        <w:t xml:space="preserve">saggio a sei mani </w:t>
      </w:r>
      <w:r w:rsidR="00EE0362">
        <w:rPr>
          <w:rFonts w:ascii="Times New Roman" w:hAnsi="Times New Roman" w:cs="Times New Roman"/>
          <w:sz w:val="28"/>
          <w:szCs w:val="28"/>
        </w:rPr>
        <w:t xml:space="preserve">sopra richiamato; </w:t>
      </w:r>
      <w:r>
        <w:rPr>
          <w:rFonts w:ascii="Times New Roman" w:hAnsi="Times New Roman" w:cs="Times New Roman"/>
          <w:sz w:val="28"/>
          <w:szCs w:val="28"/>
        </w:rPr>
        <w:t>e sorge il dubbio che sia questo il retropensiero dell’ordinanza della Corte di cassazione. Ma una tale conclusione oggettivamente sovvertirebbe l’assetto costituzionale “per via giudiziaria”.</w:t>
      </w:r>
    </w:p>
    <w:p w:rsidR="00EE0362" w:rsidRDefault="00EE0362"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Né varrebbe la soluzione, prospettata </w:t>
      </w:r>
      <w:r w:rsidRPr="00EE0362">
        <w:rPr>
          <w:rFonts w:ascii="Times New Roman" w:hAnsi="Times New Roman" w:cs="Times New Roman"/>
          <w:i/>
          <w:sz w:val="28"/>
          <w:szCs w:val="28"/>
        </w:rPr>
        <w:t>de Constitutione condenda</w:t>
      </w:r>
      <w:r>
        <w:rPr>
          <w:rFonts w:ascii="Times New Roman" w:hAnsi="Times New Roman" w:cs="Times New Roman"/>
          <w:sz w:val="28"/>
          <w:szCs w:val="28"/>
        </w:rPr>
        <w:t>, della giurisdizione unica, su cui non è certo il caso di soffermarsi. Una simile riforma apparirebbe fuori contesto temporale nel panorama europeo, in cui numerosi sono i modelli di doppia giurisdizione anche se non sempre secondo il modello francese (dal quale oramai di scosta significativamente anche il nostro) e comunque non mi sembra il problema più importante del nostro ordinamento giudiziario, almeno se non lo si guardi in un’ottica ideologica bensì di funzionalità del servizio.</w:t>
      </w:r>
    </w:p>
    <w:p w:rsidR="00EE0362" w:rsidRDefault="00EE0362"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 in realtà, non è la doppia giurisdizione in sé che crea il problema, ma piuttosto, come si è accennato, il criterio di riparto (molto più complicato di quello per esempio adottato in Germania) e l’assenza di un tribunale dei conflitti, come in Francia. Per converso, le questioni di competenza tra Sezione per le controversie amministrative e Sezioni per le altre controversie della Corte suprema spagnola dimostrano che anche in un sistema formalmente di giurisdizione unica </w:t>
      </w:r>
      <w:r w:rsidR="006409E7">
        <w:rPr>
          <w:rFonts w:ascii="Times New Roman" w:hAnsi="Times New Roman" w:cs="Times New Roman"/>
          <w:sz w:val="28"/>
          <w:szCs w:val="28"/>
        </w:rPr>
        <w:t>problemi possono insorgere.</w:t>
      </w:r>
    </w:p>
    <w:p w:rsidR="001351BA" w:rsidRDefault="00852167"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Chi mi conosce, e mi rivolgo soprattutto al presidente Rordorf, con il quale ho avuto in passato l’onore, insieme con altri colleghi ordinari e amministrativi, di coltivare spazi di convergenza e leale cooperazione tra giurisdizioni, sa che, forse anche per carattere, sono persona che pensa che tutto possa risolversi col dialogo e col confronto anche dialettico, purché nel rispetto delle posizioni. </w:t>
      </w:r>
      <w:r w:rsidR="006409E7">
        <w:rPr>
          <w:rFonts w:ascii="Times New Roman" w:hAnsi="Times New Roman" w:cs="Times New Roman"/>
          <w:sz w:val="28"/>
          <w:szCs w:val="28"/>
        </w:rPr>
        <w:t>Però, c</w:t>
      </w:r>
      <w:r w:rsidR="00295902" w:rsidRPr="00295902">
        <w:rPr>
          <w:rFonts w:ascii="Times New Roman" w:hAnsi="Times New Roman" w:cs="Times New Roman"/>
          <w:sz w:val="28"/>
          <w:szCs w:val="28"/>
        </w:rPr>
        <w:t xml:space="preserve">he in un momento di positivo “attraversamento dei confini” </w:t>
      </w:r>
      <w:r>
        <w:rPr>
          <w:rFonts w:ascii="Times New Roman" w:hAnsi="Times New Roman" w:cs="Times New Roman"/>
          <w:sz w:val="28"/>
          <w:szCs w:val="28"/>
        </w:rPr>
        <w:t xml:space="preserve">da parte </w:t>
      </w:r>
      <w:r w:rsidR="00295902" w:rsidRPr="00295902">
        <w:rPr>
          <w:rFonts w:ascii="Times New Roman" w:hAnsi="Times New Roman" w:cs="Times New Roman"/>
          <w:sz w:val="28"/>
          <w:szCs w:val="28"/>
        </w:rPr>
        <w:t>delle Corti, di un dialogo “competititivo</w:t>
      </w:r>
      <w:r w:rsidR="00295902">
        <w:rPr>
          <w:rFonts w:ascii="Times New Roman" w:hAnsi="Times New Roman" w:cs="Times New Roman"/>
          <w:sz w:val="28"/>
          <w:szCs w:val="28"/>
        </w:rPr>
        <w:t>”</w:t>
      </w:r>
      <w:r w:rsidR="00295902" w:rsidRPr="00295902">
        <w:rPr>
          <w:rFonts w:ascii="Times New Roman" w:hAnsi="Times New Roman" w:cs="Times New Roman"/>
          <w:sz w:val="28"/>
          <w:szCs w:val="28"/>
        </w:rPr>
        <w:t xml:space="preserve"> ma proficuo tra Corti nazionali e Corti sovranazionali, di un dialogo orizzontale tra Corti dei vari Stati nel segno della convergenza e della pienezza delle tutele, mi sembra frutto di provincialismo giudiziario</w:t>
      </w:r>
      <w:r w:rsidR="006409E7">
        <w:rPr>
          <w:rFonts w:ascii="Times New Roman" w:hAnsi="Times New Roman" w:cs="Times New Roman"/>
          <w:sz w:val="28"/>
          <w:szCs w:val="28"/>
        </w:rPr>
        <w:t xml:space="preserve"> e di una logica autoreferenziale che insorga</w:t>
      </w:r>
      <w:r w:rsidR="00295902" w:rsidRPr="00295902">
        <w:rPr>
          <w:rFonts w:ascii="Times New Roman" w:hAnsi="Times New Roman" w:cs="Times New Roman"/>
          <w:sz w:val="28"/>
          <w:szCs w:val="28"/>
        </w:rPr>
        <w:t xml:space="preserve"> una forma di “attraversamento dei confini” c</w:t>
      </w:r>
      <w:r w:rsidR="006409E7">
        <w:rPr>
          <w:rFonts w:ascii="Times New Roman" w:hAnsi="Times New Roman" w:cs="Times New Roman"/>
          <w:sz w:val="28"/>
          <w:szCs w:val="28"/>
        </w:rPr>
        <w:t xml:space="preserve">on le sembianze </w:t>
      </w:r>
      <w:r w:rsidR="00145330">
        <w:rPr>
          <w:rFonts w:ascii="Times New Roman" w:hAnsi="Times New Roman" w:cs="Times New Roman"/>
          <w:sz w:val="28"/>
          <w:szCs w:val="28"/>
        </w:rPr>
        <w:t>di uno “sconfinamento”,</w:t>
      </w:r>
      <w:r w:rsidR="00295902" w:rsidRPr="00295902">
        <w:rPr>
          <w:rFonts w:ascii="Times New Roman" w:hAnsi="Times New Roman" w:cs="Times New Roman"/>
          <w:sz w:val="28"/>
          <w:szCs w:val="28"/>
        </w:rPr>
        <w:t xml:space="preserve"> </w:t>
      </w:r>
      <w:r w:rsidR="00C71C2A">
        <w:rPr>
          <w:rFonts w:ascii="Times New Roman" w:hAnsi="Times New Roman" w:cs="Times New Roman"/>
          <w:sz w:val="28"/>
          <w:szCs w:val="28"/>
        </w:rPr>
        <w:t xml:space="preserve">una sorta di </w:t>
      </w:r>
      <w:r w:rsidR="00C71C2A" w:rsidRPr="00C71C2A">
        <w:rPr>
          <w:rFonts w:ascii="Times New Roman" w:hAnsi="Times New Roman" w:cs="Times New Roman"/>
          <w:i/>
          <w:sz w:val="28"/>
          <w:szCs w:val="28"/>
        </w:rPr>
        <w:t>trespassing</w:t>
      </w:r>
      <w:r w:rsidR="00C71C2A">
        <w:rPr>
          <w:rFonts w:ascii="Times New Roman" w:hAnsi="Times New Roman" w:cs="Times New Roman"/>
          <w:sz w:val="28"/>
          <w:szCs w:val="28"/>
        </w:rPr>
        <w:t xml:space="preserve">, </w:t>
      </w:r>
      <w:r w:rsidR="006409E7">
        <w:rPr>
          <w:rFonts w:ascii="Times New Roman" w:hAnsi="Times New Roman" w:cs="Times New Roman"/>
          <w:sz w:val="28"/>
          <w:szCs w:val="28"/>
        </w:rPr>
        <w:t>più simile</w:t>
      </w:r>
      <w:r w:rsidR="00295902" w:rsidRPr="00295902">
        <w:rPr>
          <w:rFonts w:ascii="Times New Roman" w:hAnsi="Times New Roman" w:cs="Times New Roman"/>
          <w:sz w:val="28"/>
          <w:szCs w:val="28"/>
        </w:rPr>
        <w:t xml:space="preserve"> a una </w:t>
      </w:r>
      <w:r w:rsidR="006409E7">
        <w:rPr>
          <w:rFonts w:ascii="Times New Roman" w:hAnsi="Times New Roman" w:cs="Times New Roman"/>
          <w:sz w:val="28"/>
          <w:szCs w:val="28"/>
        </w:rPr>
        <w:t xml:space="preserve">sorta </w:t>
      </w:r>
      <w:r w:rsidR="00295902" w:rsidRPr="00295902">
        <w:rPr>
          <w:rFonts w:ascii="Times New Roman" w:hAnsi="Times New Roman" w:cs="Times New Roman"/>
          <w:sz w:val="28"/>
          <w:szCs w:val="28"/>
        </w:rPr>
        <w:t xml:space="preserve">di </w:t>
      </w:r>
      <w:r w:rsidR="00295902" w:rsidRPr="00295902">
        <w:rPr>
          <w:rFonts w:ascii="Times New Roman" w:hAnsi="Times New Roman" w:cs="Times New Roman"/>
          <w:i/>
          <w:sz w:val="28"/>
          <w:szCs w:val="28"/>
        </w:rPr>
        <w:t>Jurisdiction Grabbing,</w:t>
      </w:r>
      <w:r w:rsidR="00295902" w:rsidRPr="00295902">
        <w:rPr>
          <w:rFonts w:ascii="Times New Roman" w:hAnsi="Times New Roman" w:cs="Times New Roman"/>
          <w:sz w:val="28"/>
          <w:szCs w:val="28"/>
        </w:rPr>
        <w:t xml:space="preserve"> parafrasando il fenomeno del </w:t>
      </w:r>
      <w:r w:rsidR="00295902" w:rsidRPr="00295902">
        <w:rPr>
          <w:rFonts w:ascii="Times New Roman" w:hAnsi="Times New Roman" w:cs="Times New Roman"/>
          <w:i/>
          <w:sz w:val="28"/>
          <w:szCs w:val="28"/>
        </w:rPr>
        <w:t>Land Grabbing</w:t>
      </w:r>
      <w:r w:rsidR="00295902" w:rsidRPr="00295902">
        <w:rPr>
          <w:rFonts w:ascii="Times New Roman" w:hAnsi="Times New Roman" w:cs="Times New Roman"/>
          <w:sz w:val="28"/>
          <w:szCs w:val="28"/>
        </w:rPr>
        <w:t xml:space="preserve"> (cioè l’accaparramento di terre da parte delle multi</w:t>
      </w:r>
      <w:r w:rsidR="00145330">
        <w:rPr>
          <w:rFonts w:ascii="Times New Roman" w:hAnsi="Times New Roman" w:cs="Times New Roman"/>
          <w:sz w:val="28"/>
          <w:szCs w:val="28"/>
        </w:rPr>
        <w:t>n</w:t>
      </w:r>
      <w:r w:rsidR="00295902" w:rsidRPr="00295902">
        <w:rPr>
          <w:rFonts w:ascii="Times New Roman" w:hAnsi="Times New Roman" w:cs="Times New Roman"/>
          <w:sz w:val="28"/>
          <w:szCs w:val="28"/>
        </w:rPr>
        <w:t>azionali dell</w:t>
      </w:r>
      <w:r w:rsidR="00145330">
        <w:rPr>
          <w:rFonts w:ascii="Times New Roman" w:hAnsi="Times New Roman" w:cs="Times New Roman"/>
          <w:sz w:val="28"/>
          <w:szCs w:val="28"/>
        </w:rPr>
        <w:t>’</w:t>
      </w:r>
      <w:r w:rsidR="00145330" w:rsidRPr="00145330">
        <w:rPr>
          <w:rFonts w:ascii="Times New Roman" w:hAnsi="Times New Roman" w:cs="Times New Roman"/>
          <w:i/>
          <w:sz w:val="28"/>
          <w:szCs w:val="28"/>
        </w:rPr>
        <w:t>agri</w:t>
      </w:r>
      <w:r w:rsidR="00295902" w:rsidRPr="00145330">
        <w:rPr>
          <w:rFonts w:ascii="Times New Roman" w:hAnsi="Times New Roman" w:cs="Times New Roman"/>
          <w:i/>
          <w:sz w:val="28"/>
          <w:szCs w:val="28"/>
        </w:rPr>
        <w:t>business</w:t>
      </w:r>
      <w:r w:rsidR="00295902" w:rsidRPr="00295902">
        <w:rPr>
          <w:rFonts w:ascii="Times New Roman" w:hAnsi="Times New Roman" w:cs="Times New Roman"/>
          <w:sz w:val="28"/>
          <w:szCs w:val="28"/>
        </w:rPr>
        <w:t>), cioè di accaparramento di giurisdizione svolto nell’ottica di rivendicazione di poteri tra Corti anzi che di messa a disposizione dei cittadini, e non solo, di un sistema pieno, integrato e soprattutto armonico di tutele.</w:t>
      </w:r>
      <w:r w:rsidR="00145330">
        <w:rPr>
          <w:rFonts w:ascii="Times New Roman" w:hAnsi="Times New Roman" w:cs="Times New Roman"/>
          <w:sz w:val="28"/>
          <w:szCs w:val="28"/>
        </w:rPr>
        <w:t xml:space="preserve"> Che è invece ciò di cui avremmo bisogno.</w:t>
      </w:r>
    </w:p>
    <w:p w:rsidR="00E97640" w:rsidRDefault="00E97640"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Il luogo di questo dialogo sono incontri come questo, sono gli scritti della dottrina,</w:t>
      </w:r>
      <w:r w:rsidR="00852167">
        <w:rPr>
          <w:rFonts w:ascii="Times New Roman" w:hAnsi="Times New Roman" w:cs="Times New Roman"/>
          <w:sz w:val="28"/>
          <w:szCs w:val="28"/>
        </w:rPr>
        <w:t xml:space="preserve"> sono gli Uffici studi delle rispettive Corti,</w:t>
      </w:r>
      <w:r>
        <w:rPr>
          <w:rFonts w:ascii="Times New Roman" w:hAnsi="Times New Roman" w:cs="Times New Roman"/>
          <w:sz w:val="28"/>
          <w:szCs w:val="28"/>
        </w:rPr>
        <w:t xml:space="preserve"> sono le sentenze. Sentenze che siano il frutto della capacità dei magistrati di cogliere il fatto e il diritto dei casi loro sottoposti, che sono prima di tutto vicende di vita, e di “ascoltare” gli avvocati con il metodo del confronto dialettico. E capacità degli avvocati non semplicemente di “vincere la causa”, che è ovviamente cosa comprensibile e conforme alla deontologia, ma di sentirsi parte attiva di un sistema di tutele di cui nessuno può ritenersi detentore assoluto né sufficiente.</w:t>
      </w:r>
      <w:r w:rsidR="00C27535">
        <w:rPr>
          <w:rFonts w:ascii="Times New Roman" w:hAnsi="Times New Roman" w:cs="Times New Roman"/>
          <w:sz w:val="28"/>
          <w:szCs w:val="28"/>
        </w:rPr>
        <w:t xml:space="preserve"> </w:t>
      </w:r>
    </w:p>
    <w:p w:rsidR="00C71C2A" w:rsidRDefault="00C71C2A" w:rsidP="001453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Il luogo principe delle tutele è il processo. E segnatamente l’udienza. In questi tempi emergenziali abbiamo sperimentato grazie all’innovazione digitale, il processo da remoto, prima nella forma opinabile del contraddittorio cartolare coatto, poi con la partecipazione dei difensori da remoto. Non mi convinceva il contraddittorio cartolare coatto, cioè la decisione sulla base degli scritti –pur presente in via ordinaria in altri processi, presso Corti nazionali e non; non mi convince la partecipazione all’udienza indifferentemente in presenza o da remoto di giudici o avvocati, comodamente “seduti sul divano di casa”, come ho letto di recente </w:t>
      </w:r>
      <w:r w:rsidR="006409E7">
        <w:rPr>
          <w:rFonts w:ascii="Times New Roman" w:hAnsi="Times New Roman" w:cs="Times New Roman"/>
          <w:sz w:val="28"/>
          <w:szCs w:val="28"/>
        </w:rPr>
        <w:t>nell’</w:t>
      </w:r>
      <w:r>
        <w:rPr>
          <w:rFonts w:ascii="Times New Roman" w:hAnsi="Times New Roman" w:cs="Times New Roman"/>
          <w:sz w:val="28"/>
          <w:szCs w:val="28"/>
        </w:rPr>
        <w:t>intervento di un avvocato sulla stampa. Il confronto con lo schermo del computer può essere una necessità nel bilanciamento per far andare avanti la giustizia in periodo emergenziale, e in questo il processo da remoto ha dato buona prova di sé; e forse può tornare utile in periodo ordinario per attività “collaterali” al processo (</w:t>
      </w:r>
      <w:r w:rsidR="006409E7">
        <w:rPr>
          <w:rFonts w:ascii="Times New Roman" w:hAnsi="Times New Roman" w:cs="Times New Roman"/>
          <w:sz w:val="28"/>
          <w:szCs w:val="28"/>
        </w:rPr>
        <w:t>es.</w:t>
      </w:r>
      <w:r>
        <w:rPr>
          <w:rFonts w:ascii="Times New Roman" w:hAnsi="Times New Roman" w:cs="Times New Roman"/>
          <w:sz w:val="28"/>
          <w:szCs w:val="28"/>
        </w:rPr>
        <w:t>giuramento del c.t.u.).</w:t>
      </w:r>
      <w:r w:rsidR="00620CE6">
        <w:rPr>
          <w:rFonts w:ascii="Times New Roman" w:hAnsi="Times New Roman" w:cs="Times New Roman"/>
          <w:sz w:val="28"/>
          <w:szCs w:val="28"/>
        </w:rPr>
        <w:t xml:space="preserve"> L’udienza non è una pratica amministrativa da sbrigare, come chiedere </w:t>
      </w:r>
      <w:r w:rsidR="00620CE6" w:rsidRPr="00846A55">
        <w:rPr>
          <w:rFonts w:ascii="Times New Roman" w:hAnsi="Times New Roman" w:cs="Times New Roman"/>
          <w:i/>
          <w:sz w:val="28"/>
          <w:szCs w:val="28"/>
        </w:rPr>
        <w:t>on line</w:t>
      </w:r>
      <w:r w:rsidR="00620CE6">
        <w:rPr>
          <w:rFonts w:ascii="Times New Roman" w:hAnsi="Times New Roman" w:cs="Times New Roman"/>
          <w:sz w:val="28"/>
          <w:szCs w:val="28"/>
        </w:rPr>
        <w:t xml:space="preserve"> gli estremi catastali di un edificio o iscriversi all’Asl. Discutere o non discutere una causa non può discendere dalla maggiore o minore comodità. Recarsi o non recarsi in udienza non può equivalere a vedersi o meno al bar: né per gli avvocati tra loro che devono confrontarsi, né per i giudici che a lungo andare nemmeno si conoscerebbero tra loro.</w:t>
      </w:r>
      <w:r>
        <w:rPr>
          <w:rFonts w:ascii="Times New Roman" w:hAnsi="Times New Roman" w:cs="Times New Roman"/>
          <w:sz w:val="28"/>
          <w:szCs w:val="28"/>
        </w:rPr>
        <w:t xml:space="preserve"> </w:t>
      </w:r>
      <w:r w:rsidR="00620CE6">
        <w:rPr>
          <w:rFonts w:ascii="Times New Roman" w:hAnsi="Times New Roman" w:cs="Times New Roman"/>
          <w:sz w:val="28"/>
          <w:szCs w:val="28"/>
        </w:rPr>
        <w:t>Resto convinto che il</w:t>
      </w:r>
      <w:r>
        <w:rPr>
          <w:rFonts w:ascii="Times New Roman" w:hAnsi="Times New Roman" w:cs="Times New Roman"/>
          <w:sz w:val="28"/>
          <w:szCs w:val="28"/>
        </w:rPr>
        <w:t xml:space="preserve"> processo</w:t>
      </w:r>
      <w:r w:rsidR="00620CE6">
        <w:rPr>
          <w:rFonts w:ascii="Times New Roman" w:hAnsi="Times New Roman" w:cs="Times New Roman"/>
          <w:sz w:val="28"/>
          <w:szCs w:val="28"/>
        </w:rPr>
        <w:t xml:space="preserve"> è il processo in presenza; è il momento di condivisione tra giudici e avvocati; e la condivisione crea l’aggregazione, l’</w:t>
      </w:r>
      <w:r w:rsidR="00620CE6" w:rsidRPr="00620CE6">
        <w:rPr>
          <w:rFonts w:ascii="Times New Roman" w:hAnsi="Times New Roman" w:cs="Times New Roman"/>
          <w:i/>
          <w:sz w:val="28"/>
          <w:szCs w:val="28"/>
        </w:rPr>
        <w:t xml:space="preserve">in idem sentire </w:t>
      </w:r>
      <w:r w:rsidR="00620CE6">
        <w:rPr>
          <w:rFonts w:ascii="Times New Roman" w:hAnsi="Times New Roman" w:cs="Times New Roman"/>
          <w:sz w:val="28"/>
          <w:szCs w:val="28"/>
        </w:rPr>
        <w:t>tra gli attori del processo. Il processo virtuale in via ordinaria sarebbe un non-processo. E non vi sarebbe ragione di tenere aperti i tribunali, se non, forse, in qualche appar</w:t>
      </w:r>
      <w:r w:rsidR="00852167">
        <w:rPr>
          <w:rFonts w:ascii="Times New Roman" w:hAnsi="Times New Roman" w:cs="Times New Roman"/>
          <w:sz w:val="28"/>
          <w:szCs w:val="28"/>
        </w:rPr>
        <w:t>tamento di pochi metri quadrati, dove allocare le macchine e qualche tecnico della manutenzione. Fino a che anche questa non possa essere completamente assicurata da remoto.</w:t>
      </w:r>
    </w:p>
    <w:p w:rsidR="003B2550" w:rsidRDefault="003B2550" w:rsidP="00145330">
      <w:pPr>
        <w:spacing w:line="360" w:lineRule="auto"/>
        <w:jc w:val="both"/>
        <w:rPr>
          <w:rFonts w:ascii="Times New Roman" w:hAnsi="Times New Roman" w:cs="Times New Roman"/>
          <w:sz w:val="28"/>
          <w:szCs w:val="28"/>
        </w:rPr>
      </w:pPr>
    </w:p>
    <w:p w:rsidR="003B2550" w:rsidRPr="003B6855" w:rsidRDefault="003B2550" w:rsidP="003B2550">
      <w:pPr>
        <w:spacing w:line="360" w:lineRule="auto"/>
        <w:jc w:val="right"/>
        <w:rPr>
          <w:rFonts w:ascii="Times New Roman" w:hAnsi="Times New Roman" w:cs="Times New Roman"/>
          <w:b/>
          <w:sz w:val="28"/>
          <w:szCs w:val="28"/>
        </w:rPr>
      </w:pPr>
      <w:bookmarkStart w:id="0" w:name="_GoBack"/>
      <w:r w:rsidRPr="003B6855">
        <w:rPr>
          <w:rFonts w:ascii="Times New Roman" w:hAnsi="Times New Roman" w:cs="Times New Roman"/>
          <w:b/>
          <w:sz w:val="28"/>
          <w:szCs w:val="28"/>
        </w:rPr>
        <w:t>Filippo Patroni Griffi</w:t>
      </w:r>
    </w:p>
    <w:bookmarkEnd w:id="0"/>
    <w:p w:rsidR="003B6855" w:rsidRDefault="003B6855" w:rsidP="003B2550">
      <w:pPr>
        <w:spacing w:line="360" w:lineRule="auto"/>
        <w:jc w:val="right"/>
        <w:rPr>
          <w:rFonts w:ascii="Times New Roman" w:hAnsi="Times New Roman" w:cs="Times New Roman"/>
          <w:sz w:val="28"/>
          <w:szCs w:val="28"/>
        </w:rPr>
      </w:pPr>
      <w:r>
        <w:rPr>
          <w:rFonts w:ascii="Times New Roman" w:hAnsi="Times New Roman" w:cs="Times New Roman"/>
          <w:sz w:val="28"/>
          <w:szCs w:val="28"/>
        </w:rPr>
        <w:t>Presidente del Consiglio di Stato</w:t>
      </w:r>
    </w:p>
    <w:p w:rsidR="003B6855" w:rsidRPr="003B6855" w:rsidRDefault="003B6855" w:rsidP="003B2550">
      <w:pPr>
        <w:spacing w:line="360" w:lineRule="auto"/>
        <w:jc w:val="right"/>
        <w:rPr>
          <w:rFonts w:ascii="Times New Roman" w:hAnsi="Times New Roman" w:cs="Times New Roman"/>
        </w:rPr>
      </w:pPr>
      <w:r w:rsidRPr="003B6855">
        <w:rPr>
          <w:rFonts w:ascii="Times New Roman" w:hAnsi="Times New Roman" w:cs="Times New Roman"/>
        </w:rPr>
        <w:t>Pubblicato il 13 novembre 2020</w:t>
      </w:r>
    </w:p>
    <w:sectPr w:rsidR="003B6855" w:rsidRPr="003B685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CA3" w:rsidRDefault="00A70CA3" w:rsidP="00A70CA3">
      <w:pPr>
        <w:spacing w:after="0" w:line="240" w:lineRule="auto"/>
      </w:pPr>
      <w:r>
        <w:separator/>
      </w:r>
    </w:p>
  </w:endnote>
  <w:endnote w:type="continuationSeparator" w:id="0">
    <w:p w:rsidR="00A70CA3" w:rsidRDefault="00A70CA3" w:rsidP="00A7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196703"/>
      <w:docPartObj>
        <w:docPartGallery w:val="Page Numbers (Bottom of Page)"/>
        <w:docPartUnique/>
      </w:docPartObj>
    </w:sdtPr>
    <w:sdtEndPr/>
    <w:sdtContent>
      <w:p w:rsidR="00092EA4" w:rsidRDefault="00092EA4">
        <w:pPr>
          <w:pStyle w:val="Pidipagina"/>
          <w:jc w:val="right"/>
        </w:pPr>
        <w:r>
          <w:fldChar w:fldCharType="begin"/>
        </w:r>
        <w:r>
          <w:instrText>PAGE   \* MERGEFORMAT</w:instrText>
        </w:r>
        <w:r>
          <w:fldChar w:fldCharType="separate"/>
        </w:r>
        <w:r w:rsidR="00A70346">
          <w:rPr>
            <w:noProof/>
          </w:rPr>
          <w:t>13</w:t>
        </w:r>
        <w:r>
          <w:fldChar w:fldCharType="end"/>
        </w:r>
      </w:p>
    </w:sdtContent>
  </w:sdt>
  <w:p w:rsidR="00092EA4" w:rsidRDefault="00092E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CA3" w:rsidRDefault="00A70CA3" w:rsidP="00A70CA3">
      <w:pPr>
        <w:spacing w:after="0" w:line="240" w:lineRule="auto"/>
      </w:pPr>
      <w:r>
        <w:separator/>
      </w:r>
    </w:p>
  </w:footnote>
  <w:footnote w:type="continuationSeparator" w:id="0">
    <w:p w:rsidR="00A70CA3" w:rsidRDefault="00A70CA3" w:rsidP="00A70CA3">
      <w:pPr>
        <w:spacing w:after="0" w:line="240" w:lineRule="auto"/>
      </w:pPr>
      <w:r>
        <w:continuationSeparator/>
      </w:r>
    </w:p>
  </w:footnote>
  <w:footnote w:id="1">
    <w:p w:rsidR="00A70CA3" w:rsidRDefault="00A70CA3">
      <w:pPr>
        <w:pStyle w:val="Testonotaapidipagina"/>
      </w:pPr>
      <w:r>
        <w:rPr>
          <w:rStyle w:val="Rimandonotaapidipagina"/>
        </w:rPr>
        <w:footnoteRef/>
      </w:r>
      <w:r>
        <w:t xml:space="preserve"> M.R. Ferrarese, </w:t>
      </w:r>
      <w:r w:rsidRPr="00A70CA3">
        <w:rPr>
          <w:i/>
        </w:rPr>
        <w:t>I confini e la voglia di attraversarli</w:t>
      </w:r>
      <w:r>
        <w:t xml:space="preserve">, in </w:t>
      </w:r>
      <w:r w:rsidRPr="00A70CA3">
        <w:rPr>
          <w:i/>
        </w:rPr>
        <w:t>Attraversare i confini del diritto</w:t>
      </w:r>
      <w:r>
        <w:t>, a cura di L.Torchia, Bologna 2016, 55 ss.</w:t>
      </w:r>
    </w:p>
  </w:footnote>
  <w:footnote w:id="2">
    <w:p w:rsidR="00495531" w:rsidRDefault="00495531">
      <w:pPr>
        <w:pStyle w:val="Testonotaapidipagina"/>
      </w:pPr>
      <w:r>
        <w:rPr>
          <w:rStyle w:val="Rimandonotaapidipagina"/>
        </w:rPr>
        <w:footnoteRef/>
      </w:r>
      <w:r>
        <w:t xml:space="preserve"> G.Greco, </w:t>
      </w:r>
      <w:r w:rsidRPr="00495531">
        <w:rPr>
          <w:i/>
        </w:rPr>
        <w:t>Coronavirus e appalti (A proposito dell’art.125 c.p.a.</w:t>
      </w:r>
      <w:r>
        <w:rPr>
          <w:i/>
        </w:rPr>
        <w:t>)</w:t>
      </w:r>
      <w:r>
        <w:t xml:space="preserve">, in </w:t>
      </w:r>
      <w:r w:rsidRPr="00495531">
        <w:rPr>
          <w:i/>
        </w:rPr>
        <w:t>Riv.It.Dir.Pubbl.Comunit.</w:t>
      </w:r>
      <w:r>
        <w:t xml:space="preserve"> 2020, 517 ss.</w:t>
      </w:r>
    </w:p>
  </w:footnote>
  <w:footnote w:id="3">
    <w:p w:rsidR="00B564B6" w:rsidRDefault="00B564B6">
      <w:pPr>
        <w:pStyle w:val="Testonotaapidipagina"/>
      </w:pPr>
      <w:r>
        <w:rPr>
          <w:rStyle w:val="Rimandonotaapidipagina"/>
        </w:rPr>
        <w:footnoteRef/>
      </w:r>
      <w:r>
        <w:t xml:space="preserve"> </w:t>
      </w:r>
      <w:r w:rsidRPr="00B564B6">
        <w:rPr>
          <w:i/>
        </w:rPr>
        <w:t xml:space="preserve">Ancora sui limiti rispettivi delle attribuzioni dell’autorità giudiziaria e della autorità amministrativa, </w:t>
      </w:r>
      <w:r w:rsidRPr="00B564B6">
        <w:t>in</w:t>
      </w:r>
      <w:r w:rsidRPr="00B564B6">
        <w:rPr>
          <w:i/>
        </w:rPr>
        <w:t xml:space="preserve"> Giur.it.</w:t>
      </w:r>
      <w:r>
        <w:t xml:space="preserve"> 1897, I, 1, 1034</w:t>
      </w:r>
    </w:p>
  </w:footnote>
  <w:footnote w:id="4">
    <w:p w:rsidR="00B3598D" w:rsidRDefault="00B3598D">
      <w:pPr>
        <w:pStyle w:val="Testonotaapidipagina"/>
      </w:pPr>
      <w:r>
        <w:rPr>
          <w:rStyle w:val="Rimandonotaapidipagina"/>
        </w:rPr>
        <w:footnoteRef/>
      </w:r>
      <w:r>
        <w:t xml:space="preserve"> </w:t>
      </w:r>
      <w:r w:rsidR="00A62913">
        <w:t xml:space="preserve">G.Costantino, A.Carratta, G.Ruffini, Limiti esterni e giurisdizione: il contrasto fra Sezioni unite e Corte costituzionale arriva alla Corte UE, in </w:t>
      </w:r>
      <w:hyperlink r:id="rId1" w:history="1">
        <w:r w:rsidR="00A62913" w:rsidRPr="00B12F94">
          <w:rPr>
            <w:rStyle w:val="Collegamentoipertestuale"/>
          </w:rPr>
          <w:t>www.questionegiustizia.it</w:t>
        </w:r>
      </w:hyperlink>
      <w:r w:rsidR="00A62913">
        <w:t xml:space="preserve"> . </w:t>
      </w:r>
      <w:r>
        <w:t xml:space="preserve">Gli Autori precisano che il rapporto tra il settimo e l’ottavo comma dell’articolo 111 va risolto nel senso che il ricorso contro le sentenze del Consiglio di Stato sarebbe escluso non per tutti gli </w:t>
      </w:r>
      <w:r w:rsidRPr="00B3598D">
        <w:rPr>
          <w:i/>
        </w:rPr>
        <w:t>errores in iudicando</w:t>
      </w:r>
      <w:r>
        <w:t xml:space="preserve"> o </w:t>
      </w:r>
      <w:r w:rsidRPr="00B3598D">
        <w:rPr>
          <w:i/>
        </w:rPr>
        <w:t>in procedendo</w:t>
      </w:r>
      <w:r>
        <w:t xml:space="preserve"> ma solo per quegli errori “che non ineriscano alla giurisdizione”. Per cui sarebbe addirittura “</w:t>
      </w:r>
      <w:r w:rsidRPr="00B3598D">
        <w:rPr>
          <w:i/>
        </w:rPr>
        <w:t>evidente</w:t>
      </w:r>
      <w:r>
        <w:t xml:space="preserve"> (sic!) che, per la parte in cui detti motivi siano sovrapponibili, i due tipi di ricorso possano </w:t>
      </w:r>
      <w:r w:rsidRPr="00B3598D">
        <w:rPr>
          <w:i/>
        </w:rPr>
        <w:t>in qualche modo essere assimilati</w:t>
      </w:r>
      <w:r>
        <w:t>” (il corsivo è nostro)</w:t>
      </w:r>
      <w:r w:rsidR="00A62913">
        <w:t>. Il “rasoio di Occam” non sempre trova adeguata fortuna.</w:t>
      </w:r>
    </w:p>
  </w:footnote>
  <w:footnote w:id="5">
    <w:p w:rsidR="00B564B6" w:rsidRDefault="00B564B6">
      <w:pPr>
        <w:pStyle w:val="Testonotaapidipagina"/>
      </w:pPr>
      <w:r>
        <w:rPr>
          <w:rStyle w:val="Rimandonotaapidipagina"/>
        </w:rPr>
        <w:footnoteRef/>
      </w:r>
      <w:r>
        <w:t xml:space="preserve"> In </w:t>
      </w:r>
      <w:r w:rsidRPr="00B564B6">
        <w:rPr>
          <w:i/>
        </w:rPr>
        <w:t>Federalismi</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E7134"/>
    <w:multiLevelType w:val="hybridMultilevel"/>
    <w:tmpl w:val="FE0247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E075BE0"/>
    <w:multiLevelType w:val="hybridMultilevel"/>
    <w:tmpl w:val="AD1219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02"/>
    <w:rsid w:val="000838C0"/>
    <w:rsid w:val="00092EA4"/>
    <w:rsid w:val="00120DFB"/>
    <w:rsid w:val="001351BA"/>
    <w:rsid w:val="00145330"/>
    <w:rsid w:val="00183CB7"/>
    <w:rsid w:val="00295902"/>
    <w:rsid w:val="00330B4C"/>
    <w:rsid w:val="00370D12"/>
    <w:rsid w:val="003B2550"/>
    <w:rsid w:val="003B6855"/>
    <w:rsid w:val="003F422E"/>
    <w:rsid w:val="00495531"/>
    <w:rsid w:val="004D3EFD"/>
    <w:rsid w:val="004E2F28"/>
    <w:rsid w:val="004F796F"/>
    <w:rsid w:val="005379C4"/>
    <w:rsid w:val="00546B34"/>
    <w:rsid w:val="005C1287"/>
    <w:rsid w:val="00620CE6"/>
    <w:rsid w:val="00623774"/>
    <w:rsid w:val="006409E7"/>
    <w:rsid w:val="006A669C"/>
    <w:rsid w:val="00700E80"/>
    <w:rsid w:val="00846A55"/>
    <w:rsid w:val="00852167"/>
    <w:rsid w:val="00896FDC"/>
    <w:rsid w:val="009A3443"/>
    <w:rsid w:val="009E6A1F"/>
    <w:rsid w:val="009E75BC"/>
    <w:rsid w:val="00A62913"/>
    <w:rsid w:val="00A70346"/>
    <w:rsid w:val="00A70CA3"/>
    <w:rsid w:val="00B3598D"/>
    <w:rsid w:val="00B564B6"/>
    <w:rsid w:val="00C27535"/>
    <w:rsid w:val="00C71C2A"/>
    <w:rsid w:val="00C757E0"/>
    <w:rsid w:val="00E02CA1"/>
    <w:rsid w:val="00E97640"/>
    <w:rsid w:val="00EE0362"/>
    <w:rsid w:val="00F472E3"/>
    <w:rsid w:val="00FC59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40C2E-662C-4D77-806B-D24C6F0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70CA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70CA3"/>
    <w:rPr>
      <w:sz w:val="20"/>
      <w:szCs w:val="20"/>
    </w:rPr>
  </w:style>
  <w:style w:type="character" w:styleId="Rimandonotaapidipagina">
    <w:name w:val="footnote reference"/>
    <w:basedOn w:val="Carpredefinitoparagrafo"/>
    <w:uiPriority w:val="99"/>
    <w:semiHidden/>
    <w:unhideWhenUsed/>
    <w:rsid w:val="00A70CA3"/>
    <w:rPr>
      <w:vertAlign w:val="superscript"/>
    </w:rPr>
  </w:style>
  <w:style w:type="paragraph" w:styleId="Intestazione">
    <w:name w:val="header"/>
    <w:basedOn w:val="Normale"/>
    <w:link w:val="IntestazioneCarattere"/>
    <w:uiPriority w:val="99"/>
    <w:unhideWhenUsed/>
    <w:rsid w:val="00092E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2EA4"/>
  </w:style>
  <w:style w:type="paragraph" w:styleId="Pidipagina">
    <w:name w:val="footer"/>
    <w:basedOn w:val="Normale"/>
    <w:link w:val="PidipaginaCarattere"/>
    <w:uiPriority w:val="99"/>
    <w:unhideWhenUsed/>
    <w:rsid w:val="00092E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2EA4"/>
  </w:style>
  <w:style w:type="paragraph" w:styleId="Paragrafoelenco">
    <w:name w:val="List Paragraph"/>
    <w:basedOn w:val="Normale"/>
    <w:uiPriority w:val="34"/>
    <w:qFormat/>
    <w:rsid w:val="00620CE6"/>
    <w:pPr>
      <w:ind w:left="720"/>
      <w:contextualSpacing/>
    </w:pPr>
  </w:style>
  <w:style w:type="character" w:styleId="Collegamentoipertestuale">
    <w:name w:val="Hyperlink"/>
    <w:basedOn w:val="Carpredefinitoparagrafo"/>
    <w:uiPriority w:val="99"/>
    <w:unhideWhenUsed/>
    <w:rsid w:val="00A62913"/>
    <w:rPr>
      <w:color w:val="0563C1" w:themeColor="hyperlink"/>
      <w:u w:val="single"/>
    </w:rPr>
  </w:style>
  <w:style w:type="paragraph" w:styleId="Testofumetto">
    <w:name w:val="Balloon Text"/>
    <w:basedOn w:val="Normale"/>
    <w:link w:val="TestofumettoCarattere"/>
    <w:uiPriority w:val="99"/>
    <w:semiHidden/>
    <w:unhideWhenUsed/>
    <w:rsid w:val="009E6A1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6A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questionegiustiz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7FD92-3316-4350-AB61-177A21E1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4430</Words>
  <Characters>25255</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PATRONI GRIFFI Filippo</dc:creator>
  <cp:keywords/>
  <dc:description/>
  <cp:lastModifiedBy>FERRARI Giulia</cp:lastModifiedBy>
  <cp:revision>3</cp:revision>
  <cp:lastPrinted>2020-11-13T18:00:00Z</cp:lastPrinted>
  <dcterms:created xsi:type="dcterms:W3CDTF">2020-11-13T20:08:00Z</dcterms:created>
  <dcterms:modified xsi:type="dcterms:W3CDTF">2020-11-13T20:18:00Z</dcterms:modified>
</cp:coreProperties>
</file>