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1BA80" w14:textId="5B8CB219" w:rsidR="00871136" w:rsidRPr="00653AB6" w:rsidRDefault="00653AB6" w:rsidP="008C47F1">
      <w:pPr>
        <w:spacing w:line="276" w:lineRule="auto"/>
        <w:contextualSpacing/>
        <w:jc w:val="center"/>
        <w:rPr>
          <w:rFonts w:ascii="Garamond" w:hAnsi="Garamond"/>
          <w:b/>
          <w:sz w:val="32"/>
          <w:szCs w:val="32"/>
        </w:rPr>
      </w:pPr>
      <w:r>
        <w:rPr>
          <w:rFonts w:ascii="Garamond" w:hAnsi="Garamond"/>
          <w:b/>
          <w:sz w:val="32"/>
          <w:szCs w:val="32"/>
        </w:rPr>
        <w:t>L</w:t>
      </w:r>
      <w:r w:rsidRPr="00653AB6">
        <w:rPr>
          <w:rFonts w:ascii="Garamond" w:hAnsi="Garamond"/>
          <w:b/>
          <w:sz w:val="32"/>
          <w:szCs w:val="32"/>
        </w:rPr>
        <w:t>’avvalimento: un percorso ancora tortuoso</w:t>
      </w:r>
    </w:p>
    <w:p w14:paraId="16D41EB7" w14:textId="77777777" w:rsidR="00743D2F" w:rsidRDefault="00743D2F" w:rsidP="00743D2F">
      <w:pPr>
        <w:spacing w:line="360" w:lineRule="auto"/>
        <w:contextualSpacing/>
        <w:jc w:val="center"/>
        <w:rPr>
          <w:rFonts w:ascii="Garamond" w:hAnsi="Garamond"/>
          <w:sz w:val="20"/>
          <w:szCs w:val="20"/>
        </w:rPr>
      </w:pPr>
    </w:p>
    <w:p w14:paraId="284F2BA7" w14:textId="0FFA77D7" w:rsidR="00743D2F" w:rsidRPr="00073860" w:rsidRDefault="00743D2F" w:rsidP="00404FE6">
      <w:pPr>
        <w:spacing w:line="360" w:lineRule="auto"/>
        <w:contextualSpacing/>
        <w:jc w:val="both"/>
        <w:rPr>
          <w:rFonts w:ascii="Garamond" w:hAnsi="Garamond"/>
          <w:b/>
        </w:rPr>
      </w:pPr>
      <w:r w:rsidRPr="00073860">
        <w:rPr>
          <w:rFonts w:ascii="Garamond" w:hAnsi="Garamond"/>
          <w:b/>
        </w:rPr>
        <w:t>Indice</w:t>
      </w:r>
    </w:p>
    <w:p w14:paraId="66A7FEC1" w14:textId="77777777" w:rsidR="00A36B52" w:rsidRPr="00073860" w:rsidRDefault="00743D2F">
      <w:pPr>
        <w:pStyle w:val="Sommario1"/>
        <w:rPr>
          <w:rFonts w:ascii="Garamond" w:eastAsiaTheme="minorEastAsia" w:hAnsi="Garamond" w:cstheme="minorBidi"/>
          <w:noProof/>
        </w:rPr>
      </w:pPr>
      <w:r w:rsidRPr="00073860">
        <w:rPr>
          <w:rFonts w:ascii="Garamond" w:hAnsi="Garamond"/>
          <w:sz w:val="22"/>
          <w:szCs w:val="22"/>
        </w:rPr>
        <w:fldChar w:fldCharType="begin"/>
      </w:r>
      <w:r w:rsidRPr="00073860">
        <w:rPr>
          <w:rFonts w:ascii="Garamond" w:hAnsi="Garamond"/>
          <w:sz w:val="22"/>
          <w:szCs w:val="22"/>
        </w:rPr>
        <w:instrText xml:space="preserve"> TOC \o "1-3" </w:instrText>
      </w:r>
      <w:r w:rsidRPr="00073860">
        <w:rPr>
          <w:rFonts w:ascii="Garamond" w:hAnsi="Garamond"/>
          <w:sz w:val="22"/>
          <w:szCs w:val="22"/>
        </w:rPr>
        <w:fldChar w:fldCharType="separate"/>
      </w:r>
      <w:r w:rsidR="00A36B52" w:rsidRPr="00073860">
        <w:rPr>
          <w:rFonts w:ascii="Garamond" w:hAnsi="Garamond"/>
          <w:noProof/>
        </w:rPr>
        <w:t>1.</w:t>
      </w:r>
      <w:r w:rsidR="00A36B52" w:rsidRPr="00073860">
        <w:rPr>
          <w:rFonts w:ascii="Garamond" w:eastAsiaTheme="minorEastAsia" w:hAnsi="Garamond" w:cstheme="minorBidi"/>
          <w:noProof/>
        </w:rPr>
        <w:tab/>
      </w:r>
      <w:r w:rsidR="00A36B52" w:rsidRPr="00073860">
        <w:rPr>
          <w:rFonts w:ascii="Garamond" w:hAnsi="Garamond"/>
          <w:noProof/>
        </w:rPr>
        <w:t>Il contratto di avvalimento: natura ed oggetto</w:t>
      </w:r>
      <w:r w:rsidR="00A36B52" w:rsidRPr="00073860">
        <w:rPr>
          <w:rFonts w:ascii="Garamond" w:hAnsi="Garamond"/>
          <w:noProof/>
        </w:rPr>
        <w:tab/>
      </w:r>
      <w:r w:rsidR="00A36B52" w:rsidRPr="00073860">
        <w:rPr>
          <w:rFonts w:ascii="Garamond" w:hAnsi="Garamond"/>
          <w:noProof/>
        </w:rPr>
        <w:fldChar w:fldCharType="begin"/>
      </w:r>
      <w:r w:rsidR="00A36B52" w:rsidRPr="00073860">
        <w:rPr>
          <w:rFonts w:ascii="Garamond" w:hAnsi="Garamond"/>
          <w:noProof/>
        </w:rPr>
        <w:instrText xml:space="preserve"> PAGEREF _Toc38992717 \h </w:instrText>
      </w:r>
      <w:r w:rsidR="00A36B52" w:rsidRPr="00073860">
        <w:rPr>
          <w:rFonts w:ascii="Garamond" w:hAnsi="Garamond"/>
          <w:noProof/>
        </w:rPr>
      </w:r>
      <w:r w:rsidR="00A36B52" w:rsidRPr="00073860">
        <w:rPr>
          <w:rFonts w:ascii="Garamond" w:hAnsi="Garamond"/>
          <w:noProof/>
        </w:rPr>
        <w:fldChar w:fldCharType="separate"/>
      </w:r>
      <w:r w:rsidR="00A36B52" w:rsidRPr="00073860">
        <w:rPr>
          <w:rFonts w:ascii="Garamond" w:hAnsi="Garamond"/>
          <w:noProof/>
        </w:rPr>
        <w:t>1</w:t>
      </w:r>
      <w:r w:rsidR="00A36B52" w:rsidRPr="00073860">
        <w:rPr>
          <w:rFonts w:ascii="Garamond" w:hAnsi="Garamond"/>
          <w:noProof/>
        </w:rPr>
        <w:fldChar w:fldCharType="end"/>
      </w:r>
    </w:p>
    <w:p w14:paraId="55E5117F" w14:textId="77777777" w:rsidR="00A36B52" w:rsidRPr="00073860" w:rsidRDefault="00A36B52">
      <w:pPr>
        <w:pStyle w:val="Sommario2"/>
        <w:tabs>
          <w:tab w:val="left" w:pos="960"/>
          <w:tab w:val="right" w:leader="dot" w:pos="9628"/>
        </w:tabs>
        <w:rPr>
          <w:rFonts w:ascii="Garamond" w:eastAsiaTheme="minorEastAsia" w:hAnsi="Garamond" w:cstheme="minorBidi"/>
          <w:noProof/>
        </w:rPr>
      </w:pPr>
      <w:r w:rsidRPr="00073860">
        <w:rPr>
          <w:rFonts w:ascii="Garamond" w:hAnsi="Garamond"/>
          <w:noProof/>
        </w:rPr>
        <w:t>1.1.</w:t>
      </w:r>
      <w:r w:rsidRPr="00073860">
        <w:rPr>
          <w:rFonts w:ascii="Garamond" w:eastAsiaTheme="minorEastAsia" w:hAnsi="Garamond" w:cstheme="minorBidi"/>
          <w:noProof/>
        </w:rPr>
        <w:tab/>
      </w:r>
      <w:r w:rsidRPr="00073860">
        <w:rPr>
          <w:rFonts w:ascii="Garamond" w:hAnsi="Garamond"/>
          <w:noProof/>
        </w:rPr>
        <w:t>L’Adunanza Plenaria n. 23/2016 e il novellato art. 89, comma 1, D.Lgs. n. 50/2016</w:t>
      </w:r>
      <w:r w:rsidRPr="00073860">
        <w:rPr>
          <w:rFonts w:ascii="Garamond" w:hAnsi="Garamond"/>
          <w:noProof/>
        </w:rPr>
        <w:tab/>
      </w:r>
      <w:r w:rsidRPr="00073860">
        <w:rPr>
          <w:rFonts w:ascii="Garamond" w:hAnsi="Garamond"/>
          <w:noProof/>
        </w:rPr>
        <w:fldChar w:fldCharType="begin"/>
      </w:r>
      <w:r w:rsidRPr="00073860">
        <w:rPr>
          <w:rFonts w:ascii="Garamond" w:hAnsi="Garamond"/>
          <w:noProof/>
        </w:rPr>
        <w:instrText xml:space="preserve"> PAGEREF _Toc38992718 \h </w:instrText>
      </w:r>
      <w:r w:rsidRPr="00073860">
        <w:rPr>
          <w:rFonts w:ascii="Garamond" w:hAnsi="Garamond"/>
          <w:noProof/>
        </w:rPr>
      </w:r>
      <w:r w:rsidRPr="00073860">
        <w:rPr>
          <w:rFonts w:ascii="Garamond" w:hAnsi="Garamond"/>
          <w:noProof/>
        </w:rPr>
        <w:fldChar w:fldCharType="separate"/>
      </w:r>
      <w:r w:rsidRPr="00073860">
        <w:rPr>
          <w:rFonts w:ascii="Garamond" w:hAnsi="Garamond"/>
          <w:noProof/>
        </w:rPr>
        <w:t>4</w:t>
      </w:r>
      <w:r w:rsidRPr="00073860">
        <w:rPr>
          <w:rFonts w:ascii="Garamond" w:hAnsi="Garamond"/>
          <w:noProof/>
        </w:rPr>
        <w:fldChar w:fldCharType="end"/>
      </w:r>
    </w:p>
    <w:p w14:paraId="4FDD17BE" w14:textId="77777777" w:rsidR="00A36B52" w:rsidRPr="00073860" w:rsidRDefault="00A36B52">
      <w:pPr>
        <w:pStyle w:val="Sommario2"/>
        <w:tabs>
          <w:tab w:val="left" w:pos="960"/>
          <w:tab w:val="right" w:leader="dot" w:pos="9628"/>
        </w:tabs>
        <w:rPr>
          <w:rFonts w:ascii="Garamond" w:eastAsiaTheme="minorEastAsia" w:hAnsi="Garamond" w:cstheme="minorBidi"/>
          <w:noProof/>
        </w:rPr>
      </w:pPr>
      <w:r w:rsidRPr="00073860">
        <w:rPr>
          <w:rFonts w:ascii="Garamond" w:hAnsi="Garamond"/>
          <w:noProof/>
        </w:rPr>
        <w:t>1.2.</w:t>
      </w:r>
      <w:r w:rsidRPr="00073860">
        <w:rPr>
          <w:rFonts w:ascii="Garamond" w:eastAsiaTheme="minorEastAsia" w:hAnsi="Garamond" w:cstheme="minorBidi"/>
          <w:noProof/>
        </w:rPr>
        <w:tab/>
      </w:r>
      <w:r w:rsidRPr="00073860">
        <w:rPr>
          <w:rFonts w:ascii="Garamond" w:hAnsi="Garamond"/>
          <w:noProof/>
        </w:rPr>
        <w:t>La specificità del contratto di avvalimento in funzione dell’effettività del prestito del requisito</w:t>
      </w:r>
      <w:r w:rsidRPr="00073860">
        <w:rPr>
          <w:rFonts w:ascii="Garamond" w:hAnsi="Garamond"/>
          <w:noProof/>
        </w:rPr>
        <w:tab/>
      </w:r>
      <w:r w:rsidRPr="00073860">
        <w:rPr>
          <w:rFonts w:ascii="Garamond" w:hAnsi="Garamond"/>
          <w:noProof/>
        </w:rPr>
        <w:fldChar w:fldCharType="begin"/>
      </w:r>
      <w:r w:rsidRPr="00073860">
        <w:rPr>
          <w:rFonts w:ascii="Garamond" w:hAnsi="Garamond"/>
          <w:noProof/>
        </w:rPr>
        <w:instrText xml:space="preserve"> PAGEREF _Toc38992719 \h </w:instrText>
      </w:r>
      <w:r w:rsidRPr="00073860">
        <w:rPr>
          <w:rFonts w:ascii="Garamond" w:hAnsi="Garamond"/>
          <w:noProof/>
        </w:rPr>
      </w:r>
      <w:r w:rsidRPr="00073860">
        <w:rPr>
          <w:rFonts w:ascii="Garamond" w:hAnsi="Garamond"/>
          <w:noProof/>
        </w:rPr>
        <w:fldChar w:fldCharType="separate"/>
      </w:r>
      <w:r w:rsidRPr="00073860">
        <w:rPr>
          <w:rFonts w:ascii="Garamond" w:hAnsi="Garamond"/>
          <w:noProof/>
        </w:rPr>
        <w:t>5</w:t>
      </w:r>
      <w:r w:rsidRPr="00073860">
        <w:rPr>
          <w:rFonts w:ascii="Garamond" w:hAnsi="Garamond"/>
          <w:noProof/>
        </w:rPr>
        <w:fldChar w:fldCharType="end"/>
      </w:r>
    </w:p>
    <w:p w14:paraId="6FE4AF5C" w14:textId="77777777" w:rsidR="00A36B52" w:rsidRPr="00073860" w:rsidRDefault="00A36B52">
      <w:pPr>
        <w:pStyle w:val="Sommario1"/>
        <w:rPr>
          <w:rFonts w:ascii="Garamond" w:eastAsiaTheme="minorEastAsia" w:hAnsi="Garamond" w:cstheme="minorBidi"/>
          <w:noProof/>
        </w:rPr>
      </w:pPr>
      <w:r w:rsidRPr="00073860">
        <w:rPr>
          <w:rFonts w:ascii="Garamond" w:hAnsi="Garamond"/>
          <w:noProof/>
        </w:rPr>
        <w:t>2.</w:t>
      </w:r>
      <w:r w:rsidRPr="00073860">
        <w:rPr>
          <w:rFonts w:ascii="Garamond" w:eastAsiaTheme="minorEastAsia" w:hAnsi="Garamond" w:cstheme="minorBidi"/>
          <w:noProof/>
        </w:rPr>
        <w:tab/>
      </w:r>
      <w:r w:rsidRPr="00073860">
        <w:rPr>
          <w:rFonts w:ascii="Garamond" w:hAnsi="Garamond"/>
          <w:noProof/>
        </w:rPr>
        <w:t>Il sindacato di merito sull’adeguatezza dei requisiti prestati</w:t>
      </w:r>
      <w:r w:rsidRPr="00073860">
        <w:rPr>
          <w:rFonts w:ascii="Garamond" w:hAnsi="Garamond"/>
          <w:noProof/>
        </w:rPr>
        <w:tab/>
      </w:r>
      <w:r w:rsidRPr="00073860">
        <w:rPr>
          <w:rFonts w:ascii="Garamond" w:hAnsi="Garamond"/>
          <w:noProof/>
        </w:rPr>
        <w:fldChar w:fldCharType="begin"/>
      </w:r>
      <w:r w:rsidRPr="00073860">
        <w:rPr>
          <w:rFonts w:ascii="Garamond" w:hAnsi="Garamond"/>
          <w:noProof/>
        </w:rPr>
        <w:instrText xml:space="preserve"> PAGEREF _Toc38992720 \h </w:instrText>
      </w:r>
      <w:r w:rsidRPr="00073860">
        <w:rPr>
          <w:rFonts w:ascii="Garamond" w:hAnsi="Garamond"/>
          <w:noProof/>
        </w:rPr>
      </w:r>
      <w:r w:rsidRPr="00073860">
        <w:rPr>
          <w:rFonts w:ascii="Garamond" w:hAnsi="Garamond"/>
          <w:noProof/>
        </w:rPr>
        <w:fldChar w:fldCharType="separate"/>
      </w:r>
      <w:r w:rsidRPr="00073860">
        <w:rPr>
          <w:rFonts w:ascii="Garamond" w:hAnsi="Garamond"/>
          <w:noProof/>
        </w:rPr>
        <w:t>7</w:t>
      </w:r>
      <w:r w:rsidRPr="00073860">
        <w:rPr>
          <w:rFonts w:ascii="Garamond" w:hAnsi="Garamond"/>
          <w:noProof/>
        </w:rPr>
        <w:fldChar w:fldCharType="end"/>
      </w:r>
    </w:p>
    <w:p w14:paraId="3328465F" w14:textId="77777777" w:rsidR="00A36B52" w:rsidRPr="00073860" w:rsidRDefault="00A36B52">
      <w:pPr>
        <w:pStyle w:val="Sommario1"/>
        <w:rPr>
          <w:rFonts w:ascii="Garamond" w:eastAsiaTheme="minorEastAsia" w:hAnsi="Garamond" w:cstheme="minorBidi"/>
          <w:noProof/>
        </w:rPr>
      </w:pPr>
      <w:r w:rsidRPr="00073860">
        <w:rPr>
          <w:rFonts w:ascii="Garamond" w:hAnsi="Garamond"/>
          <w:noProof/>
        </w:rPr>
        <w:t>3.</w:t>
      </w:r>
      <w:r w:rsidRPr="00073860">
        <w:rPr>
          <w:rFonts w:ascii="Garamond" w:eastAsiaTheme="minorEastAsia" w:hAnsi="Garamond" w:cstheme="minorBidi"/>
          <w:noProof/>
        </w:rPr>
        <w:tab/>
      </w:r>
      <w:r w:rsidRPr="00073860">
        <w:rPr>
          <w:rFonts w:ascii="Garamond" w:hAnsi="Garamond"/>
          <w:noProof/>
        </w:rPr>
        <w:t>Il soccorso istruttorio nell’ambito dell’avvalimento</w:t>
      </w:r>
      <w:r w:rsidRPr="00073860">
        <w:rPr>
          <w:rFonts w:ascii="Garamond" w:hAnsi="Garamond"/>
          <w:noProof/>
        </w:rPr>
        <w:tab/>
      </w:r>
      <w:r w:rsidRPr="00073860">
        <w:rPr>
          <w:rFonts w:ascii="Garamond" w:hAnsi="Garamond"/>
          <w:noProof/>
        </w:rPr>
        <w:fldChar w:fldCharType="begin"/>
      </w:r>
      <w:r w:rsidRPr="00073860">
        <w:rPr>
          <w:rFonts w:ascii="Garamond" w:hAnsi="Garamond"/>
          <w:noProof/>
        </w:rPr>
        <w:instrText xml:space="preserve"> PAGEREF _Toc38992721 \h </w:instrText>
      </w:r>
      <w:r w:rsidRPr="00073860">
        <w:rPr>
          <w:rFonts w:ascii="Garamond" w:hAnsi="Garamond"/>
          <w:noProof/>
        </w:rPr>
      </w:r>
      <w:r w:rsidRPr="00073860">
        <w:rPr>
          <w:rFonts w:ascii="Garamond" w:hAnsi="Garamond"/>
          <w:noProof/>
        </w:rPr>
        <w:fldChar w:fldCharType="separate"/>
      </w:r>
      <w:r w:rsidRPr="00073860">
        <w:rPr>
          <w:rFonts w:ascii="Garamond" w:hAnsi="Garamond"/>
          <w:noProof/>
        </w:rPr>
        <w:t>8</w:t>
      </w:r>
      <w:r w:rsidRPr="00073860">
        <w:rPr>
          <w:rFonts w:ascii="Garamond" w:hAnsi="Garamond"/>
          <w:noProof/>
        </w:rPr>
        <w:fldChar w:fldCharType="end"/>
      </w:r>
    </w:p>
    <w:p w14:paraId="2B207E5C" w14:textId="77777777" w:rsidR="00A36B52" w:rsidRPr="00073860" w:rsidRDefault="00A36B52">
      <w:pPr>
        <w:pStyle w:val="Sommario1"/>
        <w:rPr>
          <w:rFonts w:ascii="Garamond" w:eastAsiaTheme="minorEastAsia" w:hAnsi="Garamond" w:cstheme="minorBidi"/>
          <w:noProof/>
        </w:rPr>
      </w:pPr>
      <w:r w:rsidRPr="00073860">
        <w:rPr>
          <w:rFonts w:ascii="Garamond" w:hAnsi="Garamond"/>
          <w:noProof/>
        </w:rPr>
        <w:t>4.</w:t>
      </w:r>
      <w:r w:rsidRPr="00073860">
        <w:rPr>
          <w:rFonts w:ascii="Garamond" w:eastAsiaTheme="minorEastAsia" w:hAnsi="Garamond" w:cstheme="minorBidi"/>
          <w:noProof/>
        </w:rPr>
        <w:tab/>
      </w:r>
      <w:r w:rsidRPr="00073860">
        <w:rPr>
          <w:rFonts w:ascii="Garamond" w:hAnsi="Garamond"/>
          <w:noProof/>
        </w:rPr>
        <w:t>I requisiti suscettibili di avvalimento con particolare riferimento alle “esperienze professionali pertinenti”</w:t>
      </w:r>
      <w:r w:rsidRPr="00073860">
        <w:rPr>
          <w:rFonts w:ascii="Garamond" w:hAnsi="Garamond"/>
          <w:noProof/>
        </w:rPr>
        <w:tab/>
      </w:r>
      <w:r w:rsidRPr="00073860">
        <w:rPr>
          <w:rFonts w:ascii="Garamond" w:hAnsi="Garamond"/>
          <w:noProof/>
        </w:rPr>
        <w:fldChar w:fldCharType="begin"/>
      </w:r>
      <w:r w:rsidRPr="00073860">
        <w:rPr>
          <w:rFonts w:ascii="Garamond" w:hAnsi="Garamond"/>
          <w:noProof/>
        </w:rPr>
        <w:instrText xml:space="preserve"> PAGEREF _Toc38992722 \h </w:instrText>
      </w:r>
      <w:r w:rsidRPr="00073860">
        <w:rPr>
          <w:rFonts w:ascii="Garamond" w:hAnsi="Garamond"/>
          <w:noProof/>
        </w:rPr>
      </w:r>
      <w:r w:rsidRPr="00073860">
        <w:rPr>
          <w:rFonts w:ascii="Garamond" w:hAnsi="Garamond"/>
          <w:noProof/>
        </w:rPr>
        <w:fldChar w:fldCharType="separate"/>
      </w:r>
      <w:r w:rsidRPr="00073860">
        <w:rPr>
          <w:rFonts w:ascii="Garamond" w:hAnsi="Garamond"/>
          <w:noProof/>
        </w:rPr>
        <w:t>11</w:t>
      </w:r>
      <w:r w:rsidRPr="00073860">
        <w:rPr>
          <w:rFonts w:ascii="Garamond" w:hAnsi="Garamond"/>
          <w:noProof/>
        </w:rPr>
        <w:fldChar w:fldCharType="end"/>
      </w:r>
    </w:p>
    <w:p w14:paraId="189C4CB7" w14:textId="77777777" w:rsidR="00A36B52" w:rsidRPr="00073860" w:rsidRDefault="00A36B52">
      <w:pPr>
        <w:pStyle w:val="Sommario1"/>
        <w:rPr>
          <w:rFonts w:ascii="Garamond" w:eastAsiaTheme="minorEastAsia" w:hAnsi="Garamond" w:cstheme="minorBidi"/>
          <w:noProof/>
        </w:rPr>
      </w:pPr>
      <w:r w:rsidRPr="00073860">
        <w:rPr>
          <w:rFonts w:ascii="Garamond" w:hAnsi="Garamond"/>
          <w:noProof/>
        </w:rPr>
        <w:t>5.</w:t>
      </w:r>
      <w:r w:rsidRPr="00073860">
        <w:rPr>
          <w:rFonts w:ascii="Garamond" w:eastAsiaTheme="minorEastAsia" w:hAnsi="Garamond" w:cstheme="minorBidi"/>
          <w:noProof/>
        </w:rPr>
        <w:tab/>
      </w:r>
      <w:r w:rsidRPr="00073860">
        <w:rPr>
          <w:rFonts w:ascii="Garamond" w:hAnsi="Garamond"/>
          <w:noProof/>
        </w:rPr>
        <w:t>La risoluzione del contratto di appalto per mancato impiego effettivo delle risorse dell’ausiliaria</w:t>
      </w:r>
      <w:r w:rsidRPr="00073860">
        <w:rPr>
          <w:rFonts w:ascii="Garamond" w:hAnsi="Garamond"/>
          <w:noProof/>
        </w:rPr>
        <w:tab/>
      </w:r>
      <w:r w:rsidRPr="00073860">
        <w:rPr>
          <w:rFonts w:ascii="Garamond" w:hAnsi="Garamond"/>
          <w:noProof/>
        </w:rPr>
        <w:fldChar w:fldCharType="begin"/>
      </w:r>
      <w:r w:rsidRPr="00073860">
        <w:rPr>
          <w:rFonts w:ascii="Garamond" w:hAnsi="Garamond"/>
          <w:noProof/>
        </w:rPr>
        <w:instrText xml:space="preserve"> PAGEREF _Toc38992723 \h </w:instrText>
      </w:r>
      <w:r w:rsidRPr="00073860">
        <w:rPr>
          <w:rFonts w:ascii="Garamond" w:hAnsi="Garamond"/>
          <w:noProof/>
        </w:rPr>
      </w:r>
      <w:r w:rsidRPr="00073860">
        <w:rPr>
          <w:rFonts w:ascii="Garamond" w:hAnsi="Garamond"/>
          <w:noProof/>
        </w:rPr>
        <w:fldChar w:fldCharType="separate"/>
      </w:r>
      <w:r w:rsidRPr="00073860">
        <w:rPr>
          <w:rFonts w:ascii="Garamond" w:hAnsi="Garamond"/>
          <w:noProof/>
        </w:rPr>
        <w:t>13</w:t>
      </w:r>
      <w:r w:rsidRPr="00073860">
        <w:rPr>
          <w:rFonts w:ascii="Garamond" w:hAnsi="Garamond"/>
          <w:noProof/>
        </w:rPr>
        <w:fldChar w:fldCharType="end"/>
      </w:r>
    </w:p>
    <w:p w14:paraId="3F37D249" w14:textId="77777777" w:rsidR="00A36B52" w:rsidRPr="00073860" w:rsidRDefault="00A36B52">
      <w:pPr>
        <w:pStyle w:val="Sommario1"/>
        <w:rPr>
          <w:rFonts w:ascii="Garamond" w:eastAsiaTheme="minorEastAsia" w:hAnsi="Garamond" w:cstheme="minorBidi"/>
          <w:noProof/>
        </w:rPr>
      </w:pPr>
      <w:r w:rsidRPr="00073860">
        <w:rPr>
          <w:rFonts w:ascii="Garamond" w:hAnsi="Garamond"/>
          <w:noProof/>
        </w:rPr>
        <w:t>6.</w:t>
      </w:r>
      <w:r w:rsidRPr="00073860">
        <w:rPr>
          <w:rFonts w:ascii="Garamond" w:eastAsiaTheme="minorEastAsia" w:hAnsi="Garamond" w:cstheme="minorBidi"/>
          <w:noProof/>
        </w:rPr>
        <w:tab/>
      </w:r>
      <w:r w:rsidRPr="00073860">
        <w:rPr>
          <w:rFonts w:ascii="Garamond" w:hAnsi="Garamond"/>
          <w:noProof/>
        </w:rPr>
        <w:t>La confusione tra avvalimento e subappalto</w:t>
      </w:r>
      <w:r w:rsidRPr="00073860">
        <w:rPr>
          <w:rFonts w:ascii="Garamond" w:hAnsi="Garamond"/>
          <w:noProof/>
        </w:rPr>
        <w:tab/>
      </w:r>
      <w:r w:rsidRPr="00073860">
        <w:rPr>
          <w:rFonts w:ascii="Garamond" w:hAnsi="Garamond"/>
          <w:noProof/>
        </w:rPr>
        <w:fldChar w:fldCharType="begin"/>
      </w:r>
      <w:r w:rsidRPr="00073860">
        <w:rPr>
          <w:rFonts w:ascii="Garamond" w:hAnsi="Garamond"/>
          <w:noProof/>
        </w:rPr>
        <w:instrText xml:space="preserve"> PAGEREF _Toc38992724 \h </w:instrText>
      </w:r>
      <w:r w:rsidRPr="00073860">
        <w:rPr>
          <w:rFonts w:ascii="Garamond" w:hAnsi="Garamond"/>
          <w:noProof/>
        </w:rPr>
      </w:r>
      <w:r w:rsidRPr="00073860">
        <w:rPr>
          <w:rFonts w:ascii="Garamond" w:hAnsi="Garamond"/>
          <w:noProof/>
        </w:rPr>
        <w:fldChar w:fldCharType="separate"/>
      </w:r>
      <w:r w:rsidRPr="00073860">
        <w:rPr>
          <w:rFonts w:ascii="Garamond" w:hAnsi="Garamond"/>
          <w:noProof/>
        </w:rPr>
        <w:t>14</w:t>
      </w:r>
      <w:r w:rsidRPr="00073860">
        <w:rPr>
          <w:rFonts w:ascii="Garamond" w:hAnsi="Garamond"/>
          <w:noProof/>
        </w:rPr>
        <w:fldChar w:fldCharType="end"/>
      </w:r>
    </w:p>
    <w:p w14:paraId="5B8B1123" w14:textId="77777777" w:rsidR="00A36B52" w:rsidRPr="00073860" w:rsidRDefault="00A36B52">
      <w:pPr>
        <w:pStyle w:val="Sommario2"/>
        <w:tabs>
          <w:tab w:val="left" w:pos="960"/>
          <w:tab w:val="right" w:leader="dot" w:pos="9628"/>
        </w:tabs>
        <w:rPr>
          <w:rFonts w:ascii="Garamond" w:eastAsiaTheme="minorEastAsia" w:hAnsi="Garamond" w:cstheme="minorBidi"/>
          <w:noProof/>
        </w:rPr>
      </w:pPr>
      <w:r w:rsidRPr="00073860">
        <w:rPr>
          <w:rFonts w:ascii="Garamond" w:hAnsi="Garamond"/>
          <w:noProof/>
        </w:rPr>
        <w:t>6.1.</w:t>
      </w:r>
      <w:r w:rsidRPr="00073860">
        <w:rPr>
          <w:rFonts w:ascii="Garamond" w:eastAsiaTheme="minorEastAsia" w:hAnsi="Garamond" w:cstheme="minorBidi"/>
          <w:noProof/>
        </w:rPr>
        <w:tab/>
      </w:r>
      <w:r w:rsidRPr="00073860">
        <w:rPr>
          <w:rFonts w:ascii="Garamond" w:hAnsi="Garamond"/>
          <w:noProof/>
        </w:rPr>
        <w:t>La funzione di integrazione dei requisiti in fase di gara</w:t>
      </w:r>
      <w:r w:rsidRPr="00073860">
        <w:rPr>
          <w:rFonts w:ascii="Garamond" w:hAnsi="Garamond"/>
          <w:noProof/>
        </w:rPr>
        <w:tab/>
      </w:r>
      <w:r w:rsidRPr="00073860">
        <w:rPr>
          <w:rFonts w:ascii="Garamond" w:hAnsi="Garamond"/>
          <w:noProof/>
        </w:rPr>
        <w:fldChar w:fldCharType="begin"/>
      </w:r>
      <w:r w:rsidRPr="00073860">
        <w:rPr>
          <w:rFonts w:ascii="Garamond" w:hAnsi="Garamond"/>
          <w:noProof/>
        </w:rPr>
        <w:instrText xml:space="preserve"> PAGEREF _Toc38992725 \h </w:instrText>
      </w:r>
      <w:r w:rsidRPr="00073860">
        <w:rPr>
          <w:rFonts w:ascii="Garamond" w:hAnsi="Garamond"/>
          <w:noProof/>
        </w:rPr>
      </w:r>
      <w:r w:rsidRPr="00073860">
        <w:rPr>
          <w:rFonts w:ascii="Garamond" w:hAnsi="Garamond"/>
          <w:noProof/>
        </w:rPr>
        <w:fldChar w:fldCharType="separate"/>
      </w:r>
      <w:r w:rsidRPr="00073860">
        <w:rPr>
          <w:rFonts w:ascii="Garamond" w:hAnsi="Garamond"/>
          <w:noProof/>
        </w:rPr>
        <w:t>14</w:t>
      </w:r>
      <w:r w:rsidRPr="00073860">
        <w:rPr>
          <w:rFonts w:ascii="Garamond" w:hAnsi="Garamond"/>
          <w:noProof/>
        </w:rPr>
        <w:fldChar w:fldCharType="end"/>
      </w:r>
    </w:p>
    <w:p w14:paraId="011D44A9" w14:textId="77777777" w:rsidR="00A36B52" w:rsidRPr="00073860" w:rsidRDefault="00A36B52">
      <w:pPr>
        <w:pStyle w:val="Sommario2"/>
        <w:tabs>
          <w:tab w:val="left" w:pos="960"/>
          <w:tab w:val="right" w:leader="dot" w:pos="9628"/>
        </w:tabs>
        <w:rPr>
          <w:rFonts w:ascii="Garamond" w:eastAsiaTheme="minorEastAsia" w:hAnsi="Garamond" w:cstheme="minorBidi"/>
          <w:noProof/>
        </w:rPr>
      </w:pPr>
      <w:r w:rsidRPr="00073860">
        <w:rPr>
          <w:rFonts w:ascii="Garamond" w:hAnsi="Garamond"/>
          <w:noProof/>
        </w:rPr>
        <w:t>6.2.</w:t>
      </w:r>
      <w:r w:rsidRPr="00073860">
        <w:rPr>
          <w:rFonts w:ascii="Garamond" w:eastAsiaTheme="minorEastAsia" w:hAnsi="Garamond" w:cstheme="minorBidi"/>
          <w:noProof/>
        </w:rPr>
        <w:tab/>
      </w:r>
      <w:r w:rsidRPr="00073860">
        <w:rPr>
          <w:rFonts w:ascii="Garamond" w:hAnsi="Garamond"/>
          <w:noProof/>
        </w:rPr>
        <w:t>L’autonomia organizzativa ed il regime delle responsabilità</w:t>
      </w:r>
      <w:r w:rsidRPr="00073860">
        <w:rPr>
          <w:rFonts w:ascii="Garamond" w:hAnsi="Garamond"/>
          <w:noProof/>
        </w:rPr>
        <w:tab/>
      </w:r>
      <w:r w:rsidRPr="00073860">
        <w:rPr>
          <w:rFonts w:ascii="Garamond" w:hAnsi="Garamond"/>
          <w:noProof/>
        </w:rPr>
        <w:fldChar w:fldCharType="begin"/>
      </w:r>
      <w:r w:rsidRPr="00073860">
        <w:rPr>
          <w:rFonts w:ascii="Garamond" w:hAnsi="Garamond"/>
          <w:noProof/>
        </w:rPr>
        <w:instrText xml:space="preserve"> PAGEREF _Toc38992726 \h </w:instrText>
      </w:r>
      <w:r w:rsidRPr="00073860">
        <w:rPr>
          <w:rFonts w:ascii="Garamond" w:hAnsi="Garamond"/>
          <w:noProof/>
        </w:rPr>
      </w:r>
      <w:r w:rsidRPr="00073860">
        <w:rPr>
          <w:rFonts w:ascii="Garamond" w:hAnsi="Garamond"/>
          <w:noProof/>
        </w:rPr>
        <w:fldChar w:fldCharType="separate"/>
      </w:r>
      <w:r w:rsidRPr="00073860">
        <w:rPr>
          <w:rFonts w:ascii="Garamond" w:hAnsi="Garamond"/>
          <w:noProof/>
        </w:rPr>
        <w:t>16</w:t>
      </w:r>
      <w:r w:rsidRPr="00073860">
        <w:rPr>
          <w:rFonts w:ascii="Garamond" w:hAnsi="Garamond"/>
          <w:noProof/>
        </w:rPr>
        <w:fldChar w:fldCharType="end"/>
      </w:r>
    </w:p>
    <w:p w14:paraId="5ADFABCF" w14:textId="77777777" w:rsidR="00A36B52" w:rsidRPr="00073860" w:rsidRDefault="00A36B52">
      <w:pPr>
        <w:pStyle w:val="Sommario1"/>
        <w:rPr>
          <w:rFonts w:ascii="Garamond" w:eastAsiaTheme="minorEastAsia" w:hAnsi="Garamond" w:cstheme="minorBidi"/>
          <w:noProof/>
        </w:rPr>
      </w:pPr>
      <w:r w:rsidRPr="00073860">
        <w:rPr>
          <w:rFonts w:ascii="Garamond" w:hAnsi="Garamond"/>
          <w:noProof/>
        </w:rPr>
        <w:t>7.</w:t>
      </w:r>
      <w:r w:rsidRPr="00073860">
        <w:rPr>
          <w:rFonts w:ascii="Garamond" w:eastAsiaTheme="minorEastAsia" w:hAnsi="Garamond" w:cstheme="minorBidi"/>
          <w:noProof/>
        </w:rPr>
        <w:tab/>
      </w:r>
      <w:r w:rsidRPr="00073860">
        <w:rPr>
          <w:rFonts w:ascii="Garamond" w:hAnsi="Garamond"/>
          <w:noProof/>
        </w:rPr>
        <w:t>I contrasti con il diritto eurounitario</w:t>
      </w:r>
      <w:r w:rsidRPr="00073860">
        <w:rPr>
          <w:rFonts w:ascii="Garamond" w:hAnsi="Garamond"/>
          <w:noProof/>
        </w:rPr>
        <w:tab/>
      </w:r>
      <w:r w:rsidRPr="00073860">
        <w:rPr>
          <w:rFonts w:ascii="Garamond" w:hAnsi="Garamond"/>
          <w:noProof/>
        </w:rPr>
        <w:fldChar w:fldCharType="begin"/>
      </w:r>
      <w:r w:rsidRPr="00073860">
        <w:rPr>
          <w:rFonts w:ascii="Garamond" w:hAnsi="Garamond"/>
          <w:noProof/>
        </w:rPr>
        <w:instrText xml:space="preserve"> PAGEREF _Toc38992727 \h </w:instrText>
      </w:r>
      <w:r w:rsidRPr="00073860">
        <w:rPr>
          <w:rFonts w:ascii="Garamond" w:hAnsi="Garamond"/>
          <w:noProof/>
        </w:rPr>
      </w:r>
      <w:r w:rsidRPr="00073860">
        <w:rPr>
          <w:rFonts w:ascii="Garamond" w:hAnsi="Garamond"/>
          <w:noProof/>
        </w:rPr>
        <w:fldChar w:fldCharType="separate"/>
      </w:r>
      <w:r w:rsidRPr="00073860">
        <w:rPr>
          <w:rFonts w:ascii="Garamond" w:hAnsi="Garamond"/>
          <w:noProof/>
        </w:rPr>
        <w:t>19</w:t>
      </w:r>
      <w:r w:rsidRPr="00073860">
        <w:rPr>
          <w:rFonts w:ascii="Garamond" w:hAnsi="Garamond"/>
          <w:noProof/>
        </w:rPr>
        <w:fldChar w:fldCharType="end"/>
      </w:r>
    </w:p>
    <w:p w14:paraId="0F738686" w14:textId="70D2301D" w:rsidR="00876DC4" w:rsidRPr="00876DC4" w:rsidRDefault="00743D2F" w:rsidP="00BC201C">
      <w:pPr>
        <w:spacing w:line="360" w:lineRule="auto"/>
        <w:contextualSpacing/>
        <w:jc w:val="both"/>
        <w:rPr>
          <w:rFonts w:ascii="Garamond" w:hAnsi="Garamond"/>
        </w:rPr>
      </w:pPr>
      <w:r w:rsidRPr="00073860">
        <w:rPr>
          <w:rFonts w:ascii="Garamond" w:hAnsi="Garamond"/>
          <w:sz w:val="22"/>
          <w:szCs w:val="22"/>
        </w:rPr>
        <w:fldChar w:fldCharType="end"/>
      </w:r>
    </w:p>
    <w:p w14:paraId="4E123793" w14:textId="77777777" w:rsidR="00743D2F" w:rsidRPr="006D67E0" w:rsidRDefault="00743D2F" w:rsidP="006D67E0">
      <w:pPr>
        <w:spacing w:line="276" w:lineRule="auto"/>
        <w:contextualSpacing/>
        <w:jc w:val="center"/>
        <w:rPr>
          <w:rFonts w:ascii="Garamond" w:hAnsi="Garamond"/>
          <w:b/>
        </w:rPr>
      </w:pPr>
    </w:p>
    <w:p w14:paraId="7035875E" w14:textId="1100226A" w:rsidR="007F3D94" w:rsidRPr="00743D2F" w:rsidRDefault="002E73EF" w:rsidP="00743D2F">
      <w:pPr>
        <w:pStyle w:val="Titolo1"/>
      </w:pPr>
      <w:bookmarkStart w:id="0" w:name="_Toc38992717"/>
      <w:r w:rsidRPr="00743D2F">
        <w:t>Il</w:t>
      </w:r>
      <w:r w:rsidR="00F410AF" w:rsidRPr="00743D2F">
        <w:t xml:space="preserve"> contratto di avvalimento</w:t>
      </w:r>
      <w:r w:rsidRPr="00743D2F">
        <w:t xml:space="preserve">: </w:t>
      </w:r>
      <w:r w:rsidR="003A322D" w:rsidRPr="00743D2F">
        <w:t>natura</w:t>
      </w:r>
      <w:r w:rsidR="001215EB" w:rsidRPr="00743D2F">
        <w:t xml:space="preserve"> </w:t>
      </w:r>
      <w:r w:rsidR="003A322D" w:rsidRPr="00743D2F">
        <w:t>ed oggetto</w:t>
      </w:r>
      <w:bookmarkEnd w:id="0"/>
      <w:r w:rsidR="00E77E14" w:rsidRPr="00743D2F">
        <w:fldChar w:fldCharType="begin"/>
      </w:r>
      <w:r w:rsidR="00E77E14" w:rsidRPr="00743D2F">
        <w:instrText xml:space="preserve"> XE "Il contratto di avvalimento\: natura ed oggetto" </w:instrText>
      </w:r>
      <w:r w:rsidR="00E77E14" w:rsidRPr="00743D2F">
        <w:fldChar w:fldCharType="end"/>
      </w:r>
    </w:p>
    <w:p w14:paraId="784F2E66" w14:textId="2E4BD52A" w:rsidR="00043B20" w:rsidRPr="00D0120F" w:rsidRDefault="0080497D" w:rsidP="00961B0C">
      <w:pPr>
        <w:spacing w:line="276" w:lineRule="auto"/>
        <w:ind w:firstLine="284"/>
        <w:jc w:val="both"/>
        <w:rPr>
          <w:rFonts w:ascii="Garamond" w:hAnsi="Garamond"/>
        </w:rPr>
      </w:pPr>
      <w:r w:rsidRPr="006D67E0">
        <w:rPr>
          <w:rFonts w:ascii="Garamond" w:hAnsi="Garamond"/>
        </w:rPr>
        <w:t xml:space="preserve">La giurisprudenza </w:t>
      </w:r>
      <w:r w:rsidR="00A01EFF">
        <w:rPr>
          <w:rFonts w:ascii="Garamond" w:hAnsi="Garamond"/>
        </w:rPr>
        <w:t xml:space="preserve">e la dottrina </w:t>
      </w:r>
      <w:r w:rsidRPr="006D67E0">
        <w:rPr>
          <w:rFonts w:ascii="Garamond" w:hAnsi="Garamond"/>
        </w:rPr>
        <w:t xml:space="preserve">si sono interrogate a lungo sulla natura </w:t>
      </w:r>
      <w:r w:rsidR="006D67E0" w:rsidRPr="006D67E0">
        <w:rPr>
          <w:rFonts w:ascii="Garamond" w:hAnsi="Garamond"/>
        </w:rPr>
        <w:t>d</w:t>
      </w:r>
      <w:r w:rsidR="00A01EFF">
        <w:rPr>
          <w:rFonts w:ascii="Garamond" w:hAnsi="Garamond"/>
        </w:rPr>
        <w:t>el contratto di avvalimento</w:t>
      </w:r>
      <w:r w:rsidR="00E3108F" w:rsidRPr="006D67E0">
        <w:rPr>
          <w:rStyle w:val="Rimandonotaapidipagina"/>
          <w:rFonts w:ascii="Garamond" w:hAnsi="Garamond"/>
          <w:sz w:val="24"/>
        </w:rPr>
        <w:footnoteReference w:id="1"/>
      </w:r>
      <w:r w:rsidR="005A6E1B" w:rsidRPr="006D67E0">
        <w:rPr>
          <w:rFonts w:ascii="Garamond" w:hAnsi="Garamond"/>
        </w:rPr>
        <w:t xml:space="preserve">, </w:t>
      </w:r>
      <w:r w:rsidR="006D67E0" w:rsidRPr="006D67E0">
        <w:rPr>
          <w:rFonts w:ascii="Garamond" w:hAnsi="Garamond"/>
        </w:rPr>
        <w:t xml:space="preserve">propendendo </w:t>
      </w:r>
      <w:r w:rsidR="00061F93">
        <w:rPr>
          <w:rFonts w:ascii="Garamond" w:hAnsi="Garamond"/>
        </w:rPr>
        <w:t>per lo più</w:t>
      </w:r>
      <w:r w:rsidR="006D67E0" w:rsidRPr="006D67E0">
        <w:rPr>
          <w:rFonts w:ascii="Garamond" w:hAnsi="Garamond"/>
        </w:rPr>
        <w:t xml:space="preserve"> per la qualificazione di</w:t>
      </w:r>
      <w:r w:rsidRPr="006D67E0">
        <w:rPr>
          <w:rFonts w:ascii="Garamond" w:hAnsi="Garamond"/>
        </w:rPr>
        <w:t xml:space="preserve"> contratto atipico o comunque </w:t>
      </w:r>
      <w:r w:rsidR="006D67E0">
        <w:rPr>
          <w:rFonts w:ascii="Garamond" w:hAnsi="Garamond"/>
        </w:rPr>
        <w:t xml:space="preserve">di </w:t>
      </w:r>
      <w:r w:rsidR="001228D9">
        <w:rPr>
          <w:rFonts w:ascii="Garamond" w:hAnsi="Garamond"/>
        </w:rPr>
        <w:t xml:space="preserve">rapporto negoziale </w:t>
      </w:r>
      <w:r w:rsidR="004F442E" w:rsidRPr="006D67E0">
        <w:rPr>
          <w:rFonts w:ascii="Garamond" w:hAnsi="Garamond"/>
        </w:rPr>
        <w:t>riconducibile</w:t>
      </w:r>
      <w:r w:rsidRPr="006D67E0">
        <w:rPr>
          <w:rFonts w:ascii="Garamond" w:hAnsi="Garamond"/>
        </w:rPr>
        <w:t>, a seconda dello specifico cas</w:t>
      </w:r>
      <w:r w:rsidR="001F37C2" w:rsidRPr="006D67E0">
        <w:rPr>
          <w:rFonts w:ascii="Garamond" w:hAnsi="Garamond"/>
        </w:rPr>
        <w:t>o</w:t>
      </w:r>
      <w:r w:rsidRPr="006D67E0">
        <w:rPr>
          <w:rFonts w:ascii="Garamond" w:hAnsi="Garamond"/>
        </w:rPr>
        <w:t xml:space="preserve"> concreto, ai più svariati tipi contrattuali con cui un’impresa si avvale della collaborazione di altra impresa</w:t>
      </w:r>
      <w:r w:rsidRPr="006D67E0">
        <w:rPr>
          <w:rStyle w:val="Rimandonotaapidipagina"/>
          <w:rFonts w:ascii="Garamond" w:hAnsi="Garamond"/>
          <w:sz w:val="24"/>
        </w:rPr>
        <w:footnoteReference w:id="2"/>
      </w:r>
      <w:r w:rsidRPr="006D67E0">
        <w:rPr>
          <w:rFonts w:ascii="Garamond" w:hAnsi="Garamond"/>
        </w:rPr>
        <w:t>.</w:t>
      </w:r>
      <w:r w:rsidR="005A6E1B" w:rsidRPr="006D67E0">
        <w:rPr>
          <w:rFonts w:ascii="Garamond" w:hAnsi="Garamond"/>
        </w:rPr>
        <w:t xml:space="preserve"> </w:t>
      </w:r>
      <w:r w:rsidR="006D67E0" w:rsidRPr="006D67E0">
        <w:rPr>
          <w:rFonts w:ascii="Garamond" w:hAnsi="Garamond"/>
        </w:rPr>
        <w:t>Sul punto</w:t>
      </w:r>
      <w:r w:rsidR="005A6E1B" w:rsidRPr="006D67E0">
        <w:rPr>
          <w:rFonts w:ascii="Garamond" w:hAnsi="Garamond"/>
        </w:rPr>
        <w:t xml:space="preserve">, il Consiglio di Stato con l’Adunanza Plenaria </w:t>
      </w:r>
      <w:r w:rsidR="001C1957" w:rsidRPr="006D67E0">
        <w:rPr>
          <w:rFonts w:ascii="Garamond" w:hAnsi="Garamond"/>
        </w:rPr>
        <w:t xml:space="preserve">n. 23 </w:t>
      </w:r>
      <w:r w:rsidR="005A6E1B" w:rsidRPr="006D67E0">
        <w:rPr>
          <w:rFonts w:ascii="Garamond" w:hAnsi="Garamond"/>
        </w:rPr>
        <w:t xml:space="preserve">del 4.11.2016 ha chiarito che </w:t>
      </w:r>
      <w:r w:rsidR="001C1957" w:rsidRPr="006D67E0">
        <w:rPr>
          <w:rFonts w:ascii="Garamond" w:hAnsi="Garamond"/>
        </w:rPr>
        <w:t>“</w:t>
      </w:r>
      <w:r w:rsidR="001C1957" w:rsidRPr="006D67E0">
        <w:rPr>
          <w:rFonts w:ascii="Garamond" w:hAnsi="Garamond"/>
          <w:i/>
        </w:rPr>
        <w:t>il contratto di avvalimento (</w:t>
      </w:r>
      <w:r w:rsidR="001C1957" w:rsidRPr="006D67E0">
        <w:rPr>
          <w:rFonts w:ascii="Garamond" w:hAnsi="Garamond"/>
          <w:i/>
          <w:u w:val="single"/>
        </w:rPr>
        <w:t xml:space="preserve">qualificabile come </w:t>
      </w:r>
      <w:r w:rsidR="001C1957" w:rsidRPr="00D0120F">
        <w:rPr>
          <w:rFonts w:ascii="Garamond" w:hAnsi="Garamond"/>
          <w:i/>
          <w:u w:val="single"/>
        </w:rPr>
        <w:t>contratto atipico</w:t>
      </w:r>
      <w:r w:rsidR="001C1957" w:rsidRPr="00D0120F">
        <w:rPr>
          <w:rFonts w:ascii="Garamond" w:hAnsi="Garamond"/>
          <w:i/>
        </w:rPr>
        <w:t>) presenta tratti propri: i) del contratto di mandato di cui agli articoli 1703 e seguenti del codice civile, ii) dell’appalto di servizi, nonché iii) aspetti di garanzia atipica nei rapporti fra l’impresa ausiliaria e l’amministrazione aggiudicatrice per ciò che riguarda l’assolvimento delle prestazioni dedotte in contratto</w:t>
      </w:r>
      <w:r w:rsidR="001C1957" w:rsidRPr="00D0120F">
        <w:rPr>
          <w:rFonts w:ascii="Garamond" w:hAnsi="Garamond"/>
        </w:rPr>
        <w:t xml:space="preserve">”. </w:t>
      </w:r>
    </w:p>
    <w:p w14:paraId="58BC655C" w14:textId="1C5A7E65" w:rsidR="001C1957" w:rsidRPr="001D0AD0" w:rsidRDefault="006D67E0" w:rsidP="006D67E0">
      <w:pPr>
        <w:spacing w:line="276" w:lineRule="auto"/>
        <w:ind w:firstLine="284"/>
        <w:jc w:val="both"/>
        <w:rPr>
          <w:rFonts w:ascii="Garamond" w:hAnsi="Garamond"/>
        </w:rPr>
      </w:pPr>
      <w:r w:rsidRPr="00D0120F">
        <w:rPr>
          <w:rFonts w:ascii="Garamond" w:hAnsi="Garamond"/>
        </w:rPr>
        <w:t>Ad oggi</w:t>
      </w:r>
      <w:r w:rsidR="001C1957" w:rsidRPr="00D0120F">
        <w:rPr>
          <w:rFonts w:ascii="Garamond" w:hAnsi="Garamond"/>
        </w:rPr>
        <w:t xml:space="preserve">, </w:t>
      </w:r>
      <w:r w:rsidR="00E83AA1" w:rsidRPr="00D0120F">
        <w:rPr>
          <w:rFonts w:ascii="Garamond" w:hAnsi="Garamond"/>
        </w:rPr>
        <w:t xml:space="preserve">la giurisprudenza </w:t>
      </w:r>
      <w:r w:rsidR="001C1957" w:rsidRPr="00D0120F">
        <w:rPr>
          <w:rFonts w:ascii="Garamond" w:hAnsi="Garamond"/>
        </w:rPr>
        <w:t>riconosce</w:t>
      </w:r>
      <w:r w:rsidR="0045191E" w:rsidRPr="00D0120F">
        <w:rPr>
          <w:rFonts w:ascii="Garamond" w:hAnsi="Garamond"/>
        </w:rPr>
        <w:t xml:space="preserve"> </w:t>
      </w:r>
      <w:r w:rsidR="00E83AA1" w:rsidRPr="00D0120F">
        <w:rPr>
          <w:rFonts w:ascii="Garamond" w:hAnsi="Garamond"/>
        </w:rPr>
        <w:t xml:space="preserve">pacificamente </w:t>
      </w:r>
      <w:r w:rsidR="001C1957" w:rsidRPr="00D0120F">
        <w:rPr>
          <w:rFonts w:ascii="Garamond" w:hAnsi="Garamond"/>
        </w:rPr>
        <w:t>il carattere di onerosità del contratto di avvalimento</w:t>
      </w:r>
      <w:r w:rsidR="007C4940" w:rsidRPr="00D0120F">
        <w:rPr>
          <w:rStyle w:val="Rimandonotaapidipagina"/>
          <w:rFonts w:ascii="Garamond" w:hAnsi="Garamond"/>
          <w:sz w:val="24"/>
        </w:rPr>
        <w:footnoteReference w:id="3"/>
      </w:r>
      <w:r w:rsidR="001F37C2" w:rsidRPr="00D0120F">
        <w:rPr>
          <w:rFonts w:ascii="Garamond" w:hAnsi="Garamond"/>
        </w:rPr>
        <w:t xml:space="preserve">. </w:t>
      </w:r>
      <w:r w:rsidR="00E83AA1" w:rsidRPr="00D0120F">
        <w:rPr>
          <w:rFonts w:ascii="Garamond" w:hAnsi="Garamond"/>
        </w:rPr>
        <w:t>A</w:t>
      </w:r>
      <w:r w:rsidR="001F37C2" w:rsidRPr="00D0120F">
        <w:rPr>
          <w:rFonts w:ascii="Garamond" w:hAnsi="Garamond"/>
        </w:rPr>
        <w:t xml:space="preserve">nche </w:t>
      </w:r>
      <w:r w:rsidR="00AE638D" w:rsidRPr="00D0120F">
        <w:rPr>
          <w:rFonts w:ascii="Garamond" w:hAnsi="Garamond"/>
        </w:rPr>
        <w:t>allorquando non venga</w:t>
      </w:r>
      <w:r w:rsidR="001F37C2" w:rsidRPr="00D0120F">
        <w:rPr>
          <w:rFonts w:ascii="Garamond" w:hAnsi="Garamond"/>
        </w:rPr>
        <w:t xml:space="preserve"> espressamente s</w:t>
      </w:r>
      <w:r w:rsidR="00E83AA1" w:rsidRPr="00D0120F">
        <w:rPr>
          <w:rFonts w:ascii="Garamond" w:hAnsi="Garamond"/>
        </w:rPr>
        <w:t xml:space="preserve">tabilito un corrispettivo, </w:t>
      </w:r>
      <w:r w:rsidR="00AE638D" w:rsidRPr="00D0120F">
        <w:rPr>
          <w:rFonts w:ascii="Garamond" w:hAnsi="Garamond"/>
        </w:rPr>
        <w:t xml:space="preserve">dunque, deve </w:t>
      </w:r>
      <w:r w:rsidR="001F37C2" w:rsidRPr="00D0120F">
        <w:rPr>
          <w:rFonts w:ascii="Garamond" w:hAnsi="Garamond"/>
        </w:rPr>
        <w:lastRenderedPageBreak/>
        <w:t>emergere l’interesse di carattere direttamente o indirettamente patrimoniale che ha indotto l’ausiliaria ad assumere</w:t>
      </w:r>
      <w:r w:rsidR="00E83AA1" w:rsidRPr="00D0120F">
        <w:rPr>
          <w:rFonts w:ascii="Garamond" w:hAnsi="Garamond"/>
        </w:rPr>
        <w:t xml:space="preserve"> </w:t>
      </w:r>
      <w:r w:rsidR="001F37C2" w:rsidRPr="00D0120F">
        <w:rPr>
          <w:rFonts w:ascii="Garamond" w:hAnsi="Garamond"/>
        </w:rPr>
        <w:t xml:space="preserve">gli </w:t>
      </w:r>
      <w:r w:rsidR="001F37C2" w:rsidRPr="001D0AD0">
        <w:rPr>
          <w:rFonts w:ascii="Garamond" w:hAnsi="Garamond"/>
        </w:rPr>
        <w:t xml:space="preserve">obblighi derivanti </w:t>
      </w:r>
      <w:r w:rsidR="00E83AA1" w:rsidRPr="001D0AD0">
        <w:rPr>
          <w:rFonts w:ascii="Garamond" w:hAnsi="Garamond"/>
        </w:rPr>
        <w:t>dal contratto</w:t>
      </w:r>
      <w:r w:rsidR="009F6A44" w:rsidRPr="001D0AD0">
        <w:rPr>
          <w:rStyle w:val="Rimandonotaapidipagina"/>
          <w:rFonts w:ascii="Garamond" w:hAnsi="Garamond"/>
          <w:sz w:val="24"/>
        </w:rPr>
        <w:footnoteReference w:id="4"/>
      </w:r>
      <w:r w:rsidR="001F37C2" w:rsidRPr="001D0AD0">
        <w:rPr>
          <w:rFonts w:ascii="Garamond" w:hAnsi="Garamond"/>
        </w:rPr>
        <w:t>. Del resto, altrimenti</w:t>
      </w:r>
      <w:r w:rsidR="00E83AA1" w:rsidRPr="001D0AD0">
        <w:rPr>
          <w:rFonts w:ascii="Garamond" w:hAnsi="Garamond"/>
        </w:rPr>
        <w:t xml:space="preserve"> ragionando</w:t>
      </w:r>
      <w:r w:rsidR="001F37C2" w:rsidRPr="001D0AD0">
        <w:rPr>
          <w:rFonts w:ascii="Garamond" w:hAnsi="Garamond"/>
        </w:rPr>
        <w:t xml:space="preserve">, non si </w:t>
      </w:r>
      <w:r w:rsidR="00E83AA1" w:rsidRPr="001D0AD0">
        <w:rPr>
          <w:rFonts w:ascii="Garamond" w:hAnsi="Garamond"/>
        </w:rPr>
        <w:t>comprenderebbe</w:t>
      </w:r>
      <w:r w:rsidR="001F37C2" w:rsidRPr="001D0AD0">
        <w:rPr>
          <w:rFonts w:ascii="Garamond" w:hAnsi="Garamond"/>
        </w:rPr>
        <w:t xml:space="preserve"> </w:t>
      </w:r>
      <w:r w:rsidR="00E83AA1" w:rsidRPr="001D0AD0">
        <w:rPr>
          <w:rFonts w:ascii="Garamond" w:hAnsi="Garamond"/>
        </w:rPr>
        <w:t>perché un</w:t>
      </w:r>
      <w:r w:rsidR="0086589D" w:rsidRPr="001D0AD0">
        <w:rPr>
          <w:rFonts w:ascii="Garamond" w:hAnsi="Garamond"/>
        </w:rPr>
        <w:t xml:space="preserve"> opera</w:t>
      </w:r>
      <w:r w:rsidR="009F6A44" w:rsidRPr="001D0AD0">
        <w:rPr>
          <w:rFonts w:ascii="Garamond" w:hAnsi="Garamond"/>
        </w:rPr>
        <w:t xml:space="preserve">tore economico </w:t>
      </w:r>
      <w:r w:rsidR="00E83AA1" w:rsidRPr="001D0AD0">
        <w:rPr>
          <w:rFonts w:ascii="Garamond" w:hAnsi="Garamond"/>
        </w:rPr>
        <w:t>dovrebbe scegliere di</w:t>
      </w:r>
      <w:r w:rsidR="00B3766A" w:rsidRPr="001D0AD0">
        <w:rPr>
          <w:rFonts w:ascii="Garamond" w:hAnsi="Garamond"/>
        </w:rPr>
        <w:t xml:space="preserve"> assumere il ruolo di impresa ausiliaria, </w:t>
      </w:r>
      <w:r w:rsidR="00E83AA1" w:rsidRPr="001D0AD0">
        <w:rPr>
          <w:rFonts w:ascii="Garamond" w:hAnsi="Garamond"/>
        </w:rPr>
        <w:t xml:space="preserve">con </w:t>
      </w:r>
      <w:r w:rsidR="00B3766A" w:rsidRPr="001D0AD0">
        <w:rPr>
          <w:rFonts w:ascii="Garamond" w:hAnsi="Garamond"/>
        </w:rPr>
        <w:t>le connesse responsabilità</w:t>
      </w:r>
      <w:r w:rsidR="00E83AA1" w:rsidRPr="001D0AD0">
        <w:rPr>
          <w:rFonts w:ascii="Garamond" w:hAnsi="Garamond"/>
        </w:rPr>
        <w:t xml:space="preserve"> e</w:t>
      </w:r>
      <w:r w:rsidR="00B3766A" w:rsidRPr="001D0AD0">
        <w:rPr>
          <w:rFonts w:ascii="Garamond" w:hAnsi="Garamond"/>
        </w:rPr>
        <w:t xml:space="preserve"> in assenza di un</w:t>
      </w:r>
      <w:r w:rsidR="00C240E6" w:rsidRPr="001D0AD0">
        <w:rPr>
          <w:rFonts w:ascii="Garamond" w:hAnsi="Garamond"/>
        </w:rPr>
        <w:t xml:space="preserve"> corrispettivo</w:t>
      </w:r>
      <w:r w:rsidR="00B3766A" w:rsidRPr="001D0AD0">
        <w:rPr>
          <w:rFonts w:ascii="Garamond" w:hAnsi="Garamond"/>
        </w:rPr>
        <w:t>,</w:t>
      </w:r>
      <w:r w:rsidR="009F6A44" w:rsidRPr="001D0AD0">
        <w:rPr>
          <w:rFonts w:ascii="Garamond" w:hAnsi="Garamond"/>
        </w:rPr>
        <w:t xml:space="preserve"> </w:t>
      </w:r>
      <w:r w:rsidR="00B3766A" w:rsidRPr="001D0AD0">
        <w:rPr>
          <w:rFonts w:ascii="Garamond" w:hAnsi="Garamond"/>
        </w:rPr>
        <w:t xml:space="preserve">piuttosto che partecipare direttamente alla gara, </w:t>
      </w:r>
      <w:r w:rsidR="00C240E6" w:rsidRPr="001D0AD0">
        <w:rPr>
          <w:rFonts w:ascii="Garamond" w:hAnsi="Garamond"/>
        </w:rPr>
        <w:t xml:space="preserve">se del caso in associazione temporanea o in consorzio </w:t>
      </w:r>
      <w:r w:rsidR="00B3766A" w:rsidRPr="001D0AD0">
        <w:rPr>
          <w:rFonts w:ascii="Garamond" w:hAnsi="Garamond"/>
        </w:rPr>
        <w:t>con altri operatori.</w:t>
      </w:r>
    </w:p>
    <w:p w14:paraId="601BFD47" w14:textId="01760F24" w:rsidR="00DE2C45" w:rsidRPr="00DE2C45" w:rsidRDefault="00C240E6" w:rsidP="00DE2C45">
      <w:pPr>
        <w:spacing w:line="276" w:lineRule="auto"/>
        <w:ind w:firstLine="284"/>
        <w:jc w:val="both"/>
        <w:rPr>
          <w:rFonts w:ascii="Garamond" w:hAnsi="Garamond"/>
        </w:rPr>
      </w:pPr>
      <w:r w:rsidRPr="001D0AD0">
        <w:rPr>
          <w:rFonts w:ascii="Garamond" w:hAnsi="Garamond"/>
        </w:rPr>
        <w:t>Per quanto concerne l’oggetto dell’avvalimento</w:t>
      </w:r>
      <w:r w:rsidR="003B5C4C" w:rsidRPr="001D0AD0">
        <w:rPr>
          <w:rFonts w:ascii="Garamond" w:hAnsi="Garamond"/>
        </w:rPr>
        <w:t>,</w:t>
      </w:r>
      <w:r w:rsidR="00AA725C" w:rsidRPr="001D0AD0">
        <w:rPr>
          <w:rFonts w:ascii="Garamond" w:hAnsi="Garamond"/>
        </w:rPr>
        <w:t xml:space="preserve"> la </w:t>
      </w:r>
      <w:r w:rsidR="00B8139E" w:rsidRPr="001D0AD0">
        <w:rPr>
          <w:rFonts w:ascii="Garamond" w:hAnsi="Garamond"/>
        </w:rPr>
        <w:t xml:space="preserve">disposizione di </w:t>
      </w:r>
      <w:r w:rsidR="00AA725C" w:rsidRPr="001D0AD0">
        <w:rPr>
          <w:rFonts w:ascii="Garamond" w:hAnsi="Garamond"/>
        </w:rPr>
        <w:t>riferimento è certamente l’art. 89, comma 1 del D.Lgs. n. 50/2016</w:t>
      </w:r>
      <w:r w:rsidR="00B8139E" w:rsidRPr="001D0AD0">
        <w:rPr>
          <w:rFonts w:ascii="Garamond" w:hAnsi="Garamond"/>
        </w:rPr>
        <w:t>, sul quale ci si soffermerà nel successivo paragrafo, sebbene</w:t>
      </w:r>
      <w:r w:rsidR="003B5C4C" w:rsidRPr="001D0AD0">
        <w:rPr>
          <w:rFonts w:ascii="Garamond" w:hAnsi="Garamond"/>
        </w:rPr>
        <w:t xml:space="preserve"> </w:t>
      </w:r>
      <w:r w:rsidR="00AA725C" w:rsidRPr="001D0AD0">
        <w:rPr>
          <w:rFonts w:ascii="Garamond" w:hAnsi="Garamond"/>
        </w:rPr>
        <w:t>interessanti spunti si rinveng</w:t>
      </w:r>
      <w:r w:rsidR="00B8139E" w:rsidRPr="001D0AD0">
        <w:rPr>
          <w:rFonts w:ascii="Garamond" w:hAnsi="Garamond"/>
        </w:rPr>
        <w:t>a</w:t>
      </w:r>
      <w:r w:rsidR="00AA725C" w:rsidRPr="001D0AD0">
        <w:rPr>
          <w:rFonts w:ascii="Garamond" w:hAnsi="Garamond"/>
        </w:rPr>
        <w:t>no anche nel</w:t>
      </w:r>
      <w:r w:rsidR="003B5C4C" w:rsidRPr="001D0AD0">
        <w:rPr>
          <w:rFonts w:ascii="Garamond" w:hAnsi="Garamond"/>
        </w:rPr>
        <w:t>l’art. 88</w:t>
      </w:r>
      <w:r w:rsidR="00C84935" w:rsidRPr="001D0AD0">
        <w:rPr>
          <w:rFonts w:ascii="Garamond" w:hAnsi="Garamond"/>
        </w:rPr>
        <w:t>, comma 1, lett. a)</w:t>
      </w:r>
      <w:r w:rsidR="003B5C4C" w:rsidRPr="001D0AD0">
        <w:rPr>
          <w:rFonts w:ascii="Garamond" w:hAnsi="Garamond"/>
        </w:rPr>
        <w:t xml:space="preserve"> del regolamento di attuazione </w:t>
      </w:r>
      <w:r w:rsidR="00C84935" w:rsidRPr="001D0AD0">
        <w:rPr>
          <w:rFonts w:ascii="Garamond" w:hAnsi="Garamond"/>
        </w:rPr>
        <w:t>del</w:t>
      </w:r>
      <w:r w:rsidR="003B5C4C" w:rsidRPr="001D0AD0">
        <w:rPr>
          <w:rFonts w:ascii="Garamond" w:hAnsi="Garamond"/>
        </w:rPr>
        <w:t xml:space="preserve"> precedente Codice, </w:t>
      </w:r>
      <w:r w:rsidR="00C84935" w:rsidRPr="001D0AD0">
        <w:rPr>
          <w:rFonts w:ascii="Garamond" w:hAnsi="Garamond"/>
        </w:rPr>
        <w:t xml:space="preserve">il </w:t>
      </w:r>
      <w:r w:rsidR="003B5C4C" w:rsidRPr="001D0AD0">
        <w:rPr>
          <w:rFonts w:ascii="Garamond" w:hAnsi="Garamond"/>
        </w:rPr>
        <w:t>d.P.R. 207/2010,</w:t>
      </w:r>
      <w:r w:rsidR="00C84935" w:rsidRPr="001D0AD0">
        <w:rPr>
          <w:rFonts w:ascii="Garamond" w:hAnsi="Garamond"/>
        </w:rPr>
        <w:t xml:space="preserve"> tutt’ora in vigore</w:t>
      </w:r>
      <w:r w:rsidR="00C84935" w:rsidRPr="001D0AD0">
        <w:rPr>
          <w:rStyle w:val="Rimandonotaapidipagina"/>
          <w:rFonts w:ascii="Garamond" w:hAnsi="Garamond"/>
          <w:sz w:val="24"/>
        </w:rPr>
        <w:footnoteReference w:id="5"/>
      </w:r>
      <w:r w:rsidR="00C84935" w:rsidRPr="001D0AD0">
        <w:rPr>
          <w:rFonts w:ascii="Garamond" w:hAnsi="Garamond"/>
        </w:rPr>
        <w:t xml:space="preserve">, </w:t>
      </w:r>
      <w:r w:rsidR="00AA725C" w:rsidRPr="001D0AD0">
        <w:rPr>
          <w:rFonts w:ascii="Garamond" w:hAnsi="Garamond"/>
        </w:rPr>
        <w:t xml:space="preserve">che </w:t>
      </w:r>
      <w:r w:rsidR="00D751EA" w:rsidRPr="001D0AD0">
        <w:rPr>
          <w:rFonts w:ascii="Garamond" w:hAnsi="Garamond"/>
        </w:rPr>
        <w:t>statuisce</w:t>
      </w:r>
      <w:r w:rsidR="003B5C4C" w:rsidRPr="001D0AD0">
        <w:rPr>
          <w:rFonts w:ascii="Garamond" w:hAnsi="Garamond"/>
        </w:rPr>
        <w:t xml:space="preserve"> che il contratto </w:t>
      </w:r>
      <w:r w:rsidR="003A322D" w:rsidRPr="001D0AD0">
        <w:rPr>
          <w:rFonts w:ascii="Garamond" w:hAnsi="Garamond"/>
        </w:rPr>
        <w:t>“</w:t>
      </w:r>
      <w:r w:rsidR="003A322D" w:rsidRPr="001D0AD0">
        <w:rPr>
          <w:rFonts w:ascii="Garamond" w:hAnsi="Garamond"/>
          <w:i/>
        </w:rPr>
        <w:t>deve riportare in modo compiuto, esplicito ed esauriente: a) oggetto: le risorse e i mezzi prestati in modo determinato e specifico</w:t>
      </w:r>
      <w:r w:rsidR="003A322D" w:rsidRPr="001D0AD0">
        <w:rPr>
          <w:rFonts w:ascii="Garamond" w:hAnsi="Garamond"/>
        </w:rPr>
        <w:t xml:space="preserve">”. </w:t>
      </w:r>
      <w:r w:rsidR="00AA725C" w:rsidRPr="001D0AD0">
        <w:rPr>
          <w:rFonts w:ascii="Garamond" w:hAnsi="Garamond"/>
        </w:rPr>
        <w:t>È dunque espressamente richiesto un preciso onere di specificità.</w:t>
      </w:r>
    </w:p>
    <w:p w14:paraId="09D08DB5" w14:textId="192D9E90" w:rsidR="00B024E1" w:rsidRPr="00D0120F" w:rsidRDefault="00AA725C" w:rsidP="006D67E0">
      <w:pPr>
        <w:spacing w:line="276" w:lineRule="auto"/>
        <w:ind w:firstLine="284"/>
        <w:jc w:val="both"/>
        <w:rPr>
          <w:rFonts w:ascii="Garamond" w:hAnsi="Garamond"/>
          <w:bCs/>
        </w:rPr>
      </w:pPr>
      <w:r>
        <w:rPr>
          <w:rFonts w:ascii="Garamond" w:hAnsi="Garamond"/>
        </w:rPr>
        <w:t>Già nella vigenza del precedente Codice, in</w:t>
      </w:r>
      <w:r w:rsidR="000F5FFB" w:rsidRPr="00D0120F">
        <w:rPr>
          <w:rFonts w:ascii="Garamond" w:hAnsi="Garamond"/>
        </w:rPr>
        <w:t xml:space="preserve"> giurisprudenza è stato chiarito </w:t>
      </w:r>
      <w:r w:rsidR="001F3795" w:rsidRPr="00D0120F">
        <w:rPr>
          <w:rFonts w:ascii="Garamond" w:hAnsi="Garamond"/>
        </w:rPr>
        <w:t>che</w:t>
      </w:r>
      <w:r w:rsidR="00D751EA" w:rsidRPr="00D0120F">
        <w:rPr>
          <w:rFonts w:ascii="Garamond" w:hAnsi="Garamond"/>
        </w:rPr>
        <w:t xml:space="preserve">, ai sensi </w:t>
      </w:r>
      <w:r w:rsidR="00D751EA" w:rsidRPr="00D0120F">
        <w:rPr>
          <w:rFonts w:ascii="Garamond" w:hAnsi="Garamond"/>
          <w:bCs/>
        </w:rPr>
        <w:t>degli artt. 1418, 1325 e 1346</w:t>
      </w:r>
      <w:r w:rsidR="00CE43E1">
        <w:rPr>
          <w:rFonts w:ascii="Garamond" w:hAnsi="Garamond"/>
          <w:bCs/>
        </w:rPr>
        <w:t xml:space="preserve"> </w:t>
      </w:r>
      <w:r w:rsidR="00D751EA" w:rsidRPr="00D0120F">
        <w:rPr>
          <w:rFonts w:ascii="Garamond" w:hAnsi="Garamond"/>
          <w:bCs/>
        </w:rPr>
        <w:t>c.c.</w:t>
      </w:r>
      <w:r w:rsidR="00D751EA" w:rsidRPr="00D0120F">
        <w:rPr>
          <w:rStyle w:val="Rimandonotaapidipagina"/>
          <w:rFonts w:ascii="Garamond" w:hAnsi="Garamond"/>
          <w:sz w:val="24"/>
        </w:rPr>
        <w:footnoteReference w:id="6"/>
      </w:r>
      <w:r w:rsidR="00D751EA" w:rsidRPr="00D0120F">
        <w:rPr>
          <w:rFonts w:ascii="Garamond" w:hAnsi="Garamond"/>
          <w:bCs/>
        </w:rPr>
        <w:t xml:space="preserve">, </w:t>
      </w:r>
      <w:r w:rsidR="000F45C4" w:rsidRPr="00D0120F">
        <w:rPr>
          <w:rFonts w:ascii="Garamond" w:hAnsi="Garamond"/>
        </w:rPr>
        <w:t xml:space="preserve">l’indeterminatezza </w:t>
      </w:r>
      <w:r w:rsidR="000F45C4" w:rsidRPr="00D0120F">
        <w:rPr>
          <w:rFonts w:ascii="Garamond" w:hAnsi="Garamond"/>
          <w:bCs/>
        </w:rPr>
        <w:t xml:space="preserve">e/o l’indeterminabilità delle risorse </w:t>
      </w:r>
      <w:r w:rsidR="000F45C4" w:rsidRPr="00D0120F">
        <w:rPr>
          <w:rFonts w:ascii="Garamond" w:hAnsi="Garamond"/>
        </w:rPr>
        <w:t xml:space="preserve">oggetto di avvalimento comporta la </w:t>
      </w:r>
      <w:r w:rsidR="000F45C4" w:rsidRPr="00D0120F">
        <w:rPr>
          <w:rFonts w:ascii="Garamond" w:hAnsi="Garamond"/>
          <w:bCs/>
        </w:rPr>
        <w:t>nullità del relativo contratto</w:t>
      </w:r>
      <w:r w:rsidR="001F3795" w:rsidRPr="00D0120F">
        <w:rPr>
          <w:rFonts w:ascii="Garamond" w:hAnsi="Garamond"/>
          <w:bCs/>
        </w:rPr>
        <w:t>. Difatti, l’esigenza</w:t>
      </w:r>
      <w:r w:rsidR="009F7EA5" w:rsidRPr="00D0120F">
        <w:rPr>
          <w:rFonts w:ascii="Garamond" w:hAnsi="Garamond"/>
          <w:bCs/>
        </w:rPr>
        <w:t xml:space="preserve"> di </w:t>
      </w:r>
      <w:r w:rsidR="000C6A9F" w:rsidRPr="00D0120F">
        <w:rPr>
          <w:rFonts w:ascii="Garamond" w:hAnsi="Garamond"/>
          <w:bCs/>
        </w:rPr>
        <w:t>una puntuale individuazione dell’</w:t>
      </w:r>
      <w:r w:rsidR="009F7EA5" w:rsidRPr="00D0120F">
        <w:rPr>
          <w:rFonts w:ascii="Garamond" w:hAnsi="Garamond"/>
          <w:bCs/>
        </w:rPr>
        <w:t>oggetto</w:t>
      </w:r>
      <w:r w:rsidR="000C6A9F" w:rsidRPr="00D0120F">
        <w:rPr>
          <w:rFonts w:ascii="Garamond" w:hAnsi="Garamond"/>
          <w:bCs/>
        </w:rPr>
        <w:t xml:space="preserve"> dell’avvalimento</w:t>
      </w:r>
      <w:r w:rsidR="009F7EA5" w:rsidRPr="00D0120F">
        <w:rPr>
          <w:rFonts w:ascii="Garamond" w:hAnsi="Garamond"/>
          <w:bCs/>
        </w:rPr>
        <w:t xml:space="preserve"> “</w:t>
      </w:r>
      <w:r w:rsidR="00B024E1" w:rsidRPr="00D0120F">
        <w:rPr>
          <w:rFonts w:ascii="Garamond" w:eastAsia="Times New Roman" w:hAnsi="Garamond"/>
          <w:i/>
          <w:iCs/>
          <w:color w:val="000000"/>
        </w:rPr>
        <w:t>oltre ad avere un sicuro ancoraggio sul terreno civilistico, nella generale previsione codicistica che configura quale causa di nullità di ogni contratto l’indeterminatezza (ed indeterminabilità) del relativo oggetto, trova la propria essenziale giustificazione funzionale, inscindibilmente connessa alle procedure contrattuali del settore pubblico, nell</w:t>
      </w:r>
      <w:r w:rsidR="001F3795" w:rsidRPr="00D0120F">
        <w:rPr>
          <w:rFonts w:ascii="Garamond" w:eastAsia="Times New Roman" w:hAnsi="Garamond"/>
          <w:i/>
          <w:iCs/>
          <w:color w:val="000000"/>
        </w:rPr>
        <w:t>a necessità di non permettere -</w:t>
      </w:r>
      <w:r w:rsidR="00B024E1" w:rsidRPr="00D0120F">
        <w:rPr>
          <w:rFonts w:ascii="Garamond" w:eastAsia="Times New Roman" w:hAnsi="Garamond"/>
          <w:i/>
          <w:iCs/>
          <w:color w:val="000000"/>
        </w:rPr>
        <w:t>fin troppo- agevoli aggiramenti del sistema dei requisiti di ingresso alle gare pubbliche (requisiti pur solennemente prescritti e, di solito, attentamente verificati nei confronti dei concorrenti che se ne dichiarino titolari in proprio)</w:t>
      </w:r>
      <w:r w:rsidR="00EA4FAD" w:rsidRPr="00D0120F">
        <w:rPr>
          <w:rFonts w:ascii="Garamond" w:eastAsia="Times New Roman" w:hAnsi="Garamond"/>
          <w:i/>
          <w:iCs/>
          <w:color w:val="000000"/>
        </w:rPr>
        <w:t>”</w:t>
      </w:r>
      <w:r w:rsidR="009F7EA5" w:rsidRPr="00D0120F">
        <w:rPr>
          <w:rStyle w:val="Rimandonotaapidipagina"/>
          <w:rFonts w:ascii="Garamond" w:eastAsia="Times New Roman" w:hAnsi="Garamond"/>
          <w:color w:val="000000"/>
          <w:sz w:val="24"/>
        </w:rPr>
        <w:footnoteReference w:id="7"/>
      </w:r>
      <w:r w:rsidR="00B024E1" w:rsidRPr="00D0120F">
        <w:rPr>
          <w:rFonts w:ascii="Garamond" w:eastAsia="Times New Roman" w:hAnsi="Garamond"/>
          <w:color w:val="000000"/>
        </w:rPr>
        <w:t xml:space="preserve">. </w:t>
      </w:r>
    </w:p>
    <w:p w14:paraId="77E67551" w14:textId="08964709" w:rsidR="00EC1C57" w:rsidRPr="00D0120F" w:rsidRDefault="00C57F30" w:rsidP="006D67E0">
      <w:pPr>
        <w:spacing w:line="276" w:lineRule="auto"/>
        <w:ind w:firstLine="284"/>
        <w:jc w:val="both"/>
        <w:rPr>
          <w:rFonts w:ascii="Garamond" w:hAnsi="Garamond"/>
          <w:lang w:eastAsia="en-US"/>
        </w:rPr>
      </w:pPr>
      <w:r w:rsidRPr="00D0120F">
        <w:rPr>
          <w:rFonts w:ascii="Garamond" w:eastAsia="Times New Roman" w:hAnsi="Garamond"/>
          <w:color w:val="000000"/>
        </w:rPr>
        <w:t>Il dibattito</w:t>
      </w:r>
      <w:r w:rsidR="00B25D39" w:rsidRPr="00D0120F">
        <w:rPr>
          <w:rFonts w:ascii="Garamond" w:eastAsia="Times New Roman" w:hAnsi="Garamond"/>
          <w:color w:val="000000"/>
        </w:rPr>
        <w:t xml:space="preserve"> giurisprudenziale</w:t>
      </w:r>
      <w:r w:rsidRPr="00D0120F">
        <w:rPr>
          <w:rFonts w:ascii="Garamond" w:eastAsia="Times New Roman" w:hAnsi="Garamond"/>
          <w:color w:val="000000"/>
        </w:rPr>
        <w:t xml:space="preserve"> </w:t>
      </w:r>
      <w:r w:rsidR="00B25D39" w:rsidRPr="00D0120F">
        <w:rPr>
          <w:rFonts w:ascii="Garamond" w:eastAsia="Times New Roman" w:hAnsi="Garamond"/>
          <w:color w:val="000000"/>
        </w:rPr>
        <w:t xml:space="preserve">ha poi condotto alla distinzione </w:t>
      </w:r>
      <w:r w:rsidRPr="00D0120F">
        <w:rPr>
          <w:rFonts w:ascii="Garamond" w:eastAsia="Times New Roman" w:hAnsi="Garamond"/>
          <w:color w:val="000000"/>
        </w:rPr>
        <w:t xml:space="preserve">tra avvalimento di garanzia </w:t>
      </w:r>
      <w:r w:rsidR="00976410" w:rsidRPr="00D0120F">
        <w:rPr>
          <w:rFonts w:ascii="Garamond" w:eastAsia="Times New Roman" w:hAnsi="Garamond"/>
          <w:color w:val="000000"/>
        </w:rPr>
        <w:t>per i requisiti di capacità economica e finanziaria e</w:t>
      </w:r>
      <w:r w:rsidRPr="00D0120F">
        <w:rPr>
          <w:rFonts w:ascii="Garamond" w:eastAsia="Times New Roman" w:hAnsi="Garamond"/>
          <w:color w:val="000000"/>
        </w:rPr>
        <w:t xml:space="preserve"> avvalimento tecnico-operativo</w:t>
      </w:r>
      <w:r w:rsidR="00976410" w:rsidRPr="00D0120F">
        <w:rPr>
          <w:rFonts w:ascii="Garamond" w:hAnsi="Garamond"/>
          <w:lang w:eastAsia="en-US"/>
        </w:rPr>
        <w:t xml:space="preserve"> per i requisiti di capacità tecniche e professionali</w:t>
      </w:r>
      <w:r w:rsidR="00976410" w:rsidRPr="00D0120F">
        <w:rPr>
          <w:rFonts w:ascii="Garamond" w:eastAsia="Times New Roman" w:hAnsi="Garamond"/>
          <w:color w:val="000000"/>
        </w:rPr>
        <w:t>.</w:t>
      </w:r>
      <w:r w:rsidRPr="00D0120F">
        <w:rPr>
          <w:rFonts w:ascii="Garamond" w:eastAsia="Times New Roman" w:hAnsi="Garamond"/>
          <w:color w:val="000000"/>
        </w:rPr>
        <w:t xml:space="preserve"> </w:t>
      </w:r>
      <w:r w:rsidR="00976410" w:rsidRPr="00D0120F">
        <w:rPr>
          <w:rFonts w:ascii="Garamond" w:hAnsi="Garamond"/>
          <w:lang w:eastAsia="en-US"/>
        </w:rPr>
        <w:t>La fondamentale differenza è che mentre il primo si sostanzia essenzialmente nell’impegno a garantire l’impresa ausiliata mediante le proprie complessive risorse economiche</w:t>
      </w:r>
      <w:r w:rsidR="00976410" w:rsidRPr="00D0120F">
        <w:rPr>
          <w:rStyle w:val="Rimandonotaapidipagina"/>
          <w:rFonts w:ascii="Garamond" w:hAnsi="Garamond"/>
          <w:sz w:val="24"/>
          <w:lang w:eastAsia="en-US"/>
        </w:rPr>
        <w:footnoteReference w:id="8"/>
      </w:r>
      <w:r w:rsidR="00976410" w:rsidRPr="00D0120F">
        <w:rPr>
          <w:rFonts w:ascii="Garamond" w:hAnsi="Garamond"/>
          <w:lang w:eastAsia="en-US"/>
        </w:rPr>
        <w:t xml:space="preserve">, quindi trattasi di </w:t>
      </w:r>
      <w:r w:rsidR="00976410" w:rsidRPr="00D0120F">
        <w:rPr>
          <w:rFonts w:ascii="Garamond" w:hAnsi="Garamond"/>
          <w:lang w:eastAsia="en-US"/>
        </w:rPr>
        <w:lastRenderedPageBreak/>
        <w:t>requisiti immateriali (</w:t>
      </w:r>
      <w:r w:rsidR="00EC1C57" w:rsidRPr="00D0120F">
        <w:rPr>
          <w:rFonts w:ascii="Garamond" w:hAnsi="Garamond"/>
          <w:lang w:eastAsia="en-US"/>
        </w:rPr>
        <w:t xml:space="preserve">quali, </w:t>
      </w:r>
      <w:r w:rsidR="00976410" w:rsidRPr="00D0120F">
        <w:rPr>
          <w:rFonts w:ascii="Garamond" w:hAnsi="Garamond"/>
          <w:lang w:eastAsia="en-US"/>
        </w:rPr>
        <w:t>ad esempio, il capitale sociale</w:t>
      </w:r>
      <w:r w:rsidR="004D1629">
        <w:rPr>
          <w:rFonts w:ascii="Garamond" w:hAnsi="Garamond"/>
          <w:lang w:eastAsia="en-US"/>
        </w:rPr>
        <w:t xml:space="preserve"> e</w:t>
      </w:r>
      <w:r w:rsidR="00976410" w:rsidRPr="00D0120F">
        <w:rPr>
          <w:rFonts w:ascii="Garamond" w:hAnsi="Garamond"/>
          <w:lang w:eastAsia="en-US"/>
        </w:rPr>
        <w:t xml:space="preserve"> il fatturato global</w:t>
      </w:r>
      <w:r w:rsidR="004D1629">
        <w:rPr>
          <w:rFonts w:ascii="Garamond" w:hAnsi="Garamond"/>
          <w:lang w:eastAsia="en-US"/>
        </w:rPr>
        <w:t>e</w:t>
      </w:r>
      <w:r w:rsidR="00976410" w:rsidRPr="00D0120F">
        <w:rPr>
          <w:rFonts w:ascii="Garamond" w:hAnsi="Garamond"/>
          <w:lang w:eastAsia="en-US"/>
        </w:rPr>
        <w:t>)</w:t>
      </w:r>
      <w:r w:rsidR="005E77CB">
        <w:rPr>
          <w:rFonts w:ascii="Garamond" w:hAnsi="Garamond"/>
          <w:lang w:eastAsia="en-US"/>
        </w:rPr>
        <w:t>,</w:t>
      </w:r>
      <w:r w:rsidR="00976410" w:rsidRPr="00D0120F">
        <w:rPr>
          <w:rFonts w:ascii="Garamond" w:hAnsi="Garamond"/>
          <w:lang w:eastAsia="en-US"/>
        </w:rPr>
        <w:t xml:space="preserve"> l’avvalimento tecnico-operativo consiste</w:t>
      </w:r>
      <w:r w:rsidR="005E77CB">
        <w:rPr>
          <w:rFonts w:ascii="Garamond" w:hAnsi="Garamond"/>
          <w:lang w:eastAsia="en-US"/>
        </w:rPr>
        <w:t xml:space="preserve"> invece</w:t>
      </w:r>
      <w:r w:rsidR="00976410" w:rsidRPr="00D0120F">
        <w:rPr>
          <w:rFonts w:ascii="Garamond" w:hAnsi="Garamond"/>
          <w:lang w:eastAsia="en-US"/>
        </w:rPr>
        <w:t xml:space="preserve"> nella messa a disposizione di mezzi e risorse per la concreta esecuzione dell’appalto. </w:t>
      </w:r>
      <w:r w:rsidR="00EC1C57" w:rsidRPr="00D0120F">
        <w:rPr>
          <w:rFonts w:ascii="Garamond" w:hAnsi="Garamond"/>
          <w:lang w:eastAsia="en-US"/>
        </w:rPr>
        <w:t xml:space="preserve">Tuttavia, anche in ordine a tale </w:t>
      </w:r>
      <w:r w:rsidR="00693BDE" w:rsidRPr="00D0120F">
        <w:rPr>
          <w:rFonts w:ascii="Garamond" w:hAnsi="Garamond"/>
          <w:lang w:eastAsia="en-US"/>
        </w:rPr>
        <w:t>classificazione</w:t>
      </w:r>
      <w:r w:rsidR="00EC1C57" w:rsidRPr="00D0120F">
        <w:rPr>
          <w:rFonts w:ascii="Garamond" w:hAnsi="Garamond"/>
          <w:lang w:eastAsia="en-US"/>
        </w:rPr>
        <w:t xml:space="preserve"> sono sorte talune complessità interpretative, in particolare con riferimento al requisito del fatturato</w:t>
      </w:r>
      <w:r w:rsidR="006708A5">
        <w:rPr>
          <w:rFonts w:ascii="Garamond" w:hAnsi="Garamond"/>
          <w:lang w:eastAsia="en-US"/>
        </w:rPr>
        <w:t xml:space="preserve"> cd. specifico</w:t>
      </w:r>
      <w:r w:rsidR="00EC1C57" w:rsidRPr="00D0120F">
        <w:rPr>
          <w:rFonts w:ascii="Garamond" w:hAnsi="Garamond"/>
          <w:lang w:eastAsia="en-US"/>
        </w:rPr>
        <w:t>, secondo un orientamento considerato quale avvalimento di garanzia e secondo altro orientamento ritenuto</w:t>
      </w:r>
      <w:r w:rsidR="00693BDE" w:rsidRPr="00D0120F">
        <w:rPr>
          <w:rFonts w:ascii="Garamond" w:hAnsi="Garamond"/>
          <w:lang w:eastAsia="en-US"/>
        </w:rPr>
        <w:t xml:space="preserve"> invece</w:t>
      </w:r>
      <w:r w:rsidR="00EC1C57" w:rsidRPr="00D0120F">
        <w:rPr>
          <w:rFonts w:ascii="Garamond" w:hAnsi="Garamond"/>
          <w:lang w:eastAsia="en-US"/>
        </w:rPr>
        <w:t xml:space="preserve"> avvalimento operativo</w:t>
      </w:r>
      <w:r w:rsidR="00EC1C57" w:rsidRPr="00D0120F">
        <w:rPr>
          <w:rStyle w:val="Rimandonotaapidipagina"/>
          <w:lang w:eastAsia="en-US"/>
        </w:rPr>
        <w:footnoteReference w:id="9"/>
      </w:r>
      <w:r w:rsidR="00EC1C57" w:rsidRPr="00D0120F">
        <w:rPr>
          <w:rFonts w:ascii="Garamond" w:hAnsi="Garamond"/>
          <w:lang w:eastAsia="en-US"/>
        </w:rPr>
        <w:t>.</w:t>
      </w:r>
    </w:p>
    <w:p w14:paraId="624872D8" w14:textId="20C73373" w:rsidR="00976410" w:rsidRPr="007B14BB" w:rsidRDefault="007F38AC" w:rsidP="00A50D0D">
      <w:pPr>
        <w:spacing w:line="276" w:lineRule="auto"/>
        <w:ind w:firstLine="284"/>
        <w:jc w:val="both"/>
        <w:rPr>
          <w:rFonts w:ascii="Garamond" w:eastAsia="Times New Roman" w:hAnsi="Garamond"/>
          <w:color w:val="000000"/>
        </w:rPr>
      </w:pPr>
      <w:r w:rsidRPr="00D0120F">
        <w:rPr>
          <w:rFonts w:ascii="Garamond" w:hAnsi="Garamond"/>
          <w:lang w:eastAsia="en-US"/>
        </w:rPr>
        <w:t xml:space="preserve">Inoltre, </w:t>
      </w:r>
      <w:r w:rsidR="00693BDE" w:rsidRPr="00D0120F">
        <w:rPr>
          <w:rFonts w:ascii="Garamond" w:hAnsi="Garamond"/>
          <w:lang w:eastAsia="en-US"/>
        </w:rPr>
        <w:t xml:space="preserve">sempre con riferimento alla distinzione tra le due tipologie di avvalimento, la giurisprudenza ha prospettato ricostruzioni contrapposte anche per quanto riguarda il profilo della specificità caratterizzante l’oggetto del contratto di avvalimento. Secondo una prima ricostruzione, </w:t>
      </w:r>
      <w:r w:rsidR="00693BDE" w:rsidRPr="00D0120F">
        <w:rPr>
          <w:rFonts w:ascii="Garamond" w:eastAsia="Times New Roman" w:hAnsi="Garamond"/>
          <w:color w:val="000000"/>
        </w:rPr>
        <w:t>sarebbe  necessario dettagliare le risorse e i mezzi prestati soltanto nei casi</w:t>
      </w:r>
      <w:r w:rsidR="00693BDE">
        <w:rPr>
          <w:rFonts w:ascii="Garamond" w:eastAsia="Times New Roman" w:hAnsi="Garamond"/>
          <w:color w:val="000000"/>
        </w:rPr>
        <w:t xml:space="preserve"> di avvalimento di tipo tecnico-operativo, mentre, per altro </w:t>
      </w:r>
      <w:r w:rsidR="00693BDE" w:rsidRPr="00B16456">
        <w:rPr>
          <w:rFonts w:ascii="Garamond" w:eastAsia="Times New Roman" w:hAnsi="Garamond"/>
          <w:color w:val="000000"/>
        </w:rPr>
        <w:t>orientamento</w:t>
      </w:r>
      <w:r w:rsidR="008430B1" w:rsidRPr="00B16456">
        <w:rPr>
          <w:rFonts w:ascii="Garamond" w:eastAsia="Times New Roman" w:hAnsi="Garamond"/>
          <w:color w:val="000000"/>
        </w:rPr>
        <w:t>, minoritario</w:t>
      </w:r>
      <w:r w:rsidR="008430B1">
        <w:rPr>
          <w:rFonts w:ascii="Garamond" w:eastAsia="Times New Roman" w:hAnsi="Garamond"/>
          <w:color w:val="000000"/>
        </w:rPr>
        <w:t xml:space="preserve">, </w:t>
      </w:r>
      <w:r w:rsidR="008A4C7D">
        <w:rPr>
          <w:rFonts w:ascii="Garamond" w:eastAsia="Times New Roman" w:hAnsi="Garamond"/>
          <w:color w:val="000000"/>
        </w:rPr>
        <w:t xml:space="preserve">tale </w:t>
      </w:r>
      <w:r w:rsidR="00693BDE">
        <w:rPr>
          <w:rFonts w:ascii="Garamond" w:eastAsia="Times New Roman" w:hAnsi="Garamond"/>
          <w:color w:val="000000"/>
        </w:rPr>
        <w:t xml:space="preserve">specificazione </w:t>
      </w:r>
      <w:r w:rsidR="002550CD">
        <w:rPr>
          <w:rFonts w:ascii="Garamond" w:eastAsia="Times New Roman" w:hAnsi="Garamond"/>
          <w:color w:val="000000"/>
        </w:rPr>
        <w:t>sarebbe</w:t>
      </w:r>
      <w:r w:rsidR="00C57F30" w:rsidRPr="007B14BB">
        <w:rPr>
          <w:rFonts w:ascii="Garamond" w:eastAsia="Times New Roman" w:hAnsi="Garamond"/>
          <w:color w:val="000000"/>
        </w:rPr>
        <w:t xml:space="preserve"> imprescindibile </w:t>
      </w:r>
      <w:r w:rsidR="00C34016" w:rsidRPr="007B14BB">
        <w:rPr>
          <w:rFonts w:ascii="Garamond" w:eastAsia="Times New Roman" w:hAnsi="Garamond"/>
          <w:color w:val="000000"/>
        </w:rPr>
        <w:t>in entrambi i casi</w:t>
      </w:r>
      <w:r w:rsidR="00314C90" w:rsidRPr="007B14BB">
        <w:rPr>
          <w:rFonts w:ascii="Garamond" w:eastAsia="Times New Roman" w:hAnsi="Garamond"/>
          <w:color w:val="000000"/>
        </w:rPr>
        <w:t>,</w:t>
      </w:r>
      <w:r w:rsidR="00C34016" w:rsidRPr="007B14BB">
        <w:rPr>
          <w:rFonts w:ascii="Garamond" w:eastAsia="Times New Roman" w:hAnsi="Garamond"/>
          <w:color w:val="000000"/>
        </w:rPr>
        <w:t xml:space="preserve"> atteso che, s</w:t>
      </w:r>
      <w:r w:rsidR="002550CD">
        <w:rPr>
          <w:rFonts w:ascii="Garamond" w:eastAsia="Times New Roman" w:hAnsi="Garamond"/>
          <w:color w:val="000000"/>
        </w:rPr>
        <w:t>i evidenzia, s</w:t>
      </w:r>
      <w:r w:rsidR="00C34016" w:rsidRPr="007B14BB">
        <w:rPr>
          <w:rFonts w:ascii="Garamond" w:eastAsia="Times New Roman" w:hAnsi="Garamond"/>
          <w:color w:val="000000"/>
        </w:rPr>
        <w:t>e l’illustrata ripartizione fosse ammessa, si svuot</w:t>
      </w:r>
      <w:r w:rsidR="002550CD">
        <w:rPr>
          <w:rFonts w:ascii="Garamond" w:eastAsia="Times New Roman" w:hAnsi="Garamond"/>
          <w:color w:val="000000"/>
        </w:rPr>
        <w:t>erebbe</w:t>
      </w:r>
      <w:r w:rsidR="00C34016" w:rsidRPr="007B14BB">
        <w:rPr>
          <w:rFonts w:ascii="Garamond" w:eastAsia="Times New Roman" w:hAnsi="Garamond"/>
          <w:color w:val="000000"/>
        </w:rPr>
        <w:t xml:space="preserve"> di significato l’art. 88, d.P.R. n. 207/2010</w:t>
      </w:r>
      <w:r w:rsidR="008A4C7D">
        <w:rPr>
          <w:rStyle w:val="Rimandonotaapidipagina"/>
          <w:rFonts w:eastAsia="Times New Roman"/>
          <w:color w:val="000000"/>
        </w:rPr>
        <w:footnoteReference w:id="10"/>
      </w:r>
      <w:r w:rsidR="00C34016" w:rsidRPr="007B14BB">
        <w:rPr>
          <w:rFonts w:ascii="Garamond" w:eastAsia="Times New Roman" w:hAnsi="Garamond"/>
          <w:color w:val="000000"/>
        </w:rPr>
        <w:t>.</w:t>
      </w:r>
    </w:p>
    <w:p w14:paraId="42DF17C9" w14:textId="082FD281" w:rsidR="00C57F30" w:rsidRPr="006D67E0" w:rsidRDefault="00355072" w:rsidP="006D67E0">
      <w:pPr>
        <w:spacing w:line="276" w:lineRule="auto"/>
        <w:ind w:firstLine="284"/>
        <w:jc w:val="both"/>
        <w:rPr>
          <w:rFonts w:ascii="Garamond" w:hAnsi="Garamond"/>
        </w:rPr>
      </w:pPr>
      <w:r w:rsidRPr="007B14BB">
        <w:rPr>
          <w:rFonts w:ascii="Garamond" w:hAnsi="Garamond"/>
          <w:bCs/>
        </w:rPr>
        <w:t>D</w:t>
      </w:r>
      <w:r w:rsidR="00734FBA">
        <w:rPr>
          <w:rFonts w:ascii="Garamond" w:hAnsi="Garamond"/>
          <w:bCs/>
        </w:rPr>
        <w:t>all</w:t>
      </w:r>
      <w:r w:rsidR="00327C34">
        <w:rPr>
          <w:rFonts w:ascii="Garamond" w:hAnsi="Garamond"/>
          <w:bCs/>
        </w:rPr>
        <w:t>’obbligo di</w:t>
      </w:r>
      <w:r w:rsidR="00734FBA">
        <w:rPr>
          <w:rFonts w:ascii="Garamond" w:hAnsi="Garamond"/>
          <w:bCs/>
        </w:rPr>
        <w:t xml:space="preserve"> specificità dell’oggetto consegue </w:t>
      </w:r>
      <w:r w:rsidR="007B14BB" w:rsidRPr="007B14BB">
        <w:rPr>
          <w:rFonts w:ascii="Garamond" w:hAnsi="Garamond"/>
          <w:bCs/>
        </w:rPr>
        <w:t>la</w:t>
      </w:r>
      <w:r w:rsidR="00327C34">
        <w:rPr>
          <w:rFonts w:ascii="Garamond" w:hAnsi="Garamond"/>
          <w:bCs/>
        </w:rPr>
        <w:t xml:space="preserve"> nullità del contratto e quindi</w:t>
      </w:r>
      <w:r w:rsidR="00316440" w:rsidRPr="007B14BB">
        <w:rPr>
          <w:rFonts w:ascii="Garamond" w:hAnsi="Garamond"/>
          <w:bCs/>
        </w:rPr>
        <w:t xml:space="preserve"> legittimità del provvedimento di esclusione del concorrente per genericità del contratto di avvalimento</w:t>
      </w:r>
      <w:r w:rsidR="00C84935" w:rsidRPr="007B14BB">
        <w:rPr>
          <w:rStyle w:val="Rimandonotaapidipagina"/>
          <w:rFonts w:ascii="Garamond" w:hAnsi="Garamond"/>
          <w:sz w:val="24"/>
        </w:rPr>
        <w:footnoteReference w:id="11"/>
      </w:r>
      <w:r w:rsidR="00316440" w:rsidRPr="007B14BB">
        <w:rPr>
          <w:rFonts w:ascii="Garamond" w:hAnsi="Garamond"/>
          <w:bCs/>
        </w:rPr>
        <w:t>.</w:t>
      </w:r>
    </w:p>
    <w:p w14:paraId="03A050F1" w14:textId="77777777" w:rsidR="00FA4DBC" w:rsidRPr="006D67E0" w:rsidRDefault="00FA4DBC" w:rsidP="006D67E0">
      <w:pPr>
        <w:spacing w:line="276" w:lineRule="auto"/>
        <w:ind w:firstLine="284"/>
        <w:jc w:val="both"/>
        <w:rPr>
          <w:rFonts w:ascii="Garamond" w:hAnsi="Garamond"/>
        </w:rPr>
      </w:pPr>
    </w:p>
    <w:p w14:paraId="384DD5A3" w14:textId="77777777" w:rsidR="00D27F99" w:rsidRPr="006D67E0" w:rsidRDefault="00D27F99" w:rsidP="006D67E0">
      <w:pPr>
        <w:pStyle w:val="TESTOCOMM"/>
        <w:spacing w:line="276" w:lineRule="auto"/>
        <w:rPr>
          <w:rFonts w:ascii="Garamond" w:hAnsi="Garamond"/>
          <w:sz w:val="24"/>
          <w:szCs w:val="24"/>
          <w:highlight w:val="yellow"/>
          <w:lang w:eastAsia="en-US"/>
        </w:rPr>
      </w:pPr>
    </w:p>
    <w:p w14:paraId="178686FE" w14:textId="41A30291" w:rsidR="00355072" w:rsidRPr="00743D2F" w:rsidRDefault="00C73B83" w:rsidP="00743D2F">
      <w:pPr>
        <w:pStyle w:val="Titolo2"/>
      </w:pPr>
      <w:bookmarkStart w:id="1" w:name="_Toc38992718"/>
      <w:r w:rsidRPr="00743D2F">
        <w:lastRenderedPageBreak/>
        <w:t>L’A</w:t>
      </w:r>
      <w:r w:rsidR="00606D6D" w:rsidRPr="00743D2F">
        <w:t>dunanza Plenaria n. 23/2016 e il novellato art</w:t>
      </w:r>
      <w:r w:rsidRPr="00743D2F">
        <w:t xml:space="preserve">. 89, comma 1, D.Lgs. </w:t>
      </w:r>
      <w:r w:rsidR="00355072" w:rsidRPr="00743D2F">
        <w:t xml:space="preserve">n. </w:t>
      </w:r>
      <w:r w:rsidRPr="00743D2F">
        <w:t>50/2016</w:t>
      </w:r>
      <w:bookmarkEnd w:id="1"/>
      <w:r w:rsidR="00E77E14" w:rsidRPr="00743D2F">
        <w:fldChar w:fldCharType="begin"/>
      </w:r>
      <w:r w:rsidR="00E77E14" w:rsidRPr="00743D2F">
        <w:instrText xml:space="preserve"> XE "L’Adunanza Plenaria n. 23/2016 e il novellato art. 89, comma 1, D.Lgs. n. 50/2016" </w:instrText>
      </w:r>
      <w:r w:rsidR="00E77E14" w:rsidRPr="00743D2F">
        <w:fldChar w:fldCharType="end"/>
      </w:r>
    </w:p>
    <w:p w14:paraId="1EF579EB" w14:textId="665B3FDA" w:rsidR="00186F69" w:rsidRPr="006D67E0" w:rsidRDefault="004C60E9" w:rsidP="006D67E0">
      <w:pPr>
        <w:spacing w:line="276" w:lineRule="auto"/>
        <w:ind w:firstLine="284"/>
        <w:jc w:val="both"/>
        <w:rPr>
          <w:rFonts w:ascii="Garamond" w:hAnsi="Garamond"/>
          <w:bCs/>
          <w:i/>
          <w:iCs/>
        </w:rPr>
      </w:pPr>
      <w:r w:rsidRPr="008E3FC9">
        <w:rPr>
          <w:rFonts w:ascii="Garamond" w:hAnsi="Garamond"/>
          <w:bCs/>
        </w:rPr>
        <w:t xml:space="preserve">La dibattuta questione </w:t>
      </w:r>
      <w:r w:rsidR="005D0CBB">
        <w:rPr>
          <w:rFonts w:ascii="Garamond" w:hAnsi="Garamond"/>
          <w:bCs/>
        </w:rPr>
        <w:t>della determinatezza delle risorse prestate</w:t>
      </w:r>
      <w:r w:rsidR="00355072" w:rsidRPr="008E3FC9">
        <w:rPr>
          <w:rFonts w:ascii="Garamond" w:hAnsi="Garamond"/>
          <w:bCs/>
        </w:rPr>
        <w:t xml:space="preserve"> </w:t>
      </w:r>
      <w:r w:rsidR="005D0CBB">
        <w:rPr>
          <w:rFonts w:ascii="Garamond" w:hAnsi="Garamond"/>
          <w:bCs/>
        </w:rPr>
        <w:t>è</w:t>
      </w:r>
      <w:r w:rsidRPr="008E3FC9">
        <w:rPr>
          <w:rFonts w:ascii="Garamond" w:hAnsi="Garamond"/>
          <w:bCs/>
        </w:rPr>
        <w:t xml:space="preserve"> </w:t>
      </w:r>
      <w:r w:rsidR="00314C90" w:rsidRPr="008E3FC9">
        <w:rPr>
          <w:rFonts w:ascii="Garamond" w:hAnsi="Garamond"/>
          <w:bCs/>
        </w:rPr>
        <w:t>approdata in Consiglio di Stato</w:t>
      </w:r>
      <w:r w:rsidR="00EB5EB4">
        <w:rPr>
          <w:rFonts w:ascii="Garamond" w:hAnsi="Garamond"/>
          <w:bCs/>
        </w:rPr>
        <w:t xml:space="preserve"> in sede di Adunanza Plenaria</w:t>
      </w:r>
      <w:r w:rsidR="00A90E47" w:rsidRPr="006D67E0">
        <w:rPr>
          <w:rStyle w:val="Rimandonotaapidipagina"/>
          <w:rFonts w:ascii="Garamond" w:hAnsi="Garamond"/>
          <w:bCs/>
          <w:iCs/>
          <w:sz w:val="24"/>
        </w:rPr>
        <w:footnoteReference w:id="12"/>
      </w:r>
      <w:r w:rsidR="00A90E47">
        <w:rPr>
          <w:rFonts w:ascii="Garamond" w:hAnsi="Garamond"/>
          <w:bCs/>
        </w:rPr>
        <w:t>.</w:t>
      </w:r>
      <w:r w:rsidR="00314C90" w:rsidRPr="008E3FC9">
        <w:rPr>
          <w:rFonts w:ascii="Garamond" w:hAnsi="Garamond"/>
          <w:bCs/>
        </w:rPr>
        <w:t xml:space="preserve"> </w:t>
      </w:r>
      <w:r w:rsidR="00E90076" w:rsidRPr="008E3FC9">
        <w:rPr>
          <w:rFonts w:ascii="Garamond" w:hAnsi="Garamond"/>
          <w:bCs/>
        </w:rPr>
        <w:t>Con ordinanza n. 52/2016</w:t>
      </w:r>
      <w:r w:rsidR="00A90E47">
        <w:rPr>
          <w:rFonts w:ascii="Garamond" w:hAnsi="Garamond"/>
          <w:bCs/>
        </w:rPr>
        <w:t>,</w:t>
      </w:r>
      <w:r w:rsidR="00E90076" w:rsidRPr="008E3FC9">
        <w:rPr>
          <w:rFonts w:ascii="Garamond" w:hAnsi="Garamond"/>
          <w:bCs/>
        </w:rPr>
        <w:t xml:space="preserve"> il Consiglio di Giustizia</w:t>
      </w:r>
      <w:r w:rsidR="00E90076" w:rsidRPr="006D67E0">
        <w:rPr>
          <w:rFonts w:ascii="Garamond" w:hAnsi="Garamond"/>
          <w:bCs/>
        </w:rPr>
        <w:t xml:space="preserve"> Amministrativa per la </w:t>
      </w:r>
      <w:r w:rsidR="00D751EA">
        <w:rPr>
          <w:rFonts w:ascii="Garamond" w:hAnsi="Garamond"/>
          <w:bCs/>
        </w:rPr>
        <w:t>re</w:t>
      </w:r>
      <w:r w:rsidR="00E90076" w:rsidRPr="006D67E0">
        <w:rPr>
          <w:rFonts w:ascii="Garamond" w:hAnsi="Garamond"/>
          <w:bCs/>
        </w:rPr>
        <w:t xml:space="preserve">gione </w:t>
      </w:r>
      <w:r w:rsidR="00D751EA">
        <w:rPr>
          <w:rFonts w:ascii="Garamond" w:hAnsi="Garamond"/>
          <w:bCs/>
        </w:rPr>
        <w:t>s</w:t>
      </w:r>
      <w:r w:rsidR="00E90076" w:rsidRPr="006D67E0">
        <w:rPr>
          <w:rFonts w:ascii="Garamond" w:hAnsi="Garamond"/>
          <w:bCs/>
        </w:rPr>
        <w:t>icilia</w:t>
      </w:r>
      <w:r w:rsidR="00D751EA">
        <w:rPr>
          <w:rFonts w:ascii="Garamond" w:hAnsi="Garamond"/>
          <w:bCs/>
        </w:rPr>
        <w:t>na</w:t>
      </w:r>
      <w:r w:rsidR="00E90076" w:rsidRPr="006D67E0">
        <w:rPr>
          <w:rFonts w:ascii="Garamond" w:hAnsi="Garamond"/>
          <w:bCs/>
        </w:rPr>
        <w:t xml:space="preserve"> </w:t>
      </w:r>
      <w:r w:rsidR="00314C90" w:rsidRPr="006D67E0">
        <w:rPr>
          <w:rFonts w:ascii="Garamond" w:hAnsi="Garamond"/>
          <w:bCs/>
        </w:rPr>
        <w:t>ha</w:t>
      </w:r>
      <w:r w:rsidR="0003125B" w:rsidRPr="006D67E0">
        <w:rPr>
          <w:rFonts w:ascii="Garamond" w:hAnsi="Garamond"/>
          <w:bCs/>
        </w:rPr>
        <w:t xml:space="preserve"> ritenuto </w:t>
      </w:r>
      <w:r w:rsidR="000F33B4" w:rsidRPr="006D67E0">
        <w:rPr>
          <w:rFonts w:ascii="Garamond" w:hAnsi="Garamond"/>
          <w:bCs/>
        </w:rPr>
        <w:t>opportuno</w:t>
      </w:r>
      <w:r w:rsidR="0003125B" w:rsidRPr="006D67E0">
        <w:rPr>
          <w:rFonts w:ascii="Garamond" w:hAnsi="Garamond"/>
          <w:bCs/>
        </w:rPr>
        <w:t xml:space="preserve"> sottoporre all’attenzione del Supremo Consesso tre questioni di diritto che </w:t>
      </w:r>
      <w:r w:rsidR="000F33B4" w:rsidRPr="006D67E0">
        <w:rPr>
          <w:rFonts w:ascii="Garamond" w:hAnsi="Garamond"/>
          <w:bCs/>
        </w:rPr>
        <w:t>avevano</w:t>
      </w:r>
      <w:r w:rsidR="0003125B" w:rsidRPr="006D67E0">
        <w:rPr>
          <w:rFonts w:ascii="Garamond" w:hAnsi="Garamond"/>
          <w:bCs/>
        </w:rPr>
        <w:t xml:space="preserve"> dato luogo </w:t>
      </w:r>
      <w:r w:rsidR="00314C90" w:rsidRPr="006D67E0">
        <w:rPr>
          <w:rFonts w:ascii="Garamond" w:hAnsi="Garamond"/>
          <w:bCs/>
        </w:rPr>
        <w:t>-</w:t>
      </w:r>
      <w:r w:rsidR="00BA020E">
        <w:rPr>
          <w:rFonts w:ascii="Garamond" w:hAnsi="Garamond"/>
          <w:bCs/>
        </w:rPr>
        <w:t xml:space="preserve"> </w:t>
      </w:r>
      <w:r w:rsidR="0003125B" w:rsidRPr="006D67E0">
        <w:rPr>
          <w:rFonts w:ascii="Garamond" w:hAnsi="Garamond"/>
          <w:bCs/>
        </w:rPr>
        <w:t xml:space="preserve">o </w:t>
      </w:r>
      <w:r w:rsidR="000F33B4" w:rsidRPr="006D67E0">
        <w:rPr>
          <w:rFonts w:ascii="Garamond" w:hAnsi="Garamond"/>
          <w:bCs/>
        </w:rPr>
        <w:t>avrebbero potuto</w:t>
      </w:r>
      <w:r w:rsidR="0003125B" w:rsidRPr="006D67E0">
        <w:rPr>
          <w:rFonts w:ascii="Garamond" w:hAnsi="Garamond"/>
          <w:bCs/>
        </w:rPr>
        <w:t xml:space="preserve"> dar luogo</w:t>
      </w:r>
      <w:r w:rsidR="00BA020E">
        <w:rPr>
          <w:rFonts w:ascii="Garamond" w:hAnsi="Garamond"/>
          <w:bCs/>
        </w:rPr>
        <w:t xml:space="preserve"> </w:t>
      </w:r>
      <w:r w:rsidR="00314C90" w:rsidRPr="006D67E0">
        <w:rPr>
          <w:rFonts w:ascii="Garamond" w:hAnsi="Garamond"/>
          <w:bCs/>
        </w:rPr>
        <w:t>-</w:t>
      </w:r>
      <w:r w:rsidR="0003125B" w:rsidRPr="006D67E0">
        <w:rPr>
          <w:rFonts w:ascii="Garamond" w:hAnsi="Garamond"/>
          <w:bCs/>
        </w:rPr>
        <w:t xml:space="preserve"> a contrasti giurisprudenzial</w:t>
      </w:r>
      <w:r w:rsidR="00A90E47">
        <w:rPr>
          <w:rFonts w:ascii="Garamond" w:hAnsi="Garamond"/>
          <w:bCs/>
        </w:rPr>
        <w:t>i</w:t>
      </w:r>
      <w:r w:rsidR="00A90E47" w:rsidRPr="008E3FC9">
        <w:rPr>
          <w:rStyle w:val="Rimandonotaapidipagina"/>
          <w:rFonts w:ascii="Garamond" w:hAnsi="Garamond"/>
          <w:bCs/>
          <w:sz w:val="24"/>
        </w:rPr>
        <w:footnoteReference w:id="13"/>
      </w:r>
      <w:r w:rsidR="0003125B" w:rsidRPr="006D67E0">
        <w:rPr>
          <w:rFonts w:ascii="Garamond" w:hAnsi="Garamond"/>
          <w:bCs/>
        </w:rPr>
        <w:t xml:space="preserve">. </w:t>
      </w:r>
      <w:r w:rsidRPr="006D67E0">
        <w:rPr>
          <w:rFonts w:ascii="Garamond" w:hAnsi="Garamond"/>
          <w:bCs/>
        </w:rPr>
        <w:t>In particolare</w:t>
      </w:r>
      <w:r w:rsidR="0003125B" w:rsidRPr="006D67E0">
        <w:rPr>
          <w:rFonts w:ascii="Garamond" w:hAnsi="Garamond"/>
          <w:bCs/>
        </w:rPr>
        <w:t>,</w:t>
      </w:r>
      <w:r w:rsidR="000F33B4" w:rsidRPr="006D67E0">
        <w:rPr>
          <w:rFonts w:ascii="Garamond" w:hAnsi="Garamond"/>
          <w:bCs/>
        </w:rPr>
        <w:t xml:space="preserve"> per quello che maggiormente interessa in questa sede,</w:t>
      </w:r>
      <w:r w:rsidR="0003125B" w:rsidRPr="006D67E0">
        <w:rPr>
          <w:rFonts w:ascii="Garamond" w:hAnsi="Garamond"/>
          <w:bCs/>
        </w:rPr>
        <w:t xml:space="preserve"> è stato chiesto se </w:t>
      </w:r>
      <w:r w:rsidR="0003125B" w:rsidRPr="006D67E0">
        <w:rPr>
          <w:rFonts w:ascii="Garamond" w:hAnsi="Garamond"/>
          <w:bCs/>
          <w:i/>
          <w:iCs/>
        </w:rPr>
        <w:t>“l’articolo 88 d.P.R. 207/2010 – nel richiedere che il contratto deve riportare in modo compiuto, esplicito ed esauriente, l’oggetto indicando le risorse e i mezzi prestati in modo determinato e specifico – riguarda unicamente la determinazione dell’oggetto del contratto (così legittimando anche interpretazioni di tipo estensivo) oppure, oltre all’oggetto, anche il cd. requisito della forma-contenuto (…)”</w:t>
      </w:r>
      <w:r w:rsidR="0003125B" w:rsidRPr="006D67E0">
        <w:rPr>
          <w:rStyle w:val="Rimandonotaapidipagina"/>
          <w:rFonts w:ascii="Garamond" w:hAnsi="Garamond"/>
          <w:bCs/>
          <w:i/>
          <w:iCs/>
          <w:sz w:val="24"/>
        </w:rPr>
        <w:footnoteReference w:id="14"/>
      </w:r>
      <w:r w:rsidR="0003125B" w:rsidRPr="006D67E0">
        <w:rPr>
          <w:rFonts w:ascii="Garamond" w:hAnsi="Garamond"/>
          <w:bCs/>
          <w:i/>
          <w:iCs/>
        </w:rPr>
        <w:t>.</w:t>
      </w:r>
    </w:p>
    <w:p w14:paraId="4A52F653" w14:textId="04851005" w:rsidR="00FC78F2" w:rsidRPr="00073860" w:rsidRDefault="00314C90" w:rsidP="003D7D14">
      <w:pPr>
        <w:spacing w:line="276" w:lineRule="auto"/>
        <w:ind w:firstLine="284"/>
        <w:jc w:val="both"/>
        <w:rPr>
          <w:rFonts w:ascii="Garamond" w:hAnsi="Garamond"/>
          <w:bCs/>
          <w:i/>
          <w:iCs/>
        </w:rPr>
      </w:pPr>
      <w:r w:rsidRPr="006D67E0">
        <w:rPr>
          <w:rFonts w:ascii="Garamond" w:hAnsi="Garamond"/>
          <w:bCs/>
          <w:iCs/>
        </w:rPr>
        <w:t>Con l</w:t>
      </w:r>
      <w:r w:rsidR="005D0CBB">
        <w:rPr>
          <w:rFonts w:ascii="Garamond" w:hAnsi="Garamond"/>
          <w:bCs/>
          <w:iCs/>
        </w:rPr>
        <w:t>a sentenza</w:t>
      </w:r>
      <w:r w:rsidRPr="006D67E0">
        <w:rPr>
          <w:rFonts w:ascii="Garamond" w:hAnsi="Garamond"/>
          <w:bCs/>
          <w:iCs/>
        </w:rPr>
        <w:t xml:space="preserve"> </w:t>
      </w:r>
      <w:r w:rsidR="00BA020E">
        <w:rPr>
          <w:rFonts w:ascii="Garamond" w:hAnsi="Garamond"/>
          <w:bCs/>
          <w:iCs/>
        </w:rPr>
        <w:t>n. 23</w:t>
      </w:r>
      <w:r w:rsidR="005E77CB">
        <w:rPr>
          <w:rFonts w:ascii="Garamond" w:hAnsi="Garamond"/>
          <w:bCs/>
          <w:iCs/>
        </w:rPr>
        <w:t>/2016</w:t>
      </w:r>
      <w:r w:rsidR="000606C1">
        <w:rPr>
          <w:rFonts w:ascii="Garamond" w:hAnsi="Garamond"/>
          <w:bCs/>
          <w:iCs/>
        </w:rPr>
        <w:t xml:space="preserve"> </w:t>
      </w:r>
      <w:r w:rsidRPr="006D67E0">
        <w:rPr>
          <w:rFonts w:ascii="Garamond" w:hAnsi="Garamond"/>
          <w:bCs/>
          <w:iCs/>
        </w:rPr>
        <w:t>il</w:t>
      </w:r>
      <w:r w:rsidR="0003125B" w:rsidRPr="006D67E0">
        <w:rPr>
          <w:rFonts w:ascii="Garamond" w:hAnsi="Garamond"/>
          <w:bCs/>
          <w:iCs/>
        </w:rPr>
        <w:t xml:space="preserve"> Consiglio di Stato si è </w:t>
      </w:r>
      <w:r w:rsidR="006135F4" w:rsidRPr="006D67E0">
        <w:rPr>
          <w:rFonts w:ascii="Garamond" w:hAnsi="Garamond"/>
          <w:bCs/>
          <w:iCs/>
        </w:rPr>
        <w:t xml:space="preserve">inizialmente soffermato sulla diversità tra la </w:t>
      </w:r>
      <w:r w:rsidR="00B268EB" w:rsidRPr="006D67E0">
        <w:rPr>
          <w:rFonts w:ascii="Garamond" w:hAnsi="Garamond"/>
          <w:bCs/>
          <w:iCs/>
        </w:rPr>
        <w:t>previsione</w:t>
      </w:r>
      <w:r w:rsidR="006135F4" w:rsidRPr="006D67E0">
        <w:rPr>
          <w:rFonts w:ascii="Garamond" w:hAnsi="Garamond"/>
          <w:bCs/>
          <w:iCs/>
        </w:rPr>
        <w:t xml:space="preserve"> dell’art. </w:t>
      </w:r>
      <w:r w:rsidR="0003125B" w:rsidRPr="006D67E0">
        <w:rPr>
          <w:rFonts w:ascii="Garamond" w:hAnsi="Garamond"/>
          <w:bCs/>
          <w:iCs/>
        </w:rPr>
        <w:t xml:space="preserve">1346 </w:t>
      </w:r>
      <w:r w:rsidRPr="006D67E0">
        <w:rPr>
          <w:rFonts w:ascii="Garamond" w:hAnsi="Garamond"/>
          <w:bCs/>
          <w:iCs/>
        </w:rPr>
        <w:t>c.c.</w:t>
      </w:r>
      <w:r w:rsidR="000606C1">
        <w:rPr>
          <w:rFonts w:ascii="Garamond" w:hAnsi="Garamond"/>
          <w:bCs/>
          <w:iCs/>
        </w:rPr>
        <w:t>,</w:t>
      </w:r>
      <w:r w:rsidR="000606C1" w:rsidRPr="006D67E0">
        <w:rPr>
          <w:rFonts w:ascii="Garamond" w:hAnsi="Garamond"/>
          <w:bCs/>
          <w:iCs/>
        </w:rPr>
        <w:t xml:space="preserve"> </w:t>
      </w:r>
      <w:r w:rsidR="0003125B" w:rsidRPr="006D67E0">
        <w:rPr>
          <w:rFonts w:ascii="Garamond" w:hAnsi="Garamond"/>
          <w:bCs/>
          <w:iCs/>
        </w:rPr>
        <w:t>secondo cui l’oggetto del contratto deve essere “</w:t>
      </w:r>
      <w:r w:rsidR="0003125B" w:rsidRPr="006D67E0">
        <w:rPr>
          <w:rFonts w:ascii="Garamond" w:hAnsi="Garamond"/>
          <w:bCs/>
          <w:i/>
          <w:iCs/>
        </w:rPr>
        <w:t>possibile, lecito, determinato o determinabile</w:t>
      </w:r>
      <w:r w:rsidR="0003125B" w:rsidRPr="006D67E0">
        <w:rPr>
          <w:rFonts w:ascii="Garamond" w:hAnsi="Garamond"/>
          <w:bCs/>
          <w:iCs/>
        </w:rPr>
        <w:t>”</w:t>
      </w:r>
      <w:r w:rsidR="006135F4" w:rsidRPr="006D67E0">
        <w:rPr>
          <w:rFonts w:ascii="Garamond" w:hAnsi="Garamond"/>
          <w:bCs/>
          <w:iCs/>
        </w:rPr>
        <w:t>, e quella dell’art.</w:t>
      </w:r>
      <w:r w:rsidR="0003125B" w:rsidRPr="006D67E0">
        <w:rPr>
          <w:rFonts w:ascii="Garamond" w:hAnsi="Garamond"/>
          <w:bCs/>
          <w:iCs/>
        </w:rPr>
        <w:t xml:space="preserve"> 88, co</w:t>
      </w:r>
      <w:r w:rsidR="006135F4" w:rsidRPr="006D67E0">
        <w:rPr>
          <w:rFonts w:ascii="Garamond" w:hAnsi="Garamond"/>
          <w:bCs/>
          <w:iCs/>
        </w:rPr>
        <w:t>.</w:t>
      </w:r>
      <w:r w:rsidR="0003125B" w:rsidRPr="006D67E0">
        <w:rPr>
          <w:rFonts w:ascii="Garamond" w:hAnsi="Garamond"/>
          <w:bCs/>
          <w:iCs/>
        </w:rPr>
        <w:t xml:space="preserve"> 1 del d.P.R. 207</w:t>
      </w:r>
      <w:r w:rsidR="000F33B4" w:rsidRPr="006D67E0">
        <w:rPr>
          <w:rFonts w:ascii="Garamond" w:hAnsi="Garamond"/>
          <w:bCs/>
          <w:iCs/>
        </w:rPr>
        <w:t>/</w:t>
      </w:r>
      <w:r w:rsidR="0003125B" w:rsidRPr="006D67E0">
        <w:rPr>
          <w:rFonts w:ascii="Garamond" w:hAnsi="Garamond"/>
          <w:bCs/>
          <w:iCs/>
        </w:rPr>
        <w:t>2010, secondo cui il contratto di avvalimento deve indicare “</w:t>
      </w:r>
      <w:r w:rsidR="0003125B" w:rsidRPr="006D67E0">
        <w:rPr>
          <w:rFonts w:ascii="Garamond" w:hAnsi="Garamond"/>
          <w:bCs/>
          <w:i/>
          <w:iCs/>
        </w:rPr>
        <w:t>le risorse e i mezzi prestati in modo determinato e specifico</w:t>
      </w:r>
      <w:r w:rsidR="0003125B" w:rsidRPr="006D67E0">
        <w:rPr>
          <w:rFonts w:ascii="Garamond" w:hAnsi="Garamond"/>
          <w:bCs/>
          <w:iCs/>
        </w:rPr>
        <w:t xml:space="preserve">”. </w:t>
      </w:r>
      <w:r w:rsidR="00B268EB" w:rsidRPr="006D67E0">
        <w:rPr>
          <w:rFonts w:ascii="Garamond" w:hAnsi="Garamond"/>
          <w:bCs/>
          <w:iCs/>
        </w:rPr>
        <w:t xml:space="preserve">Dopo aver dato atto dei </w:t>
      </w:r>
      <w:r w:rsidR="0003125B" w:rsidRPr="006D67E0">
        <w:rPr>
          <w:rFonts w:ascii="Garamond" w:hAnsi="Garamond"/>
          <w:bCs/>
          <w:iCs/>
        </w:rPr>
        <w:t xml:space="preserve">diversi orientamenti formatisi sul tema del contenuto del contratto di avvalimento e aver sostenuto l’importanza di offrire un’interpretazione dell’istituto conforme ai principi del diritto </w:t>
      </w:r>
      <w:r w:rsidR="003D76DD">
        <w:rPr>
          <w:rFonts w:ascii="Garamond" w:hAnsi="Garamond"/>
          <w:bCs/>
          <w:iCs/>
        </w:rPr>
        <w:t>europeo</w:t>
      </w:r>
      <w:r w:rsidR="0003125B" w:rsidRPr="006D67E0">
        <w:rPr>
          <w:rFonts w:ascii="Garamond" w:hAnsi="Garamond"/>
          <w:bCs/>
          <w:iCs/>
        </w:rPr>
        <w:t xml:space="preserve">, </w:t>
      </w:r>
      <w:r w:rsidR="00B268EB" w:rsidRPr="006D67E0">
        <w:rPr>
          <w:rFonts w:ascii="Garamond" w:hAnsi="Garamond"/>
          <w:bCs/>
          <w:iCs/>
        </w:rPr>
        <w:t>il Consiglio</w:t>
      </w:r>
      <w:r w:rsidR="0003125B" w:rsidRPr="006D67E0">
        <w:rPr>
          <w:rFonts w:ascii="Garamond" w:hAnsi="Garamond"/>
          <w:bCs/>
          <w:iCs/>
        </w:rPr>
        <w:t xml:space="preserve"> ha concluso che: “</w:t>
      </w:r>
      <w:r w:rsidR="0003125B" w:rsidRPr="006D67E0">
        <w:rPr>
          <w:rFonts w:ascii="Garamond" w:hAnsi="Garamond"/>
          <w:bCs/>
          <w:i/>
          <w:iCs/>
        </w:rPr>
        <w:t xml:space="preserve">deve ritenersi che l’articolo 88 del d.P.R. 207 del 2010, per la parte in cui prescrive che il contratto di avvalimento debba riportare “in modo compiuto, esplicito ed esauriente (…) le risorse e i mezzi prestati in modo determinato e specifico”, </w:t>
      </w:r>
      <w:r w:rsidR="0003125B" w:rsidRPr="008E3FC9">
        <w:rPr>
          <w:rFonts w:ascii="Garamond" w:hAnsi="Garamond"/>
          <w:bCs/>
          <w:i/>
          <w:iCs/>
        </w:rPr>
        <w:t>non legittimi né un’interpretazione volta a sancire la nullità del contratto a fronte di un oggetto che sia stato esplicitato in modo (non determinato, ma solo) determinabile, né un’interpretazione volta a riguardare l’invalidità del contratto connessa alle modalità di esplicitazione dell’oggetto sulla base del cd. ‘requisito della forma-contenuto</w:t>
      </w:r>
      <w:r w:rsidR="0003125B" w:rsidRPr="006D67E0">
        <w:rPr>
          <w:rFonts w:ascii="Garamond" w:hAnsi="Garamond"/>
          <w:bCs/>
          <w:iCs/>
        </w:rPr>
        <w:t>”</w:t>
      </w:r>
      <w:r w:rsidR="00B268EB" w:rsidRPr="006D67E0">
        <w:rPr>
          <w:rStyle w:val="Rimandonotaapidipagina"/>
          <w:rFonts w:ascii="Garamond" w:hAnsi="Garamond"/>
          <w:bCs/>
          <w:iCs/>
          <w:sz w:val="24"/>
        </w:rPr>
        <w:footnoteReference w:id="15"/>
      </w:r>
      <w:r w:rsidR="0003125B" w:rsidRPr="006D67E0">
        <w:rPr>
          <w:rFonts w:ascii="Garamond" w:hAnsi="Garamond"/>
          <w:bCs/>
          <w:iCs/>
        </w:rPr>
        <w:t>.</w:t>
      </w:r>
      <w:r w:rsidR="00B268EB" w:rsidRPr="006D67E0">
        <w:rPr>
          <w:rFonts w:ascii="Garamond" w:hAnsi="Garamond"/>
          <w:bCs/>
          <w:iCs/>
        </w:rPr>
        <w:t xml:space="preserve"> Dunque, </w:t>
      </w:r>
      <w:r w:rsidR="00680B18" w:rsidRPr="006D67E0">
        <w:rPr>
          <w:rFonts w:ascii="Garamond" w:hAnsi="Garamond"/>
          <w:bCs/>
          <w:iCs/>
        </w:rPr>
        <w:t>la</w:t>
      </w:r>
      <w:r w:rsidR="00B268EB" w:rsidRPr="006D67E0">
        <w:rPr>
          <w:rFonts w:ascii="Garamond" w:hAnsi="Garamond"/>
          <w:bCs/>
          <w:iCs/>
        </w:rPr>
        <w:t xml:space="preserve"> conclusione a cui </w:t>
      </w:r>
      <w:r w:rsidR="00FC78F2" w:rsidRPr="006D67E0">
        <w:rPr>
          <w:rFonts w:ascii="Garamond" w:hAnsi="Garamond"/>
          <w:bCs/>
          <w:iCs/>
        </w:rPr>
        <w:t>il Supremo Consesso è giunto è</w:t>
      </w:r>
      <w:r w:rsidR="000E32AB" w:rsidRPr="006D67E0">
        <w:rPr>
          <w:rFonts w:ascii="Garamond" w:hAnsi="Garamond"/>
          <w:bCs/>
          <w:iCs/>
        </w:rPr>
        <w:t xml:space="preserve"> quella</w:t>
      </w:r>
      <w:r w:rsidR="00FC78F2" w:rsidRPr="006D67E0">
        <w:rPr>
          <w:rFonts w:ascii="Garamond" w:hAnsi="Garamond"/>
          <w:bCs/>
          <w:iCs/>
        </w:rPr>
        <w:t xml:space="preserve"> di escludere la</w:t>
      </w:r>
      <w:r w:rsidR="000E32AB" w:rsidRPr="006D67E0">
        <w:rPr>
          <w:rFonts w:ascii="Garamond" w:hAnsi="Garamond"/>
          <w:bCs/>
          <w:iCs/>
        </w:rPr>
        <w:t xml:space="preserve"> sanzione di </w:t>
      </w:r>
      <w:r w:rsidR="00FC78F2" w:rsidRPr="006D67E0">
        <w:rPr>
          <w:rFonts w:ascii="Garamond" w:hAnsi="Garamond"/>
          <w:bCs/>
          <w:iCs/>
        </w:rPr>
        <w:t xml:space="preserve">nullità per i contratti di avvalimento dall’oggetto solo determinabile e ciò per due ordini di ragioni: </w:t>
      </w:r>
      <w:r w:rsidR="003B1CD5" w:rsidRPr="006D67E0">
        <w:rPr>
          <w:rFonts w:ascii="Garamond" w:hAnsi="Garamond"/>
        </w:rPr>
        <w:t>in primo luogo, in virtù del principio per cui l’oggetto del contratto di avvalimento non dovrebbe sottostare a requisiti ulteriori e più stringenti rispetto a quelli previsti per la generalità dei contratti (</w:t>
      </w:r>
      <w:r w:rsidR="003B1CD5" w:rsidRPr="003D76DD">
        <w:rPr>
          <w:rFonts w:ascii="Garamond" w:hAnsi="Garamond"/>
          <w:i/>
        </w:rPr>
        <w:t>ex</w:t>
      </w:r>
      <w:r w:rsidR="003B1CD5" w:rsidRPr="006D67E0">
        <w:rPr>
          <w:rFonts w:ascii="Garamond" w:hAnsi="Garamond"/>
        </w:rPr>
        <w:t xml:space="preserve"> artt. 1325 e 1346 c.c.) e, in secondo luogo, in virtù del principio di tassatività delle cause di nullità, atteso che nessuna delle disposizioni applicabili </w:t>
      </w:r>
      <w:r w:rsidR="003B1CD5" w:rsidRPr="006D67E0">
        <w:rPr>
          <w:rFonts w:ascii="Garamond" w:hAnsi="Garamond"/>
          <w:i/>
        </w:rPr>
        <w:t xml:space="preserve">ratione temporis </w:t>
      </w:r>
      <w:r w:rsidR="003B1CD5" w:rsidRPr="006D67E0">
        <w:rPr>
          <w:rFonts w:ascii="Garamond" w:hAnsi="Garamond"/>
        </w:rPr>
        <w:t>conteneva espressamente l’indicazione di tale vizio.</w:t>
      </w:r>
      <w:r w:rsidR="00FC78F2" w:rsidRPr="006D67E0">
        <w:rPr>
          <w:rFonts w:ascii="Garamond" w:hAnsi="Garamond"/>
          <w:bCs/>
          <w:iCs/>
        </w:rPr>
        <w:t xml:space="preserve"> </w:t>
      </w:r>
    </w:p>
    <w:p w14:paraId="6BC0B2B4" w14:textId="7444594F" w:rsidR="000E32AB" w:rsidRPr="005868C9" w:rsidRDefault="003B1CD5" w:rsidP="006D67E0">
      <w:pPr>
        <w:spacing w:line="276" w:lineRule="auto"/>
        <w:ind w:firstLine="284"/>
        <w:jc w:val="both"/>
        <w:rPr>
          <w:rFonts w:ascii="Garamond" w:hAnsi="Garamond"/>
          <w:iCs/>
        </w:rPr>
      </w:pPr>
      <w:r w:rsidRPr="006D67E0">
        <w:rPr>
          <w:rFonts w:ascii="Garamond" w:hAnsi="Garamond"/>
          <w:bCs/>
          <w:iCs/>
        </w:rPr>
        <w:t>Tuttavia, proprio quest’ultimo assunto</w:t>
      </w:r>
      <w:r w:rsidR="00F41DC0" w:rsidRPr="006D67E0">
        <w:rPr>
          <w:rFonts w:ascii="Garamond" w:hAnsi="Garamond"/>
          <w:bCs/>
          <w:iCs/>
        </w:rPr>
        <w:t>, ad oggi,</w:t>
      </w:r>
      <w:r w:rsidRPr="006D67E0">
        <w:rPr>
          <w:rFonts w:ascii="Garamond" w:hAnsi="Garamond"/>
          <w:bCs/>
          <w:iCs/>
        </w:rPr>
        <w:t xml:space="preserve"> non </w:t>
      </w:r>
      <w:r w:rsidR="00BA020E">
        <w:rPr>
          <w:rFonts w:ascii="Garamond" w:hAnsi="Garamond"/>
          <w:bCs/>
          <w:iCs/>
        </w:rPr>
        <w:t>sembr</w:t>
      </w:r>
      <w:r w:rsidR="005D0CBB">
        <w:rPr>
          <w:rFonts w:ascii="Garamond" w:hAnsi="Garamond"/>
          <w:bCs/>
          <w:iCs/>
        </w:rPr>
        <w:t>erebbe</w:t>
      </w:r>
      <w:r w:rsidR="00BA020E">
        <w:rPr>
          <w:rFonts w:ascii="Garamond" w:hAnsi="Garamond"/>
          <w:bCs/>
          <w:iCs/>
        </w:rPr>
        <w:t xml:space="preserve"> </w:t>
      </w:r>
      <w:r w:rsidRPr="006D67E0">
        <w:rPr>
          <w:rFonts w:ascii="Garamond" w:hAnsi="Garamond"/>
          <w:bCs/>
          <w:iCs/>
        </w:rPr>
        <w:t xml:space="preserve">più </w:t>
      </w:r>
      <w:r w:rsidR="00682779">
        <w:rPr>
          <w:rFonts w:ascii="Garamond" w:hAnsi="Garamond"/>
          <w:bCs/>
          <w:iCs/>
        </w:rPr>
        <w:t>attuale</w:t>
      </w:r>
      <w:r w:rsidRPr="006D67E0">
        <w:rPr>
          <w:rFonts w:ascii="Garamond" w:hAnsi="Garamond"/>
          <w:bCs/>
          <w:iCs/>
        </w:rPr>
        <w:t>, atteso che il D. Lgs. n. 56/2017 ha introdotto al comma 1 dell’art. 89 del D.Lgs.</w:t>
      </w:r>
      <w:r w:rsidR="00B104D1">
        <w:rPr>
          <w:rFonts w:ascii="Garamond" w:hAnsi="Garamond"/>
          <w:bCs/>
          <w:iCs/>
        </w:rPr>
        <w:t xml:space="preserve"> n.</w:t>
      </w:r>
      <w:r w:rsidRPr="006D67E0">
        <w:rPr>
          <w:rFonts w:ascii="Garamond" w:hAnsi="Garamond"/>
          <w:bCs/>
          <w:iCs/>
        </w:rPr>
        <w:t xml:space="preserve"> 50/2016 una </w:t>
      </w:r>
      <w:r w:rsidR="005868C9">
        <w:rPr>
          <w:rFonts w:ascii="Garamond" w:hAnsi="Garamond"/>
          <w:bCs/>
          <w:iCs/>
        </w:rPr>
        <w:t>espressa</w:t>
      </w:r>
      <w:r w:rsidRPr="006D67E0">
        <w:rPr>
          <w:rFonts w:ascii="Garamond" w:hAnsi="Garamond"/>
          <w:bCs/>
          <w:iCs/>
        </w:rPr>
        <w:t xml:space="preserve"> previsione di nullità</w:t>
      </w:r>
      <w:r w:rsidR="0085450A" w:rsidRPr="006D67E0">
        <w:rPr>
          <w:rFonts w:ascii="Garamond" w:hAnsi="Garamond"/>
          <w:i/>
        </w:rPr>
        <w:t xml:space="preserve"> </w:t>
      </w:r>
      <w:r w:rsidR="00AD43A5" w:rsidRPr="00D85ADD">
        <w:rPr>
          <w:rFonts w:ascii="Garamond" w:hAnsi="Garamond"/>
          <w:iCs/>
        </w:rPr>
        <w:t xml:space="preserve">in ordine alla </w:t>
      </w:r>
      <w:r w:rsidR="0085450A" w:rsidRPr="00D85ADD">
        <w:rPr>
          <w:rFonts w:ascii="Garamond" w:hAnsi="Garamond"/>
          <w:iCs/>
        </w:rPr>
        <w:t>specificazione dei requisiti forniti e delle risorse messe a disposizione dall’impresa ausiliaria</w:t>
      </w:r>
      <w:r w:rsidR="0085450A" w:rsidRPr="005868C9">
        <w:rPr>
          <w:rFonts w:ascii="Garamond" w:hAnsi="Garamond"/>
          <w:iCs/>
        </w:rPr>
        <w:t xml:space="preserve">. </w:t>
      </w:r>
    </w:p>
    <w:p w14:paraId="6F6223E3" w14:textId="46C19416" w:rsidR="005D0CBB" w:rsidRDefault="000E32AB" w:rsidP="006D67E0">
      <w:pPr>
        <w:spacing w:line="276" w:lineRule="auto"/>
        <w:ind w:firstLine="284"/>
        <w:jc w:val="both"/>
        <w:rPr>
          <w:rFonts w:ascii="Garamond" w:hAnsi="Garamond"/>
        </w:rPr>
      </w:pPr>
      <w:r w:rsidRPr="006D67E0">
        <w:rPr>
          <w:rFonts w:ascii="Garamond" w:hAnsi="Garamond"/>
        </w:rPr>
        <w:t>Dunque, alla luce di questa novellata formulazione</w:t>
      </w:r>
      <w:r w:rsidR="00314C90" w:rsidRPr="006D67E0">
        <w:rPr>
          <w:rFonts w:ascii="Garamond" w:hAnsi="Garamond"/>
        </w:rPr>
        <w:t>,</w:t>
      </w:r>
      <w:r w:rsidRPr="006D67E0">
        <w:rPr>
          <w:rFonts w:ascii="Garamond" w:hAnsi="Garamond"/>
        </w:rPr>
        <w:t xml:space="preserve"> l’orientamento sopra descritto </w:t>
      </w:r>
      <w:r w:rsidR="006B25E8">
        <w:rPr>
          <w:rFonts w:ascii="Garamond" w:hAnsi="Garamond"/>
        </w:rPr>
        <w:t xml:space="preserve">sembrerebbe </w:t>
      </w:r>
      <w:r w:rsidRPr="006D67E0">
        <w:rPr>
          <w:rFonts w:ascii="Garamond" w:hAnsi="Garamond"/>
        </w:rPr>
        <w:t>superato o quanto meno occorrerebbe una nuova pronuncia della Plenaria</w:t>
      </w:r>
      <w:r w:rsidR="00680B18" w:rsidRPr="006D67E0">
        <w:rPr>
          <w:rFonts w:ascii="Garamond" w:hAnsi="Garamond"/>
        </w:rPr>
        <w:t xml:space="preserve"> sul tema</w:t>
      </w:r>
      <w:r w:rsidRPr="006D67E0">
        <w:rPr>
          <w:rFonts w:ascii="Garamond" w:hAnsi="Garamond"/>
        </w:rPr>
        <w:t>.</w:t>
      </w:r>
      <w:r w:rsidR="00D60454" w:rsidRPr="006D67E0">
        <w:rPr>
          <w:rFonts w:ascii="Garamond" w:hAnsi="Garamond"/>
        </w:rPr>
        <w:t xml:space="preserve"> Del resto, </w:t>
      </w:r>
      <w:r w:rsidR="00CB3E06">
        <w:rPr>
          <w:rFonts w:ascii="Garamond" w:hAnsi="Garamond"/>
        </w:rPr>
        <w:t xml:space="preserve">come si è ricordato, </w:t>
      </w:r>
      <w:r w:rsidR="00D60454" w:rsidRPr="006D67E0">
        <w:rPr>
          <w:rFonts w:ascii="Garamond" w:hAnsi="Garamond"/>
        </w:rPr>
        <w:t xml:space="preserve">era la stessa </w:t>
      </w:r>
      <w:r w:rsidR="005D0CBB">
        <w:rPr>
          <w:rFonts w:ascii="Garamond" w:hAnsi="Garamond"/>
        </w:rPr>
        <w:t>sentenza</w:t>
      </w:r>
      <w:r w:rsidR="00D60454" w:rsidRPr="006D67E0">
        <w:rPr>
          <w:rFonts w:ascii="Garamond" w:hAnsi="Garamond"/>
        </w:rPr>
        <w:t xml:space="preserve"> n. 23</w:t>
      </w:r>
      <w:r w:rsidR="005D0CBB">
        <w:rPr>
          <w:rFonts w:ascii="Garamond" w:hAnsi="Garamond"/>
        </w:rPr>
        <w:t>/2016</w:t>
      </w:r>
      <w:r w:rsidR="00680B18" w:rsidRPr="006D67E0">
        <w:rPr>
          <w:rFonts w:ascii="Garamond" w:hAnsi="Garamond"/>
        </w:rPr>
        <w:t xml:space="preserve"> </w:t>
      </w:r>
      <w:r w:rsidR="00D60454" w:rsidRPr="006D67E0">
        <w:rPr>
          <w:rFonts w:ascii="Garamond" w:hAnsi="Garamond"/>
        </w:rPr>
        <w:t>che</w:t>
      </w:r>
      <w:r w:rsidR="00680B18" w:rsidRPr="006D67E0">
        <w:rPr>
          <w:rFonts w:ascii="Garamond" w:hAnsi="Garamond"/>
        </w:rPr>
        <w:t xml:space="preserve"> poneva le basi del suo ragionamento sull’assenza di </w:t>
      </w:r>
      <w:r w:rsidR="0040292A">
        <w:rPr>
          <w:rFonts w:ascii="Garamond" w:hAnsi="Garamond"/>
        </w:rPr>
        <w:t xml:space="preserve">espresse sanzioni </w:t>
      </w:r>
      <w:r w:rsidR="00680B18" w:rsidRPr="006D67E0">
        <w:rPr>
          <w:rFonts w:ascii="Garamond" w:hAnsi="Garamond"/>
        </w:rPr>
        <w:t xml:space="preserve">di nullità, semmai introducibili </w:t>
      </w:r>
      <w:r w:rsidR="00680B18" w:rsidRPr="006D67E0">
        <w:rPr>
          <w:rFonts w:ascii="Garamond" w:hAnsi="Garamond"/>
          <w:i/>
        </w:rPr>
        <w:t>de iure condendo</w:t>
      </w:r>
      <w:r w:rsidR="00680B18" w:rsidRPr="006D67E0">
        <w:rPr>
          <w:rStyle w:val="Rimandonotaapidipagina"/>
          <w:rFonts w:ascii="Garamond" w:hAnsi="Garamond"/>
          <w:sz w:val="24"/>
        </w:rPr>
        <w:footnoteReference w:id="16"/>
      </w:r>
      <w:r w:rsidR="00314C90" w:rsidRPr="006D67E0">
        <w:rPr>
          <w:rFonts w:ascii="Garamond" w:hAnsi="Garamond"/>
        </w:rPr>
        <w:t xml:space="preserve">. </w:t>
      </w:r>
    </w:p>
    <w:p w14:paraId="5A949A73" w14:textId="56F3CD46" w:rsidR="00F41DC0" w:rsidRPr="006D67E0" w:rsidRDefault="005D0CBB" w:rsidP="006D67E0">
      <w:pPr>
        <w:spacing w:line="276" w:lineRule="auto"/>
        <w:ind w:firstLine="284"/>
        <w:jc w:val="both"/>
        <w:rPr>
          <w:rFonts w:ascii="Garamond" w:hAnsi="Garamond"/>
        </w:rPr>
      </w:pPr>
      <w:r>
        <w:rPr>
          <w:rFonts w:ascii="Garamond" w:hAnsi="Garamond"/>
        </w:rPr>
        <w:lastRenderedPageBreak/>
        <w:t xml:space="preserve">Ciò è per l’appunto avvenuto </w:t>
      </w:r>
      <w:r w:rsidR="00F41DC0" w:rsidRPr="006D67E0">
        <w:rPr>
          <w:rFonts w:ascii="Garamond" w:hAnsi="Garamond"/>
        </w:rPr>
        <w:t>ad opera di una legge speciale di fonte primaria (</w:t>
      </w:r>
      <w:r w:rsidR="00314C90" w:rsidRPr="006D67E0">
        <w:rPr>
          <w:rFonts w:ascii="Garamond" w:hAnsi="Garamond"/>
        </w:rPr>
        <w:t xml:space="preserve">il </w:t>
      </w:r>
      <w:r w:rsidR="00F41DC0" w:rsidRPr="006D67E0">
        <w:rPr>
          <w:rFonts w:ascii="Garamond" w:hAnsi="Garamond"/>
        </w:rPr>
        <w:t>D.Lgs.</w:t>
      </w:r>
      <w:r w:rsidR="00314C90" w:rsidRPr="006D67E0">
        <w:rPr>
          <w:rFonts w:ascii="Garamond" w:hAnsi="Garamond"/>
        </w:rPr>
        <w:t xml:space="preserve"> </w:t>
      </w:r>
      <w:r w:rsidR="00A90E47">
        <w:rPr>
          <w:rFonts w:ascii="Garamond" w:hAnsi="Garamond"/>
        </w:rPr>
        <w:t xml:space="preserve">n. </w:t>
      </w:r>
      <w:r w:rsidR="00F41DC0" w:rsidRPr="006D67E0">
        <w:rPr>
          <w:rFonts w:ascii="Garamond" w:hAnsi="Garamond"/>
        </w:rPr>
        <w:t xml:space="preserve">56/2017) che ben può derogare alla previsione del codice civile sulla sufficienza della mera determinabilità dell’oggetto. </w:t>
      </w:r>
    </w:p>
    <w:p w14:paraId="11F61FBF" w14:textId="0F17FC09" w:rsidR="00FC1408" w:rsidRDefault="00CB3E06" w:rsidP="006D67E0">
      <w:pPr>
        <w:spacing w:line="276" w:lineRule="auto"/>
        <w:ind w:firstLine="284"/>
        <w:jc w:val="both"/>
        <w:rPr>
          <w:rFonts w:ascii="Garamond" w:hAnsi="Garamond"/>
        </w:rPr>
      </w:pPr>
      <w:r>
        <w:rPr>
          <w:rFonts w:ascii="Garamond" w:hAnsi="Garamond"/>
        </w:rPr>
        <w:t>L</w:t>
      </w:r>
      <w:r w:rsidR="001E38A5" w:rsidRPr="006D67E0">
        <w:rPr>
          <w:rFonts w:ascii="Garamond" w:hAnsi="Garamond"/>
        </w:rPr>
        <w:t xml:space="preserve">’attuale comma 1 dell’art. 89 pare </w:t>
      </w:r>
      <w:r>
        <w:rPr>
          <w:rFonts w:ascii="Garamond" w:hAnsi="Garamond"/>
        </w:rPr>
        <w:t>dunque militare nel senso della</w:t>
      </w:r>
      <w:r w:rsidR="00F41DC0" w:rsidRPr="006D67E0">
        <w:rPr>
          <w:rFonts w:ascii="Garamond" w:hAnsi="Garamond"/>
        </w:rPr>
        <w:t xml:space="preserve"> necessaria determinatezza dell’oggetto del contratto</w:t>
      </w:r>
      <w:r w:rsidR="001E38A5" w:rsidRPr="006D67E0">
        <w:rPr>
          <w:rFonts w:ascii="Garamond" w:hAnsi="Garamond"/>
        </w:rPr>
        <w:t xml:space="preserve"> di avvalimento</w:t>
      </w:r>
      <w:r>
        <w:rPr>
          <w:rFonts w:ascii="Garamond" w:hAnsi="Garamond"/>
        </w:rPr>
        <w:t xml:space="preserve">, </w:t>
      </w:r>
      <w:r w:rsidR="00000932" w:rsidRPr="006D67E0">
        <w:rPr>
          <w:rFonts w:ascii="Garamond" w:hAnsi="Garamond"/>
        </w:rPr>
        <w:t>a pena di nullità.</w:t>
      </w:r>
      <w:r w:rsidR="00607987" w:rsidRPr="006D67E0">
        <w:rPr>
          <w:rFonts w:ascii="Garamond" w:hAnsi="Garamond"/>
        </w:rPr>
        <w:t xml:space="preserve"> </w:t>
      </w:r>
    </w:p>
    <w:p w14:paraId="262C8D22" w14:textId="39A78888" w:rsidR="00AD43A5" w:rsidRPr="006D67E0" w:rsidRDefault="00AD43A5" w:rsidP="006D67E0">
      <w:pPr>
        <w:spacing w:line="276" w:lineRule="auto"/>
        <w:ind w:firstLine="284"/>
        <w:jc w:val="both"/>
        <w:rPr>
          <w:rFonts w:ascii="Garamond" w:hAnsi="Garamond"/>
        </w:rPr>
      </w:pPr>
      <w:r>
        <w:rPr>
          <w:rFonts w:ascii="Garamond" w:hAnsi="Garamond"/>
        </w:rPr>
        <w:t xml:space="preserve">Tema diverso è quello della eventuale incompatibilità della </w:t>
      </w:r>
      <w:r w:rsidR="00652C77">
        <w:rPr>
          <w:rFonts w:ascii="Garamond" w:hAnsi="Garamond"/>
        </w:rPr>
        <w:t xml:space="preserve">previsione sulla nullità contenuta nella </w:t>
      </w:r>
      <w:r>
        <w:rPr>
          <w:rFonts w:ascii="Garamond" w:hAnsi="Garamond"/>
        </w:rPr>
        <w:t>norma in questione con il diritto eurounitario per violazione del principio di proporzionalità</w:t>
      </w:r>
      <w:r w:rsidR="00A31E4F">
        <w:rPr>
          <w:rFonts w:ascii="Garamond" w:hAnsi="Garamond"/>
        </w:rPr>
        <w:t>; questione comunque che, deve segnalarsi, non ha attirato l’attenzione della Commissione Europea nella Infrazione n 2018/2273, riguardante talune disposizioni, anche in tema di avvalimento, del nostro Codice novellato dal D.Lgs. n. 56/2017 ma, per l’appunto, non la novella del comma 1.</w:t>
      </w:r>
    </w:p>
    <w:p w14:paraId="304FFD82" w14:textId="21314F4E" w:rsidR="000E32AB" w:rsidRDefault="00A31E4F" w:rsidP="00CB3E06">
      <w:pPr>
        <w:spacing w:line="276" w:lineRule="auto"/>
        <w:ind w:firstLine="284"/>
        <w:jc w:val="both"/>
        <w:rPr>
          <w:rFonts w:ascii="Garamond" w:hAnsi="Garamond"/>
          <w:lang w:eastAsia="en-US"/>
        </w:rPr>
      </w:pPr>
      <w:r>
        <w:rPr>
          <w:rFonts w:ascii="Garamond" w:hAnsi="Garamond"/>
        </w:rPr>
        <w:t xml:space="preserve">Si evidenzia infine </w:t>
      </w:r>
      <w:r w:rsidR="006B25E8">
        <w:rPr>
          <w:rFonts w:ascii="Garamond" w:hAnsi="Garamond"/>
        </w:rPr>
        <w:t xml:space="preserve"> che, n</w:t>
      </w:r>
      <w:r w:rsidR="00CB3E06">
        <w:rPr>
          <w:rFonts w:ascii="Garamond" w:hAnsi="Garamond"/>
        </w:rPr>
        <w:t>onostante l’illustrata novella normativa</w:t>
      </w:r>
      <w:r w:rsidR="00F41DC0" w:rsidRPr="006D67E0">
        <w:rPr>
          <w:rFonts w:ascii="Garamond" w:hAnsi="Garamond"/>
        </w:rPr>
        <w:t>, talune recenti sentenze</w:t>
      </w:r>
      <w:r w:rsidR="00CB3E06">
        <w:rPr>
          <w:rFonts w:ascii="Garamond" w:hAnsi="Garamond"/>
        </w:rPr>
        <w:t xml:space="preserve"> </w:t>
      </w:r>
      <w:r w:rsidR="000A348A">
        <w:rPr>
          <w:rFonts w:ascii="Garamond" w:hAnsi="Garamond"/>
        </w:rPr>
        <w:t>richiamano</w:t>
      </w:r>
      <w:r w:rsidR="00CB3E06">
        <w:rPr>
          <w:rFonts w:ascii="Garamond" w:hAnsi="Garamond"/>
        </w:rPr>
        <w:t xml:space="preserve"> ancora l</w:t>
      </w:r>
      <w:r w:rsidR="005E77CB">
        <w:rPr>
          <w:rFonts w:ascii="Garamond" w:hAnsi="Garamond"/>
        </w:rPr>
        <w:t xml:space="preserve">a sentenza della </w:t>
      </w:r>
      <w:r w:rsidR="00CB3E06">
        <w:rPr>
          <w:rFonts w:ascii="Garamond" w:hAnsi="Garamond"/>
        </w:rPr>
        <w:t>Adunanza</w:t>
      </w:r>
      <w:r w:rsidR="001E38A5" w:rsidRPr="006D67E0">
        <w:rPr>
          <w:rFonts w:ascii="Garamond" w:hAnsi="Garamond"/>
        </w:rPr>
        <w:t xml:space="preserve"> </w:t>
      </w:r>
      <w:r w:rsidR="00F41DC0" w:rsidRPr="006D67E0">
        <w:rPr>
          <w:rFonts w:ascii="Garamond" w:hAnsi="Garamond"/>
        </w:rPr>
        <w:t>Plenaria</w:t>
      </w:r>
      <w:r w:rsidR="00607987" w:rsidRPr="006D67E0">
        <w:rPr>
          <w:rFonts w:ascii="Garamond" w:hAnsi="Garamond"/>
        </w:rPr>
        <w:t xml:space="preserve"> n. 23/2016</w:t>
      </w:r>
      <w:r>
        <w:rPr>
          <w:rFonts w:ascii="Garamond" w:hAnsi="Garamond"/>
        </w:rPr>
        <w:t xml:space="preserve"> facendo dunque intuire di ritenere attuale la sufficienza di un oggetto contrattuale meramente </w:t>
      </w:r>
      <w:r w:rsidR="005868C9">
        <w:rPr>
          <w:rFonts w:ascii="Garamond" w:hAnsi="Garamond"/>
        </w:rPr>
        <w:t>determinabile</w:t>
      </w:r>
      <w:r w:rsidR="00716A02" w:rsidRPr="006D67E0">
        <w:rPr>
          <w:rFonts w:ascii="Garamond" w:hAnsi="Garamond"/>
          <w:vertAlign w:val="superscript"/>
        </w:rPr>
        <w:footnoteReference w:id="17"/>
      </w:r>
      <w:r w:rsidR="009714E9">
        <w:rPr>
          <w:rFonts w:ascii="Garamond" w:hAnsi="Garamond"/>
        </w:rPr>
        <w:t xml:space="preserve">; posizione che </w:t>
      </w:r>
      <w:r w:rsidR="00B45DE6">
        <w:rPr>
          <w:rFonts w:ascii="Garamond" w:hAnsi="Garamond"/>
        </w:rPr>
        <w:t xml:space="preserve">è </w:t>
      </w:r>
      <w:r w:rsidR="009714E9">
        <w:rPr>
          <w:rFonts w:ascii="Garamond" w:hAnsi="Garamond"/>
        </w:rPr>
        <w:t>auspicabil</w:t>
      </w:r>
      <w:r w:rsidR="00B45DE6">
        <w:rPr>
          <w:rFonts w:ascii="Garamond" w:hAnsi="Garamond"/>
        </w:rPr>
        <w:t>e</w:t>
      </w:r>
      <w:r w:rsidR="009714E9">
        <w:rPr>
          <w:rFonts w:ascii="Garamond" w:hAnsi="Garamond"/>
        </w:rPr>
        <w:t xml:space="preserve"> </w:t>
      </w:r>
      <w:r w:rsidR="00B45DE6">
        <w:rPr>
          <w:rFonts w:ascii="Garamond" w:hAnsi="Garamond"/>
        </w:rPr>
        <w:t>possa spingersi ad</w:t>
      </w:r>
      <w:r w:rsidR="009714E9">
        <w:rPr>
          <w:rFonts w:ascii="Garamond" w:hAnsi="Garamond"/>
        </w:rPr>
        <w:t xml:space="preserve"> interpreta</w:t>
      </w:r>
      <w:r w:rsidR="00B45DE6">
        <w:rPr>
          <w:rFonts w:ascii="Garamond" w:hAnsi="Garamond"/>
        </w:rPr>
        <w:t>re espressamente</w:t>
      </w:r>
      <w:r w:rsidR="009714E9">
        <w:rPr>
          <w:rFonts w:ascii="Garamond" w:hAnsi="Garamond"/>
        </w:rPr>
        <w:t xml:space="preserve"> la portata della suddetta</w:t>
      </w:r>
      <w:r w:rsidR="00F065F1">
        <w:rPr>
          <w:rFonts w:ascii="Garamond" w:hAnsi="Garamond"/>
        </w:rPr>
        <w:t xml:space="preserve"> novella</w:t>
      </w:r>
      <w:r w:rsidR="009714E9">
        <w:rPr>
          <w:rFonts w:ascii="Garamond" w:hAnsi="Garamond"/>
        </w:rPr>
        <w:t xml:space="preserve"> previsione di nullità</w:t>
      </w:r>
      <w:r w:rsidR="00716A02">
        <w:rPr>
          <w:rFonts w:ascii="Garamond" w:hAnsi="Garamond"/>
        </w:rPr>
        <w:t>.</w:t>
      </w:r>
      <w:r w:rsidR="009714E9">
        <w:rPr>
          <w:rFonts w:ascii="Garamond" w:hAnsi="Garamond"/>
        </w:rPr>
        <w:t xml:space="preserve"> </w:t>
      </w:r>
    </w:p>
    <w:p w14:paraId="36EB7D9D" w14:textId="77777777" w:rsidR="00CB3E06" w:rsidRDefault="00CB3E06" w:rsidP="00CB3E06">
      <w:pPr>
        <w:spacing w:line="276" w:lineRule="auto"/>
        <w:ind w:firstLine="284"/>
        <w:jc w:val="both"/>
        <w:rPr>
          <w:rFonts w:ascii="Garamond" w:hAnsi="Garamond"/>
          <w:lang w:eastAsia="en-US"/>
        </w:rPr>
      </w:pPr>
    </w:p>
    <w:p w14:paraId="033EBD71" w14:textId="77777777" w:rsidR="00CB3E06" w:rsidRPr="006D67E0" w:rsidRDefault="00CB3E06" w:rsidP="00CB3E06">
      <w:pPr>
        <w:spacing w:line="276" w:lineRule="auto"/>
        <w:ind w:firstLine="284"/>
        <w:jc w:val="both"/>
        <w:rPr>
          <w:rFonts w:ascii="Garamond" w:hAnsi="Garamond"/>
          <w:lang w:eastAsia="en-US"/>
        </w:rPr>
      </w:pPr>
    </w:p>
    <w:p w14:paraId="327FA4C5" w14:textId="21023D70" w:rsidR="00CB3E06" w:rsidRPr="00460B5C" w:rsidRDefault="00FC1408" w:rsidP="00743D2F">
      <w:pPr>
        <w:pStyle w:val="Titolo2"/>
      </w:pPr>
      <w:bookmarkStart w:id="2" w:name="_Toc38992719"/>
      <w:r w:rsidRPr="00743D2F">
        <w:t xml:space="preserve">La </w:t>
      </w:r>
      <w:r w:rsidR="00000932" w:rsidRPr="00743D2F">
        <w:t>specificità del cont</w:t>
      </w:r>
      <w:r w:rsidR="008B069F" w:rsidRPr="00743D2F">
        <w:t>r</w:t>
      </w:r>
      <w:r w:rsidR="00000932" w:rsidRPr="00743D2F">
        <w:t>atto di avvalimento</w:t>
      </w:r>
      <w:r w:rsidR="00D03899" w:rsidRPr="00743D2F">
        <w:t xml:space="preserve"> </w:t>
      </w:r>
      <w:r w:rsidR="00CB3E06" w:rsidRPr="00743D2F">
        <w:t>in funzione</w:t>
      </w:r>
      <w:r w:rsidR="00D03899" w:rsidRPr="00743D2F">
        <w:t xml:space="preserve"> </w:t>
      </w:r>
      <w:r w:rsidR="00CB3E06" w:rsidRPr="00743D2F">
        <w:t>del</w:t>
      </w:r>
      <w:r w:rsidR="00D03899" w:rsidRPr="00743D2F">
        <w:t xml:space="preserve">l’effettività del prestito del </w:t>
      </w:r>
      <w:r w:rsidR="00D03899" w:rsidRPr="00460B5C">
        <w:t>requisito</w:t>
      </w:r>
      <w:bookmarkEnd w:id="2"/>
    </w:p>
    <w:p w14:paraId="4630109B" w14:textId="1D4CADDF" w:rsidR="0043680C" w:rsidRPr="006D67E0" w:rsidRDefault="004E2DA6" w:rsidP="004E2DA6">
      <w:pPr>
        <w:spacing w:line="276" w:lineRule="auto"/>
        <w:ind w:firstLine="284"/>
        <w:jc w:val="both"/>
        <w:rPr>
          <w:rFonts w:ascii="Garamond" w:hAnsi="Garamond"/>
          <w:bCs/>
        </w:rPr>
      </w:pPr>
      <w:r w:rsidRPr="00460B5C">
        <w:rPr>
          <w:rFonts w:ascii="Garamond" w:hAnsi="Garamond"/>
          <w:bCs/>
        </w:rPr>
        <w:t>In ordine alla</w:t>
      </w:r>
      <w:r w:rsidR="0043680C" w:rsidRPr="00460B5C">
        <w:rPr>
          <w:rFonts w:ascii="Garamond" w:hAnsi="Garamond"/>
          <w:bCs/>
        </w:rPr>
        <w:t xml:space="preserve"> specific</w:t>
      </w:r>
      <w:r w:rsidRPr="00460B5C">
        <w:rPr>
          <w:rFonts w:ascii="Garamond" w:hAnsi="Garamond"/>
          <w:bCs/>
        </w:rPr>
        <w:t>azione delle risorse</w:t>
      </w:r>
      <w:r w:rsidR="0043680C" w:rsidRPr="00460B5C">
        <w:rPr>
          <w:rFonts w:ascii="Garamond" w:hAnsi="Garamond"/>
          <w:bCs/>
        </w:rPr>
        <w:t xml:space="preserve"> del</w:t>
      </w:r>
      <w:r w:rsidRPr="00460B5C">
        <w:rPr>
          <w:rFonts w:ascii="Garamond" w:hAnsi="Garamond"/>
          <w:bCs/>
        </w:rPr>
        <w:t xml:space="preserve"> contratto di avvalimento è stato più volte chiarito che</w:t>
      </w:r>
      <w:r w:rsidR="0043680C" w:rsidRPr="00460B5C">
        <w:rPr>
          <w:rFonts w:ascii="Garamond" w:hAnsi="Garamond"/>
          <w:bCs/>
        </w:rPr>
        <w:t xml:space="preserve"> lo scopo d</w:t>
      </w:r>
      <w:r w:rsidRPr="00460B5C">
        <w:rPr>
          <w:rFonts w:ascii="Garamond" w:hAnsi="Garamond"/>
          <w:bCs/>
        </w:rPr>
        <w:t>i tale prescrizione</w:t>
      </w:r>
      <w:r w:rsidR="0043680C" w:rsidRPr="00460B5C">
        <w:rPr>
          <w:rFonts w:ascii="Garamond" w:hAnsi="Garamond"/>
          <w:bCs/>
        </w:rPr>
        <w:t xml:space="preserve"> è raggiunto ogniqualvolta la stazione appaltante sia messa in grado di comprendere quali siano gli impegni concretamente assunti dall’ausiliaria nei confronti della concorrente</w:t>
      </w:r>
      <w:r w:rsidR="00961B0C">
        <w:rPr>
          <w:rFonts w:ascii="Garamond" w:hAnsi="Garamond"/>
          <w:bCs/>
        </w:rPr>
        <w:t xml:space="preserve"> nonché</w:t>
      </w:r>
      <w:r w:rsidR="0043680C" w:rsidRPr="00460B5C">
        <w:rPr>
          <w:rFonts w:ascii="Garamond" w:hAnsi="Garamond"/>
          <w:bCs/>
        </w:rPr>
        <w:t xml:space="preserve"> di verificare, in sede di gara, e controllare, in sede di esecuzione, che la messa a disposizione del requisito non sia meramente cartolare</w:t>
      </w:r>
      <w:r w:rsidR="00944506">
        <w:rPr>
          <w:rFonts w:ascii="Garamond" w:hAnsi="Garamond"/>
          <w:bCs/>
        </w:rPr>
        <w:t>,</w:t>
      </w:r>
      <w:r w:rsidR="0043680C" w:rsidRPr="00460B5C">
        <w:rPr>
          <w:rFonts w:ascii="Garamond" w:hAnsi="Garamond"/>
          <w:bCs/>
        </w:rPr>
        <w:t xml:space="preserve"> ma sia basata sulla prestazione effettiva di attività e/o di mezzi dall’una impresa in favore dell’altra</w:t>
      </w:r>
      <w:r w:rsidR="000606C1" w:rsidRPr="00460B5C">
        <w:rPr>
          <w:rFonts w:ascii="Garamond" w:hAnsi="Garamond"/>
          <w:bCs/>
        </w:rPr>
        <w:t>.</w:t>
      </w:r>
      <w:r w:rsidR="0043680C" w:rsidRPr="006D67E0">
        <w:rPr>
          <w:rFonts w:ascii="Garamond" w:hAnsi="Garamond"/>
          <w:bCs/>
        </w:rPr>
        <w:t xml:space="preserve"> </w:t>
      </w:r>
    </w:p>
    <w:p w14:paraId="3CF9E9B2" w14:textId="7D2328E7" w:rsidR="00AE56D6" w:rsidRPr="006D67E0" w:rsidRDefault="00CB3E06" w:rsidP="006D67E0">
      <w:pPr>
        <w:spacing w:line="276" w:lineRule="auto"/>
        <w:ind w:firstLine="284"/>
        <w:jc w:val="both"/>
        <w:rPr>
          <w:rFonts w:ascii="Garamond" w:eastAsia="Times New Roman" w:hAnsi="Garamond"/>
          <w:color w:val="000000"/>
        </w:rPr>
      </w:pPr>
      <w:r>
        <w:rPr>
          <w:rFonts w:ascii="Garamond" w:hAnsi="Garamond"/>
          <w:bCs/>
        </w:rPr>
        <w:t>È dunque</w:t>
      </w:r>
      <w:r w:rsidR="00AD69F1" w:rsidRPr="006D67E0">
        <w:rPr>
          <w:rFonts w:ascii="Garamond" w:hAnsi="Garamond"/>
          <w:bCs/>
        </w:rPr>
        <w:t xml:space="preserve"> evidente che il grado di specificità del contenuto del contratto di avvalimento </w:t>
      </w:r>
      <w:r w:rsidR="002907BB">
        <w:rPr>
          <w:rFonts w:ascii="Garamond" w:hAnsi="Garamond"/>
          <w:bCs/>
        </w:rPr>
        <w:t xml:space="preserve">assume poi rilievo </w:t>
      </w:r>
      <w:r w:rsidR="00AD69F1" w:rsidRPr="006D67E0">
        <w:rPr>
          <w:rFonts w:ascii="Garamond" w:hAnsi="Garamond"/>
          <w:bCs/>
        </w:rPr>
        <w:t xml:space="preserve">in sede di esecuzione dell’appalto, ossia quando la </w:t>
      </w:r>
      <w:r w:rsidR="00C172AC">
        <w:rPr>
          <w:rFonts w:ascii="Garamond" w:hAnsi="Garamond"/>
          <w:bCs/>
        </w:rPr>
        <w:t>stazione appaltante</w:t>
      </w:r>
      <w:r w:rsidR="00AD69F1" w:rsidRPr="006D67E0">
        <w:rPr>
          <w:rFonts w:ascii="Garamond" w:hAnsi="Garamond"/>
          <w:bCs/>
        </w:rPr>
        <w:t xml:space="preserve"> concretamente verifica</w:t>
      </w:r>
      <w:r w:rsidR="009911D0">
        <w:rPr>
          <w:rFonts w:ascii="Garamond" w:hAnsi="Garamond"/>
          <w:bCs/>
        </w:rPr>
        <w:t>, ai sensi dell’art</w:t>
      </w:r>
      <w:r w:rsidR="00B104D1">
        <w:rPr>
          <w:rFonts w:ascii="Garamond" w:hAnsi="Garamond"/>
          <w:bCs/>
        </w:rPr>
        <w:t>.</w:t>
      </w:r>
      <w:r w:rsidR="009911D0">
        <w:rPr>
          <w:rFonts w:ascii="Garamond" w:hAnsi="Garamond"/>
          <w:bCs/>
        </w:rPr>
        <w:t xml:space="preserve"> 89, comma 9, </w:t>
      </w:r>
      <w:r w:rsidR="00AD69F1" w:rsidRPr="006D67E0">
        <w:rPr>
          <w:rFonts w:ascii="Garamond" w:hAnsi="Garamond"/>
          <w:bCs/>
        </w:rPr>
        <w:t xml:space="preserve"> </w:t>
      </w:r>
      <w:r>
        <w:rPr>
          <w:rFonts w:ascii="Garamond" w:hAnsi="Garamond"/>
          <w:bCs/>
        </w:rPr>
        <w:t>se</w:t>
      </w:r>
      <w:r w:rsidR="00AD69F1" w:rsidRPr="006D67E0">
        <w:rPr>
          <w:rFonts w:ascii="Garamond" w:hAnsi="Garamond"/>
          <w:bCs/>
        </w:rPr>
        <w:t xml:space="preserve"> i requisiti, le risorse ed i mezzi promessi dall’ausiliaria siano effettivamente messi a disposizione dell’ausiliata ed impiegati per tutta la durata dell’appalto</w:t>
      </w:r>
      <w:r w:rsidR="00084F84" w:rsidRPr="006D67E0">
        <w:rPr>
          <w:rStyle w:val="Rimandonotaapidipagina"/>
          <w:rFonts w:ascii="Garamond" w:hAnsi="Garamond"/>
          <w:bCs/>
          <w:sz w:val="24"/>
        </w:rPr>
        <w:footnoteReference w:id="18"/>
      </w:r>
      <w:r w:rsidR="009911D0">
        <w:rPr>
          <w:rFonts w:ascii="Garamond" w:hAnsi="Garamond"/>
          <w:bCs/>
        </w:rPr>
        <w:t xml:space="preserve">: è stata dunque </w:t>
      </w:r>
      <w:r w:rsidR="00C5706B">
        <w:rPr>
          <w:rFonts w:ascii="Garamond" w:hAnsi="Garamond"/>
          <w:bCs/>
        </w:rPr>
        <w:t>scrupolosamente recepita</w:t>
      </w:r>
      <w:r w:rsidR="009911D0">
        <w:rPr>
          <w:rFonts w:ascii="Garamond" w:hAnsi="Garamond"/>
          <w:bCs/>
        </w:rPr>
        <w:t xml:space="preserve"> dal Codice l</w:t>
      </w:r>
      <w:r w:rsidR="00C5706B">
        <w:rPr>
          <w:rFonts w:ascii="Garamond" w:hAnsi="Garamond"/>
          <w:bCs/>
        </w:rPr>
        <w:t>a prescrizione della legge delega</w:t>
      </w:r>
      <w:r w:rsidR="009911D0">
        <w:rPr>
          <w:rFonts w:ascii="Garamond" w:hAnsi="Garamond"/>
          <w:bCs/>
        </w:rPr>
        <w:t xml:space="preserve"> </w:t>
      </w:r>
      <w:r w:rsidR="00C5706B">
        <w:rPr>
          <w:rFonts w:ascii="Garamond" w:hAnsi="Garamond"/>
          <w:bCs/>
        </w:rPr>
        <w:t xml:space="preserve">n. 11/2016 </w:t>
      </w:r>
      <w:r w:rsidR="009911D0">
        <w:rPr>
          <w:rFonts w:ascii="Garamond" w:hAnsi="Garamond"/>
          <w:bCs/>
        </w:rPr>
        <w:t>sull’effettività del prestito delle risorse.</w:t>
      </w:r>
    </w:p>
    <w:p w14:paraId="5A871C4B" w14:textId="38CA8385" w:rsidR="00AD69F1" w:rsidRPr="006D67E0" w:rsidRDefault="00AD69F1" w:rsidP="006D67E0">
      <w:pPr>
        <w:spacing w:line="276" w:lineRule="auto"/>
        <w:ind w:firstLine="284"/>
        <w:jc w:val="both"/>
        <w:rPr>
          <w:rFonts w:ascii="Garamond" w:hAnsi="Garamond"/>
          <w:bCs/>
        </w:rPr>
      </w:pPr>
      <w:r w:rsidRPr="006D67E0">
        <w:rPr>
          <w:rFonts w:ascii="Garamond" w:hAnsi="Garamond"/>
          <w:bCs/>
        </w:rPr>
        <w:lastRenderedPageBreak/>
        <w:t xml:space="preserve">Di conseguenza, deve senz’altro ritenersi esclusa la validità di un contratto di avvalimento che applichi formule contrattuali del tutto generiche ovvero meramente riproduttive del dato normativo o contenenti una parafrasi della clausola della </w:t>
      </w:r>
      <w:r w:rsidRPr="006D67E0">
        <w:rPr>
          <w:rFonts w:ascii="Garamond" w:hAnsi="Garamond"/>
          <w:bCs/>
          <w:i/>
        </w:rPr>
        <w:t>lex specialis</w:t>
      </w:r>
      <w:r w:rsidRPr="006D67E0">
        <w:rPr>
          <w:rFonts w:ascii="Garamond" w:hAnsi="Garamond"/>
          <w:bCs/>
        </w:rPr>
        <w:t xml:space="preserve"> descrittiva del requisito oggetto di avvalimento</w:t>
      </w:r>
      <w:r w:rsidRPr="006D67E0">
        <w:rPr>
          <w:rStyle w:val="Rimandonotaapidipagina"/>
          <w:rFonts w:ascii="Garamond" w:hAnsi="Garamond"/>
          <w:bCs/>
          <w:sz w:val="24"/>
        </w:rPr>
        <w:footnoteReference w:id="19"/>
      </w:r>
      <w:r w:rsidRPr="006D67E0">
        <w:rPr>
          <w:rFonts w:ascii="Garamond" w:hAnsi="Garamond"/>
          <w:bCs/>
        </w:rPr>
        <w:t xml:space="preserve">. </w:t>
      </w:r>
    </w:p>
    <w:p w14:paraId="48C8F704" w14:textId="620F25FA" w:rsidR="00F65962" w:rsidRDefault="00A970C1" w:rsidP="006D67E0">
      <w:pPr>
        <w:spacing w:line="276" w:lineRule="auto"/>
        <w:ind w:firstLine="284"/>
        <w:jc w:val="both"/>
        <w:rPr>
          <w:rFonts w:ascii="Garamond" w:hAnsi="Garamond"/>
          <w:bCs/>
        </w:rPr>
      </w:pPr>
      <w:r w:rsidRPr="006D67E0">
        <w:rPr>
          <w:rFonts w:ascii="Garamond" w:hAnsi="Garamond"/>
          <w:bCs/>
        </w:rPr>
        <w:t xml:space="preserve">Se ciò è facilmente comprensibile con riferimento all’avvalimento operativo, più difficile è percepire l’effettività del prestito con riferimento ai requisiti di capacità economico-finanziaria e, dunque, </w:t>
      </w:r>
      <w:r w:rsidR="00F8480B">
        <w:rPr>
          <w:rFonts w:ascii="Garamond" w:hAnsi="Garamond"/>
          <w:bCs/>
        </w:rPr>
        <w:t>in relazione all’</w:t>
      </w:r>
      <w:r w:rsidRPr="006D67E0">
        <w:rPr>
          <w:rFonts w:ascii="Garamond" w:hAnsi="Garamond"/>
          <w:bCs/>
        </w:rPr>
        <w:t>avvalimento di garanzia</w:t>
      </w:r>
      <w:r w:rsidR="00166141">
        <w:rPr>
          <w:rFonts w:ascii="Garamond" w:hAnsi="Garamond"/>
          <w:bCs/>
        </w:rPr>
        <w:t xml:space="preserve"> ed a tal proposito la giurisprudenza prospetta la distinzione tra “risorse” , necessariamente da specificarsi, in quanto rientrano nella nozione di “beni in senso tecnico-giuridico, cioè di cose che possono formare oggetto di diritti ex art 81 c.c.” e “requisiti generali (requisiti di carattere economico, finanziario , tecnico-organizzativo, ad es. il fatturato globale o la certificazione di qualità)”</w:t>
      </w:r>
      <w:r w:rsidR="00F65962">
        <w:rPr>
          <w:rFonts w:ascii="Garamond" w:hAnsi="Garamond"/>
          <w:bCs/>
        </w:rPr>
        <w:t>, di cui sarebbe sufficiente la determinabilità.</w:t>
      </w:r>
      <w:r w:rsidR="005868C9">
        <w:rPr>
          <w:rStyle w:val="Rimandonotaapidipagina"/>
          <w:bCs/>
        </w:rPr>
        <w:footnoteReference w:id="20"/>
      </w:r>
      <w:r w:rsidR="00166141">
        <w:rPr>
          <w:rFonts w:ascii="Garamond" w:hAnsi="Garamond"/>
          <w:bCs/>
        </w:rPr>
        <w:t xml:space="preserve"> .</w:t>
      </w:r>
      <w:r w:rsidR="00F65962">
        <w:rPr>
          <w:rFonts w:ascii="Garamond" w:hAnsi="Garamond"/>
          <w:bCs/>
        </w:rPr>
        <w:t xml:space="preserve"> </w:t>
      </w:r>
    </w:p>
    <w:p w14:paraId="5DACFCD9" w14:textId="7A30E3F9" w:rsidR="00A1292C" w:rsidRDefault="00F65962" w:rsidP="006D67E0">
      <w:pPr>
        <w:spacing w:line="276" w:lineRule="auto"/>
        <w:ind w:firstLine="284"/>
        <w:jc w:val="both"/>
        <w:rPr>
          <w:rFonts w:ascii="Garamond" w:hAnsi="Garamond"/>
          <w:bCs/>
        </w:rPr>
      </w:pPr>
      <w:r>
        <w:rPr>
          <w:rFonts w:ascii="Garamond" w:hAnsi="Garamond"/>
          <w:bCs/>
        </w:rPr>
        <w:t xml:space="preserve">Tuttavia, non può sfuggire che l’attenzione ermeneutica </w:t>
      </w:r>
      <w:r w:rsidR="00A17534">
        <w:rPr>
          <w:rFonts w:ascii="Garamond" w:hAnsi="Garamond"/>
          <w:bCs/>
        </w:rPr>
        <w:t xml:space="preserve">si trova </w:t>
      </w:r>
      <w:r w:rsidR="005868C9">
        <w:rPr>
          <w:rFonts w:ascii="Garamond" w:hAnsi="Garamond"/>
          <w:bCs/>
        </w:rPr>
        <w:t xml:space="preserve">inevitabilmente </w:t>
      </w:r>
      <w:r w:rsidR="00A17534">
        <w:rPr>
          <w:rFonts w:ascii="Garamond" w:hAnsi="Garamond"/>
          <w:bCs/>
        </w:rPr>
        <w:t xml:space="preserve">a </w:t>
      </w:r>
      <w:r>
        <w:rPr>
          <w:rFonts w:ascii="Garamond" w:hAnsi="Garamond"/>
          <w:bCs/>
        </w:rPr>
        <w:t>trasla</w:t>
      </w:r>
      <w:r w:rsidR="00A17534">
        <w:rPr>
          <w:rFonts w:ascii="Garamond" w:hAnsi="Garamond"/>
          <w:bCs/>
        </w:rPr>
        <w:t>re</w:t>
      </w:r>
      <w:r>
        <w:rPr>
          <w:rFonts w:ascii="Garamond" w:hAnsi="Garamond"/>
          <w:bCs/>
        </w:rPr>
        <w:t xml:space="preserve"> dall’ontologia </w:t>
      </w:r>
      <w:r w:rsidR="00A17534">
        <w:rPr>
          <w:rFonts w:ascii="Garamond" w:hAnsi="Garamond"/>
          <w:bCs/>
        </w:rPr>
        <w:t xml:space="preserve">della </w:t>
      </w:r>
      <w:r>
        <w:rPr>
          <w:rFonts w:ascii="Garamond" w:hAnsi="Garamond"/>
          <w:bCs/>
        </w:rPr>
        <w:t xml:space="preserve">suddetta distinzione, in sé plausibile, al contenuto delle due categorie concettuali, </w:t>
      </w:r>
      <w:r w:rsidR="005868C9">
        <w:rPr>
          <w:rFonts w:ascii="Garamond" w:hAnsi="Garamond"/>
          <w:bCs/>
        </w:rPr>
        <w:t xml:space="preserve">in virtù dei </w:t>
      </w:r>
      <w:r>
        <w:rPr>
          <w:rFonts w:ascii="Garamond" w:hAnsi="Garamond"/>
          <w:bCs/>
        </w:rPr>
        <w:t>dubbi che insorgono</w:t>
      </w:r>
      <w:r w:rsidR="00A17534">
        <w:rPr>
          <w:rFonts w:ascii="Garamond" w:hAnsi="Garamond"/>
          <w:bCs/>
        </w:rPr>
        <w:t>, ad esempio, in ordine alla inclusione tra i requisiti generali dei requisiti tecnico-organizzativi, difatti tipicamente connotanti l’avvalimento operativo e non anche quello di garanzia.</w:t>
      </w:r>
    </w:p>
    <w:p w14:paraId="61BA6635" w14:textId="080CBE80" w:rsidR="00166141" w:rsidRPr="006D67E0" w:rsidRDefault="00A17534" w:rsidP="006D67E0">
      <w:pPr>
        <w:spacing w:line="276" w:lineRule="auto"/>
        <w:ind w:firstLine="284"/>
        <w:jc w:val="both"/>
        <w:rPr>
          <w:rFonts w:ascii="Garamond" w:hAnsi="Garamond"/>
          <w:bCs/>
        </w:rPr>
      </w:pPr>
      <w:r>
        <w:rPr>
          <w:rFonts w:ascii="Garamond" w:hAnsi="Garamond"/>
          <w:bCs/>
        </w:rPr>
        <w:t>Comunque</w:t>
      </w:r>
      <w:r w:rsidR="00166141">
        <w:rPr>
          <w:rFonts w:ascii="Garamond" w:hAnsi="Garamond"/>
          <w:bCs/>
        </w:rPr>
        <w:t xml:space="preserve">, calando tale distinzione sui contenuti dell’art. 89 </w:t>
      </w:r>
      <w:r w:rsidR="00F65962">
        <w:rPr>
          <w:rFonts w:ascii="Garamond" w:hAnsi="Garamond"/>
          <w:bCs/>
        </w:rPr>
        <w:t>coerentemente dovrebbe</w:t>
      </w:r>
      <w:r w:rsidR="00166141">
        <w:rPr>
          <w:rFonts w:ascii="Garamond" w:hAnsi="Garamond"/>
          <w:bCs/>
        </w:rPr>
        <w:t xml:space="preserve"> approdarsi alla conclusione che sia il comma 1, che dispone la nullità </w:t>
      </w:r>
      <w:r w:rsidR="00EA2F5E">
        <w:rPr>
          <w:rFonts w:ascii="Garamond" w:hAnsi="Garamond"/>
          <w:bCs/>
        </w:rPr>
        <w:t>per la mancata specificazione dei requisiti forniti e delle risorse messe a disposizione, sia il comma 9, laddove prevede da parte della stazione appaltante in corso di esecuzione le verifiche sostanziali sull’effettivo impiego delle risorse, s</w:t>
      </w:r>
      <w:r w:rsidR="00F65962">
        <w:rPr>
          <w:rFonts w:ascii="Garamond" w:hAnsi="Garamond"/>
          <w:bCs/>
        </w:rPr>
        <w:t>arebbero</w:t>
      </w:r>
      <w:r w:rsidR="00EA2F5E">
        <w:rPr>
          <w:rFonts w:ascii="Garamond" w:hAnsi="Garamond"/>
          <w:bCs/>
        </w:rPr>
        <w:t xml:space="preserve"> riferibili all’avvalimento operativo e non anche a quello di garanzia. </w:t>
      </w:r>
      <w:r w:rsidR="00F65962">
        <w:rPr>
          <w:rFonts w:ascii="Garamond" w:hAnsi="Garamond"/>
          <w:bCs/>
        </w:rPr>
        <w:t>Unica criticità</w:t>
      </w:r>
      <w:r w:rsidR="00961B0C">
        <w:rPr>
          <w:rFonts w:ascii="Garamond" w:hAnsi="Garamond"/>
          <w:bCs/>
        </w:rPr>
        <w:t xml:space="preserve"> di tale approdo, con precipuo </w:t>
      </w:r>
      <w:r w:rsidR="00F65962">
        <w:rPr>
          <w:rFonts w:ascii="Garamond" w:hAnsi="Garamond"/>
          <w:bCs/>
        </w:rPr>
        <w:t xml:space="preserve">riferimento al tenore letterale di cui al comma 1, consiste nella menzione non solo delle </w:t>
      </w:r>
      <w:r w:rsidR="007F7A68">
        <w:rPr>
          <w:rFonts w:ascii="Garamond" w:hAnsi="Garamond"/>
          <w:bCs/>
        </w:rPr>
        <w:t>“</w:t>
      </w:r>
      <w:r w:rsidR="00F65962">
        <w:rPr>
          <w:rFonts w:ascii="Garamond" w:hAnsi="Garamond"/>
          <w:bCs/>
        </w:rPr>
        <w:t>risorse</w:t>
      </w:r>
      <w:r w:rsidR="007F7A68">
        <w:rPr>
          <w:rFonts w:ascii="Garamond" w:hAnsi="Garamond"/>
          <w:bCs/>
        </w:rPr>
        <w:t>”</w:t>
      </w:r>
      <w:r w:rsidR="00F65962">
        <w:rPr>
          <w:rFonts w:ascii="Garamond" w:hAnsi="Garamond"/>
          <w:bCs/>
        </w:rPr>
        <w:t xml:space="preserve"> ma anche dei </w:t>
      </w:r>
      <w:r w:rsidR="007F7A68">
        <w:rPr>
          <w:rFonts w:ascii="Garamond" w:hAnsi="Garamond"/>
          <w:bCs/>
        </w:rPr>
        <w:t>“</w:t>
      </w:r>
      <w:r w:rsidR="00F65962">
        <w:rPr>
          <w:rFonts w:ascii="Garamond" w:hAnsi="Garamond"/>
          <w:bCs/>
        </w:rPr>
        <w:t>requisiti</w:t>
      </w:r>
      <w:r w:rsidR="007F7A68">
        <w:rPr>
          <w:rFonts w:ascii="Garamond" w:hAnsi="Garamond"/>
          <w:bCs/>
        </w:rPr>
        <w:t>”</w:t>
      </w:r>
      <w:r w:rsidR="00F65962">
        <w:rPr>
          <w:rFonts w:ascii="Garamond" w:hAnsi="Garamond"/>
          <w:bCs/>
        </w:rPr>
        <w:t xml:space="preserve">. </w:t>
      </w:r>
    </w:p>
    <w:p w14:paraId="0C553FCB" w14:textId="3D6EB7AC" w:rsidR="00A970C1" w:rsidRDefault="00A17534" w:rsidP="006D67E0">
      <w:pPr>
        <w:spacing w:line="276" w:lineRule="auto"/>
        <w:ind w:firstLine="284"/>
        <w:jc w:val="both"/>
        <w:rPr>
          <w:rFonts w:ascii="Garamond" w:hAnsi="Garamond"/>
          <w:bCs/>
        </w:rPr>
      </w:pPr>
      <w:r>
        <w:rPr>
          <w:rFonts w:ascii="Garamond" w:hAnsi="Garamond"/>
          <w:bCs/>
        </w:rPr>
        <w:t>In conclusione, c</w:t>
      </w:r>
      <w:r w:rsidR="000A1024">
        <w:rPr>
          <w:rFonts w:ascii="Garamond" w:hAnsi="Garamond"/>
          <w:bCs/>
        </w:rPr>
        <w:t xml:space="preserve">ome  precedentemente accennato, </w:t>
      </w:r>
      <w:r>
        <w:rPr>
          <w:rFonts w:ascii="Garamond" w:hAnsi="Garamond"/>
          <w:bCs/>
        </w:rPr>
        <w:t xml:space="preserve">vi è in </w:t>
      </w:r>
      <w:r w:rsidR="000A1024">
        <w:rPr>
          <w:rFonts w:ascii="Garamond" w:hAnsi="Garamond"/>
          <w:bCs/>
        </w:rPr>
        <w:t xml:space="preserve"> </w:t>
      </w:r>
      <w:r w:rsidR="00A1292C" w:rsidRPr="006D67E0">
        <w:rPr>
          <w:rFonts w:ascii="Garamond" w:hAnsi="Garamond"/>
          <w:bCs/>
        </w:rPr>
        <w:t>giurisprudenza</w:t>
      </w:r>
      <w:r>
        <w:rPr>
          <w:rFonts w:ascii="Garamond" w:hAnsi="Garamond"/>
          <w:bCs/>
        </w:rPr>
        <w:t xml:space="preserve"> una divisione</w:t>
      </w:r>
      <w:r w:rsidR="00A1292C" w:rsidRPr="006D67E0">
        <w:rPr>
          <w:rFonts w:ascii="Garamond" w:hAnsi="Garamond"/>
          <w:bCs/>
        </w:rPr>
        <w:t xml:space="preserve"> in tema  tra chi ritiene l’onere di spec</w:t>
      </w:r>
      <w:r w:rsidR="007F142F" w:rsidRPr="006D67E0">
        <w:rPr>
          <w:rFonts w:ascii="Garamond" w:hAnsi="Garamond"/>
          <w:bCs/>
        </w:rPr>
        <w:t>ificità attenuato nel caso di prestito dei requisiti economici e patrimoniali</w:t>
      </w:r>
      <w:r w:rsidR="00A1292C" w:rsidRPr="006D67E0">
        <w:rPr>
          <w:rFonts w:ascii="Garamond" w:hAnsi="Garamond"/>
          <w:bCs/>
        </w:rPr>
        <w:t xml:space="preserve"> e chi, al contrario, insiste </w:t>
      </w:r>
      <w:r w:rsidR="00E641C8" w:rsidRPr="006D67E0">
        <w:rPr>
          <w:rFonts w:ascii="Garamond" w:hAnsi="Garamond"/>
          <w:bCs/>
        </w:rPr>
        <w:t>sul carattere di specificità del contratto di avvalimento a prescindere dalla tipologia del requisito prestato</w:t>
      </w:r>
      <w:r w:rsidR="00A1292C" w:rsidRPr="006D67E0">
        <w:rPr>
          <w:rStyle w:val="Rimandonotaapidipagina"/>
          <w:rFonts w:ascii="Garamond" w:hAnsi="Garamond"/>
          <w:bCs/>
          <w:sz w:val="24"/>
        </w:rPr>
        <w:footnoteReference w:id="21"/>
      </w:r>
      <w:r w:rsidR="00E641C8" w:rsidRPr="006D67E0">
        <w:rPr>
          <w:rFonts w:ascii="Garamond" w:hAnsi="Garamond"/>
          <w:bCs/>
        </w:rPr>
        <w:t xml:space="preserve">. </w:t>
      </w:r>
      <w:r w:rsidR="00A1292C" w:rsidRPr="006D67E0">
        <w:rPr>
          <w:rFonts w:ascii="Garamond" w:hAnsi="Garamond"/>
          <w:bCs/>
        </w:rPr>
        <w:t>Secondo quest’ultimo orientamento, dunque, anche</w:t>
      </w:r>
      <w:r w:rsidR="00E641C8" w:rsidRPr="006D67E0">
        <w:rPr>
          <w:rFonts w:ascii="Garamond" w:hAnsi="Garamond"/>
          <w:bCs/>
        </w:rPr>
        <w:t xml:space="preserve"> nel caso </w:t>
      </w:r>
      <w:r w:rsidR="00A1292C" w:rsidRPr="006D67E0">
        <w:rPr>
          <w:rFonts w:ascii="Garamond" w:hAnsi="Garamond"/>
          <w:bCs/>
        </w:rPr>
        <w:t>dell’</w:t>
      </w:r>
      <w:r w:rsidR="00E641C8" w:rsidRPr="006D67E0">
        <w:rPr>
          <w:rFonts w:ascii="Garamond" w:hAnsi="Garamond"/>
          <w:bCs/>
        </w:rPr>
        <w:t xml:space="preserve">avvalimento </w:t>
      </w:r>
      <w:r w:rsidR="00A1292C" w:rsidRPr="006D67E0">
        <w:rPr>
          <w:rFonts w:ascii="Garamond" w:hAnsi="Garamond"/>
          <w:bCs/>
        </w:rPr>
        <w:t>di garanzia</w:t>
      </w:r>
      <w:r w:rsidR="00E641C8" w:rsidRPr="006D67E0">
        <w:rPr>
          <w:rFonts w:ascii="Garamond" w:hAnsi="Garamond"/>
          <w:bCs/>
        </w:rPr>
        <w:t xml:space="preserve"> </w:t>
      </w:r>
      <w:r w:rsidR="00A1292C" w:rsidRPr="006D67E0">
        <w:rPr>
          <w:rFonts w:ascii="Garamond" w:hAnsi="Garamond"/>
          <w:bCs/>
        </w:rPr>
        <w:t>è necessario che emerga c</w:t>
      </w:r>
      <w:r w:rsidR="00E641C8" w:rsidRPr="006D67E0">
        <w:rPr>
          <w:rFonts w:ascii="Garamond" w:hAnsi="Garamond"/>
          <w:bCs/>
        </w:rPr>
        <w:t>on certezza, in modo circostanziato, l’impegno contrattuale</w:t>
      </w:r>
      <w:r w:rsidR="00BA04C2" w:rsidRPr="006D67E0">
        <w:rPr>
          <w:rFonts w:ascii="Garamond" w:hAnsi="Garamond"/>
          <w:bCs/>
        </w:rPr>
        <w:t xml:space="preserve"> dell’ausiliaria</w:t>
      </w:r>
      <w:r w:rsidR="00E641C8" w:rsidRPr="006D67E0">
        <w:rPr>
          <w:rFonts w:ascii="Garamond" w:hAnsi="Garamond"/>
          <w:bCs/>
        </w:rPr>
        <w:t xml:space="preserve"> a prestare e mettere a </w:t>
      </w:r>
      <w:r w:rsidR="00BA04C2" w:rsidRPr="006D67E0">
        <w:rPr>
          <w:rFonts w:ascii="Garamond" w:hAnsi="Garamond"/>
          <w:bCs/>
        </w:rPr>
        <w:t>disposizione dell’ausiliata la sua c</w:t>
      </w:r>
      <w:r w:rsidR="00E641C8" w:rsidRPr="006D67E0">
        <w:rPr>
          <w:rFonts w:ascii="Garamond" w:hAnsi="Garamond"/>
          <w:bCs/>
        </w:rPr>
        <w:t>omplessiva solidità finanziaria e il</w:t>
      </w:r>
      <w:r w:rsidR="00BA04C2" w:rsidRPr="006D67E0">
        <w:rPr>
          <w:rFonts w:ascii="Garamond" w:hAnsi="Garamond"/>
          <w:bCs/>
        </w:rPr>
        <w:t xml:space="preserve"> suo</w:t>
      </w:r>
      <w:r w:rsidR="00E641C8" w:rsidRPr="006D67E0">
        <w:rPr>
          <w:rFonts w:ascii="Garamond" w:hAnsi="Garamond"/>
          <w:bCs/>
        </w:rPr>
        <w:t xml:space="preserve"> patrimonio esperienziale, così garantendo affidabilità e un concreto supplemento di responsabilità.</w:t>
      </w:r>
    </w:p>
    <w:p w14:paraId="4596B70D" w14:textId="77777777" w:rsidR="0080363C" w:rsidRDefault="0080363C" w:rsidP="006D67E0">
      <w:pPr>
        <w:spacing w:line="276" w:lineRule="auto"/>
        <w:ind w:firstLine="284"/>
        <w:jc w:val="both"/>
        <w:rPr>
          <w:rFonts w:ascii="Garamond" w:hAnsi="Garamond"/>
          <w:bCs/>
        </w:rPr>
      </w:pPr>
    </w:p>
    <w:p w14:paraId="7F56A9FB" w14:textId="77777777" w:rsidR="00DC4674" w:rsidRPr="00DC4674" w:rsidRDefault="00DC4674" w:rsidP="006E7433">
      <w:pPr>
        <w:spacing w:line="276" w:lineRule="auto"/>
        <w:jc w:val="both"/>
        <w:rPr>
          <w:rFonts w:ascii="Garamond" w:hAnsi="Garamond"/>
          <w:b/>
          <w:bCs/>
          <w:u w:val="single"/>
        </w:rPr>
      </w:pPr>
    </w:p>
    <w:p w14:paraId="20449731" w14:textId="7DCA335B" w:rsidR="00DC4674" w:rsidRPr="00743D2F" w:rsidRDefault="00DC4674" w:rsidP="00743D2F">
      <w:pPr>
        <w:pStyle w:val="Titolo1"/>
      </w:pPr>
      <w:bookmarkStart w:id="3" w:name="_Toc35453353"/>
      <w:bookmarkStart w:id="4" w:name="_Toc38992720"/>
      <w:r w:rsidRPr="00743D2F">
        <w:t>Il sindacato di merito sull’adeguatezza dei requisiti prestati</w:t>
      </w:r>
      <w:bookmarkEnd w:id="3"/>
      <w:bookmarkEnd w:id="4"/>
    </w:p>
    <w:p w14:paraId="3D7CFA5B" w14:textId="203613EE" w:rsidR="00050B3D" w:rsidRPr="006D67E0" w:rsidRDefault="00BF74F4" w:rsidP="00BF74F4">
      <w:pPr>
        <w:spacing w:line="276" w:lineRule="auto"/>
        <w:jc w:val="both"/>
        <w:rPr>
          <w:rFonts w:ascii="Garamond" w:hAnsi="Garamond"/>
          <w:bCs/>
        </w:rPr>
      </w:pPr>
      <w:r>
        <w:rPr>
          <w:rFonts w:ascii="Garamond" w:hAnsi="Garamond"/>
          <w:bCs/>
        </w:rPr>
        <w:lastRenderedPageBreak/>
        <w:t xml:space="preserve">     A</w:t>
      </w:r>
      <w:r w:rsidR="00FE76A6">
        <w:rPr>
          <w:rFonts w:ascii="Garamond" w:hAnsi="Garamond"/>
          <w:bCs/>
        </w:rPr>
        <w:t>lcune</w:t>
      </w:r>
      <w:r w:rsidR="00BA04C2" w:rsidRPr="006D67E0">
        <w:rPr>
          <w:rFonts w:ascii="Garamond" w:hAnsi="Garamond"/>
          <w:bCs/>
        </w:rPr>
        <w:t xml:space="preserve"> pronunce giurisprudenziali</w:t>
      </w:r>
      <w:r w:rsidR="00A92997" w:rsidRPr="006D67E0">
        <w:rPr>
          <w:rFonts w:ascii="Garamond" w:hAnsi="Garamond"/>
          <w:bCs/>
        </w:rPr>
        <w:t xml:space="preserve"> </w:t>
      </w:r>
      <w:r w:rsidR="00D114E2">
        <w:rPr>
          <w:rFonts w:ascii="Garamond" w:hAnsi="Garamond"/>
          <w:bCs/>
        </w:rPr>
        <w:t>si spingono</w:t>
      </w:r>
      <w:r w:rsidR="00A92997" w:rsidRPr="006D67E0">
        <w:rPr>
          <w:rFonts w:ascii="Garamond" w:hAnsi="Garamond"/>
          <w:bCs/>
        </w:rPr>
        <w:t xml:space="preserve"> a</w:t>
      </w:r>
      <w:r w:rsidR="00252EBD" w:rsidRPr="006D67E0">
        <w:rPr>
          <w:rFonts w:ascii="Garamond" w:hAnsi="Garamond"/>
          <w:bCs/>
        </w:rPr>
        <w:t xml:space="preserve"> sindacare nel merito</w:t>
      </w:r>
      <w:r w:rsidR="00AE56D6" w:rsidRPr="006D67E0">
        <w:rPr>
          <w:rFonts w:ascii="Garamond" w:hAnsi="Garamond"/>
          <w:bCs/>
        </w:rPr>
        <w:t xml:space="preserve"> l’adeguatezza in concreto dei requisiti prestati.</w:t>
      </w:r>
      <w:r w:rsidR="00050B3D" w:rsidRPr="006D67E0">
        <w:rPr>
          <w:rFonts w:ascii="Garamond" w:hAnsi="Garamond"/>
          <w:bCs/>
        </w:rPr>
        <w:t xml:space="preserve"> </w:t>
      </w:r>
    </w:p>
    <w:p w14:paraId="5D2712DA" w14:textId="7FC45532" w:rsidR="0072504E" w:rsidRPr="006D67E0" w:rsidRDefault="00486312" w:rsidP="002F78C1">
      <w:pPr>
        <w:spacing w:line="276" w:lineRule="auto"/>
        <w:ind w:firstLine="284"/>
        <w:jc w:val="both"/>
        <w:rPr>
          <w:rFonts w:ascii="Garamond" w:hAnsi="Garamond"/>
          <w:bCs/>
        </w:rPr>
      </w:pPr>
      <w:r>
        <w:rPr>
          <w:rFonts w:ascii="Garamond" w:hAnsi="Garamond"/>
          <w:bCs/>
        </w:rPr>
        <w:t>I</w:t>
      </w:r>
      <w:r w:rsidR="00D03899" w:rsidRPr="006D67E0">
        <w:rPr>
          <w:rFonts w:ascii="Garamond" w:hAnsi="Garamond"/>
          <w:bCs/>
        </w:rPr>
        <w:t>n questa direzione</w:t>
      </w:r>
      <w:r w:rsidR="00231F48" w:rsidRPr="006D67E0">
        <w:rPr>
          <w:rFonts w:ascii="Garamond" w:hAnsi="Garamond"/>
          <w:bCs/>
        </w:rPr>
        <w:t xml:space="preserve"> è</w:t>
      </w:r>
      <w:r w:rsidR="00D03899" w:rsidRPr="006D67E0">
        <w:rPr>
          <w:rFonts w:ascii="Garamond" w:hAnsi="Garamond"/>
          <w:bCs/>
        </w:rPr>
        <w:t xml:space="preserve"> </w:t>
      </w:r>
      <w:r w:rsidR="00FE76A6">
        <w:rPr>
          <w:rFonts w:ascii="Garamond" w:hAnsi="Garamond"/>
          <w:bCs/>
        </w:rPr>
        <w:t>la</w:t>
      </w:r>
      <w:r>
        <w:rPr>
          <w:rFonts w:ascii="Garamond" w:hAnsi="Garamond"/>
          <w:bCs/>
        </w:rPr>
        <w:t xml:space="preserve"> sentenza del Consiglio di Stato</w:t>
      </w:r>
      <w:r w:rsidR="007F7A68">
        <w:rPr>
          <w:rFonts w:ascii="Garamond" w:hAnsi="Garamond"/>
          <w:bCs/>
        </w:rPr>
        <w:t>, Sez</w:t>
      </w:r>
      <w:r w:rsidR="00961B0C">
        <w:rPr>
          <w:rFonts w:ascii="Garamond" w:hAnsi="Garamond"/>
          <w:bCs/>
        </w:rPr>
        <w:t>.</w:t>
      </w:r>
      <w:r w:rsidR="007F7A68">
        <w:rPr>
          <w:rFonts w:ascii="Garamond" w:hAnsi="Garamond"/>
          <w:bCs/>
        </w:rPr>
        <w:t xml:space="preserve"> V, </w:t>
      </w:r>
      <w:r>
        <w:rPr>
          <w:rFonts w:ascii="Garamond" w:hAnsi="Garamond"/>
          <w:bCs/>
        </w:rPr>
        <w:t>23 febbraio 2017</w:t>
      </w:r>
      <w:r w:rsidR="007F7A68">
        <w:rPr>
          <w:rFonts w:ascii="Garamond" w:hAnsi="Garamond"/>
          <w:bCs/>
        </w:rPr>
        <w:t>,</w:t>
      </w:r>
      <w:r w:rsidR="00FE76A6">
        <w:rPr>
          <w:rFonts w:ascii="Garamond" w:hAnsi="Garamond"/>
          <w:bCs/>
        </w:rPr>
        <w:t xml:space="preserve"> n. 852</w:t>
      </w:r>
      <w:r w:rsidR="00D03899" w:rsidRPr="006D67E0">
        <w:rPr>
          <w:rFonts w:ascii="Garamond" w:hAnsi="Garamond"/>
          <w:bCs/>
        </w:rPr>
        <w:t xml:space="preserve"> </w:t>
      </w:r>
      <w:r>
        <w:rPr>
          <w:rFonts w:ascii="Garamond" w:hAnsi="Garamond"/>
          <w:bCs/>
        </w:rPr>
        <w:t xml:space="preserve">in cui </w:t>
      </w:r>
      <w:r w:rsidR="00ED459B" w:rsidRPr="006D67E0">
        <w:rPr>
          <w:rFonts w:ascii="Garamond" w:hAnsi="Garamond"/>
        </w:rPr>
        <w:t xml:space="preserve">il contratto di avvalimento prodotto in gara dall’operatore economico </w:t>
      </w:r>
      <w:r w:rsidR="002B020F">
        <w:rPr>
          <w:rFonts w:ascii="Garamond" w:hAnsi="Garamond"/>
        </w:rPr>
        <w:t>–</w:t>
      </w:r>
      <w:r w:rsidR="00A94E14">
        <w:rPr>
          <w:rFonts w:ascii="Garamond" w:hAnsi="Garamond"/>
        </w:rPr>
        <w:t xml:space="preserve"> </w:t>
      </w:r>
      <w:r w:rsidR="00ED459B" w:rsidRPr="006D67E0">
        <w:rPr>
          <w:rFonts w:ascii="Garamond" w:hAnsi="Garamond"/>
        </w:rPr>
        <w:t>benché sufficientemente determinato nell’oggetto</w:t>
      </w:r>
      <w:r w:rsidR="00A94E14">
        <w:rPr>
          <w:rFonts w:ascii="Garamond" w:hAnsi="Garamond"/>
        </w:rPr>
        <w:t xml:space="preserve"> –</w:t>
      </w:r>
      <w:r w:rsidR="00ED459B" w:rsidRPr="006D67E0">
        <w:rPr>
          <w:rFonts w:ascii="Garamond" w:hAnsi="Garamond"/>
        </w:rPr>
        <w:t xml:space="preserve"> </w:t>
      </w:r>
      <w:r w:rsidR="00A94E14">
        <w:rPr>
          <w:rFonts w:ascii="Garamond" w:hAnsi="Garamond"/>
        </w:rPr>
        <w:t xml:space="preserve">è stato ritenuto </w:t>
      </w:r>
      <w:r w:rsidR="00FE76A6">
        <w:rPr>
          <w:rFonts w:ascii="Garamond" w:hAnsi="Garamond"/>
        </w:rPr>
        <w:t>“</w:t>
      </w:r>
      <w:r w:rsidR="00ED459B" w:rsidRPr="00FE76A6">
        <w:rPr>
          <w:rFonts w:ascii="Garamond" w:hAnsi="Garamond"/>
          <w:i/>
        </w:rPr>
        <w:t>inidoneo</w:t>
      </w:r>
      <w:r w:rsidR="00FE76A6">
        <w:rPr>
          <w:rFonts w:ascii="Garamond" w:hAnsi="Garamond"/>
        </w:rPr>
        <w:t>”</w:t>
      </w:r>
      <w:r w:rsidR="00ED459B" w:rsidRPr="006D67E0">
        <w:rPr>
          <w:rFonts w:ascii="Garamond" w:hAnsi="Garamond"/>
        </w:rPr>
        <w:t xml:space="preserve"> all’assolvimento dello scopo</w:t>
      </w:r>
      <w:r w:rsidR="00D03899" w:rsidRPr="006D67E0">
        <w:rPr>
          <w:rFonts w:ascii="Garamond" w:hAnsi="Garamond"/>
        </w:rPr>
        <w:t xml:space="preserve"> a cui l’avvalimento è preposto</w:t>
      </w:r>
      <w:r w:rsidR="00FA11CE" w:rsidRPr="006D67E0">
        <w:rPr>
          <w:rFonts w:ascii="Garamond" w:hAnsi="Garamond"/>
        </w:rPr>
        <w:t xml:space="preserve">, in quanto </w:t>
      </w:r>
      <w:r w:rsidR="00FA11CE" w:rsidRPr="006D67E0">
        <w:rPr>
          <w:rFonts w:ascii="Garamond" w:hAnsi="Garamond"/>
          <w:bCs/>
        </w:rPr>
        <w:t>le risorse prestate risultavano</w:t>
      </w:r>
      <w:r w:rsidR="00ED459B" w:rsidRPr="006D67E0">
        <w:rPr>
          <w:rFonts w:ascii="Garamond" w:hAnsi="Garamond"/>
          <w:bCs/>
        </w:rPr>
        <w:t xml:space="preserve"> del tutto </w:t>
      </w:r>
      <w:r w:rsidR="00565B49" w:rsidRPr="006D67E0">
        <w:rPr>
          <w:rFonts w:ascii="Garamond" w:hAnsi="Garamond"/>
          <w:bCs/>
        </w:rPr>
        <w:t>inadeguate</w:t>
      </w:r>
      <w:r w:rsidR="00231F48" w:rsidRPr="006D67E0">
        <w:rPr>
          <w:rFonts w:ascii="Garamond" w:hAnsi="Garamond"/>
          <w:bCs/>
        </w:rPr>
        <w:t xml:space="preserve"> e insufficienti</w:t>
      </w:r>
      <w:r w:rsidR="00FE76A6">
        <w:rPr>
          <w:rFonts w:ascii="Garamond" w:hAnsi="Garamond"/>
          <w:bCs/>
        </w:rPr>
        <w:t>.</w:t>
      </w:r>
      <w:r w:rsidR="00ED459B" w:rsidRPr="006D67E0">
        <w:rPr>
          <w:rFonts w:ascii="Garamond" w:hAnsi="Garamond"/>
          <w:bCs/>
        </w:rPr>
        <w:t xml:space="preserve"> </w:t>
      </w:r>
      <w:r w:rsidR="002F78C1">
        <w:rPr>
          <w:rFonts w:ascii="Garamond" w:hAnsi="Garamond"/>
          <w:bCs/>
        </w:rPr>
        <w:t>In particolare, secondo</w:t>
      </w:r>
      <w:r w:rsidR="0026692B">
        <w:rPr>
          <w:rFonts w:ascii="Garamond" w:hAnsi="Garamond"/>
          <w:bCs/>
        </w:rPr>
        <w:t xml:space="preserve"> il Colleg</w:t>
      </w:r>
      <w:r w:rsidR="002F78C1">
        <w:rPr>
          <w:rFonts w:ascii="Garamond" w:hAnsi="Garamond"/>
          <w:bCs/>
        </w:rPr>
        <w:t>io</w:t>
      </w:r>
      <w:r w:rsidR="006F0609">
        <w:rPr>
          <w:rFonts w:ascii="Garamond" w:hAnsi="Garamond"/>
          <w:bCs/>
        </w:rPr>
        <w:t>,</w:t>
      </w:r>
      <w:r w:rsidR="002F78C1">
        <w:rPr>
          <w:rFonts w:ascii="Garamond" w:hAnsi="Garamond"/>
          <w:bCs/>
        </w:rPr>
        <w:t xml:space="preserve"> quando </w:t>
      </w:r>
      <w:r w:rsidR="0026692B" w:rsidRPr="0072504E">
        <w:rPr>
          <w:rFonts w:ascii="Garamond" w:hAnsi="Garamond"/>
          <w:bCs/>
        </w:rPr>
        <w:t xml:space="preserve">oggetto dell’avvalimento è un’attestazione SOA di cui </w:t>
      </w:r>
      <w:r w:rsidR="002F78C1">
        <w:rPr>
          <w:rFonts w:ascii="Garamond" w:hAnsi="Garamond"/>
          <w:bCs/>
        </w:rPr>
        <w:t>il concorrente è privo</w:t>
      </w:r>
      <w:r w:rsidR="0026692B" w:rsidRPr="0072504E">
        <w:rPr>
          <w:rFonts w:ascii="Garamond" w:hAnsi="Garamond"/>
          <w:bCs/>
        </w:rPr>
        <w:t xml:space="preserve">, ai fini dell’idoneità del contratto, </w:t>
      </w:r>
      <w:r w:rsidR="002F78C1">
        <w:rPr>
          <w:rFonts w:ascii="Garamond" w:hAnsi="Garamond"/>
          <w:bCs/>
        </w:rPr>
        <w:t xml:space="preserve">occorre </w:t>
      </w:r>
      <w:r w:rsidR="0026692B" w:rsidRPr="0072504E">
        <w:rPr>
          <w:rFonts w:ascii="Garamond" w:hAnsi="Garamond"/>
          <w:bCs/>
        </w:rPr>
        <w:t>che l’ausiliaria metta a disposizione dell’ausiliat</w:t>
      </w:r>
      <w:r w:rsidR="00F8480B">
        <w:rPr>
          <w:rFonts w:ascii="Garamond" w:hAnsi="Garamond"/>
          <w:bCs/>
        </w:rPr>
        <w:t xml:space="preserve">a </w:t>
      </w:r>
      <w:r w:rsidR="0026692B" w:rsidRPr="0072504E">
        <w:rPr>
          <w:rFonts w:ascii="Garamond" w:hAnsi="Garamond"/>
          <w:bCs/>
        </w:rPr>
        <w:t>l’in</w:t>
      </w:r>
      <w:r w:rsidR="002F78C1">
        <w:rPr>
          <w:rFonts w:ascii="Garamond" w:hAnsi="Garamond"/>
          <w:bCs/>
        </w:rPr>
        <w:t>tera organizzazione aziendale</w:t>
      </w:r>
      <w:r w:rsidR="003E4100">
        <w:rPr>
          <w:rFonts w:ascii="Garamond" w:hAnsi="Garamond"/>
          <w:bCs/>
        </w:rPr>
        <w:t xml:space="preserve">, </w:t>
      </w:r>
      <w:r w:rsidR="0026692B" w:rsidRPr="0072504E">
        <w:rPr>
          <w:rFonts w:ascii="Garamond" w:hAnsi="Garamond"/>
          <w:bCs/>
        </w:rPr>
        <w:t>comprensiva di tutti i fattori della p</w:t>
      </w:r>
      <w:r w:rsidR="002F78C1">
        <w:rPr>
          <w:rFonts w:ascii="Garamond" w:hAnsi="Garamond"/>
          <w:bCs/>
        </w:rPr>
        <w:t>roduzione e di tutte le risorse</w:t>
      </w:r>
      <w:r w:rsidR="0026692B" w:rsidRPr="0072504E">
        <w:rPr>
          <w:rFonts w:ascii="Garamond" w:hAnsi="Garamond"/>
          <w:bCs/>
        </w:rPr>
        <w:t xml:space="preserve"> che, complessivamente considerat</w:t>
      </w:r>
      <w:r w:rsidR="002F78C1">
        <w:rPr>
          <w:rFonts w:ascii="Garamond" w:hAnsi="Garamond"/>
          <w:bCs/>
        </w:rPr>
        <w:t>e</w:t>
      </w:r>
      <w:r w:rsidR="0026692B" w:rsidRPr="0072504E">
        <w:rPr>
          <w:rFonts w:ascii="Garamond" w:hAnsi="Garamond"/>
          <w:bCs/>
        </w:rPr>
        <w:t>, le ha</w:t>
      </w:r>
      <w:r w:rsidR="002F78C1">
        <w:rPr>
          <w:rFonts w:ascii="Garamond" w:hAnsi="Garamond"/>
          <w:bCs/>
        </w:rPr>
        <w:t>nno</w:t>
      </w:r>
      <w:r w:rsidR="0026692B" w:rsidRPr="0072504E">
        <w:rPr>
          <w:rFonts w:ascii="Garamond" w:hAnsi="Garamond"/>
          <w:bCs/>
        </w:rPr>
        <w:t xml:space="preserve"> consentito di acquisire l’attestazione.</w:t>
      </w:r>
      <w:r w:rsidR="002F78C1">
        <w:rPr>
          <w:rFonts w:ascii="Garamond" w:hAnsi="Garamond"/>
          <w:bCs/>
        </w:rPr>
        <w:t xml:space="preserve"> Poiché dunque, nel caso di specie, l’avvalimento si era concretizzato soltanto nel prestito</w:t>
      </w:r>
      <w:r w:rsidR="002F78C1" w:rsidRPr="002F78C1">
        <w:rPr>
          <w:rFonts w:ascii="Garamond" w:hAnsi="Garamond"/>
          <w:bCs/>
        </w:rPr>
        <w:t xml:space="preserve"> </w:t>
      </w:r>
      <w:r w:rsidR="002F78C1" w:rsidRPr="0026692B">
        <w:rPr>
          <w:rFonts w:ascii="Garamond" w:hAnsi="Garamond"/>
          <w:bCs/>
        </w:rPr>
        <w:t>di alcuni limitati beni, di una</w:t>
      </w:r>
      <w:r w:rsidR="002F78C1">
        <w:rPr>
          <w:rFonts w:ascii="Garamond" w:hAnsi="Garamond"/>
          <w:bCs/>
        </w:rPr>
        <w:t xml:space="preserve"> non rilevante somma di denaro rispetto </w:t>
      </w:r>
      <w:r w:rsidR="002F78C1" w:rsidRPr="0026692B">
        <w:rPr>
          <w:rFonts w:ascii="Garamond" w:hAnsi="Garamond"/>
          <w:bCs/>
        </w:rPr>
        <w:t>all’importo a base d’asta e di un solo lavoratore</w:t>
      </w:r>
      <w:r w:rsidR="002F78C1">
        <w:rPr>
          <w:rFonts w:ascii="Garamond" w:hAnsi="Garamond"/>
          <w:bCs/>
        </w:rPr>
        <w:t xml:space="preserve"> (e non anche</w:t>
      </w:r>
      <w:r w:rsidR="002F78C1" w:rsidRPr="002F78C1">
        <w:rPr>
          <w:rFonts w:ascii="Garamond" w:hAnsi="Garamond"/>
          <w:bCs/>
        </w:rPr>
        <w:t xml:space="preserve"> </w:t>
      </w:r>
      <w:r w:rsidR="002F78C1" w:rsidRPr="006D67E0">
        <w:rPr>
          <w:rFonts w:ascii="Garamond" w:hAnsi="Garamond"/>
          <w:bCs/>
        </w:rPr>
        <w:t>dell’intero complesso aziendale dell’ausiliaria né nella messa a disposizione della certificazione di qualità</w:t>
      </w:r>
      <w:r w:rsidR="002F78C1">
        <w:rPr>
          <w:rFonts w:ascii="Garamond" w:hAnsi="Garamond"/>
          <w:bCs/>
        </w:rPr>
        <w:t xml:space="preserve"> di quest’ultima), il contratto è stata giudicato non idoneo allo scopo</w:t>
      </w:r>
      <w:r w:rsidR="002F78C1" w:rsidRPr="006D67E0">
        <w:rPr>
          <w:rStyle w:val="Rimandonotaapidipagina"/>
          <w:rFonts w:ascii="Garamond" w:hAnsi="Garamond"/>
          <w:bCs/>
          <w:sz w:val="24"/>
        </w:rPr>
        <w:footnoteReference w:id="22"/>
      </w:r>
      <w:r w:rsidR="002F78C1">
        <w:rPr>
          <w:rFonts w:ascii="Garamond" w:hAnsi="Garamond"/>
          <w:bCs/>
        </w:rPr>
        <w:t>.</w:t>
      </w:r>
    </w:p>
    <w:p w14:paraId="184C6DC4" w14:textId="0F84D549" w:rsidR="00D0283B" w:rsidRPr="00460B5C" w:rsidRDefault="00CB0F31" w:rsidP="00D0283B">
      <w:pPr>
        <w:spacing w:line="276" w:lineRule="auto"/>
        <w:ind w:firstLine="284"/>
        <w:jc w:val="both"/>
        <w:rPr>
          <w:rFonts w:ascii="Garamond" w:hAnsi="Garamond"/>
          <w:bCs/>
        </w:rPr>
      </w:pPr>
      <w:r w:rsidRPr="00460B5C">
        <w:rPr>
          <w:rFonts w:ascii="Garamond" w:hAnsi="Garamond"/>
          <w:bCs/>
        </w:rPr>
        <w:t>Almeno</w:t>
      </w:r>
      <w:r w:rsidR="005126EB" w:rsidRPr="00460B5C">
        <w:rPr>
          <w:rFonts w:ascii="Garamond" w:hAnsi="Garamond"/>
          <w:bCs/>
        </w:rPr>
        <w:t xml:space="preserve"> un’</w:t>
      </w:r>
      <w:r w:rsidR="008E23C0" w:rsidRPr="00460B5C">
        <w:rPr>
          <w:rFonts w:ascii="Garamond" w:hAnsi="Garamond"/>
          <w:bCs/>
        </w:rPr>
        <w:t xml:space="preserve">altra </w:t>
      </w:r>
      <w:r w:rsidR="00BF74F4">
        <w:rPr>
          <w:rFonts w:ascii="Garamond" w:hAnsi="Garamond"/>
          <w:bCs/>
        </w:rPr>
        <w:t>pronuncia</w:t>
      </w:r>
      <w:r w:rsidR="008E23C0" w:rsidRPr="00460B5C">
        <w:rPr>
          <w:rFonts w:ascii="Garamond" w:hAnsi="Garamond"/>
          <w:bCs/>
        </w:rPr>
        <w:t xml:space="preserve"> </w:t>
      </w:r>
      <w:r w:rsidRPr="00460B5C">
        <w:rPr>
          <w:rFonts w:ascii="Garamond" w:hAnsi="Garamond"/>
          <w:bCs/>
        </w:rPr>
        <w:t xml:space="preserve">entra parimenti nel merito dell’idoneità delle risorse, </w:t>
      </w:r>
      <w:r w:rsidR="00D0283B" w:rsidRPr="00460B5C">
        <w:rPr>
          <w:rFonts w:ascii="Garamond" w:hAnsi="Garamond"/>
          <w:bCs/>
        </w:rPr>
        <w:t>se</w:t>
      </w:r>
      <w:r w:rsidRPr="00460B5C">
        <w:rPr>
          <w:rFonts w:ascii="Garamond" w:hAnsi="Garamond"/>
          <w:bCs/>
        </w:rPr>
        <w:t xml:space="preserve">bbene </w:t>
      </w:r>
      <w:r w:rsidR="008E23C0" w:rsidRPr="00460B5C">
        <w:rPr>
          <w:rFonts w:ascii="Garamond" w:hAnsi="Garamond"/>
          <w:bCs/>
        </w:rPr>
        <w:t>con precipuo riferimento a</w:t>
      </w:r>
      <w:r w:rsidR="00B80CF7" w:rsidRPr="00460B5C">
        <w:rPr>
          <w:rFonts w:ascii="Garamond" w:hAnsi="Garamond"/>
          <w:bCs/>
        </w:rPr>
        <w:t xml:space="preserve">d un </w:t>
      </w:r>
      <w:r w:rsidR="008E23C0" w:rsidRPr="00460B5C">
        <w:rPr>
          <w:rFonts w:ascii="Garamond" w:hAnsi="Garamond"/>
          <w:bCs/>
        </w:rPr>
        <w:t xml:space="preserve">avvalimento </w:t>
      </w:r>
      <w:r w:rsidR="000606C1" w:rsidRPr="00460B5C">
        <w:rPr>
          <w:rFonts w:ascii="Garamond" w:hAnsi="Garamond"/>
          <w:bCs/>
        </w:rPr>
        <w:t>cd. frazionato, in c</w:t>
      </w:r>
      <w:r w:rsidR="00B80CF7" w:rsidRPr="00460B5C">
        <w:rPr>
          <w:rFonts w:ascii="Garamond" w:hAnsi="Garamond"/>
          <w:bCs/>
        </w:rPr>
        <w:t>ui quindi una</w:t>
      </w:r>
      <w:r w:rsidR="008E23C0" w:rsidRPr="00460B5C">
        <w:rPr>
          <w:rFonts w:ascii="Garamond" w:hAnsi="Garamond"/>
          <w:bCs/>
        </w:rPr>
        <w:t xml:space="preserve"> parte della classifica di importo di una categoria </w:t>
      </w:r>
      <w:r w:rsidR="005126EB" w:rsidRPr="00460B5C">
        <w:rPr>
          <w:rFonts w:ascii="Garamond" w:hAnsi="Garamond"/>
          <w:bCs/>
        </w:rPr>
        <w:t>SOA</w:t>
      </w:r>
      <w:r w:rsidR="00B80CF7" w:rsidRPr="00460B5C">
        <w:rPr>
          <w:rFonts w:ascii="Garamond" w:hAnsi="Garamond"/>
          <w:bCs/>
        </w:rPr>
        <w:t xml:space="preserve"> era già in possesso del concorrente: fattispecie che, evidentemente, alla luce della commistione di risor</w:t>
      </w:r>
      <w:r w:rsidR="00FA4C2A">
        <w:rPr>
          <w:rFonts w:ascii="Garamond" w:hAnsi="Garamond"/>
          <w:bCs/>
        </w:rPr>
        <w:t>se di concorrente ed ausiliaria</w:t>
      </w:r>
      <w:r w:rsidR="00B80CF7" w:rsidRPr="00460B5C">
        <w:rPr>
          <w:rFonts w:ascii="Garamond" w:hAnsi="Garamond"/>
          <w:bCs/>
        </w:rPr>
        <w:t>, è di più complessa interpretazione</w:t>
      </w:r>
      <w:r w:rsidR="00D0283B" w:rsidRPr="00460B5C">
        <w:rPr>
          <w:rFonts w:ascii="Garamond" w:hAnsi="Garamond"/>
          <w:bCs/>
        </w:rPr>
        <w:t>.</w:t>
      </w:r>
    </w:p>
    <w:p w14:paraId="0C7CB0E2" w14:textId="10EFE64B" w:rsidR="00534E53" w:rsidRPr="00460B5C" w:rsidRDefault="005126EB" w:rsidP="00D0283B">
      <w:pPr>
        <w:spacing w:line="276" w:lineRule="auto"/>
        <w:ind w:firstLine="284"/>
        <w:jc w:val="both"/>
        <w:rPr>
          <w:rFonts w:ascii="Garamond" w:hAnsi="Garamond"/>
          <w:bCs/>
        </w:rPr>
      </w:pPr>
      <w:r w:rsidRPr="00460B5C">
        <w:rPr>
          <w:rFonts w:ascii="Garamond" w:hAnsi="Garamond"/>
          <w:bCs/>
        </w:rPr>
        <w:t xml:space="preserve">Si tratta della sentenza del Consiglio di Stato </w:t>
      </w:r>
      <w:r w:rsidR="00D0283B" w:rsidRPr="00460B5C">
        <w:rPr>
          <w:rFonts w:ascii="Garamond" w:hAnsi="Garamond"/>
          <w:bCs/>
        </w:rPr>
        <w:t xml:space="preserve"> 14 giugno 2019</w:t>
      </w:r>
      <w:r w:rsidR="007F7A68">
        <w:rPr>
          <w:rFonts w:ascii="Garamond" w:hAnsi="Garamond"/>
          <w:bCs/>
        </w:rPr>
        <w:t>, n. 4024</w:t>
      </w:r>
      <w:r w:rsidR="00D0283B" w:rsidRPr="00460B5C">
        <w:rPr>
          <w:rFonts w:ascii="Garamond" w:hAnsi="Garamond"/>
          <w:bCs/>
        </w:rPr>
        <w:t xml:space="preserve"> che ha riformato la pronuncia del TAR Lombardia, sede di Brescia, n. 1195/2018</w:t>
      </w:r>
      <w:r w:rsidR="00926312" w:rsidRPr="00460B5C">
        <w:rPr>
          <w:rStyle w:val="Rimandonotaapidipagina"/>
          <w:rFonts w:ascii="Garamond" w:hAnsi="Garamond"/>
          <w:bCs/>
          <w:sz w:val="24"/>
        </w:rPr>
        <w:footnoteReference w:id="23"/>
      </w:r>
      <w:r w:rsidR="00D0283B" w:rsidRPr="00460B5C">
        <w:rPr>
          <w:rFonts w:ascii="Garamond" w:hAnsi="Garamond"/>
          <w:bCs/>
        </w:rPr>
        <w:t xml:space="preserve">. </w:t>
      </w:r>
      <w:r w:rsidR="009026B2" w:rsidRPr="00460B5C">
        <w:rPr>
          <w:rFonts w:ascii="Garamond" w:hAnsi="Garamond"/>
          <w:bCs/>
        </w:rPr>
        <w:t xml:space="preserve">In particolare, se in primo grado il </w:t>
      </w:r>
      <w:r w:rsidR="00534E53" w:rsidRPr="00460B5C">
        <w:rPr>
          <w:rFonts w:ascii="Garamond" w:hAnsi="Garamond"/>
          <w:bCs/>
        </w:rPr>
        <w:t>Tribunale</w:t>
      </w:r>
      <w:r w:rsidR="009026B2" w:rsidRPr="00460B5C">
        <w:rPr>
          <w:rFonts w:ascii="Garamond" w:hAnsi="Garamond"/>
          <w:bCs/>
        </w:rPr>
        <w:t xml:space="preserve"> adito aveva giudicato l</w:t>
      </w:r>
      <w:r w:rsidR="00B80CF7" w:rsidRPr="00460B5C">
        <w:rPr>
          <w:rFonts w:ascii="Garamond" w:hAnsi="Garamond"/>
          <w:bCs/>
        </w:rPr>
        <w:t>e risorse</w:t>
      </w:r>
      <w:r w:rsidR="009026B2" w:rsidRPr="00460B5C">
        <w:rPr>
          <w:rFonts w:ascii="Garamond" w:hAnsi="Garamond"/>
          <w:bCs/>
        </w:rPr>
        <w:t xml:space="preserve"> mess</w:t>
      </w:r>
      <w:r w:rsidR="00B80CF7" w:rsidRPr="00460B5C">
        <w:rPr>
          <w:rFonts w:ascii="Garamond" w:hAnsi="Garamond"/>
          <w:bCs/>
        </w:rPr>
        <w:t>e</w:t>
      </w:r>
      <w:r w:rsidR="009026B2" w:rsidRPr="00460B5C">
        <w:rPr>
          <w:rFonts w:ascii="Garamond" w:hAnsi="Garamond"/>
          <w:bCs/>
        </w:rPr>
        <w:t xml:space="preserve"> a disposizione insufficient</w:t>
      </w:r>
      <w:r w:rsidR="00B80CF7" w:rsidRPr="00460B5C">
        <w:rPr>
          <w:rFonts w:ascii="Garamond" w:hAnsi="Garamond"/>
          <w:bCs/>
        </w:rPr>
        <w:t>i</w:t>
      </w:r>
      <w:r w:rsidR="009026B2" w:rsidRPr="00460B5C">
        <w:rPr>
          <w:rFonts w:ascii="Garamond" w:hAnsi="Garamond"/>
          <w:bCs/>
        </w:rPr>
        <w:t xml:space="preserve"> ed inadeguat</w:t>
      </w:r>
      <w:r w:rsidR="00B80CF7" w:rsidRPr="00460B5C">
        <w:rPr>
          <w:rFonts w:ascii="Garamond" w:hAnsi="Garamond"/>
          <w:bCs/>
        </w:rPr>
        <w:t>e</w:t>
      </w:r>
      <w:r w:rsidR="00EB35A3" w:rsidRPr="00460B5C">
        <w:rPr>
          <w:rFonts w:ascii="Garamond" w:hAnsi="Garamond"/>
          <w:bCs/>
        </w:rPr>
        <w:t xml:space="preserve"> anche</w:t>
      </w:r>
      <w:r w:rsidR="009026B2" w:rsidRPr="00460B5C">
        <w:rPr>
          <w:rFonts w:ascii="Garamond" w:hAnsi="Garamond"/>
          <w:bCs/>
        </w:rPr>
        <w:t xml:space="preserve"> in termini di peso economico rispetto all’intero appalto</w:t>
      </w:r>
      <w:r w:rsidR="00926312" w:rsidRPr="00460B5C">
        <w:rPr>
          <w:rStyle w:val="Rimandonotaapidipagina"/>
          <w:bCs/>
        </w:rPr>
        <w:footnoteReference w:id="24"/>
      </w:r>
      <w:r w:rsidR="00926312">
        <w:rPr>
          <w:rFonts w:ascii="Garamond" w:hAnsi="Garamond"/>
          <w:bCs/>
        </w:rPr>
        <w:t>,</w:t>
      </w:r>
      <w:r w:rsidR="00534E53" w:rsidRPr="00460B5C">
        <w:rPr>
          <w:rFonts w:ascii="Garamond" w:hAnsi="Garamond"/>
          <w:bCs/>
        </w:rPr>
        <w:t xml:space="preserve"> i Giudici di Palazzo Spada</w:t>
      </w:r>
      <w:r w:rsidR="00D0283B" w:rsidRPr="00460B5C">
        <w:rPr>
          <w:rFonts w:ascii="Garamond" w:hAnsi="Garamond"/>
          <w:bCs/>
        </w:rPr>
        <w:t xml:space="preserve"> </w:t>
      </w:r>
      <w:r w:rsidR="00534E53" w:rsidRPr="00460B5C">
        <w:rPr>
          <w:rFonts w:ascii="Garamond" w:hAnsi="Garamond"/>
          <w:bCs/>
        </w:rPr>
        <w:t>hanno</w:t>
      </w:r>
      <w:r w:rsidR="00D0283B" w:rsidRPr="00460B5C">
        <w:rPr>
          <w:rFonts w:ascii="Garamond" w:hAnsi="Garamond"/>
          <w:bCs/>
        </w:rPr>
        <w:t xml:space="preserve"> invece</w:t>
      </w:r>
      <w:r w:rsidR="00534E53" w:rsidRPr="00460B5C">
        <w:rPr>
          <w:rFonts w:ascii="Garamond" w:hAnsi="Garamond"/>
          <w:bCs/>
        </w:rPr>
        <w:t xml:space="preserve"> ritenuto le risorse e i mezzi prestati sufficienti. Difatti, secondo quanto precisato, nei casi</w:t>
      </w:r>
      <w:r w:rsidR="00EB35A3" w:rsidRPr="00460B5C">
        <w:rPr>
          <w:rFonts w:ascii="Garamond" w:hAnsi="Garamond"/>
          <w:bCs/>
        </w:rPr>
        <w:t xml:space="preserve"> di avvalimento cd. frazionato</w:t>
      </w:r>
      <w:r w:rsidR="00534E53" w:rsidRPr="00460B5C">
        <w:rPr>
          <w:rFonts w:ascii="Garamond" w:hAnsi="Garamond"/>
          <w:bCs/>
        </w:rPr>
        <w:t xml:space="preserve">, la valutazione dell’adeguatezza delle risorse concretamente prestate deve essere </w:t>
      </w:r>
      <w:r w:rsidR="00EB35A3" w:rsidRPr="00460B5C">
        <w:rPr>
          <w:rFonts w:ascii="Garamond" w:hAnsi="Garamond"/>
          <w:bCs/>
        </w:rPr>
        <w:t>parametrata</w:t>
      </w:r>
      <w:r w:rsidR="00534E53" w:rsidRPr="00460B5C">
        <w:rPr>
          <w:rFonts w:ascii="Garamond" w:hAnsi="Garamond"/>
          <w:bCs/>
        </w:rPr>
        <w:t xml:space="preserve"> solo </w:t>
      </w:r>
      <w:r w:rsidR="00EB35A3" w:rsidRPr="00460B5C">
        <w:rPr>
          <w:rFonts w:ascii="Garamond" w:hAnsi="Garamond"/>
          <w:bCs/>
        </w:rPr>
        <w:t xml:space="preserve">rispetto </w:t>
      </w:r>
      <w:r w:rsidR="00534E53" w:rsidRPr="00460B5C">
        <w:rPr>
          <w:rFonts w:ascii="Garamond" w:hAnsi="Garamond"/>
          <w:bCs/>
        </w:rPr>
        <w:t xml:space="preserve">a quella parte di prestazione che </w:t>
      </w:r>
      <w:r w:rsidR="00927F5B" w:rsidRPr="00460B5C">
        <w:rPr>
          <w:rFonts w:ascii="Garamond" w:hAnsi="Garamond"/>
          <w:bCs/>
        </w:rPr>
        <w:t>il concorrente non sarebbe stato in</w:t>
      </w:r>
      <w:r w:rsidR="00B61BA3" w:rsidRPr="00460B5C">
        <w:rPr>
          <w:rFonts w:ascii="Garamond" w:hAnsi="Garamond"/>
          <w:bCs/>
        </w:rPr>
        <w:t xml:space="preserve"> grado di dimostrare in</w:t>
      </w:r>
      <w:r w:rsidR="00927F5B" w:rsidRPr="00460B5C">
        <w:rPr>
          <w:rFonts w:ascii="Garamond" w:hAnsi="Garamond"/>
          <w:bCs/>
        </w:rPr>
        <w:t xml:space="preserve"> proprio e per cui</w:t>
      </w:r>
      <w:r w:rsidR="00EB35A3" w:rsidRPr="00460B5C">
        <w:rPr>
          <w:rFonts w:ascii="Garamond" w:hAnsi="Garamond"/>
          <w:bCs/>
        </w:rPr>
        <w:t>,</w:t>
      </w:r>
      <w:r w:rsidR="00927F5B" w:rsidRPr="00460B5C">
        <w:rPr>
          <w:rFonts w:ascii="Garamond" w:hAnsi="Garamond"/>
          <w:bCs/>
        </w:rPr>
        <w:t xml:space="preserve"> appunto</w:t>
      </w:r>
      <w:r w:rsidR="00EB35A3" w:rsidRPr="00460B5C">
        <w:rPr>
          <w:rFonts w:ascii="Garamond" w:hAnsi="Garamond"/>
          <w:bCs/>
        </w:rPr>
        <w:t>,</w:t>
      </w:r>
      <w:r w:rsidR="00927F5B" w:rsidRPr="00460B5C">
        <w:rPr>
          <w:rFonts w:ascii="Garamond" w:hAnsi="Garamond"/>
          <w:bCs/>
        </w:rPr>
        <w:t xml:space="preserve"> ha manifestato la volontà di ricorrere all’avvalimento e non rispetto alla totalità dell’appalto</w:t>
      </w:r>
      <w:r w:rsidR="00927F5B" w:rsidRPr="00460B5C">
        <w:rPr>
          <w:rStyle w:val="Rimandonotaapidipagina"/>
          <w:rFonts w:ascii="Garamond" w:hAnsi="Garamond"/>
          <w:bCs/>
          <w:sz w:val="24"/>
        </w:rPr>
        <w:footnoteReference w:id="25"/>
      </w:r>
      <w:r w:rsidR="00927F5B" w:rsidRPr="00460B5C">
        <w:rPr>
          <w:rFonts w:ascii="Garamond" w:hAnsi="Garamond"/>
          <w:bCs/>
        </w:rPr>
        <w:t xml:space="preserve">. </w:t>
      </w:r>
    </w:p>
    <w:p w14:paraId="5A08E96C" w14:textId="46D27420" w:rsidR="000B6686" w:rsidRPr="006D67E0" w:rsidRDefault="000B6686" w:rsidP="006D67E0">
      <w:pPr>
        <w:spacing w:line="276" w:lineRule="auto"/>
        <w:ind w:firstLine="284"/>
        <w:jc w:val="both"/>
        <w:rPr>
          <w:rFonts w:ascii="Garamond" w:eastAsia="Times New Roman" w:hAnsi="Garamond"/>
          <w:color w:val="000000"/>
        </w:rPr>
      </w:pPr>
      <w:r w:rsidRPr="00460B5C">
        <w:rPr>
          <w:rFonts w:ascii="Garamond" w:hAnsi="Garamond"/>
        </w:rPr>
        <w:lastRenderedPageBreak/>
        <w:t xml:space="preserve">Queste pronunce assumono un rilievo particolarmente significativo, nella misura in cui ammettono </w:t>
      </w:r>
      <w:r w:rsidR="00231F48" w:rsidRPr="00460B5C">
        <w:rPr>
          <w:rFonts w:ascii="Garamond" w:hAnsi="Garamond"/>
        </w:rPr>
        <w:t>una</w:t>
      </w:r>
      <w:r w:rsidRPr="00460B5C">
        <w:rPr>
          <w:rFonts w:ascii="Garamond" w:hAnsi="Garamond"/>
        </w:rPr>
        <w:t xml:space="preserve"> </w:t>
      </w:r>
      <w:r w:rsidRPr="00460B5C">
        <w:rPr>
          <w:rFonts w:ascii="Garamond" w:hAnsi="Garamond"/>
          <w:bCs/>
        </w:rPr>
        <w:t>sindacabilità nel merito del</w:t>
      </w:r>
      <w:r w:rsidR="00BF74F4">
        <w:rPr>
          <w:rFonts w:ascii="Garamond" w:hAnsi="Garamond"/>
          <w:bCs/>
        </w:rPr>
        <w:t>l’adeguatezza delle risorse prestate</w:t>
      </w:r>
      <w:r w:rsidRPr="00460B5C">
        <w:rPr>
          <w:rFonts w:ascii="Garamond" w:hAnsi="Garamond"/>
          <w:bCs/>
        </w:rPr>
        <w:t xml:space="preserve"> </w:t>
      </w:r>
      <w:r w:rsidR="00BF74F4">
        <w:rPr>
          <w:rFonts w:ascii="Garamond" w:hAnsi="Garamond"/>
          <w:bCs/>
        </w:rPr>
        <w:t xml:space="preserve">nel contesto del </w:t>
      </w:r>
      <w:r w:rsidRPr="00460B5C">
        <w:rPr>
          <w:rFonts w:ascii="Garamond" w:hAnsi="Garamond"/>
          <w:bCs/>
        </w:rPr>
        <w:t>contratto di avvalimento</w:t>
      </w:r>
      <w:r w:rsidRPr="00460B5C">
        <w:rPr>
          <w:rFonts w:ascii="Garamond" w:hAnsi="Garamond"/>
        </w:rPr>
        <w:t>, toccando</w:t>
      </w:r>
      <w:r w:rsidR="00961B0C">
        <w:rPr>
          <w:rFonts w:ascii="Garamond" w:hAnsi="Garamond"/>
        </w:rPr>
        <w:t xml:space="preserve"> </w:t>
      </w:r>
      <w:r w:rsidR="007F7A68">
        <w:rPr>
          <w:rFonts w:ascii="Garamond" w:hAnsi="Garamond"/>
        </w:rPr>
        <w:t>quindi</w:t>
      </w:r>
      <w:r w:rsidRPr="00460B5C">
        <w:rPr>
          <w:rFonts w:ascii="Garamond" w:hAnsi="Garamond"/>
        </w:rPr>
        <w:t xml:space="preserve"> un aspetto ulteriore rispetto al tema della determinatezza e/o determinabilità dell’oggetto </w:t>
      </w:r>
      <w:r w:rsidR="00FE76A6" w:rsidRPr="00460B5C">
        <w:rPr>
          <w:rFonts w:ascii="Garamond" w:hAnsi="Garamond"/>
        </w:rPr>
        <w:t>del</w:t>
      </w:r>
      <w:r w:rsidR="00FE76A6">
        <w:rPr>
          <w:rFonts w:ascii="Garamond" w:hAnsi="Garamond"/>
        </w:rPr>
        <w:t xml:space="preserve"> contratto</w:t>
      </w:r>
      <w:r w:rsidRPr="006D67E0">
        <w:rPr>
          <w:rFonts w:ascii="Garamond" w:hAnsi="Garamond"/>
        </w:rPr>
        <w:t xml:space="preserve"> già vagliato dalla giurisprudenza amministrativa. </w:t>
      </w:r>
    </w:p>
    <w:p w14:paraId="7F5D1048" w14:textId="693ED79E" w:rsidR="00A935BF" w:rsidRDefault="00231F48" w:rsidP="00961B0C">
      <w:pPr>
        <w:spacing w:line="276" w:lineRule="auto"/>
        <w:ind w:firstLine="284"/>
        <w:jc w:val="both"/>
        <w:rPr>
          <w:rFonts w:ascii="Garamond" w:hAnsi="Garamond"/>
        </w:rPr>
      </w:pPr>
      <w:r w:rsidRPr="006D67E0">
        <w:rPr>
          <w:rFonts w:ascii="Garamond" w:hAnsi="Garamond"/>
        </w:rPr>
        <w:t xml:space="preserve">In </w:t>
      </w:r>
      <w:r w:rsidR="006E29FF">
        <w:rPr>
          <w:rFonts w:ascii="Garamond" w:hAnsi="Garamond"/>
        </w:rPr>
        <w:t>sostanza</w:t>
      </w:r>
      <w:r w:rsidR="005E1BFD" w:rsidRPr="006D67E0">
        <w:rPr>
          <w:rFonts w:ascii="Garamond" w:hAnsi="Garamond"/>
        </w:rPr>
        <w:t>,</w:t>
      </w:r>
      <w:r w:rsidR="000B6686" w:rsidRPr="006D67E0">
        <w:rPr>
          <w:rFonts w:ascii="Garamond" w:hAnsi="Garamond"/>
        </w:rPr>
        <w:t xml:space="preserve"> quindi</w:t>
      </w:r>
      <w:r w:rsidR="005E1BFD" w:rsidRPr="006D67E0">
        <w:rPr>
          <w:rFonts w:ascii="Garamond" w:hAnsi="Garamond"/>
        </w:rPr>
        <w:t>,</w:t>
      </w:r>
      <w:r w:rsidR="000B6686" w:rsidRPr="006D67E0">
        <w:rPr>
          <w:rFonts w:ascii="Garamond" w:hAnsi="Garamond"/>
        </w:rPr>
        <w:t xml:space="preserve"> </w:t>
      </w:r>
      <w:r w:rsidRPr="006D67E0">
        <w:rPr>
          <w:rFonts w:ascii="Garamond" w:hAnsi="Garamond"/>
        </w:rPr>
        <w:t xml:space="preserve">alla </w:t>
      </w:r>
      <w:r w:rsidR="006E29FF">
        <w:rPr>
          <w:rFonts w:ascii="Garamond" w:hAnsi="Garamond"/>
        </w:rPr>
        <w:t>A</w:t>
      </w:r>
      <w:r w:rsidRPr="006D67E0">
        <w:rPr>
          <w:rFonts w:ascii="Garamond" w:hAnsi="Garamond"/>
        </w:rPr>
        <w:t>mministrazione sarebbe richiesto un d</w:t>
      </w:r>
      <w:r w:rsidR="00B47D28">
        <w:rPr>
          <w:rFonts w:ascii="Garamond" w:hAnsi="Garamond"/>
        </w:rPr>
        <w:t>uplice</w:t>
      </w:r>
      <w:r w:rsidRPr="006D67E0">
        <w:rPr>
          <w:rFonts w:ascii="Garamond" w:hAnsi="Garamond"/>
        </w:rPr>
        <w:t xml:space="preserve"> controllo: in primo luogo, sulla determinatezza del contratto di avvalimento e, in secondo luogo, sull’adeguatezza di mezzi e risorse</w:t>
      </w:r>
      <w:r w:rsidR="006E29FF">
        <w:rPr>
          <w:rFonts w:ascii="Garamond" w:hAnsi="Garamond"/>
        </w:rPr>
        <w:t>, il che, è di palmare evidenza, in tal ultimo caso implica un controllo in sede giurisdizionale sull’operato discrezionale dell’Amministrazione</w:t>
      </w:r>
      <w:r w:rsidR="00961B0C">
        <w:rPr>
          <w:rFonts w:ascii="Garamond" w:hAnsi="Garamond"/>
        </w:rPr>
        <w:t>.</w:t>
      </w:r>
      <w:r w:rsidR="000B6686" w:rsidRPr="006D67E0">
        <w:rPr>
          <w:rFonts w:ascii="Garamond" w:hAnsi="Garamond"/>
        </w:rPr>
        <w:t xml:space="preserve"> </w:t>
      </w:r>
      <w:r w:rsidRPr="006D67E0">
        <w:rPr>
          <w:rFonts w:ascii="Garamond" w:hAnsi="Garamond"/>
        </w:rPr>
        <w:t>Tuttavia</w:t>
      </w:r>
      <w:r w:rsidR="00921609" w:rsidRPr="006D67E0">
        <w:rPr>
          <w:rFonts w:ascii="Garamond" w:hAnsi="Garamond"/>
        </w:rPr>
        <w:t>, se</w:t>
      </w:r>
      <w:r w:rsidR="007132DD" w:rsidRPr="006D67E0">
        <w:rPr>
          <w:rFonts w:ascii="Garamond" w:hAnsi="Garamond"/>
        </w:rPr>
        <w:t xml:space="preserve"> </w:t>
      </w:r>
      <w:r w:rsidR="005C17A1" w:rsidRPr="006D67E0">
        <w:rPr>
          <w:rFonts w:ascii="Garamond" w:hAnsi="Garamond"/>
        </w:rPr>
        <w:t>in mancanza del</w:t>
      </w:r>
      <w:r w:rsidR="007132DD" w:rsidRPr="006D67E0">
        <w:rPr>
          <w:rFonts w:ascii="Garamond" w:hAnsi="Garamond"/>
        </w:rPr>
        <w:t xml:space="preserve">la specificità, il contratto di avvalimento è </w:t>
      </w:r>
      <w:r w:rsidR="005E1BFD" w:rsidRPr="006D67E0">
        <w:rPr>
          <w:rFonts w:ascii="Garamond" w:hAnsi="Garamond"/>
        </w:rPr>
        <w:t xml:space="preserve">certamente da dichiararsi </w:t>
      </w:r>
      <w:r w:rsidR="007132DD" w:rsidRPr="006D67E0">
        <w:rPr>
          <w:rFonts w:ascii="Garamond" w:hAnsi="Garamond"/>
        </w:rPr>
        <w:t xml:space="preserve">nullo in quanto </w:t>
      </w:r>
      <w:r w:rsidR="007132DD" w:rsidRPr="006D67E0">
        <w:rPr>
          <w:rFonts w:ascii="Garamond" w:hAnsi="Garamond"/>
          <w:i/>
        </w:rPr>
        <w:t>contra legem</w:t>
      </w:r>
      <w:r w:rsidR="007132DD" w:rsidRPr="006D67E0">
        <w:rPr>
          <w:rFonts w:ascii="Garamond" w:hAnsi="Garamond"/>
        </w:rPr>
        <w:t xml:space="preserve"> (</w:t>
      </w:r>
      <w:r w:rsidR="007132DD" w:rsidRPr="006D67E0">
        <w:rPr>
          <w:rFonts w:ascii="Garamond" w:hAnsi="Garamond"/>
          <w:i/>
        </w:rPr>
        <w:t>ex</w:t>
      </w:r>
      <w:r w:rsidR="007132DD" w:rsidRPr="006D67E0">
        <w:rPr>
          <w:rFonts w:ascii="Garamond" w:hAnsi="Garamond"/>
        </w:rPr>
        <w:t xml:space="preserve"> art. 89, comma 1, D.</w:t>
      </w:r>
      <w:r w:rsidR="00BE3566" w:rsidRPr="006D67E0">
        <w:rPr>
          <w:rFonts w:ascii="Garamond" w:hAnsi="Garamond"/>
        </w:rPr>
        <w:t xml:space="preserve"> </w:t>
      </w:r>
      <w:r w:rsidR="007132DD" w:rsidRPr="006D67E0">
        <w:rPr>
          <w:rFonts w:ascii="Garamond" w:hAnsi="Garamond"/>
        </w:rPr>
        <w:t>Lgs. n. 50/2016)</w:t>
      </w:r>
      <w:r w:rsidR="00921609" w:rsidRPr="006D67E0">
        <w:rPr>
          <w:rFonts w:ascii="Garamond" w:hAnsi="Garamond"/>
        </w:rPr>
        <w:t>,</w:t>
      </w:r>
      <w:r w:rsidR="007132DD" w:rsidRPr="006D67E0">
        <w:rPr>
          <w:rFonts w:ascii="Garamond" w:hAnsi="Garamond"/>
        </w:rPr>
        <w:t xml:space="preserve"> </w:t>
      </w:r>
      <w:r w:rsidR="00921609" w:rsidRPr="006D67E0">
        <w:rPr>
          <w:rFonts w:ascii="Garamond" w:hAnsi="Garamond"/>
        </w:rPr>
        <w:t xml:space="preserve">non </w:t>
      </w:r>
      <w:r w:rsidR="002F78C1">
        <w:rPr>
          <w:rFonts w:ascii="Garamond" w:hAnsi="Garamond"/>
        </w:rPr>
        <w:t>risulta</w:t>
      </w:r>
      <w:r w:rsidR="00921609" w:rsidRPr="006D67E0">
        <w:rPr>
          <w:rFonts w:ascii="Garamond" w:hAnsi="Garamond"/>
        </w:rPr>
        <w:t xml:space="preserve"> chiarito quale vizio affligga il contratto in cui</w:t>
      </w:r>
      <w:r w:rsidR="00FE76A6">
        <w:rPr>
          <w:rFonts w:ascii="Garamond" w:hAnsi="Garamond"/>
        </w:rPr>
        <w:t xml:space="preserve"> le</w:t>
      </w:r>
      <w:r w:rsidR="000B6686" w:rsidRPr="006D67E0">
        <w:rPr>
          <w:rFonts w:ascii="Garamond" w:hAnsi="Garamond"/>
        </w:rPr>
        <w:t xml:space="preserve"> risorse </w:t>
      </w:r>
      <w:r w:rsidR="006624C9" w:rsidRPr="006D67E0">
        <w:rPr>
          <w:rFonts w:ascii="Garamond" w:hAnsi="Garamond"/>
        </w:rPr>
        <w:t xml:space="preserve">prestate </w:t>
      </w:r>
      <w:r w:rsidR="00921609" w:rsidRPr="006D67E0">
        <w:rPr>
          <w:rFonts w:ascii="Garamond" w:hAnsi="Garamond"/>
        </w:rPr>
        <w:t xml:space="preserve">siano in concreto </w:t>
      </w:r>
      <w:r w:rsidR="006624C9" w:rsidRPr="006D67E0">
        <w:rPr>
          <w:rFonts w:ascii="Garamond" w:hAnsi="Garamond"/>
        </w:rPr>
        <w:t>insufficienti</w:t>
      </w:r>
      <w:r w:rsidR="00921609" w:rsidRPr="006D67E0">
        <w:rPr>
          <w:rFonts w:ascii="Garamond" w:hAnsi="Garamond"/>
        </w:rPr>
        <w:t xml:space="preserve">. Tale contratto </w:t>
      </w:r>
      <w:r w:rsidR="00C00B40" w:rsidRPr="006D67E0">
        <w:rPr>
          <w:rFonts w:ascii="Garamond" w:hAnsi="Garamond"/>
        </w:rPr>
        <w:t>sembre</w:t>
      </w:r>
      <w:r w:rsidRPr="006D67E0">
        <w:rPr>
          <w:rFonts w:ascii="Garamond" w:hAnsi="Garamond"/>
        </w:rPr>
        <w:t>rebbe</w:t>
      </w:r>
      <w:r w:rsidR="00921609" w:rsidRPr="006D67E0">
        <w:rPr>
          <w:rFonts w:ascii="Garamond" w:hAnsi="Garamond"/>
        </w:rPr>
        <w:t xml:space="preserve"> da ritenersi inidoneo allo scopo a cui è preposto</w:t>
      </w:r>
      <w:r w:rsidR="00327C34">
        <w:rPr>
          <w:rFonts w:ascii="Garamond" w:hAnsi="Garamond"/>
        </w:rPr>
        <w:t>, quindi nullo per difetto della causa in concreto,</w:t>
      </w:r>
      <w:r w:rsidR="00921609" w:rsidRPr="006D67E0">
        <w:rPr>
          <w:rFonts w:ascii="Garamond" w:hAnsi="Garamond"/>
        </w:rPr>
        <w:t xml:space="preserve"> </w:t>
      </w:r>
      <w:r w:rsidRPr="006D67E0">
        <w:rPr>
          <w:rFonts w:ascii="Garamond" w:hAnsi="Garamond"/>
        </w:rPr>
        <w:t>con la conseguenza</w:t>
      </w:r>
      <w:r w:rsidR="00961B0C">
        <w:rPr>
          <w:rFonts w:ascii="Garamond" w:hAnsi="Garamond"/>
        </w:rPr>
        <w:t xml:space="preserve"> </w:t>
      </w:r>
      <w:r w:rsidRPr="006D67E0">
        <w:rPr>
          <w:rFonts w:ascii="Garamond" w:hAnsi="Garamond"/>
        </w:rPr>
        <w:t>del</w:t>
      </w:r>
      <w:r w:rsidR="006624C9" w:rsidRPr="006D67E0">
        <w:rPr>
          <w:rFonts w:ascii="Garamond" w:hAnsi="Garamond"/>
        </w:rPr>
        <w:t>l’</w:t>
      </w:r>
      <w:r w:rsidR="00046BB9" w:rsidRPr="006D67E0">
        <w:rPr>
          <w:rFonts w:ascii="Garamond" w:hAnsi="Garamond"/>
        </w:rPr>
        <w:t>esclusione del concorrente dalla gara per mancanza dei requisiti.</w:t>
      </w:r>
    </w:p>
    <w:p w14:paraId="5237E69B" w14:textId="77777777" w:rsidR="0080363C" w:rsidRDefault="0080363C" w:rsidP="006D67E0">
      <w:pPr>
        <w:spacing w:line="276" w:lineRule="auto"/>
        <w:ind w:firstLine="284"/>
        <w:jc w:val="both"/>
        <w:rPr>
          <w:rFonts w:ascii="Garamond" w:hAnsi="Garamond"/>
        </w:rPr>
      </w:pPr>
    </w:p>
    <w:p w14:paraId="76E2A9BC" w14:textId="77777777" w:rsidR="00C45603" w:rsidRPr="006D67E0" w:rsidRDefault="00C45603" w:rsidP="006D67E0">
      <w:pPr>
        <w:spacing w:line="276" w:lineRule="auto"/>
        <w:ind w:firstLine="284"/>
        <w:jc w:val="both"/>
        <w:rPr>
          <w:rFonts w:ascii="Garamond" w:hAnsi="Garamond"/>
        </w:rPr>
      </w:pPr>
    </w:p>
    <w:p w14:paraId="703F565B" w14:textId="57D2D71C" w:rsidR="006C7247" w:rsidRPr="00743D2F" w:rsidRDefault="006C7247" w:rsidP="00743D2F">
      <w:pPr>
        <w:pStyle w:val="Titolo1"/>
      </w:pPr>
      <w:bookmarkStart w:id="5" w:name="_Toc35453354"/>
      <w:bookmarkStart w:id="6" w:name="_Toc38992721"/>
      <w:r w:rsidRPr="00743D2F">
        <w:t>Il soccorso istruttorio nell’ambito dell’avvalimento</w:t>
      </w:r>
      <w:bookmarkEnd w:id="5"/>
      <w:bookmarkEnd w:id="6"/>
    </w:p>
    <w:p w14:paraId="48E0D8DE" w14:textId="51472289" w:rsidR="006C7247" w:rsidRPr="006D67E0" w:rsidRDefault="006C7247" w:rsidP="006D67E0">
      <w:pPr>
        <w:spacing w:line="276" w:lineRule="auto"/>
        <w:ind w:firstLine="284"/>
        <w:jc w:val="both"/>
        <w:rPr>
          <w:rFonts w:ascii="Garamond" w:hAnsi="Garamond"/>
        </w:rPr>
      </w:pPr>
      <w:r w:rsidRPr="006D67E0">
        <w:rPr>
          <w:rFonts w:ascii="Garamond" w:hAnsi="Garamond"/>
        </w:rPr>
        <w:t xml:space="preserve">La già citata ordinanza del CGARS n. 52/2016 di rimessione </w:t>
      </w:r>
      <w:r w:rsidR="002407A1" w:rsidRPr="006D67E0">
        <w:rPr>
          <w:rFonts w:ascii="Garamond" w:hAnsi="Garamond"/>
        </w:rPr>
        <w:t>alla</w:t>
      </w:r>
      <w:r w:rsidRPr="006D67E0">
        <w:rPr>
          <w:rFonts w:ascii="Garamond" w:hAnsi="Garamond"/>
        </w:rPr>
        <w:t xml:space="preserve"> Plenaria </w:t>
      </w:r>
      <w:r w:rsidR="00482520">
        <w:rPr>
          <w:rFonts w:ascii="Garamond" w:hAnsi="Garamond"/>
        </w:rPr>
        <w:t>(</w:t>
      </w:r>
      <w:r w:rsidRPr="006D67E0">
        <w:rPr>
          <w:rFonts w:ascii="Garamond" w:hAnsi="Garamond"/>
        </w:rPr>
        <w:t>n. 23/2016</w:t>
      </w:r>
      <w:r w:rsidR="00482520">
        <w:rPr>
          <w:rFonts w:ascii="Garamond" w:hAnsi="Garamond"/>
        </w:rPr>
        <w:t>)</w:t>
      </w:r>
      <w:r w:rsidRPr="006D67E0">
        <w:rPr>
          <w:rFonts w:ascii="Garamond" w:hAnsi="Garamond"/>
        </w:rPr>
        <w:t xml:space="preserve"> ha</w:t>
      </w:r>
      <w:r w:rsidR="002407A1" w:rsidRPr="006D67E0">
        <w:rPr>
          <w:rFonts w:ascii="Garamond" w:hAnsi="Garamond"/>
        </w:rPr>
        <w:t xml:space="preserve"> </w:t>
      </w:r>
      <w:r w:rsidRPr="006D67E0">
        <w:rPr>
          <w:rFonts w:ascii="Garamond" w:hAnsi="Garamond"/>
        </w:rPr>
        <w:t>affrontato anche i profili connessi alla possibilità di attivare il soccorso istruttorio per colmare eventuali incompletezze del contenuto del contratto di avvalimento.</w:t>
      </w:r>
    </w:p>
    <w:p w14:paraId="74ECA791" w14:textId="1A6FA4C5" w:rsidR="006010BF" w:rsidRPr="006D67E0" w:rsidRDefault="009C73D3" w:rsidP="006D67E0">
      <w:pPr>
        <w:spacing w:line="276" w:lineRule="auto"/>
        <w:ind w:firstLine="284"/>
        <w:jc w:val="both"/>
        <w:rPr>
          <w:rFonts w:ascii="Garamond" w:hAnsi="Garamond"/>
        </w:rPr>
      </w:pPr>
      <w:r w:rsidRPr="006D67E0">
        <w:rPr>
          <w:rFonts w:ascii="Garamond" w:hAnsi="Garamond"/>
        </w:rPr>
        <w:t xml:space="preserve">Già nella vigenza </w:t>
      </w:r>
      <w:r w:rsidR="003C2263">
        <w:rPr>
          <w:rFonts w:ascii="Garamond" w:hAnsi="Garamond"/>
        </w:rPr>
        <w:t>del</w:t>
      </w:r>
      <w:r w:rsidRPr="006D67E0">
        <w:rPr>
          <w:rFonts w:ascii="Garamond" w:hAnsi="Garamond"/>
        </w:rPr>
        <w:t xml:space="preserve"> Codice</w:t>
      </w:r>
      <w:r w:rsidR="003C2263">
        <w:rPr>
          <w:rFonts w:ascii="Garamond" w:hAnsi="Garamond"/>
        </w:rPr>
        <w:t xml:space="preserve"> del 2006</w:t>
      </w:r>
      <w:r w:rsidRPr="006D67E0">
        <w:rPr>
          <w:rFonts w:ascii="Garamond" w:hAnsi="Garamond"/>
        </w:rPr>
        <w:t xml:space="preserve"> sul tema si erano formati orientamenti giurisprudenziali contrapposti</w:t>
      </w:r>
      <w:r w:rsidR="00926312" w:rsidRPr="006D67E0">
        <w:rPr>
          <w:rStyle w:val="Rimandonotaapidipagina"/>
          <w:rFonts w:ascii="Garamond" w:hAnsi="Garamond"/>
          <w:sz w:val="24"/>
        </w:rPr>
        <w:footnoteReference w:id="26"/>
      </w:r>
      <w:r w:rsidR="00412A98" w:rsidRPr="006D67E0">
        <w:rPr>
          <w:rFonts w:ascii="Garamond" w:hAnsi="Garamond"/>
        </w:rPr>
        <w:t xml:space="preserve">. </w:t>
      </w:r>
      <w:r w:rsidR="00917BC7">
        <w:rPr>
          <w:rFonts w:ascii="Garamond" w:hAnsi="Garamond"/>
        </w:rPr>
        <w:t>Come si ricorderà, l</w:t>
      </w:r>
      <w:r w:rsidR="00412A98" w:rsidRPr="006D67E0">
        <w:rPr>
          <w:rFonts w:ascii="Garamond" w:hAnsi="Garamond"/>
        </w:rPr>
        <w:t>’art. 46, comma 1-</w:t>
      </w:r>
      <w:r w:rsidR="00412A98" w:rsidRPr="006D67E0">
        <w:rPr>
          <w:rFonts w:ascii="Garamond" w:hAnsi="Garamond"/>
          <w:i/>
        </w:rPr>
        <w:t>ter</w:t>
      </w:r>
      <w:r w:rsidR="00412A98" w:rsidRPr="006D67E0">
        <w:rPr>
          <w:rFonts w:ascii="Garamond" w:hAnsi="Garamond"/>
        </w:rPr>
        <w:t xml:space="preserve"> del D.Lgs.</w:t>
      </w:r>
      <w:r w:rsidR="003C2263">
        <w:rPr>
          <w:rFonts w:ascii="Garamond" w:hAnsi="Garamond"/>
        </w:rPr>
        <w:t xml:space="preserve"> n.</w:t>
      </w:r>
      <w:r w:rsidR="00412A98" w:rsidRPr="006D67E0">
        <w:rPr>
          <w:rFonts w:ascii="Garamond" w:hAnsi="Garamond"/>
        </w:rPr>
        <w:t xml:space="preserve"> 163/2006 </w:t>
      </w:r>
      <w:r w:rsidR="00917BC7">
        <w:rPr>
          <w:rFonts w:ascii="Garamond" w:hAnsi="Garamond"/>
        </w:rPr>
        <w:t xml:space="preserve">aveva </w:t>
      </w:r>
      <w:r w:rsidR="00B655BA" w:rsidRPr="006D67E0">
        <w:rPr>
          <w:rFonts w:ascii="Garamond" w:hAnsi="Garamond"/>
        </w:rPr>
        <w:t>este</w:t>
      </w:r>
      <w:r w:rsidR="00917BC7">
        <w:rPr>
          <w:rFonts w:ascii="Garamond" w:hAnsi="Garamond"/>
        </w:rPr>
        <w:t>so</w:t>
      </w:r>
      <w:r w:rsidR="00B655BA" w:rsidRPr="006D67E0">
        <w:rPr>
          <w:rFonts w:ascii="Garamond" w:hAnsi="Garamond"/>
        </w:rPr>
        <w:t xml:space="preserve"> l’applicazione dell’art. 38, comma 2-</w:t>
      </w:r>
      <w:r w:rsidR="00B655BA" w:rsidRPr="006D67E0">
        <w:rPr>
          <w:rFonts w:ascii="Garamond" w:hAnsi="Garamond"/>
          <w:i/>
        </w:rPr>
        <w:t>bis</w:t>
      </w:r>
      <w:r w:rsidR="0030790E" w:rsidRPr="006D67E0">
        <w:rPr>
          <w:rStyle w:val="Rimandonotaapidipagina"/>
          <w:rFonts w:ascii="Garamond" w:hAnsi="Garamond"/>
          <w:sz w:val="24"/>
        </w:rPr>
        <w:footnoteReference w:id="27"/>
      </w:r>
      <w:r w:rsidR="00B655BA" w:rsidRPr="006D67E0">
        <w:rPr>
          <w:rFonts w:ascii="Garamond" w:hAnsi="Garamond"/>
        </w:rPr>
        <w:t xml:space="preserve">, </w:t>
      </w:r>
      <w:r w:rsidR="00412A98" w:rsidRPr="006D67E0">
        <w:rPr>
          <w:rFonts w:ascii="Garamond" w:hAnsi="Garamond"/>
        </w:rPr>
        <w:t>legittima</w:t>
      </w:r>
      <w:r w:rsidR="00B655BA" w:rsidRPr="006D67E0">
        <w:rPr>
          <w:rFonts w:ascii="Garamond" w:hAnsi="Garamond"/>
        </w:rPr>
        <w:t>ndo</w:t>
      </w:r>
      <w:r w:rsidR="00412A98" w:rsidRPr="006D67E0">
        <w:rPr>
          <w:rFonts w:ascii="Garamond" w:hAnsi="Garamond"/>
        </w:rPr>
        <w:t xml:space="preserve"> l’attivazione del soccorso istruttorio nel caso di incompletezze o irregolarità delle dichiarazioni, anche di soggetti terzi, prodotte in gara dai concorrenti. </w:t>
      </w:r>
      <w:r w:rsidR="006010BF" w:rsidRPr="006D67E0">
        <w:rPr>
          <w:rFonts w:ascii="Garamond" w:hAnsi="Garamond"/>
        </w:rPr>
        <w:t>Una parte della giurisprudenza</w:t>
      </w:r>
      <w:r w:rsidR="00B655BA" w:rsidRPr="006D67E0">
        <w:rPr>
          <w:rStyle w:val="Rimandonotaapidipagina"/>
          <w:rFonts w:ascii="Garamond" w:hAnsi="Garamond"/>
          <w:sz w:val="24"/>
        </w:rPr>
        <w:footnoteReference w:id="28"/>
      </w:r>
      <w:r w:rsidR="00412A98" w:rsidRPr="006D67E0">
        <w:rPr>
          <w:rFonts w:ascii="Garamond" w:hAnsi="Garamond"/>
        </w:rPr>
        <w:t xml:space="preserve"> </w:t>
      </w:r>
      <w:r w:rsidR="00B655BA" w:rsidRPr="006D67E0">
        <w:rPr>
          <w:rFonts w:ascii="Garamond" w:hAnsi="Garamond"/>
        </w:rPr>
        <w:t>riteneva applicabile l’istituto anche nei casi in cui la mancanza fosse relativa al contratto di avvalimento, essendo quest’ultimo destinato a fornire i cd. requisiti speciali a cui la disposizione faceva riferimento</w:t>
      </w:r>
      <w:r w:rsidR="00917BC7">
        <w:rPr>
          <w:rFonts w:ascii="Garamond" w:hAnsi="Garamond"/>
        </w:rPr>
        <w:t>. Diversamente,</w:t>
      </w:r>
      <w:r w:rsidR="00B655BA" w:rsidRPr="006D67E0">
        <w:rPr>
          <w:rFonts w:ascii="Garamond" w:hAnsi="Garamond"/>
        </w:rPr>
        <w:t xml:space="preserve"> per altro orientamento, anche dopo l’ampliamento del suo ambito applicativo, il soccorso istruttorio non avrebbe potuto trovare applicazione in quanto il contratto di avvalimento non rappresenta un documento da allegare alla domanda per dimostrare il possesso di un requisito, ma è </w:t>
      </w:r>
      <w:r w:rsidR="00C2086D" w:rsidRPr="006D67E0">
        <w:rPr>
          <w:rFonts w:ascii="Garamond" w:hAnsi="Garamond"/>
        </w:rPr>
        <w:t xml:space="preserve">il presupposto </w:t>
      </w:r>
      <w:r w:rsidR="0030790E" w:rsidRPr="006D67E0">
        <w:rPr>
          <w:rFonts w:ascii="Garamond" w:hAnsi="Garamond"/>
        </w:rPr>
        <w:t>per la partecipazione alla gara ed</w:t>
      </w:r>
      <w:r w:rsidR="00C2086D" w:rsidRPr="006D67E0">
        <w:rPr>
          <w:rFonts w:ascii="Garamond" w:hAnsi="Garamond"/>
        </w:rPr>
        <w:t xml:space="preserve"> è esso stesso il requisito mancante all’impresa ausiliata</w:t>
      </w:r>
      <w:r w:rsidR="00C2086D" w:rsidRPr="006D67E0">
        <w:rPr>
          <w:rStyle w:val="Rimandonotaapidipagina"/>
          <w:rFonts w:ascii="Garamond" w:hAnsi="Garamond"/>
          <w:sz w:val="24"/>
        </w:rPr>
        <w:footnoteReference w:id="29"/>
      </w:r>
      <w:r w:rsidR="00C2086D" w:rsidRPr="006D67E0">
        <w:rPr>
          <w:rFonts w:ascii="Garamond" w:hAnsi="Garamond"/>
        </w:rPr>
        <w:t>. Sul punto -</w:t>
      </w:r>
      <w:r w:rsidR="00917BC7">
        <w:rPr>
          <w:rFonts w:ascii="Garamond" w:hAnsi="Garamond"/>
        </w:rPr>
        <w:t xml:space="preserve"> </w:t>
      </w:r>
      <w:r w:rsidR="00C2086D" w:rsidRPr="006D67E0">
        <w:rPr>
          <w:rFonts w:ascii="Garamond" w:hAnsi="Garamond"/>
        </w:rPr>
        <w:t>ricorda poi l’Ordinanza di rimessione</w:t>
      </w:r>
      <w:r w:rsidR="00917BC7">
        <w:rPr>
          <w:rFonts w:ascii="Garamond" w:hAnsi="Garamond"/>
        </w:rPr>
        <w:t xml:space="preserve"> </w:t>
      </w:r>
      <w:r w:rsidR="00C2086D" w:rsidRPr="006D67E0">
        <w:rPr>
          <w:rFonts w:ascii="Garamond" w:hAnsi="Garamond"/>
        </w:rPr>
        <w:t>- anche l’ANAC nel 2015</w:t>
      </w:r>
      <w:r w:rsidR="00C2086D" w:rsidRPr="006D67E0">
        <w:rPr>
          <w:rStyle w:val="Rimandonotaapidipagina"/>
          <w:rFonts w:ascii="Garamond" w:hAnsi="Garamond"/>
          <w:sz w:val="24"/>
        </w:rPr>
        <w:footnoteReference w:id="30"/>
      </w:r>
      <w:r w:rsidR="00C2086D" w:rsidRPr="006D67E0">
        <w:rPr>
          <w:rFonts w:ascii="Garamond" w:hAnsi="Garamond"/>
        </w:rPr>
        <w:t xml:space="preserve"> si era pronunciata con specifico riferimento al</w:t>
      </w:r>
      <w:r w:rsidR="00917BC7">
        <w:rPr>
          <w:rFonts w:ascii="Garamond" w:hAnsi="Garamond"/>
        </w:rPr>
        <w:t xml:space="preserve"> soccorso istruttorio</w:t>
      </w:r>
      <w:r w:rsidR="008430B1">
        <w:rPr>
          <w:rFonts w:ascii="Garamond" w:hAnsi="Garamond"/>
        </w:rPr>
        <w:t>, chiarendo che</w:t>
      </w:r>
      <w:r w:rsidR="00C2086D" w:rsidRPr="006D67E0">
        <w:rPr>
          <w:rFonts w:ascii="Garamond" w:hAnsi="Garamond"/>
        </w:rPr>
        <w:t xml:space="preserve"> </w:t>
      </w:r>
      <w:r w:rsidR="001A01E7" w:rsidRPr="00917BC7">
        <w:rPr>
          <w:rFonts w:ascii="Garamond" w:hAnsi="Garamond"/>
        </w:rPr>
        <w:t xml:space="preserve">non può essere </w:t>
      </w:r>
      <w:r w:rsidR="001A01E7" w:rsidRPr="00917BC7">
        <w:rPr>
          <w:rFonts w:ascii="Garamond" w:hAnsi="Garamond"/>
        </w:rPr>
        <w:lastRenderedPageBreak/>
        <w:t>strumentalmente utilizzato per l’acquisizione</w:t>
      </w:r>
      <w:r w:rsidR="00917BC7">
        <w:rPr>
          <w:rFonts w:ascii="Garamond" w:hAnsi="Garamond"/>
        </w:rPr>
        <w:t xml:space="preserve"> in gara</w:t>
      </w:r>
      <w:r w:rsidR="001A01E7" w:rsidRPr="00917BC7">
        <w:rPr>
          <w:rFonts w:ascii="Garamond" w:hAnsi="Garamond"/>
        </w:rPr>
        <w:t xml:space="preserve"> di un requisito o</w:t>
      </w:r>
      <w:r w:rsidR="00C2086D" w:rsidRPr="00917BC7">
        <w:rPr>
          <w:rFonts w:ascii="Garamond" w:hAnsi="Garamond"/>
        </w:rPr>
        <w:t xml:space="preserve"> </w:t>
      </w:r>
      <w:r w:rsidR="001A01E7" w:rsidRPr="00917BC7">
        <w:rPr>
          <w:rFonts w:ascii="Garamond" w:hAnsi="Garamond"/>
        </w:rPr>
        <w:t>di una condizione di partecipazione, mancante alla scadenza del termine di</w:t>
      </w:r>
      <w:r w:rsidR="00C2086D" w:rsidRPr="00917BC7">
        <w:rPr>
          <w:rFonts w:ascii="Garamond" w:hAnsi="Garamond"/>
        </w:rPr>
        <w:t xml:space="preserve"> </w:t>
      </w:r>
      <w:r w:rsidR="001A01E7" w:rsidRPr="00917BC7">
        <w:rPr>
          <w:rFonts w:ascii="Garamond" w:hAnsi="Garamond"/>
        </w:rPr>
        <w:t>presentazione dell’offerta</w:t>
      </w:r>
      <w:r w:rsidR="00C5706B">
        <w:rPr>
          <w:rFonts w:ascii="Garamond" w:hAnsi="Garamond"/>
        </w:rPr>
        <w:t xml:space="preserve">, pena, evidentemente, l’alterazione della </w:t>
      </w:r>
      <w:r w:rsidR="00C5706B" w:rsidRPr="001D0AD0">
        <w:rPr>
          <w:rFonts w:ascii="Garamond" w:hAnsi="Garamond"/>
          <w:i/>
          <w:iCs/>
        </w:rPr>
        <w:t>par condicio</w:t>
      </w:r>
      <w:r w:rsidR="00C5706B">
        <w:rPr>
          <w:rFonts w:ascii="Garamond" w:hAnsi="Garamond"/>
        </w:rPr>
        <w:t>.</w:t>
      </w:r>
      <w:r w:rsidR="001A01E7" w:rsidRPr="006D67E0">
        <w:rPr>
          <w:rFonts w:ascii="Garamond" w:hAnsi="Garamond"/>
        </w:rPr>
        <w:t xml:space="preserve"> </w:t>
      </w:r>
      <w:r w:rsidR="00C2086D" w:rsidRPr="006D67E0">
        <w:rPr>
          <w:rFonts w:ascii="Garamond" w:hAnsi="Garamond"/>
        </w:rPr>
        <w:t xml:space="preserve">Sempre </w:t>
      </w:r>
      <w:r w:rsidR="006010BF" w:rsidRPr="006D67E0">
        <w:rPr>
          <w:rFonts w:ascii="Garamond" w:hAnsi="Garamond"/>
        </w:rPr>
        <w:t>secondo</w:t>
      </w:r>
      <w:r w:rsidR="00C2086D" w:rsidRPr="006D67E0">
        <w:rPr>
          <w:rFonts w:ascii="Garamond" w:hAnsi="Garamond"/>
        </w:rPr>
        <w:t xml:space="preserve"> l’Autorità,</w:t>
      </w:r>
      <w:r w:rsidR="003C2263">
        <w:rPr>
          <w:rFonts w:ascii="Garamond" w:hAnsi="Garamond"/>
        </w:rPr>
        <w:t xml:space="preserve"> infatti,</w:t>
      </w:r>
      <w:r w:rsidR="00C2086D" w:rsidRPr="006D67E0">
        <w:rPr>
          <w:rFonts w:ascii="Garamond" w:hAnsi="Garamond"/>
        </w:rPr>
        <w:t xml:space="preserve"> il nuovo </w:t>
      </w:r>
      <w:r w:rsidR="001A01E7" w:rsidRPr="006D67E0">
        <w:rPr>
          <w:rFonts w:ascii="Garamond" w:hAnsi="Garamond"/>
        </w:rPr>
        <w:t>soccorso istruttorio</w:t>
      </w:r>
      <w:r w:rsidR="00C2086D" w:rsidRPr="006D67E0">
        <w:rPr>
          <w:rFonts w:ascii="Garamond" w:hAnsi="Garamond"/>
        </w:rPr>
        <w:t xml:space="preserve"> avrebbe piuttosto dovuto </w:t>
      </w:r>
      <w:r w:rsidR="001A01E7" w:rsidRPr="006D67E0">
        <w:rPr>
          <w:rFonts w:ascii="Garamond" w:hAnsi="Garamond"/>
        </w:rPr>
        <w:t>operare limitatamente all’ipotesi di mancata allegazione, per mera</w:t>
      </w:r>
      <w:r w:rsidR="00C2086D" w:rsidRPr="006D67E0">
        <w:rPr>
          <w:rFonts w:ascii="Garamond" w:hAnsi="Garamond"/>
        </w:rPr>
        <w:t xml:space="preserve"> </w:t>
      </w:r>
      <w:r w:rsidR="001A01E7" w:rsidRPr="006D67E0">
        <w:rPr>
          <w:rFonts w:ascii="Garamond" w:hAnsi="Garamond"/>
        </w:rPr>
        <w:t>dimenticanza, del contratto</w:t>
      </w:r>
      <w:r w:rsidR="00B02937">
        <w:rPr>
          <w:rFonts w:ascii="Garamond" w:hAnsi="Garamond"/>
        </w:rPr>
        <w:t xml:space="preserve"> di avvalimento </w:t>
      </w:r>
      <w:r w:rsidR="001A01E7" w:rsidRPr="006D67E0">
        <w:rPr>
          <w:rFonts w:ascii="Garamond" w:hAnsi="Garamond"/>
        </w:rPr>
        <w:t xml:space="preserve">che, in ogni caso, </w:t>
      </w:r>
      <w:r w:rsidR="006010BF" w:rsidRPr="006D67E0">
        <w:rPr>
          <w:rFonts w:ascii="Garamond" w:hAnsi="Garamond"/>
        </w:rPr>
        <w:t>fosse</w:t>
      </w:r>
      <w:r w:rsidR="001A01E7" w:rsidRPr="006D67E0">
        <w:rPr>
          <w:rFonts w:ascii="Garamond" w:hAnsi="Garamond"/>
        </w:rPr>
        <w:t xml:space="preserve"> stato già siglato alla data di</w:t>
      </w:r>
      <w:r w:rsidR="006010BF" w:rsidRPr="006D67E0">
        <w:rPr>
          <w:rFonts w:ascii="Garamond" w:hAnsi="Garamond"/>
        </w:rPr>
        <w:t xml:space="preserve"> </w:t>
      </w:r>
      <w:r w:rsidR="001A01E7" w:rsidRPr="006D67E0">
        <w:rPr>
          <w:rFonts w:ascii="Garamond" w:hAnsi="Garamond"/>
        </w:rPr>
        <w:t>presentazione dell’offerta nonché nel caso di assenza degli altri adempimenti</w:t>
      </w:r>
      <w:r w:rsidR="006010BF" w:rsidRPr="006D67E0">
        <w:rPr>
          <w:rFonts w:ascii="Garamond" w:hAnsi="Garamond"/>
        </w:rPr>
        <w:t xml:space="preserve"> </w:t>
      </w:r>
      <w:r w:rsidR="001A01E7" w:rsidRPr="006D67E0">
        <w:rPr>
          <w:rFonts w:ascii="Garamond" w:hAnsi="Garamond"/>
        </w:rPr>
        <w:t>prescritti in ordine all’avvalimento</w:t>
      </w:r>
      <w:r w:rsidR="001D0AD0">
        <w:rPr>
          <w:rFonts w:ascii="Garamond" w:hAnsi="Garamond"/>
        </w:rPr>
        <w:t>.</w:t>
      </w:r>
      <w:r w:rsidR="008430B1" w:rsidRPr="008430B1">
        <w:rPr>
          <w:rFonts w:ascii="Garamond" w:hAnsi="Garamond"/>
          <w:highlight w:val="yellow"/>
        </w:rPr>
        <w:t xml:space="preserve"> </w:t>
      </w:r>
    </w:p>
    <w:p w14:paraId="35E56D99" w14:textId="73704846" w:rsidR="001A01E7" w:rsidRPr="00CD3AB9" w:rsidRDefault="006010BF" w:rsidP="006D67E0">
      <w:pPr>
        <w:spacing w:line="276" w:lineRule="auto"/>
        <w:ind w:firstLine="284"/>
        <w:jc w:val="both"/>
        <w:rPr>
          <w:rFonts w:ascii="Garamond" w:hAnsi="Garamond"/>
        </w:rPr>
      </w:pPr>
      <w:r w:rsidRPr="006D67E0">
        <w:rPr>
          <w:rFonts w:ascii="Garamond" w:hAnsi="Garamond"/>
        </w:rPr>
        <w:t xml:space="preserve">Alla luce delle diverse posizioni difformi, </w:t>
      </w:r>
      <w:r w:rsidR="0030790E" w:rsidRPr="006D67E0">
        <w:rPr>
          <w:rFonts w:ascii="Garamond" w:hAnsi="Garamond"/>
        </w:rPr>
        <w:t>si</w:t>
      </w:r>
      <w:r w:rsidRPr="006D67E0">
        <w:rPr>
          <w:rFonts w:ascii="Garamond" w:hAnsi="Garamond"/>
        </w:rPr>
        <w:t xml:space="preserve"> invocava l’intervento dell’Adunanza Plenaria </w:t>
      </w:r>
      <w:r w:rsidR="000F23F9">
        <w:rPr>
          <w:rFonts w:ascii="Garamond" w:hAnsi="Garamond"/>
        </w:rPr>
        <w:t xml:space="preserve">sull’utilizzo o meno del soccorso istruttorio </w:t>
      </w:r>
      <w:r w:rsidR="001A01E7" w:rsidRPr="000F23F9">
        <w:rPr>
          <w:rFonts w:ascii="Garamond" w:hAnsi="Garamond"/>
        </w:rPr>
        <w:t>anche con riferimento ad</w:t>
      </w:r>
      <w:r w:rsidRPr="000F23F9">
        <w:rPr>
          <w:rFonts w:ascii="Garamond" w:hAnsi="Garamond"/>
        </w:rPr>
        <w:t xml:space="preserve"> </w:t>
      </w:r>
      <w:r w:rsidR="001A01E7" w:rsidRPr="000F23F9">
        <w:rPr>
          <w:rFonts w:ascii="Garamond" w:hAnsi="Garamond"/>
        </w:rPr>
        <w:t>incompletezze del contratto di avvalimento che, sotto un profilo civilistico,</w:t>
      </w:r>
      <w:r w:rsidRPr="000F23F9">
        <w:rPr>
          <w:rFonts w:ascii="Garamond" w:hAnsi="Garamond"/>
        </w:rPr>
        <w:t xml:space="preserve"> </w:t>
      </w:r>
      <w:r w:rsidR="001A01E7" w:rsidRPr="000F23F9">
        <w:rPr>
          <w:rFonts w:ascii="Garamond" w:hAnsi="Garamond"/>
        </w:rPr>
        <w:t>portano ad affermare la nullità del negozio per mancanza di determinatezza</w:t>
      </w:r>
      <w:r w:rsidRPr="000F23F9">
        <w:rPr>
          <w:rFonts w:ascii="Garamond" w:hAnsi="Garamond"/>
        </w:rPr>
        <w:t xml:space="preserve"> </w:t>
      </w:r>
      <w:r w:rsidR="001A01E7" w:rsidRPr="000F23F9">
        <w:rPr>
          <w:rFonts w:ascii="Garamond" w:hAnsi="Garamond"/>
        </w:rPr>
        <w:t>del suo oggetto</w:t>
      </w:r>
      <w:r w:rsidRPr="006D67E0">
        <w:rPr>
          <w:rStyle w:val="Rimandonotaapidipagina"/>
          <w:rFonts w:ascii="Garamond" w:hAnsi="Garamond"/>
          <w:sz w:val="24"/>
        </w:rPr>
        <w:footnoteReference w:id="31"/>
      </w:r>
      <w:r w:rsidR="001A01E7" w:rsidRPr="006D67E0">
        <w:rPr>
          <w:rFonts w:ascii="Garamond" w:hAnsi="Garamond"/>
        </w:rPr>
        <w:t>.</w:t>
      </w:r>
      <w:r w:rsidR="00796D3B" w:rsidRPr="006D67E0">
        <w:rPr>
          <w:rFonts w:ascii="Garamond" w:hAnsi="Garamond"/>
        </w:rPr>
        <w:t xml:space="preserve"> Tuttavia, tale questione non è stata </w:t>
      </w:r>
      <w:r w:rsidR="00CD0C1A">
        <w:rPr>
          <w:rFonts w:ascii="Garamond" w:hAnsi="Garamond"/>
        </w:rPr>
        <w:t>poi oggetto di pronuncia espressa da parte del</w:t>
      </w:r>
      <w:r w:rsidR="008430B1">
        <w:rPr>
          <w:rFonts w:ascii="Garamond" w:hAnsi="Garamond"/>
        </w:rPr>
        <w:t xml:space="preserve"> Consiglio di Stato </w:t>
      </w:r>
      <w:r w:rsidR="004E0585">
        <w:rPr>
          <w:rFonts w:ascii="Garamond" w:hAnsi="Garamond"/>
        </w:rPr>
        <w:t>poiché, come si è</w:t>
      </w:r>
      <w:r w:rsidR="001C3C50" w:rsidRPr="006D67E0">
        <w:rPr>
          <w:rFonts w:ascii="Garamond" w:hAnsi="Garamond"/>
        </w:rPr>
        <w:t xml:space="preserve"> detto</w:t>
      </w:r>
      <w:r w:rsidR="004E0585">
        <w:rPr>
          <w:rFonts w:ascii="Garamond" w:hAnsi="Garamond"/>
        </w:rPr>
        <w:t xml:space="preserve">, è stato </w:t>
      </w:r>
      <w:r w:rsidR="00796D3B" w:rsidRPr="006D67E0">
        <w:rPr>
          <w:rFonts w:ascii="Garamond" w:hAnsi="Garamond"/>
        </w:rPr>
        <w:t xml:space="preserve">ritenuto </w:t>
      </w:r>
      <w:r w:rsidR="004E0585">
        <w:rPr>
          <w:rFonts w:ascii="Garamond" w:hAnsi="Garamond"/>
        </w:rPr>
        <w:t>a</w:t>
      </w:r>
      <w:r w:rsidR="001C3C50" w:rsidRPr="006D67E0">
        <w:rPr>
          <w:rFonts w:ascii="Garamond" w:hAnsi="Garamond"/>
        </w:rPr>
        <w:t xml:space="preserve">mmissibile il contratto di avvalimento dall’oggetto anche solo determinabile e </w:t>
      </w:r>
      <w:r w:rsidR="004E0585">
        <w:rPr>
          <w:rFonts w:ascii="Garamond" w:hAnsi="Garamond"/>
        </w:rPr>
        <w:t xml:space="preserve">si è </w:t>
      </w:r>
      <w:r w:rsidR="001C3C50" w:rsidRPr="006D67E0">
        <w:rPr>
          <w:rFonts w:ascii="Garamond" w:hAnsi="Garamond"/>
        </w:rPr>
        <w:t xml:space="preserve">concluso </w:t>
      </w:r>
      <w:r w:rsidR="00796D3B" w:rsidRPr="006D67E0">
        <w:rPr>
          <w:rFonts w:ascii="Garamond" w:hAnsi="Garamond"/>
        </w:rPr>
        <w:t>che, rispetto al caso di specie</w:t>
      </w:r>
      <w:r w:rsidR="001C3C50" w:rsidRPr="006D67E0">
        <w:rPr>
          <w:rFonts w:ascii="Garamond" w:hAnsi="Garamond"/>
        </w:rPr>
        <w:t>,</w:t>
      </w:r>
      <w:r w:rsidR="00796D3B" w:rsidRPr="006D67E0">
        <w:rPr>
          <w:rFonts w:ascii="Garamond" w:hAnsi="Garamond"/>
        </w:rPr>
        <w:t xml:space="preserve"> non s</w:t>
      </w:r>
      <w:r w:rsidR="001C3C50" w:rsidRPr="006D67E0">
        <w:rPr>
          <w:rFonts w:ascii="Garamond" w:hAnsi="Garamond"/>
        </w:rPr>
        <w:t xml:space="preserve">i ponesse dunque la </w:t>
      </w:r>
      <w:r w:rsidR="001C3C50" w:rsidRPr="00CD3AB9">
        <w:rPr>
          <w:rFonts w:ascii="Garamond" w:hAnsi="Garamond"/>
        </w:rPr>
        <w:t>necessità di una integrazione mediante soccorso istruttorio.</w:t>
      </w:r>
    </w:p>
    <w:p w14:paraId="3DAA4D3D" w14:textId="2197251B" w:rsidR="006010BF" w:rsidRPr="006D67E0" w:rsidRDefault="004E0585" w:rsidP="006D67E0">
      <w:pPr>
        <w:spacing w:line="276" w:lineRule="auto"/>
        <w:ind w:firstLine="284"/>
        <w:jc w:val="both"/>
        <w:rPr>
          <w:rFonts w:ascii="Garamond" w:hAnsi="Garamond"/>
        </w:rPr>
      </w:pPr>
      <w:r>
        <w:rPr>
          <w:rFonts w:ascii="Garamond" w:hAnsi="Garamond"/>
        </w:rPr>
        <w:t>Nel</w:t>
      </w:r>
      <w:r w:rsidR="003C7A91" w:rsidRPr="00CD3AB9">
        <w:rPr>
          <w:rFonts w:ascii="Garamond" w:hAnsi="Garamond"/>
        </w:rPr>
        <w:t xml:space="preserve"> nuovo </w:t>
      </w:r>
      <w:r w:rsidR="0030790E" w:rsidRPr="00CD3AB9">
        <w:rPr>
          <w:rFonts w:ascii="Garamond" w:hAnsi="Garamond"/>
        </w:rPr>
        <w:t>C</w:t>
      </w:r>
      <w:r w:rsidR="003C7A91" w:rsidRPr="00CD3AB9">
        <w:rPr>
          <w:rFonts w:ascii="Garamond" w:hAnsi="Garamond"/>
        </w:rPr>
        <w:t>odice il soccorso istruttorio ha trovato la sua compiuta disciplina al comma 9 dell’art. 83</w:t>
      </w:r>
      <w:r w:rsidR="003C7A91" w:rsidRPr="00CD3AB9">
        <w:rPr>
          <w:rStyle w:val="Rimandonotaapidipagina"/>
          <w:rFonts w:ascii="Garamond" w:hAnsi="Garamond"/>
          <w:sz w:val="24"/>
        </w:rPr>
        <w:footnoteReference w:id="32"/>
      </w:r>
      <w:r w:rsidR="003C7A91" w:rsidRPr="00CD3AB9">
        <w:rPr>
          <w:rFonts w:ascii="Garamond" w:hAnsi="Garamond"/>
        </w:rPr>
        <w:t>.</w:t>
      </w:r>
      <w:r w:rsidR="00BD31B5" w:rsidRPr="00CD3AB9">
        <w:rPr>
          <w:rFonts w:ascii="Garamond" w:hAnsi="Garamond"/>
        </w:rPr>
        <w:t xml:space="preserve"> Le possibili integrazioni sono state circoscritte alle sole carenze degli elementi formali della domanda ed è</w:t>
      </w:r>
      <w:r w:rsidR="004D6BCD" w:rsidRPr="00CD3AB9">
        <w:rPr>
          <w:rFonts w:ascii="Garamond" w:hAnsi="Garamond"/>
        </w:rPr>
        <w:t>,</w:t>
      </w:r>
      <w:r w:rsidR="00BD31B5" w:rsidRPr="00CD3AB9">
        <w:rPr>
          <w:rFonts w:ascii="Garamond" w:hAnsi="Garamond"/>
        </w:rPr>
        <w:t xml:space="preserve"> </w:t>
      </w:r>
      <w:r w:rsidR="0030790E" w:rsidRPr="00CD3AB9">
        <w:rPr>
          <w:rFonts w:ascii="Garamond" w:hAnsi="Garamond"/>
        </w:rPr>
        <w:t>dunque</w:t>
      </w:r>
      <w:r w:rsidR="004D6BCD" w:rsidRPr="00CD3AB9">
        <w:rPr>
          <w:rFonts w:ascii="Garamond" w:hAnsi="Garamond"/>
        </w:rPr>
        <w:t>,</w:t>
      </w:r>
      <w:r w:rsidR="00BD31B5" w:rsidRPr="00CD3AB9">
        <w:rPr>
          <w:rFonts w:ascii="Garamond" w:hAnsi="Garamond"/>
        </w:rPr>
        <w:t xml:space="preserve"> precluso sanare quelle cd. irregolarità essenziali che non consentono l'individuazione del contenuto della domanda o del soggetto responsabile della stessa.</w:t>
      </w:r>
    </w:p>
    <w:p w14:paraId="49620203" w14:textId="4EF31D5B" w:rsidR="009A3041" w:rsidRPr="001D0AD0" w:rsidRDefault="00141C50" w:rsidP="006D67E0">
      <w:pPr>
        <w:spacing w:line="276" w:lineRule="auto"/>
        <w:ind w:firstLine="284"/>
        <w:jc w:val="both"/>
        <w:rPr>
          <w:rFonts w:ascii="Garamond" w:hAnsi="Garamond"/>
        </w:rPr>
      </w:pPr>
      <w:r w:rsidRPr="006D67E0">
        <w:rPr>
          <w:rFonts w:ascii="Garamond" w:hAnsi="Garamond"/>
        </w:rPr>
        <w:t>Tale divieto, unitamente al</w:t>
      </w:r>
      <w:r w:rsidR="00E026C3" w:rsidRPr="006D67E0">
        <w:rPr>
          <w:rFonts w:ascii="Garamond" w:hAnsi="Garamond"/>
        </w:rPr>
        <w:t xml:space="preserve"> principio elaborato da</w:t>
      </w:r>
      <w:r w:rsidR="004E0585">
        <w:rPr>
          <w:rFonts w:ascii="Garamond" w:hAnsi="Garamond"/>
        </w:rPr>
        <w:t xml:space="preserve">lla </w:t>
      </w:r>
      <w:r w:rsidR="004E0585" w:rsidRPr="004E0585">
        <w:rPr>
          <w:rFonts w:ascii="Garamond" w:hAnsi="Garamond"/>
        </w:rPr>
        <w:t xml:space="preserve">giurisprudenza secondo cui </w:t>
      </w:r>
      <w:r w:rsidRPr="004E0585">
        <w:rPr>
          <w:rFonts w:ascii="Garamond" w:hAnsi="Garamond"/>
        </w:rPr>
        <w:t>la nullità per indeterminatezza ed indeterminabilità dell'oggetto dei contratti di avvalimento osta all'attivazione del soccorso istruttorio, attesa l'inidoneità dei medesimi a produrre effetti</w:t>
      </w:r>
      <w:r w:rsidRPr="006D67E0">
        <w:rPr>
          <w:rStyle w:val="Rimandonotaapidipagina"/>
          <w:rFonts w:ascii="Garamond" w:hAnsi="Garamond"/>
          <w:sz w:val="24"/>
        </w:rPr>
        <w:footnoteReference w:id="33"/>
      </w:r>
      <w:r w:rsidR="0030790E" w:rsidRPr="006D67E0">
        <w:rPr>
          <w:rFonts w:ascii="Garamond" w:hAnsi="Garamond"/>
        </w:rPr>
        <w:t>, ha</w:t>
      </w:r>
      <w:r w:rsidRPr="006D67E0">
        <w:rPr>
          <w:rFonts w:ascii="Garamond" w:hAnsi="Garamond"/>
        </w:rPr>
        <w:t xml:space="preserve"> </w:t>
      </w:r>
      <w:r w:rsidR="00CD0C1A">
        <w:rPr>
          <w:rFonts w:ascii="Garamond" w:hAnsi="Garamond"/>
        </w:rPr>
        <w:t xml:space="preserve">condotto </w:t>
      </w:r>
      <w:r w:rsidR="00511B05" w:rsidRPr="006D67E0">
        <w:rPr>
          <w:rFonts w:ascii="Garamond" w:hAnsi="Garamond"/>
        </w:rPr>
        <w:t>ad escludere</w:t>
      </w:r>
      <w:r w:rsidRPr="006D67E0">
        <w:rPr>
          <w:rFonts w:ascii="Garamond" w:hAnsi="Garamond"/>
        </w:rPr>
        <w:t xml:space="preserve"> l’</w:t>
      </w:r>
      <w:r w:rsidR="00511B05" w:rsidRPr="006D67E0">
        <w:rPr>
          <w:rFonts w:ascii="Garamond" w:hAnsi="Garamond"/>
        </w:rPr>
        <w:t>attivazione</w:t>
      </w:r>
      <w:r w:rsidRPr="006D67E0">
        <w:rPr>
          <w:rFonts w:ascii="Garamond" w:hAnsi="Garamond"/>
        </w:rPr>
        <w:t xml:space="preserve"> del soccorso istruttorio</w:t>
      </w:r>
      <w:r w:rsidR="0030790E" w:rsidRPr="006D67E0">
        <w:rPr>
          <w:rFonts w:ascii="Garamond" w:hAnsi="Garamond"/>
        </w:rPr>
        <w:t xml:space="preserve"> per colmare le lacune </w:t>
      </w:r>
      <w:r w:rsidR="009A3041" w:rsidRPr="006D67E0">
        <w:rPr>
          <w:rFonts w:ascii="Garamond" w:hAnsi="Garamond"/>
        </w:rPr>
        <w:t xml:space="preserve">dei contratti di avvalimento, essendo necessario che </w:t>
      </w:r>
      <w:r w:rsidR="0030790E" w:rsidRPr="006D67E0">
        <w:rPr>
          <w:rFonts w:ascii="Garamond" w:hAnsi="Garamond"/>
        </w:rPr>
        <w:t>gli stessi</w:t>
      </w:r>
      <w:r w:rsidR="009A3041" w:rsidRPr="006D67E0">
        <w:rPr>
          <w:rFonts w:ascii="Garamond" w:hAnsi="Garamond"/>
        </w:rPr>
        <w:t xml:space="preserve"> siano validi fin dal principio con la conseguente </w:t>
      </w:r>
      <w:r w:rsidR="009A3041" w:rsidRPr="001D0AD0">
        <w:rPr>
          <w:rFonts w:ascii="Garamond" w:hAnsi="Garamond"/>
        </w:rPr>
        <w:t>impossibilità di apportarvi integrazioni postume</w:t>
      </w:r>
      <w:r w:rsidR="009A3041" w:rsidRPr="001D0AD0">
        <w:rPr>
          <w:rStyle w:val="Rimandonotaapidipagina"/>
          <w:rFonts w:ascii="Garamond" w:hAnsi="Garamond"/>
          <w:sz w:val="24"/>
        </w:rPr>
        <w:footnoteReference w:id="34"/>
      </w:r>
      <w:r w:rsidR="00CD0C1A" w:rsidRPr="001D0AD0">
        <w:rPr>
          <w:rFonts w:ascii="Garamond" w:hAnsi="Garamond"/>
        </w:rPr>
        <w:t>.</w:t>
      </w:r>
    </w:p>
    <w:p w14:paraId="436E8EDA" w14:textId="042D1910" w:rsidR="00393674" w:rsidRPr="001D0AD0" w:rsidRDefault="00E7389E" w:rsidP="00270BF1">
      <w:pPr>
        <w:spacing w:line="276" w:lineRule="auto"/>
        <w:ind w:firstLine="284"/>
        <w:jc w:val="both"/>
        <w:rPr>
          <w:rFonts w:ascii="Garamond" w:hAnsi="Garamond"/>
        </w:rPr>
      </w:pPr>
      <w:r w:rsidRPr="001D0AD0">
        <w:rPr>
          <w:rFonts w:ascii="Garamond" w:hAnsi="Garamond"/>
        </w:rPr>
        <w:t xml:space="preserve">A </w:t>
      </w:r>
      <w:r w:rsidR="00C5706B" w:rsidRPr="001D0AD0">
        <w:rPr>
          <w:rFonts w:ascii="Garamond" w:hAnsi="Garamond"/>
        </w:rPr>
        <w:t xml:space="preserve">tal proposito </w:t>
      </w:r>
      <w:r w:rsidR="0089018B" w:rsidRPr="001D0AD0">
        <w:rPr>
          <w:rFonts w:ascii="Garamond" w:hAnsi="Garamond"/>
        </w:rPr>
        <w:t xml:space="preserve">deve evidenziarsi </w:t>
      </w:r>
      <w:r w:rsidR="00270BF1" w:rsidRPr="001D0AD0">
        <w:rPr>
          <w:rFonts w:ascii="Garamond" w:hAnsi="Garamond"/>
        </w:rPr>
        <w:t xml:space="preserve">un problema di </w:t>
      </w:r>
      <w:r w:rsidR="0089018B" w:rsidRPr="001D0AD0">
        <w:rPr>
          <w:rFonts w:ascii="Garamond" w:hAnsi="Garamond"/>
        </w:rPr>
        <w:t>“asimmetria”</w:t>
      </w:r>
      <w:r w:rsidR="00270BF1" w:rsidRPr="001D0AD0">
        <w:rPr>
          <w:rFonts w:ascii="Garamond" w:hAnsi="Garamond"/>
        </w:rPr>
        <w:t xml:space="preserve"> rispetto a quanto previsto dall’art. 89, comma 3 del D.Lgs. n. 50/2016</w:t>
      </w:r>
      <w:r w:rsidR="0089018B" w:rsidRPr="001D0AD0">
        <w:rPr>
          <w:rFonts w:ascii="Garamond" w:hAnsi="Garamond"/>
        </w:rPr>
        <w:t>, che</w:t>
      </w:r>
      <w:r w:rsidR="001D0AD0" w:rsidRPr="001D0AD0">
        <w:rPr>
          <w:rFonts w:ascii="Garamond" w:hAnsi="Garamond"/>
        </w:rPr>
        <w:t xml:space="preserve"> </w:t>
      </w:r>
      <w:r w:rsidR="00F718D8" w:rsidRPr="001D0AD0">
        <w:rPr>
          <w:rFonts w:ascii="Garamond" w:hAnsi="Garamond"/>
        </w:rPr>
        <w:t>consente</w:t>
      </w:r>
      <w:r w:rsidR="0089018B" w:rsidRPr="001D0AD0">
        <w:rPr>
          <w:rFonts w:ascii="Garamond" w:hAnsi="Garamond"/>
        </w:rPr>
        <w:t xml:space="preserve"> (</w:t>
      </w:r>
      <w:r w:rsidR="0089018B" w:rsidRPr="001D0AD0">
        <w:rPr>
          <w:rFonts w:ascii="Garamond" w:hAnsi="Garamond"/>
          <w:i/>
          <w:iCs/>
        </w:rPr>
        <w:t>rectius</w:t>
      </w:r>
      <w:r w:rsidR="0089018B" w:rsidRPr="001D0AD0">
        <w:rPr>
          <w:rFonts w:ascii="Garamond" w:hAnsi="Garamond"/>
        </w:rPr>
        <w:t>: impone)</w:t>
      </w:r>
      <w:r w:rsidR="00F718D8" w:rsidRPr="001D0AD0">
        <w:rPr>
          <w:rFonts w:ascii="Garamond" w:hAnsi="Garamond"/>
        </w:rPr>
        <w:t xml:space="preserve"> al</w:t>
      </w:r>
      <w:r w:rsidR="00393674" w:rsidRPr="001D0AD0">
        <w:rPr>
          <w:rFonts w:ascii="Garamond" w:hAnsi="Garamond"/>
        </w:rPr>
        <w:t xml:space="preserve"> concorrente ausiliato di sostituire </w:t>
      </w:r>
      <w:r w:rsidR="00F718D8" w:rsidRPr="001D0AD0">
        <w:rPr>
          <w:rFonts w:ascii="Garamond" w:hAnsi="Garamond"/>
        </w:rPr>
        <w:t>i propri ausiliari</w:t>
      </w:r>
      <w:r w:rsidR="00393674" w:rsidRPr="001D0AD0">
        <w:rPr>
          <w:rFonts w:ascii="Garamond" w:hAnsi="Garamond"/>
        </w:rPr>
        <w:t xml:space="preserve"> nel caso in cui, all’esito di apposite verifiche condotte dalla stazione appaltante, gli stessi risultino privi dei requisiti</w:t>
      </w:r>
      <w:r w:rsidR="00393674" w:rsidRPr="001D0AD0">
        <w:rPr>
          <w:rStyle w:val="Rimandonotaapidipagina"/>
        </w:rPr>
        <w:footnoteReference w:id="35"/>
      </w:r>
      <w:r w:rsidR="00393674" w:rsidRPr="001D0AD0">
        <w:rPr>
          <w:rFonts w:ascii="Garamond" w:hAnsi="Garamond"/>
        </w:rPr>
        <w:t>.</w:t>
      </w:r>
    </w:p>
    <w:p w14:paraId="4860247A" w14:textId="2C4D9DB5" w:rsidR="00270BF1" w:rsidRPr="001D0AD0" w:rsidRDefault="0089018B" w:rsidP="009B3724">
      <w:pPr>
        <w:spacing w:line="276" w:lineRule="auto"/>
        <w:ind w:firstLine="284"/>
        <w:jc w:val="both"/>
        <w:rPr>
          <w:rFonts w:ascii="Garamond" w:hAnsi="Garamond"/>
        </w:rPr>
      </w:pPr>
      <w:r w:rsidRPr="001D0AD0">
        <w:rPr>
          <w:rFonts w:ascii="Garamond" w:hAnsi="Garamond"/>
        </w:rPr>
        <w:lastRenderedPageBreak/>
        <w:t>In definitiva,</w:t>
      </w:r>
      <w:r w:rsidR="00E7389E" w:rsidRPr="001D0AD0">
        <w:rPr>
          <w:rFonts w:ascii="Garamond" w:hAnsi="Garamond"/>
        </w:rPr>
        <w:t xml:space="preserve"> </w:t>
      </w:r>
      <w:r w:rsidRPr="001D0AD0">
        <w:rPr>
          <w:rFonts w:ascii="Garamond" w:hAnsi="Garamond"/>
        </w:rPr>
        <w:t>da un lato</w:t>
      </w:r>
      <w:r w:rsidR="00E7389E" w:rsidRPr="001D0AD0">
        <w:rPr>
          <w:rFonts w:ascii="Garamond" w:hAnsi="Garamond"/>
        </w:rPr>
        <w:t xml:space="preserve"> si consente l’integrazione </w:t>
      </w:r>
      <w:r w:rsidR="00E7389E" w:rsidRPr="001D0AD0">
        <w:rPr>
          <w:rFonts w:ascii="Garamond" w:hAnsi="Garamond"/>
          <w:i/>
        </w:rPr>
        <w:t>ex post</w:t>
      </w:r>
      <w:r w:rsidR="00E7389E" w:rsidRPr="001D0AD0">
        <w:rPr>
          <w:rFonts w:ascii="Garamond" w:hAnsi="Garamond"/>
        </w:rPr>
        <w:t xml:space="preserve"> di una condizione di partecipazione con la sostituzione dell’ausiliaria </w:t>
      </w:r>
      <w:r w:rsidR="009B3724" w:rsidRPr="001D0AD0">
        <w:rPr>
          <w:rFonts w:ascii="Garamond" w:hAnsi="Garamond"/>
        </w:rPr>
        <w:t>mentre</w:t>
      </w:r>
      <w:r w:rsidR="00E7389E" w:rsidRPr="001D0AD0">
        <w:rPr>
          <w:rFonts w:ascii="Garamond" w:hAnsi="Garamond"/>
        </w:rPr>
        <w:t>, dall’altro,</w:t>
      </w:r>
      <w:r w:rsidR="009B3724" w:rsidRPr="001D0AD0">
        <w:rPr>
          <w:rFonts w:ascii="Garamond" w:hAnsi="Garamond"/>
        </w:rPr>
        <w:t xml:space="preserve"> la genericità del contratto di avvalimento viene sanzionata</w:t>
      </w:r>
      <w:r w:rsidR="00865B3A" w:rsidRPr="001D0AD0">
        <w:rPr>
          <w:rFonts w:ascii="Garamond" w:hAnsi="Garamond"/>
        </w:rPr>
        <w:t xml:space="preserve"> con </w:t>
      </w:r>
      <w:r w:rsidR="00DE2C45" w:rsidRPr="001D0AD0">
        <w:rPr>
          <w:rFonts w:ascii="Garamond" w:hAnsi="Garamond"/>
        </w:rPr>
        <w:t xml:space="preserve">la </w:t>
      </w:r>
      <w:r w:rsidR="00865B3A" w:rsidRPr="001D0AD0">
        <w:rPr>
          <w:rFonts w:ascii="Garamond" w:hAnsi="Garamond"/>
        </w:rPr>
        <w:t>nullità</w:t>
      </w:r>
      <w:r w:rsidR="00F718D8" w:rsidRPr="001D0AD0">
        <w:rPr>
          <w:rFonts w:ascii="Garamond" w:hAnsi="Garamond"/>
        </w:rPr>
        <w:t xml:space="preserve">, </w:t>
      </w:r>
      <w:r w:rsidR="001D0AD0" w:rsidRPr="001D0AD0">
        <w:rPr>
          <w:rFonts w:ascii="Garamond" w:hAnsi="Garamond"/>
        </w:rPr>
        <w:t>restando preclusa la</w:t>
      </w:r>
      <w:r w:rsidR="00F718D8" w:rsidRPr="001D0AD0">
        <w:rPr>
          <w:rFonts w:ascii="Garamond" w:hAnsi="Garamond"/>
        </w:rPr>
        <w:t xml:space="preserve"> possibilità del soccorso istruttorio. </w:t>
      </w:r>
      <w:r w:rsidR="006E29FF">
        <w:rPr>
          <w:rFonts w:ascii="Garamond" w:hAnsi="Garamond"/>
        </w:rPr>
        <w:t xml:space="preserve">La ragione – ma non la giustificazione - di tale differente regime potrebbe </w:t>
      </w:r>
      <w:r w:rsidR="00073860">
        <w:rPr>
          <w:rFonts w:ascii="Garamond" w:hAnsi="Garamond"/>
        </w:rPr>
        <w:t>risiedere nella circostanza che</w:t>
      </w:r>
      <w:r w:rsidR="003A351E" w:rsidRPr="001D0AD0">
        <w:rPr>
          <w:rFonts w:ascii="Garamond" w:hAnsi="Garamond"/>
        </w:rPr>
        <w:t xml:space="preserve"> la </w:t>
      </w:r>
      <w:r w:rsidRPr="001D0AD0">
        <w:rPr>
          <w:rFonts w:ascii="Garamond" w:hAnsi="Garamond"/>
        </w:rPr>
        <w:t xml:space="preserve">prescrizione sulla </w:t>
      </w:r>
      <w:r w:rsidR="00F718D8" w:rsidRPr="001D0AD0">
        <w:rPr>
          <w:rFonts w:ascii="Garamond" w:hAnsi="Garamond"/>
        </w:rPr>
        <w:t>sostituzione</w:t>
      </w:r>
      <w:r w:rsidR="001D0AD0" w:rsidRPr="001D0AD0">
        <w:rPr>
          <w:rFonts w:ascii="Garamond" w:hAnsi="Garamond"/>
        </w:rPr>
        <w:t xml:space="preserve"> </w:t>
      </w:r>
      <w:r w:rsidR="003A351E" w:rsidRPr="001D0AD0">
        <w:rPr>
          <w:rFonts w:ascii="Garamond" w:hAnsi="Garamond"/>
        </w:rPr>
        <w:t>dell’ausiliario pri</w:t>
      </w:r>
      <w:r w:rsidR="001D0AD0">
        <w:rPr>
          <w:rFonts w:ascii="Garamond" w:hAnsi="Garamond"/>
        </w:rPr>
        <w:t>vo dei necessari requisiti</w:t>
      </w:r>
      <w:r w:rsidR="00F718D8" w:rsidRPr="001D0AD0">
        <w:rPr>
          <w:rFonts w:ascii="Garamond" w:hAnsi="Garamond"/>
        </w:rPr>
        <w:t xml:space="preserve"> è di fonte comunitaria</w:t>
      </w:r>
      <w:r w:rsidR="003A351E" w:rsidRPr="001D0AD0">
        <w:rPr>
          <w:rFonts w:ascii="Garamond" w:hAnsi="Garamond"/>
        </w:rPr>
        <w:t xml:space="preserve"> e</w:t>
      </w:r>
      <w:r w:rsidR="001D0AD0" w:rsidRPr="001D0AD0">
        <w:rPr>
          <w:rFonts w:ascii="Garamond" w:hAnsi="Garamond"/>
        </w:rPr>
        <w:t xml:space="preserve"> </w:t>
      </w:r>
      <w:r w:rsidR="00D74AFB" w:rsidRPr="001D0AD0">
        <w:rPr>
          <w:rFonts w:ascii="Garamond" w:hAnsi="Garamond"/>
        </w:rPr>
        <w:t xml:space="preserve">la sanzione di nullità </w:t>
      </w:r>
      <w:r w:rsidR="003A351E" w:rsidRPr="001D0AD0">
        <w:rPr>
          <w:rFonts w:ascii="Garamond" w:hAnsi="Garamond"/>
        </w:rPr>
        <w:t>per genericità del contratto di avvalimento è frutto di autonoma ideazione del nostro Legislatore.</w:t>
      </w:r>
    </w:p>
    <w:p w14:paraId="47E11C68" w14:textId="1BF1E703" w:rsidR="00511B05" w:rsidRPr="00460B5C" w:rsidRDefault="0030790E" w:rsidP="006D67E0">
      <w:pPr>
        <w:spacing w:line="276" w:lineRule="auto"/>
        <w:jc w:val="both"/>
        <w:rPr>
          <w:rFonts w:ascii="Garamond" w:hAnsi="Garamond"/>
        </w:rPr>
      </w:pPr>
      <w:r w:rsidRPr="006D67E0">
        <w:rPr>
          <w:rFonts w:ascii="Garamond" w:hAnsi="Garamond"/>
        </w:rPr>
        <w:tab/>
      </w:r>
      <w:r w:rsidR="00D74AFB">
        <w:rPr>
          <w:rFonts w:ascii="Garamond" w:hAnsi="Garamond"/>
        </w:rPr>
        <w:t xml:space="preserve">Resta infine </w:t>
      </w:r>
      <w:r w:rsidR="00511B05" w:rsidRPr="006D67E0">
        <w:rPr>
          <w:rFonts w:ascii="Garamond" w:hAnsi="Garamond"/>
        </w:rPr>
        <w:t xml:space="preserve">da interrogarsi sulla possibilità di attivazione </w:t>
      </w:r>
      <w:r w:rsidR="004D6BCD" w:rsidRPr="006D67E0">
        <w:rPr>
          <w:rFonts w:ascii="Garamond" w:hAnsi="Garamond"/>
        </w:rPr>
        <w:t>del</w:t>
      </w:r>
      <w:r w:rsidR="006E29FF">
        <w:rPr>
          <w:rFonts w:ascii="Garamond" w:hAnsi="Garamond"/>
        </w:rPr>
        <w:t xml:space="preserve"> soccorso istruttorio</w:t>
      </w:r>
      <w:r w:rsidR="004D6BCD" w:rsidRPr="006D67E0">
        <w:rPr>
          <w:rFonts w:ascii="Garamond" w:hAnsi="Garamond"/>
        </w:rPr>
        <w:t xml:space="preserve"> </w:t>
      </w:r>
      <w:r w:rsidR="00511B05" w:rsidRPr="006D67E0">
        <w:rPr>
          <w:rFonts w:ascii="Garamond" w:hAnsi="Garamond"/>
        </w:rPr>
        <w:t xml:space="preserve">nei casi in </w:t>
      </w:r>
      <w:r w:rsidRPr="006D67E0">
        <w:rPr>
          <w:rFonts w:ascii="Garamond" w:hAnsi="Garamond"/>
        </w:rPr>
        <w:t xml:space="preserve">cui il contratto di avvalimento, giudicato come </w:t>
      </w:r>
      <w:r w:rsidR="00511B05" w:rsidRPr="006D67E0">
        <w:rPr>
          <w:rFonts w:ascii="Garamond" w:hAnsi="Garamond"/>
        </w:rPr>
        <w:t xml:space="preserve">determinato e specifico, </w:t>
      </w:r>
      <w:r w:rsidRPr="006D67E0">
        <w:rPr>
          <w:rFonts w:ascii="Garamond" w:hAnsi="Garamond"/>
        </w:rPr>
        <w:t>non risulti adeguato</w:t>
      </w:r>
      <w:r w:rsidR="00511B05" w:rsidRPr="006D67E0">
        <w:rPr>
          <w:rFonts w:ascii="Garamond" w:hAnsi="Garamond"/>
        </w:rPr>
        <w:t xml:space="preserve"> al fine dell’esecuzione dell’appalto, secondo </w:t>
      </w:r>
      <w:r w:rsidR="00CD0C1A">
        <w:rPr>
          <w:rFonts w:ascii="Garamond" w:hAnsi="Garamond"/>
        </w:rPr>
        <w:t>quel sindacato di merito</w:t>
      </w:r>
      <w:r w:rsidR="00511B05" w:rsidRPr="006D67E0">
        <w:rPr>
          <w:rFonts w:ascii="Garamond" w:hAnsi="Garamond"/>
        </w:rPr>
        <w:t xml:space="preserve"> che, come detto, si </w:t>
      </w:r>
      <w:r w:rsidR="00CD0C1A">
        <w:rPr>
          <w:rFonts w:ascii="Garamond" w:hAnsi="Garamond"/>
        </w:rPr>
        <w:t>è affacciato</w:t>
      </w:r>
      <w:r w:rsidRPr="006D67E0">
        <w:rPr>
          <w:rFonts w:ascii="Garamond" w:hAnsi="Garamond"/>
        </w:rPr>
        <w:t xml:space="preserve"> </w:t>
      </w:r>
      <w:r w:rsidR="00073860">
        <w:rPr>
          <w:rFonts w:ascii="Garamond" w:hAnsi="Garamond"/>
        </w:rPr>
        <w:t>negli anni più recenti</w:t>
      </w:r>
      <w:r w:rsidRPr="006D67E0">
        <w:rPr>
          <w:rFonts w:ascii="Garamond" w:hAnsi="Garamond"/>
        </w:rPr>
        <w:t xml:space="preserve"> </w:t>
      </w:r>
      <w:r w:rsidR="003340E0">
        <w:rPr>
          <w:rFonts w:ascii="Garamond" w:hAnsi="Garamond"/>
        </w:rPr>
        <w:t xml:space="preserve">nel </w:t>
      </w:r>
      <w:r w:rsidR="00460776">
        <w:rPr>
          <w:rFonts w:ascii="Garamond" w:hAnsi="Garamond"/>
        </w:rPr>
        <w:t xml:space="preserve">nostro </w:t>
      </w:r>
      <w:r w:rsidRPr="006D67E0">
        <w:rPr>
          <w:rFonts w:ascii="Garamond" w:hAnsi="Garamond"/>
        </w:rPr>
        <w:t>panorama giurisprudenziale</w:t>
      </w:r>
      <w:r w:rsidR="00511B05" w:rsidRPr="006D67E0">
        <w:rPr>
          <w:rFonts w:ascii="Garamond" w:hAnsi="Garamond"/>
        </w:rPr>
        <w:t>.</w:t>
      </w:r>
      <w:r w:rsidR="004D6BCD" w:rsidRPr="006D67E0">
        <w:rPr>
          <w:rFonts w:ascii="Garamond" w:hAnsi="Garamond"/>
        </w:rPr>
        <w:t xml:space="preserve"> Alla luce delle considerazioni sopra esposte si ritiene che anche in questo caso il soccorso istruttorio debba ritenersi escluso. </w:t>
      </w:r>
      <w:r w:rsidR="002D5DAE" w:rsidRPr="006D67E0">
        <w:rPr>
          <w:rFonts w:ascii="Garamond" w:hAnsi="Garamond"/>
        </w:rPr>
        <w:t xml:space="preserve">Tuttavia, non </w:t>
      </w:r>
      <w:r w:rsidR="00394E61" w:rsidRPr="006D67E0">
        <w:rPr>
          <w:rFonts w:ascii="Garamond" w:hAnsi="Garamond"/>
        </w:rPr>
        <w:t xml:space="preserve">si </w:t>
      </w:r>
      <w:r w:rsidR="002D5DAE" w:rsidRPr="006D67E0">
        <w:rPr>
          <w:rFonts w:ascii="Garamond" w:hAnsi="Garamond"/>
        </w:rPr>
        <w:t xml:space="preserve">può </w:t>
      </w:r>
      <w:r w:rsidR="00394E61" w:rsidRPr="006D67E0">
        <w:rPr>
          <w:rFonts w:ascii="Garamond" w:hAnsi="Garamond"/>
        </w:rPr>
        <w:t>trascurare</w:t>
      </w:r>
      <w:r w:rsidR="002D5DAE" w:rsidRPr="006D67E0">
        <w:rPr>
          <w:rFonts w:ascii="Garamond" w:hAnsi="Garamond"/>
        </w:rPr>
        <w:t xml:space="preserve"> di segnalare </w:t>
      </w:r>
      <w:r w:rsidR="00460776">
        <w:rPr>
          <w:rFonts w:ascii="Garamond" w:hAnsi="Garamond"/>
        </w:rPr>
        <w:t xml:space="preserve">il diverso </w:t>
      </w:r>
      <w:r w:rsidR="002D5DAE" w:rsidRPr="006D67E0">
        <w:rPr>
          <w:rFonts w:ascii="Garamond" w:hAnsi="Garamond"/>
        </w:rPr>
        <w:t>orientamento espresso dall’ANAC</w:t>
      </w:r>
      <w:r w:rsidR="00E96AC4">
        <w:rPr>
          <w:rFonts w:ascii="Garamond" w:hAnsi="Garamond"/>
        </w:rPr>
        <w:t>,</w:t>
      </w:r>
      <w:r w:rsidR="002D5DAE" w:rsidRPr="006D67E0">
        <w:rPr>
          <w:rFonts w:ascii="Garamond" w:hAnsi="Garamond"/>
        </w:rPr>
        <w:t xml:space="preserve"> secondo cui il soccorso istruttorio sarebbe precluso solo nel caso di nullità del contratto per indeterminatezza assoluta dell’oggetto ovvero per mancata produzione del contratto al momento della presentazione dell’offerta </w:t>
      </w:r>
      <w:r w:rsidR="00394E61" w:rsidRPr="006D67E0">
        <w:rPr>
          <w:rFonts w:ascii="Garamond" w:hAnsi="Garamond"/>
        </w:rPr>
        <w:t>(purché</w:t>
      </w:r>
      <w:r w:rsidR="002D5DAE" w:rsidRPr="006D67E0">
        <w:rPr>
          <w:rFonts w:ascii="Garamond" w:hAnsi="Garamond"/>
        </w:rPr>
        <w:t xml:space="preserve"> non sottoscritto p</w:t>
      </w:r>
      <w:r w:rsidR="00394E61" w:rsidRPr="006D67E0">
        <w:rPr>
          <w:rFonts w:ascii="Garamond" w:hAnsi="Garamond"/>
        </w:rPr>
        <w:t>rima della scadenza dei termini) e non anche “</w:t>
      </w:r>
      <w:r w:rsidR="00394E61" w:rsidRPr="006D67E0">
        <w:rPr>
          <w:rFonts w:ascii="Garamond" w:hAnsi="Garamond"/>
          <w:i/>
        </w:rPr>
        <w:t xml:space="preserve">qualora la Stazione appaltante avesse inteso non sufficienti i mezzi e/o il </w:t>
      </w:r>
      <w:r w:rsidR="00394E61" w:rsidRPr="00460B5C">
        <w:rPr>
          <w:rFonts w:ascii="Garamond" w:hAnsi="Garamond"/>
          <w:i/>
        </w:rPr>
        <w:t>personale messo a disposizione dall’ausiliaria per l’esecuzione dell’appalto</w:t>
      </w:r>
      <w:r w:rsidR="00394E61" w:rsidRPr="00460B5C">
        <w:rPr>
          <w:rFonts w:ascii="Garamond" w:hAnsi="Garamond"/>
        </w:rPr>
        <w:t>”</w:t>
      </w:r>
      <w:r w:rsidR="00E96AC4" w:rsidRPr="00E96AC4">
        <w:rPr>
          <w:rStyle w:val="Rimandonotaapidipagina"/>
          <w:rFonts w:ascii="Garamond" w:hAnsi="Garamond"/>
          <w:sz w:val="24"/>
        </w:rPr>
        <w:t xml:space="preserve"> </w:t>
      </w:r>
      <w:r w:rsidR="00E96AC4" w:rsidRPr="006D67E0">
        <w:rPr>
          <w:rStyle w:val="Rimandonotaapidipagina"/>
          <w:rFonts w:ascii="Garamond" w:hAnsi="Garamond"/>
          <w:sz w:val="24"/>
        </w:rPr>
        <w:footnoteReference w:id="36"/>
      </w:r>
      <w:r w:rsidR="00394E61" w:rsidRPr="00460B5C">
        <w:rPr>
          <w:rFonts w:ascii="Garamond" w:hAnsi="Garamond"/>
        </w:rPr>
        <w:t>.</w:t>
      </w:r>
    </w:p>
    <w:p w14:paraId="220BA0F1" w14:textId="77777777" w:rsidR="006C7247" w:rsidRPr="00460B5C" w:rsidRDefault="006C7247" w:rsidP="006D67E0">
      <w:pPr>
        <w:pStyle w:val="Paragrafoelenco"/>
        <w:spacing w:line="276" w:lineRule="auto"/>
        <w:ind w:left="360"/>
        <w:rPr>
          <w:rFonts w:ascii="Garamond" w:hAnsi="Garamond" w:cs="Times New Roman"/>
          <w:b/>
          <w:sz w:val="24"/>
          <w:szCs w:val="24"/>
        </w:rPr>
      </w:pPr>
    </w:p>
    <w:p w14:paraId="332A0B41" w14:textId="77777777" w:rsidR="00394E61" w:rsidRPr="00460B5C" w:rsidRDefault="00394E61" w:rsidP="006D67E0">
      <w:pPr>
        <w:pStyle w:val="Paragrafoelenco"/>
        <w:spacing w:line="276" w:lineRule="auto"/>
        <w:ind w:left="360"/>
        <w:rPr>
          <w:rFonts w:ascii="Garamond" w:hAnsi="Garamond" w:cs="Times New Roman"/>
          <w:b/>
          <w:sz w:val="24"/>
          <w:szCs w:val="24"/>
        </w:rPr>
      </w:pPr>
    </w:p>
    <w:p w14:paraId="3432BC1A" w14:textId="6CD2C126" w:rsidR="006C7247" w:rsidRPr="00460B5C" w:rsidRDefault="00100C18" w:rsidP="00743D2F">
      <w:pPr>
        <w:pStyle w:val="Titolo1"/>
      </w:pPr>
      <w:bookmarkStart w:id="8" w:name="_Toc35453355"/>
      <w:bookmarkStart w:id="9" w:name="_Toc38992722"/>
      <w:r w:rsidRPr="00460B5C">
        <w:t>I requisiti suscettibili di avvalimento</w:t>
      </w:r>
      <w:r w:rsidR="009A26E1" w:rsidRPr="00460B5C">
        <w:t xml:space="preserve"> con particolare riferimento alle </w:t>
      </w:r>
      <w:r w:rsidR="00CD0C1A" w:rsidRPr="00460B5C">
        <w:t>“</w:t>
      </w:r>
      <w:r w:rsidR="009A26E1" w:rsidRPr="00460B5C">
        <w:t>esperienze professionali</w:t>
      </w:r>
      <w:r w:rsidR="008A62E6" w:rsidRPr="00460B5C">
        <w:t xml:space="preserve"> </w:t>
      </w:r>
      <w:r w:rsidR="009A26E1" w:rsidRPr="00460B5C">
        <w:t>pertinenti</w:t>
      </w:r>
      <w:r w:rsidR="00CD0C1A" w:rsidRPr="00460B5C">
        <w:t>”</w:t>
      </w:r>
      <w:bookmarkEnd w:id="8"/>
      <w:bookmarkEnd w:id="9"/>
    </w:p>
    <w:p w14:paraId="54230F17" w14:textId="6644583C" w:rsidR="00DE22F2" w:rsidRPr="006D67E0" w:rsidRDefault="007B13C1" w:rsidP="006D67E0">
      <w:pPr>
        <w:pStyle w:val="TESTOCOMM"/>
        <w:spacing w:line="276" w:lineRule="auto"/>
        <w:rPr>
          <w:rFonts w:ascii="Garamond" w:hAnsi="Garamond"/>
          <w:sz w:val="24"/>
          <w:szCs w:val="24"/>
          <w:lang w:eastAsia="en-US"/>
        </w:rPr>
      </w:pPr>
      <w:r w:rsidRPr="00460B5C">
        <w:rPr>
          <w:rFonts w:ascii="Garamond" w:hAnsi="Garamond"/>
          <w:sz w:val="24"/>
          <w:szCs w:val="24"/>
          <w:lang w:eastAsia="en-US"/>
        </w:rPr>
        <w:t xml:space="preserve">La già illustrata differenza tra l’avvalimento cd. di garanzia e l’avvalimento cd. tecnico-operativo </w:t>
      </w:r>
      <w:r w:rsidR="006364AD" w:rsidRPr="00460B5C">
        <w:rPr>
          <w:rFonts w:ascii="Garamond" w:hAnsi="Garamond"/>
          <w:sz w:val="24"/>
          <w:szCs w:val="24"/>
          <w:lang w:eastAsia="en-US"/>
        </w:rPr>
        <w:t>si traduce</w:t>
      </w:r>
      <w:r w:rsidR="001A52F3" w:rsidRPr="00460B5C">
        <w:rPr>
          <w:rFonts w:ascii="Garamond" w:hAnsi="Garamond"/>
          <w:sz w:val="24"/>
          <w:szCs w:val="24"/>
          <w:lang w:eastAsia="en-US"/>
        </w:rPr>
        <w:t xml:space="preserve"> anzitutto, come </w:t>
      </w:r>
      <w:r w:rsidR="00E423B2" w:rsidRPr="00460B5C">
        <w:rPr>
          <w:rFonts w:ascii="Garamond" w:hAnsi="Garamond"/>
          <w:sz w:val="24"/>
          <w:szCs w:val="24"/>
          <w:lang w:eastAsia="en-US"/>
        </w:rPr>
        <w:t>detto</w:t>
      </w:r>
      <w:r w:rsidR="001A52F3" w:rsidRPr="00460B5C">
        <w:rPr>
          <w:rFonts w:ascii="Garamond" w:hAnsi="Garamond"/>
          <w:sz w:val="24"/>
          <w:szCs w:val="24"/>
          <w:lang w:eastAsia="en-US"/>
        </w:rPr>
        <w:t xml:space="preserve">, </w:t>
      </w:r>
      <w:r w:rsidR="006753BD" w:rsidRPr="00460B5C">
        <w:rPr>
          <w:rFonts w:ascii="Garamond" w:hAnsi="Garamond"/>
          <w:sz w:val="24"/>
          <w:szCs w:val="24"/>
          <w:lang w:eastAsia="en-US"/>
        </w:rPr>
        <w:t xml:space="preserve">in </w:t>
      </w:r>
      <w:r w:rsidR="006364AD" w:rsidRPr="00460B5C">
        <w:rPr>
          <w:rFonts w:ascii="Garamond" w:hAnsi="Garamond"/>
          <w:sz w:val="24"/>
          <w:szCs w:val="24"/>
          <w:lang w:eastAsia="en-US"/>
        </w:rPr>
        <w:t xml:space="preserve">un </w:t>
      </w:r>
      <w:r w:rsidR="007E72C9" w:rsidRPr="00460B5C">
        <w:rPr>
          <w:rFonts w:ascii="Garamond" w:hAnsi="Garamond"/>
          <w:sz w:val="24"/>
          <w:szCs w:val="24"/>
          <w:lang w:eastAsia="en-US"/>
        </w:rPr>
        <w:t>diverso</w:t>
      </w:r>
      <w:r w:rsidR="006364AD" w:rsidRPr="00460B5C">
        <w:rPr>
          <w:rFonts w:ascii="Garamond" w:hAnsi="Garamond"/>
          <w:sz w:val="24"/>
          <w:szCs w:val="24"/>
          <w:lang w:eastAsia="en-US"/>
        </w:rPr>
        <w:t xml:space="preserve"> grado di analiticità e specificità </w:t>
      </w:r>
      <w:r w:rsidR="00DF7F91" w:rsidRPr="00460B5C">
        <w:rPr>
          <w:rFonts w:ascii="Garamond" w:hAnsi="Garamond"/>
          <w:sz w:val="24"/>
          <w:szCs w:val="24"/>
          <w:lang w:eastAsia="en-US"/>
        </w:rPr>
        <w:t>n</w:t>
      </w:r>
      <w:r w:rsidR="006364AD" w:rsidRPr="00460B5C">
        <w:rPr>
          <w:rFonts w:ascii="Garamond" w:hAnsi="Garamond"/>
          <w:sz w:val="24"/>
          <w:szCs w:val="24"/>
          <w:lang w:eastAsia="en-US"/>
        </w:rPr>
        <w:t>ell’indicazione</w:t>
      </w:r>
      <w:r w:rsidR="006753BD" w:rsidRPr="00460B5C">
        <w:rPr>
          <w:rFonts w:ascii="Garamond" w:hAnsi="Garamond"/>
          <w:sz w:val="24"/>
          <w:szCs w:val="24"/>
          <w:lang w:eastAsia="en-US"/>
        </w:rPr>
        <w:t xml:space="preserve"> di</w:t>
      </w:r>
      <w:r w:rsidR="006364AD" w:rsidRPr="00460B5C">
        <w:rPr>
          <w:rFonts w:ascii="Garamond" w:hAnsi="Garamond"/>
          <w:sz w:val="24"/>
          <w:szCs w:val="24"/>
          <w:lang w:eastAsia="en-US"/>
        </w:rPr>
        <w:t xml:space="preserve"> quanto prestato</w:t>
      </w:r>
      <w:r w:rsidR="006753BD" w:rsidRPr="00460B5C">
        <w:rPr>
          <w:rFonts w:ascii="Garamond" w:hAnsi="Garamond"/>
          <w:sz w:val="24"/>
          <w:szCs w:val="24"/>
          <w:lang w:eastAsia="en-US"/>
        </w:rPr>
        <w:t>,</w:t>
      </w:r>
      <w:r w:rsidR="006364AD" w:rsidRPr="00460B5C">
        <w:rPr>
          <w:rFonts w:ascii="Garamond" w:hAnsi="Garamond"/>
          <w:sz w:val="24"/>
          <w:szCs w:val="24"/>
          <w:lang w:eastAsia="en-US"/>
        </w:rPr>
        <w:t xml:space="preserve"> </w:t>
      </w:r>
      <w:r w:rsidR="006439A8" w:rsidRPr="00460B5C">
        <w:rPr>
          <w:rFonts w:ascii="Garamond" w:hAnsi="Garamond"/>
          <w:sz w:val="24"/>
          <w:szCs w:val="24"/>
          <w:lang w:eastAsia="en-US"/>
        </w:rPr>
        <w:t>a pena di nullità</w:t>
      </w:r>
      <w:r w:rsidR="004C2253">
        <w:rPr>
          <w:rFonts w:ascii="Garamond" w:hAnsi="Garamond"/>
          <w:sz w:val="24"/>
          <w:szCs w:val="24"/>
          <w:lang w:eastAsia="en-US"/>
        </w:rPr>
        <w:t>,</w:t>
      </w:r>
      <w:r w:rsidR="006439A8" w:rsidRPr="00460B5C">
        <w:rPr>
          <w:rFonts w:ascii="Garamond" w:hAnsi="Garamond"/>
          <w:sz w:val="24"/>
          <w:szCs w:val="24"/>
          <w:lang w:eastAsia="en-US"/>
        </w:rPr>
        <w:t xml:space="preserve"> del contratto di avvalimento</w:t>
      </w:r>
      <w:r w:rsidR="006439A8" w:rsidRPr="007B13C1">
        <w:rPr>
          <w:rFonts w:ascii="Garamond" w:hAnsi="Garamond"/>
          <w:b/>
          <w:sz w:val="24"/>
          <w:szCs w:val="24"/>
          <w:lang w:eastAsia="en-US"/>
        </w:rPr>
        <w:t xml:space="preserve"> </w:t>
      </w:r>
      <w:r w:rsidR="00DE22F2" w:rsidRPr="007B13C1">
        <w:rPr>
          <w:rFonts w:ascii="Garamond" w:hAnsi="Garamond"/>
          <w:sz w:val="24"/>
          <w:szCs w:val="24"/>
          <w:lang w:eastAsia="en-US"/>
        </w:rPr>
        <w:t>(ar</w:t>
      </w:r>
      <w:r w:rsidR="000C2C28" w:rsidRPr="007B13C1">
        <w:rPr>
          <w:rFonts w:ascii="Garamond" w:hAnsi="Garamond"/>
          <w:sz w:val="24"/>
          <w:szCs w:val="24"/>
          <w:lang w:eastAsia="en-US"/>
        </w:rPr>
        <w:t>t. 89, comma 1, D.Lgs.</w:t>
      </w:r>
      <w:r w:rsidR="00DE22F2" w:rsidRPr="007B13C1">
        <w:rPr>
          <w:rFonts w:ascii="Garamond" w:hAnsi="Garamond"/>
          <w:sz w:val="24"/>
          <w:szCs w:val="24"/>
          <w:lang w:eastAsia="en-US"/>
        </w:rPr>
        <w:t xml:space="preserve"> </w:t>
      </w:r>
      <w:r w:rsidR="00D724DA">
        <w:rPr>
          <w:rFonts w:ascii="Garamond" w:hAnsi="Garamond"/>
          <w:sz w:val="24"/>
          <w:szCs w:val="24"/>
          <w:lang w:eastAsia="en-US"/>
        </w:rPr>
        <w:t xml:space="preserve">n. </w:t>
      </w:r>
      <w:r w:rsidR="00DE22F2" w:rsidRPr="007B13C1">
        <w:rPr>
          <w:rFonts w:ascii="Garamond" w:hAnsi="Garamond"/>
          <w:sz w:val="24"/>
          <w:szCs w:val="24"/>
          <w:lang w:eastAsia="en-US"/>
        </w:rPr>
        <w:t>50/2016)</w:t>
      </w:r>
      <w:r w:rsidR="001A52F3" w:rsidRPr="007B13C1">
        <w:rPr>
          <w:rFonts w:ascii="Garamond" w:hAnsi="Garamond"/>
          <w:sz w:val="24"/>
          <w:szCs w:val="24"/>
          <w:lang w:eastAsia="en-US"/>
        </w:rPr>
        <w:t xml:space="preserve"> e, in secondo luogo, si riverbera</w:t>
      </w:r>
      <w:r w:rsidR="001A52F3" w:rsidRPr="00DF7F91">
        <w:rPr>
          <w:rFonts w:ascii="Garamond" w:hAnsi="Garamond"/>
          <w:sz w:val="24"/>
          <w:szCs w:val="24"/>
          <w:lang w:eastAsia="en-US"/>
        </w:rPr>
        <w:t xml:space="preserve"> anche in sede di esecuzione</w:t>
      </w:r>
      <w:r w:rsidR="00AA4035" w:rsidRPr="00DF7F91">
        <w:rPr>
          <w:rFonts w:ascii="Garamond" w:hAnsi="Garamond"/>
          <w:sz w:val="24"/>
          <w:szCs w:val="24"/>
          <w:lang w:eastAsia="en-US"/>
        </w:rPr>
        <w:t>,</w:t>
      </w:r>
      <w:r w:rsidR="00DE22F2" w:rsidRPr="00DF7F91">
        <w:rPr>
          <w:rFonts w:ascii="Garamond" w:hAnsi="Garamond"/>
          <w:sz w:val="24"/>
          <w:szCs w:val="24"/>
          <w:lang w:eastAsia="en-US"/>
        </w:rPr>
        <w:t xml:space="preserve"> laddove l’effettivo impiego delle risorse prestate </w:t>
      </w:r>
      <w:r w:rsidR="00BF74F4">
        <w:rPr>
          <w:rFonts w:ascii="Garamond" w:hAnsi="Garamond"/>
          <w:sz w:val="24"/>
          <w:szCs w:val="24"/>
          <w:lang w:eastAsia="en-US"/>
        </w:rPr>
        <w:lastRenderedPageBreak/>
        <w:t>sembrerebbe</w:t>
      </w:r>
      <w:r w:rsidR="00DE22F2" w:rsidRPr="00DF7F91">
        <w:rPr>
          <w:rFonts w:ascii="Garamond" w:hAnsi="Garamond"/>
          <w:sz w:val="24"/>
          <w:szCs w:val="24"/>
          <w:lang w:eastAsia="en-US"/>
        </w:rPr>
        <w:t xml:space="preserve"> valutato a pena di</w:t>
      </w:r>
      <w:r w:rsidR="00DE22F2" w:rsidRPr="00DF7F91">
        <w:rPr>
          <w:rFonts w:ascii="Garamond" w:hAnsi="Garamond"/>
          <w:b/>
          <w:sz w:val="24"/>
          <w:szCs w:val="24"/>
          <w:lang w:eastAsia="en-US"/>
        </w:rPr>
        <w:t xml:space="preserve"> </w:t>
      </w:r>
      <w:r w:rsidR="00DE22F2" w:rsidRPr="00DF7F91">
        <w:rPr>
          <w:rFonts w:ascii="Garamond" w:hAnsi="Garamond"/>
          <w:sz w:val="24"/>
          <w:szCs w:val="24"/>
          <w:lang w:eastAsia="en-US"/>
        </w:rPr>
        <w:t>risoluzione del contratto di appalto solo per quanto riguarda l’avvalimento tecnico-operati</w:t>
      </w:r>
      <w:r w:rsidR="000C2C28" w:rsidRPr="00DF7F91">
        <w:rPr>
          <w:rFonts w:ascii="Garamond" w:hAnsi="Garamond"/>
          <w:sz w:val="24"/>
          <w:szCs w:val="24"/>
          <w:lang w:eastAsia="en-US"/>
        </w:rPr>
        <w:t xml:space="preserve">vo (art. 89, comma 9, D.Lgs. </w:t>
      </w:r>
      <w:r w:rsidR="00D724DA">
        <w:rPr>
          <w:rFonts w:ascii="Garamond" w:hAnsi="Garamond"/>
          <w:sz w:val="24"/>
          <w:szCs w:val="24"/>
          <w:lang w:eastAsia="en-US"/>
        </w:rPr>
        <w:t xml:space="preserve">n. </w:t>
      </w:r>
      <w:r w:rsidR="00DE22F2" w:rsidRPr="00DF7F91">
        <w:rPr>
          <w:rFonts w:ascii="Garamond" w:hAnsi="Garamond"/>
          <w:sz w:val="24"/>
          <w:szCs w:val="24"/>
          <w:lang w:eastAsia="en-US"/>
        </w:rPr>
        <w:t>50/2016).</w:t>
      </w:r>
      <w:r w:rsidR="009A26E1" w:rsidRPr="00DF7F91">
        <w:rPr>
          <w:rFonts w:ascii="Garamond" w:hAnsi="Garamond"/>
          <w:sz w:val="24"/>
          <w:szCs w:val="24"/>
          <w:lang w:eastAsia="en-US"/>
        </w:rPr>
        <w:t xml:space="preserve"> </w:t>
      </w:r>
    </w:p>
    <w:p w14:paraId="23369013" w14:textId="589D3F6E" w:rsidR="009A26E1" w:rsidRPr="006D67E0" w:rsidRDefault="00CD0C1A" w:rsidP="00CD0C1A">
      <w:pPr>
        <w:pStyle w:val="TESTOCOMM"/>
        <w:spacing w:line="276" w:lineRule="auto"/>
        <w:rPr>
          <w:rFonts w:ascii="Garamond" w:hAnsi="Garamond"/>
          <w:sz w:val="24"/>
          <w:szCs w:val="24"/>
          <w:lang w:eastAsia="en-US"/>
        </w:rPr>
      </w:pPr>
      <w:r w:rsidRPr="00CD0C1A">
        <w:rPr>
          <w:rFonts w:ascii="Garamond" w:eastAsiaTheme="minorHAnsi" w:hAnsi="Garamond"/>
          <w:sz w:val="24"/>
          <w:szCs w:val="24"/>
        </w:rPr>
        <w:t xml:space="preserve">Nel contesto </w:t>
      </w:r>
      <w:r w:rsidR="003340E0">
        <w:rPr>
          <w:rFonts w:ascii="Garamond" w:eastAsiaTheme="minorHAnsi" w:hAnsi="Garamond"/>
          <w:sz w:val="24"/>
          <w:szCs w:val="24"/>
        </w:rPr>
        <w:t>di quest’ultimo</w:t>
      </w:r>
      <w:r>
        <w:rPr>
          <w:rFonts w:ascii="Garamond" w:eastAsiaTheme="minorHAnsi" w:hAnsi="Garamond"/>
          <w:sz w:val="24"/>
          <w:szCs w:val="24"/>
        </w:rPr>
        <w:t>, è possibile individuare la specifica fattispecie costituita dal</w:t>
      </w:r>
      <w:r>
        <w:rPr>
          <w:rFonts w:ascii="Garamond" w:eastAsiaTheme="minorHAnsi" w:hAnsi="Garamond"/>
          <w:b/>
          <w:sz w:val="24"/>
          <w:szCs w:val="24"/>
        </w:rPr>
        <w:t xml:space="preserve"> </w:t>
      </w:r>
      <w:r w:rsidR="009A26E1" w:rsidRPr="00FF679D">
        <w:rPr>
          <w:rFonts w:ascii="Garamond" w:hAnsi="Garamond"/>
          <w:sz w:val="24"/>
          <w:szCs w:val="24"/>
        </w:rPr>
        <w:t>prestito dei titoli di studio e professionali ovvero d</w:t>
      </w:r>
      <w:r w:rsidR="00F73438">
        <w:rPr>
          <w:rFonts w:ascii="Garamond" w:hAnsi="Garamond"/>
          <w:sz w:val="24"/>
          <w:szCs w:val="24"/>
        </w:rPr>
        <w:t>e</w:t>
      </w:r>
      <w:r w:rsidR="009A26E1" w:rsidRPr="00FF679D">
        <w:rPr>
          <w:rFonts w:ascii="Garamond" w:hAnsi="Garamond"/>
          <w:sz w:val="24"/>
          <w:szCs w:val="24"/>
        </w:rPr>
        <w:t>lle esperienze professionali pertinenti. Tale ipotesi, come specificato a norma del comma 1 dell’art. 89 del Codice, richiede che</w:t>
      </w:r>
      <w:r w:rsidR="009A26E1" w:rsidRPr="00FF679D">
        <w:rPr>
          <w:rFonts w:ascii="Garamond" w:hAnsi="Garamond"/>
          <w:i/>
          <w:sz w:val="24"/>
          <w:szCs w:val="24"/>
          <w:lang w:eastAsia="en-US"/>
        </w:rPr>
        <w:t xml:space="preserve"> “gli operatori economici possono avvalersi delle capacità di altri soggetti solo se questi ultimi eseguono direttamente i lavori o i servizi per cui tali capacità sono richieste</w:t>
      </w:r>
      <w:r w:rsidR="009A26E1" w:rsidRPr="00FF679D">
        <w:rPr>
          <w:rFonts w:ascii="Garamond" w:hAnsi="Garamond"/>
          <w:sz w:val="24"/>
          <w:szCs w:val="24"/>
          <w:lang w:eastAsia="en-US"/>
        </w:rPr>
        <w:t>”.</w:t>
      </w:r>
    </w:p>
    <w:p w14:paraId="20FC5008" w14:textId="1F57C004" w:rsidR="006B3DB6" w:rsidRPr="00743D2F" w:rsidRDefault="009A26E1" w:rsidP="00334058">
      <w:pPr>
        <w:pStyle w:val="Testonotaapidipagina"/>
        <w:spacing w:line="276" w:lineRule="auto"/>
        <w:ind w:firstLine="284"/>
        <w:jc w:val="both"/>
        <w:rPr>
          <w:rFonts w:ascii="Garamond" w:hAnsi="Garamond"/>
        </w:rPr>
      </w:pPr>
      <w:r w:rsidRPr="006D67E0">
        <w:rPr>
          <w:rFonts w:ascii="Garamond" w:hAnsi="Garamond"/>
          <w:sz w:val="24"/>
          <w:szCs w:val="24"/>
          <w:lang w:eastAsia="en-US"/>
        </w:rPr>
        <w:t xml:space="preserve">Sul punto, recenti pronunce giurisprudenziali, valorizzando il tenore letterale della disposizione, hanno precisato che non sarebbe sufficiente il mero prestito delle risorse e dei mezzi da parte dell’ausiliaria, dovendo eseguire essa stessa, direttamente, la prestazione. </w:t>
      </w:r>
      <w:r w:rsidR="006B3DB6" w:rsidRPr="006B3DB6">
        <w:rPr>
          <w:rFonts w:ascii="Garamond" w:hAnsi="Garamond"/>
          <w:sz w:val="24"/>
          <w:szCs w:val="24"/>
          <w:lang w:eastAsia="en-US"/>
        </w:rPr>
        <w:t>Con la sentenza 3.4.2019, n. 2191, il Consiglio di Stato</w:t>
      </w:r>
      <w:r w:rsidR="003340E0">
        <w:rPr>
          <w:rFonts w:ascii="Garamond" w:hAnsi="Garamond"/>
          <w:sz w:val="24"/>
          <w:szCs w:val="24"/>
          <w:lang w:eastAsia="en-US"/>
        </w:rPr>
        <w:t xml:space="preserve"> (Sezione Quinta)</w:t>
      </w:r>
      <w:r w:rsidR="006B3DB6" w:rsidRPr="006B3DB6">
        <w:rPr>
          <w:rFonts w:ascii="Garamond" w:hAnsi="Garamond"/>
          <w:sz w:val="24"/>
          <w:szCs w:val="24"/>
          <w:lang w:eastAsia="en-US"/>
        </w:rPr>
        <w:t xml:space="preserve"> ha ricondotto il requisito dello svolgimento dei </w:t>
      </w:r>
      <w:r w:rsidR="006B3DB6">
        <w:rPr>
          <w:rFonts w:ascii="Garamond" w:hAnsi="Garamond"/>
          <w:sz w:val="24"/>
          <w:szCs w:val="24"/>
          <w:lang w:eastAsia="en-US"/>
        </w:rPr>
        <w:t>“</w:t>
      </w:r>
      <w:r w:rsidR="006B3DB6" w:rsidRPr="006B3DB6">
        <w:rPr>
          <w:rFonts w:ascii="Garamond" w:hAnsi="Garamond"/>
          <w:sz w:val="24"/>
          <w:szCs w:val="24"/>
          <w:lang w:eastAsia="en-US"/>
        </w:rPr>
        <w:t>servizi analoghi</w:t>
      </w:r>
      <w:r w:rsidR="006B3DB6">
        <w:rPr>
          <w:rFonts w:ascii="Garamond" w:hAnsi="Garamond"/>
          <w:sz w:val="24"/>
          <w:szCs w:val="24"/>
          <w:lang w:eastAsia="en-US"/>
        </w:rPr>
        <w:t>”</w:t>
      </w:r>
      <w:r w:rsidR="006B3DB6" w:rsidRPr="006B3DB6">
        <w:rPr>
          <w:rFonts w:ascii="Garamond" w:hAnsi="Garamond"/>
          <w:sz w:val="24"/>
          <w:szCs w:val="24"/>
          <w:lang w:eastAsia="en-US"/>
        </w:rPr>
        <w:t xml:space="preserve"> nella nozione di “esperienze professionali pertinenti” e affermato che in tali ipotesi il contratto di avvalimento dovrebbe contemplare l’assunzione da parte dell’ausiliaria di un concreto ed effettivo ruolo esecutivo.</w:t>
      </w:r>
      <w:r w:rsidR="006B3DB6">
        <w:rPr>
          <w:rFonts w:ascii="Garamond" w:hAnsi="Garamond"/>
          <w:sz w:val="24"/>
          <w:szCs w:val="24"/>
          <w:lang w:eastAsia="en-US"/>
        </w:rPr>
        <w:t xml:space="preserve"> </w:t>
      </w:r>
      <w:r w:rsidR="006B3DB6" w:rsidRPr="006B3DB6">
        <w:rPr>
          <w:rFonts w:ascii="Garamond" w:hAnsi="Garamond"/>
          <w:sz w:val="24"/>
          <w:szCs w:val="24"/>
          <w:lang w:eastAsia="en-US"/>
        </w:rPr>
        <w:t>Tale pronuncia ha confermato l’orientamento già espresso</w:t>
      </w:r>
      <w:r w:rsidR="006B3DB6">
        <w:rPr>
          <w:rFonts w:ascii="Garamond" w:hAnsi="Garamond"/>
          <w:sz w:val="24"/>
          <w:szCs w:val="24"/>
          <w:lang w:eastAsia="en-US"/>
        </w:rPr>
        <w:t xml:space="preserve"> dal</w:t>
      </w:r>
      <w:r w:rsidR="003340E0">
        <w:rPr>
          <w:rFonts w:ascii="Garamond" w:hAnsi="Garamond"/>
          <w:sz w:val="24"/>
          <w:szCs w:val="24"/>
          <w:lang w:eastAsia="en-US"/>
        </w:rPr>
        <w:t>la medesima Sezione</w:t>
      </w:r>
      <w:r w:rsidR="006B3DB6" w:rsidRPr="006B3DB6">
        <w:rPr>
          <w:rFonts w:ascii="Garamond" w:hAnsi="Garamond"/>
          <w:sz w:val="24"/>
          <w:szCs w:val="24"/>
          <w:lang w:eastAsia="en-US"/>
        </w:rPr>
        <w:t xml:space="preserve">, </w:t>
      </w:r>
      <w:r w:rsidR="006B3DB6">
        <w:rPr>
          <w:rFonts w:ascii="Garamond" w:hAnsi="Garamond"/>
          <w:sz w:val="24"/>
          <w:szCs w:val="24"/>
          <w:lang w:eastAsia="en-US"/>
        </w:rPr>
        <w:t xml:space="preserve">con la </w:t>
      </w:r>
      <w:r w:rsidR="006B3DB6" w:rsidRPr="006B3DB6">
        <w:rPr>
          <w:rFonts w:ascii="Garamond" w:hAnsi="Garamond"/>
          <w:sz w:val="24"/>
          <w:szCs w:val="24"/>
          <w:lang w:eastAsia="en-US"/>
        </w:rPr>
        <w:t>sent</w:t>
      </w:r>
      <w:r w:rsidR="006B3DB6">
        <w:rPr>
          <w:rFonts w:ascii="Garamond" w:hAnsi="Garamond"/>
          <w:sz w:val="24"/>
          <w:szCs w:val="24"/>
          <w:lang w:eastAsia="en-US"/>
        </w:rPr>
        <w:t>enza</w:t>
      </w:r>
      <w:r w:rsidR="006B3DB6" w:rsidRPr="006B3DB6">
        <w:rPr>
          <w:rFonts w:ascii="Garamond" w:hAnsi="Garamond"/>
          <w:sz w:val="24"/>
          <w:szCs w:val="24"/>
          <w:lang w:eastAsia="en-US"/>
        </w:rPr>
        <w:t xml:space="preserve"> 6.10.2018, n. 5750, </w:t>
      </w:r>
      <w:r w:rsidR="006B3DB6">
        <w:rPr>
          <w:rFonts w:ascii="Garamond" w:hAnsi="Garamond"/>
          <w:sz w:val="24"/>
          <w:szCs w:val="24"/>
          <w:lang w:eastAsia="en-US"/>
        </w:rPr>
        <w:t xml:space="preserve">in cui si </w:t>
      </w:r>
      <w:r w:rsidR="006B3DB6" w:rsidRPr="006B3DB6">
        <w:rPr>
          <w:rFonts w:ascii="Garamond" w:hAnsi="Garamond"/>
          <w:sz w:val="24"/>
          <w:szCs w:val="24"/>
          <w:lang w:eastAsia="en-US"/>
        </w:rPr>
        <w:t>precisa anche che la mancata assunzione dell’obbligo di eseguire direttamente la prestazione in capo all’ausiliaria nel contratto di avvalimento rappresenta una lacuna non colmabile con soccorso istruttorio, trattandosi di un’ipotesi di assenza di elemento essenziale di tipo negoziale, funzionale alla validità della dichiarazione</w:t>
      </w:r>
      <w:r w:rsidR="006B3DB6" w:rsidRPr="006D67E0">
        <w:rPr>
          <w:rStyle w:val="Rimandonotaapidipagina"/>
          <w:rFonts w:ascii="Garamond" w:hAnsi="Garamond"/>
          <w:sz w:val="24"/>
          <w:szCs w:val="24"/>
          <w:lang w:eastAsia="en-US"/>
        </w:rPr>
        <w:footnoteReference w:id="37"/>
      </w:r>
      <w:r w:rsidR="006B3DB6" w:rsidRPr="006B3DB6">
        <w:rPr>
          <w:rFonts w:ascii="Garamond" w:hAnsi="Garamond"/>
          <w:sz w:val="24"/>
          <w:szCs w:val="24"/>
          <w:lang w:eastAsia="en-US"/>
        </w:rPr>
        <w:t xml:space="preserve">. </w:t>
      </w:r>
    </w:p>
    <w:p w14:paraId="524CB731" w14:textId="305665AE" w:rsidR="001D0981" w:rsidRDefault="008A62E6" w:rsidP="001D0981">
      <w:pPr>
        <w:pStyle w:val="TESTOCOMM"/>
        <w:spacing w:line="276" w:lineRule="auto"/>
        <w:rPr>
          <w:rFonts w:ascii="Garamond" w:hAnsi="Garamond"/>
          <w:sz w:val="24"/>
          <w:szCs w:val="24"/>
          <w:lang w:eastAsia="en-US"/>
        </w:rPr>
      </w:pPr>
      <w:r w:rsidRPr="006D67E0">
        <w:rPr>
          <w:rFonts w:ascii="Garamond" w:hAnsi="Garamond"/>
          <w:sz w:val="24"/>
          <w:szCs w:val="24"/>
          <w:lang w:eastAsia="en-US"/>
        </w:rPr>
        <w:t xml:space="preserve">Tale indicazione </w:t>
      </w:r>
      <w:r w:rsidR="00FE12BF" w:rsidRPr="006D67E0">
        <w:rPr>
          <w:rFonts w:ascii="Garamond" w:hAnsi="Garamond"/>
          <w:sz w:val="24"/>
          <w:szCs w:val="24"/>
          <w:lang w:eastAsia="en-US"/>
        </w:rPr>
        <w:t xml:space="preserve">deve essere confrontata </w:t>
      </w:r>
      <w:r w:rsidR="0081697E">
        <w:rPr>
          <w:rFonts w:ascii="Garamond" w:hAnsi="Garamond"/>
          <w:sz w:val="24"/>
          <w:szCs w:val="24"/>
          <w:lang w:eastAsia="en-US"/>
        </w:rPr>
        <w:t>con</w:t>
      </w:r>
      <w:r w:rsidR="00FE12BF" w:rsidRPr="006D67E0">
        <w:rPr>
          <w:rFonts w:ascii="Garamond" w:hAnsi="Garamond"/>
          <w:sz w:val="24"/>
          <w:szCs w:val="24"/>
          <w:lang w:eastAsia="en-US"/>
        </w:rPr>
        <w:t xml:space="preserve"> quanto previsto dal</w:t>
      </w:r>
      <w:r w:rsidR="009F7F1E">
        <w:rPr>
          <w:rFonts w:ascii="Garamond" w:hAnsi="Garamond"/>
          <w:sz w:val="24"/>
          <w:szCs w:val="24"/>
          <w:lang w:eastAsia="en-US"/>
        </w:rPr>
        <w:t xml:space="preserve"> comma 8 del medesimo articolo, secondo cui “</w:t>
      </w:r>
      <w:r w:rsidR="009F7F1E" w:rsidRPr="006D67E0">
        <w:rPr>
          <w:rFonts w:ascii="Garamond" w:hAnsi="Garamond"/>
          <w:i/>
          <w:sz w:val="24"/>
          <w:szCs w:val="24"/>
          <w:lang w:eastAsia="en-US"/>
        </w:rPr>
        <w:t>Il contratto è in ogni caso eseguito dall’impresa che partecipa alla gara</w:t>
      </w:r>
      <w:r w:rsidR="009F7F1E" w:rsidRPr="006D67E0">
        <w:rPr>
          <w:rFonts w:ascii="Garamond" w:hAnsi="Garamond"/>
          <w:sz w:val="24"/>
          <w:szCs w:val="24"/>
          <w:lang w:eastAsia="en-US"/>
        </w:rPr>
        <w:t>”</w:t>
      </w:r>
      <w:r w:rsidR="005D4C9E">
        <w:rPr>
          <w:rFonts w:ascii="Garamond" w:hAnsi="Garamond"/>
          <w:sz w:val="24"/>
          <w:szCs w:val="24"/>
          <w:lang w:eastAsia="en-US"/>
        </w:rPr>
        <w:t xml:space="preserve">. A ben vedere, l’esecuzione diretta di cui al comma 1 non può considerarsi in contrasto con la citata previsione </w:t>
      </w:r>
      <w:r w:rsidR="005D4C9E" w:rsidRPr="00463B7D">
        <w:rPr>
          <w:rFonts w:ascii="Garamond" w:hAnsi="Garamond"/>
          <w:sz w:val="24"/>
          <w:szCs w:val="24"/>
          <w:lang w:eastAsia="en-US"/>
        </w:rPr>
        <w:t>del comma 8 poiché non può confondersi l’esecutore materiale delle prestazioni</w:t>
      </w:r>
      <w:r w:rsidR="006B3DB6">
        <w:rPr>
          <w:rFonts w:ascii="Garamond" w:hAnsi="Garamond"/>
          <w:sz w:val="24"/>
          <w:szCs w:val="24"/>
          <w:lang w:eastAsia="en-US"/>
        </w:rPr>
        <w:t xml:space="preserve"> con il titolare del contratto, per l’appunto il concorrente che, difatti, </w:t>
      </w:r>
      <w:r w:rsidR="00460776">
        <w:rPr>
          <w:rFonts w:ascii="Garamond" w:hAnsi="Garamond"/>
          <w:sz w:val="24"/>
          <w:szCs w:val="24"/>
          <w:lang w:eastAsia="en-US"/>
        </w:rPr>
        <w:t>ai sensi del comma 8</w:t>
      </w:r>
      <w:r w:rsidR="004C2253">
        <w:rPr>
          <w:rFonts w:ascii="Garamond" w:hAnsi="Garamond"/>
          <w:sz w:val="24"/>
          <w:szCs w:val="24"/>
          <w:lang w:eastAsia="en-US"/>
        </w:rPr>
        <w:t>,</w:t>
      </w:r>
      <w:r w:rsidR="00460776">
        <w:rPr>
          <w:rFonts w:ascii="Garamond" w:hAnsi="Garamond"/>
          <w:sz w:val="24"/>
          <w:szCs w:val="24"/>
          <w:lang w:eastAsia="en-US"/>
        </w:rPr>
        <w:t xml:space="preserve"> </w:t>
      </w:r>
      <w:r w:rsidR="006B3DB6">
        <w:rPr>
          <w:rFonts w:ascii="Garamond" w:hAnsi="Garamond"/>
          <w:sz w:val="24"/>
          <w:szCs w:val="24"/>
          <w:lang w:eastAsia="en-US"/>
        </w:rPr>
        <w:t>ottiene il certificato di esecuzione.</w:t>
      </w:r>
    </w:p>
    <w:p w14:paraId="2E9AEDAC" w14:textId="2E5DED60" w:rsidR="00AA4035" w:rsidRDefault="005D4C9E" w:rsidP="001D0981">
      <w:pPr>
        <w:pStyle w:val="TESTOCOMM"/>
        <w:spacing w:line="276" w:lineRule="auto"/>
        <w:rPr>
          <w:rFonts w:ascii="Garamond" w:hAnsi="Garamond"/>
          <w:sz w:val="24"/>
          <w:szCs w:val="24"/>
          <w:lang w:eastAsia="en-US"/>
        </w:rPr>
      </w:pPr>
      <w:r w:rsidRPr="00463B7D">
        <w:rPr>
          <w:rFonts w:ascii="Garamond" w:hAnsi="Garamond"/>
          <w:sz w:val="24"/>
          <w:szCs w:val="24"/>
          <w:lang w:eastAsia="en-US"/>
        </w:rPr>
        <w:t>Tuttavia,</w:t>
      </w:r>
      <w:r w:rsidR="00FE12BF" w:rsidRPr="006D67E0">
        <w:rPr>
          <w:rFonts w:ascii="Garamond" w:hAnsi="Garamond"/>
          <w:sz w:val="24"/>
          <w:szCs w:val="24"/>
          <w:lang w:eastAsia="en-US"/>
        </w:rPr>
        <w:t xml:space="preserve"> problemi</w:t>
      </w:r>
      <w:r w:rsidR="001D0981">
        <w:rPr>
          <w:rFonts w:ascii="Garamond" w:hAnsi="Garamond"/>
          <w:sz w:val="24"/>
          <w:szCs w:val="24"/>
          <w:lang w:eastAsia="en-US"/>
        </w:rPr>
        <w:t xml:space="preserve"> di compatibilità</w:t>
      </w:r>
      <w:r w:rsidR="00FE12BF" w:rsidRPr="006D67E0">
        <w:rPr>
          <w:rFonts w:ascii="Garamond" w:hAnsi="Garamond"/>
          <w:sz w:val="24"/>
          <w:szCs w:val="24"/>
          <w:lang w:eastAsia="en-US"/>
        </w:rPr>
        <w:t xml:space="preserve"> potevano ravvisarsi rispetto alla seconda parte del </w:t>
      </w:r>
      <w:r w:rsidR="001D0981">
        <w:rPr>
          <w:rFonts w:ascii="Garamond" w:hAnsi="Garamond"/>
          <w:sz w:val="24"/>
          <w:szCs w:val="24"/>
          <w:lang w:eastAsia="en-US"/>
        </w:rPr>
        <w:t xml:space="preserve">medesimo </w:t>
      </w:r>
      <w:r w:rsidR="00FE12BF" w:rsidRPr="006D67E0">
        <w:rPr>
          <w:rFonts w:ascii="Garamond" w:hAnsi="Garamond"/>
          <w:sz w:val="24"/>
          <w:szCs w:val="24"/>
          <w:lang w:eastAsia="en-US"/>
        </w:rPr>
        <w:t>comma</w:t>
      </w:r>
      <w:r w:rsidR="001D0981">
        <w:rPr>
          <w:rFonts w:ascii="Garamond" w:hAnsi="Garamond"/>
          <w:sz w:val="24"/>
          <w:szCs w:val="24"/>
          <w:lang w:eastAsia="en-US"/>
        </w:rPr>
        <w:t xml:space="preserve"> 8</w:t>
      </w:r>
      <w:r w:rsidR="00FE12BF" w:rsidRPr="006D67E0">
        <w:rPr>
          <w:rFonts w:ascii="Garamond" w:hAnsi="Garamond"/>
          <w:sz w:val="24"/>
          <w:szCs w:val="24"/>
          <w:lang w:eastAsia="en-US"/>
        </w:rPr>
        <w:t xml:space="preserve">, </w:t>
      </w:r>
      <w:r w:rsidR="008A62E6" w:rsidRPr="006D67E0">
        <w:rPr>
          <w:rFonts w:ascii="Garamond" w:hAnsi="Garamond"/>
          <w:sz w:val="24"/>
          <w:szCs w:val="24"/>
          <w:lang w:eastAsia="en-US"/>
        </w:rPr>
        <w:t>secondo cui “</w:t>
      </w:r>
      <w:r w:rsidR="008A62E6" w:rsidRPr="006D67E0">
        <w:rPr>
          <w:rFonts w:ascii="Garamond" w:hAnsi="Garamond"/>
          <w:i/>
          <w:sz w:val="24"/>
          <w:szCs w:val="24"/>
          <w:lang w:eastAsia="en-US"/>
        </w:rPr>
        <w:t>l’impresa ausiliaria può assumere il ruolo di subappaltatore nei limiti dei requisiti prestati</w:t>
      </w:r>
      <w:r w:rsidR="008A62E6" w:rsidRPr="006D67E0">
        <w:rPr>
          <w:rFonts w:ascii="Garamond" w:hAnsi="Garamond"/>
          <w:sz w:val="24"/>
          <w:szCs w:val="24"/>
          <w:lang w:eastAsia="en-US"/>
        </w:rPr>
        <w:t>”.</w:t>
      </w:r>
      <w:r w:rsidR="001D0981">
        <w:rPr>
          <w:rFonts w:ascii="Garamond" w:hAnsi="Garamond"/>
          <w:sz w:val="24"/>
          <w:szCs w:val="24"/>
          <w:lang w:eastAsia="en-US"/>
        </w:rPr>
        <w:t xml:space="preserve"> Difatti, appariva</w:t>
      </w:r>
      <w:r w:rsidR="001D0981" w:rsidRPr="00C45603">
        <w:rPr>
          <w:rFonts w:ascii="Garamond" w:hAnsi="Garamond"/>
          <w:sz w:val="24"/>
          <w:szCs w:val="24"/>
          <w:lang w:eastAsia="en-US"/>
        </w:rPr>
        <w:t xml:space="preserve"> </w:t>
      </w:r>
      <w:r w:rsidR="001D0981">
        <w:rPr>
          <w:rFonts w:ascii="Garamond" w:hAnsi="Garamond"/>
          <w:sz w:val="24"/>
          <w:szCs w:val="24"/>
          <w:lang w:eastAsia="en-US"/>
        </w:rPr>
        <w:t xml:space="preserve">evidente </w:t>
      </w:r>
      <w:r w:rsidR="001D0981" w:rsidRPr="0081697E">
        <w:rPr>
          <w:rFonts w:ascii="Garamond" w:hAnsi="Garamond"/>
          <w:sz w:val="24"/>
          <w:szCs w:val="24"/>
          <w:lang w:eastAsia="en-US"/>
        </w:rPr>
        <w:t xml:space="preserve">il rischio che la previsione di una esecuzione diretta dei lavori o dei servizi da parte </w:t>
      </w:r>
      <w:r w:rsidR="00FB4F94">
        <w:rPr>
          <w:rFonts w:ascii="Garamond" w:hAnsi="Garamond"/>
          <w:sz w:val="24"/>
          <w:szCs w:val="24"/>
          <w:lang w:eastAsia="en-US"/>
        </w:rPr>
        <w:t xml:space="preserve">dei suddetti </w:t>
      </w:r>
      <w:r w:rsidR="001D0981" w:rsidRPr="0081697E">
        <w:rPr>
          <w:rFonts w:ascii="Garamond" w:hAnsi="Garamond"/>
          <w:sz w:val="24"/>
          <w:szCs w:val="24"/>
          <w:lang w:eastAsia="en-US"/>
        </w:rPr>
        <w:t xml:space="preserve">soggetti </w:t>
      </w:r>
      <w:r w:rsidR="00BE6A23">
        <w:rPr>
          <w:rFonts w:ascii="Garamond" w:hAnsi="Garamond"/>
          <w:sz w:val="24"/>
          <w:szCs w:val="24"/>
          <w:lang w:eastAsia="en-US"/>
        </w:rPr>
        <w:t>di cui al comma</w:t>
      </w:r>
      <w:r w:rsidR="00F20A7C">
        <w:rPr>
          <w:rFonts w:ascii="Garamond" w:hAnsi="Garamond"/>
          <w:sz w:val="24"/>
          <w:szCs w:val="24"/>
          <w:lang w:eastAsia="en-US"/>
        </w:rPr>
        <w:t xml:space="preserve"> 1 </w:t>
      </w:r>
      <w:r w:rsidR="001D0981" w:rsidRPr="0081697E">
        <w:rPr>
          <w:rFonts w:ascii="Garamond" w:hAnsi="Garamond"/>
          <w:sz w:val="24"/>
          <w:szCs w:val="24"/>
          <w:lang w:eastAsia="en-US"/>
        </w:rPr>
        <w:t xml:space="preserve">finisse per consentire il sub-affidamento di una quota di prestazione all’ausiliaria, anche al di fuori dei limiti </w:t>
      </w:r>
      <w:r w:rsidR="001D0981">
        <w:rPr>
          <w:rFonts w:ascii="Garamond" w:hAnsi="Garamond"/>
          <w:sz w:val="24"/>
          <w:szCs w:val="24"/>
          <w:lang w:eastAsia="en-US"/>
        </w:rPr>
        <w:t>previsti per il subappalto</w:t>
      </w:r>
      <w:r w:rsidR="001D0981" w:rsidRPr="0081697E">
        <w:rPr>
          <w:rFonts w:ascii="Garamond" w:hAnsi="Garamond"/>
          <w:sz w:val="24"/>
          <w:szCs w:val="24"/>
          <w:lang w:eastAsia="en-US"/>
        </w:rPr>
        <w:t xml:space="preserve">. Tale rischio era tanto più </w:t>
      </w:r>
      <w:r w:rsidR="00E277C0">
        <w:rPr>
          <w:rFonts w:ascii="Garamond" w:hAnsi="Garamond"/>
          <w:sz w:val="24"/>
          <w:szCs w:val="24"/>
          <w:lang w:eastAsia="en-US"/>
        </w:rPr>
        <w:t>reale</w:t>
      </w:r>
      <w:r w:rsidR="001D0981" w:rsidRPr="0081697E">
        <w:rPr>
          <w:rFonts w:ascii="Garamond" w:hAnsi="Garamond"/>
          <w:sz w:val="24"/>
          <w:szCs w:val="24"/>
          <w:lang w:eastAsia="en-US"/>
        </w:rPr>
        <w:t xml:space="preserve"> quanto più veniva esteso il concetto di “</w:t>
      </w:r>
      <w:r w:rsidR="001D0981" w:rsidRPr="001D0981">
        <w:rPr>
          <w:rFonts w:ascii="Garamond" w:hAnsi="Garamond"/>
          <w:sz w:val="24"/>
          <w:szCs w:val="24"/>
          <w:lang w:eastAsia="en-US"/>
        </w:rPr>
        <w:t>esperienze professionali p</w:t>
      </w:r>
      <w:r w:rsidR="00FB4F94">
        <w:rPr>
          <w:rFonts w:ascii="Garamond" w:hAnsi="Garamond"/>
          <w:sz w:val="24"/>
          <w:szCs w:val="24"/>
          <w:lang w:eastAsia="en-US"/>
        </w:rPr>
        <w:t>ertinenti</w:t>
      </w:r>
      <w:r w:rsidR="001D0981" w:rsidRPr="0081697E">
        <w:rPr>
          <w:rFonts w:ascii="Garamond" w:hAnsi="Garamond"/>
          <w:sz w:val="24"/>
          <w:szCs w:val="24"/>
          <w:lang w:eastAsia="en-US"/>
        </w:rPr>
        <w:t>”, fino talvolta a ricomprendervi qualsiasi requisito di natura tecnico-professionale afferente a precedenti esperienze degli operatori economici</w:t>
      </w:r>
      <w:r w:rsidR="00E96AC4">
        <w:rPr>
          <w:rFonts w:ascii="Garamond" w:hAnsi="Garamond"/>
          <w:sz w:val="24"/>
          <w:szCs w:val="24"/>
          <w:lang w:eastAsia="en-US"/>
        </w:rPr>
        <w:t>:</w:t>
      </w:r>
      <w:r w:rsidR="001D0981" w:rsidRPr="0081697E">
        <w:rPr>
          <w:rFonts w:ascii="Garamond" w:hAnsi="Garamond"/>
          <w:sz w:val="24"/>
          <w:szCs w:val="24"/>
          <w:lang w:eastAsia="en-US"/>
        </w:rPr>
        <w:t xml:space="preserve"> paradossalmente, l’impresa ausiliaria avrebbe potuto anche essere chiamata ad eseguire integralmente la prestazione</w:t>
      </w:r>
      <w:r w:rsidR="00E96AC4" w:rsidRPr="0081697E">
        <w:rPr>
          <w:rStyle w:val="Rimandonotaapidipagina"/>
          <w:rFonts w:ascii="Garamond" w:hAnsi="Garamond"/>
          <w:sz w:val="24"/>
          <w:szCs w:val="24"/>
          <w:lang w:eastAsia="en-US"/>
        </w:rPr>
        <w:footnoteReference w:id="38"/>
      </w:r>
      <w:r w:rsidR="003C0989">
        <w:rPr>
          <w:rFonts w:ascii="Garamond" w:hAnsi="Garamond"/>
          <w:sz w:val="24"/>
          <w:szCs w:val="24"/>
          <w:lang w:eastAsia="en-US"/>
        </w:rPr>
        <w:t>.</w:t>
      </w:r>
    </w:p>
    <w:p w14:paraId="7F73A457" w14:textId="062667C4" w:rsidR="006753BD" w:rsidRDefault="000253F0" w:rsidP="00E277C0">
      <w:pPr>
        <w:pStyle w:val="TESTOCOMM"/>
        <w:spacing w:line="276" w:lineRule="auto"/>
        <w:rPr>
          <w:rFonts w:ascii="Garamond" w:hAnsi="Garamond"/>
          <w:sz w:val="24"/>
          <w:szCs w:val="24"/>
          <w:lang w:eastAsia="en-US"/>
        </w:rPr>
      </w:pPr>
      <w:r>
        <w:rPr>
          <w:rFonts w:ascii="Garamond" w:hAnsi="Garamond"/>
          <w:sz w:val="24"/>
          <w:szCs w:val="24"/>
          <w:lang w:eastAsia="en-US"/>
        </w:rPr>
        <w:t xml:space="preserve">Sebbene, ad oggi, </w:t>
      </w:r>
      <w:r w:rsidR="00E277C0">
        <w:rPr>
          <w:rFonts w:ascii="Garamond" w:hAnsi="Garamond"/>
          <w:sz w:val="24"/>
          <w:szCs w:val="24"/>
          <w:lang w:eastAsia="en-US"/>
        </w:rPr>
        <w:t>la questione</w:t>
      </w:r>
      <w:r>
        <w:rPr>
          <w:rFonts w:ascii="Garamond" w:hAnsi="Garamond"/>
          <w:sz w:val="24"/>
          <w:szCs w:val="24"/>
          <w:lang w:eastAsia="en-US"/>
        </w:rPr>
        <w:t xml:space="preserve"> non appaia più </w:t>
      </w:r>
      <w:r w:rsidR="00E277C0">
        <w:rPr>
          <w:rFonts w:ascii="Garamond" w:hAnsi="Garamond"/>
          <w:sz w:val="24"/>
          <w:szCs w:val="24"/>
          <w:lang w:eastAsia="en-US"/>
        </w:rPr>
        <w:t>dirimente</w:t>
      </w:r>
      <w:r>
        <w:rPr>
          <w:rFonts w:ascii="Garamond" w:hAnsi="Garamond"/>
          <w:sz w:val="24"/>
          <w:szCs w:val="24"/>
          <w:lang w:eastAsia="en-US"/>
        </w:rPr>
        <w:t xml:space="preserve"> per</w:t>
      </w:r>
      <w:r w:rsidR="00636317" w:rsidRPr="006D67E0">
        <w:rPr>
          <w:rFonts w:ascii="Garamond" w:hAnsi="Garamond"/>
          <w:sz w:val="24"/>
          <w:szCs w:val="24"/>
          <w:lang w:eastAsia="en-US"/>
        </w:rPr>
        <w:t xml:space="preserve"> effetto </w:t>
      </w:r>
      <w:r w:rsidR="00FE12BF" w:rsidRPr="000253F0">
        <w:rPr>
          <w:rFonts w:ascii="Garamond" w:hAnsi="Garamond"/>
          <w:sz w:val="24"/>
          <w:szCs w:val="24"/>
          <w:lang w:eastAsia="en-US"/>
        </w:rPr>
        <w:t>della sentenza della Corte di Giustizia 26.09.2019, C-63/18</w:t>
      </w:r>
      <w:r w:rsidR="00276FF9">
        <w:rPr>
          <w:rFonts w:ascii="Garamond" w:hAnsi="Garamond"/>
          <w:sz w:val="24"/>
          <w:szCs w:val="24"/>
          <w:lang w:eastAsia="en-US"/>
        </w:rPr>
        <w:t xml:space="preserve"> </w:t>
      </w:r>
      <w:r w:rsidRPr="000253F0">
        <w:rPr>
          <w:rFonts w:ascii="Garamond" w:hAnsi="Garamond"/>
          <w:sz w:val="24"/>
          <w:szCs w:val="24"/>
          <w:lang w:eastAsia="en-US"/>
        </w:rPr>
        <w:t>che, come noto, ha sancito l’illegittimità de</w:t>
      </w:r>
      <w:r w:rsidR="00FE12BF" w:rsidRPr="000253F0">
        <w:rPr>
          <w:rFonts w:ascii="Garamond" w:hAnsi="Garamond"/>
          <w:sz w:val="24"/>
          <w:szCs w:val="24"/>
          <w:lang w:eastAsia="en-US"/>
        </w:rPr>
        <w:t>i limiti apposti al subappalto</w:t>
      </w:r>
      <w:r w:rsidR="00E96AC4" w:rsidRPr="000253F0">
        <w:rPr>
          <w:rFonts w:ascii="Garamond" w:hAnsi="Garamond"/>
          <w:sz w:val="24"/>
          <w:szCs w:val="24"/>
          <w:vertAlign w:val="superscript"/>
          <w:lang w:eastAsia="en-US"/>
        </w:rPr>
        <w:footnoteReference w:id="39"/>
      </w:r>
      <w:r w:rsidR="00276FF9">
        <w:rPr>
          <w:rFonts w:ascii="Garamond" w:hAnsi="Garamond"/>
          <w:sz w:val="24"/>
          <w:szCs w:val="24"/>
          <w:lang w:eastAsia="en-US"/>
        </w:rPr>
        <w:t>- anche se tuttora talune interpretazioni della sentenza non appaiano in sintonia con la medesima</w:t>
      </w:r>
      <w:r w:rsidR="00073860">
        <w:rPr>
          <w:rStyle w:val="Rimandonotaapidipagina"/>
          <w:szCs w:val="24"/>
          <w:lang w:eastAsia="en-US"/>
        </w:rPr>
        <w:footnoteReference w:id="40"/>
      </w:r>
      <w:r w:rsidR="00073860">
        <w:rPr>
          <w:rFonts w:ascii="Garamond" w:hAnsi="Garamond"/>
          <w:sz w:val="24"/>
          <w:szCs w:val="24"/>
          <w:lang w:eastAsia="en-US"/>
        </w:rPr>
        <w:t>-</w:t>
      </w:r>
      <w:r w:rsidR="001D0981">
        <w:rPr>
          <w:rFonts w:ascii="Garamond" w:hAnsi="Garamond"/>
          <w:sz w:val="24"/>
          <w:szCs w:val="24"/>
          <w:lang w:eastAsia="en-US"/>
        </w:rPr>
        <w:t xml:space="preserve"> non </w:t>
      </w:r>
      <w:r w:rsidR="001D0981">
        <w:rPr>
          <w:rFonts w:ascii="Garamond" w:hAnsi="Garamond"/>
          <w:sz w:val="24"/>
          <w:szCs w:val="24"/>
          <w:lang w:eastAsia="en-US"/>
        </w:rPr>
        <w:lastRenderedPageBreak/>
        <w:t>può</w:t>
      </w:r>
      <w:r w:rsidRPr="00C45603">
        <w:rPr>
          <w:rFonts w:ascii="Garamond" w:hAnsi="Garamond"/>
          <w:sz w:val="24"/>
          <w:szCs w:val="24"/>
          <w:lang w:eastAsia="en-US"/>
        </w:rPr>
        <w:t xml:space="preserve"> </w:t>
      </w:r>
      <w:r w:rsidR="001D0981">
        <w:rPr>
          <w:rFonts w:ascii="Garamond" w:hAnsi="Garamond"/>
          <w:sz w:val="24"/>
          <w:szCs w:val="24"/>
          <w:lang w:eastAsia="en-US"/>
        </w:rPr>
        <w:t>non rammentarsi che</w:t>
      </w:r>
      <w:r w:rsidR="00E277C0">
        <w:rPr>
          <w:rFonts w:ascii="Garamond" w:hAnsi="Garamond"/>
          <w:sz w:val="24"/>
          <w:szCs w:val="24"/>
          <w:lang w:eastAsia="en-US"/>
        </w:rPr>
        <w:t xml:space="preserve">, </w:t>
      </w:r>
      <w:r w:rsidR="0081697E" w:rsidRPr="0081697E">
        <w:rPr>
          <w:rFonts w:ascii="Garamond" w:hAnsi="Garamond"/>
          <w:sz w:val="24"/>
          <w:szCs w:val="24"/>
          <w:lang w:eastAsia="en-US"/>
        </w:rPr>
        <w:t>secondo i chiariment</w:t>
      </w:r>
      <w:r w:rsidR="007B7018">
        <w:rPr>
          <w:rFonts w:ascii="Garamond" w:hAnsi="Garamond"/>
          <w:sz w:val="24"/>
          <w:szCs w:val="24"/>
          <w:lang w:eastAsia="en-US"/>
        </w:rPr>
        <w:t>i</w:t>
      </w:r>
      <w:r w:rsidR="0081697E" w:rsidRPr="0081697E">
        <w:rPr>
          <w:rFonts w:ascii="Garamond" w:hAnsi="Garamond"/>
          <w:sz w:val="24"/>
          <w:szCs w:val="24"/>
          <w:lang w:eastAsia="en-US"/>
        </w:rPr>
        <w:t xml:space="preserve"> fornit</w:t>
      </w:r>
      <w:r w:rsidR="007B7018">
        <w:rPr>
          <w:rFonts w:ascii="Garamond" w:hAnsi="Garamond"/>
          <w:sz w:val="24"/>
          <w:szCs w:val="24"/>
          <w:lang w:eastAsia="en-US"/>
        </w:rPr>
        <w:t>i</w:t>
      </w:r>
      <w:r w:rsidR="0081697E" w:rsidRPr="0081697E">
        <w:rPr>
          <w:rFonts w:ascii="Garamond" w:hAnsi="Garamond"/>
          <w:sz w:val="24"/>
          <w:szCs w:val="24"/>
          <w:lang w:eastAsia="en-US"/>
        </w:rPr>
        <w:t xml:space="preserve"> dall’</w:t>
      </w:r>
      <w:r w:rsidR="003C0989">
        <w:rPr>
          <w:rFonts w:ascii="Garamond" w:hAnsi="Garamond"/>
          <w:sz w:val="24"/>
          <w:szCs w:val="24"/>
          <w:lang w:eastAsia="en-US"/>
        </w:rPr>
        <w:t xml:space="preserve">ex </w:t>
      </w:r>
      <w:r w:rsidR="0081697E" w:rsidRPr="0081697E">
        <w:rPr>
          <w:rFonts w:ascii="Garamond" w:hAnsi="Garamond"/>
          <w:sz w:val="24"/>
          <w:szCs w:val="24"/>
          <w:lang w:eastAsia="en-US"/>
        </w:rPr>
        <w:t>AVCP</w:t>
      </w:r>
      <w:r w:rsidR="007B7018">
        <w:rPr>
          <w:rFonts w:ascii="Garamond" w:hAnsi="Garamond"/>
          <w:sz w:val="24"/>
          <w:szCs w:val="24"/>
          <w:lang w:eastAsia="en-US"/>
        </w:rPr>
        <w:t xml:space="preserve"> e dal Ministero delle Infrastru</w:t>
      </w:r>
      <w:r w:rsidR="00DC159E">
        <w:rPr>
          <w:rFonts w:ascii="Garamond" w:hAnsi="Garamond"/>
          <w:sz w:val="24"/>
          <w:szCs w:val="24"/>
          <w:lang w:eastAsia="en-US"/>
        </w:rPr>
        <w:t>tture</w:t>
      </w:r>
      <w:r w:rsidR="0081697E" w:rsidRPr="0081697E">
        <w:rPr>
          <w:rFonts w:ascii="Garamond" w:hAnsi="Garamond"/>
          <w:sz w:val="24"/>
          <w:szCs w:val="24"/>
          <w:lang w:eastAsia="en-US"/>
        </w:rPr>
        <w:t xml:space="preserve"> nel 2012, </w:t>
      </w:r>
      <w:r w:rsidR="00276FF9">
        <w:rPr>
          <w:rFonts w:ascii="Garamond" w:hAnsi="Garamond"/>
          <w:sz w:val="24"/>
          <w:szCs w:val="24"/>
          <w:lang w:eastAsia="en-US"/>
        </w:rPr>
        <w:t xml:space="preserve">nonché la giurisprudenza più datata, </w:t>
      </w:r>
      <w:r w:rsidR="0081697E" w:rsidRPr="0081697E">
        <w:rPr>
          <w:rFonts w:ascii="Garamond" w:hAnsi="Garamond"/>
          <w:sz w:val="24"/>
          <w:szCs w:val="24"/>
          <w:lang w:eastAsia="en-US"/>
        </w:rPr>
        <w:t>la</w:t>
      </w:r>
      <w:r w:rsidR="006753BD" w:rsidRPr="0081697E">
        <w:rPr>
          <w:rFonts w:ascii="Garamond" w:hAnsi="Garamond"/>
          <w:sz w:val="24"/>
          <w:szCs w:val="24"/>
          <w:lang w:eastAsia="en-US"/>
        </w:rPr>
        <w:t xml:space="preserve"> </w:t>
      </w:r>
      <w:r w:rsidR="0081697E" w:rsidRPr="0081697E">
        <w:rPr>
          <w:rFonts w:ascii="Garamond" w:hAnsi="Garamond"/>
          <w:sz w:val="24"/>
          <w:szCs w:val="24"/>
          <w:lang w:eastAsia="en-US"/>
        </w:rPr>
        <w:t>sum</w:t>
      </w:r>
      <w:r w:rsidR="006753BD" w:rsidRPr="0081697E">
        <w:rPr>
          <w:rFonts w:ascii="Garamond" w:hAnsi="Garamond"/>
          <w:sz w:val="24"/>
          <w:szCs w:val="24"/>
          <w:lang w:eastAsia="en-US"/>
        </w:rPr>
        <w:t>menzionata previsione codicistica sul subappalto nel contesto dell’avvalimento</w:t>
      </w:r>
      <w:r w:rsidR="0081697E" w:rsidRPr="0081697E">
        <w:rPr>
          <w:rFonts w:ascii="Garamond" w:hAnsi="Garamond"/>
          <w:sz w:val="24"/>
          <w:szCs w:val="24"/>
          <w:lang w:eastAsia="en-US"/>
        </w:rPr>
        <w:t xml:space="preserve"> </w:t>
      </w:r>
      <w:r w:rsidR="003C0989">
        <w:rPr>
          <w:rFonts w:ascii="Garamond" w:hAnsi="Garamond"/>
          <w:sz w:val="24"/>
          <w:szCs w:val="24"/>
          <w:lang w:eastAsia="en-US"/>
        </w:rPr>
        <w:t xml:space="preserve">(art 49, c 10 del vecchio codice) </w:t>
      </w:r>
      <w:r w:rsidR="00276FF9">
        <w:rPr>
          <w:rFonts w:ascii="Garamond" w:hAnsi="Garamond"/>
          <w:sz w:val="24"/>
          <w:szCs w:val="24"/>
          <w:lang w:eastAsia="en-US"/>
        </w:rPr>
        <w:t>veniva</w:t>
      </w:r>
      <w:r w:rsidR="0081697E" w:rsidRPr="0081697E">
        <w:rPr>
          <w:rFonts w:ascii="Garamond" w:hAnsi="Garamond"/>
          <w:sz w:val="24"/>
          <w:szCs w:val="24"/>
          <w:lang w:eastAsia="en-US"/>
        </w:rPr>
        <w:t xml:space="preserve"> interpreta</w:t>
      </w:r>
      <w:r w:rsidR="00276FF9">
        <w:rPr>
          <w:rFonts w:ascii="Garamond" w:hAnsi="Garamond"/>
          <w:sz w:val="24"/>
          <w:szCs w:val="24"/>
          <w:lang w:eastAsia="en-US"/>
        </w:rPr>
        <w:t>ta</w:t>
      </w:r>
      <w:r w:rsidR="0081697E" w:rsidRPr="0081697E">
        <w:rPr>
          <w:rFonts w:ascii="Garamond" w:hAnsi="Garamond"/>
          <w:sz w:val="24"/>
          <w:szCs w:val="24"/>
          <w:lang w:eastAsia="en-US"/>
        </w:rPr>
        <w:t xml:space="preserve"> nel senso che </w:t>
      </w:r>
      <w:r w:rsidR="00E277C0">
        <w:rPr>
          <w:rFonts w:ascii="Garamond" w:hAnsi="Garamond"/>
          <w:sz w:val="24"/>
          <w:szCs w:val="24"/>
          <w:lang w:eastAsia="en-US"/>
        </w:rPr>
        <w:t xml:space="preserve">anche </w:t>
      </w:r>
      <w:r w:rsidR="0081697E" w:rsidRPr="0081697E">
        <w:rPr>
          <w:rFonts w:ascii="Garamond" w:hAnsi="Garamond"/>
          <w:sz w:val="24"/>
          <w:szCs w:val="24"/>
          <w:lang w:eastAsia="en-US"/>
        </w:rPr>
        <w:t>in tale</w:t>
      </w:r>
      <w:r w:rsidR="006753BD" w:rsidRPr="0081697E">
        <w:rPr>
          <w:rFonts w:ascii="Garamond" w:hAnsi="Garamond"/>
          <w:sz w:val="24"/>
          <w:szCs w:val="24"/>
          <w:lang w:eastAsia="en-US"/>
        </w:rPr>
        <w:t xml:space="preserve"> fattispecie </w:t>
      </w:r>
      <w:r w:rsidR="0081697E" w:rsidRPr="0081697E">
        <w:rPr>
          <w:rFonts w:ascii="Garamond" w:hAnsi="Garamond"/>
          <w:sz w:val="24"/>
          <w:szCs w:val="24"/>
          <w:lang w:eastAsia="en-US"/>
        </w:rPr>
        <w:t xml:space="preserve">si rendeva </w:t>
      </w:r>
      <w:r w:rsidR="006753BD" w:rsidRPr="0081697E">
        <w:rPr>
          <w:rFonts w:ascii="Garamond" w:hAnsi="Garamond"/>
          <w:sz w:val="24"/>
          <w:szCs w:val="24"/>
          <w:lang w:eastAsia="en-US"/>
        </w:rPr>
        <w:t>necessario rispettare i</w:t>
      </w:r>
      <w:r w:rsidR="00A82377">
        <w:rPr>
          <w:rFonts w:ascii="Garamond" w:hAnsi="Garamond"/>
          <w:sz w:val="24"/>
          <w:szCs w:val="24"/>
          <w:lang w:eastAsia="en-US"/>
        </w:rPr>
        <w:t>l</w:t>
      </w:r>
      <w:r w:rsidR="006753BD" w:rsidRPr="0081697E">
        <w:rPr>
          <w:rFonts w:ascii="Garamond" w:hAnsi="Garamond"/>
          <w:sz w:val="24"/>
          <w:szCs w:val="24"/>
          <w:lang w:eastAsia="en-US"/>
        </w:rPr>
        <w:t xml:space="preserve"> limite del 30%</w:t>
      </w:r>
      <w:r w:rsidR="002D56EC">
        <w:rPr>
          <w:rStyle w:val="Rimandonotaapidipagina"/>
          <w:szCs w:val="24"/>
          <w:lang w:eastAsia="en-US"/>
        </w:rPr>
        <w:footnoteReference w:id="41"/>
      </w:r>
      <w:r w:rsidR="006753BD" w:rsidRPr="0081697E">
        <w:rPr>
          <w:rFonts w:ascii="Garamond" w:hAnsi="Garamond"/>
          <w:sz w:val="24"/>
          <w:szCs w:val="24"/>
          <w:lang w:eastAsia="en-US"/>
        </w:rPr>
        <w:t xml:space="preserve">, così come </w:t>
      </w:r>
      <w:r w:rsidR="0081697E" w:rsidRPr="0081697E">
        <w:rPr>
          <w:rFonts w:ascii="Garamond" w:hAnsi="Garamond"/>
          <w:sz w:val="24"/>
          <w:szCs w:val="24"/>
          <w:lang w:eastAsia="en-US"/>
        </w:rPr>
        <w:t>per il</w:t>
      </w:r>
      <w:r w:rsidR="006753BD" w:rsidRPr="0081697E">
        <w:rPr>
          <w:rFonts w:ascii="Garamond" w:hAnsi="Garamond"/>
          <w:sz w:val="24"/>
          <w:szCs w:val="24"/>
          <w:lang w:eastAsia="en-US"/>
        </w:rPr>
        <w:t xml:space="preserve"> subappalto </w:t>
      </w:r>
      <w:r w:rsidR="006753BD" w:rsidRPr="0081697E">
        <w:rPr>
          <w:rFonts w:ascii="Garamond" w:hAnsi="Garamond"/>
          <w:i/>
          <w:sz w:val="24"/>
          <w:szCs w:val="24"/>
          <w:lang w:eastAsia="en-US"/>
        </w:rPr>
        <w:t>tout court</w:t>
      </w:r>
      <w:r w:rsidR="00B9242E">
        <w:rPr>
          <w:rFonts w:ascii="Garamond" w:hAnsi="Garamond"/>
          <w:sz w:val="24"/>
          <w:szCs w:val="24"/>
          <w:lang w:eastAsia="en-US"/>
        </w:rPr>
        <w:t xml:space="preserve">, </w:t>
      </w:r>
      <w:r w:rsidR="00A82377">
        <w:rPr>
          <w:rFonts w:ascii="Garamond" w:hAnsi="Garamond"/>
          <w:sz w:val="24"/>
          <w:szCs w:val="24"/>
          <w:lang w:eastAsia="en-US"/>
        </w:rPr>
        <w:t>nonché</w:t>
      </w:r>
      <w:r w:rsidR="00B9242E">
        <w:rPr>
          <w:rFonts w:ascii="Garamond" w:hAnsi="Garamond"/>
          <w:sz w:val="24"/>
          <w:szCs w:val="24"/>
          <w:lang w:eastAsia="en-US"/>
        </w:rPr>
        <w:t xml:space="preserve"> ottenere l’autorizzazione della stazione appaltante</w:t>
      </w:r>
      <w:r w:rsidR="00EB7721">
        <w:rPr>
          <w:rStyle w:val="Rimandonotaapidipagina"/>
          <w:szCs w:val="24"/>
          <w:lang w:eastAsia="en-US"/>
        </w:rPr>
        <w:footnoteReference w:id="42"/>
      </w:r>
      <w:r w:rsidR="00B9242E">
        <w:rPr>
          <w:rFonts w:ascii="Garamond" w:hAnsi="Garamond"/>
          <w:sz w:val="24"/>
          <w:szCs w:val="24"/>
          <w:lang w:eastAsia="en-US"/>
        </w:rPr>
        <w:t>.</w:t>
      </w:r>
    </w:p>
    <w:p w14:paraId="1BBDB08C" w14:textId="2EF5D926" w:rsidR="000C2D7E" w:rsidRPr="0082115E" w:rsidRDefault="00B71192" w:rsidP="007B13C1">
      <w:pPr>
        <w:pStyle w:val="TESTOCOMM"/>
        <w:spacing w:line="276" w:lineRule="auto"/>
        <w:rPr>
          <w:rFonts w:ascii="Garamond" w:hAnsi="Garamond"/>
          <w:sz w:val="24"/>
          <w:szCs w:val="24"/>
          <w:lang w:eastAsia="en-US"/>
        </w:rPr>
      </w:pPr>
      <w:r w:rsidRPr="00B71192">
        <w:rPr>
          <w:rFonts w:ascii="Garamond" w:hAnsi="Garamond"/>
          <w:sz w:val="24"/>
          <w:szCs w:val="24"/>
          <w:lang w:eastAsia="en-US"/>
        </w:rPr>
        <w:t xml:space="preserve">In ogni caso, </w:t>
      </w:r>
      <w:r w:rsidR="00A82377">
        <w:rPr>
          <w:rFonts w:ascii="Garamond" w:hAnsi="Garamond"/>
          <w:sz w:val="24"/>
          <w:szCs w:val="24"/>
          <w:lang w:eastAsia="en-US"/>
        </w:rPr>
        <w:t>si è dell’avviso che</w:t>
      </w:r>
      <w:r w:rsidR="0078042E">
        <w:rPr>
          <w:rFonts w:ascii="Garamond" w:hAnsi="Garamond"/>
          <w:sz w:val="24"/>
          <w:szCs w:val="24"/>
          <w:lang w:eastAsia="en-US"/>
        </w:rPr>
        <w:t>,</w:t>
      </w:r>
      <w:r w:rsidR="00A82377">
        <w:rPr>
          <w:rFonts w:ascii="Garamond" w:hAnsi="Garamond"/>
          <w:sz w:val="24"/>
          <w:szCs w:val="24"/>
          <w:lang w:eastAsia="en-US"/>
        </w:rPr>
        <w:t xml:space="preserve"> </w:t>
      </w:r>
      <w:r w:rsidR="00052DB0">
        <w:rPr>
          <w:rFonts w:ascii="Garamond" w:hAnsi="Garamond"/>
          <w:sz w:val="24"/>
          <w:szCs w:val="24"/>
          <w:lang w:eastAsia="en-US"/>
        </w:rPr>
        <w:t>a prescindere dalla questione sui limiti,</w:t>
      </w:r>
      <w:r w:rsidR="009D63E9" w:rsidRPr="00B71192">
        <w:rPr>
          <w:rFonts w:ascii="Garamond" w:hAnsi="Garamond"/>
          <w:sz w:val="24"/>
          <w:szCs w:val="24"/>
          <w:lang w:eastAsia="en-US"/>
        </w:rPr>
        <w:t xml:space="preserve"> </w:t>
      </w:r>
      <w:r w:rsidR="00A82377">
        <w:rPr>
          <w:rFonts w:ascii="Garamond" w:hAnsi="Garamond"/>
          <w:sz w:val="24"/>
          <w:szCs w:val="24"/>
          <w:lang w:eastAsia="en-US"/>
        </w:rPr>
        <w:t xml:space="preserve">sia attuale </w:t>
      </w:r>
      <w:r w:rsidR="00E423B2" w:rsidRPr="00B71192">
        <w:rPr>
          <w:rFonts w:ascii="Garamond" w:hAnsi="Garamond"/>
          <w:sz w:val="24"/>
          <w:szCs w:val="24"/>
          <w:lang w:eastAsia="en-US"/>
        </w:rPr>
        <w:t>la precisazione fornita dalla</w:t>
      </w:r>
      <w:r w:rsidR="006753BD" w:rsidRPr="00B71192">
        <w:rPr>
          <w:rFonts w:ascii="Garamond" w:hAnsi="Garamond"/>
          <w:sz w:val="24"/>
          <w:szCs w:val="24"/>
          <w:lang w:eastAsia="en-US"/>
        </w:rPr>
        <w:t xml:space="preserve"> </w:t>
      </w:r>
      <w:r w:rsidR="00E423B2" w:rsidRPr="00B71192">
        <w:rPr>
          <w:rFonts w:ascii="Garamond" w:hAnsi="Garamond"/>
          <w:sz w:val="24"/>
          <w:szCs w:val="24"/>
          <w:lang w:eastAsia="en-US"/>
        </w:rPr>
        <w:t>Corte di Giustizia dell’Unione Europea nella sentenza del 7.4.2016, C-324/14</w:t>
      </w:r>
      <w:r w:rsidR="009D63E9" w:rsidRPr="00B71192">
        <w:rPr>
          <w:rFonts w:ascii="Garamond" w:hAnsi="Garamond"/>
          <w:sz w:val="24"/>
          <w:szCs w:val="24"/>
          <w:lang w:eastAsia="en-US"/>
        </w:rPr>
        <w:t xml:space="preserve">, secondo cui </w:t>
      </w:r>
      <w:r w:rsidR="006753BD" w:rsidRPr="00B71192">
        <w:rPr>
          <w:rFonts w:ascii="Garamond" w:hAnsi="Garamond"/>
          <w:sz w:val="24"/>
          <w:szCs w:val="24"/>
          <w:lang w:eastAsia="en-US"/>
        </w:rPr>
        <w:t>il concetto di “</w:t>
      </w:r>
      <w:r w:rsidR="006753BD" w:rsidRPr="00B71192">
        <w:rPr>
          <w:rFonts w:ascii="Garamond" w:hAnsi="Garamond"/>
          <w:i/>
          <w:sz w:val="24"/>
          <w:szCs w:val="24"/>
          <w:lang w:eastAsia="en-US"/>
        </w:rPr>
        <w:t>esperienze professionali pertinenti</w:t>
      </w:r>
      <w:r w:rsidR="006753BD" w:rsidRPr="00B71192">
        <w:rPr>
          <w:rFonts w:ascii="Garamond" w:hAnsi="Garamond"/>
          <w:sz w:val="24"/>
          <w:szCs w:val="24"/>
          <w:lang w:eastAsia="en-US"/>
        </w:rPr>
        <w:t xml:space="preserve">” dovrebbe essere circoscritto alle sole esperienze di carattere strettamente personale e/o </w:t>
      </w:r>
      <w:r w:rsidR="006753BD" w:rsidRPr="0082115E">
        <w:rPr>
          <w:rFonts w:ascii="Garamond" w:hAnsi="Garamond"/>
          <w:sz w:val="24"/>
          <w:szCs w:val="24"/>
          <w:lang w:eastAsia="en-US"/>
        </w:rPr>
        <w:t>specialistiche che non possono essere trasmesse al concorrente se non mediante l’impiego diretto</w:t>
      </w:r>
      <w:r w:rsidR="00727E25" w:rsidRPr="0082115E">
        <w:rPr>
          <w:rFonts w:ascii="Garamond" w:hAnsi="Garamond"/>
          <w:sz w:val="24"/>
          <w:szCs w:val="24"/>
          <w:lang w:eastAsia="en-US"/>
        </w:rPr>
        <w:t xml:space="preserve"> da parte di questi</w:t>
      </w:r>
      <w:r w:rsidR="00052DB0" w:rsidRPr="0082115E">
        <w:rPr>
          <w:rFonts w:ascii="Garamond" w:hAnsi="Garamond"/>
          <w:sz w:val="24"/>
          <w:szCs w:val="24"/>
          <w:lang w:eastAsia="en-US"/>
        </w:rPr>
        <w:t xml:space="preserve"> </w:t>
      </w:r>
      <w:r w:rsidR="006753BD" w:rsidRPr="0082115E">
        <w:rPr>
          <w:rFonts w:ascii="Garamond" w:hAnsi="Garamond"/>
          <w:sz w:val="24"/>
          <w:szCs w:val="24"/>
          <w:lang w:eastAsia="en-US"/>
        </w:rPr>
        <w:t>dei singoli soggetti</w:t>
      </w:r>
      <w:r w:rsidR="00727E25" w:rsidRPr="0082115E">
        <w:rPr>
          <w:rFonts w:ascii="Garamond" w:hAnsi="Garamond"/>
          <w:sz w:val="24"/>
          <w:szCs w:val="24"/>
          <w:lang w:eastAsia="en-US"/>
        </w:rPr>
        <w:t xml:space="preserve"> “titolati”</w:t>
      </w:r>
      <w:r w:rsidR="006753BD" w:rsidRPr="0082115E">
        <w:rPr>
          <w:rFonts w:ascii="Garamond" w:hAnsi="Garamond"/>
          <w:sz w:val="24"/>
          <w:szCs w:val="24"/>
          <w:lang w:eastAsia="en-US"/>
        </w:rPr>
        <w:t xml:space="preserve"> che </w:t>
      </w:r>
      <w:r w:rsidR="00727E25" w:rsidRPr="0082115E">
        <w:rPr>
          <w:rFonts w:ascii="Garamond" w:hAnsi="Garamond"/>
          <w:sz w:val="24"/>
          <w:szCs w:val="24"/>
          <w:lang w:eastAsia="en-US"/>
        </w:rPr>
        <w:t xml:space="preserve">in seno all’ausiliaria </w:t>
      </w:r>
      <w:r w:rsidR="006753BD" w:rsidRPr="0082115E">
        <w:rPr>
          <w:rFonts w:ascii="Garamond" w:hAnsi="Garamond"/>
          <w:sz w:val="24"/>
          <w:szCs w:val="24"/>
          <w:lang w:eastAsia="en-US"/>
        </w:rPr>
        <w:t>hanno maturato l’esperienza richiesta</w:t>
      </w:r>
      <w:r w:rsidR="000C2D7E" w:rsidRPr="0082115E">
        <w:rPr>
          <w:rStyle w:val="Rimandonotaapidipagina"/>
          <w:szCs w:val="24"/>
          <w:lang w:eastAsia="en-US"/>
        </w:rPr>
        <w:footnoteReference w:id="43"/>
      </w:r>
      <w:r w:rsidR="000C2D7E" w:rsidRPr="0082115E">
        <w:rPr>
          <w:rFonts w:ascii="Garamond" w:hAnsi="Garamond"/>
          <w:sz w:val="24"/>
          <w:szCs w:val="24"/>
          <w:lang w:eastAsia="en-US"/>
        </w:rPr>
        <w:t>.</w:t>
      </w:r>
    </w:p>
    <w:p w14:paraId="18C6FDE4" w14:textId="12005DF0" w:rsidR="000C2D7E" w:rsidRPr="0082115E" w:rsidRDefault="00FC6109" w:rsidP="007B13C1">
      <w:pPr>
        <w:pStyle w:val="TESTOCOMM"/>
        <w:spacing w:line="276" w:lineRule="auto"/>
        <w:rPr>
          <w:rFonts w:ascii="Garamond" w:hAnsi="Garamond"/>
          <w:sz w:val="24"/>
          <w:szCs w:val="24"/>
          <w:lang w:eastAsia="en-US"/>
        </w:rPr>
      </w:pPr>
      <w:r w:rsidRPr="0082115E">
        <w:rPr>
          <w:rFonts w:ascii="Garamond" w:hAnsi="Garamond"/>
          <w:sz w:val="24"/>
          <w:szCs w:val="24"/>
          <w:lang w:eastAsia="en-US"/>
        </w:rPr>
        <w:lastRenderedPageBreak/>
        <w:t xml:space="preserve">A tale orientamento ha di recente aderito </w:t>
      </w:r>
      <w:r w:rsidR="003C0989">
        <w:rPr>
          <w:rFonts w:ascii="Garamond" w:hAnsi="Garamond"/>
          <w:sz w:val="24"/>
          <w:szCs w:val="24"/>
          <w:lang w:eastAsia="en-US"/>
        </w:rPr>
        <w:t>il</w:t>
      </w:r>
      <w:r w:rsidR="00BF079F" w:rsidRPr="0082115E">
        <w:rPr>
          <w:rFonts w:ascii="Garamond" w:hAnsi="Garamond"/>
          <w:sz w:val="24"/>
          <w:szCs w:val="24"/>
          <w:lang w:eastAsia="en-US"/>
        </w:rPr>
        <w:t xml:space="preserve"> Consiglio di Stato</w:t>
      </w:r>
      <w:r w:rsidR="00DD2BEF" w:rsidRPr="0082115E">
        <w:rPr>
          <w:rFonts w:ascii="Garamond" w:hAnsi="Garamond"/>
          <w:sz w:val="24"/>
          <w:szCs w:val="24"/>
          <w:lang w:eastAsia="en-US"/>
        </w:rPr>
        <w:t xml:space="preserve"> che </w:t>
      </w:r>
      <w:r w:rsidR="00060779" w:rsidRPr="0082115E">
        <w:rPr>
          <w:rFonts w:ascii="Garamond" w:hAnsi="Garamond"/>
          <w:sz w:val="24"/>
          <w:szCs w:val="24"/>
          <w:lang w:eastAsia="en-US"/>
        </w:rPr>
        <w:t>riferisce l’applicazione dell’</w:t>
      </w:r>
      <w:r w:rsidR="00DD2BEF" w:rsidRPr="0082115E">
        <w:rPr>
          <w:rFonts w:ascii="Garamond" w:hAnsi="Garamond"/>
          <w:sz w:val="24"/>
          <w:szCs w:val="24"/>
          <w:lang w:eastAsia="en-US"/>
        </w:rPr>
        <w:t>art. 89, comma 1 del D.Lgs. n. 50/2016 alle sole prestazioni infungibili</w:t>
      </w:r>
      <w:r w:rsidR="0082115E" w:rsidRPr="0082115E">
        <w:rPr>
          <w:rStyle w:val="Rimandonotaapidipagina"/>
          <w:szCs w:val="24"/>
          <w:lang w:eastAsia="en-US"/>
        </w:rPr>
        <w:footnoteReference w:id="44"/>
      </w:r>
      <w:r w:rsidR="00BF079F" w:rsidRPr="0082115E">
        <w:rPr>
          <w:rFonts w:ascii="Garamond" w:hAnsi="Garamond"/>
          <w:sz w:val="24"/>
          <w:szCs w:val="24"/>
          <w:lang w:eastAsia="en-US"/>
        </w:rPr>
        <w:t xml:space="preserve">, </w:t>
      </w:r>
      <w:r w:rsidR="00727E25" w:rsidRPr="0082115E">
        <w:rPr>
          <w:rFonts w:ascii="Garamond" w:hAnsi="Garamond"/>
          <w:sz w:val="24"/>
          <w:szCs w:val="24"/>
          <w:lang w:eastAsia="en-US"/>
        </w:rPr>
        <w:t xml:space="preserve">con ciò </w:t>
      </w:r>
      <w:r w:rsidR="00BF079F" w:rsidRPr="0082115E">
        <w:rPr>
          <w:rFonts w:ascii="Garamond" w:hAnsi="Garamond"/>
          <w:sz w:val="24"/>
          <w:szCs w:val="24"/>
          <w:lang w:eastAsia="en-US"/>
        </w:rPr>
        <w:t>pone</w:t>
      </w:r>
      <w:r w:rsidR="00727E25" w:rsidRPr="0082115E">
        <w:rPr>
          <w:rFonts w:ascii="Garamond" w:hAnsi="Garamond"/>
          <w:sz w:val="24"/>
          <w:szCs w:val="24"/>
          <w:lang w:eastAsia="en-US"/>
        </w:rPr>
        <w:t>ndosi</w:t>
      </w:r>
      <w:r w:rsidR="00BF079F" w:rsidRPr="0082115E">
        <w:rPr>
          <w:rFonts w:ascii="Garamond" w:hAnsi="Garamond"/>
          <w:sz w:val="24"/>
          <w:szCs w:val="24"/>
          <w:lang w:eastAsia="en-US"/>
        </w:rPr>
        <w:t xml:space="preserve"> </w:t>
      </w:r>
      <w:r w:rsidR="00727E25" w:rsidRPr="0082115E">
        <w:rPr>
          <w:rFonts w:ascii="Garamond" w:hAnsi="Garamond"/>
          <w:sz w:val="24"/>
          <w:szCs w:val="24"/>
          <w:lang w:eastAsia="en-US"/>
        </w:rPr>
        <w:t xml:space="preserve">in discontinuità rispetto al </w:t>
      </w:r>
      <w:r w:rsidR="00060779" w:rsidRPr="0082115E">
        <w:rPr>
          <w:rFonts w:ascii="Garamond" w:hAnsi="Garamond"/>
          <w:sz w:val="24"/>
          <w:szCs w:val="24"/>
          <w:lang w:eastAsia="en-US"/>
        </w:rPr>
        <w:t>più estensivo</w:t>
      </w:r>
      <w:r w:rsidR="00DD2BEF" w:rsidRPr="0082115E">
        <w:rPr>
          <w:rFonts w:ascii="Garamond" w:hAnsi="Garamond"/>
          <w:sz w:val="24"/>
          <w:szCs w:val="24"/>
          <w:lang w:eastAsia="en-US"/>
        </w:rPr>
        <w:t xml:space="preserve"> </w:t>
      </w:r>
      <w:r w:rsidR="00727E25" w:rsidRPr="0082115E">
        <w:rPr>
          <w:rFonts w:ascii="Garamond" w:hAnsi="Garamond"/>
          <w:sz w:val="24"/>
          <w:szCs w:val="24"/>
          <w:lang w:eastAsia="en-US"/>
        </w:rPr>
        <w:t>approccio che aveva connotato precedenti sentenze</w:t>
      </w:r>
      <w:r w:rsidR="00DD2BEF" w:rsidRPr="0082115E">
        <w:rPr>
          <w:rStyle w:val="Rimandonotaapidipagina"/>
          <w:szCs w:val="24"/>
          <w:lang w:eastAsia="en-US"/>
        </w:rPr>
        <w:footnoteReference w:id="45"/>
      </w:r>
      <w:r w:rsidR="00DD2BEF" w:rsidRPr="0082115E">
        <w:rPr>
          <w:rFonts w:ascii="Garamond" w:hAnsi="Garamond"/>
          <w:sz w:val="24"/>
          <w:szCs w:val="24"/>
          <w:lang w:eastAsia="en-US"/>
        </w:rPr>
        <w:t>.</w:t>
      </w:r>
    </w:p>
    <w:p w14:paraId="160A3EBF" w14:textId="33208C8A" w:rsidR="00E424A6" w:rsidRPr="0082115E" w:rsidRDefault="004B7393" w:rsidP="00DD2BEF">
      <w:pPr>
        <w:pStyle w:val="TESTOCOMM"/>
        <w:spacing w:line="276" w:lineRule="auto"/>
        <w:rPr>
          <w:rFonts w:ascii="Garamond" w:hAnsi="Garamond"/>
          <w:sz w:val="24"/>
          <w:szCs w:val="24"/>
          <w:lang w:eastAsia="en-US"/>
        </w:rPr>
      </w:pPr>
      <w:r w:rsidRPr="0082115E">
        <w:rPr>
          <w:rFonts w:ascii="Garamond" w:hAnsi="Garamond"/>
          <w:sz w:val="24"/>
          <w:szCs w:val="24"/>
          <w:lang w:eastAsia="en-US"/>
        </w:rPr>
        <w:t xml:space="preserve">In attesa di un </w:t>
      </w:r>
      <w:r w:rsidR="003C0989">
        <w:rPr>
          <w:rFonts w:ascii="Garamond" w:hAnsi="Garamond"/>
          <w:sz w:val="24"/>
          <w:szCs w:val="24"/>
          <w:lang w:eastAsia="en-US"/>
        </w:rPr>
        <w:t>auspica</w:t>
      </w:r>
      <w:r w:rsidR="00060779" w:rsidRPr="0082115E">
        <w:rPr>
          <w:rFonts w:ascii="Garamond" w:hAnsi="Garamond"/>
          <w:sz w:val="24"/>
          <w:szCs w:val="24"/>
          <w:lang w:eastAsia="en-US"/>
        </w:rPr>
        <w:t>bile</w:t>
      </w:r>
      <w:r w:rsidRPr="0082115E">
        <w:rPr>
          <w:rFonts w:ascii="Garamond" w:hAnsi="Garamond"/>
          <w:sz w:val="24"/>
          <w:szCs w:val="24"/>
          <w:lang w:eastAsia="en-US"/>
        </w:rPr>
        <w:t xml:space="preserve"> intervento dell’Adunanza Plenaria</w:t>
      </w:r>
      <w:r w:rsidR="00DD2BEF" w:rsidRPr="0082115E">
        <w:rPr>
          <w:rFonts w:ascii="Garamond" w:hAnsi="Garamond"/>
          <w:sz w:val="24"/>
          <w:szCs w:val="24"/>
          <w:lang w:eastAsia="en-US"/>
        </w:rPr>
        <w:t xml:space="preserve"> </w:t>
      </w:r>
      <w:r w:rsidR="00060779" w:rsidRPr="0082115E">
        <w:rPr>
          <w:rFonts w:ascii="Garamond" w:hAnsi="Garamond"/>
          <w:sz w:val="24"/>
          <w:szCs w:val="24"/>
          <w:lang w:eastAsia="en-US"/>
        </w:rPr>
        <w:t xml:space="preserve">che risolva il conflitto tra le due Sezioni </w:t>
      </w:r>
      <w:r w:rsidR="003C0989">
        <w:rPr>
          <w:rFonts w:ascii="Garamond" w:hAnsi="Garamond"/>
          <w:sz w:val="24"/>
          <w:szCs w:val="24"/>
          <w:lang w:eastAsia="en-US"/>
        </w:rPr>
        <w:t>in ordine al perimetro</w:t>
      </w:r>
      <w:r w:rsidR="00060779" w:rsidRPr="0082115E">
        <w:rPr>
          <w:rFonts w:ascii="Garamond" w:hAnsi="Garamond"/>
          <w:sz w:val="24"/>
          <w:szCs w:val="24"/>
          <w:lang w:eastAsia="en-US"/>
        </w:rPr>
        <w:t xml:space="preserve"> del concetto di “esperienze professionali pertinenti”</w:t>
      </w:r>
      <w:r w:rsidRPr="0082115E">
        <w:rPr>
          <w:rFonts w:ascii="Garamond" w:hAnsi="Garamond"/>
          <w:sz w:val="24"/>
          <w:szCs w:val="24"/>
          <w:lang w:eastAsia="en-US"/>
        </w:rPr>
        <w:t xml:space="preserve">, </w:t>
      </w:r>
      <w:r w:rsidR="00BF079F" w:rsidRPr="0082115E">
        <w:rPr>
          <w:rFonts w:ascii="Garamond" w:hAnsi="Garamond"/>
          <w:sz w:val="24"/>
          <w:szCs w:val="24"/>
          <w:lang w:eastAsia="en-US"/>
        </w:rPr>
        <w:t xml:space="preserve">nell’auspicata direzione di circoscrivere </w:t>
      </w:r>
      <w:r w:rsidR="00E424A6" w:rsidRPr="0082115E">
        <w:rPr>
          <w:rFonts w:ascii="Garamond" w:hAnsi="Garamond"/>
          <w:sz w:val="24"/>
          <w:szCs w:val="24"/>
          <w:lang w:eastAsia="en-US"/>
        </w:rPr>
        <w:t>la nozione alle</w:t>
      </w:r>
      <w:r w:rsidR="00BF079F" w:rsidRPr="0082115E">
        <w:rPr>
          <w:rFonts w:ascii="Garamond" w:hAnsi="Garamond"/>
          <w:sz w:val="24"/>
          <w:szCs w:val="24"/>
          <w:lang w:eastAsia="en-US"/>
        </w:rPr>
        <w:t xml:space="preserve"> sole prestazioni infungibili</w:t>
      </w:r>
      <w:r w:rsidR="00DD2BEF" w:rsidRPr="0082115E">
        <w:rPr>
          <w:rFonts w:ascii="Garamond" w:hAnsi="Garamond"/>
          <w:sz w:val="24"/>
          <w:szCs w:val="24"/>
          <w:lang w:eastAsia="en-US"/>
        </w:rPr>
        <w:t xml:space="preserve">, </w:t>
      </w:r>
      <w:r w:rsidR="003C0989">
        <w:rPr>
          <w:rFonts w:ascii="Garamond" w:hAnsi="Garamond"/>
          <w:sz w:val="24"/>
          <w:szCs w:val="24"/>
          <w:lang w:eastAsia="en-US"/>
        </w:rPr>
        <w:t>sembrerebbe</w:t>
      </w:r>
      <w:r w:rsidR="00DD2BEF" w:rsidRPr="0082115E">
        <w:rPr>
          <w:rFonts w:ascii="Garamond" w:hAnsi="Garamond"/>
          <w:sz w:val="24"/>
          <w:szCs w:val="24"/>
          <w:lang w:eastAsia="en-US"/>
        </w:rPr>
        <w:t xml:space="preserve"> </w:t>
      </w:r>
      <w:r w:rsidR="00E424A6" w:rsidRPr="0082115E">
        <w:rPr>
          <w:rFonts w:ascii="Garamond" w:hAnsi="Garamond"/>
          <w:sz w:val="24"/>
          <w:szCs w:val="24"/>
          <w:lang w:eastAsia="en-US"/>
        </w:rPr>
        <w:t>invece</w:t>
      </w:r>
      <w:r w:rsidR="00060779" w:rsidRPr="0082115E">
        <w:rPr>
          <w:rFonts w:ascii="Garamond" w:hAnsi="Garamond"/>
          <w:sz w:val="24"/>
          <w:szCs w:val="24"/>
          <w:lang w:eastAsia="en-US"/>
        </w:rPr>
        <w:t xml:space="preserve"> </w:t>
      </w:r>
      <w:r w:rsidR="00983C96">
        <w:rPr>
          <w:rFonts w:ascii="Garamond" w:hAnsi="Garamond"/>
          <w:sz w:val="24"/>
          <w:szCs w:val="24"/>
          <w:lang w:eastAsia="en-US"/>
        </w:rPr>
        <w:t xml:space="preserve">potersi </w:t>
      </w:r>
      <w:r w:rsidR="00060779" w:rsidRPr="0082115E">
        <w:rPr>
          <w:rFonts w:ascii="Garamond" w:hAnsi="Garamond"/>
          <w:sz w:val="24"/>
          <w:szCs w:val="24"/>
          <w:lang w:eastAsia="en-US"/>
        </w:rPr>
        <w:t>considerar</w:t>
      </w:r>
      <w:r w:rsidR="00983C96">
        <w:rPr>
          <w:rFonts w:ascii="Garamond" w:hAnsi="Garamond"/>
          <w:sz w:val="24"/>
          <w:szCs w:val="24"/>
          <w:lang w:eastAsia="en-US"/>
        </w:rPr>
        <w:t>e</w:t>
      </w:r>
      <w:r w:rsidR="00060779" w:rsidRPr="0082115E">
        <w:rPr>
          <w:rFonts w:ascii="Garamond" w:hAnsi="Garamond"/>
          <w:sz w:val="24"/>
          <w:szCs w:val="24"/>
          <w:lang w:eastAsia="en-US"/>
        </w:rPr>
        <w:t xml:space="preserve"> </w:t>
      </w:r>
      <w:r w:rsidR="00727E25" w:rsidRPr="0082115E">
        <w:rPr>
          <w:rFonts w:ascii="Garamond" w:hAnsi="Garamond"/>
          <w:sz w:val="24"/>
          <w:szCs w:val="24"/>
          <w:lang w:eastAsia="en-US"/>
        </w:rPr>
        <w:t>chiara</w:t>
      </w:r>
      <w:r w:rsidR="00060779" w:rsidRPr="0082115E">
        <w:rPr>
          <w:rFonts w:ascii="Garamond" w:hAnsi="Garamond"/>
          <w:sz w:val="24"/>
          <w:szCs w:val="24"/>
          <w:lang w:eastAsia="en-US"/>
        </w:rPr>
        <w:t xml:space="preserve"> la modalità </w:t>
      </w:r>
      <w:r w:rsidR="00E424A6" w:rsidRPr="0082115E">
        <w:rPr>
          <w:rFonts w:ascii="Garamond" w:hAnsi="Garamond"/>
          <w:sz w:val="24"/>
          <w:szCs w:val="24"/>
          <w:lang w:eastAsia="en-US"/>
        </w:rPr>
        <w:t>di applicazione della regola espressa dal comma 1 dell’art. 89: la previsione non si traduce  nell’obbligo di esecuzione diretta da parte dell’ausiliaria</w:t>
      </w:r>
      <w:r w:rsidR="00727E25" w:rsidRPr="0082115E">
        <w:rPr>
          <w:rFonts w:ascii="Garamond" w:hAnsi="Garamond"/>
          <w:sz w:val="24"/>
          <w:szCs w:val="24"/>
          <w:lang w:eastAsia="en-US"/>
        </w:rPr>
        <w:t>, dunque in una ipotesi di subappalto obbligatorio</w:t>
      </w:r>
      <w:r w:rsidR="00C758F7" w:rsidRPr="0082115E">
        <w:rPr>
          <w:rFonts w:ascii="Garamond" w:hAnsi="Garamond"/>
          <w:sz w:val="24"/>
          <w:szCs w:val="24"/>
          <w:lang w:eastAsia="en-US"/>
        </w:rPr>
        <w:t>,</w:t>
      </w:r>
      <w:r w:rsidR="00E424A6" w:rsidRPr="0082115E">
        <w:rPr>
          <w:rFonts w:ascii="Garamond" w:hAnsi="Garamond"/>
          <w:sz w:val="24"/>
          <w:szCs w:val="24"/>
          <w:lang w:eastAsia="en-US"/>
        </w:rPr>
        <w:t xml:space="preserve"> bensì nell’obbligo di impiego dei soggetti “titolati” </w:t>
      </w:r>
      <w:r w:rsidR="00C758F7" w:rsidRPr="0082115E">
        <w:rPr>
          <w:rFonts w:ascii="Garamond" w:hAnsi="Garamond"/>
          <w:sz w:val="24"/>
          <w:szCs w:val="24"/>
          <w:lang w:eastAsia="en-US"/>
        </w:rPr>
        <w:t xml:space="preserve">dell’ausiliaria </w:t>
      </w:r>
      <w:r w:rsidR="00E424A6" w:rsidRPr="0082115E">
        <w:rPr>
          <w:rFonts w:ascii="Garamond" w:hAnsi="Garamond"/>
          <w:sz w:val="24"/>
          <w:szCs w:val="24"/>
          <w:lang w:eastAsia="en-US"/>
        </w:rPr>
        <w:t xml:space="preserve">nel contesto del </w:t>
      </w:r>
      <w:r w:rsidR="00E424A6" w:rsidRPr="0082115E">
        <w:rPr>
          <w:rFonts w:ascii="Garamond" w:hAnsi="Garamond"/>
          <w:i/>
          <w:sz w:val="24"/>
          <w:szCs w:val="24"/>
          <w:lang w:eastAsia="en-US"/>
        </w:rPr>
        <w:t>team</w:t>
      </w:r>
      <w:r w:rsidR="00E424A6" w:rsidRPr="0082115E">
        <w:rPr>
          <w:rFonts w:ascii="Garamond" w:hAnsi="Garamond"/>
          <w:sz w:val="24"/>
          <w:szCs w:val="24"/>
          <w:lang w:eastAsia="en-US"/>
        </w:rPr>
        <w:t xml:space="preserve"> dispiegato</w:t>
      </w:r>
      <w:r w:rsidR="00C758F7" w:rsidRPr="0082115E">
        <w:rPr>
          <w:rFonts w:ascii="Garamond" w:hAnsi="Garamond"/>
          <w:sz w:val="24"/>
          <w:szCs w:val="24"/>
          <w:lang w:eastAsia="en-US"/>
        </w:rPr>
        <w:t xml:space="preserve"> dal concorrente</w:t>
      </w:r>
      <w:r w:rsidR="00E424A6" w:rsidRPr="0082115E">
        <w:rPr>
          <w:rFonts w:ascii="Garamond" w:hAnsi="Garamond"/>
          <w:sz w:val="24"/>
          <w:szCs w:val="24"/>
          <w:lang w:eastAsia="en-US"/>
        </w:rPr>
        <w:t>.</w:t>
      </w:r>
    </w:p>
    <w:p w14:paraId="4F1F5472" w14:textId="0753772F" w:rsidR="0080363C" w:rsidRPr="00DD2BEF" w:rsidRDefault="0080363C" w:rsidP="00E424A6">
      <w:pPr>
        <w:pStyle w:val="TESTOCOMM"/>
        <w:spacing w:line="276" w:lineRule="auto"/>
        <w:rPr>
          <w:sz w:val="24"/>
          <w:szCs w:val="24"/>
        </w:rPr>
      </w:pPr>
    </w:p>
    <w:p w14:paraId="48F2D7D9" w14:textId="77777777" w:rsidR="00E277C0" w:rsidRPr="006D67E0" w:rsidRDefault="00E277C0" w:rsidP="0082115E">
      <w:pPr>
        <w:pStyle w:val="TESTOCOMM"/>
        <w:spacing w:line="276" w:lineRule="auto"/>
        <w:ind w:firstLine="0"/>
        <w:rPr>
          <w:rFonts w:ascii="Garamond" w:hAnsi="Garamond"/>
          <w:sz w:val="24"/>
          <w:szCs w:val="24"/>
          <w:lang w:eastAsia="en-US"/>
        </w:rPr>
      </w:pPr>
    </w:p>
    <w:p w14:paraId="4F767264" w14:textId="74F7F3DC" w:rsidR="00DE22F2" w:rsidRPr="00743D2F" w:rsidRDefault="008A62E6" w:rsidP="00743D2F">
      <w:pPr>
        <w:pStyle w:val="Titolo1"/>
      </w:pPr>
      <w:bookmarkStart w:id="12" w:name="_Toc35453356"/>
      <w:bookmarkStart w:id="13" w:name="_Toc38992723"/>
      <w:r w:rsidRPr="00743D2F">
        <w:t>La risoluzione del contratto di appalto per mancato impiego effettivo delle risorse dell’ausiliaria</w:t>
      </w:r>
      <w:bookmarkEnd w:id="12"/>
      <w:bookmarkEnd w:id="13"/>
    </w:p>
    <w:p w14:paraId="6D3F94A5" w14:textId="674A8EF6" w:rsidR="0023254C" w:rsidRPr="0021663B" w:rsidRDefault="006753BD" w:rsidP="006D67E0">
      <w:pPr>
        <w:pStyle w:val="TESTOCOMM"/>
        <w:spacing w:line="276" w:lineRule="auto"/>
        <w:rPr>
          <w:rFonts w:ascii="Garamond" w:hAnsi="Garamond"/>
          <w:sz w:val="24"/>
          <w:szCs w:val="24"/>
          <w:lang w:eastAsia="en-US"/>
        </w:rPr>
      </w:pPr>
      <w:r w:rsidRPr="006D67E0">
        <w:rPr>
          <w:rFonts w:ascii="Garamond" w:hAnsi="Garamond"/>
          <w:sz w:val="24"/>
          <w:szCs w:val="24"/>
          <w:lang w:eastAsia="en-US"/>
        </w:rPr>
        <w:t xml:space="preserve">Al di fuori </w:t>
      </w:r>
      <w:r w:rsidRPr="00172ACC">
        <w:rPr>
          <w:rFonts w:ascii="Garamond" w:hAnsi="Garamond"/>
          <w:sz w:val="24"/>
          <w:szCs w:val="24"/>
          <w:lang w:eastAsia="en-US"/>
        </w:rPr>
        <w:t>de</w:t>
      </w:r>
      <w:r w:rsidR="00963564">
        <w:rPr>
          <w:rFonts w:ascii="Garamond" w:hAnsi="Garamond"/>
          <w:sz w:val="24"/>
          <w:szCs w:val="24"/>
          <w:lang w:eastAsia="en-US"/>
        </w:rPr>
        <w:t xml:space="preserve">lla specifica ipotesi di cui al </w:t>
      </w:r>
      <w:r w:rsidR="00FC629E">
        <w:rPr>
          <w:rFonts w:ascii="Garamond" w:hAnsi="Garamond"/>
          <w:sz w:val="24"/>
          <w:szCs w:val="24"/>
          <w:lang w:eastAsia="en-US"/>
        </w:rPr>
        <w:t>comma 1,</w:t>
      </w:r>
      <w:r w:rsidR="00963564">
        <w:rPr>
          <w:rFonts w:ascii="Garamond" w:hAnsi="Garamond"/>
          <w:sz w:val="24"/>
          <w:szCs w:val="24"/>
          <w:lang w:eastAsia="en-US"/>
        </w:rPr>
        <w:t xml:space="preserve"> secondo periodo, riguardante il prestito dei titoli di studio e delle esperienze professionali pertinenti,</w:t>
      </w:r>
      <w:r w:rsidRPr="00172ACC">
        <w:rPr>
          <w:rFonts w:ascii="Garamond" w:hAnsi="Garamond"/>
          <w:sz w:val="24"/>
          <w:szCs w:val="24"/>
          <w:lang w:eastAsia="en-US"/>
        </w:rPr>
        <w:t xml:space="preserve"> le ipotesi </w:t>
      </w:r>
      <w:r w:rsidR="00963564">
        <w:rPr>
          <w:rFonts w:ascii="Garamond" w:hAnsi="Garamond"/>
          <w:sz w:val="24"/>
          <w:szCs w:val="24"/>
          <w:lang w:eastAsia="en-US"/>
        </w:rPr>
        <w:t xml:space="preserve">generali </w:t>
      </w:r>
      <w:r w:rsidRPr="00172ACC">
        <w:rPr>
          <w:rFonts w:ascii="Garamond" w:hAnsi="Garamond"/>
          <w:sz w:val="24"/>
          <w:szCs w:val="24"/>
          <w:lang w:eastAsia="en-US"/>
        </w:rPr>
        <w:t>di prestito di requisiti di carattere tecnico e professionale</w:t>
      </w:r>
      <w:r w:rsidRPr="0021663B">
        <w:rPr>
          <w:rFonts w:ascii="Garamond" w:hAnsi="Garamond"/>
          <w:sz w:val="24"/>
          <w:szCs w:val="24"/>
          <w:lang w:eastAsia="en-US"/>
        </w:rPr>
        <w:t xml:space="preserve"> costitu</w:t>
      </w:r>
      <w:r w:rsidR="00963564">
        <w:rPr>
          <w:rFonts w:ascii="Garamond" w:hAnsi="Garamond"/>
          <w:sz w:val="24"/>
          <w:szCs w:val="24"/>
          <w:lang w:eastAsia="en-US"/>
        </w:rPr>
        <w:t>iscono</w:t>
      </w:r>
      <w:r w:rsidRPr="0021663B">
        <w:rPr>
          <w:rFonts w:ascii="Garamond" w:hAnsi="Garamond"/>
          <w:sz w:val="24"/>
          <w:szCs w:val="24"/>
          <w:lang w:eastAsia="en-US"/>
        </w:rPr>
        <w:t xml:space="preserve"> i casi di cd. avvalimento operativo puro, </w:t>
      </w:r>
      <w:r w:rsidR="00963564">
        <w:rPr>
          <w:rFonts w:ascii="Garamond" w:hAnsi="Garamond"/>
          <w:sz w:val="24"/>
          <w:szCs w:val="24"/>
          <w:lang w:eastAsia="en-US"/>
        </w:rPr>
        <w:t>la cui disciplina prosegue nel</w:t>
      </w:r>
      <w:r w:rsidRPr="0021663B">
        <w:rPr>
          <w:rFonts w:ascii="Garamond" w:hAnsi="Garamond"/>
          <w:sz w:val="24"/>
          <w:szCs w:val="24"/>
          <w:lang w:eastAsia="en-US"/>
        </w:rPr>
        <w:t xml:space="preserve"> comma 9 dell’art.</w:t>
      </w:r>
      <w:r w:rsidR="009D63E9" w:rsidRPr="0021663B">
        <w:rPr>
          <w:rFonts w:ascii="Garamond" w:hAnsi="Garamond"/>
          <w:sz w:val="24"/>
          <w:szCs w:val="24"/>
          <w:lang w:eastAsia="en-US"/>
        </w:rPr>
        <w:t xml:space="preserve"> </w:t>
      </w:r>
      <w:r w:rsidR="00ED2B21" w:rsidRPr="0021663B">
        <w:rPr>
          <w:rFonts w:ascii="Garamond" w:hAnsi="Garamond"/>
          <w:sz w:val="24"/>
          <w:szCs w:val="24"/>
          <w:lang w:eastAsia="en-US"/>
        </w:rPr>
        <w:t>89</w:t>
      </w:r>
      <w:r w:rsidR="00FC629E" w:rsidRPr="0021663B">
        <w:rPr>
          <w:rStyle w:val="Rimandonotaapidipagina"/>
          <w:rFonts w:ascii="Garamond" w:hAnsi="Garamond"/>
          <w:sz w:val="24"/>
          <w:szCs w:val="24"/>
          <w:lang w:eastAsia="en-US"/>
        </w:rPr>
        <w:footnoteReference w:id="46"/>
      </w:r>
      <w:r w:rsidR="00ED2B21" w:rsidRPr="0021663B">
        <w:rPr>
          <w:rFonts w:ascii="Garamond" w:hAnsi="Garamond"/>
          <w:sz w:val="24"/>
          <w:szCs w:val="24"/>
          <w:lang w:eastAsia="en-US"/>
        </w:rPr>
        <w:t xml:space="preserve">. </w:t>
      </w:r>
    </w:p>
    <w:p w14:paraId="2B205C82" w14:textId="174CA660" w:rsidR="003D3DA2" w:rsidRDefault="00ED2B21" w:rsidP="000D2CDE">
      <w:pPr>
        <w:pStyle w:val="TESTOCOMM"/>
        <w:spacing w:line="276" w:lineRule="auto"/>
        <w:rPr>
          <w:rFonts w:ascii="Garamond" w:hAnsi="Garamond"/>
          <w:sz w:val="24"/>
          <w:szCs w:val="24"/>
          <w:lang w:eastAsia="en-US"/>
        </w:rPr>
      </w:pPr>
      <w:r w:rsidRPr="0021663B">
        <w:rPr>
          <w:rFonts w:ascii="Garamond" w:hAnsi="Garamond"/>
          <w:sz w:val="24"/>
          <w:szCs w:val="24"/>
          <w:lang w:eastAsia="en-US"/>
        </w:rPr>
        <w:t xml:space="preserve">La </w:t>
      </w:r>
      <w:r w:rsidR="00636317" w:rsidRPr="0021663B">
        <w:rPr>
          <w:rFonts w:ascii="Garamond" w:hAnsi="Garamond"/>
          <w:sz w:val="24"/>
          <w:szCs w:val="24"/>
          <w:lang w:eastAsia="en-US"/>
        </w:rPr>
        <w:t>s</w:t>
      </w:r>
      <w:r w:rsidRPr="0021663B">
        <w:rPr>
          <w:rFonts w:ascii="Garamond" w:hAnsi="Garamond"/>
          <w:sz w:val="24"/>
          <w:szCs w:val="24"/>
          <w:lang w:eastAsia="en-US"/>
        </w:rPr>
        <w:t xml:space="preserve">tazione appaltante ha il compito di </w:t>
      </w:r>
      <w:r w:rsidR="004A755A" w:rsidRPr="0021663B">
        <w:rPr>
          <w:rFonts w:ascii="Garamond" w:hAnsi="Garamond"/>
          <w:sz w:val="24"/>
          <w:szCs w:val="24"/>
          <w:lang w:eastAsia="en-US"/>
        </w:rPr>
        <w:t>effettuare</w:t>
      </w:r>
      <w:r w:rsidRPr="0021663B">
        <w:rPr>
          <w:rFonts w:ascii="Garamond" w:hAnsi="Garamond"/>
          <w:sz w:val="24"/>
          <w:szCs w:val="24"/>
          <w:lang w:eastAsia="en-US"/>
        </w:rPr>
        <w:t xml:space="preserve"> in corso di esecuzione le verifiche sostanziali circa l’effettivo possesso </w:t>
      </w:r>
      <w:r w:rsidR="0023254C" w:rsidRPr="0021663B">
        <w:rPr>
          <w:rFonts w:ascii="Garamond" w:hAnsi="Garamond"/>
          <w:sz w:val="24"/>
          <w:szCs w:val="24"/>
          <w:lang w:eastAsia="en-US"/>
        </w:rPr>
        <w:t>dei requisiti e delle risorse oggetto dell’avvalimento da parte dell’impresa ausiliaria, nonché l’effettivo impiego delle risorse medesime</w:t>
      </w:r>
      <w:r w:rsidR="0023254C" w:rsidRPr="00172ACC">
        <w:rPr>
          <w:rFonts w:ascii="Garamond" w:hAnsi="Garamond"/>
          <w:sz w:val="24"/>
          <w:szCs w:val="24"/>
          <w:lang w:eastAsia="en-US"/>
        </w:rPr>
        <w:t xml:space="preserve"> nell’esecuzione dell’appalto. A tal fine, il RUP deve accertare che </w:t>
      </w:r>
      <w:r w:rsidR="006753BD" w:rsidRPr="004C3E76">
        <w:rPr>
          <w:rFonts w:ascii="Garamond" w:hAnsi="Garamond"/>
          <w:sz w:val="24"/>
          <w:szCs w:val="24"/>
          <w:lang w:eastAsia="en-US"/>
        </w:rPr>
        <w:t>le prestazioni oggetto di contratto s</w:t>
      </w:r>
      <w:r w:rsidR="004C3E76">
        <w:rPr>
          <w:rFonts w:ascii="Garamond" w:hAnsi="Garamond"/>
          <w:sz w:val="24"/>
          <w:szCs w:val="24"/>
          <w:lang w:eastAsia="en-US"/>
        </w:rPr>
        <w:t>ia</w:t>
      </w:r>
      <w:r w:rsidR="006753BD" w:rsidRPr="004C3E76">
        <w:rPr>
          <w:rFonts w:ascii="Garamond" w:hAnsi="Garamond"/>
          <w:sz w:val="24"/>
          <w:szCs w:val="24"/>
          <w:lang w:eastAsia="en-US"/>
        </w:rPr>
        <w:t>no svolte direttamente dalle risorse umane e strumentali dell'impresa ausiliaria che il titolare del contratto utilizza in adempimento degli obblighi derivanti dal contratto di avvalimento</w:t>
      </w:r>
      <w:r w:rsidR="006753BD" w:rsidRPr="0021663B">
        <w:rPr>
          <w:rFonts w:ascii="Garamond" w:hAnsi="Garamond"/>
          <w:i/>
          <w:sz w:val="24"/>
          <w:szCs w:val="24"/>
          <w:lang w:eastAsia="en-US"/>
        </w:rPr>
        <w:t>.</w:t>
      </w:r>
      <w:r w:rsidR="006753BD" w:rsidRPr="0021663B">
        <w:rPr>
          <w:rFonts w:ascii="Garamond" w:hAnsi="Garamond"/>
          <w:sz w:val="24"/>
          <w:szCs w:val="24"/>
          <w:lang w:eastAsia="en-US"/>
        </w:rPr>
        <w:t xml:space="preserve"> </w:t>
      </w:r>
      <w:r w:rsidR="009D63E9" w:rsidRPr="0021663B">
        <w:rPr>
          <w:rFonts w:ascii="Garamond" w:hAnsi="Garamond"/>
          <w:sz w:val="24"/>
          <w:szCs w:val="24"/>
          <w:lang w:eastAsia="en-US"/>
        </w:rPr>
        <w:t>Tale previsione, a partire dal correttivo</w:t>
      </w:r>
      <w:r w:rsidR="006753BD" w:rsidRPr="0021663B">
        <w:rPr>
          <w:rFonts w:ascii="Garamond" w:hAnsi="Garamond"/>
          <w:sz w:val="24"/>
          <w:szCs w:val="24"/>
          <w:lang w:eastAsia="en-US"/>
        </w:rPr>
        <w:t xml:space="preserve"> D.Lgs.</w:t>
      </w:r>
      <w:r w:rsidR="000D2CDE">
        <w:rPr>
          <w:rFonts w:ascii="Garamond" w:hAnsi="Garamond"/>
          <w:sz w:val="24"/>
          <w:szCs w:val="24"/>
          <w:lang w:eastAsia="en-US"/>
        </w:rPr>
        <w:t xml:space="preserve"> n.</w:t>
      </w:r>
      <w:r w:rsidR="006753BD" w:rsidRPr="0021663B">
        <w:rPr>
          <w:rFonts w:ascii="Garamond" w:hAnsi="Garamond"/>
          <w:sz w:val="24"/>
          <w:szCs w:val="24"/>
          <w:lang w:eastAsia="en-US"/>
        </w:rPr>
        <w:t xml:space="preserve"> 56/2017,</w:t>
      </w:r>
      <w:r w:rsidR="009D63E9" w:rsidRPr="0021663B">
        <w:rPr>
          <w:rFonts w:ascii="Garamond" w:hAnsi="Garamond"/>
          <w:sz w:val="24"/>
          <w:szCs w:val="24"/>
          <w:lang w:eastAsia="en-US"/>
        </w:rPr>
        <w:t xml:space="preserve"> è </w:t>
      </w:r>
      <w:r w:rsidR="00636317" w:rsidRPr="0021663B">
        <w:rPr>
          <w:rFonts w:ascii="Garamond" w:hAnsi="Garamond"/>
          <w:sz w:val="24"/>
          <w:szCs w:val="24"/>
          <w:lang w:eastAsia="en-US"/>
        </w:rPr>
        <w:t>stabilita</w:t>
      </w:r>
      <w:r w:rsidR="006753BD" w:rsidRPr="0021663B">
        <w:rPr>
          <w:rFonts w:ascii="Garamond" w:hAnsi="Garamond"/>
          <w:sz w:val="24"/>
          <w:szCs w:val="24"/>
          <w:lang w:eastAsia="en-US"/>
        </w:rPr>
        <w:t xml:space="preserve"> a pena di risoluzione dell’intero contratto di appalto</w:t>
      </w:r>
      <w:r w:rsidR="004C3E76">
        <w:rPr>
          <w:rFonts w:ascii="Garamond" w:hAnsi="Garamond"/>
          <w:sz w:val="24"/>
          <w:szCs w:val="24"/>
          <w:lang w:eastAsia="en-US"/>
        </w:rPr>
        <w:t>.</w:t>
      </w:r>
    </w:p>
    <w:p w14:paraId="36954F7D" w14:textId="5D7BA932" w:rsidR="004C3E76" w:rsidRPr="00460B5C" w:rsidRDefault="004C3E76" w:rsidP="000D2CDE">
      <w:pPr>
        <w:pStyle w:val="TESTOCOMM"/>
        <w:spacing w:line="276" w:lineRule="auto"/>
        <w:rPr>
          <w:rFonts w:ascii="Garamond" w:hAnsi="Garamond"/>
          <w:sz w:val="24"/>
          <w:szCs w:val="24"/>
          <w:shd w:val="clear" w:color="auto" w:fill="FFFFFF"/>
        </w:rPr>
      </w:pPr>
      <w:r>
        <w:rPr>
          <w:rFonts w:ascii="Garamond" w:hAnsi="Garamond"/>
          <w:sz w:val="24"/>
          <w:szCs w:val="24"/>
          <w:lang w:eastAsia="en-US"/>
        </w:rPr>
        <w:t xml:space="preserve">Ed è proprio l’effettivo impiego delle risorse dell’ausiliaria a fare emergere la necessità di delineare in modo chiaro le linee di confine e di distinzione tra avvalimento operativo e subappalto, ciò che </w:t>
      </w:r>
      <w:r w:rsidRPr="00460B5C">
        <w:rPr>
          <w:rFonts w:ascii="Garamond" w:hAnsi="Garamond"/>
          <w:sz w:val="24"/>
          <w:szCs w:val="24"/>
          <w:lang w:eastAsia="en-US"/>
        </w:rPr>
        <w:t>costituisce il precipuo oggetto del paragrafo che segue.</w:t>
      </w:r>
    </w:p>
    <w:p w14:paraId="2FD406AC" w14:textId="0E03BA00" w:rsidR="00C05DD2" w:rsidRPr="00652C77" w:rsidRDefault="00DD5255" w:rsidP="006D67E0">
      <w:pPr>
        <w:spacing w:line="276" w:lineRule="auto"/>
        <w:ind w:firstLine="284"/>
        <w:jc w:val="both"/>
        <w:rPr>
          <w:rFonts w:ascii="Garamond" w:hAnsi="Garamond"/>
          <w:bCs/>
        </w:rPr>
      </w:pPr>
      <w:r>
        <w:rPr>
          <w:rFonts w:ascii="Garamond" w:hAnsi="Garamond"/>
        </w:rPr>
        <w:t>Deve</w:t>
      </w:r>
      <w:r w:rsidR="001E1D65" w:rsidRPr="00460B5C">
        <w:rPr>
          <w:rFonts w:ascii="Garamond" w:hAnsi="Garamond"/>
        </w:rPr>
        <w:t xml:space="preserve"> poi </w:t>
      </w:r>
      <w:r>
        <w:rPr>
          <w:rFonts w:ascii="Garamond" w:hAnsi="Garamond"/>
        </w:rPr>
        <w:t xml:space="preserve">segnalarsi </w:t>
      </w:r>
      <w:r w:rsidR="001E1D65" w:rsidRPr="00460B5C">
        <w:rPr>
          <w:rFonts w:ascii="Garamond" w:hAnsi="Garamond"/>
        </w:rPr>
        <w:t xml:space="preserve">che, al suddetto requisito dell’effettività, </w:t>
      </w:r>
      <w:r w:rsidR="00E46E34" w:rsidRPr="00460B5C">
        <w:rPr>
          <w:rFonts w:ascii="Garamond" w:hAnsi="Garamond"/>
        </w:rPr>
        <w:t xml:space="preserve">l’ANAC </w:t>
      </w:r>
      <w:r w:rsidR="001E1D65" w:rsidRPr="00460B5C">
        <w:rPr>
          <w:rFonts w:ascii="Garamond" w:hAnsi="Garamond"/>
        </w:rPr>
        <w:t>sembr</w:t>
      </w:r>
      <w:r w:rsidR="00963564">
        <w:rPr>
          <w:rFonts w:ascii="Garamond" w:hAnsi="Garamond"/>
        </w:rPr>
        <w:t>ava</w:t>
      </w:r>
      <w:r w:rsidR="001E1D65" w:rsidRPr="00460B5C">
        <w:rPr>
          <w:rFonts w:ascii="Garamond" w:hAnsi="Garamond"/>
        </w:rPr>
        <w:t xml:space="preserve"> voler </w:t>
      </w:r>
      <w:r w:rsidR="00E46E34" w:rsidRPr="00460B5C">
        <w:rPr>
          <w:rFonts w:ascii="Garamond" w:hAnsi="Garamond"/>
        </w:rPr>
        <w:t xml:space="preserve">aggiungere quello dell’esclusività per cui </w:t>
      </w:r>
      <w:r w:rsidR="00C05DD2" w:rsidRPr="00460B5C">
        <w:rPr>
          <w:rFonts w:ascii="Garamond" w:hAnsi="Garamond"/>
          <w:bCs/>
          <w:i/>
          <w:iCs/>
        </w:rPr>
        <w:t>“</w:t>
      </w:r>
      <w:r w:rsidR="00BF5392" w:rsidRPr="00460B5C">
        <w:rPr>
          <w:rFonts w:ascii="Garamond" w:hAnsi="Garamond"/>
          <w:bCs/>
          <w:i/>
          <w:iCs/>
        </w:rPr>
        <w:t>ne</w:t>
      </w:r>
      <w:r w:rsidR="00C05DD2" w:rsidRPr="00460B5C">
        <w:rPr>
          <w:rFonts w:ascii="Garamond" w:hAnsi="Garamond"/>
          <w:bCs/>
          <w:i/>
          <w:iCs/>
        </w:rPr>
        <w:t>l caso in cui l’avvalimento abbia ad oggetto risorse materiali, mezzi e risorse messe a disposizione dall’impresa ausiliaria devono essere destinati esclusivamente all’esecuzione dell’appalto per il tempo necessario, con l’impossibilità, per l’impresa ausiliaria, di utilizzarli nella propria attività aziendale”</w:t>
      </w:r>
      <w:r w:rsidR="00FC629E" w:rsidRPr="00FC629E">
        <w:rPr>
          <w:rStyle w:val="Rimandonotaapidipagina"/>
          <w:rFonts w:ascii="Garamond" w:hAnsi="Garamond"/>
          <w:sz w:val="24"/>
        </w:rPr>
        <w:t xml:space="preserve"> </w:t>
      </w:r>
      <w:r w:rsidR="00FC629E" w:rsidRPr="00460B5C">
        <w:rPr>
          <w:rStyle w:val="Rimandonotaapidipagina"/>
          <w:rFonts w:ascii="Garamond" w:hAnsi="Garamond"/>
          <w:sz w:val="24"/>
        </w:rPr>
        <w:footnoteReference w:id="47"/>
      </w:r>
      <w:r w:rsidR="00C05DD2" w:rsidRPr="00460B5C">
        <w:rPr>
          <w:rFonts w:ascii="Garamond" w:hAnsi="Garamond"/>
          <w:bCs/>
          <w:i/>
          <w:iCs/>
        </w:rPr>
        <w:t>.</w:t>
      </w:r>
      <w:r w:rsidR="00652C77">
        <w:rPr>
          <w:rFonts w:ascii="Garamond" w:hAnsi="Garamond"/>
          <w:bCs/>
          <w:i/>
          <w:iCs/>
        </w:rPr>
        <w:t xml:space="preserve"> </w:t>
      </w:r>
    </w:p>
    <w:p w14:paraId="5F478FFB" w14:textId="77777777" w:rsidR="00A935BF" w:rsidRPr="00460B5C" w:rsidRDefault="00A935BF" w:rsidP="006D67E0">
      <w:pPr>
        <w:pStyle w:val="Paragrafoelenco"/>
        <w:spacing w:line="276" w:lineRule="auto"/>
        <w:ind w:left="360"/>
        <w:rPr>
          <w:rFonts w:ascii="Garamond" w:hAnsi="Garamond" w:cs="Times New Roman"/>
          <w:b/>
          <w:sz w:val="24"/>
          <w:szCs w:val="24"/>
        </w:rPr>
      </w:pPr>
    </w:p>
    <w:p w14:paraId="354431BF" w14:textId="77777777" w:rsidR="00636317" w:rsidRPr="00460B5C" w:rsidRDefault="00636317" w:rsidP="006D67E0">
      <w:pPr>
        <w:pStyle w:val="Paragrafoelenco"/>
        <w:spacing w:line="276" w:lineRule="auto"/>
        <w:ind w:left="360"/>
        <w:rPr>
          <w:rFonts w:ascii="Garamond" w:hAnsi="Garamond" w:cs="Times New Roman"/>
          <w:b/>
          <w:sz w:val="24"/>
          <w:szCs w:val="24"/>
        </w:rPr>
      </w:pPr>
    </w:p>
    <w:p w14:paraId="6840D264" w14:textId="6107ED4A" w:rsidR="00BF5392" w:rsidRPr="00460B5C" w:rsidRDefault="00A935BF" w:rsidP="00743D2F">
      <w:pPr>
        <w:pStyle w:val="Titolo1"/>
        <w:rPr>
          <w:rStyle w:val="Enfasicorsivo"/>
          <w:i w:val="0"/>
          <w:iCs w:val="0"/>
        </w:rPr>
      </w:pPr>
      <w:bookmarkStart w:id="14" w:name="_Toc38992724"/>
      <w:r w:rsidRPr="00460B5C">
        <w:t>La confusione tra avvalimento</w:t>
      </w:r>
      <w:r w:rsidR="00BF5392" w:rsidRPr="00460B5C">
        <w:t xml:space="preserve"> e subappalto</w:t>
      </w:r>
      <w:bookmarkEnd w:id="14"/>
    </w:p>
    <w:p w14:paraId="0D5BCE42" w14:textId="289A36F2" w:rsidR="00BF5392" w:rsidRPr="00460B5C" w:rsidRDefault="0054050A" w:rsidP="00BC5664">
      <w:pPr>
        <w:spacing w:line="276" w:lineRule="auto"/>
        <w:ind w:firstLine="284"/>
        <w:contextualSpacing/>
        <w:jc w:val="both"/>
        <w:rPr>
          <w:rStyle w:val="Enfasicorsivo"/>
          <w:rFonts w:ascii="Garamond" w:hAnsi="Garamond"/>
          <w:i w:val="0"/>
          <w:iCs w:val="0"/>
        </w:rPr>
      </w:pPr>
      <w:r w:rsidRPr="00460B5C">
        <w:rPr>
          <w:rStyle w:val="Enfasicorsivo"/>
          <w:rFonts w:ascii="Garamond" w:hAnsi="Garamond"/>
          <w:i w:val="0"/>
          <w:iCs w:val="0"/>
        </w:rPr>
        <w:t xml:space="preserve">Veniamo ora agli </w:t>
      </w:r>
      <w:r w:rsidR="00BC5664" w:rsidRPr="00460B5C">
        <w:rPr>
          <w:rStyle w:val="Enfasicorsivo"/>
          <w:rFonts w:ascii="Garamond" w:hAnsi="Garamond"/>
          <w:i w:val="0"/>
          <w:iCs w:val="0"/>
        </w:rPr>
        <w:t>elementi distintivi</w:t>
      </w:r>
      <w:r w:rsidR="00BF5392" w:rsidRPr="00460B5C">
        <w:rPr>
          <w:rStyle w:val="Enfasicorsivo"/>
          <w:rFonts w:ascii="Garamond" w:hAnsi="Garamond"/>
          <w:i w:val="0"/>
          <w:iCs w:val="0"/>
        </w:rPr>
        <w:t xml:space="preserve"> </w:t>
      </w:r>
      <w:r w:rsidR="00D71F5D" w:rsidRPr="00460B5C">
        <w:rPr>
          <w:rStyle w:val="Enfasicorsivo"/>
          <w:rFonts w:ascii="Garamond" w:hAnsi="Garamond"/>
          <w:i w:val="0"/>
          <w:iCs w:val="0"/>
        </w:rPr>
        <w:t>tra il subappalto e l’avvalimento</w:t>
      </w:r>
      <w:r w:rsidR="00BC5664" w:rsidRPr="00460B5C">
        <w:rPr>
          <w:rStyle w:val="Enfasicorsivo"/>
          <w:rFonts w:ascii="Garamond" w:hAnsi="Garamond"/>
          <w:i w:val="0"/>
          <w:iCs w:val="0"/>
        </w:rPr>
        <w:t>.</w:t>
      </w:r>
      <w:r w:rsidR="00D71F5D" w:rsidRPr="00460B5C">
        <w:rPr>
          <w:rStyle w:val="Enfasicorsivo"/>
          <w:rFonts w:ascii="Garamond" w:hAnsi="Garamond"/>
          <w:i w:val="0"/>
          <w:iCs w:val="0"/>
        </w:rPr>
        <w:t xml:space="preserve"> Si considereranno, in particolare, </w:t>
      </w:r>
      <w:r w:rsidR="00753C53" w:rsidRPr="00460B5C">
        <w:rPr>
          <w:rStyle w:val="Enfasicorsivo"/>
          <w:rFonts w:ascii="Garamond" w:hAnsi="Garamond"/>
          <w:i w:val="0"/>
          <w:iCs w:val="0"/>
        </w:rPr>
        <w:t>la</w:t>
      </w:r>
      <w:r w:rsidR="00D71F5D" w:rsidRPr="00460B5C">
        <w:rPr>
          <w:rStyle w:val="Enfasicorsivo"/>
          <w:rFonts w:ascii="Garamond" w:hAnsi="Garamond"/>
          <w:i w:val="0"/>
          <w:iCs w:val="0"/>
        </w:rPr>
        <w:t xml:space="preserve"> funzione </w:t>
      </w:r>
      <w:r w:rsidR="00753C53" w:rsidRPr="00460B5C">
        <w:rPr>
          <w:rStyle w:val="Enfasicorsivo"/>
          <w:rFonts w:ascii="Garamond" w:hAnsi="Garamond"/>
          <w:i w:val="0"/>
          <w:iCs w:val="0"/>
        </w:rPr>
        <w:t xml:space="preserve">di integrazione dei requisiti di partecipazione alle gare </w:t>
      </w:r>
      <w:r w:rsidR="00DD5255">
        <w:rPr>
          <w:rStyle w:val="Enfasicorsivo"/>
          <w:rFonts w:ascii="Garamond" w:hAnsi="Garamond"/>
          <w:i w:val="0"/>
          <w:iCs w:val="0"/>
        </w:rPr>
        <w:t xml:space="preserve">e le </w:t>
      </w:r>
      <w:r w:rsidR="00D71F5D" w:rsidRPr="00460B5C">
        <w:rPr>
          <w:rStyle w:val="Enfasicorsivo"/>
          <w:rFonts w:ascii="Garamond" w:hAnsi="Garamond"/>
          <w:i w:val="0"/>
          <w:iCs w:val="0"/>
        </w:rPr>
        <w:t>differenze che rilevano sul piano delle responsabilità e dell’organizzazione delle risorse.</w:t>
      </w:r>
    </w:p>
    <w:p w14:paraId="50844DEF" w14:textId="77777777" w:rsidR="00BF5392" w:rsidRPr="00460B5C" w:rsidRDefault="00BF5392" w:rsidP="006D67E0">
      <w:pPr>
        <w:spacing w:line="276" w:lineRule="auto"/>
        <w:contextualSpacing/>
        <w:jc w:val="both"/>
        <w:rPr>
          <w:rStyle w:val="Enfasicorsivo"/>
          <w:rFonts w:ascii="Garamond" w:hAnsi="Garamond"/>
          <w:i w:val="0"/>
          <w:iCs w:val="0"/>
        </w:rPr>
      </w:pPr>
    </w:p>
    <w:p w14:paraId="6AAF8980" w14:textId="77777777" w:rsidR="00BC5664" w:rsidRPr="00460B5C" w:rsidRDefault="00BC5664" w:rsidP="006D67E0">
      <w:pPr>
        <w:spacing w:line="276" w:lineRule="auto"/>
        <w:contextualSpacing/>
        <w:jc w:val="both"/>
        <w:rPr>
          <w:rStyle w:val="Enfasicorsivo"/>
          <w:rFonts w:ascii="Garamond" w:hAnsi="Garamond"/>
          <w:i w:val="0"/>
          <w:iCs w:val="0"/>
        </w:rPr>
      </w:pPr>
    </w:p>
    <w:p w14:paraId="36F5AC4E" w14:textId="2AAC8B7B" w:rsidR="00985E32" w:rsidRPr="00460B5C" w:rsidRDefault="009F053B" w:rsidP="00743D2F">
      <w:pPr>
        <w:pStyle w:val="Titolo2"/>
        <w:rPr>
          <w:rStyle w:val="Enfasicorsivo"/>
          <w:i w:val="0"/>
          <w:iCs w:val="0"/>
        </w:rPr>
      </w:pPr>
      <w:bookmarkStart w:id="15" w:name="_Toc38992725"/>
      <w:r w:rsidRPr="00460B5C">
        <w:rPr>
          <w:rStyle w:val="Enfasicorsivo"/>
          <w:i w:val="0"/>
          <w:iCs w:val="0"/>
        </w:rPr>
        <w:t xml:space="preserve">La </w:t>
      </w:r>
      <w:r w:rsidR="00636317" w:rsidRPr="00460B5C">
        <w:rPr>
          <w:rStyle w:val="Enfasicorsivo"/>
          <w:i w:val="0"/>
          <w:iCs w:val="0"/>
        </w:rPr>
        <w:t>funzione</w:t>
      </w:r>
      <w:r w:rsidRPr="00460B5C">
        <w:rPr>
          <w:rStyle w:val="Enfasicorsivo"/>
          <w:i w:val="0"/>
          <w:iCs w:val="0"/>
        </w:rPr>
        <w:t xml:space="preserve"> di integrazione dei</w:t>
      </w:r>
      <w:r w:rsidR="00753C53" w:rsidRPr="00460B5C">
        <w:rPr>
          <w:rStyle w:val="Enfasicorsivo"/>
          <w:i w:val="0"/>
          <w:iCs w:val="0"/>
        </w:rPr>
        <w:t xml:space="preserve"> requisiti in fase di gara</w:t>
      </w:r>
      <w:bookmarkEnd w:id="15"/>
    </w:p>
    <w:p w14:paraId="11071541" w14:textId="1A81799E" w:rsidR="00753C53" w:rsidRPr="00460B5C" w:rsidRDefault="00753C53" w:rsidP="006D67E0">
      <w:pPr>
        <w:spacing w:line="276" w:lineRule="auto"/>
        <w:contextualSpacing/>
        <w:jc w:val="both"/>
        <w:rPr>
          <w:rStyle w:val="Enfasicorsivo"/>
          <w:rFonts w:ascii="Garamond" w:hAnsi="Garamond"/>
          <w:i w:val="0"/>
          <w:iCs w:val="0"/>
        </w:rPr>
      </w:pPr>
      <w:r w:rsidRPr="00460B5C">
        <w:rPr>
          <w:rStyle w:val="Enfasicorsivo"/>
          <w:rFonts w:ascii="Garamond" w:hAnsi="Garamond"/>
          <w:i w:val="0"/>
          <w:iCs w:val="0"/>
        </w:rPr>
        <w:tab/>
        <w:t>Al fine di trattare la prima questione, circa la potenziale valenza di integrazione dei requisiti in fase di gara dei due istituti, non può prescindersi dal considerare l’ipotesi del cd</w:t>
      </w:r>
      <w:r w:rsidRPr="00961B0C">
        <w:rPr>
          <w:rStyle w:val="Enfasicorsivo"/>
          <w:rFonts w:ascii="Garamond" w:hAnsi="Garamond"/>
          <w:i w:val="0"/>
          <w:iCs w:val="0"/>
        </w:rPr>
        <w:t>.</w:t>
      </w:r>
      <w:r w:rsidRPr="00750902">
        <w:rPr>
          <w:rFonts w:ascii="Garamond" w:hAnsi="Garamond"/>
          <w:b/>
          <w:bCs/>
        </w:rPr>
        <w:t xml:space="preserve"> </w:t>
      </w:r>
      <w:r w:rsidRPr="00961B0C">
        <w:rPr>
          <w:rFonts w:ascii="Garamond" w:hAnsi="Garamond"/>
        </w:rPr>
        <w:t>subappalto necessario</w:t>
      </w:r>
      <w:r w:rsidRPr="00750902">
        <w:rPr>
          <w:rFonts w:ascii="Garamond" w:hAnsi="Garamond"/>
        </w:rPr>
        <w:t>.</w:t>
      </w:r>
    </w:p>
    <w:p w14:paraId="4646D91D" w14:textId="093134F6" w:rsidR="00985E32" w:rsidRPr="00944F22" w:rsidRDefault="00985E32" w:rsidP="006D67E0">
      <w:pPr>
        <w:spacing w:line="276" w:lineRule="auto"/>
        <w:jc w:val="both"/>
        <w:rPr>
          <w:rFonts w:ascii="Garamond" w:hAnsi="Garamond"/>
          <w:bCs/>
          <w:iCs/>
        </w:rPr>
      </w:pPr>
      <w:r w:rsidRPr="00460B5C">
        <w:rPr>
          <w:rStyle w:val="Enfasicorsivo"/>
          <w:rFonts w:ascii="Garamond" w:hAnsi="Garamond"/>
          <w:i w:val="0"/>
          <w:iCs w:val="0"/>
        </w:rPr>
        <w:tab/>
      </w:r>
      <w:r w:rsidR="00D07BFC" w:rsidRPr="00460B5C">
        <w:rPr>
          <w:rStyle w:val="Enfasicorsivo"/>
          <w:rFonts w:ascii="Garamond" w:hAnsi="Garamond"/>
          <w:i w:val="0"/>
          <w:iCs w:val="0"/>
        </w:rPr>
        <w:t xml:space="preserve">Come noto, </w:t>
      </w:r>
      <w:r w:rsidR="005A2958" w:rsidRPr="00460B5C">
        <w:rPr>
          <w:rFonts w:ascii="Garamond" w:hAnsi="Garamond"/>
        </w:rPr>
        <w:t>una</w:t>
      </w:r>
      <w:r w:rsidR="00D07BFC" w:rsidRPr="00460B5C">
        <w:rPr>
          <w:rFonts w:ascii="Garamond" w:hAnsi="Garamond"/>
        </w:rPr>
        <w:t xml:space="preserve"> questione </w:t>
      </w:r>
      <w:r w:rsidR="005A2958" w:rsidRPr="00460B5C">
        <w:rPr>
          <w:rFonts w:ascii="Garamond" w:hAnsi="Garamond"/>
        </w:rPr>
        <w:t>particolarmente dibattuta, prima dell’entrata in vigore del nuov</w:t>
      </w:r>
      <w:r w:rsidR="005A2958" w:rsidRPr="00944F22">
        <w:rPr>
          <w:rFonts w:ascii="Garamond" w:hAnsi="Garamond"/>
        </w:rPr>
        <w:t>o Codice, era quella r</w:t>
      </w:r>
      <w:r w:rsidR="00D07BFC" w:rsidRPr="00944F22">
        <w:rPr>
          <w:rFonts w:ascii="Garamond" w:hAnsi="Garamond"/>
        </w:rPr>
        <w:t>elativa all’obbligatorietà o meno dell’indicazione del nominativo del subappaltatore in sede d</w:t>
      </w:r>
      <w:r w:rsidR="00753C53" w:rsidRPr="00944F22">
        <w:rPr>
          <w:rFonts w:ascii="Garamond" w:hAnsi="Garamond"/>
        </w:rPr>
        <w:t>i offerta</w:t>
      </w:r>
      <w:r w:rsidR="005A2958" w:rsidRPr="00944F22">
        <w:rPr>
          <w:rFonts w:ascii="Garamond" w:hAnsi="Garamond"/>
        </w:rPr>
        <w:t xml:space="preserve">. Tale dibattito giurisprudenziale </w:t>
      </w:r>
      <w:r w:rsidR="00D07BFC" w:rsidRPr="00944F22">
        <w:rPr>
          <w:rFonts w:ascii="Garamond" w:hAnsi="Garamond"/>
        </w:rPr>
        <w:t>culmin</w:t>
      </w:r>
      <w:r w:rsidR="00DD5255">
        <w:rPr>
          <w:rFonts w:ascii="Garamond" w:hAnsi="Garamond"/>
        </w:rPr>
        <w:t>ò</w:t>
      </w:r>
      <w:r w:rsidR="00D07BFC" w:rsidRPr="00944F22">
        <w:rPr>
          <w:rFonts w:ascii="Garamond" w:hAnsi="Garamond"/>
        </w:rPr>
        <w:t xml:space="preserve"> </w:t>
      </w:r>
      <w:r w:rsidR="00353E15" w:rsidRPr="00944F22">
        <w:rPr>
          <w:rFonts w:ascii="Garamond" w:hAnsi="Garamond"/>
        </w:rPr>
        <w:t>nella</w:t>
      </w:r>
      <w:r w:rsidR="00D07BFC" w:rsidRPr="00944F22">
        <w:rPr>
          <w:rFonts w:ascii="Garamond" w:hAnsi="Garamond"/>
        </w:rPr>
        <w:t xml:space="preserve"> decisione dell’</w:t>
      </w:r>
      <w:r w:rsidR="00D07BFC" w:rsidRPr="00944F22">
        <w:rPr>
          <w:rFonts w:ascii="Garamond" w:hAnsi="Garamond"/>
          <w:bCs/>
        </w:rPr>
        <w:t>Adunanza Plenaria del Consiglio di Stato n. 9/2015</w:t>
      </w:r>
      <w:r w:rsidR="008A45C7" w:rsidRPr="00944F22">
        <w:rPr>
          <w:rStyle w:val="Rimandonotaapidipagina"/>
          <w:rFonts w:ascii="Garamond" w:hAnsi="Garamond"/>
          <w:bCs/>
          <w:sz w:val="24"/>
        </w:rPr>
        <w:footnoteReference w:id="48"/>
      </w:r>
      <w:r w:rsidR="008A45C7" w:rsidRPr="00944F22">
        <w:rPr>
          <w:rFonts w:ascii="Garamond" w:hAnsi="Garamond"/>
          <w:bCs/>
        </w:rPr>
        <w:t xml:space="preserve">. </w:t>
      </w:r>
      <w:r w:rsidRPr="00944F22">
        <w:rPr>
          <w:rFonts w:ascii="Garamond" w:hAnsi="Garamond"/>
          <w:bCs/>
        </w:rPr>
        <w:t>In quella sede</w:t>
      </w:r>
      <w:r w:rsidR="00DD5255">
        <w:rPr>
          <w:rFonts w:ascii="Garamond" w:hAnsi="Garamond"/>
          <w:bCs/>
        </w:rPr>
        <w:t xml:space="preserve"> è stato</w:t>
      </w:r>
      <w:r w:rsidR="008A45C7" w:rsidRPr="00944F22">
        <w:rPr>
          <w:rFonts w:ascii="Garamond" w:hAnsi="Garamond"/>
          <w:bCs/>
        </w:rPr>
        <w:t xml:space="preserve"> chiarito che </w:t>
      </w:r>
      <w:r w:rsidR="008A45C7" w:rsidRPr="00944F22">
        <w:rPr>
          <w:rFonts w:ascii="Garamond" w:hAnsi="Garamond"/>
          <w:bCs/>
          <w:iCs/>
        </w:rPr>
        <w:t>l’indicazione del nome del subappaltatore non è obbligatoria all’atto dell’offerta, neanche nei casi in cui, ai fini dell’esecuzione delle lavorazioni relative a categorie scorporabili a qualificazione necessaria, risulta indispensabile</w:t>
      </w:r>
      <w:r w:rsidR="00BB1C3C">
        <w:rPr>
          <w:rFonts w:ascii="Garamond" w:hAnsi="Garamond"/>
          <w:bCs/>
          <w:iCs/>
        </w:rPr>
        <w:t>, in assenza dei relativi requisiti in capo al concorrente,</w:t>
      </w:r>
      <w:r w:rsidR="008A45C7" w:rsidRPr="00944F22">
        <w:rPr>
          <w:rFonts w:ascii="Garamond" w:hAnsi="Garamond"/>
          <w:bCs/>
          <w:iCs/>
        </w:rPr>
        <w:t xml:space="preserve"> il loro subappalto a un’impresa provvista delle relative qualificazioni.</w:t>
      </w:r>
    </w:p>
    <w:p w14:paraId="7F233419" w14:textId="1BA1ACC7" w:rsidR="009A0733" w:rsidRPr="00944F22" w:rsidRDefault="009A0733" w:rsidP="009A0733">
      <w:pPr>
        <w:spacing w:line="276" w:lineRule="auto"/>
        <w:ind w:firstLine="284"/>
        <w:jc w:val="both"/>
        <w:rPr>
          <w:rFonts w:ascii="Garamond" w:hAnsi="Garamond"/>
          <w:bCs/>
          <w:iCs/>
        </w:rPr>
      </w:pPr>
      <w:r w:rsidRPr="00944F22">
        <w:rPr>
          <w:rFonts w:ascii="Garamond" w:hAnsi="Garamond"/>
          <w:bCs/>
          <w:iCs/>
        </w:rPr>
        <w:t xml:space="preserve">Le motivazioni che venivano addotte erano numerose ed andavano ben oltre il già chiaro tenore letterale dell'art. 118 del D.Lgs. n. 163/2006 che richiedeva solamente l'indicazione delle lavorazioni da subappaltare e non anche dei nomi dei subappaltatori. Tra queste certamente, in primo luogo, spiccava la ritenuta inammissibilità di una violazione dell'art. 92 del d.P.R. n. 207/2010, che difatti </w:t>
      </w:r>
      <w:r w:rsidR="009F45CC" w:rsidRPr="00944F22">
        <w:rPr>
          <w:rFonts w:ascii="Garamond" w:hAnsi="Garamond"/>
          <w:bCs/>
          <w:iCs/>
        </w:rPr>
        <w:t>prescrive come</w:t>
      </w:r>
      <w:r w:rsidRPr="00944F22">
        <w:rPr>
          <w:rFonts w:ascii="Garamond" w:hAnsi="Garamond"/>
          <w:bCs/>
          <w:iCs/>
        </w:rPr>
        <w:t xml:space="preserve"> sufficiente per la partecipazione alla gara il possesso della qualificazione nella categoria prevalente purché per l'importo totale dei lavori (salvo poi, naturalmente, subappaltare l'esecuzione dei lavori di cui alle categorie scorporabili a qualificazione obbligatoria non possedute dal concorrente a soggetti debitamente qualificati) e che, dunque, non contempla in alcun modo una indicazione del subappaltatore in sede di gara.</w:t>
      </w:r>
    </w:p>
    <w:p w14:paraId="67861DFB" w14:textId="1A301903" w:rsidR="009A0733" w:rsidRPr="00944F22" w:rsidRDefault="009A0733" w:rsidP="004D30EA">
      <w:pPr>
        <w:spacing w:line="276" w:lineRule="auto"/>
        <w:ind w:firstLine="284"/>
        <w:jc w:val="both"/>
        <w:rPr>
          <w:rFonts w:ascii="Garamond" w:hAnsi="Garamond"/>
          <w:bCs/>
          <w:iCs/>
        </w:rPr>
      </w:pPr>
      <w:r w:rsidRPr="00944F22">
        <w:rPr>
          <w:rFonts w:ascii="Garamond" w:hAnsi="Garamond"/>
          <w:bCs/>
          <w:iCs/>
        </w:rPr>
        <w:t xml:space="preserve">In secondo luogo, </w:t>
      </w:r>
      <w:r w:rsidR="00BB1C3C">
        <w:rPr>
          <w:rFonts w:ascii="Garamond" w:hAnsi="Garamond"/>
          <w:bCs/>
          <w:iCs/>
        </w:rPr>
        <w:t xml:space="preserve">una attenta ricostruzione normativa faceva emergere che </w:t>
      </w:r>
      <w:r w:rsidRPr="00944F22">
        <w:rPr>
          <w:rFonts w:ascii="Garamond" w:hAnsi="Garamond"/>
          <w:bCs/>
          <w:iCs/>
        </w:rPr>
        <w:t>la legge n.</w:t>
      </w:r>
      <w:r w:rsidR="004D30EA" w:rsidRPr="00944F22">
        <w:rPr>
          <w:rFonts w:ascii="Garamond" w:hAnsi="Garamond"/>
          <w:bCs/>
          <w:iCs/>
        </w:rPr>
        <w:t xml:space="preserve"> </w:t>
      </w:r>
      <w:r w:rsidRPr="00944F22">
        <w:rPr>
          <w:rFonts w:ascii="Garamond" w:hAnsi="Garamond"/>
          <w:bCs/>
          <w:iCs/>
        </w:rPr>
        <w:t xml:space="preserve">109/94 prevedeva l'indicazione, già in fase di offerta,  di una rosa di imprese subappaltatrici (sino a sei) entro le </w:t>
      </w:r>
      <w:r w:rsidRPr="00944F22">
        <w:rPr>
          <w:rFonts w:ascii="Garamond" w:hAnsi="Garamond"/>
          <w:bCs/>
          <w:iCs/>
        </w:rPr>
        <w:lastRenderedPageBreak/>
        <w:t>quali sarebbe poi stata scelta quella da incaricare del subappalto</w:t>
      </w:r>
      <w:r w:rsidR="00BB1C3C">
        <w:rPr>
          <w:rFonts w:ascii="Garamond" w:hAnsi="Garamond"/>
          <w:bCs/>
          <w:iCs/>
        </w:rPr>
        <w:t>,</w:t>
      </w:r>
      <w:r w:rsidRPr="00944F22">
        <w:rPr>
          <w:rFonts w:ascii="Garamond" w:hAnsi="Garamond"/>
          <w:bCs/>
          <w:iCs/>
        </w:rPr>
        <w:t xml:space="preserve"> </w:t>
      </w:r>
      <w:r w:rsidR="004D30EA" w:rsidRPr="00944F22">
        <w:rPr>
          <w:rFonts w:ascii="Garamond" w:hAnsi="Garamond"/>
          <w:bCs/>
          <w:iCs/>
        </w:rPr>
        <w:t>ma</w:t>
      </w:r>
      <w:r w:rsidRPr="00944F22">
        <w:rPr>
          <w:rFonts w:ascii="Garamond" w:hAnsi="Garamond"/>
          <w:bCs/>
          <w:iCs/>
        </w:rPr>
        <w:t xml:space="preserve"> tale previsione fu poi abrogata con la legge n.</w:t>
      </w:r>
      <w:r w:rsidR="004D30EA" w:rsidRPr="00944F22">
        <w:rPr>
          <w:rFonts w:ascii="Garamond" w:hAnsi="Garamond"/>
          <w:bCs/>
          <w:iCs/>
        </w:rPr>
        <w:t xml:space="preserve"> </w:t>
      </w:r>
      <w:r w:rsidRPr="00944F22">
        <w:rPr>
          <w:rFonts w:ascii="Garamond" w:hAnsi="Garamond"/>
          <w:bCs/>
          <w:iCs/>
        </w:rPr>
        <w:t xml:space="preserve">415/1998, il che inequivocabilmente </w:t>
      </w:r>
      <w:r w:rsidR="009F45CC" w:rsidRPr="00944F22">
        <w:rPr>
          <w:rFonts w:ascii="Garamond" w:hAnsi="Garamond"/>
          <w:bCs/>
          <w:iCs/>
        </w:rPr>
        <w:t xml:space="preserve">costituiva </w:t>
      </w:r>
      <w:r w:rsidRPr="00944F22">
        <w:rPr>
          <w:rFonts w:ascii="Garamond" w:hAnsi="Garamond"/>
          <w:bCs/>
          <w:iCs/>
        </w:rPr>
        <w:t>testimoni</w:t>
      </w:r>
      <w:r w:rsidR="009F45CC" w:rsidRPr="00944F22">
        <w:rPr>
          <w:rFonts w:ascii="Garamond" w:hAnsi="Garamond"/>
          <w:bCs/>
          <w:iCs/>
        </w:rPr>
        <w:t>anz</w:t>
      </w:r>
      <w:r w:rsidRPr="00944F22">
        <w:rPr>
          <w:rFonts w:ascii="Garamond" w:hAnsi="Garamond"/>
          <w:bCs/>
          <w:iCs/>
        </w:rPr>
        <w:t xml:space="preserve">a </w:t>
      </w:r>
      <w:r w:rsidR="009F45CC" w:rsidRPr="00944F22">
        <w:rPr>
          <w:rFonts w:ascii="Garamond" w:hAnsi="Garamond"/>
          <w:bCs/>
          <w:iCs/>
        </w:rPr>
        <w:t xml:space="preserve">del fatto </w:t>
      </w:r>
      <w:r w:rsidRPr="00944F22">
        <w:rPr>
          <w:rFonts w:ascii="Garamond" w:hAnsi="Garamond"/>
          <w:bCs/>
          <w:iCs/>
        </w:rPr>
        <w:t xml:space="preserve">che il Legislatore del Codice </w:t>
      </w:r>
      <w:r w:rsidR="004D30EA" w:rsidRPr="00944F22">
        <w:rPr>
          <w:rFonts w:ascii="Garamond" w:hAnsi="Garamond"/>
          <w:bCs/>
          <w:iCs/>
        </w:rPr>
        <w:t xml:space="preserve">del </w:t>
      </w:r>
      <w:r w:rsidRPr="00944F22">
        <w:rPr>
          <w:rFonts w:ascii="Garamond" w:hAnsi="Garamond"/>
          <w:bCs/>
          <w:iCs/>
        </w:rPr>
        <w:t>2006 , non intervenendo su tale dato normativo, non a</w:t>
      </w:r>
      <w:r w:rsidR="009F45CC" w:rsidRPr="00944F22">
        <w:rPr>
          <w:rFonts w:ascii="Garamond" w:hAnsi="Garamond"/>
          <w:bCs/>
          <w:iCs/>
        </w:rPr>
        <w:t>vesse</w:t>
      </w:r>
      <w:r w:rsidRPr="00944F22">
        <w:rPr>
          <w:rFonts w:ascii="Garamond" w:hAnsi="Garamond"/>
          <w:bCs/>
          <w:iCs/>
        </w:rPr>
        <w:t xml:space="preserve"> voluto prescrivere l'indicazione del subappaltatore in gara tra le condizioni di validità del subappalto.</w:t>
      </w:r>
    </w:p>
    <w:p w14:paraId="654CF45B" w14:textId="2282F14C" w:rsidR="0045552A" w:rsidRPr="00944F22" w:rsidRDefault="0045552A" w:rsidP="006D67E0">
      <w:pPr>
        <w:spacing w:line="276" w:lineRule="auto"/>
        <w:jc w:val="both"/>
        <w:rPr>
          <w:rFonts w:ascii="Garamond" w:hAnsi="Garamond"/>
          <w:bCs/>
          <w:iCs/>
        </w:rPr>
      </w:pPr>
      <w:r w:rsidRPr="00944F22">
        <w:rPr>
          <w:rFonts w:ascii="Garamond" w:hAnsi="Garamond"/>
          <w:bCs/>
          <w:iCs/>
        </w:rPr>
        <w:tab/>
      </w:r>
      <w:r w:rsidR="004D30EA" w:rsidRPr="00944F22">
        <w:rPr>
          <w:rFonts w:ascii="Garamond" w:hAnsi="Garamond"/>
          <w:bCs/>
          <w:iCs/>
        </w:rPr>
        <w:t>In definitiva</w:t>
      </w:r>
      <w:r w:rsidR="00FC49F7" w:rsidRPr="00944F22">
        <w:rPr>
          <w:rFonts w:ascii="Garamond" w:hAnsi="Garamond"/>
          <w:bCs/>
          <w:iCs/>
        </w:rPr>
        <w:t xml:space="preserve">, a fronte di un assetto normativo </w:t>
      </w:r>
      <w:r w:rsidR="00F43057" w:rsidRPr="00944F22">
        <w:rPr>
          <w:rFonts w:ascii="Garamond" w:hAnsi="Garamond"/>
          <w:bCs/>
          <w:iCs/>
        </w:rPr>
        <w:t xml:space="preserve">di riferimento </w:t>
      </w:r>
      <w:r w:rsidR="00FC49F7" w:rsidRPr="00944F22">
        <w:rPr>
          <w:rFonts w:ascii="Garamond" w:hAnsi="Garamond"/>
          <w:bCs/>
          <w:iCs/>
        </w:rPr>
        <w:t xml:space="preserve">compiuto e privo di antinomie, </w:t>
      </w:r>
      <w:r w:rsidR="004D30EA" w:rsidRPr="00944F22">
        <w:rPr>
          <w:rFonts w:ascii="Garamond" w:hAnsi="Garamond"/>
          <w:bCs/>
          <w:iCs/>
        </w:rPr>
        <w:t xml:space="preserve">il Consiglio di Stato ha ritenuto che </w:t>
      </w:r>
      <w:r w:rsidR="00FC49F7" w:rsidRPr="00944F22">
        <w:rPr>
          <w:rFonts w:ascii="Garamond" w:hAnsi="Garamond"/>
          <w:bCs/>
          <w:iCs/>
        </w:rPr>
        <w:t>non potesse trovare applicazione alcuna interpretazione di tipo analogico</w:t>
      </w:r>
      <w:r w:rsidR="00F43057" w:rsidRPr="00944F22">
        <w:rPr>
          <w:rFonts w:ascii="Garamond" w:hAnsi="Garamond"/>
          <w:bCs/>
          <w:iCs/>
        </w:rPr>
        <w:t xml:space="preserve"> e non potesse, dunque, enuclearsi la regola non scritta sulla necessità dell’indicazione del nome del subappaltator</w:t>
      </w:r>
      <w:r w:rsidR="003F583D" w:rsidRPr="00944F22">
        <w:rPr>
          <w:rFonts w:ascii="Garamond" w:hAnsi="Garamond"/>
          <w:bCs/>
          <w:iCs/>
        </w:rPr>
        <w:t>e già nella fase dell’offerta</w:t>
      </w:r>
      <w:r w:rsidR="00AE1BB8" w:rsidRPr="00944F22">
        <w:rPr>
          <w:rStyle w:val="Rimandonotaapidipagina"/>
          <w:rFonts w:ascii="Garamond" w:hAnsi="Garamond"/>
          <w:bCs/>
          <w:iCs/>
          <w:sz w:val="24"/>
        </w:rPr>
        <w:footnoteReference w:id="49"/>
      </w:r>
      <w:r w:rsidR="003F583D" w:rsidRPr="00944F22">
        <w:rPr>
          <w:rFonts w:ascii="Garamond" w:hAnsi="Garamond"/>
          <w:bCs/>
          <w:iCs/>
        </w:rPr>
        <w:t xml:space="preserve">. </w:t>
      </w:r>
      <w:r w:rsidR="00A113AA" w:rsidRPr="00944F22">
        <w:rPr>
          <w:rFonts w:ascii="Garamond" w:hAnsi="Garamond"/>
          <w:bCs/>
          <w:iCs/>
        </w:rPr>
        <w:t xml:space="preserve">Da qui, </w:t>
      </w:r>
      <w:r w:rsidR="003F583D" w:rsidRPr="00944F22">
        <w:rPr>
          <w:rFonts w:ascii="Garamond" w:hAnsi="Garamond"/>
          <w:bCs/>
          <w:iCs/>
        </w:rPr>
        <w:t>si</w:t>
      </w:r>
      <w:r w:rsidR="00A113AA" w:rsidRPr="00944F22">
        <w:rPr>
          <w:rFonts w:ascii="Garamond" w:hAnsi="Garamond"/>
          <w:bCs/>
          <w:iCs/>
        </w:rPr>
        <w:t xml:space="preserve"> concludeva che </w:t>
      </w:r>
      <w:r w:rsidR="00FC49F7" w:rsidRPr="00944F22">
        <w:rPr>
          <w:rFonts w:ascii="Garamond" w:hAnsi="Garamond"/>
          <w:bCs/>
          <w:iCs/>
        </w:rPr>
        <w:t xml:space="preserve">il subappalto è un istituto che attiene alla </w:t>
      </w:r>
      <w:r w:rsidR="003F583D" w:rsidRPr="00944F22">
        <w:rPr>
          <w:rFonts w:ascii="Garamond" w:hAnsi="Garamond"/>
          <w:bCs/>
          <w:iCs/>
        </w:rPr>
        <w:t>fase di esecuzione dell’appalto</w:t>
      </w:r>
      <w:r w:rsidR="00A113AA" w:rsidRPr="00944F22">
        <w:rPr>
          <w:rFonts w:ascii="Garamond" w:hAnsi="Garamond"/>
          <w:bCs/>
          <w:iCs/>
        </w:rPr>
        <w:t xml:space="preserve"> </w:t>
      </w:r>
      <w:r w:rsidR="004C16BB" w:rsidRPr="00944F22">
        <w:rPr>
          <w:rFonts w:ascii="Garamond" w:hAnsi="Garamond"/>
          <w:bCs/>
          <w:iCs/>
        </w:rPr>
        <w:t xml:space="preserve">e dunque </w:t>
      </w:r>
      <w:r w:rsidR="00FC49F7" w:rsidRPr="00944F22">
        <w:rPr>
          <w:rFonts w:ascii="Garamond" w:hAnsi="Garamond"/>
          <w:bCs/>
          <w:iCs/>
        </w:rPr>
        <w:t>il suo mancato funzionamento dev’essere trattato alla stregua di un inadempimento contrattuale</w:t>
      </w:r>
      <w:r w:rsidR="00A113AA" w:rsidRPr="00944F22">
        <w:rPr>
          <w:rFonts w:ascii="Garamond" w:hAnsi="Garamond"/>
          <w:bCs/>
          <w:iCs/>
        </w:rPr>
        <w:t>.</w:t>
      </w:r>
      <w:r w:rsidR="00FC49F7" w:rsidRPr="00944F22">
        <w:rPr>
          <w:rFonts w:ascii="Garamond" w:hAnsi="Garamond"/>
          <w:bCs/>
          <w:iCs/>
        </w:rPr>
        <w:t xml:space="preserve"> </w:t>
      </w:r>
    </w:p>
    <w:p w14:paraId="6977CEE1" w14:textId="1CA91C8C" w:rsidR="009842A8" w:rsidRPr="00460B5C" w:rsidRDefault="00985E32" w:rsidP="006D67E0">
      <w:pPr>
        <w:spacing w:line="276" w:lineRule="auto"/>
        <w:jc w:val="both"/>
        <w:rPr>
          <w:rFonts w:ascii="Garamond" w:hAnsi="Garamond"/>
          <w:bCs/>
          <w:iCs/>
        </w:rPr>
      </w:pPr>
      <w:r w:rsidRPr="00944F22">
        <w:rPr>
          <w:rFonts w:ascii="Garamond" w:hAnsi="Garamond"/>
          <w:bCs/>
          <w:iCs/>
        </w:rPr>
        <w:tab/>
        <w:t xml:space="preserve">Tanto </w:t>
      </w:r>
      <w:r w:rsidR="003E6404" w:rsidRPr="00944F22">
        <w:rPr>
          <w:rFonts w:ascii="Garamond" w:hAnsi="Garamond"/>
          <w:bCs/>
          <w:iCs/>
        </w:rPr>
        <w:t>precisato</w:t>
      </w:r>
      <w:r w:rsidRPr="00944F22">
        <w:rPr>
          <w:rFonts w:ascii="Garamond" w:hAnsi="Garamond"/>
          <w:bCs/>
          <w:iCs/>
        </w:rPr>
        <w:t>, era ragionevole attendersi che</w:t>
      </w:r>
      <w:r w:rsidR="005A2958" w:rsidRPr="00944F22">
        <w:rPr>
          <w:rFonts w:ascii="Garamond" w:hAnsi="Garamond"/>
          <w:bCs/>
          <w:iCs/>
        </w:rPr>
        <w:t>,</w:t>
      </w:r>
      <w:r w:rsidRPr="00944F22">
        <w:rPr>
          <w:rFonts w:ascii="Garamond" w:hAnsi="Garamond"/>
          <w:bCs/>
          <w:iCs/>
        </w:rPr>
        <w:t xml:space="preserve"> </w:t>
      </w:r>
      <w:r w:rsidR="00C16D1B" w:rsidRPr="00944F22">
        <w:rPr>
          <w:rFonts w:ascii="Garamond" w:hAnsi="Garamond"/>
          <w:bCs/>
          <w:iCs/>
        </w:rPr>
        <w:t>a partire dalla</w:t>
      </w:r>
      <w:r w:rsidR="007E30C5" w:rsidRPr="00944F22">
        <w:rPr>
          <w:rFonts w:ascii="Garamond" w:hAnsi="Garamond"/>
          <w:bCs/>
          <w:iCs/>
        </w:rPr>
        <w:t xml:space="preserve"> pronuncia </w:t>
      </w:r>
      <w:r w:rsidR="00B76AEA" w:rsidRPr="00944F22">
        <w:rPr>
          <w:rFonts w:ascii="Garamond" w:hAnsi="Garamond"/>
          <w:bCs/>
          <w:iCs/>
        </w:rPr>
        <w:t>in esame</w:t>
      </w:r>
      <w:r w:rsidR="005A2958" w:rsidRPr="00944F22">
        <w:rPr>
          <w:rFonts w:ascii="Garamond" w:hAnsi="Garamond"/>
          <w:bCs/>
          <w:iCs/>
        </w:rPr>
        <w:t>,</w:t>
      </w:r>
      <w:r w:rsidR="00B76AEA" w:rsidRPr="00944F22">
        <w:rPr>
          <w:rFonts w:ascii="Garamond" w:hAnsi="Garamond"/>
          <w:bCs/>
          <w:iCs/>
        </w:rPr>
        <w:t xml:space="preserve"> </w:t>
      </w:r>
      <w:r w:rsidR="007B3ABD" w:rsidRPr="00944F22">
        <w:rPr>
          <w:rFonts w:ascii="Garamond" w:hAnsi="Garamond"/>
          <w:bCs/>
          <w:iCs/>
        </w:rPr>
        <w:t>fosse</w:t>
      </w:r>
      <w:r w:rsidR="00B76AEA" w:rsidRPr="00944F22">
        <w:rPr>
          <w:rFonts w:ascii="Garamond" w:hAnsi="Garamond"/>
          <w:bCs/>
          <w:iCs/>
        </w:rPr>
        <w:t xml:space="preserve"> </w:t>
      </w:r>
      <w:r w:rsidR="003E6404" w:rsidRPr="00944F22">
        <w:rPr>
          <w:rFonts w:ascii="Garamond" w:hAnsi="Garamond"/>
          <w:bCs/>
          <w:iCs/>
        </w:rPr>
        <w:t xml:space="preserve">definitivamente </w:t>
      </w:r>
      <w:r w:rsidR="000F5A03" w:rsidRPr="00944F22">
        <w:rPr>
          <w:rFonts w:ascii="Garamond" w:hAnsi="Garamond"/>
          <w:bCs/>
          <w:iCs/>
        </w:rPr>
        <w:t>chiarita</w:t>
      </w:r>
      <w:r w:rsidR="0045552A" w:rsidRPr="00944F22">
        <w:rPr>
          <w:rFonts w:ascii="Garamond" w:hAnsi="Garamond"/>
          <w:bCs/>
          <w:iCs/>
        </w:rPr>
        <w:t xml:space="preserve"> anche la netta differenza </w:t>
      </w:r>
      <w:r w:rsidR="00C16D1B" w:rsidRPr="00944F22">
        <w:rPr>
          <w:rFonts w:ascii="Garamond" w:hAnsi="Garamond"/>
          <w:bCs/>
          <w:iCs/>
        </w:rPr>
        <w:t>che intercorre tra l’istituto</w:t>
      </w:r>
      <w:r w:rsidR="00C16D1B" w:rsidRPr="00460B5C">
        <w:rPr>
          <w:rFonts w:ascii="Garamond" w:hAnsi="Garamond"/>
          <w:bCs/>
          <w:iCs/>
        </w:rPr>
        <w:t xml:space="preserve"> </w:t>
      </w:r>
      <w:r w:rsidR="0045552A" w:rsidRPr="00460B5C">
        <w:rPr>
          <w:rFonts w:ascii="Garamond" w:hAnsi="Garamond"/>
          <w:bCs/>
          <w:iCs/>
        </w:rPr>
        <w:t>dell’avvalimento</w:t>
      </w:r>
      <w:r w:rsidR="00C16D1B" w:rsidRPr="00460B5C">
        <w:rPr>
          <w:rFonts w:ascii="Garamond" w:hAnsi="Garamond"/>
          <w:bCs/>
          <w:iCs/>
        </w:rPr>
        <w:t xml:space="preserve"> e quello del subappalto</w:t>
      </w:r>
      <w:r w:rsidR="0045552A" w:rsidRPr="00460B5C">
        <w:rPr>
          <w:rFonts w:ascii="Garamond" w:hAnsi="Garamond"/>
          <w:bCs/>
          <w:iCs/>
        </w:rPr>
        <w:t>.</w:t>
      </w:r>
      <w:r w:rsidR="007E30C5" w:rsidRPr="00460B5C">
        <w:rPr>
          <w:rFonts w:ascii="Garamond" w:hAnsi="Garamond"/>
          <w:bCs/>
          <w:iCs/>
        </w:rPr>
        <w:t xml:space="preserve"> </w:t>
      </w:r>
      <w:r w:rsidR="00B76AEA" w:rsidRPr="00460B5C">
        <w:rPr>
          <w:rFonts w:ascii="Garamond" w:hAnsi="Garamond"/>
          <w:bCs/>
          <w:iCs/>
        </w:rPr>
        <w:t>Difatti, q</w:t>
      </w:r>
      <w:r w:rsidR="00C16D1B" w:rsidRPr="00460B5C">
        <w:rPr>
          <w:rFonts w:ascii="Garamond" w:hAnsi="Garamond"/>
          <w:bCs/>
          <w:iCs/>
        </w:rPr>
        <w:t xml:space="preserve">uest’ultimo opera esclusivamente sul piano dell’esecuzione </w:t>
      </w:r>
      <w:r w:rsidR="005A2958" w:rsidRPr="00460B5C">
        <w:rPr>
          <w:rFonts w:ascii="Garamond" w:hAnsi="Garamond"/>
          <w:bCs/>
          <w:iCs/>
        </w:rPr>
        <w:t>del contratto</w:t>
      </w:r>
      <w:r w:rsidR="00C16D1B" w:rsidRPr="00460B5C">
        <w:rPr>
          <w:rFonts w:ascii="Garamond" w:hAnsi="Garamond"/>
          <w:bCs/>
          <w:iCs/>
        </w:rPr>
        <w:t xml:space="preserve"> e, pertanto, anche nel caso di </w:t>
      </w:r>
      <w:r w:rsidR="009C7A26" w:rsidRPr="00460B5C">
        <w:rPr>
          <w:rFonts w:ascii="Garamond" w:hAnsi="Garamond"/>
          <w:bCs/>
          <w:iCs/>
        </w:rPr>
        <w:t>“</w:t>
      </w:r>
      <w:r w:rsidR="00C16D1B" w:rsidRPr="00460B5C">
        <w:rPr>
          <w:rFonts w:ascii="Garamond" w:hAnsi="Garamond"/>
          <w:bCs/>
          <w:iCs/>
        </w:rPr>
        <w:t>subappalto necessario</w:t>
      </w:r>
      <w:r w:rsidR="009C7A26" w:rsidRPr="00460B5C">
        <w:rPr>
          <w:rFonts w:ascii="Garamond" w:hAnsi="Garamond"/>
          <w:bCs/>
          <w:iCs/>
        </w:rPr>
        <w:t>”</w:t>
      </w:r>
      <w:r w:rsidR="00C16D1B" w:rsidRPr="00460B5C">
        <w:rPr>
          <w:rFonts w:ascii="Garamond" w:hAnsi="Garamond"/>
          <w:bCs/>
          <w:iCs/>
        </w:rPr>
        <w:t xml:space="preserve"> </w:t>
      </w:r>
      <w:r w:rsidR="009C7A26" w:rsidRPr="00460B5C">
        <w:rPr>
          <w:rFonts w:ascii="Garamond" w:hAnsi="Garamond"/>
          <w:bCs/>
          <w:iCs/>
        </w:rPr>
        <w:t>(</w:t>
      </w:r>
      <w:r w:rsidR="00BB1C3C">
        <w:rPr>
          <w:rFonts w:ascii="Garamond" w:hAnsi="Garamond"/>
          <w:bCs/>
          <w:iCs/>
        </w:rPr>
        <w:t>per l</w:t>
      </w:r>
      <w:r w:rsidR="009C7A26" w:rsidRPr="00460B5C">
        <w:rPr>
          <w:rFonts w:ascii="Garamond" w:hAnsi="Garamond"/>
          <w:bCs/>
          <w:iCs/>
        </w:rPr>
        <w:t>’esecuzione</w:t>
      </w:r>
      <w:r w:rsidR="00750902">
        <w:rPr>
          <w:rFonts w:ascii="Garamond" w:hAnsi="Garamond"/>
          <w:bCs/>
          <w:iCs/>
        </w:rPr>
        <w:t>, giammai per la qualificazione</w:t>
      </w:r>
      <w:r w:rsidR="009C7A26" w:rsidRPr="00460B5C">
        <w:rPr>
          <w:rFonts w:ascii="Garamond" w:hAnsi="Garamond"/>
          <w:bCs/>
          <w:iCs/>
        </w:rPr>
        <w:t xml:space="preserve">) </w:t>
      </w:r>
      <w:r w:rsidR="00C16D1B" w:rsidRPr="00460B5C">
        <w:rPr>
          <w:rFonts w:ascii="Garamond" w:hAnsi="Garamond"/>
          <w:bCs/>
          <w:iCs/>
        </w:rPr>
        <w:t xml:space="preserve">lo stesso non può che considerarsi </w:t>
      </w:r>
      <w:r w:rsidR="005A2958" w:rsidRPr="00460B5C">
        <w:rPr>
          <w:rFonts w:ascii="Garamond" w:hAnsi="Garamond"/>
          <w:bCs/>
          <w:iCs/>
        </w:rPr>
        <w:t xml:space="preserve">come </w:t>
      </w:r>
      <w:r w:rsidR="00C16D1B" w:rsidRPr="00460B5C">
        <w:rPr>
          <w:rFonts w:ascii="Garamond" w:hAnsi="Garamond"/>
          <w:bCs/>
          <w:iCs/>
        </w:rPr>
        <w:t xml:space="preserve">“esecutivo” e </w:t>
      </w:r>
      <w:r w:rsidR="005A2958" w:rsidRPr="00460B5C">
        <w:rPr>
          <w:rFonts w:ascii="Garamond" w:hAnsi="Garamond"/>
          <w:bCs/>
          <w:iCs/>
        </w:rPr>
        <w:t>mai</w:t>
      </w:r>
      <w:r w:rsidR="00C16D1B" w:rsidRPr="00460B5C">
        <w:rPr>
          <w:rFonts w:ascii="Garamond" w:hAnsi="Garamond"/>
          <w:bCs/>
          <w:iCs/>
        </w:rPr>
        <w:t xml:space="preserve"> “qualificante” ai fini della partecipazione alla gara.</w:t>
      </w:r>
      <w:r w:rsidR="009842A8" w:rsidRPr="00460B5C">
        <w:rPr>
          <w:rFonts w:ascii="Garamond" w:hAnsi="Garamond"/>
          <w:bCs/>
          <w:iCs/>
        </w:rPr>
        <w:t xml:space="preserve"> </w:t>
      </w:r>
    </w:p>
    <w:p w14:paraId="0EA0A3E5" w14:textId="02BC677F" w:rsidR="00F04C3E" w:rsidRPr="00460B5C" w:rsidRDefault="007B3ABD" w:rsidP="00152F34">
      <w:pPr>
        <w:spacing w:line="276" w:lineRule="auto"/>
        <w:jc w:val="both"/>
        <w:rPr>
          <w:rFonts w:ascii="Garamond" w:hAnsi="Garamond"/>
          <w:bCs/>
          <w:iCs/>
        </w:rPr>
      </w:pPr>
      <w:r w:rsidRPr="00460B5C">
        <w:rPr>
          <w:rFonts w:ascii="Garamond" w:hAnsi="Garamond"/>
          <w:bCs/>
          <w:iCs/>
        </w:rPr>
        <w:tab/>
      </w:r>
      <w:r w:rsidR="00C16D1B" w:rsidRPr="00460B5C">
        <w:rPr>
          <w:rFonts w:ascii="Garamond" w:hAnsi="Garamond"/>
          <w:bCs/>
          <w:iCs/>
        </w:rPr>
        <w:t>Nonostante ciò</w:t>
      </w:r>
      <w:r w:rsidR="00975CB1" w:rsidRPr="00460B5C">
        <w:rPr>
          <w:rFonts w:ascii="Garamond" w:hAnsi="Garamond"/>
          <w:bCs/>
          <w:iCs/>
        </w:rPr>
        <w:t>,</w:t>
      </w:r>
      <w:r w:rsidR="007E30C5" w:rsidRPr="00460B5C">
        <w:rPr>
          <w:rFonts w:ascii="Garamond" w:hAnsi="Garamond"/>
          <w:bCs/>
          <w:iCs/>
        </w:rPr>
        <w:t xml:space="preserve"> </w:t>
      </w:r>
      <w:r w:rsidR="00353E15" w:rsidRPr="00460B5C">
        <w:rPr>
          <w:rFonts w:ascii="Garamond" w:hAnsi="Garamond"/>
          <w:bCs/>
          <w:iCs/>
        </w:rPr>
        <w:t>in talune pronunce successive</w:t>
      </w:r>
      <w:r w:rsidR="00BC1893" w:rsidRPr="00460B5C">
        <w:rPr>
          <w:rFonts w:ascii="Garamond" w:hAnsi="Garamond"/>
          <w:bCs/>
          <w:iCs/>
        </w:rPr>
        <w:t xml:space="preserve"> a</w:t>
      </w:r>
      <w:r w:rsidR="005A2958" w:rsidRPr="00460B5C">
        <w:rPr>
          <w:rFonts w:ascii="Garamond" w:hAnsi="Garamond"/>
          <w:bCs/>
          <w:iCs/>
        </w:rPr>
        <w:t>ll’Adunanza</w:t>
      </w:r>
      <w:r w:rsidR="00BC1893" w:rsidRPr="00460B5C">
        <w:rPr>
          <w:rFonts w:ascii="Garamond" w:hAnsi="Garamond"/>
          <w:bCs/>
          <w:iCs/>
        </w:rPr>
        <w:t xml:space="preserve"> Plenaria n. 9/2015 si sono </w:t>
      </w:r>
      <w:r w:rsidR="00353E15" w:rsidRPr="00460B5C">
        <w:rPr>
          <w:rFonts w:ascii="Garamond" w:hAnsi="Garamond"/>
          <w:bCs/>
          <w:iCs/>
        </w:rPr>
        <w:t>riscontrati</w:t>
      </w:r>
      <w:r w:rsidR="00BC1893" w:rsidRPr="00460B5C">
        <w:rPr>
          <w:rFonts w:ascii="Garamond" w:hAnsi="Garamond"/>
          <w:bCs/>
          <w:iCs/>
        </w:rPr>
        <w:t xml:space="preserve"> </w:t>
      </w:r>
      <w:r w:rsidR="007E30C5" w:rsidRPr="00460B5C">
        <w:rPr>
          <w:rFonts w:ascii="Garamond" w:hAnsi="Garamond"/>
          <w:bCs/>
          <w:iCs/>
        </w:rPr>
        <w:t>orientamenti discordanti sul tema</w:t>
      </w:r>
      <w:r w:rsidR="00B76AEA" w:rsidRPr="00460B5C">
        <w:rPr>
          <w:rStyle w:val="Rimandonotaapidipagina"/>
          <w:rFonts w:ascii="Garamond" w:hAnsi="Garamond"/>
          <w:bCs/>
          <w:iCs/>
          <w:sz w:val="24"/>
        </w:rPr>
        <w:footnoteReference w:id="50"/>
      </w:r>
      <w:r w:rsidR="007E30C5" w:rsidRPr="00460B5C">
        <w:rPr>
          <w:rFonts w:ascii="Garamond" w:hAnsi="Garamond"/>
          <w:bCs/>
          <w:iCs/>
        </w:rPr>
        <w:t>.</w:t>
      </w:r>
      <w:r w:rsidR="00C16D1B" w:rsidRPr="00460B5C">
        <w:rPr>
          <w:rFonts w:ascii="Garamond" w:hAnsi="Garamond"/>
          <w:bCs/>
          <w:iCs/>
        </w:rPr>
        <w:t xml:space="preserve"> </w:t>
      </w:r>
      <w:r w:rsidR="00152F34" w:rsidRPr="00460B5C">
        <w:rPr>
          <w:rFonts w:ascii="Garamond" w:hAnsi="Garamond"/>
          <w:bCs/>
          <w:iCs/>
        </w:rPr>
        <w:t>Ad esempio</w:t>
      </w:r>
      <w:r w:rsidR="009842A8" w:rsidRPr="00460B5C">
        <w:rPr>
          <w:rFonts w:ascii="Garamond" w:hAnsi="Garamond"/>
          <w:bCs/>
          <w:iCs/>
        </w:rPr>
        <w:t xml:space="preserve">, si </w:t>
      </w:r>
      <w:r w:rsidR="00152F34" w:rsidRPr="00460B5C">
        <w:rPr>
          <w:rFonts w:ascii="Garamond" w:hAnsi="Garamond"/>
          <w:bCs/>
          <w:iCs/>
        </w:rPr>
        <w:t xml:space="preserve">è parlato </w:t>
      </w:r>
      <w:r w:rsidRPr="00460B5C">
        <w:rPr>
          <w:rFonts w:ascii="Garamond" w:hAnsi="Garamond"/>
          <w:bCs/>
          <w:iCs/>
        </w:rPr>
        <w:t>di “natura polivalente” del subappalto necessario di cui “</w:t>
      </w:r>
      <w:r w:rsidRPr="00460B5C">
        <w:rPr>
          <w:rFonts w:ascii="Garamond" w:hAnsi="Garamond"/>
          <w:bCs/>
          <w:i/>
          <w:iCs/>
        </w:rPr>
        <w:t>ferma restando la sua collocazione in fase di esecuzione, non può essere trascurata anche un’incidenza in chiave partecipativa</w:t>
      </w:r>
      <w:r w:rsidRPr="00460B5C">
        <w:rPr>
          <w:rFonts w:ascii="Garamond" w:hAnsi="Garamond"/>
          <w:bCs/>
          <w:iCs/>
        </w:rPr>
        <w:t>”</w:t>
      </w:r>
      <w:r w:rsidR="00152F34" w:rsidRPr="00460B5C">
        <w:rPr>
          <w:rStyle w:val="Rimandonotaapidipagina"/>
          <w:rFonts w:ascii="Garamond" w:hAnsi="Garamond"/>
          <w:bCs/>
          <w:iCs/>
          <w:sz w:val="24"/>
        </w:rPr>
        <w:footnoteReference w:id="51"/>
      </w:r>
      <w:r w:rsidR="00BA49E8" w:rsidRPr="00460B5C">
        <w:rPr>
          <w:rFonts w:ascii="Garamond" w:hAnsi="Garamond"/>
          <w:bCs/>
          <w:iCs/>
        </w:rPr>
        <w:t>. A ben vedere</w:t>
      </w:r>
      <w:r w:rsidR="00750902">
        <w:rPr>
          <w:rFonts w:ascii="Garamond" w:hAnsi="Garamond"/>
          <w:bCs/>
          <w:iCs/>
        </w:rPr>
        <w:t>,</w:t>
      </w:r>
      <w:r w:rsidR="00AE7094" w:rsidRPr="00460B5C">
        <w:rPr>
          <w:rFonts w:ascii="Garamond" w:hAnsi="Garamond"/>
          <w:bCs/>
          <w:iCs/>
        </w:rPr>
        <w:t xml:space="preserve"> </w:t>
      </w:r>
      <w:r w:rsidR="00BA49E8" w:rsidRPr="00460B5C">
        <w:rPr>
          <w:rFonts w:ascii="Garamond" w:hAnsi="Garamond"/>
          <w:bCs/>
          <w:iCs/>
        </w:rPr>
        <w:t xml:space="preserve">non è al subappalto bensì all’avvalimento che può essere attribuita natura polivalente: funzione in fase di gara volta all’integrazione dei requisiti di qualificazione ed in fase esecutiva </w:t>
      </w:r>
      <w:r w:rsidR="001834F1" w:rsidRPr="00460B5C">
        <w:rPr>
          <w:rFonts w:ascii="Garamond" w:hAnsi="Garamond"/>
          <w:bCs/>
          <w:iCs/>
        </w:rPr>
        <w:t>consistente nel</w:t>
      </w:r>
      <w:r w:rsidR="00BA49E8" w:rsidRPr="00460B5C">
        <w:rPr>
          <w:rFonts w:ascii="Garamond" w:hAnsi="Garamond"/>
          <w:bCs/>
          <w:iCs/>
        </w:rPr>
        <w:t xml:space="preserve"> prestito delle risorse.</w:t>
      </w:r>
      <w:r w:rsidR="00F04C3E" w:rsidRPr="00460B5C">
        <w:rPr>
          <w:rFonts w:ascii="Garamond" w:hAnsi="Garamond"/>
          <w:bCs/>
          <w:iCs/>
        </w:rPr>
        <w:t xml:space="preserve"> </w:t>
      </w:r>
    </w:p>
    <w:p w14:paraId="2476FE6A" w14:textId="4442513E" w:rsidR="009842A8" w:rsidRDefault="00830430" w:rsidP="00BA49E8">
      <w:pPr>
        <w:spacing w:line="276" w:lineRule="auto"/>
        <w:ind w:firstLine="284"/>
        <w:jc w:val="both"/>
        <w:rPr>
          <w:rFonts w:ascii="Garamond" w:hAnsi="Garamond"/>
          <w:bCs/>
          <w:iCs/>
        </w:rPr>
      </w:pPr>
      <w:r w:rsidRPr="00460B5C">
        <w:rPr>
          <w:rFonts w:ascii="Garamond" w:hAnsi="Garamond"/>
          <w:bCs/>
          <w:iCs/>
        </w:rPr>
        <w:t>Inoltre,</w:t>
      </w:r>
      <w:r w:rsidR="00152F34" w:rsidRPr="00460B5C">
        <w:rPr>
          <w:rFonts w:ascii="Garamond" w:hAnsi="Garamond"/>
          <w:bCs/>
          <w:iCs/>
        </w:rPr>
        <w:t xml:space="preserve"> alcune pronunce </w:t>
      </w:r>
      <w:r w:rsidR="00F04C3E" w:rsidRPr="00460B5C">
        <w:rPr>
          <w:rFonts w:ascii="Garamond" w:hAnsi="Garamond"/>
          <w:bCs/>
          <w:iCs/>
        </w:rPr>
        <w:t xml:space="preserve"> </w:t>
      </w:r>
      <w:r w:rsidRPr="00460B5C">
        <w:rPr>
          <w:rFonts w:ascii="Garamond" w:hAnsi="Garamond"/>
          <w:bCs/>
          <w:iCs/>
        </w:rPr>
        <w:t>hanno</w:t>
      </w:r>
      <w:r w:rsidR="00AE7094" w:rsidRPr="00460B5C">
        <w:rPr>
          <w:rFonts w:ascii="Garamond" w:hAnsi="Garamond"/>
          <w:bCs/>
          <w:iCs/>
        </w:rPr>
        <w:t xml:space="preserve"> richiama</w:t>
      </w:r>
      <w:r w:rsidRPr="00460B5C">
        <w:rPr>
          <w:rFonts w:ascii="Garamond" w:hAnsi="Garamond"/>
          <w:bCs/>
          <w:iCs/>
        </w:rPr>
        <w:t>to</w:t>
      </w:r>
      <w:r w:rsidR="00AE7094" w:rsidRPr="00460B5C">
        <w:rPr>
          <w:rFonts w:ascii="Garamond" w:hAnsi="Garamond"/>
          <w:bCs/>
          <w:iCs/>
        </w:rPr>
        <w:t xml:space="preserve"> la suddetta Adunanza Plenaria come </w:t>
      </w:r>
      <w:r w:rsidR="00035DC6">
        <w:rPr>
          <w:rFonts w:ascii="Garamond" w:hAnsi="Garamond"/>
          <w:bCs/>
          <w:iCs/>
        </w:rPr>
        <w:t>sentenza</w:t>
      </w:r>
      <w:r w:rsidR="00AE7094" w:rsidRPr="00460B5C">
        <w:rPr>
          <w:rFonts w:ascii="Garamond" w:hAnsi="Garamond"/>
          <w:bCs/>
          <w:iCs/>
        </w:rPr>
        <w:t xml:space="preserve"> che avrebbe ammesso il ricorso al subappalto necessario e qualificante</w:t>
      </w:r>
      <w:r w:rsidRPr="00460B5C">
        <w:rPr>
          <w:rStyle w:val="Rimandonotaapidipagina"/>
          <w:rFonts w:ascii="Garamond" w:hAnsi="Garamond"/>
          <w:bCs/>
          <w:iCs/>
          <w:sz w:val="24"/>
        </w:rPr>
        <w:footnoteReference w:id="52"/>
      </w:r>
      <w:r w:rsidR="00AE7094" w:rsidRPr="00460B5C">
        <w:rPr>
          <w:rFonts w:ascii="Garamond" w:hAnsi="Garamond"/>
          <w:bCs/>
          <w:iCs/>
        </w:rPr>
        <w:t>.</w:t>
      </w:r>
    </w:p>
    <w:p w14:paraId="7862AC09" w14:textId="6A970485" w:rsidR="00006F56" w:rsidRPr="00460B5C" w:rsidRDefault="007B3ABD" w:rsidP="006D67E0">
      <w:pPr>
        <w:spacing w:line="276" w:lineRule="auto"/>
        <w:jc w:val="both"/>
        <w:rPr>
          <w:rFonts w:ascii="Garamond" w:hAnsi="Garamond"/>
          <w:bCs/>
          <w:iCs/>
        </w:rPr>
      </w:pPr>
      <w:r w:rsidRPr="00460B5C">
        <w:rPr>
          <w:rFonts w:ascii="Garamond" w:hAnsi="Garamond"/>
          <w:bCs/>
          <w:iCs/>
        </w:rPr>
        <w:tab/>
        <w:t xml:space="preserve">Certamente non può omettersi di </w:t>
      </w:r>
      <w:r w:rsidR="005A2958" w:rsidRPr="00460B5C">
        <w:rPr>
          <w:rFonts w:ascii="Garamond" w:hAnsi="Garamond"/>
          <w:bCs/>
          <w:iCs/>
        </w:rPr>
        <w:t>considerare</w:t>
      </w:r>
      <w:r w:rsidRPr="00460B5C">
        <w:rPr>
          <w:rFonts w:ascii="Garamond" w:hAnsi="Garamond"/>
          <w:bCs/>
          <w:iCs/>
        </w:rPr>
        <w:t xml:space="preserve"> che con l’avvento del nuovo Codice dei contratti pubblici il </w:t>
      </w:r>
      <w:r w:rsidR="00975CB1" w:rsidRPr="00460B5C">
        <w:rPr>
          <w:rFonts w:ascii="Garamond" w:hAnsi="Garamond"/>
          <w:bCs/>
          <w:iCs/>
        </w:rPr>
        <w:t xml:space="preserve">panorama normativo di riferimento è cambiato rispetto a quello considerato dalla Plenaria: </w:t>
      </w:r>
      <w:r w:rsidR="005A2958" w:rsidRPr="00460B5C">
        <w:rPr>
          <w:rFonts w:ascii="Garamond" w:hAnsi="Garamond"/>
          <w:bCs/>
          <w:iCs/>
        </w:rPr>
        <w:t xml:space="preserve">infatti, </w:t>
      </w:r>
      <w:r w:rsidR="00975CB1" w:rsidRPr="00460B5C">
        <w:rPr>
          <w:rFonts w:ascii="Garamond" w:hAnsi="Garamond"/>
          <w:bCs/>
          <w:iCs/>
        </w:rPr>
        <w:t xml:space="preserve">le direttive 2014/23/UE, 2014/24/UE e 2014/25/UE hanno rimesso </w:t>
      </w:r>
      <w:r w:rsidR="00AE7094" w:rsidRPr="00460B5C">
        <w:rPr>
          <w:rFonts w:ascii="Garamond" w:hAnsi="Garamond"/>
          <w:bCs/>
          <w:iCs/>
        </w:rPr>
        <w:t>ad</w:t>
      </w:r>
      <w:r w:rsidR="00975CB1" w:rsidRPr="00460B5C">
        <w:rPr>
          <w:rFonts w:ascii="Garamond" w:hAnsi="Garamond"/>
          <w:bCs/>
          <w:iCs/>
        </w:rPr>
        <w:t xml:space="preserve"> ogni Stato membro </w:t>
      </w:r>
      <w:r w:rsidR="005A2958" w:rsidRPr="00460B5C">
        <w:rPr>
          <w:rFonts w:ascii="Garamond" w:hAnsi="Garamond"/>
          <w:bCs/>
          <w:iCs/>
        </w:rPr>
        <w:t>-</w:t>
      </w:r>
      <w:r w:rsidR="00975CB1" w:rsidRPr="00460B5C">
        <w:rPr>
          <w:rFonts w:ascii="Garamond" w:hAnsi="Garamond"/>
          <w:bCs/>
          <w:iCs/>
        </w:rPr>
        <w:t>ovvero all</w:t>
      </w:r>
      <w:r w:rsidR="0082142F" w:rsidRPr="00460B5C">
        <w:rPr>
          <w:rFonts w:ascii="Garamond" w:hAnsi="Garamond"/>
          <w:bCs/>
          <w:iCs/>
        </w:rPr>
        <w:t>e</w:t>
      </w:r>
      <w:r w:rsidR="00975CB1" w:rsidRPr="00460B5C">
        <w:rPr>
          <w:rFonts w:ascii="Garamond" w:hAnsi="Garamond"/>
          <w:bCs/>
          <w:iCs/>
        </w:rPr>
        <w:t xml:space="preserve"> stazion</w:t>
      </w:r>
      <w:r w:rsidR="0082142F" w:rsidRPr="00460B5C">
        <w:rPr>
          <w:rFonts w:ascii="Garamond" w:hAnsi="Garamond"/>
          <w:bCs/>
          <w:iCs/>
        </w:rPr>
        <w:t>i</w:t>
      </w:r>
      <w:r w:rsidR="00975CB1" w:rsidRPr="00460B5C">
        <w:rPr>
          <w:rFonts w:ascii="Garamond" w:hAnsi="Garamond"/>
          <w:bCs/>
          <w:iCs/>
        </w:rPr>
        <w:t xml:space="preserve"> appaltant</w:t>
      </w:r>
      <w:r w:rsidR="0082142F" w:rsidRPr="00460B5C">
        <w:rPr>
          <w:rFonts w:ascii="Garamond" w:hAnsi="Garamond"/>
          <w:bCs/>
          <w:iCs/>
        </w:rPr>
        <w:t xml:space="preserve">i </w:t>
      </w:r>
      <w:r w:rsidR="005A2958" w:rsidRPr="00460B5C">
        <w:rPr>
          <w:rFonts w:ascii="Garamond" w:hAnsi="Garamond"/>
          <w:bCs/>
          <w:iCs/>
        </w:rPr>
        <w:t>-</w:t>
      </w:r>
      <w:r w:rsidR="00975CB1" w:rsidRPr="00460B5C">
        <w:rPr>
          <w:rFonts w:ascii="Garamond" w:hAnsi="Garamond"/>
          <w:bCs/>
          <w:iCs/>
        </w:rPr>
        <w:t xml:space="preserve"> </w:t>
      </w:r>
      <w:r w:rsidR="00AE7094" w:rsidRPr="00460B5C">
        <w:rPr>
          <w:rFonts w:ascii="Garamond" w:hAnsi="Garamond"/>
          <w:bCs/>
          <w:iCs/>
        </w:rPr>
        <w:t>la scelta discrezionale</w:t>
      </w:r>
      <w:r w:rsidR="000C25D9" w:rsidRPr="00460B5C">
        <w:rPr>
          <w:rFonts w:ascii="Garamond" w:hAnsi="Garamond"/>
          <w:bCs/>
          <w:iCs/>
        </w:rPr>
        <w:t xml:space="preserve"> di </w:t>
      </w:r>
      <w:r w:rsidR="00975CB1" w:rsidRPr="00460B5C">
        <w:rPr>
          <w:rFonts w:ascii="Garamond" w:hAnsi="Garamond"/>
          <w:bCs/>
          <w:iCs/>
        </w:rPr>
        <w:t xml:space="preserve">chiedere all’offerente </w:t>
      </w:r>
      <w:r w:rsidR="002C4DDC" w:rsidRPr="00460B5C">
        <w:rPr>
          <w:rFonts w:ascii="Garamond" w:hAnsi="Garamond"/>
          <w:bCs/>
          <w:iCs/>
        </w:rPr>
        <w:t xml:space="preserve">l’indicazione </w:t>
      </w:r>
      <w:r w:rsidR="0082142F" w:rsidRPr="00460B5C">
        <w:rPr>
          <w:rFonts w:ascii="Garamond" w:hAnsi="Garamond"/>
          <w:bCs/>
          <w:iCs/>
        </w:rPr>
        <w:t xml:space="preserve">in gara </w:t>
      </w:r>
      <w:r w:rsidR="002C4DDC" w:rsidRPr="00460B5C">
        <w:rPr>
          <w:rFonts w:ascii="Garamond" w:hAnsi="Garamond"/>
          <w:bCs/>
          <w:iCs/>
        </w:rPr>
        <w:t>dei nominativi dei subappaltatori proposti</w:t>
      </w:r>
      <w:r w:rsidR="002C4DDC" w:rsidRPr="00460B5C">
        <w:rPr>
          <w:rStyle w:val="Rimandonotaapidipagina"/>
          <w:rFonts w:ascii="Garamond" w:hAnsi="Garamond"/>
          <w:bCs/>
          <w:iCs/>
          <w:sz w:val="24"/>
        </w:rPr>
        <w:footnoteReference w:id="53"/>
      </w:r>
      <w:r w:rsidR="002C4DDC" w:rsidRPr="00460B5C">
        <w:rPr>
          <w:rFonts w:ascii="Garamond" w:hAnsi="Garamond"/>
          <w:bCs/>
          <w:iCs/>
        </w:rPr>
        <w:t xml:space="preserve">. </w:t>
      </w:r>
      <w:r w:rsidR="000C25D9" w:rsidRPr="00460B5C">
        <w:rPr>
          <w:rFonts w:ascii="Garamond" w:hAnsi="Garamond"/>
          <w:bCs/>
          <w:iCs/>
        </w:rPr>
        <w:t>In recepimento delle Direttive, come no</w:t>
      </w:r>
      <w:r w:rsidR="005A2958" w:rsidRPr="00460B5C">
        <w:rPr>
          <w:rFonts w:ascii="Garamond" w:hAnsi="Garamond"/>
          <w:bCs/>
          <w:iCs/>
        </w:rPr>
        <w:t>to, il nostro Legislatore</w:t>
      </w:r>
      <w:r w:rsidR="00F3509C" w:rsidRPr="00460B5C">
        <w:rPr>
          <w:rFonts w:ascii="Garamond" w:hAnsi="Garamond"/>
          <w:bCs/>
          <w:iCs/>
        </w:rPr>
        <w:t xml:space="preserve">, </w:t>
      </w:r>
      <w:r w:rsidR="0004480E" w:rsidRPr="00460B5C">
        <w:rPr>
          <w:rFonts w:ascii="Garamond" w:hAnsi="Garamond"/>
          <w:bCs/>
          <w:iCs/>
        </w:rPr>
        <w:t xml:space="preserve">attenendosi alle </w:t>
      </w:r>
      <w:r w:rsidR="00D35358" w:rsidRPr="00460B5C">
        <w:rPr>
          <w:rFonts w:ascii="Garamond" w:hAnsi="Garamond"/>
          <w:bCs/>
          <w:iCs/>
        </w:rPr>
        <w:t>prescrizioni</w:t>
      </w:r>
      <w:r w:rsidR="0004480E" w:rsidRPr="00460B5C">
        <w:rPr>
          <w:rFonts w:ascii="Garamond" w:hAnsi="Garamond"/>
          <w:bCs/>
          <w:iCs/>
        </w:rPr>
        <w:t xml:space="preserve"> d</w:t>
      </w:r>
      <w:r w:rsidR="00F3509C" w:rsidRPr="00460B5C">
        <w:rPr>
          <w:rFonts w:ascii="Garamond" w:hAnsi="Garamond"/>
          <w:bCs/>
          <w:iCs/>
        </w:rPr>
        <w:t>ella legge delega n. 11/2006</w:t>
      </w:r>
      <w:r w:rsidR="00F3509C" w:rsidRPr="00460B5C">
        <w:rPr>
          <w:rStyle w:val="Rimandonotaapidipagina"/>
          <w:bCs/>
          <w:iCs/>
        </w:rPr>
        <w:footnoteReference w:id="54"/>
      </w:r>
      <w:r w:rsidR="00F3509C" w:rsidRPr="00460B5C">
        <w:rPr>
          <w:rFonts w:ascii="Garamond" w:hAnsi="Garamond"/>
          <w:bCs/>
          <w:iCs/>
        </w:rPr>
        <w:t xml:space="preserve">, </w:t>
      </w:r>
      <w:r w:rsidR="00BB1C3C">
        <w:rPr>
          <w:rFonts w:ascii="Garamond" w:hAnsi="Garamond"/>
          <w:bCs/>
          <w:iCs/>
        </w:rPr>
        <w:t>ha</w:t>
      </w:r>
      <w:r w:rsidR="000C25D9" w:rsidRPr="00460B5C">
        <w:rPr>
          <w:rFonts w:ascii="Garamond" w:hAnsi="Garamond"/>
          <w:bCs/>
          <w:iCs/>
        </w:rPr>
        <w:t xml:space="preserve"> introdotto all’art. 105, comma 6, </w:t>
      </w:r>
      <w:r w:rsidR="005A2958" w:rsidRPr="00460B5C">
        <w:rPr>
          <w:rFonts w:ascii="Garamond" w:hAnsi="Garamond"/>
          <w:bCs/>
          <w:iCs/>
        </w:rPr>
        <w:t xml:space="preserve">del </w:t>
      </w:r>
      <w:r w:rsidR="000C25D9" w:rsidRPr="00460B5C">
        <w:rPr>
          <w:rFonts w:ascii="Garamond" w:hAnsi="Garamond"/>
          <w:bCs/>
          <w:iCs/>
        </w:rPr>
        <w:t xml:space="preserve">D.Lgs. </w:t>
      </w:r>
      <w:r w:rsidR="00D724DA">
        <w:rPr>
          <w:rFonts w:ascii="Garamond" w:hAnsi="Garamond"/>
          <w:bCs/>
          <w:iCs/>
        </w:rPr>
        <w:t xml:space="preserve">n. </w:t>
      </w:r>
      <w:r w:rsidR="000C25D9" w:rsidRPr="00460B5C">
        <w:rPr>
          <w:rFonts w:ascii="Garamond" w:hAnsi="Garamond"/>
          <w:bCs/>
          <w:iCs/>
        </w:rPr>
        <w:t>50/2016 l’obbligo di indicazione della terna dei subappaltatori per gli appalti di lavori, servizi e forniture di importo pari o superiore alle soglie comunitarie</w:t>
      </w:r>
      <w:r w:rsidR="000C25D9" w:rsidRPr="00460B5C">
        <w:rPr>
          <w:rStyle w:val="Rimandonotaapidipagina"/>
          <w:rFonts w:ascii="Garamond" w:hAnsi="Garamond"/>
          <w:bCs/>
          <w:iCs/>
          <w:sz w:val="24"/>
        </w:rPr>
        <w:footnoteReference w:id="55"/>
      </w:r>
      <w:r w:rsidR="000C25D9" w:rsidRPr="00460B5C">
        <w:rPr>
          <w:rFonts w:ascii="Garamond" w:hAnsi="Garamond"/>
          <w:bCs/>
          <w:iCs/>
        </w:rPr>
        <w:t>.</w:t>
      </w:r>
      <w:r w:rsidR="00D35358" w:rsidRPr="00460B5C">
        <w:rPr>
          <w:rFonts w:ascii="Garamond" w:hAnsi="Garamond"/>
          <w:bCs/>
          <w:iCs/>
        </w:rPr>
        <w:t xml:space="preserve"> </w:t>
      </w:r>
    </w:p>
    <w:p w14:paraId="65801A8E" w14:textId="626AAB6F" w:rsidR="00F12607" w:rsidRPr="00460B5C" w:rsidRDefault="00F12607" w:rsidP="00D35358">
      <w:pPr>
        <w:spacing w:line="276" w:lineRule="auto"/>
        <w:ind w:firstLine="284"/>
        <w:contextualSpacing/>
        <w:jc w:val="both"/>
        <w:rPr>
          <w:rFonts w:ascii="Garamond" w:hAnsi="Garamond"/>
          <w:bCs/>
          <w:iCs/>
        </w:rPr>
      </w:pPr>
      <w:r w:rsidRPr="00460B5C">
        <w:rPr>
          <w:rFonts w:ascii="Garamond" w:hAnsi="Garamond"/>
          <w:bCs/>
          <w:iCs/>
        </w:rPr>
        <w:lastRenderedPageBreak/>
        <w:t xml:space="preserve">Ed è evidentemente con riguardo a tale nuovo assetto normativo che il subappalto può dirsi </w:t>
      </w:r>
      <w:r w:rsidR="001834F1" w:rsidRPr="00460B5C">
        <w:rPr>
          <w:rFonts w:ascii="Garamond" w:hAnsi="Garamond"/>
          <w:bCs/>
          <w:iCs/>
        </w:rPr>
        <w:t>di</w:t>
      </w:r>
      <w:r w:rsidRPr="00460B5C">
        <w:rPr>
          <w:rFonts w:ascii="Garamond" w:hAnsi="Garamond"/>
          <w:bCs/>
          <w:iCs/>
        </w:rPr>
        <w:t xml:space="preserve">venuto </w:t>
      </w:r>
      <w:r w:rsidR="001F0FE0">
        <w:rPr>
          <w:rFonts w:ascii="Garamond" w:hAnsi="Garamond"/>
          <w:bCs/>
          <w:iCs/>
        </w:rPr>
        <w:t>“</w:t>
      </w:r>
      <w:r w:rsidRPr="00460B5C">
        <w:rPr>
          <w:rFonts w:ascii="Garamond" w:hAnsi="Garamond"/>
          <w:bCs/>
          <w:iCs/>
        </w:rPr>
        <w:t>necessario</w:t>
      </w:r>
      <w:r w:rsidR="001F0FE0">
        <w:rPr>
          <w:rFonts w:ascii="Garamond" w:hAnsi="Garamond"/>
          <w:bCs/>
          <w:iCs/>
        </w:rPr>
        <w:t>”</w:t>
      </w:r>
      <w:r w:rsidRPr="00460B5C">
        <w:rPr>
          <w:rFonts w:ascii="Garamond" w:hAnsi="Garamond"/>
          <w:bCs/>
          <w:iCs/>
        </w:rPr>
        <w:t xml:space="preserve">: l’indicazione in gara della terna dei subappaltatori attribuisce difatti un </w:t>
      </w:r>
      <w:r w:rsidR="00750902">
        <w:rPr>
          <w:rFonts w:ascii="Garamond" w:hAnsi="Garamond"/>
          <w:bCs/>
          <w:iCs/>
        </w:rPr>
        <w:t xml:space="preserve">nuovo ed inedito </w:t>
      </w:r>
      <w:r w:rsidRPr="00460B5C">
        <w:rPr>
          <w:rFonts w:ascii="Garamond" w:hAnsi="Garamond"/>
          <w:bCs/>
          <w:iCs/>
        </w:rPr>
        <w:t>ruolo al subappalto di integrazione dei requisiti di qualificazione e non più solo una funzione in sede esecutiva.</w:t>
      </w:r>
    </w:p>
    <w:p w14:paraId="24C67086" w14:textId="506DCC22" w:rsidR="00006F56" w:rsidRPr="00460B5C" w:rsidRDefault="00D35358" w:rsidP="00D35358">
      <w:pPr>
        <w:spacing w:line="276" w:lineRule="auto"/>
        <w:ind w:firstLine="284"/>
        <w:contextualSpacing/>
        <w:jc w:val="both"/>
        <w:rPr>
          <w:rFonts w:ascii="Garamond" w:hAnsi="Garamond"/>
          <w:bCs/>
          <w:iCs/>
        </w:rPr>
      </w:pPr>
      <w:r w:rsidRPr="00460B5C">
        <w:rPr>
          <w:rFonts w:ascii="Garamond" w:hAnsi="Garamond"/>
          <w:bCs/>
          <w:iCs/>
        </w:rPr>
        <w:t>Tuttavia,</w:t>
      </w:r>
      <w:r w:rsidR="00420149" w:rsidRPr="00460B5C">
        <w:rPr>
          <w:rFonts w:ascii="Garamond" w:hAnsi="Garamond"/>
          <w:bCs/>
          <w:iCs/>
        </w:rPr>
        <w:t xml:space="preserve"> </w:t>
      </w:r>
      <w:r w:rsidR="00006F56" w:rsidRPr="00460B5C">
        <w:rPr>
          <w:rFonts w:ascii="Garamond" w:hAnsi="Garamond"/>
          <w:bCs/>
          <w:iCs/>
        </w:rPr>
        <w:t xml:space="preserve">ad oggi, in considerazione dell’ulteriore mutamento </w:t>
      </w:r>
      <w:r w:rsidR="008C6811" w:rsidRPr="00460B5C">
        <w:rPr>
          <w:rFonts w:ascii="Garamond" w:hAnsi="Garamond"/>
          <w:bCs/>
          <w:iCs/>
        </w:rPr>
        <w:t>normativo</w:t>
      </w:r>
      <w:r w:rsidR="00F35BE2" w:rsidRPr="00460B5C">
        <w:rPr>
          <w:rFonts w:ascii="Garamond" w:hAnsi="Garamond"/>
          <w:bCs/>
          <w:iCs/>
        </w:rPr>
        <w:t xml:space="preserve"> sopravvenuto</w:t>
      </w:r>
      <w:r w:rsidR="005A2958" w:rsidRPr="00460B5C">
        <w:rPr>
          <w:rFonts w:ascii="Garamond" w:hAnsi="Garamond"/>
          <w:bCs/>
          <w:iCs/>
        </w:rPr>
        <w:t>,</w:t>
      </w:r>
      <w:r w:rsidR="008C6811" w:rsidRPr="00460B5C">
        <w:rPr>
          <w:rFonts w:ascii="Garamond" w:hAnsi="Garamond"/>
          <w:bCs/>
          <w:iCs/>
        </w:rPr>
        <w:t xml:space="preserve"> </w:t>
      </w:r>
      <w:r w:rsidR="005A2958" w:rsidRPr="00460B5C">
        <w:rPr>
          <w:rFonts w:ascii="Garamond" w:hAnsi="Garamond"/>
          <w:bCs/>
          <w:iCs/>
        </w:rPr>
        <w:t>operato dal D.L</w:t>
      </w:r>
      <w:r w:rsidR="00D724DA">
        <w:rPr>
          <w:rFonts w:ascii="Garamond" w:hAnsi="Garamond"/>
          <w:bCs/>
          <w:iCs/>
        </w:rPr>
        <w:t>.</w:t>
      </w:r>
      <w:r w:rsidR="005A2958" w:rsidRPr="00460B5C">
        <w:rPr>
          <w:rFonts w:ascii="Garamond" w:hAnsi="Garamond"/>
          <w:bCs/>
          <w:iCs/>
        </w:rPr>
        <w:t xml:space="preserve"> </w:t>
      </w:r>
      <w:r w:rsidR="00D724DA">
        <w:rPr>
          <w:rFonts w:ascii="Garamond" w:hAnsi="Garamond"/>
          <w:bCs/>
          <w:iCs/>
        </w:rPr>
        <w:t xml:space="preserve">n. </w:t>
      </w:r>
      <w:r w:rsidR="005A2958" w:rsidRPr="00460B5C">
        <w:rPr>
          <w:rFonts w:ascii="Garamond" w:hAnsi="Garamond"/>
          <w:bCs/>
          <w:iCs/>
        </w:rPr>
        <w:t xml:space="preserve">32/2019, </w:t>
      </w:r>
      <w:r w:rsidR="0038388E" w:rsidRPr="00460B5C">
        <w:rPr>
          <w:rFonts w:ascii="Garamond" w:hAnsi="Garamond"/>
          <w:bCs/>
          <w:iCs/>
        </w:rPr>
        <w:t xml:space="preserve">non </w:t>
      </w:r>
      <w:r w:rsidR="00C758F7">
        <w:rPr>
          <w:rFonts w:ascii="Garamond" w:hAnsi="Garamond"/>
          <w:bCs/>
          <w:iCs/>
        </w:rPr>
        <w:t xml:space="preserve">dovrebbe più </w:t>
      </w:r>
      <w:r w:rsidR="0091076C" w:rsidRPr="00460B5C">
        <w:rPr>
          <w:rFonts w:ascii="Garamond" w:hAnsi="Garamond"/>
          <w:bCs/>
          <w:iCs/>
        </w:rPr>
        <w:t>residu</w:t>
      </w:r>
      <w:r w:rsidR="00C758F7">
        <w:rPr>
          <w:rFonts w:ascii="Garamond" w:hAnsi="Garamond"/>
          <w:bCs/>
          <w:iCs/>
        </w:rPr>
        <w:t>are</w:t>
      </w:r>
      <w:r w:rsidR="0038388E" w:rsidRPr="00460B5C">
        <w:rPr>
          <w:rFonts w:ascii="Garamond" w:hAnsi="Garamond"/>
          <w:bCs/>
          <w:iCs/>
        </w:rPr>
        <w:t xml:space="preserve"> alcuna incertezza</w:t>
      </w:r>
      <w:r w:rsidR="00F35BE2" w:rsidRPr="00460B5C">
        <w:rPr>
          <w:rFonts w:ascii="Garamond" w:hAnsi="Garamond"/>
          <w:bCs/>
          <w:iCs/>
        </w:rPr>
        <w:t xml:space="preserve">: </w:t>
      </w:r>
      <w:r w:rsidR="005A2958" w:rsidRPr="00460B5C">
        <w:rPr>
          <w:rFonts w:ascii="Garamond" w:hAnsi="Garamond"/>
          <w:bCs/>
          <w:iCs/>
        </w:rPr>
        <w:t>i</w:t>
      </w:r>
      <w:r w:rsidR="00F35BE2" w:rsidRPr="00460B5C">
        <w:rPr>
          <w:rFonts w:ascii="Garamond" w:hAnsi="Garamond"/>
          <w:bCs/>
          <w:iCs/>
        </w:rPr>
        <w:t>n</w:t>
      </w:r>
      <w:r w:rsidR="005A2958" w:rsidRPr="00460B5C">
        <w:rPr>
          <w:rFonts w:ascii="Garamond" w:hAnsi="Garamond"/>
          <w:bCs/>
          <w:iCs/>
        </w:rPr>
        <w:t>fatti, in particolare tramite</w:t>
      </w:r>
      <w:r w:rsidR="00420149" w:rsidRPr="00460B5C">
        <w:rPr>
          <w:rFonts w:ascii="Garamond" w:hAnsi="Garamond"/>
          <w:bCs/>
          <w:iCs/>
        </w:rPr>
        <w:t xml:space="preserve"> la sospensione dell’obbligo di indicazione della terna dei subappaltatori e la novella dell’art. </w:t>
      </w:r>
      <w:r w:rsidR="009424ED" w:rsidRPr="00460B5C">
        <w:rPr>
          <w:rFonts w:ascii="Garamond" w:hAnsi="Garamond"/>
          <w:bCs/>
          <w:iCs/>
        </w:rPr>
        <w:t xml:space="preserve">80 del D.Lgs. n. 50/2016, </w:t>
      </w:r>
      <w:r w:rsidR="00F71FEB" w:rsidRPr="00460B5C">
        <w:rPr>
          <w:rFonts w:ascii="Garamond" w:hAnsi="Garamond"/>
          <w:bCs/>
          <w:iCs/>
        </w:rPr>
        <w:t>che</w:t>
      </w:r>
      <w:r w:rsidR="009424ED" w:rsidRPr="00460B5C">
        <w:rPr>
          <w:rFonts w:ascii="Garamond" w:hAnsi="Garamond"/>
          <w:bCs/>
          <w:iCs/>
        </w:rPr>
        <w:t xml:space="preserve"> </w:t>
      </w:r>
      <w:r w:rsidR="00420149" w:rsidRPr="00460B5C">
        <w:rPr>
          <w:rFonts w:ascii="Garamond" w:hAnsi="Garamond"/>
          <w:bCs/>
          <w:iCs/>
        </w:rPr>
        <w:t xml:space="preserve">ha </w:t>
      </w:r>
      <w:r w:rsidR="00C758F7">
        <w:rPr>
          <w:rFonts w:ascii="Garamond" w:hAnsi="Garamond"/>
          <w:bCs/>
          <w:iCs/>
        </w:rPr>
        <w:t xml:space="preserve">anche </w:t>
      </w:r>
      <w:r w:rsidR="00420149" w:rsidRPr="00460B5C">
        <w:rPr>
          <w:rFonts w:ascii="Garamond" w:hAnsi="Garamond"/>
          <w:bCs/>
          <w:iCs/>
        </w:rPr>
        <w:t xml:space="preserve">espunto il riferimento ai motivi di esclusione dei subappaltatori </w:t>
      </w:r>
      <w:r w:rsidR="0038388E" w:rsidRPr="00460B5C">
        <w:rPr>
          <w:rFonts w:ascii="Garamond" w:hAnsi="Garamond"/>
          <w:bCs/>
          <w:iCs/>
        </w:rPr>
        <w:t>quali</w:t>
      </w:r>
      <w:r w:rsidR="00420149" w:rsidRPr="00460B5C">
        <w:rPr>
          <w:rFonts w:ascii="Garamond" w:hAnsi="Garamond"/>
          <w:bCs/>
          <w:iCs/>
        </w:rPr>
        <w:t xml:space="preserve"> causa di esclusione per gli appaltatori</w:t>
      </w:r>
      <w:r w:rsidR="0038388E" w:rsidRPr="00460B5C">
        <w:rPr>
          <w:rFonts w:ascii="Garamond" w:hAnsi="Garamond"/>
          <w:bCs/>
          <w:iCs/>
        </w:rPr>
        <w:t xml:space="preserve">, è stato </w:t>
      </w:r>
      <w:r w:rsidR="00CF0EE5" w:rsidRPr="00460B5C">
        <w:rPr>
          <w:rFonts w:ascii="Garamond" w:hAnsi="Garamond"/>
          <w:bCs/>
          <w:iCs/>
        </w:rPr>
        <w:t>nuovamente</w:t>
      </w:r>
      <w:r w:rsidR="005A2958" w:rsidRPr="00460B5C">
        <w:rPr>
          <w:rFonts w:ascii="Garamond" w:hAnsi="Garamond"/>
          <w:bCs/>
          <w:iCs/>
        </w:rPr>
        <w:t xml:space="preserve"> </w:t>
      </w:r>
      <w:r w:rsidR="0038388E" w:rsidRPr="00460B5C">
        <w:rPr>
          <w:rFonts w:ascii="Garamond" w:hAnsi="Garamond"/>
          <w:bCs/>
          <w:iCs/>
        </w:rPr>
        <w:t>confermato il ruol</w:t>
      </w:r>
      <w:r w:rsidR="009424ED" w:rsidRPr="00460B5C">
        <w:rPr>
          <w:rFonts w:ascii="Garamond" w:hAnsi="Garamond"/>
          <w:bCs/>
          <w:iCs/>
        </w:rPr>
        <w:t xml:space="preserve">o del subappalto </w:t>
      </w:r>
      <w:r w:rsidR="00F71FEB" w:rsidRPr="00460B5C">
        <w:rPr>
          <w:rFonts w:ascii="Garamond" w:hAnsi="Garamond"/>
          <w:bCs/>
          <w:iCs/>
        </w:rPr>
        <w:t>come</w:t>
      </w:r>
      <w:r w:rsidR="005A2958" w:rsidRPr="00460B5C">
        <w:rPr>
          <w:rFonts w:ascii="Garamond" w:hAnsi="Garamond"/>
          <w:bCs/>
          <w:iCs/>
        </w:rPr>
        <w:t xml:space="preserve"> </w:t>
      </w:r>
      <w:r w:rsidR="009424ED" w:rsidRPr="00460B5C">
        <w:rPr>
          <w:rFonts w:ascii="Garamond" w:hAnsi="Garamond"/>
          <w:bCs/>
          <w:iCs/>
        </w:rPr>
        <w:t>esclusivamente ascrivibile alla fase esecutiva</w:t>
      </w:r>
      <w:r w:rsidR="00172ACC" w:rsidRPr="00460B5C">
        <w:rPr>
          <w:rStyle w:val="Rimandonotaapidipagina"/>
          <w:bCs/>
          <w:iCs/>
        </w:rPr>
        <w:footnoteReference w:id="56"/>
      </w:r>
      <w:r w:rsidR="009424ED" w:rsidRPr="00460B5C">
        <w:rPr>
          <w:rFonts w:ascii="Garamond" w:hAnsi="Garamond"/>
          <w:bCs/>
          <w:iCs/>
        </w:rPr>
        <w:t>.</w:t>
      </w:r>
    </w:p>
    <w:p w14:paraId="1904B831" w14:textId="77777777" w:rsidR="000C3AA0" w:rsidRPr="00460B5C" w:rsidRDefault="000C3AA0" w:rsidP="006D67E0">
      <w:pPr>
        <w:spacing w:line="276" w:lineRule="auto"/>
        <w:contextualSpacing/>
        <w:jc w:val="both"/>
        <w:rPr>
          <w:rFonts w:ascii="Garamond" w:hAnsi="Garamond"/>
          <w:bCs/>
        </w:rPr>
      </w:pPr>
    </w:p>
    <w:p w14:paraId="21B1053D" w14:textId="77777777" w:rsidR="00D35358" w:rsidRPr="00460B5C" w:rsidRDefault="00D35358" w:rsidP="006D67E0">
      <w:pPr>
        <w:spacing w:line="276" w:lineRule="auto"/>
        <w:contextualSpacing/>
        <w:jc w:val="both"/>
        <w:rPr>
          <w:rFonts w:ascii="Garamond" w:hAnsi="Garamond"/>
          <w:bCs/>
        </w:rPr>
      </w:pPr>
    </w:p>
    <w:p w14:paraId="182926F3" w14:textId="5B33151C" w:rsidR="009F053B" w:rsidRPr="00460B5C" w:rsidRDefault="00B55942" w:rsidP="00743D2F">
      <w:pPr>
        <w:pStyle w:val="Titolo2"/>
        <w:rPr>
          <w:rStyle w:val="Enfasicorsivo"/>
          <w:i w:val="0"/>
          <w:iCs w:val="0"/>
        </w:rPr>
      </w:pPr>
      <w:bookmarkStart w:id="16" w:name="_Toc38992726"/>
      <w:r w:rsidRPr="00460B5C">
        <w:rPr>
          <w:rStyle w:val="Enfasicorsivo"/>
          <w:i w:val="0"/>
          <w:iCs w:val="0"/>
        </w:rPr>
        <w:t>L’autonomia organizzativa ed il regime delle responsabilità</w:t>
      </w:r>
      <w:bookmarkEnd w:id="16"/>
    </w:p>
    <w:p w14:paraId="3440352B" w14:textId="1D1A0279" w:rsidR="00A345A1" w:rsidRPr="00460B5C" w:rsidRDefault="00B55942" w:rsidP="006D67E0">
      <w:pPr>
        <w:pStyle w:val="TESTOCOMM"/>
        <w:spacing w:line="276" w:lineRule="auto"/>
        <w:contextualSpacing/>
        <w:rPr>
          <w:rFonts w:ascii="Garamond" w:hAnsi="Garamond"/>
          <w:sz w:val="24"/>
          <w:szCs w:val="24"/>
        </w:rPr>
      </w:pPr>
      <w:r w:rsidRPr="00460B5C">
        <w:rPr>
          <w:rStyle w:val="Enfasicorsivo"/>
          <w:rFonts w:ascii="Garamond" w:hAnsi="Garamond"/>
          <w:i w:val="0"/>
          <w:iCs w:val="0"/>
          <w:sz w:val="24"/>
          <w:szCs w:val="24"/>
        </w:rPr>
        <w:t>Veniamo</w:t>
      </w:r>
      <w:r w:rsidR="00F71FEB" w:rsidRPr="00460B5C">
        <w:rPr>
          <w:rStyle w:val="Enfasicorsivo"/>
          <w:rFonts w:ascii="Garamond" w:hAnsi="Garamond"/>
          <w:i w:val="0"/>
          <w:iCs w:val="0"/>
          <w:sz w:val="24"/>
          <w:szCs w:val="24"/>
        </w:rPr>
        <w:t xml:space="preserve"> ora ai profili della responsabilità e dell’organizzazione delle risorse</w:t>
      </w:r>
      <w:r w:rsidR="004107DC" w:rsidRPr="00460B5C">
        <w:rPr>
          <w:rFonts w:ascii="Garamond" w:hAnsi="Garamond"/>
          <w:sz w:val="24"/>
          <w:szCs w:val="24"/>
        </w:rPr>
        <w:t xml:space="preserve">. </w:t>
      </w:r>
    </w:p>
    <w:p w14:paraId="1697EBE3" w14:textId="5C2480E2" w:rsidR="004107DC" w:rsidRPr="00460B5C" w:rsidRDefault="004107DC" w:rsidP="006D67E0">
      <w:pPr>
        <w:pStyle w:val="TESTOCOMM"/>
        <w:spacing w:line="276" w:lineRule="auto"/>
        <w:rPr>
          <w:rFonts w:ascii="Garamond" w:hAnsi="Garamond"/>
          <w:sz w:val="24"/>
          <w:szCs w:val="24"/>
        </w:rPr>
      </w:pPr>
      <w:r w:rsidRPr="00460B5C">
        <w:rPr>
          <w:rFonts w:ascii="Garamond" w:hAnsi="Garamond"/>
          <w:sz w:val="24"/>
          <w:szCs w:val="24"/>
        </w:rPr>
        <w:t>Come detto</w:t>
      </w:r>
      <w:r w:rsidR="00A345A1" w:rsidRPr="00460B5C">
        <w:rPr>
          <w:rFonts w:ascii="Garamond" w:hAnsi="Garamond"/>
          <w:sz w:val="24"/>
          <w:szCs w:val="24"/>
        </w:rPr>
        <w:t xml:space="preserve">, </w:t>
      </w:r>
      <w:r w:rsidRPr="00460B5C">
        <w:rPr>
          <w:rFonts w:ascii="Garamond" w:hAnsi="Garamond"/>
          <w:sz w:val="24"/>
          <w:szCs w:val="24"/>
        </w:rPr>
        <w:t>ai sensi del comma 9 dell’art. 89 D.Lgs.</w:t>
      </w:r>
      <w:r w:rsidR="00C62337">
        <w:rPr>
          <w:rFonts w:ascii="Garamond" w:hAnsi="Garamond"/>
          <w:sz w:val="24"/>
          <w:szCs w:val="24"/>
        </w:rPr>
        <w:t xml:space="preserve"> n.</w:t>
      </w:r>
      <w:r w:rsidRPr="00460B5C">
        <w:rPr>
          <w:rFonts w:ascii="Garamond" w:hAnsi="Garamond"/>
          <w:sz w:val="24"/>
          <w:szCs w:val="24"/>
        </w:rPr>
        <w:t xml:space="preserve"> 50/2016</w:t>
      </w:r>
      <w:r w:rsidR="00A345A1" w:rsidRPr="00460B5C">
        <w:rPr>
          <w:rFonts w:ascii="Garamond" w:hAnsi="Garamond"/>
          <w:sz w:val="24"/>
          <w:szCs w:val="24"/>
        </w:rPr>
        <w:t xml:space="preserve">, l’avvalimento operativo puro si configura </w:t>
      </w:r>
      <w:r w:rsidR="0064041E" w:rsidRPr="00460B5C">
        <w:rPr>
          <w:rFonts w:ascii="Garamond" w:hAnsi="Garamond"/>
          <w:sz w:val="24"/>
          <w:szCs w:val="24"/>
        </w:rPr>
        <w:t xml:space="preserve">come il contratto in base al quale </w:t>
      </w:r>
      <w:r w:rsidR="00A345A1" w:rsidRPr="00460B5C">
        <w:rPr>
          <w:rFonts w:ascii="Garamond" w:hAnsi="Garamond"/>
          <w:sz w:val="24"/>
          <w:szCs w:val="24"/>
        </w:rPr>
        <w:t>l’impresa ausiliata utilizza i mezzi e le risorse dell’ausiliaria “in via immediata”, senza dunque alcuna intermediazione di quest’ultima</w:t>
      </w:r>
      <w:r w:rsidR="00F50F18" w:rsidRPr="00460B5C">
        <w:rPr>
          <w:rStyle w:val="Rimandonotaapidipagina"/>
          <w:rFonts w:ascii="Garamond" w:hAnsi="Garamond"/>
          <w:sz w:val="24"/>
          <w:szCs w:val="24"/>
        </w:rPr>
        <w:footnoteReference w:id="57"/>
      </w:r>
      <w:r w:rsidR="009B3724">
        <w:rPr>
          <w:rFonts w:ascii="Garamond" w:hAnsi="Garamond"/>
          <w:sz w:val="24"/>
          <w:szCs w:val="24"/>
        </w:rPr>
        <w:t xml:space="preserve">. </w:t>
      </w:r>
      <w:r w:rsidR="00A345A1" w:rsidRPr="00460B5C">
        <w:rPr>
          <w:rFonts w:ascii="Garamond" w:hAnsi="Garamond"/>
          <w:sz w:val="24"/>
          <w:szCs w:val="24"/>
        </w:rPr>
        <w:t xml:space="preserve">In sostanza, pur servendosi dei mezzi altrui, l’impresa ausiliata rimane nell’ambito dell’avvalimento </w:t>
      </w:r>
      <w:r w:rsidR="00F35BE2" w:rsidRPr="00460B5C">
        <w:rPr>
          <w:rFonts w:ascii="Garamond" w:hAnsi="Garamond"/>
          <w:sz w:val="24"/>
          <w:szCs w:val="24"/>
        </w:rPr>
        <w:t xml:space="preserve">se mantiene la direzione, il coordinamento e il controllo </w:t>
      </w:r>
      <w:r w:rsidR="00A345A1" w:rsidRPr="00460B5C">
        <w:rPr>
          <w:rFonts w:ascii="Garamond" w:hAnsi="Garamond"/>
          <w:sz w:val="24"/>
          <w:szCs w:val="24"/>
        </w:rPr>
        <w:t>dell’esecuzione dell’appalto.</w:t>
      </w:r>
      <w:r w:rsidR="00865B3A">
        <w:rPr>
          <w:rFonts w:ascii="Garamond" w:hAnsi="Garamond"/>
          <w:sz w:val="24"/>
          <w:szCs w:val="24"/>
        </w:rPr>
        <w:t xml:space="preserve"> </w:t>
      </w:r>
    </w:p>
    <w:p w14:paraId="5A900E78" w14:textId="79F5DDA3" w:rsidR="000C3AA0" w:rsidRPr="00460B5C" w:rsidRDefault="00A345A1" w:rsidP="006D67E0">
      <w:pPr>
        <w:pStyle w:val="TESTOCOMM"/>
        <w:spacing w:line="276" w:lineRule="auto"/>
        <w:rPr>
          <w:rFonts w:ascii="Garamond" w:hAnsi="Garamond"/>
          <w:sz w:val="24"/>
          <w:szCs w:val="24"/>
        </w:rPr>
      </w:pPr>
      <w:r w:rsidRPr="00460B5C">
        <w:rPr>
          <w:rFonts w:ascii="Garamond" w:hAnsi="Garamond"/>
          <w:sz w:val="24"/>
          <w:szCs w:val="24"/>
        </w:rPr>
        <w:t xml:space="preserve">È in </w:t>
      </w:r>
      <w:r w:rsidR="00F50F18" w:rsidRPr="00460B5C">
        <w:rPr>
          <w:rFonts w:ascii="Garamond" w:hAnsi="Garamond"/>
          <w:sz w:val="24"/>
          <w:szCs w:val="24"/>
        </w:rPr>
        <w:t>questa direzione</w:t>
      </w:r>
      <w:r w:rsidRPr="00460B5C">
        <w:rPr>
          <w:rFonts w:ascii="Garamond" w:hAnsi="Garamond"/>
          <w:sz w:val="24"/>
          <w:szCs w:val="24"/>
        </w:rPr>
        <w:t xml:space="preserve"> che si è espressa la giurisprudenza</w:t>
      </w:r>
      <w:r w:rsidR="00A83631" w:rsidRPr="00460B5C">
        <w:rPr>
          <w:rFonts w:ascii="Garamond" w:hAnsi="Garamond"/>
          <w:sz w:val="24"/>
          <w:szCs w:val="24"/>
        </w:rPr>
        <w:t xml:space="preserve">, individuando, </w:t>
      </w:r>
      <w:r w:rsidR="00A83631" w:rsidRPr="00460B5C">
        <w:rPr>
          <w:rFonts w:ascii="Garamond" w:hAnsi="Garamond"/>
          <w:i/>
          <w:sz w:val="24"/>
          <w:szCs w:val="24"/>
        </w:rPr>
        <w:t>a contrario</w:t>
      </w:r>
      <w:r w:rsidR="00A83631" w:rsidRPr="00460B5C">
        <w:rPr>
          <w:rFonts w:ascii="Garamond" w:hAnsi="Garamond"/>
          <w:sz w:val="24"/>
          <w:szCs w:val="24"/>
        </w:rPr>
        <w:t xml:space="preserve">, </w:t>
      </w:r>
      <w:r w:rsidR="00F50F18" w:rsidRPr="00460B5C">
        <w:rPr>
          <w:rFonts w:ascii="Garamond" w:hAnsi="Garamond"/>
          <w:sz w:val="24"/>
          <w:szCs w:val="24"/>
        </w:rPr>
        <w:t>quale tratto distintivo in capo al subappaltatore</w:t>
      </w:r>
      <w:r w:rsidR="00A83631" w:rsidRPr="00460B5C">
        <w:rPr>
          <w:rFonts w:ascii="Garamond" w:hAnsi="Garamond"/>
          <w:sz w:val="24"/>
          <w:szCs w:val="24"/>
        </w:rPr>
        <w:t xml:space="preserve"> l’ef</w:t>
      </w:r>
      <w:r w:rsidR="00F50F18" w:rsidRPr="00460B5C">
        <w:rPr>
          <w:rFonts w:ascii="Garamond" w:hAnsi="Garamond"/>
          <w:sz w:val="24"/>
          <w:szCs w:val="24"/>
        </w:rPr>
        <w:t>fettiva autonomia organizzativa, alla quale deve aggiungersi</w:t>
      </w:r>
      <w:r w:rsidR="00A83631" w:rsidRPr="00460B5C">
        <w:rPr>
          <w:rFonts w:ascii="Garamond" w:hAnsi="Garamond"/>
          <w:sz w:val="24"/>
          <w:szCs w:val="24"/>
        </w:rPr>
        <w:t xml:space="preserve"> l’assunzione del rischio economico</w:t>
      </w:r>
      <w:r w:rsidR="00F50F18" w:rsidRPr="00460B5C">
        <w:rPr>
          <w:rFonts w:ascii="Garamond" w:hAnsi="Garamond"/>
          <w:sz w:val="24"/>
          <w:szCs w:val="24"/>
        </w:rPr>
        <w:t xml:space="preserve"> dell’esecuzione</w:t>
      </w:r>
      <w:r w:rsidR="00F35BE2" w:rsidRPr="00460B5C">
        <w:rPr>
          <w:rStyle w:val="Rimandonotaapidipagina"/>
          <w:szCs w:val="24"/>
        </w:rPr>
        <w:footnoteReference w:id="58"/>
      </w:r>
      <w:r w:rsidR="00A83631" w:rsidRPr="00460B5C">
        <w:rPr>
          <w:rFonts w:ascii="Garamond" w:hAnsi="Garamond"/>
          <w:sz w:val="24"/>
          <w:szCs w:val="24"/>
        </w:rPr>
        <w:t xml:space="preserve">. </w:t>
      </w:r>
    </w:p>
    <w:p w14:paraId="6CA2285D" w14:textId="68B72175" w:rsidR="002D5135" w:rsidRPr="00460B5C" w:rsidRDefault="00F35BE2" w:rsidP="006D67E0">
      <w:pPr>
        <w:pStyle w:val="TESTOCOMM"/>
        <w:spacing w:line="276" w:lineRule="auto"/>
        <w:rPr>
          <w:rFonts w:ascii="Garamond" w:hAnsi="Garamond"/>
          <w:sz w:val="24"/>
          <w:szCs w:val="24"/>
        </w:rPr>
      </w:pPr>
      <w:r w:rsidRPr="00460B5C">
        <w:rPr>
          <w:rFonts w:ascii="Garamond" w:hAnsi="Garamond"/>
          <w:sz w:val="24"/>
          <w:szCs w:val="24"/>
        </w:rPr>
        <w:t>A testimonianza della complessità di focalizzare in talune fattispecie gli elementi distintivi tra i due istituti,</w:t>
      </w:r>
      <w:r w:rsidR="00FC1C06" w:rsidRPr="00460B5C">
        <w:rPr>
          <w:rFonts w:ascii="Garamond" w:hAnsi="Garamond"/>
          <w:sz w:val="24"/>
          <w:szCs w:val="24"/>
        </w:rPr>
        <w:t xml:space="preserve"> </w:t>
      </w:r>
      <w:r w:rsidR="002D1DFB" w:rsidRPr="00460B5C">
        <w:rPr>
          <w:rFonts w:ascii="Garamond" w:hAnsi="Garamond"/>
          <w:sz w:val="24"/>
          <w:szCs w:val="24"/>
        </w:rPr>
        <w:t xml:space="preserve">si </w:t>
      </w:r>
      <w:r w:rsidR="00FC1C06" w:rsidRPr="00460B5C">
        <w:rPr>
          <w:rFonts w:ascii="Garamond" w:hAnsi="Garamond"/>
          <w:sz w:val="24"/>
          <w:szCs w:val="24"/>
        </w:rPr>
        <w:t>segnala</w:t>
      </w:r>
      <w:r w:rsidR="002D1DFB" w:rsidRPr="00460B5C">
        <w:rPr>
          <w:rFonts w:ascii="Garamond" w:hAnsi="Garamond"/>
          <w:sz w:val="24"/>
          <w:szCs w:val="24"/>
        </w:rPr>
        <w:t xml:space="preserve"> un </w:t>
      </w:r>
      <w:r w:rsidR="00121BF5">
        <w:rPr>
          <w:rFonts w:ascii="Garamond" w:hAnsi="Garamond"/>
          <w:sz w:val="24"/>
          <w:szCs w:val="24"/>
        </w:rPr>
        <w:t xml:space="preserve">corposo </w:t>
      </w:r>
      <w:r w:rsidR="002D1DFB" w:rsidRPr="00460B5C">
        <w:rPr>
          <w:rFonts w:ascii="Garamond" w:hAnsi="Garamond"/>
          <w:sz w:val="24"/>
          <w:szCs w:val="24"/>
        </w:rPr>
        <w:t xml:space="preserve">filone giurisprudenziale </w:t>
      </w:r>
      <w:r w:rsidR="00FC1C06" w:rsidRPr="00460B5C">
        <w:rPr>
          <w:rFonts w:ascii="Garamond" w:hAnsi="Garamond"/>
          <w:sz w:val="24"/>
          <w:szCs w:val="24"/>
        </w:rPr>
        <w:t>in tema di procedure per l’affidamento del servizio di refezione</w:t>
      </w:r>
      <w:r w:rsidR="006B3FB5">
        <w:rPr>
          <w:rFonts w:ascii="Garamond" w:hAnsi="Garamond"/>
          <w:sz w:val="24"/>
          <w:szCs w:val="24"/>
        </w:rPr>
        <w:t>/catering</w:t>
      </w:r>
      <w:r w:rsidR="002E4A14" w:rsidRPr="00460B5C">
        <w:rPr>
          <w:rFonts w:ascii="Garamond" w:hAnsi="Garamond"/>
          <w:sz w:val="24"/>
          <w:szCs w:val="24"/>
        </w:rPr>
        <w:t>, in cui si discute se</w:t>
      </w:r>
      <w:r w:rsidR="00FC1C06" w:rsidRPr="00460B5C">
        <w:rPr>
          <w:rFonts w:ascii="Garamond" w:hAnsi="Garamond"/>
          <w:sz w:val="24"/>
          <w:szCs w:val="24"/>
        </w:rPr>
        <w:t xml:space="preserve"> </w:t>
      </w:r>
      <w:r w:rsidR="002E4A14" w:rsidRPr="00460B5C">
        <w:rPr>
          <w:rFonts w:ascii="Garamond" w:hAnsi="Garamond"/>
          <w:sz w:val="24"/>
          <w:szCs w:val="24"/>
        </w:rPr>
        <w:t>il</w:t>
      </w:r>
      <w:r w:rsidR="0095659A" w:rsidRPr="00460B5C">
        <w:rPr>
          <w:rFonts w:ascii="Garamond" w:hAnsi="Garamond"/>
          <w:sz w:val="24"/>
          <w:szCs w:val="24"/>
        </w:rPr>
        <w:t xml:space="preserve"> possesso </w:t>
      </w:r>
      <w:r w:rsidRPr="00460B5C">
        <w:rPr>
          <w:rFonts w:ascii="Garamond" w:hAnsi="Garamond"/>
          <w:sz w:val="24"/>
          <w:szCs w:val="24"/>
        </w:rPr>
        <w:t>e la messa a disposizione i</w:t>
      </w:r>
      <w:r w:rsidR="002E4A14" w:rsidRPr="00460B5C">
        <w:rPr>
          <w:rFonts w:ascii="Garamond" w:hAnsi="Garamond"/>
          <w:sz w:val="24"/>
          <w:szCs w:val="24"/>
        </w:rPr>
        <w:t xml:space="preserve">n capo al concorrente </w:t>
      </w:r>
      <w:r w:rsidR="0095659A" w:rsidRPr="00460B5C">
        <w:rPr>
          <w:rFonts w:ascii="Garamond" w:hAnsi="Garamond"/>
          <w:sz w:val="24"/>
          <w:szCs w:val="24"/>
        </w:rPr>
        <w:t xml:space="preserve">di un centro di cottura </w:t>
      </w:r>
      <w:r w:rsidR="002E4A14" w:rsidRPr="00460B5C">
        <w:rPr>
          <w:rFonts w:ascii="Garamond" w:hAnsi="Garamond"/>
          <w:sz w:val="24"/>
          <w:szCs w:val="24"/>
        </w:rPr>
        <w:t xml:space="preserve">debba qualificarsi </w:t>
      </w:r>
      <w:r w:rsidR="0095659A" w:rsidRPr="00460B5C">
        <w:rPr>
          <w:rFonts w:ascii="Garamond" w:hAnsi="Garamond"/>
          <w:sz w:val="24"/>
          <w:szCs w:val="24"/>
        </w:rPr>
        <w:t xml:space="preserve">quale </w:t>
      </w:r>
      <w:r w:rsidRPr="00460B5C">
        <w:rPr>
          <w:rFonts w:ascii="Garamond" w:hAnsi="Garamond"/>
          <w:sz w:val="24"/>
          <w:szCs w:val="24"/>
        </w:rPr>
        <w:t xml:space="preserve">subappalto ovvero avvalimento e, dunque, quale </w:t>
      </w:r>
      <w:r w:rsidR="0095659A" w:rsidRPr="00460B5C">
        <w:rPr>
          <w:rFonts w:ascii="Garamond" w:hAnsi="Garamond"/>
          <w:sz w:val="24"/>
          <w:szCs w:val="24"/>
        </w:rPr>
        <w:t xml:space="preserve">requisito di esecuzione dell’appalto </w:t>
      </w:r>
      <w:r w:rsidR="002E4A14" w:rsidRPr="00460B5C">
        <w:rPr>
          <w:rFonts w:ascii="Garamond" w:hAnsi="Garamond"/>
          <w:sz w:val="24"/>
          <w:szCs w:val="24"/>
        </w:rPr>
        <w:t>ovvero</w:t>
      </w:r>
      <w:r w:rsidR="0095659A" w:rsidRPr="00460B5C">
        <w:rPr>
          <w:rFonts w:ascii="Garamond" w:hAnsi="Garamond"/>
          <w:sz w:val="24"/>
          <w:szCs w:val="24"/>
        </w:rPr>
        <w:t xml:space="preserve"> di partecipazione alla gara</w:t>
      </w:r>
      <w:r w:rsidR="00FC1C06" w:rsidRPr="00460B5C">
        <w:rPr>
          <w:rFonts w:ascii="Garamond" w:hAnsi="Garamond"/>
          <w:sz w:val="24"/>
          <w:szCs w:val="24"/>
        </w:rPr>
        <w:t xml:space="preserve">. </w:t>
      </w:r>
    </w:p>
    <w:p w14:paraId="48A4D9F6" w14:textId="41AB06F0" w:rsidR="00FD3284" w:rsidRPr="00460B5C" w:rsidRDefault="002E4A14" w:rsidP="006D67E0">
      <w:pPr>
        <w:pStyle w:val="TESTOCOMM"/>
        <w:spacing w:line="276" w:lineRule="auto"/>
        <w:rPr>
          <w:rFonts w:ascii="Garamond" w:hAnsi="Garamond"/>
          <w:sz w:val="24"/>
          <w:szCs w:val="24"/>
        </w:rPr>
      </w:pPr>
      <w:r w:rsidRPr="00460B5C">
        <w:rPr>
          <w:rFonts w:ascii="Garamond" w:hAnsi="Garamond"/>
          <w:sz w:val="24"/>
          <w:szCs w:val="24"/>
        </w:rPr>
        <w:lastRenderedPageBreak/>
        <w:t>Secondo la sentenza del</w:t>
      </w:r>
      <w:r w:rsidR="0095659A" w:rsidRPr="00460B5C">
        <w:rPr>
          <w:rFonts w:ascii="Garamond" w:hAnsi="Garamond"/>
          <w:sz w:val="24"/>
          <w:szCs w:val="24"/>
        </w:rPr>
        <w:t xml:space="preserve"> TAR Lazio n. </w:t>
      </w:r>
      <w:r w:rsidR="00E6145F" w:rsidRPr="00460B5C">
        <w:rPr>
          <w:rFonts w:ascii="Garamond" w:hAnsi="Garamond"/>
          <w:sz w:val="24"/>
          <w:szCs w:val="24"/>
        </w:rPr>
        <w:t xml:space="preserve">2120/2017, la messa a disposizione </w:t>
      </w:r>
      <w:r w:rsidRPr="00460B5C">
        <w:rPr>
          <w:rFonts w:ascii="Garamond" w:hAnsi="Garamond"/>
          <w:sz w:val="24"/>
          <w:szCs w:val="24"/>
        </w:rPr>
        <w:t>del</w:t>
      </w:r>
      <w:r w:rsidR="00E6145F" w:rsidRPr="00460B5C">
        <w:rPr>
          <w:rFonts w:ascii="Garamond" w:hAnsi="Garamond"/>
          <w:sz w:val="24"/>
          <w:szCs w:val="24"/>
        </w:rPr>
        <w:t xml:space="preserve"> centro di cottura </w:t>
      </w:r>
      <w:r w:rsidRPr="00460B5C">
        <w:rPr>
          <w:rFonts w:ascii="Garamond" w:hAnsi="Garamond"/>
          <w:sz w:val="24"/>
          <w:szCs w:val="24"/>
        </w:rPr>
        <w:t>costituirebbe</w:t>
      </w:r>
      <w:r w:rsidR="009A14FA" w:rsidRPr="00460B5C">
        <w:rPr>
          <w:rFonts w:ascii="Garamond" w:hAnsi="Garamond"/>
          <w:sz w:val="24"/>
          <w:szCs w:val="24"/>
        </w:rPr>
        <w:t xml:space="preserve"> </w:t>
      </w:r>
      <w:r w:rsidR="00E6145F" w:rsidRPr="00460B5C">
        <w:rPr>
          <w:rFonts w:ascii="Garamond" w:hAnsi="Garamond"/>
          <w:sz w:val="24"/>
          <w:szCs w:val="24"/>
        </w:rPr>
        <w:t xml:space="preserve">oggetto di avvalimento, </w:t>
      </w:r>
      <w:r w:rsidR="008475A5" w:rsidRPr="00460B5C">
        <w:rPr>
          <w:rFonts w:ascii="Garamond" w:hAnsi="Garamond"/>
          <w:sz w:val="24"/>
          <w:szCs w:val="24"/>
        </w:rPr>
        <w:t>ciò a dispetto della circostanza che, a ben vedere, nella fattispecie esaminata non sembra esservi alcun</w:t>
      </w:r>
      <w:r w:rsidR="002D11BE">
        <w:rPr>
          <w:rFonts w:ascii="Garamond" w:hAnsi="Garamond"/>
          <w:sz w:val="24"/>
          <w:szCs w:val="24"/>
        </w:rPr>
        <w:t xml:space="preserve"> diretto</w:t>
      </w:r>
      <w:r w:rsidR="008475A5" w:rsidRPr="00460B5C">
        <w:rPr>
          <w:rFonts w:ascii="Garamond" w:hAnsi="Garamond"/>
          <w:sz w:val="24"/>
          <w:szCs w:val="24"/>
        </w:rPr>
        <w:t xml:space="preserve"> </w:t>
      </w:r>
      <w:r w:rsidR="00E6145F" w:rsidRPr="00460B5C">
        <w:rPr>
          <w:rFonts w:ascii="Garamond" w:hAnsi="Garamond"/>
          <w:sz w:val="24"/>
          <w:szCs w:val="24"/>
        </w:rPr>
        <w:t>utilizzo del</w:t>
      </w:r>
      <w:r w:rsidR="008475A5" w:rsidRPr="00460B5C">
        <w:rPr>
          <w:rFonts w:ascii="Garamond" w:hAnsi="Garamond"/>
          <w:sz w:val="24"/>
          <w:szCs w:val="24"/>
        </w:rPr>
        <w:t xml:space="preserve"> centro medesimo </w:t>
      </w:r>
      <w:r w:rsidR="00E6145F" w:rsidRPr="00460B5C">
        <w:rPr>
          <w:rFonts w:ascii="Garamond" w:hAnsi="Garamond"/>
          <w:sz w:val="24"/>
          <w:szCs w:val="24"/>
        </w:rPr>
        <w:t>da parte dell’impresa ausiliata</w:t>
      </w:r>
      <w:r w:rsidR="00DD4D07" w:rsidRPr="00460B5C">
        <w:rPr>
          <w:rStyle w:val="Rimandonotaapidipagina"/>
          <w:rFonts w:ascii="Garamond" w:hAnsi="Garamond"/>
          <w:sz w:val="24"/>
          <w:szCs w:val="24"/>
        </w:rPr>
        <w:footnoteReference w:id="59"/>
      </w:r>
      <w:r w:rsidR="00E6145F" w:rsidRPr="00460B5C">
        <w:rPr>
          <w:rFonts w:ascii="Garamond" w:hAnsi="Garamond"/>
          <w:sz w:val="24"/>
          <w:szCs w:val="24"/>
        </w:rPr>
        <w:t xml:space="preserve">. </w:t>
      </w:r>
      <w:r w:rsidR="008475A5" w:rsidRPr="00460B5C">
        <w:rPr>
          <w:rFonts w:ascii="Garamond" w:hAnsi="Garamond"/>
          <w:sz w:val="24"/>
          <w:szCs w:val="24"/>
        </w:rPr>
        <w:t>Il centro cottura</w:t>
      </w:r>
      <w:r w:rsidR="00D35829" w:rsidRPr="00460B5C">
        <w:rPr>
          <w:rFonts w:ascii="Garamond" w:hAnsi="Garamond"/>
          <w:sz w:val="24"/>
          <w:szCs w:val="24"/>
        </w:rPr>
        <w:t>,</w:t>
      </w:r>
      <w:r w:rsidR="009A14FA" w:rsidRPr="00460B5C">
        <w:rPr>
          <w:rFonts w:ascii="Garamond" w:hAnsi="Garamond"/>
          <w:sz w:val="24"/>
          <w:szCs w:val="24"/>
        </w:rPr>
        <w:t xml:space="preserve"> infatti</w:t>
      </w:r>
      <w:r w:rsidR="00D35829" w:rsidRPr="00460B5C">
        <w:rPr>
          <w:rFonts w:ascii="Garamond" w:hAnsi="Garamond"/>
          <w:sz w:val="24"/>
          <w:szCs w:val="24"/>
        </w:rPr>
        <w:t>,</w:t>
      </w:r>
      <w:r w:rsidR="009A14FA" w:rsidRPr="00460B5C">
        <w:rPr>
          <w:rFonts w:ascii="Garamond" w:hAnsi="Garamond"/>
          <w:sz w:val="24"/>
          <w:szCs w:val="24"/>
        </w:rPr>
        <w:t xml:space="preserve"> </w:t>
      </w:r>
      <w:r w:rsidR="008475A5" w:rsidRPr="00460B5C">
        <w:rPr>
          <w:rFonts w:ascii="Garamond" w:hAnsi="Garamond"/>
          <w:sz w:val="24"/>
          <w:szCs w:val="24"/>
        </w:rPr>
        <w:t xml:space="preserve">rimarrebbe </w:t>
      </w:r>
      <w:r w:rsidR="009A14FA" w:rsidRPr="00460B5C">
        <w:rPr>
          <w:rFonts w:ascii="Garamond" w:hAnsi="Garamond"/>
          <w:sz w:val="24"/>
          <w:szCs w:val="24"/>
        </w:rPr>
        <w:t xml:space="preserve">in uso esclusivo della ditta ausiliaria, in quanto </w:t>
      </w:r>
      <w:r w:rsidR="008475A5" w:rsidRPr="00460B5C">
        <w:rPr>
          <w:rFonts w:ascii="Garamond" w:hAnsi="Garamond"/>
          <w:sz w:val="24"/>
          <w:szCs w:val="24"/>
        </w:rPr>
        <w:t xml:space="preserve">unica </w:t>
      </w:r>
      <w:r w:rsidR="009A14FA" w:rsidRPr="00460B5C">
        <w:rPr>
          <w:rFonts w:ascii="Garamond" w:hAnsi="Garamond"/>
          <w:sz w:val="24"/>
          <w:szCs w:val="24"/>
        </w:rPr>
        <w:t>titolare della relativa autorizzazione sanitaria</w:t>
      </w:r>
      <w:r w:rsidR="008475A5" w:rsidRPr="00460B5C">
        <w:rPr>
          <w:rFonts w:ascii="Garamond" w:hAnsi="Garamond"/>
          <w:sz w:val="24"/>
          <w:szCs w:val="24"/>
        </w:rPr>
        <w:t>.</w:t>
      </w:r>
      <w:r w:rsidR="009A14FA" w:rsidRPr="00460B5C">
        <w:rPr>
          <w:rFonts w:ascii="Garamond" w:hAnsi="Garamond"/>
          <w:sz w:val="24"/>
          <w:szCs w:val="24"/>
        </w:rPr>
        <w:t xml:space="preserve"> </w:t>
      </w:r>
    </w:p>
    <w:p w14:paraId="7B29B534" w14:textId="36F51EA0" w:rsidR="008475A5" w:rsidRPr="00460B5C" w:rsidRDefault="008475A5" w:rsidP="006D67E0">
      <w:pPr>
        <w:pStyle w:val="TESTOCOMM"/>
        <w:spacing w:line="276" w:lineRule="auto"/>
        <w:rPr>
          <w:rFonts w:ascii="Garamond" w:hAnsi="Garamond"/>
          <w:sz w:val="24"/>
          <w:szCs w:val="24"/>
        </w:rPr>
      </w:pPr>
      <w:r w:rsidRPr="00460B5C">
        <w:rPr>
          <w:rFonts w:ascii="Garamond" w:hAnsi="Garamond"/>
          <w:sz w:val="24"/>
          <w:szCs w:val="24"/>
        </w:rPr>
        <w:t>Orbene, è proprio l’autonomia organizzativa dell’impresa ausiliaria ad insinuare il dubbio della qualificazione della fattispecie in esame come subappalto e non come avvalimento, dal ché sembrerebbe conseguirne la necessità di un’ulteriore indagine dei contenuti del contratto: quella relativa all’assunzione dei rischi gestionali, nel subappalto gravanti sul subappaltatore, nell’avvalimento</w:t>
      </w:r>
      <w:r w:rsidR="00327C34">
        <w:rPr>
          <w:rFonts w:ascii="Garamond" w:hAnsi="Garamond"/>
          <w:sz w:val="24"/>
          <w:szCs w:val="24"/>
        </w:rPr>
        <w:t xml:space="preserve"> attribuiti</w:t>
      </w:r>
      <w:r w:rsidRPr="00460B5C">
        <w:rPr>
          <w:rFonts w:ascii="Garamond" w:hAnsi="Garamond"/>
          <w:sz w:val="24"/>
          <w:szCs w:val="24"/>
        </w:rPr>
        <w:t xml:space="preserve"> </w:t>
      </w:r>
      <w:r w:rsidR="00327C34">
        <w:rPr>
          <w:rFonts w:ascii="Garamond" w:hAnsi="Garamond"/>
          <w:sz w:val="24"/>
          <w:szCs w:val="24"/>
        </w:rPr>
        <w:t>a</w:t>
      </w:r>
      <w:r w:rsidRPr="00460B5C">
        <w:rPr>
          <w:rFonts w:ascii="Garamond" w:hAnsi="Garamond"/>
          <w:sz w:val="24"/>
          <w:szCs w:val="24"/>
        </w:rPr>
        <w:t>ll’impresa concorrente</w:t>
      </w:r>
      <w:r w:rsidR="00F1389A" w:rsidRPr="00460B5C">
        <w:rPr>
          <w:rFonts w:ascii="Garamond" w:hAnsi="Garamond"/>
          <w:sz w:val="24"/>
          <w:szCs w:val="24"/>
        </w:rPr>
        <w:t xml:space="preserve"> ausiliata</w:t>
      </w:r>
      <w:r w:rsidRPr="00460B5C">
        <w:rPr>
          <w:rFonts w:ascii="Garamond" w:hAnsi="Garamond"/>
          <w:sz w:val="24"/>
          <w:szCs w:val="24"/>
        </w:rPr>
        <w:t>.</w:t>
      </w:r>
    </w:p>
    <w:p w14:paraId="6080CCE9" w14:textId="627FE528" w:rsidR="002D1DFB" w:rsidRPr="00460B5C" w:rsidRDefault="00BB4DA3" w:rsidP="006D67E0">
      <w:pPr>
        <w:pStyle w:val="TESTOCOMM"/>
        <w:spacing w:line="276" w:lineRule="auto"/>
        <w:rPr>
          <w:rFonts w:ascii="Garamond" w:hAnsi="Garamond"/>
          <w:sz w:val="24"/>
          <w:szCs w:val="24"/>
        </w:rPr>
      </w:pPr>
      <w:r>
        <w:rPr>
          <w:rFonts w:ascii="Garamond" w:hAnsi="Garamond"/>
          <w:sz w:val="24"/>
          <w:szCs w:val="24"/>
        </w:rPr>
        <w:t>Per l’inquadramento come avvalimento si è espresso anche</w:t>
      </w:r>
      <w:r w:rsidR="001716A6" w:rsidRPr="00460B5C">
        <w:rPr>
          <w:rFonts w:ascii="Garamond" w:hAnsi="Garamond"/>
          <w:sz w:val="24"/>
          <w:szCs w:val="24"/>
        </w:rPr>
        <w:t xml:space="preserve"> il TAR Brescia con la sentenza n. 1364/2017</w:t>
      </w:r>
      <w:r w:rsidR="001716A6" w:rsidRPr="00460B5C">
        <w:rPr>
          <w:rStyle w:val="Rimandonotaapidipagina"/>
          <w:rFonts w:ascii="Garamond" w:hAnsi="Garamond"/>
          <w:sz w:val="24"/>
          <w:szCs w:val="24"/>
        </w:rPr>
        <w:footnoteReference w:id="60"/>
      </w:r>
      <w:r w:rsidR="00FD3284" w:rsidRPr="00460B5C">
        <w:rPr>
          <w:rFonts w:ascii="Garamond" w:hAnsi="Garamond"/>
          <w:sz w:val="24"/>
          <w:szCs w:val="24"/>
        </w:rPr>
        <w:t>, riformata poi</w:t>
      </w:r>
      <w:r w:rsidR="001716A6" w:rsidRPr="00460B5C">
        <w:rPr>
          <w:rFonts w:ascii="Garamond" w:hAnsi="Garamond"/>
          <w:sz w:val="24"/>
          <w:szCs w:val="24"/>
        </w:rPr>
        <w:t xml:space="preserve"> con la pronuncia del Consiglio di Stato n. 5047 del 24.8.2018</w:t>
      </w:r>
      <w:r w:rsidR="00FD3284" w:rsidRPr="00460B5C">
        <w:rPr>
          <w:rFonts w:ascii="Garamond" w:hAnsi="Garamond"/>
          <w:sz w:val="24"/>
          <w:szCs w:val="24"/>
        </w:rPr>
        <w:t xml:space="preserve">. </w:t>
      </w:r>
      <w:r>
        <w:rPr>
          <w:rFonts w:ascii="Garamond" w:hAnsi="Garamond"/>
          <w:sz w:val="24"/>
          <w:szCs w:val="24"/>
        </w:rPr>
        <w:t>Nella fattispecie</w:t>
      </w:r>
      <w:r w:rsidR="00FD3284" w:rsidRPr="00460B5C">
        <w:rPr>
          <w:rFonts w:ascii="Garamond" w:hAnsi="Garamond"/>
          <w:sz w:val="24"/>
          <w:szCs w:val="24"/>
        </w:rPr>
        <w:t xml:space="preserve"> </w:t>
      </w:r>
      <w:r>
        <w:rPr>
          <w:rFonts w:ascii="Garamond" w:hAnsi="Garamond"/>
          <w:sz w:val="24"/>
          <w:szCs w:val="24"/>
        </w:rPr>
        <w:t>esaminata,</w:t>
      </w:r>
      <w:r w:rsidR="00AE3388" w:rsidRPr="00460B5C">
        <w:rPr>
          <w:rFonts w:ascii="Garamond" w:hAnsi="Garamond"/>
          <w:sz w:val="24"/>
          <w:szCs w:val="24"/>
        </w:rPr>
        <w:t xml:space="preserve"> la disponibilità del centro di cottura era valutata dalla </w:t>
      </w:r>
      <w:r w:rsidR="00AE3388" w:rsidRPr="00460B5C">
        <w:rPr>
          <w:rFonts w:ascii="Garamond" w:hAnsi="Garamond"/>
          <w:i/>
          <w:sz w:val="24"/>
          <w:szCs w:val="24"/>
        </w:rPr>
        <w:t>lex specialis</w:t>
      </w:r>
      <w:r w:rsidR="00D35829" w:rsidRPr="00460B5C">
        <w:rPr>
          <w:rFonts w:ascii="Garamond" w:hAnsi="Garamond"/>
          <w:sz w:val="24"/>
          <w:szCs w:val="24"/>
        </w:rPr>
        <w:t xml:space="preserve"> </w:t>
      </w:r>
      <w:r w:rsidR="00FD3284" w:rsidRPr="00460B5C">
        <w:rPr>
          <w:rFonts w:ascii="Garamond" w:hAnsi="Garamond"/>
          <w:sz w:val="24"/>
          <w:szCs w:val="24"/>
        </w:rPr>
        <w:t xml:space="preserve">non </w:t>
      </w:r>
      <w:r w:rsidR="00D35829" w:rsidRPr="00460B5C">
        <w:rPr>
          <w:rFonts w:ascii="Garamond" w:hAnsi="Garamond"/>
          <w:sz w:val="24"/>
          <w:szCs w:val="24"/>
        </w:rPr>
        <w:t>quale re</w:t>
      </w:r>
      <w:r w:rsidR="00F71FEB" w:rsidRPr="00460B5C">
        <w:rPr>
          <w:rFonts w:ascii="Garamond" w:hAnsi="Garamond"/>
          <w:sz w:val="24"/>
          <w:szCs w:val="24"/>
        </w:rPr>
        <w:t xml:space="preserve">quisito di ammissione alla gara, </w:t>
      </w:r>
      <w:r w:rsidR="00D35829" w:rsidRPr="00460B5C">
        <w:rPr>
          <w:rFonts w:ascii="Garamond" w:hAnsi="Garamond"/>
          <w:sz w:val="24"/>
          <w:szCs w:val="24"/>
        </w:rPr>
        <w:t xml:space="preserve">bensì ai fini dell’esecuzione, quale componente dell’offerta </w:t>
      </w:r>
      <w:r w:rsidR="00451D84">
        <w:rPr>
          <w:rFonts w:ascii="Garamond" w:hAnsi="Garamond"/>
          <w:sz w:val="24"/>
          <w:szCs w:val="24"/>
        </w:rPr>
        <w:t>tecnica</w:t>
      </w:r>
      <w:r w:rsidR="00D35829" w:rsidRPr="00460B5C">
        <w:rPr>
          <w:rFonts w:ascii="Garamond" w:hAnsi="Garamond"/>
          <w:sz w:val="24"/>
          <w:szCs w:val="24"/>
        </w:rPr>
        <w:t xml:space="preserve"> </w:t>
      </w:r>
      <w:r w:rsidR="001F0FE0">
        <w:rPr>
          <w:rFonts w:ascii="Garamond" w:hAnsi="Garamond"/>
          <w:sz w:val="24"/>
          <w:szCs w:val="24"/>
        </w:rPr>
        <w:t>a cui era quindi attribuito un determinato punteggio.</w:t>
      </w:r>
      <w:r w:rsidR="00D35829" w:rsidRPr="00460B5C">
        <w:rPr>
          <w:rFonts w:ascii="Garamond" w:hAnsi="Garamond"/>
          <w:sz w:val="24"/>
          <w:szCs w:val="24"/>
        </w:rPr>
        <w:t xml:space="preserve"> Dunque, anche</w:t>
      </w:r>
      <w:r w:rsidR="00FD3284" w:rsidRPr="00460B5C">
        <w:rPr>
          <w:rFonts w:ascii="Garamond" w:hAnsi="Garamond"/>
          <w:sz w:val="24"/>
          <w:szCs w:val="24"/>
        </w:rPr>
        <w:t xml:space="preserve"> sotto questo profilo, </w:t>
      </w:r>
      <w:r w:rsidR="00613EB4" w:rsidRPr="00460B5C">
        <w:rPr>
          <w:rFonts w:ascii="Garamond" w:hAnsi="Garamond"/>
          <w:sz w:val="24"/>
          <w:szCs w:val="24"/>
        </w:rPr>
        <w:t xml:space="preserve">pare </w:t>
      </w:r>
      <w:r w:rsidR="00FD3284" w:rsidRPr="00460B5C">
        <w:rPr>
          <w:rFonts w:ascii="Garamond" w:hAnsi="Garamond"/>
          <w:sz w:val="24"/>
          <w:szCs w:val="24"/>
        </w:rPr>
        <w:t>emerge</w:t>
      </w:r>
      <w:r w:rsidR="00613EB4" w:rsidRPr="00460B5C">
        <w:rPr>
          <w:rFonts w:ascii="Garamond" w:hAnsi="Garamond"/>
          <w:sz w:val="24"/>
          <w:szCs w:val="24"/>
        </w:rPr>
        <w:t xml:space="preserve">re una </w:t>
      </w:r>
      <w:r w:rsidR="00D35829" w:rsidRPr="00460B5C">
        <w:rPr>
          <w:rFonts w:ascii="Garamond" w:hAnsi="Garamond"/>
          <w:sz w:val="24"/>
          <w:szCs w:val="24"/>
        </w:rPr>
        <w:t>incongruenza d</w:t>
      </w:r>
      <w:r w:rsidR="00613EB4" w:rsidRPr="00460B5C">
        <w:rPr>
          <w:rFonts w:ascii="Garamond" w:hAnsi="Garamond"/>
          <w:sz w:val="24"/>
          <w:szCs w:val="24"/>
        </w:rPr>
        <w:t>i</w:t>
      </w:r>
      <w:r w:rsidR="00D35829" w:rsidRPr="00460B5C">
        <w:rPr>
          <w:rFonts w:ascii="Garamond" w:hAnsi="Garamond"/>
          <w:sz w:val="24"/>
          <w:szCs w:val="24"/>
        </w:rPr>
        <w:t xml:space="preserve"> ragionamento: se si fa riferimento ad un requisito di esecuzione, l’istituto da utilizzare</w:t>
      </w:r>
      <w:r w:rsidR="00A77DCF" w:rsidRPr="00460B5C">
        <w:rPr>
          <w:rFonts w:ascii="Garamond" w:hAnsi="Garamond"/>
          <w:sz w:val="24"/>
          <w:szCs w:val="24"/>
        </w:rPr>
        <w:t xml:space="preserve"> dovrebbe essere </w:t>
      </w:r>
      <w:r w:rsidR="00D35829" w:rsidRPr="00460B5C">
        <w:rPr>
          <w:rFonts w:ascii="Garamond" w:hAnsi="Garamond"/>
          <w:sz w:val="24"/>
          <w:szCs w:val="24"/>
        </w:rPr>
        <w:t>quello del subappalto, atteso che l’avvalimento non può mai essere utilizzato per fare punteggio in sede di offerta, ma solo per integrare i requisiti di qualificazione</w:t>
      </w:r>
      <w:r w:rsidR="00DD4D07" w:rsidRPr="00460B5C">
        <w:rPr>
          <w:rStyle w:val="Rimandonotaapidipagina"/>
          <w:rFonts w:ascii="Garamond" w:hAnsi="Garamond"/>
          <w:sz w:val="24"/>
          <w:szCs w:val="24"/>
        </w:rPr>
        <w:footnoteReference w:id="61"/>
      </w:r>
      <w:r w:rsidR="00D35829" w:rsidRPr="00460B5C">
        <w:rPr>
          <w:rFonts w:ascii="Garamond" w:hAnsi="Garamond"/>
          <w:sz w:val="24"/>
          <w:szCs w:val="24"/>
        </w:rPr>
        <w:t>.</w:t>
      </w:r>
    </w:p>
    <w:p w14:paraId="454404D0" w14:textId="6A74A63B" w:rsidR="003A50A6" w:rsidRPr="00460B5C" w:rsidRDefault="003A50A6" w:rsidP="003A50A6">
      <w:pPr>
        <w:pStyle w:val="TESTOCOMM"/>
        <w:spacing w:line="276" w:lineRule="auto"/>
        <w:rPr>
          <w:rFonts w:ascii="Garamond" w:hAnsi="Garamond"/>
          <w:sz w:val="24"/>
          <w:szCs w:val="24"/>
          <w:lang w:eastAsia="en-US"/>
        </w:rPr>
      </w:pPr>
      <w:r w:rsidRPr="00460B5C">
        <w:rPr>
          <w:rFonts w:ascii="Garamond" w:hAnsi="Garamond"/>
          <w:sz w:val="24"/>
          <w:szCs w:val="24"/>
          <w:lang w:eastAsia="en-US"/>
        </w:rPr>
        <w:t>Il già labile confine tra i due istituti si assottiglia ancora di più quando si considera l</w:t>
      </w:r>
      <w:r w:rsidR="00A77DCF" w:rsidRPr="00460B5C">
        <w:rPr>
          <w:rFonts w:ascii="Garamond" w:hAnsi="Garamond"/>
          <w:sz w:val="24"/>
          <w:szCs w:val="24"/>
          <w:lang w:eastAsia="en-US"/>
        </w:rPr>
        <w:t>’</w:t>
      </w:r>
      <w:r w:rsidRPr="00460B5C">
        <w:rPr>
          <w:rFonts w:ascii="Garamond" w:hAnsi="Garamond"/>
          <w:sz w:val="24"/>
          <w:szCs w:val="24"/>
          <w:lang w:eastAsia="en-US"/>
        </w:rPr>
        <w:t>ip</w:t>
      </w:r>
      <w:r w:rsidR="00A77DCF" w:rsidRPr="00460B5C">
        <w:rPr>
          <w:rFonts w:ascii="Garamond" w:hAnsi="Garamond"/>
          <w:sz w:val="24"/>
          <w:szCs w:val="24"/>
          <w:lang w:eastAsia="en-US"/>
        </w:rPr>
        <w:t>otesi prevista</w:t>
      </w:r>
      <w:r w:rsidRPr="00460B5C">
        <w:rPr>
          <w:rFonts w:ascii="Garamond" w:hAnsi="Garamond"/>
          <w:sz w:val="24"/>
          <w:szCs w:val="24"/>
          <w:lang w:eastAsia="en-US"/>
        </w:rPr>
        <w:t xml:space="preserve"> dal comma 8 dell’art. 89 di subappalto nel contesto dell’avvalimento. Come già detto, secondo l’</w:t>
      </w:r>
      <w:r w:rsidR="00A77DCF" w:rsidRPr="00460B5C">
        <w:rPr>
          <w:rFonts w:ascii="Garamond" w:hAnsi="Garamond"/>
          <w:sz w:val="24"/>
          <w:szCs w:val="24"/>
          <w:lang w:eastAsia="en-US"/>
        </w:rPr>
        <w:t>orientamento de</w:t>
      </w:r>
      <w:r w:rsidRPr="00460B5C">
        <w:rPr>
          <w:rFonts w:ascii="Garamond" w:hAnsi="Garamond"/>
          <w:sz w:val="24"/>
          <w:szCs w:val="24"/>
          <w:lang w:eastAsia="en-US"/>
        </w:rPr>
        <w:t>l</w:t>
      </w:r>
      <w:r w:rsidR="00C52FDB">
        <w:rPr>
          <w:rFonts w:ascii="Garamond" w:hAnsi="Garamond"/>
          <w:sz w:val="24"/>
          <w:szCs w:val="24"/>
          <w:lang w:eastAsia="en-US"/>
        </w:rPr>
        <w:t>la giurisprudenza più datata nonché del</w:t>
      </w:r>
      <w:r w:rsidRPr="00460B5C">
        <w:rPr>
          <w:rFonts w:ascii="Garamond" w:hAnsi="Garamond"/>
          <w:sz w:val="24"/>
          <w:szCs w:val="24"/>
          <w:lang w:eastAsia="en-US"/>
        </w:rPr>
        <w:t xml:space="preserve"> </w:t>
      </w:r>
      <w:r w:rsidR="008633D4" w:rsidRPr="00460B5C">
        <w:rPr>
          <w:rFonts w:ascii="Garamond" w:hAnsi="Garamond"/>
          <w:sz w:val="24"/>
          <w:szCs w:val="24"/>
          <w:lang w:eastAsia="en-US"/>
        </w:rPr>
        <w:t>Ministero delle Infrastrutture e dei Trasporti</w:t>
      </w:r>
      <w:r w:rsidRPr="00460B5C">
        <w:rPr>
          <w:rFonts w:ascii="Garamond" w:hAnsi="Garamond"/>
          <w:sz w:val="24"/>
          <w:szCs w:val="24"/>
          <w:lang w:eastAsia="en-US"/>
        </w:rPr>
        <w:t xml:space="preserve"> e d</w:t>
      </w:r>
      <w:r w:rsidR="00A77DCF" w:rsidRPr="00460B5C">
        <w:rPr>
          <w:rFonts w:ascii="Garamond" w:hAnsi="Garamond"/>
          <w:sz w:val="24"/>
          <w:szCs w:val="24"/>
          <w:lang w:eastAsia="en-US"/>
        </w:rPr>
        <w:t>e</w:t>
      </w:r>
      <w:r w:rsidRPr="00460B5C">
        <w:rPr>
          <w:rFonts w:ascii="Garamond" w:hAnsi="Garamond"/>
          <w:sz w:val="24"/>
          <w:szCs w:val="24"/>
          <w:lang w:eastAsia="en-US"/>
        </w:rPr>
        <w:t>ll’</w:t>
      </w:r>
      <w:r w:rsidR="00BB4DA3">
        <w:rPr>
          <w:rFonts w:ascii="Garamond" w:hAnsi="Garamond"/>
          <w:sz w:val="24"/>
          <w:szCs w:val="24"/>
          <w:lang w:eastAsia="en-US"/>
        </w:rPr>
        <w:t xml:space="preserve">ex </w:t>
      </w:r>
      <w:r w:rsidRPr="00460B5C">
        <w:rPr>
          <w:rFonts w:ascii="Garamond" w:hAnsi="Garamond"/>
          <w:sz w:val="24"/>
          <w:szCs w:val="24"/>
          <w:lang w:eastAsia="en-US"/>
        </w:rPr>
        <w:t>AVCP, ciò poteva avvenire solo “</w:t>
      </w:r>
      <w:r w:rsidRPr="00460B5C">
        <w:rPr>
          <w:rFonts w:ascii="Garamond" w:hAnsi="Garamond"/>
          <w:i/>
          <w:sz w:val="24"/>
          <w:szCs w:val="24"/>
          <w:lang w:eastAsia="en-US"/>
        </w:rPr>
        <w:t>nel limite dei requisiti prestati</w:t>
      </w:r>
      <w:r w:rsidRPr="00460B5C">
        <w:rPr>
          <w:rFonts w:ascii="Garamond" w:hAnsi="Garamond"/>
          <w:sz w:val="24"/>
          <w:szCs w:val="24"/>
          <w:lang w:eastAsia="en-US"/>
        </w:rPr>
        <w:t xml:space="preserve">” nonché nel rispetto dei limiti </w:t>
      </w:r>
      <w:r w:rsidR="006F6032" w:rsidRPr="00460B5C">
        <w:rPr>
          <w:rFonts w:ascii="Garamond" w:hAnsi="Garamond"/>
          <w:sz w:val="24"/>
          <w:szCs w:val="24"/>
          <w:lang w:eastAsia="en-US"/>
        </w:rPr>
        <w:t xml:space="preserve">della quota subappaltabile </w:t>
      </w:r>
      <w:r w:rsidRPr="00460B5C">
        <w:rPr>
          <w:rFonts w:ascii="Garamond" w:hAnsi="Garamond"/>
          <w:sz w:val="24"/>
          <w:szCs w:val="24"/>
          <w:lang w:eastAsia="en-US"/>
        </w:rPr>
        <w:t>previsti dall’art. 1</w:t>
      </w:r>
      <w:r w:rsidR="00A77DCF" w:rsidRPr="00460B5C">
        <w:rPr>
          <w:rFonts w:ascii="Garamond" w:hAnsi="Garamond"/>
          <w:sz w:val="24"/>
          <w:szCs w:val="24"/>
          <w:lang w:eastAsia="en-US"/>
        </w:rPr>
        <w:t>18</w:t>
      </w:r>
      <w:r w:rsidRPr="00460B5C">
        <w:rPr>
          <w:rFonts w:ascii="Garamond" w:hAnsi="Garamond"/>
          <w:sz w:val="24"/>
          <w:szCs w:val="24"/>
          <w:lang w:eastAsia="en-US"/>
        </w:rPr>
        <w:t xml:space="preserve"> del </w:t>
      </w:r>
      <w:r w:rsidR="00A77DCF" w:rsidRPr="00460B5C">
        <w:rPr>
          <w:rFonts w:ascii="Garamond" w:hAnsi="Garamond"/>
          <w:sz w:val="24"/>
          <w:szCs w:val="24"/>
          <w:lang w:eastAsia="en-US"/>
        </w:rPr>
        <w:t xml:space="preserve">previgente </w:t>
      </w:r>
      <w:r w:rsidRPr="00460B5C">
        <w:rPr>
          <w:rFonts w:ascii="Garamond" w:hAnsi="Garamond"/>
          <w:sz w:val="24"/>
          <w:szCs w:val="24"/>
          <w:lang w:eastAsia="en-US"/>
        </w:rPr>
        <w:t>Codice</w:t>
      </w:r>
      <w:r w:rsidR="00DD4D07" w:rsidRPr="00460B5C">
        <w:rPr>
          <w:rStyle w:val="Rimandonotaapidipagina"/>
          <w:rFonts w:ascii="Garamond" w:hAnsi="Garamond"/>
          <w:sz w:val="24"/>
          <w:szCs w:val="24"/>
          <w:lang w:eastAsia="en-US"/>
        </w:rPr>
        <w:footnoteReference w:id="62"/>
      </w:r>
      <w:r w:rsidRPr="00460B5C">
        <w:rPr>
          <w:rFonts w:ascii="Garamond" w:hAnsi="Garamond"/>
          <w:sz w:val="24"/>
          <w:szCs w:val="24"/>
          <w:lang w:eastAsia="en-US"/>
        </w:rPr>
        <w:t>.</w:t>
      </w:r>
    </w:p>
    <w:p w14:paraId="5812EE35" w14:textId="4E813D93" w:rsidR="00622675" w:rsidRPr="001A6E30" w:rsidRDefault="000A5078" w:rsidP="00581D08">
      <w:pPr>
        <w:pStyle w:val="TESTOCOMM"/>
        <w:spacing w:line="276" w:lineRule="auto"/>
        <w:rPr>
          <w:rFonts w:ascii="Garamond" w:hAnsi="Garamond"/>
          <w:sz w:val="24"/>
          <w:szCs w:val="24"/>
          <w:lang w:eastAsia="en-US"/>
        </w:rPr>
      </w:pPr>
      <w:r>
        <w:rPr>
          <w:rFonts w:ascii="Garamond" w:hAnsi="Garamond"/>
          <w:sz w:val="24"/>
          <w:szCs w:val="24"/>
          <w:lang w:eastAsia="en-US"/>
        </w:rPr>
        <w:t>Da questo orientamento appaiono discostarsi</w:t>
      </w:r>
      <w:r w:rsidR="00581D08" w:rsidRPr="00460B5C">
        <w:rPr>
          <w:rFonts w:ascii="Garamond" w:hAnsi="Garamond"/>
          <w:sz w:val="24"/>
          <w:szCs w:val="24"/>
          <w:lang w:eastAsia="en-US"/>
        </w:rPr>
        <w:t xml:space="preserve"> due sentenze del TAR Piemonte </w:t>
      </w:r>
      <w:r w:rsidR="003B6625" w:rsidRPr="00460B5C">
        <w:rPr>
          <w:rFonts w:ascii="Garamond" w:hAnsi="Garamond"/>
          <w:sz w:val="24"/>
          <w:szCs w:val="24"/>
          <w:lang w:eastAsia="en-US"/>
        </w:rPr>
        <w:t>confermate dal Consiglio di Stato</w:t>
      </w:r>
      <w:r w:rsidR="008633D4" w:rsidRPr="00460B5C">
        <w:rPr>
          <w:rStyle w:val="Rimandonotaapidipagina"/>
          <w:rFonts w:ascii="Garamond" w:hAnsi="Garamond"/>
          <w:sz w:val="24"/>
          <w:szCs w:val="24"/>
          <w:lang w:eastAsia="en-US"/>
        </w:rPr>
        <w:footnoteReference w:id="63"/>
      </w:r>
      <w:r w:rsidR="008633D4" w:rsidRPr="00460B5C">
        <w:rPr>
          <w:rFonts w:ascii="Garamond" w:hAnsi="Garamond"/>
          <w:sz w:val="24"/>
          <w:szCs w:val="24"/>
          <w:lang w:eastAsia="en-US"/>
        </w:rPr>
        <w:t xml:space="preserve">. Si consideri, tra queste, </w:t>
      </w:r>
      <w:r w:rsidR="00581D08" w:rsidRPr="00460B5C">
        <w:rPr>
          <w:rFonts w:ascii="Garamond" w:hAnsi="Garamond"/>
          <w:sz w:val="24"/>
          <w:szCs w:val="24"/>
          <w:lang w:eastAsia="en-US"/>
        </w:rPr>
        <w:t>la recentissima sentenza n. 389</w:t>
      </w:r>
      <w:r w:rsidR="008633D4" w:rsidRPr="00460B5C">
        <w:rPr>
          <w:rFonts w:ascii="Garamond" w:hAnsi="Garamond"/>
          <w:sz w:val="24"/>
          <w:szCs w:val="24"/>
          <w:lang w:eastAsia="en-US"/>
        </w:rPr>
        <w:t xml:space="preserve"> del 16.1.</w:t>
      </w:r>
      <w:r w:rsidR="00581D08" w:rsidRPr="00460B5C">
        <w:rPr>
          <w:rFonts w:ascii="Garamond" w:hAnsi="Garamond"/>
          <w:sz w:val="24"/>
          <w:szCs w:val="24"/>
          <w:lang w:eastAsia="en-US"/>
        </w:rPr>
        <w:t>2020 del Consiglio di Stato in cui</w:t>
      </w:r>
      <w:r w:rsidR="008633D4" w:rsidRPr="00460B5C">
        <w:rPr>
          <w:rFonts w:ascii="Garamond" w:hAnsi="Garamond"/>
          <w:sz w:val="24"/>
          <w:szCs w:val="24"/>
          <w:lang w:eastAsia="en-US"/>
        </w:rPr>
        <w:t xml:space="preserve"> </w:t>
      </w:r>
      <w:r w:rsidR="00581D08" w:rsidRPr="00460B5C">
        <w:rPr>
          <w:rFonts w:ascii="Garamond" w:hAnsi="Garamond"/>
          <w:sz w:val="24"/>
          <w:szCs w:val="24"/>
          <w:lang w:eastAsia="en-US"/>
        </w:rPr>
        <w:t>si esclude espressamente</w:t>
      </w:r>
      <w:r w:rsidR="00791B2F" w:rsidRPr="00460B5C">
        <w:rPr>
          <w:rFonts w:ascii="Garamond" w:hAnsi="Garamond"/>
          <w:sz w:val="24"/>
          <w:szCs w:val="24"/>
          <w:lang w:eastAsia="en-US"/>
        </w:rPr>
        <w:t>, nel contesto dell’art. 89, co. 8,</w:t>
      </w:r>
      <w:r w:rsidR="00581D08" w:rsidRPr="00460B5C">
        <w:rPr>
          <w:rFonts w:ascii="Garamond" w:hAnsi="Garamond"/>
          <w:sz w:val="24"/>
          <w:szCs w:val="24"/>
          <w:lang w:eastAsia="en-US"/>
        </w:rPr>
        <w:t xml:space="preserve"> la rilevanza del tetto massimo previsto per il subappalto</w:t>
      </w:r>
      <w:r w:rsidR="00BB4DA3">
        <w:rPr>
          <w:rFonts w:ascii="Garamond" w:hAnsi="Garamond"/>
          <w:sz w:val="24"/>
          <w:szCs w:val="24"/>
          <w:lang w:eastAsia="en-US"/>
        </w:rPr>
        <w:t xml:space="preserve">, </w:t>
      </w:r>
      <w:r w:rsidR="00581D08" w:rsidRPr="00460B5C">
        <w:rPr>
          <w:rFonts w:ascii="Garamond" w:hAnsi="Garamond"/>
          <w:sz w:val="24"/>
          <w:szCs w:val="24"/>
          <w:lang w:eastAsia="en-US"/>
        </w:rPr>
        <w:t xml:space="preserve">ritenuto, peraltro, incidentalmente superato alla luce dell’orientamento espresso dalla Corte di Giustizia. Il </w:t>
      </w:r>
      <w:r w:rsidR="00791B2F" w:rsidRPr="00460B5C">
        <w:rPr>
          <w:rFonts w:ascii="Garamond" w:hAnsi="Garamond"/>
          <w:sz w:val="24"/>
          <w:szCs w:val="24"/>
          <w:lang w:eastAsia="en-US"/>
        </w:rPr>
        <w:t xml:space="preserve">Consiglio di Stato ha motivato </w:t>
      </w:r>
      <w:r w:rsidR="00581D08" w:rsidRPr="00460B5C">
        <w:rPr>
          <w:rFonts w:ascii="Garamond" w:hAnsi="Garamond"/>
          <w:sz w:val="24"/>
          <w:szCs w:val="24"/>
          <w:lang w:eastAsia="en-US"/>
        </w:rPr>
        <w:t>la sua conclusione sulla base delle diversità che intercorrono tra i due istituti, con particolare riferimento al diverso regime di responsabilità dell’impresa ausilia</w:t>
      </w:r>
      <w:r w:rsidR="00BB1B4E" w:rsidRPr="00460B5C">
        <w:rPr>
          <w:rFonts w:ascii="Garamond" w:hAnsi="Garamond"/>
          <w:sz w:val="24"/>
          <w:szCs w:val="24"/>
          <w:lang w:eastAsia="en-US"/>
        </w:rPr>
        <w:t>ria</w:t>
      </w:r>
      <w:r w:rsidR="00581D08" w:rsidRPr="00460B5C">
        <w:rPr>
          <w:rFonts w:ascii="Garamond" w:hAnsi="Garamond"/>
          <w:sz w:val="24"/>
          <w:szCs w:val="24"/>
          <w:lang w:eastAsia="en-US"/>
        </w:rPr>
        <w:t xml:space="preserve"> rispetto a quella subappaltatrice, che non </w:t>
      </w:r>
      <w:r w:rsidR="00581D08" w:rsidRPr="005F2582">
        <w:rPr>
          <w:rFonts w:ascii="Garamond" w:hAnsi="Garamond"/>
          <w:sz w:val="24"/>
          <w:szCs w:val="24"/>
          <w:lang w:eastAsia="en-US"/>
        </w:rPr>
        <w:t>consentirebbero di equiparare il subappalto nel contesto dell’avvalimento al “</w:t>
      </w:r>
      <w:r w:rsidR="00581D08" w:rsidRPr="005F2582">
        <w:rPr>
          <w:rFonts w:ascii="Garamond" w:hAnsi="Garamond"/>
          <w:i/>
          <w:sz w:val="24"/>
          <w:szCs w:val="24"/>
          <w:lang w:eastAsia="en-US"/>
        </w:rPr>
        <w:t>subappalto vero e proprio</w:t>
      </w:r>
      <w:r w:rsidR="00581D08" w:rsidRPr="005F2582">
        <w:rPr>
          <w:rFonts w:ascii="Garamond" w:hAnsi="Garamond"/>
          <w:sz w:val="24"/>
          <w:szCs w:val="24"/>
          <w:lang w:eastAsia="en-US"/>
        </w:rPr>
        <w:t>”</w:t>
      </w:r>
      <w:r w:rsidR="00DD4D07" w:rsidRPr="005F2582">
        <w:rPr>
          <w:rStyle w:val="Rimandonotaapidipagina"/>
          <w:szCs w:val="24"/>
          <w:lang w:eastAsia="en-US"/>
        </w:rPr>
        <w:t xml:space="preserve"> </w:t>
      </w:r>
      <w:r w:rsidR="00DD4D07" w:rsidRPr="005F2582">
        <w:rPr>
          <w:rStyle w:val="Rimandonotaapidipagina"/>
          <w:szCs w:val="24"/>
          <w:lang w:eastAsia="en-US"/>
        </w:rPr>
        <w:footnoteReference w:id="64"/>
      </w:r>
      <w:r w:rsidR="00581D08" w:rsidRPr="005F2582">
        <w:rPr>
          <w:rFonts w:ascii="Garamond" w:hAnsi="Garamond"/>
          <w:sz w:val="24"/>
          <w:szCs w:val="24"/>
          <w:lang w:eastAsia="en-US"/>
        </w:rPr>
        <w:t xml:space="preserve">. Tuttavia, </w:t>
      </w:r>
      <w:r w:rsidR="006B3FB5" w:rsidRPr="005F2582">
        <w:rPr>
          <w:rFonts w:ascii="Garamond" w:hAnsi="Garamond"/>
          <w:sz w:val="24"/>
          <w:szCs w:val="24"/>
          <w:lang w:eastAsia="en-US"/>
        </w:rPr>
        <w:t>ciò</w:t>
      </w:r>
      <w:r w:rsidR="0016705D" w:rsidRPr="005F2582">
        <w:rPr>
          <w:rFonts w:ascii="Garamond" w:hAnsi="Garamond"/>
          <w:sz w:val="24"/>
          <w:szCs w:val="24"/>
          <w:lang w:eastAsia="en-US"/>
        </w:rPr>
        <w:t xml:space="preserve"> che </w:t>
      </w:r>
      <w:r w:rsidR="006B3FB5" w:rsidRPr="005F2582">
        <w:rPr>
          <w:rFonts w:ascii="Garamond" w:hAnsi="Garamond"/>
          <w:sz w:val="24"/>
          <w:szCs w:val="24"/>
          <w:lang w:eastAsia="en-US"/>
        </w:rPr>
        <w:t xml:space="preserve">ci si limita ad evidenziare è che </w:t>
      </w:r>
      <w:r w:rsidR="00581D08" w:rsidRPr="005F2582">
        <w:rPr>
          <w:rFonts w:ascii="Garamond" w:hAnsi="Garamond"/>
          <w:sz w:val="24"/>
          <w:szCs w:val="24"/>
          <w:lang w:eastAsia="en-US"/>
        </w:rPr>
        <w:t xml:space="preserve">tale statuizione </w:t>
      </w:r>
      <w:r w:rsidR="0016705D" w:rsidRPr="005F2582">
        <w:rPr>
          <w:rFonts w:ascii="Garamond" w:hAnsi="Garamond"/>
          <w:sz w:val="24"/>
          <w:szCs w:val="24"/>
          <w:lang w:eastAsia="en-US"/>
        </w:rPr>
        <w:t xml:space="preserve">non fa alcuna menzione di </w:t>
      </w:r>
      <w:r w:rsidR="00581D08" w:rsidRPr="005F2582">
        <w:rPr>
          <w:rFonts w:ascii="Garamond" w:hAnsi="Garamond"/>
          <w:sz w:val="24"/>
          <w:szCs w:val="24"/>
          <w:lang w:eastAsia="en-US"/>
        </w:rPr>
        <w:t>quanto</w:t>
      </w:r>
      <w:r w:rsidR="00B037E6" w:rsidRPr="005F2582">
        <w:rPr>
          <w:rFonts w:ascii="Garamond" w:hAnsi="Garamond"/>
          <w:sz w:val="24"/>
          <w:szCs w:val="24"/>
          <w:lang w:eastAsia="en-US"/>
        </w:rPr>
        <w:t xml:space="preserve"> </w:t>
      </w:r>
      <w:r w:rsidR="00B037E6" w:rsidRPr="005F2582">
        <w:rPr>
          <w:rFonts w:ascii="Garamond" w:hAnsi="Garamond"/>
          <w:i/>
          <w:sz w:val="24"/>
          <w:szCs w:val="24"/>
          <w:lang w:eastAsia="en-US"/>
        </w:rPr>
        <w:t>illo tempore</w:t>
      </w:r>
      <w:r w:rsidR="00581D08" w:rsidRPr="005F2582">
        <w:rPr>
          <w:rFonts w:ascii="Garamond" w:hAnsi="Garamond"/>
          <w:sz w:val="24"/>
          <w:szCs w:val="24"/>
          <w:lang w:eastAsia="en-US"/>
        </w:rPr>
        <w:t xml:space="preserve"> </w:t>
      </w:r>
      <w:r w:rsidR="0016705D" w:rsidRPr="005F2582">
        <w:rPr>
          <w:rFonts w:ascii="Garamond" w:hAnsi="Garamond"/>
          <w:sz w:val="24"/>
          <w:szCs w:val="24"/>
          <w:lang w:eastAsia="en-US"/>
        </w:rPr>
        <w:t>chiarito</w:t>
      </w:r>
      <w:r w:rsidR="00581D08" w:rsidRPr="005F2582">
        <w:rPr>
          <w:rFonts w:ascii="Garamond" w:hAnsi="Garamond"/>
          <w:sz w:val="24"/>
          <w:szCs w:val="24"/>
          <w:lang w:eastAsia="en-US"/>
        </w:rPr>
        <w:t xml:space="preserve"> dall’</w:t>
      </w:r>
      <w:r w:rsidR="00A61973">
        <w:rPr>
          <w:rFonts w:ascii="Garamond" w:hAnsi="Garamond"/>
          <w:sz w:val="24"/>
          <w:szCs w:val="24"/>
          <w:lang w:eastAsia="en-US"/>
        </w:rPr>
        <w:t xml:space="preserve">ex </w:t>
      </w:r>
      <w:r w:rsidR="00581D08" w:rsidRPr="005F2582">
        <w:rPr>
          <w:rFonts w:ascii="Garamond" w:hAnsi="Garamond"/>
          <w:sz w:val="24"/>
          <w:szCs w:val="24"/>
          <w:lang w:eastAsia="en-US"/>
        </w:rPr>
        <w:t xml:space="preserve">AVCP e dal MIT </w:t>
      </w:r>
      <w:r w:rsidR="00404D63" w:rsidRPr="005F2582">
        <w:rPr>
          <w:rFonts w:ascii="Garamond" w:hAnsi="Garamond"/>
          <w:sz w:val="24"/>
          <w:szCs w:val="24"/>
          <w:lang w:eastAsia="en-US"/>
        </w:rPr>
        <w:t xml:space="preserve">e dalla precedente giurisprudenza </w:t>
      </w:r>
      <w:r w:rsidR="00581D08" w:rsidRPr="005F2582">
        <w:rPr>
          <w:rFonts w:ascii="Garamond" w:hAnsi="Garamond"/>
          <w:sz w:val="24"/>
          <w:szCs w:val="24"/>
          <w:lang w:eastAsia="en-US"/>
        </w:rPr>
        <w:t xml:space="preserve">sul </w:t>
      </w:r>
      <w:r w:rsidR="003B6625" w:rsidRPr="005F2582">
        <w:rPr>
          <w:rFonts w:ascii="Garamond" w:hAnsi="Garamond"/>
          <w:sz w:val="24"/>
          <w:szCs w:val="24"/>
          <w:lang w:eastAsia="en-US"/>
        </w:rPr>
        <w:t xml:space="preserve">punto, secondo cui, come si è visto, quando si dispone il subappalto nel contesto dell’avvalimento il primo </w:t>
      </w:r>
      <w:r w:rsidR="0016705D" w:rsidRPr="005F2582">
        <w:rPr>
          <w:rFonts w:ascii="Garamond" w:hAnsi="Garamond"/>
          <w:sz w:val="24"/>
          <w:szCs w:val="24"/>
          <w:lang w:eastAsia="en-US"/>
        </w:rPr>
        <w:t xml:space="preserve">dovrebbe </w:t>
      </w:r>
      <w:r w:rsidR="003B6625" w:rsidRPr="005F2582">
        <w:rPr>
          <w:rFonts w:ascii="Garamond" w:hAnsi="Garamond"/>
          <w:sz w:val="24"/>
          <w:szCs w:val="24"/>
          <w:lang w:eastAsia="en-US"/>
        </w:rPr>
        <w:t>soggiace</w:t>
      </w:r>
      <w:r w:rsidR="0016705D" w:rsidRPr="005F2582">
        <w:rPr>
          <w:rFonts w:ascii="Garamond" w:hAnsi="Garamond"/>
          <w:sz w:val="24"/>
          <w:szCs w:val="24"/>
          <w:lang w:eastAsia="en-US"/>
        </w:rPr>
        <w:t>re</w:t>
      </w:r>
      <w:r w:rsidR="003B6625" w:rsidRPr="005F2582">
        <w:rPr>
          <w:rFonts w:ascii="Garamond" w:hAnsi="Garamond"/>
          <w:sz w:val="24"/>
          <w:szCs w:val="24"/>
          <w:lang w:eastAsia="en-US"/>
        </w:rPr>
        <w:t xml:space="preserve"> all’obbligo di autorizzazione e al limite quantitativo</w:t>
      </w:r>
      <w:r w:rsidR="00404D63" w:rsidRPr="005F2582">
        <w:rPr>
          <w:rFonts w:ascii="Garamond" w:hAnsi="Garamond"/>
          <w:sz w:val="24"/>
          <w:szCs w:val="24"/>
          <w:lang w:eastAsia="en-US"/>
        </w:rPr>
        <w:t xml:space="preserve">, sostanzialmente in conformità con le cautele antimafia che </w:t>
      </w:r>
      <w:r w:rsidR="00404D63" w:rsidRPr="001A6E30">
        <w:rPr>
          <w:rFonts w:ascii="Garamond" w:hAnsi="Garamond"/>
          <w:sz w:val="24"/>
          <w:szCs w:val="24"/>
          <w:lang w:eastAsia="en-US"/>
        </w:rPr>
        <w:t xml:space="preserve">connotano in Italia il </w:t>
      </w:r>
      <w:r w:rsidR="00404D63" w:rsidRPr="001A6E30">
        <w:rPr>
          <w:rFonts w:ascii="Garamond" w:hAnsi="Garamond"/>
          <w:sz w:val="24"/>
          <w:szCs w:val="24"/>
          <w:lang w:eastAsia="en-US"/>
        </w:rPr>
        <w:lastRenderedPageBreak/>
        <w:t xml:space="preserve">subappalto, evidenziate dal Consiglio di Stato </w:t>
      </w:r>
      <w:r w:rsidR="00E57444" w:rsidRPr="001A6E30">
        <w:rPr>
          <w:rFonts w:ascii="Garamond" w:hAnsi="Garamond"/>
          <w:sz w:val="24"/>
          <w:szCs w:val="24"/>
          <w:lang w:eastAsia="en-US"/>
        </w:rPr>
        <w:t xml:space="preserve">nei pareri sullo schema del Codice e sul </w:t>
      </w:r>
      <w:r w:rsidR="00622675" w:rsidRPr="001A6E30">
        <w:rPr>
          <w:rFonts w:ascii="Garamond" w:hAnsi="Garamond"/>
          <w:sz w:val="24"/>
          <w:szCs w:val="24"/>
          <w:lang w:eastAsia="en-US"/>
        </w:rPr>
        <w:t xml:space="preserve">suo </w:t>
      </w:r>
      <w:r w:rsidR="00E57444" w:rsidRPr="001A6E30">
        <w:rPr>
          <w:rFonts w:ascii="Garamond" w:hAnsi="Garamond"/>
          <w:sz w:val="24"/>
          <w:szCs w:val="24"/>
          <w:lang w:eastAsia="en-US"/>
        </w:rPr>
        <w:t xml:space="preserve">decreto correttivo, </w:t>
      </w:r>
      <w:r w:rsidR="00622675" w:rsidRPr="001A6E30">
        <w:rPr>
          <w:rFonts w:ascii="Garamond" w:hAnsi="Garamond"/>
          <w:sz w:val="24"/>
          <w:szCs w:val="24"/>
          <w:lang w:eastAsia="en-US"/>
        </w:rPr>
        <w:t xml:space="preserve"> richiamati, da ultimo, nell’ordinanza di rimessione alla Corte </w:t>
      </w:r>
      <w:r w:rsidR="006B3FB5" w:rsidRPr="001A6E30">
        <w:rPr>
          <w:rFonts w:ascii="Garamond" w:hAnsi="Garamond"/>
          <w:sz w:val="24"/>
          <w:szCs w:val="24"/>
          <w:lang w:eastAsia="en-US"/>
        </w:rPr>
        <w:t xml:space="preserve">di Giustizia </w:t>
      </w:r>
      <w:r w:rsidR="00622675" w:rsidRPr="001A6E30">
        <w:rPr>
          <w:rFonts w:ascii="Garamond" w:hAnsi="Garamond"/>
          <w:sz w:val="24"/>
          <w:szCs w:val="24"/>
          <w:lang w:eastAsia="en-US"/>
        </w:rPr>
        <w:t>UE n. 3553/2018 sul tema dei limiti al subappalto</w:t>
      </w:r>
      <w:r w:rsidR="00622675" w:rsidRPr="001A6E30">
        <w:rPr>
          <w:rStyle w:val="Rimandonotaapidipagina"/>
          <w:szCs w:val="24"/>
          <w:lang w:eastAsia="en-US"/>
        </w:rPr>
        <w:footnoteReference w:id="65"/>
      </w:r>
      <w:r w:rsidR="00622675" w:rsidRPr="001A6E30">
        <w:rPr>
          <w:rFonts w:ascii="Garamond" w:hAnsi="Garamond"/>
          <w:sz w:val="24"/>
          <w:szCs w:val="24"/>
          <w:lang w:eastAsia="en-US"/>
        </w:rPr>
        <w:t>.</w:t>
      </w:r>
      <w:r w:rsidR="00404D63" w:rsidRPr="001A6E30">
        <w:rPr>
          <w:rFonts w:ascii="Garamond" w:hAnsi="Garamond"/>
          <w:sz w:val="24"/>
          <w:szCs w:val="24"/>
          <w:lang w:eastAsia="en-US"/>
        </w:rPr>
        <w:t xml:space="preserve"> </w:t>
      </w:r>
    </w:p>
    <w:p w14:paraId="3C99FC4A" w14:textId="15FDAF2D" w:rsidR="00523CC1" w:rsidRPr="001A6E30" w:rsidRDefault="00E11F1C" w:rsidP="00F32D8C">
      <w:pPr>
        <w:pStyle w:val="TESTOCOMM"/>
        <w:spacing w:line="276" w:lineRule="auto"/>
        <w:rPr>
          <w:rFonts w:ascii="Garamond" w:hAnsi="Garamond"/>
          <w:sz w:val="24"/>
          <w:szCs w:val="24"/>
          <w:lang w:eastAsia="en-US"/>
        </w:rPr>
      </w:pPr>
      <w:r w:rsidRPr="001A6E30">
        <w:rPr>
          <w:rFonts w:ascii="Garamond" w:hAnsi="Garamond"/>
          <w:sz w:val="24"/>
          <w:szCs w:val="24"/>
          <w:lang w:eastAsia="en-US"/>
        </w:rPr>
        <w:tab/>
        <w:t xml:space="preserve">Peraltro, </w:t>
      </w:r>
      <w:r w:rsidR="00523CC1" w:rsidRPr="001A6E30">
        <w:rPr>
          <w:rFonts w:ascii="Garamond" w:hAnsi="Garamond"/>
          <w:sz w:val="24"/>
          <w:szCs w:val="24"/>
          <w:lang w:eastAsia="en-US"/>
        </w:rPr>
        <w:t xml:space="preserve">nella fattispecie in esame del subappalto nel contesto dell’avvalimento, </w:t>
      </w:r>
      <w:r w:rsidRPr="001A6E30">
        <w:rPr>
          <w:rFonts w:ascii="Garamond" w:hAnsi="Garamond"/>
          <w:sz w:val="24"/>
          <w:szCs w:val="24"/>
          <w:lang w:eastAsia="en-US"/>
        </w:rPr>
        <w:t>l</w:t>
      </w:r>
      <w:r w:rsidR="008F49FE">
        <w:rPr>
          <w:rFonts w:ascii="Garamond" w:hAnsi="Garamond"/>
          <w:sz w:val="24"/>
          <w:szCs w:val="24"/>
          <w:lang w:eastAsia="en-US"/>
        </w:rPr>
        <w:t>’istituto</w:t>
      </w:r>
      <w:r w:rsidR="005E2E99" w:rsidRPr="001A6E30">
        <w:rPr>
          <w:rFonts w:ascii="Garamond" w:hAnsi="Garamond"/>
          <w:sz w:val="24"/>
          <w:szCs w:val="24"/>
          <w:lang w:eastAsia="en-US"/>
        </w:rPr>
        <w:t xml:space="preserve"> in grado di contemperare le contrapposte esigenze del limite al subappalto </w:t>
      </w:r>
      <w:r w:rsidR="008F49FE">
        <w:rPr>
          <w:rFonts w:ascii="Garamond" w:hAnsi="Garamond"/>
          <w:sz w:val="24"/>
          <w:szCs w:val="24"/>
          <w:lang w:eastAsia="en-US"/>
        </w:rPr>
        <w:t>ispirate dalla prevenzione dei fenomeni mafiosi</w:t>
      </w:r>
      <w:r w:rsidR="005E2E99" w:rsidRPr="001A6E30">
        <w:rPr>
          <w:rFonts w:ascii="Garamond" w:hAnsi="Garamond"/>
          <w:sz w:val="24"/>
          <w:szCs w:val="24"/>
          <w:lang w:eastAsia="en-US"/>
        </w:rPr>
        <w:t xml:space="preserve"> e dell’effettività dell</w:t>
      </w:r>
      <w:r w:rsidR="008F49FE">
        <w:rPr>
          <w:rFonts w:ascii="Garamond" w:hAnsi="Garamond"/>
          <w:sz w:val="24"/>
          <w:szCs w:val="24"/>
          <w:lang w:eastAsia="en-US"/>
        </w:rPr>
        <w:t xml:space="preserve">’utilizzo delle risorse prestate </w:t>
      </w:r>
      <w:r w:rsidR="005E2E99" w:rsidRPr="001A6E30">
        <w:rPr>
          <w:rFonts w:ascii="Garamond" w:hAnsi="Garamond"/>
          <w:sz w:val="24"/>
          <w:szCs w:val="24"/>
          <w:lang w:eastAsia="en-US"/>
        </w:rPr>
        <w:t xml:space="preserve">potrebbe essere </w:t>
      </w:r>
      <w:r w:rsidR="008F49FE">
        <w:rPr>
          <w:rFonts w:ascii="Garamond" w:hAnsi="Garamond"/>
          <w:sz w:val="24"/>
          <w:szCs w:val="24"/>
          <w:lang w:eastAsia="en-US"/>
        </w:rPr>
        <w:t>quello del</w:t>
      </w:r>
      <w:r w:rsidR="00F32D8C" w:rsidRPr="001A6E30">
        <w:rPr>
          <w:rFonts w:ascii="Garamond" w:hAnsi="Garamond"/>
          <w:sz w:val="24"/>
          <w:szCs w:val="24"/>
          <w:lang w:eastAsia="en-US"/>
        </w:rPr>
        <w:t xml:space="preserve"> distacco: l’impresa ausiliaria potrebbe assumere il ruolo di subappaltatrice nei limiti previsti per il subappalto, ricorrendo</w:t>
      </w:r>
      <w:r w:rsidR="003F1E69" w:rsidRPr="001A6E30">
        <w:rPr>
          <w:rFonts w:ascii="Garamond" w:hAnsi="Garamond"/>
          <w:sz w:val="24"/>
          <w:szCs w:val="24"/>
          <w:lang w:eastAsia="en-US"/>
        </w:rPr>
        <w:t>,</w:t>
      </w:r>
      <w:r w:rsidR="00F32D8C" w:rsidRPr="001A6E30">
        <w:rPr>
          <w:rFonts w:ascii="Garamond" w:hAnsi="Garamond"/>
          <w:sz w:val="24"/>
          <w:szCs w:val="24"/>
          <w:lang w:eastAsia="en-US"/>
        </w:rPr>
        <w:t xml:space="preserve"> </w:t>
      </w:r>
      <w:r w:rsidR="003F1E69" w:rsidRPr="001A6E30">
        <w:rPr>
          <w:rFonts w:ascii="Garamond" w:hAnsi="Garamond"/>
          <w:sz w:val="24"/>
          <w:szCs w:val="24"/>
          <w:lang w:eastAsia="en-US"/>
        </w:rPr>
        <w:t>per la parte in eccedenza,</w:t>
      </w:r>
      <w:r w:rsidR="00F32D8C" w:rsidRPr="001A6E30">
        <w:rPr>
          <w:rFonts w:ascii="Garamond" w:hAnsi="Garamond"/>
          <w:sz w:val="24"/>
          <w:szCs w:val="24"/>
          <w:lang w:eastAsia="en-US"/>
        </w:rPr>
        <w:t xml:space="preserve"> al distacco del pr</w:t>
      </w:r>
      <w:r w:rsidR="004C3252">
        <w:rPr>
          <w:rFonts w:ascii="Garamond" w:hAnsi="Garamond"/>
          <w:sz w:val="24"/>
          <w:szCs w:val="24"/>
          <w:lang w:eastAsia="en-US"/>
        </w:rPr>
        <w:t>oprio personale all’appaltatore</w:t>
      </w:r>
      <w:r w:rsidR="00523CC1" w:rsidRPr="001A6E30">
        <w:rPr>
          <w:rStyle w:val="Rimandonotaapidipagina"/>
          <w:szCs w:val="24"/>
          <w:lang w:eastAsia="en-US"/>
        </w:rPr>
        <w:footnoteReference w:id="66"/>
      </w:r>
      <w:r w:rsidR="00F32D8C" w:rsidRPr="001A6E30">
        <w:rPr>
          <w:rFonts w:ascii="Garamond" w:hAnsi="Garamond"/>
          <w:sz w:val="24"/>
          <w:szCs w:val="24"/>
          <w:lang w:eastAsia="en-US"/>
        </w:rPr>
        <w:t>.</w:t>
      </w:r>
    </w:p>
    <w:p w14:paraId="13ED24CB" w14:textId="001E022E" w:rsidR="00581D08" w:rsidRPr="00404D63" w:rsidRDefault="00523CC1" w:rsidP="00581D08">
      <w:pPr>
        <w:pStyle w:val="TESTOCOMM"/>
        <w:spacing w:line="276" w:lineRule="auto"/>
        <w:rPr>
          <w:rFonts w:ascii="Garamond" w:hAnsi="Garamond"/>
          <w:color w:val="000000" w:themeColor="text1"/>
          <w:sz w:val="24"/>
          <w:szCs w:val="24"/>
        </w:rPr>
      </w:pPr>
      <w:r w:rsidRPr="001A6E30">
        <w:rPr>
          <w:rFonts w:ascii="Garamond" w:hAnsi="Garamond"/>
          <w:color w:val="000000" w:themeColor="text1"/>
          <w:sz w:val="24"/>
          <w:szCs w:val="24"/>
          <w:lang w:eastAsia="en-US"/>
        </w:rPr>
        <w:t xml:space="preserve">In </w:t>
      </w:r>
      <w:r w:rsidR="002D11BE">
        <w:rPr>
          <w:rFonts w:ascii="Garamond" w:hAnsi="Garamond"/>
          <w:color w:val="000000" w:themeColor="text1"/>
          <w:sz w:val="24"/>
          <w:szCs w:val="24"/>
          <w:lang w:eastAsia="en-US"/>
        </w:rPr>
        <w:t>buona sostanza, comunque,</w:t>
      </w:r>
      <w:r w:rsidR="00404D63" w:rsidRPr="001A6E30">
        <w:rPr>
          <w:rFonts w:ascii="Garamond" w:hAnsi="Garamond"/>
          <w:color w:val="000000" w:themeColor="text1"/>
          <w:sz w:val="24"/>
          <w:szCs w:val="24"/>
          <w:lang w:eastAsia="en-US"/>
        </w:rPr>
        <w:t xml:space="preserve"> </w:t>
      </w:r>
      <w:r w:rsidR="002E363A" w:rsidRPr="001A6E30">
        <w:rPr>
          <w:rFonts w:ascii="Garamond" w:hAnsi="Garamond"/>
          <w:color w:val="000000" w:themeColor="text1"/>
          <w:sz w:val="24"/>
          <w:szCs w:val="24"/>
          <w:lang w:eastAsia="en-US"/>
        </w:rPr>
        <w:t xml:space="preserve">si </w:t>
      </w:r>
      <w:r w:rsidRPr="001A6E30">
        <w:rPr>
          <w:rFonts w:ascii="Garamond" w:hAnsi="Garamond"/>
          <w:color w:val="000000" w:themeColor="text1"/>
          <w:sz w:val="24"/>
          <w:szCs w:val="24"/>
          <w:lang w:eastAsia="en-US"/>
        </w:rPr>
        <w:t>può anche ritenere</w:t>
      </w:r>
      <w:r w:rsidR="002E363A" w:rsidRPr="001A6E30">
        <w:rPr>
          <w:rFonts w:ascii="Garamond" w:hAnsi="Garamond"/>
          <w:color w:val="000000" w:themeColor="text1"/>
          <w:sz w:val="24"/>
          <w:szCs w:val="24"/>
          <w:lang w:eastAsia="en-US"/>
        </w:rPr>
        <w:t xml:space="preserve"> del tutto condivisibile considerare illimitato il subappalto nel contesto dell’avvalimento, </w:t>
      </w:r>
      <w:r w:rsidR="008230AE">
        <w:rPr>
          <w:rFonts w:ascii="Garamond" w:hAnsi="Garamond"/>
          <w:color w:val="000000" w:themeColor="text1"/>
          <w:sz w:val="24"/>
          <w:szCs w:val="24"/>
          <w:lang w:eastAsia="en-US"/>
        </w:rPr>
        <w:t>il</w:t>
      </w:r>
      <w:r w:rsidR="00092400">
        <w:rPr>
          <w:rFonts w:ascii="Garamond" w:hAnsi="Garamond"/>
          <w:color w:val="000000" w:themeColor="text1"/>
          <w:sz w:val="24"/>
          <w:szCs w:val="24"/>
          <w:lang w:eastAsia="en-US"/>
        </w:rPr>
        <w:t xml:space="preserve"> che è d’altra parte in linea con le censure della Corte di Giustizia al limite al subappalto </w:t>
      </w:r>
      <w:r w:rsidR="00092400">
        <w:rPr>
          <w:rFonts w:ascii="Garamond" w:hAnsi="Garamond"/>
          <w:i/>
          <w:iCs/>
          <w:color w:val="000000" w:themeColor="text1"/>
          <w:sz w:val="24"/>
          <w:szCs w:val="24"/>
          <w:lang w:eastAsia="en-US"/>
        </w:rPr>
        <w:t>tout court</w:t>
      </w:r>
      <w:r w:rsidR="004C3252" w:rsidRPr="004C3252">
        <w:rPr>
          <w:rStyle w:val="Rimandonotaapidipagina"/>
          <w:iCs/>
          <w:color w:val="000000" w:themeColor="text1"/>
          <w:szCs w:val="24"/>
          <w:lang w:eastAsia="en-US"/>
        </w:rPr>
        <w:footnoteReference w:id="67"/>
      </w:r>
      <w:r w:rsidR="004C3252">
        <w:rPr>
          <w:rFonts w:ascii="Garamond" w:hAnsi="Garamond"/>
          <w:iCs/>
          <w:color w:val="000000" w:themeColor="text1"/>
          <w:sz w:val="24"/>
          <w:szCs w:val="24"/>
          <w:lang w:eastAsia="en-US"/>
        </w:rPr>
        <w:t xml:space="preserve">, </w:t>
      </w:r>
      <w:r w:rsidR="002E363A" w:rsidRPr="001A6E30">
        <w:rPr>
          <w:rFonts w:ascii="Garamond" w:hAnsi="Garamond"/>
          <w:color w:val="000000" w:themeColor="text1"/>
          <w:sz w:val="24"/>
          <w:szCs w:val="24"/>
          <w:lang w:eastAsia="en-US"/>
        </w:rPr>
        <w:t xml:space="preserve">ma </w:t>
      </w:r>
      <w:r w:rsidR="006B3FB5" w:rsidRPr="001A6E30">
        <w:rPr>
          <w:rFonts w:ascii="Garamond" w:hAnsi="Garamond"/>
          <w:color w:val="000000" w:themeColor="text1"/>
          <w:sz w:val="24"/>
          <w:szCs w:val="24"/>
          <w:lang w:eastAsia="en-US"/>
        </w:rPr>
        <w:t>ciò dovrebbe</w:t>
      </w:r>
      <w:r w:rsidR="002E363A" w:rsidRPr="001A6E30">
        <w:rPr>
          <w:rFonts w:ascii="Garamond" w:hAnsi="Garamond"/>
          <w:color w:val="000000" w:themeColor="text1"/>
          <w:sz w:val="24"/>
          <w:szCs w:val="24"/>
          <w:lang w:eastAsia="en-US"/>
        </w:rPr>
        <w:t xml:space="preserve"> coerentemente </w:t>
      </w:r>
      <w:r w:rsidR="006B3FB5" w:rsidRPr="001A6E30">
        <w:rPr>
          <w:rFonts w:ascii="Garamond" w:hAnsi="Garamond"/>
          <w:color w:val="000000" w:themeColor="text1"/>
          <w:sz w:val="24"/>
          <w:szCs w:val="24"/>
          <w:lang w:eastAsia="en-US"/>
        </w:rPr>
        <w:t>suggerire</w:t>
      </w:r>
      <w:r w:rsidR="006B3FB5">
        <w:rPr>
          <w:rFonts w:ascii="Garamond" w:hAnsi="Garamond"/>
          <w:color w:val="000000" w:themeColor="text1"/>
          <w:sz w:val="24"/>
          <w:szCs w:val="24"/>
          <w:lang w:eastAsia="en-US"/>
        </w:rPr>
        <w:t xml:space="preserve"> </w:t>
      </w:r>
      <w:r w:rsidR="008230AE">
        <w:rPr>
          <w:rFonts w:ascii="Garamond" w:hAnsi="Garamond"/>
          <w:color w:val="000000" w:themeColor="text1"/>
          <w:sz w:val="24"/>
          <w:szCs w:val="24"/>
          <w:lang w:eastAsia="en-US"/>
        </w:rPr>
        <w:t xml:space="preserve">al nostro Legislatore </w:t>
      </w:r>
      <w:r w:rsidR="006B3FB5">
        <w:rPr>
          <w:rFonts w:ascii="Garamond" w:hAnsi="Garamond"/>
          <w:color w:val="000000" w:themeColor="text1"/>
          <w:sz w:val="24"/>
          <w:szCs w:val="24"/>
          <w:lang w:eastAsia="en-US"/>
        </w:rPr>
        <w:t>la rimozione</w:t>
      </w:r>
      <w:r w:rsidR="002E363A">
        <w:rPr>
          <w:rFonts w:ascii="Garamond" w:hAnsi="Garamond"/>
          <w:color w:val="000000" w:themeColor="text1"/>
          <w:sz w:val="24"/>
          <w:szCs w:val="24"/>
          <w:lang w:eastAsia="en-US"/>
        </w:rPr>
        <w:t xml:space="preserve"> </w:t>
      </w:r>
      <w:r w:rsidR="005A0B28">
        <w:rPr>
          <w:rFonts w:ascii="Garamond" w:hAnsi="Garamond"/>
          <w:color w:val="000000" w:themeColor="text1"/>
          <w:sz w:val="24"/>
          <w:szCs w:val="24"/>
          <w:lang w:eastAsia="en-US"/>
        </w:rPr>
        <w:t xml:space="preserve">dalla nostra normativa </w:t>
      </w:r>
      <w:r w:rsidR="006B3FB5">
        <w:rPr>
          <w:rFonts w:ascii="Garamond" w:hAnsi="Garamond"/>
          <w:color w:val="000000" w:themeColor="text1"/>
          <w:sz w:val="24"/>
          <w:szCs w:val="24"/>
          <w:lang w:eastAsia="en-US"/>
        </w:rPr>
        <w:t xml:space="preserve">di </w:t>
      </w:r>
      <w:r w:rsidR="002E363A">
        <w:rPr>
          <w:rFonts w:ascii="Garamond" w:hAnsi="Garamond"/>
          <w:color w:val="000000" w:themeColor="text1"/>
          <w:sz w:val="24"/>
          <w:szCs w:val="24"/>
          <w:lang w:eastAsia="en-US"/>
        </w:rPr>
        <w:t>tutti i limiti e le restrizioni al subappalto ed all’avvalimento che, come vedremo</w:t>
      </w:r>
      <w:r w:rsidR="005A0B28">
        <w:rPr>
          <w:rFonts w:ascii="Garamond" w:hAnsi="Garamond"/>
          <w:color w:val="000000" w:themeColor="text1"/>
          <w:sz w:val="24"/>
          <w:szCs w:val="24"/>
          <w:lang w:eastAsia="en-US"/>
        </w:rPr>
        <w:t xml:space="preserve"> nel successivo paragrafo</w:t>
      </w:r>
      <w:r w:rsidR="002E363A">
        <w:rPr>
          <w:rFonts w:ascii="Garamond" w:hAnsi="Garamond"/>
          <w:color w:val="000000" w:themeColor="text1"/>
          <w:sz w:val="24"/>
          <w:szCs w:val="24"/>
          <w:lang w:eastAsia="en-US"/>
        </w:rPr>
        <w:t>, hanno formato oggetto della procedura di infrazione comunitaria n</w:t>
      </w:r>
      <w:r w:rsidR="00DD4D07">
        <w:rPr>
          <w:rFonts w:ascii="Garamond" w:hAnsi="Garamond"/>
          <w:color w:val="000000" w:themeColor="text1"/>
          <w:sz w:val="24"/>
          <w:szCs w:val="24"/>
          <w:lang w:eastAsia="en-US"/>
        </w:rPr>
        <w:t>.</w:t>
      </w:r>
      <w:r w:rsidR="002E363A">
        <w:rPr>
          <w:rFonts w:ascii="Garamond" w:hAnsi="Garamond"/>
          <w:color w:val="000000" w:themeColor="text1"/>
          <w:sz w:val="24"/>
          <w:szCs w:val="24"/>
          <w:lang w:eastAsia="en-US"/>
        </w:rPr>
        <w:t xml:space="preserve"> 2018/2273</w:t>
      </w:r>
      <w:r w:rsidR="005A0B28">
        <w:rPr>
          <w:rFonts w:ascii="Garamond" w:hAnsi="Garamond"/>
          <w:color w:val="000000" w:themeColor="text1"/>
          <w:sz w:val="24"/>
          <w:szCs w:val="24"/>
          <w:lang w:eastAsia="en-US"/>
        </w:rPr>
        <w:t>.</w:t>
      </w:r>
      <w:r w:rsidR="002E363A">
        <w:rPr>
          <w:rFonts w:ascii="Garamond" w:hAnsi="Garamond"/>
          <w:color w:val="000000" w:themeColor="text1"/>
          <w:sz w:val="24"/>
          <w:szCs w:val="24"/>
          <w:lang w:eastAsia="en-US"/>
        </w:rPr>
        <w:t xml:space="preserve"> </w:t>
      </w:r>
    </w:p>
    <w:p w14:paraId="0BA94A14" w14:textId="3C583E96" w:rsidR="00581D08" w:rsidRPr="00460B5C" w:rsidRDefault="00B037E6" w:rsidP="00581D08">
      <w:pPr>
        <w:spacing w:line="276" w:lineRule="auto"/>
        <w:contextualSpacing/>
        <w:jc w:val="both"/>
        <w:rPr>
          <w:rStyle w:val="Enfasicorsivo"/>
          <w:rFonts w:ascii="Garamond" w:hAnsi="Garamond" w:cs="Arial"/>
          <w:i w:val="0"/>
          <w:iCs w:val="0"/>
          <w:color w:val="000000"/>
          <w:bdr w:val="none" w:sz="0" w:space="0" w:color="auto" w:frame="1"/>
          <w:shd w:val="clear" w:color="auto" w:fill="FFFFFF"/>
        </w:rPr>
      </w:pPr>
      <w:r w:rsidRPr="00460B5C">
        <w:rPr>
          <w:rStyle w:val="Enfasicorsivo"/>
          <w:rFonts w:ascii="Garamond" w:hAnsi="Garamond" w:cs="Arial"/>
          <w:i w:val="0"/>
          <w:iCs w:val="0"/>
          <w:color w:val="000000"/>
          <w:bdr w:val="none" w:sz="0" w:space="0" w:color="auto" w:frame="1"/>
          <w:shd w:val="clear" w:color="auto" w:fill="FFFFFF"/>
        </w:rPr>
        <w:tab/>
        <w:t>L’ultimo profilo che resta da considerare per dipanare la questione è se possa ancora parlarsi di avvalimento -</w:t>
      </w:r>
      <w:r w:rsidR="00F32505">
        <w:rPr>
          <w:rStyle w:val="Enfasicorsivo"/>
          <w:rFonts w:ascii="Garamond" w:hAnsi="Garamond" w:cs="Arial"/>
          <w:i w:val="0"/>
          <w:iCs w:val="0"/>
          <w:color w:val="000000"/>
          <w:bdr w:val="none" w:sz="0" w:space="0" w:color="auto" w:frame="1"/>
          <w:shd w:val="clear" w:color="auto" w:fill="FFFFFF"/>
        </w:rPr>
        <w:t xml:space="preserve"> </w:t>
      </w:r>
      <w:r w:rsidRPr="00460B5C">
        <w:rPr>
          <w:rStyle w:val="Enfasicorsivo"/>
          <w:rFonts w:ascii="Garamond" w:hAnsi="Garamond" w:cs="Arial"/>
          <w:i w:val="0"/>
          <w:iCs w:val="0"/>
          <w:color w:val="000000"/>
          <w:bdr w:val="none" w:sz="0" w:space="0" w:color="auto" w:frame="1"/>
          <w:shd w:val="clear" w:color="auto" w:fill="FFFFFF"/>
        </w:rPr>
        <w:t>ovvero se si sia già sconfinati nell’ambito del subappalto</w:t>
      </w:r>
      <w:r w:rsidR="00F32505">
        <w:rPr>
          <w:rStyle w:val="Enfasicorsivo"/>
          <w:rFonts w:ascii="Garamond" w:hAnsi="Garamond" w:cs="Arial"/>
          <w:i w:val="0"/>
          <w:iCs w:val="0"/>
          <w:color w:val="000000"/>
          <w:bdr w:val="none" w:sz="0" w:space="0" w:color="auto" w:frame="1"/>
          <w:shd w:val="clear" w:color="auto" w:fill="FFFFFF"/>
        </w:rPr>
        <w:t xml:space="preserve"> </w:t>
      </w:r>
      <w:r w:rsidRPr="00460B5C">
        <w:rPr>
          <w:rStyle w:val="Enfasicorsivo"/>
          <w:rFonts w:ascii="Garamond" w:hAnsi="Garamond" w:cs="Arial"/>
          <w:i w:val="0"/>
          <w:iCs w:val="0"/>
          <w:color w:val="000000"/>
          <w:bdr w:val="none" w:sz="0" w:space="0" w:color="auto" w:frame="1"/>
          <w:shd w:val="clear" w:color="auto" w:fill="FFFFFF"/>
        </w:rPr>
        <w:t>- allorquando nel contratto venga messa a di</w:t>
      </w:r>
      <w:r w:rsidR="002E363A">
        <w:rPr>
          <w:rStyle w:val="Enfasicorsivo"/>
          <w:rFonts w:ascii="Garamond" w:hAnsi="Garamond" w:cs="Arial"/>
          <w:i w:val="0"/>
          <w:iCs w:val="0"/>
          <w:color w:val="000000"/>
          <w:bdr w:val="none" w:sz="0" w:space="0" w:color="auto" w:frame="1"/>
          <w:shd w:val="clear" w:color="auto" w:fill="FFFFFF"/>
        </w:rPr>
        <w:t>sposizione</w:t>
      </w:r>
      <w:r w:rsidR="005A0B28">
        <w:rPr>
          <w:rStyle w:val="Enfasicorsivo"/>
          <w:rFonts w:ascii="Garamond" w:hAnsi="Garamond" w:cs="Arial"/>
          <w:i w:val="0"/>
          <w:iCs w:val="0"/>
          <w:color w:val="000000"/>
          <w:bdr w:val="none" w:sz="0" w:space="0" w:color="auto" w:frame="1"/>
          <w:shd w:val="clear" w:color="auto" w:fill="FFFFFF"/>
        </w:rPr>
        <w:t xml:space="preserve"> l’intera</w:t>
      </w:r>
      <w:r w:rsidRPr="00460B5C">
        <w:rPr>
          <w:rFonts w:ascii="Garamond" w:hAnsi="Garamond"/>
        </w:rPr>
        <w:t xml:space="preserve"> azienda e/o uno specifico ramo di azienda funzionalmente autonomo invece che singoli e determinati mezzi e risorse. </w:t>
      </w:r>
      <w:r w:rsidR="00E633EC" w:rsidRPr="00460B5C">
        <w:rPr>
          <w:rFonts w:ascii="Garamond" w:hAnsi="Garamond"/>
        </w:rPr>
        <w:t>L’orientamento della giurisprudenza sul tema</w:t>
      </w:r>
      <w:r w:rsidR="008C4FA3" w:rsidRPr="00460B5C">
        <w:rPr>
          <w:rFonts w:ascii="Garamond" w:hAnsi="Garamond"/>
        </w:rPr>
        <w:t xml:space="preserve"> è nel senso che </w:t>
      </w:r>
      <w:r w:rsidRPr="00460B5C">
        <w:rPr>
          <w:rFonts w:ascii="Garamond" w:hAnsi="Garamond"/>
        </w:rPr>
        <w:t xml:space="preserve">nell’avvalimento operativo puro </w:t>
      </w:r>
      <w:r w:rsidRPr="00460B5C">
        <w:rPr>
          <w:rFonts w:ascii="Garamond" w:hAnsi="Garamond"/>
          <w:i/>
        </w:rPr>
        <w:t>“non emerge il tratto tipico dell’affitto di azienda che, come è noto, ha per oggetto “il complesso produttivo unitariamente considerato, secondo la definizione normativa di cui all'art. 2555 c.c.” (</w:t>
      </w:r>
      <w:r w:rsidRPr="00460B5C">
        <w:rPr>
          <w:rFonts w:ascii="Garamond" w:hAnsi="Garamond"/>
        </w:rPr>
        <w:t>Cass., Sez. III, 8 luglio 2010 n. 16138)</w:t>
      </w:r>
      <w:r w:rsidRPr="00460B5C">
        <w:rPr>
          <w:rFonts w:ascii="Garamond" w:hAnsi="Garamond"/>
          <w:i/>
        </w:rPr>
        <w:t xml:space="preserve"> “e non un singolo strumento della produzione o addirittura dei requisiti di carattere economico-finanziario”</w:t>
      </w:r>
      <w:r w:rsidRPr="00460B5C">
        <w:rPr>
          <w:rFonts w:ascii="Garamond" w:hAnsi="Garamond"/>
        </w:rPr>
        <w:t xml:space="preserve"> (CGARS, sez. giurisd., 19/02/2016, n.</w:t>
      </w:r>
      <w:r w:rsidR="00DD4D07">
        <w:rPr>
          <w:rFonts w:ascii="Garamond" w:hAnsi="Garamond"/>
        </w:rPr>
        <w:t xml:space="preserve"> </w:t>
      </w:r>
      <w:r w:rsidRPr="00460B5C">
        <w:rPr>
          <w:rFonts w:ascii="Garamond" w:hAnsi="Garamond"/>
        </w:rPr>
        <w:t>52).</w:t>
      </w:r>
    </w:p>
    <w:p w14:paraId="2242473D" w14:textId="7E9A86B1" w:rsidR="002D1DFB" w:rsidRPr="00460B5C" w:rsidRDefault="00DE0473" w:rsidP="006D67E0">
      <w:pPr>
        <w:pStyle w:val="TESTOCOMM"/>
        <w:spacing w:line="276" w:lineRule="auto"/>
        <w:rPr>
          <w:rFonts w:ascii="Garamond" w:hAnsi="Garamond"/>
          <w:sz w:val="24"/>
          <w:szCs w:val="24"/>
        </w:rPr>
      </w:pPr>
      <w:r w:rsidRPr="00460B5C">
        <w:rPr>
          <w:rFonts w:ascii="Garamond" w:hAnsi="Garamond"/>
          <w:sz w:val="24"/>
          <w:szCs w:val="24"/>
        </w:rPr>
        <w:t xml:space="preserve">In definitiva, </w:t>
      </w:r>
      <w:r w:rsidR="00B037E6" w:rsidRPr="00460B5C">
        <w:rPr>
          <w:rFonts w:ascii="Garamond" w:hAnsi="Garamond"/>
          <w:sz w:val="24"/>
          <w:szCs w:val="24"/>
        </w:rPr>
        <w:t>quindi</w:t>
      </w:r>
      <w:r w:rsidRPr="00460B5C">
        <w:rPr>
          <w:rFonts w:ascii="Garamond" w:hAnsi="Garamond"/>
          <w:sz w:val="24"/>
          <w:szCs w:val="24"/>
        </w:rPr>
        <w:t>, gli elementi qualificanti il subappalto -</w:t>
      </w:r>
      <w:r w:rsidR="00F32505">
        <w:rPr>
          <w:rFonts w:ascii="Garamond" w:hAnsi="Garamond"/>
          <w:sz w:val="24"/>
          <w:szCs w:val="24"/>
        </w:rPr>
        <w:t xml:space="preserve"> </w:t>
      </w:r>
      <w:r w:rsidRPr="00460B5C">
        <w:rPr>
          <w:rFonts w:ascii="Garamond" w:hAnsi="Garamond"/>
          <w:sz w:val="24"/>
          <w:szCs w:val="24"/>
        </w:rPr>
        <w:t>e dunque il discrimine rispetto all’avvalimento operativo puro</w:t>
      </w:r>
      <w:r w:rsidR="00DE7235" w:rsidRPr="00460B5C">
        <w:rPr>
          <w:rFonts w:ascii="Garamond" w:hAnsi="Garamond"/>
          <w:sz w:val="24"/>
          <w:szCs w:val="24"/>
        </w:rPr>
        <w:t xml:space="preserve"> </w:t>
      </w:r>
      <w:r w:rsidRPr="00460B5C">
        <w:rPr>
          <w:rFonts w:ascii="Garamond" w:hAnsi="Garamond"/>
          <w:sz w:val="24"/>
          <w:szCs w:val="24"/>
        </w:rPr>
        <w:t xml:space="preserve">- sono rappresentati dall’organizzazione </w:t>
      </w:r>
      <w:r w:rsidR="003B6625" w:rsidRPr="00460B5C">
        <w:rPr>
          <w:rFonts w:ascii="Garamond" w:hAnsi="Garamond"/>
          <w:sz w:val="24"/>
          <w:szCs w:val="24"/>
        </w:rPr>
        <w:t>dei mezzi e delle risorse</w:t>
      </w:r>
      <w:r w:rsidRPr="00460B5C">
        <w:rPr>
          <w:rFonts w:ascii="Garamond" w:hAnsi="Garamond"/>
          <w:sz w:val="24"/>
          <w:szCs w:val="24"/>
        </w:rPr>
        <w:t xml:space="preserve"> necessari</w:t>
      </w:r>
      <w:r w:rsidR="003B6625" w:rsidRPr="00460B5C">
        <w:rPr>
          <w:rFonts w:ascii="Garamond" w:hAnsi="Garamond"/>
          <w:sz w:val="24"/>
          <w:szCs w:val="24"/>
        </w:rPr>
        <w:t xml:space="preserve"> </w:t>
      </w:r>
      <w:r w:rsidRPr="00460B5C">
        <w:rPr>
          <w:rFonts w:ascii="Garamond" w:hAnsi="Garamond"/>
          <w:sz w:val="24"/>
          <w:szCs w:val="24"/>
        </w:rPr>
        <w:lastRenderedPageBreak/>
        <w:t xml:space="preserve">e dalla gestione a proprio rischio ed </w:t>
      </w:r>
      <w:r w:rsidR="006B3FB5">
        <w:rPr>
          <w:rFonts w:ascii="Garamond" w:hAnsi="Garamond"/>
          <w:sz w:val="24"/>
          <w:szCs w:val="24"/>
        </w:rPr>
        <w:t xml:space="preserve">è </w:t>
      </w:r>
      <w:r w:rsidR="00DE7235" w:rsidRPr="00460B5C">
        <w:rPr>
          <w:rFonts w:ascii="Garamond" w:hAnsi="Garamond"/>
          <w:sz w:val="24"/>
          <w:szCs w:val="24"/>
        </w:rPr>
        <w:t xml:space="preserve">da qui </w:t>
      </w:r>
      <w:r w:rsidR="006B3FB5">
        <w:rPr>
          <w:rFonts w:ascii="Garamond" w:hAnsi="Garamond"/>
          <w:sz w:val="24"/>
          <w:szCs w:val="24"/>
        </w:rPr>
        <w:t xml:space="preserve">che </w:t>
      </w:r>
      <w:r w:rsidR="00826EEA" w:rsidRPr="00460B5C">
        <w:rPr>
          <w:rFonts w:ascii="Garamond" w:hAnsi="Garamond"/>
          <w:sz w:val="24"/>
          <w:szCs w:val="24"/>
        </w:rPr>
        <w:t>deriva anche un differente regime in tema di responsabilità tra i due istituti.</w:t>
      </w:r>
    </w:p>
    <w:p w14:paraId="0EEDD7AD" w14:textId="5120D154" w:rsidR="006970A1" w:rsidRPr="00460B5C" w:rsidRDefault="00826EEA" w:rsidP="006D67E0">
      <w:pPr>
        <w:pStyle w:val="TESTOCOMM"/>
        <w:spacing w:line="276" w:lineRule="auto"/>
        <w:rPr>
          <w:rFonts w:ascii="Garamond" w:hAnsi="Garamond"/>
          <w:sz w:val="24"/>
          <w:szCs w:val="24"/>
        </w:rPr>
      </w:pPr>
      <w:r w:rsidRPr="00460B5C">
        <w:rPr>
          <w:rFonts w:ascii="Garamond" w:hAnsi="Garamond"/>
          <w:sz w:val="24"/>
          <w:szCs w:val="24"/>
        </w:rPr>
        <w:t>Difatti, con</w:t>
      </w:r>
      <w:r w:rsidR="00B746C1" w:rsidRPr="00460B5C">
        <w:rPr>
          <w:rFonts w:ascii="Garamond" w:hAnsi="Garamond"/>
          <w:sz w:val="24"/>
          <w:szCs w:val="24"/>
        </w:rPr>
        <w:t xml:space="preserve"> riferimento al subappalto</w:t>
      </w:r>
      <w:r w:rsidR="00DE7235" w:rsidRPr="00460B5C">
        <w:rPr>
          <w:rFonts w:ascii="Garamond" w:hAnsi="Garamond"/>
          <w:sz w:val="24"/>
          <w:szCs w:val="24"/>
        </w:rPr>
        <w:t>,</w:t>
      </w:r>
      <w:r w:rsidR="00B746C1" w:rsidRPr="00460B5C">
        <w:rPr>
          <w:rFonts w:ascii="Garamond" w:hAnsi="Garamond"/>
          <w:sz w:val="24"/>
          <w:szCs w:val="24"/>
        </w:rPr>
        <w:t xml:space="preserve"> la Cassazione ha precisato che, in virtù dell’autonomia del subappaltatore nell’esecuzione delle opere affidategli da</w:t>
      </w:r>
      <w:r w:rsidR="00AE6CC9" w:rsidRPr="00460B5C">
        <w:rPr>
          <w:rFonts w:ascii="Garamond" w:hAnsi="Garamond"/>
          <w:sz w:val="24"/>
          <w:szCs w:val="24"/>
        </w:rPr>
        <w:t>l</w:t>
      </w:r>
      <w:r w:rsidR="00B746C1" w:rsidRPr="00460B5C">
        <w:rPr>
          <w:rFonts w:ascii="Garamond" w:hAnsi="Garamond"/>
          <w:sz w:val="24"/>
          <w:szCs w:val="24"/>
        </w:rPr>
        <w:t xml:space="preserve"> subcommittente, la responsabilità del primo nei confronti del committente originario può essere affermata solo e in quanto lo stesso si sia discostato da quanto previsto nel contratto di subappalto</w:t>
      </w:r>
      <w:r w:rsidR="00B746C1" w:rsidRPr="00460B5C">
        <w:rPr>
          <w:rStyle w:val="Rimandonotaapidipagina"/>
          <w:rFonts w:ascii="Garamond" w:hAnsi="Garamond"/>
          <w:sz w:val="24"/>
          <w:szCs w:val="24"/>
        </w:rPr>
        <w:footnoteReference w:id="68"/>
      </w:r>
      <w:r w:rsidR="00B746C1" w:rsidRPr="00460B5C">
        <w:rPr>
          <w:rFonts w:ascii="Garamond" w:hAnsi="Garamond"/>
          <w:sz w:val="24"/>
          <w:szCs w:val="24"/>
        </w:rPr>
        <w:t xml:space="preserve">. </w:t>
      </w:r>
      <w:r w:rsidR="00AE6CC9" w:rsidRPr="00460B5C">
        <w:rPr>
          <w:rFonts w:ascii="Garamond" w:hAnsi="Garamond"/>
          <w:sz w:val="24"/>
          <w:szCs w:val="24"/>
        </w:rPr>
        <w:t>N</w:t>
      </w:r>
      <w:r w:rsidR="002D5135" w:rsidRPr="00460B5C">
        <w:rPr>
          <w:rFonts w:ascii="Garamond" w:hAnsi="Garamond"/>
          <w:sz w:val="24"/>
          <w:szCs w:val="24"/>
        </w:rPr>
        <w:t>el caso invece</w:t>
      </w:r>
      <w:r w:rsidR="00AE6CC9" w:rsidRPr="00460B5C">
        <w:rPr>
          <w:rFonts w:ascii="Garamond" w:hAnsi="Garamond"/>
          <w:sz w:val="24"/>
          <w:szCs w:val="24"/>
        </w:rPr>
        <w:t xml:space="preserve"> di discrepanza fra quanto stabilito nel contratto di appalto e in quello di subappalto sull’esecuzione dell’opera è il subappaltante che deve rispondere nei confronti del committente.</w:t>
      </w:r>
      <w:r w:rsidRPr="00460B5C">
        <w:rPr>
          <w:rFonts w:ascii="Garamond" w:hAnsi="Garamond"/>
          <w:sz w:val="24"/>
          <w:szCs w:val="24"/>
        </w:rPr>
        <w:t xml:space="preserve"> Il</w:t>
      </w:r>
      <w:r w:rsidR="000C3AA0" w:rsidRPr="00460B5C">
        <w:rPr>
          <w:rFonts w:ascii="Garamond" w:hAnsi="Garamond"/>
          <w:sz w:val="24"/>
          <w:szCs w:val="24"/>
        </w:rPr>
        <w:t xml:space="preserve"> subappaltatore risponde </w:t>
      </w:r>
      <w:r w:rsidR="00625DA1" w:rsidRPr="00460B5C">
        <w:rPr>
          <w:rFonts w:ascii="Garamond" w:hAnsi="Garamond"/>
          <w:sz w:val="24"/>
          <w:szCs w:val="24"/>
        </w:rPr>
        <w:t xml:space="preserve">dunque </w:t>
      </w:r>
      <w:r w:rsidR="000C3AA0" w:rsidRPr="00460B5C">
        <w:rPr>
          <w:rFonts w:ascii="Garamond" w:hAnsi="Garamond"/>
          <w:sz w:val="24"/>
          <w:szCs w:val="24"/>
        </w:rPr>
        <w:t>nei confronti del subappaltante</w:t>
      </w:r>
      <w:r w:rsidR="00D03EF3" w:rsidRPr="00460B5C">
        <w:rPr>
          <w:rFonts w:ascii="Garamond" w:hAnsi="Garamond"/>
          <w:sz w:val="24"/>
          <w:szCs w:val="24"/>
        </w:rPr>
        <w:t>,</w:t>
      </w:r>
      <w:r w:rsidR="000C3AA0" w:rsidRPr="00460B5C">
        <w:rPr>
          <w:rFonts w:ascii="Garamond" w:hAnsi="Garamond"/>
          <w:sz w:val="24"/>
          <w:szCs w:val="24"/>
        </w:rPr>
        <w:t xml:space="preserve"> oltre</w:t>
      </w:r>
      <w:r w:rsidR="005C5F22" w:rsidRPr="00460B5C">
        <w:rPr>
          <w:rFonts w:ascii="Garamond" w:hAnsi="Garamond"/>
          <w:sz w:val="24"/>
          <w:szCs w:val="24"/>
        </w:rPr>
        <w:t xml:space="preserve"> che</w:t>
      </w:r>
      <w:r w:rsidR="000C3AA0" w:rsidRPr="00460B5C">
        <w:rPr>
          <w:rFonts w:ascii="Garamond" w:hAnsi="Garamond"/>
          <w:sz w:val="24"/>
          <w:szCs w:val="24"/>
        </w:rPr>
        <w:t xml:space="preserve"> per inadempimento contrattuale, anche per difetti e difformità dell’opera (artt. 1667 e 1668 c.c.) nonché delle evenienze previste dall’art. 1669 c.c. (difetti e rovina dell’immobile entro 10 anni) ed infine è esclusivo responsabile per i danni arrecati a terzi nell’esecuzione dell’opera</w:t>
      </w:r>
      <w:r w:rsidRPr="00460B5C">
        <w:rPr>
          <w:rStyle w:val="Rimandonotaapidipagina"/>
          <w:rFonts w:ascii="Garamond" w:hAnsi="Garamond"/>
          <w:sz w:val="24"/>
          <w:szCs w:val="24"/>
        </w:rPr>
        <w:footnoteReference w:id="69"/>
      </w:r>
      <w:r w:rsidRPr="00460B5C">
        <w:rPr>
          <w:rFonts w:ascii="Garamond" w:hAnsi="Garamond"/>
          <w:sz w:val="24"/>
          <w:szCs w:val="24"/>
        </w:rPr>
        <w:t>.</w:t>
      </w:r>
      <w:r w:rsidR="000C3AA0" w:rsidRPr="00460B5C">
        <w:rPr>
          <w:rFonts w:ascii="Garamond" w:hAnsi="Garamond"/>
          <w:sz w:val="24"/>
          <w:szCs w:val="24"/>
        </w:rPr>
        <w:t xml:space="preserve"> </w:t>
      </w:r>
    </w:p>
    <w:p w14:paraId="648251CF" w14:textId="3D3D3CC4" w:rsidR="003A50A6" w:rsidRPr="00460B5C" w:rsidRDefault="003A50A6" w:rsidP="00D03EF3">
      <w:pPr>
        <w:pStyle w:val="TESTOCOMM"/>
        <w:spacing w:line="276" w:lineRule="auto"/>
        <w:rPr>
          <w:rFonts w:ascii="Garamond" w:hAnsi="Garamond"/>
          <w:b/>
          <w:color w:val="FF0000"/>
          <w:sz w:val="24"/>
          <w:szCs w:val="24"/>
        </w:rPr>
      </w:pPr>
    </w:p>
    <w:p w14:paraId="606A099C" w14:textId="77777777" w:rsidR="00D80686" w:rsidRPr="00460B5C" w:rsidRDefault="00D80686" w:rsidP="00460B5C">
      <w:pPr>
        <w:pStyle w:val="TESTOCOMM"/>
        <w:spacing w:line="276" w:lineRule="auto"/>
        <w:ind w:firstLine="0"/>
        <w:rPr>
          <w:rFonts w:ascii="Garamond" w:hAnsi="Garamond"/>
          <w:sz w:val="24"/>
          <w:szCs w:val="24"/>
        </w:rPr>
      </w:pPr>
    </w:p>
    <w:p w14:paraId="58D610A3" w14:textId="1C748285" w:rsidR="00404FE6" w:rsidRPr="00460B5C" w:rsidRDefault="00DB335E" w:rsidP="00460B5C">
      <w:pPr>
        <w:pStyle w:val="Titolo1"/>
      </w:pPr>
      <w:bookmarkStart w:id="17" w:name="_Toc38992727"/>
      <w:r>
        <w:t>I contrasti con il diritto eurounitario</w:t>
      </w:r>
      <w:bookmarkEnd w:id="17"/>
    </w:p>
    <w:p w14:paraId="7627FDAB" w14:textId="33D6F13D" w:rsidR="008E23C0" w:rsidRDefault="008E23C0" w:rsidP="00FD5493">
      <w:pPr>
        <w:ind w:firstLine="284"/>
        <w:jc w:val="both"/>
        <w:rPr>
          <w:rFonts w:ascii="Garamond" w:hAnsi="Garamond"/>
        </w:rPr>
      </w:pPr>
      <w:r w:rsidRPr="00460B5C">
        <w:rPr>
          <w:rFonts w:ascii="Garamond" w:hAnsi="Garamond"/>
        </w:rPr>
        <w:t>Già nella vigenza del precedente Codice dei contratti pubblici del 2006</w:t>
      </w:r>
      <w:r w:rsidR="00475A86" w:rsidRPr="00460B5C">
        <w:rPr>
          <w:rFonts w:ascii="Garamond" w:hAnsi="Garamond"/>
        </w:rPr>
        <w:t xml:space="preserve">, con nota del 30 gennaio 2008, n. 2007/2309, la Commissione </w:t>
      </w:r>
      <w:r w:rsidR="00705645">
        <w:rPr>
          <w:rFonts w:ascii="Garamond" w:hAnsi="Garamond"/>
        </w:rPr>
        <w:t>E</w:t>
      </w:r>
      <w:r w:rsidR="00475A86" w:rsidRPr="00460B5C">
        <w:rPr>
          <w:rFonts w:ascii="Garamond" w:hAnsi="Garamond"/>
        </w:rPr>
        <w:t>uropea aveva aperto una procedura di infrazione contro l’Italia, osservando che i limiti alla facoltà di avvalimento previsti dai commi 6 e 7 del previgente art. 49 fossero in contrasto con la normativa comunitaria</w:t>
      </w:r>
      <w:r w:rsidR="005F2582" w:rsidRPr="00460B5C">
        <w:rPr>
          <w:rStyle w:val="Rimandonotaapidipagina"/>
        </w:rPr>
        <w:footnoteReference w:id="70"/>
      </w:r>
      <w:r w:rsidR="00475A86" w:rsidRPr="00460B5C">
        <w:rPr>
          <w:rFonts w:ascii="Garamond" w:hAnsi="Garamond"/>
        </w:rPr>
        <w:t xml:space="preserve">. </w:t>
      </w:r>
      <w:r w:rsidR="00F0001A" w:rsidRPr="00460B5C">
        <w:rPr>
          <w:rFonts w:ascii="Garamond" w:hAnsi="Garamond"/>
        </w:rPr>
        <w:t>Le due disposizioni, in seguito rispettivamente modificat</w:t>
      </w:r>
      <w:r w:rsidR="001834F1" w:rsidRPr="00460B5C">
        <w:rPr>
          <w:rFonts w:ascii="Garamond" w:hAnsi="Garamond"/>
        </w:rPr>
        <w:t>e</w:t>
      </w:r>
      <w:r w:rsidR="00F0001A" w:rsidRPr="00460B5C">
        <w:rPr>
          <w:rFonts w:ascii="Garamond" w:hAnsi="Garamond"/>
        </w:rPr>
        <w:t xml:space="preserve"> e soppress</w:t>
      </w:r>
      <w:r w:rsidR="001834F1" w:rsidRPr="00460B5C">
        <w:rPr>
          <w:rFonts w:ascii="Garamond" w:hAnsi="Garamond"/>
        </w:rPr>
        <w:t>e</w:t>
      </w:r>
      <w:r w:rsidR="00F0001A" w:rsidRPr="00460B5C">
        <w:rPr>
          <w:rFonts w:ascii="Garamond" w:hAnsi="Garamond"/>
        </w:rPr>
        <w:t xml:space="preserve"> ad opera del </w:t>
      </w:r>
      <w:r w:rsidR="00475A86" w:rsidRPr="00460B5C">
        <w:rPr>
          <w:rFonts w:ascii="Garamond" w:hAnsi="Garamond"/>
        </w:rPr>
        <w:t>D.lgs</w:t>
      </w:r>
      <w:r w:rsidR="00F0001A" w:rsidRPr="00460B5C">
        <w:rPr>
          <w:rFonts w:ascii="Garamond" w:hAnsi="Garamond"/>
        </w:rPr>
        <w:t xml:space="preserve">. </w:t>
      </w:r>
      <w:r w:rsidR="00130DDD">
        <w:rPr>
          <w:rFonts w:ascii="Garamond" w:hAnsi="Garamond"/>
        </w:rPr>
        <w:t xml:space="preserve">n. </w:t>
      </w:r>
      <w:r w:rsidR="00F0001A" w:rsidRPr="00460B5C">
        <w:rPr>
          <w:rFonts w:ascii="Garamond" w:hAnsi="Garamond"/>
        </w:rPr>
        <w:t>152/2008 (cd. III Correttivo), facevano riferimento</w:t>
      </w:r>
      <w:r w:rsidR="001834F1" w:rsidRPr="00460B5C">
        <w:rPr>
          <w:rFonts w:ascii="Garamond" w:hAnsi="Garamond"/>
        </w:rPr>
        <w:t>, la prima</w:t>
      </w:r>
      <w:r w:rsidR="00F0001A" w:rsidRPr="00460B5C">
        <w:rPr>
          <w:rFonts w:ascii="Garamond" w:hAnsi="Garamond"/>
        </w:rPr>
        <w:t xml:space="preserve"> al divieto di cd. avvalimento plurimo, per cui ogni concorrente poteva avvalersi di una sola impresa ausiliaria per ciascun requisito</w:t>
      </w:r>
      <w:r w:rsidR="00130DDD">
        <w:rPr>
          <w:rFonts w:ascii="Garamond" w:hAnsi="Garamond"/>
        </w:rPr>
        <w:t xml:space="preserve"> </w:t>
      </w:r>
      <w:r w:rsidR="00F0001A" w:rsidRPr="00460B5C">
        <w:rPr>
          <w:rFonts w:ascii="Garamond" w:hAnsi="Garamond"/>
        </w:rPr>
        <w:t xml:space="preserve">e </w:t>
      </w:r>
      <w:r w:rsidR="001834F1" w:rsidRPr="00460B5C">
        <w:rPr>
          <w:rFonts w:ascii="Garamond" w:hAnsi="Garamond"/>
        </w:rPr>
        <w:t xml:space="preserve">la seconda </w:t>
      </w:r>
      <w:r w:rsidR="00F0001A" w:rsidRPr="00460B5C">
        <w:rPr>
          <w:rFonts w:ascii="Garamond" w:hAnsi="Garamond"/>
        </w:rPr>
        <w:t>alla facoltà della stazione appaltante di circoscrivere il ricorso all’avvalimento, limitandolo ai soli requisiti economici o tecnici o consentendolo solo in una determinata misura percentuale</w:t>
      </w:r>
      <w:r w:rsidR="00AE1BB8">
        <w:rPr>
          <w:rStyle w:val="Rimandonotaapidipagina"/>
        </w:rPr>
        <w:footnoteReference w:id="71"/>
      </w:r>
      <w:r w:rsidR="00F0001A" w:rsidRPr="00460B5C">
        <w:rPr>
          <w:rFonts w:ascii="Garamond" w:hAnsi="Garamond"/>
        </w:rPr>
        <w:t>.</w:t>
      </w:r>
    </w:p>
    <w:p w14:paraId="6A04ED7C" w14:textId="640DB602" w:rsidR="00D86697" w:rsidRPr="005F2582" w:rsidRDefault="00705645" w:rsidP="00D86697">
      <w:pPr>
        <w:ind w:firstLine="284"/>
        <w:jc w:val="both"/>
        <w:rPr>
          <w:rFonts w:ascii="Garamond" w:hAnsi="Garamond"/>
        </w:rPr>
      </w:pPr>
      <w:r w:rsidRPr="005F2582">
        <w:rPr>
          <w:rFonts w:ascii="Garamond" w:hAnsi="Garamond"/>
        </w:rPr>
        <w:t>Inoltre</w:t>
      </w:r>
      <w:r w:rsidR="00460B5C" w:rsidRPr="005F2582">
        <w:rPr>
          <w:rFonts w:ascii="Garamond" w:hAnsi="Garamond"/>
        </w:rPr>
        <w:t>, proprio al fine di evitare una procedura di infrazione</w:t>
      </w:r>
      <w:r w:rsidR="00130DDD" w:rsidRPr="005F2582">
        <w:rPr>
          <w:rFonts w:ascii="Garamond" w:hAnsi="Garamond"/>
        </w:rPr>
        <w:t xml:space="preserve">, già il comma 10 dell’art. 49 era stato modificato </w:t>
      </w:r>
      <w:r w:rsidR="00117698" w:rsidRPr="005F2582">
        <w:rPr>
          <w:rFonts w:ascii="Garamond" w:hAnsi="Garamond"/>
        </w:rPr>
        <w:t>ad opera del</w:t>
      </w:r>
      <w:r w:rsidR="00130DDD" w:rsidRPr="005F2582">
        <w:rPr>
          <w:rFonts w:ascii="Garamond" w:hAnsi="Garamond"/>
        </w:rPr>
        <w:t xml:space="preserve"> D.Lgs. n. </w:t>
      </w:r>
      <w:r w:rsidR="00163CDB" w:rsidRPr="005F2582">
        <w:rPr>
          <w:rFonts w:ascii="Garamond" w:hAnsi="Garamond"/>
        </w:rPr>
        <w:t xml:space="preserve">6/2007 </w:t>
      </w:r>
      <w:r w:rsidR="00130DDD" w:rsidRPr="005F2582">
        <w:rPr>
          <w:rFonts w:ascii="Garamond" w:hAnsi="Garamond"/>
        </w:rPr>
        <w:t>(cd. II Correttivo)</w:t>
      </w:r>
      <w:r w:rsidR="00163CDB" w:rsidRPr="005F2582">
        <w:rPr>
          <w:rStyle w:val="Rimandonotaapidipagina"/>
        </w:rPr>
        <w:footnoteReference w:id="72"/>
      </w:r>
      <w:r w:rsidR="00163CDB" w:rsidRPr="005F2582">
        <w:rPr>
          <w:rFonts w:ascii="Garamond" w:hAnsi="Garamond"/>
        </w:rPr>
        <w:t>. Difatti, sull’originaria formulazione del comma in questione,</w:t>
      </w:r>
      <w:r w:rsidR="00117698" w:rsidRPr="005F2582">
        <w:rPr>
          <w:rFonts w:ascii="Garamond" w:hAnsi="Garamond"/>
        </w:rPr>
        <w:t xml:space="preserve"> che escludeva che l’ausiliaria potesse assumere </w:t>
      </w:r>
      <w:r w:rsidR="005A0B28" w:rsidRPr="005F2582">
        <w:rPr>
          <w:rFonts w:ascii="Garamond" w:hAnsi="Garamond"/>
        </w:rPr>
        <w:t>anche</w:t>
      </w:r>
      <w:r w:rsidR="00117698" w:rsidRPr="005F2582">
        <w:rPr>
          <w:rFonts w:ascii="Garamond" w:hAnsi="Garamond"/>
        </w:rPr>
        <w:t xml:space="preserve"> il ruolo di subappaltatore, si erano espressi negativamente, seppur in un parere informale, i Servizi legali della Commissione</w:t>
      </w:r>
      <w:r w:rsidR="008D1896" w:rsidRPr="005F2582">
        <w:rPr>
          <w:rStyle w:val="Rimandonotaapidipagina"/>
        </w:rPr>
        <w:footnoteReference w:id="73"/>
      </w:r>
      <w:r w:rsidR="00117698" w:rsidRPr="005F2582">
        <w:rPr>
          <w:rFonts w:ascii="Garamond" w:hAnsi="Garamond"/>
        </w:rPr>
        <w:t xml:space="preserve">. </w:t>
      </w:r>
      <w:r w:rsidR="00117698" w:rsidRPr="005F2582">
        <w:rPr>
          <w:rFonts w:ascii="Garamond" w:hAnsi="Garamond"/>
        </w:rPr>
        <w:lastRenderedPageBreak/>
        <w:t xml:space="preserve">Pertanto, il </w:t>
      </w:r>
      <w:r w:rsidR="00163CDB" w:rsidRPr="005F2582">
        <w:rPr>
          <w:rFonts w:ascii="Garamond" w:hAnsi="Garamond"/>
        </w:rPr>
        <w:t>Consiglio di Stato</w:t>
      </w:r>
      <w:r w:rsidR="00117698" w:rsidRPr="005F2582">
        <w:rPr>
          <w:rFonts w:ascii="Garamond" w:hAnsi="Garamond"/>
        </w:rPr>
        <w:t>, nel proprio parere sugli atti normativi n. 3641/2006, aveva ravvisato l’opportunità di</w:t>
      </w:r>
      <w:r w:rsidR="00FB55C5" w:rsidRPr="005F2582">
        <w:rPr>
          <w:rFonts w:ascii="Garamond" w:hAnsi="Garamond"/>
        </w:rPr>
        <w:t xml:space="preserve"> intervenire sulla disposizione </w:t>
      </w:r>
      <w:r w:rsidR="00D86697" w:rsidRPr="005F2582">
        <w:rPr>
          <w:rFonts w:ascii="Garamond" w:hAnsi="Garamond"/>
        </w:rPr>
        <w:t>prevedendo la facoltà per l’impresa ausiliaria di assumere il ruolo di subappaltatore</w:t>
      </w:r>
      <w:r w:rsidRPr="005F2582">
        <w:rPr>
          <w:rFonts w:ascii="Garamond" w:hAnsi="Garamond"/>
        </w:rPr>
        <w:t>,</w:t>
      </w:r>
      <w:r w:rsidR="00547AAC" w:rsidRPr="005F2582">
        <w:rPr>
          <w:rFonts w:ascii="Garamond" w:hAnsi="Garamond"/>
        </w:rPr>
        <w:t xml:space="preserve"> indicazione </w:t>
      </w:r>
      <w:r w:rsidRPr="005F2582">
        <w:rPr>
          <w:rFonts w:ascii="Garamond" w:hAnsi="Garamond"/>
        </w:rPr>
        <w:t>per l’appunto poi</w:t>
      </w:r>
      <w:r w:rsidR="00547AAC" w:rsidRPr="005F2582">
        <w:rPr>
          <w:rFonts w:ascii="Garamond" w:hAnsi="Garamond"/>
        </w:rPr>
        <w:t xml:space="preserve"> recepita dal cd. II Correttivo al Codice del 2006</w:t>
      </w:r>
      <w:r w:rsidR="008D1896" w:rsidRPr="005F2582">
        <w:rPr>
          <w:rStyle w:val="Rimandonotaapidipagina"/>
        </w:rPr>
        <w:footnoteReference w:id="74"/>
      </w:r>
      <w:r w:rsidR="00547AAC" w:rsidRPr="005F2582">
        <w:rPr>
          <w:rFonts w:ascii="Garamond" w:hAnsi="Garamond"/>
        </w:rPr>
        <w:t>.</w:t>
      </w:r>
    </w:p>
    <w:p w14:paraId="590EA160" w14:textId="09244691" w:rsidR="003A3F96" w:rsidRPr="00944F22" w:rsidRDefault="00A61973" w:rsidP="003A3F96">
      <w:pPr>
        <w:ind w:firstLine="284"/>
        <w:jc w:val="both"/>
        <w:rPr>
          <w:rFonts w:ascii="Garamond" w:hAnsi="Garamond"/>
        </w:rPr>
      </w:pPr>
      <w:r>
        <w:rPr>
          <w:rFonts w:ascii="Garamond" w:hAnsi="Garamond"/>
        </w:rPr>
        <w:t>Anche</w:t>
      </w:r>
      <w:r w:rsidR="005A0B28" w:rsidRPr="00E959F1">
        <w:rPr>
          <w:rFonts w:ascii="Garamond" w:hAnsi="Garamond"/>
        </w:rPr>
        <w:t xml:space="preserve"> con</w:t>
      </w:r>
      <w:r w:rsidR="00FD5493" w:rsidRPr="00E959F1">
        <w:rPr>
          <w:rFonts w:ascii="Garamond" w:hAnsi="Garamond"/>
        </w:rPr>
        <w:t xml:space="preserve"> riferimento</w:t>
      </w:r>
      <w:r w:rsidR="00F0001A" w:rsidRPr="00E959F1">
        <w:rPr>
          <w:rFonts w:ascii="Garamond" w:hAnsi="Garamond"/>
        </w:rPr>
        <w:t xml:space="preserve"> </w:t>
      </w:r>
      <w:r w:rsidR="00FD5493" w:rsidRPr="00E959F1">
        <w:rPr>
          <w:rFonts w:ascii="Garamond" w:hAnsi="Garamond"/>
        </w:rPr>
        <w:t>al Codice</w:t>
      </w:r>
      <w:r w:rsidR="00705645" w:rsidRPr="00E959F1">
        <w:rPr>
          <w:rFonts w:ascii="Garamond" w:hAnsi="Garamond"/>
        </w:rPr>
        <w:t xml:space="preserve"> vigente</w:t>
      </w:r>
      <w:r w:rsidR="00FD5493" w:rsidRPr="00E959F1">
        <w:rPr>
          <w:rFonts w:ascii="Garamond" w:hAnsi="Garamond"/>
        </w:rPr>
        <w:t xml:space="preserve">, </w:t>
      </w:r>
      <w:r w:rsidR="005A0B28" w:rsidRPr="00E959F1">
        <w:rPr>
          <w:rFonts w:ascii="Garamond" w:hAnsi="Garamond"/>
        </w:rPr>
        <w:t>la Commissione Europea,</w:t>
      </w:r>
      <w:r w:rsidR="00FD5493" w:rsidRPr="00E959F1">
        <w:rPr>
          <w:rFonts w:ascii="Garamond" w:hAnsi="Garamond"/>
        </w:rPr>
        <w:t xml:space="preserve"> t</w:t>
      </w:r>
      <w:r w:rsidR="00F0001A" w:rsidRPr="00E959F1">
        <w:rPr>
          <w:rFonts w:ascii="Garamond" w:hAnsi="Garamond"/>
        </w:rPr>
        <w:t xml:space="preserve">ramite </w:t>
      </w:r>
      <w:r w:rsidR="00FD5493" w:rsidRPr="00E959F1">
        <w:rPr>
          <w:rFonts w:ascii="Garamond" w:hAnsi="Garamond"/>
        </w:rPr>
        <w:t>la</w:t>
      </w:r>
      <w:r w:rsidR="008D1896" w:rsidRPr="00E959F1">
        <w:rPr>
          <w:rFonts w:ascii="Garamond" w:hAnsi="Garamond"/>
        </w:rPr>
        <w:t xml:space="preserve"> </w:t>
      </w:r>
      <w:r w:rsidR="00404FE6" w:rsidRPr="00E959F1">
        <w:rPr>
          <w:rFonts w:ascii="Garamond" w:hAnsi="Garamond"/>
        </w:rPr>
        <w:t>procedura di infrazione</w:t>
      </w:r>
      <w:r w:rsidR="00FD5493" w:rsidRPr="00E959F1">
        <w:rPr>
          <w:rFonts w:ascii="Garamond" w:hAnsi="Garamond"/>
        </w:rPr>
        <w:t xml:space="preserve"> </w:t>
      </w:r>
      <w:r w:rsidR="00404FE6" w:rsidRPr="00E959F1">
        <w:rPr>
          <w:rFonts w:ascii="Garamond" w:hAnsi="Garamond"/>
        </w:rPr>
        <w:t>n. 2273/2018</w:t>
      </w:r>
      <w:r w:rsidR="003A3F96" w:rsidRPr="00E959F1">
        <w:rPr>
          <w:rFonts w:ascii="Garamond" w:hAnsi="Garamond"/>
        </w:rPr>
        <w:t xml:space="preserve">, </w:t>
      </w:r>
      <w:r w:rsidR="00FD5493" w:rsidRPr="00E959F1">
        <w:rPr>
          <w:rFonts w:ascii="Garamond" w:hAnsi="Garamond"/>
        </w:rPr>
        <w:t>tra le</w:t>
      </w:r>
      <w:r w:rsidR="00404FE6" w:rsidRPr="00E959F1">
        <w:rPr>
          <w:rFonts w:ascii="Garamond" w:hAnsi="Garamond"/>
        </w:rPr>
        <w:t xml:space="preserve"> disposizioni </w:t>
      </w:r>
      <w:r w:rsidR="00FD5493" w:rsidRPr="00E959F1">
        <w:rPr>
          <w:rFonts w:ascii="Garamond" w:hAnsi="Garamond"/>
        </w:rPr>
        <w:t>considerate incompatibili</w:t>
      </w:r>
      <w:r w:rsidR="003D70E8" w:rsidRPr="00E959F1">
        <w:rPr>
          <w:rFonts w:ascii="Garamond" w:hAnsi="Garamond"/>
        </w:rPr>
        <w:t xml:space="preserve"> rispetto al diritto europeo</w:t>
      </w:r>
      <w:r w:rsidR="00FD5493" w:rsidRPr="00E959F1">
        <w:rPr>
          <w:rFonts w:ascii="Garamond" w:hAnsi="Garamond"/>
        </w:rPr>
        <w:t xml:space="preserve"> </w:t>
      </w:r>
      <w:r w:rsidR="005A0B28" w:rsidRPr="00E959F1">
        <w:rPr>
          <w:rFonts w:ascii="Garamond" w:hAnsi="Garamond"/>
        </w:rPr>
        <w:t xml:space="preserve">ne </w:t>
      </w:r>
      <w:r w:rsidR="00FD5493" w:rsidRPr="00E959F1">
        <w:rPr>
          <w:rFonts w:ascii="Garamond" w:hAnsi="Garamond"/>
        </w:rPr>
        <w:t xml:space="preserve">ha </w:t>
      </w:r>
      <w:r w:rsidR="005A0B28" w:rsidRPr="00E959F1">
        <w:rPr>
          <w:rFonts w:ascii="Garamond" w:hAnsi="Garamond"/>
        </w:rPr>
        <w:t>censurat</w:t>
      </w:r>
      <w:r w:rsidR="00705645" w:rsidRPr="00E959F1">
        <w:rPr>
          <w:rFonts w:ascii="Garamond" w:hAnsi="Garamond"/>
        </w:rPr>
        <w:t>e</w:t>
      </w:r>
      <w:r w:rsidR="005A0B28" w:rsidRPr="00E959F1">
        <w:rPr>
          <w:rFonts w:ascii="Garamond" w:hAnsi="Garamond"/>
        </w:rPr>
        <w:t xml:space="preserve"> talune</w:t>
      </w:r>
      <w:r w:rsidR="00BE0733" w:rsidRPr="00E959F1">
        <w:rPr>
          <w:rFonts w:ascii="Garamond" w:hAnsi="Garamond"/>
        </w:rPr>
        <w:t xml:space="preserve"> </w:t>
      </w:r>
      <w:r w:rsidR="005A0B28" w:rsidRPr="00E959F1">
        <w:rPr>
          <w:rFonts w:ascii="Garamond" w:hAnsi="Garamond"/>
        </w:rPr>
        <w:t>riguardanti</w:t>
      </w:r>
      <w:r w:rsidR="00BE0733" w:rsidRPr="00E959F1">
        <w:rPr>
          <w:rFonts w:ascii="Garamond" w:hAnsi="Garamond"/>
        </w:rPr>
        <w:t xml:space="preserve"> l’avvalimento e il subappalto. Tali istituti</w:t>
      </w:r>
      <w:r w:rsidR="00705645" w:rsidRPr="00E959F1">
        <w:rPr>
          <w:rFonts w:ascii="Garamond" w:hAnsi="Garamond"/>
        </w:rPr>
        <w:t>,</w:t>
      </w:r>
      <w:r w:rsidR="00BE0733" w:rsidRPr="00E959F1">
        <w:rPr>
          <w:rFonts w:ascii="Garamond" w:hAnsi="Garamond"/>
        </w:rPr>
        <w:t xml:space="preserve"> che</w:t>
      </w:r>
      <w:r w:rsidR="0082089E" w:rsidRPr="00E959F1">
        <w:rPr>
          <w:rFonts w:ascii="Garamond" w:hAnsi="Garamond"/>
        </w:rPr>
        <w:t xml:space="preserve"> </w:t>
      </w:r>
      <w:r w:rsidR="00BE0733" w:rsidRPr="00E959F1">
        <w:rPr>
          <w:rFonts w:ascii="Garamond" w:hAnsi="Garamond"/>
        </w:rPr>
        <w:t xml:space="preserve">nell’ottica europea </w:t>
      </w:r>
      <w:r w:rsidR="00E043FF" w:rsidRPr="00E959F1">
        <w:rPr>
          <w:rFonts w:ascii="Garamond" w:hAnsi="Garamond"/>
        </w:rPr>
        <w:t xml:space="preserve">sostanzialmente non </w:t>
      </w:r>
      <w:r w:rsidR="00BE0733" w:rsidRPr="00E959F1">
        <w:rPr>
          <w:rFonts w:ascii="Garamond" w:hAnsi="Garamond"/>
        </w:rPr>
        <w:t xml:space="preserve">dovrebbero </w:t>
      </w:r>
      <w:r w:rsidR="00E043FF" w:rsidRPr="00E959F1">
        <w:rPr>
          <w:rFonts w:ascii="Garamond" w:hAnsi="Garamond"/>
        </w:rPr>
        <w:t>incontrare limitazioni</w:t>
      </w:r>
      <w:r w:rsidR="00705645" w:rsidRPr="00E959F1">
        <w:rPr>
          <w:rFonts w:ascii="Garamond" w:hAnsi="Garamond"/>
        </w:rPr>
        <w:t xml:space="preserve">, </w:t>
      </w:r>
      <w:r w:rsidR="00E043FF" w:rsidRPr="00E959F1">
        <w:rPr>
          <w:rFonts w:ascii="Garamond" w:hAnsi="Garamond"/>
        </w:rPr>
        <w:t>subiscono invece nella nostra normativa talune restrizioni,</w:t>
      </w:r>
      <w:r w:rsidR="0082089E" w:rsidRPr="00E959F1">
        <w:rPr>
          <w:rFonts w:ascii="Garamond" w:hAnsi="Garamond"/>
        </w:rPr>
        <w:t xml:space="preserve"> </w:t>
      </w:r>
      <w:r w:rsidR="00E043FF" w:rsidRPr="00E959F1">
        <w:rPr>
          <w:rFonts w:ascii="Garamond" w:hAnsi="Garamond"/>
        </w:rPr>
        <w:t xml:space="preserve">incompatibili, secondo la Commissione, con i </w:t>
      </w:r>
      <w:r w:rsidR="0082089E" w:rsidRPr="00E959F1">
        <w:rPr>
          <w:rFonts w:ascii="Garamond" w:hAnsi="Garamond"/>
        </w:rPr>
        <w:t>contenut</w:t>
      </w:r>
      <w:r w:rsidR="00E043FF" w:rsidRPr="00E959F1">
        <w:rPr>
          <w:rFonts w:ascii="Garamond" w:hAnsi="Garamond"/>
        </w:rPr>
        <w:t>i</w:t>
      </w:r>
      <w:r w:rsidR="0082089E" w:rsidRPr="00E959F1">
        <w:rPr>
          <w:rFonts w:ascii="Garamond" w:hAnsi="Garamond"/>
        </w:rPr>
        <w:t xml:space="preserve"> delle direttive UE del 2014</w:t>
      </w:r>
      <w:r w:rsidR="00705645" w:rsidRPr="00E959F1">
        <w:rPr>
          <w:rFonts w:ascii="Garamond" w:hAnsi="Garamond"/>
        </w:rPr>
        <w:t>,</w:t>
      </w:r>
      <w:r w:rsidR="0082089E" w:rsidRPr="00E959F1">
        <w:rPr>
          <w:rFonts w:ascii="Garamond" w:hAnsi="Garamond"/>
        </w:rPr>
        <w:t xml:space="preserve"> rispetto</w:t>
      </w:r>
      <w:r w:rsidR="003D70E8" w:rsidRPr="00E959F1">
        <w:rPr>
          <w:rFonts w:ascii="Garamond" w:hAnsi="Garamond"/>
        </w:rPr>
        <w:t xml:space="preserve"> a</w:t>
      </w:r>
      <w:r w:rsidR="00E53116" w:rsidRPr="00E959F1">
        <w:rPr>
          <w:rFonts w:ascii="Garamond" w:hAnsi="Garamond"/>
        </w:rPr>
        <w:t>l principio di proporzionalità</w:t>
      </w:r>
      <w:r w:rsidR="00705645" w:rsidRPr="00E959F1">
        <w:rPr>
          <w:rFonts w:ascii="Garamond" w:hAnsi="Garamond"/>
        </w:rPr>
        <w:t xml:space="preserve">, </w:t>
      </w:r>
      <w:r w:rsidR="00705645" w:rsidRPr="00944F22">
        <w:rPr>
          <w:rFonts w:ascii="Garamond" w:hAnsi="Garamond"/>
        </w:rPr>
        <w:t>nonché,</w:t>
      </w:r>
      <w:r w:rsidR="00E043FF" w:rsidRPr="00944F22">
        <w:rPr>
          <w:rFonts w:ascii="Garamond" w:hAnsi="Garamond"/>
        </w:rPr>
        <w:t xml:space="preserve"> più in generale</w:t>
      </w:r>
      <w:r w:rsidR="00705645" w:rsidRPr="00944F22">
        <w:rPr>
          <w:rFonts w:ascii="Garamond" w:hAnsi="Garamond"/>
        </w:rPr>
        <w:t>,</w:t>
      </w:r>
      <w:r w:rsidR="00E043FF" w:rsidRPr="00944F22">
        <w:rPr>
          <w:rFonts w:ascii="Garamond" w:hAnsi="Garamond"/>
        </w:rPr>
        <w:t xml:space="preserve"> </w:t>
      </w:r>
      <w:r w:rsidR="00705645" w:rsidRPr="00944F22">
        <w:rPr>
          <w:rFonts w:ascii="Garamond" w:hAnsi="Garamond"/>
        </w:rPr>
        <w:t xml:space="preserve">con riguardo </w:t>
      </w:r>
      <w:r w:rsidR="00E043FF" w:rsidRPr="00944F22">
        <w:rPr>
          <w:rFonts w:ascii="Garamond" w:hAnsi="Garamond"/>
        </w:rPr>
        <w:t>ai principi</w:t>
      </w:r>
      <w:r w:rsidR="003D70E8" w:rsidRPr="00944F22">
        <w:rPr>
          <w:rFonts w:ascii="Garamond" w:hAnsi="Garamond"/>
        </w:rPr>
        <w:t xml:space="preserve"> </w:t>
      </w:r>
      <w:r w:rsidR="00E043FF" w:rsidRPr="00944F22">
        <w:rPr>
          <w:rFonts w:ascii="Garamond" w:hAnsi="Garamond"/>
        </w:rPr>
        <w:t xml:space="preserve">di ampliamento della concorrenza e di </w:t>
      </w:r>
      <w:r w:rsidR="00E043FF" w:rsidRPr="00A90E47">
        <w:rPr>
          <w:rFonts w:ascii="Garamond" w:hAnsi="Garamond"/>
          <w:i/>
          <w:iCs/>
        </w:rPr>
        <w:t>favor</w:t>
      </w:r>
      <w:r w:rsidR="003D70E8" w:rsidRPr="00A90E47">
        <w:rPr>
          <w:rFonts w:ascii="Garamond" w:hAnsi="Garamond"/>
          <w:i/>
          <w:iCs/>
        </w:rPr>
        <w:t xml:space="preserve"> </w:t>
      </w:r>
      <w:r w:rsidR="00A94C0C" w:rsidRPr="00A90E47">
        <w:rPr>
          <w:rFonts w:ascii="Garamond" w:hAnsi="Garamond"/>
          <w:i/>
          <w:iCs/>
        </w:rPr>
        <w:t>partecipationis</w:t>
      </w:r>
      <w:r w:rsidR="003D70E8" w:rsidRPr="00944F22">
        <w:rPr>
          <w:rFonts w:ascii="Garamond" w:hAnsi="Garamond"/>
        </w:rPr>
        <w:t xml:space="preserve"> delle PMI.</w:t>
      </w:r>
    </w:p>
    <w:p w14:paraId="307E531C" w14:textId="32ACA52B" w:rsidR="00BE0733" w:rsidRPr="005A005B" w:rsidRDefault="003D70E8" w:rsidP="004F594C">
      <w:pPr>
        <w:ind w:firstLine="284"/>
        <w:jc w:val="both"/>
        <w:rPr>
          <w:rFonts w:ascii="Garamond" w:hAnsi="Garamond"/>
        </w:rPr>
      </w:pPr>
      <w:r w:rsidRPr="00944F22">
        <w:rPr>
          <w:rFonts w:ascii="Garamond" w:hAnsi="Garamond"/>
        </w:rPr>
        <w:t>Con particolare riguardo ai rilievi mossi per il tramite della procedura di infrazione</w:t>
      </w:r>
      <w:r w:rsidR="0082089E" w:rsidRPr="00944F22">
        <w:rPr>
          <w:rFonts w:ascii="Garamond" w:hAnsi="Garamond"/>
        </w:rPr>
        <w:t xml:space="preserve"> relativamente all’art. 89 del D.Lgs. n. 50/2016, la Commissione ha censurato anzitutto il divieto del cd. avvalimen</w:t>
      </w:r>
      <w:r w:rsidR="00163CDB" w:rsidRPr="00944F22">
        <w:rPr>
          <w:rFonts w:ascii="Garamond" w:hAnsi="Garamond"/>
        </w:rPr>
        <w:t xml:space="preserve">to a cascata di cui al comma 6, ossia il divieto per </w:t>
      </w:r>
      <w:r w:rsidR="00514CB0" w:rsidRPr="00944F22">
        <w:rPr>
          <w:rFonts w:ascii="Garamond" w:hAnsi="Garamond"/>
        </w:rPr>
        <w:t>l’impresa ausiliaria</w:t>
      </w:r>
      <w:r w:rsidR="00163CDB" w:rsidRPr="00944F22">
        <w:rPr>
          <w:rFonts w:ascii="Garamond" w:hAnsi="Garamond"/>
        </w:rPr>
        <w:t xml:space="preserve"> di </w:t>
      </w:r>
      <w:r w:rsidR="0008645A" w:rsidRPr="00944F22">
        <w:rPr>
          <w:rFonts w:ascii="Garamond" w:hAnsi="Garamond"/>
        </w:rPr>
        <w:t>avvalersi</w:t>
      </w:r>
      <w:r w:rsidR="00324086" w:rsidRPr="00944F22">
        <w:rPr>
          <w:rFonts w:ascii="Garamond" w:hAnsi="Garamond"/>
        </w:rPr>
        <w:t xml:space="preserve">, a sua volta, </w:t>
      </w:r>
      <w:r w:rsidR="00163CDB" w:rsidRPr="00944F22">
        <w:rPr>
          <w:rFonts w:ascii="Garamond" w:hAnsi="Garamond"/>
        </w:rPr>
        <w:t>delle capacità di un altro soggetto</w:t>
      </w:r>
      <w:r w:rsidR="00A02404" w:rsidRPr="00944F22">
        <w:rPr>
          <w:rStyle w:val="Rimandonotaapidipagina"/>
        </w:rPr>
        <w:footnoteReference w:id="75"/>
      </w:r>
      <w:r w:rsidR="00163CDB" w:rsidRPr="00944F22">
        <w:rPr>
          <w:rFonts w:ascii="Garamond" w:hAnsi="Garamond"/>
        </w:rPr>
        <w:t>.</w:t>
      </w:r>
      <w:r w:rsidR="007F01C4" w:rsidRPr="00944F22">
        <w:rPr>
          <w:rFonts w:ascii="Garamond" w:hAnsi="Garamond"/>
        </w:rPr>
        <w:t xml:space="preserve"> Da quanto emerge dalle direttive del 2014 </w:t>
      </w:r>
      <w:r w:rsidR="00AA5DAA" w:rsidRPr="00944F22">
        <w:rPr>
          <w:rFonts w:ascii="Garamond" w:hAnsi="Garamond"/>
        </w:rPr>
        <w:t>è</w:t>
      </w:r>
      <w:r w:rsidR="007F01C4" w:rsidRPr="00944F22">
        <w:rPr>
          <w:rFonts w:ascii="Garamond" w:hAnsi="Garamond"/>
        </w:rPr>
        <w:t xml:space="preserve"> consentita la facoltà di avvalersi di </w:t>
      </w:r>
      <w:r w:rsidR="007F01C4" w:rsidRPr="005A005B">
        <w:rPr>
          <w:rFonts w:ascii="Garamond" w:hAnsi="Garamond"/>
        </w:rPr>
        <w:t>qualsiasi soggetto “</w:t>
      </w:r>
      <w:r w:rsidR="007F01C4" w:rsidRPr="005A005B">
        <w:rPr>
          <w:rFonts w:ascii="Garamond" w:hAnsi="Garamond"/>
          <w:i/>
        </w:rPr>
        <w:t>indipendentemente dalla natura giuridica dei rapporti</w:t>
      </w:r>
      <w:r w:rsidR="007F01C4" w:rsidRPr="005A005B">
        <w:rPr>
          <w:rFonts w:ascii="Garamond" w:hAnsi="Garamond"/>
        </w:rPr>
        <w:t>” che intercorrono tra ausiliata ed ausiliaria</w:t>
      </w:r>
      <w:r w:rsidR="00AA5DAA" w:rsidRPr="005A005B">
        <w:rPr>
          <w:rFonts w:ascii="Garamond" w:hAnsi="Garamond"/>
        </w:rPr>
        <w:t xml:space="preserve"> e tal</w:t>
      </w:r>
      <w:r w:rsidR="00E303CC" w:rsidRPr="005A005B">
        <w:rPr>
          <w:rFonts w:ascii="Garamond" w:hAnsi="Garamond"/>
        </w:rPr>
        <w:t>e</w:t>
      </w:r>
      <w:r w:rsidR="00AA5DAA" w:rsidRPr="005A005B">
        <w:rPr>
          <w:rFonts w:ascii="Garamond" w:hAnsi="Garamond"/>
        </w:rPr>
        <w:t xml:space="preserve"> frase impedisce, secondo la Commissione, di vietare l’avvalimento a cascata.</w:t>
      </w:r>
    </w:p>
    <w:p w14:paraId="7A6514F2" w14:textId="4413EE9F" w:rsidR="00E303CC" w:rsidRPr="00AE1BB8" w:rsidRDefault="00E303CC" w:rsidP="007264AD">
      <w:pPr>
        <w:ind w:firstLine="284"/>
        <w:jc w:val="both"/>
        <w:rPr>
          <w:rFonts w:ascii="Garamond" w:hAnsi="Garamond"/>
          <w:color w:val="FF0000"/>
        </w:rPr>
      </w:pPr>
      <w:r w:rsidRPr="005A005B">
        <w:rPr>
          <w:rFonts w:ascii="Garamond" w:hAnsi="Garamond"/>
        </w:rPr>
        <w:t xml:space="preserve">Sul tema la giurisprudenza amministrativa formatasi nella vigenza del precedente Codice, che non prevedeva espressamente il divieto di avvalimento a cascata, si è sempre espressa in favore di tale </w:t>
      </w:r>
      <w:r w:rsidRPr="00AE1BB8">
        <w:rPr>
          <w:rFonts w:ascii="Garamond" w:hAnsi="Garamond"/>
        </w:rPr>
        <w:t>divieto, sostanzialmente argomentando che il vincolo di responsabilità solidale che lega direttamente ed immediatamente l’ausiliaria a</w:t>
      </w:r>
      <w:r w:rsidR="00944F22" w:rsidRPr="00AE1BB8">
        <w:rPr>
          <w:rFonts w:ascii="Garamond" w:hAnsi="Garamond"/>
        </w:rPr>
        <w:t xml:space="preserve">l concorrente verrebbe infranto </w:t>
      </w:r>
      <w:r w:rsidRPr="00AE1BB8">
        <w:rPr>
          <w:rFonts w:ascii="Garamond" w:hAnsi="Garamond"/>
        </w:rPr>
        <w:t>da</w:t>
      </w:r>
      <w:r w:rsidR="007264AD" w:rsidRPr="00AE1BB8">
        <w:rPr>
          <w:rFonts w:ascii="Garamond" w:hAnsi="Garamond"/>
        </w:rPr>
        <w:t>l coinvolgimento di un ulteriore so</w:t>
      </w:r>
      <w:r w:rsidR="00944F22" w:rsidRPr="00AE1BB8">
        <w:rPr>
          <w:rFonts w:ascii="Garamond" w:hAnsi="Garamond"/>
        </w:rPr>
        <w:t>ggetto da parte dell’ausiliaria</w:t>
      </w:r>
      <w:r w:rsidR="00944F22" w:rsidRPr="00AE1BB8">
        <w:rPr>
          <w:rStyle w:val="Rimandonotaapidipagina"/>
        </w:rPr>
        <w:footnoteReference w:id="76"/>
      </w:r>
      <w:r w:rsidR="00944F22" w:rsidRPr="00AE1BB8">
        <w:rPr>
          <w:rFonts w:ascii="Garamond" w:hAnsi="Garamond"/>
        </w:rPr>
        <w:t>.</w:t>
      </w:r>
      <w:r w:rsidR="007264AD" w:rsidRPr="00AE1BB8">
        <w:rPr>
          <w:rFonts w:ascii="Garamond" w:hAnsi="Garamond"/>
        </w:rPr>
        <w:t xml:space="preserve"> </w:t>
      </w:r>
    </w:p>
    <w:p w14:paraId="40B7326F" w14:textId="498E31FA" w:rsidR="007264AD" w:rsidRPr="00AE1BB8" w:rsidRDefault="007264AD" w:rsidP="007264AD">
      <w:pPr>
        <w:ind w:firstLine="284"/>
        <w:jc w:val="both"/>
        <w:rPr>
          <w:rFonts w:ascii="Garamond" w:hAnsi="Garamond"/>
          <w:color w:val="000000" w:themeColor="text1"/>
        </w:rPr>
      </w:pPr>
      <w:r w:rsidRPr="00AE1BB8">
        <w:rPr>
          <w:rFonts w:ascii="Garamond" w:hAnsi="Garamond"/>
          <w:color w:val="000000" w:themeColor="text1"/>
        </w:rPr>
        <w:t xml:space="preserve">Sempre nella vigenza del Codice previgente, un </w:t>
      </w:r>
      <w:r w:rsidR="005C42F2" w:rsidRPr="00AE1BB8">
        <w:rPr>
          <w:rFonts w:ascii="Garamond" w:hAnsi="Garamond"/>
          <w:color w:val="000000" w:themeColor="text1"/>
        </w:rPr>
        <w:t xml:space="preserve">peculiare </w:t>
      </w:r>
      <w:r w:rsidRPr="00AE1BB8">
        <w:rPr>
          <w:rFonts w:ascii="Garamond" w:hAnsi="Garamond"/>
          <w:color w:val="000000" w:themeColor="text1"/>
        </w:rPr>
        <w:t xml:space="preserve">precipitato del divieto di avvalimento </w:t>
      </w:r>
      <w:r w:rsidR="005C42F2" w:rsidRPr="00AE1BB8">
        <w:rPr>
          <w:rFonts w:ascii="Garamond" w:hAnsi="Garamond"/>
          <w:color w:val="000000" w:themeColor="text1"/>
        </w:rPr>
        <w:t>a cascata era rappresentato d</w:t>
      </w:r>
      <w:r w:rsidR="00944F22" w:rsidRPr="00AE1BB8">
        <w:rPr>
          <w:rFonts w:ascii="Garamond" w:hAnsi="Garamond"/>
          <w:color w:val="000000" w:themeColor="text1"/>
        </w:rPr>
        <w:t>al divieto</w:t>
      </w:r>
      <w:r w:rsidRPr="00AE1BB8">
        <w:rPr>
          <w:rFonts w:ascii="Garamond" w:hAnsi="Garamond"/>
          <w:color w:val="000000" w:themeColor="text1"/>
        </w:rPr>
        <w:t xml:space="preserve"> per il progettista indicato</w:t>
      </w:r>
      <w:r w:rsidR="005C42F2" w:rsidRPr="00AE1BB8">
        <w:rPr>
          <w:rFonts w:ascii="Garamond" w:hAnsi="Garamond"/>
          <w:color w:val="000000" w:themeColor="text1"/>
        </w:rPr>
        <w:t xml:space="preserve"> nell’offerta di cui il concorrente intendeva avvalersi - per dimostrare il possesso dei requisiti relativi alla prestazione progettuale di un contratto misto, </w:t>
      </w:r>
      <w:r w:rsidR="005C42F2" w:rsidRPr="00AE1BB8">
        <w:rPr>
          <w:rFonts w:ascii="Garamond" w:hAnsi="Garamond"/>
          <w:i/>
          <w:color w:val="000000" w:themeColor="text1"/>
        </w:rPr>
        <w:t>in primis</w:t>
      </w:r>
      <w:r w:rsidR="005C42F2" w:rsidRPr="00AE1BB8">
        <w:rPr>
          <w:rFonts w:ascii="Garamond" w:hAnsi="Garamond"/>
          <w:color w:val="000000" w:themeColor="text1"/>
        </w:rPr>
        <w:t xml:space="preserve"> il cosiddetto appalto integrato</w:t>
      </w:r>
      <w:r w:rsidR="00944F22" w:rsidRPr="00AE1BB8">
        <w:rPr>
          <w:rStyle w:val="Rimandonotaapidipagina"/>
          <w:color w:val="000000" w:themeColor="text1"/>
        </w:rPr>
        <w:footnoteReference w:id="77"/>
      </w:r>
      <w:r w:rsidR="005C42F2" w:rsidRPr="00AE1BB8">
        <w:rPr>
          <w:rFonts w:ascii="Garamond" w:hAnsi="Garamond"/>
          <w:color w:val="000000" w:themeColor="text1"/>
        </w:rPr>
        <w:t>– di ricorrere a sua volta all’avvalimento.</w:t>
      </w:r>
    </w:p>
    <w:p w14:paraId="71CC56CB" w14:textId="3C13A31D" w:rsidR="007270E0" w:rsidRDefault="005C42F2" w:rsidP="00AF25A0">
      <w:pPr>
        <w:ind w:firstLine="284"/>
        <w:jc w:val="both"/>
        <w:rPr>
          <w:rFonts w:ascii="Garamond" w:hAnsi="Garamond"/>
          <w:color w:val="000000" w:themeColor="text1"/>
        </w:rPr>
      </w:pPr>
      <w:r w:rsidRPr="00AE1BB8">
        <w:rPr>
          <w:rFonts w:ascii="Garamond" w:hAnsi="Garamond"/>
          <w:color w:val="000000" w:themeColor="text1"/>
        </w:rPr>
        <w:t>Anche per tale peculiare ipotesi la giurisprudenza e l’</w:t>
      </w:r>
      <w:r w:rsidR="005B3460" w:rsidRPr="00AE1BB8">
        <w:rPr>
          <w:rFonts w:ascii="Garamond" w:hAnsi="Garamond"/>
          <w:color w:val="000000" w:themeColor="text1"/>
        </w:rPr>
        <w:t xml:space="preserve">ex </w:t>
      </w:r>
      <w:r w:rsidRPr="00AE1BB8">
        <w:rPr>
          <w:rFonts w:ascii="Garamond" w:hAnsi="Garamond"/>
          <w:color w:val="000000" w:themeColor="text1"/>
        </w:rPr>
        <w:t>AVCP si erano diffuse sulle motivazioni a sostegno d</w:t>
      </w:r>
      <w:r w:rsidR="00280A37" w:rsidRPr="00AE1BB8">
        <w:rPr>
          <w:rFonts w:ascii="Garamond" w:hAnsi="Garamond"/>
          <w:color w:val="000000" w:themeColor="text1"/>
        </w:rPr>
        <w:t xml:space="preserve">i tale divieto, consistenti </w:t>
      </w:r>
      <w:r w:rsidR="009B1D55" w:rsidRPr="00AE1BB8">
        <w:rPr>
          <w:rFonts w:ascii="Garamond" w:hAnsi="Garamond"/>
          <w:color w:val="000000" w:themeColor="text1"/>
        </w:rPr>
        <w:t>in sostanza nell’inammissibilità</w:t>
      </w:r>
      <w:r w:rsidR="00280A37" w:rsidRPr="00AE1BB8">
        <w:rPr>
          <w:rFonts w:ascii="Garamond" w:hAnsi="Garamond"/>
          <w:color w:val="000000" w:themeColor="text1"/>
        </w:rPr>
        <w:t xml:space="preserve"> </w:t>
      </w:r>
      <w:r w:rsidR="009B1D55" w:rsidRPr="00AE1BB8">
        <w:rPr>
          <w:rFonts w:ascii="Garamond" w:hAnsi="Garamond"/>
          <w:color w:val="000000" w:themeColor="text1"/>
        </w:rPr>
        <w:t xml:space="preserve">di privare di qualsivoglia garanzia la stazione appaltante, la quale, con tutta evidenza, non ha rapporti diretti con i progettisti indicati e, a maggior ragione, non ne avrebbe con </w:t>
      </w:r>
      <w:r w:rsidR="006A09E2" w:rsidRPr="00AE1BB8">
        <w:rPr>
          <w:rFonts w:ascii="Garamond" w:hAnsi="Garamond"/>
          <w:color w:val="000000" w:themeColor="text1"/>
        </w:rPr>
        <w:t>eventuali</w:t>
      </w:r>
      <w:r w:rsidR="009B1D55" w:rsidRPr="00AE1BB8">
        <w:rPr>
          <w:rFonts w:ascii="Garamond" w:hAnsi="Garamond"/>
          <w:color w:val="000000" w:themeColor="text1"/>
        </w:rPr>
        <w:t xml:space="preserve"> ausiliari de</w:t>
      </w:r>
      <w:r w:rsidR="00637A37" w:rsidRPr="00AE1BB8">
        <w:rPr>
          <w:rFonts w:ascii="Garamond" w:hAnsi="Garamond"/>
          <w:color w:val="000000" w:themeColor="text1"/>
        </w:rPr>
        <w:t>gli stessi</w:t>
      </w:r>
      <w:r w:rsidR="00637A37" w:rsidRPr="00AE1BB8">
        <w:rPr>
          <w:rStyle w:val="Rimandonotaapidipagina"/>
          <w:color w:val="000000" w:themeColor="text1"/>
        </w:rPr>
        <w:footnoteReference w:id="78"/>
      </w:r>
      <w:r w:rsidR="00637A37" w:rsidRPr="00AE1BB8">
        <w:rPr>
          <w:rFonts w:ascii="Garamond" w:hAnsi="Garamond"/>
          <w:color w:val="000000" w:themeColor="text1"/>
        </w:rPr>
        <w:t>.</w:t>
      </w:r>
      <w:r w:rsidR="00280A37" w:rsidRPr="00AE1BB8">
        <w:rPr>
          <w:rFonts w:ascii="Garamond" w:hAnsi="Garamond"/>
          <w:color w:val="000000" w:themeColor="text1"/>
        </w:rPr>
        <w:t xml:space="preserve"> </w:t>
      </w:r>
      <w:r w:rsidR="00A94C0C" w:rsidRPr="00AE1BB8">
        <w:rPr>
          <w:rFonts w:ascii="Garamond" w:hAnsi="Garamond"/>
          <w:color w:val="000000" w:themeColor="text1"/>
        </w:rPr>
        <w:t>Più nel dettaglio,</w:t>
      </w:r>
      <w:r w:rsidR="006A09E2" w:rsidRPr="00AE1BB8">
        <w:rPr>
          <w:rFonts w:ascii="Garamond" w:hAnsi="Garamond"/>
          <w:color w:val="000000" w:themeColor="text1"/>
        </w:rPr>
        <w:t xml:space="preserve"> secondo la giurisprudenza il progettista indicato rappresenterebbe un mero collaboratore esterno al quale </w:t>
      </w:r>
      <w:r w:rsidR="00A11199" w:rsidRPr="00AE1BB8">
        <w:rPr>
          <w:rFonts w:ascii="Garamond" w:hAnsi="Garamond"/>
          <w:color w:val="000000" w:themeColor="text1"/>
        </w:rPr>
        <w:t>sarebbe</w:t>
      </w:r>
      <w:r w:rsidR="006A09E2" w:rsidRPr="00AE1BB8">
        <w:rPr>
          <w:rFonts w:ascii="Garamond" w:hAnsi="Garamond"/>
          <w:color w:val="000000" w:themeColor="text1"/>
        </w:rPr>
        <w:t xml:space="preserve"> </w:t>
      </w:r>
      <w:r w:rsidR="00A94C0C" w:rsidRPr="00AE1BB8">
        <w:rPr>
          <w:rFonts w:ascii="Garamond" w:hAnsi="Garamond"/>
          <w:color w:val="000000" w:themeColor="text1"/>
        </w:rPr>
        <w:t xml:space="preserve">quindi </w:t>
      </w:r>
      <w:r w:rsidR="006A09E2" w:rsidRPr="00AE1BB8">
        <w:rPr>
          <w:rFonts w:ascii="Garamond" w:hAnsi="Garamond"/>
          <w:color w:val="000000" w:themeColor="text1"/>
        </w:rPr>
        <w:t>precluso il ricorso all’avvalimento, riservato esclusivamente</w:t>
      </w:r>
      <w:r w:rsidR="00A11199" w:rsidRPr="00AE1BB8">
        <w:rPr>
          <w:rFonts w:ascii="Garamond" w:hAnsi="Garamond"/>
          <w:color w:val="000000" w:themeColor="text1"/>
        </w:rPr>
        <w:t xml:space="preserve"> ai soggetti che rivestono la qualità di concorrenti nella gara</w:t>
      </w:r>
      <w:r w:rsidR="00A11199" w:rsidRPr="00AE1BB8">
        <w:rPr>
          <w:rStyle w:val="Rimandonotaapidipagina"/>
          <w:color w:val="000000" w:themeColor="text1"/>
        </w:rPr>
        <w:footnoteReference w:id="79"/>
      </w:r>
      <w:r w:rsidR="00A11199" w:rsidRPr="00AE1BB8">
        <w:rPr>
          <w:rFonts w:ascii="Garamond" w:hAnsi="Garamond"/>
          <w:color w:val="000000" w:themeColor="text1"/>
        </w:rPr>
        <w:t>.</w:t>
      </w:r>
    </w:p>
    <w:p w14:paraId="3EF643EC" w14:textId="45A1C6DB" w:rsidR="00443967" w:rsidRDefault="00A81901" w:rsidP="00443967">
      <w:pPr>
        <w:ind w:firstLine="284"/>
        <w:jc w:val="both"/>
        <w:rPr>
          <w:rFonts w:ascii="Garamond" w:hAnsi="Garamond"/>
          <w:color w:val="000000" w:themeColor="text1"/>
        </w:rPr>
      </w:pPr>
      <w:r>
        <w:rPr>
          <w:rFonts w:ascii="Garamond" w:hAnsi="Garamond"/>
          <w:color w:val="000000" w:themeColor="text1"/>
        </w:rPr>
        <w:lastRenderedPageBreak/>
        <w:t>Il tema è tornato ad essere di particolare attualità alla luce dell’ordinanza</w:t>
      </w:r>
      <w:r w:rsidR="00B534F2">
        <w:rPr>
          <w:rFonts w:ascii="Garamond" w:hAnsi="Garamond"/>
          <w:color w:val="000000" w:themeColor="text1"/>
        </w:rPr>
        <w:t xml:space="preserve"> del Consiglio di Stato 9 aprile 2020, n.</w:t>
      </w:r>
      <w:r w:rsidR="004C3252">
        <w:rPr>
          <w:rFonts w:ascii="Garamond" w:hAnsi="Garamond"/>
          <w:color w:val="000000" w:themeColor="text1"/>
        </w:rPr>
        <w:t xml:space="preserve"> </w:t>
      </w:r>
      <w:r w:rsidR="00B534F2">
        <w:rPr>
          <w:rFonts w:ascii="Garamond" w:hAnsi="Garamond"/>
          <w:color w:val="000000" w:themeColor="text1"/>
        </w:rPr>
        <w:t>2331,</w:t>
      </w:r>
      <w:r>
        <w:rPr>
          <w:rFonts w:ascii="Garamond" w:hAnsi="Garamond"/>
          <w:color w:val="000000" w:themeColor="text1"/>
        </w:rPr>
        <w:t xml:space="preserve"> di rimessione all’Adunanza Plenari</w:t>
      </w:r>
      <w:r w:rsidR="00B534F2">
        <w:rPr>
          <w:rFonts w:ascii="Garamond" w:hAnsi="Garamond"/>
          <w:color w:val="000000" w:themeColor="text1"/>
        </w:rPr>
        <w:t>a,</w:t>
      </w:r>
      <w:r>
        <w:rPr>
          <w:rFonts w:ascii="Garamond" w:hAnsi="Garamond"/>
          <w:color w:val="000000" w:themeColor="text1"/>
        </w:rPr>
        <w:t xml:space="preserve"> la quale pone per l’appunto la questione della legittimità o meno del ricorso all’avvalimento da parte del progettista indicato in ragione d</w:t>
      </w:r>
      <w:r w:rsidR="00E37F04">
        <w:rPr>
          <w:rFonts w:ascii="Garamond" w:hAnsi="Garamond"/>
          <w:color w:val="000000" w:themeColor="text1"/>
        </w:rPr>
        <w:t xml:space="preserve">el </w:t>
      </w:r>
      <w:r>
        <w:rPr>
          <w:rFonts w:ascii="Garamond" w:hAnsi="Garamond"/>
          <w:color w:val="000000" w:themeColor="text1"/>
        </w:rPr>
        <w:t xml:space="preserve">contrasto </w:t>
      </w:r>
      <w:r w:rsidR="00A17D5B">
        <w:rPr>
          <w:rFonts w:ascii="Garamond" w:hAnsi="Garamond"/>
          <w:color w:val="000000" w:themeColor="text1"/>
        </w:rPr>
        <w:t xml:space="preserve">tra la giurisprudenza nettamente prevalente e la sentenza del Tar Friuli Venezia Giulia n.18/2013 oggetto di causa </w:t>
      </w:r>
      <w:r w:rsidR="00EF1B3A">
        <w:rPr>
          <w:rFonts w:ascii="Garamond" w:hAnsi="Garamond"/>
          <w:color w:val="000000" w:themeColor="text1"/>
        </w:rPr>
        <w:t>nonché</w:t>
      </w:r>
      <w:r w:rsidR="00A17D5B">
        <w:rPr>
          <w:rFonts w:ascii="Garamond" w:hAnsi="Garamond"/>
          <w:color w:val="000000" w:themeColor="text1"/>
        </w:rPr>
        <w:t xml:space="preserve"> la sentenza del Consiglio di Stato</w:t>
      </w:r>
      <w:r>
        <w:rPr>
          <w:rFonts w:ascii="Garamond" w:hAnsi="Garamond"/>
          <w:color w:val="000000" w:themeColor="text1"/>
        </w:rPr>
        <w:t xml:space="preserve"> </w:t>
      </w:r>
      <w:r w:rsidR="00E37F04">
        <w:rPr>
          <w:rFonts w:ascii="Garamond" w:hAnsi="Garamond"/>
          <w:color w:val="000000" w:themeColor="text1"/>
        </w:rPr>
        <w:t xml:space="preserve">2.10.2014, n. </w:t>
      </w:r>
      <w:r>
        <w:rPr>
          <w:rFonts w:ascii="Garamond" w:hAnsi="Garamond"/>
          <w:color w:val="000000" w:themeColor="text1"/>
        </w:rPr>
        <w:t>49</w:t>
      </w:r>
      <w:r w:rsidR="00E37F04">
        <w:rPr>
          <w:rFonts w:ascii="Garamond" w:hAnsi="Garamond"/>
          <w:color w:val="000000" w:themeColor="text1"/>
        </w:rPr>
        <w:t>29</w:t>
      </w:r>
      <w:r w:rsidR="000E724D">
        <w:rPr>
          <w:rFonts w:ascii="Garamond" w:hAnsi="Garamond"/>
          <w:color w:val="000000" w:themeColor="text1"/>
        </w:rPr>
        <w:t>.</w:t>
      </w:r>
    </w:p>
    <w:p w14:paraId="7DECCEBB" w14:textId="3CCB7D54" w:rsidR="000E724D" w:rsidRDefault="00443967" w:rsidP="00443967">
      <w:pPr>
        <w:ind w:firstLine="284"/>
        <w:jc w:val="both"/>
        <w:rPr>
          <w:rFonts w:ascii="Garamond" w:hAnsi="Garamond"/>
          <w:color w:val="000000" w:themeColor="text1"/>
        </w:rPr>
      </w:pPr>
      <w:r>
        <w:rPr>
          <w:rFonts w:ascii="Garamond" w:hAnsi="Garamond"/>
          <w:color w:val="000000" w:themeColor="text1"/>
        </w:rPr>
        <w:t xml:space="preserve"> </w:t>
      </w:r>
      <w:r w:rsidR="00557860">
        <w:rPr>
          <w:rFonts w:ascii="Garamond" w:hAnsi="Garamond"/>
          <w:color w:val="000000" w:themeColor="text1"/>
        </w:rPr>
        <w:t>Il Tar FVG si limita a ritenere che in base ai principi comunitari (art 47 e 48 della direttiva 2004/18) e nazionali (art 49 del D.Lgs. n. 163/06)</w:t>
      </w:r>
      <w:r w:rsidR="000E724D">
        <w:rPr>
          <w:rFonts w:ascii="Garamond" w:hAnsi="Garamond"/>
          <w:color w:val="000000" w:themeColor="text1"/>
        </w:rPr>
        <w:t xml:space="preserve"> dell’istituto dell’avvalimento possano avvalersi anche i progettisti indicati.</w:t>
      </w:r>
    </w:p>
    <w:p w14:paraId="1A6E6BD9" w14:textId="491A9058" w:rsidR="00BF73E7" w:rsidRDefault="00E37F04" w:rsidP="00443967">
      <w:pPr>
        <w:ind w:firstLine="284"/>
        <w:jc w:val="both"/>
        <w:rPr>
          <w:rFonts w:ascii="Garamond" w:hAnsi="Garamond"/>
          <w:color w:val="000000" w:themeColor="text1"/>
        </w:rPr>
      </w:pPr>
      <w:r>
        <w:rPr>
          <w:rFonts w:ascii="Garamond" w:hAnsi="Garamond"/>
          <w:color w:val="000000" w:themeColor="text1"/>
        </w:rPr>
        <w:t xml:space="preserve">Il Consiglio di Stato, con la citata sentenza n. </w:t>
      </w:r>
      <w:r w:rsidR="001A6E30">
        <w:rPr>
          <w:rFonts w:ascii="Garamond" w:hAnsi="Garamond"/>
          <w:color w:val="000000" w:themeColor="text1"/>
        </w:rPr>
        <w:t>4929/2014</w:t>
      </w:r>
      <w:r w:rsidR="00AF25A0" w:rsidRPr="00AE1BB8">
        <w:rPr>
          <w:rFonts w:ascii="Garamond" w:hAnsi="Garamond"/>
          <w:color w:val="000000" w:themeColor="text1"/>
        </w:rPr>
        <w:t xml:space="preserve">, </w:t>
      </w:r>
      <w:r w:rsidR="000E724D">
        <w:rPr>
          <w:rFonts w:ascii="Garamond" w:hAnsi="Garamond"/>
          <w:color w:val="000000" w:themeColor="text1"/>
        </w:rPr>
        <w:t xml:space="preserve">è pervenuto alle medesime conclusioni nel dichiarato intento di esprimersi in conformità con la sentenza della Corte di Giustizia 10 ottobre 2013, C-94/2012, </w:t>
      </w:r>
      <w:r w:rsidR="002B06FE">
        <w:rPr>
          <w:rFonts w:ascii="Garamond" w:hAnsi="Garamond"/>
          <w:color w:val="000000" w:themeColor="text1"/>
        </w:rPr>
        <w:t xml:space="preserve">ravvisando in </w:t>
      </w:r>
      <w:r w:rsidR="000E724D">
        <w:rPr>
          <w:rFonts w:ascii="Garamond" w:hAnsi="Garamond"/>
          <w:color w:val="000000" w:themeColor="text1"/>
        </w:rPr>
        <w:t xml:space="preserve"> tale</w:t>
      </w:r>
      <w:r w:rsidR="00AF25A0" w:rsidRPr="00AE1BB8">
        <w:rPr>
          <w:rFonts w:ascii="Garamond" w:hAnsi="Garamond"/>
          <w:color w:val="000000" w:themeColor="text1"/>
        </w:rPr>
        <w:t xml:space="preserve"> </w:t>
      </w:r>
      <w:r w:rsidR="005D4CB0">
        <w:rPr>
          <w:rFonts w:ascii="Garamond" w:hAnsi="Garamond"/>
          <w:color w:val="000000" w:themeColor="text1"/>
        </w:rPr>
        <w:t>pronuncia</w:t>
      </w:r>
      <w:r w:rsidR="00335651" w:rsidRPr="00AE1BB8">
        <w:rPr>
          <w:rFonts w:ascii="Garamond" w:hAnsi="Garamond"/>
          <w:color w:val="000000" w:themeColor="text1"/>
        </w:rPr>
        <w:t xml:space="preserve"> </w:t>
      </w:r>
      <w:r w:rsidR="002B06FE">
        <w:rPr>
          <w:rFonts w:ascii="Garamond" w:hAnsi="Garamond"/>
          <w:color w:val="000000" w:themeColor="text1"/>
        </w:rPr>
        <w:t>un chiarimento sul fatto</w:t>
      </w:r>
      <w:r w:rsidR="00335651" w:rsidRPr="00AE1BB8">
        <w:rPr>
          <w:rFonts w:ascii="Garamond" w:hAnsi="Garamond"/>
          <w:color w:val="000000" w:themeColor="text1"/>
        </w:rPr>
        <w:t xml:space="preserve"> che l’avvalimento si applicherebbe non ai soli </w:t>
      </w:r>
      <w:r>
        <w:rPr>
          <w:rFonts w:ascii="Garamond" w:hAnsi="Garamond"/>
          <w:color w:val="000000" w:themeColor="text1"/>
        </w:rPr>
        <w:t>“</w:t>
      </w:r>
      <w:r w:rsidR="00335651" w:rsidRPr="00AE1BB8">
        <w:rPr>
          <w:rFonts w:ascii="Garamond" w:hAnsi="Garamond"/>
          <w:color w:val="000000" w:themeColor="text1"/>
        </w:rPr>
        <w:t>concorrenti</w:t>
      </w:r>
      <w:r>
        <w:rPr>
          <w:rFonts w:ascii="Garamond" w:hAnsi="Garamond"/>
          <w:color w:val="000000" w:themeColor="text1"/>
        </w:rPr>
        <w:t>”</w:t>
      </w:r>
      <w:r w:rsidR="00335651" w:rsidRPr="00AE1BB8">
        <w:rPr>
          <w:rFonts w:ascii="Garamond" w:hAnsi="Garamond"/>
          <w:color w:val="000000" w:themeColor="text1"/>
        </w:rPr>
        <w:t xml:space="preserve"> ma a tutti gli </w:t>
      </w:r>
      <w:r>
        <w:rPr>
          <w:rFonts w:ascii="Garamond" w:hAnsi="Garamond"/>
          <w:color w:val="000000" w:themeColor="text1"/>
        </w:rPr>
        <w:t>“</w:t>
      </w:r>
      <w:r w:rsidR="00335651" w:rsidRPr="00AE1BB8">
        <w:rPr>
          <w:rFonts w:ascii="Garamond" w:hAnsi="Garamond"/>
          <w:color w:val="000000" w:themeColor="text1"/>
        </w:rPr>
        <w:t>operatori economici</w:t>
      </w:r>
      <w:r>
        <w:rPr>
          <w:rFonts w:ascii="Garamond" w:hAnsi="Garamond"/>
          <w:color w:val="000000" w:themeColor="text1"/>
        </w:rPr>
        <w:t>”</w:t>
      </w:r>
      <w:r w:rsidR="00335651" w:rsidRPr="00AE1BB8">
        <w:rPr>
          <w:rFonts w:ascii="Garamond" w:hAnsi="Garamond"/>
          <w:color w:val="000000" w:themeColor="text1"/>
        </w:rPr>
        <w:t xml:space="preserve">, tenuti a qualsiasi titolo a dimostrare i requisiti in sede di gara, pervenne a consentire l’avvalimento da parte del progettista indicato. Tale approdo </w:t>
      </w:r>
      <w:r w:rsidR="002B06FE">
        <w:rPr>
          <w:rFonts w:ascii="Garamond" w:hAnsi="Garamond"/>
          <w:color w:val="000000" w:themeColor="text1"/>
        </w:rPr>
        <w:t>non persuade</w:t>
      </w:r>
      <w:r w:rsidR="00335651" w:rsidRPr="00AE1BB8">
        <w:rPr>
          <w:rFonts w:ascii="Garamond" w:hAnsi="Garamond"/>
          <w:color w:val="000000" w:themeColor="text1"/>
        </w:rPr>
        <w:t xml:space="preserve">, </w:t>
      </w:r>
      <w:r w:rsidR="005D4CB0">
        <w:rPr>
          <w:rFonts w:ascii="Garamond" w:hAnsi="Garamond"/>
          <w:color w:val="000000" w:themeColor="text1"/>
        </w:rPr>
        <w:t>in quanto appare</w:t>
      </w:r>
      <w:r w:rsidR="00335651" w:rsidRPr="00AE1BB8">
        <w:rPr>
          <w:rFonts w:ascii="Garamond" w:hAnsi="Garamond"/>
          <w:color w:val="000000" w:themeColor="text1"/>
        </w:rPr>
        <w:t xml:space="preserve">  </w:t>
      </w:r>
      <w:r w:rsidR="00FC37EB">
        <w:rPr>
          <w:rFonts w:ascii="Garamond" w:hAnsi="Garamond"/>
          <w:color w:val="000000" w:themeColor="text1"/>
        </w:rPr>
        <w:t xml:space="preserve">esclusivamente </w:t>
      </w:r>
      <w:r w:rsidR="00A94C0C" w:rsidRPr="00AE1BB8">
        <w:rPr>
          <w:rFonts w:ascii="Garamond" w:hAnsi="Garamond"/>
          <w:color w:val="000000" w:themeColor="text1"/>
        </w:rPr>
        <w:t xml:space="preserve">fondato </w:t>
      </w:r>
      <w:r w:rsidR="00335651" w:rsidRPr="00AE1BB8">
        <w:rPr>
          <w:rFonts w:ascii="Garamond" w:hAnsi="Garamond"/>
          <w:color w:val="000000" w:themeColor="text1"/>
        </w:rPr>
        <w:t xml:space="preserve">su una interpretazione della nozione di “operatori economici” che non </w:t>
      </w:r>
      <w:r w:rsidR="008F47E0" w:rsidRPr="00AE1BB8">
        <w:rPr>
          <w:rFonts w:ascii="Garamond" w:hAnsi="Garamond"/>
          <w:color w:val="000000" w:themeColor="text1"/>
        </w:rPr>
        <w:t xml:space="preserve">sembra </w:t>
      </w:r>
      <w:r w:rsidR="00335651" w:rsidRPr="00AE1BB8">
        <w:rPr>
          <w:rFonts w:ascii="Garamond" w:hAnsi="Garamond"/>
          <w:color w:val="000000" w:themeColor="text1"/>
        </w:rPr>
        <w:t>trova</w:t>
      </w:r>
      <w:r w:rsidR="008F47E0" w:rsidRPr="00AE1BB8">
        <w:rPr>
          <w:rFonts w:ascii="Garamond" w:hAnsi="Garamond"/>
          <w:color w:val="000000" w:themeColor="text1"/>
        </w:rPr>
        <w:t>re</w:t>
      </w:r>
      <w:r w:rsidR="00335651" w:rsidRPr="00AE1BB8">
        <w:rPr>
          <w:rFonts w:ascii="Garamond" w:hAnsi="Garamond"/>
          <w:color w:val="000000" w:themeColor="text1"/>
        </w:rPr>
        <w:t xml:space="preserve">  riscontro nell</w:t>
      </w:r>
      <w:r>
        <w:rPr>
          <w:rFonts w:ascii="Garamond" w:hAnsi="Garamond"/>
          <w:color w:val="000000" w:themeColor="text1"/>
        </w:rPr>
        <w:t>a</w:t>
      </w:r>
      <w:r w:rsidR="00335651" w:rsidRPr="00AE1BB8">
        <w:rPr>
          <w:rFonts w:ascii="Garamond" w:hAnsi="Garamond"/>
          <w:color w:val="000000" w:themeColor="text1"/>
        </w:rPr>
        <w:t xml:space="preserve"> dirett</w:t>
      </w:r>
      <w:r>
        <w:rPr>
          <w:rFonts w:ascii="Garamond" w:hAnsi="Garamond"/>
          <w:color w:val="000000" w:themeColor="text1"/>
        </w:rPr>
        <w:t>iva</w:t>
      </w:r>
      <w:r w:rsidR="008F47E0" w:rsidRPr="00AE1BB8">
        <w:rPr>
          <w:rFonts w:ascii="Garamond" w:hAnsi="Garamond"/>
          <w:color w:val="000000" w:themeColor="text1"/>
        </w:rPr>
        <w:t xml:space="preserve"> 2004</w:t>
      </w:r>
      <w:r w:rsidR="000A6286">
        <w:rPr>
          <w:rFonts w:ascii="Garamond" w:hAnsi="Garamond"/>
          <w:color w:val="000000" w:themeColor="text1"/>
        </w:rPr>
        <w:t>/</w:t>
      </w:r>
      <w:r>
        <w:rPr>
          <w:rFonts w:ascii="Garamond" w:hAnsi="Garamond"/>
          <w:color w:val="000000" w:themeColor="text1"/>
        </w:rPr>
        <w:t>18/UE</w:t>
      </w:r>
      <w:r w:rsidR="004C3252">
        <w:rPr>
          <w:rStyle w:val="Rimandonotaapidipagina"/>
          <w:color w:val="000000" w:themeColor="text1"/>
        </w:rPr>
        <w:footnoteReference w:id="80"/>
      </w:r>
      <w:r w:rsidR="002234E4">
        <w:rPr>
          <w:rFonts w:ascii="Garamond" w:hAnsi="Garamond"/>
          <w:color w:val="FF0000"/>
        </w:rPr>
        <w:t xml:space="preserve"> </w:t>
      </w:r>
      <w:r w:rsidR="00AF25A0" w:rsidRPr="00AE1BB8">
        <w:rPr>
          <w:rFonts w:ascii="Garamond" w:hAnsi="Garamond"/>
          <w:color w:val="000000" w:themeColor="text1"/>
        </w:rPr>
        <w:t xml:space="preserve">che, </w:t>
      </w:r>
      <w:r w:rsidR="00335651" w:rsidRPr="00AE1BB8">
        <w:rPr>
          <w:rFonts w:ascii="Garamond" w:hAnsi="Garamond"/>
          <w:color w:val="000000" w:themeColor="text1"/>
        </w:rPr>
        <w:t>difatti</w:t>
      </w:r>
      <w:r w:rsidR="00AF25A0" w:rsidRPr="00AE1BB8">
        <w:rPr>
          <w:rFonts w:ascii="Garamond" w:hAnsi="Garamond"/>
          <w:color w:val="000000" w:themeColor="text1"/>
        </w:rPr>
        <w:t>,</w:t>
      </w:r>
      <w:r w:rsidR="00EF44C4" w:rsidRPr="00AE1BB8">
        <w:rPr>
          <w:rFonts w:ascii="Garamond" w:hAnsi="Garamond"/>
          <w:color w:val="000000" w:themeColor="text1"/>
        </w:rPr>
        <w:t xml:space="preserve"> utilizza tale termine</w:t>
      </w:r>
      <w:r w:rsidR="00335651" w:rsidRPr="00AE1BB8">
        <w:rPr>
          <w:rFonts w:ascii="Garamond" w:hAnsi="Garamond"/>
          <w:color w:val="000000" w:themeColor="text1"/>
        </w:rPr>
        <w:t xml:space="preserve"> solo per indicare i </w:t>
      </w:r>
      <w:r w:rsidR="006C0D5D">
        <w:rPr>
          <w:rFonts w:ascii="Garamond" w:hAnsi="Garamond"/>
          <w:color w:val="000000" w:themeColor="text1"/>
        </w:rPr>
        <w:t>“</w:t>
      </w:r>
      <w:r w:rsidR="00335651" w:rsidRPr="00AE1BB8">
        <w:rPr>
          <w:rFonts w:ascii="Garamond" w:hAnsi="Garamond"/>
          <w:color w:val="000000" w:themeColor="text1"/>
        </w:rPr>
        <w:t>concorrenti</w:t>
      </w:r>
      <w:r w:rsidR="006C0D5D">
        <w:rPr>
          <w:rFonts w:ascii="Garamond" w:hAnsi="Garamond"/>
          <w:color w:val="000000" w:themeColor="text1"/>
        </w:rPr>
        <w:t>”</w:t>
      </w:r>
      <w:r w:rsidR="00D41596">
        <w:rPr>
          <w:rFonts w:ascii="Garamond" w:hAnsi="Garamond"/>
          <w:color w:val="000000" w:themeColor="text1"/>
        </w:rPr>
        <w:t>,</w:t>
      </w:r>
      <w:r w:rsidR="00335651" w:rsidRPr="00AE1BB8">
        <w:rPr>
          <w:rFonts w:ascii="Garamond" w:hAnsi="Garamond"/>
          <w:color w:val="000000" w:themeColor="text1"/>
        </w:rPr>
        <w:t xml:space="preserve"> </w:t>
      </w:r>
      <w:r w:rsidR="00D41596">
        <w:rPr>
          <w:rFonts w:ascii="Garamond" w:hAnsi="Garamond"/>
          <w:color w:val="000000" w:themeColor="text1"/>
        </w:rPr>
        <w:t>i quali</w:t>
      </w:r>
      <w:r w:rsidR="00335651" w:rsidRPr="00AE1BB8">
        <w:rPr>
          <w:rFonts w:ascii="Garamond" w:hAnsi="Garamond"/>
          <w:color w:val="000000" w:themeColor="text1"/>
        </w:rPr>
        <w:t>, a seconda del</w:t>
      </w:r>
      <w:r w:rsidR="00C50731" w:rsidRPr="00AE1BB8">
        <w:rPr>
          <w:rFonts w:ascii="Garamond" w:hAnsi="Garamond"/>
          <w:color w:val="000000" w:themeColor="text1"/>
        </w:rPr>
        <w:t xml:space="preserve"> tipo di procedura di </w:t>
      </w:r>
      <w:r w:rsidR="00335651" w:rsidRPr="00AE1BB8">
        <w:rPr>
          <w:rFonts w:ascii="Garamond" w:hAnsi="Garamond"/>
          <w:color w:val="000000" w:themeColor="text1"/>
        </w:rPr>
        <w:t xml:space="preserve">gara, </w:t>
      </w:r>
      <w:r w:rsidR="00C50731" w:rsidRPr="00AE1BB8">
        <w:rPr>
          <w:rFonts w:ascii="Garamond" w:hAnsi="Garamond"/>
          <w:color w:val="000000" w:themeColor="text1"/>
        </w:rPr>
        <w:t>vengono denominati</w:t>
      </w:r>
      <w:r w:rsidR="00335651" w:rsidRPr="00AE1BB8">
        <w:rPr>
          <w:rFonts w:ascii="Garamond" w:hAnsi="Garamond"/>
          <w:color w:val="000000" w:themeColor="text1"/>
        </w:rPr>
        <w:t xml:space="preserve"> </w:t>
      </w:r>
      <w:r w:rsidR="00C50731" w:rsidRPr="00AE1BB8">
        <w:rPr>
          <w:rFonts w:ascii="Garamond" w:hAnsi="Garamond"/>
          <w:color w:val="000000" w:themeColor="text1"/>
        </w:rPr>
        <w:t>“</w:t>
      </w:r>
      <w:r w:rsidR="00335651" w:rsidRPr="00AE1BB8">
        <w:rPr>
          <w:rFonts w:ascii="Garamond" w:hAnsi="Garamond"/>
          <w:color w:val="000000" w:themeColor="text1"/>
        </w:rPr>
        <w:t>candidati</w:t>
      </w:r>
      <w:r w:rsidR="00C50731" w:rsidRPr="00AE1BB8">
        <w:rPr>
          <w:rFonts w:ascii="Garamond" w:hAnsi="Garamond"/>
          <w:color w:val="000000" w:themeColor="text1"/>
        </w:rPr>
        <w:t>” (coloro che chiedono di partecipare ad una procedura ristretta o negoziata)</w:t>
      </w:r>
      <w:r w:rsidR="001A6E30">
        <w:rPr>
          <w:rFonts w:ascii="Garamond" w:hAnsi="Garamond"/>
          <w:color w:val="000000" w:themeColor="text1"/>
        </w:rPr>
        <w:t xml:space="preserve"> </w:t>
      </w:r>
      <w:r w:rsidR="008F47E0" w:rsidRPr="00AE1BB8">
        <w:rPr>
          <w:rFonts w:ascii="Garamond" w:hAnsi="Garamond"/>
          <w:color w:val="000000" w:themeColor="text1"/>
        </w:rPr>
        <w:t>o</w:t>
      </w:r>
      <w:r w:rsidR="00335651" w:rsidRPr="00AE1BB8">
        <w:rPr>
          <w:rFonts w:ascii="Garamond" w:hAnsi="Garamond"/>
          <w:color w:val="000000" w:themeColor="text1"/>
        </w:rPr>
        <w:t xml:space="preserve">  </w:t>
      </w:r>
      <w:r w:rsidR="00C50731" w:rsidRPr="00AE1BB8">
        <w:rPr>
          <w:rFonts w:ascii="Garamond" w:hAnsi="Garamond"/>
          <w:color w:val="000000" w:themeColor="text1"/>
        </w:rPr>
        <w:t>“</w:t>
      </w:r>
      <w:r w:rsidR="00335651" w:rsidRPr="00AE1BB8">
        <w:rPr>
          <w:rFonts w:ascii="Garamond" w:hAnsi="Garamond"/>
          <w:color w:val="000000" w:themeColor="text1"/>
        </w:rPr>
        <w:t>offerenti</w:t>
      </w:r>
      <w:r w:rsidR="00C50731" w:rsidRPr="00AE1BB8">
        <w:rPr>
          <w:rFonts w:ascii="Garamond" w:hAnsi="Garamond"/>
          <w:color w:val="000000" w:themeColor="text1"/>
        </w:rPr>
        <w:t>”(coloro che hanno presentato un’offerta)</w:t>
      </w:r>
      <w:r w:rsidR="006C0D5D">
        <w:rPr>
          <w:rFonts w:ascii="Garamond" w:hAnsi="Garamond"/>
          <w:color w:val="000000" w:themeColor="text1"/>
        </w:rPr>
        <w:t xml:space="preserve">. </w:t>
      </w:r>
      <w:r w:rsidR="002B06FE">
        <w:rPr>
          <w:rFonts w:ascii="Garamond" w:hAnsi="Garamond"/>
          <w:color w:val="000000" w:themeColor="text1"/>
        </w:rPr>
        <w:t xml:space="preserve">In buona sostanza </w:t>
      </w:r>
      <w:r w:rsidR="00443967">
        <w:rPr>
          <w:rFonts w:ascii="Garamond" w:hAnsi="Garamond"/>
          <w:color w:val="000000" w:themeColor="text1"/>
        </w:rPr>
        <w:t>, l</w:t>
      </w:r>
      <w:r w:rsidR="006C0D5D">
        <w:rPr>
          <w:rFonts w:ascii="Garamond" w:hAnsi="Garamond"/>
          <w:color w:val="000000" w:themeColor="text1"/>
        </w:rPr>
        <w:t xml:space="preserve">a categoria degli “operatori economici che non </w:t>
      </w:r>
      <w:r w:rsidR="009505DD">
        <w:rPr>
          <w:rFonts w:ascii="Garamond" w:hAnsi="Garamond"/>
          <w:color w:val="000000" w:themeColor="text1"/>
        </w:rPr>
        <w:t xml:space="preserve">domandano di </w:t>
      </w:r>
      <w:r w:rsidR="006C0D5D">
        <w:rPr>
          <w:rFonts w:ascii="Garamond" w:hAnsi="Garamond"/>
          <w:color w:val="000000" w:themeColor="text1"/>
        </w:rPr>
        <w:t>partecipa</w:t>
      </w:r>
      <w:r w:rsidR="009505DD">
        <w:rPr>
          <w:rFonts w:ascii="Garamond" w:hAnsi="Garamond"/>
          <w:color w:val="000000" w:themeColor="text1"/>
        </w:rPr>
        <w:t>re</w:t>
      </w:r>
      <w:r w:rsidR="006C0D5D">
        <w:rPr>
          <w:rFonts w:ascii="Garamond" w:hAnsi="Garamond"/>
          <w:color w:val="000000" w:themeColor="text1"/>
        </w:rPr>
        <w:t xml:space="preserve"> alla gara” non sembra esistere proprio in quanto</w:t>
      </w:r>
      <w:r w:rsidR="005165CE">
        <w:rPr>
          <w:rFonts w:ascii="Garamond" w:hAnsi="Garamond"/>
          <w:color w:val="000000" w:themeColor="text1"/>
        </w:rPr>
        <w:t xml:space="preserve"> il termine “operatori economici” </w:t>
      </w:r>
      <w:r w:rsidR="006C0D5D">
        <w:rPr>
          <w:rFonts w:ascii="Garamond" w:hAnsi="Garamond"/>
          <w:color w:val="000000" w:themeColor="text1"/>
        </w:rPr>
        <w:t xml:space="preserve">non </w:t>
      </w:r>
      <w:r w:rsidR="005165CE">
        <w:rPr>
          <w:rFonts w:ascii="Garamond" w:hAnsi="Garamond"/>
          <w:color w:val="000000" w:themeColor="text1"/>
        </w:rPr>
        <w:t xml:space="preserve">viene </w:t>
      </w:r>
      <w:r w:rsidR="006C0D5D">
        <w:rPr>
          <w:rFonts w:ascii="Garamond" w:hAnsi="Garamond"/>
          <w:color w:val="000000" w:themeColor="text1"/>
        </w:rPr>
        <w:t xml:space="preserve">mai </w:t>
      </w:r>
      <w:r w:rsidR="005165CE">
        <w:rPr>
          <w:rFonts w:ascii="Garamond" w:hAnsi="Garamond"/>
          <w:color w:val="000000" w:themeColor="text1"/>
        </w:rPr>
        <w:t xml:space="preserve">utilizzato per indicare </w:t>
      </w:r>
      <w:r w:rsidR="00335651" w:rsidRPr="00AE1BB8">
        <w:rPr>
          <w:rFonts w:ascii="Garamond" w:hAnsi="Garamond"/>
          <w:color w:val="000000" w:themeColor="text1"/>
        </w:rPr>
        <w:t xml:space="preserve">soggetti che </w:t>
      </w:r>
      <w:r w:rsidR="00FC5059" w:rsidRPr="00AE1BB8">
        <w:rPr>
          <w:rFonts w:ascii="Garamond" w:hAnsi="Garamond"/>
          <w:color w:val="000000" w:themeColor="text1"/>
        </w:rPr>
        <w:t>concorrenti</w:t>
      </w:r>
      <w:r w:rsidR="00335651" w:rsidRPr="00AE1BB8">
        <w:rPr>
          <w:rFonts w:ascii="Garamond" w:hAnsi="Garamond"/>
          <w:color w:val="000000" w:themeColor="text1"/>
        </w:rPr>
        <w:t xml:space="preserve"> non sono</w:t>
      </w:r>
      <w:r w:rsidR="008F47E0" w:rsidRPr="00AE1BB8">
        <w:rPr>
          <w:rFonts w:ascii="Garamond" w:hAnsi="Garamond"/>
          <w:color w:val="000000" w:themeColor="text1"/>
        </w:rPr>
        <w:t xml:space="preserve">: prova ne sia che gli </w:t>
      </w:r>
      <w:r w:rsidR="00443967">
        <w:rPr>
          <w:rFonts w:ascii="Garamond" w:hAnsi="Garamond"/>
          <w:color w:val="000000" w:themeColor="text1"/>
        </w:rPr>
        <w:t>“</w:t>
      </w:r>
      <w:r w:rsidR="008F47E0" w:rsidRPr="00AE1BB8">
        <w:rPr>
          <w:rFonts w:ascii="Garamond" w:hAnsi="Garamond"/>
          <w:color w:val="000000" w:themeColor="text1"/>
        </w:rPr>
        <w:t>ausiliari</w:t>
      </w:r>
      <w:r w:rsidR="00443967">
        <w:rPr>
          <w:rFonts w:ascii="Garamond" w:hAnsi="Garamond"/>
          <w:color w:val="000000" w:themeColor="text1"/>
        </w:rPr>
        <w:t>”</w:t>
      </w:r>
      <w:r w:rsidR="008F47E0" w:rsidRPr="00AE1BB8">
        <w:rPr>
          <w:rFonts w:ascii="Garamond" w:hAnsi="Garamond"/>
          <w:color w:val="000000" w:themeColor="text1"/>
        </w:rPr>
        <w:t xml:space="preserve"> sono n</w:t>
      </w:r>
      <w:r w:rsidR="00AF25A0" w:rsidRPr="00AE1BB8">
        <w:rPr>
          <w:rFonts w:ascii="Garamond" w:hAnsi="Garamond"/>
          <w:color w:val="000000" w:themeColor="text1"/>
        </w:rPr>
        <w:t>ell</w:t>
      </w:r>
      <w:r w:rsidR="000A6286">
        <w:rPr>
          <w:rFonts w:ascii="Garamond" w:hAnsi="Garamond"/>
          <w:color w:val="000000" w:themeColor="text1"/>
        </w:rPr>
        <w:t>a</w:t>
      </w:r>
      <w:r w:rsidR="00AF25A0" w:rsidRPr="00AE1BB8">
        <w:rPr>
          <w:rFonts w:ascii="Garamond" w:hAnsi="Garamond"/>
          <w:color w:val="000000" w:themeColor="text1"/>
        </w:rPr>
        <w:t xml:space="preserve"> direttiv</w:t>
      </w:r>
      <w:r w:rsidR="000A6286">
        <w:rPr>
          <w:rFonts w:ascii="Garamond" w:hAnsi="Garamond"/>
          <w:color w:val="000000" w:themeColor="text1"/>
        </w:rPr>
        <w:t>a</w:t>
      </w:r>
      <w:r w:rsidR="00C50731" w:rsidRPr="00AE1BB8">
        <w:rPr>
          <w:rFonts w:ascii="Garamond" w:hAnsi="Garamond"/>
          <w:color w:val="000000" w:themeColor="text1"/>
        </w:rPr>
        <w:t xml:space="preserve"> </w:t>
      </w:r>
      <w:r w:rsidR="008F47E0" w:rsidRPr="00AE1BB8">
        <w:rPr>
          <w:rFonts w:ascii="Garamond" w:hAnsi="Garamond"/>
          <w:color w:val="000000" w:themeColor="text1"/>
        </w:rPr>
        <w:t>denominati “altri soggetti”</w:t>
      </w:r>
      <w:r w:rsidR="004C3252">
        <w:rPr>
          <w:rStyle w:val="Rimandonotaapidipagina"/>
          <w:color w:val="000000" w:themeColor="text1"/>
        </w:rPr>
        <w:footnoteReference w:id="81"/>
      </w:r>
      <w:r w:rsidR="008F47E0" w:rsidRPr="00AE1BB8">
        <w:rPr>
          <w:rFonts w:ascii="Garamond" w:hAnsi="Garamond"/>
          <w:color w:val="000000" w:themeColor="text1"/>
        </w:rPr>
        <w:t xml:space="preserve"> e non “operatori economici”. </w:t>
      </w:r>
    </w:p>
    <w:p w14:paraId="3F2E05CA" w14:textId="729592B5" w:rsidR="007F34BC" w:rsidRDefault="00BF73E7" w:rsidP="007F34BC">
      <w:pPr>
        <w:ind w:firstLine="284"/>
        <w:jc w:val="both"/>
        <w:rPr>
          <w:rFonts w:ascii="Garamond" w:hAnsi="Garamond"/>
          <w:color w:val="000000" w:themeColor="text1"/>
        </w:rPr>
      </w:pPr>
      <w:r>
        <w:rPr>
          <w:rFonts w:ascii="Garamond" w:hAnsi="Garamond"/>
        </w:rPr>
        <w:t xml:space="preserve">Nel merito poi </w:t>
      </w:r>
      <w:r w:rsidR="004F45BD">
        <w:rPr>
          <w:rFonts w:ascii="Garamond" w:hAnsi="Garamond"/>
        </w:rPr>
        <w:t>del</w:t>
      </w:r>
      <w:r w:rsidR="001A6E30" w:rsidRPr="001A6E30">
        <w:rPr>
          <w:rFonts w:ascii="Garamond" w:hAnsi="Garamond"/>
        </w:rPr>
        <w:t>la citata sentenza della CGUE C-94/12</w:t>
      </w:r>
      <w:r w:rsidR="001A6E30" w:rsidRPr="001A6E30">
        <w:rPr>
          <w:rFonts w:ascii="Garamond" w:hAnsi="Garamond"/>
          <w:color w:val="000000" w:themeColor="text1"/>
        </w:rPr>
        <w:t>, come si è visto</w:t>
      </w:r>
      <w:r>
        <w:rPr>
          <w:rStyle w:val="Rimandonotaapidipagina"/>
          <w:color w:val="000000" w:themeColor="text1"/>
        </w:rPr>
        <w:footnoteReference w:id="82"/>
      </w:r>
      <w:r w:rsidR="001A6E30" w:rsidRPr="001A6E30">
        <w:rPr>
          <w:rFonts w:ascii="Garamond" w:hAnsi="Garamond"/>
          <w:color w:val="000000" w:themeColor="text1"/>
        </w:rPr>
        <w:t xml:space="preserve">, </w:t>
      </w:r>
      <w:r w:rsidR="004F45BD">
        <w:rPr>
          <w:rFonts w:ascii="Garamond" w:hAnsi="Garamond"/>
          <w:color w:val="000000" w:themeColor="text1"/>
        </w:rPr>
        <w:t xml:space="preserve">questa </w:t>
      </w:r>
      <w:r w:rsidR="001A6E30" w:rsidRPr="001A6E30">
        <w:rPr>
          <w:rFonts w:ascii="Garamond" w:hAnsi="Garamond"/>
          <w:color w:val="000000" w:themeColor="text1"/>
        </w:rPr>
        <w:t>concerne il tema dell’avvalimento plurimo e frazionato, all’epoca precluso dall’art</w:t>
      </w:r>
      <w:r>
        <w:rPr>
          <w:rFonts w:ascii="Garamond" w:hAnsi="Garamond"/>
          <w:color w:val="000000" w:themeColor="text1"/>
        </w:rPr>
        <w:t>.</w:t>
      </w:r>
      <w:r w:rsidR="001A6E30" w:rsidRPr="001A6E30">
        <w:rPr>
          <w:rFonts w:ascii="Garamond" w:hAnsi="Garamond"/>
          <w:color w:val="000000" w:themeColor="text1"/>
        </w:rPr>
        <w:t xml:space="preserve"> 49, comma 6 del vecchio codice, </w:t>
      </w:r>
      <w:r w:rsidR="002B06FE">
        <w:rPr>
          <w:rFonts w:ascii="Garamond" w:hAnsi="Garamond"/>
          <w:color w:val="000000" w:themeColor="text1"/>
        </w:rPr>
        <w:t xml:space="preserve">disposizione </w:t>
      </w:r>
      <w:r w:rsidR="004F45BD">
        <w:rPr>
          <w:rFonts w:ascii="Garamond" w:hAnsi="Garamond"/>
          <w:color w:val="000000" w:themeColor="text1"/>
        </w:rPr>
        <w:t xml:space="preserve">di cui </w:t>
      </w:r>
      <w:r w:rsidR="002B06FE">
        <w:rPr>
          <w:rFonts w:ascii="Garamond" w:hAnsi="Garamond"/>
          <w:color w:val="000000" w:themeColor="text1"/>
        </w:rPr>
        <w:t xml:space="preserve">la Corte </w:t>
      </w:r>
      <w:r w:rsidR="004F45BD">
        <w:rPr>
          <w:rFonts w:ascii="Garamond" w:hAnsi="Garamond"/>
          <w:color w:val="000000" w:themeColor="text1"/>
        </w:rPr>
        <w:t xml:space="preserve">ha </w:t>
      </w:r>
      <w:r w:rsidR="001A6E30" w:rsidRPr="001A6E30">
        <w:rPr>
          <w:rFonts w:ascii="Garamond" w:hAnsi="Garamond"/>
          <w:color w:val="000000" w:themeColor="text1"/>
        </w:rPr>
        <w:t>sanc</w:t>
      </w:r>
      <w:r w:rsidR="004F45BD">
        <w:rPr>
          <w:rFonts w:ascii="Garamond" w:hAnsi="Garamond"/>
          <w:color w:val="000000" w:themeColor="text1"/>
        </w:rPr>
        <w:t>ito</w:t>
      </w:r>
      <w:r w:rsidR="001A6E30" w:rsidRPr="001A6E30">
        <w:rPr>
          <w:rFonts w:ascii="Garamond" w:hAnsi="Garamond"/>
          <w:color w:val="000000" w:themeColor="text1"/>
        </w:rPr>
        <w:t xml:space="preserve"> l’i</w:t>
      </w:r>
      <w:r w:rsidR="004F45BD">
        <w:rPr>
          <w:rFonts w:ascii="Garamond" w:hAnsi="Garamond"/>
          <w:color w:val="000000" w:themeColor="text1"/>
        </w:rPr>
        <w:t>ncompatibilità con il diritto comunitario</w:t>
      </w:r>
      <w:r>
        <w:rPr>
          <w:rFonts w:ascii="Garamond" w:hAnsi="Garamond"/>
          <w:color w:val="000000" w:themeColor="text1"/>
        </w:rPr>
        <w:t xml:space="preserve">. </w:t>
      </w:r>
      <w:r w:rsidR="004706DC">
        <w:rPr>
          <w:rFonts w:ascii="Garamond" w:hAnsi="Garamond"/>
          <w:color w:val="000000" w:themeColor="text1"/>
        </w:rPr>
        <w:t>In sostanza</w:t>
      </w:r>
      <w:r w:rsidR="001A6E30" w:rsidRPr="001A6E30">
        <w:rPr>
          <w:rFonts w:ascii="Garamond" w:hAnsi="Garamond"/>
          <w:color w:val="000000" w:themeColor="text1"/>
        </w:rPr>
        <w:t xml:space="preserve">, il tema era circoscritto ad indagare se al concorrente/operatore economico fosse consentito o meno ricorrere a più di una impresa per integrare un requisito mancante e giammai </w:t>
      </w:r>
      <w:r w:rsidR="004F45BD">
        <w:rPr>
          <w:rFonts w:ascii="Garamond" w:hAnsi="Garamond"/>
          <w:color w:val="000000" w:themeColor="text1"/>
        </w:rPr>
        <w:t xml:space="preserve">si estendeva alla verifica </w:t>
      </w:r>
      <w:r w:rsidR="00443967">
        <w:rPr>
          <w:rFonts w:ascii="Garamond" w:hAnsi="Garamond"/>
          <w:color w:val="000000" w:themeColor="text1"/>
        </w:rPr>
        <w:t>se tale avvalimento plurimo o frazionato</w:t>
      </w:r>
      <w:r w:rsidR="001A6E30" w:rsidRPr="001A6E30">
        <w:rPr>
          <w:rFonts w:ascii="Garamond" w:hAnsi="Garamond"/>
          <w:color w:val="000000" w:themeColor="text1"/>
        </w:rPr>
        <w:t xml:space="preserve"> fosse consentito ad “altri soggetti” (</w:t>
      </w:r>
      <w:r w:rsidR="00443967">
        <w:rPr>
          <w:rFonts w:ascii="Garamond" w:hAnsi="Garamond"/>
          <w:color w:val="000000" w:themeColor="text1"/>
        </w:rPr>
        <w:t xml:space="preserve">le imprese ausiliarie, </w:t>
      </w:r>
      <w:r w:rsidR="001A6E30" w:rsidRPr="001A6E30">
        <w:rPr>
          <w:rFonts w:ascii="Garamond" w:hAnsi="Garamond"/>
          <w:color w:val="000000" w:themeColor="text1"/>
        </w:rPr>
        <w:t>nella fattispecie sottoposta alla Corte)</w:t>
      </w:r>
      <w:r>
        <w:rPr>
          <w:rFonts w:ascii="Garamond" w:hAnsi="Garamond"/>
          <w:color w:val="000000" w:themeColor="text1"/>
        </w:rPr>
        <w:t>,</w:t>
      </w:r>
      <w:r w:rsidR="001A6E30" w:rsidRPr="001A6E30">
        <w:rPr>
          <w:rFonts w:ascii="Garamond" w:hAnsi="Garamond"/>
          <w:color w:val="000000" w:themeColor="text1"/>
        </w:rPr>
        <w:t xml:space="preserve"> non qualificabili come operatori economici. </w:t>
      </w:r>
      <w:r w:rsidR="004706DC">
        <w:rPr>
          <w:rFonts w:ascii="Garamond" w:hAnsi="Garamond"/>
          <w:color w:val="000000" w:themeColor="text1"/>
        </w:rPr>
        <w:t>F</w:t>
      </w:r>
      <w:r w:rsidR="001A6E30" w:rsidRPr="001A6E30">
        <w:rPr>
          <w:rFonts w:ascii="Garamond" w:hAnsi="Garamond"/>
          <w:color w:val="000000" w:themeColor="text1"/>
        </w:rPr>
        <w:t xml:space="preserve">attispecie </w:t>
      </w:r>
      <w:r w:rsidR="004706DC">
        <w:rPr>
          <w:rFonts w:ascii="Garamond" w:hAnsi="Garamond"/>
          <w:color w:val="000000" w:themeColor="text1"/>
        </w:rPr>
        <w:t xml:space="preserve">dunque diversa da quella </w:t>
      </w:r>
      <w:r w:rsidR="001A6E30" w:rsidRPr="001A6E30">
        <w:rPr>
          <w:rFonts w:ascii="Garamond" w:hAnsi="Garamond"/>
          <w:color w:val="000000" w:themeColor="text1"/>
        </w:rPr>
        <w:t xml:space="preserve">esaminata dal Consiglio di Stato, dove per l’appunto il tema consisteva nello stabilire </w:t>
      </w:r>
      <w:r w:rsidR="004706DC">
        <w:rPr>
          <w:rFonts w:ascii="Garamond" w:hAnsi="Garamond"/>
          <w:color w:val="000000" w:themeColor="text1"/>
        </w:rPr>
        <w:t>se fosse consentito il ricorso all’avvalimento da parte del</w:t>
      </w:r>
      <w:r>
        <w:rPr>
          <w:rFonts w:ascii="Garamond" w:hAnsi="Garamond"/>
          <w:color w:val="000000" w:themeColor="text1"/>
        </w:rPr>
        <w:t xml:space="preserve"> progettista indicato</w:t>
      </w:r>
      <w:r w:rsidR="001A6E30" w:rsidRPr="001A6E30">
        <w:rPr>
          <w:rFonts w:ascii="Garamond" w:hAnsi="Garamond"/>
          <w:color w:val="000000" w:themeColor="text1"/>
        </w:rPr>
        <w:t>, che non solo non è un operatore economico/concorr</w:t>
      </w:r>
      <w:r>
        <w:rPr>
          <w:rFonts w:ascii="Garamond" w:hAnsi="Garamond"/>
          <w:color w:val="000000" w:themeColor="text1"/>
        </w:rPr>
        <w:t xml:space="preserve">ente ma, </w:t>
      </w:r>
      <w:r w:rsidR="00AB2028">
        <w:rPr>
          <w:rFonts w:ascii="Garamond" w:hAnsi="Garamond"/>
          <w:color w:val="000000" w:themeColor="text1"/>
        </w:rPr>
        <w:t>secondo la nostra giurisprudenza</w:t>
      </w:r>
      <w:r w:rsidR="001A6E30" w:rsidRPr="001A6E30">
        <w:rPr>
          <w:rFonts w:ascii="Garamond" w:hAnsi="Garamond"/>
          <w:color w:val="000000" w:themeColor="text1"/>
        </w:rPr>
        <w:t xml:space="preserve">, è un mero collaboratore del concorrente, </w:t>
      </w:r>
      <w:r w:rsidR="004706DC">
        <w:rPr>
          <w:rFonts w:ascii="Garamond" w:hAnsi="Garamond"/>
          <w:color w:val="000000" w:themeColor="text1"/>
        </w:rPr>
        <w:t xml:space="preserve">dunque </w:t>
      </w:r>
      <w:r w:rsidR="001A6E30" w:rsidRPr="001A6E30">
        <w:rPr>
          <w:rFonts w:ascii="Garamond" w:hAnsi="Garamond"/>
          <w:color w:val="000000" w:themeColor="text1"/>
        </w:rPr>
        <w:t xml:space="preserve">non qualificabile </w:t>
      </w:r>
      <w:r w:rsidR="004706DC">
        <w:rPr>
          <w:rFonts w:ascii="Garamond" w:hAnsi="Garamond"/>
          <w:color w:val="000000" w:themeColor="text1"/>
        </w:rPr>
        <w:t xml:space="preserve">neanche </w:t>
      </w:r>
      <w:r w:rsidR="001A6E30" w:rsidRPr="001A6E30">
        <w:rPr>
          <w:rFonts w:ascii="Garamond" w:hAnsi="Garamond"/>
          <w:color w:val="000000" w:themeColor="text1"/>
        </w:rPr>
        <w:t>come ausiliario (difatti, come evidenziato nella ordinanza n.</w:t>
      </w:r>
      <w:r>
        <w:rPr>
          <w:rFonts w:ascii="Garamond" w:hAnsi="Garamond"/>
          <w:color w:val="000000" w:themeColor="text1"/>
        </w:rPr>
        <w:t xml:space="preserve"> </w:t>
      </w:r>
      <w:r w:rsidR="001A6E30" w:rsidRPr="001A6E30">
        <w:rPr>
          <w:rFonts w:ascii="Garamond" w:hAnsi="Garamond"/>
          <w:color w:val="000000" w:themeColor="text1"/>
        </w:rPr>
        <w:t>2331/2020</w:t>
      </w:r>
      <w:r w:rsidR="00AB2028">
        <w:rPr>
          <w:rFonts w:ascii="Garamond" w:hAnsi="Garamond"/>
          <w:color w:val="000000" w:themeColor="text1"/>
        </w:rPr>
        <w:t>,</w:t>
      </w:r>
      <w:r w:rsidR="001A6E30" w:rsidRPr="001A6E30">
        <w:rPr>
          <w:rFonts w:ascii="Garamond" w:hAnsi="Garamond"/>
          <w:color w:val="000000" w:themeColor="text1"/>
        </w:rPr>
        <w:t xml:space="preserve"> non assume alcuna responsabilità solidale e non è tenuto alle dichiarazioni previste per l’ausiliario)</w:t>
      </w:r>
      <w:r w:rsidR="009505DD">
        <w:rPr>
          <w:rFonts w:ascii="Garamond" w:hAnsi="Garamond"/>
          <w:color w:val="000000" w:themeColor="text1"/>
        </w:rPr>
        <w:t xml:space="preserve">. </w:t>
      </w:r>
      <w:r w:rsidR="00FC37EB">
        <w:rPr>
          <w:rFonts w:ascii="Garamond" w:hAnsi="Garamond"/>
          <w:color w:val="000000" w:themeColor="text1"/>
        </w:rPr>
        <w:t>N</w:t>
      </w:r>
      <w:r w:rsidR="001A6E30" w:rsidRPr="001A6E30">
        <w:rPr>
          <w:rFonts w:ascii="Garamond" w:hAnsi="Garamond"/>
          <w:color w:val="000000" w:themeColor="text1"/>
        </w:rPr>
        <w:t>el</w:t>
      </w:r>
      <w:r w:rsidR="004706DC">
        <w:rPr>
          <w:rFonts w:ascii="Garamond" w:hAnsi="Garamond"/>
          <w:color w:val="000000" w:themeColor="text1"/>
        </w:rPr>
        <w:t xml:space="preserve"> contesto dell’</w:t>
      </w:r>
      <w:r w:rsidR="001A6E30" w:rsidRPr="001A6E30">
        <w:rPr>
          <w:rFonts w:ascii="Garamond" w:hAnsi="Garamond"/>
          <w:color w:val="000000" w:themeColor="text1"/>
        </w:rPr>
        <w:t>ordinamento comunitario</w:t>
      </w:r>
      <w:r w:rsidR="00AB2028">
        <w:rPr>
          <w:rFonts w:ascii="Garamond" w:hAnsi="Garamond"/>
          <w:color w:val="000000" w:themeColor="text1"/>
        </w:rPr>
        <w:t>,</w:t>
      </w:r>
      <w:r w:rsidR="009505DD">
        <w:rPr>
          <w:rFonts w:ascii="Garamond" w:hAnsi="Garamond"/>
          <w:color w:val="000000" w:themeColor="text1"/>
        </w:rPr>
        <w:t xml:space="preserve"> </w:t>
      </w:r>
      <w:r w:rsidR="00FC37EB">
        <w:rPr>
          <w:rFonts w:ascii="Garamond" w:hAnsi="Garamond"/>
          <w:color w:val="000000" w:themeColor="text1"/>
        </w:rPr>
        <w:t xml:space="preserve">poi, </w:t>
      </w:r>
      <w:r w:rsidR="009505DD">
        <w:rPr>
          <w:rFonts w:ascii="Garamond" w:hAnsi="Garamond"/>
          <w:color w:val="000000" w:themeColor="text1"/>
        </w:rPr>
        <w:t>il progettista indicato</w:t>
      </w:r>
      <w:r w:rsidR="001A6E30" w:rsidRPr="001A6E30">
        <w:rPr>
          <w:rFonts w:ascii="Garamond" w:hAnsi="Garamond"/>
          <w:color w:val="000000" w:themeColor="text1"/>
        </w:rPr>
        <w:t xml:space="preserve"> non è</w:t>
      </w:r>
      <w:r w:rsidR="00FC37EB">
        <w:rPr>
          <w:rFonts w:ascii="Garamond" w:hAnsi="Garamond"/>
          <w:color w:val="000000" w:themeColor="text1"/>
        </w:rPr>
        <w:t xml:space="preserve"> istituto contemplato, dunque non è</w:t>
      </w:r>
      <w:r w:rsidR="001A6E30" w:rsidRPr="001A6E30">
        <w:rPr>
          <w:rFonts w:ascii="Garamond" w:hAnsi="Garamond"/>
          <w:color w:val="000000" w:themeColor="text1"/>
        </w:rPr>
        <w:t xml:space="preserve"> neanche </w:t>
      </w:r>
      <w:r w:rsidR="00FC37EB">
        <w:rPr>
          <w:rFonts w:ascii="Garamond" w:hAnsi="Garamond"/>
          <w:color w:val="000000" w:themeColor="text1"/>
        </w:rPr>
        <w:t>ascrivibile tra gli</w:t>
      </w:r>
      <w:r w:rsidR="001A6E30" w:rsidRPr="001A6E30">
        <w:rPr>
          <w:rFonts w:ascii="Garamond" w:hAnsi="Garamond"/>
          <w:color w:val="000000" w:themeColor="text1"/>
        </w:rPr>
        <w:t xml:space="preserve"> “altr</w:t>
      </w:r>
      <w:r w:rsidR="00FC37EB">
        <w:rPr>
          <w:rFonts w:ascii="Garamond" w:hAnsi="Garamond"/>
          <w:color w:val="000000" w:themeColor="text1"/>
        </w:rPr>
        <w:t>i</w:t>
      </w:r>
      <w:r w:rsidR="001A6E30" w:rsidRPr="001A6E30">
        <w:rPr>
          <w:rFonts w:ascii="Garamond" w:hAnsi="Garamond"/>
          <w:color w:val="000000" w:themeColor="text1"/>
        </w:rPr>
        <w:t xml:space="preserve"> soggett</w:t>
      </w:r>
      <w:r w:rsidR="00FC37EB">
        <w:rPr>
          <w:rFonts w:ascii="Garamond" w:hAnsi="Garamond"/>
          <w:color w:val="000000" w:themeColor="text1"/>
        </w:rPr>
        <w:t>i</w:t>
      </w:r>
      <w:r w:rsidR="001A6E30" w:rsidRPr="001A6E30">
        <w:rPr>
          <w:rFonts w:ascii="Garamond" w:hAnsi="Garamond"/>
          <w:color w:val="000000" w:themeColor="text1"/>
        </w:rPr>
        <w:t>”</w:t>
      </w:r>
      <w:r w:rsidR="004C3252">
        <w:rPr>
          <w:rStyle w:val="Rimandonotaapidipagina"/>
          <w:color w:val="000000" w:themeColor="text1"/>
        </w:rPr>
        <w:footnoteReference w:id="83"/>
      </w:r>
      <w:r w:rsidR="009505DD">
        <w:rPr>
          <w:rFonts w:ascii="Garamond" w:hAnsi="Garamond"/>
          <w:color w:val="000000" w:themeColor="text1"/>
        </w:rPr>
        <w:t>.</w:t>
      </w:r>
    </w:p>
    <w:p w14:paraId="1CED6203" w14:textId="00F3AC2D" w:rsidR="00FC37EB" w:rsidRPr="00FC37EB" w:rsidRDefault="00DB335E" w:rsidP="00DB335E">
      <w:pPr>
        <w:jc w:val="both"/>
        <w:rPr>
          <w:rFonts w:ascii="Garamond" w:hAnsi="Garamond"/>
          <w:color w:val="000000" w:themeColor="text1"/>
        </w:rPr>
      </w:pPr>
      <w:r>
        <w:rPr>
          <w:rFonts w:ascii="Garamond" w:hAnsi="Garamond"/>
          <w:color w:val="000000" w:themeColor="text1"/>
        </w:rPr>
        <w:t xml:space="preserve">    </w:t>
      </w:r>
      <w:r w:rsidR="00FC37EB">
        <w:rPr>
          <w:rFonts w:ascii="Garamond" w:hAnsi="Garamond"/>
          <w:color w:val="000000" w:themeColor="text1"/>
        </w:rPr>
        <w:t xml:space="preserve">D’altra parte, </w:t>
      </w:r>
      <w:r w:rsidR="00120FAE">
        <w:rPr>
          <w:rFonts w:ascii="Garamond" w:hAnsi="Garamond"/>
          <w:color w:val="000000" w:themeColor="text1"/>
        </w:rPr>
        <w:t>l’impostazione dell’art 53 comma 3 del D.Lgs. n.163/06 sembra non equivocabile: per partecipare a gare che, oltre alla esecuzione, hanno per oggetto anche la progettazione, o si possiedono i requisiti per quest’ultima, o ci si avvale di progettisti qualificati da indicare nell’offerta o si partecipa in raggruppamento con soggetti qualificati</w:t>
      </w:r>
      <w:r w:rsidR="00D6344B">
        <w:rPr>
          <w:rFonts w:ascii="Garamond" w:hAnsi="Garamond"/>
          <w:color w:val="000000" w:themeColor="text1"/>
        </w:rPr>
        <w:t xml:space="preserve"> per la progettazione. Dunque, se in luogo di includere il progettista qualificato nel proprio raggruppamento , ciò che poi consentirebbe al RTI concorrente di utilizzare l’avvalimento, si opta per ricorrere ad una forma di collaborazione esterna, quale quella del </w:t>
      </w:r>
      <w:r w:rsidR="00D6344B">
        <w:rPr>
          <w:rFonts w:ascii="Garamond" w:hAnsi="Garamond"/>
          <w:color w:val="000000" w:themeColor="text1"/>
        </w:rPr>
        <w:lastRenderedPageBreak/>
        <w:t>progettista indicato, non può ammettersi la scelta di un soggetto</w:t>
      </w:r>
      <w:r w:rsidR="00D97AFA">
        <w:rPr>
          <w:rFonts w:ascii="Garamond" w:hAnsi="Garamond"/>
          <w:color w:val="000000" w:themeColor="text1"/>
        </w:rPr>
        <w:t xml:space="preserve"> che, oltre a non rispondere di alcuna responsabilità solidale e a non rilasciare alcuna dichiarazione sia anche</w:t>
      </w:r>
      <w:r w:rsidR="00D6344B">
        <w:rPr>
          <w:rFonts w:ascii="Garamond" w:hAnsi="Garamond"/>
          <w:color w:val="000000" w:themeColor="text1"/>
        </w:rPr>
        <w:t xml:space="preserve"> privo dei requisiti </w:t>
      </w:r>
      <w:r w:rsidR="00D97AFA">
        <w:rPr>
          <w:rFonts w:ascii="Garamond" w:hAnsi="Garamond"/>
          <w:color w:val="000000" w:themeColor="text1"/>
        </w:rPr>
        <w:t>ed al quale si consente</w:t>
      </w:r>
      <w:r w:rsidR="00D6344B">
        <w:rPr>
          <w:rFonts w:ascii="Garamond" w:hAnsi="Garamond"/>
          <w:color w:val="000000" w:themeColor="text1"/>
        </w:rPr>
        <w:t xml:space="preserve"> poi</w:t>
      </w:r>
      <w:r w:rsidR="00D97AFA">
        <w:rPr>
          <w:rFonts w:ascii="Garamond" w:hAnsi="Garamond"/>
          <w:color w:val="000000" w:themeColor="text1"/>
        </w:rPr>
        <w:t xml:space="preserve"> </w:t>
      </w:r>
      <w:r w:rsidR="00D6344B">
        <w:rPr>
          <w:rFonts w:ascii="Garamond" w:hAnsi="Garamond"/>
          <w:color w:val="000000" w:themeColor="text1"/>
        </w:rPr>
        <w:t>di utilizzare l’avvalimento</w:t>
      </w:r>
      <w:r w:rsidR="00D97AFA">
        <w:rPr>
          <w:rFonts w:ascii="Garamond" w:hAnsi="Garamond"/>
          <w:color w:val="000000" w:themeColor="text1"/>
        </w:rPr>
        <w:t>:</w:t>
      </w:r>
      <w:r w:rsidR="00D6344B">
        <w:rPr>
          <w:rFonts w:ascii="Garamond" w:hAnsi="Garamond"/>
          <w:color w:val="000000" w:themeColor="text1"/>
        </w:rPr>
        <w:t xml:space="preserve"> è del tutto evidente che l’istituto in questione si rivelerebbe sprovvisto di qualsivoglia </w:t>
      </w:r>
      <w:r w:rsidR="00D6344B" w:rsidRPr="00D6344B">
        <w:rPr>
          <w:rFonts w:ascii="Garamond" w:hAnsi="Garamond"/>
          <w:i/>
          <w:iCs/>
          <w:color w:val="000000" w:themeColor="text1"/>
        </w:rPr>
        <w:t>ratio</w:t>
      </w:r>
      <w:r w:rsidR="00D6344B">
        <w:rPr>
          <w:rFonts w:ascii="Garamond" w:hAnsi="Garamond"/>
          <w:color w:val="000000" w:themeColor="text1"/>
        </w:rPr>
        <w:t xml:space="preserve">. </w:t>
      </w:r>
    </w:p>
    <w:p w14:paraId="18B48430" w14:textId="3F636724" w:rsidR="009B1D55" w:rsidRPr="007F34BC" w:rsidRDefault="001A6E30" w:rsidP="007F34BC">
      <w:pPr>
        <w:ind w:firstLine="284"/>
        <w:jc w:val="both"/>
        <w:rPr>
          <w:rFonts w:ascii="Garamond" w:hAnsi="Garamond"/>
          <w:color w:val="000000" w:themeColor="text1"/>
        </w:rPr>
      </w:pPr>
      <w:r w:rsidRPr="001A6E30">
        <w:rPr>
          <w:rFonts w:ascii="Garamond" w:hAnsi="Garamond"/>
          <w:color w:val="000000" w:themeColor="text1"/>
        </w:rPr>
        <w:t xml:space="preserve">Ulteriore perplessità </w:t>
      </w:r>
      <w:r w:rsidR="00FC37EB">
        <w:rPr>
          <w:rFonts w:ascii="Garamond" w:hAnsi="Garamond"/>
          <w:color w:val="000000" w:themeColor="text1"/>
        </w:rPr>
        <w:t xml:space="preserve">suscitata </w:t>
      </w:r>
      <w:r w:rsidRPr="001A6E30">
        <w:rPr>
          <w:rFonts w:ascii="Garamond" w:hAnsi="Garamond"/>
          <w:color w:val="000000" w:themeColor="text1"/>
        </w:rPr>
        <w:t>d</w:t>
      </w:r>
      <w:r w:rsidR="00FC37EB">
        <w:rPr>
          <w:rFonts w:ascii="Garamond" w:hAnsi="Garamond"/>
          <w:color w:val="000000" w:themeColor="text1"/>
        </w:rPr>
        <w:t>a</w:t>
      </w:r>
      <w:r w:rsidRPr="001A6E30">
        <w:rPr>
          <w:rFonts w:ascii="Garamond" w:hAnsi="Garamond"/>
          <w:color w:val="000000" w:themeColor="text1"/>
        </w:rPr>
        <w:t xml:space="preserve">lla </w:t>
      </w:r>
      <w:r w:rsidR="009505DD">
        <w:rPr>
          <w:rFonts w:ascii="Garamond" w:hAnsi="Garamond"/>
          <w:color w:val="000000" w:themeColor="text1"/>
        </w:rPr>
        <w:t>sentenza n. 4929/2014</w:t>
      </w:r>
      <w:r w:rsidRPr="001A6E30">
        <w:rPr>
          <w:rFonts w:ascii="Garamond" w:hAnsi="Garamond"/>
          <w:color w:val="000000" w:themeColor="text1"/>
        </w:rPr>
        <w:t xml:space="preserve"> </w:t>
      </w:r>
      <w:r w:rsidR="00FC37EB">
        <w:rPr>
          <w:rFonts w:ascii="Garamond" w:hAnsi="Garamond"/>
          <w:color w:val="000000" w:themeColor="text1"/>
        </w:rPr>
        <w:t>deriva dalla circostanza</w:t>
      </w:r>
      <w:r w:rsidRPr="001A6E30">
        <w:rPr>
          <w:rFonts w:ascii="Garamond" w:hAnsi="Garamond"/>
          <w:color w:val="000000" w:themeColor="text1"/>
        </w:rPr>
        <w:t xml:space="preserve">  che</w:t>
      </w:r>
      <w:r w:rsidR="00FC37EB">
        <w:rPr>
          <w:rFonts w:ascii="Garamond" w:hAnsi="Garamond"/>
          <w:color w:val="000000" w:themeColor="text1"/>
        </w:rPr>
        <w:t xml:space="preserve"> la medesima</w:t>
      </w:r>
      <w:r w:rsidRPr="001A6E30">
        <w:rPr>
          <w:rFonts w:ascii="Garamond" w:hAnsi="Garamond"/>
          <w:color w:val="000000" w:themeColor="text1"/>
        </w:rPr>
        <w:t xml:space="preserve"> non si concreta in alcun modo in un </w:t>
      </w:r>
      <w:r w:rsidRPr="001A6E30">
        <w:rPr>
          <w:rFonts w:ascii="Garamond" w:hAnsi="Garamond"/>
          <w:i/>
          <w:color w:val="000000" w:themeColor="text1"/>
        </w:rPr>
        <w:t>revirement</w:t>
      </w:r>
      <w:r w:rsidRPr="001A6E30">
        <w:rPr>
          <w:rFonts w:ascii="Garamond" w:hAnsi="Garamond"/>
          <w:color w:val="000000" w:themeColor="text1"/>
        </w:rPr>
        <w:t xml:space="preserve"> giurisprudenziale</w:t>
      </w:r>
      <w:r w:rsidR="007F34BC" w:rsidRPr="00AE1BB8">
        <w:rPr>
          <w:rStyle w:val="Rimandonotaapidipagina"/>
          <w:color w:val="000000" w:themeColor="text1"/>
        </w:rPr>
        <w:footnoteReference w:id="84"/>
      </w:r>
      <w:r w:rsidR="007F34BC">
        <w:rPr>
          <w:rFonts w:ascii="Garamond" w:hAnsi="Garamond"/>
          <w:color w:val="000000" w:themeColor="text1"/>
        </w:rPr>
        <w:t xml:space="preserve">, </w:t>
      </w:r>
      <w:r w:rsidRPr="001A6E30">
        <w:rPr>
          <w:rFonts w:ascii="Garamond" w:hAnsi="Garamond"/>
          <w:color w:val="000000" w:themeColor="text1"/>
        </w:rPr>
        <w:t>ma</w:t>
      </w:r>
      <w:r w:rsidR="00BF73E7">
        <w:rPr>
          <w:rFonts w:ascii="Garamond" w:hAnsi="Garamond"/>
          <w:color w:val="000000" w:themeColor="text1"/>
        </w:rPr>
        <w:t xml:space="preserve"> piuttosto</w:t>
      </w:r>
      <w:r w:rsidRPr="001A6E30">
        <w:rPr>
          <w:rFonts w:ascii="Garamond" w:hAnsi="Garamond"/>
          <w:color w:val="000000" w:themeColor="text1"/>
        </w:rPr>
        <w:t xml:space="preserve"> in una pronuncia </w:t>
      </w:r>
      <w:r w:rsidR="008501A1">
        <w:rPr>
          <w:rFonts w:ascii="Garamond" w:hAnsi="Garamond"/>
          <w:color w:val="000000" w:themeColor="text1"/>
        </w:rPr>
        <w:t>sostanzialmente</w:t>
      </w:r>
      <w:r w:rsidRPr="001A6E30">
        <w:rPr>
          <w:rFonts w:ascii="Garamond" w:hAnsi="Garamond"/>
          <w:color w:val="000000" w:themeColor="text1"/>
        </w:rPr>
        <w:t xml:space="preserve"> </w:t>
      </w:r>
      <w:r w:rsidR="00BF73E7">
        <w:rPr>
          <w:rFonts w:ascii="Garamond" w:hAnsi="Garamond"/>
          <w:color w:val="000000" w:themeColor="text1"/>
        </w:rPr>
        <w:t>isolata e a tutt’oggi, infatti</w:t>
      </w:r>
      <w:r w:rsidRPr="001A6E30">
        <w:rPr>
          <w:rFonts w:ascii="Garamond" w:hAnsi="Garamond"/>
          <w:color w:val="000000" w:themeColor="text1"/>
        </w:rPr>
        <w:t xml:space="preserve">, non solo non vi sono state sentenze nello stesso senso ma sul tema generale del divieto di avvalimento a cascata </w:t>
      </w:r>
      <w:r w:rsidR="00273AF1">
        <w:rPr>
          <w:rFonts w:ascii="Garamond" w:hAnsi="Garamond"/>
          <w:color w:val="000000" w:themeColor="text1"/>
        </w:rPr>
        <w:t xml:space="preserve">sotto la vigenza del vecchio codice </w:t>
      </w:r>
      <w:r w:rsidRPr="001A6E30">
        <w:rPr>
          <w:rFonts w:ascii="Garamond" w:hAnsi="Garamond"/>
          <w:color w:val="000000" w:themeColor="text1"/>
        </w:rPr>
        <w:t>si sono susseguite numerose pronunce</w:t>
      </w:r>
      <w:r w:rsidR="00273AF1">
        <w:rPr>
          <w:rFonts w:ascii="Garamond" w:hAnsi="Garamond"/>
          <w:color w:val="000000" w:themeColor="text1"/>
        </w:rPr>
        <w:t xml:space="preserve"> sino all’approdo di un espresso divieto normativo ad opera dell’art 89, comma 6 del nuovo codice.</w:t>
      </w:r>
    </w:p>
    <w:p w14:paraId="69508961" w14:textId="5F007F86" w:rsidR="007F01C4" w:rsidRPr="009B1D55" w:rsidRDefault="009B1D55" w:rsidP="00AF5009">
      <w:pPr>
        <w:ind w:firstLine="284"/>
        <w:jc w:val="both"/>
        <w:rPr>
          <w:rFonts w:ascii="Garamond" w:hAnsi="Garamond"/>
        </w:rPr>
      </w:pPr>
      <w:r>
        <w:rPr>
          <w:rFonts w:ascii="Garamond" w:hAnsi="Garamond"/>
        </w:rPr>
        <w:t xml:space="preserve">La procedura di infrazione n. 2018/2273 ha poi giudicato </w:t>
      </w:r>
      <w:r w:rsidR="00AF5009" w:rsidRPr="009B1D55">
        <w:rPr>
          <w:rFonts w:ascii="Garamond" w:hAnsi="Garamond"/>
        </w:rPr>
        <w:t xml:space="preserve">incompatibile con </w:t>
      </w:r>
      <w:r w:rsidR="00867013" w:rsidRPr="009B1D55">
        <w:rPr>
          <w:rFonts w:ascii="Garamond" w:hAnsi="Garamond"/>
        </w:rPr>
        <w:t>il diritto europeo anche</w:t>
      </w:r>
      <w:r w:rsidR="0082089E" w:rsidRPr="009B1D55">
        <w:rPr>
          <w:rFonts w:ascii="Garamond" w:hAnsi="Garamond"/>
        </w:rPr>
        <w:t xml:space="preserve"> la previsione del comma 7</w:t>
      </w:r>
      <w:r w:rsidR="00D80686" w:rsidRPr="009B1D55">
        <w:rPr>
          <w:rFonts w:ascii="Garamond" w:hAnsi="Garamond"/>
        </w:rPr>
        <w:t xml:space="preserve">, </w:t>
      </w:r>
      <w:r w:rsidR="007A1BCA" w:rsidRPr="009B1D55">
        <w:rPr>
          <w:rFonts w:ascii="Garamond" w:hAnsi="Garamond"/>
        </w:rPr>
        <w:t>nelle parti</w:t>
      </w:r>
      <w:r w:rsidR="00D80686" w:rsidRPr="009B1D55">
        <w:rPr>
          <w:rFonts w:ascii="Garamond" w:hAnsi="Garamond"/>
        </w:rPr>
        <w:t xml:space="preserve"> in cui non consente che diversi offerenti si avvalgano del medesimo soggetto ausiliario ovvero</w:t>
      </w:r>
      <w:r w:rsidR="0082089E" w:rsidRPr="009B1D55">
        <w:rPr>
          <w:rFonts w:ascii="Garamond" w:hAnsi="Garamond"/>
        </w:rPr>
        <w:t xml:space="preserve"> </w:t>
      </w:r>
      <w:r w:rsidR="007A1BCA" w:rsidRPr="009B1D55">
        <w:rPr>
          <w:rFonts w:ascii="Garamond" w:hAnsi="Garamond"/>
        </w:rPr>
        <w:t>che l</w:t>
      </w:r>
      <w:r w:rsidR="00867013" w:rsidRPr="009B1D55">
        <w:rPr>
          <w:rFonts w:ascii="Garamond" w:hAnsi="Garamond"/>
        </w:rPr>
        <w:t>’</w:t>
      </w:r>
      <w:r w:rsidR="0082089E" w:rsidRPr="009B1D55">
        <w:rPr>
          <w:rFonts w:ascii="Garamond" w:hAnsi="Garamond"/>
        </w:rPr>
        <w:t xml:space="preserve">operatore economico </w:t>
      </w:r>
      <w:r w:rsidR="007A1BCA" w:rsidRPr="009B1D55">
        <w:rPr>
          <w:rFonts w:ascii="Garamond" w:hAnsi="Garamond"/>
        </w:rPr>
        <w:t>partecipi</w:t>
      </w:r>
      <w:r w:rsidR="0082089E" w:rsidRPr="009B1D55">
        <w:rPr>
          <w:rFonts w:ascii="Garamond" w:hAnsi="Garamond"/>
        </w:rPr>
        <w:t xml:space="preserve"> alla medesima gara sia in veste </w:t>
      </w:r>
      <w:r w:rsidR="00202568" w:rsidRPr="009B1D55">
        <w:rPr>
          <w:rFonts w:ascii="Garamond" w:hAnsi="Garamond"/>
        </w:rPr>
        <w:t xml:space="preserve">di offerente che di </w:t>
      </w:r>
      <w:r w:rsidR="007A1BCA" w:rsidRPr="009B1D55">
        <w:rPr>
          <w:rFonts w:ascii="Garamond" w:hAnsi="Garamond"/>
        </w:rPr>
        <w:t xml:space="preserve">impresa ausiliaria. Ad avviso della Commissione, siffatti divieti sarebbero incompatibili rispetto al principio di proporzionalità comunitario, in quanto il loro carattere incondizionato non consentirebbe alla stazione appaltante una valutazione della </w:t>
      </w:r>
      <w:r w:rsidR="001A79C2" w:rsidRPr="009B1D55">
        <w:rPr>
          <w:rFonts w:ascii="Garamond" w:hAnsi="Garamond"/>
        </w:rPr>
        <w:t>specifica fattispecie</w:t>
      </w:r>
      <w:r w:rsidR="007A1BCA" w:rsidRPr="009B1D55">
        <w:rPr>
          <w:rFonts w:ascii="Garamond" w:hAnsi="Garamond"/>
        </w:rPr>
        <w:t xml:space="preserve"> concreta</w:t>
      </w:r>
      <w:r w:rsidR="00A02404" w:rsidRPr="009B1D55">
        <w:rPr>
          <w:rStyle w:val="Rimandonotaapidipagina"/>
        </w:rPr>
        <w:footnoteReference w:id="85"/>
      </w:r>
      <w:r w:rsidR="007A1BCA" w:rsidRPr="009B1D55">
        <w:rPr>
          <w:rFonts w:ascii="Garamond" w:hAnsi="Garamond"/>
        </w:rPr>
        <w:t xml:space="preserve">. </w:t>
      </w:r>
      <w:r w:rsidR="0008645A" w:rsidRPr="009B1D55">
        <w:rPr>
          <w:rFonts w:ascii="Garamond" w:hAnsi="Garamond"/>
        </w:rPr>
        <w:t>Con riferimento al</w:t>
      </w:r>
      <w:r w:rsidR="001A79C2" w:rsidRPr="009B1D55">
        <w:rPr>
          <w:rFonts w:ascii="Garamond" w:hAnsi="Garamond"/>
        </w:rPr>
        <w:t xml:space="preserve"> presunto conflitto di interessi</w:t>
      </w:r>
      <w:r w:rsidR="0008645A" w:rsidRPr="009B1D55">
        <w:rPr>
          <w:rFonts w:ascii="Garamond" w:hAnsi="Garamond"/>
        </w:rPr>
        <w:t xml:space="preserve"> sotteso all’introduzione nel nostro sistema di tali divieti dovrebbe piuttosto essere consentito all’operatore economico di dimostrare</w:t>
      </w:r>
      <w:r w:rsidR="00506E73" w:rsidRPr="009B1D55">
        <w:rPr>
          <w:rFonts w:ascii="Garamond" w:hAnsi="Garamond"/>
        </w:rPr>
        <w:t>,</w:t>
      </w:r>
      <w:r w:rsidR="0008645A" w:rsidRPr="009B1D55">
        <w:rPr>
          <w:rFonts w:ascii="Garamond" w:hAnsi="Garamond"/>
        </w:rPr>
        <w:t xml:space="preserve"> caso per caso</w:t>
      </w:r>
      <w:r w:rsidR="00506E73" w:rsidRPr="009B1D55">
        <w:rPr>
          <w:rFonts w:ascii="Garamond" w:hAnsi="Garamond"/>
        </w:rPr>
        <w:t>, che il fatto di aver partecipato alla stessa gara ovvero di essere collegato ad altri partecipanti non abbia influito sul proprio comportamento nell’ambito della procedura né abbia inciso sulla propria capacità di rispettare gli obblighi contrattuali.</w:t>
      </w:r>
    </w:p>
    <w:p w14:paraId="04E01D5C" w14:textId="0FBFEAEC" w:rsidR="001A79C2" w:rsidRPr="009B1D55" w:rsidRDefault="007F01C4" w:rsidP="00F34D7D">
      <w:pPr>
        <w:ind w:firstLine="284"/>
        <w:jc w:val="both"/>
        <w:rPr>
          <w:rFonts w:ascii="Garamond" w:hAnsi="Garamond"/>
        </w:rPr>
      </w:pPr>
      <w:r w:rsidRPr="009B1D55">
        <w:rPr>
          <w:rFonts w:ascii="Garamond" w:hAnsi="Garamond"/>
        </w:rPr>
        <w:t xml:space="preserve">Da ultimo, </w:t>
      </w:r>
      <w:r w:rsidR="00305584" w:rsidRPr="009B1D55">
        <w:rPr>
          <w:rFonts w:ascii="Garamond" w:hAnsi="Garamond"/>
        </w:rPr>
        <w:t xml:space="preserve">la </w:t>
      </w:r>
      <w:r w:rsidR="009B1D55" w:rsidRPr="009B1D55">
        <w:rPr>
          <w:rFonts w:ascii="Garamond" w:hAnsi="Garamond"/>
        </w:rPr>
        <w:t xml:space="preserve">Commissione europea </w:t>
      </w:r>
      <w:r w:rsidR="00305584" w:rsidRPr="009B1D55">
        <w:rPr>
          <w:rFonts w:ascii="Garamond" w:hAnsi="Garamond"/>
        </w:rPr>
        <w:t>ha preso in considerazione, censurandola, anche la</w:t>
      </w:r>
      <w:r w:rsidRPr="009B1D55">
        <w:rPr>
          <w:rFonts w:ascii="Garamond" w:hAnsi="Garamond"/>
        </w:rPr>
        <w:t xml:space="preserve"> previsione</w:t>
      </w:r>
      <w:r w:rsidR="00867013" w:rsidRPr="009B1D55">
        <w:rPr>
          <w:rFonts w:ascii="Garamond" w:hAnsi="Garamond"/>
        </w:rPr>
        <w:t xml:space="preserve"> </w:t>
      </w:r>
      <w:r w:rsidR="00305584" w:rsidRPr="009B1D55">
        <w:rPr>
          <w:rFonts w:ascii="Garamond" w:hAnsi="Garamond"/>
        </w:rPr>
        <w:t>di cui al</w:t>
      </w:r>
      <w:r w:rsidR="00867013" w:rsidRPr="009B1D55">
        <w:rPr>
          <w:rFonts w:ascii="Garamond" w:hAnsi="Garamond"/>
        </w:rPr>
        <w:t xml:space="preserve"> comma 11 che esclude l’avvalimento qualora l’appalto comprenda opere che richiedono lavori di notevole contenuto tecnologico o di rilevante complessità tecnica.</w:t>
      </w:r>
      <w:r w:rsidR="00305584" w:rsidRPr="009B1D55">
        <w:rPr>
          <w:rFonts w:ascii="Garamond" w:hAnsi="Garamond"/>
        </w:rPr>
        <w:t xml:space="preserve"> Anche in questo caso, oltre a rilevare l’incompatibilità di tale limitazione rispetto </w:t>
      </w:r>
      <w:r w:rsidR="00F34D7D" w:rsidRPr="009B1D55">
        <w:rPr>
          <w:rFonts w:ascii="Garamond" w:hAnsi="Garamond"/>
        </w:rPr>
        <w:t>a quanto statuito dal</w:t>
      </w:r>
      <w:r w:rsidR="00305584" w:rsidRPr="009B1D55">
        <w:rPr>
          <w:rFonts w:ascii="Garamond" w:hAnsi="Garamond"/>
        </w:rPr>
        <w:t xml:space="preserve"> diritto europeo</w:t>
      </w:r>
      <w:r w:rsidR="00305584" w:rsidRPr="009B1D55">
        <w:rPr>
          <w:rStyle w:val="Rimandonotaapidipagina"/>
        </w:rPr>
        <w:footnoteReference w:id="86"/>
      </w:r>
      <w:r w:rsidR="00305584" w:rsidRPr="009B1D55">
        <w:rPr>
          <w:rFonts w:ascii="Garamond" w:hAnsi="Garamond"/>
        </w:rPr>
        <w:t>, la Commissione ha ravvisato una violazione del principio di proporzionalità che imporrebbe semmai di escludere l’avvalimento in relazione agli specifici “</w:t>
      </w:r>
      <w:r w:rsidR="00305584" w:rsidRPr="009B1D55">
        <w:rPr>
          <w:rFonts w:ascii="Garamond" w:hAnsi="Garamond"/>
          <w:i/>
        </w:rPr>
        <w:t>lavori o componenti di notevole contenuto tecnologico o di rilevante complessità</w:t>
      </w:r>
      <w:r w:rsidR="00305584" w:rsidRPr="009B1D55">
        <w:rPr>
          <w:rFonts w:ascii="Garamond" w:hAnsi="Garamond"/>
        </w:rPr>
        <w:t xml:space="preserve">” compresi nell’appalto e non di escludere l’avvalimento per l’intero </w:t>
      </w:r>
      <w:r w:rsidR="00F34D7D" w:rsidRPr="009B1D55">
        <w:rPr>
          <w:rFonts w:ascii="Garamond" w:hAnsi="Garamond"/>
        </w:rPr>
        <w:t>appalto</w:t>
      </w:r>
      <w:r w:rsidR="00305584" w:rsidRPr="009B1D55">
        <w:rPr>
          <w:rFonts w:ascii="Garamond" w:hAnsi="Garamond"/>
        </w:rPr>
        <w:t>.</w:t>
      </w:r>
    </w:p>
    <w:p w14:paraId="4D19EBC8" w14:textId="2A381C48" w:rsidR="00DB335E" w:rsidRDefault="00F34D7D">
      <w:pPr>
        <w:ind w:firstLine="284"/>
        <w:jc w:val="both"/>
        <w:rPr>
          <w:rFonts w:ascii="Garamond" w:hAnsi="Garamond"/>
        </w:rPr>
      </w:pPr>
      <w:r w:rsidRPr="009B1D55">
        <w:rPr>
          <w:rFonts w:ascii="Garamond" w:hAnsi="Garamond"/>
        </w:rPr>
        <w:t>Nonostante tutti i</w:t>
      </w:r>
      <w:r w:rsidR="00C97FB1" w:rsidRPr="009B1D55">
        <w:rPr>
          <w:rFonts w:ascii="Garamond" w:hAnsi="Garamond"/>
        </w:rPr>
        <w:t xml:space="preserve"> rilievi evidenziati</w:t>
      </w:r>
      <w:r w:rsidRPr="009B1D55">
        <w:rPr>
          <w:rFonts w:ascii="Garamond" w:hAnsi="Garamond"/>
        </w:rPr>
        <w:t xml:space="preserve"> dall</w:t>
      </w:r>
      <w:r w:rsidR="00843EC7">
        <w:rPr>
          <w:rFonts w:ascii="Garamond" w:hAnsi="Garamond"/>
        </w:rPr>
        <w:t>a Commissione</w:t>
      </w:r>
      <w:r w:rsidRPr="009B1D55">
        <w:rPr>
          <w:rFonts w:ascii="Garamond" w:hAnsi="Garamond"/>
        </w:rPr>
        <w:t>,</w:t>
      </w:r>
      <w:r w:rsidR="00C97FB1" w:rsidRPr="009B1D55">
        <w:rPr>
          <w:rFonts w:ascii="Garamond" w:hAnsi="Garamond"/>
        </w:rPr>
        <w:t xml:space="preserve"> il </w:t>
      </w:r>
      <w:r w:rsidR="00514CB0" w:rsidRPr="009B1D55">
        <w:rPr>
          <w:rFonts w:ascii="Garamond" w:hAnsi="Garamond"/>
        </w:rPr>
        <w:t xml:space="preserve">nostro </w:t>
      </w:r>
      <w:r w:rsidR="00C97FB1" w:rsidRPr="009B1D55">
        <w:rPr>
          <w:rFonts w:ascii="Garamond" w:hAnsi="Garamond"/>
        </w:rPr>
        <w:t xml:space="preserve">Legislatore </w:t>
      </w:r>
      <w:r w:rsidR="00843EC7">
        <w:rPr>
          <w:rFonts w:ascii="Garamond" w:hAnsi="Garamond"/>
        </w:rPr>
        <w:t>sembra orientato</w:t>
      </w:r>
      <w:r w:rsidR="00C97FB1" w:rsidRPr="009B1D55">
        <w:rPr>
          <w:rFonts w:ascii="Garamond" w:hAnsi="Garamond"/>
        </w:rPr>
        <w:t xml:space="preserve"> a mostrare resistenza</w:t>
      </w:r>
      <w:r w:rsidR="00D849D7" w:rsidRPr="009B1D55">
        <w:rPr>
          <w:rFonts w:ascii="Garamond" w:hAnsi="Garamond"/>
        </w:rPr>
        <w:t xml:space="preserve"> e d</w:t>
      </w:r>
      <w:r w:rsidR="00183A9C" w:rsidRPr="009B1D55">
        <w:rPr>
          <w:rFonts w:ascii="Garamond" w:hAnsi="Garamond"/>
        </w:rPr>
        <w:t>ifatti</w:t>
      </w:r>
      <w:r w:rsidR="00D849D7" w:rsidRPr="009B1D55">
        <w:rPr>
          <w:rFonts w:ascii="Garamond" w:hAnsi="Garamond"/>
        </w:rPr>
        <w:t xml:space="preserve"> le modifiche al</w:t>
      </w:r>
      <w:r w:rsidR="00C97FB1" w:rsidRPr="009B1D55">
        <w:rPr>
          <w:rFonts w:ascii="Garamond" w:hAnsi="Garamond"/>
        </w:rPr>
        <w:t xml:space="preserve"> Codice </w:t>
      </w:r>
      <w:r w:rsidR="00D849D7" w:rsidRPr="009B1D55">
        <w:rPr>
          <w:rFonts w:ascii="Garamond" w:hAnsi="Garamond"/>
        </w:rPr>
        <w:t>apportate dal</w:t>
      </w:r>
      <w:r w:rsidR="00C97FB1" w:rsidRPr="009B1D55">
        <w:rPr>
          <w:rFonts w:ascii="Garamond" w:hAnsi="Garamond"/>
        </w:rPr>
        <w:t xml:space="preserve"> decreto “sblocca cantieri” </w:t>
      </w:r>
      <w:r w:rsidR="00D849D7" w:rsidRPr="009B1D55">
        <w:rPr>
          <w:rFonts w:ascii="Garamond" w:hAnsi="Garamond"/>
        </w:rPr>
        <w:t>(in particolare mediante l’art</w:t>
      </w:r>
      <w:r w:rsidRPr="009B1D55">
        <w:rPr>
          <w:rFonts w:ascii="Garamond" w:hAnsi="Garamond"/>
        </w:rPr>
        <w:t xml:space="preserve">. 1) </w:t>
      </w:r>
      <w:r w:rsidR="00C97FB1" w:rsidRPr="009B1D55">
        <w:rPr>
          <w:rFonts w:ascii="Garamond" w:hAnsi="Garamond"/>
        </w:rPr>
        <w:t xml:space="preserve">con la sua legge di conversione n. </w:t>
      </w:r>
      <w:r w:rsidRPr="009B1D55">
        <w:rPr>
          <w:rFonts w:ascii="Garamond" w:hAnsi="Garamond"/>
        </w:rPr>
        <w:t>5</w:t>
      </w:r>
      <w:r w:rsidR="00C97FB1" w:rsidRPr="009B1D55">
        <w:rPr>
          <w:rFonts w:ascii="Garamond" w:hAnsi="Garamond"/>
        </w:rPr>
        <w:t xml:space="preserve">5/2019 </w:t>
      </w:r>
      <w:r w:rsidR="00D849D7" w:rsidRPr="009B1D55">
        <w:rPr>
          <w:rFonts w:ascii="Garamond" w:hAnsi="Garamond"/>
        </w:rPr>
        <w:t>hanno riguardato altri profili c</w:t>
      </w:r>
      <w:r w:rsidR="00843EC7">
        <w:rPr>
          <w:rFonts w:ascii="Garamond" w:hAnsi="Garamond"/>
        </w:rPr>
        <w:t xml:space="preserve">ontenuti nella procedura di infrazione </w:t>
      </w:r>
      <w:r w:rsidR="00D849D7" w:rsidRPr="009B1D55">
        <w:rPr>
          <w:rFonts w:ascii="Garamond" w:hAnsi="Garamond"/>
        </w:rPr>
        <w:t>ma</w:t>
      </w:r>
      <w:r w:rsidR="00C97FB1" w:rsidRPr="009B1D55">
        <w:rPr>
          <w:rFonts w:ascii="Garamond" w:hAnsi="Garamond"/>
        </w:rPr>
        <w:t xml:space="preserve"> nessuna delle disposizioni sull’avvalimento</w:t>
      </w:r>
      <w:r w:rsidR="00183A9C" w:rsidRPr="009B1D55">
        <w:rPr>
          <w:rFonts w:ascii="Garamond" w:hAnsi="Garamond"/>
        </w:rPr>
        <w:t>.</w:t>
      </w:r>
    </w:p>
    <w:p w14:paraId="5CDDD0D7" w14:textId="15D93CB1" w:rsidR="00E76B53" w:rsidRDefault="00DB335E" w:rsidP="003A3F96">
      <w:pPr>
        <w:ind w:firstLine="284"/>
        <w:jc w:val="both"/>
        <w:rPr>
          <w:rFonts w:ascii="Garamond" w:hAnsi="Garamond"/>
        </w:rPr>
      </w:pPr>
      <w:r>
        <w:rPr>
          <w:rFonts w:ascii="Garamond" w:hAnsi="Garamond"/>
        </w:rPr>
        <w:t>Oltre alle frequenti censure da parte della Commissione Europea e della Corte di Giustizia subite dal nostro Legislatore in materia di avvalimento, sono talvolta le stazioni appaltanti ad introdurre clausole negli atti di gara che appaiono di dubbia compatibilità con il diritto eurounitario ed a tal proposito il Consiglio di Stato, con sentenza non definitiva 17.03.2020, n.1920, ha ritenuto di rimettere alla Adunanza Plenaria</w:t>
      </w:r>
      <w:r w:rsidR="00AC2091">
        <w:rPr>
          <w:rFonts w:ascii="Garamond" w:hAnsi="Garamond"/>
        </w:rPr>
        <w:t xml:space="preserve"> taluni quesiti nel contesto di una controversia originata in relazione ad una clausola secondo cui </w:t>
      </w:r>
      <w:r w:rsidR="00AC2091" w:rsidRPr="00AC2091">
        <w:rPr>
          <w:rFonts w:ascii="Garamond" w:hAnsi="Garamond"/>
          <w:i/>
          <w:iCs/>
        </w:rPr>
        <w:t>“i concorrenti che ricorrono all’istituto dell’avvalimento devono, pena esclusione, essere in possesso di propria attestazione SOA</w:t>
      </w:r>
      <w:r w:rsidR="00AC2091">
        <w:rPr>
          <w:rFonts w:ascii="Garamond" w:hAnsi="Garamond"/>
        </w:rPr>
        <w:t>”.</w:t>
      </w:r>
      <w:r w:rsidR="00757107">
        <w:rPr>
          <w:rStyle w:val="Rimandonotaapidipagina"/>
        </w:rPr>
        <w:footnoteReference w:id="87"/>
      </w:r>
      <w:r w:rsidR="00AC2091">
        <w:rPr>
          <w:rFonts w:ascii="Garamond" w:hAnsi="Garamond"/>
        </w:rPr>
        <w:t xml:space="preserve"> </w:t>
      </w:r>
      <w:r>
        <w:rPr>
          <w:rFonts w:ascii="Garamond" w:hAnsi="Garamond"/>
        </w:rPr>
        <w:t xml:space="preserve"> </w:t>
      </w:r>
      <w:r w:rsidR="00AC2091">
        <w:rPr>
          <w:rFonts w:ascii="Garamond" w:hAnsi="Garamond"/>
        </w:rPr>
        <w:t xml:space="preserve">Orbene, la decisione è rilevante perché, in caso di ritenuta nullità, ai sensi dell’art 83, comma 8 del Codice, </w:t>
      </w:r>
      <w:r w:rsidR="003D3F28">
        <w:rPr>
          <w:rFonts w:ascii="Garamond" w:hAnsi="Garamond"/>
        </w:rPr>
        <w:t xml:space="preserve">la disciplina processuale applicabile sarebbe quella dell’art 31, comma 4, del Codice del processo amministrativo; nell’ipotesi di ritenuta annullabilità sarebbe invece applicabile l’art. 120, comma 5 del CPA. </w:t>
      </w:r>
    </w:p>
    <w:p w14:paraId="12E57CC6" w14:textId="1B206D71" w:rsidR="00E76B53" w:rsidRDefault="003D3F28" w:rsidP="002D56EC">
      <w:pPr>
        <w:ind w:firstLine="284"/>
        <w:jc w:val="both"/>
        <w:rPr>
          <w:rFonts w:ascii="Garamond" w:hAnsi="Garamond"/>
        </w:rPr>
      </w:pPr>
      <w:r>
        <w:rPr>
          <w:rFonts w:ascii="Garamond" w:hAnsi="Garamond"/>
        </w:rPr>
        <w:lastRenderedPageBreak/>
        <w:t>Certamente</w:t>
      </w:r>
      <w:r w:rsidR="00BC201C">
        <w:rPr>
          <w:rFonts w:ascii="Garamond" w:hAnsi="Garamond"/>
        </w:rPr>
        <w:t xml:space="preserve">, comunque, </w:t>
      </w:r>
      <w:r w:rsidR="00E76B53">
        <w:rPr>
          <w:rFonts w:ascii="Garamond" w:hAnsi="Garamond"/>
        </w:rPr>
        <w:t>una siffatta clausola, in evidente contraddizione con la funzione stessa dell’avvalimento, che è proprio quella di ampliare la concorrenza tramite l’utilizzo dei requisiti altrui, è in contrasto con la disciplina di matrice eurounitaria.</w:t>
      </w:r>
    </w:p>
    <w:p w14:paraId="5F70782C" w14:textId="77777777" w:rsidR="00B1759A" w:rsidRDefault="00B1759A" w:rsidP="002D56EC">
      <w:pPr>
        <w:ind w:firstLine="284"/>
        <w:jc w:val="both"/>
        <w:rPr>
          <w:rFonts w:ascii="Garamond" w:hAnsi="Garamond"/>
        </w:rPr>
      </w:pPr>
    </w:p>
    <w:p w14:paraId="0D99C0D3" w14:textId="347040C8" w:rsidR="00E76B53" w:rsidRDefault="00E76B53" w:rsidP="003A3F96">
      <w:pPr>
        <w:ind w:firstLine="284"/>
        <w:jc w:val="both"/>
        <w:rPr>
          <w:rFonts w:ascii="Garamond" w:hAnsi="Garamond"/>
        </w:rPr>
      </w:pPr>
      <w:r>
        <w:rPr>
          <w:rFonts w:ascii="Garamond" w:hAnsi="Garamond"/>
        </w:rPr>
        <w:t xml:space="preserve">In definitiva, </w:t>
      </w:r>
      <w:r w:rsidR="00B46D98">
        <w:rPr>
          <w:rFonts w:ascii="Garamond" w:hAnsi="Garamond"/>
        </w:rPr>
        <w:t xml:space="preserve">da una parte, </w:t>
      </w:r>
      <w:r w:rsidR="00BC201C">
        <w:rPr>
          <w:rFonts w:ascii="Garamond" w:hAnsi="Garamond"/>
        </w:rPr>
        <w:t>i</w:t>
      </w:r>
      <w:r>
        <w:rPr>
          <w:rFonts w:ascii="Garamond" w:hAnsi="Garamond"/>
        </w:rPr>
        <w:t>l copioso contenzioso sull’avvalimento ed in particolare in questi primi mesi del 2020 si registrano</w:t>
      </w:r>
      <w:r w:rsidR="00D032CF">
        <w:rPr>
          <w:rFonts w:ascii="Garamond" w:hAnsi="Garamond"/>
        </w:rPr>
        <w:t xml:space="preserve"> </w:t>
      </w:r>
      <w:r>
        <w:rPr>
          <w:rFonts w:ascii="Garamond" w:hAnsi="Garamond"/>
        </w:rPr>
        <w:t xml:space="preserve">ben tre pronunce di rimessione </w:t>
      </w:r>
      <w:r w:rsidR="00D032CF">
        <w:rPr>
          <w:rFonts w:ascii="Garamond" w:hAnsi="Garamond"/>
        </w:rPr>
        <w:t>alla Adunanza Plenaria ed una alla Corte di Giustizia UE, dall’altra</w:t>
      </w:r>
      <w:r w:rsidR="00B46D98">
        <w:rPr>
          <w:rFonts w:ascii="Garamond" w:hAnsi="Garamond"/>
        </w:rPr>
        <w:t>,</w:t>
      </w:r>
      <w:r w:rsidR="00D032CF">
        <w:rPr>
          <w:rFonts w:ascii="Garamond" w:hAnsi="Garamond"/>
        </w:rPr>
        <w:t xml:space="preserve"> le numerose censure sull’art.</w:t>
      </w:r>
      <w:r w:rsidR="00961B0C">
        <w:rPr>
          <w:rFonts w:ascii="Garamond" w:hAnsi="Garamond"/>
        </w:rPr>
        <w:t xml:space="preserve"> </w:t>
      </w:r>
      <w:r w:rsidR="00D032CF">
        <w:rPr>
          <w:rFonts w:ascii="Garamond" w:hAnsi="Garamond"/>
        </w:rPr>
        <w:t>89 da parte della Commissione Europea, nessuna delle quali ad oggi recepita dal nostro Legislatore, delineano un assetto dell’istituto non solo non definitivo ma anche ben lungi dall’essere sostanzialmente definito quantomeno per gli aspetti di maggior rilievo: un percorso ancora tortuoso</w:t>
      </w:r>
      <w:r w:rsidR="00B46D98">
        <w:rPr>
          <w:rFonts w:ascii="Garamond" w:hAnsi="Garamond"/>
        </w:rPr>
        <w:t>.</w:t>
      </w:r>
    </w:p>
    <w:p w14:paraId="15799E64" w14:textId="77777777" w:rsidR="00450421" w:rsidRDefault="00450421" w:rsidP="00F34D7D">
      <w:pPr>
        <w:jc w:val="both"/>
        <w:rPr>
          <w:rFonts w:ascii="Garamond" w:hAnsi="Garamond"/>
        </w:rPr>
      </w:pPr>
    </w:p>
    <w:p w14:paraId="3C27B314" w14:textId="77777777" w:rsidR="001A6E30" w:rsidRDefault="001A6E30" w:rsidP="00F34D7D">
      <w:pPr>
        <w:jc w:val="both"/>
        <w:rPr>
          <w:rFonts w:ascii="Garamond" w:hAnsi="Garamond"/>
        </w:rPr>
      </w:pPr>
    </w:p>
    <w:p w14:paraId="5A0DE0B4" w14:textId="77777777" w:rsidR="001A6E30" w:rsidRDefault="001A6E30" w:rsidP="00F34D7D">
      <w:pPr>
        <w:jc w:val="both"/>
        <w:rPr>
          <w:rFonts w:ascii="Garamond" w:hAnsi="Garamond"/>
        </w:rPr>
      </w:pPr>
    </w:p>
    <w:p w14:paraId="61723C72" w14:textId="77777777" w:rsidR="001A6E30" w:rsidRDefault="001A6E30" w:rsidP="00F34D7D">
      <w:pPr>
        <w:jc w:val="both"/>
        <w:rPr>
          <w:rFonts w:ascii="Garamond" w:hAnsi="Garamond"/>
        </w:rPr>
      </w:pPr>
    </w:p>
    <w:p w14:paraId="7685C032" w14:textId="50D0B274" w:rsidR="001A6E30" w:rsidRPr="00F37E4A" w:rsidRDefault="001A6E30" w:rsidP="001A6E30">
      <w:pPr>
        <w:jc w:val="right"/>
        <w:rPr>
          <w:rFonts w:ascii="Garamond" w:hAnsi="Garamond"/>
          <w:b/>
          <w:sz w:val="32"/>
          <w:szCs w:val="32"/>
        </w:rPr>
      </w:pPr>
      <w:r w:rsidRPr="00F37E4A">
        <w:rPr>
          <w:rFonts w:ascii="Garamond" w:hAnsi="Garamond"/>
          <w:b/>
          <w:sz w:val="32"/>
          <w:szCs w:val="32"/>
        </w:rPr>
        <w:t>Claudio Guccione</w:t>
      </w:r>
    </w:p>
    <w:p w14:paraId="6DD58FB2" w14:textId="77777777" w:rsidR="00F37E4A" w:rsidRDefault="00F37E4A" w:rsidP="001A6E30">
      <w:pPr>
        <w:jc w:val="right"/>
        <w:rPr>
          <w:rFonts w:ascii="Garamond" w:hAnsi="Garamond"/>
        </w:rPr>
      </w:pPr>
    </w:p>
    <w:p w14:paraId="715AFFE7" w14:textId="481EE590" w:rsidR="00F37E4A" w:rsidRDefault="008C2426" w:rsidP="001A6E30">
      <w:pPr>
        <w:jc w:val="right"/>
        <w:rPr>
          <w:rFonts w:ascii="Garamond" w:hAnsi="Garamond"/>
        </w:rPr>
      </w:pPr>
      <w:r>
        <w:rPr>
          <w:rFonts w:ascii="Garamond" w:hAnsi="Garamond"/>
        </w:rPr>
        <w:t>Pubblicato il 5</w:t>
      </w:r>
      <w:bookmarkStart w:id="18" w:name="_GoBack"/>
      <w:bookmarkEnd w:id="18"/>
      <w:r w:rsidR="00F37E4A">
        <w:rPr>
          <w:rFonts w:ascii="Garamond" w:hAnsi="Garamond"/>
        </w:rPr>
        <w:t xml:space="preserve"> maggio 2020</w:t>
      </w:r>
    </w:p>
    <w:p w14:paraId="59CE8EF1" w14:textId="77777777" w:rsidR="00F37E4A" w:rsidRDefault="00F37E4A" w:rsidP="001A6E30">
      <w:pPr>
        <w:jc w:val="right"/>
        <w:rPr>
          <w:rFonts w:ascii="Garamond" w:hAnsi="Garamond"/>
        </w:rPr>
      </w:pPr>
    </w:p>
    <w:sectPr w:rsidR="00F37E4A" w:rsidSect="00B71192">
      <w:footerReference w:type="even" r:id="rId8"/>
      <w:footerReference w:type="default" r:id="rId9"/>
      <w:pgSz w:w="11906" w:h="16838"/>
      <w:pgMar w:top="1417" w:right="1134" w:bottom="1134"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2CC95" w14:textId="77777777" w:rsidR="00434F7E" w:rsidRDefault="00434F7E" w:rsidP="007F3D94">
      <w:r>
        <w:separator/>
      </w:r>
    </w:p>
  </w:endnote>
  <w:endnote w:type="continuationSeparator" w:id="0">
    <w:p w14:paraId="5CEE87F3" w14:textId="77777777" w:rsidR="00434F7E" w:rsidRDefault="00434F7E" w:rsidP="007F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63392" w14:textId="77777777" w:rsidR="00961B0C" w:rsidRDefault="00961B0C" w:rsidP="00625180">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940C3D8" w14:textId="77777777" w:rsidR="00961B0C" w:rsidRDefault="00961B0C" w:rsidP="000F1F8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AE4A" w14:textId="72DF0E2A" w:rsidR="00961B0C" w:rsidRPr="00B71192" w:rsidRDefault="00961B0C" w:rsidP="00625180">
    <w:pPr>
      <w:pStyle w:val="Pidipagina"/>
      <w:framePr w:wrap="none" w:vAnchor="text" w:hAnchor="margin" w:xAlign="center" w:y="1"/>
      <w:rPr>
        <w:rStyle w:val="Numeropagina"/>
        <w:rFonts w:ascii="Garamond" w:hAnsi="Garamond"/>
        <w:sz w:val="20"/>
        <w:szCs w:val="20"/>
      </w:rPr>
    </w:pPr>
    <w:r w:rsidRPr="00B71192">
      <w:rPr>
        <w:rStyle w:val="Numeropagina"/>
        <w:rFonts w:ascii="Garamond" w:hAnsi="Garamond"/>
        <w:sz w:val="20"/>
        <w:szCs w:val="20"/>
      </w:rPr>
      <w:fldChar w:fldCharType="begin"/>
    </w:r>
    <w:r w:rsidRPr="00B71192">
      <w:rPr>
        <w:rStyle w:val="Numeropagina"/>
        <w:rFonts w:ascii="Garamond" w:hAnsi="Garamond"/>
        <w:sz w:val="20"/>
        <w:szCs w:val="20"/>
      </w:rPr>
      <w:instrText xml:space="preserve">PAGE  </w:instrText>
    </w:r>
    <w:r w:rsidRPr="00B71192">
      <w:rPr>
        <w:rStyle w:val="Numeropagina"/>
        <w:rFonts w:ascii="Garamond" w:hAnsi="Garamond"/>
        <w:sz w:val="20"/>
        <w:szCs w:val="20"/>
      </w:rPr>
      <w:fldChar w:fldCharType="separate"/>
    </w:r>
    <w:r w:rsidR="008C2426">
      <w:rPr>
        <w:rStyle w:val="Numeropagina"/>
        <w:rFonts w:ascii="Garamond" w:hAnsi="Garamond"/>
        <w:noProof/>
        <w:sz w:val="20"/>
        <w:szCs w:val="20"/>
      </w:rPr>
      <w:t>23</w:t>
    </w:r>
    <w:r w:rsidRPr="00B71192">
      <w:rPr>
        <w:rStyle w:val="Numeropagina"/>
        <w:rFonts w:ascii="Garamond" w:hAnsi="Garamond"/>
        <w:sz w:val="20"/>
        <w:szCs w:val="20"/>
      </w:rPr>
      <w:fldChar w:fldCharType="end"/>
    </w:r>
  </w:p>
  <w:p w14:paraId="210FF8E1" w14:textId="50C94237" w:rsidR="00961B0C" w:rsidRDefault="00961B0C" w:rsidP="00CB0F31">
    <w:pPr>
      <w:pStyle w:val="Pidipagina"/>
      <w:tabs>
        <w:tab w:val="left" w:pos="915"/>
      </w:tabs>
      <w:ind w:right="360"/>
      <w:jc w:val="left"/>
    </w:pPr>
    <w:r>
      <w:tab/>
    </w:r>
  </w:p>
  <w:p w14:paraId="1CAA23DE" w14:textId="77777777" w:rsidR="00961B0C" w:rsidRDefault="00961B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4D68B" w14:textId="77777777" w:rsidR="00434F7E" w:rsidRDefault="00434F7E" w:rsidP="007F3D94">
      <w:r>
        <w:separator/>
      </w:r>
    </w:p>
  </w:footnote>
  <w:footnote w:type="continuationSeparator" w:id="0">
    <w:p w14:paraId="484B3032" w14:textId="77777777" w:rsidR="00434F7E" w:rsidRDefault="00434F7E" w:rsidP="007F3D94">
      <w:r>
        <w:continuationSeparator/>
      </w:r>
    </w:p>
  </w:footnote>
  <w:footnote w:id="1">
    <w:p w14:paraId="4DC10E1E" w14:textId="6FD673D0" w:rsidR="00961B0C" w:rsidRPr="00D0120F" w:rsidRDefault="00961B0C" w:rsidP="004C5160">
      <w:pPr>
        <w:pStyle w:val="Testonotaapidipagina"/>
        <w:jc w:val="both"/>
        <w:rPr>
          <w:rFonts w:ascii="Garamond" w:hAnsi="Garamond"/>
        </w:rPr>
      </w:pPr>
      <w:r w:rsidRPr="000A1024">
        <w:rPr>
          <w:rStyle w:val="Rimandonotaapidipagina"/>
          <w:rFonts w:ascii="Garamond" w:hAnsi="Garamond"/>
          <w:sz w:val="20"/>
        </w:rPr>
        <w:footnoteRef/>
      </w:r>
      <w:r w:rsidRPr="000A1024">
        <w:rPr>
          <w:rFonts w:ascii="Garamond" w:hAnsi="Garamond"/>
        </w:rPr>
        <w:t xml:space="preserve"> Sulla natura </w:t>
      </w:r>
      <w:r w:rsidRPr="00D0120F">
        <w:rPr>
          <w:rFonts w:ascii="Garamond" w:hAnsi="Garamond"/>
        </w:rPr>
        <w:t xml:space="preserve">giuridica del contratto di avvalimento, tra i contributi in dottrina vedasi </w:t>
      </w:r>
      <w:r w:rsidRPr="00D0120F">
        <w:rPr>
          <w:rFonts w:ascii="Garamond" w:hAnsi="Garamond"/>
          <w:smallCaps/>
        </w:rPr>
        <w:t xml:space="preserve">G.P. Cirillo, </w:t>
      </w:r>
      <w:r w:rsidRPr="00D0120F">
        <w:rPr>
          <w:rFonts w:ascii="Garamond" w:hAnsi="Garamond"/>
          <w:i/>
        </w:rPr>
        <w:t>Il contratto di avvalimento nel nuovo codice dei contratti pubblici: il persistente problema della sua natura giuridica</w:t>
      </w:r>
      <w:r w:rsidRPr="00D0120F">
        <w:rPr>
          <w:rFonts w:ascii="Garamond" w:hAnsi="Garamond"/>
        </w:rPr>
        <w:t xml:space="preserve">, in </w:t>
      </w:r>
      <w:r w:rsidRPr="00D0120F">
        <w:rPr>
          <w:rFonts w:ascii="Garamond" w:hAnsi="Garamond"/>
          <w:i/>
        </w:rPr>
        <w:t>www.giustiziamministrativa.it</w:t>
      </w:r>
      <w:r w:rsidRPr="00D0120F">
        <w:rPr>
          <w:rFonts w:ascii="Garamond" w:hAnsi="Garamond"/>
        </w:rPr>
        <w:t>, 20.4.2016.</w:t>
      </w:r>
    </w:p>
  </w:footnote>
  <w:footnote w:id="2">
    <w:p w14:paraId="0C47599E" w14:textId="358F47EC" w:rsidR="00961B0C" w:rsidRPr="00D0120F" w:rsidRDefault="00961B0C" w:rsidP="004C5160">
      <w:pPr>
        <w:pStyle w:val="Testonotaapidipagina"/>
        <w:jc w:val="both"/>
        <w:rPr>
          <w:rFonts w:ascii="Garamond" w:hAnsi="Garamond"/>
        </w:rPr>
      </w:pPr>
      <w:r w:rsidRPr="00D0120F">
        <w:rPr>
          <w:rStyle w:val="Rimandonotaapidipagina"/>
          <w:rFonts w:ascii="Garamond" w:hAnsi="Garamond"/>
          <w:sz w:val="20"/>
        </w:rPr>
        <w:footnoteRef/>
      </w:r>
      <w:r w:rsidRPr="00D0120F">
        <w:rPr>
          <w:rFonts w:ascii="Garamond" w:hAnsi="Garamond"/>
        </w:rPr>
        <w:t xml:space="preserve"> In questi termini </w:t>
      </w:r>
      <w:r w:rsidRPr="00D0120F">
        <w:rPr>
          <w:rFonts w:ascii="Garamond" w:hAnsi="Garamond"/>
          <w:smallCaps/>
        </w:rPr>
        <w:t xml:space="preserve">R. De Nictolis, </w:t>
      </w:r>
      <w:r w:rsidRPr="00D0120F">
        <w:rPr>
          <w:rFonts w:ascii="Garamond" w:hAnsi="Garamond"/>
          <w:i/>
        </w:rPr>
        <w:t>I nuovi appalti pubblici – Appalti e concessioni dopo il d.lgs. 56/2017</w:t>
      </w:r>
      <w:r w:rsidRPr="00D0120F">
        <w:rPr>
          <w:rFonts w:ascii="Garamond" w:hAnsi="Garamond"/>
        </w:rPr>
        <w:t>, Zanichelli ed., 2017, pag. 1008.</w:t>
      </w:r>
    </w:p>
    <w:p w14:paraId="4371352C" w14:textId="1D696EBC" w:rsidR="00961B0C" w:rsidRPr="00D0120F" w:rsidRDefault="00961B0C" w:rsidP="004C5160">
      <w:pPr>
        <w:pStyle w:val="Testonotaapidipagina"/>
        <w:jc w:val="both"/>
        <w:rPr>
          <w:rFonts w:ascii="Garamond" w:hAnsi="Garamond"/>
        </w:rPr>
      </w:pPr>
      <w:r w:rsidRPr="00D0120F">
        <w:rPr>
          <w:rFonts w:ascii="Garamond" w:hAnsi="Garamond"/>
        </w:rPr>
        <w:t xml:space="preserve">Altra dottrina ravvisa nell’avvalimento un “contratto mutevole”, caratterizzato da una “causa costante” (il prestito dei requisiti di partecipazione) e da una “causa variabile” (consistente nella messa a disposizione di beni od utilità corrispondenti al requisito prestato): cfr. </w:t>
      </w:r>
      <w:r w:rsidRPr="00D0120F">
        <w:rPr>
          <w:rFonts w:ascii="Garamond" w:hAnsi="Garamond"/>
          <w:smallCaps/>
        </w:rPr>
        <w:t xml:space="preserve">F. Cintioli, </w:t>
      </w:r>
      <w:r w:rsidRPr="00D0120F">
        <w:rPr>
          <w:rFonts w:ascii="Garamond" w:hAnsi="Garamond"/>
          <w:i/>
        </w:rPr>
        <w:t>Il contratto di avvalimento tra diritto comunitario e diritto italiano</w:t>
      </w:r>
      <w:r w:rsidRPr="00D0120F">
        <w:rPr>
          <w:rFonts w:ascii="Garamond" w:hAnsi="Garamond"/>
        </w:rPr>
        <w:t xml:space="preserve">, in </w:t>
      </w:r>
      <w:r w:rsidRPr="00D0120F">
        <w:rPr>
          <w:rFonts w:ascii="Garamond" w:hAnsi="Garamond"/>
          <w:i/>
        </w:rPr>
        <w:t>www.giustiziamministrativa.it</w:t>
      </w:r>
      <w:r w:rsidRPr="00D0120F">
        <w:rPr>
          <w:rFonts w:ascii="Garamond" w:hAnsi="Garamond"/>
        </w:rPr>
        <w:t>.</w:t>
      </w:r>
    </w:p>
  </w:footnote>
  <w:footnote w:id="3">
    <w:p w14:paraId="6DFEF07C" w14:textId="6639FC1D" w:rsidR="00961B0C" w:rsidRPr="00AA725C" w:rsidRDefault="00961B0C" w:rsidP="004C5160">
      <w:pPr>
        <w:pStyle w:val="Testonotaapidipagina"/>
        <w:contextualSpacing/>
        <w:jc w:val="both"/>
        <w:rPr>
          <w:rFonts w:ascii="Garamond" w:hAnsi="Garamond"/>
        </w:rPr>
      </w:pPr>
      <w:r w:rsidRPr="00D0120F">
        <w:rPr>
          <w:rStyle w:val="Rimandonotaapidipagina"/>
          <w:rFonts w:ascii="Garamond" w:hAnsi="Garamond"/>
          <w:sz w:val="20"/>
        </w:rPr>
        <w:footnoteRef/>
      </w:r>
      <w:r w:rsidRPr="00D0120F">
        <w:rPr>
          <w:rFonts w:ascii="Garamond" w:hAnsi="Garamond"/>
        </w:rPr>
        <w:t xml:space="preserve"> Tuttavia, il punto non è sempre stato così pacifico. Ciò ben emerge nell’ordinanza del C</w:t>
      </w:r>
      <w:r>
        <w:rPr>
          <w:rFonts w:ascii="Garamond" w:hAnsi="Garamond"/>
        </w:rPr>
        <w:t>.</w:t>
      </w:r>
      <w:r w:rsidRPr="00D0120F">
        <w:rPr>
          <w:rFonts w:ascii="Garamond" w:hAnsi="Garamond"/>
        </w:rPr>
        <w:t>G</w:t>
      </w:r>
      <w:r>
        <w:rPr>
          <w:rFonts w:ascii="Garamond" w:hAnsi="Garamond"/>
        </w:rPr>
        <w:t>.</w:t>
      </w:r>
      <w:r w:rsidRPr="00D0120F">
        <w:rPr>
          <w:rFonts w:ascii="Garamond" w:hAnsi="Garamond"/>
        </w:rPr>
        <w:t>A</w:t>
      </w:r>
      <w:r>
        <w:rPr>
          <w:rFonts w:ascii="Garamond" w:hAnsi="Garamond"/>
        </w:rPr>
        <w:t>.</w:t>
      </w:r>
      <w:r w:rsidRPr="00D0120F">
        <w:rPr>
          <w:rFonts w:ascii="Garamond" w:hAnsi="Garamond"/>
        </w:rPr>
        <w:t>R</w:t>
      </w:r>
      <w:r>
        <w:rPr>
          <w:rFonts w:ascii="Garamond" w:hAnsi="Garamond"/>
        </w:rPr>
        <w:t>.</w:t>
      </w:r>
      <w:r w:rsidRPr="00D0120F">
        <w:rPr>
          <w:rFonts w:ascii="Garamond" w:hAnsi="Garamond"/>
        </w:rPr>
        <w:t>S</w:t>
      </w:r>
      <w:r>
        <w:rPr>
          <w:rFonts w:ascii="Garamond" w:hAnsi="Garamond"/>
        </w:rPr>
        <w:t>.</w:t>
      </w:r>
      <w:r w:rsidRPr="00D0120F">
        <w:rPr>
          <w:rFonts w:ascii="Garamond" w:hAnsi="Garamond"/>
        </w:rPr>
        <w:t xml:space="preserve"> n. 52/2016 di rimessione alla citata Adunanza Plenaria che ripercorre analiticamente i diversi orientamenti giurisprudenziali, riassumendo che: “</w:t>
      </w:r>
      <w:r w:rsidRPr="00D0120F">
        <w:rPr>
          <w:rFonts w:ascii="Garamond" w:hAnsi="Garamond"/>
          <w:i/>
        </w:rPr>
        <w:t>per un orientamento, avallato dalla giurisprudenza di primo grado, sarebbero corrette queste considerazioni: a) gli obblighi interni tra avvalente e avvalso sarebbero del tutto irrilevanti ai fini della partecipazione e dell'aggiudicazione della gara sussistendo</w:t>
      </w:r>
      <w:r w:rsidRPr="00D0120F">
        <w:rPr>
          <w:rFonts w:ascii="Garamond" w:hAnsi="Garamond"/>
        </w:rPr>
        <w:t xml:space="preserve"> </w:t>
      </w:r>
      <w:r>
        <w:rPr>
          <w:rFonts w:ascii="Garamond" w:hAnsi="Garamond"/>
        </w:rPr>
        <w:t>‘</w:t>
      </w:r>
      <w:r w:rsidRPr="00D0120F">
        <w:rPr>
          <w:rFonts w:ascii="Garamond" w:hAnsi="Garamond"/>
          <w:i/>
        </w:rPr>
        <w:t xml:space="preserve">l'irrilevanza per la stazione appaltante dei rapporti sottostanti esistenti fra il concorrente e il soggetto imprenditoriale avvalso </w:t>
      </w:r>
      <w:r>
        <w:rPr>
          <w:rFonts w:ascii="Garamond" w:hAnsi="Garamond"/>
          <w:i/>
        </w:rPr>
        <w:t>(</w:t>
      </w:r>
      <w:r w:rsidRPr="00D0120F">
        <w:rPr>
          <w:rFonts w:ascii="Garamond" w:hAnsi="Garamond"/>
          <w:i/>
        </w:rPr>
        <w:t>omissis</w:t>
      </w:r>
      <w:r>
        <w:rPr>
          <w:rFonts w:ascii="Garamond" w:hAnsi="Garamond"/>
          <w:i/>
        </w:rPr>
        <w:t xml:space="preserve">) </w:t>
      </w:r>
      <w:r w:rsidRPr="00D0120F">
        <w:rPr>
          <w:rFonts w:ascii="Garamond" w:hAnsi="Garamond"/>
          <w:i/>
        </w:rPr>
        <w:t>nella precipua considerazione che la finalità dell'istituto dell'avvalimento è chiaramente quella di consentire la massima partecipazione alle gare ad evidenza pubblica, permettendo alle imprese non in possesso dei requisiti tecnici, di sommare, unicamente per la gara in espletamento, le proprie capacità tecniche ed economico-finanziarie a quelle di altre imprese</w:t>
      </w:r>
      <w:r>
        <w:rPr>
          <w:rFonts w:ascii="Garamond" w:hAnsi="Garamond"/>
          <w:i/>
        </w:rPr>
        <w:t xml:space="preserve">’ </w:t>
      </w:r>
      <w:r w:rsidRPr="00D0120F">
        <w:rPr>
          <w:rFonts w:ascii="Garamond" w:hAnsi="Garamond"/>
          <w:i/>
        </w:rPr>
        <w:t xml:space="preserve">(TAR Veneto, I, 20 ottobre 2010 n. 5528); b) il contratto di avvalimento sarebbe </w:t>
      </w:r>
      <w:r w:rsidRPr="00D0120F">
        <w:rPr>
          <w:rFonts w:ascii="Garamond" w:hAnsi="Garamond"/>
          <w:i/>
          <w:u w:val="single"/>
        </w:rPr>
        <w:t>negozio atipico assimilabile al mandato</w:t>
      </w:r>
      <w:r w:rsidRPr="00D0120F">
        <w:rPr>
          <w:rFonts w:ascii="Garamond" w:hAnsi="Garamond"/>
          <w:i/>
        </w:rPr>
        <w:t xml:space="preserve"> (TAR Campania, Salerno, I, 28 marzo 2012 n.607) e quindi potrebbe essere concluso – non esistendo “alcun vincolo in ordine alla causa negoziale” (TAR Toscana, I, 21 marzo 2013 n. 443) – </w:t>
      </w:r>
      <w:r w:rsidRPr="00D0120F">
        <w:rPr>
          <w:rFonts w:ascii="Garamond" w:hAnsi="Garamond"/>
          <w:i/>
          <w:u w:val="single"/>
        </w:rPr>
        <w:t>senza la pattuizione di un corrispettivo</w:t>
      </w:r>
      <w:r w:rsidRPr="00D0120F">
        <w:rPr>
          <w:rFonts w:ascii="Garamond" w:hAnsi="Garamond"/>
          <w:i/>
        </w:rPr>
        <w:t xml:space="preserve"> potendo al più soccorrere la previsione di cui all’art. 1709 c.c. (ancora TAR Veneto, I, 20 ottobre 2010 n. 5528); c) il </w:t>
      </w:r>
      <w:r w:rsidRPr="00AA725C">
        <w:rPr>
          <w:rFonts w:ascii="Garamond" w:hAnsi="Garamond"/>
          <w:i/>
        </w:rPr>
        <w:t>contratto, in mancanza di esplicita previsione di legge, non sarebbe assoggettato ad alcun onere formale e potrebbe “rivestire qualunque forma, anche non esattamente documentale e la sua esistenza può essere provata in qualunque modo idoneo” (T</w:t>
      </w:r>
      <w:r>
        <w:rPr>
          <w:rFonts w:ascii="Garamond" w:hAnsi="Garamond"/>
          <w:i/>
        </w:rPr>
        <w:t>AR</w:t>
      </w:r>
      <w:r w:rsidRPr="00AA725C">
        <w:rPr>
          <w:rFonts w:ascii="Garamond" w:hAnsi="Garamond"/>
          <w:i/>
        </w:rPr>
        <w:t xml:space="preserve"> Lazio, I, 3 dicembre 2009 n. 12455); d) conseguentemente potrebbe essere “configurato quale contratto unilaterale con obbligazioni assunte da una sola delle parti e nel quale </w:t>
      </w:r>
      <w:r w:rsidRPr="00AA725C">
        <w:rPr>
          <w:rFonts w:ascii="Garamond" w:hAnsi="Garamond"/>
          <w:i/>
          <w:u w:val="single"/>
        </w:rPr>
        <w:t>la presunzione di onerosità può essere superata da una prova contraria</w:t>
      </w:r>
      <w:r w:rsidRPr="00AA725C">
        <w:rPr>
          <w:rFonts w:ascii="Garamond" w:hAnsi="Garamond"/>
          <w:i/>
        </w:rPr>
        <w:t>, ovvero dalla prassi” (ancora T</w:t>
      </w:r>
      <w:r>
        <w:rPr>
          <w:rFonts w:ascii="Garamond" w:hAnsi="Garamond"/>
          <w:i/>
        </w:rPr>
        <w:t>AR</w:t>
      </w:r>
      <w:r w:rsidRPr="00AA725C">
        <w:rPr>
          <w:rFonts w:ascii="Garamond" w:hAnsi="Garamond"/>
          <w:i/>
        </w:rPr>
        <w:t>. Lazio, Roma, I, 3 dicembre 2009 n. 12455)”.</w:t>
      </w:r>
    </w:p>
  </w:footnote>
  <w:footnote w:id="4">
    <w:p w14:paraId="685CC147" w14:textId="15113246" w:rsidR="00961B0C" w:rsidRPr="00AA725C" w:rsidRDefault="00961B0C" w:rsidP="004C5160">
      <w:pPr>
        <w:pStyle w:val="Testonotaapidipagina"/>
        <w:contextualSpacing/>
        <w:jc w:val="both"/>
        <w:rPr>
          <w:rFonts w:ascii="Garamond" w:hAnsi="Garamond"/>
        </w:rPr>
      </w:pPr>
      <w:r w:rsidRPr="00AA725C">
        <w:rPr>
          <w:rStyle w:val="Rimandonotaapidipagina"/>
          <w:rFonts w:ascii="Garamond" w:hAnsi="Garamond"/>
          <w:sz w:val="20"/>
        </w:rPr>
        <w:footnoteRef/>
      </w:r>
      <w:r w:rsidRPr="00AA725C">
        <w:rPr>
          <w:rFonts w:ascii="Garamond" w:hAnsi="Garamond"/>
        </w:rPr>
        <w:t xml:space="preserve"> Così C</w:t>
      </w:r>
      <w:r>
        <w:rPr>
          <w:rFonts w:ascii="Garamond" w:hAnsi="Garamond"/>
        </w:rPr>
        <w:t>.</w:t>
      </w:r>
      <w:r w:rsidRPr="00AA725C">
        <w:rPr>
          <w:rFonts w:ascii="Garamond" w:hAnsi="Garamond"/>
        </w:rPr>
        <w:t>G</w:t>
      </w:r>
      <w:r>
        <w:rPr>
          <w:rFonts w:ascii="Garamond" w:hAnsi="Garamond"/>
        </w:rPr>
        <w:t>.</w:t>
      </w:r>
      <w:r w:rsidRPr="00AA725C">
        <w:rPr>
          <w:rFonts w:ascii="Garamond" w:hAnsi="Garamond"/>
        </w:rPr>
        <w:t>A</w:t>
      </w:r>
      <w:r>
        <w:rPr>
          <w:rFonts w:ascii="Garamond" w:hAnsi="Garamond"/>
        </w:rPr>
        <w:t>.</w:t>
      </w:r>
      <w:r w:rsidRPr="00AA725C">
        <w:rPr>
          <w:rFonts w:ascii="Garamond" w:hAnsi="Garamond"/>
        </w:rPr>
        <w:t>R</w:t>
      </w:r>
      <w:r>
        <w:rPr>
          <w:rFonts w:ascii="Garamond" w:hAnsi="Garamond"/>
        </w:rPr>
        <w:t>.</w:t>
      </w:r>
      <w:r w:rsidRPr="00AA725C">
        <w:rPr>
          <w:rFonts w:ascii="Garamond" w:hAnsi="Garamond"/>
        </w:rPr>
        <w:t>S</w:t>
      </w:r>
      <w:r>
        <w:rPr>
          <w:rFonts w:ascii="Garamond" w:hAnsi="Garamond"/>
        </w:rPr>
        <w:t>.</w:t>
      </w:r>
      <w:r w:rsidRPr="00AA725C">
        <w:rPr>
          <w:rFonts w:ascii="Garamond" w:hAnsi="Garamond"/>
        </w:rPr>
        <w:t>, Sez. giur.,</w:t>
      </w:r>
      <w:r>
        <w:rPr>
          <w:rFonts w:ascii="Garamond" w:hAnsi="Garamond"/>
        </w:rPr>
        <w:t xml:space="preserve"> ord.</w:t>
      </w:r>
      <w:r w:rsidRPr="00AA725C">
        <w:rPr>
          <w:rFonts w:ascii="Garamond" w:hAnsi="Garamond"/>
        </w:rPr>
        <w:t xml:space="preserve"> </w:t>
      </w:r>
      <w:r w:rsidRPr="00961B0C">
        <w:rPr>
          <w:rFonts w:ascii="Garamond" w:hAnsi="Garamond"/>
          <w:lang w:val="en-US"/>
        </w:rPr>
        <w:t xml:space="preserve">19.2.2016, n. 52 -cit; sent. 21.1.2015, n. 35; TAR Lazio, Sez. </w:t>
      </w:r>
      <w:r w:rsidRPr="00AA725C">
        <w:rPr>
          <w:rFonts w:ascii="Garamond" w:hAnsi="Garamond"/>
        </w:rPr>
        <w:t>I, sent. 2.12.2016, n. 12069; Sez. III, sent. 16.11.2016, n. 11382.</w:t>
      </w:r>
    </w:p>
  </w:footnote>
  <w:footnote w:id="5">
    <w:p w14:paraId="35D63FDB" w14:textId="48806DF7" w:rsidR="00961B0C" w:rsidRPr="00D0120F" w:rsidRDefault="00961B0C" w:rsidP="004C5160">
      <w:pPr>
        <w:pStyle w:val="Testonotaapidipagina"/>
        <w:contextualSpacing/>
        <w:jc w:val="both"/>
        <w:rPr>
          <w:rFonts w:ascii="Garamond" w:hAnsi="Garamond"/>
          <w:iCs/>
        </w:rPr>
      </w:pPr>
      <w:r w:rsidRPr="00AA725C">
        <w:rPr>
          <w:rStyle w:val="Rimandonotaapidipagina"/>
          <w:rFonts w:ascii="Garamond" w:hAnsi="Garamond"/>
          <w:sz w:val="20"/>
        </w:rPr>
        <w:footnoteRef/>
      </w:r>
      <w:r w:rsidRPr="00AA725C">
        <w:rPr>
          <w:rFonts w:ascii="Garamond" w:hAnsi="Garamond"/>
        </w:rPr>
        <w:t xml:space="preserve"> In generale, sulla perdurante vigenza delle previsioni in tema di qualificazione delle imprese di cui agli artt. 60-96 del d.P.R. n. 207/2010, le disposizioni transitorie e di coordinamento di cui all’art. 216, co. 14 del D.Lgs. n. 50/2016 hanno chiarito che: “</w:t>
      </w:r>
      <w:r w:rsidRPr="00AA725C">
        <w:rPr>
          <w:rFonts w:ascii="Garamond" w:hAnsi="Garamond"/>
          <w:i/>
        </w:rPr>
        <w:t>Fino all'adozione del regolamento di cui all'art. 216, co. 27-octies, continuano ad applicarsi, in quanto compatibili, le disposizioni di cui alla Parte II, Titolo III </w:t>
      </w:r>
      <w:r w:rsidRPr="00AA725C">
        <w:rPr>
          <w:rFonts w:ascii="Garamond" w:hAnsi="Garamond"/>
          <w:i/>
          <w:iCs/>
        </w:rPr>
        <w:t>(articoli da 60 a 96: sistema di qualificazione delle imprese)</w:t>
      </w:r>
      <w:r w:rsidRPr="00AA725C">
        <w:rPr>
          <w:rFonts w:ascii="Garamond" w:hAnsi="Garamond"/>
          <w:i/>
        </w:rPr>
        <w:t>, nonché gli allegati e le parti di allegati</w:t>
      </w:r>
      <w:r w:rsidRPr="00D0120F">
        <w:rPr>
          <w:rFonts w:ascii="Garamond" w:hAnsi="Garamond"/>
          <w:i/>
        </w:rPr>
        <w:t xml:space="preserve"> ivi richiamate, del decreto del Presidente della Repubblica 5 ottobre 2010, n. 207” </w:t>
      </w:r>
      <w:r w:rsidRPr="00D0120F">
        <w:rPr>
          <w:rFonts w:ascii="Garamond" w:hAnsi="Garamond"/>
          <w:iCs/>
        </w:rPr>
        <w:t>(comma così modificato dall'art. 1, co</w:t>
      </w:r>
      <w:r>
        <w:rPr>
          <w:rFonts w:ascii="Garamond" w:hAnsi="Garamond"/>
          <w:iCs/>
        </w:rPr>
        <w:t>.</w:t>
      </w:r>
      <w:r w:rsidRPr="00D0120F">
        <w:rPr>
          <w:rFonts w:ascii="Garamond" w:hAnsi="Garamond"/>
          <w:iCs/>
        </w:rPr>
        <w:t xml:space="preserve"> 20, let</w:t>
      </w:r>
      <w:r>
        <w:rPr>
          <w:rFonts w:ascii="Garamond" w:hAnsi="Garamond"/>
          <w:iCs/>
        </w:rPr>
        <w:t xml:space="preserve">t. </w:t>
      </w:r>
      <w:r w:rsidRPr="00D0120F">
        <w:rPr>
          <w:rFonts w:ascii="Garamond" w:hAnsi="Garamond"/>
          <w:iCs/>
        </w:rPr>
        <w:t>gg), della legge n. 55</w:t>
      </w:r>
      <w:r>
        <w:rPr>
          <w:rFonts w:ascii="Garamond" w:hAnsi="Garamond"/>
          <w:iCs/>
        </w:rPr>
        <w:t>/</w:t>
      </w:r>
      <w:r w:rsidRPr="00D0120F">
        <w:rPr>
          <w:rFonts w:ascii="Garamond" w:hAnsi="Garamond"/>
          <w:iCs/>
        </w:rPr>
        <w:t>2019). Sul punto, cfr. ANAC, Comunicato del Presidente del 3.8.2016, secondo cui “</w:t>
      </w:r>
      <w:r w:rsidRPr="00D0120F">
        <w:rPr>
          <w:rFonts w:ascii="Garamond" w:hAnsi="Garamond"/>
          <w:i/>
          <w:iCs/>
        </w:rPr>
        <w:t>nelle more della loro adozione - in virtù̀ di quanto stabilito dall’articolo 83, co. 2 e 216 co.14 del medesimo nuovo codice ed in ossequio alla necessità di una interpretazione sistematica delle disposizioni tesa ad evitare situazioni di vacatio legis - le disposizioni tutte del d.p.r., poco sopra richiamate, devono ritenersi, medio tempore, ancora vigenti</w:t>
      </w:r>
      <w:r w:rsidRPr="00D0120F">
        <w:rPr>
          <w:rFonts w:ascii="Garamond" w:hAnsi="Garamond"/>
          <w:iCs/>
        </w:rPr>
        <w:t>”.</w:t>
      </w:r>
    </w:p>
    <w:p w14:paraId="1B974EE3" w14:textId="13E81BBA" w:rsidR="00961B0C" w:rsidRPr="006B27EE" w:rsidRDefault="00961B0C" w:rsidP="004C5160">
      <w:pPr>
        <w:pStyle w:val="Testonotaapidipagina"/>
        <w:contextualSpacing/>
        <w:jc w:val="both"/>
        <w:rPr>
          <w:rFonts w:ascii="Garamond" w:hAnsi="Garamond"/>
        </w:rPr>
      </w:pPr>
      <w:r w:rsidRPr="00D0120F">
        <w:rPr>
          <w:rFonts w:ascii="Garamond" w:hAnsi="Garamond"/>
        </w:rPr>
        <w:t>Con particolare riferimento alla vigenza dell’art. 88, comma 1, lett. a), cfr. TAR Sicilia, Catania, sent. 20.1.2017, n. 122: “</w:t>
      </w:r>
      <w:r w:rsidRPr="00D0120F">
        <w:rPr>
          <w:rFonts w:ascii="Garamond" w:hAnsi="Garamond"/>
          <w:i/>
        </w:rPr>
        <w:t>poiché non sono ancora entrati in vigore “pertinenti atti attuativi (del D.Lgs. n. 50/2016</w:t>
      </w:r>
      <w:r w:rsidRPr="006B27EE">
        <w:rPr>
          <w:rFonts w:ascii="Garamond" w:hAnsi="Garamond"/>
          <w:i/>
        </w:rPr>
        <w:t>)”, cui l’art. 217, lettera u) dello stesso subordina la cedevolezza delle disposizioni del D.P.R. n. 207/2010, deve a tutt’oggi ritenersi in vigore la previsione del primo comma del suo art. 88</w:t>
      </w:r>
      <w:r w:rsidRPr="006B27EE">
        <w:rPr>
          <w:rFonts w:ascii="Garamond" w:hAnsi="Garamond"/>
        </w:rPr>
        <w:t>”.</w:t>
      </w:r>
    </w:p>
  </w:footnote>
  <w:footnote w:id="6">
    <w:p w14:paraId="3A21716D" w14:textId="762E103F" w:rsidR="00961B0C" w:rsidRPr="00D85ADD" w:rsidRDefault="00961B0C" w:rsidP="004C5160">
      <w:pPr>
        <w:pStyle w:val="Testonotaapidipagina"/>
        <w:spacing w:after="240"/>
        <w:contextualSpacing/>
        <w:jc w:val="both"/>
        <w:rPr>
          <w:rFonts w:ascii="Garamond" w:hAnsi="Garamond"/>
        </w:rPr>
      </w:pPr>
      <w:r w:rsidRPr="00D0120F">
        <w:rPr>
          <w:rStyle w:val="Rimandonotaapidipagina"/>
          <w:rFonts w:ascii="Garamond" w:hAnsi="Garamond"/>
          <w:sz w:val="20"/>
        </w:rPr>
        <w:footnoteRef/>
      </w:r>
      <w:r w:rsidRPr="00D0120F">
        <w:rPr>
          <w:rFonts w:ascii="Garamond" w:hAnsi="Garamond"/>
          <w:lang w:val="en-US"/>
        </w:rPr>
        <w:t xml:space="preserve"> Cfr. C.d.S., </w:t>
      </w:r>
      <w:r>
        <w:rPr>
          <w:rFonts w:ascii="Garamond" w:hAnsi="Garamond"/>
          <w:lang w:val="en-US"/>
        </w:rPr>
        <w:t>S</w:t>
      </w:r>
      <w:r w:rsidRPr="00D0120F">
        <w:rPr>
          <w:rFonts w:ascii="Garamond" w:hAnsi="Garamond"/>
          <w:lang w:val="en-US"/>
        </w:rPr>
        <w:t xml:space="preserve">ez. III, sent. </w:t>
      </w:r>
      <w:r w:rsidRPr="00D85ADD">
        <w:rPr>
          <w:rFonts w:ascii="Garamond" w:hAnsi="Garamond"/>
        </w:rPr>
        <w:t xml:space="preserve">17.6.2014, n. 3058; </w:t>
      </w:r>
      <w:r>
        <w:rPr>
          <w:rFonts w:ascii="Garamond" w:hAnsi="Garamond"/>
        </w:rPr>
        <w:t>S</w:t>
      </w:r>
      <w:r w:rsidRPr="00D85ADD">
        <w:rPr>
          <w:rFonts w:ascii="Garamond" w:hAnsi="Garamond"/>
        </w:rPr>
        <w:t>ez.VI, 8.5.2014, n. 2365; TAR Campania, sent. 22.7.2015, n. 3884.</w:t>
      </w:r>
    </w:p>
  </w:footnote>
  <w:footnote w:id="7">
    <w:p w14:paraId="4CE7091F" w14:textId="60324210" w:rsidR="00961B0C" w:rsidRPr="00D85ADD" w:rsidRDefault="00961B0C" w:rsidP="004C5160">
      <w:pPr>
        <w:pStyle w:val="Testonotaapidipagina"/>
        <w:contextualSpacing/>
        <w:jc w:val="both"/>
        <w:rPr>
          <w:rFonts w:ascii="Garamond" w:hAnsi="Garamond"/>
        </w:rPr>
      </w:pPr>
      <w:r w:rsidRPr="00D0120F">
        <w:rPr>
          <w:rStyle w:val="Rimandonotaapidipagina"/>
          <w:rFonts w:ascii="Garamond" w:hAnsi="Garamond"/>
          <w:sz w:val="20"/>
        </w:rPr>
        <w:footnoteRef/>
      </w:r>
      <w:r w:rsidRPr="00D85ADD">
        <w:rPr>
          <w:rFonts w:ascii="Garamond" w:hAnsi="Garamond"/>
        </w:rPr>
        <w:t xml:space="preserve"> C.d.S., </w:t>
      </w:r>
      <w:r>
        <w:rPr>
          <w:rFonts w:ascii="Garamond" w:hAnsi="Garamond"/>
        </w:rPr>
        <w:t>S</w:t>
      </w:r>
      <w:r w:rsidRPr="00D85ADD">
        <w:rPr>
          <w:rFonts w:ascii="Garamond" w:hAnsi="Garamond"/>
        </w:rPr>
        <w:t>ez.VI, sent. n. 2365/2014, cit.</w:t>
      </w:r>
    </w:p>
  </w:footnote>
  <w:footnote w:id="8">
    <w:p w14:paraId="7F9529C1" w14:textId="17895BAE" w:rsidR="00961B0C" w:rsidRPr="00D0120F" w:rsidRDefault="00961B0C" w:rsidP="004C5160">
      <w:pPr>
        <w:pStyle w:val="Testonotaapidipagina"/>
        <w:jc w:val="both"/>
        <w:rPr>
          <w:rFonts w:ascii="Garamond" w:hAnsi="Garamond"/>
          <w:i/>
          <w:iCs/>
        </w:rPr>
      </w:pPr>
      <w:r w:rsidRPr="00D0120F">
        <w:rPr>
          <w:rStyle w:val="Rimandonotaapidipagina"/>
          <w:rFonts w:ascii="Garamond" w:hAnsi="Garamond"/>
          <w:sz w:val="20"/>
        </w:rPr>
        <w:footnoteRef/>
      </w:r>
      <w:r w:rsidRPr="00D0120F">
        <w:rPr>
          <w:rFonts w:ascii="Garamond" w:hAnsi="Garamond"/>
        </w:rPr>
        <w:t xml:space="preserve"> Tale differenza è ben evidenziata nella sentenza del C.d.S., Sez. V, 22.12.2016, n. 5423: </w:t>
      </w:r>
      <w:r>
        <w:rPr>
          <w:rFonts w:ascii="Garamond" w:hAnsi="Garamond"/>
          <w:i/>
          <w:iCs/>
        </w:rPr>
        <w:t>“</w:t>
      </w:r>
      <w:r w:rsidRPr="00D0120F">
        <w:rPr>
          <w:rFonts w:ascii="Garamond" w:hAnsi="Garamond"/>
          <w:i/>
          <w:iCs/>
        </w:rPr>
        <w:t>Nelle gare pubbliche, allorquando un’impresa intenda avvalersi, mediante stipula di un contratto di avvalimento, dei requisiti finanziari di un’altra (c.d. avvalimento di garanzia) (…)</w:t>
      </w:r>
      <w:r w:rsidRPr="00D0120F">
        <w:rPr>
          <w:rFonts w:ascii="Garamond" w:hAnsi="Garamond"/>
          <w:bCs/>
          <w:i/>
          <w:iCs/>
        </w:rPr>
        <w:t>, non occorre che la dichiarazione negoziale costitutiva dell’impegno contrattuale si riferisca a specifici beni patrimoniali o indici materiali atti ad esprimere una determinata consistenza patrimoniale</w:t>
      </w:r>
      <w:r w:rsidRPr="00D0120F">
        <w:rPr>
          <w:rFonts w:ascii="Garamond" w:hAnsi="Garamond"/>
          <w:i/>
          <w:iCs/>
        </w:rPr>
        <w:t xml:space="preserve"> e, dunque, alla messa a disposizione di beni da descrivere ed individuare con precisione, </w:t>
      </w:r>
      <w:r w:rsidRPr="00D0120F">
        <w:rPr>
          <w:rFonts w:ascii="Garamond" w:hAnsi="Garamond"/>
          <w:bCs/>
          <w:i/>
          <w:iCs/>
        </w:rPr>
        <w:t>essendo sufficiente che da essa dichiarazione emerga l’impegno contrattuale della società ausiliaria a prestare ed a mettere a disposizione della c.d. società ausiliata la sua complessiva solidità finanziaria ed il suo patrimonio esperienziale</w:t>
      </w:r>
      <w:r w:rsidRPr="00D0120F">
        <w:rPr>
          <w:rFonts w:ascii="Garamond" w:hAnsi="Garamond"/>
          <w:i/>
          <w:iCs/>
        </w:rPr>
        <w:t xml:space="preserve">, garantendo con essi una determinata affidabilità ed un concreto supplemento di responsabilità». Quand’anche si tratti di </w:t>
      </w:r>
      <w:r w:rsidRPr="00D0120F">
        <w:rPr>
          <w:rFonts w:ascii="Garamond" w:hAnsi="Garamond"/>
          <w:bCs/>
          <w:i/>
          <w:iCs/>
        </w:rPr>
        <w:t xml:space="preserve">fatturato specifico </w:t>
      </w:r>
      <w:r w:rsidRPr="00D0120F">
        <w:rPr>
          <w:rFonts w:ascii="Garamond" w:hAnsi="Garamond"/>
          <w:i/>
          <w:iCs/>
        </w:rPr>
        <w:t>(conseguito quale corrispettivo per l’esecuzione di prestazioni analoghe a quelle oggetto di affidamento), la relativa dimostrazione non richiederebbe una compiuta indicazione nel contratto di avvalimento degli elementi organizzativi dell’ausiliaria concretamente messi a disposizione per l’esecuzione dell’appalto, salvo che il soggetto interessato sia in condizione di «enucleare dalla normativa di gara specifiche indicazioni sulla base delle quali ritenere che il requisito in questione, malgrado il suo ancoraggio al fatturato, avesse in realtà una connotazione squisitamente tecnico-operativa, correlata ad una ben individuata organizzazione produttiva da mettere a disposizione per l’esecuzione del servizio</w:t>
      </w:r>
      <w:r>
        <w:rPr>
          <w:rFonts w:ascii="Garamond" w:hAnsi="Garamond"/>
          <w:i/>
          <w:iCs/>
        </w:rPr>
        <w:t>”</w:t>
      </w:r>
      <w:r w:rsidRPr="00D0120F">
        <w:rPr>
          <w:rFonts w:ascii="Garamond" w:hAnsi="Garamond"/>
          <w:i/>
          <w:iCs/>
        </w:rPr>
        <w:t>.</w:t>
      </w:r>
    </w:p>
    <w:p w14:paraId="186FD9EF" w14:textId="76EFA30B" w:rsidR="00961B0C" w:rsidRPr="00D0120F" w:rsidRDefault="00961B0C" w:rsidP="004C5160">
      <w:pPr>
        <w:pStyle w:val="Testonotaapidipagina"/>
        <w:jc w:val="both"/>
        <w:rPr>
          <w:rFonts w:ascii="Garamond" w:hAnsi="Garamond"/>
        </w:rPr>
      </w:pPr>
      <w:r w:rsidRPr="00D0120F">
        <w:rPr>
          <w:rFonts w:ascii="Garamond" w:hAnsi="Garamond"/>
          <w:iCs/>
        </w:rPr>
        <w:t xml:space="preserve">Sul punto, cfr. anche TAR </w:t>
      </w:r>
      <w:r w:rsidRPr="00D0120F">
        <w:rPr>
          <w:rFonts w:ascii="Garamond" w:hAnsi="Garamond"/>
        </w:rPr>
        <w:t xml:space="preserve">Lazio, </w:t>
      </w:r>
      <w:r>
        <w:rPr>
          <w:rFonts w:ascii="Garamond" w:hAnsi="Garamond"/>
        </w:rPr>
        <w:t xml:space="preserve">Sez. III, </w:t>
      </w:r>
      <w:r w:rsidRPr="00D0120F">
        <w:rPr>
          <w:rFonts w:ascii="Garamond" w:hAnsi="Garamond"/>
        </w:rPr>
        <w:t xml:space="preserve">sent. </w:t>
      </w:r>
      <w:r>
        <w:rPr>
          <w:rFonts w:ascii="Garamond" w:hAnsi="Garamond"/>
        </w:rPr>
        <w:t xml:space="preserve">10.05.2019, n. </w:t>
      </w:r>
      <w:r w:rsidRPr="00D0120F">
        <w:rPr>
          <w:rFonts w:ascii="Garamond" w:hAnsi="Garamond"/>
        </w:rPr>
        <w:t>5880</w:t>
      </w:r>
      <w:r>
        <w:rPr>
          <w:rFonts w:ascii="Garamond" w:hAnsi="Garamond"/>
        </w:rPr>
        <w:t>,</w:t>
      </w:r>
      <w:r w:rsidRPr="00D0120F">
        <w:rPr>
          <w:rFonts w:ascii="Garamond" w:hAnsi="Garamond"/>
        </w:rPr>
        <w:t xml:space="preserve"> che chiarisce ulteriormente come, ai fini della distinzione tra avvalimento di garanzia e operativo, non si debba considerare unicamente la nomenclatura utilizzata nel bando di gara, dovendosi piuttosto procedere anche ad una riqualificazione se, considerando lo scopo per cui il requisito viene richiesto, emerge che lo stesso va a costituire un requisito suscettibile dell’altra tipologia di avvalimento. </w:t>
      </w:r>
    </w:p>
  </w:footnote>
  <w:footnote w:id="9">
    <w:p w14:paraId="615DB65B" w14:textId="77777777" w:rsidR="00961B0C" w:rsidRPr="00D0120F" w:rsidRDefault="00961B0C" w:rsidP="004C5160">
      <w:pPr>
        <w:pStyle w:val="Testonotaapidipagina"/>
        <w:jc w:val="both"/>
        <w:rPr>
          <w:rFonts w:ascii="Garamond" w:hAnsi="Garamond"/>
          <w:i/>
        </w:rPr>
      </w:pPr>
      <w:r w:rsidRPr="00D0120F">
        <w:rPr>
          <w:rStyle w:val="Rimandonotaapidipagina"/>
          <w:rFonts w:ascii="Garamond" w:hAnsi="Garamond"/>
          <w:sz w:val="20"/>
        </w:rPr>
        <w:footnoteRef/>
      </w:r>
      <w:r w:rsidRPr="00D0120F">
        <w:rPr>
          <w:rFonts w:ascii="Garamond" w:hAnsi="Garamond"/>
        </w:rPr>
        <w:t xml:space="preserve"> Il tema è lucidamente illustrato da </w:t>
      </w:r>
      <w:r w:rsidRPr="00D0120F">
        <w:rPr>
          <w:rFonts w:ascii="Garamond" w:hAnsi="Garamond"/>
          <w:smallCaps/>
        </w:rPr>
        <w:t>C. Contessa</w:t>
      </w:r>
      <w:r w:rsidRPr="00D0120F">
        <w:rPr>
          <w:rFonts w:ascii="Garamond" w:hAnsi="Garamond"/>
        </w:rPr>
        <w:t>, in “</w:t>
      </w:r>
      <w:r w:rsidRPr="00D0120F">
        <w:rPr>
          <w:rFonts w:ascii="Garamond" w:hAnsi="Garamond"/>
          <w:i/>
        </w:rPr>
        <w:t>L’avvalimento- Rassegna monotematica di giurisprudenza”,</w:t>
      </w:r>
      <w:r w:rsidRPr="00D0120F">
        <w:rPr>
          <w:rFonts w:ascii="Garamond" w:hAnsi="Garamond"/>
        </w:rPr>
        <w:t xml:space="preserve"> che riferisce, con particolare riguardo al tema del fatturato specifico, che “</w:t>
      </w:r>
      <w:r w:rsidRPr="00D0120F">
        <w:rPr>
          <w:rFonts w:ascii="Garamond" w:hAnsi="Garamond"/>
          <w:i/>
        </w:rPr>
        <w:t>si è talvolta ritenuto che l’oggetto specifico dell’obbligazione sia costituito non già dalla messa a disposizione da parte dell’impresa ausiliaria di strutture organizzative e mezzi  materiali, ma dal suo impegno a garantire con le proprie complessive risorse economiche, il cui indice è costituito dal fatturato, l’impresa ausiliata (in tal senso: C.d.S., III, 11.7.2017, n. 3422).</w:t>
      </w:r>
    </w:p>
    <w:p w14:paraId="2EEE5998" w14:textId="6329AB9B" w:rsidR="00961B0C" w:rsidRPr="00EF13F7" w:rsidRDefault="00961B0C" w:rsidP="004C5160">
      <w:pPr>
        <w:pStyle w:val="Testonotaapidipagina"/>
        <w:jc w:val="both"/>
        <w:rPr>
          <w:rFonts w:ascii="Garamond" w:hAnsi="Garamond"/>
          <w:i/>
        </w:rPr>
      </w:pPr>
      <w:r w:rsidRPr="00D0120F">
        <w:rPr>
          <w:rFonts w:ascii="Garamond" w:hAnsi="Garamond"/>
          <w:i/>
        </w:rPr>
        <w:t xml:space="preserve">Secondo tale approccio, in definitiva, l’avvalimento avente ad oggetto la messa a disposizione del requisito del fatturato specifico avrebbe ad oggetto la messa a disposizione di un requisito di carattere economico-finanziario e presenterebbe una sostanziale identità di ratio con l’istituto del cd. avvalimento di </w:t>
      </w:r>
      <w:r w:rsidRPr="00EF13F7">
        <w:rPr>
          <w:rFonts w:ascii="Garamond" w:hAnsi="Garamond"/>
          <w:i/>
        </w:rPr>
        <w:t xml:space="preserve">garanzia. </w:t>
      </w:r>
    </w:p>
    <w:p w14:paraId="65FF4FBE" w14:textId="78098C11" w:rsidR="00961B0C" w:rsidRPr="00D85ADD" w:rsidRDefault="00961B0C" w:rsidP="004C5160">
      <w:pPr>
        <w:pStyle w:val="Testonotaapidipagina"/>
        <w:jc w:val="both"/>
        <w:rPr>
          <w:rFonts w:ascii="Garamond" w:hAnsi="Garamond"/>
          <w:i/>
          <w:lang w:val="en-US"/>
        </w:rPr>
      </w:pPr>
      <w:r w:rsidRPr="00EF13F7">
        <w:rPr>
          <w:rFonts w:ascii="Garamond" w:hAnsi="Garamond"/>
          <w:i/>
        </w:rPr>
        <w:t xml:space="preserve">Un diverso (e allo stato maggioritario) orientamento ritiene invece che l’avvalimento del requisito del fatturato specifico abbia ad oggetto un requisito di capacità tecnica e che, conseguentemente, postuli la prova rigorosa dell’effettiva messa a disposizione dei relativi elementi costitutivi. È stato in particolare chiarito che l’avvalimento di un tale requisito di natura tecnica non può essere generico (e ciò non si può limitare a un richiamo ‘meramente cartaceo o dichiarato’ allo svolgimento da parte dell’ausiliario di attività che evidenzino le sue precedenti esperienze), ma deve comportare il trasferimento, dall’ausiliario all’ausiliato, delle competenze tecniche acquisite con le precedenti esperienze (trasferimento che, per sua natura, implica l’esclusività di </w:t>
      </w:r>
      <w:r w:rsidRPr="001A6E30">
        <w:rPr>
          <w:rFonts w:ascii="Garamond" w:hAnsi="Garamond"/>
          <w:i/>
        </w:rPr>
        <w:t xml:space="preserve">tale trasferimento, ovvero delle relative risorse, per tutto il periodo preso in considerazione dalla gara- in tal senso: C.d.S., V, sent. </w:t>
      </w:r>
      <w:r w:rsidRPr="00D85ADD">
        <w:rPr>
          <w:rFonts w:ascii="Garamond" w:hAnsi="Garamond"/>
          <w:i/>
          <w:lang w:val="en-US"/>
        </w:rPr>
        <w:t>23.2.2015, n. 864; III, sent. 5.7.2017, n. 3328)”.</w:t>
      </w:r>
    </w:p>
  </w:footnote>
  <w:footnote w:id="10">
    <w:p w14:paraId="51D46725" w14:textId="53ECC31D" w:rsidR="00961B0C" w:rsidRPr="008A4C7D" w:rsidRDefault="00961B0C" w:rsidP="004C5160">
      <w:pPr>
        <w:pStyle w:val="Testonotaapidipagina"/>
        <w:jc w:val="both"/>
        <w:rPr>
          <w:rFonts w:ascii="Garamond" w:hAnsi="Garamond"/>
          <w:highlight w:val="yellow"/>
        </w:rPr>
      </w:pPr>
      <w:r w:rsidRPr="001A6E30">
        <w:rPr>
          <w:rStyle w:val="Rimandonotaapidipagina"/>
          <w:rFonts w:ascii="Garamond" w:hAnsi="Garamond"/>
          <w:sz w:val="20"/>
        </w:rPr>
        <w:footnoteRef/>
      </w:r>
      <w:r w:rsidRPr="00D85ADD">
        <w:rPr>
          <w:rFonts w:ascii="Garamond" w:hAnsi="Garamond"/>
          <w:lang w:val="en-US"/>
        </w:rPr>
        <w:t xml:space="preserve"> Cfr. C.d.S., Sez. V, sent. </w:t>
      </w:r>
      <w:r w:rsidRPr="001A6E30">
        <w:rPr>
          <w:rFonts w:ascii="Garamond" w:hAnsi="Garamond"/>
        </w:rPr>
        <w:t>22.10.2015, n. 4860, richiamata da TAR Sardegna</w:t>
      </w:r>
      <w:r>
        <w:rPr>
          <w:rFonts w:ascii="Garamond" w:hAnsi="Garamond"/>
        </w:rPr>
        <w:t>, Sez. I, sent.</w:t>
      </w:r>
      <w:r w:rsidRPr="001A6E30">
        <w:rPr>
          <w:rFonts w:ascii="Garamond" w:hAnsi="Garamond"/>
        </w:rPr>
        <w:t xml:space="preserve"> 26.5.2016, n. 458: “</w:t>
      </w:r>
      <w:r w:rsidRPr="001A6E30">
        <w:rPr>
          <w:rFonts w:ascii="Garamond" w:hAnsi="Garamond"/>
          <w:i/>
        </w:rPr>
        <w:t xml:space="preserve">anche nel caso di </w:t>
      </w:r>
      <w:r>
        <w:rPr>
          <w:rFonts w:ascii="Garamond" w:hAnsi="Garamond"/>
          <w:i/>
        </w:rPr>
        <w:t>‘</w:t>
      </w:r>
      <w:r w:rsidRPr="001A6E30">
        <w:rPr>
          <w:rFonts w:ascii="Garamond" w:hAnsi="Garamond"/>
          <w:i/>
        </w:rPr>
        <w:t>avvalimento di garanzia</w:t>
      </w:r>
      <w:r>
        <w:rPr>
          <w:rFonts w:ascii="Garamond" w:hAnsi="Garamond"/>
          <w:i/>
        </w:rPr>
        <w:t>’</w:t>
      </w:r>
      <w:r w:rsidRPr="001A6E30">
        <w:rPr>
          <w:rFonts w:ascii="Garamond" w:hAnsi="Garamond"/>
          <w:i/>
        </w:rPr>
        <w:t xml:space="preserve">, l'unico limite imposto al riguardo dall'ordinamento è che l'avvalimento non si risolva nel prestito di una mera </w:t>
      </w:r>
      <w:r>
        <w:rPr>
          <w:rFonts w:ascii="Garamond" w:hAnsi="Garamond"/>
          <w:i/>
        </w:rPr>
        <w:t>‘</w:t>
      </w:r>
      <w:r w:rsidRPr="001A6E30">
        <w:rPr>
          <w:rFonts w:ascii="Garamond" w:hAnsi="Garamond"/>
          <w:i/>
        </w:rPr>
        <w:t>condizione soggettiva</w:t>
      </w:r>
      <w:r>
        <w:rPr>
          <w:rFonts w:ascii="Garamond" w:hAnsi="Garamond"/>
          <w:i/>
        </w:rPr>
        <w:t>’</w:t>
      </w:r>
      <w:r w:rsidRPr="001A6E30">
        <w:rPr>
          <w:rFonts w:ascii="Garamond" w:hAnsi="Garamond"/>
          <w:i/>
        </w:rPr>
        <w:t>, del tutto disancorata dalla concreta messa a disposizione di risorse materiali, economiche o gestionali, dovendo l'impresa ausiliaria assumere l'obbligazione di mettere a disposizione dell'impresa ausiliata, in relazione all'esecuzione dell'appalto, le proprie risorse e il proprio apparato organizzativo in tutte le parti che giustificano l'attribuzione del requisito di qualità (e, quindi, a seconda dei casi, i mezzi, il personale, la prassi e tutti gli altri elementi aziendali qualificanti, in relazione all'oggetto dell'appalto)”;</w:t>
      </w:r>
      <w:r w:rsidRPr="001A6E30">
        <w:rPr>
          <w:rFonts w:ascii="Garamond" w:hAnsi="Garamond"/>
        </w:rPr>
        <w:t xml:space="preserve"> C.d.S. Sez. III, sent. 22.1.2014 n. 294 che ha affermato che “</w:t>
      </w:r>
      <w:r w:rsidRPr="001A6E30">
        <w:rPr>
          <w:rFonts w:ascii="Garamond" w:hAnsi="Garamond"/>
          <w:i/>
        </w:rPr>
        <w:t>l’avvalimento di garanzia non deve rimanere svincolato da qualsivoglia collegamento con risorse materiali o immateriali, che snaturerebbe l’istituto, in elusione dei requisiti stabiliti da bando di gara, esibiti solo in modo formale, frustrandone la funzione di garanzia; (…) l’avvalimento di garanzia può svolgere la sua funzione di assicurare alla stazione appaltante un partner commerciale con solidità patrimoniale proporzionata ai rischi di inadempimento contrattuale, solo se rende palese la concreta disponibilità attuale di risorse e di dotazioni aziendali di cui si dà mandato all’ausiliata di avvalersi</w:t>
      </w:r>
      <w:r w:rsidRPr="001A6E30">
        <w:rPr>
          <w:rFonts w:ascii="Garamond" w:hAnsi="Garamond"/>
        </w:rPr>
        <w:t>”.</w:t>
      </w:r>
    </w:p>
  </w:footnote>
  <w:footnote w:id="11">
    <w:p w14:paraId="030DEF1C" w14:textId="09CF6437" w:rsidR="00961B0C" w:rsidRPr="000A1024" w:rsidRDefault="00961B0C" w:rsidP="004C5160">
      <w:pPr>
        <w:pStyle w:val="Testonotaapidipagina"/>
        <w:jc w:val="both"/>
        <w:rPr>
          <w:rFonts w:ascii="Garamond" w:hAnsi="Garamond"/>
        </w:rPr>
      </w:pPr>
      <w:r w:rsidRPr="00EF13F7">
        <w:rPr>
          <w:rStyle w:val="Rimandonotaapidipagina"/>
          <w:rFonts w:ascii="Garamond" w:hAnsi="Garamond"/>
          <w:sz w:val="20"/>
        </w:rPr>
        <w:footnoteRef/>
      </w:r>
      <w:r w:rsidRPr="00EF13F7">
        <w:rPr>
          <w:rFonts w:ascii="Garamond" w:hAnsi="Garamond"/>
        </w:rPr>
        <w:t xml:space="preserve"> Sul punto TAR Lazio, sent.</w:t>
      </w:r>
      <w:r>
        <w:rPr>
          <w:rFonts w:ascii="Garamond" w:hAnsi="Garamond"/>
        </w:rPr>
        <w:t xml:space="preserve"> </w:t>
      </w:r>
      <w:r w:rsidRPr="00EF13F7">
        <w:rPr>
          <w:rFonts w:ascii="Garamond" w:hAnsi="Garamond"/>
        </w:rPr>
        <w:t>n. 5880/2019, cit: “</w:t>
      </w:r>
      <w:r w:rsidRPr="00EF13F7">
        <w:rPr>
          <w:rFonts w:ascii="Garamond" w:hAnsi="Garamond"/>
          <w:i/>
        </w:rPr>
        <w:t>l’indicazione contrattuale degli elementi in questione</w:t>
      </w:r>
      <w:r w:rsidRPr="00EC1C57">
        <w:rPr>
          <w:rFonts w:ascii="Garamond" w:hAnsi="Garamond"/>
          <w:i/>
        </w:rPr>
        <w:t xml:space="preserve"> è necessaria per definire l’oggetto dell’avvalimento ai sensi dell’art. 1346 cod. civ., donde la nullità (strutturale) del contratto medesimo in base alla comminatoria dell’art. 1418, comma 2, cod. civ., laddove risulti impossibile individuare</w:t>
      </w:r>
      <w:r w:rsidRPr="000A1024">
        <w:rPr>
          <w:rFonts w:ascii="Garamond" w:hAnsi="Garamond"/>
          <w:i/>
        </w:rPr>
        <w:t xml:space="preserve"> un’obbligazione assunta dall’ausiliario su un oggetto puntuale e che sia coercibile per l’aggiudicatario, oltre che per la stazione appaltante (in virtù della responsabilità solidale prevista, un tempo, dall’art. 49, comma 4, d.lgs. n. 163 del 2006 e, oggi, dall’art. 89, comma 5, d.lgs. n. 50/2016)”.</w:t>
      </w:r>
    </w:p>
    <w:p w14:paraId="737C6089" w14:textId="4E535715" w:rsidR="00961B0C" w:rsidRPr="000A1024" w:rsidRDefault="00961B0C" w:rsidP="004C5160">
      <w:pPr>
        <w:pStyle w:val="Testonotaapidipagina"/>
        <w:jc w:val="both"/>
        <w:rPr>
          <w:rFonts w:ascii="Garamond" w:hAnsi="Garamond"/>
        </w:rPr>
      </w:pPr>
      <w:r w:rsidRPr="000A1024">
        <w:rPr>
          <w:rFonts w:ascii="Garamond" w:hAnsi="Garamond"/>
        </w:rPr>
        <w:t xml:space="preserve">Confrontare anche C.d.S., </w:t>
      </w:r>
      <w:r>
        <w:rPr>
          <w:rFonts w:ascii="Garamond" w:hAnsi="Garamond"/>
        </w:rPr>
        <w:t>S</w:t>
      </w:r>
      <w:r w:rsidRPr="000A1024">
        <w:rPr>
          <w:rFonts w:ascii="Garamond" w:hAnsi="Garamond"/>
        </w:rPr>
        <w:t xml:space="preserve">ez. </w:t>
      </w:r>
      <w:r w:rsidRPr="00961B0C">
        <w:rPr>
          <w:rFonts w:ascii="Garamond" w:hAnsi="Garamond"/>
          <w:lang w:val="en-US"/>
        </w:rPr>
        <w:t xml:space="preserve">V, sent. </w:t>
      </w:r>
      <w:r w:rsidRPr="000A1024">
        <w:rPr>
          <w:rFonts w:ascii="Garamond" w:hAnsi="Garamond"/>
          <w:lang w:val="en-US"/>
        </w:rPr>
        <w:t xml:space="preserve">4.11.2016, n. 4630; </w:t>
      </w:r>
      <w:r>
        <w:rPr>
          <w:rFonts w:ascii="Garamond" w:hAnsi="Garamond"/>
          <w:lang w:val="en-US"/>
        </w:rPr>
        <w:t>S</w:t>
      </w:r>
      <w:r w:rsidRPr="000A1024">
        <w:rPr>
          <w:rFonts w:ascii="Garamond" w:hAnsi="Garamond"/>
          <w:lang w:val="en-US"/>
        </w:rPr>
        <w:t xml:space="preserve">ez. III, sent. 22.1.2014, n. 294; sent. </w:t>
      </w:r>
      <w:r w:rsidRPr="00961B0C">
        <w:rPr>
          <w:rFonts w:ascii="Garamond" w:hAnsi="Garamond"/>
          <w:lang w:val="en-US"/>
        </w:rPr>
        <w:t xml:space="preserve">17.6.2014, n. 3058; Sez. IV, sent. 9.2.2015, n. 662; Sez. V, sent. </w:t>
      </w:r>
      <w:r w:rsidRPr="000A1024">
        <w:rPr>
          <w:rFonts w:ascii="Garamond" w:hAnsi="Garamond"/>
        </w:rPr>
        <w:t>22.10.2015, n. 4860; cfr. ANAC P. Prec. n. 34 del 13.3.2013; P. Prec. n. 139 del 30.7.2013; P. Prec. n. 82 del 28.10.2014; P. Prec. n. 24 del 12.3.2015; P. Prec. n. 246 del 2.3.2016.</w:t>
      </w:r>
    </w:p>
  </w:footnote>
  <w:footnote w:id="12">
    <w:p w14:paraId="3E3B5922" w14:textId="77777777" w:rsidR="00961B0C" w:rsidRPr="000A1024" w:rsidRDefault="00961B0C" w:rsidP="004C5160">
      <w:pPr>
        <w:pStyle w:val="Testonotaapidipagina"/>
        <w:jc w:val="both"/>
        <w:rPr>
          <w:rFonts w:ascii="Garamond" w:hAnsi="Garamond"/>
        </w:rPr>
      </w:pPr>
      <w:r w:rsidRPr="000A1024">
        <w:rPr>
          <w:rStyle w:val="Rimandonotaapidipagina"/>
          <w:rFonts w:ascii="Garamond" w:hAnsi="Garamond"/>
          <w:sz w:val="20"/>
        </w:rPr>
        <w:footnoteRef/>
      </w:r>
      <w:r w:rsidRPr="000A1024">
        <w:rPr>
          <w:rFonts w:ascii="Garamond" w:hAnsi="Garamond"/>
        </w:rPr>
        <w:t xml:space="preserve"> Per un approfondimento: </w:t>
      </w:r>
      <w:r w:rsidRPr="000A1024">
        <w:rPr>
          <w:rFonts w:ascii="Garamond" w:hAnsi="Garamond"/>
          <w:smallCaps/>
        </w:rPr>
        <w:t>G.C. Figuera</w:t>
      </w:r>
      <w:r w:rsidRPr="000A1024">
        <w:rPr>
          <w:rFonts w:ascii="Garamond" w:hAnsi="Garamond"/>
        </w:rPr>
        <w:t>, “</w:t>
      </w:r>
      <w:r w:rsidRPr="000A1024">
        <w:rPr>
          <w:rFonts w:ascii="Garamond" w:hAnsi="Garamond"/>
          <w:i/>
        </w:rPr>
        <w:t>L’avvalimento secondo l’Adunanza Plenaria</w:t>
      </w:r>
      <w:r w:rsidRPr="000A1024">
        <w:rPr>
          <w:rFonts w:ascii="Garamond" w:hAnsi="Garamond"/>
        </w:rPr>
        <w:t xml:space="preserve">”, in </w:t>
      </w:r>
      <w:r w:rsidRPr="000A1024">
        <w:rPr>
          <w:rFonts w:ascii="Garamond" w:hAnsi="Garamond"/>
          <w:i/>
        </w:rPr>
        <w:t>Urbanistica e appalti</w:t>
      </w:r>
      <w:r w:rsidRPr="000A1024">
        <w:rPr>
          <w:rFonts w:ascii="Garamond" w:hAnsi="Garamond"/>
        </w:rPr>
        <w:t>, n. 3/2017, pp. 410 ss.</w:t>
      </w:r>
    </w:p>
  </w:footnote>
  <w:footnote w:id="13">
    <w:p w14:paraId="103DAA2D" w14:textId="6E40AB40" w:rsidR="00961B0C" w:rsidRPr="00961B0C" w:rsidRDefault="00961B0C" w:rsidP="004C5160">
      <w:pPr>
        <w:pStyle w:val="Testonotaapidipagina"/>
        <w:jc w:val="both"/>
        <w:rPr>
          <w:rFonts w:ascii="Garamond" w:hAnsi="Garamond"/>
        </w:rPr>
      </w:pPr>
      <w:r w:rsidRPr="000A1024">
        <w:rPr>
          <w:rStyle w:val="Rimandonotaapidipagina"/>
          <w:rFonts w:ascii="Garamond" w:hAnsi="Garamond"/>
          <w:sz w:val="20"/>
        </w:rPr>
        <w:footnoteRef/>
      </w:r>
      <w:r w:rsidRPr="000A1024">
        <w:rPr>
          <w:rFonts w:ascii="Garamond" w:hAnsi="Garamond"/>
          <w:lang w:val="en-US"/>
        </w:rPr>
        <w:t xml:space="preserve"> C.G.A.R.S., Sez. giur., ord. </w:t>
      </w:r>
      <w:r w:rsidRPr="00961B0C">
        <w:rPr>
          <w:rFonts w:ascii="Garamond" w:hAnsi="Garamond"/>
        </w:rPr>
        <w:t>n. 52/2016, cit.</w:t>
      </w:r>
    </w:p>
  </w:footnote>
  <w:footnote w:id="14">
    <w:p w14:paraId="41011E76" w14:textId="3B676D0D" w:rsidR="00961B0C" w:rsidRPr="000A1024" w:rsidRDefault="00961B0C" w:rsidP="004C5160">
      <w:pPr>
        <w:pStyle w:val="Testonotaapidipagina"/>
        <w:jc w:val="both"/>
        <w:rPr>
          <w:rFonts w:ascii="Garamond" w:hAnsi="Garamond"/>
        </w:rPr>
      </w:pPr>
      <w:r w:rsidRPr="000A1024">
        <w:rPr>
          <w:rStyle w:val="Rimandonotaapidipagina"/>
          <w:rFonts w:ascii="Garamond" w:hAnsi="Garamond"/>
          <w:sz w:val="20"/>
        </w:rPr>
        <w:footnoteRef/>
      </w:r>
      <w:r w:rsidRPr="000A1024">
        <w:rPr>
          <w:rFonts w:ascii="Garamond" w:hAnsi="Garamond"/>
        </w:rPr>
        <w:t xml:space="preserve"> Gli altri due quesiti erano così articolati: </w:t>
      </w:r>
      <w:r w:rsidRPr="000A1024">
        <w:rPr>
          <w:rFonts w:ascii="Garamond" w:hAnsi="Garamond"/>
          <w:i/>
        </w:rPr>
        <w:t xml:space="preserve">“(…) 2) se nell’ipotesi di categorie che richiedono particolari requisiti – come nel caso di specie risulta per la categoria OS18A – tali particolari requisiti debbano essere indicati in modo esplicito nel contratto di avvalimento oppure possano essere desunti dall’interpretazione complessiva del contratto; 3) se l’istituto del soccorso istruttorio, come disciplinato dopo le novità introdotte dal d.l. 90/2014, possa essere utilizzato anche con riferimento ad incompletezze del contratto di avvalimento che, sotto un profilo civilistico, portano ad affermare la nullità del negozio per mancanza di determinatezza del suo oggetto” </w:t>
      </w:r>
      <w:r w:rsidRPr="000A1024">
        <w:rPr>
          <w:rFonts w:ascii="Garamond" w:hAnsi="Garamond"/>
        </w:rPr>
        <w:t>(C.G.A.R.S., Sez. giur., ord. n. 52/2016</w:t>
      </w:r>
      <w:r>
        <w:rPr>
          <w:rFonts w:ascii="Garamond" w:hAnsi="Garamond"/>
        </w:rPr>
        <w:t>, cit</w:t>
      </w:r>
      <w:r w:rsidRPr="000A1024">
        <w:rPr>
          <w:rFonts w:ascii="Garamond" w:hAnsi="Garamond"/>
        </w:rPr>
        <w:t>).</w:t>
      </w:r>
    </w:p>
  </w:footnote>
  <w:footnote w:id="15">
    <w:p w14:paraId="3E4D5237" w14:textId="7B1D2A12" w:rsidR="00961B0C" w:rsidRPr="000A1024" w:rsidRDefault="00961B0C" w:rsidP="004C5160">
      <w:pPr>
        <w:pStyle w:val="Testonotaapidipagina"/>
        <w:jc w:val="both"/>
        <w:rPr>
          <w:rFonts w:ascii="Garamond" w:hAnsi="Garamond"/>
        </w:rPr>
      </w:pPr>
      <w:r w:rsidRPr="000A1024">
        <w:rPr>
          <w:rStyle w:val="Rimandonotaapidipagina"/>
          <w:rFonts w:ascii="Garamond" w:hAnsi="Garamond"/>
          <w:sz w:val="20"/>
        </w:rPr>
        <w:footnoteRef/>
      </w:r>
      <w:r w:rsidRPr="000A1024">
        <w:rPr>
          <w:rFonts w:ascii="Garamond" w:hAnsi="Garamond"/>
        </w:rPr>
        <w:t xml:space="preserve"> C.d.S. Ad. Plenaria, n. 23/2016, cit.</w:t>
      </w:r>
    </w:p>
  </w:footnote>
  <w:footnote w:id="16">
    <w:p w14:paraId="43A12E64" w14:textId="28E3DF04" w:rsidR="00961B0C" w:rsidRPr="00460B5C" w:rsidRDefault="00961B0C" w:rsidP="004C5160">
      <w:pPr>
        <w:pStyle w:val="Testonotaapidipagina"/>
        <w:jc w:val="both"/>
        <w:rPr>
          <w:rFonts w:ascii="Garamond" w:hAnsi="Garamond"/>
        </w:rPr>
      </w:pPr>
      <w:r w:rsidRPr="000A1024">
        <w:rPr>
          <w:rStyle w:val="Rimandonotaapidipagina"/>
          <w:rFonts w:ascii="Garamond" w:hAnsi="Garamond"/>
          <w:sz w:val="20"/>
        </w:rPr>
        <w:footnoteRef/>
      </w:r>
      <w:r w:rsidRPr="000A1024">
        <w:rPr>
          <w:rFonts w:ascii="Garamond" w:hAnsi="Garamond"/>
        </w:rPr>
        <w:t xml:space="preserve"> La tesi a cui era approdato il Consiglio di Stato poggiava le basi sull’assunto per cui: “</w:t>
      </w:r>
      <w:r w:rsidRPr="000A1024">
        <w:rPr>
          <w:rFonts w:ascii="Garamond" w:hAnsi="Garamond"/>
          <w:i/>
        </w:rPr>
        <w:t xml:space="preserve">che anche a ritenere (ipotesi qui denegata) che il </w:t>
      </w:r>
      <w:r w:rsidRPr="00460B5C">
        <w:rPr>
          <w:rFonts w:ascii="Garamond" w:hAnsi="Garamond"/>
          <w:i/>
        </w:rPr>
        <w:t>Legislatore possa in astratto introdurre forme di nullità di protezione a tutela dei requisiti di ‘forma-contenuto’ del contratto di avvalimento, ciò sarebbe possibile solo </w:t>
      </w:r>
      <w:r w:rsidRPr="00460B5C">
        <w:rPr>
          <w:rFonts w:ascii="Garamond" w:hAnsi="Garamond"/>
          <w:i/>
          <w:iCs/>
        </w:rPr>
        <w:t>de iure condendo</w:t>
      </w:r>
      <w:r w:rsidRPr="00460B5C">
        <w:rPr>
          <w:rFonts w:ascii="Garamond" w:hAnsi="Garamond"/>
          <w:i/>
        </w:rPr>
        <w:t>, laddove – al contrario – la disamina puntuale delle disposizioni che qui rilevano (e, segnatamente, degli articoli 49 e 50 del previgente ‘Codice dei contratti’, così come dell’articolo 88 del previgente ‘Regolamento’) non conforta affatto la tesi prospettata con il grado di chiarezza e tassatività che – al contrario – l’imposizione di così stringenti vincoli formali avrebbe imposto in modo indefettibile</w:t>
      </w:r>
      <w:r w:rsidRPr="00460B5C">
        <w:rPr>
          <w:rFonts w:ascii="Garamond" w:hAnsi="Garamond"/>
        </w:rPr>
        <w:t>” (par. 5.5, C.d.S., Ad. Plenaria, n. 23/2016, cit.).</w:t>
      </w:r>
    </w:p>
  </w:footnote>
  <w:footnote w:id="17">
    <w:p w14:paraId="143D1A7C" w14:textId="77777777" w:rsidR="00716A02" w:rsidRPr="00460B5C" w:rsidRDefault="00716A02" w:rsidP="00716A02">
      <w:pPr>
        <w:pStyle w:val="Testonotaapidipagina"/>
        <w:jc w:val="both"/>
        <w:rPr>
          <w:rFonts w:ascii="Garamond" w:hAnsi="Garamond"/>
        </w:rPr>
      </w:pPr>
      <w:r w:rsidRPr="00460B5C">
        <w:rPr>
          <w:rStyle w:val="Rimandonotaapidipagina"/>
          <w:rFonts w:ascii="Garamond" w:hAnsi="Garamond"/>
          <w:sz w:val="20"/>
        </w:rPr>
        <w:footnoteRef/>
      </w:r>
      <w:r w:rsidRPr="00460B5C">
        <w:rPr>
          <w:rFonts w:ascii="Garamond" w:hAnsi="Garamond"/>
        </w:rPr>
        <w:t xml:space="preserve"> Vedasi, la sentenza del Consiglio di Stato</w:t>
      </w:r>
      <w:r>
        <w:rPr>
          <w:rFonts w:ascii="Garamond" w:hAnsi="Garamond"/>
        </w:rPr>
        <w:t>, Sez. V, sent.</w:t>
      </w:r>
      <w:r w:rsidRPr="00460B5C">
        <w:rPr>
          <w:rFonts w:ascii="Garamond" w:hAnsi="Garamond"/>
        </w:rPr>
        <w:t xml:space="preserve"> 25.7.2019</w:t>
      </w:r>
      <w:r>
        <w:rPr>
          <w:rFonts w:ascii="Garamond" w:hAnsi="Garamond"/>
        </w:rPr>
        <w:t xml:space="preserve">, </w:t>
      </w:r>
      <w:r w:rsidRPr="00460B5C">
        <w:rPr>
          <w:rFonts w:ascii="Garamond" w:hAnsi="Garamond"/>
        </w:rPr>
        <w:t>n. 5257, secondo cui, con riguardo all’avvalimento operativo, “</w:t>
      </w:r>
      <w:r w:rsidRPr="00460B5C">
        <w:rPr>
          <w:rFonts w:ascii="Garamond" w:hAnsi="Garamond"/>
          <w:i/>
        </w:rPr>
        <w:t>è imposto alle parti di indicare nel contratto i mezzi aziendali messi a disposizione dell'ausiliata per eseguire l'appalto con la precisazione di cui Cons. Stato, Ad. plen., 4.11.2016, n. 23</w:t>
      </w:r>
      <w:r w:rsidRPr="00460B5C">
        <w:rPr>
          <w:rFonts w:ascii="Garamond" w:hAnsi="Garamond"/>
        </w:rPr>
        <w:t xml:space="preserve">”. Si confronti anche C.d.S., </w:t>
      </w:r>
      <w:r>
        <w:rPr>
          <w:rFonts w:ascii="Garamond" w:hAnsi="Garamond"/>
        </w:rPr>
        <w:t>S</w:t>
      </w:r>
      <w:r w:rsidRPr="00460B5C">
        <w:rPr>
          <w:rFonts w:ascii="Garamond" w:hAnsi="Garamond"/>
        </w:rPr>
        <w:t xml:space="preserve">ez. V, </w:t>
      </w:r>
      <w:r>
        <w:rPr>
          <w:rFonts w:ascii="Garamond" w:hAnsi="Garamond"/>
        </w:rPr>
        <w:t xml:space="preserve">sent. </w:t>
      </w:r>
      <w:r w:rsidRPr="00460B5C">
        <w:rPr>
          <w:rFonts w:ascii="Garamond" w:hAnsi="Garamond"/>
        </w:rPr>
        <w:t>19.7.2018, n. 4396</w:t>
      </w:r>
      <w:r>
        <w:rPr>
          <w:rFonts w:ascii="Garamond" w:hAnsi="Garamond"/>
        </w:rPr>
        <w:t>.</w:t>
      </w:r>
    </w:p>
  </w:footnote>
  <w:footnote w:id="18">
    <w:p w14:paraId="32B19D02" w14:textId="1581F91B" w:rsidR="00961B0C" w:rsidRDefault="00961B0C" w:rsidP="004C5160">
      <w:pPr>
        <w:pStyle w:val="Testonotaapidipagina"/>
        <w:jc w:val="both"/>
        <w:rPr>
          <w:rFonts w:ascii="Garamond" w:hAnsi="Garamond"/>
        </w:rPr>
      </w:pPr>
      <w:r w:rsidRPr="00460B5C">
        <w:rPr>
          <w:rStyle w:val="Rimandonotaapidipagina"/>
          <w:rFonts w:ascii="Garamond" w:hAnsi="Garamond"/>
          <w:sz w:val="20"/>
        </w:rPr>
        <w:footnoteRef/>
      </w:r>
      <w:r w:rsidRPr="00460B5C">
        <w:rPr>
          <w:rFonts w:ascii="Garamond" w:hAnsi="Garamond"/>
        </w:rPr>
        <w:t xml:space="preserve"> </w:t>
      </w:r>
      <w:r>
        <w:rPr>
          <w:rFonts w:ascii="Garamond" w:hAnsi="Garamond"/>
        </w:rPr>
        <w:t xml:space="preserve">La </w:t>
      </w:r>
      <w:r w:rsidRPr="00460B5C">
        <w:rPr>
          <w:rFonts w:ascii="Garamond" w:hAnsi="Garamond"/>
        </w:rPr>
        <w:t xml:space="preserve">legge delega n. 11 del 2016 per l’emanazione del nuovo Codice dei contratti pubblici  </w:t>
      </w:r>
      <w:r>
        <w:rPr>
          <w:rFonts w:ascii="Garamond" w:hAnsi="Garamond"/>
        </w:rPr>
        <w:t xml:space="preserve">per l’appunto </w:t>
      </w:r>
      <w:r w:rsidRPr="00460B5C">
        <w:rPr>
          <w:rFonts w:ascii="Garamond" w:hAnsi="Garamond"/>
        </w:rPr>
        <w:t>reca</w:t>
      </w:r>
      <w:r>
        <w:rPr>
          <w:rFonts w:ascii="Garamond" w:hAnsi="Garamond"/>
        </w:rPr>
        <w:t xml:space="preserve"> </w:t>
      </w:r>
      <w:r w:rsidRPr="00460B5C">
        <w:rPr>
          <w:rFonts w:ascii="Garamond" w:hAnsi="Garamond"/>
        </w:rPr>
        <w:t xml:space="preserve">uno specifico criterio di delega in tema di avvalimento (criterio </w:t>
      </w:r>
      <w:r w:rsidRPr="00961B0C">
        <w:rPr>
          <w:rFonts w:ascii="Garamond" w:hAnsi="Garamond"/>
          <w:i/>
        </w:rPr>
        <w:t>zz</w:t>
      </w:r>
      <w:r w:rsidRPr="00460B5C">
        <w:rPr>
          <w:rFonts w:ascii="Garamond" w:hAnsi="Garamond"/>
        </w:rPr>
        <w:t>) in</w:t>
      </w:r>
      <w:r w:rsidRPr="000A1024">
        <w:rPr>
          <w:rFonts w:ascii="Garamond" w:hAnsi="Garamond"/>
        </w:rPr>
        <w:t xml:space="preserve"> cui espressamente </w:t>
      </w:r>
      <w:r>
        <w:rPr>
          <w:rFonts w:ascii="Garamond" w:hAnsi="Garamond"/>
        </w:rPr>
        <w:t>si dispone che</w:t>
      </w:r>
      <w:r w:rsidRPr="000A1024">
        <w:rPr>
          <w:rFonts w:ascii="Garamond" w:hAnsi="Garamond"/>
        </w:rPr>
        <w:t xml:space="preserve"> “ </w:t>
      </w:r>
      <w:r w:rsidRPr="000A1024">
        <w:rPr>
          <w:rFonts w:ascii="Garamond" w:hAnsi="Garamond"/>
          <w:i/>
        </w:rPr>
        <w:t>(…) si imponesse l’indicazione dettagliata nel contratto di avvalimento delle risorse e dei mezzi prestati; si rafforzassero gli strumenti di verifica circa l’effettivo possesso dei requisiti e delle risorse oggetto di avvalimento da parte dell’impresa ausiliaria, ‘nonché circa l’effettivo impiego delle risorse medesime nell’esecuzione dell’appalto</w:t>
      </w:r>
      <w:r w:rsidRPr="000A1024">
        <w:rPr>
          <w:rFonts w:ascii="Garamond" w:hAnsi="Garamond"/>
        </w:rPr>
        <w:t>”.</w:t>
      </w:r>
    </w:p>
    <w:p w14:paraId="3A488744" w14:textId="363E418C" w:rsidR="00961B0C" w:rsidRPr="000A1024" w:rsidRDefault="00961B0C" w:rsidP="004C5160">
      <w:pPr>
        <w:pStyle w:val="Testonotaapidipagina"/>
        <w:jc w:val="both"/>
        <w:rPr>
          <w:rFonts w:ascii="Garamond" w:hAnsi="Garamond"/>
        </w:rPr>
      </w:pPr>
      <w:r w:rsidRPr="000A1024">
        <w:rPr>
          <w:rFonts w:ascii="Garamond" w:hAnsi="Garamond"/>
        </w:rPr>
        <w:t xml:space="preserve">Sul carattere di effettività dell’avvalimento, cfr. </w:t>
      </w:r>
      <w:r w:rsidRPr="000A1024">
        <w:rPr>
          <w:rFonts w:ascii="Garamond" w:hAnsi="Garamond"/>
          <w:i/>
        </w:rPr>
        <w:t>ex multis</w:t>
      </w:r>
      <w:r w:rsidRPr="000A1024">
        <w:rPr>
          <w:rFonts w:ascii="Garamond" w:hAnsi="Garamond"/>
        </w:rPr>
        <w:t xml:space="preserve"> C.d.S., Adunanza Plenaria </w:t>
      </w:r>
      <w:r w:rsidRPr="00961B0C">
        <w:rPr>
          <w:rFonts w:ascii="Garamond" w:hAnsi="Garamond"/>
        </w:rPr>
        <w:t xml:space="preserve">4.11.2016, n. 23, cit.; Sez. </w:t>
      </w:r>
      <w:r w:rsidRPr="000A1024">
        <w:rPr>
          <w:rFonts w:ascii="Garamond" w:hAnsi="Garamond"/>
          <w:lang w:val="en-US"/>
        </w:rPr>
        <w:t xml:space="preserve">V, sent. 5.4.2019, n. 2243; Sez. III, sent. 15.5.2018, n. 2894; Sez. V, sent. 22.1.2015, n. 275; sent. 23.10.2014, n. 5244; Sez. VI, sent. 13.6.2013, n. 7755; C.d.S., Sez. </w:t>
      </w:r>
      <w:r w:rsidRPr="000A1024">
        <w:rPr>
          <w:rFonts w:ascii="Garamond" w:hAnsi="Garamond"/>
        </w:rPr>
        <w:t>III, sent. 18.4.2011, n. 2344.</w:t>
      </w:r>
    </w:p>
    <w:p w14:paraId="6ABA1050" w14:textId="71A74EB6" w:rsidR="00961B0C" w:rsidRPr="000A1024" w:rsidRDefault="00961B0C" w:rsidP="004C5160">
      <w:pPr>
        <w:pStyle w:val="Testonotaapidipagina"/>
        <w:jc w:val="both"/>
        <w:rPr>
          <w:rFonts w:ascii="Garamond" w:hAnsi="Garamond"/>
        </w:rPr>
      </w:pPr>
      <w:r w:rsidRPr="000A1024">
        <w:rPr>
          <w:rFonts w:ascii="Garamond" w:hAnsi="Garamond"/>
        </w:rPr>
        <w:t xml:space="preserve">TAR </w:t>
      </w:r>
      <w:r>
        <w:rPr>
          <w:rFonts w:ascii="Garamond" w:hAnsi="Garamond"/>
        </w:rPr>
        <w:t>Lazio</w:t>
      </w:r>
      <w:r w:rsidRPr="000A1024">
        <w:rPr>
          <w:rFonts w:ascii="Garamond" w:hAnsi="Garamond"/>
        </w:rPr>
        <w:t>, sent. 5880/2019, cit.:</w:t>
      </w:r>
      <w:r w:rsidRPr="000A1024">
        <w:rPr>
          <w:rFonts w:ascii="Garamond" w:hAnsi="Garamond"/>
          <w:i/>
        </w:rPr>
        <w:t xml:space="preserve"> “La ratio cui risponde tale orientamento giurisprudenziale è quella, oramai generalmente riconosciuta, di evitare che il rapporto di avvalimento si trasformi in una sorta di </w:t>
      </w:r>
      <w:r>
        <w:rPr>
          <w:rFonts w:ascii="Garamond" w:hAnsi="Garamond"/>
          <w:i/>
        </w:rPr>
        <w:t>‘</w:t>
      </w:r>
      <w:r w:rsidRPr="000A1024">
        <w:rPr>
          <w:rFonts w:ascii="Garamond" w:hAnsi="Garamond"/>
          <w:i/>
        </w:rPr>
        <w:t>scatola vuota</w:t>
      </w:r>
      <w:r>
        <w:rPr>
          <w:rFonts w:ascii="Garamond" w:hAnsi="Garamond"/>
          <w:i/>
        </w:rPr>
        <w:t>’</w:t>
      </w:r>
      <w:r w:rsidRPr="000A1024">
        <w:rPr>
          <w:rFonts w:ascii="Garamond" w:hAnsi="Garamond"/>
          <w:i/>
        </w:rPr>
        <w:t xml:space="preserve">, atteso che </w:t>
      </w:r>
      <w:r>
        <w:rPr>
          <w:rFonts w:ascii="Garamond" w:hAnsi="Garamond"/>
          <w:i/>
        </w:rPr>
        <w:t>‘</w:t>
      </w:r>
      <w:r w:rsidRPr="000A1024">
        <w:rPr>
          <w:rFonts w:ascii="Garamond" w:hAnsi="Garamond"/>
          <w:i/>
        </w:rPr>
        <w:t xml:space="preserve">l’avvalimento, per com’è configurato dalla legge, deve essere reale e non astratto, cioè non è sufficiente </w:t>
      </w:r>
      <w:r>
        <w:rPr>
          <w:rFonts w:ascii="Garamond" w:hAnsi="Garamond"/>
          <w:i/>
        </w:rPr>
        <w:t>‘</w:t>
      </w:r>
      <w:r w:rsidRPr="000A1024">
        <w:rPr>
          <w:rFonts w:ascii="Garamond" w:hAnsi="Garamond"/>
          <w:i/>
        </w:rPr>
        <w:t>prestare</w:t>
      </w:r>
      <w:r>
        <w:rPr>
          <w:rFonts w:ascii="Garamond" w:hAnsi="Garamond"/>
          <w:i/>
        </w:rPr>
        <w:t>’</w:t>
      </w:r>
      <w:r w:rsidRPr="000A1024">
        <w:rPr>
          <w:rFonts w:ascii="Garamond" w:hAnsi="Garamond"/>
          <w:i/>
        </w:rPr>
        <w:t xml:space="preserve"> il requisito o la certificazione posseduta ed al contempo assumere sul punto impegni del tutto generici, a pena di svuotare di significato l’essenza dell'istituto […]</w:t>
      </w:r>
      <w:r>
        <w:rPr>
          <w:rFonts w:ascii="Garamond" w:hAnsi="Garamond"/>
          <w:i/>
        </w:rPr>
        <w:t>’</w:t>
      </w:r>
      <w:r w:rsidRPr="000A1024">
        <w:rPr>
          <w:rFonts w:ascii="Garamond" w:hAnsi="Garamond"/>
          <w:i/>
        </w:rPr>
        <w:t xml:space="preserve"> (cfr. così Cons. Stato, III, 12 novembre 2014, n. 5573, richiamata di recente da Cons. Stato, III, 5 marzo 2018, n. 1338; ancor più recentemente vedi Cons. Stato, V, 30 gennaio 2019, n. 755)”.</w:t>
      </w:r>
    </w:p>
  </w:footnote>
  <w:footnote w:id="19">
    <w:p w14:paraId="7C81FC14" w14:textId="50340E28" w:rsidR="00961B0C" w:rsidRPr="00E633EC" w:rsidRDefault="00961B0C" w:rsidP="004C5160">
      <w:pPr>
        <w:pStyle w:val="Testonotaapidipagina"/>
        <w:jc w:val="both"/>
        <w:rPr>
          <w:rFonts w:ascii="Garamond" w:hAnsi="Garamond"/>
          <w:lang w:val="en-US"/>
        </w:rPr>
      </w:pPr>
      <w:r w:rsidRPr="000A1024">
        <w:rPr>
          <w:rStyle w:val="Rimandonotaapidipagina"/>
          <w:rFonts w:ascii="Garamond" w:hAnsi="Garamond"/>
          <w:sz w:val="20"/>
        </w:rPr>
        <w:footnoteRef/>
      </w:r>
      <w:r w:rsidRPr="000A1024">
        <w:rPr>
          <w:rFonts w:ascii="Garamond" w:hAnsi="Garamond"/>
        </w:rPr>
        <w:t xml:space="preserve"> In questi termini, C.d.S., Sez. </w:t>
      </w:r>
      <w:r w:rsidRPr="000A1024">
        <w:rPr>
          <w:rFonts w:ascii="Garamond" w:hAnsi="Garamond"/>
          <w:lang w:val="en-US"/>
        </w:rPr>
        <w:t xml:space="preserve">V, sent. </w:t>
      </w:r>
      <w:r w:rsidRPr="00E633EC">
        <w:rPr>
          <w:rFonts w:ascii="Garamond" w:hAnsi="Garamond"/>
          <w:lang w:val="en-US"/>
        </w:rPr>
        <w:t>30.1.2019, n. 755; sent. 6.8.2012, n. 4510.</w:t>
      </w:r>
    </w:p>
  </w:footnote>
  <w:footnote w:id="20">
    <w:p w14:paraId="0D628F5D" w14:textId="1B677457" w:rsidR="00961B0C" w:rsidRPr="00961B0C" w:rsidRDefault="00961B0C" w:rsidP="00961B0C">
      <w:pPr>
        <w:pStyle w:val="Testonotaapidipagina"/>
        <w:jc w:val="both"/>
        <w:rPr>
          <w:rFonts w:ascii="Garamond" w:hAnsi="Garamond"/>
        </w:rPr>
      </w:pPr>
      <w:r w:rsidRPr="00D85ADD">
        <w:rPr>
          <w:rStyle w:val="Rimandonotaapidipagina"/>
          <w:rFonts w:ascii="Garamond" w:hAnsi="Garamond"/>
        </w:rPr>
        <w:footnoteRef/>
      </w:r>
      <w:r w:rsidRPr="00876DC4">
        <w:rPr>
          <w:rFonts w:ascii="Garamond" w:hAnsi="Garamond"/>
          <w:lang w:val="en-US"/>
        </w:rPr>
        <w:t xml:space="preserve"> Cfr. </w:t>
      </w:r>
      <w:r>
        <w:rPr>
          <w:rFonts w:ascii="Garamond" w:hAnsi="Garamond"/>
          <w:lang w:val="en-US"/>
        </w:rPr>
        <w:t>C.d.S.</w:t>
      </w:r>
      <w:r w:rsidRPr="00876DC4">
        <w:rPr>
          <w:rFonts w:ascii="Garamond" w:hAnsi="Garamond"/>
          <w:lang w:val="en-US"/>
        </w:rPr>
        <w:t xml:space="preserve"> Ad. </w:t>
      </w:r>
      <w:r w:rsidRPr="00D85ADD">
        <w:rPr>
          <w:rFonts w:ascii="Garamond" w:hAnsi="Garamond"/>
          <w:lang w:val="en-US"/>
        </w:rPr>
        <w:t>Plen. 4.11.2016, n. 23</w:t>
      </w:r>
      <w:r>
        <w:rPr>
          <w:rFonts w:ascii="Garamond" w:hAnsi="Garamond"/>
          <w:lang w:val="en-US"/>
        </w:rPr>
        <w:t>, cit.</w:t>
      </w:r>
      <w:r w:rsidRPr="00D85ADD">
        <w:rPr>
          <w:rFonts w:ascii="Garamond" w:hAnsi="Garamond"/>
          <w:lang w:val="en-US"/>
        </w:rPr>
        <w:t>;</w:t>
      </w:r>
      <w:r>
        <w:rPr>
          <w:rFonts w:ascii="Garamond" w:hAnsi="Garamond"/>
          <w:lang w:val="en-US"/>
        </w:rPr>
        <w:t xml:space="preserve"> Sez.</w:t>
      </w:r>
      <w:r w:rsidRPr="00D85ADD">
        <w:rPr>
          <w:rFonts w:ascii="Garamond" w:hAnsi="Garamond"/>
          <w:lang w:val="en-US"/>
        </w:rPr>
        <w:t xml:space="preserve"> V, </w:t>
      </w:r>
      <w:r>
        <w:rPr>
          <w:rFonts w:ascii="Garamond" w:hAnsi="Garamond"/>
          <w:lang w:val="en-US"/>
        </w:rPr>
        <w:t xml:space="preserve">sent. </w:t>
      </w:r>
      <w:r w:rsidRPr="00D85ADD">
        <w:rPr>
          <w:rFonts w:ascii="Garamond" w:hAnsi="Garamond"/>
          <w:lang w:val="en-US"/>
        </w:rPr>
        <w:t xml:space="preserve">16.7.2018, n. 4329; </w:t>
      </w:r>
      <w:r>
        <w:rPr>
          <w:rFonts w:ascii="Garamond" w:hAnsi="Garamond"/>
          <w:lang w:val="en-US"/>
        </w:rPr>
        <w:t>sent.</w:t>
      </w:r>
      <w:r w:rsidRPr="00D85ADD">
        <w:rPr>
          <w:rFonts w:ascii="Garamond" w:hAnsi="Garamond"/>
          <w:lang w:val="en-US"/>
        </w:rPr>
        <w:t xml:space="preserve"> 26.11.2018, n. 6690; </w:t>
      </w:r>
      <w:r>
        <w:rPr>
          <w:rFonts w:ascii="Garamond" w:hAnsi="Garamond"/>
          <w:lang w:val="en-US"/>
        </w:rPr>
        <w:t>sent.</w:t>
      </w:r>
      <w:r w:rsidRPr="00D85ADD">
        <w:rPr>
          <w:rFonts w:ascii="Garamond" w:hAnsi="Garamond"/>
          <w:lang w:val="en-US"/>
        </w:rPr>
        <w:t xml:space="preserve"> </w:t>
      </w:r>
      <w:r w:rsidRPr="00961B0C">
        <w:rPr>
          <w:rFonts w:ascii="Garamond" w:hAnsi="Garamond"/>
        </w:rPr>
        <w:t>10.4.2020, n. 2359.</w:t>
      </w:r>
    </w:p>
  </w:footnote>
  <w:footnote w:id="21">
    <w:p w14:paraId="0D620ACC" w14:textId="3A550643" w:rsidR="00961B0C" w:rsidRPr="000A1024" w:rsidRDefault="00961B0C" w:rsidP="004C5160">
      <w:pPr>
        <w:pStyle w:val="Testonotaapidipagina"/>
        <w:jc w:val="both"/>
        <w:rPr>
          <w:rFonts w:ascii="Garamond" w:hAnsi="Garamond"/>
        </w:rPr>
      </w:pPr>
      <w:r w:rsidRPr="000A1024">
        <w:rPr>
          <w:rStyle w:val="Rimandonotaapidipagina"/>
          <w:rFonts w:ascii="Garamond" w:hAnsi="Garamond"/>
          <w:sz w:val="20"/>
        </w:rPr>
        <w:footnoteRef/>
      </w:r>
      <w:r w:rsidRPr="000A1024">
        <w:rPr>
          <w:rFonts w:ascii="Garamond" w:hAnsi="Garamond"/>
        </w:rPr>
        <w:t xml:space="preserve"> Sul carattere di effettività con specifico riferimento all’avvalimento cd. di garanzia cfr. C.d.S., </w:t>
      </w:r>
      <w:r>
        <w:rPr>
          <w:rFonts w:ascii="Garamond" w:hAnsi="Garamond"/>
        </w:rPr>
        <w:t>S</w:t>
      </w:r>
      <w:r w:rsidRPr="000A1024">
        <w:rPr>
          <w:rFonts w:ascii="Garamond" w:hAnsi="Garamond"/>
        </w:rPr>
        <w:t>ez. III, sent. 5.3.2018, n.</w:t>
      </w:r>
      <w:r>
        <w:rPr>
          <w:rFonts w:ascii="Garamond" w:hAnsi="Garamond"/>
        </w:rPr>
        <w:t xml:space="preserve"> </w:t>
      </w:r>
      <w:r w:rsidRPr="000A1024">
        <w:rPr>
          <w:rFonts w:ascii="Garamond" w:hAnsi="Garamond"/>
        </w:rPr>
        <w:t xml:space="preserve">1339; </w:t>
      </w:r>
      <w:r>
        <w:rPr>
          <w:rFonts w:ascii="Garamond" w:hAnsi="Garamond"/>
        </w:rPr>
        <w:t>S</w:t>
      </w:r>
      <w:r w:rsidRPr="000A1024">
        <w:rPr>
          <w:rFonts w:ascii="Garamond" w:hAnsi="Garamond"/>
        </w:rPr>
        <w:t>ez. V, sent. 22.11.2017, n. 5429.</w:t>
      </w:r>
    </w:p>
    <w:p w14:paraId="0544DFF2" w14:textId="62FC50EF" w:rsidR="00961B0C" w:rsidRPr="000A1024" w:rsidRDefault="00961B0C" w:rsidP="004C5160">
      <w:pPr>
        <w:pStyle w:val="Testonotaapidipagina"/>
        <w:jc w:val="both"/>
        <w:rPr>
          <w:rFonts w:ascii="Garamond" w:hAnsi="Garamond"/>
        </w:rPr>
      </w:pPr>
      <w:r w:rsidRPr="000A1024">
        <w:rPr>
          <w:rFonts w:ascii="Garamond" w:hAnsi="Garamond"/>
        </w:rPr>
        <w:t>In senso contrario: T</w:t>
      </w:r>
      <w:r>
        <w:rPr>
          <w:rFonts w:ascii="Garamond" w:hAnsi="Garamond"/>
        </w:rPr>
        <w:t>.</w:t>
      </w:r>
      <w:r w:rsidRPr="000A1024">
        <w:rPr>
          <w:rFonts w:ascii="Garamond" w:hAnsi="Garamond"/>
        </w:rPr>
        <w:t>R</w:t>
      </w:r>
      <w:r>
        <w:rPr>
          <w:rFonts w:ascii="Garamond" w:hAnsi="Garamond"/>
        </w:rPr>
        <w:t>.</w:t>
      </w:r>
      <w:r w:rsidRPr="000A1024">
        <w:rPr>
          <w:rFonts w:ascii="Garamond" w:hAnsi="Garamond"/>
        </w:rPr>
        <w:t>G</w:t>
      </w:r>
      <w:r>
        <w:rPr>
          <w:rFonts w:ascii="Garamond" w:hAnsi="Garamond"/>
        </w:rPr>
        <w:t>.</w:t>
      </w:r>
      <w:r w:rsidRPr="000A1024">
        <w:rPr>
          <w:rFonts w:ascii="Garamond" w:hAnsi="Garamond"/>
        </w:rPr>
        <w:t>A</w:t>
      </w:r>
      <w:r>
        <w:rPr>
          <w:rFonts w:ascii="Garamond" w:hAnsi="Garamond"/>
        </w:rPr>
        <w:t>.</w:t>
      </w:r>
      <w:r w:rsidRPr="000A1024">
        <w:rPr>
          <w:rFonts w:ascii="Garamond" w:hAnsi="Garamond"/>
        </w:rPr>
        <w:t xml:space="preserve"> Trento, sent. </w:t>
      </w:r>
      <w:r w:rsidRPr="00961B0C">
        <w:rPr>
          <w:rFonts w:ascii="Garamond" w:hAnsi="Garamond"/>
        </w:rPr>
        <w:t xml:space="preserve">11.06.2018 n. 128; C.d.S., Sez. V, sent. </w:t>
      </w:r>
      <w:r w:rsidRPr="000A1024">
        <w:rPr>
          <w:rFonts w:ascii="Garamond" w:hAnsi="Garamond"/>
        </w:rPr>
        <w:t>28.2.2018, n. 1216 che dopo aver precisato la distinzione tra avvalimento di garanzia ed avvalimento tecnico ha aggiunto che “</w:t>
      </w:r>
      <w:r w:rsidRPr="000A1024">
        <w:rPr>
          <w:rFonts w:ascii="Garamond" w:hAnsi="Garamond"/>
          <w:i/>
        </w:rPr>
        <w:t xml:space="preserve">nel primo caso (in cui l’impresa ausiliaria si limita a </w:t>
      </w:r>
      <w:r>
        <w:rPr>
          <w:rFonts w:ascii="Garamond" w:hAnsi="Garamond"/>
          <w:i/>
        </w:rPr>
        <w:t>‘</w:t>
      </w:r>
      <w:r w:rsidRPr="000A1024">
        <w:rPr>
          <w:rFonts w:ascii="Garamond" w:hAnsi="Garamond"/>
          <w:i/>
        </w:rPr>
        <w:t>mettere a disposizione</w:t>
      </w:r>
      <w:r>
        <w:rPr>
          <w:rFonts w:ascii="Garamond" w:hAnsi="Garamond"/>
          <w:i/>
        </w:rPr>
        <w:t>’</w:t>
      </w:r>
      <w:r w:rsidRPr="000A1024">
        <w:rPr>
          <w:rFonts w:ascii="Garamond" w:hAnsi="Garamond"/>
          <w:i/>
        </w:rPr>
        <w:t xml:space="preserve"> il suo valore aggiunto in termini di solidità finanziaria e di acclarata esperienza di settore), non è, in via di principio, necessario che la dichiarazione negoziale costitutiva dell’impegno contrattuale si riferisca a specifici beni patrimoniali o ad indici materiali atti ad esprimere una certa e determinata consistenza patrimoniale e, dunque, alla messa a disposizione di beni da descrivere ed individuare con precisione, ma è sufficiente che dalla ridetta dichiarazione emerga l’impegno contrattuale a prestare ed a mettere a disposizione dell’ausiliata la complessiva solidità finanziaria ed il patrimonio esperienziale, così garantendo una determinata affidabilità e un concreto supplemento di responsabilità»; di converso «nel caso di avvalimento c.d. tecnico od operativo (che ha ad oggetto requisiti diversi rispetto a quelli di capacità economico-finanziaria) sussiste sempre l’esigenza di una messa a disposizione in modo specifico di risorse determinate: onde è imposto alle parti di indicare con precisione i mezzi aziendali messi a disposizione dell’ausiliata per eseguire l’appalto</w:t>
      </w:r>
      <w:r w:rsidRPr="000A1024">
        <w:rPr>
          <w:rFonts w:ascii="Garamond" w:hAnsi="Garamond"/>
        </w:rPr>
        <w:t xml:space="preserve">»”. </w:t>
      </w:r>
      <w:r w:rsidRPr="000A1024">
        <w:rPr>
          <w:rFonts w:ascii="Garamond" w:hAnsi="Garamond"/>
          <w:lang w:val="en-US"/>
        </w:rPr>
        <w:t xml:space="preserve">Cfr. anche C.d.S., Sez. V, sent. 14.5.18, n. 2855; sent. 28.2.18, n. 1216; sent. 30.10.2017, n. 4973; Sez. III, sent. 11.7.2017, n. 3422; Sez. V, sent. </w:t>
      </w:r>
      <w:r w:rsidRPr="000A1024">
        <w:rPr>
          <w:rFonts w:ascii="Garamond" w:hAnsi="Garamond"/>
        </w:rPr>
        <w:t>15.3.2016, n. 1032.</w:t>
      </w:r>
    </w:p>
  </w:footnote>
  <w:footnote w:id="22">
    <w:p w14:paraId="75F7048B" w14:textId="278C5D34" w:rsidR="00961B0C" w:rsidRPr="00460B5C" w:rsidRDefault="00961B0C" w:rsidP="004C5160">
      <w:pPr>
        <w:pStyle w:val="Testonotaapidipagina"/>
        <w:jc w:val="both"/>
        <w:rPr>
          <w:rFonts w:ascii="Garamond" w:hAnsi="Garamond"/>
          <w:iCs/>
        </w:rPr>
      </w:pPr>
      <w:r w:rsidRPr="000A1024">
        <w:rPr>
          <w:rStyle w:val="Rimandonotaapidipagina"/>
          <w:rFonts w:ascii="Garamond" w:hAnsi="Garamond"/>
          <w:sz w:val="20"/>
        </w:rPr>
        <w:footnoteRef/>
      </w:r>
      <w:r w:rsidRPr="000A1024">
        <w:rPr>
          <w:rFonts w:ascii="Garamond" w:hAnsi="Garamond"/>
        </w:rPr>
        <w:t xml:space="preserve"> </w:t>
      </w:r>
      <w:r>
        <w:rPr>
          <w:rFonts w:ascii="Garamond" w:hAnsi="Garamond"/>
        </w:rPr>
        <w:t xml:space="preserve">La sentenza n. 852/2017 chiarisce anzitutto alcuni aspetti relativi alla attestazione SOA che </w:t>
      </w:r>
      <w:r>
        <w:rPr>
          <w:rFonts w:ascii="Garamond" w:hAnsi="Garamond"/>
          <w:i/>
          <w:iCs/>
        </w:rPr>
        <w:t>“</w:t>
      </w:r>
      <w:r w:rsidRPr="000A1024">
        <w:rPr>
          <w:rFonts w:ascii="Garamond" w:hAnsi="Garamond"/>
          <w:i/>
          <w:iCs/>
        </w:rPr>
        <w:t xml:space="preserve">è il risultato di una valutazione complessiva dei diversi elementi facenti parte dell'organizzazione aziendale, che non coincide con la semplice sommatoria degli stessi e che non ne consente una considerazione frammentaria. Conseguentemente il contratto di avvalimento finalizzato a fornire all'impresa </w:t>
      </w:r>
      <w:r w:rsidRPr="009403E9">
        <w:rPr>
          <w:rFonts w:ascii="Garamond" w:hAnsi="Garamond"/>
          <w:i/>
          <w:iCs/>
        </w:rPr>
        <w:t xml:space="preserve">ausiliata l'attestazione SOA deve avere ad oggetto il prestito dell'insieme delle risorse e, ai sensi dell'art. 88, comma 1, del D.P.R. n. 207/2010, tale oggetto dev'essere puntualmente determinato ovvero agevolmente determinabile dal tenore complessivo del contratto (Adunanza Plenaria di questo Consiglio di Sta con sentenza 4/11/2016, n. 23). Ma </w:t>
      </w:r>
      <w:r w:rsidRPr="009403E9">
        <w:rPr>
          <w:rFonts w:ascii="Garamond" w:hAnsi="Garamond"/>
          <w:bCs/>
          <w:i/>
          <w:iCs/>
        </w:rPr>
        <w:t xml:space="preserve">qualora l'oggetto non presenti alcun aspetto di indeterminatezza, in quanto determinato o determinabile nel senso sopra descritto, il contratto è comunque inidoneo allo scopo per cui è stato stipulato ovvero per l'acquisizione della qualificazione </w:t>
      </w:r>
      <w:r w:rsidRPr="00460B5C">
        <w:rPr>
          <w:rFonts w:ascii="Garamond" w:hAnsi="Garamond"/>
          <w:bCs/>
          <w:i/>
          <w:iCs/>
        </w:rPr>
        <w:t>mancante, se le risorse “prestate” risultino del tutto insufficienti</w:t>
      </w:r>
      <w:r w:rsidRPr="00460B5C">
        <w:rPr>
          <w:rFonts w:ascii="Garamond" w:hAnsi="Garamond"/>
          <w:i/>
          <w:iCs/>
        </w:rPr>
        <w:t xml:space="preserve">” </w:t>
      </w:r>
      <w:r>
        <w:rPr>
          <w:rFonts w:ascii="Garamond" w:hAnsi="Garamond"/>
          <w:iCs/>
        </w:rPr>
        <w:t>(</w:t>
      </w:r>
      <w:r w:rsidRPr="00460B5C">
        <w:rPr>
          <w:rFonts w:ascii="Garamond" w:hAnsi="Garamond"/>
          <w:iCs/>
        </w:rPr>
        <w:t>C.d.S., sent. 852/2017, cit</w:t>
      </w:r>
      <w:r>
        <w:rPr>
          <w:rFonts w:ascii="Garamond" w:hAnsi="Garamond"/>
          <w:iCs/>
        </w:rPr>
        <w:t>.)</w:t>
      </w:r>
      <w:r w:rsidRPr="00460B5C">
        <w:rPr>
          <w:rFonts w:ascii="Garamond" w:hAnsi="Garamond"/>
          <w:iCs/>
        </w:rPr>
        <w:t>.</w:t>
      </w:r>
    </w:p>
  </w:footnote>
  <w:footnote w:id="23">
    <w:p w14:paraId="1970CE16" w14:textId="01EAD0CD" w:rsidR="00961B0C" w:rsidRPr="00460B5C" w:rsidRDefault="00961B0C" w:rsidP="004C5160">
      <w:pPr>
        <w:pStyle w:val="Testonotaapidipagina"/>
        <w:jc w:val="both"/>
        <w:rPr>
          <w:rFonts w:ascii="Garamond" w:hAnsi="Garamond"/>
        </w:rPr>
      </w:pPr>
      <w:r w:rsidRPr="00460B5C">
        <w:rPr>
          <w:rStyle w:val="Rimandonotaapidipagina"/>
          <w:rFonts w:ascii="Garamond" w:hAnsi="Garamond"/>
          <w:sz w:val="20"/>
        </w:rPr>
        <w:footnoteRef/>
      </w:r>
      <w:r w:rsidRPr="00460B5C">
        <w:rPr>
          <w:rFonts w:ascii="Garamond" w:hAnsi="Garamond"/>
        </w:rPr>
        <w:t xml:space="preserve"> C.d.S., Sez. V, sent. 14.6.2019, n. 4024, in riforma della sentenza TAR </w:t>
      </w:r>
      <w:r>
        <w:rPr>
          <w:rFonts w:ascii="Garamond" w:hAnsi="Garamond"/>
        </w:rPr>
        <w:t xml:space="preserve">Lombardia, </w:t>
      </w:r>
      <w:r w:rsidRPr="00460B5C">
        <w:rPr>
          <w:rFonts w:ascii="Garamond" w:hAnsi="Garamond"/>
        </w:rPr>
        <w:t>Brescia, Sez. I, sent. 10.12.2018, n. 1195.</w:t>
      </w:r>
    </w:p>
  </w:footnote>
  <w:footnote w:id="24">
    <w:p w14:paraId="7D753A0A" w14:textId="687F2C49" w:rsidR="00961B0C" w:rsidRPr="00460B5C" w:rsidRDefault="00961B0C" w:rsidP="004C5160">
      <w:pPr>
        <w:pStyle w:val="Testonotaapidipagina"/>
        <w:contextualSpacing/>
        <w:jc w:val="both"/>
        <w:rPr>
          <w:rFonts w:ascii="Garamond" w:hAnsi="Garamond"/>
        </w:rPr>
      </w:pPr>
      <w:r w:rsidRPr="00460B5C">
        <w:rPr>
          <w:rStyle w:val="Rimandonotaapidipagina"/>
          <w:rFonts w:ascii="Garamond" w:hAnsi="Garamond"/>
          <w:sz w:val="20"/>
        </w:rPr>
        <w:footnoteRef/>
      </w:r>
      <w:r w:rsidRPr="00460B5C">
        <w:rPr>
          <w:rFonts w:ascii="Garamond" w:hAnsi="Garamond"/>
        </w:rPr>
        <w:t xml:space="preserve"> TAR Lombardia</w:t>
      </w:r>
      <w:r>
        <w:rPr>
          <w:rFonts w:ascii="Garamond" w:hAnsi="Garamond"/>
        </w:rPr>
        <w:t>,</w:t>
      </w:r>
      <w:r w:rsidRPr="00460B5C">
        <w:rPr>
          <w:rFonts w:ascii="Garamond" w:hAnsi="Garamond"/>
        </w:rPr>
        <w:t xml:space="preserve"> Brescia, </w:t>
      </w:r>
      <w:r>
        <w:rPr>
          <w:rFonts w:ascii="Garamond" w:hAnsi="Garamond"/>
        </w:rPr>
        <w:t>S</w:t>
      </w:r>
      <w:r w:rsidRPr="00460B5C">
        <w:rPr>
          <w:rFonts w:ascii="Garamond" w:hAnsi="Garamond"/>
        </w:rPr>
        <w:t>ez. I, sent. 10.12.2018, n. 1195: “</w:t>
      </w:r>
      <w:r w:rsidRPr="00460B5C">
        <w:rPr>
          <w:rFonts w:ascii="Garamond" w:hAnsi="Garamond"/>
          <w:i/>
        </w:rPr>
        <w:t>(…) un diversamente limitato apporto, in concreto offerto, di risorse professionali e strumentali, la cui inadeguatezza risalta vieppiù ove si consideri la rilevanza assunta dalla componente strutturale in termini di peso economico rispetto all’intero appalto. (…)’inadeguatezza della dotazione di risorse umane e strumentali, per come illustrata nel contratto di avvalimento all’esame rileva obiettivamente quale elemento di invalidità del predetto strumento contrattuale; conducendo, conseguentemente, alla declaratoria di illegittimità dell’ammissione alla gara della parte controinteressata</w:t>
      </w:r>
      <w:r w:rsidRPr="00460B5C">
        <w:rPr>
          <w:rFonts w:ascii="Garamond" w:hAnsi="Garamond"/>
        </w:rPr>
        <w:t>”.</w:t>
      </w:r>
    </w:p>
  </w:footnote>
  <w:footnote w:id="25">
    <w:p w14:paraId="1D429ACE" w14:textId="71D2CCCD" w:rsidR="00961B0C" w:rsidRPr="00460B5C" w:rsidRDefault="00961B0C" w:rsidP="004C5160">
      <w:pPr>
        <w:pStyle w:val="Testonotaapidipagina"/>
        <w:jc w:val="both"/>
        <w:rPr>
          <w:rFonts w:ascii="Garamond" w:hAnsi="Garamond"/>
          <w:bCs/>
          <w:i/>
        </w:rPr>
      </w:pPr>
      <w:r w:rsidRPr="00460B5C">
        <w:rPr>
          <w:rStyle w:val="Rimandonotaapidipagina"/>
          <w:rFonts w:ascii="Garamond" w:hAnsi="Garamond"/>
          <w:sz w:val="20"/>
        </w:rPr>
        <w:footnoteRef/>
      </w:r>
      <w:r w:rsidRPr="00460B5C">
        <w:rPr>
          <w:rFonts w:ascii="Garamond" w:hAnsi="Garamond"/>
        </w:rPr>
        <w:t xml:space="preserve"> “</w:t>
      </w:r>
      <w:r w:rsidRPr="00460B5C">
        <w:rPr>
          <w:rFonts w:ascii="Garamond" w:hAnsi="Garamond"/>
          <w:bCs/>
          <w:i/>
        </w:rPr>
        <w:t xml:space="preserve">Nel caso di specie, invece, non vi è dubbio che l’ausiliata </w:t>
      </w:r>
      <w:r>
        <w:rPr>
          <w:rFonts w:ascii="Garamond" w:hAnsi="Garamond"/>
          <w:bCs/>
          <w:i/>
        </w:rPr>
        <w:t>…</w:t>
      </w:r>
      <w:r w:rsidRPr="00460B5C">
        <w:rPr>
          <w:rFonts w:ascii="Garamond" w:hAnsi="Garamond"/>
          <w:bCs/>
          <w:i/>
        </w:rPr>
        <w:t>ha speso in gara anche la qualificazione autonomamente posseduta, in relazione alla parte di esecuzione dell’opera di cui trattasi che la capogruppo mandataria, estranea all’avvalimento, non aveva assunto in proprio.</w:t>
      </w:r>
    </w:p>
    <w:p w14:paraId="1F399DCA" w14:textId="33A3F9B9" w:rsidR="00961B0C" w:rsidRDefault="00961B0C" w:rsidP="004C5160">
      <w:pPr>
        <w:pStyle w:val="Testonotaapidipagina"/>
        <w:jc w:val="both"/>
        <w:rPr>
          <w:rFonts w:ascii="Garamond" w:hAnsi="Garamond"/>
        </w:rPr>
      </w:pPr>
      <w:r w:rsidRPr="00460B5C">
        <w:rPr>
          <w:rFonts w:ascii="Garamond" w:hAnsi="Garamond"/>
          <w:bCs/>
          <w:i/>
        </w:rPr>
        <w:t>(…) Alla loro stregua, non è revocabile in dubbio che il contratto di avvalimento in parola è funzionale a colmare la carenza di qualificazione dell’ausiliata siccome delimitata non solo da quanto espressamente dichiarato in sede di partecipazione alla gara, ma anche, in contratto, mediante il riferimento alla “</w:t>
      </w:r>
      <w:r w:rsidRPr="00460B5C">
        <w:rPr>
          <w:rFonts w:ascii="Garamond" w:hAnsi="Garamond"/>
          <w:bCs/>
          <w:i/>
          <w:iCs/>
        </w:rPr>
        <w:t>porzione</w:t>
      </w:r>
      <w:r w:rsidRPr="00460B5C">
        <w:rPr>
          <w:rFonts w:ascii="Garamond" w:hAnsi="Garamond"/>
          <w:bCs/>
          <w:i/>
        </w:rPr>
        <w:t>” o alla “</w:t>
      </w:r>
      <w:r w:rsidRPr="00460B5C">
        <w:rPr>
          <w:rFonts w:ascii="Garamond" w:hAnsi="Garamond"/>
          <w:bCs/>
          <w:i/>
          <w:iCs/>
        </w:rPr>
        <w:t>parte</w:t>
      </w:r>
      <w:r w:rsidRPr="00460B5C">
        <w:rPr>
          <w:rFonts w:ascii="Garamond" w:hAnsi="Garamond"/>
          <w:bCs/>
          <w:i/>
        </w:rPr>
        <w:t xml:space="preserve">” di opera di categoria OG1 per cui la </w:t>
      </w:r>
      <w:r>
        <w:rPr>
          <w:rFonts w:ascii="Garamond" w:hAnsi="Garamond"/>
          <w:bCs/>
          <w:i/>
        </w:rPr>
        <w:t>…</w:t>
      </w:r>
      <w:r w:rsidRPr="00460B5C">
        <w:rPr>
          <w:rFonts w:ascii="Garamond" w:hAnsi="Garamond"/>
          <w:bCs/>
          <w:i/>
        </w:rPr>
        <w:t xml:space="preserve"> non possiede la corrispondente classifica, menzionata negli artt. 1 e 4: </w:t>
      </w:r>
      <w:r w:rsidRPr="00460B5C">
        <w:rPr>
          <w:rFonts w:ascii="Garamond" w:hAnsi="Garamond"/>
          <w:bCs/>
          <w:i/>
          <w:u w:val="single"/>
        </w:rPr>
        <w:t>l’oggetto del prestito va pertanto rapportato al solo segmento dei lavori che quest’ultima non sarebbe stata in grado di eseguire in proprio, e a cui si riferisce la manifestazione, di cui in premessa, della volontà di ricorrere all’avvalimento</w:t>
      </w:r>
      <w:r w:rsidRPr="00460B5C">
        <w:rPr>
          <w:rFonts w:ascii="Garamond" w:hAnsi="Garamond"/>
          <w:bCs/>
          <w:i/>
        </w:rPr>
        <w:t xml:space="preserve">. </w:t>
      </w:r>
      <w:r w:rsidRPr="00460B5C">
        <w:rPr>
          <w:rFonts w:ascii="Garamond" w:hAnsi="Garamond"/>
          <w:bCs/>
          <w:i/>
          <w:iCs/>
        </w:rPr>
        <w:t>(…)</w:t>
      </w:r>
      <w:r w:rsidRPr="00460B5C">
        <w:rPr>
          <w:rFonts w:ascii="Garamond" w:hAnsi="Garamond"/>
          <w:bCs/>
          <w:i/>
        </w:rPr>
        <w:t xml:space="preserve"> le risorse si appalesano infatti del tutto idonee a integrare l’apparato produttivo dell’ausiliata, carente solo in parte della prescritta certificazione di qualità” </w:t>
      </w:r>
      <w:r>
        <w:rPr>
          <w:rFonts w:ascii="Garamond" w:hAnsi="Garamond"/>
          <w:bCs/>
        </w:rPr>
        <w:t>(</w:t>
      </w:r>
      <w:r w:rsidRPr="00460B5C">
        <w:rPr>
          <w:rFonts w:ascii="Garamond" w:hAnsi="Garamond"/>
        </w:rPr>
        <w:t xml:space="preserve">C.d.S. </w:t>
      </w:r>
      <w:r>
        <w:rPr>
          <w:rFonts w:ascii="Garamond" w:hAnsi="Garamond"/>
        </w:rPr>
        <w:t xml:space="preserve">sent. </w:t>
      </w:r>
      <w:r w:rsidRPr="00460B5C">
        <w:rPr>
          <w:rFonts w:ascii="Garamond" w:hAnsi="Garamond"/>
        </w:rPr>
        <w:t>n. 4024/2019</w:t>
      </w:r>
      <w:r>
        <w:rPr>
          <w:rFonts w:ascii="Garamond" w:hAnsi="Garamond"/>
        </w:rPr>
        <w:t>)</w:t>
      </w:r>
      <w:r w:rsidRPr="00460B5C">
        <w:rPr>
          <w:rFonts w:ascii="Garamond" w:hAnsi="Garamond"/>
        </w:rPr>
        <w:t xml:space="preserve">. </w:t>
      </w:r>
    </w:p>
    <w:p w14:paraId="666B3D43" w14:textId="0D93EA92" w:rsidR="00961B0C" w:rsidRPr="00460B5C" w:rsidRDefault="00961B0C" w:rsidP="004C5160">
      <w:pPr>
        <w:pStyle w:val="Testonotaapidipagina"/>
        <w:jc w:val="both"/>
        <w:rPr>
          <w:rFonts w:ascii="Garamond" w:hAnsi="Garamond"/>
        </w:rPr>
      </w:pPr>
      <w:r>
        <w:rPr>
          <w:rFonts w:ascii="Garamond" w:hAnsi="Garamond"/>
        </w:rPr>
        <w:t>Altra recente pronuncia che entra nel merito della adeguatezza delle risorse nel contesto dell’</w:t>
      </w:r>
      <w:r w:rsidRPr="00460B5C">
        <w:rPr>
          <w:rFonts w:ascii="Garamond" w:hAnsi="Garamond"/>
        </w:rPr>
        <w:t xml:space="preserve">avvalimento frazionato </w:t>
      </w:r>
      <w:r>
        <w:rPr>
          <w:rFonts w:ascii="Garamond" w:hAnsi="Garamond"/>
        </w:rPr>
        <w:t>è la</w:t>
      </w:r>
      <w:r w:rsidRPr="00460B5C">
        <w:rPr>
          <w:rFonts w:ascii="Garamond" w:hAnsi="Garamond"/>
        </w:rPr>
        <w:t xml:space="preserve"> C.d.S., Sez. V, sent. 17.3.2020 n. 1916.</w:t>
      </w:r>
    </w:p>
  </w:footnote>
  <w:footnote w:id="26">
    <w:p w14:paraId="1A1004B0" w14:textId="270FC9B5" w:rsidR="00961B0C" w:rsidRPr="00460B5C" w:rsidRDefault="00961B0C" w:rsidP="004C5160">
      <w:pPr>
        <w:pStyle w:val="Testonotaapidipagina"/>
        <w:contextualSpacing/>
        <w:jc w:val="both"/>
        <w:rPr>
          <w:rFonts w:ascii="Garamond" w:hAnsi="Garamond"/>
        </w:rPr>
      </w:pPr>
      <w:r w:rsidRPr="00460B5C">
        <w:rPr>
          <w:rStyle w:val="Rimandonotaapidipagina"/>
          <w:rFonts w:ascii="Garamond" w:hAnsi="Garamond"/>
          <w:sz w:val="20"/>
        </w:rPr>
        <w:footnoteRef/>
      </w:r>
      <w:r w:rsidRPr="00460B5C">
        <w:rPr>
          <w:rFonts w:ascii="Garamond" w:hAnsi="Garamond"/>
        </w:rPr>
        <w:t xml:space="preserve"> La disciplina di riferimento nel previgente D. Lgs. n. 163/2006 si rinveniva dal combinato disposto degli articoli 38, co</w:t>
      </w:r>
      <w:r>
        <w:rPr>
          <w:rFonts w:ascii="Garamond" w:hAnsi="Garamond"/>
        </w:rPr>
        <w:t xml:space="preserve">. </w:t>
      </w:r>
      <w:r w:rsidRPr="00460B5C">
        <w:rPr>
          <w:rFonts w:ascii="Garamond" w:hAnsi="Garamond"/>
        </w:rPr>
        <w:t>2-</w:t>
      </w:r>
      <w:r w:rsidRPr="00460B5C">
        <w:rPr>
          <w:rFonts w:ascii="Garamond" w:hAnsi="Garamond"/>
          <w:i/>
        </w:rPr>
        <w:t>bis</w:t>
      </w:r>
      <w:r w:rsidRPr="00460B5C">
        <w:rPr>
          <w:rFonts w:ascii="Garamond" w:hAnsi="Garamond"/>
        </w:rPr>
        <w:t xml:space="preserve"> e 46, co</w:t>
      </w:r>
      <w:r>
        <w:rPr>
          <w:rFonts w:ascii="Garamond" w:hAnsi="Garamond"/>
        </w:rPr>
        <w:t>.</w:t>
      </w:r>
      <w:r w:rsidRPr="00460B5C">
        <w:rPr>
          <w:rFonts w:ascii="Garamond" w:hAnsi="Garamond"/>
        </w:rPr>
        <w:t xml:space="preserve"> 1-</w:t>
      </w:r>
      <w:r w:rsidRPr="00460B5C">
        <w:rPr>
          <w:rFonts w:ascii="Garamond" w:hAnsi="Garamond"/>
          <w:i/>
        </w:rPr>
        <w:t>ter</w:t>
      </w:r>
      <w:r w:rsidRPr="00460B5C">
        <w:rPr>
          <w:rFonts w:ascii="Garamond" w:hAnsi="Garamond"/>
        </w:rPr>
        <w:t>. Il primo disponeva che “</w:t>
      </w:r>
      <w:r w:rsidRPr="00460B5C">
        <w:rPr>
          <w:rFonts w:ascii="Garamond" w:hAnsi="Garamond"/>
          <w:i/>
        </w:rPr>
        <w:t>La mancanza, l'incompletezza e ogni altra irregolarità essenziale degli elementi e delle dichiarazioni sostitutive di cui al comma 2 obbliga il concorrente che vi ha dato causa al pagamento, in favore della stazione appaltante, della sanzione pecuniaria stabilita dal bando di gara, in misura non inferiore all'uno per mille e non superiore all'uno per cento del valore della gara e comunque non superiore a 50.000 euro, il cui versamento è garantito dalla cauzione provvisoria. In tal caso, la stazione appaltante assegna al concorrente un termine, non superiore a dieci giorni, perché siano rese, integrate o regolarizzate le dichiarazioni necessarie, indicandone il contenuto e i soggetti che le devono rendere. Nei casi di irregolarità non essenziali ovvero di mancanza o incompletezza di dichiarazioni non indispensabili, la stazione appaltante non ne richiede la regolarizzazione, né applica alcuna sanzione. In caso di inutile decorso del termine di cui al secondo periodo il concorrente è escluso dalla gara (…)</w:t>
      </w:r>
      <w:r w:rsidRPr="00460B5C">
        <w:rPr>
          <w:rFonts w:ascii="Garamond" w:hAnsi="Garamond"/>
        </w:rPr>
        <w:t>”; il secondo che “</w:t>
      </w:r>
      <w:r w:rsidRPr="00460B5C">
        <w:rPr>
          <w:rFonts w:ascii="Garamond" w:hAnsi="Garamond"/>
          <w:i/>
        </w:rPr>
        <w:t>Le disposizioni di cui all’art. 38, comma 2-bis applicano a ogni ipotesi di mancanza, incompletezza o irregolarità degli elementi e delle dichiarazioni, anche di soggetti terzi, che devono essere prodotte dai concorrenti in base alla legge, al bando o al disciplinare di gara</w:t>
      </w:r>
      <w:r w:rsidRPr="00460B5C">
        <w:rPr>
          <w:rFonts w:ascii="Garamond" w:hAnsi="Garamond"/>
        </w:rPr>
        <w:t>”.</w:t>
      </w:r>
    </w:p>
  </w:footnote>
  <w:footnote w:id="27">
    <w:p w14:paraId="5D46329D" w14:textId="77777777" w:rsidR="00961B0C" w:rsidRPr="00460B5C" w:rsidRDefault="00961B0C" w:rsidP="004C5160">
      <w:pPr>
        <w:pStyle w:val="Testonotaapidipagina"/>
        <w:jc w:val="both"/>
        <w:rPr>
          <w:rFonts w:ascii="Garamond" w:hAnsi="Garamond"/>
        </w:rPr>
      </w:pPr>
      <w:r w:rsidRPr="00460B5C">
        <w:rPr>
          <w:rStyle w:val="Rimandonotaapidipagina"/>
          <w:rFonts w:ascii="Garamond" w:hAnsi="Garamond"/>
          <w:sz w:val="20"/>
        </w:rPr>
        <w:footnoteRef/>
      </w:r>
      <w:r w:rsidRPr="00460B5C">
        <w:rPr>
          <w:rFonts w:ascii="Garamond" w:hAnsi="Garamond"/>
        </w:rPr>
        <w:t xml:space="preserve"> L’estensione dell’applicazione del soccorso istruttorio è avvenuta per opera del D.L. n. 90/2014.</w:t>
      </w:r>
    </w:p>
  </w:footnote>
  <w:footnote w:id="28">
    <w:p w14:paraId="74C49D97" w14:textId="6105D514" w:rsidR="00961B0C" w:rsidRPr="00460B5C" w:rsidRDefault="00961B0C" w:rsidP="004C5160">
      <w:pPr>
        <w:pStyle w:val="Testonotaapidipagina"/>
        <w:jc w:val="both"/>
        <w:rPr>
          <w:rFonts w:ascii="Garamond" w:hAnsi="Garamond"/>
        </w:rPr>
      </w:pPr>
      <w:r w:rsidRPr="00460B5C">
        <w:rPr>
          <w:rStyle w:val="Rimandonotaapidipagina"/>
          <w:rFonts w:ascii="Garamond" w:hAnsi="Garamond"/>
          <w:sz w:val="20"/>
        </w:rPr>
        <w:footnoteRef/>
      </w:r>
      <w:r w:rsidRPr="00460B5C">
        <w:rPr>
          <w:rFonts w:ascii="Garamond" w:hAnsi="Garamond"/>
        </w:rPr>
        <w:t xml:space="preserve"> In questo senso cfr. TAR Campania, Sez. I, sent. 10.7.2015, n. 3670.</w:t>
      </w:r>
    </w:p>
  </w:footnote>
  <w:footnote w:id="29">
    <w:p w14:paraId="35F8E39F" w14:textId="23B9ECD6" w:rsidR="00961B0C" w:rsidRPr="00460B5C" w:rsidRDefault="00961B0C" w:rsidP="004C5160">
      <w:pPr>
        <w:pStyle w:val="Testonotaapidipagina"/>
        <w:jc w:val="both"/>
        <w:rPr>
          <w:rFonts w:ascii="Garamond" w:hAnsi="Garamond"/>
        </w:rPr>
      </w:pPr>
      <w:r w:rsidRPr="00460B5C">
        <w:rPr>
          <w:rStyle w:val="Rimandonotaapidipagina"/>
          <w:rFonts w:ascii="Garamond" w:hAnsi="Garamond"/>
          <w:sz w:val="20"/>
        </w:rPr>
        <w:footnoteRef/>
      </w:r>
      <w:r w:rsidRPr="00460B5C">
        <w:rPr>
          <w:rFonts w:ascii="Garamond" w:hAnsi="Garamond"/>
        </w:rPr>
        <w:t xml:space="preserve"> In questo senso cfr. TAR Sicilia</w:t>
      </w:r>
      <w:r>
        <w:rPr>
          <w:rFonts w:ascii="Garamond" w:hAnsi="Garamond"/>
        </w:rPr>
        <w:t>,</w:t>
      </w:r>
      <w:r w:rsidRPr="00460B5C">
        <w:rPr>
          <w:rFonts w:ascii="Garamond" w:hAnsi="Garamond"/>
        </w:rPr>
        <w:t xml:space="preserve"> Catania, Sez. I, sent. 27.3.2015, n. 905.</w:t>
      </w:r>
    </w:p>
  </w:footnote>
  <w:footnote w:id="30">
    <w:p w14:paraId="284108A7" w14:textId="77777777" w:rsidR="00961B0C" w:rsidRPr="000A1024" w:rsidRDefault="00961B0C" w:rsidP="004C5160">
      <w:pPr>
        <w:pStyle w:val="Testonotaapidipagina"/>
        <w:jc w:val="both"/>
        <w:rPr>
          <w:rFonts w:ascii="Garamond" w:hAnsi="Garamond"/>
        </w:rPr>
      </w:pPr>
      <w:r w:rsidRPr="00460B5C">
        <w:rPr>
          <w:rStyle w:val="Rimandonotaapidipagina"/>
          <w:rFonts w:ascii="Garamond" w:hAnsi="Garamond"/>
          <w:sz w:val="20"/>
        </w:rPr>
        <w:footnoteRef/>
      </w:r>
      <w:r w:rsidRPr="00460B5C">
        <w:rPr>
          <w:rFonts w:ascii="Garamond" w:hAnsi="Garamond"/>
        </w:rPr>
        <w:t xml:space="preserve"> ANAC, Determinazione</w:t>
      </w:r>
      <w:r w:rsidRPr="000A1024">
        <w:rPr>
          <w:rFonts w:ascii="Garamond" w:hAnsi="Garamond"/>
        </w:rPr>
        <w:t xml:space="preserve"> 8.1.2015, n. 1 recante “</w:t>
      </w:r>
      <w:r w:rsidRPr="000A1024">
        <w:rPr>
          <w:rFonts w:ascii="Garamond" w:hAnsi="Garamond"/>
          <w:i/>
        </w:rPr>
        <w:t>Criteri interpretativi in ordine alle disposizioni di cui all’art. 38, comma 2-bis e dell’art. 46, comma 1-ter, del D.Lgs. 12 aprile 2006, n. 163</w:t>
      </w:r>
      <w:r w:rsidRPr="000A1024">
        <w:rPr>
          <w:rFonts w:ascii="Garamond" w:hAnsi="Garamond"/>
        </w:rPr>
        <w:t>”, pubblicata sulla G.U. 28 gennaio 2015, n. 22.</w:t>
      </w:r>
    </w:p>
    <w:p w14:paraId="2D4DB292" w14:textId="446263AA" w:rsidR="00961B0C" w:rsidRPr="000A1024" w:rsidRDefault="00961B0C" w:rsidP="004C5160">
      <w:pPr>
        <w:pStyle w:val="Testonotaapidipagina"/>
        <w:jc w:val="both"/>
        <w:rPr>
          <w:rFonts w:ascii="Garamond" w:hAnsi="Garamond"/>
        </w:rPr>
      </w:pPr>
      <w:r w:rsidRPr="000A1024">
        <w:rPr>
          <w:rFonts w:ascii="Garamond" w:hAnsi="Garamond"/>
        </w:rPr>
        <w:t xml:space="preserve">Si confrontino anche la determinazione ANAC n. 1/2012 e le considerazioni espresse sulla stessa da </w:t>
      </w:r>
      <w:r w:rsidRPr="000A1024">
        <w:rPr>
          <w:rFonts w:ascii="Garamond" w:hAnsi="Garamond"/>
          <w:smallCaps/>
        </w:rPr>
        <w:t xml:space="preserve">M. Frontoni-L. Savelli, </w:t>
      </w:r>
      <w:r w:rsidRPr="000A1024">
        <w:rPr>
          <w:rFonts w:ascii="Garamond" w:hAnsi="Garamond"/>
          <w:i/>
        </w:rPr>
        <w:t>Subappalto e avvalimento. Tra qualificazione ed esecuzione nel codice dei contratti pubblici</w:t>
      </w:r>
      <w:r w:rsidRPr="000A1024">
        <w:rPr>
          <w:rFonts w:ascii="Garamond" w:hAnsi="Garamond"/>
        </w:rPr>
        <w:t xml:space="preserve">, prefazione di </w:t>
      </w:r>
      <w:r>
        <w:rPr>
          <w:rFonts w:ascii="Garamond" w:hAnsi="Garamond"/>
          <w:smallCaps/>
        </w:rPr>
        <w:t>M. Corradino</w:t>
      </w:r>
      <w:r w:rsidRPr="000A1024">
        <w:rPr>
          <w:rFonts w:ascii="Garamond" w:hAnsi="Garamond"/>
          <w:smallCaps/>
        </w:rPr>
        <w:t>,</w:t>
      </w:r>
      <w:r>
        <w:rPr>
          <w:rFonts w:ascii="Garamond" w:hAnsi="Garamond"/>
        </w:rPr>
        <w:t xml:space="preserve"> Giappichelli ed., 2018,</w:t>
      </w:r>
      <w:r w:rsidRPr="000A1024">
        <w:rPr>
          <w:rFonts w:ascii="Garamond" w:hAnsi="Garamond"/>
        </w:rPr>
        <w:t xml:space="preserve"> pag. 301.</w:t>
      </w:r>
    </w:p>
  </w:footnote>
  <w:footnote w:id="31">
    <w:p w14:paraId="5B2359CA" w14:textId="32401923" w:rsidR="00961B0C" w:rsidRPr="000A1024" w:rsidRDefault="00961B0C" w:rsidP="004C5160">
      <w:pPr>
        <w:pStyle w:val="Testonotaapidipagina"/>
        <w:jc w:val="both"/>
        <w:rPr>
          <w:rFonts w:ascii="Garamond" w:hAnsi="Garamond"/>
        </w:rPr>
      </w:pPr>
      <w:r w:rsidRPr="000A1024">
        <w:rPr>
          <w:rStyle w:val="Rimandonotaapidipagina"/>
          <w:rFonts w:ascii="Garamond" w:hAnsi="Garamond"/>
          <w:sz w:val="20"/>
        </w:rPr>
        <w:footnoteRef/>
      </w:r>
      <w:r w:rsidRPr="000A1024">
        <w:rPr>
          <w:rFonts w:ascii="Garamond" w:hAnsi="Garamond"/>
        </w:rPr>
        <w:t xml:space="preserve"> </w:t>
      </w:r>
      <w:r>
        <w:rPr>
          <w:rFonts w:ascii="Garamond" w:hAnsi="Garamond"/>
        </w:rPr>
        <w:t xml:space="preserve">In tal senso </w:t>
      </w:r>
      <w:r w:rsidRPr="000A1024">
        <w:rPr>
          <w:rFonts w:ascii="Garamond" w:hAnsi="Garamond"/>
        </w:rPr>
        <w:t>CGARS, ord. n. 52/2016</w:t>
      </w:r>
      <w:r>
        <w:rPr>
          <w:rFonts w:ascii="Garamond" w:hAnsi="Garamond"/>
        </w:rPr>
        <w:t>, cit.</w:t>
      </w:r>
      <w:r w:rsidRPr="000A1024">
        <w:rPr>
          <w:rFonts w:ascii="Garamond" w:hAnsi="Garamond"/>
        </w:rPr>
        <w:t>, par. 7.</w:t>
      </w:r>
    </w:p>
  </w:footnote>
  <w:footnote w:id="32">
    <w:p w14:paraId="6EB2C1AB" w14:textId="2EBF9D8B" w:rsidR="00961B0C" w:rsidRPr="000A1024" w:rsidRDefault="00961B0C" w:rsidP="004C5160">
      <w:pPr>
        <w:pStyle w:val="Testonotaapidipagina"/>
        <w:jc w:val="both"/>
        <w:rPr>
          <w:rFonts w:ascii="Garamond" w:hAnsi="Garamond"/>
        </w:rPr>
      </w:pPr>
      <w:r w:rsidRPr="000A1024">
        <w:rPr>
          <w:rStyle w:val="Rimandonotaapidipagina"/>
          <w:rFonts w:ascii="Garamond" w:hAnsi="Garamond"/>
          <w:sz w:val="20"/>
        </w:rPr>
        <w:footnoteRef/>
      </w:r>
      <w:r w:rsidRPr="000A1024">
        <w:rPr>
          <w:rFonts w:ascii="Garamond" w:hAnsi="Garamond"/>
        </w:rPr>
        <w:t xml:space="preserve"> Art. 83, co</w:t>
      </w:r>
      <w:r>
        <w:rPr>
          <w:rFonts w:ascii="Garamond" w:hAnsi="Garamond"/>
        </w:rPr>
        <w:t>.</w:t>
      </w:r>
      <w:r w:rsidRPr="000A1024">
        <w:rPr>
          <w:rFonts w:ascii="Garamond" w:hAnsi="Garamond"/>
        </w:rPr>
        <w:t xml:space="preserve"> 9, D.Lgs. n. 50/20165: “</w:t>
      </w:r>
      <w:r w:rsidRPr="000A1024">
        <w:rPr>
          <w:rFonts w:ascii="Garamond" w:hAnsi="Garamond"/>
          <w:i/>
        </w:rPr>
        <w:t>Le carenze di qualsiasi elemento formale della domanda possono essere sanate attraverso la procedura di soccorso istruttorio di cui al presente comma. In particolare, in caso di mancanza, incompletezza e di ogni altra irregolarità essenziale degli elementi e del documento di gara unico europeo di cui all’art. 85, con esclusione di quelle afferenti all'offerta economica e all'offerta tecnica, la stazione appaltante assegna al concorrente un termine, non superiore a dieci giorni, perché siano rese, integrate o regolarizzate le dichiarazioni necessarie, indicandone il contenuto e i soggetti che le devono rendere. In caso di inutile decorso del termine di regolarizzazione, il concorrente è escluso dalla gara. Costituiscono irregolarità essenziali non sanabili le carenze della documentazione che non consentono l'individuazione del contenuto o del soggetto responsabile della stessa</w:t>
      </w:r>
      <w:r w:rsidRPr="000A1024">
        <w:rPr>
          <w:rFonts w:ascii="Garamond" w:hAnsi="Garamond"/>
        </w:rPr>
        <w:t>”.</w:t>
      </w:r>
    </w:p>
  </w:footnote>
  <w:footnote w:id="33">
    <w:p w14:paraId="1613E6C3" w14:textId="080BA222" w:rsidR="00961B0C" w:rsidRPr="000A1024" w:rsidRDefault="00961B0C" w:rsidP="004C5160">
      <w:pPr>
        <w:pStyle w:val="Testonotaapidipagina"/>
        <w:jc w:val="both"/>
        <w:rPr>
          <w:rFonts w:ascii="Garamond" w:hAnsi="Garamond"/>
          <w:lang w:val="en-US"/>
        </w:rPr>
      </w:pPr>
      <w:r w:rsidRPr="000A1024">
        <w:rPr>
          <w:rStyle w:val="Rimandonotaapidipagina"/>
          <w:rFonts w:ascii="Garamond" w:hAnsi="Garamond"/>
          <w:sz w:val="20"/>
        </w:rPr>
        <w:footnoteRef/>
      </w:r>
      <w:r w:rsidRPr="000A1024">
        <w:rPr>
          <w:rFonts w:ascii="Garamond" w:hAnsi="Garamond"/>
        </w:rPr>
        <w:t xml:space="preserve"> </w:t>
      </w:r>
      <w:r>
        <w:rPr>
          <w:rFonts w:ascii="Garamond" w:hAnsi="Garamond"/>
        </w:rPr>
        <w:t xml:space="preserve">In tal senso </w:t>
      </w:r>
      <w:r w:rsidRPr="000A1024">
        <w:rPr>
          <w:rFonts w:ascii="Garamond" w:hAnsi="Garamond"/>
        </w:rPr>
        <w:t xml:space="preserve">TAR Sardegna, </w:t>
      </w:r>
      <w:r>
        <w:rPr>
          <w:rFonts w:ascii="Garamond" w:hAnsi="Garamond"/>
        </w:rPr>
        <w:t>S</w:t>
      </w:r>
      <w:r w:rsidRPr="000A1024">
        <w:rPr>
          <w:rFonts w:ascii="Garamond" w:hAnsi="Garamond"/>
        </w:rPr>
        <w:t xml:space="preserve">ez. </w:t>
      </w:r>
      <w:r w:rsidRPr="00961B0C">
        <w:rPr>
          <w:rFonts w:ascii="Garamond" w:hAnsi="Garamond"/>
          <w:lang w:val="en-US"/>
        </w:rPr>
        <w:t xml:space="preserve">I, sent. </w:t>
      </w:r>
      <w:r w:rsidRPr="000A1024">
        <w:rPr>
          <w:rFonts w:ascii="Garamond" w:hAnsi="Garamond"/>
          <w:lang w:val="en-US"/>
        </w:rPr>
        <w:t>22.12.2015, n. 1230.</w:t>
      </w:r>
    </w:p>
  </w:footnote>
  <w:footnote w:id="34">
    <w:p w14:paraId="1ED9886F" w14:textId="3A9A807C" w:rsidR="00961B0C" w:rsidRDefault="00961B0C" w:rsidP="004C5160">
      <w:pPr>
        <w:pStyle w:val="Testonotaapidipagina"/>
        <w:jc w:val="both"/>
        <w:rPr>
          <w:rFonts w:ascii="Garamond" w:hAnsi="Garamond"/>
        </w:rPr>
      </w:pPr>
      <w:r w:rsidRPr="000A1024">
        <w:rPr>
          <w:rStyle w:val="Rimandonotaapidipagina"/>
          <w:rFonts w:ascii="Garamond" w:hAnsi="Garamond"/>
          <w:sz w:val="20"/>
        </w:rPr>
        <w:footnoteRef/>
      </w:r>
      <w:r w:rsidRPr="000A1024">
        <w:rPr>
          <w:rFonts w:ascii="Garamond" w:hAnsi="Garamond"/>
          <w:lang w:val="en-US"/>
        </w:rPr>
        <w:t xml:space="preserve"> </w:t>
      </w:r>
      <w:r>
        <w:rPr>
          <w:rFonts w:ascii="Garamond" w:hAnsi="Garamond"/>
          <w:lang w:val="en-US"/>
        </w:rPr>
        <w:t xml:space="preserve">Cfr., </w:t>
      </w:r>
      <w:r w:rsidRPr="004C1F2A">
        <w:rPr>
          <w:rFonts w:ascii="Garamond" w:hAnsi="Garamond"/>
          <w:i/>
          <w:lang w:val="en-US"/>
        </w:rPr>
        <w:t>ex multis,</w:t>
      </w:r>
      <w:r>
        <w:rPr>
          <w:rFonts w:ascii="Garamond" w:hAnsi="Garamond"/>
          <w:lang w:val="en-US"/>
        </w:rPr>
        <w:t xml:space="preserve"> C.d.S., Se</w:t>
      </w:r>
      <w:r w:rsidRPr="000A1024">
        <w:rPr>
          <w:rFonts w:ascii="Garamond" w:hAnsi="Garamond"/>
          <w:lang w:val="en-US"/>
        </w:rPr>
        <w:t xml:space="preserve">z. </w:t>
      </w:r>
      <w:r w:rsidRPr="0079361E">
        <w:rPr>
          <w:rFonts w:ascii="Garamond" w:hAnsi="Garamond"/>
          <w:lang w:val="en-US"/>
        </w:rPr>
        <w:t xml:space="preserve">V, </w:t>
      </w:r>
      <w:r w:rsidRPr="000A1024">
        <w:rPr>
          <w:rFonts w:ascii="Garamond" w:hAnsi="Garamond"/>
          <w:lang w:val="en-US"/>
        </w:rPr>
        <w:t>sent. 30.4.2019, n.</w:t>
      </w:r>
      <w:r>
        <w:rPr>
          <w:rFonts w:ascii="Garamond" w:hAnsi="Garamond"/>
          <w:lang w:val="en-US"/>
        </w:rPr>
        <w:t xml:space="preserve"> </w:t>
      </w:r>
      <w:r w:rsidRPr="000A1024">
        <w:rPr>
          <w:rFonts w:ascii="Garamond" w:hAnsi="Garamond"/>
          <w:lang w:val="en-US"/>
        </w:rPr>
        <w:t>2191</w:t>
      </w:r>
      <w:r>
        <w:rPr>
          <w:rFonts w:ascii="Garamond" w:hAnsi="Garamond"/>
          <w:lang w:val="en-US"/>
        </w:rPr>
        <w:t xml:space="preserve">; </w:t>
      </w:r>
      <w:r w:rsidRPr="0079361E">
        <w:rPr>
          <w:rFonts w:ascii="Garamond" w:hAnsi="Garamond"/>
          <w:lang w:val="en-US"/>
        </w:rPr>
        <w:t xml:space="preserve">sent. 6.10.2018, n. 5750; sent. 30.3.2017, n. 1456; </w:t>
      </w:r>
      <w:r>
        <w:rPr>
          <w:rFonts w:ascii="Garamond" w:hAnsi="Garamond"/>
          <w:lang w:val="en-US"/>
        </w:rPr>
        <w:t>Sez. III, sent</w:t>
      </w:r>
      <w:r w:rsidRPr="000A1024">
        <w:rPr>
          <w:rFonts w:ascii="Garamond" w:hAnsi="Garamond"/>
          <w:color w:val="000000"/>
          <w:shd w:val="clear" w:color="auto" w:fill="FFFFFF"/>
          <w:lang w:val="en-US"/>
        </w:rPr>
        <w:t>. 19.6.2017, n.</w:t>
      </w:r>
      <w:r>
        <w:rPr>
          <w:rFonts w:ascii="Garamond" w:hAnsi="Garamond"/>
          <w:color w:val="000000"/>
          <w:shd w:val="clear" w:color="auto" w:fill="FFFFFF"/>
          <w:lang w:val="en-US"/>
        </w:rPr>
        <w:t xml:space="preserve"> </w:t>
      </w:r>
      <w:r w:rsidRPr="000A1024">
        <w:rPr>
          <w:rFonts w:ascii="Garamond" w:hAnsi="Garamond"/>
          <w:color w:val="000000"/>
          <w:shd w:val="clear" w:color="auto" w:fill="FFFFFF"/>
          <w:lang w:val="en-US"/>
        </w:rPr>
        <w:t>2985</w:t>
      </w:r>
      <w:r>
        <w:rPr>
          <w:rFonts w:ascii="Garamond" w:hAnsi="Garamond"/>
          <w:color w:val="000000"/>
          <w:shd w:val="clear" w:color="auto" w:fill="FFFFFF"/>
          <w:lang w:val="en-US"/>
        </w:rPr>
        <w:t xml:space="preserve">; </w:t>
      </w:r>
      <w:r>
        <w:rPr>
          <w:rFonts w:ascii="Garamond" w:hAnsi="Garamond"/>
          <w:lang w:val="en-US"/>
        </w:rPr>
        <w:t xml:space="preserve">sent. 29.1.2016, n. 346; </w:t>
      </w:r>
      <w:r w:rsidRPr="0079361E">
        <w:rPr>
          <w:rFonts w:ascii="Garamond" w:hAnsi="Garamond"/>
          <w:lang w:val="en-US"/>
        </w:rPr>
        <w:t xml:space="preserve">TAR </w:t>
      </w:r>
      <w:r>
        <w:rPr>
          <w:rFonts w:ascii="Garamond" w:hAnsi="Garamond"/>
          <w:lang w:val="en-US"/>
        </w:rPr>
        <w:t xml:space="preserve">Lazio, </w:t>
      </w:r>
      <w:r w:rsidRPr="0079361E">
        <w:rPr>
          <w:rFonts w:ascii="Garamond" w:hAnsi="Garamond"/>
          <w:lang w:val="en-US"/>
        </w:rPr>
        <w:t xml:space="preserve">Latina, sent. </w:t>
      </w:r>
      <w:r w:rsidRPr="00A01EFF">
        <w:rPr>
          <w:rFonts w:ascii="Garamond" w:hAnsi="Garamond"/>
          <w:lang w:val="en-US"/>
        </w:rPr>
        <w:t xml:space="preserve">30.5.2019, n. 401; TAR Liguria, </w:t>
      </w:r>
      <w:r>
        <w:rPr>
          <w:rFonts w:ascii="Garamond" w:hAnsi="Garamond"/>
          <w:lang w:val="en-US"/>
        </w:rPr>
        <w:t>S</w:t>
      </w:r>
      <w:r w:rsidRPr="00A01EFF">
        <w:rPr>
          <w:rFonts w:ascii="Garamond" w:hAnsi="Garamond"/>
          <w:lang w:val="en-US"/>
        </w:rPr>
        <w:t xml:space="preserve">ez. II, sent. </w:t>
      </w:r>
      <w:r w:rsidRPr="00D85ADD">
        <w:rPr>
          <w:rFonts w:ascii="Garamond" w:hAnsi="Garamond"/>
          <w:lang w:val="en-US"/>
        </w:rPr>
        <w:t xml:space="preserve">2.12.2016, n. 1201; TAR Piemonte, Sez. </w:t>
      </w:r>
      <w:r w:rsidRPr="00CD3AB9">
        <w:rPr>
          <w:rFonts w:ascii="Garamond" w:hAnsi="Garamond"/>
        </w:rPr>
        <w:t>I, s</w:t>
      </w:r>
      <w:r w:rsidRPr="000A1024">
        <w:rPr>
          <w:rFonts w:ascii="Garamond" w:hAnsi="Garamond"/>
        </w:rPr>
        <w:t>ent. 24.2.2017, n. 277: “</w:t>
      </w:r>
      <w:r w:rsidRPr="000A1024">
        <w:rPr>
          <w:rFonts w:ascii="Garamond" w:hAnsi="Garamond"/>
          <w:i/>
        </w:rPr>
        <w:t>non si ritiene che la stazione appaltante avrebbe potuto ricorrere al potere di soccorso istruttorio (…), in quanto, nello specifico caso, esso avrebbe dato adito non già ad una richiesta di chiarimenti sull’effettiva portata delle dichiarazioni rese, essendo il significato di queste ultime ben chiaro; bensì, ad una integrazione ex post della dichiarazione negoziale dell’ausiliaria, tramite inserimento nel contratto di avvalimento di elementi essenziali mancanti (cfr. da ultimo Cons. St., Ad. Plen., 25 febbraio 2014, n. 9)”.</w:t>
      </w:r>
      <w:r>
        <w:rPr>
          <w:rFonts w:ascii="Garamond" w:hAnsi="Garamond"/>
        </w:rPr>
        <w:t xml:space="preserve"> </w:t>
      </w:r>
    </w:p>
    <w:p w14:paraId="1A53C84B" w14:textId="6846A04E" w:rsidR="00961B0C" w:rsidRPr="00CD3AB9" w:rsidRDefault="00961B0C" w:rsidP="004C5160">
      <w:pPr>
        <w:pStyle w:val="Testonotaapidipagina"/>
        <w:jc w:val="both"/>
        <w:rPr>
          <w:rFonts w:ascii="Garamond" w:hAnsi="Garamond"/>
          <w:i/>
          <w:iCs/>
        </w:rPr>
      </w:pPr>
      <w:r>
        <w:rPr>
          <w:rFonts w:ascii="Garamond" w:hAnsi="Garamond"/>
        </w:rPr>
        <w:t xml:space="preserve">Sulle mere irregolarità formali che possono, invece, essere corrette ed integrate tramite soccorso istruttorio, con particolare riferimento alla sottoscrizione del contratto di avvalimento, cfr. la recente sentenza TAR Calabria, Sez. I, sent. 22.2.2019, n. 388. </w:t>
      </w:r>
    </w:p>
    <w:p w14:paraId="0D323D34" w14:textId="543FE119" w:rsidR="00961B0C" w:rsidRPr="001D0AD0" w:rsidRDefault="00961B0C" w:rsidP="004C5160">
      <w:pPr>
        <w:pStyle w:val="Testonotaapidipagina"/>
        <w:jc w:val="both"/>
        <w:rPr>
          <w:rFonts w:ascii="Garamond" w:hAnsi="Garamond"/>
        </w:rPr>
      </w:pPr>
      <w:r>
        <w:rPr>
          <w:rFonts w:ascii="Garamond" w:hAnsi="Garamond"/>
        </w:rPr>
        <w:t>In difformità rispetto all’orientamento maggioritario</w:t>
      </w:r>
      <w:r w:rsidRPr="000A1024">
        <w:rPr>
          <w:rFonts w:ascii="Garamond" w:hAnsi="Garamond"/>
        </w:rPr>
        <w:t>,</w:t>
      </w:r>
      <w:r>
        <w:rPr>
          <w:rFonts w:ascii="Garamond" w:hAnsi="Garamond"/>
        </w:rPr>
        <w:t xml:space="preserve"> il</w:t>
      </w:r>
      <w:r w:rsidRPr="000A1024">
        <w:rPr>
          <w:rFonts w:ascii="Garamond" w:hAnsi="Garamond"/>
        </w:rPr>
        <w:t xml:space="preserve"> TAR </w:t>
      </w:r>
      <w:r>
        <w:rPr>
          <w:rFonts w:ascii="Garamond" w:hAnsi="Garamond"/>
        </w:rPr>
        <w:t xml:space="preserve">Calabria, </w:t>
      </w:r>
      <w:r w:rsidRPr="000A1024">
        <w:rPr>
          <w:rFonts w:ascii="Garamond" w:hAnsi="Garamond"/>
        </w:rPr>
        <w:t xml:space="preserve">Reggio Calabria, </w:t>
      </w:r>
      <w:r>
        <w:rPr>
          <w:rFonts w:ascii="Garamond" w:hAnsi="Garamond"/>
        </w:rPr>
        <w:t xml:space="preserve">Sez. I, </w:t>
      </w:r>
      <w:r w:rsidRPr="000A1024">
        <w:rPr>
          <w:rFonts w:ascii="Garamond" w:hAnsi="Garamond"/>
        </w:rPr>
        <w:t xml:space="preserve">sent. 17.1.2017, n. 26 ha riconosciuto </w:t>
      </w:r>
      <w:r>
        <w:rPr>
          <w:rFonts w:ascii="Garamond" w:hAnsi="Garamond"/>
        </w:rPr>
        <w:t>una apertura: “</w:t>
      </w:r>
      <w:r w:rsidRPr="000A1024">
        <w:rPr>
          <w:rFonts w:ascii="Garamond" w:hAnsi="Garamond"/>
          <w:i/>
        </w:rPr>
        <w:t xml:space="preserve">in ogni caso il </w:t>
      </w:r>
      <w:r w:rsidRPr="00393674">
        <w:rPr>
          <w:rFonts w:ascii="Garamond" w:hAnsi="Garamond"/>
          <w:i/>
        </w:rPr>
        <w:t xml:space="preserve">partecipante aveva fornito un sufficiente principio di prova circa il possesso del requisito e che pertanto, nel dubbio e a fini di maggiore chiarezza, l’Amministrazione avrebbe dovuto comunque attivare </w:t>
      </w:r>
      <w:r w:rsidRPr="001D0AD0">
        <w:rPr>
          <w:rFonts w:ascii="Garamond" w:hAnsi="Garamond"/>
          <w:i/>
        </w:rPr>
        <w:t>il doveroso “soccorso istruttorio” al fine di consentire la migliore illuminazione di ciò che, per vero, già sembrava esistere, come detto, alla stregua di una lettura combinata e secondo buona fede dell’intera documentazione allegata alla domanda</w:t>
      </w:r>
      <w:r w:rsidRPr="001D0AD0">
        <w:rPr>
          <w:rFonts w:ascii="Garamond" w:hAnsi="Garamond"/>
        </w:rPr>
        <w:t>”.</w:t>
      </w:r>
    </w:p>
  </w:footnote>
  <w:footnote w:id="35">
    <w:p w14:paraId="6E239CCC" w14:textId="31AB63EF" w:rsidR="00961B0C" w:rsidRPr="00691EBD" w:rsidRDefault="00961B0C" w:rsidP="004C5160">
      <w:pPr>
        <w:pStyle w:val="Testonotaapidipagina"/>
        <w:jc w:val="both"/>
        <w:rPr>
          <w:rFonts w:ascii="Garamond" w:hAnsi="Garamond"/>
        </w:rPr>
      </w:pPr>
      <w:r w:rsidRPr="00691EBD">
        <w:rPr>
          <w:rStyle w:val="Rimandonotaapidipagina"/>
          <w:rFonts w:ascii="Garamond" w:hAnsi="Garamond"/>
          <w:sz w:val="20"/>
        </w:rPr>
        <w:footnoteRef/>
      </w:r>
      <w:r w:rsidRPr="00691EBD">
        <w:rPr>
          <w:rFonts w:ascii="Garamond" w:hAnsi="Garamond"/>
        </w:rPr>
        <w:t xml:space="preserve"> Cfr. art. 89, co</w:t>
      </w:r>
      <w:r>
        <w:rPr>
          <w:rFonts w:ascii="Garamond" w:hAnsi="Garamond"/>
        </w:rPr>
        <w:t>.</w:t>
      </w:r>
      <w:r w:rsidRPr="00691EBD">
        <w:rPr>
          <w:rFonts w:ascii="Garamond" w:hAnsi="Garamond"/>
        </w:rPr>
        <w:t xml:space="preserve"> 3, D.Lgs. n. 50/2016: “</w:t>
      </w:r>
      <w:r w:rsidRPr="00691EBD">
        <w:rPr>
          <w:rFonts w:ascii="Garamond" w:hAnsi="Garamond"/>
          <w:i/>
        </w:rPr>
        <w:t>La stazione appaltante verifica, conformemente agli articoli 85, 86 e 88, se i soggetti della cui capacità l'operatore economico intende avvalersi, soddisfano i pertinenti criteri di selezione o se sussistono motivi di esclusione ai sensi dell'articolo 80. Essa impone all'operatore economico di sostituire i soggetti che non soddisfano un pertinente criterio di selezione o per i quali sussistono motivi obbligatori di esclusione. Nel bando di gara possono essere altresì indicati i casi in cui l'operatore economico deve sostituire un soggetto per il quale sussistono motivi non obbligatori di esclusione, purché si tratti di requisiti tecnici</w:t>
      </w:r>
      <w:r w:rsidRPr="00691EBD">
        <w:rPr>
          <w:rFonts w:ascii="Garamond" w:hAnsi="Garamond"/>
        </w:rPr>
        <w:t xml:space="preserve">”. </w:t>
      </w:r>
    </w:p>
    <w:p w14:paraId="034FCB37" w14:textId="1725983A" w:rsidR="00961B0C" w:rsidRPr="00691EBD" w:rsidRDefault="00961B0C" w:rsidP="004C5160">
      <w:pPr>
        <w:pStyle w:val="Testonotaapidipagina"/>
        <w:jc w:val="both"/>
        <w:rPr>
          <w:rFonts w:ascii="Garamond" w:hAnsi="Garamond"/>
        </w:rPr>
      </w:pPr>
      <w:r w:rsidRPr="00691EBD">
        <w:rPr>
          <w:rFonts w:ascii="Garamond" w:hAnsi="Garamond"/>
        </w:rPr>
        <w:t xml:space="preserve">Tale possibilità rappresenta una novità del Codice del 2016 ed è stata introdotta con valore irretroattivo: non è operante per le gare indette sotto la vigenza delle direttive precedenti e del Codice del 2006, come chiarito anche dalla </w:t>
      </w:r>
      <w:r>
        <w:rPr>
          <w:rFonts w:ascii="Garamond" w:hAnsi="Garamond"/>
        </w:rPr>
        <w:t xml:space="preserve">Corte di Giustizia dell’UE: cfr. </w:t>
      </w:r>
      <w:r w:rsidRPr="00691EBD">
        <w:rPr>
          <w:rFonts w:ascii="Garamond" w:hAnsi="Garamond"/>
        </w:rPr>
        <w:t>CGUE</w:t>
      </w:r>
      <w:r>
        <w:rPr>
          <w:rFonts w:ascii="Garamond" w:hAnsi="Garamond"/>
        </w:rPr>
        <w:t xml:space="preserve">, sent. 14.9.2017, C-223/2016, </w:t>
      </w:r>
      <w:r w:rsidRPr="00961B0C">
        <w:rPr>
          <w:rFonts w:ascii="Garamond" w:hAnsi="Garamond"/>
          <w:i/>
        </w:rPr>
        <w:t>Casertana Costruzioni</w:t>
      </w:r>
      <w:r>
        <w:rPr>
          <w:rFonts w:ascii="Garamond" w:hAnsi="Garamond"/>
        </w:rPr>
        <w:t>.</w:t>
      </w:r>
    </w:p>
    <w:p w14:paraId="5BB1388C" w14:textId="20E0EBD6" w:rsidR="00961B0C" w:rsidRDefault="00961B0C" w:rsidP="004C5160">
      <w:pPr>
        <w:pStyle w:val="Testonotaapidipagina"/>
        <w:jc w:val="both"/>
        <w:rPr>
          <w:rFonts w:ascii="Garamond" w:hAnsi="Garamond"/>
          <w:color w:val="000000" w:themeColor="text1"/>
        </w:rPr>
      </w:pPr>
      <w:r>
        <w:rPr>
          <w:rFonts w:ascii="Garamond" w:hAnsi="Garamond"/>
          <w:color w:val="000000" w:themeColor="text1"/>
        </w:rPr>
        <w:t>Questione connessa alla disposizione di cui al comma 3 è quella sollevata dalla Terza Sezione del Consiglio di Stato alla Corte di Giustizia dell’UE con riferimento al comma 1 dell’art. 89 nella parte in cui dispone che nel caso di dichiarazioni mendaci dell’ausiliaria la stazione appaltante esclude il concorrente. In particolare, con ordinanza 20.03.2020, n. 2005 è stata rimessa alla Corte la seguente questione pregiudiziale: “</w:t>
      </w:r>
      <w:r w:rsidRPr="003A3760">
        <w:rPr>
          <w:rFonts w:ascii="Garamond" w:hAnsi="Garamond"/>
          <w:i/>
          <w:iCs/>
          <w:color w:val="000000" w:themeColor="text1"/>
        </w:rPr>
        <w:t>Se l’art. 63 della direttiva 2014/24 del Parlamento europeo e del Consiglio del 26 febbraio 2014, relativo all’istituto dell’avvalimento, unitamente ai principi di libertà di stabilimento e di libera prestazione di servizi, di cui agli articoli 49 e 56 del Trattato sul Funzionamento dell’Unione Europea (TFUE), osti all’applicazione della normativa nazionale italiana in materia di avvalimento e di esclusione dalle procedure di affidamento, contenuta nell’articolo 89, comma 1, quarto periodo, del codice dei contratti pubblici di cui al decreto legislativo 18 aprile 2016, n. 50, secondo la quale nel caso di dichiarazioni non veritiere rese dall’impresa ausiliaria riguardanti la sussistenza di condanne penali passate in giudicato, potenzialmente idonee a dimostrare la commissione di un grave illecito professionale, la stazione appaltante deve sempre escludere l’operatore economico concorrente in gara, senza imporgli o consentirgli di indicare un’altra impresa ausiliaria idonea, in sostituzione della prima, come stabilito, invece nelle altre ipotesi in cui i soggetti della cui capacità l’operatore economico intende avvalersi non soddisfano un pertinente criterio di selezione o per i quali sussistono motivi obbligatori di esclusione</w:t>
      </w:r>
      <w:r>
        <w:rPr>
          <w:rFonts w:ascii="Garamond" w:hAnsi="Garamond"/>
          <w:color w:val="000000" w:themeColor="text1"/>
        </w:rPr>
        <w:t>”</w:t>
      </w:r>
    </w:p>
    <w:p w14:paraId="4BB04E00" w14:textId="6FC43BAB" w:rsidR="00961B0C" w:rsidRDefault="00961B0C" w:rsidP="004C5160">
      <w:pPr>
        <w:pStyle w:val="Testonotaapidipagina"/>
        <w:jc w:val="both"/>
        <w:rPr>
          <w:rFonts w:ascii="Garamond" w:hAnsi="Garamond"/>
          <w:color w:val="000000" w:themeColor="text1"/>
        </w:rPr>
      </w:pPr>
      <w:r>
        <w:rPr>
          <w:rFonts w:ascii="Garamond" w:hAnsi="Garamond"/>
          <w:color w:val="000000" w:themeColor="text1"/>
        </w:rPr>
        <w:t>Ulteriore pronuncia rilevante sul tema in questione è rappresentata dall’Ordinanza della Quinta Sezione del Consiglio di Stato 9.04.2020, n. 2332 che, in una fattispecie concernente le dichiarazioni rese da una impresa ausiliaria, ha rimesso alla Adunanza Plenaria l’approfondimento della questione relativa “</w:t>
      </w:r>
      <w:r w:rsidRPr="00961B0C">
        <w:rPr>
          <w:rFonts w:ascii="Garamond" w:hAnsi="Garamond"/>
          <w:i/>
          <w:color w:val="000000" w:themeColor="text1"/>
        </w:rPr>
        <w:t>alla portata, alla consistenza, alla perimetrazione ed agli effetti degli obblighi dichiarativi gravanti sugli operatori economici in sede di partecipazione alla procedura evidenziale, con particolare riguardo ai presupposti per l’imputazione della falsità dichiarativa, ai sensi di cui alle lettere c) e f-bis) del comma 5 dell’art 80 del d.lgs. n. 50/2016. Questione sulla quale, alla luce della recente elaborazione giurisprudenziale, è dato registrare un non sopito contrasto</w:t>
      </w:r>
      <w:r>
        <w:rPr>
          <w:rFonts w:ascii="Garamond" w:hAnsi="Garamond"/>
          <w:color w:val="000000" w:themeColor="text1"/>
        </w:rPr>
        <w:t>”.</w:t>
      </w:r>
    </w:p>
    <w:p w14:paraId="7EBD8B0D" w14:textId="78570730" w:rsidR="00961B0C" w:rsidRPr="000223A7" w:rsidRDefault="00961B0C" w:rsidP="004C5160">
      <w:pPr>
        <w:pStyle w:val="Testonotaapidipagina"/>
        <w:jc w:val="both"/>
        <w:rPr>
          <w:rFonts w:ascii="Garamond" w:hAnsi="Garamond"/>
          <w:color w:val="000000" w:themeColor="text1"/>
        </w:rPr>
      </w:pPr>
      <w:bookmarkStart w:id="7" w:name="_Hlk38966164"/>
    </w:p>
    <w:bookmarkEnd w:id="7"/>
  </w:footnote>
  <w:footnote w:id="36">
    <w:p w14:paraId="546B9043" w14:textId="77777777" w:rsidR="00961B0C" w:rsidRPr="00D85ADD" w:rsidRDefault="00961B0C" w:rsidP="004C5160">
      <w:pPr>
        <w:pStyle w:val="Testonotaapidipagina"/>
        <w:jc w:val="both"/>
        <w:rPr>
          <w:rFonts w:ascii="Garamond" w:hAnsi="Garamond"/>
        </w:rPr>
      </w:pPr>
      <w:r w:rsidRPr="000A1024">
        <w:rPr>
          <w:rStyle w:val="Rimandonotaapidipagina"/>
          <w:rFonts w:ascii="Garamond" w:hAnsi="Garamond"/>
          <w:sz w:val="20"/>
        </w:rPr>
        <w:footnoteRef/>
      </w:r>
      <w:r w:rsidRPr="00D85ADD">
        <w:rPr>
          <w:rFonts w:ascii="Garamond" w:hAnsi="Garamond"/>
        </w:rPr>
        <w:t xml:space="preserve"> Delibera ANAC n. 413 del 2.5.2018.</w:t>
      </w:r>
    </w:p>
  </w:footnote>
  <w:footnote w:id="37">
    <w:p w14:paraId="134958CE" w14:textId="797D6CD9" w:rsidR="00961B0C" w:rsidRPr="000A1024" w:rsidRDefault="00961B0C" w:rsidP="004C5160">
      <w:pPr>
        <w:pStyle w:val="Testonotaapidipagina"/>
        <w:jc w:val="both"/>
        <w:rPr>
          <w:rFonts w:ascii="Garamond" w:hAnsi="Garamond"/>
        </w:rPr>
      </w:pPr>
      <w:r w:rsidRPr="000A1024">
        <w:rPr>
          <w:rStyle w:val="Rimandonotaapidipagina"/>
          <w:rFonts w:ascii="Garamond" w:hAnsi="Garamond"/>
          <w:sz w:val="20"/>
        </w:rPr>
        <w:footnoteRef/>
      </w:r>
      <w:r w:rsidRPr="000A1024">
        <w:rPr>
          <w:rFonts w:ascii="Garamond" w:hAnsi="Garamond"/>
        </w:rPr>
        <w:t xml:space="preserve"> Ad analoghe conclusioni è giunta anche l’ANAC con la Delibera del 1.3.2017, n. 221.</w:t>
      </w:r>
    </w:p>
  </w:footnote>
  <w:footnote w:id="38">
    <w:p w14:paraId="5CBA1D2C" w14:textId="77777777" w:rsidR="00961B0C" w:rsidRPr="00F676AC" w:rsidRDefault="00961B0C" w:rsidP="004C5160">
      <w:pPr>
        <w:pStyle w:val="Testonotaapidipagina"/>
        <w:contextualSpacing/>
        <w:jc w:val="both"/>
        <w:rPr>
          <w:rFonts w:ascii="Garamond" w:hAnsi="Garamond"/>
        </w:rPr>
      </w:pPr>
      <w:r w:rsidRPr="00F676AC">
        <w:rPr>
          <w:rStyle w:val="Rimandonotaapidipagina"/>
          <w:rFonts w:ascii="Garamond" w:hAnsi="Garamond"/>
          <w:sz w:val="20"/>
        </w:rPr>
        <w:footnoteRef/>
      </w:r>
      <w:r w:rsidRPr="00F676AC">
        <w:rPr>
          <w:rFonts w:ascii="Garamond" w:hAnsi="Garamond"/>
        </w:rPr>
        <w:t xml:space="preserve"> Sull’eterogeneità delle figure che vengono ricomprese dalla giurisprudenza nelle “esperienze professionali pertinenti” e sul perimetro della stessa nozione, si segnalano la sentenza C.d.S., Sez. V, sent. 3.4.2019, n. 2191, avente ad oggetto il servizio di ristorazione scolastica e C.d.S., Sez. V, sent. 6.10.2018, n. 5750, avente ad oggetto il servizio di trasporto scolastico.</w:t>
      </w:r>
    </w:p>
  </w:footnote>
  <w:footnote w:id="39">
    <w:p w14:paraId="7F1C4474" w14:textId="77777777" w:rsidR="00961B0C" w:rsidRPr="002D56EC" w:rsidRDefault="00961B0C" w:rsidP="002D56EC">
      <w:pPr>
        <w:contextualSpacing/>
        <w:jc w:val="both"/>
        <w:rPr>
          <w:rFonts w:ascii="Garamond" w:hAnsi="Garamond"/>
          <w:sz w:val="20"/>
          <w:szCs w:val="20"/>
        </w:rPr>
      </w:pPr>
      <w:r w:rsidRPr="000A1024">
        <w:rPr>
          <w:rStyle w:val="Rimandonotaapidipagina"/>
          <w:rFonts w:ascii="Garamond" w:hAnsi="Garamond"/>
          <w:sz w:val="20"/>
          <w:szCs w:val="20"/>
        </w:rPr>
        <w:footnoteRef/>
      </w:r>
      <w:r w:rsidRPr="00EB7721">
        <w:rPr>
          <w:rFonts w:ascii="Garamond" w:hAnsi="Garamond"/>
          <w:sz w:val="20"/>
          <w:szCs w:val="20"/>
        </w:rPr>
        <w:t xml:space="preserve"> </w:t>
      </w:r>
      <w:r>
        <w:rPr>
          <w:rFonts w:ascii="Garamond" w:hAnsi="Garamond"/>
          <w:sz w:val="20"/>
          <w:szCs w:val="20"/>
        </w:rPr>
        <w:t>L</w:t>
      </w:r>
      <w:r w:rsidRPr="002D56EC">
        <w:rPr>
          <w:rFonts w:ascii="Garamond" w:hAnsi="Garamond"/>
          <w:sz w:val="20"/>
          <w:szCs w:val="20"/>
        </w:rPr>
        <w:t>a Corte di Giustizia europea ha chiarito che “</w:t>
      </w:r>
      <w:r w:rsidRPr="002D56EC">
        <w:rPr>
          <w:rFonts w:ascii="Garamond" w:hAnsi="Garamond"/>
          <w:i/>
          <w:iCs/>
          <w:sz w:val="20"/>
          <w:szCs w:val="20"/>
        </w:rPr>
        <w:t>la direttiva 2014/24 dev’essere interpretata nel senso che osta a una normativa nazionale, come quella di cui trattasi nel procedimento principale, che limita al 30% la parte dell’appalto che l’offerente è autorizzato a subappaltare a terzi</w:t>
      </w:r>
      <w:r w:rsidRPr="002D56EC">
        <w:rPr>
          <w:rFonts w:ascii="Garamond" w:hAnsi="Garamond"/>
          <w:sz w:val="20"/>
          <w:szCs w:val="20"/>
        </w:rPr>
        <w:t>”.</w:t>
      </w:r>
    </w:p>
  </w:footnote>
  <w:footnote w:id="40">
    <w:p w14:paraId="467EE591" w14:textId="30E195F3" w:rsidR="00073860" w:rsidRPr="002D56EC" w:rsidRDefault="00073860" w:rsidP="00716A02">
      <w:pPr>
        <w:pStyle w:val="Testonotaapidipagina"/>
        <w:jc w:val="both"/>
        <w:rPr>
          <w:rFonts w:ascii="Garamond" w:hAnsi="Garamond"/>
          <w:i/>
          <w:iCs/>
        </w:rPr>
      </w:pPr>
      <w:r w:rsidRPr="00716A02">
        <w:rPr>
          <w:rStyle w:val="Rimandonotaapidipagina"/>
          <w:rFonts w:ascii="Garamond" w:hAnsi="Garamond"/>
          <w:sz w:val="20"/>
        </w:rPr>
        <w:footnoteRef/>
      </w:r>
      <w:r w:rsidRPr="00716A02">
        <w:rPr>
          <w:rFonts w:ascii="Garamond" w:hAnsi="Garamond"/>
        </w:rPr>
        <w:t xml:space="preserve"> </w:t>
      </w:r>
      <w:r w:rsidRPr="002D56EC">
        <w:rPr>
          <w:rFonts w:ascii="Garamond" w:hAnsi="Garamond"/>
        </w:rPr>
        <w:t>Per una interpretazione riduttiva della sentenza della CGUE vedasi Tar Lazio, Sez. I, 24.04.2020, n. 4183 secondo cui “</w:t>
      </w:r>
      <w:r w:rsidRPr="002D56EC">
        <w:rPr>
          <w:rFonts w:ascii="Garamond" w:hAnsi="Garamond"/>
          <w:i/>
          <w:iCs/>
        </w:rPr>
        <w:t>la Corte ha considerato in contrasto con le direttive comunitarie in materia il limite fissato, non escludendo invece che il legislatore nazionale possa individuare comunque, al fine di evitare ostacoli al controllo dei soggetti aggiudicatari, un limite al subappalto proporzionato rispetto a tale obiettivo. Pertanto non può ritenersi contrastante con il diritto comunitario l’attuale limite pari al 40% delle opere, previsto dall’art 1, comma 18, della legge n. 55/2019”.</w:t>
      </w:r>
    </w:p>
    <w:p w14:paraId="59425DD9" w14:textId="2226ACC0" w:rsidR="00073860" w:rsidRPr="00716A02" w:rsidRDefault="00073860" w:rsidP="00716A02">
      <w:pPr>
        <w:pStyle w:val="Testonotaapidipagina"/>
        <w:jc w:val="both"/>
        <w:rPr>
          <w:rFonts w:ascii="Garamond" w:hAnsi="Garamond"/>
          <w:iCs/>
        </w:rPr>
      </w:pPr>
      <w:r w:rsidRPr="002D56EC">
        <w:rPr>
          <w:rFonts w:ascii="Garamond" w:hAnsi="Garamond"/>
          <w:iCs/>
        </w:rPr>
        <w:t>Sulla portata della sentenza della CGUE si confronti la posizione espressa dall’</w:t>
      </w:r>
      <w:r w:rsidR="002D56EC" w:rsidRPr="002D56EC">
        <w:rPr>
          <w:rFonts w:ascii="Garamond" w:hAnsi="Garamond"/>
          <w:iCs/>
        </w:rPr>
        <w:t>ANAC tramite il</w:t>
      </w:r>
      <w:r w:rsidRPr="002D56EC">
        <w:rPr>
          <w:rFonts w:ascii="Garamond" w:hAnsi="Garamond"/>
          <w:iCs/>
        </w:rPr>
        <w:t xml:space="preserve"> Comunicato </w:t>
      </w:r>
      <w:r w:rsidR="002D56EC" w:rsidRPr="002D56EC">
        <w:rPr>
          <w:rFonts w:ascii="Garamond" w:hAnsi="Garamond"/>
          <w:iCs/>
        </w:rPr>
        <w:t xml:space="preserve">del </w:t>
      </w:r>
      <w:r w:rsidRPr="002D56EC">
        <w:rPr>
          <w:rFonts w:ascii="Garamond" w:hAnsi="Garamond"/>
          <w:iCs/>
        </w:rPr>
        <w:t xml:space="preserve">Presidente </w:t>
      </w:r>
      <w:r w:rsidR="002D56EC" w:rsidRPr="002D56EC">
        <w:rPr>
          <w:rFonts w:ascii="Garamond" w:hAnsi="Garamond"/>
          <w:iCs/>
        </w:rPr>
        <w:t xml:space="preserve">del </w:t>
      </w:r>
      <w:r w:rsidRPr="002D56EC">
        <w:rPr>
          <w:rFonts w:ascii="Garamond" w:hAnsi="Garamond"/>
          <w:iCs/>
        </w:rPr>
        <w:t>23/10/2019, recante “</w:t>
      </w:r>
      <w:r w:rsidRPr="002D56EC">
        <w:rPr>
          <w:rFonts w:ascii="Garamond" w:hAnsi="Garamond"/>
          <w:i/>
          <w:iCs/>
        </w:rPr>
        <w:t>compatibilità clausole del Bando-tipo n. 1 con il decreto legislativo 19 aprile 2016, n. 50, come novellato dal d.l. 18.4.2019 n. 32, convertito in legge del 14.6.2019 n. 55</w:t>
      </w:r>
      <w:r w:rsidRPr="002D56EC">
        <w:rPr>
          <w:rFonts w:ascii="Garamond" w:hAnsi="Garamond"/>
          <w:iCs/>
        </w:rPr>
        <w:t>”</w:t>
      </w:r>
      <w:r w:rsidR="002D56EC" w:rsidRPr="002D56EC">
        <w:rPr>
          <w:rFonts w:ascii="Garamond" w:hAnsi="Garamond"/>
          <w:iCs/>
        </w:rPr>
        <w:t>, nonché tramite l’</w:t>
      </w:r>
      <w:r w:rsidRPr="002D56EC">
        <w:rPr>
          <w:rFonts w:ascii="Garamond" w:hAnsi="Garamond"/>
          <w:iCs/>
        </w:rPr>
        <w:t>Atto di segnalazione a Governo e Parlamento n. 8 del 13.11.2019, “</w:t>
      </w:r>
      <w:r w:rsidRPr="002D56EC">
        <w:rPr>
          <w:rFonts w:ascii="Garamond" w:hAnsi="Garamond"/>
          <w:i/>
          <w:iCs/>
        </w:rPr>
        <w:t>Concernente la disciplina del subappalto di cui all'art. 105 del d.lgs. 18.4.2016, n. 50</w:t>
      </w:r>
      <w:r w:rsidRPr="002D56EC">
        <w:rPr>
          <w:rFonts w:ascii="Garamond" w:hAnsi="Garamond"/>
          <w:iCs/>
        </w:rPr>
        <w:t>”, approvato con delibera n. 1035.</w:t>
      </w:r>
    </w:p>
  </w:footnote>
  <w:footnote w:id="41">
    <w:p w14:paraId="4E931009" w14:textId="5E2B86D4" w:rsidR="002D56EC" w:rsidRPr="00716A02" w:rsidRDefault="002D56EC" w:rsidP="00716A02">
      <w:pPr>
        <w:pStyle w:val="Testonotaapidipagina"/>
        <w:jc w:val="both"/>
        <w:rPr>
          <w:rFonts w:ascii="Garamond" w:hAnsi="Garamond"/>
        </w:rPr>
      </w:pPr>
      <w:r w:rsidRPr="00716A02">
        <w:rPr>
          <w:rStyle w:val="Rimandonotaapidipagina"/>
          <w:rFonts w:ascii="Garamond" w:hAnsi="Garamond"/>
          <w:sz w:val="20"/>
        </w:rPr>
        <w:footnoteRef/>
      </w:r>
      <w:r w:rsidRPr="00716A02">
        <w:rPr>
          <w:rFonts w:ascii="Garamond" w:hAnsi="Garamond"/>
        </w:rPr>
        <w:t xml:space="preserve"> Tale limite, come noto, è stato poi innalzato al 40% dell’importo complessivo del contratto ad opera dell’art. 1, co. 18, primo periodo della L. n. 55/2019.</w:t>
      </w:r>
    </w:p>
  </w:footnote>
  <w:footnote w:id="42">
    <w:p w14:paraId="73556D24" w14:textId="7C6C9405" w:rsidR="00961B0C" w:rsidRPr="002D56EC" w:rsidRDefault="00961B0C" w:rsidP="002D56EC">
      <w:pPr>
        <w:pStyle w:val="Testonotaapidipagina"/>
        <w:spacing w:after="240"/>
        <w:contextualSpacing/>
        <w:jc w:val="both"/>
        <w:rPr>
          <w:rFonts w:ascii="Garamond" w:hAnsi="Garamond"/>
        </w:rPr>
      </w:pPr>
      <w:r w:rsidRPr="002D56EC">
        <w:rPr>
          <w:rStyle w:val="Rimandonotaapidipagina"/>
          <w:rFonts w:ascii="Garamond" w:hAnsi="Garamond"/>
          <w:sz w:val="20"/>
        </w:rPr>
        <w:footnoteRef/>
      </w:r>
      <w:r w:rsidRPr="002D56EC">
        <w:rPr>
          <w:rFonts w:ascii="Garamond" w:hAnsi="Garamond"/>
        </w:rPr>
        <w:t xml:space="preserve"> Cfr. ex AVCP, Determinazione 1.8.2012, n. 2. Nello stesso senso, la Circolare del Ministero delle Infrastrutture e dei Trasporti del 30.10.12, n. 4536, recante “</w:t>
      </w:r>
      <w:r w:rsidRPr="002D56EC">
        <w:rPr>
          <w:rFonts w:ascii="Garamond" w:hAnsi="Garamond"/>
          <w:i/>
        </w:rPr>
        <w:t>Primi chiarimenti in ordine all'applicazione delle disposizioni di cui al d.P.R. 5 ottobre 2010, n. 207 in particolare alla luce delle recenti modifiche e integrazioni intervenute in materia di contratti pubblici di lavori, servizi e forniture</w:t>
      </w:r>
      <w:r w:rsidRPr="002D56EC">
        <w:rPr>
          <w:rFonts w:ascii="Garamond" w:hAnsi="Garamond"/>
        </w:rPr>
        <w:t>”.</w:t>
      </w:r>
    </w:p>
    <w:p w14:paraId="5BBDD4BD" w14:textId="79FC9BD0" w:rsidR="00961B0C" w:rsidRPr="00673961" w:rsidRDefault="00961B0C">
      <w:pPr>
        <w:pStyle w:val="Testonotaapidipagina"/>
        <w:jc w:val="both"/>
        <w:rPr>
          <w:rFonts w:ascii="Garamond" w:hAnsi="Garamond"/>
        </w:rPr>
      </w:pPr>
      <w:r w:rsidRPr="002D56EC">
        <w:rPr>
          <w:rFonts w:ascii="Garamond" w:hAnsi="Garamond"/>
        </w:rPr>
        <w:t>In particolare, secondo quanto chiarito dall’ex AVCP</w:t>
      </w:r>
      <w:r w:rsidRPr="00673961">
        <w:rPr>
          <w:rFonts w:ascii="Garamond" w:hAnsi="Garamond"/>
        </w:rPr>
        <w:t xml:space="preserve"> nella vigenza del vecchio art. 49 del D.Lgs. n. 163/2006, tale soluzione interpretativa si giustifica perché “</w:t>
      </w:r>
      <w:r w:rsidRPr="00673961">
        <w:rPr>
          <w:rFonts w:ascii="Garamond" w:hAnsi="Garamond"/>
          <w:i/>
        </w:rPr>
        <w:t>Anche se la previsione della responsabilità solidale e delle altre garanzie sopra individuate avrebbe potuto condurre il legislatore ad un diverso assetto della materia, l’utilizzo del subappalto, anche nel perimetro tracciato dall’avvalimento, deve essere coordinato con le prescrizioni contenute nell’art. 118 del Codice e nelle norme regolamentari (art. 170 del Regolamento) che dettano la disciplina pubblicistica del subappalto, non espressamente derogate dalla disciplina sull’avvalimento. Tale istituto si muove su un piano diverso sotto il profilo strutturale in quanto mezzo per qualificare un concorrente in relazione ad una specifica gara, altrimenti privo di requisiti; concorrente che, se consegue l’aggiudicazione, esegue il contratto (“il contratto è in ogni caso eseguito dall’impresa aggiudicataria”</w:t>
      </w:r>
      <w:bookmarkStart w:id="10" w:name="doponota10"/>
      <w:bookmarkEnd w:id="10"/>
      <w:r w:rsidRPr="00673961">
        <w:rPr>
          <w:rFonts w:ascii="Garamond" w:hAnsi="Garamond"/>
          <w:i/>
        </w:rPr>
        <w:t>). Il subappalto, quindi, non potrà superare i limiti previsti dal Codice e dal Regolamento e sarà sottoposto alle condizioni ivi previste in fase di esecuzione del contratt</w:t>
      </w:r>
      <w:bookmarkStart w:id="11" w:name="doponota11"/>
      <w:bookmarkEnd w:id="11"/>
      <w:r w:rsidRPr="00673961">
        <w:rPr>
          <w:rFonts w:ascii="Garamond" w:hAnsi="Garamond"/>
          <w:i/>
        </w:rPr>
        <w:t>o. Ne consegue che, a normativa vigente, mentre in fase di qualificazione il concorrente può utilizzare liberamente l’avvalimento, qualora esso si concretizzi in subappalto, quest’ultimo incontra i limiti previsti dalla disciplina speciale pubblicistica per esso stabilita</w:t>
      </w:r>
      <w:r w:rsidRPr="00673961">
        <w:rPr>
          <w:rFonts w:ascii="Garamond" w:hAnsi="Garamond"/>
        </w:rPr>
        <w:t xml:space="preserve">” cfr. </w:t>
      </w:r>
      <w:r>
        <w:rPr>
          <w:rFonts w:ascii="Garamond" w:hAnsi="Garamond"/>
        </w:rPr>
        <w:t xml:space="preserve">ex </w:t>
      </w:r>
      <w:r w:rsidRPr="00673961">
        <w:rPr>
          <w:rFonts w:ascii="Garamond" w:hAnsi="Garamond"/>
        </w:rPr>
        <w:t>AVCP det. n. 2/2012.</w:t>
      </w:r>
    </w:p>
    <w:p w14:paraId="00F055F4" w14:textId="571FC3D4" w:rsidR="00961B0C" w:rsidRPr="0082115E" w:rsidRDefault="00961B0C" w:rsidP="004C5160">
      <w:pPr>
        <w:pStyle w:val="Testonotaapidipagina"/>
        <w:jc w:val="both"/>
        <w:rPr>
          <w:rFonts w:ascii="Garamond" w:hAnsi="Garamond"/>
        </w:rPr>
      </w:pPr>
      <w:r w:rsidRPr="00673961">
        <w:rPr>
          <w:rFonts w:ascii="Garamond" w:hAnsi="Garamond"/>
        </w:rPr>
        <w:t>Analogamente il Ministero delle Infrastrutture ha precisato che “</w:t>
      </w:r>
      <w:r w:rsidRPr="00673961">
        <w:rPr>
          <w:rFonts w:ascii="Garamond" w:hAnsi="Garamond"/>
          <w:i/>
        </w:rPr>
        <w:t>l’art. 49, comma 10, del codice consente di mutare l’avvalimento in subappalto, (…). Tuttavia, ciò potrà avvenire nel rispetto dei limiti posti dall’art. 118 del codice per cui, a titolo esemplificativo, nel caso di avvaliment</w:t>
      </w:r>
      <w:r w:rsidRPr="0082115E">
        <w:rPr>
          <w:rFonts w:ascii="Garamond" w:hAnsi="Garamond"/>
          <w:i/>
        </w:rPr>
        <w:t xml:space="preserve">o per metà dei requisiti di gara, lo stesso non potrà divenire subappalto del 50% (e quindi oltre il limite del 30%) ma potrà mutare in subappalto per il 30% massimo, utilizzando l’istituto dell’avvalimento per il restante 20%; ovviamente, sono fatte salve le ipotesi di lavorazioni o attività scorporabili, per le quali un avvalimento complessivo delle stesse potrà, specularmente, mutare in subappalto complessivo. Analogamente, la trasformazione </w:t>
      </w:r>
      <w:r w:rsidRPr="0082115E">
        <w:rPr>
          <w:rFonts w:ascii="Garamond" w:hAnsi="Garamond"/>
          <w:i/>
          <w:iCs/>
        </w:rPr>
        <w:t xml:space="preserve">de qua </w:t>
      </w:r>
      <w:r w:rsidRPr="0082115E">
        <w:rPr>
          <w:rFonts w:ascii="Garamond" w:hAnsi="Garamond"/>
          <w:i/>
        </w:rPr>
        <w:t>dovrà essere, altresì, rispettosa dell’assunto di cui all’art. 49, comma 10, del codice, laddove consente all’impresa ausiliaria di assumere il ruolo di subappaltatore “</w:t>
      </w:r>
      <w:r w:rsidRPr="0082115E">
        <w:rPr>
          <w:rFonts w:ascii="Garamond" w:hAnsi="Garamond"/>
          <w:i/>
          <w:iCs/>
        </w:rPr>
        <w:t>nei limiti dei requisiti prestati</w:t>
      </w:r>
      <w:r w:rsidRPr="0082115E">
        <w:rPr>
          <w:rFonts w:ascii="Garamond" w:hAnsi="Garamond"/>
          <w:i/>
        </w:rPr>
        <w:t>”, nel senso che un avvalimento del 10% dei requisiti potrà</w:t>
      </w:r>
      <w:r w:rsidRPr="0082115E">
        <w:rPr>
          <w:rFonts w:ascii="Calibri" w:eastAsia="Calibri" w:hAnsi="Calibri" w:cs="Calibri"/>
          <w:i/>
        </w:rPr>
        <w:t xml:space="preserve"> </w:t>
      </w:r>
      <w:r w:rsidRPr="0082115E">
        <w:rPr>
          <w:rFonts w:ascii="Garamond" w:hAnsi="Garamond"/>
          <w:i/>
        </w:rPr>
        <w:t xml:space="preserve">divenire un subappalto fino al 10%, nonostante il limite normativamente imposto sia pari al 30%” </w:t>
      </w:r>
      <w:r w:rsidRPr="0082115E">
        <w:rPr>
          <w:rFonts w:ascii="Garamond" w:hAnsi="Garamond"/>
        </w:rPr>
        <w:t>cfr. Circolare MIT n. 4536/2012.</w:t>
      </w:r>
    </w:p>
    <w:p w14:paraId="39A09077" w14:textId="4464CDB2" w:rsidR="00961B0C" w:rsidRPr="001A6E30" w:rsidRDefault="00961B0C" w:rsidP="004C5160">
      <w:pPr>
        <w:pStyle w:val="Testonotaapidipagina"/>
        <w:jc w:val="both"/>
        <w:rPr>
          <w:rFonts w:ascii="Garamond" w:hAnsi="Garamond"/>
        </w:rPr>
      </w:pPr>
      <w:r w:rsidRPr="0082115E">
        <w:rPr>
          <w:rFonts w:ascii="Garamond" w:hAnsi="Garamond"/>
        </w:rPr>
        <w:t>Nello stesso senso si era già precedentemente espressa anche la giurisprudenza, chiarendo che “</w:t>
      </w:r>
      <w:r w:rsidRPr="0082115E">
        <w:rPr>
          <w:rFonts w:ascii="Garamond" w:hAnsi="Garamond"/>
          <w:i/>
        </w:rPr>
        <w:t xml:space="preserve">La genericità del comma 10 dell’art. 49 del D.Lgs. </w:t>
      </w:r>
      <w:r w:rsidRPr="001A6E30">
        <w:rPr>
          <w:rFonts w:ascii="Garamond" w:hAnsi="Garamond"/>
          <w:i/>
        </w:rPr>
        <w:t>n. 163/2006 e l’assenza di espressa deroga alla disciplina generale escludono che, nel caso in cui l’ausiliario sia coinvolto nell’esecuzione delle prestazioni in qualità di subappaltatore, il subappalto possa essere retto da regole diverse da quelle ordinarie</w:t>
      </w:r>
      <w:r w:rsidRPr="001A6E30">
        <w:rPr>
          <w:rFonts w:ascii="Garamond" w:hAnsi="Garamond"/>
        </w:rPr>
        <w:t>” (C.d.S., Sez. V, sent. 20.6.2011, n. 3698).</w:t>
      </w:r>
    </w:p>
    <w:p w14:paraId="66820FA6" w14:textId="784D566A" w:rsidR="00961B0C" w:rsidRPr="0082115E" w:rsidRDefault="00961B0C" w:rsidP="004C5160">
      <w:pPr>
        <w:pStyle w:val="Testonotaapidipagina"/>
        <w:jc w:val="both"/>
        <w:rPr>
          <w:rFonts w:ascii="Garamond" w:hAnsi="Garamond"/>
          <w:i/>
        </w:rPr>
      </w:pPr>
      <w:r w:rsidRPr="001A6E30">
        <w:rPr>
          <w:rFonts w:ascii="Garamond" w:hAnsi="Garamond"/>
        </w:rPr>
        <w:t>Successivamente il tema è stato ripreso anche dall’ANAC: cfr. documento in consultazione recante “</w:t>
      </w:r>
      <w:r w:rsidRPr="001A6E30">
        <w:rPr>
          <w:rFonts w:ascii="Garamond" w:hAnsi="Garamond"/>
          <w:i/>
        </w:rPr>
        <w:t>Proposta al Ministero delle Infrastrutture e dei Trasporti finalizzata all’adozione del decreto di cui all’art. 83, comma 3 del D.Lgs. 18 aprile 2016, n. 50, nella parte relativa ai casi e alle modalità di avvalimento</w:t>
      </w:r>
      <w:r w:rsidRPr="001A6E30">
        <w:rPr>
          <w:rFonts w:ascii="Garamond" w:hAnsi="Garamond"/>
        </w:rPr>
        <w:t>” dove all’art. 4, comma 3 si precisa che “</w:t>
      </w:r>
      <w:r w:rsidRPr="001A6E30">
        <w:rPr>
          <w:rFonts w:ascii="Garamond" w:hAnsi="Garamond"/>
          <w:i/>
        </w:rPr>
        <w:t>la possibilità dell’impresa ausiliaria di assumere il ruolo di subappaltatore prevista dall’art.89, comma 8 del Codice è subordinata al rispetto dei limiti quantitativi previsti dagli art. 105 e 174 del Codice</w:t>
      </w:r>
      <w:r w:rsidRPr="001A6E30">
        <w:rPr>
          <w:rFonts w:ascii="Garamond" w:hAnsi="Garamond"/>
        </w:rPr>
        <w:t xml:space="preserve">”; Par. del 21.2.2018, n. 181: </w:t>
      </w:r>
      <w:r w:rsidRPr="001A6E30">
        <w:rPr>
          <w:rFonts w:ascii="Garamond" w:hAnsi="Garamond"/>
          <w:i/>
        </w:rPr>
        <w:t>la disposizione  di cui all’art. 89, comma 8 sopra citata, il cui fine unico è quello di  chiarire che, a normativa vigente, mentre in fase di qualificazione il  concorrente può utilizzare liberamente l’avvalimento, qualora esso si  concretizzi in subappalto, quest’ultimo incontra i limiti previsti dalla  disciplina speciale pubblicistica per esso stabilita</w:t>
      </w:r>
      <w:r w:rsidRPr="001A6E30">
        <w:rPr>
          <w:rFonts w:ascii="Garamond" w:hAnsi="Garamond"/>
          <w:i/>
          <w:iCs/>
        </w:rPr>
        <w:t> (…l'impresa ausiliaria può assumere il  ruolo di subappaltatore nei limiti dei requisiti prestati)</w:t>
      </w:r>
      <w:r w:rsidRPr="001A6E30">
        <w:rPr>
          <w:rFonts w:ascii="Garamond" w:hAnsi="Garamond"/>
        </w:rPr>
        <w:t>”.</w:t>
      </w:r>
    </w:p>
  </w:footnote>
  <w:footnote w:id="43">
    <w:p w14:paraId="12BC4E9F" w14:textId="73E8DF20" w:rsidR="00961B0C" w:rsidRDefault="00961B0C" w:rsidP="004C5160">
      <w:pPr>
        <w:pStyle w:val="Testonotaapidipagina"/>
        <w:jc w:val="both"/>
        <w:rPr>
          <w:rFonts w:ascii="Garamond" w:hAnsi="Garamond"/>
        </w:rPr>
      </w:pPr>
      <w:r w:rsidRPr="0082115E">
        <w:rPr>
          <w:rStyle w:val="Rimandonotaapidipagina"/>
          <w:rFonts w:ascii="Garamond" w:hAnsi="Garamond"/>
          <w:sz w:val="20"/>
        </w:rPr>
        <w:footnoteRef/>
      </w:r>
      <w:r w:rsidRPr="0082115E">
        <w:rPr>
          <w:rFonts w:ascii="Garamond" w:hAnsi="Garamond"/>
        </w:rPr>
        <w:t xml:space="preserve"> Ciò è quanto indirettamente </w:t>
      </w:r>
      <w:r w:rsidRPr="00944F22">
        <w:rPr>
          <w:rFonts w:ascii="Garamond" w:hAnsi="Garamond"/>
        </w:rPr>
        <w:t xml:space="preserve">si deduce dalla richiamata sentenza della Corte di Giustizia che nel delimitare, </w:t>
      </w:r>
      <w:r w:rsidRPr="00944F22">
        <w:rPr>
          <w:rFonts w:ascii="Garamond" w:hAnsi="Garamond"/>
          <w:i/>
        </w:rPr>
        <w:t>a contrario</w:t>
      </w:r>
      <w:r w:rsidRPr="00944F22">
        <w:rPr>
          <w:rFonts w:ascii="Garamond" w:hAnsi="Garamond"/>
        </w:rPr>
        <w:t>, l’ambito di operatività dell’avvalimento cd. tecnico-operativo, caratterizzato dall’impiego effettivo delle risorse prestate dall’ausiliaria (di cui al nostro art. 89, co</w:t>
      </w:r>
      <w:r>
        <w:rPr>
          <w:rFonts w:ascii="Garamond" w:hAnsi="Garamond"/>
        </w:rPr>
        <w:t>.</w:t>
      </w:r>
      <w:r w:rsidRPr="00944F22">
        <w:rPr>
          <w:rFonts w:ascii="Garamond" w:hAnsi="Garamond"/>
        </w:rPr>
        <w:t xml:space="preserve"> 9), lo esclude nei casi in cui “</w:t>
      </w:r>
      <w:r w:rsidRPr="00944F22">
        <w:rPr>
          <w:rFonts w:ascii="Garamond" w:hAnsi="Garamond"/>
          <w:i/>
        </w:rPr>
        <w:t>le capacità di cui dispone un soggetto terzo, e che sono necessarie all’esecuzione di detto appalto, non siano trasmissibili al candidato o all’offerente, di modo che quest’ultimo può avvalersi di dette capacità solo se il soggetto terzo partecipa direttamente e personalmente all’esecuzione di tale appalto</w:t>
      </w:r>
      <w:r w:rsidRPr="00944F22">
        <w:rPr>
          <w:rFonts w:ascii="Garamond" w:hAnsi="Garamond"/>
        </w:rPr>
        <w:t>" (cfr. punto 49, sent. CGUE C-324/14), ipotesi nelle quali si deve ricorrere invece all’esecuzione personale e diretta del soggetto titolato (ossia l’ipotesi delle “esperienze professionali pertinenti” di cui al nostro art. 89, co</w:t>
      </w:r>
      <w:r>
        <w:rPr>
          <w:rFonts w:ascii="Garamond" w:hAnsi="Garamond"/>
        </w:rPr>
        <w:t>.</w:t>
      </w:r>
      <w:r w:rsidRPr="00944F22">
        <w:rPr>
          <w:rFonts w:ascii="Garamond" w:hAnsi="Garamond"/>
        </w:rPr>
        <w:t xml:space="preserve"> 1).</w:t>
      </w:r>
    </w:p>
    <w:p w14:paraId="260D6DD3" w14:textId="6C3B032D" w:rsidR="00961B0C" w:rsidRPr="00944F22" w:rsidRDefault="00961B0C" w:rsidP="004C5160">
      <w:pPr>
        <w:pStyle w:val="Testonotaapidipagina"/>
        <w:jc w:val="both"/>
        <w:rPr>
          <w:rFonts w:ascii="Garamond" w:hAnsi="Garamond"/>
        </w:rPr>
      </w:pPr>
      <w:r w:rsidRPr="0082115E">
        <w:rPr>
          <w:rFonts w:ascii="Garamond" w:hAnsi="Garamond"/>
        </w:rPr>
        <w:t xml:space="preserve">Sul punto, si confronti anche </w:t>
      </w:r>
      <w:r w:rsidRPr="0082115E">
        <w:rPr>
          <w:rFonts w:ascii="Garamond" w:hAnsi="Garamond"/>
          <w:smallCaps/>
        </w:rPr>
        <w:t>G. Palazzesi</w:t>
      </w:r>
      <w:r w:rsidRPr="0082115E">
        <w:rPr>
          <w:rFonts w:ascii="Garamond" w:hAnsi="Garamond"/>
        </w:rPr>
        <w:t xml:space="preserve">, </w:t>
      </w:r>
      <w:r w:rsidRPr="0082115E">
        <w:rPr>
          <w:rFonts w:ascii="Garamond" w:hAnsi="Garamond"/>
          <w:i/>
        </w:rPr>
        <w:t>Avvalimento ed esperienze professionali pertinenti: brevi riflessioni su un orientamento che non persuade</w:t>
      </w:r>
      <w:r w:rsidRPr="0082115E">
        <w:rPr>
          <w:rFonts w:ascii="Garamond" w:hAnsi="Garamond"/>
        </w:rPr>
        <w:t>, LexItalia.it, 6.5.2019.</w:t>
      </w:r>
    </w:p>
  </w:footnote>
  <w:footnote w:id="44">
    <w:p w14:paraId="29F0723B" w14:textId="085AFFA1" w:rsidR="00961B0C" w:rsidRPr="00E96AC4" w:rsidRDefault="00961B0C" w:rsidP="004C5160">
      <w:pPr>
        <w:pStyle w:val="Testonotaapidipagina"/>
        <w:jc w:val="both"/>
        <w:rPr>
          <w:rFonts w:ascii="Garamond" w:hAnsi="Garamond"/>
          <w:color w:val="000000"/>
          <w:shd w:val="clear" w:color="auto" w:fill="FFFFFF"/>
        </w:rPr>
      </w:pPr>
      <w:r w:rsidRPr="00944F22">
        <w:rPr>
          <w:rStyle w:val="Rimandonotaapidipagina"/>
          <w:rFonts w:ascii="Garamond" w:hAnsi="Garamond"/>
          <w:sz w:val="20"/>
        </w:rPr>
        <w:footnoteRef/>
      </w:r>
      <w:r w:rsidRPr="00944F22">
        <w:rPr>
          <w:rFonts w:ascii="Garamond" w:hAnsi="Garamond"/>
        </w:rPr>
        <w:t xml:space="preserve"> Il riferimento è alla sentenza n. 1704 del 9.3.2020, tramite cui la III Sez. del C.d.S. ha precisato che “</w:t>
      </w:r>
      <w:r w:rsidRPr="00944F22">
        <w:rPr>
          <w:rFonts w:ascii="Garamond" w:hAnsi="Garamond"/>
          <w:i/>
          <w:iCs/>
          <w:color w:val="000000"/>
        </w:rPr>
        <w:t>Ad una piana lettura del divisato dato normativo (art. 89, comma 1) è di tutta evidenza come il meccanismo sostitutivo rivendicato dall’appellante abbia una portata circoscritta a determinati e ben individuati requisiti (“…si avvalga di altri soggetti per sopperire alla mancanza di titoli di studio e professionali di cui all’allegato XVII, parte II, lettera f) o di esperienze professionali pertinenti”) e la valenza eccezionale della disposizione suindicata preclude l’estensione del suo ambito operativo a fattispecie diverse da quelle ivi espressamente contemplate. Ed, invero, le prestazioni relative all’appalto qui in rilievo non rivelano caratteri infungibili e, dunque, non richiedono la spendita di alcun “titolo di studio” e/o di alcuna “esperienza professionale pertinente”, ovvero di capacità non agevolmente trasferibili con la messa a disposizione che discende dall’avvalimento qui in rilievo”</w:t>
      </w:r>
      <w:r w:rsidRPr="00944F22">
        <w:rPr>
          <w:rFonts w:ascii="Garamond" w:hAnsi="Garamond"/>
          <w:color w:val="000000"/>
          <w:shd w:val="clear" w:color="auto" w:fill="FFFFFF"/>
        </w:rPr>
        <w:t>.</w:t>
      </w:r>
    </w:p>
  </w:footnote>
  <w:footnote w:id="45">
    <w:p w14:paraId="1EBF796C" w14:textId="47C4BA5F" w:rsidR="00961B0C" w:rsidRPr="00060779" w:rsidRDefault="00961B0C" w:rsidP="004C5160">
      <w:pPr>
        <w:pStyle w:val="Testonotaapidipagina"/>
        <w:jc w:val="both"/>
        <w:rPr>
          <w:rFonts w:ascii="Garamond" w:hAnsi="Garamond"/>
          <w:highlight w:val="yellow"/>
        </w:rPr>
      </w:pPr>
      <w:r w:rsidRPr="00944F22">
        <w:rPr>
          <w:rStyle w:val="Rimandonotaapidipagina"/>
          <w:rFonts w:ascii="Garamond" w:hAnsi="Garamond"/>
          <w:sz w:val="20"/>
        </w:rPr>
        <w:footnoteRef/>
      </w:r>
      <w:r w:rsidRPr="00944F22">
        <w:rPr>
          <w:rFonts w:ascii="Garamond" w:hAnsi="Garamond"/>
        </w:rPr>
        <w:t xml:space="preserve"> Cfr. l’orientamento della V Sez. del C.d.S e, in particolare, la sent. 3.4.2019, n. 2191 e la sent. 6.10.2018, n. 5750 che riferiscono la disposizione di cui all’art. 89, co</w:t>
      </w:r>
      <w:r>
        <w:rPr>
          <w:rFonts w:ascii="Garamond" w:hAnsi="Garamond"/>
        </w:rPr>
        <w:t xml:space="preserve">. </w:t>
      </w:r>
      <w:r w:rsidRPr="00944F22">
        <w:rPr>
          <w:rFonts w:ascii="Garamond" w:hAnsi="Garamond"/>
        </w:rPr>
        <w:t>1 a qualsivoglia servizio, senza limitarne l’applicazione alle sole prestazioni che richiedono l’impiego di capacità non trasmissibili.</w:t>
      </w:r>
    </w:p>
  </w:footnote>
  <w:footnote w:id="46">
    <w:p w14:paraId="325B71EC" w14:textId="77777777" w:rsidR="00961B0C" w:rsidRPr="00D724DA" w:rsidRDefault="00961B0C" w:rsidP="004C5160">
      <w:pPr>
        <w:pStyle w:val="Testonotaapidipagina"/>
        <w:jc w:val="both"/>
        <w:rPr>
          <w:rFonts w:ascii="Garamond" w:hAnsi="Garamond"/>
        </w:rPr>
      </w:pPr>
      <w:r w:rsidRPr="000C2D7E">
        <w:rPr>
          <w:rStyle w:val="Rimandonotaapidipagina"/>
          <w:rFonts w:ascii="Garamond" w:hAnsi="Garamond"/>
          <w:sz w:val="20"/>
        </w:rPr>
        <w:footnoteRef/>
      </w:r>
      <w:r w:rsidRPr="000C2D7E">
        <w:rPr>
          <w:rFonts w:ascii="Garamond" w:hAnsi="Garamond"/>
        </w:rPr>
        <w:t xml:space="preserve"> Tale è la nozione per così dire classica dell’avvalimento</w:t>
      </w:r>
      <w:r w:rsidRPr="00D724DA">
        <w:rPr>
          <w:rFonts w:ascii="Garamond" w:hAnsi="Garamond"/>
        </w:rPr>
        <w:t xml:space="preserve"> operativo inerente i requisiti tecnici-operativi: deve trattarsi di un rapporto che dia titolo all’impresa ausiliata di utilizzare i mezzi dell’impresa ausiliaria in via immediata e, cioè, senza l’intermediazione di quest’ultima, altrimenti la fattispecie si atteggerebbe a mero subappalto (</w:t>
      </w:r>
      <w:r w:rsidRPr="00D724DA">
        <w:rPr>
          <w:rFonts w:ascii="Garamond" w:hAnsi="Garamond"/>
          <w:smallCaps/>
        </w:rPr>
        <w:t xml:space="preserve">A. Cianflone – G. Giovannini, </w:t>
      </w:r>
      <w:r w:rsidRPr="00D724DA">
        <w:rPr>
          <w:rFonts w:ascii="Garamond" w:hAnsi="Garamond"/>
          <w:i/>
        </w:rPr>
        <w:t>L’appalto di opere pubbliche</w:t>
      </w:r>
      <w:r w:rsidRPr="00D724DA">
        <w:rPr>
          <w:rFonts w:ascii="Garamond" w:hAnsi="Garamond"/>
        </w:rPr>
        <w:t>, Giuffrè ed.).</w:t>
      </w:r>
    </w:p>
  </w:footnote>
  <w:footnote w:id="47">
    <w:p w14:paraId="47FD1E3F" w14:textId="42A9C85C" w:rsidR="00961B0C" w:rsidRPr="00D724DA" w:rsidRDefault="00961B0C" w:rsidP="004C5160">
      <w:pPr>
        <w:pStyle w:val="Testonotaapidipagina"/>
        <w:jc w:val="both"/>
        <w:rPr>
          <w:rFonts w:ascii="Garamond" w:hAnsi="Garamond"/>
        </w:rPr>
      </w:pPr>
      <w:r w:rsidRPr="00D724DA">
        <w:rPr>
          <w:rStyle w:val="Rimandonotaapidipagina"/>
          <w:rFonts w:ascii="Garamond" w:hAnsi="Garamond"/>
          <w:sz w:val="20"/>
        </w:rPr>
        <w:footnoteRef/>
      </w:r>
      <w:r w:rsidRPr="00D724DA">
        <w:rPr>
          <w:rFonts w:ascii="Garamond" w:hAnsi="Garamond"/>
        </w:rPr>
        <w:t xml:space="preserve"> Cfr. ANAC Consultazione </w:t>
      </w:r>
      <w:r>
        <w:rPr>
          <w:rFonts w:ascii="Garamond" w:hAnsi="Garamond"/>
        </w:rPr>
        <w:t xml:space="preserve">del </w:t>
      </w:r>
      <w:r w:rsidRPr="00D724DA">
        <w:rPr>
          <w:rFonts w:ascii="Garamond" w:hAnsi="Garamond"/>
        </w:rPr>
        <w:t>13.6.2017, poi non sfociata in linee guida. L’ANAC prosegue poi esplicitando che si tratta comunque di una regola non inderogabile poiché “</w:t>
      </w:r>
      <w:r w:rsidRPr="00D724DA">
        <w:rPr>
          <w:rFonts w:ascii="Garamond" w:hAnsi="Garamond"/>
          <w:i/>
        </w:rPr>
        <w:t>Nel caso di assoluta impossibilità di separare le risorse e i mezzi prestati dal complesso aziendale dell’impresa ausiliaria oppure qualora l’impossibilità di utilizzazione degli stessi comporti un sacrificio insostenibile per l’impresa ausiliaria stessa, quest’ultima potrà servirsi dei mezzi e delle risorse prestate anche per le proprie attività, purché le necessità dell’esecutore abbiano comunque la priorità</w:t>
      </w:r>
      <w:r w:rsidRPr="00D724DA">
        <w:rPr>
          <w:rFonts w:ascii="Calibri" w:eastAsia="Calibri" w:hAnsi="Calibri" w:cs="Calibri"/>
          <w:i/>
        </w:rPr>
        <w:t xml:space="preserve"> </w:t>
      </w:r>
      <w:r w:rsidRPr="00D724DA">
        <w:rPr>
          <w:rFonts w:ascii="Garamond" w:hAnsi="Garamond"/>
          <w:i/>
        </w:rPr>
        <w:t>e quest’ultimo possa, in qualunque momento, acquisire la disponibilità materiale dei mezzi e delle risorse oggetto del contratto. Tale condizione deve risultare espressamente dal contratto di avvalimento</w:t>
      </w:r>
      <w:r w:rsidRPr="00D724DA">
        <w:rPr>
          <w:rFonts w:ascii="Garamond" w:hAnsi="Garamond"/>
        </w:rPr>
        <w:t xml:space="preserve">”. </w:t>
      </w:r>
      <w:r>
        <w:rPr>
          <w:rFonts w:ascii="Garamond" w:hAnsi="Garamond"/>
        </w:rPr>
        <w:t xml:space="preserve">Di diverso avviso il Consiglio di Stato, Ad, Plen n. 23/2016, cit., secondo il quale l’applicazione del principio di proporzionalità induce ad interpretare le disposizioni in tema di avvalimento applicando un canone di effettività ma senza che ciò comporti l’instaurazione di un sostanziale rapporto di esclusiva. </w:t>
      </w:r>
    </w:p>
  </w:footnote>
  <w:footnote w:id="48">
    <w:p w14:paraId="196741AA" w14:textId="4B9E187F" w:rsidR="00961B0C" w:rsidRPr="000A1024" w:rsidRDefault="00961B0C" w:rsidP="004C5160">
      <w:pPr>
        <w:pStyle w:val="Testonotaapidipagina"/>
        <w:jc w:val="both"/>
        <w:rPr>
          <w:rFonts w:ascii="Garamond" w:hAnsi="Garamond"/>
        </w:rPr>
      </w:pPr>
      <w:r w:rsidRPr="00D724DA">
        <w:rPr>
          <w:rStyle w:val="Rimandonotaapidipagina"/>
          <w:rFonts w:ascii="Garamond" w:hAnsi="Garamond"/>
          <w:sz w:val="20"/>
        </w:rPr>
        <w:footnoteRef/>
      </w:r>
      <w:r w:rsidRPr="00D724DA">
        <w:rPr>
          <w:rFonts w:ascii="Garamond" w:hAnsi="Garamond"/>
        </w:rPr>
        <w:t xml:space="preserve"> Il </w:t>
      </w:r>
      <w:r w:rsidRPr="00D724DA">
        <w:rPr>
          <w:rFonts w:ascii="Garamond" w:hAnsi="Garamond"/>
          <w:bCs/>
          <w:i/>
          <w:iCs/>
        </w:rPr>
        <w:t xml:space="preserve">thema decidendum </w:t>
      </w:r>
      <w:r w:rsidRPr="00D724DA">
        <w:rPr>
          <w:rFonts w:ascii="Garamond" w:hAnsi="Garamond"/>
          <w:bCs/>
        </w:rPr>
        <w:t xml:space="preserve">sottoposto all’esame dell’Adunanza Plenaria n. 9 del 2 novembre 2015 verteva sulla </w:t>
      </w:r>
      <w:r w:rsidRPr="00D724DA">
        <w:rPr>
          <w:rFonts w:ascii="Garamond" w:hAnsi="Garamond"/>
        </w:rPr>
        <w:t>necessità o meno di indicare il nominativo del subappaltatore in sede di gara nell’ipotesi in cui il subappalto fosse relativo a lavorazioni appartenenti ad una categoria cd. “a qualificazione obbligatoria” che il concorrente</w:t>
      </w:r>
      <w:r w:rsidRPr="000A1024">
        <w:rPr>
          <w:rFonts w:ascii="Garamond" w:hAnsi="Garamond"/>
        </w:rPr>
        <w:t xml:space="preserve"> non poteva eseguire autonomamente (cd. “subappalto necessario”). Sul punto, infatti, si registrava un contrasto giurisprudenziale di cui il Supremo Consesso Amministrativo da’ preliminarmente conto: secondo la prima tesi, “</w:t>
      </w:r>
      <w:r w:rsidRPr="000A1024">
        <w:rPr>
          <w:rFonts w:ascii="Garamond" w:hAnsi="Garamond"/>
          <w:i/>
        </w:rPr>
        <w:t>la necessità della dimostrazione, ai fini della partecipazione alla procedura, della qualificazione per tutte le lavorazioni per le quali la normativa di riferimento la esige implicava, quale indefettibile corollario, la necessità dell’indicazione del nominativo del subappaltatore già nella fase dell’offerta di guisa da permettere alla stazione appaltante il controllo circa il possesso in capo alla concorrente di tutti i requisiti di capacità richiesti per l’esecuzione dell’appalto</w:t>
      </w:r>
      <w:r w:rsidRPr="000A1024">
        <w:rPr>
          <w:rFonts w:ascii="Garamond" w:hAnsi="Garamond"/>
        </w:rPr>
        <w:t>” (</w:t>
      </w:r>
      <w:r>
        <w:rPr>
          <w:rFonts w:ascii="Garamond" w:hAnsi="Garamond"/>
        </w:rPr>
        <w:t>C.d.S</w:t>
      </w:r>
      <w:r w:rsidRPr="000A1024">
        <w:rPr>
          <w:rFonts w:ascii="Garamond" w:hAnsi="Garamond"/>
        </w:rPr>
        <w:t xml:space="preserve">., </w:t>
      </w:r>
      <w:r>
        <w:rPr>
          <w:rFonts w:ascii="Garamond" w:hAnsi="Garamond"/>
        </w:rPr>
        <w:t>S</w:t>
      </w:r>
      <w:r w:rsidRPr="000A1024">
        <w:rPr>
          <w:rFonts w:ascii="Garamond" w:hAnsi="Garamond"/>
        </w:rPr>
        <w:t xml:space="preserve">ez. </w:t>
      </w:r>
      <w:r w:rsidRPr="00961B0C">
        <w:rPr>
          <w:rFonts w:ascii="Garamond" w:hAnsi="Garamond"/>
          <w:lang w:val="en-US"/>
        </w:rPr>
        <w:t xml:space="preserve">V, sent. 25.2.2015, n. 944; sent. 10.2.2015, n. 676; sent. 28.8.2014, n. 4405; Sez. IV, sent. </w:t>
      </w:r>
      <w:r w:rsidRPr="000A1024">
        <w:rPr>
          <w:rFonts w:ascii="Garamond" w:hAnsi="Garamond"/>
        </w:rPr>
        <w:t>26</w:t>
      </w:r>
      <w:r>
        <w:rPr>
          <w:rFonts w:ascii="Garamond" w:hAnsi="Garamond"/>
        </w:rPr>
        <w:t>.8.</w:t>
      </w:r>
      <w:r w:rsidRPr="000A1024">
        <w:rPr>
          <w:rFonts w:ascii="Garamond" w:hAnsi="Garamond"/>
        </w:rPr>
        <w:t xml:space="preserve">2014, n. 4299; </w:t>
      </w:r>
      <w:r>
        <w:rPr>
          <w:rFonts w:ascii="Garamond" w:hAnsi="Garamond"/>
        </w:rPr>
        <w:t>S</w:t>
      </w:r>
      <w:r w:rsidRPr="000A1024">
        <w:rPr>
          <w:rFonts w:ascii="Garamond" w:hAnsi="Garamond"/>
        </w:rPr>
        <w:t>ez. IV, 26</w:t>
      </w:r>
      <w:r>
        <w:rPr>
          <w:rFonts w:ascii="Garamond" w:hAnsi="Garamond"/>
        </w:rPr>
        <w:t>.5.</w:t>
      </w:r>
      <w:r w:rsidRPr="000A1024">
        <w:rPr>
          <w:rFonts w:ascii="Garamond" w:hAnsi="Garamond"/>
        </w:rPr>
        <w:t xml:space="preserve">2014, n. 2675; </w:t>
      </w:r>
      <w:r>
        <w:rPr>
          <w:rFonts w:ascii="Garamond" w:hAnsi="Garamond"/>
        </w:rPr>
        <w:t>S</w:t>
      </w:r>
      <w:r w:rsidRPr="000A1024">
        <w:rPr>
          <w:rFonts w:ascii="Garamond" w:hAnsi="Garamond"/>
        </w:rPr>
        <w:t xml:space="preserve">ez. IV, </w:t>
      </w:r>
      <w:r>
        <w:rPr>
          <w:rFonts w:ascii="Garamond" w:hAnsi="Garamond"/>
        </w:rPr>
        <w:t>13.3.</w:t>
      </w:r>
      <w:r w:rsidRPr="000A1024">
        <w:rPr>
          <w:rFonts w:ascii="Garamond" w:hAnsi="Garamond"/>
        </w:rPr>
        <w:t xml:space="preserve">2014, n. 1224; </w:t>
      </w:r>
      <w:r>
        <w:rPr>
          <w:rFonts w:ascii="Garamond" w:hAnsi="Garamond"/>
        </w:rPr>
        <w:t>S</w:t>
      </w:r>
      <w:r w:rsidRPr="000A1024">
        <w:rPr>
          <w:rFonts w:ascii="Garamond" w:hAnsi="Garamond"/>
        </w:rPr>
        <w:t>ez. III 5</w:t>
      </w:r>
      <w:r>
        <w:rPr>
          <w:rFonts w:ascii="Garamond" w:hAnsi="Garamond"/>
        </w:rPr>
        <w:t>.12.</w:t>
      </w:r>
      <w:r w:rsidRPr="000A1024">
        <w:rPr>
          <w:rFonts w:ascii="Garamond" w:hAnsi="Garamond"/>
        </w:rPr>
        <w:t>2013, n. 5781); secondo la diversa e minoritaria lettura, viceversa, “</w:t>
      </w:r>
      <w:r w:rsidRPr="000A1024">
        <w:rPr>
          <w:rFonts w:ascii="Garamond" w:hAnsi="Garamond"/>
          <w:i/>
        </w:rPr>
        <w:t>una corretta esegesi delle regole che presidiano i requisiti di qualificazione, e che escludono che, ai fini della partecipazione alla gara, sia necessario il possesso della qualificazione anche per le opere relative alle categorie scorporabili (esigendo il ricorso al subappalto solo per quelle a qualificazione necessaria e nella sola fase dell’esecuzione dell’appalto), impone la diversa soluzione dell’affermazione del solo obbligo di indicazione delle lavorazioni che il concorrente intende affidare in subappalto, ma non anche del nome dell’impresa subappaltatrice</w:t>
      </w:r>
      <w:r w:rsidRPr="000A1024">
        <w:rPr>
          <w:rFonts w:ascii="Garamond" w:hAnsi="Garamond"/>
        </w:rPr>
        <w:t>” (</w:t>
      </w:r>
      <w:r>
        <w:rPr>
          <w:rFonts w:ascii="Garamond" w:hAnsi="Garamond"/>
        </w:rPr>
        <w:t>C.d.S</w:t>
      </w:r>
      <w:r w:rsidRPr="000A1024">
        <w:rPr>
          <w:rFonts w:ascii="Garamond" w:hAnsi="Garamond"/>
        </w:rPr>
        <w:t xml:space="preserve">., </w:t>
      </w:r>
      <w:r>
        <w:rPr>
          <w:rFonts w:ascii="Garamond" w:hAnsi="Garamond"/>
        </w:rPr>
        <w:t>S</w:t>
      </w:r>
      <w:r w:rsidRPr="000A1024">
        <w:rPr>
          <w:rFonts w:ascii="Garamond" w:hAnsi="Garamond"/>
        </w:rPr>
        <w:t xml:space="preserve">ez. IV, </w:t>
      </w:r>
      <w:r>
        <w:rPr>
          <w:rFonts w:ascii="Garamond" w:hAnsi="Garamond"/>
        </w:rPr>
        <w:t>sent. 4.5.</w:t>
      </w:r>
      <w:r w:rsidRPr="000A1024">
        <w:rPr>
          <w:rFonts w:ascii="Garamond" w:hAnsi="Garamond"/>
        </w:rPr>
        <w:t xml:space="preserve">2015, n. 2223; </w:t>
      </w:r>
      <w:r>
        <w:rPr>
          <w:rFonts w:ascii="Garamond" w:hAnsi="Garamond"/>
        </w:rPr>
        <w:t>S</w:t>
      </w:r>
      <w:r w:rsidRPr="000A1024">
        <w:rPr>
          <w:rFonts w:ascii="Garamond" w:hAnsi="Garamond"/>
        </w:rPr>
        <w:t xml:space="preserve">ez. V, </w:t>
      </w:r>
      <w:r>
        <w:rPr>
          <w:rFonts w:ascii="Garamond" w:hAnsi="Garamond"/>
        </w:rPr>
        <w:t xml:space="preserve">sent. </w:t>
      </w:r>
      <w:r w:rsidRPr="000A1024">
        <w:rPr>
          <w:rFonts w:ascii="Garamond" w:hAnsi="Garamond"/>
        </w:rPr>
        <w:t>7</w:t>
      </w:r>
      <w:r>
        <w:rPr>
          <w:rFonts w:ascii="Garamond" w:hAnsi="Garamond"/>
        </w:rPr>
        <w:t>.7.</w:t>
      </w:r>
      <w:r w:rsidRPr="000A1024">
        <w:rPr>
          <w:rFonts w:ascii="Garamond" w:hAnsi="Garamond"/>
        </w:rPr>
        <w:t xml:space="preserve">2014, n. 3449; </w:t>
      </w:r>
      <w:r>
        <w:rPr>
          <w:rFonts w:ascii="Garamond" w:hAnsi="Garamond"/>
        </w:rPr>
        <w:t>sent.</w:t>
      </w:r>
      <w:r w:rsidRPr="000A1024">
        <w:rPr>
          <w:rFonts w:ascii="Garamond" w:hAnsi="Garamond"/>
        </w:rPr>
        <w:t xml:space="preserve"> 19</w:t>
      </w:r>
      <w:r>
        <w:rPr>
          <w:rFonts w:ascii="Garamond" w:hAnsi="Garamond"/>
        </w:rPr>
        <w:t>.6.</w:t>
      </w:r>
      <w:r w:rsidRPr="000A1024">
        <w:rPr>
          <w:rFonts w:ascii="Garamond" w:hAnsi="Garamond"/>
        </w:rPr>
        <w:t>2012, n. 3563).</w:t>
      </w:r>
    </w:p>
  </w:footnote>
  <w:footnote w:id="49">
    <w:p w14:paraId="146FB433" w14:textId="5FDB0BC7" w:rsidR="00961B0C" w:rsidRPr="00460B5C" w:rsidRDefault="00961B0C" w:rsidP="004C5160">
      <w:pPr>
        <w:pStyle w:val="Testonotaapidipagina"/>
        <w:jc w:val="both"/>
        <w:rPr>
          <w:rFonts w:ascii="Garamond" w:hAnsi="Garamond"/>
        </w:rPr>
      </w:pPr>
      <w:r w:rsidRPr="00460B5C">
        <w:rPr>
          <w:rStyle w:val="Rimandonotaapidipagina"/>
          <w:rFonts w:ascii="Garamond" w:hAnsi="Garamond"/>
          <w:sz w:val="20"/>
        </w:rPr>
        <w:footnoteRef/>
      </w:r>
      <w:r>
        <w:rPr>
          <w:rFonts w:ascii="Garamond" w:hAnsi="Garamond"/>
        </w:rPr>
        <w:t xml:space="preserve"> Il contesto normativo di riferimento era costituito dagli</w:t>
      </w:r>
      <w:r w:rsidRPr="00460B5C">
        <w:rPr>
          <w:rFonts w:ascii="Garamond" w:hAnsi="Garamond"/>
        </w:rPr>
        <w:t xml:space="preserve"> artt. 92 “</w:t>
      </w:r>
      <w:r w:rsidRPr="00460B5C">
        <w:rPr>
          <w:rFonts w:ascii="Garamond" w:hAnsi="Garamond"/>
          <w:i/>
        </w:rPr>
        <w:t>requisiti del concorrente singolo e di quelli riuniti</w:t>
      </w:r>
      <w:r w:rsidRPr="00460B5C">
        <w:rPr>
          <w:rFonts w:ascii="Garamond" w:hAnsi="Garamond"/>
        </w:rPr>
        <w:t>” e 109 “</w:t>
      </w:r>
      <w:r w:rsidRPr="00460B5C">
        <w:rPr>
          <w:rFonts w:ascii="Garamond" w:hAnsi="Garamond"/>
          <w:i/>
        </w:rPr>
        <w:t>criteri di affidamento delle opere generali e delle opere specializzate non eseguite direttamente</w:t>
      </w:r>
      <w:r w:rsidRPr="00460B5C">
        <w:rPr>
          <w:rFonts w:ascii="Garamond" w:hAnsi="Garamond"/>
        </w:rPr>
        <w:t>” d.P.R. n. 207/2010; 37 “</w:t>
      </w:r>
      <w:r w:rsidRPr="00460B5C">
        <w:rPr>
          <w:rFonts w:ascii="Garamond" w:hAnsi="Garamond"/>
          <w:i/>
        </w:rPr>
        <w:t>raggruppamenti temporanei e consorzi ordinari di concorrenti</w:t>
      </w:r>
      <w:r w:rsidRPr="00460B5C">
        <w:rPr>
          <w:rFonts w:ascii="Garamond" w:hAnsi="Garamond"/>
        </w:rPr>
        <w:t>” e 118 “</w:t>
      </w:r>
      <w:r w:rsidRPr="00460B5C">
        <w:rPr>
          <w:rFonts w:ascii="Garamond" w:hAnsi="Garamond"/>
          <w:i/>
        </w:rPr>
        <w:t xml:space="preserve">subappalto. Attività che non costituiscono subappalto e tutela del lavoro” </w:t>
      </w:r>
      <w:r w:rsidRPr="00460B5C">
        <w:rPr>
          <w:rFonts w:ascii="Garamond" w:hAnsi="Garamond"/>
        </w:rPr>
        <w:t>D. Lgs.</w:t>
      </w:r>
      <w:r>
        <w:rPr>
          <w:rFonts w:ascii="Garamond" w:hAnsi="Garamond"/>
        </w:rPr>
        <w:t xml:space="preserve"> n.</w:t>
      </w:r>
      <w:r w:rsidRPr="00460B5C">
        <w:rPr>
          <w:rFonts w:ascii="Garamond" w:hAnsi="Garamond"/>
        </w:rPr>
        <w:t xml:space="preserve"> 163/2006.</w:t>
      </w:r>
    </w:p>
  </w:footnote>
  <w:footnote w:id="50">
    <w:p w14:paraId="2483EE3F" w14:textId="524D66C1" w:rsidR="00961B0C" w:rsidRPr="00460B5C" w:rsidRDefault="00961B0C" w:rsidP="004C5160">
      <w:pPr>
        <w:pStyle w:val="Testonotaapidipagina"/>
        <w:jc w:val="both"/>
        <w:rPr>
          <w:rFonts w:ascii="Garamond" w:hAnsi="Garamond"/>
        </w:rPr>
      </w:pPr>
      <w:r w:rsidRPr="00460B5C">
        <w:rPr>
          <w:rStyle w:val="Rimandonotaapidipagina"/>
          <w:rFonts w:ascii="Garamond" w:hAnsi="Garamond"/>
          <w:sz w:val="20"/>
        </w:rPr>
        <w:footnoteRef/>
      </w:r>
      <w:r w:rsidRPr="00460B5C">
        <w:rPr>
          <w:rFonts w:ascii="Garamond" w:hAnsi="Garamond"/>
          <w:lang w:val="en-US"/>
        </w:rPr>
        <w:t xml:space="preserve"> Cfr. C.d.S., Sez. IV, sent. </w:t>
      </w:r>
      <w:r w:rsidRPr="00460B5C">
        <w:rPr>
          <w:rFonts w:ascii="Garamond" w:hAnsi="Garamond"/>
        </w:rPr>
        <w:t>3.3.2016, n. 879; Sez. III, sent. 18.11.2016, n. 4798 che richiedono la necessaria indicazione del subappaltatore nelle ipotesi in cui il subappalto si renda necessario a cagione del mancato autonomo possesso da parte del concorrente dei necessari requisiti di qualificazione.</w:t>
      </w:r>
    </w:p>
  </w:footnote>
  <w:footnote w:id="51">
    <w:p w14:paraId="0BA46102" w14:textId="485E26A2" w:rsidR="00961B0C" w:rsidRPr="005F2582" w:rsidRDefault="00961B0C" w:rsidP="004C5160">
      <w:pPr>
        <w:pStyle w:val="Testonotaapidipagina"/>
        <w:jc w:val="both"/>
        <w:rPr>
          <w:rFonts w:ascii="Garamond" w:hAnsi="Garamond"/>
        </w:rPr>
      </w:pPr>
      <w:r w:rsidRPr="00460B5C">
        <w:rPr>
          <w:rStyle w:val="Rimandonotaapidipagina"/>
          <w:rFonts w:ascii="Garamond" w:hAnsi="Garamond"/>
          <w:sz w:val="20"/>
        </w:rPr>
        <w:footnoteRef/>
      </w:r>
      <w:r w:rsidRPr="00460B5C">
        <w:rPr>
          <w:rFonts w:ascii="Garamond" w:hAnsi="Garamond"/>
        </w:rPr>
        <w:t xml:space="preserve"> TAR Napoli, Sez. I, sent. 1.3.2018, n. 1336. Sul punto, si confronti anche la recente sentenza TAR Lazio, Sez. I-</w:t>
      </w:r>
      <w:r w:rsidRPr="00460B5C">
        <w:rPr>
          <w:rFonts w:ascii="Garamond" w:hAnsi="Garamond"/>
          <w:i/>
        </w:rPr>
        <w:t>bis</w:t>
      </w:r>
      <w:r w:rsidRPr="00460B5C">
        <w:rPr>
          <w:rFonts w:ascii="Garamond" w:hAnsi="Garamond"/>
        </w:rPr>
        <w:t xml:space="preserve">, sent. 7.1.2019, n. 146: anch’essa valorizza infatti la natura polivalente dell’istituto, richiedendo tuttavia non la specifica indicazione del </w:t>
      </w:r>
      <w:r w:rsidRPr="005F2582">
        <w:rPr>
          <w:rFonts w:ascii="Garamond" w:hAnsi="Garamond"/>
        </w:rPr>
        <w:t>nominativo del subappaltatore quanto piuttosto delle opere o dei servizi che si intendono subappaltare.</w:t>
      </w:r>
    </w:p>
  </w:footnote>
  <w:footnote w:id="52">
    <w:p w14:paraId="22595C3A" w14:textId="7190EEEA" w:rsidR="00961B0C" w:rsidRPr="005F2582" w:rsidRDefault="00961B0C" w:rsidP="004C5160">
      <w:pPr>
        <w:pStyle w:val="Testonotaapidipagina"/>
        <w:jc w:val="both"/>
        <w:rPr>
          <w:rFonts w:ascii="Garamond" w:hAnsi="Garamond"/>
        </w:rPr>
      </w:pPr>
      <w:r w:rsidRPr="005F2582">
        <w:rPr>
          <w:rStyle w:val="Rimandonotaapidipagina"/>
          <w:rFonts w:ascii="Garamond" w:hAnsi="Garamond"/>
          <w:sz w:val="20"/>
        </w:rPr>
        <w:footnoteRef/>
      </w:r>
      <w:r w:rsidRPr="005F2582">
        <w:rPr>
          <w:rFonts w:ascii="Garamond" w:hAnsi="Garamond"/>
        </w:rPr>
        <w:t xml:space="preserve"> TAR Pescara, Sez. I, sent. 3.6.2019, n. 144.</w:t>
      </w:r>
    </w:p>
  </w:footnote>
  <w:footnote w:id="53">
    <w:p w14:paraId="03EEE19A" w14:textId="0B1EACB6" w:rsidR="00961B0C" w:rsidRPr="005F2582" w:rsidRDefault="00961B0C" w:rsidP="004C5160">
      <w:pPr>
        <w:pStyle w:val="Testonotaapidipagina"/>
        <w:jc w:val="both"/>
        <w:rPr>
          <w:rFonts w:ascii="Garamond" w:hAnsi="Garamond"/>
          <w:color w:val="FF0000"/>
        </w:rPr>
      </w:pPr>
      <w:r w:rsidRPr="005F2582">
        <w:rPr>
          <w:rStyle w:val="Rimandonotaapidipagina"/>
          <w:rFonts w:ascii="Garamond" w:hAnsi="Garamond"/>
          <w:sz w:val="20"/>
        </w:rPr>
        <w:footnoteRef/>
      </w:r>
      <w:r w:rsidRPr="005F2582">
        <w:rPr>
          <w:rFonts w:ascii="Garamond" w:hAnsi="Garamond"/>
        </w:rPr>
        <w:t xml:space="preserve"> Art. 71, co</w:t>
      </w:r>
      <w:r>
        <w:rPr>
          <w:rFonts w:ascii="Garamond" w:hAnsi="Garamond"/>
        </w:rPr>
        <w:t>.</w:t>
      </w:r>
      <w:r w:rsidRPr="005F2582">
        <w:rPr>
          <w:rFonts w:ascii="Garamond" w:hAnsi="Garamond"/>
        </w:rPr>
        <w:t xml:space="preserve"> 2, Direttiva n. 2014/24/UE, secondo cui “</w:t>
      </w:r>
      <w:r w:rsidRPr="005F2582">
        <w:rPr>
          <w:rFonts w:ascii="Garamond" w:hAnsi="Garamond"/>
          <w:i/>
        </w:rPr>
        <w:t>nei documenti di gara l’amministrazione aggiudicatrice può chiedere o può essere obbligata da uno Stato membro a chiedere all’offerente di indicare, nella sua offerta, le eventuali parti dell’appalto che intende subappaltare a terzi, nonché i subappaltatori proposti</w:t>
      </w:r>
      <w:r w:rsidRPr="005F2582">
        <w:rPr>
          <w:rFonts w:ascii="Garamond" w:hAnsi="Garamond"/>
        </w:rPr>
        <w:t>”.</w:t>
      </w:r>
    </w:p>
  </w:footnote>
  <w:footnote w:id="54">
    <w:p w14:paraId="22B7C3A6" w14:textId="32D47D29" w:rsidR="00961B0C" w:rsidRPr="00F35BE2" w:rsidRDefault="00961B0C" w:rsidP="004C5160">
      <w:pPr>
        <w:pStyle w:val="Testonotaapidipagina"/>
        <w:jc w:val="both"/>
        <w:rPr>
          <w:rFonts w:ascii="Garamond" w:hAnsi="Garamond"/>
        </w:rPr>
      </w:pPr>
      <w:r w:rsidRPr="005F2582">
        <w:rPr>
          <w:rStyle w:val="Rimandonotaapidipagina"/>
          <w:rFonts w:ascii="Garamond" w:hAnsi="Garamond"/>
          <w:sz w:val="20"/>
        </w:rPr>
        <w:footnoteRef/>
      </w:r>
      <w:r w:rsidRPr="005F2582">
        <w:rPr>
          <w:rFonts w:ascii="Garamond" w:hAnsi="Garamond"/>
        </w:rPr>
        <w:t xml:space="preserve"> Cfr. art. 1, co</w:t>
      </w:r>
      <w:r>
        <w:rPr>
          <w:rFonts w:ascii="Garamond" w:hAnsi="Garamond"/>
        </w:rPr>
        <w:t>.</w:t>
      </w:r>
      <w:r w:rsidRPr="005F2582">
        <w:rPr>
          <w:rFonts w:ascii="Garamond" w:hAnsi="Garamond"/>
        </w:rPr>
        <w:t xml:space="preserve"> 1, lett. </w:t>
      </w:r>
      <w:r w:rsidRPr="00961B0C">
        <w:rPr>
          <w:rFonts w:ascii="Garamond" w:hAnsi="Garamond"/>
          <w:i/>
        </w:rPr>
        <w:t>rrr</w:t>
      </w:r>
      <w:r w:rsidRPr="005F2582">
        <w:rPr>
          <w:rFonts w:ascii="Garamond" w:hAnsi="Garamond"/>
        </w:rPr>
        <w:t>): “</w:t>
      </w:r>
      <w:r w:rsidRPr="005F2582">
        <w:rPr>
          <w:rFonts w:ascii="Garamond" w:hAnsi="Garamond"/>
          <w:i/>
        </w:rPr>
        <w:t>introduzione</w:t>
      </w:r>
      <w:r w:rsidRPr="00460B5C">
        <w:rPr>
          <w:rFonts w:ascii="Garamond" w:hAnsi="Garamond"/>
          <w:i/>
        </w:rPr>
        <w:t xml:space="preserve"> nei</w:t>
      </w:r>
      <w:r w:rsidRPr="00F3509C">
        <w:rPr>
          <w:rFonts w:ascii="Garamond" w:hAnsi="Garamond"/>
          <w:i/>
        </w:rPr>
        <w:t xml:space="preserve"> contratti di lavori, servizi e forniture di una disciplina specifica per il subappalto, prevedendo </w:t>
      </w:r>
      <w:r w:rsidRPr="00F35BE2">
        <w:rPr>
          <w:rFonts w:ascii="Garamond" w:hAnsi="Garamond"/>
          <w:i/>
        </w:rPr>
        <w:t>in particolare: (…) l’espressa individuazione dei casi specifici in cui vige l’obbligo di indicare, in sede di offerta, una terna di nominativi di subappaltatori per ogni tipologia di attività prevista in progetto</w:t>
      </w:r>
      <w:r w:rsidRPr="00F35BE2">
        <w:rPr>
          <w:rFonts w:ascii="Garamond" w:hAnsi="Garamond"/>
        </w:rPr>
        <w:t>”. </w:t>
      </w:r>
    </w:p>
  </w:footnote>
  <w:footnote w:id="55">
    <w:p w14:paraId="07088870" w14:textId="4FA5E02D" w:rsidR="00961B0C" w:rsidRPr="00F35BE2" w:rsidRDefault="00961B0C" w:rsidP="004C5160">
      <w:pPr>
        <w:pStyle w:val="Testonotaapidipagina"/>
        <w:jc w:val="both"/>
        <w:rPr>
          <w:rFonts w:ascii="Garamond" w:hAnsi="Garamond"/>
        </w:rPr>
      </w:pPr>
      <w:r w:rsidRPr="00F35BE2">
        <w:rPr>
          <w:rStyle w:val="Rimandonotaapidipagina"/>
          <w:rFonts w:ascii="Garamond" w:hAnsi="Garamond"/>
          <w:sz w:val="20"/>
        </w:rPr>
        <w:footnoteRef/>
      </w:r>
      <w:r w:rsidRPr="00F35BE2">
        <w:rPr>
          <w:rFonts w:ascii="Garamond" w:hAnsi="Garamond"/>
        </w:rPr>
        <w:t xml:space="preserve"> Secondo le modifiche apportate poi dal correttivo D.Lgs. n. 56/2017 l’obbligo era </w:t>
      </w:r>
      <w:r>
        <w:rPr>
          <w:rFonts w:ascii="Garamond" w:hAnsi="Garamond"/>
        </w:rPr>
        <w:t>riferibile</w:t>
      </w:r>
      <w:r w:rsidRPr="00F35BE2">
        <w:rPr>
          <w:rFonts w:ascii="Garamond" w:hAnsi="Garamond"/>
        </w:rPr>
        <w:t xml:space="preserve"> </w:t>
      </w:r>
      <w:r w:rsidRPr="00F35BE2">
        <w:rPr>
          <w:rFonts w:ascii="Garamond" w:hAnsi="Garamond"/>
          <w:bCs/>
        </w:rPr>
        <w:t>alle attività maggiormente esposte al rischio di infiltrazione mafiosa, ai sensi dell’art. 53, co. 1, l. n. 190/2012</w:t>
      </w:r>
      <w:r>
        <w:rPr>
          <w:rFonts w:ascii="Garamond" w:hAnsi="Garamond"/>
          <w:bCs/>
        </w:rPr>
        <w:t>.</w:t>
      </w:r>
    </w:p>
  </w:footnote>
  <w:footnote w:id="56">
    <w:p w14:paraId="3D0DEC7F" w14:textId="612EB024" w:rsidR="00961B0C" w:rsidRPr="008C51FC" w:rsidRDefault="00961B0C" w:rsidP="004C5160">
      <w:pPr>
        <w:pStyle w:val="Testonotaapidipagina"/>
        <w:jc w:val="both"/>
        <w:rPr>
          <w:rFonts w:ascii="Garamond" w:hAnsi="Garamond"/>
        </w:rPr>
      </w:pPr>
      <w:r w:rsidRPr="00F35BE2">
        <w:rPr>
          <w:rStyle w:val="Rimandonotaapidipagina"/>
          <w:rFonts w:ascii="Garamond" w:hAnsi="Garamond"/>
          <w:sz w:val="20"/>
        </w:rPr>
        <w:footnoteRef/>
      </w:r>
      <w:r w:rsidRPr="00F35BE2">
        <w:rPr>
          <w:rFonts w:ascii="Garamond" w:hAnsi="Garamond"/>
        </w:rPr>
        <w:t xml:space="preserve"> Sulla diversità di presu</w:t>
      </w:r>
      <w:r w:rsidRPr="001A6E30">
        <w:rPr>
          <w:rFonts w:ascii="Garamond" w:hAnsi="Garamond"/>
        </w:rPr>
        <w:t xml:space="preserve">pposti e funzioni che caratterizzano avvalimento e subappalto, con esclusione del ruolo del subappalto ai fini di integrazione dei requisiti, cfr. ANAC </w:t>
      </w:r>
      <w:r>
        <w:rPr>
          <w:rFonts w:ascii="Garamond" w:hAnsi="Garamond"/>
        </w:rPr>
        <w:t>D</w:t>
      </w:r>
      <w:r w:rsidRPr="001A6E30">
        <w:rPr>
          <w:rFonts w:ascii="Garamond" w:hAnsi="Garamond"/>
        </w:rPr>
        <w:t>et</w:t>
      </w:r>
      <w:r>
        <w:rPr>
          <w:rFonts w:ascii="Garamond" w:hAnsi="Garamond"/>
        </w:rPr>
        <w:t>.</w:t>
      </w:r>
      <w:r w:rsidRPr="001A6E30">
        <w:rPr>
          <w:rFonts w:ascii="Garamond" w:hAnsi="Garamond"/>
        </w:rPr>
        <w:t>, dell’1.8.2012, n. 2; Par. del 20.12.2017, n. 1333; Par. del 21.2.2018, n. 181, cit., in cui si chiarisce che “</w:t>
      </w:r>
      <w:r w:rsidRPr="001A6E30">
        <w:rPr>
          <w:rFonts w:ascii="Garamond" w:hAnsi="Garamond"/>
          <w:i/>
        </w:rPr>
        <w:t>i  requisiti posseduti dalle imprese indicate come subappaltatrici dall’impresa  istante non concorrono in alcun modo ad integrare i requisiti richiesti per la  partecipazione alla gara né quelli richiesti ai fini del conseguimento di un  maggiore punteggio tecnico, e che non depone in senso contrario la disposizione  di cui all’art. 89, comma 8 sopra citata, il cui fine unico è quello di  chiarire che, a normativa vigente, mentre in fase di qualificazione il  concorrente può utilizzare liberamente l’avvalimento, qualora esso si  concretizzi in subappalto, quest’ultimo incontra i limiti previsti dalla  disciplina speciale pubblicistica per esso stabilita</w:t>
      </w:r>
      <w:r w:rsidRPr="001A6E30">
        <w:rPr>
          <w:rFonts w:ascii="Garamond" w:hAnsi="Garamond"/>
          <w:i/>
          <w:iCs/>
        </w:rPr>
        <w:t> (…l'impresa ausiliaria può assumere il  ruolo di subappaltatore nei limiti dei requisiti prestati)</w:t>
      </w:r>
      <w:r w:rsidRPr="001A6E30">
        <w:rPr>
          <w:rFonts w:ascii="Garamond" w:hAnsi="Garamond"/>
        </w:rPr>
        <w:t>”.</w:t>
      </w:r>
    </w:p>
  </w:footnote>
  <w:footnote w:id="57">
    <w:p w14:paraId="1A4E40A4" w14:textId="031C985A" w:rsidR="00961B0C" w:rsidRPr="00F35BE2" w:rsidRDefault="00961B0C" w:rsidP="004C5160">
      <w:pPr>
        <w:pStyle w:val="Testonotaapidipagina"/>
        <w:jc w:val="both"/>
        <w:rPr>
          <w:rFonts w:ascii="Garamond" w:hAnsi="Garamond"/>
        </w:rPr>
      </w:pPr>
      <w:r w:rsidRPr="00F35BE2">
        <w:rPr>
          <w:rStyle w:val="Rimandonotaapidipagina"/>
          <w:rFonts w:ascii="Garamond" w:hAnsi="Garamond"/>
          <w:sz w:val="20"/>
        </w:rPr>
        <w:footnoteRef/>
      </w:r>
      <w:r w:rsidRPr="00F35BE2">
        <w:rPr>
          <w:rFonts w:ascii="Garamond" w:hAnsi="Garamond"/>
        </w:rPr>
        <w:t xml:space="preserve"> Già nella vigenza del previgente Codice </w:t>
      </w:r>
      <w:r>
        <w:rPr>
          <w:rFonts w:ascii="Garamond" w:hAnsi="Garamond"/>
        </w:rPr>
        <w:t>la giurisprudenza si era espressa in tal senso</w:t>
      </w:r>
      <w:r w:rsidRPr="00F35BE2">
        <w:rPr>
          <w:rFonts w:ascii="Garamond" w:hAnsi="Garamond"/>
        </w:rPr>
        <w:t>: cfr.  C.d.S., Sez. V, sent. 12.6.2009, n. 3791, secondo cui “</w:t>
      </w:r>
      <w:r w:rsidRPr="00F35BE2">
        <w:rPr>
          <w:rFonts w:ascii="Garamond" w:hAnsi="Garamond"/>
          <w:i/>
        </w:rPr>
        <w:t xml:space="preserve">L'avvalimento, previsto dall'art. 49 del codice dei contratti </w:t>
      </w:r>
      <w:r>
        <w:rPr>
          <w:rFonts w:ascii="Garamond" w:hAnsi="Garamond"/>
          <w:i/>
        </w:rPr>
        <w:t>p</w:t>
      </w:r>
      <w:r w:rsidRPr="00F35BE2">
        <w:rPr>
          <w:rFonts w:ascii="Garamond" w:hAnsi="Garamond"/>
          <w:i/>
        </w:rPr>
        <w:t>ubblici, implica che il concorrente, che abbia dichiarato di volersi avvalere delle risorse di una impresa ausiliaria, di esse deve avere una disponibilità immediata, nel senso che, a prescindere dalla forma contrattuale scelta, deve poterle usare per eseguire il contratto senza l'intermediazione della suddetta impresa; segue da ciò che la disponibilità da questa assicurata al vincitore non può identificarsi nella mera possibilità dell'aggiudicatario di rivolgersi ad essa quale cliente per farle svolgere i lavori oggetto dell'appalto, atteso che un'interpretazione così lata del concetto di disponibilità si tradurrebbe in un subappalto generalizzato senza il rispetto dei limiti fissati, in tema di dichiarazione e programmazione, dall'art. 118 del succitato codice dei contratti pubblici”.</w:t>
      </w:r>
    </w:p>
  </w:footnote>
  <w:footnote w:id="58">
    <w:p w14:paraId="26F4ECBF" w14:textId="5AE0F6EC" w:rsidR="00961B0C" w:rsidRPr="00F35BE2" w:rsidRDefault="00961B0C" w:rsidP="004C5160">
      <w:pPr>
        <w:pStyle w:val="Testonotaapidipagina"/>
        <w:jc w:val="both"/>
        <w:rPr>
          <w:rFonts w:ascii="Garamond" w:hAnsi="Garamond"/>
        </w:rPr>
      </w:pPr>
      <w:r w:rsidRPr="00F35BE2">
        <w:rPr>
          <w:rStyle w:val="Rimandonotaapidipagina"/>
          <w:rFonts w:ascii="Garamond" w:hAnsi="Garamond"/>
          <w:sz w:val="20"/>
        </w:rPr>
        <w:footnoteRef/>
      </w:r>
      <w:r w:rsidRPr="00F35BE2">
        <w:rPr>
          <w:rFonts w:ascii="Garamond" w:hAnsi="Garamond"/>
        </w:rPr>
        <w:t xml:space="preserve"> Valga tra tutte, in questo senso, la sentenza n. 936/2015 del Consiglio di Stato</w:t>
      </w:r>
      <w:r w:rsidRPr="00F35BE2">
        <w:rPr>
          <w:rFonts w:ascii="Garamond" w:hAnsi="Garamond"/>
          <w:vertAlign w:val="superscript"/>
        </w:rPr>
        <w:footnoteRef/>
      </w:r>
      <w:r w:rsidRPr="00F35BE2">
        <w:rPr>
          <w:rFonts w:ascii="Garamond" w:hAnsi="Garamond"/>
        </w:rPr>
        <w:t xml:space="preserve">, secondo cui </w:t>
      </w:r>
      <w:r>
        <w:rPr>
          <w:rFonts w:ascii="Garamond" w:hAnsi="Garamond"/>
        </w:rPr>
        <w:t xml:space="preserve">al subappaltatore spetta l’organizzazione dei mezzi necessari e su di esso grava il rischio </w:t>
      </w:r>
      <w:r w:rsidRPr="00F35BE2">
        <w:rPr>
          <w:rFonts w:ascii="Garamond" w:hAnsi="Garamond"/>
        </w:rPr>
        <w:t>“</w:t>
      </w:r>
      <w:r w:rsidRPr="00F35BE2">
        <w:rPr>
          <w:rFonts w:ascii="Garamond" w:hAnsi="Garamond"/>
          <w:i/>
        </w:rPr>
        <w:t xml:space="preserve">anche a voler intendere la nozione di subappalto secondo un criterio di tipo sostanziale, in forza del quale rientrerebbe nella fattispecie in esame ogni ipotesi in cui l'appaltatore non esegue le prestazioni con la propria organizzazione, bensì mediante soggetti terzi, giuridicamente ed economicamente distinti, si deve comunque rilevare che il connotato indefettibile del subappalto è costituito dal fatto che venga demandata ad un soggetto terzo, giuridicamente ed economicamente distinto dall'appaltatore, l'esecuzione totale o parziale dell'opera o dei servizio appaltati, con organizzazione di mezzi e rischio a carico del subappaltatore. Se questa autonomia manca, come si è evidenziato ed accertato nel caso di specie, il soggetto opera come mero esecutore materiale in favore dell'appaltatore e il subappalto non può configurarsi”. </w:t>
      </w:r>
    </w:p>
  </w:footnote>
  <w:footnote w:id="59">
    <w:p w14:paraId="5E0CF39F" w14:textId="77777777" w:rsidR="00961B0C" w:rsidRPr="00A01EFF" w:rsidRDefault="00961B0C" w:rsidP="004C5160">
      <w:pPr>
        <w:pStyle w:val="Testonotaapidipagina"/>
        <w:jc w:val="both"/>
        <w:rPr>
          <w:rFonts w:ascii="Garamond" w:hAnsi="Garamond"/>
        </w:rPr>
      </w:pPr>
      <w:r w:rsidRPr="00F35BE2">
        <w:rPr>
          <w:rStyle w:val="Rimandonotaapidipagina"/>
          <w:rFonts w:ascii="Garamond" w:hAnsi="Garamond"/>
          <w:sz w:val="20"/>
        </w:rPr>
        <w:footnoteRef/>
      </w:r>
      <w:r w:rsidRPr="00A01EFF">
        <w:rPr>
          <w:rFonts w:ascii="Garamond" w:hAnsi="Garamond"/>
        </w:rPr>
        <w:t xml:space="preserve"> TAR Lazio, Sez. I-</w:t>
      </w:r>
      <w:r w:rsidRPr="00961B0C">
        <w:rPr>
          <w:rFonts w:ascii="Garamond" w:hAnsi="Garamond"/>
          <w:i/>
        </w:rPr>
        <w:t>bis</w:t>
      </w:r>
      <w:r w:rsidRPr="00A01EFF">
        <w:rPr>
          <w:rFonts w:ascii="Garamond" w:hAnsi="Garamond"/>
        </w:rPr>
        <w:t>, sent. 8.2.2017, n. 2120.</w:t>
      </w:r>
    </w:p>
  </w:footnote>
  <w:footnote w:id="60">
    <w:p w14:paraId="1A6E7EEA" w14:textId="1B1F92FF" w:rsidR="00961B0C" w:rsidRPr="00961B0C" w:rsidRDefault="00961B0C" w:rsidP="004C5160">
      <w:pPr>
        <w:pStyle w:val="Testonotaapidipagina"/>
        <w:jc w:val="both"/>
        <w:rPr>
          <w:rFonts w:ascii="Garamond" w:hAnsi="Garamond"/>
          <w:lang w:val="en-US"/>
        </w:rPr>
      </w:pPr>
      <w:r w:rsidRPr="000A1024">
        <w:rPr>
          <w:rStyle w:val="Rimandonotaapidipagina"/>
          <w:rFonts w:ascii="Garamond" w:hAnsi="Garamond"/>
          <w:sz w:val="20"/>
        </w:rPr>
        <w:footnoteRef/>
      </w:r>
      <w:r w:rsidRPr="000A1024">
        <w:rPr>
          <w:rFonts w:ascii="Garamond" w:hAnsi="Garamond"/>
        </w:rPr>
        <w:t xml:space="preserve"> TAR Brescia, Sez. II, sent. </w:t>
      </w:r>
      <w:r w:rsidRPr="00961B0C">
        <w:rPr>
          <w:rFonts w:ascii="Garamond" w:hAnsi="Garamond"/>
          <w:lang w:val="en-US"/>
        </w:rPr>
        <w:t>21.11.2017, n. 1364.</w:t>
      </w:r>
    </w:p>
  </w:footnote>
  <w:footnote w:id="61">
    <w:p w14:paraId="20E72750" w14:textId="3F82322B" w:rsidR="00961B0C" w:rsidRDefault="00961B0C" w:rsidP="004C5160">
      <w:pPr>
        <w:pStyle w:val="Testonotaapidipagina"/>
        <w:jc w:val="both"/>
        <w:rPr>
          <w:rFonts w:ascii="Garamond" w:hAnsi="Garamond"/>
        </w:rPr>
      </w:pPr>
      <w:r w:rsidRPr="000A1024">
        <w:rPr>
          <w:rStyle w:val="Rimandonotaapidipagina"/>
          <w:rFonts w:ascii="Garamond" w:hAnsi="Garamond"/>
          <w:sz w:val="20"/>
        </w:rPr>
        <w:footnoteRef/>
      </w:r>
      <w:r w:rsidRPr="00961B0C">
        <w:rPr>
          <w:rFonts w:ascii="Garamond" w:hAnsi="Garamond"/>
          <w:lang w:val="en-US"/>
        </w:rPr>
        <w:t xml:space="preserve"> Il C.d.S., Sez. V, sent. </w:t>
      </w:r>
      <w:r w:rsidRPr="00581D08">
        <w:rPr>
          <w:rFonts w:ascii="Garamond" w:hAnsi="Garamond"/>
        </w:rPr>
        <w:t xml:space="preserve">18.12.2017, n. 5929 e il TAR Napoli, Sez. II, sent. 3.4.2018, n. 2083 hanno chiarito che la disponibilità di un centro cottura si pone come requisito di esecuzione del contratto e non di partecipazione alla gara, giacché è nel momento della stipula del contratto che si attualizza per l’Amministrazione l’interesse a che il contraente abbia a disposizione una struttura per assicurare il servizio. </w:t>
      </w:r>
    </w:p>
    <w:p w14:paraId="46A8204F" w14:textId="2D03398A" w:rsidR="00961B0C" w:rsidRPr="00581D08" w:rsidRDefault="00961B0C" w:rsidP="004C5160">
      <w:pPr>
        <w:pStyle w:val="Testonotaapidipagina"/>
        <w:jc w:val="both"/>
        <w:rPr>
          <w:rFonts w:ascii="Garamond" w:hAnsi="Garamond"/>
        </w:rPr>
      </w:pPr>
      <w:r>
        <w:rPr>
          <w:rFonts w:ascii="Garamond" w:hAnsi="Garamond"/>
        </w:rPr>
        <w:t xml:space="preserve">Sul punto, cfr. anche </w:t>
      </w:r>
      <w:r w:rsidRPr="00460B5C">
        <w:rPr>
          <w:rFonts w:ascii="Garamond" w:hAnsi="Garamond"/>
        </w:rPr>
        <w:t>C.d.S., Sez. V, sent. n. 1916</w:t>
      </w:r>
      <w:r>
        <w:rPr>
          <w:rFonts w:ascii="Garamond" w:hAnsi="Garamond"/>
        </w:rPr>
        <w:t>/2020, cit</w:t>
      </w:r>
      <w:r w:rsidRPr="00460B5C">
        <w:rPr>
          <w:rFonts w:ascii="Garamond" w:hAnsi="Garamond"/>
        </w:rPr>
        <w:t>.</w:t>
      </w:r>
    </w:p>
  </w:footnote>
  <w:footnote w:id="62">
    <w:p w14:paraId="04E86FCC" w14:textId="461349FD" w:rsidR="00961B0C" w:rsidRPr="005F2582" w:rsidRDefault="00961B0C" w:rsidP="004C5160">
      <w:pPr>
        <w:pStyle w:val="Testonotaapidipagina"/>
        <w:jc w:val="both"/>
        <w:rPr>
          <w:rFonts w:ascii="Garamond" w:hAnsi="Garamond"/>
        </w:rPr>
      </w:pPr>
      <w:r w:rsidRPr="00581D08">
        <w:rPr>
          <w:rStyle w:val="Rimandonotaapidipagina"/>
          <w:rFonts w:ascii="Garamond" w:hAnsi="Garamond"/>
          <w:sz w:val="20"/>
        </w:rPr>
        <w:footnoteRef/>
      </w:r>
      <w:r w:rsidRPr="00581D08">
        <w:rPr>
          <w:rFonts w:ascii="Garamond" w:hAnsi="Garamond"/>
        </w:rPr>
        <w:t xml:space="preserve"> </w:t>
      </w:r>
      <w:r>
        <w:rPr>
          <w:rFonts w:ascii="Garamond" w:hAnsi="Garamond"/>
        </w:rPr>
        <w:t xml:space="preserve">Ex </w:t>
      </w:r>
      <w:r w:rsidRPr="00581D08">
        <w:rPr>
          <w:rFonts w:ascii="Garamond" w:hAnsi="Garamond"/>
        </w:rPr>
        <w:t>AVCP, Det</w:t>
      </w:r>
      <w:r>
        <w:rPr>
          <w:rFonts w:ascii="Garamond" w:hAnsi="Garamond"/>
        </w:rPr>
        <w:t xml:space="preserve">. </w:t>
      </w:r>
      <w:r w:rsidRPr="00581D08">
        <w:rPr>
          <w:rFonts w:ascii="Garamond" w:hAnsi="Garamond"/>
        </w:rPr>
        <w:t>n.</w:t>
      </w:r>
      <w:r>
        <w:rPr>
          <w:rFonts w:ascii="Garamond" w:hAnsi="Garamond"/>
        </w:rPr>
        <w:t xml:space="preserve"> </w:t>
      </w:r>
      <w:r w:rsidRPr="00581D08">
        <w:rPr>
          <w:rFonts w:ascii="Garamond" w:hAnsi="Garamond"/>
        </w:rPr>
        <w:t>2</w:t>
      </w:r>
      <w:r>
        <w:rPr>
          <w:rFonts w:ascii="Garamond" w:hAnsi="Garamond"/>
        </w:rPr>
        <w:t xml:space="preserve">/2012, cit., </w:t>
      </w:r>
      <w:r w:rsidRPr="005F2582">
        <w:rPr>
          <w:rFonts w:ascii="Garamond" w:hAnsi="Garamond"/>
        </w:rPr>
        <w:t>C</w:t>
      </w:r>
      <w:r>
        <w:rPr>
          <w:rFonts w:ascii="Garamond" w:hAnsi="Garamond"/>
        </w:rPr>
        <w:t xml:space="preserve">ircolare MIT n. 4536/2012, cit., Doc. in consultazione ANAC, cit.; C.d.S. n. 3698/2011, </w:t>
      </w:r>
      <w:r w:rsidRPr="001A6E30">
        <w:rPr>
          <w:rFonts w:ascii="Garamond" w:hAnsi="Garamond"/>
        </w:rPr>
        <w:t xml:space="preserve">cit. (cfr. nota </w:t>
      </w:r>
      <w:r w:rsidR="002D56EC">
        <w:rPr>
          <w:rFonts w:ascii="Garamond" w:hAnsi="Garamond"/>
        </w:rPr>
        <w:t>42</w:t>
      </w:r>
      <w:r w:rsidRPr="001A6E30">
        <w:rPr>
          <w:rFonts w:ascii="Garamond" w:hAnsi="Garamond"/>
        </w:rPr>
        <w:t>).</w:t>
      </w:r>
    </w:p>
  </w:footnote>
  <w:footnote w:id="63">
    <w:p w14:paraId="6B4F89D5" w14:textId="5AB35A7C" w:rsidR="00961B0C" w:rsidRPr="005F2582" w:rsidRDefault="00961B0C" w:rsidP="004C5160">
      <w:pPr>
        <w:pStyle w:val="Testonotaapidipagina"/>
        <w:jc w:val="both"/>
        <w:rPr>
          <w:rFonts w:ascii="Garamond" w:hAnsi="Garamond"/>
        </w:rPr>
      </w:pPr>
      <w:r w:rsidRPr="005F2582">
        <w:rPr>
          <w:rStyle w:val="Rimandonotaapidipagina"/>
          <w:rFonts w:ascii="Garamond" w:hAnsi="Garamond"/>
          <w:sz w:val="20"/>
        </w:rPr>
        <w:footnoteRef/>
      </w:r>
      <w:r w:rsidRPr="005F2582">
        <w:rPr>
          <w:rFonts w:ascii="Garamond" w:hAnsi="Garamond"/>
        </w:rPr>
        <w:t xml:space="preserve"> Il riferimento è alle sentenze TAR Piemonte, Sez. I, sent. 23.4.2019, n. 459, confermata dalla sentenza C.d.S., Sez. V del 16.1.2020, n. 389; TAR Piemonte sent. 18.3.2019, n. 291, confermata dalla sentenza C.d.S., Sez. V, sent. del 17.12.2019, n. 8535.</w:t>
      </w:r>
    </w:p>
  </w:footnote>
  <w:footnote w:id="64">
    <w:p w14:paraId="42B01C19" w14:textId="49E71698" w:rsidR="00961B0C" w:rsidRPr="005F2582" w:rsidRDefault="00961B0C" w:rsidP="004C5160">
      <w:pPr>
        <w:pStyle w:val="Testonotaapidipagina"/>
        <w:jc w:val="both"/>
        <w:rPr>
          <w:rFonts w:ascii="Garamond" w:hAnsi="Garamond"/>
        </w:rPr>
      </w:pPr>
      <w:r w:rsidRPr="005F2582">
        <w:rPr>
          <w:rStyle w:val="Rimandonotaapidipagina"/>
          <w:rFonts w:ascii="Garamond" w:hAnsi="Garamond"/>
          <w:sz w:val="20"/>
        </w:rPr>
        <w:footnoteRef/>
      </w:r>
      <w:r w:rsidRPr="005F2582">
        <w:rPr>
          <w:rFonts w:ascii="Garamond" w:hAnsi="Garamond"/>
        </w:rPr>
        <w:t xml:space="preserve"> Cfr. il diverso regime previsto dall’art. 89, co</w:t>
      </w:r>
      <w:r>
        <w:rPr>
          <w:rFonts w:ascii="Garamond" w:hAnsi="Garamond"/>
        </w:rPr>
        <w:t>.</w:t>
      </w:r>
      <w:r w:rsidRPr="005F2582">
        <w:rPr>
          <w:rFonts w:ascii="Garamond" w:hAnsi="Garamond"/>
        </w:rPr>
        <w:t xml:space="preserve"> 5 e dall’art. 105, co</w:t>
      </w:r>
      <w:r>
        <w:rPr>
          <w:rFonts w:ascii="Garamond" w:hAnsi="Garamond"/>
        </w:rPr>
        <w:t>.</w:t>
      </w:r>
      <w:r w:rsidRPr="005F2582">
        <w:rPr>
          <w:rFonts w:ascii="Garamond" w:hAnsi="Garamond"/>
        </w:rPr>
        <w:t xml:space="preserve"> 8, D.Lgs. n. 50/2016.</w:t>
      </w:r>
    </w:p>
  </w:footnote>
  <w:footnote w:id="65">
    <w:p w14:paraId="34EB97E0" w14:textId="7B0D53A3" w:rsidR="00961B0C" w:rsidRPr="005F2582" w:rsidRDefault="00961B0C" w:rsidP="004C5160">
      <w:pPr>
        <w:pStyle w:val="Testonotaapidipagina"/>
        <w:jc w:val="both"/>
        <w:rPr>
          <w:rFonts w:ascii="Garamond" w:hAnsi="Garamond"/>
        </w:rPr>
      </w:pPr>
      <w:r w:rsidRPr="005F2582">
        <w:rPr>
          <w:rStyle w:val="Rimandonotaapidipagina"/>
          <w:rFonts w:ascii="Garamond" w:hAnsi="Garamond"/>
          <w:sz w:val="20"/>
        </w:rPr>
        <w:footnoteRef/>
      </w:r>
      <w:r w:rsidRPr="005F2582">
        <w:rPr>
          <w:rFonts w:ascii="Garamond" w:hAnsi="Garamond"/>
        </w:rPr>
        <w:t xml:space="preserve"> Il riferimento è ai pareri del Consiglio di Stato nn. 855/2016 e 782/2017, nonché all’ordinanza di rimessione alla CGUE n. 3553 dell’11.6.2018 sui limiti al subappalto del 30% alla quota parte subappaltabile e del 20% al ribasso dei prezzi praticabili, giudicati infine illegittimi con pronuncia CGUE del 27.11.2019, C-402/18, cd. sentenza </w:t>
      </w:r>
      <w:r w:rsidRPr="005F2582">
        <w:rPr>
          <w:rFonts w:ascii="Garamond" w:hAnsi="Garamond"/>
          <w:i/>
        </w:rPr>
        <w:t>Tedeschi</w:t>
      </w:r>
      <w:r w:rsidRPr="005F2582">
        <w:rPr>
          <w:rFonts w:ascii="Garamond" w:hAnsi="Garamond"/>
        </w:rPr>
        <w:t>.</w:t>
      </w:r>
    </w:p>
    <w:p w14:paraId="193C26D7" w14:textId="77777777" w:rsidR="00961B0C" w:rsidRPr="005F2582" w:rsidRDefault="00961B0C" w:rsidP="004C5160">
      <w:pPr>
        <w:pStyle w:val="Testonotaapidipagina"/>
        <w:jc w:val="both"/>
        <w:rPr>
          <w:rFonts w:ascii="Garamond" w:hAnsi="Garamond"/>
        </w:rPr>
      </w:pPr>
      <w:r w:rsidRPr="005F2582">
        <w:rPr>
          <w:rFonts w:ascii="Garamond" w:hAnsi="Garamond"/>
        </w:rPr>
        <w:t>In particolare, nel parere n. 855/2016 reso sul progetto di nuovo codice dei contratti pubblici</w:t>
      </w:r>
      <w:r w:rsidRPr="005F2582">
        <w:rPr>
          <w:rFonts w:ascii="Garamond" w:hAnsi="Garamond"/>
          <w:i/>
        </w:rPr>
        <w:t xml:space="preserve">, </w:t>
      </w:r>
      <w:r w:rsidRPr="005F2582">
        <w:rPr>
          <w:rFonts w:ascii="Garamond" w:hAnsi="Garamond"/>
        </w:rPr>
        <w:t>l’organo consultivo ha osservato che</w:t>
      </w:r>
      <w:r w:rsidRPr="005F2582">
        <w:rPr>
          <w:rFonts w:ascii="Garamond" w:hAnsi="Garamond"/>
          <w:i/>
        </w:rPr>
        <w:t xml:space="preserve"> “il legislatore nazionale potrebbe porre, in tema di subappalto, limiti di maggior rigore rispetto alle direttive europee, che non costituirebbero un ingiustificato goldplating, in quanto giustificati da pregnanti ragioni di ordine pubblico, di tutela della trasparenza e del mercato del lavoro”, </w:t>
      </w:r>
      <w:r w:rsidRPr="005F2582">
        <w:rPr>
          <w:rFonts w:ascii="Garamond" w:hAnsi="Garamond"/>
        </w:rPr>
        <w:t>mentre nel successivo parere n. 782/2017, reso sul progetto di decreto correttivo al codice, l’organo consultivo ha rilevato che</w:t>
      </w:r>
      <w:r w:rsidRPr="005F2582">
        <w:rPr>
          <w:rFonts w:ascii="Garamond" w:hAnsi="Garamond"/>
          <w:i/>
        </w:rPr>
        <w:t xml:space="preserve"> “Le direttive del 2014, rispetto alle precedenti del 2004, per la prima volta includono nella disciplina del subappalto finalità che finora erano state specifiche della legislazione italiana, ossia una maggiore trasparenza e la tutela giuslavoristica. (…) la complessiva disciplina delle nuove direttive, più attente, in tema di subappalto, ai temi della trasparenza e della tutela del lavoro, in una con l’ulteriore obiettivo, complessivamente perseguito dalle direttive, della tutela delle micro, piccole e medie imprese, può indurre alla ragionevole interpretazione che le limitazioni quantitative al subappalto, previste dal legislatore nazionale, non sono in frontale contrasto con il diritto europeo. Esse vanno infatti vagliate, e possono essere giustificate, da un lato alla luce dei principi di sostenibilità sociale che sono alla base delle stesse direttive, e dall’altro lato alla luce di quei valori superiori, declinati dall’art. 36 TFUE, che possono fondare restrizioni della libera concorrenza e del mercato, tra cui, espressamente, l’ordine e la sicurezza pubblici”.</w:t>
      </w:r>
      <w:r w:rsidRPr="005F2582">
        <w:rPr>
          <w:rFonts w:ascii="Garamond" w:hAnsi="Garamond"/>
        </w:rPr>
        <w:t xml:space="preserve"> </w:t>
      </w:r>
    </w:p>
    <w:p w14:paraId="4AFB7372" w14:textId="33AABFBA" w:rsidR="00961B0C" w:rsidRPr="001A6E30" w:rsidRDefault="00961B0C" w:rsidP="004C5160">
      <w:pPr>
        <w:pStyle w:val="Testonotaapidipagina"/>
        <w:jc w:val="both"/>
        <w:rPr>
          <w:rFonts w:ascii="Garamond" w:hAnsi="Garamond"/>
        </w:rPr>
      </w:pPr>
      <w:r w:rsidRPr="00523CC1">
        <w:rPr>
          <w:rFonts w:ascii="Garamond" w:hAnsi="Garamond"/>
        </w:rPr>
        <w:t>Pertanto, “</w:t>
      </w:r>
      <w:r w:rsidRPr="00523CC1">
        <w:rPr>
          <w:rFonts w:ascii="Garamond" w:hAnsi="Garamond"/>
          <w:i/>
        </w:rPr>
        <w:t xml:space="preserve">In quest’ottica, l’obiettivo </w:t>
      </w:r>
      <w:r w:rsidRPr="001A6E30">
        <w:rPr>
          <w:rFonts w:ascii="Garamond" w:hAnsi="Garamond"/>
          <w:i/>
        </w:rPr>
        <w:t>di assicurare l’integrità dei contratti pubblici e la loro immunità da infiltrazioni della criminalità potrebbe giustificare una restrizione alla libertà di stabilimento e alla libera prestazione dei servizi”</w:t>
      </w:r>
      <w:r w:rsidRPr="001A6E30">
        <w:rPr>
          <w:rFonts w:ascii="Garamond" w:hAnsi="Garamond"/>
        </w:rPr>
        <w:t xml:space="preserve"> (cfr. C.d.S., ord. n. 3553/2018).</w:t>
      </w:r>
    </w:p>
  </w:footnote>
  <w:footnote w:id="66">
    <w:p w14:paraId="69CA43B4" w14:textId="415AB49A" w:rsidR="00961B0C" w:rsidRPr="004C3252" w:rsidRDefault="00961B0C" w:rsidP="004C5160">
      <w:pPr>
        <w:pStyle w:val="TESTOCOMM"/>
        <w:spacing w:line="276" w:lineRule="auto"/>
        <w:ind w:firstLine="0"/>
        <w:rPr>
          <w:rFonts w:ascii="Garamond" w:hAnsi="Garamond"/>
          <w:sz w:val="20"/>
        </w:rPr>
      </w:pPr>
      <w:r w:rsidRPr="001A6E30">
        <w:rPr>
          <w:rStyle w:val="Rimandonotaapidipagina"/>
          <w:rFonts w:ascii="Garamond" w:hAnsi="Garamond"/>
          <w:sz w:val="20"/>
        </w:rPr>
        <w:footnoteRef/>
      </w:r>
      <w:r w:rsidRPr="001A6E30">
        <w:rPr>
          <w:rFonts w:ascii="Garamond" w:hAnsi="Garamond"/>
          <w:sz w:val="20"/>
        </w:rPr>
        <w:t xml:space="preserve"> Cfr. Circolare della Direzione Centrale vigilanza, affari legali e contenzioso dell’Ispettorato Nazionale del Lavoro alla Provincia autonoma di Trento, Servizio Lavoro del 19.6.2017, in cui si precisa che: “</w:t>
      </w:r>
      <w:r w:rsidRPr="001A6E30">
        <w:rPr>
          <w:rFonts w:ascii="Garamond" w:hAnsi="Garamond"/>
          <w:i/>
          <w:sz w:val="20"/>
        </w:rPr>
        <w:t>anche nell’ipotesi in cui il contratto di avvalimento non venga successivamente “formalizzato” in un contratto di appalto/subappalto intercorrente tra quest’ultima e l’impresa ausiliata, si ritiene che il corretto impiego dei lavoratori dipendenti dell’impresa ausiliaria debba essere sempre valutato alla stregua di quanto previsto all’art. 29 del D.Lgs. n. 276/2003. (…)</w:t>
      </w:r>
      <w:r w:rsidRPr="001A6E30">
        <w:rPr>
          <w:rFonts w:ascii="Garamond" w:hAnsi="Garamond"/>
          <w:sz w:val="20"/>
        </w:rPr>
        <w:t xml:space="preserve"> </w:t>
      </w:r>
      <w:r w:rsidRPr="001A6E30">
        <w:rPr>
          <w:rFonts w:ascii="Garamond" w:hAnsi="Garamond"/>
          <w:i/>
          <w:sz w:val="20"/>
          <w:lang w:eastAsia="en-US"/>
        </w:rPr>
        <w:t xml:space="preserve">In tal caso, tuttavia, occorre tener presente che ai fini della legittimità del distacco l’interesse dell’impresa ausiliaria distaccante non può in alcun modo coincidere con la mera messa a disposizione dei lavoratori ma trova ragione nell’oggetto del contratto di avvalimento la cui stipula determina l’assunzione ex lege di una responsabilità solidale da parte dell’impresa ausiliaria nei confronti dell’amministrazione appaltante relativamente ai lavori oggetto dell'appalto che si giustifica in ragione della effettiva partecipazione </w:t>
      </w:r>
      <w:r w:rsidRPr="004C3252">
        <w:rPr>
          <w:rFonts w:ascii="Garamond" w:hAnsi="Garamond"/>
          <w:i/>
          <w:sz w:val="20"/>
          <w:lang w:eastAsia="en-US"/>
        </w:rPr>
        <w:t xml:space="preserve">dell’ausiliaria all'esecuzione dell’appalto principale (crf. art. 89, comma 5, e T.A.R. Lombardia, </w:t>
      </w:r>
      <w:r>
        <w:rPr>
          <w:rFonts w:ascii="Garamond" w:hAnsi="Garamond"/>
          <w:i/>
          <w:sz w:val="20"/>
          <w:lang w:eastAsia="en-US"/>
        </w:rPr>
        <w:t>Sez</w:t>
      </w:r>
      <w:r w:rsidRPr="004C3252">
        <w:rPr>
          <w:rFonts w:ascii="Garamond" w:hAnsi="Garamond"/>
          <w:i/>
          <w:sz w:val="20"/>
          <w:lang w:eastAsia="en-US"/>
        </w:rPr>
        <w:t>. III, 20 marzo 2013, n. 756)”.</w:t>
      </w:r>
    </w:p>
  </w:footnote>
  <w:footnote w:id="67">
    <w:p w14:paraId="4AF6E372" w14:textId="6D0A42C1" w:rsidR="00961B0C" w:rsidRPr="00073860" w:rsidRDefault="00961B0C" w:rsidP="004C5160">
      <w:pPr>
        <w:pStyle w:val="Testonotaapidipagina"/>
        <w:jc w:val="both"/>
        <w:rPr>
          <w:rFonts w:ascii="Garamond" w:hAnsi="Garamond"/>
        </w:rPr>
      </w:pPr>
      <w:r w:rsidRPr="004C3252">
        <w:rPr>
          <w:rStyle w:val="Rimandonotaapidipagina"/>
          <w:rFonts w:ascii="Garamond" w:hAnsi="Garamond"/>
          <w:sz w:val="20"/>
        </w:rPr>
        <w:footnoteRef/>
      </w:r>
      <w:r w:rsidRPr="004C3252">
        <w:rPr>
          <w:rFonts w:ascii="Garamond" w:hAnsi="Garamond"/>
        </w:rPr>
        <w:t xml:space="preserve"> Ci si riferisce alla sentenza della CGUE del 26.9.2019, nel merito della quale si veda la nota </w:t>
      </w:r>
      <w:r w:rsidR="002D56EC">
        <w:rPr>
          <w:rFonts w:ascii="Garamond" w:hAnsi="Garamond"/>
        </w:rPr>
        <w:t>40</w:t>
      </w:r>
      <w:r w:rsidRPr="004C3252">
        <w:rPr>
          <w:rFonts w:ascii="Garamond" w:hAnsi="Garamond"/>
        </w:rPr>
        <w:t>.</w:t>
      </w:r>
    </w:p>
  </w:footnote>
  <w:footnote w:id="68">
    <w:p w14:paraId="1630BCE6" w14:textId="32C45387" w:rsidR="00961B0C" w:rsidRPr="00622675" w:rsidRDefault="00961B0C" w:rsidP="004C5160">
      <w:pPr>
        <w:pStyle w:val="Testonotaapidipagina"/>
        <w:jc w:val="both"/>
        <w:rPr>
          <w:rFonts w:ascii="Garamond" w:hAnsi="Garamond"/>
          <w:lang w:val="en-US"/>
        </w:rPr>
      </w:pPr>
      <w:r w:rsidRPr="00622675">
        <w:rPr>
          <w:rStyle w:val="Rimandonotaapidipagina"/>
          <w:rFonts w:ascii="Garamond" w:hAnsi="Garamond"/>
          <w:sz w:val="20"/>
        </w:rPr>
        <w:footnoteRef/>
      </w:r>
      <w:r w:rsidRPr="00622675">
        <w:rPr>
          <w:rFonts w:ascii="Garamond" w:hAnsi="Garamond"/>
          <w:lang w:val="en-US"/>
        </w:rPr>
        <w:t xml:space="preserve"> Così Cass. Civ, Sez. II, sent. 19.8.2010, n. 1875.</w:t>
      </w:r>
    </w:p>
  </w:footnote>
  <w:footnote w:id="69">
    <w:p w14:paraId="0670CF2B" w14:textId="50932BF8" w:rsidR="00961B0C" w:rsidRPr="00460B5C" w:rsidRDefault="00961B0C" w:rsidP="004C5160">
      <w:pPr>
        <w:pStyle w:val="Testonotaapidipagina"/>
        <w:jc w:val="both"/>
        <w:rPr>
          <w:rFonts w:ascii="Garamond" w:hAnsi="Garamond"/>
        </w:rPr>
      </w:pPr>
      <w:r w:rsidRPr="00622675">
        <w:rPr>
          <w:rStyle w:val="Rimandonotaapidipagina"/>
          <w:rFonts w:ascii="Garamond" w:hAnsi="Garamond"/>
          <w:sz w:val="20"/>
        </w:rPr>
        <w:footnoteRef/>
      </w:r>
      <w:r w:rsidRPr="00622675">
        <w:rPr>
          <w:rFonts w:ascii="Garamond" w:hAnsi="Garamond"/>
          <w:lang w:val="en-US"/>
        </w:rPr>
        <w:t xml:space="preserve"> Così Cass. Civ., Sez. II, sent. </w:t>
      </w:r>
      <w:r w:rsidRPr="00622675">
        <w:rPr>
          <w:rFonts w:ascii="Garamond" w:hAnsi="Garamond"/>
        </w:rPr>
        <w:t xml:space="preserve">13.2.2009, n. 3659; cfr. anche: </w:t>
      </w:r>
      <w:r w:rsidRPr="00622675">
        <w:rPr>
          <w:rFonts w:ascii="Garamond" w:hAnsi="Garamond"/>
          <w:i/>
        </w:rPr>
        <w:t>“la responsabilità del subcommittente, in luogo del subappaltatore, avviene solo nel caso in cui esorbitando</w:t>
      </w:r>
      <w:r w:rsidRPr="000A1024">
        <w:rPr>
          <w:rFonts w:ascii="Garamond" w:hAnsi="Garamond"/>
          <w:i/>
        </w:rPr>
        <w:t xml:space="preserve"> dalla mera sorveglianza sull’opera oggetto del contratto, ai fini di pervenire alla corrispondenza tra quanto pattuito e quanto viene ad eseguirsi, abbia esercitato un’ingerenza sull’attività di quest’ultimo così penetrante da ridurlo al ruolo di mero esecutore</w:t>
      </w:r>
      <w:r w:rsidRPr="000A1024">
        <w:rPr>
          <w:rFonts w:ascii="Garamond" w:hAnsi="Garamond"/>
        </w:rPr>
        <w:t>” (Tribunale Milano sez. X, 09/10/2013, n.12494) “</w:t>
      </w:r>
      <w:r w:rsidRPr="000A1024">
        <w:rPr>
          <w:rFonts w:ascii="Garamond" w:hAnsi="Garamond"/>
          <w:i/>
        </w:rPr>
        <w:t xml:space="preserve">in modo tale da comprimerne parzialmente l'autonomia organizzativa, </w:t>
      </w:r>
      <w:r w:rsidRPr="000A1024">
        <w:rPr>
          <w:rFonts w:ascii="Garamond" w:hAnsi="Garamond"/>
          <w:i/>
          <w:u w:val="single"/>
        </w:rPr>
        <w:t xml:space="preserve">incidendo anche </w:t>
      </w:r>
      <w:r w:rsidRPr="00460B5C">
        <w:rPr>
          <w:rFonts w:ascii="Garamond" w:hAnsi="Garamond"/>
          <w:i/>
          <w:u w:val="single"/>
        </w:rPr>
        <w:t>sulla utilizzazione dei relativi mezzi</w:t>
      </w:r>
      <w:r w:rsidRPr="00460B5C">
        <w:rPr>
          <w:rFonts w:ascii="Garamond" w:hAnsi="Garamond"/>
        </w:rPr>
        <w:t>” (Cass. Civ., Sez. II, sent. 24.9.2008, n. 24008).</w:t>
      </w:r>
    </w:p>
  </w:footnote>
  <w:footnote w:id="70">
    <w:p w14:paraId="64514DB6" w14:textId="77777777" w:rsidR="00961B0C" w:rsidRPr="005F2582" w:rsidRDefault="00961B0C" w:rsidP="004C5160">
      <w:pPr>
        <w:pStyle w:val="Testonotaapidipagina"/>
        <w:jc w:val="both"/>
        <w:rPr>
          <w:rFonts w:ascii="Garamond" w:hAnsi="Garamond"/>
          <w:i/>
        </w:rPr>
      </w:pPr>
      <w:r w:rsidRPr="00460B5C">
        <w:rPr>
          <w:rStyle w:val="Rimandonotaapidipagina"/>
          <w:rFonts w:ascii="Garamond" w:hAnsi="Garamond"/>
          <w:sz w:val="20"/>
        </w:rPr>
        <w:footnoteRef/>
      </w:r>
      <w:r w:rsidRPr="00460B5C">
        <w:rPr>
          <w:rFonts w:ascii="Garamond" w:hAnsi="Garamond"/>
        </w:rPr>
        <w:t xml:space="preserve"> Art. 49, D.Lgs. n. 163/2006 commi 6 e 7 nella versione originaria: “</w:t>
      </w:r>
      <w:r w:rsidRPr="00460B5C">
        <w:rPr>
          <w:rFonts w:ascii="Garamond" w:hAnsi="Garamond"/>
          <w:i/>
        </w:rPr>
        <w:t>6. Il concorrente può</w:t>
      </w:r>
      <w:r w:rsidRPr="00460B5C">
        <w:rPr>
          <w:rFonts w:ascii="Calibri" w:eastAsia="Calibri" w:hAnsi="Calibri" w:cs="Calibri"/>
          <w:i/>
        </w:rPr>
        <w:t xml:space="preserve"> </w:t>
      </w:r>
      <w:r w:rsidRPr="00460B5C">
        <w:rPr>
          <w:rFonts w:ascii="Garamond" w:hAnsi="Garamond"/>
          <w:i/>
        </w:rPr>
        <w:t xml:space="preserve">avvalersi di una sola impresa ausiliaria per ciascun requisito o categoria. Il bando di gara può </w:t>
      </w:r>
      <w:r w:rsidRPr="00130DDD">
        <w:rPr>
          <w:rFonts w:ascii="Garamond" w:hAnsi="Garamond"/>
          <w:i/>
        </w:rPr>
        <w:t xml:space="preserve">ammettere l'avvalimento di più imprese ausiliarie in ragione dell'importo dell'appalto o della peculiarità delle prestazioni; ma in tale ipotesi, per i lavori non </w:t>
      </w:r>
      <w:r w:rsidRPr="005F2582">
        <w:rPr>
          <w:rFonts w:ascii="Garamond" w:eastAsia="Calibri" w:hAnsi="Garamond" w:cs="Calibri"/>
          <w:i/>
        </w:rPr>
        <w:t>è</w:t>
      </w:r>
      <w:r w:rsidRPr="005F2582">
        <w:rPr>
          <w:rFonts w:ascii="Garamond" w:hAnsi="Garamond"/>
          <w:i/>
        </w:rPr>
        <w:t xml:space="preserve"> comunque ammesso il cumulo tra attestazioni di qualificazione SOA relative alla stessa categoria.  7. Il bando di gara può prevedere che, in relazione alla natura o all'importo dell'appalto, le imprese partecipanti possano avvalersi solo dei requisiti economici o dei requisiti tecnici, ovvero che l'avvalimento possa integrare un preesistente requisito tecnico o economico già posseduto dall'impresa avvalente in misura o percentuale indicata nel bando stesso</w:t>
      </w:r>
      <w:r w:rsidRPr="005F2582">
        <w:rPr>
          <w:rFonts w:ascii="Garamond" w:hAnsi="Garamond"/>
        </w:rPr>
        <w:t>”.</w:t>
      </w:r>
    </w:p>
  </w:footnote>
  <w:footnote w:id="71">
    <w:p w14:paraId="57F1762B" w14:textId="75F739A1" w:rsidR="00961B0C" w:rsidRDefault="00961B0C" w:rsidP="004C5160">
      <w:pPr>
        <w:pStyle w:val="Testonotaapidipagina"/>
        <w:jc w:val="both"/>
        <w:rPr>
          <w:rFonts w:ascii="Garamond" w:hAnsi="Garamond"/>
        </w:rPr>
      </w:pPr>
      <w:r w:rsidRPr="005F2582">
        <w:rPr>
          <w:rStyle w:val="Rimandonotaapidipagina"/>
          <w:rFonts w:ascii="Garamond" w:hAnsi="Garamond"/>
          <w:sz w:val="20"/>
        </w:rPr>
        <w:footnoteRef/>
      </w:r>
      <w:r w:rsidRPr="005F2582">
        <w:rPr>
          <w:rFonts w:ascii="Garamond" w:hAnsi="Garamond"/>
        </w:rPr>
        <w:t xml:space="preserve"> </w:t>
      </w:r>
      <w:r>
        <w:rPr>
          <w:rFonts w:ascii="Garamond" w:hAnsi="Garamond"/>
        </w:rPr>
        <w:t>Gli interventi</w:t>
      </w:r>
      <w:r w:rsidRPr="005F2582">
        <w:rPr>
          <w:rFonts w:ascii="Garamond" w:hAnsi="Garamond"/>
        </w:rPr>
        <w:t xml:space="preserve"> </w:t>
      </w:r>
      <w:r>
        <w:rPr>
          <w:rFonts w:ascii="Garamond" w:hAnsi="Garamond"/>
        </w:rPr>
        <w:t>di modifica del comma 6 e di soppressione del comma 7 sono stati operati</w:t>
      </w:r>
      <w:r w:rsidRPr="005F2582">
        <w:rPr>
          <w:rFonts w:ascii="Garamond" w:hAnsi="Garamond"/>
        </w:rPr>
        <w:t xml:space="preserve"> dall’art. 1, co</w:t>
      </w:r>
      <w:r>
        <w:rPr>
          <w:rFonts w:ascii="Garamond" w:hAnsi="Garamond"/>
        </w:rPr>
        <w:t>.</w:t>
      </w:r>
      <w:r w:rsidRPr="005F2582">
        <w:rPr>
          <w:rFonts w:ascii="Garamond" w:hAnsi="Garamond"/>
        </w:rPr>
        <w:t xml:space="preserve"> 1, lett. n), nn. 1) e 2) del D.Lgs. 11.9.20</w:t>
      </w:r>
      <w:r>
        <w:rPr>
          <w:rFonts w:ascii="Garamond" w:hAnsi="Garamond"/>
        </w:rPr>
        <w:t>0</w:t>
      </w:r>
      <w:r w:rsidRPr="005F2582">
        <w:rPr>
          <w:rFonts w:ascii="Garamond" w:hAnsi="Garamond"/>
        </w:rPr>
        <w:t>8, n. 152.</w:t>
      </w:r>
    </w:p>
    <w:p w14:paraId="654F349F" w14:textId="77777777" w:rsidR="00961B0C" w:rsidRPr="00130DDD" w:rsidRDefault="00961B0C" w:rsidP="004C5160">
      <w:pPr>
        <w:pStyle w:val="Testonotaapidipagina"/>
        <w:jc w:val="both"/>
        <w:rPr>
          <w:rFonts w:ascii="Garamond" w:hAnsi="Garamond"/>
        </w:rPr>
      </w:pPr>
      <w:r w:rsidRPr="00130DDD">
        <w:rPr>
          <w:rFonts w:ascii="Garamond" w:hAnsi="Garamond"/>
        </w:rPr>
        <w:t>Su quanto disposto dal comma 6 dell’art. 49, censurandolo, si è espressa anche la CGUE con la sent. 10.10.2013, C-94/12: “</w:t>
      </w:r>
      <w:r w:rsidRPr="00130DDD">
        <w:rPr>
          <w:rFonts w:ascii="Garamond" w:hAnsi="Garamond"/>
          <w:i/>
        </w:rPr>
        <w:t>È pertanto d’uopo considerare che la direttiva 2004/18 consente il cumulo delle capacit</w:t>
      </w:r>
      <w:r>
        <w:rPr>
          <w:rFonts w:ascii="Garamond" w:eastAsia="Calibri" w:hAnsi="Garamond" w:cs="Calibri"/>
          <w:i/>
        </w:rPr>
        <w:t>à</w:t>
      </w:r>
      <w:r w:rsidRPr="00130DDD">
        <w:rPr>
          <w:rFonts w:ascii="Garamond" w:hAnsi="Garamond"/>
          <w:i/>
        </w:rPr>
        <w:t xml:space="preserve"> di p</w:t>
      </w:r>
      <w:r>
        <w:rPr>
          <w:rFonts w:ascii="Garamond" w:hAnsi="Garamond"/>
          <w:i/>
        </w:rPr>
        <w:t>iù</w:t>
      </w:r>
      <w:r w:rsidRPr="00130DDD">
        <w:rPr>
          <w:rFonts w:ascii="Garamond" w:hAnsi="Garamond"/>
          <w:i/>
        </w:rPr>
        <w:t xml:space="preserve"> operatori economici per soddisfare i requisiti minimi di capacit</w:t>
      </w:r>
      <w:r>
        <w:rPr>
          <w:rFonts w:ascii="Garamond" w:hAnsi="Garamond"/>
          <w:i/>
        </w:rPr>
        <w:t>à</w:t>
      </w:r>
      <w:r w:rsidRPr="00130DDD">
        <w:rPr>
          <w:rFonts w:ascii="Garamond" w:hAnsi="Garamond"/>
          <w:i/>
        </w:rPr>
        <w:t xml:space="preserve"> imposti dall’amministrazione aggiudicatrice, purché alla stessa si dimostri che il</w:t>
      </w:r>
      <w:r w:rsidRPr="00460B5C">
        <w:rPr>
          <w:rFonts w:ascii="Garamond" w:hAnsi="Garamond"/>
          <w:i/>
        </w:rPr>
        <w:t xml:space="preserve"> candidato o l’offerente che si avvale delle capacit</w:t>
      </w:r>
      <w:r w:rsidRPr="00460B5C">
        <w:rPr>
          <w:rFonts w:ascii="Calibri" w:eastAsia="Calibri" w:hAnsi="Calibri" w:cs="Calibri"/>
          <w:i/>
        </w:rPr>
        <w:t>à</w:t>
      </w:r>
      <w:r w:rsidRPr="00460B5C">
        <w:rPr>
          <w:rFonts w:ascii="Garamond" w:hAnsi="Garamond"/>
          <w:i/>
        </w:rPr>
        <w:t xml:space="preserve"> di uno o di svariati altri soggetti disporr</w:t>
      </w:r>
      <w:r w:rsidRPr="00460B5C">
        <w:rPr>
          <w:rFonts w:ascii="Calibri" w:eastAsia="Calibri" w:hAnsi="Calibri" w:cs="Calibri"/>
          <w:i/>
        </w:rPr>
        <w:t>à̀</w:t>
      </w:r>
      <w:r w:rsidRPr="00460B5C">
        <w:rPr>
          <w:rFonts w:ascii="Garamond" w:hAnsi="Garamond"/>
          <w:i/>
        </w:rPr>
        <w:t xml:space="preserve"> effettivamente dei mezzi di questi ultimi che sono necessari all’esecuzione dell’appalto. Un’interpretazione del genere</w:t>
      </w:r>
      <w:r>
        <w:rPr>
          <w:rFonts w:ascii="Garamond" w:hAnsi="Garamond"/>
          <w:i/>
        </w:rPr>
        <w:t xml:space="preserve"> è</w:t>
      </w:r>
      <w:r w:rsidRPr="00460B5C">
        <w:rPr>
          <w:rFonts w:ascii="Garamond" w:hAnsi="Garamond"/>
          <w:i/>
        </w:rPr>
        <w:t xml:space="preserve"> conforme all’obiettivo dell’apertura degli appalti pubblici alla concorrenza nella misura più ampia possibile, obiettivo perseguito dalle direttive in materia a vantaggio non soltanto degli operatori economici, ma parimenti delle amministrazioni aggiudicatrici. Inoltre essa</w:t>
      </w:r>
      <w:r>
        <w:rPr>
          <w:rFonts w:ascii="Garamond" w:hAnsi="Garamond"/>
          <w:i/>
        </w:rPr>
        <w:t xml:space="preserve"> è</w:t>
      </w:r>
      <w:r w:rsidRPr="00460B5C">
        <w:rPr>
          <w:rFonts w:ascii="Garamond" w:hAnsi="Garamond"/>
          <w:i/>
        </w:rPr>
        <w:t xml:space="preserve"> anche idonea a facilitare l’accesso delle piccole e medie imprese agli appalti pubblici, cui tende altresì la direttiva 2004/18, come posto in rilievo dal considerando 32”.</w:t>
      </w:r>
    </w:p>
  </w:footnote>
  <w:footnote w:id="72">
    <w:p w14:paraId="7D1BAA42" w14:textId="286AC92E" w:rsidR="00961B0C" w:rsidRPr="005F2582" w:rsidRDefault="00961B0C" w:rsidP="004C5160">
      <w:pPr>
        <w:pStyle w:val="Testonotaapidipagina"/>
        <w:jc w:val="both"/>
        <w:rPr>
          <w:rFonts w:ascii="Garamond" w:hAnsi="Garamond"/>
        </w:rPr>
      </w:pPr>
      <w:r w:rsidRPr="005F2582">
        <w:rPr>
          <w:rStyle w:val="Rimandonotaapidipagina"/>
          <w:rFonts w:ascii="Garamond" w:hAnsi="Garamond"/>
          <w:sz w:val="20"/>
        </w:rPr>
        <w:footnoteRef/>
      </w:r>
      <w:r w:rsidRPr="005F2582">
        <w:rPr>
          <w:rFonts w:ascii="Garamond" w:hAnsi="Garamond"/>
        </w:rPr>
        <w:t xml:space="preserve"> Intervento operato tramite l’art. 2, co</w:t>
      </w:r>
      <w:r>
        <w:rPr>
          <w:rFonts w:ascii="Garamond" w:hAnsi="Garamond"/>
        </w:rPr>
        <w:t>.</w:t>
      </w:r>
      <w:r w:rsidRPr="005F2582">
        <w:rPr>
          <w:rFonts w:ascii="Garamond" w:hAnsi="Garamond"/>
        </w:rPr>
        <w:t xml:space="preserve"> 1, lett. d) del D.Lgs. 26.1.2007, n. 6.</w:t>
      </w:r>
    </w:p>
  </w:footnote>
  <w:footnote w:id="73">
    <w:p w14:paraId="370E6F55" w14:textId="23B4AE92" w:rsidR="00961B0C" w:rsidRPr="005F2582" w:rsidRDefault="00961B0C" w:rsidP="004C5160">
      <w:pPr>
        <w:pStyle w:val="Testonotaapidipagina"/>
        <w:jc w:val="both"/>
        <w:rPr>
          <w:rFonts w:ascii="Garamond" w:hAnsi="Garamond"/>
        </w:rPr>
      </w:pPr>
      <w:r w:rsidRPr="005F2582">
        <w:rPr>
          <w:rStyle w:val="Rimandonotaapidipagina"/>
          <w:rFonts w:ascii="Garamond" w:hAnsi="Garamond"/>
          <w:sz w:val="20"/>
        </w:rPr>
        <w:footnoteRef/>
      </w:r>
      <w:r w:rsidRPr="005F2582">
        <w:rPr>
          <w:rFonts w:ascii="Garamond" w:hAnsi="Garamond"/>
        </w:rPr>
        <w:t xml:space="preserve"> Art. 49, co</w:t>
      </w:r>
      <w:r>
        <w:rPr>
          <w:rFonts w:ascii="Garamond" w:hAnsi="Garamond"/>
        </w:rPr>
        <w:t>.</w:t>
      </w:r>
      <w:r w:rsidRPr="005F2582">
        <w:rPr>
          <w:rFonts w:ascii="Garamond" w:hAnsi="Garamond"/>
        </w:rPr>
        <w:t xml:space="preserve"> 10, D.Lgs. n. 163/2006 nella versione originaria: “</w:t>
      </w:r>
      <w:r w:rsidRPr="005F2582">
        <w:rPr>
          <w:rFonts w:ascii="Garamond" w:hAnsi="Garamond"/>
          <w:i/>
        </w:rPr>
        <w:t>Il contratto è in ogni caso eseguito dall'impresa che partecipa alla gara, alla quale è rilasciato il certificato di esecuzione, e l'impresa ausiliaria non può assumere a qualsiasi titolo il ruolo di appaltatore, o di subappaltatore</w:t>
      </w:r>
      <w:r w:rsidRPr="005F2582">
        <w:rPr>
          <w:rFonts w:ascii="Garamond" w:hAnsi="Garamond"/>
        </w:rPr>
        <w:t>”.</w:t>
      </w:r>
    </w:p>
  </w:footnote>
  <w:footnote w:id="74">
    <w:p w14:paraId="7D3D2938" w14:textId="77777777" w:rsidR="00961B0C" w:rsidRPr="00944F22" w:rsidRDefault="00961B0C" w:rsidP="004C5160">
      <w:pPr>
        <w:pStyle w:val="Testonotaapidipagina"/>
        <w:jc w:val="both"/>
        <w:rPr>
          <w:rFonts w:ascii="Garamond" w:hAnsi="Garamond"/>
        </w:rPr>
      </w:pPr>
      <w:r w:rsidRPr="005F2582">
        <w:rPr>
          <w:rStyle w:val="Rimandonotaapidipagina"/>
          <w:rFonts w:ascii="Garamond" w:hAnsi="Garamond"/>
          <w:sz w:val="20"/>
        </w:rPr>
        <w:footnoteRef/>
      </w:r>
      <w:r w:rsidRPr="005F2582">
        <w:rPr>
          <w:rFonts w:ascii="Garamond" w:hAnsi="Garamond"/>
        </w:rPr>
        <w:t xml:space="preserve"> Parere del Consiglio di Stato, espresso dalla sezione consultiva per gli atti normativi nell'adunanza del 28 settembre 2006, n. </w:t>
      </w:r>
      <w:r w:rsidRPr="00944F22">
        <w:rPr>
          <w:rFonts w:ascii="Garamond" w:hAnsi="Garamond"/>
        </w:rPr>
        <w:t>3641.</w:t>
      </w:r>
    </w:p>
  </w:footnote>
  <w:footnote w:id="75">
    <w:p w14:paraId="514040AA" w14:textId="77777777" w:rsidR="00961B0C" w:rsidRPr="00757107" w:rsidRDefault="00961B0C" w:rsidP="004C5160">
      <w:pPr>
        <w:pStyle w:val="Testonotaapidipagina"/>
        <w:jc w:val="both"/>
        <w:rPr>
          <w:rFonts w:ascii="Garamond" w:hAnsi="Garamond"/>
          <w:lang w:val="en-US"/>
        </w:rPr>
      </w:pPr>
      <w:r w:rsidRPr="00944F22">
        <w:rPr>
          <w:rStyle w:val="Rimandonotaapidipagina"/>
          <w:rFonts w:ascii="Garamond" w:hAnsi="Garamond"/>
          <w:sz w:val="20"/>
        </w:rPr>
        <w:footnoteRef/>
      </w:r>
      <w:r w:rsidRPr="00944F22">
        <w:rPr>
          <w:rFonts w:ascii="Garamond" w:hAnsi="Garamond"/>
        </w:rPr>
        <w:t xml:space="preserve"> Siffa</w:t>
      </w:r>
      <w:r w:rsidRPr="00AE1BB8">
        <w:rPr>
          <w:rFonts w:ascii="Garamond" w:hAnsi="Garamond"/>
        </w:rPr>
        <w:t xml:space="preserve">tta disposizione del diritto interno risulta incompatibile rispetto a quanto disposto dagli artt. </w:t>
      </w:r>
      <w:r w:rsidRPr="00D85ADD">
        <w:rPr>
          <w:rFonts w:ascii="Garamond" w:hAnsi="Garamond"/>
          <w:lang w:val="en-US"/>
        </w:rPr>
        <w:t xml:space="preserve">38, par. 2 Dir. 2014/23/UE; art. 63, par. 1, Dir. 2014/24/UE; art. 79, parr. </w:t>
      </w:r>
      <w:r w:rsidRPr="00757107">
        <w:rPr>
          <w:rFonts w:ascii="Garamond" w:hAnsi="Garamond"/>
          <w:lang w:val="en-US"/>
        </w:rPr>
        <w:t>1 e 2, Dir. 2014/25/UE.</w:t>
      </w:r>
    </w:p>
  </w:footnote>
  <w:footnote w:id="76">
    <w:p w14:paraId="66CD4DAB" w14:textId="5A81E3FB" w:rsidR="00961B0C" w:rsidRPr="00AE1BB8" w:rsidRDefault="00961B0C" w:rsidP="004C5160">
      <w:pPr>
        <w:pStyle w:val="Testonotaapidipagina"/>
        <w:jc w:val="both"/>
      </w:pPr>
      <w:r w:rsidRPr="00AE1BB8">
        <w:rPr>
          <w:rStyle w:val="Rimandonotaapidipagina"/>
          <w:rFonts w:ascii="Garamond" w:hAnsi="Garamond"/>
          <w:sz w:val="20"/>
        </w:rPr>
        <w:footnoteRef/>
      </w:r>
      <w:r w:rsidRPr="00AE1BB8">
        <w:rPr>
          <w:rFonts w:ascii="Garamond" w:hAnsi="Garamond"/>
        </w:rPr>
        <w:t xml:space="preserve"> Sul punto, cfr. C.d.S., Sez. </w:t>
      </w:r>
      <w:r w:rsidRPr="00D85ADD">
        <w:rPr>
          <w:rFonts w:ascii="Garamond" w:hAnsi="Garamond"/>
          <w:lang w:val="en-US"/>
        </w:rPr>
        <w:t xml:space="preserve">V, sent. 2.3.2018, n. 1295; Sez. VI, sent. </w:t>
      </w:r>
      <w:r w:rsidRPr="00757107">
        <w:rPr>
          <w:rFonts w:ascii="Garamond" w:hAnsi="Garamond"/>
        </w:rPr>
        <w:t xml:space="preserve">19.6.2017, n. 2977; Sez. </w:t>
      </w:r>
      <w:r w:rsidRPr="00AE1BB8">
        <w:rPr>
          <w:rFonts w:ascii="Garamond" w:hAnsi="Garamond"/>
        </w:rPr>
        <w:t>V, sent. 26.7.2016, n. 3347.</w:t>
      </w:r>
    </w:p>
  </w:footnote>
  <w:footnote w:id="77">
    <w:p w14:paraId="4224C68C" w14:textId="76041CEC" w:rsidR="00961B0C" w:rsidRPr="00AE1BB8" w:rsidRDefault="00961B0C" w:rsidP="004C5160">
      <w:pPr>
        <w:jc w:val="both"/>
        <w:rPr>
          <w:rFonts w:ascii="Garamond" w:eastAsia="Times New Roman" w:hAnsi="Garamond"/>
          <w:sz w:val="20"/>
          <w:szCs w:val="20"/>
        </w:rPr>
      </w:pPr>
      <w:r w:rsidRPr="00AE1BB8">
        <w:rPr>
          <w:rStyle w:val="Rimandonotaapidipagina"/>
          <w:rFonts w:ascii="Garamond" w:hAnsi="Garamond"/>
          <w:sz w:val="20"/>
          <w:szCs w:val="20"/>
        </w:rPr>
        <w:footnoteRef/>
      </w:r>
      <w:r w:rsidRPr="00AE1BB8">
        <w:rPr>
          <w:rFonts w:ascii="Garamond" w:hAnsi="Garamond"/>
          <w:sz w:val="20"/>
          <w:szCs w:val="20"/>
        </w:rPr>
        <w:t xml:space="preserve"> Nei casi di cui all’art. 53, co. 3, D.Lgs. n. 163/2006: “</w:t>
      </w:r>
      <w:r w:rsidRPr="00AE1BB8">
        <w:rPr>
          <w:rFonts w:ascii="Garamond" w:eastAsia="Times New Roman" w:hAnsi="Garamond"/>
          <w:i/>
          <w:sz w:val="20"/>
          <w:szCs w:val="20"/>
        </w:rPr>
        <w:t>Quando il contratto ha per oggetto anche la progettazione, ai sensi del comma 2, gli operatori economici devono possedere i requisiti prescritti per i progettisti, ovvero avvalersi di progettisti qualificati, da indicare nell'offerta, o partecipare in raggruppamento con soggetti qualificati per la progettazione (…)</w:t>
      </w:r>
      <w:r w:rsidRPr="00AE1BB8">
        <w:rPr>
          <w:rFonts w:ascii="Garamond" w:eastAsia="Times New Roman" w:hAnsi="Garamond"/>
          <w:sz w:val="20"/>
          <w:szCs w:val="20"/>
        </w:rPr>
        <w:t>”.</w:t>
      </w:r>
    </w:p>
  </w:footnote>
  <w:footnote w:id="78">
    <w:p w14:paraId="4AA357C6" w14:textId="6FC1CC89" w:rsidR="00961B0C" w:rsidRPr="001A6E30" w:rsidRDefault="00961B0C" w:rsidP="004C5160">
      <w:pPr>
        <w:pStyle w:val="Testonotaapidipagina"/>
        <w:jc w:val="both"/>
        <w:rPr>
          <w:rFonts w:ascii="Garamond" w:hAnsi="Garamond"/>
        </w:rPr>
      </w:pPr>
      <w:r w:rsidRPr="00AE1BB8">
        <w:rPr>
          <w:rStyle w:val="Rimandonotaapidipagina"/>
          <w:rFonts w:ascii="Garamond" w:hAnsi="Garamond"/>
          <w:sz w:val="20"/>
        </w:rPr>
        <w:footnoteRef/>
      </w:r>
      <w:r w:rsidRPr="00AE1BB8">
        <w:rPr>
          <w:rFonts w:ascii="Garamond" w:hAnsi="Garamond"/>
        </w:rPr>
        <w:t xml:space="preserve"> In questo senso, </w:t>
      </w:r>
      <w:r w:rsidRPr="001A6E30">
        <w:rPr>
          <w:rFonts w:ascii="Garamond" w:hAnsi="Garamond"/>
          <w:i/>
        </w:rPr>
        <w:t>ex plurimis</w:t>
      </w:r>
      <w:r w:rsidRPr="001A6E30">
        <w:rPr>
          <w:rFonts w:ascii="Garamond" w:hAnsi="Garamond"/>
        </w:rPr>
        <w:t xml:space="preserve">, sentenze C.d.S., Sez. </w:t>
      </w:r>
      <w:r w:rsidRPr="00D85ADD">
        <w:rPr>
          <w:rFonts w:ascii="Garamond" w:hAnsi="Garamond"/>
          <w:lang w:val="en-US"/>
        </w:rPr>
        <w:t xml:space="preserve">III, sent. 7.3.2014, n. 1072; Sez. IV, sent. </w:t>
      </w:r>
      <w:r w:rsidRPr="00757107">
        <w:rPr>
          <w:rFonts w:ascii="Garamond" w:hAnsi="Garamond"/>
        </w:rPr>
        <w:t xml:space="preserve">24.5.2013, n. 2832; Sez. </w:t>
      </w:r>
      <w:r w:rsidRPr="001A6E30">
        <w:rPr>
          <w:rFonts w:ascii="Garamond" w:hAnsi="Garamond"/>
        </w:rPr>
        <w:t>III, sent. 1.10.2012 n. 5161; Sez. VI, sent. 2.5.2012, n. 2508; T.R.G.A. Trento, Sez. Un., sent. 31.1.2014, n. 30, giurisprudenza con la quale è in linea anche l’ex AVCP: cfr. determinazioni nn. 2/2012 e 4/2012.</w:t>
      </w:r>
    </w:p>
    <w:p w14:paraId="5FCFD063" w14:textId="5D505E32" w:rsidR="00961B0C" w:rsidRPr="001A6E30" w:rsidRDefault="00961B0C" w:rsidP="004C5160">
      <w:pPr>
        <w:pStyle w:val="Testonotaapidipagina"/>
        <w:jc w:val="both"/>
        <w:rPr>
          <w:rFonts w:ascii="Garamond" w:hAnsi="Garamond"/>
          <w:iCs/>
        </w:rPr>
      </w:pPr>
      <w:r w:rsidRPr="001A6E30">
        <w:rPr>
          <w:rFonts w:ascii="Garamond" w:hAnsi="Garamond"/>
        </w:rPr>
        <w:t xml:space="preserve">Cfr. anche ANAC, documento </w:t>
      </w:r>
      <w:r>
        <w:rPr>
          <w:rFonts w:ascii="Garamond" w:hAnsi="Garamond"/>
        </w:rPr>
        <w:t>di</w:t>
      </w:r>
      <w:r w:rsidRPr="001A6E30">
        <w:rPr>
          <w:rFonts w:ascii="Garamond" w:hAnsi="Garamond"/>
        </w:rPr>
        <w:t xml:space="preserve"> consultazione recante “</w:t>
      </w:r>
      <w:r w:rsidRPr="001A6E30">
        <w:rPr>
          <w:rFonts w:ascii="Garamond" w:hAnsi="Garamond"/>
          <w:i/>
        </w:rPr>
        <w:t>Proposta al Ministero delle Infrastrutture e dei Trasporti finalizzata all’adozione del decreto di cui all’art. 83, comma 3 del D.Lgs. 18 aprile 2016, n. 50, nella parte relativa ai casi e alle modalità di avvalimento</w:t>
      </w:r>
      <w:r w:rsidRPr="001A6E30">
        <w:rPr>
          <w:rFonts w:ascii="Garamond" w:hAnsi="Garamond"/>
        </w:rPr>
        <w:t>” dove all’art. 6, co</w:t>
      </w:r>
      <w:r>
        <w:rPr>
          <w:rFonts w:ascii="Garamond" w:hAnsi="Garamond"/>
        </w:rPr>
        <w:t>.</w:t>
      </w:r>
      <w:r w:rsidRPr="001A6E30">
        <w:rPr>
          <w:rFonts w:ascii="Garamond" w:hAnsi="Garamond"/>
        </w:rPr>
        <w:t xml:space="preserve"> 2 si precisa che “</w:t>
      </w:r>
      <w:r w:rsidRPr="001A6E30">
        <w:rPr>
          <w:rFonts w:ascii="Garamond" w:hAnsi="Garamond"/>
          <w:i/>
        </w:rPr>
        <w:t>Nel caso previsto all’art. 11, commi 4 e 5, della proposta al MIT finalizzata all’adozione del decreto di cui all’art. 83, comma 2, nella parte relativa al sistema di qualificazione degli operatori economici, il progettista indicato in sede di offerta non può avvalersi a sua volta di altro soggetto per la dimostrazione dei requisiti richiesti</w:t>
      </w:r>
      <w:r w:rsidRPr="001A6E30">
        <w:rPr>
          <w:rFonts w:ascii="Garamond" w:hAnsi="Garamond"/>
        </w:rPr>
        <w:t xml:space="preserve">”; </w:t>
      </w:r>
      <w:r w:rsidRPr="001A6E30">
        <w:rPr>
          <w:rFonts w:ascii="Garamond" w:hAnsi="Garamond"/>
          <w:iCs/>
        </w:rPr>
        <w:t>proposta di decreto formulata nel 2018, recante “</w:t>
      </w:r>
      <w:r w:rsidRPr="001A6E30">
        <w:rPr>
          <w:rFonts w:ascii="Garamond" w:hAnsi="Garamond"/>
          <w:i/>
          <w:iCs/>
        </w:rPr>
        <w:t>Proposta finalizzata all’adozione del decreto del Ministero delle Infrastrutture e dei Trasporti di cui all’articolo 83, comma 2, del decreto legislativo 50/2016 avente ad oggetto il sistema unico di qualificazione degli esecutori di lavori pubblici di importo pari o superiore a 150.000 euro</w:t>
      </w:r>
      <w:r w:rsidRPr="001A6E30">
        <w:rPr>
          <w:rFonts w:ascii="Garamond" w:hAnsi="Garamond"/>
          <w:iCs/>
        </w:rPr>
        <w:t>” dove all’art. 55, co</w:t>
      </w:r>
      <w:r>
        <w:rPr>
          <w:rFonts w:ascii="Garamond" w:hAnsi="Garamond"/>
          <w:iCs/>
        </w:rPr>
        <w:t>.</w:t>
      </w:r>
      <w:r w:rsidRPr="001A6E30">
        <w:rPr>
          <w:rFonts w:ascii="Garamond" w:hAnsi="Garamond"/>
          <w:iCs/>
        </w:rPr>
        <w:t xml:space="preserve"> 2 si precisa che “</w:t>
      </w:r>
      <w:r w:rsidRPr="001A6E30">
        <w:rPr>
          <w:rFonts w:ascii="Garamond" w:hAnsi="Garamond"/>
          <w:i/>
          <w:iCs/>
        </w:rPr>
        <w:t>Nel caso previsto all’articolo 30, commi 4 e 5, il progettista indicato in sede di offerta non può avvalersi a sua volta di altro soggetto per la dimostrazione dei requisiti richiesti</w:t>
      </w:r>
      <w:r w:rsidRPr="001A6E30">
        <w:rPr>
          <w:rFonts w:ascii="Garamond" w:hAnsi="Garamond"/>
          <w:iCs/>
        </w:rPr>
        <w:t xml:space="preserve">”. </w:t>
      </w:r>
    </w:p>
  </w:footnote>
  <w:footnote w:id="79">
    <w:p w14:paraId="7F637B56" w14:textId="20DC3CC2" w:rsidR="00961B0C" w:rsidRPr="007F34BC" w:rsidRDefault="00961B0C" w:rsidP="004C5160">
      <w:pPr>
        <w:pStyle w:val="Testonotaapidipagina"/>
        <w:jc w:val="both"/>
        <w:rPr>
          <w:rFonts w:ascii="Garamond" w:hAnsi="Garamond"/>
        </w:rPr>
      </w:pPr>
      <w:r w:rsidRPr="001A6E30">
        <w:rPr>
          <w:rStyle w:val="Rimandonotaapidipagina"/>
          <w:rFonts w:ascii="Garamond" w:hAnsi="Garamond"/>
          <w:sz w:val="20"/>
        </w:rPr>
        <w:footnoteRef/>
      </w:r>
      <w:r w:rsidRPr="001A6E30">
        <w:rPr>
          <w:rFonts w:ascii="Garamond" w:hAnsi="Garamond"/>
        </w:rPr>
        <w:t xml:space="preserve"> Proprio sulla base di queste considerazioni, il Consiglio di Stato, Sez. V, con ordinanza del 4.6.2015, n. 2737 ha rimesso alla Corte di Giustizia la questione della compatibilità dell’istituto dell’avvalimento rispetto alla figura del progettista indicato, proponendo il quesito “</w:t>
      </w:r>
      <w:r w:rsidRPr="001A6E30">
        <w:rPr>
          <w:rFonts w:ascii="Garamond" w:hAnsi="Garamond"/>
          <w:i/>
        </w:rPr>
        <w:t>se sia compatibile con l’art</w:t>
      </w:r>
      <w:r w:rsidRPr="00F819F7">
        <w:rPr>
          <w:rFonts w:ascii="Garamond" w:hAnsi="Garamond"/>
          <w:i/>
        </w:rPr>
        <w:t>. 48 direttiva CE 31 marzo 2004, n. 18 una norma come quella di cui al già analizzato art. 53, comma 3, d.lgs. 16 aprile 20</w:t>
      </w:r>
      <w:r w:rsidRPr="004C3252">
        <w:rPr>
          <w:rFonts w:ascii="Garamond" w:hAnsi="Garamond"/>
          <w:i/>
        </w:rPr>
        <w:t>06, n. 163, che ammette alla partecipazione un’impresa con un progettista “indicato”, il quale, secondo la g</w:t>
      </w:r>
      <w:r w:rsidRPr="007F34BC">
        <w:rPr>
          <w:rFonts w:ascii="Garamond" w:hAnsi="Garamond"/>
          <w:i/>
        </w:rPr>
        <w:t>iurisprudenza nazionale, non essendo concorrente, non potrebbe ricorrere all’istituto dell’avvalimento</w:t>
      </w:r>
      <w:r w:rsidRPr="007F34BC">
        <w:rPr>
          <w:rFonts w:ascii="Garamond" w:hAnsi="Garamond"/>
        </w:rPr>
        <w:t>”. In seguito, sempre la V Sez. del Consiglio di Stato ha nuovamente sollevato la questione nei medesimi termini, tramite le ordinanze di rimessione del 17.2.2016, n. 636 e successivamente del 30.10.2017, n. 4982. Tuttavia, in tutti e tre i casi la CGUE non è potuta addivenire ad una pronuncia nel merito, essendo state le cause cancellate dal ruolo ovvero dichiarate manifestatamente irricevibili.</w:t>
      </w:r>
    </w:p>
  </w:footnote>
  <w:footnote w:id="80">
    <w:p w14:paraId="5E3E7166" w14:textId="31CA207E" w:rsidR="00961B0C" w:rsidRPr="007F34BC" w:rsidRDefault="00961B0C" w:rsidP="004C5160">
      <w:pPr>
        <w:pStyle w:val="Testonotaapidipagina"/>
        <w:jc w:val="both"/>
        <w:rPr>
          <w:rFonts w:ascii="Garamond" w:hAnsi="Garamond"/>
        </w:rPr>
      </w:pPr>
      <w:r w:rsidRPr="007F34BC">
        <w:rPr>
          <w:rStyle w:val="Rimandonotaapidipagina"/>
          <w:rFonts w:ascii="Garamond" w:hAnsi="Garamond"/>
          <w:sz w:val="20"/>
        </w:rPr>
        <w:footnoteRef/>
      </w:r>
      <w:r w:rsidRPr="007F34BC">
        <w:rPr>
          <w:rFonts w:ascii="Garamond" w:hAnsi="Garamond"/>
        </w:rPr>
        <w:t xml:space="preserve"> Vedasi, in particolare, l’art. 1, co</w:t>
      </w:r>
      <w:r>
        <w:rPr>
          <w:rFonts w:ascii="Garamond" w:hAnsi="Garamond"/>
        </w:rPr>
        <w:t>.</w:t>
      </w:r>
      <w:r w:rsidRPr="007F34BC">
        <w:rPr>
          <w:rFonts w:ascii="Garamond" w:hAnsi="Garamond"/>
        </w:rPr>
        <w:t xml:space="preserve"> 8 e l’art. 4, co</w:t>
      </w:r>
      <w:r>
        <w:rPr>
          <w:rFonts w:ascii="Garamond" w:hAnsi="Garamond"/>
        </w:rPr>
        <w:t>.</w:t>
      </w:r>
      <w:r w:rsidRPr="007F34BC">
        <w:rPr>
          <w:rFonts w:ascii="Garamond" w:hAnsi="Garamond"/>
        </w:rPr>
        <w:t xml:space="preserve"> 1 della Dir. 2004/18/UE.</w:t>
      </w:r>
    </w:p>
  </w:footnote>
  <w:footnote w:id="81">
    <w:p w14:paraId="57B431DC" w14:textId="324D5CD0" w:rsidR="00961B0C" w:rsidRPr="007F34BC" w:rsidRDefault="00961B0C" w:rsidP="004C5160">
      <w:pPr>
        <w:pStyle w:val="Testonotaapidipagina"/>
        <w:jc w:val="both"/>
        <w:rPr>
          <w:rFonts w:ascii="Garamond" w:hAnsi="Garamond"/>
        </w:rPr>
      </w:pPr>
      <w:r w:rsidRPr="007F34BC">
        <w:rPr>
          <w:rStyle w:val="Rimandonotaapidipagina"/>
          <w:rFonts w:ascii="Garamond" w:hAnsi="Garamond"/>
          <w:sz w:val="20"/>
        </w:rPr>
        <w:footnoteRef/>
      </w:r>
      <w:r w:rsidRPr="007F34BC">
        <w:rPr>
          <w:rFonts w:ascii="Garamond" w:hAnsi="Garamond"/>
        </w:rPr>
        <w:t xml:space="preserve"> Vedasi l’art. 48, co</w:t>
      </w:r>
      <w:r>
        <w:rPr>
          <w:rFonts w:ascii="Garamond" w:hAnsi="Garamond"/>
        </w:rPr>
        <w:t>.</w:t>
      </w:r>
      <w:r w:rsidRPr="007F34BC">
        <w:rPr>
          <w:rFonts w:ascii="Garamond" w:hAnsi="Garamond"/>
        </w:rPr>
        <w:t xml:space="preserve"> 3 della Dir. 2004/18/UE.</w:t>
      </w:r>
    </w:p>
  </w:footnote>
  <w:footnote w:id="82">
    <w:p w14:paraId="6CCF42F1" w14:textId="3DAFC9C5" w:rsidR="00961B0C" w:rsidRPr="007F34BC" w:rsidRDefault="00961B0C" w:rsidP="004C5160">
      <w:pPr>
        <w:pStyle w:val="Testonotaapidipagina"/>
        <w:jc w:val="both"/>
        <w:rPr>
          <w:rFonts w:ascii="Garamond" w:hAnsi="Garamond"/>
          <w:color w:val="000000" w:themeColor="text1"/>
        </w:rPr>
      </w:pPr>
      <w:r w:rsidRPr="007F34BC">
        <w:rPr>
          <w:rStyle w:val="Rimandonotaapidipagina"/>
          <w:rFonts w:ascii="Garamond" w:hAnsi="Garamond"/>
          <w:sz w:val="20"/>
        </w:rPr>
        <w:footnoteRef/>
      </w:r>
      <w:r w:rsidRPr="007F34BC">
        <w:rPr>
          <w:rFonts w:ascii="Garamond" w:hAnsi="Garamond"/>
        </w:rPr>
        <w:t xml:space="preserve"> Cfr. nota </w:t>
      </w:r>
      <w:r w:rsidR="00335BD2">
        <w:rPr>
          <w:rFonts w:ascii="Garamond" w:hAnsi="Garamond"/>
        </w:rPr>
        <w:t>71</w:t>
      </w:r>
      <w:r w:rsidRPr="007F34BC">
        <w:rPr>
          <w:rFonts w:ascii="Garamond" w:hAnsi="Garamond"/>
        </w:rPr>
        <w:t>.</w:t>
      </w:r>
    </w:p>
  </w:footnote>
  <w:footnote w:id="83">
    <w:p w14:paraId="56277B61" w14:textId="40BE0265" w:rsidR="00961B0C" w:rsidRPr="007F34BC" w:rsidRDefault="00961B0C" w:rsidP="004C5160">
      <w:pPr>
        <w:jc w:val="both"/>
        <w:rPr>
          <w:rFonts w:ascii="Garamond" w:hAnsi="Garamond"/>
          <w:color w:val="000000" w:themeColor="text1"/>
          <w:sz w:val="20"/>
          <w:szCs w:val="20"/>
        </w:rPr>
      </w:pPr>
      <w:r w:rsidRPr="007F34BC">
        <w:rPr>
          <w:rStyle w:val="Rimandonotaapidipagina"/>
          <w:rFonts w:ascii="Garamond" w:hAnsi="Garamond"/>
          <w:sz w:val="20"/>
          <w:szCs w:val="20"/>
        </w:rPr>
        <w:footnoteRef/>
      </w:r>
      <w:r w:rsidRPr="007F34BC">
        <w:rPr>
          <w:rFonts w:ascii="Garamond" w:hAnsi="Garamond"/>
          <w:sz w:val="20"/>
          <w:szCs w:val="20"/>
        </w:rPr>
        <w:t xml:space="preserve"> </w:t>
      </w:r>
      <w:r w:rsidRPr="007F34BC">
        <w:rPr>
          <w:rFonts w:ascii="Garamond" w:hAnsi="Garamond"/>
          <w:color w:val="000000" w:themeColor="text1"/>
          <w:sz w:val="20"/>
          <w:szCs w:val="20"/>
        </w:rPr>
        <w:t>La Corte di Giustizia nella sentenza 14 febbraio 2019 C-710/17 (conseguente alla ordinanza di rimessione del Consiglio di Stato n. 4982 del 30 ottobre 2017) ha considerato l’art. 53, co</w:t>
      </w:r>
      <w:r>
        <w:rPr>
          <w:rFonts w:ascii="Garamond" w:hAnsi="Garamond"/>
          <w:color w:val="000000" w:themeColor="text1"/>
          <w:sz w:val="20"/>
          <w:szCs w:val="20"/>
        </w:rPr>
        <w:t>.</w:t>
      </w:r>
      <w:r w:rsidRPr="007F34BC">
        <w:rPr>
          <w:rFonts w:ascii="Garamond" w:hAnsi="Garamond"/>
          <w:color w:val="000000" w:themeColor="text1"/>
          <w:sz w:val="20"/>
          <w:szCs w:val="20"/>
        </w:rPr>
        <w:t xml:space="preserve"> 3 del D.lgs. n. 163/2006 (di disciplina dell’istituto del progettista indicato), una disposizione specifica ed autonoma, non analoga ad alcuna disposizione della direttiva 2004/18, non potendo essere considerata una trasposizione dell’art. 48 di quest’ultima.</w:t>
      </w:r>
    </w:p>
  </w:footnote>
  <w:footnote w:id="84">
    <w:p w14:paraId="274BB20B" w14:textId="1BDC5486" w:rsidR="00961B0C" w:rsidRPr="007F34BC" w:rsidRDefault="00961B0C" w:rsidP="004C5160">
      <w:pPr>
        <w:jc w:val="both"/>
        <w:rPr>
          <w:rFonts w:ascii="Garamond" w:hAnsi="Garamond"/>
          <w:color w:val="000000" w:themeColor="text1"/>
          <w:sz w:val="20"/>
          <w:szCs w:val="20"/>
        </w:rPr>
      </w:pPr>
      <w:r w:rsidRPr="007F34BC">
        <w:rPr>
          <w:rStyle w:val="Rimandonotaapidipagina"/>
          <w:rFonts w:ascii="Garamond" w:hAnsi="Garamond"/>
          <w:sz w:val="20"/>
          <w:szCs w:val="20"/>
        </w:rPr>
        <w:footnoteRef/>
      </w:r>
      <w:r w:rsidRPr="007F34BC">
        <w:rPr>
          <w:rFonts w:ascii="Garamond" w:hAnsi="Garamond"/>
          <w:sz w:val="20"/>
          <w:szCs w:val="20"/>
        </w:rPr>
        <w:t xml:space="preserve"> </w:t>
      </w:r>
      <w:r w:rsidRPr="007F34BC">
        <w:rPr>
          <w:rFonts w:ascii="Garamond" w:hAnsi="Garamond"/>
          <w:color w:val="000000" w:themeColor="text1"/>
          <w:sz w:val="20"/>
          <w:szCs w:val="20"/>
        </w:rPr>
        <w:t xml:space="preserve"> D’altra parte, la sentenza n. 4929/2014 non è stata neanche menzionata nelle prime due ordinanze del Consiglio di Stato di rimessione alla CGUE sulla questione – la n. 2737/2015 e la n. 636/2016 (citate in nota </w:t>
      </w:r>
      <w:r w:rsidR="00335BD2">
        <w:rPr>
          <w:rFonts w:ascii="Garamond" w:hAnsi="Garamond"/>
          <w:color w:val="000000" w:themeColor="text1"/>
          <w:sz w:val="20"/>
          <w:szCs w:val="20"/>
        </w:rPr>
        <w:t>79</w:t>
      </w:r>
      <w:r w:rsidRPr="007F34BC">
        <w:rPr>
          <w:rFonts w:ascii="Garamond" w:hAnsi="Garamond"/>
          <w:color w:val="000000" w:themeColor="text1"/>
          <w:sz w:val="20"/>
          <w:szCs w:val="20"/>
        </w:rPr>
        <w:t>)-  che si sono limitate a riportare  il consolidato orientamento giurisprudenziale opposto.</w:t>
      </w:r>
    </w:p>
  </w:footnote>
  <w:footnote w:id="85">
    <w:p w14:paraId="28BBB226" w14:textId="77777777" w:rsidR="00961B0C" w:rsidRPr="005F2582" w:rsidRDefault="00961B0C" w:rsidP="004C5160">
      <w:pPr>
        <w:pStyle w:val="Testonotaapidipagina"/>
        <w:jc w:val="both"/>
        <w:rPr>
          <w:rFonts w:ascii="Garamond" w:hAnsi="Garamond"/>
        </w:rPr>
      </w:pPr>
      <w:r w:rsidRPr="007F34BC">
        <w:rPr>
          <w:rStyle w:val="Rimandonotaapidipagina"/>
          <w:rFonts w:ascii="Garamond" w:hAnsi="Garamond"/>
          <w:sz w:val="20"/>
        </w:rPr>
        <w:footnoteRef/>
      </w:r>
      <w:r w:rsidRPr="007F34BC">
        <w:rPr>
          <w:rFonts w:ascii="Garamond" w:hAnsi="Garamond"/>
        </w:rPr>
        <w:t xml:space="preserve"> In violazione degli artt. 3, par. 1, Dir. 2014/23/UE; art. 18</w:t>
      </w:r>
      <w:r w:rsidRPr="005F2582">
        <w:rPr>
          <w:rFonts w:ascii="Garamond" w:hAnsi="Garamond"/>
        </w:rPr>
        <w:t>, par. 1, Dir. 2014/24/UE; art. 36, par. 1, Dir. 2015/25/UE.</w:t>
      </w:r>
    </w:p>
  </w:footnote>
  <w:footnote w:id="86">
    <w:p w14:paraId="41DD4425" w14:textId="27713D92" w:rsidR="00961B0C" w:rsidRPr="00305584" w:rsidRDefault="00961B0C" w:rsidP="004C5160">
      <w:pPr>
        <w:pStyle w:val="Testonotaapidipagina"/>
        <w:jc w:val="both"/>
        <w:rPr>
          <w:rFonts w:ascii="Garamond" w:hAnsi="Garamond"/>
          <w:highlight w:val="yellow"/>
        </w:rPr>
      </w:pPr>
      <w:r w:rsidRPr="005F2582">
        <w:rPr>
          <w:rStyle w:val="Rimandonotaapidipagina"/>
          <w:rFonts w:ascii="Garamond" w:hAnsi="Garamond"/>
          <w:sz w:val="20"/>
        </w:rPr>
        <w:footnoteRef/>
      </w:r>
      <w:r w:rsidRPr="005F2582">
        <w:rPr>
          <w:rFonts w:ascii="Garamond" w:hAnsi="Garamond"/>
        </w:rPr>
        <w:t xml:space="preserve"> La disposizione di cui al comma 11 andrebbe oltre rispetto a quanto consentito dagli artt. 63, parr. 1 e 2 Dir. 2014/24/UE; art. 79, parr. 2 e 3, Dir. 2014/25/UE.</w:t>
      </w:r>
    </w:p>
  </w:footnote>
  <w:footnote w:id="87">
    <w:p w14:paraId="49FA1A9B" w14:textId="03A23140" w:rsidR="00961B0C" w:rsidRDefault="00961B0C" w:rsidP="004C5160">
      <w:pPr>
        <w:pStyle w:val="Testonotaapidipagina"/>
        <w:jc w:val="both"/>
      </w:pPr>
      <w:r>
        <w:rPr>
          <w:rStyle w:val="Rimandonotaapidipagina"/>
        </w:rPr>
        <w:footnoteRef/>
      </w:r>
      <w:r>
        <w:t xml:space="preserve"> </w:t>
      </w:r>
      <w:r w:rsidRPr="00757107">
        <w:rPr>
          <w:rFonts w:ascii="Garamond" w:hAnsi="Garamond"/>
        </w:rPr>
        <w:t xml:space="preserve">Questi </w:t>
      </w:r>
      <w:r>
        <w:rPr>
          <w:rFonts w:ascii="Garamond" w:hAnsi="Garamond"/>
        </w:rPr>
        <w:t>i quesiti formulati nella sentenza: “</w:t>
      </w:r>
      <w:r w:rsidRPr="00757107">
        <w:rPr>
          <w:rFonts w:ascii="Garamond" w:hAnsi="Garamond"/>
          <w:i/>
          <w:iCs/>
        </w:rPr>
        <w:t>a) se rientrino nel divieto di clausole di esclusione c.d. atipiche, di cui all’art. 83, comma 8, ultimo inciso, del d.lgs. n. 50 del 2016, le prescrizioni dei bandi o delle lettere d’invito con le quali la stazione appaltante, limitando o vietando, a pena di esclusione, il ricorso all’avvalimento al di fuori delle ipotesi consentite dall’art. 89 del d.lgs. n. 50 del 2016, precluda, di fatto, la partecipazione alla gara degli operatori economici che siano privi dei corrispondenti requisiti di carattere economico-finanziario o tecnico-professionale; b) in particolare, se possa reputarsi nulla la clausola con la quale, nel caso di appalti di lavori pubblici di importo pari o superiore a 150.000 euro, sia consentito il ricorso all’avvalimento dell’attestazione SOA soltanto da parte di soggetti che posseggono una propria attestazione SOA</w:t>
      </w:r>
      <w:r>
        <w:rPr>
          <w:rFonts w:ascii="Garamond" w:hAnsi="Garamon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DAC"/>
    <w:multiLevelType w:val="hybridMultilevel"/>
    <w:tmpl w:val="5680E382"/>
    <w:lvl w:ilvl="0" w:tplc="9E5EE804">
      <w:start w:val="1"/>
      <w:numFmt w:val="lowerRoman"/>
      <w:lvlText w:val="%1)"/>
      <w:lvlJc w:val="right"/>
      <w:pPr>
        <w:tabs>
          <w:tab w:val="num" w:pos="720"/>
        </w:tabs>
        <w:ind w:left="720" w:hanging="360"/>
      </w:pPr>
    </w:lvl>
    <w:lvl w:ilvl="1" w:tplc="6666B688" w:tentative="1">
      <w:start w:val="1"/>
      <w:numFmt w:val="lowerRoman"/>
      <w:lvlText w:val="%2)"/>
      <w:lvlJc w:val="right"/>
      <w:pPr>
        <w:tabs>
          <w:tab w:val="num" w:pos="1440"/>
        </w:tabs>
        <w:ind w:left="1440" w:hanging="360"/>
      </w:pPr>
    </w:lvl>
    <w:lvl w:ilvl="2" w:tplc="2D684EA6" w:tentative="1">
      <w:start w:val="1"/>
      <w:numFmt w:val="lowerRoman"/>
      <w:lvlText w:val="%3)"/>
      <w:lvlJc w:val="right"/>
      <w:pPr>
        <w:tabs>
          <w:tab w:val="num" w:pos="2160"/>
        </w:tabs>
        <w:ind w:left="2160" w:hanging="360"/>
      </w:pPr>
    </w:lvl>
    <w:lvl w:ilvl="3" w:tplc="B524AD28" w:tentative="1">
      <w:start w:val="1"/>
      <w:numFmt w:val="lowerRoman"/>
      <w:lvlText w:val="%4)"/>
      <w:lvlJc w:val="right"/>
      <w:pPr>
        <w:tabs>
          <w:tab w:val="num" w:pos="2880"/>
        </w:tabs>
        <w:ind w:left="2880" w:hanging="360"/>
      </w:pPr>
    </w:lvl>
    <w:lvl w:ilvl="4" w:tplc="8C32CF7E" w:tentative="1">
      <w:start w:val="1"/>
      <w:numFmt w:val="lowerRoman"/>
      <w:lvlText w:val="%5)"/>
      <w:lvlJc w:val="right"/>
      <w:pPr>
        <w:tabs>
          <w:tab w:val="num" w:pos="3600"/>
        </w:tabs>
        <w:ind w:left="3600" w:hanging="360"/>
      </w:pPr>
    </w:lvl>
    <w:lvl w:ilvl="5" w:tplc="CCA0962C" w:tentative="1">
      <w:start w:val="1"/>
      <w:numFmt w:val="lowerRoman"/>
      <w:lvlText w:val="%6)"/>
      <w:lvlJc w:val="right"/>
      <w:pPr>
        <w:tabs>
          <w:tab w:val="num" w:pos="4320"/>
        </w:tabs>
        <w:ind w:left="4320" w:hanging="360"/>
      </w:pPr>
    </w:lvl>
    <w:lvl w:ilvl="6" w:tplc="985A2C1E" w:tentative="1">
      <w:start w:val="1"/>
      <w:numFmt w:val="lowerRoman"/>
      <w:lvlText w:val="%7)"/>
      <w:lvlJc w:val="right"/>
      <w:pPr>
        <w:tabs>
          <w:tab w:val="num" w:pos="5040"/>
        </w:tabs>
        <w:ind w:left="5040" w:hanging="360"/>
      </w:pPr>
    </w:lvl>
    <w:lvl w:ilvl="7" w:tplc="058C4814" w:tentative="1">
      <w:start w:val="1"/>
      <w:numFmt w:val="lowerRoman"/>
      <w:lvlText w:val="%8)"/>
      <w:lvlJc w:val="right"/>
      <w:pPr>
        <w:tabs>
          <w:tab w:val="num" w:pos="5760"/>
        </w:tabs>
        <w:ind w:left="5760" w:hanging="360"/>
      </w:pPr>
    </w:lvl>
    <w:lvl w:ilvl="8" w:tplc="B8980F10" w:tentative="1">
      <w:start w:val="1"/>
      <w:numFmt w:val="lowerRoman"/>
      <w:lvlText w:val="%9)"/>
      <w:lvlJc w:val="right"/>
      <w:pPr>
        <w:tabs>
          <w:tab w:val="num" w:pos="6480"/>
        </w:tabs>
        <w:ind w:left="6480" w:hanging="360"/>
      </w:pPr>
    </w:lvl>
  </w:abstractNum>
  <w:abstractNum w:abstractNumId="1" w15:restartNumberingAfterBreak="0">
    <w:nsid w:val="090A043D"/>
    <w:multiLevelType w:val="hybridMultilevel"/>
    <w:tmpl w:val="A0241742"/>
    <w:lvl w:ilvl="0" w:tplc="894231C8">
      <w:start w:val="1"/>
      <w:numFmt w:val="bullet"/>
      <w:lvlText w:val="•"/>
      <w:lvlJc w:val="left"/>
      <w:pPr>
        <w:tabs>
          <w:tab w:val="num" w:pos="720"/>
        </w:tabs>
        <w:ind w:left="720" w:hanging="360"/>
      </w:pPr>
      <w:rPr>
        <w:rFonts w:ascii="Arial" w:hAnsi="Arial" w:hint="default"/>
      </w:rPr>
    </w:lvl>
    <w:lvl w:ilvl="1" w:tplc="2C341AA6" w:tentative="1">
      <w:start w:val="1"/>
      <w:numFmt w:val="bullet"/>
      <w:lvlText w:val="•"/>
      <w:lvlJc w:val="left"/>
      <w:pPr>
        <w:tabs>
          <w:tab w:val="num" w:pos="1440"/>
        </w:tabs>
        <w:ind w:left="1440" w:hanging="360"/>
      </w:pPr>
      <w:rPr>
        <w:rFonts w:ascii="Arial" w:hAnsi="Arial" w:hint="default"/>
      </w:rPr>
    </w:lvl>
    <w:lvl w:ilvl="2" w:tplc="CF44F14C" w:tentative="1">
      <w:start w:val="1"/>
      <w:numFmt w:val="bullet"/>
      <w:lvlText w:val="•"/>
      <w:lvlJc w:val="left"/>
      <w:pPr>
        <w:tabs>
          <w:tab w:val="num" w:pos="2160"/>
        </w:tabs>
        <w:ind w:left="2160" w:hanging="360"/>
      </w:pPr>
      <w:rPr>
        <w:rFonts w:ascii="Arial" w:hAnsi="Arial" w:hint="default"/>
      </w:rPr>
    </w:lvl>
    <w:lvl w:ilvl="3" w:tplc="992CCBE8" w:tentative="1">
      <w:start w:val="1"/>
      <w:numFmt w:val="bullet"/>
      <w:lvlText w:val="•"/>
      <w:lvlJc w:val="left"/>
      <w:pPr>
        <w:tabs>
          <w:tab w:val="num" w:pos="2880"/>
        </w:tabs>
        <w:ind w:left="2880" w:hanging="360"/>
      </w:pPr>
      <w:rPr>
        <w:rFonts w:ascii="Arial" w:hAnsi="Arial" w:hint="default"/>
      </w:rPr>
    </w:lvl>
    <w:lvl w:ilvl="4" w:tplc="0BA88ED8" w:tentative="1">
      <w:start w:val="1"/>
      <w:numFmt w:val="bullet"/>
      <w:lvlText w:val="•"/>
      <w:lvlJc w:val="left"/>
      <w:pPr>
        <w:tabs>
          <w:tab w:val="num" w:pos="3600"/>
        </w:tabs>
        <w:ind w:left="3600" w:hanging="360"/>
      </w:pPr>
      <w:rPr>
        <w:rFonts w:ascii="Arial" w:hAnsi="Arial" w:hint="default"/>
      </w:rPr>
    </w:lvl>
    <w:lvl w:ilvl="5" w:tplc="8C68E48A" w:tentative="1">
      <w:start w:val="1"/>
      <w:numFmt w:val="bullet"/>
      <w:lvlText w:val="•"/>
      <w:lvlJc w:val="left"/>
      <w:pPr>
        <w:tabs>
          <w:tab w:val="num" w:pos="4320"/>
        </w:tabs>
        <w:ind w:left="4320" w:hanging="360"/>
      </w:pPr>
      <w:rPr>
        <w:rFonts w:ascii="Arial" w:hAnsi="Arial" w:hint="default"/>
      </w:rPr>
    </w:lvl>
    <w:lvl w:ilvl="6" w:tplc="2A1497E8" w:tentative="1">
      <w:start w:val="1"/>
      <w:numFmt w:val="bullet"/>
      <w:lvlText w:val="•"/>
      <w:lvlJc w:val="left"/>
      <w:pPr>
        <w:tabs>
          <w:tab w:val="num" w:pos="5040"/>
        </w:tabs>
        <w:ind w:left="5040" w:hanging="360"/>
      </w:pPr>
      <w:rPr>
        <w:rFonts w:ascii="Arial" w:hAnsi="Arial" w:hint="default"/>
      </w:rPr>
    </w:lvl>
    <w:lvl w:ilvl="7" w:tplc="39503C1E" w:tentative="1">
      <w:start w:val="1"/>
      <w:numFmt w:val="bullet"/>
      <w:lvlText w:val="•"/>
      <w:lvlJc w:val="left"/>
      <w:pPr>
        <w:tabs>
          <w:tab w:val="num" w:pos="5760"/>
        </w:tabs>
        <w:ind w:left="5760" w:hanging="360"/>
      </w:pPr>
      <w:rPr>
        <w:rFonts w:ascii="Arial" w:hAnsi="Arial" w:hint="default"/>
      </w:rPr>
    </w:lvl>
    <w:lvl w:ilvl="8" w:tplc="B2561F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34FA4"/>
    <w:multiLevelType w:val="multilevel"/>
    <w:tmpl w:val="2D580602"/>
    <w:lvl w:ilvl="0">
      <w:start w:val="1"/>
      <w:numFmt w:val="decimal"/>
      <w:pStyle w:val="Titolo1"/>
      <w:lvlText w:val="%1."/>
      <w:lvlJc w:val="left"/>
      <w:pPr>
        <w:ind w:left="720" w:hanging="360"/>
      </w:pPr>
      <w:rPr>
        <w:rFonts w:hint="default"/>
        <w:u w:val="none"/>
      </w:rPr>
    </w:lvl>
    <w:lvl w:ilvl="1">
      <w:start w:val="1"/>
      <w:numFmt w:val="decimal"/>
      <w:pStyle w:val="Titol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C639DB"/>
    <w:multiLevelType w:val="hybridMultilevel"/>
    <w:tmpl w:val="DABE2792"/>
    <w:lvl w:ilvl="0" w:tplc="F29279D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573446"/>
    <w:multiLevelType w:val="hybridMultilevel"/>
    <w:tmpl w:val="559E28FA"/>
    <w:lvl w:ilvl="0" w:tplc="85523C8E">
      <w:start w:val="1"/>
      <w:numFmt w:val="bullet"/>
      <w:lvlText w:val="-"/>
      <w:lvlJc w:val="left"/>
      <w:pPr>
        <w:tabs>
          <w:tab w:val="num" w:pos="720"/>
        </w:tabs>
        <w:ind w:left="720" w:hanging="360"/>
      </w:pPr>
      <w:rPr>
        <w:rFonts w:ascii="Times New Roman" w:hAnsi="Times New Roman" w:hint="default"/>
      </w:rPr>
    </w:lvl>
    <w:lvl w:ilvl="1" w:tplc="81284EE4" w:tentative="1">
      <w:start w:val="1"/>
      <w:numFmt w:val="bullet"/>
      <w:lvlText w:val="-"/>
      <w:lvlJc w:val="left"/>
      <w:pPr>
        <w:tabs>
          <w:tab w:val="num" w:pos="1440"/>
        </w:tabs>
        <w:ind w:left="1440" w:hanging="360"/>
      </w:pPr>
      <w:rPr>
        <w:rFonts w:ascii="Times New Roman" w:hAnsi="Times New Roman" w:hint="default"/>
      </w:rPr>
    </w:lvl>
    <w:lvl w:ilvl="2" w:tplc="108AC304" w:tentative="1">
      <w:start w:val="1"/>
      <w:numFmt w:val="bullet"/>
      <w:lvlText w:val="-"/>
      <w:lvlJc w:val="left"/>
      <w:pPr>
        <w:tabs>
          <w:tab w:val="num" w:pos="2160"/>
        </w:tabs>
        <w:ind w:left="2160" w:hanging="360"/>
      </w:pPr>
      <w:rPr>
        <w:rFonts w:ascii="Times New Roman" w:hAnsi="Times New Roman" w:hint="default"/>
      </w:rPr>
    </w:lvl>
    <w:lvl w:ilvl="3" w:tplc="0F325184" w:tentative="1">
      <w:start w:val="1"/>
      <w:numFmt w:val="bullet"/>
      <w:lvlText w:val="-"/>
      <w:lvlJc w:val="left"/>
      <w:pPr>
        <w:tabs>
          <w:tab w:val="num" w:pos="2880"/>
        </w:tabs>
        <w:ind w:left="2880" w:hanging="360"/>
      </w:pPr>
      <w:rPr>
        <w:rFonts w:ascii="Times New Roman" w:hAnsi="Times New Roman" w:hint="default"/>
      </w:rPr>
    </w:lvl>
    <w:lvl w:ilvl="4" w:tplc="9F4EECEC" w:tentative="1">
      <w:start w:val="1"/>
      <w:numFmt w:val="bullet"/>
      <w:lvlText w:val="-"/>
      <w:lvlJc w:val="left"/>
      <w:pPr>
        <w:tabs>
          <w:tab w:val="num" w:pos="3600"/>
        </w:tabs>
        <w:ind w:left="3600" w:hanging="360"/>
      </w:pPr>
      <w:rPr>
        <w:rFonts w:ascii="Times New Roman" w:hAnsi="Times New Roman" w:hint="default"/>
      </w:rPr>
    </w:lvl>
    <w:lvl w:ilvl="5" w:tplc="BA503404" w:tentative="1">
      <w:start w:val="1"/>
      <w:numFmt w:val="bullet"/>
      <w:lvlText w:val="-"/>
      <w:lvlJc w:val="left"/>
      <w:pPr>
        <w:tabs>
          <w:tab w:val="num" w:pos="4320"/>
        </w:tabs>
        <w:ind w:left="4320" w:hanging="360"/>
      </w:pPr>
      <w:rPr>
        <w:rFonts w:ascii="Times New Roman" w:hAnsi="Times New Roman" w:hint="default"/>
      </w:rPr>
    </w:lvl>
    <w:lvl w:ilvl="6" w:tplc="0284ECE8" w:tentative="1">
      <w:start w:val="1"/>
      <w:numFmt w:val="bullet"/>
      <w:lvlText w:val="-"/>
      <w:lvlJc w:val="left"/>
      <w:pPr>
        <w:tabs>
          <w:tab w:val="num" w:pos="5040"/>
        </w:tabs>
        <w:ind w:left="5040" w:hanging="360"/>
      </w:pPr>
      <w:rPr>
        <w:rFonts w:ascii="Times New Roman" w:hAnsi="Times New Roman" w:hint="default"/>
      </w:rPr>
    </w:lvl>
    <w:lvl w:ilvl="7" w:tplc="22E04CBC" w:tentative="1">
      <w:start w:val="1"/>
      <w:numFmt w:val="bullet"/>
      <w:lvlText w:val="-"/>
      <w:lvlJc w:val="left"/>
      <w:pPr>
        <w:tabs>
          <w:tab w:val="num" w:pos="5760"/>
        </w:tabs>
        <w:ind w:left="5760" w:hanging="360"/>
      </w:pPr>
      <w:rPr>
        <w:rFonts w:ascii="Times New Roman" w:hAnsi="Times New Roman" w:hint="default"/>
      </w:rPr>
    </w:lvl>
    <w:lvl w:ilvl="8" w:tplc="579A334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484921"/>
    <w:multiLevelType w:val="multilevel"/>
    <w:tmpl w:val="6E7A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41F8D"/>
    <w:multiLevelType w:val="hybridMultilevel"/>
    <w:tmpl w:val="59104114"/>
    <w:lvl w:ilvl="0" w:tplc="23200DBE">
      <w:start w:val="1"/>
      <w:numFmt w:val="lowerLetter"/>
      <w:lvlText w:val="%1)"/>
      <w:lvlJc w:val="left"/>
      <w:pPr>
        <w:tabs>
          <w:tab w:val="num" w:pos="720"/>
        </w:tabs>
        <w:ind w:left="720" w:hanging="360"/>
      </w:pPr>
    </w:lvl>
    <w:lvl w:ilvl="1" w:tplc="8B8CFF5A" w:tentative="1">
      <w:start w:val="1"/>
      <w:numFmt w:val="lowerLetter"/>
      <w:lvlText w:val="%2)"/>
      <w:lvlJc w:val="left"/>
      <w:pPr>
        <w:tabs>
          <w:tab w:val="num" w:pos="1440"/>
        </w:tabs>
        <w:ind w:left="1440" w:hanging="360"/>
      </w:pPr>
    </w:lvl>
    <w:lvl w:ilvl="2" w:tplc="B8B0C06A" w:tentative="1">
      <w:start w:val="1"/>
      <w:numFmt w:val="lowerLetter"/>
      <w:lvlText w:val="%3)"/>
      <w:lvlJc w:val="left"/>
      <w:pPr>
        <w:tabs>
          <w:tab w:val="num" w:pos="2160"/>
        </w:tabs>
        <w:ind w:left="2160" w:hanging="360"/>
      </w:pPr>
    </w:lvl>
    <w:lvl w:ilvl="3" w:tplc="24402F58" w:tentative="1">
      <w:start w:val="1"/>
      <w:numFmt w:val="lowerLetter"/>
      <w:lvlText w:val="%4)"/>
      <w:lvlJc w:val="left"/>
      <w:pPr>
        <w:tabs>
          <w:tab w:val="num" w:pos="2880"/>
        </w:tabs>
        <w:ind w:left="2880" w:hanging="360"/>
      </w:pPr>
    </w:lvl>
    <w:lvl w:ilvl="4" w:tplc="97809174" w:tentative="1">
      <w:start w:val="1"/>
      <w:numFmt w:val="lowerLetter"/>
      <w:lvlText w:val="%5)"/>
      <w:lvlJc w:val="left"/>
      <w:pPr>
        <w:tabs>
          <w:tab w:val="num" w:pos="3600"/>
        </w:tabs>
        <w:ind w:left="3600" w:hanging="360"/>
      </w:pPr>
    </w:lvl>
    <w:lvl w:ilvl="5" w:tplc="B03C935E" w:tentative="1">
      <w:start w:val="1"/>
      <w:numFmt w:val="lowerLetter"/>
      <w:lvlText w:val="%6)"/>
      <w:lvlJc w:val="left"/>
      <w:pPr>
        <w:tabs>
          <w:tab w:val="num" w:pos="4320"/>
        </w:tabs>
        <w:ind w:left="4320" w:hanging="360"/>
      </w:pPr>
    </w:lvl>
    <w:lvl w:ilvl="6" w:tplc="EAD205AA" w:tentative="1">
      <w:start w:val="1"/>
      <w:numFmt w:val="lowerLetter"/>
      <w:lvlText w:val="%7)"/>
      <w:lvlJc w:val="left"/>
      <w:pPr>
        <w:tabs>
          <w:tab w:val="num" w:pos="5040"/>
        </w:tabs>
        <w:ind w:left="5040" w:hanging="360"/>
      </w:pPr>
    </w:lvl>
    <w:lvl w:ilvl="7" w:tplc="AC304EE8" w:tentative="1">
      <w:start w:val="1"/>
      <w:numFmt w:val="lowerLetter"/>
      <w:lvlText w:val="%8)"/>
      <w:lvlJc w:val="left"/>
      <w:pPr>
        <w:tabs>
          <w:tab w:val="num" w:pos="5760"/>
        </w:tabs>
        <w:ind w:left="5760" w:hanging="360"/>
      </w:pPr>
    </w:lvl>
    <w:lvl w:ilvl="8" w:tplc="69821C0E" w:tentative="1">
      <w:start w:val="1"/>
      <w:numFmt w:val="lowerLetter"/>
      <w:lvlText w:val="%9)"/>
      <w:lvlJc w:val="left"/>
      <w:pPr>
        <w:tabs>
          <w:tab w:val="num" w:pos="6480"/>
        </w:tabs>
        <w:ind w:left="6480" w:hanging="360"/>
      </w:pPr>
    </w:lvl>
  </w:abstractNum>
  <w:abstractNum w:abstractNumId="7" w15:restartNumberingAfterBreak="0">
    <w:nsid w:val="34321890"/>
    <w:multiLevelType w:val="multilevel"/>
    <w:tmpl w:val="E6E475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D21101"/>
    <w:multiLevelType w:val="hybridMultilevel"/>
    <w:tmpl w:val="2B40AA72"/>
    <w:lvl w:ilvl="0" w:tplc="5E10158A">
      <w:start w:val="1"/>
      <w:numFmt w:val="bullet"/>
      <w:lvlText w:val="•"/>
      <w:lvlJc w:val="left"/>
      <w:pPr>
        <w:tabs>
          <w:tab w:val="num" w:pos="720"/>
        </w:tabs>
        <w:ind w:left="720" w:hanging="360"/>
      </w:pPr>
      <w:rPr>
        <w:rFonts w:ascii="Arial" w:hAnsi="Arial" w:hint="default"/>
      </w:rPr>
    </w:lvl>
    <w:lvl w:ilvl="1" w:tplc="C60C5818" w:tentative="1">
      <w:start w:val="1"/>
      <w:numFmt w:val="bullet"/>
      <w:lvlText w:val="•"/>
      <w:lvlJc w:val="left"/>
      <w:pPr>
        <w:tabs>
          <w:tab w:val="num" w:pos="1440"/>
        </w:tabs>
        <w:ind w:left="1440" w:hanging="360"/>
      </w:pPr>
      <w:rPr>
        <w:rFonts w:ascii="Arial" w:hAnsi="Arial" w:hint="default"/>
      </w:rPr>
    </w:lvl>
    <w:lvl w:ilvl="2" w:tplc="2A80F694" w:tentative="1">
      <w:start w:val="1"/>
      <w:numFmt w:val="bullet"/>
      <w:lvlText w:val="•"/>
      <w:lvlJc w:val="left"/>
      <w:pPr>
        <w:tabs>
          <w:tab w:val="num" w:pos="2160"/>
        </w:tabs>
        <w:ind w:left="2160" w:hanging="360"/>
      </w:pPr>
      <w:rPr>
        <w:rFonts w:ascii="Arial" w:hAnsi="Arial" w:hint="default"/>
      </w:rPr>
    </w:lvl>
    <w:lvl w:ilvl="3" w:tplc="3236B6BE" w:tentative="1">
      <w:start w:val="1"/>
      <w:numFmt w:val="bullet"/>
      <w:lvlText w:val="•"/>
      <w:lvlJc w:val="left"/>
      <w:pPr>
        <w:tabs>
          <w:tab w:val="num" w:pos="2880"/>
        </w:tabs>
        <w:ind w:left="2880" w:hanging="360"/>
      </w:pPr>
      <w:rPr>
        <w:rFonts w:ascii="Arial" w:hAnsi="Arial" w:hint="default"/>
      </w:rPr>
    </w:lvl>
    <w:lvl w:ilvl="4" w:tplc="073CCE58" w:tentative="1">
      <w:start w:val="1"/>
      <w:numFmt w:val="bullet"/>
      <w:lvlText w:val="•"/>
      <w:lvlJc w:val="left"/>
      <w:pPr>
        <w:tabs>
          <w:tab w:val="num" w:pos="3600"/>
        </w:tabs>
        <w:ind w:left="3600" w:hanging="360"/>
      </w:pPr>
      <w:rPr>
        <w:rFonts w:ascii="Arial" w:hAnsi="Arial" w:hint="default"/>
      </w:rPr>
    </w:lvl>
    <w:lvl w:ilvl="5" w:tplc="AA529580" w:tentative="1">
      <w:start w:val="1"/>
      <w:numFmt w:val="bullet"/>
      <w:lvlText w:val="•"/>
      <w:lvlJc w:val="left"/>
      <w:pPr>
        <w:tabs>
          <w:tab w:val="num" w:pos="4320"/>
        </w:tabs>
        <w:ind w:left="4320" w:hanging="360"/>
      </w:pPr>
      <w:rPr>
        <w:rFonts w:ascii="Arial" w:hAnsi="Arial" w:hint="default"/>
      </w:rPr>
    </w:lvl>
    <w:lvl w:ilvl="6" w:tplc="EE027858" w:tentative="1">
      <w:start w:val="1"/>
      <w:numFmt w:val="bullet"/>
      <w:lvlText w:val="•"/>
      <w:lvlJc w:val="left"/>
      <w:pPr>
        <w:tabs>
          <w:tab w:val="num" w:pos="5040"/>
        </w:tabs>
        <w:ind w:left="5040" w:hanging="360"/>
      </w:pPr>
      <w:rPr>
        <w:rFonts w:ascii="Arial" w:hAnsi="Arial" w:hint="default"/>
      </w:rPr>
    </w:lvl>
    <w:lvl w:ilvl="7" w:tplc="57AA7CE2" w:tentative="1">
      <w:start w:val="1"/>
      <w:numFmt w:val="bullet"/>
      <w:lvlText w:val="•"/>
      <w:lvlJc w:val="left"/>
      <w:pPr>
        <w:tabs>
          <w:tab w:val="num" w:pos="5760"/>
        </w:tabs>
        <w:ind w:left="5760" w:hanging="360"/>
      </w:pPr>
      <w:rPr>
        <w:rFonts w:ascii="Arial" w:hAnsi="Arial" w:hint="default"/>
      </w:rPr>
    </w:lvl>
    <w:lvl w:ilvl="8" w:tplc="6EB232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222FB9"/>
    <w:multiLevelType w:val="hybridMultilevel"/>
    <w:tmpl w:val="01FEAC9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48D0648"/>
    <w:multiLevelType w:val="multilevel"/>
    <w:tmpl w:val="50D6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4C4DB0"/>
    <w:multiLevelType w:val="multilevel"/>
    <w:tmpl w:val="4444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6D6FEC"/>
    <w:multiLevelType w:val="multilevel"/>
    <w:tmpl w:val="0CE86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645096"/>
    <w:multiLevelType w:val="hybridMultilevel"/>
    <w:tmpl w:val="AC40B712"/>
    <w:lvl w:ilvl="0" w:tplc="BEFEC3A2">
      <w:start w:val="1"/>
      <w:numFmt w:val="bullet"/>
      <w:lvlText w:val="•"/>
      <w:lvlJc w:val="left"/>
      <w:pPr>
        <w:tabs>
          <w:tab w:val="num" w:pos="720"/>
        </w:tabs>
        <w:ind w:left="720" w:hanging="360"/>
      </w:pPr>
      <w:rPr>
        <w:rFonts w:ascii="Arial" w:hAnsi="Arial" w:hint="default"/>
      </w:rPr>
    </w:lvl>
    <w:lvl w:ilvl="1" w:tplc="967236B8" w:tentative="1">
      <w:start w:val="1"/>
      <w:numFmt w:val="bullet"/>
      <w:lvlText w:val="•"/>
      <w:lvlJc w:val="left"/>
      <w:pPr>
        <w:tabs>
          <w:tab w:val="num" w:pos="1440"/>
        </w:tabs>
        <w:ind w:left="1440" w:hanging="360"/>
      </w:pPr>
      <w:rPr>
        <w:rFonts w:ascii="Arial" w:hAnsi="Arial" w:hint="default"/>
      </w:rPr>
    </w:lvl>
    <w:lvl w:ilvl="2" w:tplc="B098564E" w:tentative="1">
      <w:start w:val="1"/>
      <w:numFmt w:val="bullet"/>
      <w:lvlText w:val="•"/>
      <w:lvlJc w:val="left"/>
      <w:pPr>
        <w:tabs>
          <w:tab w:val="num" w:pos="2160"/>
        </w:tabs>
        <w:ind w:left="2160" w:hanging="360"/>
      </w:pPr>
      <w:rPr>
        <w:rFonts w:ascii="Arial" w:hAnsi="Arial" w:hint="default"/>
      </w:rPr>
    </w:lvl>
    <w:lvl w:ilvl="3" w:tplc="614CF8BE" w:tentative="1">
      <w:start w:val="1"/>
      <w:numFmt w:val="bullet"/>
      <w:lvlText w:val="•"/>
      <w:lvlJc w:val="left"/>
      <w:pPr>
        <w:tabs>
          <w:tab w:val="num" w:pos="2880"/>
        </w:tabs>
        <w:ind w:left="2880" w:hanging="360"/>
      </w:pPr>
      <w:rPr>
        <w:rFonts w:ascii="Arial" w:hAnsi="Arial" w:hint="default"/>
      </w:rPr>
    </w:lvl>
    <w:lvl w:ilvl="4" w:tplc="4164E694" w:tentative="1">
      <w:start w:val="1"/>
      <w:numFmt w:val="bullet"/>
      <w:lvlText w:val="•"/>
      <w:lvlJc w:val="left"/>
      <w:pPr>
        <w:tabs>
          <w:tab w:val="num" w:pos="3600"/>
        </w:tabs>
        <w:ind w:left="3600" w:hanging="360"/>
      </w:pPr>
      <w:rPr>
        <w:rFonts w:ascii="Arial" w:hAnsi="Arial" w:hint="default"/>
      </w:rPr>
    </w:lvl>
    <w:lvl w:ilvl="5" w:tplc="52F61B30" w:tentative="1">
      <w:start w:val="1"/>
      <w:numFmt w:val="bullet"/>
      <w:lvlText w:val="•"/>
      <w:lvlJc w:val="left"/>
      <w:pPr>
        <w:tabs>
          <w:tab w:val="num" w:pos="4320"/>
        </w:tabs>
        <w:ind w:left="4320" w:hanging="360"/>
      </w:pPr>
      <w:rPr>
        <w:rFonts w:ascii="Arial" w:hAnsi="Arial" w:hint="default"/>
      </w:rPr>
    </w:lvl>
    <w:lvl w:ilvl="6" w:tplc="6AB89D7C" w:tentative="1">
      <w:start w:val="1"/>
      <w:numFmt w:val="bullet"/>
      <w:lvlText w:val="•"/>
      <w:lvlJc w:val="left"/>
      <w:pPr>
        <w:tabs>
          <w:tab w:val="num" w:pos="5040"/>
        </w:tabs>
        <w:ind w:left="5040" w:hanging="360"/>
      </w:pPr>
      <w:rPr>
        <w:rFonts w:ascii="Arial" w:hAnsi="Arial" w:hint="default"/>
      </w:rPr>
    </w:lvl>
    <w:lvl w:ilvl="7" w:tplc="4406066A" w:tentative="1">
      <w:start w:val="1"/>
      <w:numFmt w:val="bullet"/>
      <w:lvlText w:val="•"/>
      <w:lvlJc w:val="left"/>
      <w:pPr>
        <w:tabs>
          <w:tab w:val="num" w:pos="5760"/>
        </w:tabs>
        <w:ind w:left="5760" w:hanging="360"/>
      </w:pPr>
      <w:rPr>
        <w:rFonts w:ascii="Arial" w:hAnsi="Arial" w:hint="default"/>
      </w:rPr>
    </w:lvl>
    <w:lvl w:ilvl="8" w:tplc="6E4833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137BD3"/>
    <w:multiLevelType w:val="hybridMultilevel"/>
    <w:tmpl w:val="25FEC81C"/>
    <w:lvl w:ilvl="0" w:tplc="842895E0">
      <w:start w:val="1"/>
      <w:numFmt w:val="bullet"/>
      <w:lvlText w:val="•"/>
      <w:lvlJc w:val="left"/>
      <w:pPr>
        <w:tabs>
          <w:tab w:val="num" w:pos="720"/>
        </w:tabs>
        <w:ind w:left="720" w:hanging="360"/>
      </w:pPr>
      <w:rPr>
        <w:rFonts w:ascii="Arial" w:hAnsi="Arial" w:hint="default"/>
      </w:rPr>
    </w:lvl>
    <w:lvl w:ilvl="1" w:tplc="15E2C84A" w:tentative="1">
      <w:start w:val="1"/>
      <w:numFmt w:val="bullet"/>
      <w:lvlText w:val="•"/>
      <w:lvlJc w:val="left"/>
      <w:pPr>
        <w:tabs>
          <w:tab w:val="num" w:pos="1440"/>
        </w:tabs>
        <w:ind w:left="1440" w:hanging="360"/>
      </w:pPr>
      <w:rPr>
        <w:rFonts w:ascii="Arial" w:hAnsi="Arial" w:hint="default"/>
      </w:rPr>
    </w:lvl>
    <w:lvl w:ilvl="2" w:tplc="6DB42B80" w:tentative="1">
      <w:start w:val="1"/>
      <w:numFmt w:val="bullet"/>
      <w:lvlText w:val="•"/>
      <w:lvlJc w:val="left"/>
      <w:pPr>
        <w:tabs>
          <w:tab w:val="num" w:pos="2160"/>
        </w:tabs>
        <w:ind w:left="2160" w:hanging="360"/>
      </w:pPr>
      <w:rPr>
        <w:rFonts w:ascii="Arial" w:hAnsi="Arial" w:hint="default"/>
      </w:rPr>
    </w:lvl>
    <w:lvl w:ilvl="3" w:tplc="4B046BF8" w:tentative="1">
      <w:start w:val="1"/>
      <w:numFmt w:val="bullet"/>
      <w:lvlText w:val="•"/>
      <w:lvlJc w:val="left"/>
      <w:pPr>
        <w:tabs>
          <w:tab w:val="num" w:pos="2880"/>
        </w:tabs>
        <w:ind w:left="2880" w:hanging="360"/>
      </w:pPr>
      <w:rPr>
        <w:rFonts w:ascii="Arial" w:hAnsi="Arial" w:hint="default"/>
      </w:rPr>
    </w:lvl>
    <w:lvl w:ilvl="4" w:tplc="6A666DB4" w:tentative="1">
      <w:start w:val="1"/>
      <w:numFmt w:val="bullet"/>
      <w:lvlText w:val="•"/>
      <w:lvlJc w:val="left"/>
      <w:pPr>
        <w:tabs>
          <w:tab w:val="num" w:pos="3600"/>
        </w:tabs>
        <w:ind w:left="3600" w:hanging="360"/>
      </w:pPr>
      <w:rPr>
        <w:rFonts w:ascii="Arial" w:hAnsi="Arial" w:hint="default"/>
      </w:rPr>
    </w:lvl>
    <w:lvl w:ilvl="5" w:tplc="F210CEB2" w:tentative="1">
      <w:start w:val="1"/>
      <w:numFmt w:val="bullet"/>
      <w:lvlText w:val="•"/>
      <w:lvlJc w:val="left"/>
      <w:pPr>
        <w:tabs>
          <w:tab w:val="num" w:pos="4320"/>
        </w:tabs>
        <w:ind w:left="4320" w:hanging="360"/>
      </w:pPr>
      <w:rPr>
        <w:rFonts w:ascii="Arial" w:hAnsi="Arial" w:hint="default"/>
      </w:rPr>
    </w:lvl>
    <w:lvl w:ilvl="6" w:tplc="F864D53C" w:tentative="1">
      <w:start w:val="1"/>
      <w:numFmt w:val="bullet"/>
      <w:lvlText w:val="•"/>
      <w:lvlJc w:val="left"/>
      <w:pPr>
        <w:tabs>
          <w:tab w:val="num" w:pos="5040"/>
        </w:tabs>
        <w:ind w:left="5040" w:hanging="360"/>
      </w:pPr>
      <w:rPr>
        <w:rFonts w:ascii="Arial" w:hAnsi="Arial" w:hint="default"/>
      </w:rPr>
    </w:lvl>
    <w:lvl w:ilvl="7" w:tplc="06C87CCE" w:tentative="1">
      <w:start w:val="1"/>
      <w:numFmt w:val="bullet"/>
      <w:lvlText w:val="•"/>
      <w:lvlJc w:val="left"/>
      <w:pPr>
        <w:tabs>
          <w:tab w:val="num" w:pos="5760"/>
        </w:tabs>
        <w:ind w:left="5760" w:hanging="360"/>
      </w:pPr>
      <w:rPr>
        <w:rFonts w:ascii="Arial" w:hAnsi="Arial" w:hint="default"/>
      </w:rPr>
    </w:lvl>
    <w:lvl w:ilvl="8" w:tplc="721C3C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6A7308"/>
    <w:multiLevelType w:val="hybridMultilevel"/>
    <w:tmpl w:val="DABE2792"/>
    <w:lvl w:ilvl="0" w:tplc="F29279D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A156A94"/>
    <w:multiLevelType w:val="multilevel"/>
    <w:tmpl w:val="160E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70B75"/>
    <w:multiLevelType w:val="multilevel"/>
    <w:tmpl w:val="66486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2F0EC3"/>
    <w:multiLevelType w:val="multilevel"/>
    <w:tmpl w:val="EDE4F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5"/>
  </w:num>
  <w:num w:numId="4">
    <w:abstractNumId w:val="18"/>
  </w:num>
  <w:num w:numId="5">
    <w:abstractNumId w:val="0"/>
  </w:num>
  <w:num w:numId="6">
    <w:abstractNumId w:val="1"/>
  </w:num>
  <w:num w:numId="7">
    <w:abstractNumId w:val="13"/>
  </w:num>
  <w:num w:numId="8">
    <w:abstractNumId w:val="8"/>
  </w:num>
  <w:num w:numId="9">
    <w:abstractNumId w:val="6"/>
  </w:num>
  <w:num w:numId="10">
    <w:abstractNumId w:val="14"/>
  </w:num>
  <w:num w:numId="11">
    <w:abstractNumId w:val="4"/>
  </w:num>
  <w:num w:numId="12">
    <w:abstractNumId w:val="2"/>
  </w:num>
  <w:num w:numId="13">
    <w:abstractNumId w:val="12"/>
  </w:num>
  <w:num w:numId="14">
    <w:abstractNumId w:val="10"/>
  </w:num>
  <w:num w:numId="15">
    <w:abstractNumId w:val="16"/>
  </w:num>
  <w:num w:numId="16">
    <w:abstractNumId w:val="11"/>
  </w:num>
  <w:num w:numId="17">
    <w:abstractNumId w:val="15"/>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C0"/>
    <w:rsid w:val="00000932"/>
    <w:rsid w:val="00000B11"/>
    <w:rsid w:val="00006F56"/>
    <w:rsid w:val="00010C31"/>
    <w:rsid w:val="000223A7"/>
    <w:rsid w:val="0002378E"/>
    <w:rsid w:val="000253F0"/>
    <w:rsid w:val="00030DD8"/>
    <w:rsid w:val="0003125B"/>
    <w:rsid w:val="0003536D"/>
    <w:rsid w:val="00035DC6"/>
    <w:rsid w:val="000378FA"/>
    <w:rsid w:val="00042C65"/>
    <w:rsid w:val="00043B20"/>
    <w:rsid w:val="0004480E"/>
    <w:rsid w:val="00045656"/>
    <w:rsid w:val="00045966"/>
    <w:rsid w:val="00046BB9"/>
    <w:rsid w:val="00050B3D"/>
    <w:rsid w:val="00052DB0"/>
    <w:rsid w:val="00055254"/>
    <w:rsid w:val="000606C1"/>
    <w:rsid w:val="00060779"/>
    <w:rsid w:val="00061F93"/>
    <w:rsid w:val="000679BD"/>
    <w:rsid w:val="00073860"/>
    <w:rsid w:val="0007515F"/>
    <w:rsid w:val="000760CE"/>
    <w:rsid w:val="000767C7"/>
    <w:rsid w:val="00080B03"/>
    <w:rsid w:val="000816CA"/>
    <w:rsid w:val="00084F84"/>
    <w:rsid w:val="0008645A"/>
    <w:rsid w:val="00092400"/>
    <w:rsid w:val="00093000"/>
    <w:rsid w:val="00095810"/>
    <w:rsid w:val="000966E0"/>
    <w:rsid w:val="000A1024"/>
    <w:rsid w:val="000A348A"/>
    <w:rsid w:val="000A5078"/>
    <w:rsid w:val="000A5ADF"/>
    <w:rsid w:val="000A5C19"/>
    <w:rsid w:val="000A6286"/>
    <w:rsid w:val="000B6686"/>
    <w:rsid w:val="000B6D17"/>
    <w:rsid w:val="000C25D9"/>
    <w:rsid w:val="000C29BA"/>
    <w:rsid w:val="000C2C28"/>
    <w:rsid w:val="000C2D7E"/>
    <w:rsid w:val="000C3AA0"/>
    <w:rsid w:val="000C4440"/>
    <w:rsid w:val="000C4B9C"/>
    <w:rsid w:val="000C6A9F"/>
    <w:rsid w:val="000D2CDE"/>
    <w:rsid w:val="000D436A"/>
    <w:rsid w:val="000D5DD1"/>
    <w:rsid w:val="000D6592"/>
    <w:rsid w:val="000E32AB"/>
    <w:rsid w:val="000E6499"/>
    <w:rsid w:val="000E724D"/>
    <w:rsid w:val="000F0AE0"/>
    <w:rsid w:val="000F1F89"/>
    <w:rsid w:val="000F23F9"/>
    <w:rsid w:val="000F33B4"/>
    <w:rsid w:val="000F45C4"/>
    <w:rsid w:val="000F5A03"/>
    <w:rsid w:val="000F5FFB"/>
    <w:rsid w:val="000F7558"/>
    <w:rsid w:val="000F795F"/>
    <w:rsid w:val="00100C18"/>
    <w:rsid w:val="00101C2D"/>
    <w:rsid w:val="0010594B"/>
    <w:rsid w:val="00105C1A"/>
    <w:rsid w:val="00114A7D"/>
    <w:rsid w:val="00117698"/>
    <w:rsid w:val="00120FAE"/>
    <w:rsid w:val="001215EB"/>
    <w:rsid w:val="00121BF5"/>
    <w:rsid w:val="001228D9"/>
    <w:rsid w:val="00130A6E"/>
    <w:rsid w:val="00130DDD"/>
    <w:rsid w:val="001324D1"/>
    <w:rsid w:val="00133F54"/>
    <w:rsid w:val="00134F4E"/>
    <w:rsid w:val="0013565A"/>
    <w:rsid w:val="00141C50"/>
    <w:rsid w:val="001451D5"/>
    <w:rsid w:val="001460B8"/>
    <w:rsid w:val="0014689F"/>
    <w:rsid w:val="00152F34"/>
    <w:rsid w:val="001639ED"/>
    <w:rsid w:val="00163CDB"/>
    <w:rsid w:val="00166141"/>
    <w:rsid w:val="0016705D"/>
    <w:rsid w:val="001716A6"/>
    <w:rsid w:val="00172ACC"/>
    <w:rsid w:val="0017326A"/>
    <w:rsid w:val="00173358"/>
    <w:rsid w:val="00175540"/>
    <w:rsid w:val="001834F1"/>
    <w:rsid w:val="00183A9C"/>
    <w:rsid w:val="00186AC2"/>
    <w:rsid w:val="00186F69"/>
    <w:rsid w:val="0019196B"/>
    <w:rsid w:val="001A01E7"/>
    <w:rsid w:val="001A52F3"/>
    <w:rsid w:val="001A5CB9"/>
    <w:rsid w:val="001A6E30"/>
    <w:rsid w:val="001A79C2"/>
    <w:rsid w:val="001B7A7B"/>
    <w:rsid w:val="001C1957"/>
    <w:rsid w:val="001C3C50"/>
    <w:rsid w:val="001C5997"/>
    <w:rsid w:val="001D0981"/>
    <w:rsid w:val="001D0AD0"/>
    <w:rsid w:val="001D2229"/>
    <w:rsid w:val="001D35F3"/>
    <w:rsid w:val="001D3F2D"/>
    <w:rsid w:val="001E1C83"/>
    <w:rsid w:val="001E1D65"/>
    <w:rsid w:val="001E38A5"/>
    <w:rsid w:val="001F0FE0"/>
    <w:rsid w:val="001F3795"/>
    <w:rsid w:val="001F37C2"/>
    <w:rsid w:val="001F42EE"/>
    <w:rsid w:val="001F70E9"/>
    <w:rsid w:val="00202568"/>
    <w:rsid w:val="0020297A"/>
    <w:rsid w:val="002117D0"/>
    <w:rsid w:val="00211A48"/>
    <w:rsid w:val="0021663B"/>
    <w:rsid w:val="00220989"/>
    <w:rsid w:val="0022197C"/>
    <w:rsid w:val="002234E4"/>
    <w:rsid w:val="00231F48"/>
    <w:rsid w:val="00231F7F"/>
    <w:rsid w:val="0023254C"/>
    <w:rsid w:val="002407A1"/>
    <w:rsid w:val="00252EBD"/>
    <w:rsid w:val="002550CD"/>
    <w:rsid w:val="00255B3A"/>
    <w:rsid w:val="0026267D"/>
    <w:rsid w:val="0026692B"/>
    <w:rsid w:val="00270BF1"/>
    <w:rsid w:val="0027119C"/>
    <w:rsid w:val="00273AF1"/>
    <w:rsid w:val="00276FF9"/>
    <w:rsid w:val="00280A37"/>
    <w:rsid w:val="00285035"/>
    <w:rsid w:val="002907BB"/>
    <w:rsid w:val="00292DA1"/>
    <w:rsid w:val="00294FDF"/>
    <w:rsid w:val="002A0B4F"/>
    <w:rsid w:val="002B020F"/>
    <w:rsid w:val="002B06FE"/>
    <w:rsid w:val="002C4DDC"/>
    <w:rsid w:val="002D11BE"/>
    <w:rsid w:val="002D1DFB"/>
    <w:rsid w:val="002D39D4"/>
    <w:rsid w:val="002D39D7"/>
    <w:rsid w:val="002D5135"/>
    <w:rsid w:val="002D550B"/>
    <w:rsid w:val="002D56EC"/>
    <w:rsid w:val="002D5DAE"/>
    <w:rsid w:val="002D6B5E"/>
    <w:rsid w:val="002E2E58"/>
    <w:rsid w:val="002E2FA6"/>
    <w:rsid w:val="002E363A"/>
    <w:rsid w:val="002E4A14"/>
    <w:rsid w:val="002E73EF"/>
    <w:rsid w:val="002F0BC4"/>
    <w:rsid w:val="002F198C"/>
    <w:rsid w:val="002F3C59"/>
    <w:rsid w:val="002F78C1"/>
    <w:rsid w:val="00301391"/>
    <w:rsid w:val="00305584"/>
    <w:rsid w:val="0030790E"/>
    <w:rsid w:val="00314C90"/>
    <w:rsid w:val="00316440"/>
    <w:rsid w:val="00320726"/>
    <w:rsid w:val="003218DC"/>
    <w:rsid w:val="00321B10"/>
    <w:rsid w:val="0032212D"/>
    <w:rsid w:val="00324086"/>
    <w:rsid w:val="00327C34"/>
    <w:rsid w:val="003335FF"/>
    <w:rsid w:val="00334058"/>
    <w:rsid w:val="003340E0"/>
    <w:rsid w:val="00335651"/>
    <w:rsid w:val="00335BD2"/>
    <w:rsid w:val="00336482"/>
    <w:rsid w:val="00347AD8"/>
    <w:rsid w:val="00347C0E"/>
    <w:rsid w:val="00353E15"/>
    <w:rsid w:val="00354920"/>
    <w:rsid w:val="00355072"/>
    <w:rsid w:val="00361985"/>
    <w:rsid w:val="00363419"/>
    <w:rsid w:val="00364708"/>
    <w:rsid w:val="0036511B"/>
    <w:rsid w:val="003708B5"/>
    <w:rsid w:val="003828D1"/>
    <w:rsid w:val="0038388E"/>
    <w:rsid w:val="0039247C"/>
    <w:rsid w:val="00393674"/>
    <w:rsid w:val="00394E61"/>
    <w:rsid w:val="003A13D4"/>
    <w:rsid w:val="003A322D"/>
    <w:rsid w:val="003A351E"/>
    <w:rsid w:val="003A3760"/>
    <w:rsid w:val="003A3F96"/>
    <w:rsid w:val="003A50A6"/>
    <w:rsid w:val="003A7A42"/>
    <w:rsid w:val="003A7B46"/>
    <w:rsid w:val="003B1CD5"/>
    <w:rsid w:val="003B3D8B"/>
    <w:rsid w:val="003B5C4C"/>
    <w:rsid w:val="003B6625"/>
    <w:rsid w:val="003C0989"/>
    <w:rsid w:val="003C2263"/>
    <w:rsid w:val="003C7A91"/>
    <w:rsid w:val="003D337A"/>
    <w:rsid w:val="003D3DA2"/>
    <w:rsid w:val="003D3F28"/>
    <w:rsid w:val="003D70E8"/>
    <w:rsid w:val="003D76DD"/>
    <w:rsid w:val="003D7D14"/>
    <w:rsid w:val="003E4100"/>
    <w:rsid w:val="003E6404"/>
    <w:rsid w:val="003F1203"/>
    <w:rsid w:val="003F1E69"/>
    <w:rsid w:val="003F219D"/>
    <w:rsid w:val="003F583D"/>
    <w:rsid w:val="0040292A"/>
    <w:rsid w:val="00404D63"/>
    <w:rsid w:val="00404FE6"/>
    <w:rsid w:val="004107DC"/>
    <w:rsid w:val="00411300"/>
    <w:rsid w:val="00411561"/>
    <w:rsid w:val="00412A98"/>
    <w:rsid w:val="00417AC0"/>
    <w:rsid w:val="00417E06"/>
    <w:rsid w:val="00420149"/>
    <w:rsid w:val="00421EE1"/>
    <w:rsid w:val="00422939"/>
    <w:rsid w:val="00434EB6"/>
    <w:rsid w:val="00434F7E"/>
    <w:rsid w:val="0043680C"/>
    <w:rsid w:val="0043696A"/>
    <w:rsid w:val="0043766C"/>
    <w:rsid w:val="00443967"/>
    <w:rsid w:val="004455B7"/>
    <w:rsid w:val="00450421"/>
    <w:rsid w:val="00451728"/>
    <w:rsid w:val="0045191E"/>
    <w:rsid w:val="00451D84"/>
    <w:rsid w:val="0045351A"/>
    <w:rsid w:val="0045552A"/>
    <w:rsid w:val="00460776"/>
    <w:rsid w:val="00460B5C"/>
    <w:rsid w:val="00462552"/>
    <w:rsid w:val="00463B7D"/>
    <w:rsid w:val="00470442"/>
    <w:rsid w:val="004706DC"/>
    <w:rsid w:val="0047087D"/>
    <w:rsid w:val="00471EEF"/>
    <w:rsid w:val="00475A86"/>
    <w:rsid w:val="00482520"/>
    <w:rsid w:val="004857E1"/>
    <w:rsid w:val="00486312"/>
    <w:rsid w:val="0049065A"/>
    <w:rsid w:val="004937B9"/>
    <w:rsid w:val="004974F0"/>
    <w:rsid w:val="004977C7"/>
    <w:rsid w:val="004A755A"/>
    <w:rsid w:val="004B7393"/>
    <w:rsid w:val="004C16BB"/>
    <w:rsid w:val="004C1F2A"/>
    <w:rsid w:val="004C2253"/>
    <w:rsid w:val="004C2750"/>
    <w:rsid w:val="004C3252"/>
    <w:rsid w:val="004C39CC"/>
    <w:rsid w:val="004C39EE"/>
    <w:rsid w:val="004C3E76"/>
    <w:rsid w:val="004C5160"/>
    <w:rsid w:val="004C60E9"/>
    <w:rsid w:val="004D1629"/>
    <w:rsid w:val="004D30EA"/>
    <w:rsid w:val="004D61FD"/>
    <w:rsid w:val="004D6BCD"/>
    <w:rsid w:val="004E0585"/>
    <w:rsid w:val="004E2DA6"/>
    <w:rsid w:val="004E3D47"/>
    <w:rsid w:val="004E6F4C"/>
    <w:rsid w:val="004F4360"/>
    <w:rsid w:val="004F442E"/>
    <w:rsid w:val="004F45BD"/>
    <w:rsid w:val="004F594C"/>
    <w:rsid w:val="004F5F12"/>
    <w:rsid w:val="005008DC"/>
    <w:rsid w:val="00506E73"/>
    <w:rsid w:val="00506F0C"/>
    <w:rsid w:val="00511B05"/>
    <w:rsid w:val="005126EB"/>
    <w:rsid w:val="00514CB0"/>
    <w:rsid w:val="005165CE"/>
    <w:rsid w:val="00523CC1"/>
    <w:rsid w:val="00534E53"/>
    <w:rsid w:val="0053599E"/>
    <w:rsid w:val="0054050A"/>
    <w:rsid w:val="005432FF"/>
    <w:rsid w:val="00545760"/>
    <w:rsid w:val="00547AAC"/>
    <w:rsid w:val="00555AEC"/>
    <w:rsid w:val="00557860"/>
    <w:rsid w:val="00565B49"/>
    <w:rsid w:val="0056763A"/>
    <w:rsid w:val="0057286F"/>
    <w:rsid w:val="00581D08"/>
    <w:rsid w:val="005830D6"/>
    <w:rsid w:val="00583801"/>
    <w:rsid w:val="005868C9"/>
    <w:rsid w:val="00596EDD"/>
    <w:rsid w:val="005A005B"/>
    <w:rsid w:val="005A0B28"/>
    <w:rsid w:val="005A1CBC"/>
    <w:rsid w:val="005A2958"/>
    <w:rsid w:val="005A6E1B"/>
    <w:rsid w:val="005B3460"/>
    <w:rsid w:val="005B3F53"/>
    <w:rsid w:val="005B6B5D"/>
    <w:rsid w:val="005C17A1"/>
    <w:rsid w:val="005C3087"/>
    <w:rsid w:val="005C42F2"/>
    <w:rsid w:val="005C5F22"/>
    <w:rsid w:val="005D0CBB"/>
    <w:rsid w:val="005D4B84"/>
    <w:rsid w:val="005D4C9E"/>
    <w:rsid w:val="005D4CB0"/>
    <w:rsid w:val="005E1BFD"/>
    <w:rsid w:val="005E2E99"/>
    <w:rsid w:val="005E77CB"/>
    <w:rsid w:val="005E7D10"/>
    <w:rsid w:val="005F2582"/>
    <w:rsid w:val="005F3C4A"/>
    <w:rsid w:val="005F41AE"/>
    <w:rsid w:val="006009CA"/>
    <w:rsid w:val="006010BF"/>
    <w:rsid w:val="006019DD"/>
    <w:rsid w:val="00602071"/>
    <w:rsid w:val="00606241"/>
    <w:rsid w:val="00606B67"/>
    <w:rsid w:val="00606D6D"/>
    <w:rsid w:val="00607987"/>
    <w:rsid w:val="0061035B"/>
    <w:rsid w:val="006126F2"/>
    <w:rsid w:val="006135F4"/>
    <w:rsid w:val="006139F9"/>
    <w:rsid w:val="00613EB4"/>
    <w:rsid w:val="00614EEE"/>
    <w:rsid w:val="00615EE2"/>
    <w:rsid w:val="00622675"/>
    <w:rsid w:val="00625180"/>
    <w:rsid w:val="00625DA1"/>
    <w:rsid w:val="00636317"/>
    <w:rsid w:val="006364AD"/>
    <w:rsid w:val="00637A37"/>
    <w:rsid w:val="006403F9"/>
    <w:rsid w:val="0064041E"/>
    <w:rsid w:val="00642716"/>
    <w:rsid w:val="006439A8"/>
    <w:rsid w:val="00650945"/>
    <w:rsid w:val="00652C77"/>
    <w:rsid w:val="00653AB6"/>
    <w:rsid w:val="00657D4B"/>
    <w:rsid w:val="006624C9"/>
    <w:rsid w:val="00664544"/>
    <w:rsid w:val="006708A5"/>
    <w:rsid w:val="00670B95"/>
    <w:rsid w:val="00673961"/>
    <w:rsid w:val="006753BD"/>
    <w:rsid w:val="00680B18"/>
    <w:rsid w:val="00682779"/>
    <w:rsid w:val="006836B5"/>
    <w:rsid w:val="00685EAC"/>
    <w:rsid w:val="00691EBD"/>
    <w:rsid w:val="00693BDE"/>
    <w:rsid w:val="006948CC"/>
    <w:rsid w:val="006970A1"/>
    <w:rsid w:val="00697632"/>
    <w:rsid w:val="006A09E2"/>
    <w:rsid w:val="006B09CA"/>
    <w:rsid w:val="006B25E8"/>
    <w:rsid w:val="006B27EE"/>
    <w:rsid w:val="006B3DB6"/>
    <w:rsid w:val="006B3FB5"/>
    <w:rsid w:val="006C0D5D"/>
    <w:rsid w:val="006C0E23"/>
    <w:rsid w:val="006C48CC"/>
    <w:rsid w:val="006C7247"/>
    <w:rsid w:val="006D11CF"/>
    <w:rsid w:val="006D196A"/>
    <w:rsid w:val="006D34D5"/>
    <w:rsid w:val="006D67E0"/>
    <w:rsid w:val="006E29FF"/>
    <w:rsid w:val="006E7433"/>
    <w:rsid w:val="006F0609"/>
    <w:rsid w:val="006F37D7"/>
    <w:rsid w:val="006F6032"/>
    <w:rsid w:val="00703B5F"/>
    <w:rsid w:val="00705521"/>
    <w:rsid w:val="00705645"/>
    <w:rsid w:val="00710AEA"/>
    <w:rsid w:val="007132DD"/>
    <w:rsid w:val="00715964"/>
    <w:rsid w:val="00715CEF"/>
    <w:rsid w:val="00716A02"/>
    <w:rsid w:val="007205B4"/>
    <w:rsid w:val="0072504E"/>
    <w:rsid w:val="007264AD"/>
    <w:rsid w:val="007270E0"/>
    <w:rsid w:val="00727E25"/>
    <w:rsid w:val="0073419F"/>
    <w:rsid w:val="00734FBA"/>
    <w:rsid w:val="007435F5"/>
    <w:rsid w:val="00743D2F"/>
    <w:rsid w:val="00746B35"/>
    <w:rsid w:val="00746E3B"/>
    <w:rsid w:val="00750902"/>
    <w:rsid w:val="00753A62"/>
    <w:rsid w:val="00753C53"/>
    <w:rsid w:val="00754177"/>
    <w:rsid w:val="00757107"/>
    <w:rsid w:val="00757844"/>
    <w:rsid w:val="00757F92"/>
    <w:rsid w:val="0076121E"/>
    <w:rsid w:val="00762BAA"/>
    <w:rsid w:val="00762CF5"/>
    <w:rsid w:val="00762F60"/>
    <w:rsid w:val="007701D3"/>
    <w:rsid w:val="0078042E"/>
    <w:rsid w:val="007869BB"/>
    <w:rsid w:val="00791B2F"/>
    <w:rsid w:val="0079361E"/>
    <w:rsid w:val="00796D3B"/>
    <w:rsid w:val="007A1BCA"/>
    <w:rsid w:val="007A394D"/>
    <w:rsid w:val="007A62DE"/>
    <w:rsid w:val="007A76D0"/>
    <w:rsid w:val="007B13C1"/>
    <w:rsid w:val="007B14BB"/>
    <w:rsid w:val="007B1648"/>
    <w:rsid w:val="007B3ABD"/>
    <w:rsid w:val="007B6939"/>
    <w:rsid w:val="007B7018"/>
    <w:rsid w:val="007C2441"/>
    <w:rsid w:val="007C3E67"/>
    <w:rsid w:val="007C4940"/>
    <w:rsid w:val="007D1690"/>
    <w:rsid w:val="007E0CA5"/>
    <w:rsid w:val="007E30C5"/>
    <w:rsid w:val="007E72C9"/>
    <w:rsid w:val="007F01C4"/>
    <w:rsid w:val="007F142F"/>
    <w:rsid w:val="007F2AA1"/>
    <w:rsid w:val="007F34BC"/>
    <w:rsid w:val="007F38AC"/>
    <w:rsid w:val="007F3D94"/>
    <w:rsid w:val="007F774C"/>
    <w:rsid w:val="007F7A68"/>
    <w:rsid w:val="007F7BAF"/>
    <w:rsid w:val="007F7F36"/>
    <w:rsid w:val="0080363C"/>
    <w:rsid w:val="0080497D"/>
    <w:rsid w:val="0080629F"/>
    <w:rsid w:val="00810FE6"/>
    <w:rsid w:val="00816770"/>
    <w:rsid w:val="0081697E"/>
    <w:rsid w:val="0082089E"/>
    <w:rsid w:val="0082115E"/>
    <w:rsid w:val="0082142F"/>
    <w:rsid w:val="008230AE"/>
    <w:rsid w:val="00826EEA"/>
    <w:rsid w:val="00830430"/>
    <w:rsid w:val="00831C45"/>
    <w:rsid w:val="008379EB"/>
    <w:rsid w:val="00842074"/>
    <w:rsid w:val="008430B1"/>
    <w:rsid w:val="00843EC7"/>
    <w:rsid w:val="008475A5"/>
    <w:rsid w:val="008501A1"/>
    <w:rsid w:val="00851369"/>
    <w:rsid w:val="0085450A"/>
    <w:rsid w:val="008633D4"/>
    <w:rsid w:val="0086589D"/>
    <w:rsid w:val="00865B3A"/>
    <w:rsid w:val="00867013"/>
    <w:rsid w:val="008671BA"/>
    <w:rsid w:val="00871136"/>
    <w:rsid w:val="008731C2"/>
    <w:rsid w:val="00876DC4"/>
    <w:rsid w:val="00877D4A"/>
    <w:rsid w:val="0089018B"/>
    <w:rsid w:val="00892359"/>
    <w:rsid w:val="008A3549"/>
    <w:rsid w:val="008A45C7"/>
    <w:rsid w:val="008A4C7D"/>
    <w:rsid w:val="008A62E6"/>
    <w:rsid w:val="008A725A"/>
    <w:rsid w:val="008B069F"/>
    <w:rsid w:val="008B389F"/>
    <w:rsid w:val="008B74A0"/>
    <w:rsid w:val="008C07EB"/>
    <w:rsid w:val="008C2426"/>
    <w:rsid w:val="008C47F1"/>
    <w:rsid w:val="008C4FA3"/>
    <w:rsid w:val="008C51FC"/>
    <w:rsid w:val="008C5A8C"/>
    <w:rsid w:val="008C6811"/>
    <w:rsid w:val="008D1896"/>
    <w:rsid w:val="008E23C0"/>
    <w:rsid w:val="008E3732"/>
    <w:rsid w:val="008E3FC9"/>
    <w:rsid w:val="008E7485"/>
    <w:rsid w:val="008F47E0"/>
    <w:rsid w:val="008F49FE"/>
    <w:rsid w:val="008F5F94"/>
    <w:rsid w:val="009017C9"/>
    <w:rsid w:val="009026B2"/>
    <w:rsid w:val="00904435"/>
    <w:rsid w:val="0091076C"/>
    <w:rsid w:val="0091249B"/>
    <w:rsid w:val="0091333D"/>
    <w:rsid w:val="00917BC7"/>
    <w:rsid w:val="00920F27"/>
    <w:rsid w:val="00921609"/>
    <w:rsid w:val="00922ABF"/>
    <w:rsid w:val="00926312"/>
    <w:rsid w:val="00927F5B"/>
    <w:rsid w:val="009403E9"/>
    <w:rsid w:val="009424ED"/>
    <w:rsid w:val="00944506"/>
    <w:rsid w:val="00944F22"/>
    <w:rsid w:val="009505DD"/>
    <w:rsid w:val="00950DEC"/>
    <w:rsid w:val="0095371A"/>
    <w:rsid w:val="0095659A"/>
    <w:rsid w:val="00961B0C"/>
    <w:rsid w:val="00963564"/>
    <w:rsid w:val="009709A8"/>
    <w:rsid w:val="009714E9"/>
    <w:rsid w:val="00975CB1"/>
    <w:rsid w:val="00976410"/>
    <w:rsid w:val="00983C96"/>
    <w:rsid w:val="009842A8"/>
    <w:rsid w:val="00985E32"/>
    <w:rsid w:val="009911D0"/>
    <w:rsid w:val="009918D1"/>
    <w:rsid w:val="009928F2"/>
    <w:rsid w:val="009A0733"/>
    <w:rsid w:val="009A14FA"/>
    <w:rsid w:val="009A26E1"/>
    <w:rsid w:val="009A3041"/>
    <w:rsid w:val="009A5947"/>
    <w:rsid w:val="009A74F7"/>
    <w:rsid w:val="009B1D55"/>
    <w:rsid w:val="009B3724"/>
    <w:rsid w:val="009B5B40"/>
    <w:rsid w:val="009B7031"/>
    <w:rsid w:val="009C73D3"/>
    <w:rsid w:val="009C7A26"/>
    <w:rsid w:val="009D3BDB"/>
    <w:rsid w:val="009D63E9"/>
    <w:rsid w:val="009D6502"/>
    <w:rsid w:val="009E2A83"/>
    <w:rsid w:val="009E4AD5"/>
    <w:rsid w:val="009E50FA"/>
    <w:rsid w:val="009E73D1"/>
    <w:rsid w:val="009F053B"/>
    <w:rsid w:val="009F0AAB"/>
    <w:rsid w:val="009F45CC"/>
    <w:rsid w:val="009F6A44"/>
    <w:rsid w:val="009F7CED"/>
    <w:rsid w:val="009F7EA5"/>
    <w:rsid w:val="009F7F1E"/>
    <w:rsid w:val="00A01EFF"/>
    <w:rsid w:val="00A02404"/>
    <w:rsid w:val="00A03426"/>
    <w:rsid w:val="00A07537"/>
    <w:rsid w:val="00A11199"/>
    <w:rsid w:val="00A113AA"/>
    <w:rsid w:val="00A1144B"/>
    <w:rsid w:val="00A1292C"/>
    <w:rsid w:val="00A17534"/>
    <w:rsid w:val="00A17D5B"/>
    <w:rsid w:val="00A22801"/>
    <w:rsid w:val="00A246C0"/>
    <w:rsid w:val="00A27672"/>
    <w:rsid w:val="00A31E4F"/>
    <w:rsid w:val="00A345A1"/>
    <w:rsid w:val="00A3594E"/>
    <w:rsid w:val="00A36B52"/>
    <w:rsid w:val="00A50818"/>
    <w:rsid w:val="00A50D0D"/>
    <w:rsid w:val="00A522F0"/>
    <w:rsid w:val="00A553B4"/>
    <w:rsid w:val="00A61973"/>
    <w:rsid w:val="00A67551"/>
    <w:rsid w:val="00A722EB"/>
    <w:rsid w:val="00A77DCF"/>
    <w:rsid w:val="00A80082"/>
    <w:rsid w:val="00A81901"/>
    <w:rsid w:val="00A81F18"/>
    <w:rsid w:val="00A82377"/>
    <w:rsid w:val="00A83631"/>
    <w:rsid w:val="00A86131"/>
    <w:rsid w:val="00A8662E"/>
    <w:rsid w:val="00A90E47"/>
    <w:rsid w:val="00A92997"/>
    <w:rsid w:val="00A9332C"/>
    <w:rsid w:val="00A935BF"/>
    <w:rsid w:val="00A93E2B"/>
    <w:rsid w:val="00A94C0C"/>
    <w:rsid w:val="00A94E14"/>
    <w:rsid w:val="00A970C1"/>
    <w:rsid w:val="00A97CB1"/>
    <w:rsid w:val="00AA3F41"/>
    <w:rsid w:val="00AA4035"/>
    <w:rsid w:val="00AA5DAA"/>
    <w:rsid w:val="00AA725C"/>
    <w:rsid w:val="00AB2028"/>
    <w:rsid w:val="00AB37C0"/>
    <w:rsid w:val="00AC2091"/>
    <w:rsid w:val="00AC3103"/>
    <w:rsid w:val="00AD2313"/>
    <w:rsid w:val="00AD2736"/>
    <w:rsid w:val="00AD292C"/>
    <w:rsid w:val="00AD2A4B"/>
    <w:rsid w:val="00AD43A5"/>
    <w:rsid w:val="00AD69F1"/>
    <w:rsid w:val="00AD7E67"/>
    <w:rsid w:val="00AE1BB8"/>
    <w:rsid w:val="00AE26C6"/>
    <w:rsid w:val="00AE3388"/>
    <w:rsid w:val="00AE56D6"/>
    <w:rsid w:val="00AE638D"/>
    <w:rsid w:val="00AE6CC9"/>
    <w:rsid w:val="00AE7094"/>
    <w:rsid w:val="00AE746E"/>
    <w:rsid w:val="00AF25A0"/>
    <w:rsid w:val="00AF43FD"/>
    <w:rsid w:val="00AF5009"/>
    <w:rsid w:val="00B024E1"/>
    <w:rsid w:val="00B02937"/>
    <w:rsid w:val="00B037E6"/>
    <w:rsid w:val="00B104D1"/>
    <w:rsid w:val="00B12642"/>
    <w:rsid w:val="00B16456"/>
    <w:rsid w:val="00B1759A"/>
    <w:rsid w:val="00B25468"/>
    <w:rsid w:val="00B25D39"/>
    <w:rsid w:val="00B268EB"/>
    <w:rsid w:val="00B34B6F"/>
    <w:rsid w:val="00B3766A"/>
    <w:rsid w:val="00B45DE6"/>
    <w:rsid w:val="00B46D98"/>
    <w:rsid w:val="00B47C6D"/>
    <w:rsid w:val="00B47D28"/>
    <w:rsid w:val="00B51980"/>
    <w:rsid w:val="00B51B40"/>
    <w:rsid w:val="00B52525"/>
    <w:rsid w:val="00B532C6"/>
    <w:rsid w:val="00B534F2"/>
    <w:rsid w:val="00B5446A"/>
    <w:rsid w:val="00B54D7F"/>
    <w:rsid w:val="00B55942"/>
    <w:rsid w:val="00B61BA3"/>
    <w:rsid w:val="00B655BA"/>
    <w:rsid w:val="00B70FBC"/>
    <w:rsid w:val="00B71192"/>
    <w:rsid w:val="00B746C1"/>
    <w:rsid w:val="00B75E36"/>
    <w:rsid w:val="00B76AEA"/>
    <w:rsid w:val="00B80993"/>
    <w:rsid w:val="00B80CF7"/>
    <w:rsid w:val="00B8139E"/>
    <w:rsid w:val="00B81CA9"/>
    <w:rsid w:val="00B90818"/>
    <w:rsid w:val="00B9242E"/>
    <w:rsid w:val="00B957EC"/>
    <w:rsid w:val="00B97FC0"/>
    <w:rsid w:val="00BA020E"/>
    <w:rsid w:val="00BA04C2"/>
    <w:rsid w:val="00BA49E8"/>
    <w:rsid w:val="00BB1B4E"/>
    <w:rsid w:val="00BB1C3C"/>
    <w:rsid w:val="00BB4DA3"/>
    <w:rsid w:val="00BC055B"/>
    <w:rsid w:val="00BC1893"/>
    <w:rsid w:val="00BC201C"/>
    <w:rsid w:val="00BC428C"/>
    <w:rsid w:val="00BC5664"/>
    <w:rsid w:val="00BC6075"/>
    <w:rsid w:val="00BD31B5"/>
    <w:rsid w:val="00BD40E5"/>
    <w:rsid w:val="00BD7041"/>
    <w:rsid w:val="00BD7DD7"/>
    <w:rsid w:val="00BE0733"/>
    <w:rsid w:val="00BE3566"/>
    <w:rsid w:val="00BE56D3"/>
    <w:rsid w:val="00BE6490"/>
    <w:rsid w:val="00BE6A23"/>
    <w:rsid w:val="00BF079F"/>
    <w:rsid w:val="00BF5392"/>
    <w:rsid w:val="00BF73E7"/>
    <w:rsid w:val="00BF74F4"/>
    <w:rsid w:val="00C00B40"/>
    <w:rsid w:val="00C01F95"/>
    <w:rsid w:val="00C05400"/>
    <w:rsid w:val="00C05DD2"/>
    <w:rsid w:val="00C16D1B"/>
    <w:rsid w:val="00C172AC"/>
    <w:rsid w:val="00C2086D"/>
    <w:rsid w:val="00C23E26"/>
    <w:rsid w:val="00C240E6"/>
    <w:rsid w:val="00C27F84"/>
    <w:rsid w:val="00C34016"/>
    <w:rsid w:val="00C4462D"/>
    <w:rsid w:val="00C446BA"/>
    <w:rsid w:val="00C45603"/>
    <w:rsid w:val="00C50731"/>
    <w:rsid w:val="00C52FDB"/>
    <w:rsid w:val="00C539FA"/>
    <w:rsid w:val="00C556ED"/>
    <w:rsid w:val="00C5706B"/>
    <w:rsid w:val="00C57F30"/>
    <w:rsid w:val="00C62337"/>
    <w:rsid w:val="00C73B83"/>
    <w:rsid w:val="00C758F7"/>
    <w:rsid w:val="00C81D51"/>
    <w:rsid w:val="00C84935"/>
    <w:rsid w:val="00C92501"/>
    <w:rsid w:val="00C9372A"/>
    <w:rsid w:val="00C97FB1"/>
    <w:rsid w:val="00CA4E38"/>
    <w:rsid w:val="00CA5EEE"/>
    <w:rsid w:val="00CB0F31"/>
    <w:rsid w:val="00CB3E06"/>
    <w:rsid w:val="00CB5781"/>
    <w:rsid w:val="00CC5999"/>
    <w:rsid w:val="00CC5C37"/>
    <w:rsid w:val="00CD0C1A"/>
    <w:rsid w:val="00CD165D"/>
    <w:rsid w:val="00CD25A5"/>
    <w:rsid w:val="00CD2C59"/>
    <w:rsid w:val="00CD3AB9"/>
    <w:rsid w:val="00CE43E1"/>
    <w:rsid w:val="00CF0EE5"/>
    <w:rsid w:val="00CF7A79"/>
    <w:rsid w:val="00D0120F"/>
    <w:rsid w:val="00D0283B"/>
    <w:rsid w:val="00D032CF"/>
    <w:rsid w:val="00D03899"/>
    <w:rsid w:val="00D03EF3"/>
    <w:rsid w:val="00D079EE"/>
    <w:rsid w:val="00D07BFC"/>
    <w:rsid w:val="00D114E2"/>
    <w:rsid w:val="00D25FD0"/>
    <w:rsid w:val="00D27F99"/>
    <w:rsid w:val="00D35358"/>
    <w:rsid w:val="00D35829"/>
    <w:rsid w:val="00D375AB"/>
    <w:rsid w:val="00D41596"/>
    <w:rsid w:val="00D425AC"/>
    <w:rsid w:val="00D60454"/>
    <w:rsid w:val="00D6344B"/>
    <w:rsid w:val="00D70861"/>
    <w:rsid w:val="00D71F5D"/>
    <w:rsid w:val="00D724DA"/>
    <w:rsid w:val="00D74AFB"/>
    <w:rsid w:val="00D751EA"/>
    <w:rsid w:val="00D80686"/>
    <w:rsid w:val="00D849D7"/>
    <w:rsid w:val="00D85ADD"/>
    <w:rsid w:val="00D86697"/>
    <w:rsid w:val="00D953CE"/>
    <w:rsid w:val="00D97AFA"/>
    <w:rsid w:val="00DA1714"/>
    <w:rsid w:val="00DA481C"/>
    <w:rsid w:val="00DB0B5B"/>
    <w:rsid w:val="00DB12DC"/>
    <w:rsid w:val="00DB335E"/>
    <w:rsid w:val="00DC159E"/>
    <w:rsid w:val="00DC4674"/>
    <w:rsid w:val="00DC52EA"/>
    <w:rsid w:val="00DD2BEF"/>
    <w:rsid w:val="00DD4D07"/>
    <w:rsid w:val="00DD5255"/>
    <w:rsid w:val="00DE0473"/>
    <w:rsid w:val="00DE22A9"/>
    <w:rsid w:val="00DE22F2"/>
    <w:rsid w:val="00DE2C45"/>
    <w:rsid w:val="00DE7235"/>
    <w:rsid w:val="00DF6D16"/>
    <w:rsid w:val="00DF7F91"/>
    <w:rsid w:val="00E003EF"/>
    <w:rsid w:val="00E026C3"/>
    <w:rsid w:val="00E043FF"/>
    <w:rsid w:val="00E04BF9"/>
    <w:rsid w:val="00E11F1C"/>
    <w:rsid w:val="00E1438D"/>
    <w:rsid w:val="00E277C0"/>
    <w:rsid w:val="00E303CC"/>
    <w:rsid w:val="00E3108F"/>
    <w:rsid w:val="00E34786"/>
    <w:rsid w:val="00E37F04"/>
    <w:rsid w:val="00E423B2"/>
    <w:rsid w:val="00E424A6"/>
    <w:rsid w:val="00E46CF9"/>
    <w:rsid w:val="00E46E34"/>
    <w:rsid w:val="00E53116"/>
    <w:rsid w:val="00E531E3"/>
    <w:rsid w:val="00E54E50"/>
    <w:rsid w:val="00E57444"/>
    <w:rsid w:val="00E6145F"/>
    <w:rsid w:val="00E633EC"/>
    <w:rsid w:val="00E641C8"/>
    <w:rsid w:val="00E7389E"/>
    <w:rsid w:val="00E74AF8"/>
    <w:rsid w:val="00E76A93"/>
    <w:rsid w:val="00E76B53"/>
    <w:rsid w:val="00E77E14"/>
    <w:rsid w:val="00E83AA1"/>
    <w:rsid w:val="00E83E36"/>
    <w:rsid w:val="00E847A1"/>
    <w:rsid w:val="00E850C5"/>
    <w:rsid w:val="00E90076"/>
    <w:rsid w:val="00E94C6B"/>
    <w:rsid w:val="00E959F1"/>
    <w:rsid w:val="00E96AC4"/>
    <w:rsid w:val="00EA0A96"/>
    <w:rsid w:val="00EA2F5E"/>
    <w:rsid w:val="00EA337E"/>
    <w:rsid w:val="00EA4FAD"/>
    <w:rsid w:val="00EB2EFC"/>
    <w:rsid w:val="00EB35A3"/>
    <w:rsid w:val="00EB5EB4"/>
    <w:rsid w:val="00EB7721"/>
    <w:rsid w:val="00EB7D4A"/>
    <w:rsid w:val="00EC1C57"/>
    <w:rsid w:val="00EC3820"/>
    <w:rsid w:val="00EC59A5"/>
    <w:rsid w:val="00ED1425"/>
    <w:rsid w:val="00ED2B21"/>
    <w:rsid w:val="00ED459B"/>
    <w:rsid w:val="00EE67F2"/>
    <w:rsid w:val="00EF13F7"/>
    <w:rsid w:val="00EF1B3A"/>
    <w:rsid w:val="00EF44C4"/>
    <w:rsid w:val="00EF5F14"/>
    <w:rsid w:val="00F0001A"/>
    <w:rsid w:val="00F04C3E"/>
    <w:rsid w:val="00F065F1"/>
    <w:rsid w:val="00F12607"/>
    <w:rsid w:val="00F1389A"/>
    <w:rsid w:val="00F20A7C"/>
    <w:rsid w:val="00F21457"/>
    <w:rsid w:val="00F24659"/>
    <w:rsid w:val="00F32505"/>
    <w:rsid w:val="00F32D8C"/>
    <w:rsid w:val="00F34D7D"/>
    <w:rsid w:val="00F3509C"/>
    <w:rsid w:val="00F35BE2"/>
    <w:rsid w:val="00F35D42"/>
    <w:rsid w:val="00F37E4A"/>
    <w:rsid w:val="00F410AF"/>
    <w:rsid w:val="00F41DC0"/>
    <w:rsid w:val="00F43057"/>
    <w:rsid w:val="00F50F18"/>
    <w:rsid w:val="00F61988"/>
    <w:rsid w:val="00F65962"/>
    <w:rsid w:val="00F676AC"/>
    <w:rsid w:val="00F718D8"/>
    <w:rsid w:val="00F71FEB"/>
    <w:rsid w:val="00F73438"/>
    <w:rsid w:val="00F75923"/>
    <w:rsid w:val="00F819F7"/>
    <w:rsid w:val="00F82A25"/>
    <w:rsid w:val="00F82BBB"/>
    <w:rsid w:val="00F8480B"/>
    <w:rsid w:val="00F86687"/>
    <w:rsid w:val="00F92677"/>
    <w:rsid w:val="00F94AA9"/>
    <w:rsid w:val="00F95DF7"/>
    <w:rsid w:val="00F96941"/>
    <w:rsid w:val="00F97C07"/>
    <w:rsid w:val="00FA0C54"/>
    <w:rsid w:val="00FA11CE"/>
    <w:rsid w:val="00FA4C2A"/>
    <w:rsid w:val="00FA4DBC"/>
    <w:rsid w:val="00FA7B85"/>
    <w:rsid w:val="00FB146F"/>
    <w:rsid w:val="00FB26E2"/>
    <w:rsid w:val="00FB4F94"/>
    <w:rsid w:val="00FB55C5"/>
    <w:rsid w:val="00FB7C0E"/>
    <w:rsid w:val="00FC1408"/>
    <w:rsid w:val="00FC1C06"/>
    <w:rsid w:val="00FC37EB"/>
    <w:rsid w:val="00FC49F7"/>
    <w:rsid w:val="00FC5059"/>
    <w:rsid w:val="00FC6109"/>
    <w:rsid w:val="00FC629E"/>
    <w:rsid w:val="00FC78F2"/>
    <w:rsid w:val="00FD0BB5"/>
    <w:rsid w:val="00FD3284"/>
    <w:rsid w:val="00FD5493"/>
    <w:rsid w:val="00FE12BF"/>
    <w:rsid w:val="00FE2794"/>
    <w:rsid w:val="00FE39EF"/>
    <w:rsid w:val="00FE67DF"/>
    <w:rsid w:val="00FE76A6"/>
    <w:rsid w:val="00FF08BF"/>
    <w:rsid w:val="00FF2F6B"/>
    <w:rsid w:val="00FF67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A7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51FC"/>
    <w:pPr>
      <w:spacing w:line="240" w:lineRule="auto"/>
      <w:jc w:val="left"/>
    </w:pPr>
    <w:rPr>
      <w:rFonts w:ascii="Times New Roman" w:hAnsi="Times New Roman" w:cs="Times New Roman"/>
      <w:sz w:val="24"/>
      <w:szCs w:val="24"/>
      <w:lang w:eastAsia="it-IT"/>
    </w:rPr>
  </w:style>
  <w:style w:type="paragraph" w:styleId="Titolo1">
    <w:name w:val="heading 1"/>
    <w:basedOn w:val="Paragrafoelenco"/>
    <w:next w:val="Normale"/>
    <w:link w:val="Titolo1Carattere"/>
    <w:uiPriority w:val="9"/>
    <w:qFormat/>
    <w:rsid w:val="00743D2F"/>
    <w:pPr>
      <w:numPr>
        <w:numId w:val="12"/>
      </w:numPr>
      <w:spacing w:after="240" w:line="276" w:lineRule="auto"/>
      <w:ind w:left="714" w:hanging="357"/>
      <w:outlineLvl w:val="0"/>
    </w:pPr>
    <w:rPr>
      <w:rFonts w:ascii="Garamond" w:hAnsi="Garamond" w:cs="Times New Roman"/>
      <w:b/>
      <w:sz w:val="24"/>
      <w:szCs w:val="24"/>
      <w:u w:val="single"/>
    </w:rPr>
  </w:style>
  <w:style w:type="paragraph" w:styleId="Titolo2">
    <w:name w:val="heading 2"/>
    <w:basedOn w:val="Paragrafoelenco"/>
    <w:next w:val="Normale"/>
    <w:link w:val="Titolo2Carattere"/>
    <w:uiPriority w:val="9"/>
    <w:unhideWhenUsed/>
    <w:qFormat/>
    <w:rsid w:val="00743D2F"/>
    <w:pPr>
      <w:numPr>
        <w:ilvl w:val="1"/>
        <w:numId w:val="12"/>
      </w:numPr>
      <w:spacing w:after="240" w:line="276" w:lineRule="auto"/>
      <w:ind w:left="1077"/>
      <w:outlineLvl w:val="1"/>
    </w:pPr>
    <w:rPr>
      <w:rFonts w:ascii="Garamond" w:hAnsi="Garamond"/>
      <w:b/>
      <w:sz w:val="24"/>
      <w:szCs w:val="24"/>
      <w:u w:val="single"/>
    </w:rPr>
  </w:style>
  <w:style w:type="paragraph" w:styleId="Titolo3">
    <w:name w:val="heading 3"/>
    <w:basedOn w:val="Normale"/>
    <w:next w:val="Normale"/>
    <w:link w:val="Titolo3Carattere"/>
    <w:uiPriority w:val="9"/>
    <w:semiHidden/>
    <w:unhideWhenUsed/>
    <w:qFormat/>
    <w:rsid w:val="004E6F4C"/>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link w:val="Titolo4Carattere"/>
    <w:uiPriority w:val="9"/>
    <w:qFormat/>
    <w:rsid w:val="001C1957"/>
    <w:pPr>
      <w:spacing w:before="100" w:beforeAutospacing="1" w:after="100" w:afterAutospacing="1"/>
      <w:outlineLvl w:val="3"/>
    </w:pPr>
    <w:rPr>
      <w:rFonts w:eastAsia="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37C0"/>
    <w:pPr>
      <w:spacing w:line="360" w:lineRule="auto"/>
      <w:ind w:left="720"/>
      <w:contextualSpacing/>
      <w:jc w:val="both"/>
    </w:pPr>
    <w:rPr>
      <w:rFonts w:asciiTheme="minorHAnsi" w:hAnsiTheme="minorHAnsi" w:cstheme="minorBidi"/>
      <w:sz w:val="22"/>
      <w:szCs w:val="22"/>
      <w:lang w:eastAsia="en-US"/>
    </w:rPr>
  </w:style>
  <w:style w:type="character" w:styleId="Rimandonotaapidipagina">
    <w:name w:val="footnote reference"/>
    <w:uiPriority w:val="99"/>
    <w:semiHidden/>
    <w:rsid w:val="007F3D94"/>
    <w:rPr>
      <w:rFonts w:ascii="Times New Roman" w:hAnsi="Times New Roman"/>
      <w:sz w:val="22"/>
      <w:vertAlign w:val="superscript"/>
    </w:rPr>
  </w:style>
  <w:style w:type="paragraph" w:styleId="Testonotaapidipagina">
    <w:name w:val="footnote text"/>
    <w:basedOn w:val="Normale"/>
    <w:link w:val="TestonotaapidipaginaCarattere"/>
    <w:uiPriority w:val="99"/>
    <w:rsid w:val="007F3D94"/>
    <w:pPr>
      <w:widowControl w:val="0"/>
      <w:overflowPunct w:val="0"/>
      <w:autoSpaceDE w:val="0"/>
      <w:autoSpaceDN w:val="0"/>
      <w:adjustRightInd w:val="0"/>
      <w:textAlignment w:val="baseline"/>
    </w:pPr>
    <w:rPr>
      <w:rFonts w:eastAsia="Times New Roman"/>
      <w:sz w:val="20"/>
      <w:szCs w:val="20"/>
    </w:rPr>
  </w:style>
  <w:style w:type="character" w:customStyle="1" w:styleId="TestonotaapidipaginaCarattere">
    <w:name w:val="Testo nota a piè di pagina Carattere"/>
    <w:basedOn w:val="Carpredefinitoparagrafo"/>
    <w:link w:val="Testonotaapidipagina"/>
    <w:uiPriority w:val="99"/>
    <w:rsid w:val="007F3D94"/>
    <w:rPr>
      <w:rFonts w:ascii="Times New Roman" w:eastAsia="Times New Roman" w:hAnsi="Times New Roman" w:cs="Times New Roman"/>
      <w:sz w:val="20"/>
      <w:szCs w:val="20"/>
      <w:lang w:eastAsia="it-IT"/>
    </w:rPr>
  </w:style>
  <w:style w:type="paragraph" w:customStyle="1" w:styleId="TESTOCOMM">
    <w:name w:val="TESTOCOMM"/>
    <w:rsid w:val="007F3D94"/>
    <w:pPr>
      <w:autoSpaceDE w:val="0"/>
      <w:autoSpaceDN w:val="0"/>
      <w:adjustRightInd w:val="0"/>
      <w:spacing w:line="260" w:lineRule="exact"/>
      <w:ind w:firstLine="284"/>
    </w:pPr>
    <w:rPr>
      <w:rFonts w:ascii="Times New Roman" w:eastAsia="Times New Roman" w:hAnsi="Times New Roman" w:cs="Times New Roman"/>
      <w:sz w:val="23"/>
      <w:szCs w:val="20"/>
      <w:lang w:eastAsia="it-IT"/>
    </w:rPr>
  </w:style>
  <w:style w:type="character" w:styleId="Enfasicorsivo">
    <w:name w:val="Emphasis"/>
    <w:basedOn w:val="Carpredefinitoparagrafo"/>
    <w:uiPriority w:val="20"/>
    <w:qFormat/>
    <w:rsid w:val="006948CC"/>
    <w:rPr>
      <w:i/>
      <w:iCs/>
    </w:rPr>
  </w:style>
  <w:style w:type="character" w:styleId="Collegamentoipertestuale">
    <w:name w:val="Hyperlink"/>
    <w:basedOn w:val="Carpredefinitoparagrafo"/>
    <w:uiPriority w:val="99"/>
    <w:unhideWhenUsed/>
    <w:rsid w:val="006948CC"/>
    <w:rPr>
      <w:color w:val="0000FF"/>
      <w:u w:val="single"/>
    </w:rPr>
  </w:style>
  <w:style w:type="paragraph" w:styleId="NormaleWeb">
    <w:name w:val="Normal (Web)"/>
    <w:basedOn w:val="Normale"/>
    <w:uiPriority w:val="99"/>
    <w:semiHidden/>
    <w:unhideWhenUsed/>
    <w:rsid w:val="006948CC"/>
    <w:pPr>
      <w:spacing w:before="100" w:beforeAutospacing="1" w:after="100" w:afterAutospacing="1"/>
    </w:pPr>
    <w:rPr>
      <w:rFonts w:eastAsia="Times New Roman"/>
    </w:rPr>
  </w:style>
  <w:style w:type="character" w:styleId="Enfasigrassetto">
    <w:name w:val="Strong"/>
    <w:basedOn w:val="Carpredefinitoparagrafo"/>
    <w:uiPriority w:val="22"/>
    <w:qFormat/>
    <w:rsid w:val="006948CC"/>
    <w:rPr>
      <w:b/>
      <w:bCs/>
    </w:rPr>
  </w:style>
  <w:style w:type="paragraph" w:customStyle="1" w:styleId="Rvoce">
    <w:name w:val="R_voce"/>
    <w:basedOn w:val="Normale"/>
    <w:uiPriority w:val="99"/>
    <w:rsid w:val="00715CEF"/>
    <w:pPr>
      <w:widowControl w:val="0"/>
      <w:autoSpaceDE w:val="0"/>
      <w:autoSpaceDN w:val="0"/>
      <w:adjustRightInd w:val="0"/>
      <w:spacing w:line="240" w:lineRule="exact"/>
      <w:jc w:val="both"/>
    </w:pPr>
    <w:rPr>
      <w:rFonts w:ascii="Arial" w:eastAsia="Times New Roman" w:hAnsi="Arial"/>
      <w:color w:val="000000"/>
      <w:sz w:val="20"/>
      <w:szCs w:val="22"/>
      <w:lang w:val="en-US"/>
    </w:rPr>
  </w:style>
  <w:style w:type="paragraph" w:customStyle="1" w:styleId="TN">
    <w:name w:val="TN"/>
    <w:uiPriority w:val="99"/>
    <w:rsid w:val="00715CEF"/>
    <w:pPr>
      <w:widowControl w:val="0"/>
      <w:autoSpaceDE w:val="0"/>
      <w:autoSpaceDN w:val="0"/>
      <w:adjustRightInd w:val="0"/>
      <w:spacing w:before="100" w:line="190" w:lineRule="exact"/>
    </w:pPr>
    <w:rPr>
      <w:rFonts w:ascii="Arial" w:eastAsia="Times New Roman" w:hAnsi="Arial" w:cs="Arial"/>
      <w:sz w:val="17"/>
      <w:szCs w:val="20"/>
      <w:lang w:eastAsia="it-IT"/>
    </w:rPr>
  </w:style>
  <w:style w:type="character" w:customStyle="1" w:styleId="Titolo4Carattere">
    <w:name w:val="Titolo 4 Carattere"/>
    <w:basedOn w:val="Carpredefinitoparagrafo"/>
    <w:link w:val="Titolo4"/>
    <w:uiPriority w:val="9"/>
    <w:rsid w:val="001C1957"/>
    <w:rPr>
      <w:rFonts w:ascii="Times New Roman" w:eastAsia="Times New Roman" w:hAnsi="Times New Roman" w:cs="Times New Roman"/>
      <w:b/>
      <w:bCs/>
      <w:sz w:val="24"/>
      <w:szCs w:val="24"/>
      <w:lang w:eastAsia="it-IT"/>
    </w:rPr>
  </w:style>
  <w:style w:type="paragraph" w:customStyle="1" w:styleId="popolo">
    <w:name w:val="popolo"/>
    <w:basedOn w:val="Normale"/>
    <w:rsid w:val="0045191E"/>
    <w:pPr>
      <w:spacing w:before="100" w:beforeAutospacing="1" w:after="100" w:afterAutospacing="1"/>
    </w:pPr>
    <w:rPr>
      <w:rFonts w:eastAsia="Times New Roman"/>
    </w:rPr>
  </w:style>
  <w:style w:type="paragraph" w:styleId="Intestazione">
    <w:name w:val="header"/>
    <w:basedOn w:val="Normale"/>
    <w:link w:val="IntestazioneCarattere"/>
    <w:uiPriority w:val="99"/>
    <w:unhideWhenUsed/>
    <w:rsid w:val="004C60E9"/>
    <w:pPr>
      <w:tabs>
        <w:tab w:val="center" w:pos="4819"/>
        <w:tab w:val="right" w:pos="9638"/>
      </w:tabs>
      <w:jc w:val="both"/>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C60E9"/>
  </w:style>
  <w:style w:type="paragraph" w:styleId="Pidipagina">
    <w:name w:val="footer"/>
    <w:basedOn w:val="Normale"/>
    <w:link w:val="PidipaginaCarattere"/>
    <w:uiPriority w:val="99"/>
    <w:unhideWhenUsed/>
    <w:rsid w:val="004C60E9"/>
    <w:pPr>
      <w:tabs>
        <w:tab w:val="center" w:pos="4819"/>
        <w:tab w:val="right" w:pos="9638"/>
      </w:tabs>
      <w:jc w:val="both"/>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C60E9"/>
  </w:style>
  <w:style w:type="character" w:customStyle="1" w:styleId="Titolo3Carattere">
    <w:name w:val="Titolo 3 Carattere"/>
    <w:basedOn w:val="Carpredefinitoparagrafo"/>
    <w:link w:val="Titolo3"/>
    <w:uiPriority w:val="9"/>
    <w:semiHidden/>
    <w:rsid w:val="004E6F4C"/>
    <w:rPr>
      <w:rFonts w:asciiTheme="majorHAnsi" w:eastAsiaTheme="majorEastAsia" w:hAnsiTheme="majorHAnsi" w:cstheme="majorBidi"/>
      <w:color w:val="1F4D78" w:themeColor="accent1" w:themeShade="7F"/>
      <w:sz w:val="24"/>
      <w:szCs w:val="24"/>
    </w:rPr>
  </w:style>
  <w:style w:type="character" w:customStyle="1" w:styleId="Titolo2Carattere">
    <w:name w:val="Titolo 2 Carattere"/>
    <w:basedOn w:val="Carpredefinitoparagrafo"/>
    <w:link w:val="Titolo2"/>
    <w:uiPriority w:val="9"/>
    <w:rsid w:val="00743D2F"/>
    <w:rPr>
      <w:rFonts w:ascii="Garamond" w:hAnsi="Garamond"/>
      <w:b/>
      <w:sz w:val="24"/>
      <w:szCs w:val="24"/>
      <w:u w:val="single"/>
    </w:rPr>
  </w:style>
  <w:style w:type="character" w:customStyle="1" w:styleId="Titolo1Carattere">
    <w:name w:val="Titolo 1 Carattere"/>
    <w:basedOn w:val="Carpredefinitoparagrafo"/>
    <w:link w:val="Titolo1"/>
    <w:uiPriority w:val="9"/>
    <w:rsid w:val="00743D2F"/>
    <w:rPr>
      <w:rFonts w:ascii="Garamond" w:hAnsi="Garamond" w:cs="Times New Roman"/>
      <w:b/>
      <w:sz w:val="24"/>
      <w:szCs w:val="24"/>
      <w:u w:val="single"/>
    </w:rPr>
  </w:style>
  <w:style w:type="paragraph" w:customStyle="1" w:styleId="scarica-doc">
    <w:name w:val="scarica-doc"/>
    <w:basedOn w:val="Normale"/>
    <w:rsid w:val="00050B3D"/>
    <w:pPr>
      <w:spacing w:before="100" w:beforeAutospacing="1" w:after="100" w:afterAutospacing="1"/>
    </w:pPr>
    <w:rPr>
      <w:rFonts w:eastAsia="Times New Roman"/>
    </w:rPr>
  </w:style>
  <w:style w:type="character" w:styleId="Numeropagina">
    <w:name w:val="page number"/>
    <w:basedOn w:val="Carpredefinitoparagrafo"/>
    <w:uiPriority w:val="99"/>
    <w:semiHidden/>
    <w:unhideWhenUsed/>
    <w:rsid w:val="000F1F89"/>
  </w:style>
  <w:style w:type="character" w:customStyle="1" w:styleId="apple-converted-space">
    <w:name w:val="apple-converted-space"/>
    <w:basedOn w:val="Carpredefinitoparagrafo"/>
    <w:rsid w:val="0023254C"/>
  </w:style>
  <w:style w:type="paragraph" w:styleId="Testofumetto">
    <w:name w:val="Balloon Text"/>
    <w:basedOn w:val="Normale"/>
    <w:link w:val="TestofumettoCarattere"/>
    <w:uiPriority w:val="99"/>
    <w:semiHidden/>
    <w:unhideWhenUsed/>
    <w:rsid w:val="00670B9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0B95"/>
    <w:rPr>
      <w:rFonts w:ascii="Segoe UI" w:hAnsi="Segoe UI" w:cs="Segoe UI"/>
      <w:sz w:val="18"/>
      <w:szCs w:val="18"/>
      <w:lang w:eastAsia="it-IT"/>
    </w:rPr>
  </w:style>
  <w:style w:type="table" w:styleId="Grigliatabella">
    <w:name w:val="Table Grid"/>
    <w:basedOn w:val="Tabellanormale"/>
    <w:uiPriority w:val="39"/>
    <w:rsid w:val="008711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unhideWhenUsed/>
    <w:rsid w:val="00743D2F"/>
  </w:style>
  <w:style w:type="character" w:customStyle="1" w:styleId="MappadocumentoCarattere">
    <w:name w:val="Mappa documento Carattere"/>
    <w:basedOn w:val="Carpredefinitoparagrafo"/>
    <w:link w:val="Mappadocumento"/>
    <w:uiPriority w:val="99"/>
    <w:semiHidden/>
    <w:rsid w:val="00743D2F"/>
    <w:rPr>
      <w:rFonts w:ascii="Times New Roman" w:hAnsi="Times New Roman" w:cs="Times New Roman"/>
      <w:sz w:val="24"/>
      <w:szCs w:val="24"/>
      <w:lang w:eastAsia="it-IT"/>
    </w:rPr>
  </w:style>
  <w:style w:type="paragraph" w:styleId="Indice1">
    <w:name w:val="index 1"/>
    <w:basedOn w:val="Normale"/>
    <w:next w:val="Normale"/>
    <w:autoRedefine/>
    <w:uiPriority w:val="99"/>
    <w:unhideWhenUsed/>
    <w:rsid w:val="00743D2F"/>
    <w:pPr>
      <w:ind w:left="240" w:hanging="240"/>
    </w:pPr>
  </w:style>
  <w:style w:type="paragraph" w:styleId="Indice2">
    <w:name w:val="index 2"/>
    <w:basedOn w:val="Normale"/>
    <w:next w:val="Normale"/>
    <w:autoRedefine/>
    <w:uiPriority w:val="99"/>
    <w:unhideWhenUsed/>
    <w:rsid w:val="00743D2F"/>
    <w:pPr>
      <w:ind w:left="480" w:hanging="240"/>
    </w:pPr>
  </w:style>
  <w:style w:type="paragraph" w:styleId="Indice3">
    <w:name w:val="index 3"/>
    <w:basedOn w:val="Normale"/>
    <w:next w:val="Normale"/>
    <w:autoRedefine/>
    <w:uiPriority w:val="99"/>
    <w:unhideWhenUsed/>
    <w:rsid w:val="00743D2F"/>
    <w:pPr>
      <w:ind w:left="720" w:hanging="240"/>
    </w:pPr>
  </w:style>
  <w:style w:type="paragraph" w:styleId="Indice4">
    <w:name w:val="index 4"/>
    <w:basedOn w:val="Normale"/>
    <w:next w:val="Normale"/>
    <w:autoRedefine/>
    <w:uiPriority w:val="99"/>
    <w:unhideWhenUsed/>
    <w:rsid w:val="00743D2F"/>
    <w:pPr>
      <w:ind w:left="960" w:hanging="240"/>
    </w:pPr>
  </w:style>
  <w:style w:type="paragraph" w:styleId="Indice5">
    <w:name w:val="index 5"/>
    <w:basedOn w:val="Normale"/>
    <w:next w:val="Normale"/>
    <w:autoRedefine/>
    <w:uiPriority w:val="99"/>
    <w:unhideWhenUsed/>
    <w:rsid w:val="00743D2F"/>
    <w:pPr>
      <w:ind w:left="1200" w:hanging="240"/>
    </w:pPr>
  </w:style>
  <w:style w:type="paragraph" w:styleId="Indice6">
    <w:name w:val="index 6"/>
    <w:basedOn w:val="Normale"/>
    <w:next w:val="Normale"/>
    <w:autoRedefine/>
    <w:uiPriority w:val="99"/>
    <w:unhideWhenUsed/>
    <w:rsid w:val="00743D2F"/>
    <w:pPr>
      <w:ind w:left="1440" w:hanging="240"/>
    </w:pPr>
  </w:style>
  <w:style w:type="paragraph" w:styleId="Indice7">
    <w:name w:val="index 7"/>
    <w:basedOn w:val="Normale"/>
    <w:next w:val="Normale"/>
    <w:autoRedefine/>
    <w:uiPriority w:val="99"/>
    <w:unhideWhenUsed/>
    <w:rsid w:val="00743D2F"/>
    <w:pPr>
      <w:ind w:left="1680" w:hanging="240"/>
    </w:pPr>
  </w:style>
  <w:style w:type="paragraph" w:styleId="Indice8">
    <w:name w:val="index 8"/>
    <w:basedOn w:val="Normale"/>
    <w:next w:val="Normale"/>
    <w:autoRedefine/>
    <w:uiPriority w:val="99"/>
    <w:unhideWhenUsed/>
    <w:rsid w:val="00743D2F"/>
    <w:pPr>
      <w:ind w:left="1920" w:hanging="240"/>
    </w:pPr>
  </w:style>
  <w:style w:type="paragraph" w:styleId="Indice9">
    <w:name w:val="index 9"/>
    <w:basedOn w:val="Normale"/>
    <w:next w:val="Normale"/>
    <w:autoRedefine/>
    <w:uiPriority w:val="99"/>
    <w:unhideWhenUsed/>
    <w:rsid w:val="00743D2F"/>
    <w:pPr>
      <w:ind w:left="2160" w:hanging="240"/>
    </w:pPr>
  </w:style>
  <w:style w:type="paragraph" w:styleId="Titoloindice">
    <w:name w:val="index heading"/>
    <w:basedOn w:val="Normale"/>
    <w:next w:val="Indice1"/>
    <w:uiPriority w:val="99"/>
    <w:unhideWhenUsed/>
    <w:rsid w:val="00743D2F"/>
  </w:style>
  <w:style w:type="paragraph" w:styleId="Sommario1">
    <w:name w:val="toc 1"/>
    <w:basedOn w:val="Normale"/>
    <w:next w:val="Normale"/>
    <w:autoRedefine/>
    <w:uiPriority w:val="39"/>
    <w:unhideWhenUsed/>
    <w:rsid w:val="00404FE6"/>
    <w:pPr>
      <w:tabs>
        <w:tab w:val="left" w:pos="480"/>
        <w:tab w:val="right" w:leader="dot" w:pos="9628"/>
      </w:tabs>
      <w:spacing w:line="276" w:lineRule="auto"/>
      <w:jc w:val="both"/>
    </w:pPr>
  </w:style>
  <w:style w:type="paragraph" w:styleId="Sommario2">
    <w:name w:val="toc 2"/>
    <w:basedOn w:val="Normale"/>
    <w:next w:val="Normale"/>
    <w:autoRedefine/>
    <w:uiPriority w:val="39"/>
    <w:unhideWhenUsed/>
    <w:rsid w:val="00743D2F"/>
    <w:pPr>
      <w:ind w:left="240"/>
    </w:pPr>
  </w:style>
  <w:style w:type="paragraph" w:styleId="Sommario3">
    <w:name w:val="toc 3"/>
    <w:basedOn w:val="Normale"/>
    <w:next w:val="Normale"/>
    <w:autoRedefine/>
    <w:uiPriority w:val="39"/>
    <w:unhideWhenUsed/>
    <w:rsid w:val="00743D2F"/>
    <w:pPr>
      <w:ind w:left="480"/>
    </w:pPr>
  </w:style>
  <w:style w:type="paragraph" w:styleId="Sommario4">
    <w:name w:val="toc 4"/>
    <w:basedOn w:val="Normale"/>
    <w:next w:val="Normale"/>
    <w:autoRedefine/>
    <w:uiPriority w:val="39"/>
    <w:unhideWhenUsed/>
    <w:rsid w:val="00743D2F"/>
    <w:pPr>
      <w:ind w:left="720"/>
    </w:pPr>
  </w:style>
  <w:style w:type="paragraph" w:styleId="Sommario5">
    <w:name w:val="toc 5"/>
    <w:basedOn w:val="Normale"/>
    <w:next w:val="Normale"/>
    <w:autoRedefine/>
    <w:uiPriority w:val="39"/>
    <w:unhideWhenUsed/>
    <w:rsid w:val="00743D2F"/>
    <w:pPr>
      <w:ind w:left="960"/>
    </w:pPr>
  </w:style>
  <w:style w:type="paragraph" w:styleId="Sommario6">
    <w:name w:val="toc 6"/>
    <w:basedOn w:val="Normale"/>
    <w:next w:val="Normale"/>
    <w:autoRedefine/>
    <w:uiPriority w:val="39"/>
    <w:unhideWhenUsed/>
    <w:rsid w:val="00743D2F"/>
    <w:pPr>
      <w:ind w:left="1200"/>
    </w:pPr>
  </w:style>
  <w:style w:type="paragraph" w:styleId="Sommario7">
    <w:name w:val="toc 7"/>
    <w:basedOn w:val="Normale"/>
    <w:next w:val="Normale"/>
    <w:autoRedefine/>
    <w:uiPriority w:val="39"/>
    <w:unhideWhenUsed/>
    <w:rsid w:val="00743D2F"/>
    <w:pPr>
      <w:ind w:left="1440"/>
    </w:pPr>
  </w:style>
  <w:style w:type="paragraph" w:styleId="Sommario8">
    <w:name w:val="toc 8"/>
    <w:basedOn w:val="Normale"/>
    <w:next w:val="Normale"/>
    <w:autoRedefine/>
    <w:uiPriority w:val="39"/>
    <w:unhideWhenUsed/>
    <w:rsid w:val="00743D2F"/>
    <w:pPr>
      <w:ind w:left="1680"/>
    </w:pPr>
  </w:style>
  <w:style w:type="paragraph" w:styleId="Sommario9">
    <w:name w:val="toc 9"/>
    <w:basedOn w:val="Normale"/>
    <w:next w:val="Normale"/>
    <w:autoRedefine/>
    <w:uiPriority w:val="39"/>
    <w:unhideWhenUsed/>
    <w:rsid w:val="00743D2F"/>
    <w:pPr>
      <w:ind w:left="1920"/>
    </w:pPr>
  </w:style>
  <w:style w:type="character" w:styleId="Rimandocommento">
    <w:name w:val="annotation reference"/>
    <w:basedOn w:val="Carpredefinitoparagrafo"/>
    <w:uiPriority w:val="99"/>
    <w:semiHidden/>
    <w:unhideWhenUsed/>
    <w:rsid w:val="009017C9"/>
    <w:rPr>
      <w:sz w:val="16"/>
      <w:szCs w:val="16"/>
    </w:rPr>
  </w:style>
  <w:style w:type="paragraph" w:styleId="Testocommento">
    <w:name w:val="annotation text"/>
    <w:basedOn w:val="Normale"/>
    <w:link w:val="TestocommentoCarattere"/>
    <w:uiPriority w:val="99"/>
    <w:unhideWhenUsed/>
    <w:rsid w:val="009017C9"/>
    <w:rPr>
      <w:sz w:val="20"/>
      <w:szCs w:val="20"/>
    </w:rPr>
  </w:style>
  <w:style w:type="character" w:customStyle="1" w:styleId="TestocommentoCarattere">
    <w:name w:val="Testo commento Carattere"/>
    <w:basedOn w:val="Carpredefinitoparagrafo"/>
    <w:link w:val="Testocommento"/>
    <w:uiPriority w:val="99"/>
    <w:rsid w:val="009017C9"/>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017C9"/>
    <w:rPr>
      <w:b/>
      <w:bCs/>
    </w:rPr>
  </w:style>
  <w:style w:type="character" w:customStyle="1" w:styleId="SoggettocommentoCarattere">
    <w:name w:val="Soggetto commento Carattere"/>
    <w:basedOn w:val="TestocommentoCarattere"/>
    <w:link w:val="Soggettocommento"/>
    <w:uiPriority w:val="99"/>
    <w:semiHidden/>
    <w:rsid w:val="009017C9"/>
    <w:rPr>
      <w:rFonts w:ascii="Times New Roman" w:hAnsi="Times New Roman" w:cs="Times New Roman"/>
      <w:b/>
      <w:bCs/>
      <w:sz w:val="20"/>
      <w:szCs w:val="20"/>
      <w:lang w:eastAsia="it-IT"/>
    </w:rPr>
  </w:style>
  <w:style w:type="paragraph" w:styleId="Revisione">
    <w:name w:val="Revision"/>
    <w:hidden/>
    <w:uiPriority w:val="99"/>
    <w:semiHidden/>
    <w:rsid w:val="005868C9"/>
    <w:pPr>
      <w:spacing w:line="240" w:lineRule="auto"/>
      <w:jc w:val="left"/>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694">
      <w:bodyDiv w:val="1"/>
      <w:marLeft w:val="0"/>
      <w:marRight w:val="0"/>
      <w:marTop w:val="0"/>
      <w:marBottom w:val="0"/>
      <w:divBdr>
        <w:top w:val="none" w:sz="0" w:space="0" w:color="auto"/>
        <w:left w:val="none" w:sz="0" w:space="0" w:color="auto"/>
        <w:bottom w:val="none" w:sz="0" w:space="0" w:color="auto"/>
        <w:right w:val="none" w:sz="0" w:space="0" w:color="auto"/>
      </w:divBdr>
    </w:div>
    <w:div w:id="2585555">
      <w:bodyDiv w:val="1"/>
      <w:marLeft w:val="0"/>
      <w:marRight w:val="0"/>
      <w:marTop w:val="0"/>
      <w:marBottom w:val="0"/>
      <w:divBdr>
        <w:top w:val="none" w:sz="0" w:space="0" w:color="auto"/>
        <w:left w:val="none" w:sz="0" w:space="0" w:color="auto"/>
        <w:bottom w:val="none" w:sz="0" w:space="0" w:color="auto"/>
        <w:right w:val="none" w:sz="0" w:space="0" w:color="auto"/>
      </w:divBdr>
      <w:divsChild>
        <w:div w:id="2080512363">
          <w:marLeft w:val="547"/>
          <w:marRight w:val="0"/>
          <w:marTop w:val="77"/>
          <w:marBottom w:val="0"/>
          <w:divBdr>
            <w:top w:val="none" w:sz="0" w:space="0" w:color="auto"/>
            <w:left w:val="none" w:sz="0" w:space="0" w:color="auto"/>
            <w:bottom w:val="none" w:sz="0" w:space="0" w:color="auto"/>
            <w:right w:val="none" w:sz="0" w:space="0" w:color="auto"/>
          </w:divBdr>
        </w:div>
        <w:div w:id="655646748">
          <w:marLeft w:val="547"/>
          <w:marRight w:val="0"/>
          <w:marTop w:val="77"/>
          <w:marBottom w:val="0"/>
          <w:divBdr>
            <w:top w:val="none" w:sz="0" w:space="0" w:color="auto"/>
            <w:left w:val="none" w:sz="0" w:space="0" w:color="auto"/>
            <w:bottom w:val="none" w:sz="0" w:space="0" w:color="auto"/>
            <w:right w:val="none" w:sz="0" w:space="0" w:color="auto"/>
          </w:divBdr>
        </w:div>
        <w:div w:id="547953117">
          <w:marLeft w:val="547"/>
          <w:marRight w:val="0"/>
          <w:marTop w:val="77"/>
          <w:marBottom w:val="0"/>
          <w:divBdr>
            <w:top w:val="none" w:sz="0" w:space="0" w:color="auto"/>
            <w:left w:val="none" w:sz="0" w:space="0" w:color="auto"/>
            <w:bottom w:val="none" w:sz="0" w:space="0" w:color="auto"/>
            <w:right w:val="none" w:sz="0" w:space="0" w:color="auto"/>
          </w:divBdr>
        </w:div>
        <w:div w:id="859977022">
          <w:marLeft w:val="547"/>
          <w:marRight w:val="0"/>
          <w:marTop w:val="77"/>
          <w:marBottom w:val="0"/>
          <w:divBdr>
            <w:top w:val="none" w:sz="0" w:space="0" w:color="auto"/>
            <w:left w:val="none" w:sz="0" w:space="0" w:color="auto"/>
            <w:bottom w:val="none" w:sz="0" w:space="0" w:color="auto"/>
            <w:right w:val="none" w:sz="0" w:space="0" w:color="auto"/>
          </w:divBdr>
        </w:div>
        <w:div w:id="1900359621">
          <w:marLeft w:val="1109"/>
          <w:marRight w:val="0"/>
          <w:marTop w:val="77"/>
          <w:marBottom w:val="0"/>
          <w:divBdr>
            <w:top w:val="none" w:sz="0" w:space="0" w:color="auto"/>
            <w:left w:val="none" w:sz="0" w:space="0" w:color="auto"/>
            <w:bottom w:val="none" w:sz="0" w:space="0" w:color="auto"/>
            <w:right w:val="none" w:sz="0" w:space="0" w:color="auto"/>
          </w:divBdr>
        </w:div>
        <w:div w:id="1441292278">
          <w:marLeft w:val="1109"/>
          <w:marRight w:val="0"/>
          <w:marTop w:val="77"/>
          <w:marBottom w:val="0"/>
          <w:divBdr>
            <w:top w:val="none" w:sz="0" w:space="0" w:color="auto"/>
            <w:left w:val="none" w:sz="0" w:space="0" w:color="auto"/>
            <w:bottom w:val="none" w:sz="0" w:space="0" w:color="auto"/>
            <w:right w:val="none" w:sz="0" w:space="0" w:color="auto"/>
          </w:divBdr>
        </w:div>
      </w:divsChild>
    </w:div>
    <w:div w:id="71708684">
      <w:bodyDiv w:val="1"/>
      <w:marLeft w:val="0"/>
      <w:marRight w:val="0"/>
      <w:marTop w:val="0"/>
      <w:marBottom w:val="0"/>
      <w:divBdr>
        <w:top w:val="none" w:sz="0" w:space="0" w:color="auto"/>
        <w:left w:val="none" w:sz="0" w:space="0" w:color="auto"/>
        <w:bottom w:val="none" w:sz="0" w:space="0" w:color="auto"/>
        <w:right w:val="none" w:sz="0" w:space="0" w:color="auto"/>
      </w:divBdr>
      <w:divsChild>
        <w:div w:id="105828717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92095398">
      <w:bodyDiv w:val="1"/>
      <w:marLeft w:val="0"/>
      <w:marRight w:val="0"/>
      <w:marTop w:val="0"/>
      <w:marBottom w:val="0"/>
      <w:divBdr>
        <w:top w:val="none" w:sz="0" w:space="0" w:color="auto"/>
        <w:left w:val="none" w:sz="0" w:space="0" w:color="auto"/>
        <w:bottom w:val="none" w:sz="0" w:space="0" w:color="auto"/>
        <w:right w:val="none" w:sz="0" w:space="0" w:color="auto"/>
      </w:divBdr>
    </w:div>
    <w:div w:id="113988600">
      <w:bodyDiv w:val="1"/>
      <w:marLeft w:val="0"/>
      <w:marRight w:val="0"/>
      <w:marTop w:val="0"/>
      <w:marBottom w:val="0"/>
      <w:divBdr>
        <w:top w:val="none" w:sz="0" w:space="0" w:color="auto"/>
        <w:left w:val="none" w:sz="0" w:space="0" w:color="auto"/>
        <w:bottom w:val="none" w:sz="0" w:space="0" w:color="auto"/>
        <w:right w:val="none" w:sz="0" w:space="0" w:color="auto"/>
      </w:divBdr>
    </w:div>
    <w:div w:id="141509575">
      <w:bodyDiv w:val="1"/>
      <w:marLeft w:val="0"/>
      <w:marRight w:val="0"/>
      <w:marTop w:val="0"/>
      <w:marBottom w:val="0"/>
      <w:divBdr>
        <w:top w:val="none" w:sz="0" w:space="0" w:color="auto"/>
        <w:left w:val="none" w:sz="0" w:space="0" w:color="auto"/>
        <w:bottom w:val="none" w:sz="0" w:space="0" w:color="auto"/>
        <w:right w:val="none" w:sz="0" w:space="0" w:color="auto"/>
      </w:divBdr>
    </w:div>
    <w:div w:id="147942062">
      <w:bodyDiv w:val="1"/>
      <w:marLeft w:val="0"/>
      <w:marRight w:val="0"/>
      <w:marTop w:val="0"/>
      <w:marBottom w:val="0"/>
      <w:divBdr>
        <w:top w:val="none" w:sz="0" w:space="0" w:color="auto"/>
        <w:left w:val="none" w:sz="0" w:space="0" w:color="auto"/>
        <w:bottom w:val="none" w:sz="0" w:space="0" w:color="auto"/>
        <w:right w:val="none" w:sz="0" w:space="0" w:color="auto"/>
      </w:divBdr>
      <w:divsChild>
        <w:div w:id="748891720">
          <w:marLeft w:val="0"/>
          <w:marRight w:val="0"/>
          <w:marTop w:val="0"/>
          <w:marBottom w:val="0"/>
          <w:divBdr>
            <w:top w:val="none" w:sz="0" w:space="0" w:color="auto"/>
            <w:left w:val="none" w:sz="0" w:space="0" w:color="auto"/>
            <w:bottom w:val="none" w:sz="0" w:space="0" w:color="auto"/>
            <w:right w:val="none" w:sz="0" w:space="0" w:color="auto"/>
          </w:divBdr>
          <w:divsChild>
            <w:div w:id="2123038818">
              <w:marLeft w:val="0"/>
              <w:marRight w:val="0"/>
              <w:marTop w:val="0"/>
              <w:marBottom w:val="0"/>
              <w:divBdr>
                <w:top w:val="none" w:sz="0" w:space="0" w:color="auto"/>
                <w:left w:val="none" w:sz="0" w:space="0" w:color="auto"/>
                <w:bottom w:val="none" w:sz="0" w:space="0" w:color="auto"/>
                <w:right w:val="none" w:sz="0" w:space="0" w:color="auto"/>
              </w:divBdr>
              <w:divsChild>
                <w:div w:id="1352293576">
                  <w:marLeft w:val="0"/>
                  <w:marRight w:val="0"/>
                  <w:marTop w:val="0"/>
                  <w:marBottom w:val="0"/>
                  <w:divBdr>
                    <w:top w:val="none" w:sz="0" w:space="0" w:color="auto"/>
                    <w:left w:val="none" w:sz="0" w:space="0" w:color="auto"/>
                    <w:bottom w:val="none" w:sz="0" w:space="0" w:color="auto"/>
                    <w:right w:val="none" w:sz="0" w:space="0" w:color="auto"/>
                  </w:divBdr>
                  <w:divsChild>
                    <w:div w:id="20178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2449">
      <w:bodyDiv w:val="1"/>
      <w:marLeft w:val="0"/>
      <w:marRight w:val="0"/>
      <w:marTop w:val="0"/>
      <w:marBottom w:val="0"/>
      <w:divBdr>
        <w:top w:val="none" w:sz="0" w:space="0" w:color="auto"/>
        <w:left w:val="none" w:sz="0" w:space="0" w:color="auto"/>
        <w:bottom w:val="none" w:sz="0" w:space="0" w:color="auto"/>
        <w:right w:val="none" w:sz="0" w:space="0" w:color="auto"/>
      </w:divBdr>
      <w:divsChild>
        <w:div w:id="669724328">
          <w:marLeft w:val="0"/>
          <w:marRight w:val="0"/>
          <w:marTop w:val="0"/>
          <w:marBottom w:val="240"/>
          <w:divBdr>
            <w:top w:val="none" w:sz="0" w:space="0" w:color="auto"/>
            <w:left w:val="none" w:sz="0" w:space="0" w:color="auto"/>
            <w:bottom w:val="none" w:sz="0" w:space="0" w:color="auto"/>
            <w:right w:val="none" w:sz="0" w:space="0" w:color="auto"/>
          </w:divBdr>
        </w:div>
      </w:divsChild>
    </w:div>
    <w:div w:id="217936636">
      <w:bodyDiv w:val="1"/>
      <w:marLeft w:val="0"/>
      <w:marRight w:val="0"/>
      <w:marTop w:val="0"/>
      <w:marBottom w:val="0"/>
      <w:divBdr>
        <w:top w:val="none" w:sz="0" w:space="0" w:color="auto"/>
        <w:left w:val="none" w:sz="0" w:space="0" w:color="auto"/>
        <w:bottom w:val="none" w:sz="0" w:space="0" w:color="auto"/>
        <w:right w:val="none" w:sz="0" w:space="0" w:color="auto"/>
      </w:divBdr>
    </w:div>
    <w:div w:id="222789108">
      <w:bodyDiv w:val="1"/>
      <w:marLeft w:val="0"/>
      <w:marRight w:val="0"/>
      <w:marTop w:val="0"/>
      <w:marBottom w:val="0"/>
      <w:divBdr>
        <w:top w:val="none" w:sz="0" w:space="0" w:color="auto"/>
        <w:left w:val="none" w:sz="0" w:space="0" w:color="auto"/>
        <w:bottom w:val="none" w:sz="0" w:space="0" w:color="auto"/>
        <w:right w:val="none" w:sz="0" w:space="0" w:color="auto"/>
      </w:divBdr>
    </w:div>
    <w:div w:id="250163905">
      <w:bodyDiv w:val="1"/>
      <w:marLeft w:val="0"/>
      <w:marRight w:val="0"/>
      <w:marTop w:val="0"/>
      <w:marBottom w:val="0"/>
      <w:divBdr>
        <w:top w:val="none" w:sz="0" w:space="0" w:color="auto"/>
        <w:left w:val="none" w:sz="0" w:space="0" w:color="auto"/>
        <w:bottom w:val="none" w:sz="0" w:space="0" w:color="auto"/>
        <w:right w:val="none" w:sz="0" w:space="0" w:color="auto"/>
      </w:divBdr>
      <w:divsChild>
        <w:div w:id="1532837352">
          <w:marLeft w:val="0"/>
          <w:marRight w:val="0"/>
          <w:marTop w:val="0"/>
          <w:marBottom w:val="0"/>
          <w:divBdr>
            <w:top w:val="none" w:sz="0" w:space="0" w:color="auto"/>
            <w:left w:val="none" w:sz="0" w:space="0" w:color="auto"/>
            <w:bottom w:val="none" w:sz="0" w:space="0" w:color="auto"/>
            <w:right w:val="none" w:sz="0" w:space="0" w:color="auto"/>
          </w:divBdr>
          <w:divsChild>
            <w:div w:id="888036454">
              <w:marLeft w:val="0"/>
              <w:marRight w:val="0"/>
              <w:marTop w:val="0"/>
              <w:marBottom w:val="0"/>
              <w:divBdr>
                <w:top w:val="none" w:sz="0" w:space="0" w:color="auto"/>
                <w:left w:val="none" w:sz="0" w:space="0" w:color="auto"/>
                <w:bottom w:val="none" w:sz="0" w:space="0" w:color="auto"/>
                <w:right w:val="none" w:sz="0" w:space="0" w:color="auto"/>
              </w:divBdr>
              <w:divsChild>
                <w:div w:id="13011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06998">
      <w:bodyDiv w:val="1"/>
      <w:marLeft w:val="0"/>
      <w:marRight w:val="0"/>
      <w:marTop w:val="0"/>
      <w:marBottom w:val="0"/>
      <w:divBdr>
        <w:top w:val="none" w:sz="0" w:space="0" w:color="auto"/>
        <w:left w:val="none" w:sz="0" w:space="0" w:color="auto"/>
        <w:bottom w:val="none" w:sz="0" w:space="0" w:color="auto"/>
        <w:right w:val="none" w:sz="0" w:space="0" w:color="auto"/>
      </w:divBdr>
    </w:div>
    <w:div w:id="295140324">
      <w:bodyDiv w:val="1"/>
      <w:marLeft w:val="0"/>
      <w:marRight w:val="0"/>
      <w:marTop w:val="0"/>
      <w:marBottom w:val="0"/>
      <w:divBdr>
        <w:top w:val="none" w:sz="0" w:space="0" w:color="auto"/>
        <w:left w:val="none" w:sz="0" w:space="0" w:color="auto"/>
        <w:bottom w:val="none" w:sz="0" w:space="0" w:color="auto"/>
        <w:right w:val="none" w:sz="0" w:space="0" w:color="auto"/>
      </w:divBdr>
    </w:div>
    <w:div w:id="404650753">
      <w:bodyDiv w:val="1"/>
      <w:marLeft w:val="0"/>
      <w:marRight w:val="0"/>
      <w:marTop w:val="0"/>
      <w:marBottom w:val="0"/>
      <w:divBdr>
        <w:top w:val="none" w:sz="0" w:space="0" w:color="auto"/>
        <w:left w:val="none" w:sz="0" w:space="0" w:color="auto"/>
        <w:bottom w:val="none" w:sz="0" w:space="0" w:color="auto"/>
        <w:right w:val="none" w:sz="0" w:space="0" w:color="auto"/>
      </w:divBdr>
    </w:div>
    <w:div w:id="450901735">
      <w:bodyDiv w:val="1"/>
      <w:marLeft w:val="0"/>
      <w:marRight w:val="0"/>
      <w:marTop w:val="0"/>
      <w:marBottom w:val="0"/>
      <w:divBdr>
        <w:top w:val="none" w:sz="0" w:space="0" w:color="auto"/>
        <w:left w:val="none" w:sz="0" w:space="0" w:color="auto"/>
        <w:bottom w:val="none" w:sz="0" w:space="0" w:color="auto"/>
        <w:right w:val="none" w:sz="0" w:space="0" w:color="auto"/>
      </w:divBdr>
      <w:divsChild>
        <w:div w:id="137377940">
          <w:marLeft w:val="0"/>
          <w:marRight w:val="0"/>
          <w:marTop w:val="0"/>
          <w:marBottom w:val="0"/>
          <w:divBdr>
            <w:top w:val="none" w:sz="0" w:space="0" w:color="auto"/>
            <w:left w:val="none" w:sz="0" w:space="0" w:color="auto"/>
            <w:bottom w:val="none" w:sz="0" w:space="0" w:color="auto"/>
            <w:right w:val="none" w:sz="0" w:space="0" w:color="auto"/>
          </w:divBdr>
          <w:divsChild>
            <w:div w:id="764107539">
              <w:marLeft w:val="0"/>
              <w:marRight w:val="0"/>
              <w:marTop w:val="0"/>
              <w:marBottom w:val="0"/>
              <w:divBdr>
                <w:top w:val="none" w:sz="0" w:space="0" w:color="auto"/>
                <w:left w:val="none" w:sz="0" w:space="0" w:color="auto"/>
                <w:bottom w:val="none" w:sz="0" w:space="0" w:color="auto"/>
                <w:right w:val="none" w:sz="0" w:space="0" w:color="auto"/>
              </w:divBdr>
              <w:divsChild>
                <w:div w:id="21014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7092">
      <w:bodyDiv w:val="1"/>
      <w:marLeft w:val="0"/>
      <w:marRight w:val="0"/>
      <w:marTop w:val="0"/>
      <w:marBottom w:val="0"/>
      <w:divBdr>
        <w:top w:val="none" w:sz="0" w:space="0" w:color="auto"/>
        <w:left w:val="none" w:sz="0" w:space="0" w:color="auto"/>
        <w:bottom w:val="none" w:sz="0" w:space="0" w:color="auto"/>
        <w:right w:val="none" w:sz="0" w:space="0" w:color="auto"/>
      </w:divBdr>
    </w:div>
    <w:div w:id="558982686">
      <w:bodyDiv w:val="1"/>
      <w:marLeft w:val="0"/>
      <w:marRight w:val="0"/>
      <w:marTop w:val="0"/>
      <w:marBottom w:val="0"/>
      <w:divBdr>
        <w:top w:val="none" w:sz="0" w:space="0" w:color="auto"/>
        <w:left w:val="none" w:sz="0" w:space="0" w:color="auto"/>
        <w:bottom w:val="none" w:sz="0" w:space="0" w:color="auto"/>
        <w:right w:val="none" w:sz="0" w:space="0" w:color="auto"/>
      </w:divBdr>
    </w:div>
    <w:div w:id="588999525">
      <w:bodyDiv w:val="1"/>
      <w:marLeft w:val="0"/>
      <w:marRight w:val="0"/>
      <w:marTop w:val="0"/>
      <w:marBottom w:val="0"/>
      <w:divBdr>
        <w:top w:val="none" w:sz="0" w:space="0" w:color="auto"/>
        <w:left w:val="none" w:sz="0" w:space="0" w:color="auto"/>
        <w:bottom w:val="none" w:sz="0" w:space="0" w:color="auto"/>
        <w:right w:val="none" w:sz="0" w:space="0" w:color="auto"/>
      </w:divBdr>
    </w:div>
    <w:div w:id="598216119">
      <w:bodyDiv w:val="1"/>
      <w:marLeft w:val="0"/>
      <w:marRight w:val="0"/>
      <w:marTop w:val="0"/>
      <w:marBottom w:val="0"/>
      <w:divBdr>
        <w:top w:val="none" w:sz="0" w:space="0" w:color="auto"/>
        <w:left w:val="none" w:sz="0" w:space="0" w:color="auto"/>
        <w:bottom w:val="none" w:sz="0" w:space="0" w:color="auto"/>
        <w:right w:val="none" w:sz="0" w:space="0" w:color="auto"/>
      </w:divBdr>
    </w:div>
    <w:div w:id="650865771">
      <w:bodyDiv w:val="1"/>
      <w:marLeft w:val="0"/>
      <w:marRight w:val="0"/>
      <w:marTop w:val="0"/>
      <w:marBottom w:val="0"/>
      <w:divBdr>
        <w:top w:val="none" w:sz="0" w:space="0" w:color="auto"/>
        <w:left w:val="none" w:sz="0" w:space="0" w:color="auto"/>
        <w:bottom w:val="none" w:sz="0" w:space="0" w:color="auto"/>
        <w:right w:val="none" w:sz="0" w:space="0" w:color="auto"/>
      </w:divBdr>
    </w:div>
    <w:div w:id="682627356">
      <w:bodyDiv w:val="1"/>
      <w:marLeft w:val="0"/>
      <w:marRight w:val="0"/>
      <w:marTop w:val="0"/>
      <w:marBottom w:val="0"/>
      <w:divBdr>
        <w:top w:val="none" w:sz="0" w:space="0" w:color="auto"/>
        <w:left w:val="none" w:sz="0" w:space="0" w:color="auto"/>
        <w:bottom w:val="none" w:sz="0" w:space="0" w:color="auto"/>
        <w:right w:val="none" w:sz="0" w:space="0" w:color="auto"/>
      </w:divBdr>
    </w:div>
    <w:div w:id="699015248">
      <w:bodyDiv w:val="1"/>
      <w:marLeft w:val="0"/>
      <w:marRight w:val="0"/>
      <w:marTop w:val="0"/>
      <w:marBottom w:val="0"/>
      <w:divBdr>
        <w:top w:val="none" w:sz="0" w:space="0" w:color="auto"/>
        <w:left w:val="none" w:sz="0" w:space="0" w:color="auto"/>
        <w:bottom w:val="none" w:sz="0" w:space="0" w:color="auto"/>
        <w:right w:val="none" w:sz="0" w:space="0" w:color="auto"/>
      </w:divBdr>
    </w:div>
    <w:div w:id="715400108">
      <w:bodyDiv w:val="1"/>
      <w:marLeft w:val="0"/>
      <w:marRight w:val="0"/>
      <w:marTop w:val="0"/>
      <w:marBottom w:val="0"/>
      <w:divBdr>
        <w:top w:val="none" w:sz="0" w:space="0" w:color="auto"/>
        <w:left w:val="none" w:sz="0" w:space="0" w:color="auto"/>
        <w:bottom w:val="none" w:sz="0" w:space="0" w:color="auto"/>
        <w:right w:val="none" w:sz="0" w:space="0" w:color="auto"/>
      </w:divBdr>
    </w:div>
    <w:div w:id="741215688">
      <w:bodyDiv w:val="1"/>
      <w:marLeft w:val="0"/>
      <w:marRight w:val="0"/>
      <w:marTop w:val="0"/>
      <w:marBottom w:val="0"/>
      <w:divBdr>
        <w:top w:val="none" w:sz="0" w:space="0" w:color="auto"/>
        <w:left w:val="none" w:sz="0" w:space="0" w:color="auto"/>
        <w:bottom w:val="none" w:sz="0" w:space="0" w:color="auto"/>
        <w:right w:val="none" w:sz="0" w:space="0" w:color="auto"/>
      </w:divBdr>
      <w:divsChild>
        <w:div w:id="1095899162">
          <w:marLeft w:val="0"/>
          <w:marRight w:val="0"/>
          <w:marTop w:val="0"/>
          <w:marBottom w:val="0"/>
          <w:divBdr>
            <w:top w:val="none" w:sz="0" w:space="0" w:color="auto"/>
            <w:left w:val="none" w:sz="0" w:space="0" w:color="auto"/>
            <w:bottom w:val="none" w:sz="0" w:space="0" w:color="auto"/>
            <w:right w:val="none" w:sz="0" w:space="0" w:color="auto"/>
          </w:divBdr>
          <w:divsChild>
            <w:div w:id="453791758">
              <w:marLeft w:val="0"/>
              <w:marRight w:val="0"/>
              <w:marTop w:val="0"/>
              <w:marBottom w:val="0"/>
              <w:divBdr>
                <w:top w:val="none" w:sz="0" w:space="0" w:color="auto"/>
                <w:left w:val="none" w:sz="0" w:space="0" w:color="auto"/>
                <w:bottom w:val="none" w:sz="0" w:space="0" w:color="auto"/>
                <w:right w:val="none" w:sz="0" w:space="0" w:color="auto"/>
              </w:divBdr>
              <w:divsChild>
                <w:div w:id="1572545956">
                  <w:marLeft w:val="0"/>
                  <w:marRight w:val="0"/>
                  <w:marTop w:val="0"/>
                  <w:marBottom w:val="0"/>
                  <w:divBdr>
                    <w:top w:val="none" w:sz="0" w:space="0" w:color="auto"/>
                    <w:left w:val="none" w:sz="0" w:space="0" w:color="auto"/>
                    <w:bottom w:val="none" w:sz="0" w:space="0" w:color="auto"/>
                    <w:right w:val="none" w:sz="0" w:space="0" w:color="auto"/>
                  </w:divBdr>
                  <w:divsChild>
                    <w:div w:id="13211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93142">
      <w:bodyDiv w:val="1"/>
      <w:marLeft w:val="0"/>
      <w:marRight w:val="0"/>
      <w:marTop w:val="0"/>
      <w:marBottom w:val="0"/>
      <w:divBdr>
        <w:top w:val="none" w:sz="0" w:space="0" w:color="auto"/>
        <w:left w:val="none" w:sz="0" w:space="0" w:color="auto"/>
        <w:bottom w:val="none" w:sz="0" w:space="0" w:color="auto"/>
        <w:right w:val="none" w:sz="0" w:space="0" w:color="auto"/>
      </w:divBdr>
    </w:div>
    <w:div w:id="751974080">
      <w:bodyDiv w:val="1"/>
      <w:marLeft w:val="0"/>
      <w:marRight w:val="0"/>
      <w:marTop w:val="0"/>
      <w:marBottom w:val="0"/>
      <w:divBdr>
        <w:top w:val="none" w:sz="0" w:space="0" w:color="auto"/>
        <w:left w:val="none" w:sz="0" w:space="0" w:color="auto"/>
        <w:bottom w:val="none" w:sz="0" w:space="0" w:color="auto"/>
        <w:right w:val="none" w:sz="0" w:space="0" w:color="auto"/>
      </w:divBdr>
    </w:div>
    <w:div w:id="790712874">
      <w:bodyDiv w:val="1"/>
      <w:marLeft w:val="0"/>
      <w:marRight w:val="0"/>
      <w:marTop w:val="0"/>
      <w:marBottom w:val="0"/>
      <w:divBdr>
        <w:top w:val="none" w:sz="0" w:space="0" w:color="auto"/>
        <w:left w:val="none" w:sz="0" w:space="0" w:color="auto"/>
        <w:bottom w:val="none" w:sz="0" w:space="0" w:color="auto"/>
        <w:right w:val="none" w:sz="0" w:space="0" w:color="auto"/>
      </w:divBdr>
    </w:div>
    <w:div w:id="799612732">
      <w:bodyDiv w:val="1"/>
      <w:marLeft w:val="0"/>
      <w:marRight w:val="0"/>
      <w:marTop w:val="0"/>
      <w:marBottom w:val="0"/>
      <w:divBdr>
        <w:top w:val="none" w:sz="0" w:space="0" w:color="auto"/>
        <w:left w:val="none" w:sz="0" w:space="0" w:color="auto"/>
        <w:bottom w:val="none" w:sz="0" w:space="0" w:color="auto"/>
        <w:right w:val="none" w:sz="0" w:space="0" w:color="auto"/>
      </w:divBdr>
      <w:divsChild>
        <w:div w:id="59443772">
          <w:marLeft w:val="0"/>
          <w:marRight w:val="0"/>
          <w:marTop w:val="0"/>
          <w:marBottom w:val="0"/>
          <w:divBdr>
            <w:top w:val="none" w:sz="0" w:space="0" w:color="auto"/>
            <w:left w:val="none" w:sz="0" w:space="0" w:color="auto"/>
            <w:bottom w:val="none" w:sz="0" w:space="0" w:color="auto"/>
            <w:right w:val="none" w:sz="0" w:space="0" w:color="auto"/>
          </w:divBdr>
          <w:divsChild>
            <w:div w:id="1076128338">
              <w:marLeft w:val="0"/>
              <w:marRight w:val="0"/>
              <w:marTop w:val="0"/>
              <w:marBottom w:val="0"/>
              <w:divBdr>
                <w:top w:val="none" w:sz="0" w:space="0" w:color="auto"/>
                <w:left w:val="none" w:sz="0" w:space="0" w:color="auto"/>
                <w:bottom w:val="none" w:sz="0" w:space="0" w:color="auto"/>
                <w:right w:val="none" w:sz="0" w:space="0" w:color="auto"/>
              </w:divBdr>
              <w:divsChild>
                <w:div w:id="2846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34829">
      <w:bodyDiv w:val="1"/>
      <w:marLeft w:val="0"/>
      <w:marRight w:val="0"/>
      <w:marTop w:val="0"/>
      <w:marBottom w:val="0"/>
      <w:divBdr>
        <w:top w:val="none" w:sz="0" w:space="0" w:color="auto"/>
        <w:left w:val="none" w:sz="0" w:space="0" w:color="auto"/>
        <w:bottom w:val="none" w:sz="0" w:space="0" w:color="auto"/>
        <w:right w:val="none" w:sz="0" w:space="0" w:color="auto"/>
      </w:divBdr>
    </w:div>
    <w:div w:id="857281604">
      <w:bodyDiv w:val="1"/>
      <w:marLeft w:val="0"/>
      <w:marRight w:val="0"/>
      <w:marTop w:val="0"/>
      <w:marBottom w:val="0"/>
      <w:divBdr>
        <w:top w:val="none" w:sz="0" w:space="0" w:color="auto"/>
        <w:left w:val="none" w:sz="0" w:space="0" w:color="auto"/>
        <w:bottom w:val="none" w:sz="0" w:space="0" w:color="auto"/>
        <w:right w:val="none" w:sz="0" w:space="0" w:color="auto"/>
      </w:divBdr>
    </w:div>
    <w:div w:id="861090501">
      <w:bodyDiv w:val="1"/>
      <w:marLeft w:val="0"/>
      <w:marRight w:val="0"/>
      <w:marTop w:val="0"/>
      <w:marBottom w:val="0"/>
      <w:divBdr>
        <w:top w:val="none" w:sz="0" w:space="0" w:color="auto"/>
        <w:left w:val="none" w:sz="0" w:space="0" w:color="auto"/>
        <w:bottom w:val="none" w:sz="0" w:space="0" w:color="auto"/>
        <w:right w:val="none" w:sz="0" w:space="0" w:color="auto"/>
      </w:divBdr>
    </w:div>
    <w:div w:id="871848208">
      <w:bodyDiv w:val="1"/>
      <w:marLeft w:val="0"/>
      <w:marRight w:val="0"/>
      <w:marTop w:val="0"/>
      <w:marBottom w:val="0"/>
      <w:divBdr>
        <w:top w:val="none" w:sz="0" w:space="0" w:color="auto"/>
        <w:left w:val="none" w:sz="0" w:space="0" w:color="auto"/>
        <w:bottom w:val="none" w:sz="0" w:space="0" w:color="auto"/>
        <w:right w:val="none" w:sz="0" w:space="0" w:color="auto"/>
      </w:divBdr>
      <w:divsChild>
        <w:div w:id="1675035489">
          <w:marLeft w:val="0"/>
          <w:marRight w:val="0"/>
          <w:marTop w:val="0"/>
          <w:marBottom w:val="0"/>
          <w:divBdr>
            <w:top w:val="none" w:sz="0" w:space="0" w:color="auto"/>
            <w:left w:val="none" w:sz="0" w:space="0" w:color="auto"/>
            <w:bottom w:val="none" w:sz="0" w:space="0" w:color="auto"/>
            <w:right w:val="none" w:sz="0" w:space="0" w:color="auto"/>
          </w:divBdr>
          <w:divsChild>
            <w:div w:id="360085625">
              <w:marLeft w:val="0"/>
              <w:marRight w:val="0"/>
              <w:marTop w:val="0"/>
              <w:marBottom w:val="0"/>
              <w:divBdr>
                <w:top w:val="none" w:sz="0" w:space="0" w:color="auto"/>
                <w:left w:val="none" w:sz="0" w:space="0" w:color="auto"/>
                <w:bottom w:val="none" w:sz="0" w:space="0" w:color="auto"/>
                <w:right w:val="none" w:sz="0" w:space="0" w:color="auto"/>
              </w:divBdr>
              <w:divsChild>
                <w:div w:id="10355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808">
      <w:bodyDiv w:val="1"/>
      <w:marLeft w:val="0"/>
      <w:marRight w:val="0"/>
      <w:marTop w:val="0"/>
      <w:marBottom w:val="0"/>
      <w:divBdr>
        <w:top w:val="none" w:sz="0" w:space="0" w:color="auto"/>
        <w:left w:val="none" w:sz="0" w:space="0" w:color="auto"/>
        <w:bottom w:val="none" w:sz="0" w:space="0" w:color="auto"/>
        <w:right w:val="none" w:sz="0" w:space="0" w:color="auto"/>
      </w:divBdr>
    </w:div>
    <w:div w:id="908927874">
      <w:bodyDiv w:val="1"/>
      <w:marLeft w:val="0"/>
      <w:marRight w:val="0"/>
      <w:marTop w:val="0"/>
      <w:marBottom w:val="0"/>
      <w:divBdr>
        <w:top w:val="none" w:sz="0" w:space="0" w:color="auto"/>
        <w:left w:val="none" w:sz="0" w:space="0" w:color="auto"/>
        <w:bottom w:val="none" w:sz="0" w:space="0" w:color="auto"/>
        <w:right w:val="none" w:sz="0" w:space="0" w:color="auto"/>
      </w:divBdr>
    </w:div>
    <w:div w:id="910777347">
      <w:bodyDiv w:val="1"/>
      <w:marLeft w:val="0"/>
      <w:marRight w:val="0"/>
      <w:marTop w:val="0"/>
      <w:marBottom w:val="0"/>
      <w:divBdr>
        <w:top w:val="none" w:sz="0" w:space="0" w:color="auto"/>
        <w:left w:val="none" w:sz="0" w:space="0" w:color="auto"/>
        <w:bottom w:val="none" w:sz="0" w:space="0" w:color="auto"/>
        <w:right w:val="none" w:sz="0" w:space="0" w:color="auto"/>
      </w:divBdr>
    </w:div>
    <w:div w:id="935600107">
      <w:bodyDiv w:val="1"/>
      <w:marLeft w:val="0"/>
      <w:marRight w:val="0"/>
      <w:marTop w:val="0"/>
      <w:marBottom w:val="0"/>
      <w:divBdr>
        <w:top w:val="none" w:sz="0" w:space="0" w:color="auto"/>
        <w:left w:val="none" w:sz="0" w:space="0" w:color="auto"/>
        <w:bottom w:val="none" w:sz="0" w:space="0" w:color="auto"/>
        <w:right w:val="none" w:sz="0" w:space="0" w:color="auto"/>
      </w:divBdr>
    </w:div>
    <w:div w:id="950893321">
      <w:bodyDiv w:val="1"/>
      <w:marLeft w:val="0"/>
      <w:marRight w:val="0"/>
      <w:marTop w:val="0"/>
      <w:marBottom w:val="0"/>
      <w:divBdr>
        <w:top w:val="none" w:sz="0" w:space="0" w:color="auto"/>
        <w:left w:val="none" w:sz="0" w:space="0" w:color="auto"/>
        <w:bottom w:val="none" w:sz="0" w:space="0" w:color="auto"/>
        <w:right w:val="none" w:sz="0" w:space="0" w:color="auto"/>
      </w:divBdr>
      <w:divsChild>
        <w:div w:id="1110970380">
          <w:marLeft w:val="547"/>
          <w:marRight w:val="0"/>
          <w:marTop w:val="77"/>
          <w:marBottom w:val="0"/>
          <w:divBdr>
            <w:top w:val="none" w:sz="0" w:space="0" w:color="auto"/>
            <w:left w:val="none" w:sz="0" w:space="0" w:color="auto"/>
            <w:bottom w:val="none" w:sz="0" w:space="0" w:color="auto"/>
            <w:right w:val="none" w:sz="0" w:space="0" w:color="auto"/>
          </w:divBdr>
        </w:div>
        <w:div w:id="755905360">
          <w:marLeft w:val="547"/>
          <w:marRight w:val="0"/>
          <w:marTop w:val="77"/>
          <w:marBottom w:val="0"/>
          <w:divBdr>
            <w:top w:val="none" w:sz="0" w:space="0" w:color="auto"/>
            <w:left w:val="none" w:sz="0" w:space="0" w:color="auto"/>
            <w:bottom w:val="none" w:sz="0" w:space="0" w:color="auto"/>
            <w:right w:val="none" w:sz="0" w:space="0" w:color="auto"/>
          </w:divBdr>
        </w:div>
        <w:div w:id="1667631041">
          <w:marLeft w:val="547"/>
          <w:marRight w:val="0"/>
          <w:marTop w:val="77"/>
          <w:marBottom w:val="0"/>
          <w:divBdr>
            <w:top w:val="none" w:sz="0" w:space="0" w:color="auto"/>
            <w:left w:val="none" w:sz="0" w:space="0" w:color="auto"/>
            <w:bottom w:val="none" w:sz="0" w:space="0" w:color="auto"/>
            <w:right w:val="none" w:sz="0" w:space="0" w:color="auto"/>
          </w:divBdr>
        </w:div>
        <w:div w:id="1526552764">
          <w:marLeft w:val="547"/>
          <w:marRight w:val="0"/>
          <w:marTop w:val="77"/>
          <w:marBottom w:val="0"/>
          <w:divBdr>
            <w:top w:val="none" w:sz="0" w:space="0" w:color="auto"/>
            <w:left w:val="none" w:sz="0" w:space="0" w:color="auto"/>
            <w:bottom w:val="none" w:sz="0" w:space="0" w:color="auto"/>
            <w:right w:val="none" w:sz="0" w:space="0" w:color="auto"/>
          </w:divBdr>
        </w:div>
      </w:divsChild>
    </w:div>
    <w:div w:id="980967388">
      <w:bodyDiv w:val="1"/>
      <w:marLeft w:val="0"/>
      <w:marRight w:val="0"/>
      <w:marTop w:val="0"/>
      <w:marBottom w:val="0"/>
      <w:divBdr>
        <w:top w:val="none" w:sz="0" w:space="0" w:color="auto"/>
        <w:left w:val="none" w:sz="0" w:space="0" w:color="auto"/>
        <w:bottom w:val="none" w:sz="0" w:space="0" w:color="auto"/>
        <w:right w:val="none" w:sz="0" w:space="0" w:color="auto"/>
      </w:divBdr>
    </w:div>
    <w:div w:id="1016153054">
      <w:bodyDiv w:val="1"/>
      <w:marLeft w:val="0"/>
      <w:marRight w:val="0"/>
      <w:marTop w:val="0"/>
      <w:marBottom w:val="0"/>
      <w:divBdr>
        <w:top w:val="none" w:sz="0" w:space="0" w:color="auto"/>
        <w:left w:val="none" w:sz="0" w:space="0" w:color="auto"/>
        <w:bottom w:val="none" w:sz="0" w:space="0" w:color="auto"/>
        <w:right w:val="none" w:sz="0" w:space="0" w:color="auto"/>
      </w:divBdr>
    </w:div>
    <w:div w:id="1017537839">
      <w:bodyDiv w:val="1"/>
      <w:marLeft w:val="0"/>
      <w:marRight w:val="0"/>
      <w:marTop w:val="0"/>
      <w:marBottom w:val="0"/>
      <w:divBdr>
        <w:top w:val="none" w:sz="0" w:space="0" w:color="auto"/>
        <w:left w:val="none" w:sz="0" w:space="0" w:color="auto"/>
        <w:bottom w:val="none" w:sz="0" w:space="0" w:color="auto"/>
        <w:right w:val="none" w:sz="0" w:space="0" w:color="auto"/>
      </w:divBdr>
    </w:div>
    <w:div w:id="1041978480">
      <w:bodyDiv w:val="1"/>
      <w:marLeft w:val="0"/>
      <w:marRight w:val="0"/>
      <w:marTop w:val="0"/>
      <w:marBottom w:val="0"/>
      <w:divBdr>
        <w:top w:val="none" w:sz="0" w:space="0" w:color="auto"/>
        <w:left w:val="none" w:sz="0" w:space="0" w:color="auto"/>
        <w:bottom w:val="none" w:sz="0" w:space="0" w:color="auto"/>
        <w:right w:val="none" w:sz="0" w:space="0" w:color="auto"/>
      </w:divBdr>
      <w:divsChild>
        <w:div w:id="630479606">
          <w:marLeft w:val="0"/>
          <w:marRight w:val="0"/>
          <w:marTop w:val="0"/>
          <w:marBottom w:val="0"/>
          <w:divBdr>
            <w:top w:val="none" w:sz="0" w:space="0" w:color="auto"/>
            <w:left w:val="none" w:sz="0" w:space="0" w:color="auto"/>
            <w:bottom w:val="none" w:sz="0" w:space="0" w:color="auto"/>
            <w:right w:val="none" w:sz="0" w:space="0" w:color="auto"/>
          </w:divBdr>
          <w:divsChild>
            <w:div w:id="82848305">
              <w:marLeft w:val="0"/>
              <w:marRight w:val="0"/>
              <w:marTop w:val="0"/>
              <w:marBottom w:val="0"/>
              <w:divBdr>
                <w:top w:val="none" w:sz="0" w:space="0" w:color="auto"/>
                <w:left w:val="none" w:sz="0" w:space="0" w:color="auto"/>
                <w:bottom w:val="none" w:sz="0" w:space="0" w:color="auto"/>
                <w:right w:val="none" w:sz="0" w:space="0" w:color="auto"/>
              </w:divBdr>
              <w:divsChild>
                <w:div w:id="394478016">
                  <w:marLeft w:val="0"/>
                  <w:marRight w:val="0"/>
                  <w:marTop w:val="0"/>
                  <w:marBottom w:val="0"/>
                  <w:divBdr>
                    <w:top w:val="none" w:sz="0" w:space="0" w:color="auto"/>
                    <w:left w:val="none" w:sz="0" w:space="0" w:color="auto"/>
                    <w:bottom w:val="none" w:sz="0" w:space="0" w:color="auto"/>
                    <w:right w:val="none" w:sz="0" w:space="0" w:color="auto"/>
                  </w:divBdr>
                  <w:divsChild>
                    <w:div w:id="6887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2740">
      <w:bodyDiv w:val="1"/>
      <w:marLeft w:val="0"/>
      <w:marRight w:val="0"/>
      <w:marTop w:val="0"/>
      <w:marBottom w:val="0"/>
      <w:divBdr>
        <w:top w:val="none" w:sz="0" w:space="0" w:color="auto"/>
        <w:left w:val="none" w:sz="0" w:space="0" w:color="auto"/>
        <w:bottom w:val="none" w:sz="0" w:space="0" w:color="auto"/>
        <w:right w:val="none" w:sz="0" w:space="0" w:color="auto"/>
      </w:divBdr>
      <w:divsChild>
        <w:div w:id="2083411075">
          <w:marLeft w:val="0"/>
          <w:marRight w:val="0"/>
          <w:marTop w:val="0"/>
          <w:marBottom w:val="0"/>
          <w:divBdr>
            <w:top w:val="none" w:sz="0" w:space="0" w:color="auto"/>
            <w:left w:val="none" w:sz="0" w:space="0" w:color="auto"/>
            <w:bottom w:val="none" w:sz="0" w:space="0" w:color="auto"/>
            <w:right w:val="none" w:sz="0" w:space="0" w:color="auto"/>
          </w:divBdr>
          <w:divsChild>
            <w:div w:id="1616250246">
              <w:marLeft w:val="0"/>
              <w:marRight w:val="0"/>
              <w:marTop w:val="0"/>
              <w:marBottom w:val="0"/>
              <w:divBdr>
                <w:top w:val="none" w:sz="0" w:space="0" w:color="auto"/>
                <w:left w:val="none" w:sz="0" w:space="0" w:color="auto"/>
                <w:bottom w:val="none" w:sz="0" w:space="0" w:color="auto"/>
                <w:right w:val="none" w:sz="0" w:space="0" w:color="auto"/>
              </w:divBdr>
              <w:divsChild>
                <w:div w:id="492335465">
                  <w:marLeft w:val="0"/>
                  <w:marRight w:val="0"/>
                  <w:marTop w:val="0"/>
                  <w:marBottom w:val="0"/>
                  <w:divBdr>
                    <w:top w:val="none" w:sz="0" w:space="0" w:color="auto"/>
                    <w:left w:val="none" w:sz="0" w:space="0" w:color="auto"/>
                    <w:bottom w:val="none" w:sz="0" w:space="0" w:color="auto"/>
                    <w:right w:val="none" w:sz="0" w:space="0" w:color="auto"/>
                  </w:divBdr>
                  <w:divsChild>
                    <w:div w:id="4647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043309">
      <w:bodyDiv w:val="1"/>
      <w:marLeft w:val="0"/>
      <w:marRight w:val="0"/>
      <w:marTop w:val="0"/>
      <w:marBottom w:val="0"/>
      <w:divBdr>
        <w:top w:val="none" w:sz="0" w:space="0" w:color="auto"/>
        <w:left w:val="none" w:sz="0" w:space="0" w:color="auto"/>
        <w:bottom w:val="none" w:sz="0" w:space="0" w:color="auto"/>
        <w:right w:val="none" w:sz="0" w:space="0" w:color="auto"/>
      </w:divBdr>
    </w:div>
    <w:div w:id="1149709586">
      <w:bodyDiv w:val="1"/>
      <w:marLeft w:val="0"/>
      <w:marRight w:val="0"/>
      <w:marTop w:val="0"/>
      <w:marBottom w:val="0"/>
      <w:divBdr>
        <w:top w:val="none" w:sz="0" w:space="0" w:color="auto"/>
        <w:left w:val="none" w:sz="0" w:space="0" w:color="auto"/>
        <w:bottom w:val="none" w:sz="0" w:space="0" w:color="auto"/>
        <w:right w:val="none" w:sz="0" w:space="0" w:color="auto"/>
      </w:divBdr>
      <w:divsChild>
        <w:div w:id="1059863194">
          <w:marLeft w:val="0"/>
          <w:marRight w:val="0"/>
          <w:marTop w:val="0"/>
          <w:marBottom w:val="0"/>
          <w:divBdr>
            <w:top w:val="none" w:sz="0" w:space="0" w:color="auto"/>
            <w:left w:val="none" w:sz="0" w:space="0" w:color="auto"/>
            <w:bottom w:val="none" w:sz="0" w:space="0" w:color="auto"/>
            <w:right w:val="none" w:sz="0" w:space="0" w:color="auto"/>
          </w:divBdr>
          <w:divsChild>
            <w:div w:id="1700423522">
              <w:marLeft w:val="0"/>
              <w:marRight w:val="0"/>
              <w:marTop w:val="0"/>
              <w:marBottom w:val="0"/>
              <w:divBdr>
                <w:top w:val="none" w:sz="0" w:space="0" w:color="auto"/>
                <w:left w:val="none" w:sz="0" w:space="0" w:color="auto"/>
                <w:bottom w:val="none" w:sz="0" w:space="0" w:color="auto"/>
                <w:right w:val="none" w:sz="0" w:space="0" w:color="auto"/>
              </w:divBdr>
              <w:divsChild>
                <w:div w:id="13353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0860">
      <w:bodyDiv w:val="1"/>
      <w:marLeft w:val="0"/>
      <w:marRight w:val="0"/>
      <w:marTop w:val="0"/>
      <w:marBottom w:val="0"/>
      <w:divBdr>
        <w:top w:val="none" w:sz="0" w:space="0" w:color="auto"/>
        <w:left w:val="none" w:sz="0" w:space="0" w:color="auto"/>
        <w:bottom w:val="none" w:sz="0" w:space="0" w:color="auto"/>
        <w:right w:val="none" w:sz="0" w:space="0" w:color="auto"/>
      </w:divBdr>
    </w:div>
    <w:div w:id="1172715922">
      <w:bodyDiv w:val="1"/>
      <w:marLeft w:val="0"/>
      <w:marRight w:val="0"/>
      <w:marTop w:val="0"/>
      <w:marBottom w:val="0"/>
      <w:divBdr>
        <w:top w:val="none" w:sz="0" w:space="0" w:color="auto"/>
        <w:left w:val="none" w:sz="0" w:space="0" w:color="auto"/>
        <w:bottom w:val="none" w:sz="0" w:space="0" w:color="auto"/>
        <w:right w:val="none" w:sz="0" w:space="0" w:color="auto"/>
      </w:divBdr>
    </w:div>
    <w:div w:id="1188104710">
      <w:bodyDiv w:val="1"/>
      <w:marLeft w:val="0"/>
      <w:marRight w:val="0"/>
      <w:marTop w:val="0"/>
      <w:marBottom w:val="0"/>
      <w:divBdr>
        <w:top w:val="none" w:sz="0" w:space="0" w:color="auto"/>
        <w:left w:val="none" w:sz="0" w:space="0" w:color="auto"/>
        <w:bottom w:val="none" w:sz="0" w:space="0" w:color="auto"/>
        <w:right w:val="none" w:sz="0" w:space="0" w:color="auto"/>
      </w:divBdr>
      <w:divsChild>
        <w:div w:id="1867864736">
          <w:marLeft w:val="0"/>
          <w:marRight w:val="0"/>
          <w:marTop w:val="0"/>
          <w:marBottom w:val="0"/>
          <w:divBdr>
            <w:top w:val="none" w:sz="0" w:space="0" w:color="auto"/>
            <w:left w:val="none" w:sz="0" w:space="0" w:color="auto"/>
            <w:bottom w:val="none" w:sz="0" w:space="0" w:color="auto"/>
            <w:right w:val="none" w:sz="0" w:space="0" w:color="auto"/>
          </w:divBdr>
          <w:divsChild>
            <w:div w:id="14841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4799">
      <w:bodyDiv w:val="1"/>
      <w:marLeft w:val="0"/>
      <w:marRight w:val="0"/>
      <w:marTop w:val="0"/>
      <w:marBottom w:val="0"/>
      <w:divBdr>
        <w:top w:val="none" w:sz="0" w:space="0" w:color="auto"/>
        <w:left w:val="none" w:sz="0" w:space="0" w:color="auto"/>
        <w:bottom w:val="none" w:sz="0" w:space="0" w:color="auto"/>
        <w:right w:val="none" w:sz="0" w:space="0" w:color="auto"/>
      </w:divBdr>
    </w:div>
    <w:div w:id="1268394114">
      <w:bodyDiv w:val="1"/>
      <w:marLeft w:val="0"/>
      <w:marRight w:val="0"/>
      <w:marTop w:val="0"/>
      <w:marBottom w:val="0"/>
      <w:divBdr>
        <w:top w:val="none" w:sz="0" w:space="0" w:color="auto"/>
        <w:left w:val="none" w:sz="0" w:space="0" w:color="auto"/>
        <w:bottom w:val="none" w:sz="0" w:space="0" w:color="auto"/>
        <w:right w:val="none" w:sz="0" w:space="0" w:color="auto"/>
      </w:divBdr>
    </w:div>
    <w:div w:id="1285581444">
      <w:bodyDiv w:val="1"/>
      <w:marLeft w:val="0"/>
      <w:marRight w:val="0"/>
      <w:marTop w:val="0"/>
      <w:marBottom w:val="0"/>
      <w:divBdr>
        <w:top w:val="none" w:sz="0" w:space="0" w:color="auto"/>
        <w:left w:val="none" w:sz="0" w:space="0" w:color="auto"/>
        <w:bottom w:val="none" w:sz="0" w:space="0" w:color="auto"/>
        <w:right w:val="none" w:sz="0" w:space="0" w:color="auto"/>
      </w:divBdr>
    </w:div>
    <w:div w:id="1299068659">
      <w:bodyDiv w:val="1"/>
      <w:marLeft w:val="0"/>
      <w:marRight w:val="0"/>
      <w:marTop w:val="0"/>
      <w:marBottom w:val="0"/>
      <w:divBdr>
        <w:top w:val="none" w:sz="0" w:space="0" w:color="auto"/>
        <w:left w:val="none" w:sz="0" w:space="0" w:color="auto"/>
        <w:bottom w:val="none" w:sz="0" w:space="0" w:color="auto"/>
        <w:right w:val="none" w:sz="0" w:space="0" w:color="auto"/>
      </w:divBdr>
    </w:div>
    <w:div w:id="1321427535">
      <w:bodyDiv w:val="1"/>
      <w:marLeft w:val="0"/>
      <w:marRight w:val="0"/>
      <w:marTop w:val="0"/>
      <w:marBottom w:val="0"/>
      <w:divBdr>
        <w:top w:val="none" w:sz="0" w:space="0" w:color="auto"/>
        <w:left w:val="none" w:sz="0" w:space="0" w:color="auto"/>
        <w:bottom w:val="none" w:sz="0" w:space="0" w:color="auto"/>
        <w:right w:val="none" w:sz="0" w:space="0" w:color="auto"/>
      </w:divBdr>
    </w:div>
    <w:div w:id="1331642899">
      <w:bodyDiv w:val="1"/>
      <w:marLeft w:val="0"/>
      <w:marRight w:val="0"/>
      <w:marTop w:val="0"/>
      <w:marBottom w:val="0"/>
      <w:divBdr>
        <w:top w:val="none" w:sz="0" w:space="0" w:color="auto"/>
        <w:left w:val="none" w:sz="0" w:space="0" w:color="auto"/>
        <w:bottom w:val="none" w:sz="0" w:space="0" w:color="auto"/>
        <w:right w:val="none" w:sz="0" w:space="0" w:color="auto"/>
      </w:divBdr>
      <w:divsChild>
        <w:div w:id="356660468">
          <w:marLeft w:val="0"/>
          <w:marRight w:val="0"/>
          <w:marTop w:val="0"/>
          <w:marBottom w:val="0"/>
          <w:divBdr>
            <w:top w:val="none" w:sz="0" w:space="0" w:color="auto"/>
            <w:left w:val="none" w:sz="0" w:space="0" w:color="auto"/>
            <w:bottom w:val="none" w:sz="0" w:space="0" w:color="auto"/>
            <w:right w:val="none" w:sz="0" w:space="0" w:color="auto"/>
          </w:divBdr>
        </w:div>
        <w:div w:id="170072995">
          <w:marLeft w:val="0"/>
          <w:marRight w:val="0"/>
          <w:marTop w:val="0"/>
          <w:marBottom w:val="0"/>
          <w:divBdr>
            <w:top w:val="none" w:sz="0" w:space="0" w:color="auto"/>
            <w:left w:val="none" w:sz="0" w:space="0" w:color="auto"/>
            <w:bottom w:val="none" w:sz="0" w:space="0" w:color="auto"/>
            <w:right w:val="none" w:sz="0" w:space="0" w:color="auto"/>
          </w:divBdr>
        </w:div>
      </w:divsChild>
    </w:div>
    <w:div w:id="1336880482">
      <w:bodyDiv w:val="1"/>
      <w:marLeft w:val="0"/>
      <w:marRight w:val="0"/>
      <w:marTop w:val="0"/>
      <w:marBottom w:val="0"/>
      <w:divBdr>
        <w:top w:val="none" w:sz="0" w:space="0" w:color="auto"/>
        <w:left w:val="none" w:sz="0" w:space="0" w:color="auto"/>
        <w:bottom w:val="none" w:sz="0" w:space="0" w:color="auto"/>
        <w:right w:val="none" w:sz="0" w:space="0" w:color="auto"/>
      </w:divBdr>
    </w:div>
    <w:div w:id="1369989377">
      <w:bodyDiv w:val="1"/>
      <w:marLeft w:val="0"/>
      <w:marRight w:val="0"/>
      <w:marTop w:val="0"/>
      <w:marBottom w:val="0"/>
      <w:divBdr>
        <w:top w:val="none" w:sz="0" w:space="0" w:color="auto"/>
        <w:left w:val="none" w:sz="0" w:space="0" w:color="auto"/>
        <w:bottom w:val="none" w:sz="0" w:space="0" w:color="auto"/>
        <w:right w:val="none" w:sz="0" w:space="0" w:color="auto"/>
      </w:divBdr>
    </w:div>
    <w:div w:id="1389232520">
      <w:bodyDiv w:val="1"/>
      <w:marLeft w:val="0"/>
      <w:marRight w:val="0"/>
      <w:marTop w:val="0"/>
      <w:marBottom w:val="0"/>
      <w:divBdr>
        <w:top w:val="none" w:sz="0" w:space="0" w:color="auto"/>
        <w:left w:val="none" w:sz="0" w:space="0" w:color="auto"/>
        <w:bottom w:val="none" w:sz="0" w:space="0" w:color="auto"/>
        <w:right w:val="none" w:sz="0" w:space="0" w:color="auto"/>
      </w:divBdr>
    </w:div>
    <w:div w:id="1392729717">
      <w:bodyDiv w:val="1"/>
      <w:marLeft w:val="0"/>
      <w:marRight w:val="0"/>
      <w:marTop w:val="0"/>
      <w:marBottom w:val="0"/>
      <w:divBdr>
        <w:top w:val="none" w:sz="0" w:space="0" w:color="auto"/>
        <w:left w:val="none" w:sz="0" w:space="0" w:color="auto"/>
        <w:bottom w:val="none" w:sz="0" w:space="0" w:color="auto"/>
        <w:right w:val="none" w:sz="0" w:space="0" w:color="auto"/>
      </w:divBdr>
    </w:div>
    <w:div w:id="1402292144">
      <w:bodyDiv w:val="1"/>
      <w:marLeft w:val="0"/>
      <w:marRight w:val="0"/>
      <w:marTop w:val="0"/>
      <w:marBottom w:val="0"/>
      <w:divBdr>
        <w:top w:val="none" w:sz="0" w:space="0" w:color="auto"/>
        <w:left w:val="none" w:sz="0" w:space="0" w:color="auto"/>
        <w:bottom w:val="none" w:sz="0" w:space="0" w:color="auto"/>
        <w:right w:val="none" w:sz="0" w:space="0" w:color="auto"/>
      </w:divBdr>
    </w:div>
    <w:div w:id="1407143885">
      <w:bodyDiv w:val="1"/>
      <w:marLeft w:val="0"/>
      <w:marRight w:val="0"/>
      <w:marTop w:val="0"/>
      <w:marBottom w:val="0"/>
      <w:divBdr>
        <w:top w:val="none" w:sz="0" w:space="0" w:color="auto"/>
        <w:left w:val="none" w:sz="0" w:space="0" w:color="auto"/>
        <w:bottom w:val="none" w:sz="0" w:space="0" w:color="auto"/>
        <w:right w:val="none" w:sz="0" w:space="0" w:color="auto"/>
      </w:divBdr>
      <w:divsChild>
        <w:div w:id="1536766992">
          <w:marLeft w:val="0"/>
          <w:marRight w:val="0"/>
          <w:marTop w:val="0"/>
          <w:marBottom w:val="0"/>
          <w:divBdr>
            <w:top w:val="none" w:sz="0" w:space="0" w:color="auto"/>
            <w:left w:val="none" w:sz="0" w:space="0" w:color="auto"/>
            <w:bottom w:val="none" w:sz="0" w:space="0" w:color="auto"/>
            <w:right w:val="none" w:sz="0" w:space="0" w:color="auto"/>
          </w:divBdr>
          <w:divsChild>
            <w:div w:id="1070228387">
              <w:marLeft w:val="0"/>
              <w:marRight w:val="0"/>
              <w:marTop w:val="0"/>
              <w:marBottom w:val="0"/>
              <w:divBdr>
                <w:top w:val="none" w:sz="0" w:space="0" w:color="auto"/>
                <w:left w:val="none" w:sz="0" w:space="0" w:color="auto"/>
                <w:bottom w:val="none" w:sz="0" w:space="0" w:color="auto"/>
                <w:right w:val="none" w:sz="0" w:space="0" w:color="auto"/>
              </w:divBdr>
              <w:divsChild>
                <w:div w:id="138570374">
                  <w:marLeft w:val="0"/>
                  <w:marRight w:val="0"/>
                  <w:marTop w:val="0"/>
                  <w:marBottom w:val="0"/>
                  <w:divBdr>
                    <w:top w:val="none" w:sz="0" w:space="0" w:color="auto"/>
                    <w:left w:val="none" w:sz="0" w:space="0" w:color="auto"/>
                    <w:bottom w:val="none" w:sz="0" w:space="0" w:color="auto"/>
                    <w:right w:val="none" w:sz="0" w:space="0" w:color="auto"/>
                  </w:divBdr>
                </w:div>
              </w:divsChild>
            </w:div>
            <w:div w:id="1952080348">
              <w:marLeft w:val="0"/>
              <w:marRight w:val="0"/>
              <w:marTop w:val="0"/>
              <w:marBottom w:val="0"/>
              <w:divBdr>
                <w:top w:val="none" w:sz="0" w:space="0" w:color="auto"/>
                <w:left w:val="none" w:sz="0" w:space="0" w:color="auto"/>
                <w:bottom w:val="none" w:sz="0" w:space="0" w:color="auto"/>
                <w:right w:val="none" w:sz="0" w:space="0" w:color="auto"/>
              </w:divBdr>
              <w:divsChild>
                <w:div w:id="242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3264">
          <w:marLeft w:val="0"/>
          <w:marRight w:val="0"/>
          <w:marTop w:val="0"/>
          <w:marBottom w:val="0"/>
          <w:divBdr>
            <w:top w:val="none" w:sz="0" w:space="0" w:color="auto"/>
            <w:left w:val="none" w:sz="0" w:space="0" w:color="auto"/>
            <w:bottom w:val="none" w:sz="0" w:space="0" w:color="auto"/>
            <w:right w:val="none" w:sz="0" w:space="0" w:color="auto"/>
          </w:divBdr>
          <w:divsChild>
            <w:div w:id="975641353">
              <w:marLeft w:val="0"/>
              <w:marRight w:val="0"/>
              <w:marTop w:val="0"/>
              <w:marBottom w:val="0"/>
              <w:divBdr>
                <w:top w:val="none" w:sz="0" w:space="0" w:color="auto"/>
                <w:left w:val="none" w:sz="0" w:space="0" w:color="auto"/>
                <w:bottom w:val="none" w:sz="0" w:space="0" w:color="auto"/>
                <w:right w:val="none" w:sz="0" w:space="0" w:color="auto"/>
              </w:divBdr>
              <w:divsChild>
                <w:div w:id="18670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3704">
      <w:bodyDiv w:val="1"/>
      <w:marLeft w:val="0"/>
      <w:marRight w:val="0"/>
      <w:marTop w:val="0"/>
      <w:marBottom w:val="0"/>
      <w:divBdr>
        <w:top w:val="none" w:sz="0" w:space="0" w:color="auto"/>
        <w:left w:val="none" w:sz="0" w:space="0" w:color="auto"/>
        <w:bottom w:val="none" w:sz="0" w:space="0" w:color="auto"/>
        <w:right w:val="none" w:sz="0" w:space="0" w:color="auto"/>
      </w:divBdr>
      <w:divsChild>
        <w:div w:id="1942102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388442">
      <w:bodyDiv w:val="1"/>
      <w:marLeft w:val="0"/>
      <w:marRight w:val="0"/>
      <w:marTop w:val="0"/>
      <w:marBottom w:val="0"/>
      <w:divBdr>
        <w:top w:val="none" w:sz="0" w:space="0" w:color="auto"/>
        <w:left w:val="none" w:sz="0" w:space="0" w:color="auto"/>
        <w:bottom w:val="none" w:sz="0" w:space="0" w:color="auto"/>
        <w:right w:val="none" w:sz="0" w:space="0" w:color="auto"/>
      </w:divBdr>
    </w:div>
    <w:div w:id="1491749155">
      <w:bodyDiv w:val="1"/>
      <w:marLeft w:val="0"/>
      <w:marRight w:val="0"/>
      <w:marTop w:val="0"/>
      <w:marBottom w:val="0"/>
      <w:divBdr>
        <w:top w:val="none" w:sz="0" w:space="0" w:color="auto"/>
        <w:left w:val="none" w:sz="0" w:space="0" w:color="auto"/>
        <w:bottom w:val="none" w:sz="0" w:space="0" w:color="auto"/>
        <w:right w:val="none" w:sz="0" w:space="0" w:color="auto"/>
      </w:divBdr>
    </w:div>
    <w:div w:id="1513571711">
      <w:bodyDiv w:val="1"/>
      <w:marLeft w:val="0"/>
      <w:marRight w:val="0"/>
      <w:marTop w:val="0"/>
      <w:marBottom w:val="0"/>
      <w:divBdr>
        <w:top w:val="none" w:sz="0" w:space="0" w:color="auto"/>
        <w:left w:val="none" w:sz="0" w:space="0" w:color="auto"/>
        <w:bottom w:val="none" w:sz="0" w:space="0" w:color="auto"/>
        <w:right w:val="none" w:sz="0" w:space="0" w:color="auto"/>
      </w:divBdr>
    </w:div>
    <w:div w:id="1516649882">
      <w:bodyDiv w:val="1"/>
      <w:marLeft w:val="0"/>
      <w:marRight w:val="0"/>
      <w:marTop w:val="0"/>
      <w:marBottom w:val="0"/>
      <w:divBdr>
        <w:top w:val="none" w:sz="0" w:space="0" w:color="auto"/>
        <w:left w:val="none" w:sz="0" w:space="0" w:color="auto"/>
        <w:bottom w:val="none" w:sz="0" w:space="0" w:color="auto"/>
        <w:right w:val="none" w:sz="0" w:space="0" w:color="auto"/>
      </w:divBdr>
    </w:div>
    <w:div w:id="1522695277">
      <w:bodyDiv w:val="1"/>
      <w:marLeft w:val="0"/>
      <w:marRight w:val="0"/>
      <w:marTop w:val="0"/>
      <w:marBottom w:val="0"/>
      <w:divBdr>
        <w:top w:val="none" w:sz="0" w:space="0" w:color="auto"/>
        <w:left w:val="none" w:sz="0" w:space="0" w:color="auto"/>
        <w:bottom w:val="none" w:sz="0" w:space="0" w:color="auto"/>
        <w:right w:val="none" w:sz="0" w:space="0" w:color="auto"/>
      </w:divBdr>
    </w:div>
    <w:div w:id="1540699024">
      <w:bodyDiv w:val="1"/>
      <w:marLeft w:val="0"/>
      <w:marRight w:val="0"/>
      <w:marTop w:val="0"/>
      <w:marBottom w:val="0"/>
      <w:divBdr>
        <w:top w:val="none" w:sz="0" w:space="0" w:color="auto"/>
        <w:left w:val="none" w:sz="0" w:space="0" w:color="auto"/>
        <w:bottom w:val="none" w:sz="0" w:space="0" w:color="auto"/>
        <w:right w:val="none" w:sz="0" w:space="0" w:color="auto"/>
      </w:divBdr>
    </w:div>
    <w:div w:id="1562982616">
      <w:bodyDiv w:val="1"/>
      <w:marLeft w:val="0"/>
      <w:marRight w:val="0"/>
      <w:marTop w:val="0"/>
      <w:marBottom w:val="0"/>
      <w:divBdr>
        <w:top w:val="none" w:sz="0" w:space="0" w:color="auto"/>
        <w:left w:val="none" w:sz="0" w:space="0" w:color="auto"/>
        <w:bottom w:val="none" w:sz="0" w:space="0" w:color="auto"/>
        <w:right w:val="none" w:sz="0" w:space="0" w:color="auto"/>
      </w:divBdr>
    </w:div>
    <w:div w:id="1645043734">
      <w:bodyDiv w:val="1"/>
      <w:marLeft w:val="0"/>
      <w:marRight w:val="0"/>
      <w:marTop w:val="0"/>
      <w:marBottom w:val="0"/>
      <w:divBdr>
        <w:top w:val="none" w:sz="0" w:space="0" w:color="auto"/>
        <w:left w:val="none" w:sz="0" w:space="0" w:color="auto"/>
        <w:bottom w:val="none" w:sz="0" w:space="0" w:color="auto"/>
        <w:right w:val="none" w:sz="0" w:space="0" w:color="auto"/>
      </w:divBdr>
      <w:divsChild>
        <w:div w:id="170702453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683966858">
      <w:bodyDiv w:val="1"/>
      <w:marLeft w:val="0"/>
      <w:marRight w:val="0"/>
      <w:marTop w:val="0"/>
      <w:marBottom w:val="0"/>
      <w:divBdr>
        <w:top w:val="none" w:sz="0" w:space="0" w:color="auto"/>
        <w:left w:val="none" w:sz="0" w:space="0" w:color="auto"/>
        <w:bottom w:val="none" w:sz="0" w:space="0" w:color="auto"/>
        <w:right w:val="none" w:sz="0" w:space="0" w:color="auto"/>
      </w:divBdr>
    </w:div>
    <w:div w:id="1756396102">
      <w:bodyDiv w:val="1"/>
      <w:marLeft w:val="0"/>
      <w:marRight w:val="0"/>
      <w:marTop w:val="0"/>
      <w:marBottom w:val="0"/>
      <w:divBdr>
        <w:top w:val="none" w:sz="0" w:space="0" w:color="auto"/>
        <w:left w:val="none" w:sz="0" w:space="0" w:color="auto"/>
        <w:bottom w:val="none" w:sz="0" w:space="0" w:color="auto"/>
        <w:right w:val="none" w:sz="0" w:space="0" w:color="auto"/>
      </w:divBdr>
    </w:div>
    <w:div w:id="1761608112">
      <w:bodyDiv w:val="1"/>
      <w:marLeft w:val="0"/>
      <w:marRight w:val="0"/>
      <w:marTop w:val="0"/>
      <w:marBottom w:val="0"/>
      <w:divBdr>
        <w:top w:val="none" w:sz="0" w:space="0" w:color="auto"/>
        <w:left w:val="none" w:sz="0" w:space="0" w:color="auto"/>
        <w:bottom w:val="none" w:sz="0" w:space="0" w:color="auto"/>
        <w:right w:val="none" w:sz="0" w:space="0" w:color="auto"/>
      </w:divBdr>
    </w:div>
    <w:div w:id="1825586264">
      <w:bodyDiv w:val="1"/>
      <w:marLeft w:val="0"/>
      <w:marRight w:val="0"/>
      <w:marTop w:val="0"/>
      <w:marBottom w:val="0"/>
      <w:divBdr>
        <w:top w:val="none" w:sz="0" w:space="0" w:color="auto"/>
        <w:left w:val="none" w:sz="0" w:space="0" w:color="auto"/>
        <w:bottom w:val="none" w:sz="0" w:space="0" w:color="auto"/>
        <w:right w:val="none" w:sz="0" w:space="0" w:color="auto"/>
      </w:divBdr>
      <w:divsChild>
        <w:div w:id="205870038">
          <w:marLeft w:val="0"/>
          <w:marRight w:val="0"/>
          <w:marTop w:val="0"/>
          <w:marBottom w:val="0"/>
          <w:divBdr>
            <w:top w:val="none" w:sz="0" w:space="0" w:color="auto"/>
            <w:left w:val="none" w:sz="0" w:space="0" w:color="auto"/>
            <w:bottom w:val="none" w:sz="0" w:space="0" w:color="auto"/>
            <w:right w:val="none" w:sz="0" w:space="0" w:color="auto"/>
          </w:divBdr>
          <w:divsChild>
            <w:div w:id="2128230384">
              <w:marLeft w:val="0"/>
              <w:marRight w:val="0"/>
              <w:marTop w:val="0"/>
              <w:marBottom w:val="0"/>
              <w:divBdr>
                <w:top w:val="none" w:sz="0" w:space="0" w:color="auto"/>
                <w:left w:val="none" w:sz="0" w:space="0" w:color="auto"/>
                <w:bottom w:val="none" w:sz="0" w:space="0" w:color="auto"/>
                <w:right w:val="none" w:sz="0" w:space="0" w:color="auto"/>
              </w:divBdr>
              <w:divsChild>
                <w:div w:id="1725524012">
                  <w:marLeft w:val="0"/>
                  <w:marRight w:val="0"/>
                  <w:marTop w:val="0"/>
                  <w:marBottom w:val="0"/>
                  <w:divBdr>
                    <w:top w:val="none" w:sz="0" w:space="0" w:color="auto"/>
                    <w:left w:val="none" w:sz="0" w:space="0" w:color="auto"/>
                    <w:bottom w:val="none" w:sz="0" w:space="0" w:color="auto"/>
                    <w:right w:val="none" w:sz="0" w:space="0" w:color="auto"/>
                  </w:divBdr>
                  <w:divsChild>
                    <w:div w:id="15008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5093">
      <w:bodyDiv w:val="1"/>
      <w:marLeft w:val="0"/>
      <w:marRight w:val="0"/>
      <w:marTop w:val="0"/>
      <w:marBottom w:val="0"/>
      <w:divBdr>
        <w:top w:val="none" w:sz="0" w:space="0" w:color="auto"/>
        <w:left w:val="none" w:sz="0" w:space="0" w:color="auto"/>
        <w:bottom w:val="none" w:sz="0" w:space="0" w:color="auto"/>
        <w:right w:val="none" w:sz="0" w:space="0" w:color="auto"/>
      </w:divBdr>
    </w:div>
    <w:div w:id="1865751989">
      <w:bodyDiv w:val="1"/>
      <w:marLeft w:val="0"/>
      <w:marRight w:val="0"/>
      <w:marTop w:val="0"/>
      <w:marBottom w:val="0"/>
      <w:divBdr>
        <w:top w:val="none" w:sz="0" w:space="0" w:color="auto"/>
        <w:left w:val="none" w:sz="0" w:space="0" w:color="auto"/>
        <w:bottom w:val="none" w:sz="0" w:space="0" w:color="auto"/>
        <w:right w:val="none" w:sz="0" w:space="0" w:color="auto"/>
      </w:divBdr>
    </w:div>
    <w:div w:id="1869903102">
      <w:bodyDiv w:val="1"/>
      <w:marLeft w:val="0"/>
      <w:marRight w:val="0"/>
      <w:marTop w:val="0"/>
      <w:marBottom w:val="0"/>
      <w:divBdr>
        <w:top w:val="none" w:sz="0" w:space="0" w:color="auto"/>
        <w:left w:val="none" w:sz="0" w:space="0" w:color="auto"/>
        <w:bottom w:val="none" w:sz="0" w:space="0" w:color="auto"/>
        <w:right w:val="none" w:sz="0" w:space="0" w:color="auto"/>
      </w:divBdr>
    </w:div>
    <w:div w:id="1874417137">
      <w:bodyDiv w:val="1"/>
      <w:marLeft w:val="0"/>
      <w:marRight w:val="0"/>
      <w:marTop w:val="0"/>
      <w:marBottom w:val="0"/>
      <w:divBdr>
        <w:top w:val="none" w:sz="0" w:space="0" w:color="auto"/>
        <w:left w:val="none" w:sz="0" w:space="0" w:color="auto"/>
        <w:bottom w:val="none" w:sz="0" w:space="0" w:color="auto"/>
        <w:right w:val="none" w:sz="0" w:space="0" w:color="auto"/>
      </w:divBdr>
    </w:div>
    <w:div w:id="1905097404">
      <w:bodyDiv w:val="1"/>
      <w:marLeft w:val="0"/>
      <w:marRight w:val="0"/>
      <w:marTop w:val="0"/>
      <w:marBottom w:val="0"/>
      <w:divBdr>
        <w:top w:val="none" w:sz="0" w:space="0" w:color="auto"/>
        <w:left w:val="none" w:sz="0" w:space="0" w:color="auto"/>
        <w:bottom w:val="none" w:sz="0" w:space="0" w:color="auto"/>
        <w:right w:val="none" w:sz="0" w:space="0" w:color="auto"/>
      </w:divBdr>
    </w:div>
    <w:div w:id="2006742554">
      <w:bodyDiv w:val="1"/>
      <w:marLeft w:val="0"/>
      <w:marRight w:val="0"/>
      <w:marTop w:val="0"/>
      <w:marBottom w:val="0"/>
      <w:divBdr>
        <w:top w:val="none" w:sz="0" w:space="0" w:color="auto"/>
        <w:left w:val="none" w:sz="0" w:space="0" w:color="auto"/>
        <w:bottom w:val="none" w:sz="0" w:space="0" w:color="auto"/>
        <w:right w:val="none" w:sz="0" w:space="0" w:color="auto"/>
      </w:divBdr>
    </w:div>
    <w:div w:id="2021464967">
      <w:bodyDiv w:val="1"/>
      <w:marLeft w:val="0"/>
      <w:marRight w:val="0"/>
      <w:marTop w:val="0"/>
      <w:marBottom w:val="0"/>
      <w:divBdr>
        <w:top w:val="none" w:sz="0" w:space="0" w:color="auto"/>
        <w:left w:val="none" w:sz="0" w:space="0" w:color="auto"/>
        <w:bottom w:val="none" w:sz="0" w:space="0" w:color="auto"/>
        <w:right w:val="none" w:sz="0" w:space="0" w:color="auto"/>
      </w:divBdr>
    </w:div>
    <w:div w:id="2040355527">
      <w:bodyDiv w:val="1"/>
      <w:marLeft w:val="0"/>
      <w:marRight w:val="0"/>
      <w:marTop w:val="0"/>
      <w:marBottom w:val="0"/>
      <w:divBdr>
        <w:top w:val="none" w:sz="0" w:space="0" w:color="auto"/>
        <w:left w:val="none" w:sz="0" w:space="0" w:color="auto"/>
        <w:bottom w:val="none" w:sz="0" w:space="0" w:color="auto"/>
        <w:right w:val="none" w:sz="0" w:space="0" w:color="auto"/>
      </w:divBdr>
    </w:div>
    <w:div w:id="2061051253">
      <w:bodyDiv w:val="1"/>
      <w:marLeft w:val="0"/>
      <w:marRight w:val="0"/>
      <w:marTop w:val="0"/>
      <w:marBottom w:val="0"/>
      <w:divBdr>
        <w:top w:val="none" w:sz="0" w:space="0" w:color="auto"/>
        <w:left w:val="none" w:sz="0" w:space="0" w:color="auto"/>
        <w:bottom w:val="none" w:sz="0" w:space="0" w:color="auto"/>
        <w:right w:val="none" w:sz="0" w:space="0" w:color="auto"/>
      </w:divBdr>
    </w:div>
    <w:div w:id="2063865786">
      <w:bodyDiv w:val="1"/>
      <w:marLeft w:val="0"/>
      <w:marRight w:val="0"/>
      <w:marTop w:val="0"/>
      <w:marBottom w:val="0"/>
      <w:divBdr>
        <w:top w:val="none" w:sz="0" w:space="0" w:color="auto"/>
        <w:left w:val="none" w:sz="0" w:space="0" w:color="auto"/>
        <w:bottom w:val="none" w:sz="0" w:space="0" w:color="auto"/>
        <w:right w:val="none" w:sz="0" w:space="0" w:color="auto"/>
      </w:divBdr>
    </w:div>
    <w:div w:id="2082017696">
      <w:bodyDiv w:val="1"/>
      <w:marLeft w:val="0"/>
      <w:marRight w:val="0"/>
      <w:marTop w:val="0"/>
      <w:marBottom w:val="0"/>
      <w:divBdr>
        <w:top w:val="none" w:sz="0" w:space="0" w:color="auto"/>
        <w:left w:val="none" w:sz="0" w:space="0" w:color="auto"/>
        <w:bottom w:val="none" w:sz="0" w:space="0" w:color="auto"/>
        <w:right w:val="none" w:sz="0" w:space="0" w:color="auto"/>
      </w:divBdr>
    </w:div>
    <w:div w:id="2089229679">
      <w:bodyDiv w:val="1"/>
      <w:marLeft w:val="0"/>
      <w:marRight w:val="0"/>
      <w:marTop w:val="0"/>
      <w:marBottom w:val="0"/>
      <w:divBdr>
        <w:top w:val="none" w:sz="0" w:space="0" w:color="auto"/>
        <w:left w:val="none" w:sz="0" w:space="0" w:color="auto"/>
        <w:bottom w:val="none" w:sz="0" w:space="0" w:color="auto"/>
        <w:right w:val="none" w:sz="0" w:space="0" w:color="auto"/>
      </w:divBdr>
    </w:div>
    <w:div w:id="2100784101">
      <w:bodyDiv w:val="1"/>
      <w:marLeft w:val="0"/>
      <w:marRight w:val="0"/>
      <w:marTop w:val="0"/>
      <w:marBottom w:val="0"/>
      <w:divBdr>
        <w:top w:val="none" w:sz="0" w:space="0" w:color="auto"/>
        <w:left w:val="none" w:sz="0" w:space="0" w:color="auto"/>
        <w:bottom w:val="none" w:sz="0" w:space="0" w:color="auto"/>
        <w:right w:val="none" w:sz="0" w:space="0" w:color="auto"/>
      </w:divBdr>
    </w:div>
    <w:div w:id="2110345289">
      <w:bodyDiv w:val="1"/>
      <w:marLeft w:val="0"/>
      <w:marRight w:val="0"/>
      <w:marTop w:val="0"/>
      <w:marBottom w:val="0"/>
      <w:divBdr>
        <w:top w:val="none" w:sz="0" w:space="0" w:color="auto"/>
        <w:left w:val="none" w:sz="0" w:space="0" w:color="auto"/>
        <w:bottom w:val="none" w:sz="0" w:space="0" w:color="auto"/>
        <w:right w:val="none" w:sz="0" w:space="0" w:color="auto"/>
      </w:divBdr>
    </w:div>
    <w:div w:id="2119063831">
      <w:bodyDiv w:val="1"/>
      <w:marLeft w:val="0"/>
      <w:marRight w:val="0"/>
      <w:marTop w:val="0"/>
      <w:marBottom w:val="0"/>
      <w:divBdr>
        <w:top w:val="none" w:sz="0" w:space="0" w:color="auto"/>
        <w:left w:val="none" w:sz="0" w:space="0" w:color="auto"/>
        <w:bottom w:val="none" w:sz="0" w:space="0" w:color="auto"/>
        <w:right w:val="none" w:sz="0" w:space="0" w:color="auto"/>
      </w:divBdr>
    </w:div>
    <w:div w:id="2134470819">
      <w:bodyDiv w:val="1"/>
      <w:marLeft w:val="0"/>
      <w:marRight w:val="0"/>
      <w:marTop w:val="0"/>
      <w:marBottom w:val="0"/>
      <w:divBdr>
        <w:top w:val="none" w:sz="0" w:space="0" w:color="auto"/>
        <w:left w:val="none" w:sz="0" w:space="0" w:color="auto"/>
        <w:bottom w:val="none" w:sz="0" w:space="0" w:color="auto"/>
        <w:right w:val="none" w:sz="0" w:space="0" w:color="auto"/>
      </w:divBdr>
      <w:divsChild>
        <w:div w:id="1203325129">
          <w:marLeft w:val="634"/>
          <w:marRight w:val="0"/>
          <w:marTop w:val="0"/>
          <w:marBottom w:val="120"/>
          <w:divBdr>
            <w:top w:val="none" w:sz="0" w:space="0" w:color="auto"/>
            <w:left w:val="none" w:sz="0" w:space="0" w:color="auto"/>
            <w:bottom w:val="none" w:sz="0" w:space="0" w:color="auto"/>
            <w:right w:val="none" w:sz="0" w:space="0" w:color="auto"/>
          </w:divBdr>
        </w:div>
        <w:div w:id="1654141739">
          <w:marLeft w:val="634"/>
          <w:marRight w:val="0"/>
          <w:marTop w:val="0"/>
          <w:marBottom w:val="120"/>
          <w:divBdr>
            <w:top w:val="none" w:sz="0" w:space="0" w:color="auto"/>
            <w:left w:val="none" w:sz="0" w:space="0" w:color="auto"/>
            <w:bottom w:val="none" w:sz="0" w:space="0" w:color="auto"/>
            <w:right w:val="none" w:sz="0" w:space="0" w:color="auto"/>
          </w:divBdr>
        </w:div>
        <w:div w:id="957834678">
          <w:marLeft w:val="446"/>
          <w:marRight w:val="0"/>
          <w:marTop w:val="0"/>
          <w:marBottom w:val="120"/>
          <w:divBdr>
            <w:top w:val="none" w:sz="0" w:space="0" w:color="auto"/>
            <w:left w:val="none" w:sz="0" w:space="0" w:color="auto"/>
            <w:bottom w:val="none" w:sz="0" w:space="0" w:color="auto"/>
            <w:right w:val="none" w:sz="0" w:space="0" w:color="auto"/>
          </w:divBdr>
        </w:div>
        <w:div w:id="180516245">
          <w:marLeft w:val="446"/>
          <w:marRight w:val="0"/>
          <w:marTop w:val="0"/>
          <w:marBottom w:val="0"/>
          <w:divBdr>
            <w:top w:val="none" w:sz="0" w:space="0" w:color="auto"/>
            <w:left w:val="none" w:sz="0" w:space="0" w:color="auto"/>
            <w:bottom w:val="none" w:sz="0" w:space="0" w:color="auto"/>
            <w:right w:val="none" w:sz="0" w:space="0" w:color="auto"/>
          </w:divBdr>
        </w:div>
      </w:divsChild>
    </w:div>
    <w:div w:id="2146193477">
      <w:bodyDiv w:val="1"/>
      <w:marLeft w:val="0"/>
      <w:marRight w:val="0"/>
      <w:marTop w:val="0"/>
      <w:marBottom w:val="0"/>
      <w:divBdr>
        <w:top w:val="none" w:sz="0" w:space="0" w:color="auto"/>
        <w:left w:val="none" w:sz="0" w:space="0" w:color="auto"/>
        <w:bottom w:val="none" w:sz="0" w:space="0" w:color="auto"/>
        <w:right w:val="none" w:sz="0" w:space="0" w:color="auto"/>
      </w:divBdr>
      <w:divsChild>
        <w:div w:id="74861476">
          <w:marLeft w:val="0"/>
          <w:marRight w:val="0"/>
          <w:marTop w:val="0"/>
          <w:marBottom w:val="0"/>
          <w:divBdr>
            <w:top w:val="none" w:sz="0" w:space="0" w:color="auto"/>
            <w:left w:val="none" w:sz="0" w:space="0" w:color="auto"/>
            <w:bottom w:val="none" w:sz="0" w:space="0" w:color="auto"/>
            <w:right w:val="none" w:sz="0" w:space="0" w:color="auto"/>
          </w:divBdr>
          <w:divsChild>
            <w:div w:id="1018701700">
              <w:marLeft w:val="0"/>
              <w:marRight w:val="0"/>
              <w:marTop w:val="0"/>
              <w:marBottom w:val="0"/>
              <w:divBdr>
                <w:top w:val="none" w:sz="0" w:space="0" w:color="auto"/>
                <w:left w:val="none" w:sz="0" w:space="0" w:color="auto"/>
                <w:bottom w:val="none" w:sz="0" w:space="0" w:color="auto"/>
                <w:right w:val="none" w:sz="0" w:space="0" w:color="auto"/>
              </w:divBdr>
              <w:divsChild>
                <w:div w:id="9253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49171-8C3F-4907-B536-29CAFC37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9019</Words>
  <Characters>51410</Characters>
  <Application>Microsoft Office Word</Application>
  <DocSecurity>0</DocSecurity>
  <Lines>428</Lines>
  <Paragraphs>120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Triboldi</dc:creator>
  <cp:lastModifiedBy>Santucci, Chiara Alberta</cp:lastModifiedBy>
  <cp:revision>7</cp:revision>
  <cp:lastPrinted>2020-04-27T16:36:00Z</cp:lastPrinted>
  <dcterms:created xsi:type="dcterms:W3CDTF">2020-05-05T15:03:00Z</dcterms:created>
  <dcterms:modified xsi:type="dcterms:W3CDTF">2020-05-05T16:42:00Z</dcterms:modified>
</cp:coreProperties>
</file>