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0E2" w:rsidRDefault="005200E2" w:rsidP="00900DE1">
      <w:pPr>
        <w:spacing w:after="0" w:line="360" w:lineRule="auto"/>
        <w:ind w:firstLine="709"/>
        <w:jc w:val="both"/>
        <w:rPr>
          <w:rFonts w:ascii="Times New Roman" w:hAnsi="Times New Roman" w:cs="Times New Roman"/>
          <w:b/>
          <w:sz w:val="24"/>
          <w:szCs w:val="24"/>
        </w:rPr>
      </w:pPr>
      <w:r w:rsidRPr="00CE181A">
        <w:rPr>
          <w:rFonts w:ascii="Times New Roman" w:hAnsi="Times New Roman" w:cs="Times New Roman"/>
          <w:b/>
          <w:sz w:val="24"/>
          <w:szCs w:val="24"/>
        </w:rPr>
        <w:t>Il principio di proporzionalità fra diritto nazionale e diritto europeo</w:t>
      </w:r>
      <w:r w:rsidR="00371B00" w:rsidRPr="00CE181A">
        <w:rPr>
          <w:rFonts w:ascii="Times New Roman" w:hAnsi="Times New Roman" w:cs="Times New Roman"/>
          <w:b/>
          <w:sz w:val="24"/>
          <w:szCs w:val="24"/>
        </w:rPr>
        <w:t xml:space="preserve"> (</w:t>
      </w:r>
      <w:r w:rsidR="00585DDF">
        <w:rPr>
          <w:rFonts w:ascii="Times New Roman" w:hAnsi="Times New Roman" w:cs="Times New Roman"/>
          <w:b/>
          <w:sz w:val="24"/>
          <w:szCs w:val="24"/>
        </w:rPr>
        <w:t xml:space="preserve">e </w:t>
      </w:r>
      <w:r w:rsidR="00371B00" w:rsidRPr="00CE181A">
        <w:rPr>
          <w:rFonts w:ascii="Times New Roman" w:hAnsi="Times New Roman" w:cs="Times New Roman"/>
          <w:b/>
          <w:sz w:val="24"/>
          <w:szCs w:val="24"/>
        </w:rPr>
        <w:t>con uno sguardo an</w:t>
      </w:r>
      <w:r w:rsidR="003F79B5">
        <w:rPr>
          <w:rFonts w:ascii="Times New Roman" w:hAnsi="Times New Roman" w:cs="Times New Roman"/>
          <w:b/>
          <w:sz w:val="24"/>
          <w:szCs w:val="24"/>
        </w:rPr>
        <w:t>che al di là dei confini dell’Unione Europea</w:t>
      </w:r>
      <w:r w:rsidR="00371B00" w:rsidRPr="00CE181A">
        <w:rPr>
          <w:rFonts w:ascii="Times New Roman" w:hAnsi="Times New Roman" w:cs="Times New Roman"/>
          <w:b/>
          <w:sz w:val="24"/>
          <w:szCs w:val="24"/>
        </w:rPr>
        <w:t>)</w:t>
      </w:r>
      <w:r w:rsidR="008E5DD8" w:rsidRPr="00CE181A">
        <w:rPr>
          <w:rStyle w:val="Rimandonotaapidipagina"/>
          <w:rFonts w:ascii="Times New Roman" w:hAnsi="Times New Roman" w:cs="Times New Roman"/>
          <w:b/>
          <w:sz w:val="24"/>
          <w:szCs w:val="24"/>
        </w:rPr>
        <w:footnoteReference w:customMarkFollows="1" w:id="1"/>
        <w:t>(*)</w:t>
      </w:r>
    </w:p>
    <w:p w:rsidR="00097C5D" w:rsidRPr="00CE181A" w:rsidRDefault="00097C5D" w:rsidP="00900DE1">
      <w:pPr>
        <w:spacing w:after="0" w:line="360" w:lineRule="auto"/>
        <w:ind w:firstLine="709"/>
        <w:jc w:val="both"/>
        <w:rPr>
          <w:rFonts w:ascii="Times New Roman" w:hAnsi="Times New Roman" w:cs="Times New Roman"/>
          <w:b/>
          <w:sz w:val="24"/>
          <w:szCs w:val="24"/>
        </w:rPr>
      </w:pPr>
    </w:p>
    <w:p w:rsidR="009A1E0C" w:rsidRPr="003B2585" w:rsidRDefault="0026372C" w:rsidP="00585DDF">
      <w:pPr>
        <w:spacing w:after="0" w:line="240" w:lineRule="auto"/>
        <w:ind w:firstLine="709"/>
        <w:jc w:val="both"/>
        <w:rPr>
          <w:rFonts w:ascii="Times New Roman" w:hAnsi="Times New Roman" w:cs="Times New Roman"/>
          <w:sz w:val="20"/>
          <w:szCs w:val="20"/>
        </w:rPr>
      </w:pPr>
      <w:r w:rsidRPr="003B2585">
        <w:rPr>
          <w:rFonts w:ascii="Times New Roman" w:hAnsi="Times New Roman" w:cs="Times New Roman"/>
          <w:sz w:val="20"/>
          <w:szCs w:val="20"/>
        </w:rPr>
        <w:t xml:space="preserve">Sommario: 1. Note </w:t>
      </w:r>
      <w:proofErr w:type="gramStart"/>
      <w:r w:rsidRPr="003B2585">
        <w:rPr>
          <w:rFonts w:ascii="Times New Roman" w:hAnsi="Times New Roman" w:cs="Times New Roman"/>
          <w:sz w:val="20"/>
          <w:szCs w:val="20"/>
        </w:rPr>
        <w:t>introduttive.-</w:t>
      </w:r>
      <w:proofErr w:type="gramEnd"/>
      <w:r w:rsidRPr="003B2585">
        <w:rPr>
          <w:rFonts w:ascii="Times New Roman" w:eastAsia="Times New Roman" w:hAnsi="Times New Roman" w:cs="Times New Roman"/>
          <w:sz w:val="20"/>
          <w:szCs w:val="20"/>
          <w:lang w:eastAsia="it-IT"/>
        </w:rPr>
        <w:t xml:space="preserve"> </w:t>
      </w:r>
      <w:r w:rsidR="00F52896" w:rsidRPr="003B2585">
        <w:rPr>
          <w:rFonts w:ascii="Times New Roman" w:eastAsia="Times New Roman" w:hAnsi="Times New Roman" w:cs="Times New Roman"/>
          <w:sz w:val="20"/>
          <w:szCs w:val="20"/>
          <w:lang w:eastAsia="it-IT"/>
        </w:rPr>
        <w:t xml:space="preserve">2. Il principio di proporzionalità nel diritto </w:t>
      </w:r>
      <w:proofErr w:type="gramStart"/>
      <w:r w:rsidR="00F52896" w:rsidRPr="003B2585">
        <w:rPr>
          <w:rFonts w:ascii="Times New Roman" w:eastAsia="Times New Roman" w:hAnsi="Times New Roman" w:cs="Times New Roman"/>
          <w:sz w:val="20"/>
          <w:szCs w:val="20"/>
          <w:lang w:eastAsia="it-IT"/>
        </w:rPr>
        <w:t>tedesco.-</w:t>
      </w:r>
      <w:proofErr w:type="gramEnd"/>
      <w:r w:rsidR="00F52896" w:rsidRPr="003B2585">
        <w:rPr>
          <w:rFonts w:ascii="Times New Roman" w:eastAsia="Times New Roman" w:hAnsi="Times New Roman" w:cs="Times New Roman"/>
          <w:sz w:val="20"/>
          <w:szCs w:val="20"/>
          <w:lang w:eastAsia="it-IT"/>
        </w:rPr>
        <w:t xml:space="preserve"> </w:t>
      </w:r>
      <w:r w:rsidR="00371B00" w:rsidRPr="003B2585">
        <w:rPr>
          <w:rFonts w:ascii="Times New Roman" w:eastAsia="Times New Roman" w:hAnsi="Times New Roman" w:cs="Times New Roman"/>
          <w:sz w:val="20"/>
          <w:szCs w:val="20"/>
          <w:lang w:eastAsia="it-IT"/>
        </w:rPr>
        <w:t xml:space="preserve">3. Il principio di proporzionalità nel diritto dell’Unione </w:t>
      </w:r>
      <w:proofErr w:type="gramStart"/>
      <w:r w:rsidR="00371B00" w:rsidRPr="003B2585">
        <w:rPr>
          <w:rFonts w:ascii="Times New Roman" w:eastAsia="Times New Roman" w:hAnsi="Times New Roman" w:cs="Times New Roman"/>
          <w:sz w:val="20"/>
          <w:szCs w:val="20"/>
          <w:lang w:eastAsia="it-IT"/>
        </w:rPr>
        <w:t>europea.-</w:t>
      </w:r>
      <w:proofErr w:type="gramEnd"/>
      <w:r w:rsidR="00371B00" w:rsidRPr="003B2585">
        <w:rPr>
          <w:rFonts w:ascii="Times New Roman" w:eastAsia="Times New Roman" w:hAnsi="Times New Roman" w:cs="Times New Roman"/>
          <w:sz w:val="20"/>
          <w:szCs w:val="20"/>
          <w:lang w:eastAsia="it-IT"/>
        </w:rPr>
        <w:t xml:space="preserve"> </w:t>
      </w:r>
      <w:r w:rsidR="00D710CE" w:rsidRPr="003B2585">
        <w:rPr>
          <w:rFonts w:ascii="Times New Roman" w:eastAsia="Times New Roman" w:hAnsi="Times New Roman" w:cs="Times New Roman"/>
          <w:sz w:val="20"/>
          <w:szCs w:val="20"/>
          <w:lang w:eastAsia="it-IT"/>
        </w:rPr>
        <w:t xml:space="preserve">3.1. Premessa su ruolo e funzione dei principi generali nel diritto </w:t>
      </w:r>
      <w:proofErr w:type="gramStart"/>
      <w:r w:rsidR="00D710CE" w:rsidRPr="003B2585">
        <w:rPr>
          <w:rFonts w:ascii="Times New Roman" w:eastAsia="Times New Roman" w:hAnsi="Times New Roman" w:cs="Times New Roman"/>
          <w:sz w:val="20"/>
          <w:szCs w:val="20"/>
          <w:lang w:eastAsia="it-IT"/>
        </w:rPr>
        <w:t>UE.-</w:t>
      </w:r>
      <w:proofErr w:type="gramEnd"/>
      <w:r w:rsidR="00D710CE" w:rsidRPr="003B2585">
        <w:rPr>
          <w:rFonts w:ascii="Times New Roman" w:eastAsia="Times New Roman" w:hAnsi="Times New Roman" w:cs="Times New Roman"/>
          <w:sz w:val="20"/>
          <w:szCs w:val="20"/>
          <w:lang w:eastAsia="it-IT"/>
        </w:rPr>
        <w:t xml:space="preserve"> 3.2. Il principio di proporzionalità nella giurispruden</w:t>
      </w:r>
      <w:r w:rsidR="005200C6" w:rsidRPr="003B2585">
        <w:rPr>
          <w:rFonts w:ascii="Times New Roman" w:eastAsia="Times New Roman" w:hAnsi="Times New Roman" w:cs="Times New Roman"/>
          <w:sz w:val="20"/>
          <w:szCs w:val="20"/>
          <w:lang w:eastAsia="it-IT"/>
        </w:rPr>
        <w:t xml:space="preserve">za della Corte di giustizia UE </w:t>
      </w:r>
      <w:r w:rsidR="00D710CE" w:rsidRPr="003B2585">
        <w:rPr>
          <w:rFonts w:ascii="Times New Roman" w:eastAsia="Times New Roman" w:hAnsi="Times New Roman" w:cs="Times New Roman"/>
          <w:sz w:val="20"/>
          <w:szCs w:val="20"/>
          <w:lang w:eastAsia="it-IT"/>
        </w:rPr>
        <w:t xml:space="preserve">e nei </w:t>
      </w:r>
      <w:proofErr w:type="gramStart"/>
      <w:r w:rsidR="00D710CE" w:rsidRPr="003B2585">
        <w:rPr>
          <w:rFonts w:ascii="Times New Roman" w:eastAsia="Times New Roman" w:hAnsi="Times New Roman" w:cs="Times New Roman"/>
          <w:sz w:val="20"/>
          <w:szCs w:val="20"/>
          <w:lang w:eastAsia="it-IT"/>
        </w:rPr>
        <w:t>Trattati.-</w:t>
      </w:r>
      <w:proofErr w:type="gramEnd"/>
      <w:r w:rsidR="006A2A0F" w:rsidRPr="003B2585">
        <w:rPr>
          <w:rFonts w:ascii="Times New Roman" w:eastAsia="Times New Roman" w:hAnsi="Times New Roman" w:cs="Times New Roman"/>
          <w:sz w:val="20"/>
          <w:szCs w:val="20"/>
          <w:lang w:eastAsia="it-IT"/>
        </w:rPr>
        <w:t xml:space="preserve"> </w:t>
      </w:r>
      <w:r w:rsidR="00D710CE" w:rsidRPr="003B2585">
        <w:rPr>
          <w:rFonts w:ascii="Times New Roman" w:eastAsia="Times New Roman" w:hAnsi="Times New Roman" w:cs="Times New Roman"/>
          <w:sz w:val="20"/>
          <w:szCs w:val="20"/>
          <w:lang w:eastAsia="it-IT"/>
        </w:rPr>
        <w:t xml:space="preserve">3.3. Segue. L’esame “a tre gradini” da parte dei giudici </w:t>
      </w:r>
      <w:proofErr w:type="gramStart"/>
      <w:r w:rsidR="00D710CE" w:rsidRPr="003B2585">
        <w:rPr>
          <w:rFonts w:ascii="Times New Roman" w:eastAsia="Times New Roman" w:hAnsi="Times New Roman" w:cs="Times New Roman"/>
          <w:sz w:val="20"/>
          <w:szCs w:val="20"/>
          <w:lang w:eastAsia="it-IT"/>
        </w:rPr>
        <w:t>UE.-</w:t>
      </w:r>
      <w:proofErr w:type="gramEnd"/>
      <w:r w:rsidR="00D710CE" w:rsidRPr="003B2585">
        <w:rPr>
          <w:rFonts w:ascii="Times New Roman" w:eastAsia="Times New Roman" w:hAnsi="Times New Roman" w:cs="Times New Roman"/>
          <w:sz w:val="20"/>
          <w:szCs w:val="20"/>
          <w:lang w:eastAsia="it-IT"/>
        </w:rPr>
        <w:t xml:space="preserve"> </w:t>
      </w:r>
      <w:r w:rsidR="005200C6" w:rsidRPr="003B2585">
        <w:rPr>
          <w:rFonts w:ascii="Times New Roman" w:eastAsia="Times New Roman" w:hAnsi="Times New Roman" w:cs="Times New Roman"/>
          <w:sz w:val="20"/>
          <w:szCs w:val="20"/>
          <w:lang w:eastAsia="it-IT"/>
        </w:rPr>
        <w:t xml:space="preserve">4. L’espansione del principio di proporzionalità negli ordinamenti nazionali degli Stati membri UE e al di là dei confini dell’Unione Europea: alcuni casi </w:t>
      </w:r>
      <w:proofErr w:type="gramStart"/>
      <w:r w:rsidR="005200C6" w:rsidRPr="003B2585">
        <w:rPr>
          <w:rFonts w:ascii="Times New Roman" w:eastAsia="Times New Roman" w:hAnsi="Times New Roman" w:cs="Times New Roman"/>
          <w:sz w:val="20"/>
          <w:szCs w:val="20"/>
          <w:lang w:eastAsia="it-IT"/>
        </w:rPr>
        <w:t>paradigmatici.-</w:t>
      </w:r>
      <w:proofErr w:type="gramEnd"/>
      <w:r w:rsidR="005200C6" w:rsidRPr="003B2585">
        <w:rPr>
          <w:rFonts w:ascii="Times New Roman" w:eastAsia="Times New Roman" w:hAnsi="Times New Roman" w:cs="Times New Roman"/>
          <w:sz w:val="20"/>
          <w:szCs w:val="20"/>
          <w:lang w:eastAsia="it-IT"/>
        </w:rPr>
        <w:t xml:space="preserve"> </w:t>
      </w:r>
      <w:r w:rsidR="00585DDF" w:rsidRPr="003B2585">
        <w:rPr>
          <w:rFonts w:ascii="Times New Roman" w:eastAsia="Times New Roman" w:hAnsi="Times New Roman" w:cs="Times New Roman"/>
          <w:sz w:val="20"/>
          <w:szCs w:val="20"/>
          <w:lang w:eastAsia="it-IT"/>
        </w:rPr>
        <w:t>4.1. Dall’obbligo di rispetto dei principi generali UE al c.d. effetto di “tracimazione” (</w:t>
      </w:r>
      <w:proofErr w:type="spellStart"/>
      <w:r w:rsidR="00585DDF" w:rsidRPr="00B968B7">
        <w:rPr>
          <w:rFonts w:ascii="Times New Roman" w:eastAsia="Times New Roman" w:hAnsi="Times New Roman" w:cs="Times New Roman"/>
          <w:i/>
          <w:sz w:val="20"/>
          <w:szCs w:val="20"/>
          <w:lang w:eastAsia="it-IT"/>
        </w:rPr>
        <w:t>spill</w:t>
      </w:r>
      <w:proofErr w:type="spellEnd"/>
      <w:r w:rsidR="00585DDF" w:rsidRPr="00B968B7">
        <w:rPr>
          <w:rFonts w:ascii="Times New Roman" w:eastAsia="Times New Roman" w:hAnsi="Times New Roman" w:cs="Times New Roman"/>
          <w:i/>
          <w:sz w:val="20"/>
          <w:szCs w:val="20"/>
          <w:lang w:eastAsia="it-IT"/>
        </w:rPr>
        <w:t>-over-</w:t>
      </w:r>
      <w:proofErr w:type="spellStart"/>
      <w:r w:rsidR="00585DDF" w:rsidRPr="00B968B7">
        <w:rPr>
          <w:rFonts w:ascii="Times New Roman" w:eastAsia="Times New Roman" w:hAnsi="Times New Roman" w:cs="Times New Roman"/>
          <w:i/>
          <w:sz w:val="20"/>
          <w:szCs w:val="20"/>
          <w:lang w:eastAsia="it-IT"/>
        </w:rPr>
        <w:t>effect</w:t>
      </w:r>
      <w:proofErr w:type="spellEnd"/>
      <w:proofErr w:type="gramStart"/>
      <w:r w:rsidR="00585DDF" w:rsidRPr="003B2585">
        <w:rPr>
          <w:rFonts w:ascii="Times New Roman" w:eastAsia="Times New Roman" w:hAnsi="Times New Roman" w:cs="Times New Roman"/>
          <w:sz w:val="20"/>
          <w:szCs w:val="20"/>
          <w:lang w:eastAsia="it-IT"/>
        </w:rPr>
        <w:t>).-</w:t>
      </w:r>
      <w:proofErr w:type="gramEnd"/>
      <w:r w:rsidR="00585DDF" w:rsidRPr="003B2585">
        <w:rPr>
          <w:rFonts w:ascii="Times New Roman" w:eastAsia="Times New Roman" w:hAnsi="Times New Roman" w:cs="Times New Roman"/>
          <w:sz w:val="20"/>
          <w:szCs w:val="20"/>
          <w:lang w:eastAsia="it-IT"/>
        </w:rPr>
        <w:t xml:space="preserve"> 4.2. Il principio di proporzionalità nel diritto britannico di </w:t>
      </w:r>
      <w:r w:rsidR="00585DDF" w:rsidRPr="003B2585">
        <w:rPr>
          <w:rFonts w:ascii="Times New Roman" w:eastAsia="Times New Roman" w:hAnsi="Times New Roman" w:cs="Times New Roman"/>
          <w:i/>
          <w:sz w:val="20"/>
          <w:szCs w:val="20"/>
          <w:lang w:eastAsia="it-IT"/>
        </w:rPr>
        <w:t xml:space="preserve">Common </w:t>
      </w:r>
      <w:proofErr w:type="gramStart"/>
      <w:r w:rsidR="00585DDF" w:rsidRPr="003B2585">
        <w:rPr>
          <w:rFonts w:ascii="Times New Roman" w:eastAsia="Times New Roman" w:hAnsi="Times New Roman" w:cs="Times New Roman"/>
          <w:i/>
          <w:sz w:val="20"/>
          <w:szCs w:val="20"/>
          <w:lang w:eastAsia="it-IT"/>
        </w:rPr>
        <w:t>Law</w:t>
      </w:r>
      <w:r w:rsidR="00585DDF" w:rsidRPr="003B2585">
        <w:rPr>
          <w:rFonts w:ascii="Times New Roman" w:eastAsia="Times New Roman" w:hAnsi="Times New Roman" w:cs="Times New Roman"/>
          <w:sz w:val="20"/>
          <w:szCs w:val="20"/>
          <w:lang w:eastAsia="it-IT"/>
        </w:rPr>
        <w:t>.-</w:t>
      </w:r>
      <w:proofErr w:type="gramEnd"/>
      <w:r w:rsidR="00585DDF" w:rsidRPr="003B2585">
        <w:rPr>
          <w:rFonts w:ascii="Times New Roman" w:eastAsia="Times New Roman" w:hAnsi="Times New Roman" w:cs="Times New Roman"/>
          <w:sz w:val="20"/>
          <w:szCs w:val="20"/>
          <w:lang w:eastAsia="it-IT"/>
        </w:rPr>
        <w:t xml:space="preserve"> 5. Il principio di proporzionalità nel e oltre i confini del diritto UE: osservazioni </w:t>
      </w:r>
      <w:proofErr w:type="gramStart"/>
      <w:r w:rsidR="00585DDF" w:rsidRPr="003B2585">
        <w:rPr>
          <w:rFonts w:ascii="Times New Roman" w:eastAsia="Times New Roman" w:hAnsi="Times New Roman" w:cs="Times New Roman"/>
          <w:sz w:val="20"/>
          <w:szCs w:val="20"/>
          <w:lang w:eastAsia="it-IT"/>
        </w:rPr>
        <w:t>conclusive.-</w:t>
      </w:r>
      <w:proofErr w:type="gramEnd"/>
      <w:r w:rsidR="00585DDF" w:rsidRPr="003B2585">
        <w:rPr>
          <w:rFonts w:ascii="Times New Roman" w:eastAsia="Times New Roman" w:hAnsi="Times New Roman" w:cs="Times New Roman"/>
          <w:sz w:val="20"/>
          <w:szCs w:val="20"/>
          <w:lang w:eastAsia="it-IT"/>
        </w:rPr>
        <w:t xml:space="preserve"> </w:t>
      </w:r>
      <w:r w:rsidR="00CE261E" w:rsidRPr="00CE261E">
        <w:rPr>
          <w:rFonts w:ascii="Times New Roman" w:eastAsia="Times New Roman" w:hAnsi="Times New Roman" w:cs="Times New Roman"/>
          <w:sz w:val="20"/>
          <w:szCs w:val="20"/>
          <w:lang w:eastAsia="it-IT"/>
        </w:rPr>
        <w:t xml:space="preserve">5.1. Il principio di proporzionalità anche oltre i confini del diritto </w:t>
      </w:r>
      <w:proofErr w:type="gramStart"/>
      <w:r w:rsidR="00CE261E" w:rsidRPr="00CE261E">
        <w:rPr>
          <w:rFonts w:ascii="Times New Roman" w:eastAsia="Times New Roman" w:hAnsi="Times New Roman" w:cs="Times New Roman"/>
          <w:sz w:val="20"/>
          <w:szCs w:val="20"/>
          <w:lang w:eastAsia="it-IT"/>
        </w:rPr>
        <w:t>UE?</w:t>
      </w:r>
      <w:r w:rsidR="00CE261E">
        <w:rPr>
          <w:rFonts w:ascii="Times New Roman" w:eastAsia="Times New Roman" w:hAnsi="Times New Roman" w:cs="Times New Roman"/>
          <w:sz w:val="20"/>
          <w:szCs w:val="20"/>
          <w:lang w:eastAsia="it-IT"/>
        </w:rPr>
        <w:t>.</w:t>
      </w:r>
      <w:proofErr w:type="gramEnd"/>
      <w:r w:rsidR="00CE261E">
        <w:rPr>
          <w:rFonts w:ascii="Times New Roman" w:eastAsia="Times New Roman" w:hAnsi="Times New Roman" w:cs="Times New Roman"/>
          <w:sz w:val="20"/>
          <w:szCs w:val="20"/>
          <w:lang w:eastAsia="it-IT"/>
        </w:rPr>
        <w:t xml:space="preserve">- </w:t>
      </w:r>
      <w:r w:rsidR="002F1AE4" w:rsidRPr="002F1AE4">
        <w:rPr>
          <w:rFonts w:ascii="Times New Roman" w:eastAsia="Times New Roman" w:hAnsi="Times New Roman" w:cs="Times New Roman"/>
          <w:sz w:val="20"/>
          <w:szCs w:val="20"/>
          <w:lang w:eastAsia="it-IT"/>
        </w:rPr>
        <w:t xml:space="preserve">5.2. Un modello di sindacato giurisdizionale della proporzionalità caratteristico del diritto </w:t>
      </w:r>
      <w:proofErr w:type="gramStart"/>
      <w:r w:rsidR="002F1AE4" w:rsidRPr="002F1AE4">
        <w:rPr>
          <w:rFonts w:ascii="Times New Roman" w:eastAsia="Times New Roman" w:hAnsi="Times New Roman" w:cs="Times New Roman"/>
          <w:sz w:val="20"/>
          <w:szCs w:val="20"/>
          <w:lang w:eastAsia="it-IT"/>
        </w:rPr>
        <w:t>UE?</w:t>
      </w:r>
      <w:r w:rsidR="002C2CEF">
        <w:rPr>
          <w:rFonts w:ascii="Times New Roman" w:eastAsia="Times New Roman" w:hAnsi="Times New Roman" w:cs="Times New Roman"/>
          <w:sz w:val="20"/>
          <w:szCs w:val="20"/>
          <w:lang w:eastAsia="it-IT"/>
        </w:rPr>
        <w:t>.</w:t>
      </w:r>
      <w:proofErr w:type="gramEnd"/>
      <w:r w:rsidR="002C2CEF">
        <w:rPr>
          <w:rFonts w:ascii="Times New Roman" w:eastAsia="Times New Roman" w:hAnsi="Times New Roman" w:cs="Times New Roman"/>
          <w:sz w:val="20"/>
          <w:szCs w:val="20"/>
          <w:lang w:eastAsia="it-IT"/>
        </w:rPr>
        <w:t xml:space="preserve">- </w:t>
      </w:r>
      <w:r w:rsidR="002C2CEF" w:rsidRPr="002C2CEF">
        <w:rPr>
          <w:rFonts w:ascii="Times New Roman" w:eastAsia="Times New Roman" w:hAnsi="Times New Roman" w:cs="Times New Roman"/>
          <w:sz w:val="20"/>
          <w:szCs w:val="20"/>
          <w:lang w:eastAsia="it-IT"/>
        </w:rPr>
        <w:t>5.3. Breve riflessione conclusiva</w:t>
      </w:r>
      <w:r w:rsidR="002C2CEF">
        <w:rPr>
          <w:rFonts w:ascii="Times New Roman" w:eastAsia="Times New Roman" w:hAnsi="Times New Roman" w:cs="Times New Roman"/>
          <w:sz w:val="20"/>
          <w:szCs w:val="20"/>
          <w:lang w:eastAsia="it-IT"/>
        </w:rPr>
        <w:t>.</w:t>
      </w:r>
    </w:p>
    <w:p w:rsidR="0026372C" w:rsidRDefault="0026372C" w:rsidP="00355DEA">
      <w:pPr>
        <w:spacing w:after="0" w:line="240" w:lineRule="auto"/>
        <w:ind w:firstLine="709"/>
        <w:jc w:val="both"/>
        <w:rPr>
          <w:rFonts w:ascii="Times New Roman" w:hAnsi="Times New Roman" w:cs="Times New Roman"/>
          <w:b/>
          <w:sz w:val="24"/>
          <w:szCs w:val="24"/>
        </w:rPr>
      </w:pPr>
    </w:p>
    <w:p w:rsidR="00097C5D" w:rsidRPr="00CE181A" w:rsidRDefault="00097C5D" w:rsidP="00355DEA">
      <w:pPr>
        <w:spacing w:after="0" w:line="240" w:lineRule="auto"/>
        <w:ind w:firstLine="709"/>
        <w:jc w:val="both"/>
        <w:rPr>
          <w:rFonts w:ascii="Times New Roman" w:hAnsi="Times New Roman" w:cs="Times New Roman"/>
          <w:b/>
          <w:sz w:val="24"/>
          <w:szCs w:val="24"/>
        </w:rPr>
      </w:pPr>
    </w:p>
    <w:p w:rsidR="00CC44F7" w:rsidRPr="007B4FE2" w:rsidRDefault="00CC44F7" w:rsidP="007B4FE2">
      <w:pPr>
        <w:spacing w:after="0" w:line="360" w:lineRule="auto"/>
        <w:ind w:firstLine="709"/>
        <w:jc w:val="both"/>
        <w:rPr>
          <w:rFonts w:ascii="Times New Roman" w:hAnsi="Times New Roman" w:cs="Times New Roman"/>
          <w:b/>
          <w:sz w:val="24"/>
          <w:szCs w:val="24"/>
        </w:rPr>
      </w:pPr>
      <w:r w:rsidRPr="007B4FE2">
        <w:rPr>
          <w:rFonts w:ascii="Times New Roman" w:hAnsi="Times New Roman" w:cs="Times New Roman"/>
          <w:b/>
          <w:sz w:val="24"/>
          <w:szCs w:val="24"/>
        </w:rPr>
        <w:t>1.</w:t>
      </w:r>
      <w:r w:rsidR="00F7624B" w:rsidRPr="007B4FE2">
        <w:rPr>
          <w:rFonts w:ascii="Times New Roman" w:hAnsi="Times New Roman" w:cs="Times New Roman"/>
          <w:b/>
          <w:sz w:val="24"/>
          <w:szCs w:val="24"/>
        </w:rPr>
        <w:t xml:space="preserve"> </w:t>
      </w:r>
      <w:r w:rsidR="00E66A06" w:rsidRPr="007B4FE2">
        <w:rPr>
          <w:rFonts w:ascii="Times New Roman" w:hAnsi="Times New Roman" w:cs="Times New Roman"/>
          <w:b/>
          <w:sz w:val="24"/>
          <w:szCs w:val="24"/>
        </w:rPr>
        <w:t>Note introduttive</w:t>
      </w:r>
    </w:p>
    <w:p w:rsidR="00DD3CA6" w:rsidRPr="007B4FE2" w:rsidRDefault="00DD3CA6" w:rsidP="007B4FE2">
      <w:pPr>
        <w:spacing w:after="0" w:line="360" w:lineRule="auto"/>
        <w:ind w:firstLine="709"/>
        <w:jc w:val="both"/>
        <w:rPr>
          <w:rFonts w:ascii="Times New Roman" w:eastAsiaTheme="minorEastAsia" w:hAnsi="Times New Roman" w:cs="Times New Roman"/>
          <w:sz w:val="24"/>
          <w:szCs w:val="24"/>
          <w:lang w:eastAsia="it-IT"/>
        </w:rPr>
      </w:pPr>
      <w:r w:rsidRPr="007B4FE2">
        <w:rPr>
          <w:rFonts w:ascii="Times New Roman" w:eastAsiaTheme="minorEastAsia" w:hAnsi="Times New Roman" w:cs="Times New Roman"/>
          <w:sz w:val="24"/>
          <w:szCs w:val="24"/>
          <w:lang w:eastAsia="it-IT"/>
        </w:rPr>
        <w:t>In un recente volume di diritto comparato (in lingua inglese) sui principi generali del diritto è stato sottolineato come - nel contesto dell’Unione Europea, ma senza dubbio anche nelle altre giurisdizioni al di fuori dell'Europa - ci sia ancora molto da imparare, l'uno dall'altro, sulla portata, l'applicazione e il valore del principio di proporzionalità come strumento di sindacato giurisdizionale</w:t>
      </w:r>
      <w:r w:rsidR="00315B29" w:rsidRPr="007B4FE2">
        <w:rPr>
          <w:rStyle w:val="Rimandonotaapidipagina"/>
          <w:rFonts w:ascii="Times New Roman" w:eastAsiaTheme="minorEastAsia" w:hAnsi="Times New Roman" w:cs="Times New Roman"/>
          <w:sz w:val="24"/>
          <w:szCs w:val="24"/>
          <w:lang w:eastAsia="it-IT"/>
        </w:rPr>
        <w:footnoteReference w:id="2"/>
      </w:r>
      <w:r w:rsidRPr="007B4FE2">
        <w:rPr>
          <w:rFonts w:ascii="Times New Roman" w:eastAsiaTheme="minorEastAsia" w:hAnsi="Times New Roman" w:cs="Times New Roman"/>
          <w:sz w:val="24"/>
          <w:szCs w:val="24"/>
          <w:lang w:eastAsia="it-IT"/>
        </w:rPr>
        <w:t>.</w:t>
      </w:r>
    </w:p>
    <w:p w:rsidR="006D342A" w:rsidRPr="007B4FE2" w:rsidRDefault="00DD3CA6" w:rsidP="007B4FE2">
      <w:pPr>
        <w:spacing w:after="0" w:line="360" w:lineRule="auto"/>
        <w:ind w:firstLine="709"/>
        <w:jc w:val="both"/>
        <w:rPr>
          <w:rFonts w:ascii="Times New Roman" w:hAnsi="Times New Roman" w:cs="Times New Roman"/>
          <w:sz w:val="24"/>
          <w:szCs w:val="24"/>
        </w:rPr>
      </w:pPr>
      <w:r w:rsidRPr="007B4FE2">
        <w:rPr>
          <w:rFonts w:ascii="Times New Roman" w:eastAsiaTheme="minorEastAsia" w:hAnsi="Times New Roman" w:cs="Times New Roman"/>
          <w:sz w:val="24"/>
          <w:szCs w:val="24"/>
          <w:lang w:eastAsia="it-IT"/>
        </w:rPr>
        <w:t>Condivido pienamente questa riflessione. Sicché la mia analisi, essenzialmente di diritto comparato, prende necessariamente le mosse da un esame delle origini del principio di proporzionalità: e, quindi, dal diritto tedesco.</w:t>
      </w:r>
      <w:r w:rsidR="00315B29" w:rsidRPr="007B4FE2">
        <w:rPr>
          <w:rFonts w:ascii="Times New Roman" w:eastAsiaTheme="minorEastAsia" w:hAnsi="Times New Roman" w:cs="Times New Roman"/>
          <w:sz w:val="24"/>
          <w:szCs w:val="24"/>
          <w:lang w:eastAsia="it-IT"/>
        </w:rPr>
        <w:t xml:space="preserve"> Se, infatti, </w:t>
      </w:r>
      <w:r w:rsidR="00B14D88" w:rsidRPr="007B4FE2">
        <w:rPr>
          <w:rFonts w:ascii="Times New Roman" w:eastAsiaTheme="minorEastAsia" w:hAnsi="Times New Roman" w:cs="Times New Roman"/>
          <w:sz w:val="24"/>
          <w:szCs w:val="24"/>
          <w:lang w:eastAsia="it-IT"/>
        </w:rPr>
        <w:fldChar w:fldCharType="begin"/>
      </w:r>
      <w:r w:rsidR="00B14D88" w:rsidRPr="007B4FE2">
        <w:rPr>
          <w:rFonts w:ascii="Times New Roman" w:eastAsiaTheme="minorEastAsia" w:hAnsi="Times New Roman" w:cs="Times New Roman"/>
          <w:sz w:val="24"/>
          <w:szCs w:val="24"/>
          <w:lang w:eastAsia="it-IT"/>
        </w:rPr>
        <w:instrText>&lt;para&gt;</w:instrText>
      </w:r>
      <w:r w:rsidR="00B14D88" w:rsidRPr="007B4FE2">
        <w:rPr>
          <w:rFonts w:ascii="Times New Roman" w:eastAsiaTheme="minorEastAsia" w:hAnsi="Times New Roman" w:cs="Times New Roman"/>
          <w:sz w:val="24"/>
          <w:szCs w:val="24"/>
          <w:lang w:eastAsia="it-IT"/>
        </w:rPr>
        <w:fldChar w:fldCharType="end"/>
      </w:r>
      <w:r w:rsidR="00315B29" w:rsidRPr="007B4FE2">
        <w:rPr>
          <w:rFonts w:ascii="Times New Roman" w:eastAsiaTheme="minorEastAsia" w:hAnsi="Times New Roman" w:cs="Times New Roman"/>
          <w:sz w:val="24"/>
          <w:szCs w:val="24"/>
          <w:lang w:eastAsia="it-IT"/>
        </w:rPr>
        <w:t>l</w:t>
      </w:r>
      <w:r w:rsidR="0000391D" w:rsidRPr="007B4FE2">
        <w:rPr>
          <w:rFonts w:ascii="Times New Roman" w:hAnsi="Times New Roman" w:cs="Times New Roman"/>
          <w:sz w:val="24"/>
          <w:szCs w:val="24"/>
        </w:rPr>
        <w:t xml:space="preserve">’ingresso del principio di proporzionalità nel nostro ordinamento nazionale è certamente da farsi risalire alla giurisprudenza della Corte di giustizia UE </w:t>
      </w:r>
      <w:r w:rsidR="00315B29" w:rsidRPr="007B4FE2">
        <w:rPr>
          <w:rFonts w:ascii="Times New Roman" w:hAnsi="Times New Roman" w:cs="Times New Roman"/>
          <w:sz w:val="24"/>
          <w:szCs w:val="24"/>
        </w:rPr>
        <w:t>(</w:t>
      </w:r>
      <w:r w:rsidR="0000391D" w:rsidRPr="007B4FE2">
        <w:rPr>
          <w:rFonts w:ascii="Times New Roman" w:hAnsi="Times New Roman" w:cs="Times New Roman"/>
          <w:sz w:val="24"/>
          <w:szCs w:val="24"/>
        </w:rPr>
        <w:t>ed alla potente azione di diffusione di principi e modelli di cui essa si è resa protagonista nel corso degli ultimi sessant’anni</w:t>
      </w:r>
      <w:r w:rsidR="0000391D" w:rsidRPr="007B4FE2">
        <w:rPr>
          <w:rStyle w:val="Rimandonotaapidipagina"/>
          <w:rFonts w:ascii="Times New Roman" w:hAnsi="Times New Roman" w:cs="Times New Roman"/>
          <w:sz w:val="24"/>
          <w:szCs w:val="24"/>
        </w:rPr>
        <w:footnoteReference w:id="3"/>
      </w:r>
      <w:r w:rsidR="00315B29" w:rsidRPr="007B4FE2">
        <w:rPr>
          <w:rFonts w:ascii="Times New Roman" w:hAnsi="Times New Roman" w:cs="Times New Roman"/>
          <w:sz w:val="24"/>
          <w:szCs w:val="24"/>
        </w:rPr>
        <w:t>),</w:t>
      </w:r>
      <w:r w:rsidR="006D342A" w:rsidRPr="007B4FE2">
        <w:rPr>
          <w:rFonts w:ascii="Times New Roman" w:hAnsi="Times New Roman" w:cs="Times New Roman"/>
          <w:sz w:val="24"/>
          <w:szCs w:val="24"/>
        </w:rPr>
        <w:t xml:space="preserve"> </w:t>
      </w:r>
      <w:r w:rsidR="0000391D" w:rsidRPr="007B4FE2">
        <w:rPr>
          <w:rFonts w:ascii="Times New Roman" w:hAnsi="Times New Roman" w:cs="Times New Roman"/>
          <w:sz w:val="24"/>
          <w:szCs w:val="24"/>
        </w:rPr>
        <w:t>le origini del principio</w:t>
      </w:r>
      <w:r w:rsidR="00315B29" w:rsidRPr="007B4FE2">
        <w:rPr>
          <w:rFonts w:ascii="Times New Roman" w:hAnsi="Times New Roman" w:cs="Times New Roman"/>
          <w:sz w:val="24"/>
          <w:szCs w:val="24"/>
        </w:rPr>
        <w:t xml:space="preserve"> sono tuttavia certamente </w:t>
      </w:r>
      <w:r w:rsidR="00A263C5" w:rsidRPr="007B4FE2">
        <w:rPr>
          <w:rFonts w:ascii="Times New Roman" w:hAnsi="Times New Roman" w:cs="Times New Roman"/>
          <w:sz w:val="24"/>
          <w:szCs w:val="24"/>
        </w:rPr>
        <w:t xml:space="preserve">da </w:t>
      </w:r>
      <w:r w:rsidR="0000391D" w:rsidRPr="007B4FE2">
        <w:rPr>
          <w:rFonts w:ascii="Times New Roman" w:hAnsi="Times New Roman" w:cs="Times New Roman"/>
          <w:sz w:val="24"/>
          <w:szCs w:val="24"/>
        </w:rPr>
        <w:t>farsi risalire al diritto tedesco</w:t>
      </w:r>
      <w:r w:rsidR="006D342A" w:rsidRPr="007B4FE2">
        <w:rPr>
          <w:rFonts w:ascii="Times New Roman" w:hAnsi="Times New Roman" w:cs="Times New Roman"/>
          <w:sz w:val="24"/>
          <w:szCs w:val="24"/>
        </w:rPr>
        <w:t>.</w:t>
      </w:r>
    </w:p>
    <w:p w:rsidR="006D342A" w:rsidRPr="007B4FE2" w:rsidRDefault="00315B29"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 </w:t>
      </w:r>
      <w:r w:rsidR="006D342A" w:rsidRPr="007B4FE2">
        <w:rPr>
          <w:rFonts w:ascii="Times New Roman" w:hAnsi="Times New Roman" w:cs="Times New Roman"/>
          <w:sz w:val="24"/>
          <w:szCs w:val="24"/>
        </w:rPr>
        <w:t xml:space="preserve">Dopo di che - come tenterò qui di rapidamente illustrare - </w:t>
      </w:r>
      <w:r w:rsidR="0000391D" w:rsidRPr="007B4FE2">
        <w:rPr>
          <w:rFonts w:ascii="Times New Roman" w:hAnsi="Times New Roman" w:cs="Times New Roman"/>
          <w:sz w:val="24"/>
          <w:szCs w:val="24"/>
        </w:rPr>
        <w:t>per il tramite della giurisprudenza della Corte di giustizia</w:t>
      </w:r>
      <w:r w:rsidR="006D342A"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di Lussemburgo </w:t>
      </w:r>
      <w:r w:rsidR="0000391D" w:rsidRPr="007B4FE2">
        <w:rPr>
          <w:rFonts w:ascii="Times New Roman" w:hAnsi="Times New Roman" w:cs="Times New Roman"/>
          <w:sz w:val="24"/>
          <w:szCs w:val="24"/>
        </w:rPr>
        <w:t>questo principio si è successivamente diffuso all’interno d</w:t>
      </w:r>
      <w:r w:rsidR="006D342A" w:rsidRPr="007B4FE2">
        <w:rPr>
          <w:rFonts w:ascii="Times New Roman" w:hAnsi="Times New Roman" w:cs="Times New Roman"/>
          <w:sz w:val="24"/>
          <w:szCs w:val="24"/>
        </w:rPr>
        <w:t xml:space="preserve">egli </w:t>
      </w:r>
      <w:r w:rsidR="0000391D" w:rsidRPr="007B4FE2">
        <w:rPr>
          <w:rFonts w:ascii="Times New Roman" w:hAnsi="Times New Roman" w:cs="Times New Roman"/>
          <w:sz w:val="24"/>
          <w:szCs w:val="24"/>
        </w:rPr>
        <w:t xml:space="preserve">ordinamenti </w:t>
      </w:r>
      <w:r w:rsidRPr="007B4FE2">
        <w:rPr>
          <w:rFonts w:ascii="Times New Roman" w:hAnsi="Times New Roman" w:cs="Times New Roman"/>
          <w:sz w:val="24"/>
          <w:szCs w:val="24"/>
        </w:rPr>
        <w:t>nazionali</w:t>
      </w:r>
      <w:r w:rsidR="006D342A" w:rsidRPr="007B4FE2">
        <w:rPr>
          <w:rFonts w:ascii="Times New Roman" w:hAnsi="Times New Roman" w:cs="Times New Roman"/>
          <w:sz w:val="24"/>
          <w:szCs w:val="24"/>
        </w:rPr>
        <w:t xml:space="preserve"> di altri Stati membri. Ma, più di recente, </w:t>
      </w:r>
      <w:r w:rsidR="00A263C5" w:rsidRPr="007B4FE2">
        <w:rPr>
          <w:rFonts w:ascii="Times New Roman" w:hAnsi="Times New Roman" w:cs="Times New Roman"/>
          <w:sz w:val="24"/>
          <w:szCs w:val="24"/>
        </w:rPr>
        <w:t xml:space="preserve">si è esteso </w:t>
      </w:r>
      <w:r w:rsidR="006D342A" w:rsidRPr="007B4FE2">
        <w:rPr>
          <w:rFonts w:ascii="Times New Roman" w:hAnsi="Times New Roman" w:cs="Times New Roman"/>
          <w:sz w:val="24"/>
          <w:szCs w:val="24"/>
        </w:rPr>
        <w:t>anche al di là d</w:t>
      </w:r>
      <w:r w:rsidR="00A263C5" w:rsidRPr="007B4FE2">
        <w:rPr>
          <w:rFonts w:ascii="Times New Roman" w:hAnsi="Times New Roman" w:cs="Times New Roman"/>
          <w:sz w:val="24"/>
          <w:szCs w:val="24"/>
        </w:rPr>
        <w:t xml:space="preserve">ei confini dell’Unione europea, in ragione del suo </w:t>
      </w:r>
      <w:r w:rsidR="006D342A" w:rsidRPr="007B4FE2">
        <w:rPr>
          <w:rFonts w:ascii="Times New Roman" w:hAnsi="Times New Roman" w:cs="Times New Roman"/>
          <w:sz w:val="24"/>
          <w:szCs w:val="24"/>
        </w:rPr>
        <w:t>enorme potenziale</w:t>
      </w:r>
      <w:r w:rsidR="00A263C5" w:rsidRPr="007B4FE2">
        <w:rPr>
          <w:rFonts w:ascii="Times New Roman" w:hAnsi="Times New Roman" w:cs="Times New Roman"/>
          <w:sz w:val="24"/>
          <w:szCs w:val="24"/>
        </w:rPr>
        <w:t xml:space="preserve"> quale strumento di sindacato giurisdizionale dell’azione dei poteri pubblici</w:t>
      </w:r>
      <w:r w:rsidR="006D342A" w:rsidRPr="007B4FE2">
        <w:rPr>
          <w:rFonts w:ascii="Times New Roman" w:hAnsi="Times New Roman" w:cs="Times New Roman"/>
          <w:sz w:val="24"/>
          <w:szCs w:val="24"/>
        </w:rPr>
        <w:t>.</w:t>
      </w:r>
    </w:p>
    <w:p w:rsidR="00097C5D" w:rsidRDefault="00097C5D" w:rsidP="007B4FE2">
      <w:pPr>
        <w:spacing w:after="0" w:line="360" w:lineRule="auto"/>
        <w:ind w:firstLine="709"/>
        <w:jc w:val="both"/>
        <w:rPr>
          <w:rFonts w:ascii="Times New Roman" w:hAnsi="Times New Roman" w:cs="Times New Roman"/>
          <w:sz w:val="24"/>
          <w:szCs w:val="24"/>
        </w:rPr>
      </w:pPr>
    </w:p>
    <w:p w:rsidR="009453D5" w:rsidRPr="007B4FE2" w:rsidRDefault="009453D5" w:rsidP="007B4FE2">
      <w:pPr>
        <w:spacing w:after="0" w:line="360" w:lineRule="auto"/>
        <w:ind w:firstLine="709"/>
        <w:jc w:val="both"/>
        <w:rPr>
          <w:rFonts w:ascii="Times New Roman" w:hAnsi="Times New Roman" w:cs="Times New Roman"/>
          <w:sz w:val="24"/>
          <w:szCs w:val="24"/>
        </w:rPr>
      </w:pPr>
    </w:p>
    <w:p w:rsidR="00DF70C3" w:rsidRPr="007B4FE2" w:rsidRDefault="00DF70C3" w:rsidP="007B4FE2">
      <w:pPr>
        <w:spacing w:after="0" w:line="360" w:lineRule="auto"/>
        <w:ind w:firstLine="709"/>
        <w:jc w:val="both"/>
        <w:rPr>
          <w:rFonts w:ascii="Times New Roman" w:hAnsi="Times New Roman" w:cs="Times New Roman"/>
          <w:b/>
          <w:sz w:val="24"/>
          <w:szCs w:val="24"/>
        </w:rPr>
      </w:pPr>
      <w:r w:rsidRPr="007B4FE2">
        <w:rPr>
          <w:rFonts w:ascii="Times New Roman" w:hAnsi="Times New Roman" w:cs="Times New Roman"/>
          <w:b/>
          <w:sz w:val="24"/>
          <w:szCs w:val="24"/>
        </w:rPr>
        <w:lastRenderedPageBreak/>
        <w:t>2. Il principio di proporzionalità nel diritto tedesco</w:t>
      </w:r>
    </w:p>
    <w:p w:rsidR="00CC53D2" w:rsidRPr="007B4FE2" w:rsidRDefault="004F1E1A"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Nel diritto tedesco, il concetto di proporzionalità quale </w:t>
      </w:r>
      <w:proofErr w:type="spellStart"/>
      <w:r w:rsidRPr="007B4FE2">
        <w:rPr>
          <w:rFonts w:ascii="Times New Roman" w:hAnsi="Times New Roman" w:cs="Times New Roman"/>
          <w:i/>
          <w:sz w:val="24"/>
          <w:szCs w:val="24"/>
        </w:rPr>
        <w:t>terminus</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tecnicus</w:t>
      </w:r>
      <w:proofErr w:type="spellEnd"/>
      <w:r w:rsidRPr="007B4FE2">
        <w:rPr>
          <w:rFonts w:ascii="Times New Roman" w:hAnsi="Times New Roman" w:cs="Times New Roman"/>
          <w:sz w:val="24"/>
          <w:szCs w:val="24"/>
        </w:rPr>
        <w:t xml:space="preserve"> del linguaggio giuridico viene</w:t>
      </w:r>
      <w:r w:rsidR="00855AE8"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utilizzato per la prima volta </w:t>
      </w:r>
      <w:r w:rsidR="006F21CA" w:rsidRPr="007B4FE2">
        <w:rPr>
          <w:rFonts w:ascii="Times New Roman" w:hAnsi="Times New Roman" w:cs="Times New Roman"/>
          <w:sz w:val="24"/>
          <w:szCs w:val="24"/>
        </w:rPr>
        <w:t xml:space="preserve">già </w:t>
      </w:r>
      <w:r w:rsidRPr="007B4FE2">
        <w:rPr>
          <w:rFonts w:ascii="Times New Roman" w:hAnsi="Times New Roman" w:cs="Times New Roman"/>
          <w:sz w:val="24"/>
          <w:szCs w:val="24"/>
        </w:rPr>
        <w:t>nel 1802, da</w:t>
      </w:r>
      <w:r w:rsidR="00FC2497" w:rsidRPr="007B4FE2">
        <w:rPr>
          <w:rFonts w:ascii="Times New Roman" w:hAnsi="Times New Roman" w:cs="Times New Roman"/>
          <w:sz w:val="24"/>
          <w:szCs w:val="24"/>
        </w:rPr>
        <w:t xml:space="preserve"> </w:t>
      </w:r>
      <w:proofErr w:type="spellStart"/>
      <w:r w:rsidR="00CC53D2" w:rsidRPr="007B4FE2">
        <w:rPr>
          <w:rFonts w:ascii="Times New Roman" w:hAnsi="Times New Roman" w:cs="Times New Roman"/>
          <w:i/>
          <w:sz w:val="24"/>
          <w:szCs w:val="24"/>
        </w:rPr>
        <w:t>Günther</w:t>
      </w:r>
      <w:proofErr w:type="spellEnd"/>
      <w:r w:rsidR="00CC53D2" w:rsidRPr="007B4FE2">
        <w:rPr>
          <w:rFonts w:ascii="Times New Roman" w:hAnsi="Times New Roman" w:cs="Times New Roman"/>
          <w:i/>
          <w:sz w:val="24"/>
          <w:szCs w:val="24"/>
        </w:rPr>
        <w:t xml:space="preserve"> v</w:t>
      </w:r>
      <w:r w:rsidRPr="007B4FE2">
        <w:rPr>
          <w:rFonts w:ascii="Times New Roman" w:hAnsi="Times New Roman" w:cs="Times New Roman"/>
          <w:i/>
          <w:sz w:val="24"/>
          <w:szCs w:val="24"/>
        </w:rPr>
        <w:t xml:space="preserve">on </w:t>
      </w:r>
      <w:proofErr w:type="spellStart"/>
      <w:r w:rsidRPr="007B4FE2">
        <w:rPr>
          <w:rFonts w:ascii="Times New Roman" w:hAnsi="Times New Roman" w:cs="Times New Roman"/>
          <w:i/>
          <w:sz w:val="24"/>
          <w:szCs w:val="24"/>
        </w:rPr>
        <w:t>Berg</w:t>
      </w:r>
      <w:proofErr w:type="spellEnd"/>
      <w:r w:rsidRPr="007B4FE2">
        <w:rPr>
          <w:rFonts w:ascii="Times New Roman" w:hAnsi="Times New Roman" w:cs="Times New Roman"/>
          <w:sz w:val="24"/>
          <w:szCs w:val="24"/>
          <w:vertAlign w:val="superscript"/>
        </w:rPr>
        <w:footnoteReference w:id="4"/>
      </w:r>
      <w:r w:rsidR="00855AE8" w:rsidRPr="007B4FE2">
        <w:rPr>
          <w:rFonts w:ascii="Times New Roman" w:hAnsi="Times New Roman" w:cs="Times New Roman"/>
          <w:sz w:val="24"/>
          <w:szCs w:val="24"/>
        </w:rPr>
        <w:t>.</w:t>
      </w:r>
      <w:r w:rsidR="008B64A0" w:rsidRPr="007B4FE2">
        <w:rPr>
          <w:rFonts w:ascii="Times New Roman" w:hAnsi="Times New Roman" w:cs="Times New Roman"/>
          <w:sz w:val="24"/>
          <w:szCs w:val="24"/>
        </w:rPr>
        <w:t xml:space="preserve"> </w:t>
      </w:r>
    </w:p>
    <w:p w:rsidR="00855AE8" w:rsidRPr="007B4FE2" w:rsidRDefault="00855AE8"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Mentre è di </w:t>
      </w:r>
      <w:r w:rsidR="00D71D46" w:rsidRPr="007B4FE2">
        <w:rPr>
          <w:rFonts w:ascii="Times New Roman" w:hAnsi="Times New Roman" w:cs="Times New Roman"/>
          <w:sz w:val="24"/>
          <w:szCs w:val="24"/>
        </w:rPr>
        <w:t xml:space="preserve">oltre </w:t>
      </w:r>
      <w:r w:rsidRPr="007B4FE2">
        <w:rPr>
          <w:rFonts w:ascii="Times New Roman" w:hAnsi="Times New Roman" w:cs="Times New Roman"/>
          <w:sz w:val="24"/>
          <w:szCs w:val="24"/>
        </w:rPr>
        <w:t>un secolo più tardi la f</w:t>
      </w:r>
      <w:r w:rsidR="007F48E8" w:rsidRPr="007B4FE2">
        <w:rPr>
          <w:rFonts w:ascii="Times New Roman" w:hAnsi="Times New Roman" w:cs="Times New Roman"/>
          <w:sz w:val="24"/>
          <w:szCs w:val="24"/>
        </w:rPr>
        <w:t xml:space="preserve">amosa </w:t>
      </w:r>
      <w:r w:rsidR="0000391D" w:rsidRPr="007B4FE2">
        <w:rPr>
          <w:rFonts w:ascii="Times New Roman" w:hAnsi="Times New Roman" w:cs="Times New Roman"/>
          <w:sz w:val="24"/>
          <w:szCs w:val="24"/>
        </w:rPr>
        <w:t>formula</w:t>
      </w:r>
      <w:r w:rsidR="006D342A" w:rsidRPr="007B4FE2">
        <w:rPr>
          <w:rFonts w:ascii="Times New Roman" w:hAnsi="Times New Roman" w:cs="Times New Roman"/>
          <w:sz w:val="24"/>
          <w:szCs w:val="24"/>
        </w:rPr>
        <w:t xml:space="preserve"> descrittiva </w:t>
      </w:r>
      <w:r w:rsidR="0000391D" w:rsidRPr="007B4FE2">
        <w:rPr>
          <w:rFonts w:ascii="Times New Roman" w:hAnsi="Times New Roman" w:cs="Times New Roman"/>
          <w:sz w:val="24"/>
          <w:szCs w:val="24"/>
        </w:rPr>
        <w:t>coniata</w:t>
      </w:r>
      <w:r w:rsidR="008B64A0" w:rsidRPr="007B4FE2">
        <w:rPr>
          <w:rFonts w:ascii="Times New Roman" w:hAnsi="Times New Roman" w:cs="Times New Roman"/>
          <w:sz w:val="24"/>
          <w:szCs w:val="24"/>
        </w:rPr>
        <w:t xml:space="preserve"> </w:t>
      </w:r>
      <w:r w:rsidR="0000391D" w:rsidRPr="007B4FE2">
        <w:rPr>
          <w:rFonts w:ascii="Times New Roman" w:hAnsi="Times New Roman" w:cs="Times New Roman"/>
          <w:sz w:val="24"/>
          <w:szCs w:val="24"/>
        </w:rPr>
        <w:t xml:space="preserve">da </w:t>
      </w:r>
      <w:r w:rsidR="0000391D" w:rsidRPr="007B4FE2">
        <w:rPr>
          <w:rFonts w:ascii="Times New Roman" w:hAnsi="Times New Roman" w:cs="Times New Roman"/>
          <w:i/>
          <w:sz w:val="24"/>
          <w:szCs w:val="24"/>
        </w:rPr>
        <w:t xml:space="preserve">Fritz </w:t>
      </w:r>
      <w:proofErr w:type="spellStart"/>
      <w:r w:rsidR="0000391D" w:rsidRPr="007B4FE2">
        <w:rPr>
          <w:rFonts w:ascii="Times New Roman" w:hAnsi="Times New Roman" w:cs="Times New Roman"/>
          <w:i/>
          <w:sz w:val="24"/>
          <w:szCs w:val="24"/>
        </w:rPr>
        <w:t>Fleiner</w:t>
      </w:r>
      <w:proofErr w:type="spellEnd"/>
      <w:r w:rsidR="001F3A6F" w:rsidRPr="007B4FE2">
        <w:rPr>
          <w:rFonts w:ascii="Times New Roman" w:hAnsi="Times New Roman" w:cs="Times New Roman"/>
          <w:i/>
          <w:sz w:val="24"/>
          <w:szCs w:val="24"/>
        </w:rPr>
        <w:t>,</w:t>
      </w:r>
      <w:r w:rsidR="006D342A" w:rsidRPr="007B4FE2">
        <w:rPr>
          <w:rFonts w:ascii="Times New Roman" w:hAnsi="Times New Roman" w:cs="Times New Roman"/>
          <w:i/>
          <w:sz w:val="24"/>
          <w:szCs w:val="24"/>
        </w:rPr>
        <w:t xml:space="preserve"> </w:t>
      </w:r>
      <w:r w:rsidR="006D342A" w:rsidRPr="007B4FE2">
        <w:rPr>
          <w:rFonts w:ascii="Times New Roman" w:hAnsi="Times New Roman" w:cs="Times New Roman"/>
          <w:sz w:val="24"/>
          <w:szCs w:val="24"/>
        </w:rPr>
        <w:t xml:space="preserve">illustre </w:t>
      </w:r>
      <w:r w:rsidR="000D74C4" w:rsidRPr="007B4FE2">
        <w:rPr>
          <w:rFonts w:ascii="Times New Roman" w:hAnsi="Times New Roman" w:cs="Times New Roman"/>
          <w:sz w:val="24"/>
          <w:szCs w:val="24"/>
        </w:rPr>
        <w:t xml:space="preserve">allievo di </w:t>
      </w:r>
      <w:r w:rsidR="000D74C4" w:rsidRPr="007B4FE2">
        <w:rPr>
          <w:rFonts w:ascii="Times New Roman" w:hAnsi="Times New Roman" w:cs="Times New Roman"/>
          <w:i/>
          <w:sz w:val="24"/>
          <w:szCs w:val="24"/>
        </w:rPr>
        <w:t xml:space="preserve">Otto Mayer </w:t>
      </w:r>
      <w:r w:rsidRPr="007B4FE2">
        <w:rPr>
          <w:rFonts w:ascii="Times New Roman" w:hAnsi="Times New Roman" w:cs="Times New Roman"/>
          <w:sz w:val="24"/>
          <w:szCs w:val="24"/>
        </w:rPr>
        <w:t>(</w:t>
      </w:r>
      <w:r w:rsidR="000D74C4" w:rsidRPr="007B4FE2">
        <w:rPr>
          <w:rFonts w:ascii="Times New Roman" w:hAnsi="Times New Roman" w:cs="Times New Roman"/>
          <w:sz w:val="24"/>
          <w:szCs w:val="24"/>
        </w:rPr>
        <w:t>e</w:t>
      </w:r>
      <w:r w:rsidR="006D342A" w:rsidRPr="007B4FE2">
        <w:rPr>
          <w:rFonts w:ascii="Times New Roman" w:hAnsi="Times New Roman" w:cs="Times New Roman"/>
          <w:sz w:val="24"/>
          <w:szCs w:val="24"/>
        </w:rPr>
        <w:t>d</w:t>
      </w:r>
      <w:r w:rsidR="000D74C4" w:rsidRPr="007B4FE2">
        <w:rPr>
          <w:rFonts w:ascii="Times New Roman" w:hAnsi="Times New Roman" w:cs="Times New Roman"/>
          <w:sz w:val="24"/>
          <w:szCs w:val="24"/>
        </w:rPr>
        <w:t xml:space="preserve"> a sua volta</w:t>
      </w:r>
      <w:r w:rsidR="0000391D" w:rsidRPr="007B4FE2">
        <w:rPr>
          <w:rFonts w:ascii="Times New Roman" w:hAnsi="Times New Roman" w:cs="Times New Roman"/>
          <w:sz w:val="24"/>
          <w:szCs w:val="24"/>
        </w:rPr>
        <w:t xml:space="preserve"> uno dei padri fondatori del Diritto amministrativo tedesco</w:t>
      </w:r>
      <w:r w:rsidRPr="007B4FE2">
        <w:rPr>
          <w:rFonts w:ascii="Times New Roman" w:hAnsi="Times New Roman" w:cs="Times New Roman"/>
          <w:sz w:val="24"/>
          <w:szCs w:val="24"/>
        </w:rPr>
        <w:t>)</w:t>
      </w:r>
      <w:r w:rsidR="0000391D" w:rsidRPr="007B4FE2">
        <w:rPr>
          <w:rStyle w:val="Rimandonotaapidipagina"/>
          <w:rFonts w:ascii="Times New Roman" w:hAnsi="Times New Roman" w:cs="Times New Roman"/>
          <w:sz w:val="24"/>
          <w:szCs w:val="24"/>
          <w:lang w:val="en-US"/>
        </w:rPr>
        <w:footnoteReference w:id="5"/>
      </w:r>
      <w:r w:rsidR="00D71D46" w:rsidRPr="007B4FE2">
        <w:rPr>
          <w:rFonts w:ascii="Times New Roman" w:hAnsi="Times New Roman" w:cs="Times New Roman"/>
          <w:sz w:val="24"/>
          <w:szCs w:val="24"/>
        </w:rPr>
        <w:t>: c</w:t>
      </w:r>
      <w:r w:rsidR="006B3536" w:rsidRPr="007B4FE2">
        <w:rPr>
          <w:rFonts w:ascii="Times New Roman" w:hAnsi="Times New Roman" w:cs="Times New Roman"/>
          <w:sz w:val="24"/>
          <w:szCs w:val="24"/>
        </w:rPr>
        <w:t xml:space="preserve">he </w:t>
      </w:r>
      <w:r w:rsidR="0000391D" w:rsidRPr="007B4FE2">
        <w:rPr>
          <w:rFonts w:ascii="Times New Roman" w:hAnsi="Times New Roman" w:cs="Times New Roman"/>
          <w:sz w:val="24"/>
          <w:szCs w:val="24"/>
        </w:rPr>
        <w:t>spiegava</w:t>
      </w:r>
      <w:r w:rsidR="00BD7FF9" w:rsidRPr="007B4FE2">
        <w:rPr>
          <w:rFonts w:ascii="Times New Roman" w:hAnsi="Times New Roman" w:cs="Times New Roman"/>
          <w:sz w:val="24"/>
          <w:szCs w:val="24"/>
        </w:rPr>
        <w:t xml:space="preserve"> </w:t>
      </w:r>
      <w:r w:rsidR="001F3A6F" w:rsidRPr="007B4FE2">
        <w:rPr>
          <w:rFonts w:ascii="Times New Roman" w:hAnsi="Times New Roman" w:cs="Times New Roman"/>
          <w:sz w:val="24"/>
          <w:szCs w:val="24"/>
        </w:rPr>
        <w:t>-</w:t>
      </w:r>
      <w:r w:rsidR="006D342A" w:rsidRPr="007B4FE2">
        <w:rPr>
          <w:rFonts w:ascii="Times New Roman" w:hAnsi="Times New Roman" w:cs="Times New Roman"/>
          <w:sz w:val="24"/>
          <w:szCs w:val="24"/>
        </w:rPr>
        <w:t xml:space="preserve"> </w:t>
      </w:r>
      <w:r w:rsidR="00DF70C3" w:rsidRPr="007B4FE2">
        <w:rPr>
          <w:rFonts w:ascii="Times New Roman" w:hAnsi="Times New Roman" w:cs="Times New Roman"/>
          <w:sz w:val="24"/>
          <w:szCs w:val="24"/>
        </w:rPr>
        <w:t xml:space="preserve">dando prova di una capacità di </w:t>
      </w:r>
      <w:r w:rsidR="007F48E8" w:rsidRPr="007B4FE2">
        <w:rPr>
          <w:rFonts w:ascii="Times New Roman" w:hAnsi="Times New Roman" w:cs="Times New Roman"/>
          <w:sz w:val="24"/>
          <w:szCs w:val="24"/>
        </w:rPr>
        <w:t>sintesi magistrale</w:t>
      </w:r>
      <w:r w:rsidR="001F3A6F" w:rsidRPr="007B4FE2">
        <w:rPr>
          <w:rFonts w:ascii="Times New Roman" w:hAnsi="Times New Roman" w:cs="Times New Roman"/>
          <w:sz w:val="24"/>
          <w:szCs w:val="24"/>
        </w:rPr>
        <w:t>! -</w:t>
      </w:r>
      <w:r w:rsidR="006D342A" w:rsidRPr="007B4FE2">
        <w:rPr>
          <w:rFonts w:ascii="Times New Roman" w:hAnsi="Times New Roman" w:cs="Times New Roman"/>
          <w:sz w:val="24"/>
          <w:szCs w:val="24"/>
        </w:rPr>
        <w:t xml:space="preserve"> </w:t>
      </w:r>
      <w:r w:rsidR="0000391D" w:rsidRPr="007B4FE2">
        <w:rPr>
          <w:rFonts w:ascii="Times New Roman" w:hAnsi="Times New Roman" w:cs="Times New Roman"/>
          <w:sz w:val="24"/>
          <w:szCs w:val="24"/>
        </w:rPr>
        <w:t>come il principio di proporzionalità implicasse che "</w:t>
      </w:r>
      <w:r w:rsidR="0000391D" w:rsidRPr="007B4FE2">
        <w:rPr>
          <w:rFonts w:ascii="Times New Roman" w:hAnsi="Times New Roman" w:cs="Times New Roman"/>
          <w:i/>
          <w:sz w:val="24"/>
          <w:szCs w:val="24"/>
        </w:rPr>
        <w:t>La polizia non deve sparare ai passeri con i cannoni</w:t>
      </w:r>
      <w:r w:rsidR="0000391D" w:rsidRPr="007B4FE2">
        <w:rPr>
          <w:rFonts w:ascii="Times New Roman" w:hAnsi="Times New Roman" w:cs="Times New Roman"/>
          <w:sz w:val="24"/>
          <w:szCs w:val="24"/>
        </w:rPr>
        <w:t>"</w:t>
      </w:r>
      <w:r w:rsidR="0000391D" w:rsidRPr="007B4FE2">
        <w:rPr>
          <w:rStyle w:val="Rimandonotaapidipagina"/>
          <w:rFonts w:ascii="Times New Roman" w:hAnsi="Times New Roman" w:cs="Times New Roman"/>
          <w:sz w:val="24"/>
          <w:szCs w:val="24"/>
        </w:rPr>
        <w:footnoteReference w:id="6"/>
      </w:r>
      <w:r w:rsidR="006B3536" w:rsidRPr="007B4FE2">
        <w:rPr>
          <w:rFonts w:ascii="Times New Roman" w:hAnsi="Times New Roman" w:cs="Times New Roman"/>
          <w:sz w:val="24"/>
          <w:szCs w:val="24"/>
        </w:rPr>
        <w:t>; s</w:t>
      </w:r>
      <w:r w:rsidR="007F48E8" w:rsidRPr="007B4FE2">
        <w:rPr>
          <w:rFonts w:ascii="Times New Roman" w:hAnsi="Times New Roman" w:cs="Times New Roman"/>
          <w:sz w:val="24"/>
          <w:szCs w:val="24"/>
        </w:rPr>
        <w:t>icché</w:t>
      </w:r>
      <w:r w:rsidR="00791B27" w:rsidRPr="007B4FE2">
        <w:rPr>
          <w:rFonts w:ascii="Times New Roman" w:hAnsi="Times New Roman" w:cs="Times New Roman"/>
          <w:sz w:val="24"/>
          <w:szCs w:val="24"/>
        </w:rPr>
        <w:t>,</w:t>
      </w:r>
      <w:r w:rsidR="007F48E8" w:rsidRPr="007B4FE2">
        <w:rPr>
          <w:rFonts w:ascii="Times New Roman" w:hAnsi="Times New Roman" w:cs="Times New Roman"/>
          <w:sz w:val="24"/>
          <w:szCs w:val="24"/>
        </w:rPr>
        <w:t xml:space="preserve"> </w:t>
      </w:r>
      <w:r w:rsidR="0000391D" w:rsidRPr="007B4FE2">
        <w:rPr>
          <w:rFonts w:ascii="Times New Roman" w:hAnsi="Times New Roman" w:cs="Times New Roman"/>
          <w:sz w:val="24"/>
          <w:szCs w:val="24"/>
        </w:rPr>
        <w:t xml:space="preserve">le </w:t>
      </w:r>
      <w:r w:rsidR="007F48E8" w:rsidRPr="007B4FE2">
        <w:rPr>
          <w:rFonts w:ascii="Times New Roman" w:hAnsi="Times New Roman" w:cs="Times New Roman"/>
          <w:sz w:val="24"/>
          <w:szCs w:val="24"/>
        </w:rPr>
        <w:t xml:space="preserve">(pur imprescindibili) </w:t>
      </w:r>
      <w:r w:rsidR="0000391D" w:rsidRPr="007B4FE2">
        <w:rPr>
          <w:rFonts w:ascii="Times New Roman" w:hAnsi="Times New Roman" w:cs="Times New Roman"/>
          <w:sz w:val="24"/>
          <w:szCs w:val="24"/>
        </w:rPr>
        <w:t>limitazioni alla libertà individuale</w:t>
      </w:r>
      <w:r w:rsidR="007F48E8" w:rsidRPr="007B4FE2">
        <w:rPr>
          <w:rFonts w:ascii="Times New Roman" w:hAnsi="Times New Roman" w:cs="Times New Roman"/>
          <w:sz w:val="24"/>
          <w:szCs w:val="24"/>
        </w:rPr>
        <w:t xml:space="preserve"> </w:t>
      </w:r>
      <w:r w:rsidR="004B6D21" w:rsidRPr="007B4FE2">
        <w:rPr>
          <w:rFonts w:ascii="Times New Roman" w:hAnsi="Times New Roman" w:cs="Times New Roman"/>
          <w:sz w:val="24"/>
          <w:szCs w:val="24"/>
        </w:rPr>
        <w:t xml:space="preserve">imposte </w:t>
      </w:r>
      <w:r w:rsidR="007F48E8" w:rsidRPr="007B4FE2">
        <w:rPr>
          <w:rFonts w:ascii="Times New Roman" w:hAnsi="Times New Roman" w:cs="Times New Roman"/>
          <w:sz w:val="24"/>
          <w:szCs w:val="24"/>
        </w:rPr>
        <w:t>dal</w:t>
      </w:r>
      <w:r w:rsidR="00CC53D2" w:rsidRPr="007B4FE2">
        <w:rPr>
          <w:rFonts w:ascii="Times New Roman" w:hAnsi="Times New Roman" w:cs="Times New Roman"/>
          <w:sz w:val="24"/>
          <w:szCs w:val="24"/>
        </w:rPr>
        <w:t>le</w:t>
      </w:r>
      <w:r w:rsidR="00FC2497" w:rsidRPr="007B4FE2">
        <w:rPr>
          <w:rFonts w:ascii="Times New Roman" w:hAnsi="Times New Roman" w:cs="Times New Roman"/>
          <w:sz w:val="24"/>
          <w:szCs w:val="24"/>
        </w:rPr>
        <w:t xml:space="preserve"> </w:t>
      </w:r>
      <w:r w:rsidR="00CC53D2" w:rsidRPr="007B4FE2">
        <w:rPr>
          <w:rFonts w:ascii="Times New Roman" w:hAnsi="Times New Roman" w:cs="Times New Roman"/>
          <w:sz w:val="24"/>
          <w:szCs w:val="24"/>
        </w:rPr>
        <w:t>esigenze di tutela dell’interesse pubblico (e di cui si fanno carico i</w:t>
      </w:r>
      <w:r w:rsidR="00FC2497" w:rsidRPr="007B4FE2">
        <w:rPr>
          <w:rFonts w:ascii="Times New Roman" w:hAnsi="Times New Roman" w:cs="Times New Roman"/>
          <w:sz w:val="24"/>
          <w:szCs w:val="24"/>
        </w:rPr>
        <w:t xml:space="preserve"> </w:t>
      </w:r>
      <w:r w:rsidR="00CC53D2" w:rsidRPr="007B4FE2">
        <w:rPr>
          <w:rFonts w:ascii="Times New Roman" w:hAnsi="Times New Roman" w:cs="Times New Roman"/>
          <w:sz w:val="24"/>
          <w:szCs w:val="24"/>
        </w:rPr>
        <w:t>pubblici poteri)</w:t>
      </w:r>
      <w:r w:rsidR="0000391D" w:rsidRPr="007B4FE2">
        <w:rPr>
          <w:rFonts w:ascii="Times New Roman" w:hAnsi="Times New Roman" w:cs="Times New Roman"/>
          <w:sz w:val="24"/>
          <w:szCs w:val="24"/>
        </w:rPr>
        <w:t xml:space="preserve"> non debbono mai superare la misura di quanto appaia assolutamente ne</w:t>
      </w:r>
      <w:r w:rsidR="007F48E8" w:rsidRPr="007B4FE2">
        <w:rPr>
          <w:rFonts w:ascii="Times New Roman" w:hAnsi="Times New Roman" w:cs="Times New Roman"/>
          <w:sz w:val="24"/>
          <w:szCs w:val="24"/>
        </w:rPr>
        <w:t xml:space="preserve">cessario al raggiungimento dello specifico </w:t>
      </w:r>
      <w:r w:rsidR="0000391D" w:rsidRPr="007B4FE2">
        <w:rPr>
          <w:rFonts w:ascii="Times New Roman" w:hAnsi="Times New Roman" w:cs="Times New Roman"/>
          <w:sz w:val="24"/>
          <w:szCs w:val="24"/>
        </w:rPr>
        <w:t>obiettivo di pubblico interesse perseguito d</w:t>
      </w:r>
      <w:r w:rsidR="007F48E8" w:rsidRPr="007B4FE2">
        <w:rPr>
          <w:rFonts w:ascii="Times New Roman" w:hAnsi="Times New Roman" w:cs="Times New Roman"/>
          <w:sz w:val="24"/>
          <w:szCs w:val="24"/>
        </w:rPr>
        <w:t>all'autorità che, di volta in volta, agisca</w:t>
      </w:r>
      <w:r w:rsidR="006B3536" w:rsidRPr="007B4FE2">
        <w:rPr>
          <w:rFonts w:ascii="Times New Roman" w:hAnsi="Times New Roman" w:cs="Times New Roman"/>
          <w:sz w:val="24"/>
          <w:szCs w:val="24"/>
        </w:rPr>
        <w:t xml:space="preserve"> per il suo perseguimento</w:t>
      </w:r>
      <w:r w:rsidR="00D7005B" w:rsidRPr="007B4FE2">
        <w:rPr>
          <w:rFonts w:ascii="Times New Roman" w:hAnsi="Times New Roman" w:cs="Times New Roman"/>
          <w:sz w:val="24"/>
          <w:szCs w:val="24"/>
          <w:vertAlign w:val="superscript"/>
        </w:rPr>
        <w:footnoteReference w:id="7"/>
      </w:r>
      <w:r w:rsidR="00D7005B" w:rsidRPr="007B4FE2">
        <w:rPr>
          <w:rFonts w:ascii="Times New Roman" w:hAnsi="Times New Roman" w:cs="Times New Roman"/>
          <w:sz w:val="24"/>
          <w:szCs w:val="24"/>
        </w:rPr>
        <w:t>.</w:t>
      </w:r>
    </w:p>
    <w:p w:rsidR="004F1E1A" w:rsidRPr="007B4FE2" w:rsidRDefault="006B3536"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Quanto al campo di applicazione del principio</w:t>
      </w:r>
      <w:r w:rsidR="00D71D46" w:rsidRPr="007B4FE2">
        <w:rPr>
          <w:rFonts w:ascii="Times New Roman" w:hAnsi="Times New Roman" w:cs="Times New Roman"/>
          <w:sz w:val="24"/>
          <w:szCs w:val="24"/>
        </w:rPr>
        <w:t xml:space="preserve"> di proporzionalità</w:t>
      </w:r>
      <w:r w:rsidR="00CC53D2" w:rsidRPr="007B4FE2">
        <w:rPr>
          <w:rFonts w:ascii="Times New Roman" w:hAnsi="Times New Roman" w:cs="Times New Roman"/>
          <w:sz w:val="24"/>
          <w:szCs w:val="24"/>
        </w:rPr>
        <w:t>,</w:t>
      </w:r>
      <w:r w:rsidR="00FC2497" w:rsidRPr="007B4FE2">
        <w:rPr>
          <w:rFonts w:ascii="Times New Roman" w:hAnsi="Times New Roman" w:cs="Times New Roman"/>
          <w:sz w:val="24"/>
          <w:szCs w:val="24"/>
        </w:rPr>
        <w:t xml:space="preserve"> </w:t>
      </w:r>
      <w:proofErr w:type="spellStart"/>
      <w:r w:rsidR="00CC53D2" w:rsidRPr="007B4FE2">
        <w:rPr>
          <w:rFonts w:ascii="Times New Roman" w:hAnsi="Times New Roman" w:cs="Times New Roman"/>
          <w:i/>
          <w:sz w:val="24"/>
          <w:szCs w:val="24"/>
        </w:rPr>
        <w:t>Rupprecht</w:t>
      </w:r>
      <w:proofErr w:type="spellEnd"/>
      <w:r w:rsidR="00CC53D2" w:rsidRPr="007B4FE2">
        <w:rPr>
          <w:rFonts w:ascii="Times New Roman" w:hAnsi="Times New Roman" w:cs="Times New Roman"/>
          <w:i/>
          <w:sz w:val="24"/>
          <w:szCs w:val="24"/>
        </w:rPr>
        <w:t xml:space="preserve"> v</w:t>
      </w:r>
      <w:r w:rsidR="00855AE8" w:rsidRPr="007B4FE2">
        <w:rPr>
          <w:rFonts w:ascii="Times New Roman" w:hAnsi="Times New Roman" w:cs="Times New Roman"/>
          <w:i/>
          <w:sz w:val="24"/>
          <w:szCs w:val="24"/>
        </w:rPr>
        <w:t xml:space="preserve">on </w:t>
      </w:r>
      <w:proofErr w:type="spellStart"/>
      <w:r w:rsidR="00855AE8" w:rsidRPr="007B4FE2">
        <w:rPr>
          <w:rFonts w:ascii="Times New Roman" w:hAnsi="Times New Roman" w:cs="Times New Roman"/>
          <w:i/>
          <w:sz w:val="24"/>
          <w:szCs w:val="24"/>
        </w:rPr>
        <w:t>Krauss</w:t>
      </w:r>
      <w:proofErr w:type="spellEnd"/>
      <w:r w:rsidR="008B64A0" w:rsidRPr="007B4FE2">
        <w:rPr>
          <w:rFonts w:ascii="Times New Roman" w:hAnsi="Times New Roman" w:cs="Times New Roman"/>
          <w:i/>
          <w:sz w:val="24"/>
          <w:szCs w:val="24"/>
        </w:rPr>
        <w:t xml:space="preserve"> </w:t>
      </w:r>
      <w:r w:rsidR="00855AE8" w:rsidRPr="007B4FE2">
        <w:rPr>
          <w:rFonts w:ascii="Times New Roman" w:hAnsi="Times New Roman" w:cs="Times New Roman"/>
          <w:sz w:val="24"/>
          <w:szCs w:val="24"/>
        </w:rPr>
        <w:t>scriveva</w:t>
      </w:r>
      <w:r w:rsidR="00CC53D2" w:rsidRPr="007B4FE2">
        <w:rPr>
          <w:rFonts w:ascii="Times New Roman" w:hAnsi="Times New Roman" w:cs="Times New Roman"/>
          <w:sz w:val="24"/>
          <w:szCs w:val="24"/>
        </w:rPr>
        <w:t xml:space="preserve"> - nel suo fondamentale studio sul principio di proporzionalità del 1955 -</w:t>
      </w:r>
      <w:r w:rsidR="00FC2497" w:rsidRPr="007B4FE2">
        <w:rPr>
          <w:rFonts w:ascii="Times New Roman" w:hAnsi="Times New Roman" w:cs="Times New Roman"/>
          <w:sz w:val="24"/>
          <w:szCs w:val="24"/>
        </w:rPr>
        <w:t xml:space="preserve"> </w:t>
      </w:r>
      <w:r w:rsidR="00855AE8" w:rsidRPr="007B4FE2">
        <w:rPr>
          <w:rFonts w:ascii="Times New Roman" w:hAnsi="Times New Roman" w:cs="Times New Roman"/>
          <w:sz w:val="24"/>
          <w:szCs w:val="24"/>
        </w:rPr>
        <w:t>che "</w:t>
      </w:r>
      <w:r w:rsidR="00855AE8" w:rsidRPr="007B4FE2">
        <w:rPr>
          <w:rFonts w:ascii="Times New Roman" w:hAnsi="Times New Roman" w:cs="Times New Roman"/>
          <w:i/>
          <w:sz w:val="24"/>
          <w:szCs w:val="24"/>
        </w:rPr>
        <w:t>Soltanto allorché si constatati l'esistenza di un interesse generale,</w:t>
      </w:r>
      <w:r w:rsidR="008B64A0" w:rsidRPr="007B4FE2">
        <w:rPr>
          <w:rFonts w:ascii="Times New Roman" w:hAnsi="Times New Roman" w:cs="Times New Roman"/>
          <w:i/>
          <w:sz w:val="24"/>
          <w:szCs w:val="24"/>
        </w:rPr>
        <w:t xml:space="preserve"> </w:t>
      </w:r>
      <w:r w:rsidR="00855AE8" w:rsidRPr="007B4FE2">
        <w:rPr>
          <w:rFonts w:ascii="Times New Roman" w:hAnsi="Times New Roman" w:cs="Times New Roman"/>
          <w:i/>
          <w:sz w:val="24"/>
          <w:szCs w:val="24"/>
        </w:rPr>
        <w:t>che possa essere soddisfatto unicamente attraverso un intervento lesivo nella sfera privata del singolo,</w:t>
      </w:r>
      <w:r w:rsidR="008B64A0" w:rsidRPr="007B4FE2">
        <w:rPr>
          <w:rFonts w:ascii="Times New Roman" w:hAnsi="Times New Roman" w:cs="Times New Roman"/>
          <w:i/>
          <w:sz w:val="24"/>
          <w:szCs w:val="24"/>
        </w:rPr>
        <w:t xml:space="preserve"> </w:t>
      </w:r>
      <w:r w:rsidR="00855AE8" w:rsidRPr="007B4FE2">
        <w:rPr>
          <w:rFonts w:ascii="Times New Roman" w:hAnsi="Times New Roman" w:cs="Times New Roman"/>
          <w:i/>
          <w:sz w:val="24"/>
          <w:szCs w:val="24"/>
        </w:rPr>
        <w:t>si ricade nel camp</w:t>
      </w:r>
      <w:r w:rsidR="00D71D46" w:rsidRPr="007B4FE2">
        <w:rPr>
          <w:rFonts w:ascii="Times New Roman" w:hAnsi="Times New Roman" w:cs="Times New Roman"/>
          <w:i/>
          <w:sz w:val="24"/>
          <w:szCs w:val="24"/>
        </w:rPr>
        <w:t>o di applicazione del principio</w:t>
      </w:r>
      <w:r w:rsidR="00855AE8" w:rsidRPr="007B4FE2">
        <w:rPr>
          <w:rFonts w:ascii="Times New Roman" w:hAnsi="Times New Roman" w:cs="Times New Roman"/>
          <w:sz w:val="24"/>
          <w:szCs w:val="24"/>
        </w:rPr>
        <w:t>"</w:t>
      </w:r>
      <w:r w:rsidR="00855AE8" w:rsidRPr="007B4FE2">
        <w:rPr>
          <w:rFonts w:ascii="Times New Roman" w:hAnsi="Times New Roman" w:cs="Times New Roman"/>
          <w:sz w:val="24"/>
          <w:szCs w:val="24"/>
          <w:vertAlign w:val="superscript"/>
        </w:rPr>
        <w:footnoteReference w:id="8"/>
      </w:r>
      <w:r w:rsidR="00855AE8" w:rsidRPr="007B4FE2">
        <w:rPr>
          <w:rFonts w:ascii="Times New Roman" w:hAnsi="Times New Roman" w:cs="Times New Roman"/>
          <w:sz w:val="24"/>
          <w:szCs w:val="24"/>
        </w:rPr>
        <w:t>. Affermazione</w:t>
      </w:r>
      <w:r w:rsidR="00D71D46" w:rsidRPr="007B4FE2">
        <w:rPr>
          <w:rFonts w:ascii="Times New Roman" w:hAnsi="Times New Roman" w:cs="Times New Roman"/>
          <w:sz w:val="24"/>
          <w:szCs w:val="24"/>
        </w:rPr>
        <w:t>,</w:t>
      </w:r>
      <w:r w:rsidR="00855AE8" w:rsidRPr="007B4FE2">
        <w:rPr>
          <w:rFonts w:ascii="Times New Roman" w:hAnsi="Times New Roman" w:cs="Times New Roman"/>
          <w:sz w:val="24"/>
          <w:szCs w:val="24"/>
        </w:rPr>
        <w:t xml:space="preserve"> quest’ultima</w:t>
      </w:r>
      <w:r w:rsidR="00D71D46" w:rsidRPr="007B4FE2">
        <w:rPr>
          <w:rFonts w:ascii="Times New Roman" w:hAnsi="Times New Roman" w:cs="Times New Roman"/>
          <w:sz w:val="24"/>
          <w:szCs w:val="24"/>
        </w:rPr>
        <w:t>,</w:t>
      </w:r>
      <w:r w:rsidR="00855AE8" w:rsidRPr="007B4FE2">
        <w:rPr>
          <w:rFonts w:ascii="Times New Roman" w:hAnsi="Times New Roman" w:cs="Times New Roman"/>
          <w:sz w:val="24"/>
          <w:szCs w:val="24"/>
        </w:rPr>
        <w:t xml:space="preserve"> che riposa sulla constatazione che la libertà del singolo, da un lato,</w:t>
      </w:r>
      <w:r w:rsidR="008B64A0" w:rsidRPr="007B4FE2">
        <w:rPr>
          <w:rFonts w:ascii="Times New Roman" w:hAnsi="Times New Roman" w:cs="Times New Roman"/>
          <w:sz w:val="24"/>
          <w:szCs w:val="24"/>
        </w:rPr>
        <w:t xml:space="preserve"> </w:t>
      </w:r>
      <w:r w:rsidR="00855AE8" w:rsidRPr="007B4FE2">
        <w:rPr>
          <w:rFonts w:ascii="Times New Roman" w:hAnsi="Times New Roman" w:cs="Times New Roman"/>
          <w:sz w:val="24"/>
          <w:szCs w:val="24"/>
        </w:rPr>
        <w:t>ed i compiti attribuiti allo Stato per il perseguimento del benessere generale,</w:t>
      </w:r>
      <w:r w:rsidR="008B64A0" w:rsidRPr="007B4FE2">
        <w:rPr>
          <w:rFonts w:ascii="Times New Roman" w:hAnsi="Times New Roman" w:cs="Times New Roman"/>
          <w:sz w:val="24"/>
          <w:szCs w:val="24"/>
        </w:rPr>
        <w:t xml:space="preserve"> </w:t>
      </w:r>
      <w:r w:rsidR="00855AE8" w:rsidRPr="007B4FE2">
        <w:rPr>
          <w:rFonts w:ascii="Times New Roman" w:hAnsi="Times New Roman" w:cs="Times New Roman"/>
          <w:sz w:val="24"/>
          <w:szCs w:val="24"/>
        </w:rPr>
        <w:t>dall’altro, vengono spesso a trovarsi</w:t>
      </w:r>
      <w:r w:rsidR="008B64A0" w:rsidRPr="007B4FE2">
        <w:rPr>
          <w:rFonts w:ascii="Times New Roman" w:hAnsi="Times New Roman" w:cs="Times New Roman"/>
          <w:sz w:val="24"/>
          <w:szCs w:val="24"/>
        </w:rPr>
        <w:t xml:space="preserve"> </w:t>
      </w:r>
      <w:r w:rsidR="00855AE8" w:rsidRPr="007B4FE2">
        <w:rPr>
          <w:rFonts w:ascii="Times New Roman" w:hAnsi="Times New Roman" w:cs="Times New Roman"/>
          <w:sz w:val="24"/>
          <w:szCs w:val="24"/>
        </w:rPr>
        <w:t>in un rapporto dialettico</w:t>
      </w:r>
      <w:r w:rsidR="00D71D46" w:rsidRPr="007B4FE2">
        <w:rPr>
          <w:rFonts w:ascii="Times New Roman" w:hAnsi="Times New Roman" w:cs="Times New Roman"/>
          <w:sz w:val="24"/>
          <w:szCs w:val="24"/>
        </w:rPr>
        <w:t>;</w:t>
      </w:r>
      <w:r w:rsidR="00855AE8" w:rsidRPr="007B4FE2">
        <w:rPr>
          <w:rFonts w:ascii="Times New Roman" w:hAnsi="Times New Roman" w:cs="Times New Roman"/>
          <w:sz w:val="24"/>
          <w:szCs w:val="24"/>
        </w:rPr>
        <w:t xml:space="preserve"> e che, proprio per questa ragione, è tradizionalmente uno dei compiti principali</w:t>
      </w:r>
      <w:r w:rsidR="008B64A0" w:rsidRPr="007B4FE2">
        <w:rPr>
          <w:rFonts w:ascii="Times New Roman" w:hAnsi="Times New Roman" w:cs="Times New Roman"/>
          <w:sz w:val="24"/>
          <w:szCs w:val="24"/>
        </w:rPr>
        <w:t xml:space="preserve"> </w:t>
      </w:r>
      <w:r w:rsidR="00855AE8" w:rsidRPr="007B4FE2">
        <w:rPr>
          <w:rFonts w:ascii="Times New Roman" w:hAnsi="Times New Roman" w:cs="Times New Roman"/>
          <w:sz w:val="24"/>
          <w:szCs w:val="24"/>
        </w:rPr>
        <w:t>demandati allo Stato</w:t>
      </w:r>
      <w:r w:rsidR="008B64A0" w:rsidRPr="007B4FE2">
        <w:rPr>
          <w:rFonts w:ascii="Times New Roman" w:hAnsi="Times New Roman" w:cs="Times New Roman"/>
          <w:sz w:val="24"/>
          <w:szCs w:val="24"/>
        </w:rPr>
        <w:t xml:space="preserve"> </w:t>
      </w:r>
      <w:r w:rsidR="00855AE8" w:rsidRPr="007B4FE2">
        <w:rPr>
          <w:rFonts w:ascii="Times New Roman" w:hAnsi="Times New Roman" w:cs="Times New Roman"/>
          <w:sz w:val="24"/>
          <w:szCs w:val="24"/>
        </w:rPr>
        <w:t>quello di garantire la tutela della sfera di libertà dei singoli</w:t>
      </w:r>
      <w:r w:rsidR="008B64A0" w:rsidRPr="007B4FE2">
        <w:rPr>
          <w:rFonts w:ascii="Times New Roman" w:hAnsi="Times New Roman" w:cs="Times New Roman"/>
          <w:sz w:val="24"/>
          <w:szCs w:val="24"/>
        </w:rPr>
        <w:t xml:space="preserve"> </w:t>
      </w:r>
      <w:r w:rsidR="00855AE8" w:rsidRPr="007B4FE2">
        <w:rPr>
          <w:rFonts w:ascii="Times New Roman" w:hAnsi="Times New Roman" w:cs="Times New Roman"/>
          <w:sz w:val="24"/>
          <w:szCs w:val="24"/>
        </w:rPr>
        <w:t>a fronte di</w:t>
      </w:r>
      <w:r w:rsidR="008B64A0" w:rsidRPr="007B4FE2">
        <w:rPr>
          <w:rFonts w:ascii="Times New Roman" w:hAnsi="Times New Roman" w:cs="Times New Roman"/>
          <w:sz w:val="24"/>
          <w:szCs w:val="24"/>
        </w:rPr>
        <w:t xml:space="preserve"> </w:t>
      </w:r>
      <w:r w:rsidR="00855AE8" w:rsidRPr="007B4FE2">
        <w:rPr>
          <w:rFonts w:ascii="Times New Roman" w:hAnsi="Times New Roman" w:cs="Times New Roman"/>
          <w:sz w:val="24"/>
          <w:szCs w:val="24"/>
        </w:rPr>
        <w:t>interventi lesivi da parte di sé</w:t>
      </w:r>
      <w:r w:rsidR="008B64A0" w:rsidRPr="007B4FE2">
        <w:rPr>
          <w:rFonts w:ascii="Times New Roman" w:hAnsi="Times New Roman" w:cs="Times New Roman"/>
          <w:sz w:val="24"/>
          <w:szCs w:val="24"/>
        </w:rPr>
        <w:t xml:space="preserve"> </w:t>
      </w:r>
      <w:r w:rsidR="00855AE8" w:rsidRPr="007B4FE2">
        <w:rPr>
          <w:rFonts w:ascii="Times New Roman" w:hAnsi="Times New Roman" w:cs="Times New Roman"/>
          <w:sz w:val="24"/>
          <w:szCs w:val="24"/>
        </w:rPr>
        <w:t>medesimo</w:t>
      </w:r>
      <w:r w:rsidR="00855AE8" w:rsidRPr="007B4FE2">
        <w:rPr>
          <w:rFonts w:ascii="Times New Roman" w:hAnsi="Times New Roman" w:cs="Times New Roman"/>
          <w:sz w:val="24"/>
          <w:szCs w:val="24"/>
          <w:vertAlign w:val="superscript"/>
        </w:rPr>
        <w:footnoteReference w:id="9"/>
      </w:r>
      <w:r w:rsidR="00855AE8" w:rsidRPr="007B4FE2">
        <w:rPr>
          <w:rFonts w:ascii="Times New Roman" w:hAnsi="Times New Roman" w:cs="Times New Roman"/>
          <w:sz w:val="24"/>
          <w:szCs w:val="24"/>
        </w:rPr>
        <w:t>.</w:t>
      </w:r>
      <w:r w:rsidR="008B64A0" w:rsidRPr="007B4FE2">
        <w:rPr>
          <w:rFonts w:ascii="Times New Roman" w:hAnsi="Times New Roman" w:cs="Times New Roman"/>
          <w:sz w:val="24"/>
          <w:szCs w:val="24"/>
        </w:rPr>
        <w:t xml:space="preserve"> </w:t>
      </w:r>
    </w:p>
    <w:p w:rsidR="00D7005B" w:rsidRPr="007B4FE2" w:rsidRDefault="00D7005B"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Al di là</w:t>
      </w:r>
      <w:r w:rsidR="006B3536" w:rsidRPr="007B4FE2">
        <w:rPr>
          <w:rFonts w:ascii="Times New Roman" w:hAnsi="Times New Roman" w:cs="Times New Roman"/>
          <w:sz w:val="24"/>
          <w:szCs w:val="24"/>
        </w:rPr>
        <w:t xml:space="preserve">, poi, </w:t>
      </w:r>
      <w:r w:rsidRPr="007B4FE2">
        <w:rPr>
          <w:rFonts w:ascii="Times New Roman" w:hAnsi="Times New Roman" w:cs="Times New Roman"/>
          <w:sz w:val="24"/>
          <w:szCs w:val="24"/>
        </w:rPr>
        <w:t xml:space="preserve">delle singole particolarità lessicali </w:t>
      </w:r>
      <w:r w:rsidR="006B48AA" w:rsidRPr="007B4FE2">
        <w:rPr>
          <w:rFonts w:ascii="Times New Roman" w:hAnsi="Times New Roman" w:cs="Times New Roman"/>
          <w:sz w:val="24"/>
          <w:szCs w:val="24"/>
        </w:rPr>
        <w:t>(ed interpretative),</w:t>
      </w:r>
      <w:r w:rsidRPr="007B4FE2">
        <w:rPr>
          <w:rFonts w:ascii="Times New Roman" w:hAnsi="Times New Roman" w:cs="Times New Roman"/>
          <w:sz w:val="24"/>
          <w:szCs w:val="24"/>
        </w:rPr>
        <w:t xml:space="preserve"> tutte le definizioni</w:t>
      </w:r>
      <w:r w:rsidR="002A4EDA" w:rsidRPr="007B4FE2">
        <w:rPr>
          <w:rFonts w:ascii="Times New Roman" w:hAnsi="Times New Roman" w:cs="Times New Roman"/>
          <w:sz w:val="24"/>
          <w:szCs w:val="24"/>
        </w:rPr>
        <w:t xml:space="preserve"> fornite</w:t>
      </w:r>
      <w:r w:rsidR="00AC1E6B" w:rsidRPr="007B4FE2">
        <w:rPr>
          <w:rFonts w:ascii="Times New Roman" w:hAnsi="Times New Roman" w:cs="Times New Roman"/>
          <w:sz w:val="24"/>
          <w:szCs w:val="24"/>
        </w:rPr>
        <w:t xml:space="preserve"> dalla dottrina tedesca</w:t>
      </w:r>
      <w:r w:rsidR="00D71D46" w:rsidRPr="007B4FE2">
        <w:rPr>
          <w:rFonts w:ascii="Times New Roman" w:hAnsi="Times New Roman" w:cs="Times New Roman"/>
          <w:sz w:val="24"/>
          <w:szCs w:val="24"/>
        </w:rPr>
        <w:t xml:space="preserve"> del principio</w:t>
      </w:r>
      <w:r w:rsidR="006B48AA" w:rsidRPr="007B4FE2">
        <w:rPr>
          <w:rFonts w:ascii="Times New Roman" w:hAnsi="Times New Roman" w:cs="Times New Roman"/>
          <w:sz w:val="24"/>
          <w:szCs w:val="24"/>
        </w:rPr>
        <w:t xml:space="preserve"> di proporzionalità</w:t>
      </w:r>
      <w:r w:rsidRPr="007B4FE2">
        <w:rPr>
          <w:rFonts w:ascii="Times New Roman" w:hAnsi="Times New Roman" w:cs="Times New Roman"/>
          <w:sz w:val="24"/>
          <w:szCs w:val="24"/>
        </w:rPr>
        <w:t xml:space="preserve"> mirano a stabilire u</w:t>
      </w:r>
      <w:r w:rsidR="006B48AA" w:rsidRPr="007B4FE2">
        <w:rPr>
          <w:rFonts w:ascii="Times New Roman" w:hAnsi="Times New Roman" w:cs="Times New Roman"/>
          <w:sz w:val="24"/>
          <w:szCs w:val="24"/>
        </w:rPr>
        <w:t xml:space="preserve">na relazione tra due grandezze, </w:t>
      </w:r>
      <w:r w:rsidRPr="007B4FE2">
        <w:rPr>
          <w:rFonts w:ascii="Times New Roman" w:hAnsi="Times New Roman" w:cs="Times New Roman"/>
          <w:sz w:val="24"/>
          <w:szCs w:val="24"/>
        </w:rPr>
        <w:t>anche se i parametri di riferimento di volta in volta utilizzati possono essere diversi: libertà sacrificata</w:t>
      </w:r>
      <w:r w:rsidR="008B64A0" w:rsidRPr="007B4FE2">
        <w:rPr>
          <w:rFonts w:ascii="Times New Roman" w:hAnsi="Times New Roman" w:cs="Times New Roman"/>
          <w:sz w:val="24"/>
          <w:szCs w:val="24"/>
        </w:rPr>
        <w:t xml:space="preserve"> </w:t>
      </w:r>
      <w:r w:rsidRPr="007B4FE2">
        <w:rPr>
          <w:rFonts w:ascii="Times New Roman" w:hAnsi="Times New Roman" w:cs="Times New Roman"/>
          <w:sz w:val="24"/>
          <w:szCs w:val="24"/>
        </w:rPr>
        <w:t>da un lato e vantaggi generali per la collettività dall’altro</w:t>
      </w:r>
      <w:r w:rsidRPr="007B4FE2">
        <w:rPr>
          <w:rFonts w:ascii="Times New Roman" w:hAnsi="Times New Roman" w:cs="Times New Roman"/>
          <w:sz w:val="24"/>
          <w:szCs w:val="24"/>
          <w:vertAlign w:val="superscript"/>
        </w:rPr>
        <w:footnoteReference w:id="10"/>
      </w:r>
      <w:r w:rsidRPr="007B4FE2">
        <w:rPr>
          <w:rFonts w:ascii="Times New Roman" w:hAnsi="Times New Roman" w:cs="Times New Roman"/>
          <w:sz w:val="24"/>
          <w:szCs w:val="24"/>
        </w:rPr>
        <w:t xml:space="preserve">; strumento utilizzato da un lato </w:t>
      </w:r>
      <w:r w:rsidRPr="007B4FE2">
        <w:rPr>
          <w:rFonts w:ascii="Times New Roman" w:hAnsi="Times New Roman" w:cs="Times New Roman"/>
          <w:sz w:val="24"/>
          <w:szCs w:val="24"/>
        </w:rPr>
        <w:lastRenderedPageBreak/>
        <w:t>ed</w:t>
      </w:r>
      <w:r w:rsidR="008B64A0" w:rsidRPr="007B4FE2">
        <w:rPr>
          <w:rFonts w:ascii="Times New Roman" w:hAnsi="Times New Roman" w:cs="Times New Roman"/>
          <w:sz w:val="24"/>
          <w:szCs w:val="24"/>
        </w:rPr>
        <w:t xml:space="preserve"> </w:t>
      </w:r>
      <w:r w:rsidRPr="007B4FE2">
        <w:rPr>
          <w:rFonts w:ascii="Times New Roman" w:hAnsi="Times New Roman" w:cs="Times New Roman"/>
          <w:sz w:val="24"/>
          <w:szCs w:val="24"/>
        </w:rPr>
        <w:t>obiettivo perseguito dall’altro</w:t>
      </w:r>
      <w:r w:rsidRPr="007B4FE2">
        <w:rPr>
          <w:rFonts w:ascii="Times New Roman" w:hAnsi="Times New Roman" w:cs="Times New Roman"/>
          <w:sz w:val="24"/>
          <w:szCs w:val="24"/>
          <w:vertAlign w:val="superscript"/>
        </w:rPr>
        <w:footnoteReference w:id="11"/>
      </w:r>
      <w:r w:rsidRPr="007B4FE2">
        <w:rPr>
          <w:rFonts w:ascii="Times New Roman" w:hAnsi="Times New Roman" w:cs="Times New Roman"/>
          <w:sz w:val="24"/>
          <w:szCs w:val="24"/>
        </w:rPr>
        <w:t xml:space="preserve">; oppure, ancora, vantaggi e svantaggi connessi all'adozione di una misura </w:t>
      </w:r>
      <w:r w:rsidR="00A64F0E">
        <w:rPr>
          <w:rFonts w:ascii="Times New Roman" w:hAnsi="Times New Roman" w:cs="Times New Roman"/>
          <w:sz w:val="24"/>
          <w:szCs w:val="24"/>
        </w:rPr>
        <w:t>(</w:t>
      </w:r>
      <w:r w:rsidRPr="007B4FE2">
        <w:rPr>
          <w:rFonts w:ascii="Times New Roman" w:hAnsi="Times New Roman" w:cs="Times New Roman"/>
          <w:sz w:val="24"/>
          <w:szCs w:val="24"/>
        </w:rPr>
        <w:t>e così via</w:t>
      </w:r>
      <w:r w:rsidR="00A64F0E">
        <w:rPr>
          <w:rFonts w:ascii="Times New Roman" w:hAnsi="Times New Roman" w:cs="Times New Roman"/>
          <w:sz w:val="24"/>
          <w:szCs w:val="24"/>
        </w:rPr>
        <w:t>)</w:t>
      </w:r>
      <w:r w:rsidRPr="007B4FE2">
        <w:rPr>
          <w:rFonts w:ascii="Times New Roman" w:hAnsi="Times New Roman" w:cs="Times New Roman"/>
          <w:sz w:val="24"/>
          <w:szCs w:val="24"/>
        </w:rPr>
        <w:t xml:space="preserve">. </w:t>
      </w:r>
    </w:p>
    <w:p w:rsidR="00CA4177" w:rsidRPr="007B4FE2" w:rsidRDefault="0000391D" w:rsidP="007B4FE2">
      <w:pPr>
        <w:widowControl w:val="0"/>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A tutt’oggi</w:t>
      </w:r>
      <w:r w:rsidR="00A64F0E">
        <w:rPr>
          <w:rFonts w:ascii="Times New Roman" w:hAnsi="Times New Roman" w:cs="Times New Roman"/>
          <w:sz w:val="24"/>
          <w:szCs w:val="24"/>
        </w:rPr>
        <w:t>,</w:t>
      </w:r>
      <w:r w:rsidR="000D74C4" w:rsidRPr="007B4FE2">
        <w:rPr>
          <w:rFonts w:ascii="Times New Roman" w:hAnsi="Times New Roman" w:cs="Times New Roman"/>
          <w:sz w:val="24"/>
          <w:szCs w:val="24"/>
        </w:rPr>
        <w:t xml:space="preserve"> </w:t>
      </w:r>
      <w:r w:rsidRPr="007B4FE2">
        <w:rPr>
          <w:rFonts w:ascii="Times New Roman" w:hAnsi="Times New Roman" w:cs="Times New Roman"/>
          <w:sz w:val="24"/>
          <w:szCs w:val="24"/>
        </w:rPr>
        <w:t>nel diritto tedesco il principio di proporzionalità si trova in stretto le</w:t>
      </w:r>
      <w:r w:rsidR="006D342A" w:rsidRPr="007B4FE2">
        <w:rPr>
          <w:rFonts w:ascii="Times New Roman" w:hAnsi="Times New Roman" w:cs="Times New Roman"/>
          <w:sz w:val="24"/>
          <w:szCs w:val="24"/>
        </w:rPr>
        <w:t>game con i diritti fondamentali:</w:t>
      </w:r>
      <w:r w:rsidRPr="007B4FE2">
        <w:rPr>
          <w:rFonts w:ascii="Times New Roman" w:hAnsi="Times New Roman" w:cs="Times New Roman"/>
          <w:sz w:val="24"/>
          <w:szCs w:val="24"/>
        </w:rPr>
        <w:t xml:space="preserve"> data la sua</w:t>
      </w:r>
      <w:r w:rsidR="007F48E8" w:rsidRPr="007B4FE2">
        <w:rPr>
          <w:rFonts w:ascii="Times New Roman" w:hAnsi="Times New Roman" w:cs="Times New Roman"/>
          <w:sz w:val="24"/>
          <w:szCs w:val="24"/>
        </w:rPr>
        <w:t xml:space="preserve"> genesi nel contesto del c.d.</w:t>
      </w:r>
      <w:r w:rsidR="00174AF5" w:rsidRPr="007B4FE2">
        <w:rPr>
          <w:rFonts w:ascii="Times New Roman" w:hAnsi="Times New Roman" w:cs="Times New Roman"/>
          <w:sz w:val="24"/>
          <w:szCs w:val="24"/>
        </w:rPr>
        <w:t xml:space="preserve"> </w:t>
      </w:r>
      <w:r w:rsidRPr="007B4FE2">
        <w:rPr>
          <w:rFonts w:ascii="Times New Roman" w:hAnsi="Times New Roman" w:cs="Times New Roman"/>
          <w:sz w:val="24"/>
          <w:szCs w:val="24"/>
        </w:rPr>
        <w:t>diritto di polizia</w:t>
      </w:r>
      <w:r w:rsidR="007F48E8" w:rsidRPr="007B4FE2">
        <w:rPr>
          <w:rFonts w:ascii="Times New Roman" w:hAnsi="Times New Roman" w:cs="Times New Roman"/>
          <w:sz w:val="24"/>
          <w:szCs w:val="24"/>
        </w:rPr>
        <w:t xml:space="preserve"> (</w:t>
      </w:r>
      <w:proofErr w:type="spellStart"/>
      <w:r w:rsidR="007F48E8" w:rsidRPr="007B4FE2">
        <w:rPr>
          <w:rFonts w:ascii="Times New Roman" w:hAnsi="Times New Roman" w:cs="Times New Roman"/>
          <w:i/>
          <w:sz w:val="24"/>
          <w:szCs w:val="24"/>
        </w:rPr>
        <w:t>Polizeirecht</w:t>
      </w:r>
      <w:proofErr w:type="spellEnd"/>
      <w:r w:rsidR="007F48E8" w:rsidRPr="007B4FE2">
        <w:rPr>
          <w:rFonts w:ascii="Times New Roman" w:hAnsi="Times New Roman" w:cs="Times New Roman"/>
          <w:sz w:val="24"/>
          <w:szCs w:val="24"/>
        </w:rPr>
        <w:t>)</w:t>
      </w:r>
      <w:r w:rsidR="00DF70C3" w:rsidRPr="007B4FE2">
        <w:rPr>
          <w:rStyle w:val="Rimandonotaapidipagina"/>
          <w:rFonts w:ascii="Times New Roman" w:hAnsi="Times New Roman" w:cs="Times New Roman"/>
          <w:sz w:val="24"/>
          <w:szCs w:val="24"/>
        </w:rPr>
        <w:footnoteReference w:id="12"/>
      </w:r>
      <w:r w:rsidRPr="007B4FE2">
        <w:rPr>
          <w:rFonts w:ascii="Times New Roman" w:hAnsi="Times New Roman" w:cs="Times New Roman"/>
          <w:sz w:val="24"/>
          <w:szCs w:val="24"/>
        </w:rPr>
        <w:t>.</w:t>
      </w:r>
      <w:r w:rsidR="000D74C4" w:rsidRPr="007B4FE2">
        <w:rPr>
          <w:rFonts w:ascii="Times New Roman" w:hAnsi="Times New Roman" w:cs="Times New Roman"/>
          <w:sz w:val="24"/>
          <w:szCs w:val="24"/>
        </w:rPr>
        <w:t xml:space="preserve"> </w:t>
      </w:r>
      <w:r w:rsidR="00DF70C3" w:rsidRPr="007B4FE2">
        <w:rPr>
          <w:rFonts w:ascii="Times New Roman" w:hAnsi="Times New Roman" w:cs="Times New Roman"/>
          <w:sz w:val="24"/>
          <w:szCs w:val="24"/>
        </w:rPr>
        <w:t>Un passaggio obbligato</w:t>
      </w:r>
      <w:r w:rsidR="00C50CDF" w:rsidRPr="007B4FE2">
        <w:rPr>
          <w:rFonts w:ascii="Times New Roman" w:hAnsi="Times New Roman" w:cs="Times New Roman"/>
          <w:sz w:val="24"/>
          <w:szCs w:val="24"/>
        </w:rPr>
        <w:t xml:space="preserve"> </w:t>
      </w:r>
      <w:r w:rsidR="006C198D" w:rsidRPr="007B4FE2">
        <w:rPr>
          <w:rFonts w:ascii="Times New Roman" w:hAnsi="Times New Roman" w:cs="Times New Roman"/>
          <w:sz w:val="24"/>
          <w:szCs w:val="24"/>
        </w:rPr>
        <w:t xml:space="preserve">nel suo sviluppo </w:t>
      </w:r>
      <w:r w:rsidR="00DF70C3" w:rsidRPr="007B4FE2">
        <w:rPr>
          <w:rFonts w:ascii="Times New Roman" w:hAnsi="Times New Roman" w:cs="Times New Roman"/>
          <w:sz w:val="24"/>
          <w:szCs w:val="24"/>
        </w:rPr>
        <w:t>è</w:t>
      </w:r>
      <w:r w:rsidR="00F52896" w:rsidRPr="007B4FE2">
        <w:rPr>
          <w:rFonts w:ascii="Times New Roman" w:hAnsi="Times New Roman" w:cs="Times New Roman"/>
          <w:sz w:val="24"/>
          <w:szCs w:val="24"/>
        </w:rPr>
        <w:t xml:space="preserve"> infatti</w:t>
      </w:r>
      <w:r w:rsidR="00BB43BD" w:rsidRPr="007B4FE2">
        <w:rPr>
          <w:rFonts w:ascii="Times New Roman" w:hAnsi="Times New Roman" w:cs="Times New Roman"/>
          <w:sz w:val="24"/>
          <w:szCs w:val="24"/>
        </w:rPr>
        <w:t xml:space="preserve"> rappresentato</w:t>
      </w:r>
      <w:r w:rsidR="00F52896" w:rsidRPr="007B4FE2">
        <w:rPr>
          <w:rFonts w:ascii="Times New Roman" w:hAnsi="Times New Roman" w:cs="Times New Roman"/>
          <w:sz w:val="24"/>
          <w:szCs w:val="24"/>
        </w:rPr>
        <w:t xml:space="preserve"> </w:t>
      </w:r>
      <w:r w:rsidR="00BB43BD" w:rsidRPr="007B4FE2">
        <w:rPr>
          <w:rFonts w:ascii="Times New Roman" w:hAnsi="Times New Roman" w:cs="Times New Roman"/>
          <w:sz w:val="24"/>
          <w:szCs w:val="24"/>
        </w:rPr>
        <w:t>dal</w:t>
      </w:r>
      <w:r w:rsidR="00DF70C3" w:rsidRPr="007B4FE2">
        <w:rPr>
          <w:rFonts w:ascii="Times New Roman" w:hAnsi="Times New Roman" w:cs="Times New Roman"/>
          <w:sz w:val="24"/>
          <w:szCs w:val="24"/>
        </w:rPr>
        <w:t xml:space="preserve">la famosa sentenza </w:t>
      </w:r>
      <w:proofErr w:type="spellStart"/>
      <w:r w:rsidR="00DF70C3" w:rsidRPr="007B4FE2">
        <w:rPr>
          <w:rFonts w:ascii="Times New Roman" w:hAnsi="Times New Roman" w:cs="Times New Roman"/>
          <w:i/>
          <w:sz w:val="24"/>
          <w:szCs w:val="24"/>
        </w:rPr>
        <w:t>Kreuzberg</w:t>
      </w:r>
      <w:proofErr w:type="spellEnd"/>
      <w:r w:rsidR="00FC2497" w:rsidRPr="007B4FE2">
        <w:rPr>
          <w:rFonts w:ascii="Times New Roman" w:hAnsi="Times New Roman" w:cs="Times New Roman"/>
          <w:sz w:val="24"/>
          <w:szCs w:val="24"/>
        </w:rPr>
        <w:t>,</w:t>
      </w:r>
      <w:r w:rsidR="00DF70C3" w:rsidRPr="007B4FE2">
        <w:rPr>
          <w:rFonts w:ascii="Times New Roman" w:hAnsi="Times New Roman" w:cs="Times New Roman"/>
          <w:i/>
          <w:sz w:val="24"/>
          <w:szCs w:val="24"/>
        </w:rPr>
        <w:t xml:space="preserve"> </w:t>
      </w:r>
      <w:r w:rsidR="00FC2497" w:rsidRPr="007B4FE2">
        <w:rPr>
          <w:rFonts w:ascii="Times New Roman" w:hAnsi="Times New Roman" w:cs="Times New Roman"/>
          <w:sz w:val="24"/>
          <w:szCs w:val="24"/>
        </w:rPr>
        <w:t>del 1882,</w:t>
      </w:r>
      <w:r w:rsidR="00FC2497" w:rsidRPr="007B4FE2">
        <w:rPr>
          <w:rFonts w:ascii="Times New Roman" w:hAnsi="Times New Roman" w:cs="Times New Roman"/>
          <w:i/>
          <w:sz w:val="24"/>
          <w:szCs w:val="24"/>
        </w:rPr>
        <w:t xml:space="preserve"> </w:t>
      </w:r>
      <w:r w:rsidR="00DF70C3" w:rsidRPr="007B4FE2">
        <w:rPr>
          <w:rFonts w:ascii="Times New Roman" w:hAnsi="Times New Roman" w:cs="Times New Roman"/>
          <w:sz w:val="24"/>
          <w:szCs w:val="24"/>
        </w:rPr>
        <w:t xml:space="preserve">del </w:t>
      </w:r>
      <w:r w:rsidR="00FC2497" w:rsidRPr="007B4FE2">
        <w:rPr>
          <w:rFonts w:ascii="Times New Roman" w:hAnsi="Times New Roman" w:cs="Times New Roman"/>
          <w:sz w:val="24"/>
          <w:szCs w:val="24"/>
        </w:rPr>
        <w:t>Tribunale amministrativo superiore prussiano</w:t>
      </w:r>
      <w:r w:rsidR="00FC2497" w:rsidRPr="007B4FE2">
        <w:rPr>
          <w:rFonts w:ascii="Times New Roman" w:hAnsi="Times New Roman" w:cs="Times New Roman"/>
          <w:i/>
          <w:sz w:val="24"/>
          <w:szCs w:val="24"/>
        </w:rPr>
        <w:t xml:space="preserve"> </w:t>
      </w:r>
      <w:r w:rsidR="00FC2497" w:rsidRPr="007B4FE2">
        <w:rPr>
          <w:rFonts w:ascii="Times New Roman" w:hAnsi="Times New Roman" w:cs="Times New Roman"/>
          <w:sz w:val="24"/>
          <w:szCs w:val="24"/>
        </w:rPr>
        <w:t>(</w:t>
      </w:r>
      <w:proofErr w:type="spellStart"/>
      <w:r w:rsidR="00DF70C3" w:rsidRPr="007B4FE2">
        <w:rPr>
          <w:rFonts w:ascii="Times New Roman" w:hAnsi="Times New Roman" w:cs="Times New Roman"/>
          <w:i/>
          <w:sz w:val="24"/>
          <w:szCs w:val="24"/>
        </w:rPr>
        <w:t>preußisches</w:t>
      </w:r>
      <w:proofErr w:type="spellEnd"/>
      <w:r w:rsidR="00DF70C3" w:rsidRPr="007B4FE2">
        <w:rPr>
          <w:rFonts w:ascii="Times New Roman" w:hAnsi="Times New Roman" w:cs="Times New Roman"/>
          <w:i/>
          <w:sz w:val="24"/>
          <w:szCs w:val="24"/>
        </w:rPr>
        <w:t xml:space="preserve"> </w:t>
      </w:r>
      <w:proofErr w:type="spellStart"/>
      <w:r w:rsidR="00DF70C3" w:rsidRPr="007B4FE2">
        <w:rPr>
          <w:rFonts w:ascii="Times New Roman" w:hAnsi="Times New Roman" w:cs="Times New Roman"/>
          <w:i/>
          <w:sz w:val="24"/>
          <w:szCs w:val="24"/>
        </w:rPr>
        <w:t>Oberverwaltungsgerichts</w:t>
      </w:r>
      <w:proofErr w:type="spellEnd"/>
      <w:r w:rsidR="00FC2497" w:rsidRPr="007B4FE2">
        <w:rPr>
          <w:rFonts w:ascii="Times New Roman" w:hAnsi="Times New Roman" w:cs="Times New Roman"/>
          <w:sz w:val="24"/>
          <w:szCs w:val="24"/>
        </w:rPr>
        <w:t>)</w:t>
      </w:r>
      <w:r w:rsidR="006C198D" w:rsidRPr="007B4FE2">
        <w:rPr>
          <w:rFonts w:ascii="Times New Roman" w:hAnsi="Times New Roman" w:cs="Times New Roman"/>
          <w:sz w:val="24"/>
          <w:szCs w:val="24"/>
        </w:rPr>
        <w:t>:</w:t>
      </w:r>
      <w:r w:rsidR="00DF70C3" w:rsidRPr="007B4FE2">
        <w:rPr>
          <w:rFonts w:ascii="Times New Roman" w:hAnsi="Times New Roman" w:cs="Times New Roman"/>
          <w:sz w:val="24"/>
          <w:szCs w:val="24"/>
        </w:rPr>
        <w:t xml:space="preserve"> </w:t>
      </w:r>
      <w:r w:rsidR="00F52896" w:rsidRPr="007B4FE2">
        <w:rPr>
          <w:rFonts w:ascii="Times New Roman" w:hAnsi="Times New Roman" w:cs="Times New Roman"/>
          <w:sz w:val="24"/>
          <w:szCs w:val="24"/>
        </w:rPr>
        <w:t>in cui</w:t>
      </w:r>
      <w:r w:rsidR="00BB43BD" w:rsidRPr="007B4FE2">
        <w:rPr>
          <w:rFonts w:ascii="Times New Roman" w:hAnsi="Times New Roman" w:cs="Times New Roman"/>
          <w:sz w:val="24"/>
          <w:szCs w:val="24"/>
        </w:rPr>
        <w:t xml:space="preserve"> è chiaramente </w:t>
      </w:r>
      <w:r w:rsidR="00F52896" w:rsidRPr="007B4FE2">
        <w:rPr>
          <w:rFonts w:ascii="Times New Roman" w:hAnsi="Times New Roman" w:cs="Times New Roman"/>
          <w:sz w:val="24"/>
          <w:szCs w:val="24"/>
        </w:rPr>
        <w:t>sottolinea</w:t>
      </w:r>
      <w:r w:rsidR="00BB43BD" w:rsidRPr="007B4FE2">
        <w:rPr>
          <w:rFonts w:ascii="Times New Roman" w:hAnsi="Times New Roman" w:cs="Times New Roman"/>
          <w:sz w:val="24"/>
          <w:szCs w:val="24"/>
        </w:rPr>
        <w:t>to</w:t>
      </w:r>
      <w:r w:rsidR="008B64A0" w:rsidRPr="007B4FE2">
        <w:rPr>
          <w:rFonts w:ascii="Times New Roman" w:hAnsi="Times New Roman" w:cs="Times New Roman"/>
          <w:sz w:val="24"/>
          <w:szCs w:val="24"/>
        </w:rPr>
        <w:t xml:space="preserve"> </w:t>
      </w:r>
      <w:r w:rsidR="00F52896" w:rsidRPr="007B4FE2">
        <w:rPr>
          <w:rFonts w:ascii="Times New Roman" w:hAnsi="Times New Roman" w:cs="Times New Roman"/>
          <w:sz w:val="24"/>
          <w:szCs w:val="24"/>
        </w:rPr>
        <w:t>come non appaia accettabile l’idea</w:t>
      </w:r>
      <w:r w:rsidR="00BB43BD" w:rsidRPr="007B4FE2">
        <w:rPr>
          <w:rFonts w:ascii="Times New Roman" w:hAnsi="Times New Roman" w:cs="Times New Roman"/>
          <w:sz w:val="24"/>
          <w:szCs w:val="24"/>
        </w:rPr>
        <w:t xml:space="preserve"> di una discrezionalità priva di limitazioni da parte dell’autorità di Polizia</w:t>
      </w:r>
      <w:r w:rsidR="008B64A0" w:rsidRPr="007B4FE2">
        <w:rPr>
          <w:rFonts w:ascii="Times New Roman" w:hAnsi="Times New Roman" w:cs="Times New Roman"/>
          <w:sz w:val="24"/>
          <w:szCs w:val="24"/>
        </w:rPr>
        <w:t xml:space="preserve"> </w:t>
      </w:r>
      <w:r w:rsidR="00BB43BD" w:rsidRPr="007B4FE2">
        <w:rPr>
          <w:rFonts w:ascii="Times New Roman" w:hAnsi="Times New Roman" w:cs="Times New Roman"/>
          <w:sz w:val="24"/>
          <w:szCs w:val="24"/>
        </w:rPr>
        <w:t>(</w:t>
      </w:r>
      <w:proofErr w:type="spellStart"/>
      <w:r w:rsidR="00BB43BD" w:rsidRPr="007B4FE2">
        <w:rPr>
          <w:rFonts w:ascii="Times New Roman" w:hAnsi="Times New Roman" w:cs="Times New Roman"/>
          <w:i/>
          <w:sz w:val="24"/>
          <w:szCs w:val="24"/>
        </w:rPr>
        <w:t>ein</w:t>
      </w:r>
      <w:proofErr w:type="spellEnd"/>
      <w:r w:rsidR="008B64A0" w:rsidRPr="007B4FE2">
        <w:rPr>
          <w:rFonts w:ascii="Times New Roman" w:hAnsi="Times New Roman" w:cs="Times New Roman"/>
          <w:i/>
          <w:sz w:val="24"/>
          <w:szCs w:val="24"/>
        </w:rPr>
        <w:t xml:space="preserve"> </w:t>
      </w:r>
      <w:proofErr w:type="spellStart"/>
      <w:r w:rsidR="00BB43BD" w:rsidRPr="007B4FE2">
        <w:rPr>
          <w:rFonts w:ascii="Times New Roman" w:hAnsi="Times New Roman" w:cs="Times New Roman"/>
          <w:i/>
          <w:sz w:val="24"/>
          <w:szCs w:val="24"/>
        </w:rPr>
        <w:t>völlig</w:t>
      </w:r>
      <w:proofErr w:type="spellEnd"/>
      <w:r w:rsidR="00BB43BD" w:rsidRPr="007B4FE2">
        <w:rPr>
          <w:rFonts w:ascii="Times New Roman" w:hAnsi="Times New Roman" w:cs="Times New Roman"/>
          <w:i/>
          <w:sz w:val="24"/>
          <w:szCs w:val="24"/>
        </w:rPr>
        <w:t xml:space="preserve"> </w:t>
      </w:r>
      <w:proofErr w:type="spellStart"/>
      <w:r w:rsidR="00BB43BD" w:rsidRPr="007B4FE2">
        <w:rPr>
          <w:rFonts w:ascii="Times New Roman" w:hAnsi="Times New Roman" w:cs="Times New Roman"/>
          <w:i/>
          <w:sz w:val="24"/>
          <w:szCs w:val="24"/>
        </w:rPr>
        <w:t>schrankenloses</w:t>
      </w:r>
      <w:proofErr w:type="spellEnd"/>
      <w:r w:rsidR="008B64A0" w:rsidRPr="007B4FE2">
        <w:rPr>
          <w:rFonts w:ascii="Times New Roman" w:hAnsi="Times New Roman" w:cs="Times New Roman"/>
          <w:i/>
          <w:sz w:val="24"/>
          <w:szCs w:val="24"/>
        </w:rPr>
        <w:t xml:space="preserve"> </w:t>
      </w:r>
      <w:proofErr w:type="spellStart"/>
      <w:r w:rsidR="00BB43BD" w:rsidRPr="007B4FE2">
        <w:rPr>
          <w:rFonts w:ascii="Times New Roman" w:hAnsi="Times New Roman" w:cs="Times New Roman"/>
          <w:i/>
          <w:sz w:val="24"/>
          <w:szCs w:val="24"/>
        </w:rPr>
        <w:t>Ermessen</w:t>
      </w:r>
      <w:proofErr w:type="spellEnd"/>
      <w:r w:rsidR="008B64A0" w:rsidRPr="007B4FE2">
        <w:rPr>
          <w:rFonts w:ascii="Times New Roman" w:hAnsi="Times New Roman" w:cs="Times New Roman"/>
          <w:i/>
          <w:sz w:val="24"/>
          <w:szCs w:val="24"/>
        </w:rPr>
        <w:t xml:space="preserve"> </w:t>
      </w:r>
      <w:proofErr w:type="spellStart"/>
      <w:r w:rsidR="00BB43BD" w:rsidRPr="007B4FE2">
        <w:rPr>
          <w:rFonts w:ascii="Times New Roman" w:hAnsi="Times New Roman" w:cs="Times New Roman"/>
          <w:i/>
          <w:sz w:val="24"/>
          <w:szCs w:val="24"/>
        </w:rPr>
        <w:t>der</w:t>
      </w:r>
      <w:proofErr w:type="spellEnd"/>
      <w:r w:rsidR="008B64A0" w:rsidRPr="007B4FE2">
        <w:rPr>
          <w:rFonts w:ascii="Times New Roman" w:hAnsi="Times New Roman" w:cs="Times New Roman"/>
          <w:i/>
          <w:sz w:val="24"/>
          <w:szCs w:val="24"/>
        </w:rPr>
        <w:t xml:space="preserve"> </w:t>
      </w:r>
      <w:proofErr w:type="spellStart"/>
      <w:r w:rsidR="00BB43BD" w:rsidRPr="007B4FE2">
        <w:rPr>
          <w:rFonts w:ascii="Times New Roman" w:hAnsi="Times New Roman" w:cs="Times New Roman"/>
          <w:i/>
          <w:sz w:val="24"/>
          <w:szCs w:val="24"/>
        </w:rPr>
        <w:t>Polizeibehörde</w:t>
      </w:r>
      <w:proofErr w:type="spellEnd"/>
      <w:r w:rsidR="00BB43BD" w:rsidRPr="007B4FE2">
        <w:rPr>
          <w:rFonts w:ascii="Times New Roman" w:hAnsi="Times New Roman" w:cs="Times New Roman"/>
          <w:sz w:val="24"/>
          <w:szCs w:val="24"/>
        </w:rPr>
        <w:t xml:space="preserve">): poiché </w:t>
      </w:r>
      <w:r w:rsidR="00D71D46" w:rsidRPr="007B4FE2">
        <w:rPr>
          <w:rFonts w:ascii="Times New Roman" w:hAnsi="Times New Roman" w:cs="Times New Roman"/>
          <w:sz w:val="24"/>
          <w:szCs w:val="24"/>
        </w:rPr>
        <w:t>per il</w:t>
      </w:r>
      <w:r w:rsidR="00F52896" w:rsidRPr="007B4FE2">
        <w:rPr>
          <w:rFonts w:ascii="Times New Roman" w:hAnsi="Times New Roman" w:cs="Times New Roman"/>
          <w:sz w:val="24"/>
          <w:szCs w:val="24"/>
        </w:rPr>
        <w:t xml:space="preserve"> perseguimento del bene comune</w:t>
      </w:r>
      <w:r w:rsidR="008C2E9C" w:rsidRPr="007B4FE2">
        <w:rPr>
          <w:rFonts w:ascii="Times New Roman" w:hAnsi="Times New Roman" w:cs="Times New Roman"/>
          <w:sz w:val="24"/>
          <w:szCs w:val="24"/>
        </w:rPr>
        <w:t xml:space="preserve"> (</w:t>
      </w:r>
      <w:proofErr w:type="spellStart"/>
      <w:r w:rsidR="008C2E9C" w:rsidRPr="007B4FE2">
        <w:rPr>
          <w:rFonts w:ascii="Times New Roman" w:hAnsi="Times New Roman" w:cs="Times New Roman"/>
          <w:i/>
          <w:sz w:val="24"/>
          <w:szCs w:val="24"/>
        </w:rPr>
        <w:t>zum</w:t>
      </w:r>
      <w:proofErr w:type="spellEnd"/>
      <w:r w:rsidR="008C2E9C" w:rsidRPr="007B4FE2">
        <w:rPr>
          <w:rFonts w:ascii="Times New Roman" w:hAnsi="Times New Roman" w:cs="Times New Roman"/>
          <w:i/>
          <w:sz w:val="24"/>
          <w:szCs w:val="24"/>
        </w:rPr>
        <w:t xml:space="preserve"> </w:t>
      </w:r>
      <w:proofErr w:type="spellStart"/>
      <w:r w:rsidR="008C2E9C" w:rsidRPr="007B4FE2">
        <w:rPr>
          <w:rFonts w:ascii="Times New Roman" w:hAnsi="Times New Roman" w:cs="Times New Roman"/>
          <w:i/>
          <w:sz w:val="24"/>
          <w:szCs w:val="24"/>
        </w:rPr>
        <w:t>Besten</w:t>
      </w:r>
      <w:proofErr w:type="spellEnd"/>
      <w:r w:rsidR="008C2E9C" w:rsidRPr="007B4FE2">
        <w:rPr>
          <w:rFonts w:ascii="Times New Roman" w:hAnsi="Times New Roman" w:cs="Times New Roman"/>
          <w:i/>
          <w:sz w:val="24"/>
          <w:szCs w:val="24"/>
        </w:rPr>
        <w:t xml:space="preserve"> </w:t>
      </w:r>
      <w:proofErr w:type="spellStart"/>
      <w:r w:rsidR="008C2E9C" w:rsidRPr="007B4FE2">
        <w:rPr>
          <w:rFonts w:ascii="Times New Roman" w:hAnsi="Times New Roman" w:cs="Times New Roman"/>
          <w:i/>
          <w:sz w:val="24"/>
          <w:szCs w:val="24"/>
        </w:rPr>
        <w:t>des</w:t>
      </w:r>
      <w:proofErr w:type="spellEnd"/>
      <w:r w:rsidR="008B64A0" w:rsidRPr="007B4FE2">
        <w:rPr>
          <w:rFonts w:ascii="Times New Roman" w:hAnsi="Times New Roman" w:cs="Times New Roman"/>
          <w:i/>
          <w:sz w:val="24"/>
          <w:szCs w:val="24"/>
        </w:rPr>
        <w:t xml:space="preserve"> </w:t>
      </w:r>
      <w:proofErr w:type="spellStart"/>
      <w:r w:rsidR="008C2E9C" w:rsidRPr="007B4FE2">
        <w:rPr>
          <w:rFonts w:ascii="Times New Roman" w:hAnsi="Times New Roman" w:cs="Times New Roman"/>
          <w:i/>
          <w:sz w:val="24"/>
          <w:szCs w:val="24"/>
        </w:rPr>
        <w:t>gemeinen</w:t>
      </w:r>
      <w:proofErr w:type="spellEnd"/>
      <w:r w:rsidR="008B64A0" w:rsidRPr="007B4FE2">
        <w:rPr>
          <w:rFonts w:ascii="Times New Roman" w:hAnsi="Times New Roman" w:cs="Times New Roman"/>
          <w:i/>
          <w:sz w:val="24"/>
          <w:szCs w:val="24"/>
        </w:rPr>
        <w:t xml:space="preserve"> </w:t>
      </w:r>
      <w:proofErr w:type="spellStart"/>
      <w:r w:rsidR="008C2E9C" w:rsidRPr="007B4FE2">
        <w:rPr>
          <w:rFonts w:ascii="Times New Roman" w:hAnsi="Times New Roman" w:cs="Times New Roman"/>
          <w:i/>
          <w:sz w:val="24"/>
          <w:szCs w:val="24"/>
        </w:rPr>
        <w:t>Wesens</w:t>
      </w:r>
      <w:proofErr w:type="spellEnd"/>
      <w:r w:rsidR="008C2E9C" w:rsidRPr="007B4FE2">
        <w:rPr>
          <w:rFonts w:ascii="Times New Roman" w:hAnsi="Times New Roman" w:cs="Times New Roman"/>
          <w:sz w:val="24"/>
          <w:szCs w:val="24"/>
        </w:rPr>
        <w:t>)</w:t>
      </w:r>
      <w:r w:rsidR="00F52896" w:rsidRPr="007B4FE2">
        <w:rPr>
          <w:rFonts w:ascii="Times New Roman" w:hAnsi="Times New Roman" w:cs="Times New Roman"/>
          <w:sz w:val="24"/>
          <w:szCs w:val="24"/>
        </w:rPr>
        <w:t xml:space="preserve"> </w:t>
      </w:r>
      <w:r w:rsidR="00BB43BD" w:rsidRPr="007B4FE2">
        <w:rPr>
          <w:rFonts w:ascii="Times New Roman" w:hAnsi="Times New Roman" w:cs="Times New Roman"/>
          <w:sz w:val="24"/>
          <w:szCs w:val="24"/>
        </w:rPr>
        <w:t>non può</w:t>
      </w:r>
      <w:r w:rsidR="00F52896" w:rsidRPr="007B4FE2">
        <w:rPr>
          <w:rFonts w:ascii="Times New Roman" w:hAnsi="Times New Roman" w:cs="Times New Roman"/>
          <w:sz w:val="24"/>
          <w:szCs w:val="24"/>
        </w:rPr>
        <w:t xml:space="preserve"> </w:t>
      </w:r>
      <w:r w:rsidR="00D71D46" w:rsidRPr="007B4FE2">
        <w:rPr>
          <w:rFonts w:ascii="Times New Roman" w:hAnsi="Times New Roman" w:cs="Times New Roman"/>
          <w:sz w:val="24"/>
          <w:szCs w:val="24"/>
        </w:rPr>
        <w:t xml:space="preserve">operarsi un </w:t>
      </w:r>
      <w:r w:rsidR="00BB43BD" w:rsidRPr="007B4FE2">
        <w:rPr>
          <w:rFonts w:ascii="Times New Roman" w:hAnsi="Times New Roman" w:cs="Times New Roman"/>
          <w:sz w:val="24"/>
          <w:szCs w:val="24"/>
        </w:rPr>
        <w:t>sacrificio totale dell’individuo e della sua posizione giuridica (</w:t>
      </w:r>
      <w:r w:rsidR="006C198D" w:rsidRPr="007B4FE2">
        <w:rPr>
          <w:rFonts w:ascii="Times New Roman" w:hAnsi="Times New Roman" w:cs="Times New Roman"/>
          <w:sz w:val="24"/>
          <w:szCs w:val="24"/>
        </w:rPr>
        <w:t xml:space="preserve">nel caso di specie del </w:t>
      </w:r>
      <w:r w:rsidR="00BB43BD" w:rsidRPr="007B4FE2">
        <w:rPr>
          <w:rFonts w:ascii="Times New Roman" w:hAnsi="Times New Roman" w:cs="Times New Roman"/>
          <w:sz w:val="24"/>
          <w:szCs w:val="24"/>
        </w:rPr>
        <w:t>diritto di proprietà)</w:t>
      </w:r>
      <w:r w:rsidR="00BB43BD" w:rsidRPr="007B4FE2">
        <w:rPr>
          <w:rFonts w:ascii="Times New Roman" w:hAnsi="Times New Roman" w:cs="Times New Roman"/>
          <w:sz w:val="24"/>
          <w:szCs w:val="24"/>
          <w:vertAlign w:val="superscript"/>
        </w:rPr>
        <w:footnoteReference w:id="13"/>
      </w:r>
      <w:r w:rsidR="00F52896" w:rsidRPr="007B4FE2">
        <w:rPr>
          <w:rFonts w:ascii="Times New Roman" w:hAnsi="Times New Roman" w:cs="Times New Roman"/>
          <w:sz w:val="24"/>
          <w:szCs w:val="24"/>
        </w:rPr>
        <w:t>.</w:t>
      </w:r>
      <w:r w:rsidR="008B64A0" w:rsidRPr="007B4FE2">
        <w:rPr>
          <w:rFonts w:ascii="Times New Roman" w:hAnsi="Times New Roman" w:cs="Times New Roman"/>
          <w:sz w:val="24"/>
          <w:szCs w:val="24"/>
        </w:rPr>
        <w:t xml:space="preserve"> </w:t>
      </w:r>
      <w:r w:rsidR="008C2E9C" w:rsidRPr="007B4FE2">
        <w:rPr>
          <w:rFonts w:ascii="Times New Roman" w:hAnsi="Times New Roman" w:cs="Times New Roman"/>
          <w:sz w:val="24"/>
          <w:szCs w:val="24"/>
        </w:rPr>
        <w:t>Ad essa fanno seguito</w:t>
      </w:r>
      <w:r w:rsidR="00BB43BD" w:rsidRPr="007B4FE2">
        <w:rPr>
          <w:rFonts w:ascii="Times New Roman" w:hAnsi="Times New Roman" w:cs="Times New Roman"/>
          <w:sz w:val="24"/>
          <w:szCs w:val="24"/>
        </w:rPr>
        <w:t>, di lì a poco,</w:t>
      </w:r>
      <w:r w:rsidR="008B64A0" w:rsidRPr="007B4FE2">
        <w:rPr>
          <w:rFonts w:ascii="Times New Roman" w:hAnsi="Times New Roman" w:cs="Times New Roman"/>
          <w:sz w:val="24"/>
          <w:szCs w:val="24"/>
        </w:rPr>
        <w:t xml:space="preserve"> </w:t>
      </w:r>
      <w:r w:rsidR="00BB43BD" w:rsidRPr="007B4FE2">
        <w:rPr>
          <w:rFonts w:ascii="Times New Roman" w:hAnsi="Times New Roman" w:cs="Times New Roman"/>
          <w:sz w:val="24"/>
          <w:szCs w:val="24"/>
        </w:rPr>
        <w:t>due pronunzie successive del Tribunale amministrativo superiore prussiano</w:t>
      </w:r>
      <w:r w:rsidR="00BB43BD" w:rsidRPr="007B4FE2">
        <w:rPr>
          <w:rFonts w:ascii="Times New Roman" w:hAnsi="Times New Roman" w:cs="Times New Roman"/>
          <w:sz w:val="24"/>
          <w:szCs w:val="24"/>
          <w:vertAlign w:val="superscript"/>
        </w:rPr>
        <w:footnoteReference w:id="14"/>
      </w:r>
      <w:r w:rsidR="000D593E" w:rsidRPr="007B4FE2">
        <w:rPr>
          <w:rFonts w:ascii="Times New Roman" w:hAnsi="Times New Roman" w:cs="Times New Roman"/>
          <w:sz w:val="24"/>
          <w:szCs w:val="24"/>
        </w:rPr>
        <w:t xml:space="preserve">: a partire dalle quali il </w:t>
      </w:r>
      <w:r w:rsidR="00CA4177" w:rsidRPr="007B4FE2">
        <w:rPr>
          <w:rFonts w:ascii="Times New Roman" w:hAnsi="Times New Roman" w:cs="Times New Roman"/>
          <w:sz w:val="24"/>
          <w:szCs w:val="24"/>
        </w:rPr>
        <w:t xml:space="preserve">ragionamento sulla proporzionalità diviene </w:t>
      </w:r>
      <w:r w:rsidR="00BB43BD" w:rsidRPr="007B4FE2">
        <w:rPr>
          <w:rFonts w:ascii="Times New Roman" w:hAnsi="Times New Roman" w:cs="Times New Roman"/>
          <w:sz w:val="24"/>
          <w:szCs w:val="24"/>
        </w:rPr>
        <w:t>giurisprudenza costante</w:t>
      </w:r>
      <w:r w:rsidR="00BB43BD" w:rsidRPr="007B4FE2">
        <w:rPr>
          <w:rFonts w:ascii="Times New Roman" w:hAnsi="Times New Roman" w:cs="Times New Roman"/>
          <w:sz w:val="24"/>
          <w:szCs w:val="24"/>
          <w:vertAlign w:val="superscript"/>
        </w:rPr>
        <w:footnoteReference w:id="15"/>
      </w:r>
      <w:r w:rsidR="00BB43BD" w:rsidRPr="007B4FE2">
        <w:rPr>
          <w:rFonts w:ascii="Times New Roman" w:hAnsi="Times New Roman" w:cs="Times New Roman"/>
          <w:sz w:val="24"/>
          <w:szCs w:val="24"/>
        </w:rPr>
        <w:t xml:space="preserve">. </w:t>
      </w:r>
    </w:p>
    <w:p w:rsidR="00BB43BD" w:rsidRPr="007B4FE2" w:rsidRDefault="00CA4177" w:rsidP="007B4FE2">
      <w:pPr>
        <w:widowControl w:val="0"/>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Le </w:t>
      </w:r>
      <w:r w:rsidR="00BB43BD" w:rsidRPr="007B4FE2">
        <w:rPr>
          <w:rFonts w:ascii="Times New Roman" w:hAnsi="Times New Roman" w:cs="Times New Roman"/>
          <w:sz w:val="24"/>
          <w:szCs w:val="24"/>
        </w:rPr>
        <w:t>numerose de</w:t>
      </w:r>
      <w:r w:rsidR="00462D95" w:rsidRPr="007B4FE2">
        <w:rPr>
          <w:rFonts w:ascii="Times New Roman" w:hAnsi="Times New Roman" w:cs="Times New Roman"/>
          <w:sz w:val="24"/>
          <w:szCs w:val="24"/>
        </w:rPr>
        <w:t xml:space="preserve">cisioni che si sono susseguite </w:t>
      </w:r>
      <w:r w:rsidR="00BB43BD" w:rsidRPr="007B4FE2">
        <w:rPr>
          <w:rFonts w:ascii="Times New Roman" w:hAnsi="Times New Roman" w:cs="Times New Roman"/>
          <w:sz w:val="24"/>
          <w:szCs w:val="24"/>
        </w:rPr>
        <w:t xml:space="preserve">in giurisprudenza hanno portato ad una </w:t>
      </w:r>
      <w:r w:rsidRPr="007B4FE2">
        <w:rPr>
          <w:rFonts w:ascii="Times New Roman" w:hAnsi="Times New Roman" w:cs="Times New Roman"/>
          <w:sz w:val="24"/>
          <w:szCs w:val="24"/>
        </w:rPr>
        <w:t xml:space="preserve">progressiva </w:t>
      </w:r>
      <w:r w:rsidR="00BB43BD" w:rsidRPr="007B4FE2">
        <w:rPr>
          <w:rFonts w:ascii="Times New Roman" w:hAnsi="Times New Roman" w:cs="Times New Roman"/>
          <w:sz w:val="24"/>
          <w:szCs w:val="24"/>
        </w:rPr>
        <w:t>precisazione dei concetti</w:t>
      </w:r>
      <w:r w:rsidRPr="007B4FE2">
        <w:rPr>
          <w:rFonts w:ascii="Times New Roman" w:hAnsi="Times New Roman" w:cs="Times New Roman"/>
          <w:sz w:val="24"/>
          <w:szCs w:val="24"/>
        </w:rPr>
        <w:t xml:space="preserve"> e ad</w:t>
      </w:r>
      <w:r w:rsidR="008B64A0" w:rsidRPr="007B4FE2">
        <w:rPr>
          <w:rFonts w:ascii="Times New Roman" w:hAnsi="Times New Roman" w:cs="Times New Roman"/>
          <w:sz w:val="24"/>
          <w:szCs w:val="24"/>
        </w:rPr>
        <w:t xml:space="preserve"> </w:t>
      </w:r>
      <w:r w:rsidRPr="007B4FE2">
        <w:rPr>
          <w:rFonts w:ascii="Times New Roman" w:hAnsi="Times New Roman" w:cs="Times New Roman"/>
          <w:sz w:val="24"/>
          <w:szCs w:val="24"/>
        </w:rPr>
        <w:t>una elevazione del principio ad</w:t>
      </w:r>
      <w:r w:rsidR="008B64A0" w:rsidRPr="007B4FE2">
        <w:rPr>
          <w:rFonts w:ascii="Times New Roman" w:hAnsi="Times New Roman" w:cs="Times New Roman"/>
          <w:sz w:val="24"/>
          <w:szCs w:val="24"/>
        </w:rPr>
        <w:t xml:space="preserve"> </w:t>
      </w:r>
      <w:r w:rsidR="00BB43BD" w:rsidRPr="007B4FE2">
        <w:rPr>
          <w:rFonts w:ascii="Times New Roman" w:hAnsi="Times New Roman" w:cs="Times New Roman"/>
          <w:sz w:val="24"/>
          <w:szCs w:val="24"/>
        </w:rPr>
        <w:t>istituto generale</w:t>
      </w:r>
      <w:r w:rsidR="008B64A0" w:rsidRPr="007B4FE2">
        <w:rPr>
          <w:rFonts w:ascii="Times New Roman" w:hAnsi="Times New Roman" w:cs="Times New Roman"/>
          <w:sz w:val="24"/>
          <w:szCs w:val="24"/>
        </w:rPr>
        <w:t xml:space="preserve"> </w:t>
      </w:r>
      <w:r w:rsidR="00BB43BD" w:rsidRPr="007B4FE2">
        <w:rPr>
          <w:rFonts w:ascii="Times New Roman" w:hAnsi="Times New Roman" w:cs="Times New Roman"/>
          <w:sz w:val="24"/>
          <w:szCs w:val="24"/>
        </w:rPr>
        <w:t>del diritto di polizia</w:t>
      </w:r>
      <w:r w:rsidR="00462D95" w:rsidRPr="007B4FE2">
        <w:rPr>
          <w:rFonts w:ascii="Times New Roman" w:hAnsi="Times New Roman" w:cs="Times New Roman"/>
          <w:sz w:val="24"/>
          <w:szCs w:val="24"/>
        </w:rPr>
        <w:t>, prima,</w:t>
      </w:r>
      <w:r w:rsidR="008B64A0" w:rsidRPr="007B4FE2">
        <w:rPr>
          <w:rFonts w:ascii="Times New Roman" w:hAnsi="Times New Roman" w:cs="Times New Roman"/>
          <w:sz w:val="24"/>
          <w:szCs w:val="24"/>
        </w:rPr>
        <w:t xml:space="preserve"> </w:t>
      </w:r>
      <w:r w:rsidR="00D71D46" w:rsidRPr="007B4FE2">
        <w:rPr>
          <w:rFonts w:ascii="Times New Roman" w:hAnsi="Times New Roman" w:cs="Times New Roman"/>
          <w:sz w:val="24"/>
          <w:szCs w:val="24"/>
        </w:rPr>
        <w:t xml:space="preserve">e </w:t>
      </w:r>
      <w:r w:rsidRPr="007B4FE2">
        <w:rPr>
          <w:rFonts w:ascii="Times New Roman" w:hAnsi="Times New Roman" w:cs="Times New Roman"/>
          <w:sz w:val="24"/>
          <w:szCs w:val="24"/>
        </w:rPr>
        <w:t>del</w:t>
      </w:r>
      <w:r w:rsidR="008B64A0" w:rsidRPr="007B4FE2">
        <w:rPr>
          <w:rFonts w:ascii="Times New Roman" w:hAnsi="Times New Roman" w:cs="Times New Roman"/>
          <w:sz w:val="24"/>
          <w:szCs w:val="24"/>
        </w:rPr>
        <w:t xml:space="preserve"> </w:t>
      </w:r>
      <w:r w:rsidR="00BB43BD" w:rsidRPr="007B4FE2">
        <w:rPr>
          <w:rFonts w:ascii="Times New Roman" w:hAnsi="Times New Roman" w:cs="Times New Roman"/>
          <w:sz w:val="24"/>
          <w:szCs w:val="24"/>
        </w:rPr>
        <w:t>diritto pubblico tedesco</w:t>
      </w:r>
      <w:r w:rsidR="000D593E" w:rsidRPr="007B4FE2">
        <w:rPr>
          <w:rFonts w:ascii="Times New Roman" w:hAnsi="Times New Roman" w:cs="Times New Roman"/>
          <w:sz w:val="24"/>
          <w:szCs w:val="24"/>
        </w:rPr>
        <w:t>,</w:t>
      </w:r>
      <w:r w:rsidRPr="007B4FE2">
        <w:rPr>
          <w:rFonts w:ascii="Times New Roman" w:hAnsi="Times New Roman" w:cs="Times New Roman"/>
          <w:sz w:val="24"/>
          <w:szCs w:val="24"/>
        </w:rPr>
        <w:t xml:space="preserve"> </w:t>
      </w:r>
      <w:r w:rsidR="00462D95" w:rsidRPr="007B4FE2">
        <w:rPr>
          <w:rFonts w:ascii="Times New Roman" w:hAnsi="Times New Roman" w:cs="Times New Roman"/>
          <w:sz w:val="24"/>
          <w:szCs w:val="24"/>
        </w:rPr>
        <w:t xml:space="preserve">più </w:t>
      </w:r>
      <w:r w:rsidRPr="007B4FE2">
        <w:rPr>
          <w:rFonts w:ascii="Times New Roman" w:hAnsi="Times New Roman" w:cs="Times New Roman"/>
          <w:sz w:val="24"/>
          <w:szCs w:val="24"/>
        </w:rPr>
        <w:t>in generale</w:t>
      </w:r>
      <w:r w:rsidR="00D71D46" w:rsidRPr="007B4FE2">
        <w:rPr>
          <w:rFonts w:ascii="Times New Roman" w:hAnsi="Times New Roman" w:cs="Times New Roman"/>
          <w:sz w:val="24"/>
          <w:szCs w:val="24"/>
        </w:rPr>
        <w:t>, successivamente</w:t>
      </w:r>
      <w:r w:rsidR="00BB43BD" w:rsidRPr="007B4FE2">
        <w:rPr>
          <w:rFonts w:ascii="Times New Roman" w:hAnsi="Times New Roman" w:cs="Times New Roman"/>
          <w:sz w:val="24"/>
          <w:szCs w:val="24"/>
          <w:vertAlign w:val="superscript"/>
        </w:rPr>
        <w:footnoteReference w:id="16"/>
      </w:r>
      <w:r w:rsidR="00BB43BD" w:rsidRPr="007B4FE2">
        <w:rPr>
          <w:rFonts w:ascii="Times New Roman" w:hAnsi="Times New Roman" w:cs="Times New Roman"/>
          <w:sz w:val="24"/>
          <w:szCs w:val="24"/>
        </w:rPr>
        <w:t>.</w:t>
      </w:r>
    </w:p>
    <w:p w:rsidR="00DF70C3" w:rsidRPr="007B4FE2" w:rsidRDefault="00DF70C3"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Quanto alla base giuridica di rif</w:t>
      </w:r>
      <w:r w:rsidR="00462D95" w:rsidRPr="007B4FE2">
        <w:rPr>
          <w:rFonts w:ascii="Times New Roman" w:hAnsi="Times New Roman" w:cs="Times New Roman"/>
          <w:sz w:val="24"/>
          <w:szCs w:val="24"/>
        </w:rPr>
        <w:t xml:space="preserve">erimento del principio di proporzionalità, dopo l’adozione della </w:t>
      </w:r>
      <w:proofErr w:type="spellStart"/>
      <w:r w:rsidR="00462D95" w:rsidRPr="007B4FE2">
        <w:rPr>
          <w:rFonts w:ascii="Times New Roman" w:hAnsi="Times New Roman" w:cs="Times New Roman"/>
          <w:i/>
          <w:sz w:val="24"/>
          <w:szCs w:val="24"/>
        </w:rPr>
        <w:t>Grundgesetz</w:t>
      </w:r>
      <w:proofErr w:type="spellEnd"/>
      <w:r w:rsidR="00462D95" w:rsidRPr="007B4FE2">
        <w:rPr>
          <w:rFonts w:ascii="Times New Roman" w:hAnsi="Times New Roman" w:cs="Times New Roman"/>
          <w:sz w:val="24"/>
          <w:szCs w:val="24"/>
        </w:rPr>
        <w:t xml:space="preserve"> la dottrina tedesca -</w:t>
      </w:r>
      <w:r w:rsidR="008B64A0" w:rsidRPr="007B4FE2">
        <w:rPr>
          <w:rFonts w:ascii="Times New Roman" w:hAnsi="Times New Roman" w:cs="Times New Roman"/>
          <w:sz w:val="24"/>
          <w:szCs w:val="24"/>
        </w:rPr>
        <w:t xml:space="preserve"> </w:t>
      </w:r>
      <w:r w:rsidR="00462D95" w:rsidRPr="007B4FE2">
        <w:rPr>
          <w:rFonts w:ascii="Times New Roman" w:hAnsi="Times New Roman" w:cs="Times New Roman"/>
          <w:sz w:val="24"/>
          <w:szCs w:val="24"/>
        </w:rPr>
        <w:t>ad esito di un lungo</w:t>
      </w:r>
      <w:r w:rsidR="00B34074" w:rsidRPr="007B4FE2">
        <w:rPr>
          <w:rFonts w:ascii="Times New Roman" w:hAnsi="Times New Roman" w:cs="Times New Roman"/>
          <w:sz w:val="24"/>
          <w:szCs w:val="24"/>
        </w:rPr>
        <w:t xml:space="preserve"> e complesso</w:t>
      </w:r>
      <w:r w:rsidR="00462D95" w:rsidRPr="007B4FE2">
        <w:rPr>
          <w:rFonts w:ascii="Times New Roman" w:hAnsi="Times New Roman" w:cs="Times New Roman"/>
          <w:sz w:val="24"/>
          <w:szCs w:val="24"/>
        </w:rPr>
        <w:t xml:space="preserve"> dibattito</w:t>
      </w:r>
      <w:r w:rsidR="008B64A0" w:rsidRPr="007B4FE2">
        <w:rPr>
          <w:rFonts w:ascii="Times New Roman" w:hAnsi="Times New Roman" w:cs="Times New Roman"/>
          <w:sz w:val="24"/>
          <w:szCs w:val="24"/>
        </w:rPr>
        <w:t xml:space="preserve"> </w:t>
      </w:r>
      <w:r w:rsidR="00462D95" w:rsidRPr="007B4FE2">
        <w:rPr>
          <w:rFonts w:ascii="Times New Roman" w:hAnsi="Times New Roman" w:cs="Times New Roman"/>
          <w:sz w:val="24"/>
          <w:szCs w:val="24"/>
        </w:rPr>
        <w:t>-</w:t>
      </w:r>
      <w:r w:rsidR="008B64A0" w:rsidRPr="007B4FE2">
        <w:rPr>
          <w:rFonts w:ascii="Times New Roman" w:hAnsi="Times New Roman" w:cs="Times New Roman"/>
          <w:sz w:val="24"/>
          <w:szCs w:val="24"/>
        </w:rPr>
        <w:t xml:space="preserve"> </w:t>
      </w:r>
      <w:r w:rsidRPr="007B4FE2">
        <w:rPr>
          <w:rFonts w:ascii="Times New Roman" w:hAnsi="Times New Roman" w:cs="Times New Roman"/>
          <w:sz w:val="24"/>
          <w:szCs w:val="24"/>
        </w:rPr>
        <w:t>l’ha rinvenuta sia nel principio dello Stato di diritto (</w:t>
      </w:r>
      <w:proofErr w:type="spellStart"/>
      <w:r w:rsidRPr="007B4FE2">
        <w:rPr>
          <w:rFonts w:ascii="Times New Roman" w:hAnsi="Times New Roman" w:cs="Times New Roman"/>
          <w:i/>
          <w:sz w:val="24"/>
          <w:szCs w:val="24"/>
        </w:rPr>
        <w:t>Rechtsstaatsprinzip</w:t>
      </w:r>
      <w:proofErr w:type="spellEnd"/>
      <w:r w:rsidRPr="007B4FE2">
        <w:rPr>
          <w:rFonts w:ascii="Times New Roman" w:hAnsi="Times New Roman" w:cs="Times New Roman"/>
          <w:sz w:val="24"/>
          <w:szCs w:val="24"/>
        </w:rPr>
        <w:t>) di cui all'art. 20 GG</w:t>
      </w:r>
      <w:r w:rsidRPr="007B4FE2">
        <w:rPr>
          <w:rFonts w:ascii="Times New Roman" w:hAnsi="Times New Roman" w:cs="Times New Roman"/>
          <w:sz w:val="24"/>
          <w:szCs w:val="24"/>
          <w:vertAlign w:val="superscript"/>
        </w:rPr>
        <w:footnoteReference w:id="17"/>
      </w:r>
      <w:r w:rsidR="00462D95" w:rsidRPr="007B4FE2">
        <w:rPr>
          <w:rFonts w:ascii="Times New Roman" w:hAnsi="Times New Roman" w:cs="Times New Roman"/>
          <w:sz w:val="24"/>
          <w:szCs w:val="24"/>
        </w:rPr>
        <w:t xml:space="preserve">; sia </w:t>
      </w:r>
      <w:r w:rsidRPr="007B4FE2">
        <w:rPr>
          <w:rFonts w:ascii="Times New Roman" w:hAnsi="Times New Roman" w:cs="Times New Roman"/>
          <w:sz w:val="24"/>
          <w:szCs w:val="24"/>
        </w:rPr>
        <w:t>nell'art. 19 c. 2 GG</w:t>
      </w:r>
      <w:r w:rsidRPr="007B4FE2">
        <w:rPr>
          <w:rFonts w:ascii="Times New Roman" w:hAnsi="Times New Roman" w:cs="Times New Roman"/>
          <w:sz w:val="24"/>
          <w:szCs w:val="24"/>
          <w:vertAlign w:val="superscript"/>
        </w:rPr>
        <w:footnoteReference w:id="18"/>
      </w:r>
      <w:r w:rsidRPr="007B4FE2">
        <w:rPr>
          <w:rFonts w:ascii="Times New Roman" w:hAnsi="Times New Roman" w:cs="Times New Roman"/>
          <w:sz w:val="24"/>
          <w:szCs w:val="24"/>
        </w:rPr>
        <w:t>: e, qui</w:t>
      </w:r>
      <w:r w:rsidR="00462D95" w:rsidRPr="007B4FE2">
        <w:rPr>
          <w:rFonts w:ascii="Times New Roman" w:hAnsi="Times New Roman" w:cs="Times New Roman"/>
          <w:sz w:val="24"/>
          <w:szCs w:val="24"/>
        </w:rPr>
        <w:t xml:space="preserve">ndi, nell’esigenza di proteggere </w:t>
      </w:r>
      <w:r w:rsidRPr="007B4FE2">
        <w:rPr>
          <w:rFonts w:ascii="Times New Roman" w:hAnsi="Times New Roman" w:cs="Times New Roman"/>
          <w:sz w:val="24"/>
          <w:szCs w:val="24"/>
        </w:rPr>
        <w:t>l’essenza stessa dei diritti fondamentali</w:t>
      </w:r>
      <w:r w:rsidRPr="007B4FE2">
        <w:rPr>
          <w:rFonts w:ascii="Times New Roman" w:hAnsi="Times New Roman" w:cs="Times New Roman"/>
          <w:sz w:val="24"/>
          <w:szCs w:val="24"/>
          <w:vertAlign w:val="superscript"/>
        </w:rPr>
        <w:footnoteReference w:id="19"/>
      </w:r>
      <w:r w:rsidRPr="007B4FE2">
        <w:rPr>
          <w:rFonts w:ascii="Times New Roman" w:hAnsi="Times New Roman" w:cs="Times New Roman"/>
          <w:sz w:val="24"/>
          <w:szCs w:val="24"/>
        </w:rPr>
        <w:t xml:space="preserve"> (</w:t>
      </w:r>
      <w:proofErr w:type="spellStart"/>
      <w:r w:rsidRPr="007B4FE2">
        <w:rPr>
          <w:rFonts w:ascii="Times New Roman" w:hAnsi="Times New Roman" w:cs="Times New Roman"/>
          <w:i/>
          <w:sz w:val="24"/>
          <w:szCs w:val="24"/>
        </w:rPr>
        <w:t>das</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Wesen</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der</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Grundrechte</w:t>
      </w:r>
      <w:proofErr w:type="spellEnd"/>
      <w:r w:rsidRPr="007B4FE2">
        <w:rPr>
          <w:rFonts w:ascii="Times New Roman" w:hAnsi="Times New Roman" w:cs="Times New Roman"/>
          <w:sz w:val="24"/>
          <w:szCs w:val="24"/>
        </w:rPr>
        <w:t>)</w:t>
      </w:r>
      <w:r w:rsidR="00462D95" w:rsidRPr="007B4FE2">
        <w:rPr>
          <w:rFonts w:ascii="Times New Roman" w:hAnsi="Times New Roman" w:cs="Times New Roman"/>
          <w:sz w:val="24"/>
          <w:szCs w:val="24"/>
          <w:vertAlign w:val="superscript"/>
        </w:rPr>
        <w:footnoteReference w:id="20"/>
      </w:r>
      <w:r w:rsidR="00462D95" w:rsidRPr="007B4FE2">
        <w:rPr>
          <w:rFonts w:ascii="Times New Roman" w:hAnsi="Times New Roman" w:cs="Times New Roman"/>
          <w:sz w:val="24"/>
          <w:szCs w:val="24"/>
        </w:rPr>
        <w:t>.</w:t>
      </w:r>
      <w:r w:rsidRPr="007B4FE2">
        <w:rPr>
          <w:rFonts w:ascii="Times New Roman" w:hAnsi="Times New Roman" w:cs="Times New Roman"/>
          <w:sz w:val="24"/>
          <w:szCs w:val="24"/>
        </w:rPr>
        <w:t xml:space="preserve"> </w:t>
      </w:r>
    </w:p>
    <w:p w:rsidR="00DF70C3" w:rsidRPr="007B4FE2" w:rsidRDefault="008F011F"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Quanto al suo contenuto concreto, n</w:t>
      </w:r>
      <w:r w:rsidR="00DF70C3" w:rsidRPr="007B4FE2">
        <w:rPr>
          <w:rFonts w:ascii="Times New Roman" w:hAnsi="Times New Roman" w:cs="Times New Roman"/>
          <w:sz w:val="24"/>
          <w:szCs w:val="24"/>
        </w:rPr>
        <w:t xml:space="preserve">el diritto tedesco (e </w:t>
      </w:r>
      <w:r w:rsidR="00EA39F8" w:rsidRPr="007B4FE2">
        <w:rPr>
          <w:rFonts w:ascii="Times New Roman" w:hAnsi="Times New Roman" w:cs="Times New Roman"/>
          <w:sz w:val="24"/>
          <w:szCs w:val="24"/>
        </w:rPr>
        <w:t xml:space="preserve">in linea di principio </w:t>
      </w:r>
      <w:r w:rsidR="00DF70C3" w:rsidRPr="007B4FE2">
        <w:rPr>
          <w:rFonts w:ascii="Times New Roman" w:hAnsi="Times New Roman" w:cs="Times New Roman"/>
          <w:sz w:val="24"/>
          <w:szCs w:val="24"/>
        </w:rPr>
        <w:t>anche negli altri ordinamenti nei quali il principio è stato mutuato, ivi compreso quello UE) il principio di proporzionalità risulta dall'unione di tre diversi elementi</w:t>
      </w:r>
      <w:r w:rsidR="00EA39F8" w:rsidRPr="007B4FE2">
        <w:rPr>
          <w:rFonts w:ascii="Times New Roman" w:hAnsi="Times New Roman" w:cs="Times New Roman"/>
          <w:sz w:val="24"/>
          <w:szCs w:val="24"/>
        </w:rPr>
        <w:t>:</w:t>
      </w:r>
      <w:r w:rsidR="00DF70C3" w:rsidRPr="007B4FE2">
        <w:rPr>
          <w:rFonts w:ascii="Times New Roman" w:hAnsi="Times New Roman" w:cs="Times New Roman"/>
          <w:sz w:val="24"/>
          <w:szCs w:val="24"/>
        </w:rPr>
        <w:t xml:space="preserve"> che</w:t>
      </w:r>
      <w:r w:rsidR="008B64A0" w:rsidRPr="007B4FE2">
        <w:rPr>
          <w:rFonts w:ascii="Times New Roman" w:hAnsi="Times New Roman" w:cs="Times New Roman"/>
          <w:sz w:val="24"/>
          <w:szCs w:val="24"/>
        </w:rPr>
        <w:t>,</w:t>
      </w:r>
      <w:r w:rsidR="00DF70C3" w:rsidRPr="007B4FE2">
        <w:rPr>
          <w:rFonts w:ascii="Times New Roman" w:hAnsi="Times New Roman" w:cs="Times New Roman"/>
          <w:sz w:val="24"/>
          <w:szCs w:val="24"/>
        </w:rPr>
        <w:t xml:space="preserve"> a partire dalla notissima </w:t>
      </w:r>
      <w:proofErr w:type="spellStart"/>
      <w:r w:rsidR="00DF70C3" w:rsidRPr="007B4FE2">
        <w:rPr>
          <w:rFonts w:ascii="Times New Roman" w:hAnsi="Times New Roman" w:cs="Times New Roman"/>
          <w:i/>
          <w:sz w:val="24"/>
          <w:szCs w:val="24"/>
        </w:rPr>
        <w:t>Apothekenurteil</w:t>
      </w:r>
      <w:proofErr w:type="spellEnd"/>
      <w:r w:rsidR="00DF70C3" w:rsidRPr="007B4FE2">
        <w:rPr>
          <w:rFonts w:ascii="Times New Roman" w:hAnsi="Times New Roman" w:cs="Times New Roman"/>
          <w:i/>
          <w:sz w:val="24"/>
          <w:szCs w:val="24"/>
        </w:rPr>
        <w:t xml:space="preserve"> </w:t>
      </w:r>
      <w:r w:rsidR="00DF70C3" w:rsidRPr="007B4FE2">
        <w:rPr>
          <w:rFonts w:ascii="Times New Roman" w:hAnsi="Times New Roman" w:cs="Times New Roman"/>
          <w:sz w:val="24"/>
          <w:szCs w:val="24"/>
        </w:rPr>
        <w:t>del 1958</w:t>
      </w:r>
      <w:r w:rsidR="00DF70C3" w:rsidRPr="007B4FE2">
        <w:rPr>
          <w:rFonts w:ascii="Times New Roman" w:hAnsi="Times New Roman" w:cs="Times New Roman"/>
          <w:sz w:val="24"/>
          <w:szCs w:val="24"/>
          <w:vertAlign w:val="superscript"/>
        </w:rPr>
        <w:footnoteReference w:id="21"/>
      </w:r>
      <w:r w:rsidR="008B64A0" w:rsidRPr="007B4FE2">
        <w:rPr>
          <w:rFonts w:ascii="Times New Roman" w:hAnsi="Times New Roman" w:cs="Times New Roman"/>
          <w:sz w:val="24"/>
          <w:szCs w:val="24"/>
        </w:rPr>
        <w:t>,</w:t>
      </w:r>
      <w:r w:rsidR="00DF70C3" w:rsidRPr="007B4FE2">
        <w:rPr>
          <w:rFonts w:ascii="Times New Roman" w:hAnsi="Times New Roman" w:cs="Times New Roman"/>
          <w:sz w:val="24"/>
          <w:szCs w:val="24"/>
        </w:rPr>
        <w:t xml:space="preserve"> sono stati riuniti dalla giurisprudenza costituzionale tedesca nel principio di proporzionalità </w:t>
      </w:r>
      <w:r w:rsidR="00DF70C3" w:rsidRPr="007B4FE2">
        <w:rPr>
          <w:rFonts w:ascii="Times New Roman" w:hAnsi="Times New Roman" w:cs="Times New Roman"/>
          <w:i/>
          <w:sz w:val="24"/>
          <w:szCs w:val="24"/>
        </w:rPr>
        <w:t xml:space="preserve">lato </w:t>
      </w:r>
      <w:proofErr w:type="spellStart"/>
      <w:r w:rsidR="00DF70C3" w:rsidRPr="007B4FE2">
        <w:rPr>
          <w:rFonts w:ascii="Times New Roman" w:hAnsi="Times New Roman" w:cs="Times New Roman"/>
          <w:i/>
          <w:sz w:val="24"/>
          <w:szCs w:val="24"/>
        </w:rPr>
        <w:t>sensu</w:t>
      </w:r>
      <w:proofErr w:type="spellEnd"/>
      <w:r w:rsidR="00DF70C3" w:rsidRPr="007B4FE2">
        <w:rPr>
          <w:rFonts w:ascii="Times New Roman" w:hAnsi="Times New Roman" w:cs="Times New Roman"/>
          <w:sz w:val="24"/>
          <w:szCs w:val="24"/>
        </w:rPr>
        <w:t>.</w:t>
      </w:r>
    </w:p>
    <w:p w:rsidR="00DF70C3" w:rsidRPr="007B4FE2" w:rsidRDefault="00DF70C3"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Si tratta dei tre elementi della idoneità (</w:t>
      </w:r>
      <w:proofErr w:type="spellStart"/>
      <w:r w:rsidRPr="007B4FE2">
        <w:rPr>
          <w:rFonts w:ascii="Times New Roman" w:hAnsi="Times New Roman" w:cs="Times New Roman"/>
          <w:i/>
          <w:sz w:val="24"/>
          <w:szCs w:val="24"/>
        </w:rPr>
        <w:t>Geeignetheit</w:t>
      </w:r>
      <w:proofErr w:type="spellEnd"/>
      <w:r w:rsidRPr="007B4FE2">
        <w:rPr>
          <w:rFonts w:ascii="Times New Roman" w:hAnsi="Times New Roman" w:cs="Times New Roman"/>
          <w:sz w:val="24"/>
          <w:szCs w:val="24"/>
        </w:rPr>
        <w:t xml:space="preserve">), della </w:t>
      </w:r>
      <w:proofErr w:type="spellStart"/>
      <w:r w:rsidRPr="007B4FE2">
        <w:rPr>
          <w:rFonts w:ascii="Times New Roman" w:hAnsi="Times New Roman" w:cs="Times New Roman"/>
          <w:sz w:val="24"/>
          <w:szCs w:val="24"/>
        </w:rPr>
        <w:t>necessarietà</w:t>
      </w:r>
      <w:proofErr w:type="spellEnd"/>
      <w:r w:rsidRPr="007B4FE2">
        <w:rPr>
          <w:rFonts w:ascii="Times New Roman" w:hAnsi="Times New Roman" w:cs="Times New Roman"/>
          <w:sz w:val="24"/>
          <w:szCs w:val="24"/>
        </w:rPr>
        <w:t xml:space="preserve"> (</w:t>
      </w:r>
      <w:proofErr w:type="spellStart"/>
      <w:r w:rsidRPr="007B4FE2">
        <w:rPr>
          <w:rFonts w:ascii="Times New Roman" w:hAnsi="Times New Roman" w:cs="Times New Roman"/>
          <w:i/>
          <w:sz w:val="24"/>
          <w:szCs w:val="24"/>
        </w:rPr>
        <w:t>Erforderlichkeit</w:t>
      </w:r>
      <w:proofErr w:type="spellEnd"/>
      <w:r w:rsidRPr="007B4FE2">
        <w:rPr>
          <w:rFonts w:ascii="Times New Roman" w:hAnsi="Times New Roman" w:cs="Times New Roman"/>
          <w:sz w:val="24"/>
          <w:szCs w:val="24"/>
        </w:rPr>
        <w:t>) e della proporzionalità in senso stretto (</w:t>
      </w:r>
      <w:proofErr w:type="spellStart"/>
      <w:r w:rsidRPr="007B4FE2">
        <w:rPr>
          <w:rFonts w:ascii="Times New Roman" w:hAnsi="Times New Roman" w:cs="Times New Roman"/>
          <w:i/>
          <w:sz w:val="24"/>
          <w:szCs w:val="24"/>
        </w:rPr>
        <w:t>Verhältnismäßigkeit</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im</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engeren</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Sinne</w:t>
      </w:r>
      <w:proofErr w:type="spellEnd"/>
      <w:r w:rsidRPr="007B4FE2">
        <w:rPr>
          <w:rFonts w:ascii="Times New Roman" w:hAnsi="Times New Roman" w:cs="Times New Roman"/>
          <w:sz w:val="24"/>
          <w:szCs w:val="24"/>
        </w:rPr>
        <w:t>)</w:t>
      </w:r>
      <w:r w:rsidR="00714069" w:rsidRPr="007B4FE2">
        <w:rPr>
          <w:rFonts w:ascii="Times New Roman" w:hAnsi="Times New Roman" w:cs="Times New Roman"/>
          <w:sz w:val="24"/>
          <w:szCs w:val="24"/>
          <w:vertAlign w:val="superscript"/>
        </w:rPr>
        <w:footnoteReference w:id="22"/>
      </w:r>
      <w:r w:rsidRPr="007B4FE2">
        <w:rPr>
          <w:rFonts w:ascii="Times New Roman" w:hAnsi="Times New Roman" w:cs="Times New Roman"/>
          <w:sz w:val="24"/>
          <w:szCs w:val="24"/>
        </w:rPr>
        <w:t xml:space="preserve">. </w:t>
      </w:r>
    </w:p>
    <w:p w:rsidR="00EA39F8" w:rsidRPr="007B4FE2" w:rsidRDefault="00DF70C3"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Due brevissime precisazioni su ognuno di questi tre parametri</w:t>
      </w:r>
      <w:r w:rsidR="008F011F" w:rsidRPr="007B4FE2">
        <w:rPr>
          <w:rFonts w:ascii="Times New Roman" w:hAnsi="Times New Roman" w:cs="Times New Roman"/>
          <w:sz w:val="24"/>
          <w:szCs w:val="24"/>
        </w:rPr>
        <w:t xml:space="preserve"> </w:t>
      </w:r>
      <w:r w:rsidR="008B64A0" w:rsidRPr="007B4FE2">
        <w:rPr>
          <w:rFonts w:ascii="Times New Roman" w:hAnsi="Times New Roman" w:cs="Times New Roman"/>
          <w:sz w:val="24"/>
          <w:szCs w:val="24"/>
        </w:rPr>
        <w:t xml:space="preserve">paiono </w:t>
      </w:r>
      <w:r w:rsidR="008F011F" w:rsidRPr="007B4FE2">
        <w:rPr>
          <w:rFonts w:ascii="Times New Roman" w:hAnsi="Times New Roman" w:cs="Times New Roman"/>
          <w:sz w:val="24"/>
          <w:szCs w:val="24"/>
        </w:rPr>
        <w:t>senz’altro opportune anche in questa sede</w:t>
      </w:r>
      <w:r w:rsidR="00EA39F8" w:rsidRPr="007B4FE2">
        <w:rPr>
          <w:rFonts w:ascii="Times New Roman" w:hAnsi="Times New Roman" w:cs="Times New Roman"/>
          <w:sz w:val="24"/>
          <w:szCs w:val="24"/>
          <w:vertAlign w:val="superscript"/>
        </w:rPr>
        <w:footnoteReference w:id="23"/>
      </w:r>
      <w:r w:rsidR="00EA39F8" w:rsidRPr="007B4FE2">
        <w:rPr>
          <w:rFonts w:ascii="Times New Roman" w:hAnsi="Times New Roman" w:cs="Times New Roman"/>
          <w:sz w:val="24"/>
          <w:szCs w:val="24"/>
        </w:rPr>
        <w:t>.</w:t>
      </w:r>
    </w:p>
    <w:p w:rsidR="00A00C6A" w:rsidRPr="007B4FE2" w:rsidRDefault="00A00C6A"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Da un’analisi della giurisprudenza tedesca si ricava che un mezzo </w:t>
      </w:r>
      <w:r w:rsidR="00321BE7" w:rsidRPr="007B4FE2">
        <w:rPr>
          <w:rFonts w:ascii="Times New Roman" w:hAnsi="Times New Roman" w:cs="Times New Roman"/>
          <w:sz w:val="24"/>
          <w:szCs w:val="24"/>
        </w:rPr>
        <w:t xml:space="preserve">è </w:t>
      </w:r>
      <w:r w:rsidRPr="007B4FE2">
        <w:rPr>
          <w:rFonts w:ascii="Times New Roman" w:hAnsi="Times New Roman" w:cs="Times New Roman"/>
          <w:sz w:val="24"/>
          <w:szCs w:val="24"/>
        </w:rPr>
        <w:t>considerato idoneo al raggiungimento</w:t>
      </w:r>
      <w:r w:rsidR="00AC47C0" w:rsidRPr="007B4FE2">
        <w:rPr>
          <w:rFonts w:ascii="Times New Roman" w:hAnsi="Times New Roman" w:cs="Times New Roman"/>
          <w:sz w:val="24"/>
          <w:szCs w:val="24"/>
        </w:rPr>
        <w:t xml:space="preserve"> </w:t>
      </w:r>
      <w:r w:rsidRPr="007B4FE2">
        <w:rPr>
          <w:rFonts w:ascii="Times New Roman" w:hAnsi="Times New Roman" w:cs="Times New Roman"/>
          <w:sz w:val="24"/>
          <w:szCs w:val="24"/>
        </w:rPr>
        <w:t>dell'obiettivo</w:t>
      </w:r>
      <w:r w:rsidR="00AC47C0" w:rsidRPr="007B4FE2">
        <w:rPr>
          <w:rFonts w:ascii="Times New Roman" w:hAnsi="Times New Roman" w:cs="Times New Roman"/>
          <w:sz w:val="24"/>
          <w:szCs w:val="24"/>
        </w:rPr>
        <w:t xml:space="preserve"> </w:t>
      </w:r>
      <w:r w:rsidRPr="007B4FE2">
        <w:rPr>
          <w:rFonts w:ascii="Times New Roman" w:hAnsi="Times New Roman" w:cs="Times New Roman"/>
          <w:sz w:val="24"/>
          <w:szCs w:val="24"/>
        </w:rPr>
        <w:t>prefissato "</w:t>
      </w:r>
      <w:r w:rsidRPr="007B4FE2">
        <w:rPr>
          <w:rFonts w:ascii="Times New Roman" w:hAnsi="Times New Roman" w:cs="Times New Roman"/>
          <w:i/>
          <w:sz w:val="24"/>
          <w:szCs w:val="24"/>
        </w:rPr>
        <w:t>allorché con il suo aiuto si possa</w:t>
      </w:r>
      <w:r w:rsidR="00AC47C0"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favorire il (raggiungimento del) risultato desiderato</w:t>
      </w:r>
      <w:r w:rsidRPr="007B4FE2">
        <w:rPr>
          <w:rFonts w:ascii="Times New Roman" w:hAnsi="Times New Roman" w:cs="Times New Roman"/>
          <w:sz w:val="24"/>
          <w:szCs w:val="24"/>
        </w:rPr>
        <w:t>"</w:t>
      </w:r>
      <w:r w:rsidRPr="007B4FE2">
        <w:rPr>
          <w:rFonts w:ascii="Times New Roman" w:hAnsi="Times New Roman" w:cs="Times New Roman"/>
          <w:sz w:val="24"/>
          <w:szCs w:val="24"/>
          <w:vertAlign w:val="superscript"/>
        </w:rPr>
        <w:footnoteReference w:id="24"/>
      </w:r>
      <w:r w:rsidRPr="007B4FE2">
        <w:rPr>
          <w:rFonts w:ascii="Times New Roman" w:hAnsi="Times New Roman" w:cs="Times New Roman"/>
          <w:sz w:val="24"/>
          <w:szCs w:val="24"/>
        </w:rPr>
        <w:t>.</w:t>
      </w:r>
      <w:r w:rsidR="00AC47C0" w:rsidRPr="007B4FE2">
        <w:rPr>
          <w:rFonts w:ascii="Times New Roman" w:hAnsi="Times New Roman" w:cs="Times New Roman"/>
          <w:sz w:val="24"/>
          <w:szCs w:val="24"/>
        </w:rPr>
        <w:t xml:space="preserve"> </w:t>
      </w:r>
    </w:p>
    <w:p w:rsidR="00DF70C3" w:rsidRPr="007B4FE2" w:rsidRDefault="00A00C6A"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Il pronostico effettuato deve risultare giustificato e ragionevole</w:t>
      </w:r>
      <w:r w:rsidR="00D81298" w:rsidRPr="007B4FE2">
        <w:rPr>
          <w:rFonts w:ascii="Times New Roman" w:hAnsi="Times New Roman" w:cs="Times New Roman"/>
          <w:sz w:val="24"/>
          <w:szCs w:val="24"/>
        </w:rPr>
        <w:t xml:space="preserve">; ma </w:t>
      </w:r>
      <w:r w:rsidR="00DF70C3" w:rsidRPr="007B4FE2">
        <w:rPr>
          <w:rFonts w:ascii="Times New Roman" w:hAnsi="Times New Roman" w:cs="Times New Roman"/>
          <w:sz w:val="24"/>
          <w:szCs w:val="24"/>
        </w:rPr>
        <w:t>si fa riferimento, comunque, ad una valutazione operata</w:t>
      </w:r>
      <w:r w:rsidR="00DF70C3" w:rsidRPr="007B4FE2">
        <w:rPr>
          <w:rFonts w:ascii="Times New Roman" w:hAnsi="Times New Roman" w:cs="Times New Roman"/>
          <w:i/>
          <w:sz w:val="24"/>
          <w:szCs w:val="24"/>
        </w:rPr>
        <w:t xml:space="preserve"> ex ante</w:t>
      </w:r>
      <w:r w:rsidR="00321BE7" w:rsidRPr="007B4FE2">
        <w:rPr>
          <w:rFonts w:ascii="Times New Roman" w:hAnsi="Times New Roman" w:cs="Times New Roman"/>
          <w:sz w:val="24"/>
          <w:szCs w:val="24"/>
        </w:rPr>
        <w:t>,</w:t>
      </w:r>
      <w:r w:rsidR="00DF70C3" w:rsidRPr="007B4FE2">
        <w:rPr>
          <w:rFonts w:ascii="Times New Roman" w:hAnsi="Times New Roman" w:cs="Times New Roman"/>
          <w:sz w:val="24"/>
          <w:szCs w:val="24"/>
        </w:rPr>
        <w:t xml:space="preserve"> ed in rapporto alla quale viene riconosciuta la possibilità di un errore</w:t>
      </w:r>
      <w:r w:rsidR="00321BE7" w:rsidRPr="007B4FE2">
        <w:rPr>
          <w:rFonts w:ascii="Times New Roman" w:hAnsi="Times New Roman" w:cs="Times New Roman"/>
          <w:sz w:val="24"/>
          <w:szCs w:val="24"/>
        </w:rPr>
        <w:t>. D</w:t>
      </w:r>
      <w:r w:rsidR="008B64A0" w:rsidRPr="007B4FE2">
        <w:rPr>
          <w:rFonts w:ascii="Times New Roman" w:hAnsi="Times New Roman" w:cs="Times New Roman"/>
          <w:sz w:val="24"/>
          <w:szCs w:val="24"/>
        </w:rPr>
        <w:t>i regola</w:t>
      </w:r>
      <w:r w:rsidR="00321BE7" w:rsidRPr="007B4FE2">
        <w:rPr>
          <w:rFonts w:ascii="Times New Roman" w:hAnsi="Times New Roman" w:cs="Times New Roman"/>
          <w:sz w:val="24"/>
          <w:szCs w:val="24"/>
        </w:rPr>
        <w:t xml:space="preserve">, poi, </w:t>
      </w:r>
      <w:r w:rsidR="008B64A0" w:rsidRPr="007B4FE2">
        <w:rPr>
          <w:rFonts w:ascii="Times New Roman" w:hAnsi="Times New Roman" w:cs="Times New Roman"/>
          <w:sz w:val="24"/>
          <w:szCs w:val="24"/>
        </w:rPr>
        <w:t>non si pretende</w:t>
      </w:r>
      <w:r w:rsidR="00DF70C3" w:rsidRPr="007B4FE2">
        <w:rPr>
          <w:rFonts w:ascii="Times New Roman" w:hAnsi="Times New Roman" w:cs="Times New Roman"/>
          <w:sz w:val="24"/>
          <w:szCs w:val="24"/>
        </w:rPr>
        <w:t xml:space="preserve"> neppure che l'obiettivo venga raggiunto appieno</w:t>
      </w:r>
      <w:r w:rsidR="008B64A0" w:rsidRPr="007B4FE2">
        <w:rPr>
          <w:rFonts w:ascii="Times New Roman" w:hAnsi="Times New Roman" w:cs="Times New Roman"/>
          <w:sz w:val="24"/>
          <w:szCs w:val="24"/>
        </w:rPr>
        <w:t xml:space="preserve">: la possibilità di </w:t>
      </w:r>
      <w:r w:rsidR="00DF70C3" w:rsidRPr="007B4FE2">
        <w:rPr>
          <w:rFonts w:ascii="Times New Roman" w:hAnsi="Times New Roman" w:cs="Times New Roman"/>
          <w:sz w:val="24"/>
          <w:szCs w:val="24"/>
        </w:rPr>
        <w:t xml:space="preserve">una </w:t>
      </w:r>
      <w:r w:rsidR="005A3DDC" w:rsidRPr="007B4FE2">
        <w:rPr>
          <w:rFonts w:ascii="Times New Roman" w:hAnsi="Times New Roman" w:cs="Times New Roman"/>
          <w:sz w:val="24"/>
          <w:szCs w:val="24"/>
        </w:rPr>
        <w:t xml:space="preserve">sua </w:t>
      </w:r>
      <w:r w:rsidR="00DF70C3" w:rsidRPr="007B4FE2">
        <w:rPr>
          <w:rFonts w:ascii="Times New Roman" w:hAnsi="Times New Roman" w:cs="Times New Roman"/>
          <w:sz w:val="24"/>
          <w:szCs w:val="24"/>
        </w:rPr>
        <w:t>realizzazione</w:t>
      </w:r>
      <w:r w:rsidR="008B64A0" w:rsidRPr="007B4FE2">
        <w:rPr>
          <w:rFonts w:ascii="Times New Roman" w:hAnsi="Times New Roman" w:cs="Times New Roman"/>
          <w:sz w:val="24"/>
          <w:szCs w:val="24"/>
        </w:rPr>
        <w:t xml:space="preserve"> anche </w:t>
      </w:r>
      <w:r w:rsidR="00DF70C3" w:rsidRPr="007B4FE2">
        <w:rPr>
          <w:rFonts w:ascii="Times New Roman" w:hAnsi="Times New Roman" w:cs="Times New Roman"/>
          <w:sz w:val="24"/>
          <w:szCs w:val="24"/>
        </w:rPr>
        <w:t xml:space="preserve">parziale </w:t>
      </w:r>
      <w:r w:rsidR="005A3DDC" w:rsidRPr="007B4FE2">
        <w:rPr>
          <w:rFonts w:ascii="Times New Roman" w:hAnsi="Times New Roman" w:cs="Times New Roman"/>
          <w:sz w:val="24"/>
          <w:szCs w:val="24"/>
        </w:rPr>
        <w:t xml:space="preserve">è </w:t>
      </w:r>
      <w:r w:rsidR="00DF70C3" w:rsidRPr="007B4FE2">
        <w:rPr>
          <w:rFonts w:ascii="Times New Roman" w:hAnsi="Times New Roman" w:cs="Times New Roman"/>
          <w:sz w:val="24"/>
          <w:szCs w:val="24"/>
        </w:rPr>
        <w:t>sufficiente</w:t>
      </w:r>
      <w:r w:rsidR="00D81298" w:rsidRPr="007B4FE2">
        <w:rPr>
          <w:rFonts w:ascii="Times New Roman" w:hAnsi="Times New Roman" w:cs="Times New Roman"/>
          <w:sz w:val="24"/>
          <w:szCs w:val="24"/>
        </w:rPr>
        <w:t xml:space="preserve"> a</w:t>
      </w:r>
      <w:r w:rsidR="008B64A0" w:rsidRPr="007B4FE2">
        <w:rPr>
          <w:rFonts w:ascii="Times New Roman" w:hAnsi="Times New Roman" w:cs="Times New Roman"/>
          <w:sz w:val="24"/>
          <w:szCs w:val="24"/>
        </w:rPr>
        <w:t xml:space="preserve"> soddisfare il parametro dell’idoneità</w:t>
      </w:r>
      <w:r w:rsidR="00DF70C3" w:rsidRPr="007B4FE2">
        <w:rPr>
          <w:rFonts w:ascii="Times New Roman" w:hAnsi="Times New Roman" w:cs="Times New Roman"/>
          <w:sz w:val="24"/>
          <w:szCs w:val="24"/>
          <w:vertAlign w:val="superscript"/>
        </w:rPr>
        <w:footnoteReference w:id="25"/>
      </w:r>
      <w:r w:rsidR="00DF70C3" w:rsidRPr="007B4FE2">
        <w:rPr>
          <w:rFonts w:ascii="Times New Roman" w:hAnsi="Times New Roman" w:cs="Times New Roman"/>
          <w:sz w:val="24"/>
          <w:szCs w:val="24"/>
        </w:rPr>
        <w:t xml:space="preserve">. </w:t>
      </w:r>
    </w:p>
    <w:p w:rsidR="00D81298" w:rsidRPr="007B4FE2" w:rsidRDefault="00DF70C3"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Quanto al secondo requisito, quello della </w:t>
      </w:r>
      <w:proofErr w:type="spellStart"/>
      <w:r w:rsidRPr="007B4FE2">
        <w:rPr>
          <w:rFonts w:ascii="Times New Roman" w:hAnsi="Times New Roman" w:cs="Times New Roman"/>
          <w:sz w:val="24"/>
          <w:szCs w:val="24"/>
        </w:rPr>
        <w:t>necessarietà</w:t>
      </w:r>
      <w:proofErr w:type="spellEnd"/>
      <w:r w:rsidRPr="007B4FE2">
        <w:rPr>
          <w:rFonts w:ascii="Times New Roman" w:hAnsi="Times New Roman" w:cs="Times New Roman"/>
          <w:sz w:val="24"/>
          <w:szCs w:val="24"/>
        </w:rPr>
        <w:t xml:space="preserve">, la giurisprudenza tedesca ha ribadito </w:t>
      </w:r>
      <w:r w:rsidR="008B64A0" w:rsidRPr="007B4FE2">
        <w:rPr>
          <w:rFonts w:ascii="Times New Roman" w:hAnsi="Times New Roman" w:cs="Times New Roman"/>
          <w:sz w:val="24"/>
          <w:szCs w:val="24"/>
        </w:rPr>
        <w:t>(</w:t>
      </w:r>
      <w:r w:rsidRPr="007B4FE2">
        <w:rPr>
          <w:rFonts w:ascii="Times New Roman" w:hAnsi="Times New Roman" w:cs="Times New Roman"/>
          <w:sz w:val="24"/>
          <w:szCs w:val="24"/>
        </w:rPr>
        <w:t>e costantemente ribadisce</w:t>
      </w:r>
      <w:r w:rsidR="008B64A0" w:rsidRPr="007B4FE2">
        <w:rPr>
          <w:rFonts w:ascii="Times New Roman" w:hAnsi="Times New Roman" w:cs="Times New Roman"/>
          <w:sz w:val="24"/>
          <w:szCs w:val="24"/>
        </w:rPr>
        <w:t>)</w:t>
      </w:r>
      <w:r w:rsidRPr="007B4FE2">
        <w:rPr>
          <w:rFonts w:ascii="Times New Roman" w:hAnsi="Times New Roman" w:cs="Times New Roman"/>
          <w:sz w:val="24"/>
          <w:szCs w:val="24"/>
        </w:rPr>
        <w:t xml:space="preserve">, che un mezzo può essere qualificato </w:t>
      </w:r>
      <w:r w:rsidR="008B64A0" w:rsidRPr="007B4FE2">
        <w:rPr>
          <w:rFonts w:ascii="Times New Roman" w:hAnsi="Times New Roman" w:cs="Times New Roman"/>
          <w:sz w:val="24"/>
          <w:szCs w:val="24"/>
        </w:rPr>
        <w:t xml:space="preserve">come </w:t>
      </w:r>
      <w:r w:rsidRPr="007B4FE2">
        <w:rPr>
          <w:rFonts w:ascii="Times New Roman" w:hAnsi="Times New Roman" w:cs="Times New Roman"/>
          <w:sz w:val="24"/>
          <w:szCs w:val="24"/>
        </w:rPr>
        <w:t xml:space="preserve">necessario solo ove, per il raggiungimento di un dato obiettivo, non </w:t>
      </w:r>
      <w:r w:rsidR="005A3DDC" w:rsidRPr="007B4FE2">
        <w:rPr>
          <w:rFonts w:ascii="Times New Roman" w:hAnsi="Times New Roman" w:cs="Times New Roman"/>
          <w:sz w:val="24"/>
          <w:szCs w:val="24"/>
        </w:rPr>
        <w:t xml:space="preserve">ne </w:t>
      </w:r>
      <w:r w:rsidRPr="007B4FE2">
        <w:rPr>
          <w:rFonts w:ascii="Times New Roman" w:hAnsi="Times New Roman" w:cs="Times New Roman"/>
          <w:sz w:val="24"/>
          <w:szCs w:val="24"/>
        </w:rPr>
        <w:t xml:space="preserve">sia disponibile nessun altro egualmente efficace, ma </w:t>
      </w:r>
      <w:r w:rsidR="005A3DDC" w:rsidRPr="007B4FE2">
        <w:rPr>
          <w:rFonts w:ascii="Times New Roman" w:hAnsi="Times New Roman" w:cs="Times New Roman"/>
          <w:sz w:val="24"/>
          <w:szCs w:val="24"/>
        </w:rPr>
        <w:t>che incide</w:t>
      </w:r>
      <w:r w:rsidRPr="007B4FE2">
        <w:rPr>
          <w:rFonts w:ascii="Times New Roman" w:hAnsi="Times New Roman" w:cs="Times New Roman"/>
          <w:sz w:val="24"/>
          <w:szCs w:val="24"/>
        </w:rPr>
        <w:t xml:space="preserve"> meno negativamente nella sfera giuridica del singolo.</w:t>
      </w:r>
      <w:r w:rsidR="00AC47C0" w:rsidRPr="007B4FE2">
        <w:rPr>
          <w:rFonts w:ascii="Times New Roman" w:hAnsi="Times New Roman" w:cs="Times New Roman"/>
          <w:sz w:val="24"/>
          <w:szCs w:val="24"/>
        </w:rPr>
        <w:t xml:space="preserve"> </w:t>
      </w:r>
      <w:r w:rsidR="008B64A0" w:rsidRPr="007B4FE2">
        <w:rPr>
          <w:rFonts w:ascii="Times New Roman" w:hAnsi="Times New Roman" w:cs="Times New Roman"/>
          <w:sz w:val="24"/>
          <w:szCs w:val="24"/>
        </w:rPr>
        <w:t>Il c</w:t>
      </w:r>
      <w:r w:rsidRPr="007B4FE2">
        <w:rPr>
          <w:rFonts w:ascii="Times New Roman" w:hAnsi="Times New Roman" w:cs="Times New Roman"/>
          <w:sz w:val="24"/>
          <w:szCs w:val="24"/>
        </w:rPr>
        <w:t xml:space="preserve">oncetto </w:t>
      </w:r>
      <w:r w:rsidR="008B64A0" w:rsidRPr="007B4FE2">
        <w:rPr>
          <w:rFonts w:ascii="Times New Roman" w:hAnsi="Times New Roman" w:cs="Times New Roman"/>
          <w:sz w:val="24"/>
          <w:szCs w:val="24"/>
        </w:rPr>
        <w:t xml:space="preserve">è </w:t>
      </w:r>
      <w:r w:rsidRPr="007B4FE2">
        <w:rPr>
          <w:rFonts w:ascii="Times New Roman" w:hAnsi="Times New Roman" w:cs="Times New Roman"/>
          <w:sz w:val="24"/>
          <w:szCs w:val="24"/>
        </w:rPr>
        <w:t>sovente sintetizzato con l’espressione "</w:t>
      </w:r>
      <w:r w:rsidRPr="007B4FE2">
        <w:rPr>
          <w:rFonts w:ascii="Times New Roman" w:hAnsi="Times New Roman" w:cs="Times New Roman"/>
          <w:i/>
          <w:sz w:val="24"/>
          <w:szCs w:val="24"/>
        </w:rPr>
        <w:t>imposizione del mezzo più mite</w:t>
      </w:r>
      <w:r w:rsidRPr="007B4FE2">
        <w:rPr>
          <w:rFonts w:ascii="Times New Roman" w:hAnsi="Times New Roman" w:cs="Times New Roman"/>
          <w:sz w:val="24"/>
          <w:szCs w:val="24"/>
        </w:rPr>
        <w:t>"</w:t>
      </w:r>
      <w:r w:rsidRPr="007B4FE2">
        <w:rPr>
          <w:rFonts w:ascii="Times New Roman" w:hAnsi="Times New Roman" w:cs="Times New Roman"/>
          <w:sz w:val="24"/>
          <w:szCs w:val="24"/>
          <w:vertAlign w:val="superscript"/>
        </w:rPr>
        <w:footnoteReference w:id="26"/>
      </w:r>
      <w:r w:rsidR="00D52187" w:rsidRPr="007B4FE2">
        <w:rPr>
          <w:rFonts w:ascii="Times New Roman" w:hAnsi="Times New Roman" w:cs="Times New Roman"/>
          <w:sz w:val="24"/>
          <w:szCs w:val="24"/>
        </w:rPr>
        <w:t>: cioè</w:t>
      </w:r>
      <w:r w:rsidR="00A64F0E">
        <w:rPr>
          <w:rFonts w:ascii="Times New Roman" w:hAnsi="Times New Roman" w:cs="Times New Roman"/>
          <w:sz w:val="24"/>
          <w:szCs w:val="24"/>
        </w:rPr>
        <w:t>,</w:t>
      </w:r>
      <w:r w:rsidRPr="007B4FE2">
        <w:rPr>
          <w:rFonts w:ascii="Times New Roman" w:hAnsi="Times New Roman" w:cs="Times New Roman"/>
          <w:sz w:val="24"/>
          <w:szCs w:val="24"/>
        </w:rPr>
        <w:t xml:space="preserve"> tra più mezzi</w:t>
      </w:r>
      <w:r w:rsidR="008B64A0" w:rsidRPr="007B4FE2">
        <w:rPr>
          <w:rFonts w:ascii="Times New Roman" w:hAnsi="Times New Roman" w:cs="Times New Roman"/>
          <w:sz w:val="24"/>
          <w:szCs w:val="24"/>
        </w:rPr>
        <w:t>,</w:t>
      </w:r>
      <w:r w:rsidRPr="007B4FE2">
        <w:rPr>
          <w:rFonts w:ascii="Times New Roman" w:hAnsi="Times New Roman" w:cs="Times New Roman"/>
          <w:sz w:val="24"/>
          <w:szCs w:val="24"/>
        </w:rPr>
        <w:t xml:space="preserve"> tutti astrattamente idonei al raggiungimento dell’obiettivo prefissato, va scelto quello che implichi le minori conseguenze negative per il privato</w:t>
      </w:r>
      <w:r w:rsidR="005A3DDC" w:rsidRPr="007B4FE2">
        <w:rPr>
          <w:rStyle w:val="Rimandonotaapidipagina"/>
          <w:rFonts w:ascii="Times New Roman" w:hAnsi="Times New Roman" w:cs="Times New Roman"/>
          <w:sz w:val="24"/>
          <w:szCs w:val="24"/>
        </w:rPr>
        <w:footnoteReference w:id="27"/>
      </w:r>
      <w:r w:rsidRPr="007B4FE2">
        <w:rPr>
          <w:rFonts w:ascii="Times New Roman" w:hAnsi="Times New Roman" w:cs="Times New Roman"/>
          <w:sz w:val="24"/>
          <w:szCs w:val="24"/>
        </w:rPr>
        <w:t>.</w:t>
      </w:r>
      <w:r w:rsidR="00AC47C0" w:rsidRPr="007B4FE2">
        <w:rPr>
          <w:rFonts w:ascii="Times New Roman" w:hAnsi="Times New Roman" w:cs="Times New Roman"/>
          <w:sz w:val="24"/>
          <w:szCs w:val="24"/>
        </w:rPr>
        <w:t xml:space="preserve"> </w:t>
      </w:r>
      <w:r w:rsidR="0049176F" w:rsidRPr="007B4FE2">
        <w:rPr>
          <w:rFonts w:ascii="Times New Roman" w:hAnsi="Times New Roman" w:cs="Times New Roman"/>
          <w:sz w:val="24"/>
          <w:szCs w:val="24"/>
        </w:rPr>
        <w:t>Con la precisazione, peraltro, che può considerarsi che un mezzo abbia l</w:t>
      </w:r>
      <w:r w:rsidR="00D81298" w:rsidRPr="007B4FE2">
        <w:rPr>
          <w:rFonts w:ascii="Times New Roman" w:hAnsi="Times New Roman" w:cs="Times New Roman"/>
          <w:sz w:val="24"/>
          <w:szCs w:val="24"/>
        </w:rPr>
        <w:t>a medesima efficacia rispetto ad un altro soltanto qualora</w:t>
      </w:r>
      <w:r w:rsidR="0049176F" w:rsidRPr="007B4FE2">
        <w:rPr>
          <w:rFonts w:ascii="Times New Roman" w:hAnsi="Times New Roman" w:cs="Times New Roman"/>
          <w:sz w:val="24"/>
          <w:szCs w:val="24"/>
        </w:rPr>
        <w:t xml:space="preserve"> </w:t>
      </w:r>
      <w:r w:rsidR="00526474" w:rsidRPr="007B4FE2">
        <w:rPr>
          <w:rFonts w:ascii="Times New Roman" w:hAnsi="Times New Roman" w:cs="Times New Roman"/>
          <w:sz w:val="24"/>
          <w:szCs w:val="24"/>
        </w:rPr>
        <w:t xml:space="preserve">esso </w:t>
      </w:r>
      <w:r w:rsidR="00D81298" w:rsidRPr="007B4FE2">
        <w:rPr>
          <w:rFonts w:ascii="Times New Roman" w:hAnsi="Times New Roman" w:cs="Times New Roman"/>
          <w:sz w:val="24"/>
          <w:szCs w:val="24"/>
        </w:rPr>
        <w:t>consenta il raggiungimento dell'obiettivo con la medesima “intensità”</w:t>
      </w:r>
      <w:r w:rsidR="00D81298" w:rsidRPr="007B4FE2">
        <w:rPr>
          <w:rFonts w:ascii="Times New Roman" w:hAnsi="Times New Roman" w:cs="Times New Roman"/>
          <w:sz w:val="24"/>
          <w:szCs w:val="24"/>
          <w:vertAlign w:val="superscript"/>
        </w:rPr>
        <w:footnoteReference w:id="28"/>
      </w:r>
      <w:r w:rsidR="0049176F" w:rsidRPr="007B4FE2">
        <w:rPr>
          <w:rFonts w:ascii="Times New Roman" w:hAnsi="Times New Roman" w:cs="Times New Roman"/>
          <w:sz w:val="24"/>
          <w:szCs w:val="24"/>
        </w:rPr>
        <w:t>; e che q</w:t>
      </w:r>
      <w:r w:rsidR="00D81298" w:rsidRPr="007B4FE2">
        <w:rPr>
          <w:rFonts w:ascii="Times New Roman" w:hAnsi="Times New Roman" w:cs="Times New Roman"/>
          <w:sz w:val="24"/>
          <w:szCs w:val="24"/>
        </w:rPr>
        <w:t xml:space="preserve">uest’ultimo aspetto della questione </w:t>
      </w:r>
      <w:r w:rsidR="0049176F" w:rsidRPr="007B4FE2">
        <w:rPr>
          <w:rFonts w:ascii="Times New Roman" w:hAnsi="Times New Roman" w:cs="Times New Roman"/>
          <w:sz w:val="24"/>
          <w:szCs w:val="24"/>
        </w:rPr>
        <w:t>non può essere valutato</w:t>
      </w:r>
      <w:r w:rsidR="00AC47C0" w:rsidRPr="007B4FE2">
        <w:rPr>
          <w:rFonts w:ascii="Times New Roman" w:hAnsi="Times New Roman" w:cs="Times New Roman"/>
          <w:sz w:val="24"/>
          <w:szCs w:val="24"/>
        </w:rPr>
        <w:t xml:space="preserve"> </w:t>
      </w:r>
      <w:r w:rsidR="0049176F" w:rsidRPr="007B4FE2">
        <w:rPr>
          <w:rFonts w:ascii="Times New Roman" w:hAnsi="Times New Roman" w:cs="Times New Roman"/>
          <w:sz w:val="24"/>
          <w:szCs w:val="24"/>
        </w:rPr>
        <w:t xml:space="preserve">che </w:t>
      </w:r>
      <w:r w:rsidR="00D81298" w:rsidRPr="007B4FE2">
        <w:rPr>
          <w:rFonts w:ascii="Times New Roman" w:hAnsi="Times New Roman" w:cs="Times New Roman"/>
          <w:sz w:val="24"/>
          <w:szCs w:val="24"/>
        </w:rPr>
        <w:t>in concreto</w:t>
      </w:r>
      <w:r w:rsidR="00D81298" w:rsidRPr="007B4FE2">
        <w:rPr>
          <w:rFonts w:ascii="Times New Roman" w:hAnsi="Times New Roman" w:cs="Times New Roman"/>
          <w:sz w:val="24"/>
          <w:szCs w:val="24"/>
          <w:vertAlign w:val="superscript"/>
        </w:rPr>
        <w:footnoteReference w:id="29"/>
      </w:r>
      <w:r w:rsidR="00526474" w:rsidRPr="007B4FE2">
        <w:rPr>
          <w:rFonts w:ascii="Times New Roman" w:hAnsi="Times New Roman" w:cs="Times New Roman"/>
          <w:sz w:val="24"/>
          <w:szCs w:val="24"/>
        </w:rPr>
        <w:t>:</w:t>
      </w:r>
      <w:r w:rsidR="0049176F" w:rsidRPr="007B4FE2">
        <w:rPr>
          <w:rFonts w:ascii="Times New Roman" w:hAnsi="Times New Roman" w:cs="Times New Roman"/>
          <w:sz w:val="24"/>
          <w:szCs w:val="24"/>
        </w:rPr>
        <w:t xml:space="preserve"> dato che</w:t>
      </w:r>
      <w:r w:rsidR="00AC47C0" w:rsidRPr="007B4FE2">
        <w:rPr>
          <w:rFonts w:ascii="Times New Roman" w:hAnsi="Times New Roman" w:cs="Times New Roman"/>
          <w:sz w:val="24"/>
          <w:szCs w:val="24"/>
        </w:rPr>
        <w:t xml:space="preserve"> </w:t>
      </w:r>
      <w:r w:rsidR="006B3969" w:rsidRPr="007B4FE2">
        <w:rPr>
          <w:rFonts w:ascii="Times New Roman" w:hAnsi="Times New Roman" w:cs="Times New Roman"/>
          <w:sz w:val="24"/>
          <w:szCs w:val="24"/>
        </w:rPr>
        <w:t>a</w:t>
      </w:r>
      <w:r w:rsidR="00D81298" w:rsidRPr="007B4FE2">
        <w:rPr>
          <w:rFonts w:ascii="Times New Roman" w:hAnsi="Times New Roman" w:cs="Times New Roman"/>
          <w:sz w:val="24"/>
          <w:szCs w:val="24"/>
        </w:rPr>
        <w:t xml:space="preserve"> questo esame appartengono anche criteri valutativi che si ricollegano al grado soggettivo di interferenza nella sfera del destinatario</w:t>
      </w:r>
      <w:r w:rsidR="0049176F" w:rsidRPr="007B4FE2">
        <w:rPr>
          <w:rFonts w:ascii="Times New Roman" w:hAnsi="Times New Roman" w:cs="Times New Roman"/>
          <w:sz w:val="24"/>
          <w:szCs w:val="24"/>
        </w:rPr>
        <w:t xml:space="preserve"> dell’atto in questione</w:t>
      </w:r>
      <w:r w:rsidR="00D81298" w:rsidRPr="007B4FE2">
        <w:rPr>
          <w:rFonts w:ascii="Times New Roman" w:hAnsi="Times New Roman" w:cs="Times New Roman"/>
          <w:sz w:val="24"/>
          <w:szCs w:val="24"/>
          <w:vertAlign w:val="superscript"/>
        </w:rPr>
        <w:footnoteReference w:id="30"/>
      </w:r>
      <w:r w:rsidR="00D81298" w:rsidRPr="007B4FE2">
        <w:rPr>
          <w:rFonts w:ascii="Times New Roman" w:hAnsi="Times New Roman" w:cs="Times New Roman"/>
          <w:sz w:val="24"/>
          <w:szCs w:val="24"/>
        </w:rPr>
        <w:t>.</w:t>
      </w:r>
    </w:p>
    <w:p w:rsidR="00DF70C3" w:rsidRPr="007B4FE2" w:rsidRDefault="00DF70C3"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La giurisprudenza tedesca nega</w:t>
      </w:r>
      <w:r w:rsidR="00D81298" w:rsidRPr="007B4FE2">
        <w:rPr>
          <w:rFonts w:ascii="Times New Roman" w:hAnsi="Times New Roman" w:cs="Times New Roman"/>
          <w:sz w:val="24"/>
          <w:szCs w:val="24"/>
        </w:rPr>
        <w:t xml:space="preserve"> peraltro</w:t>
      </w:r>
      <w:r w:rsidRPr="007B4FE2">
        <w:rPr>
          <w:rFonts w:ascii="Times New Roman" w:hAnsi="Times New Roman" w:cs="Times New Roman"/>
          <w:sz w:val="24"/>
          <w:szCs w:val="24"/>
        </w:rPr>
        <w:t xml:space="preserve"> la sussistenza del requisito della </w:t>
      </w:r>
      <w:proofErr w:type="spellStart"/>
      <w:r w:rsidRPr="007B4FE2">
        <w:rPr>
          <w:rFonts w:ascii="Times New Roman" w:hAnsi="Times New Roman" w:cs="Times New Roman"/>
          <w:sz w:val="24"/>
          <w:szCs w:val="24"/>
        </w:rPr>
        <w:t>necessarietà</w:t>
      </w:r>
      <w:proofErr w:type="spellEnd"/>
      <w:r w:rsidRPr="007B4FE2">
        <w:rPr>
          <w:rFonts w:ascii="Times New Roman" w:hAnsi="Times New Roman" w:cs="Times New Roman"/>
          <w:sz w:val="24"/>
          <w:szCs w:val="24"/>
        </w:rPr>
        <w:t xml:space="preserve"> anche quando, da un esame</w:t>
      </w:r>
      <w:r w:rsidRPr="007B4FE2">
        <w:rPr>
          <w:rFonts w:ascii="Times New Roman" w:hAnsi="Times New Roman" w:cs="Times New Roman"/>
          <w:i/>
          <w:sz w:val="24"/>
          <w:szCs w:val="24"/>
        </w:rPr>
        <w:t xml:space="preserve"> ex post</w:t>
      </w:r>
      <w:r w:rsidRPr="007B4FE2">
        <w:rPr>
          <w:rFonts w:ascii="Times New Roman" w:hAnsi="Times New Roman" w:cs="Times New Roman"/>
          <w:sz w:val="24"/>
          <w:szCs w:val="24"/>
        </w:rPr>
        <w:t xml:space="preserve">, emerga che il mezzo prescelto appare troppo fortemente restrittivo ove rapportato ad altri </w:t>
      </w:r>
      <w:r w:rsidR="005B272E" w:rsidRPr="007B4FE2">
        <w:rPr>
          <w:rFonts w:ascii="Times New Roman" w:hAnsi="Times New Roman" w:cs="Times New Roman"/>
          <w:sz w:val="24"/>
          <w:szCs w:val="24"/>
        </w:rPr>
        <w:t xml:space="preserve">che erano comunque già </w:t>
      </w:r>
      <w:r w:rsidRPr="007B4FE2">
        <w:rPr>
          <w:rFonts w:ascii="Times New Roman" w:hAnsi="Times New Roman" w:cs="Times New Roman"/>
          <w:sz w:val="24"/>
          <w:szCs w:val="24"/>
        </w:rPr>
        <w:t>disponibili</w:t>
      </w:r>
      <w:r w:rsidRPr="007B4FE2">
        <w:rPr>
          <w:rFonts w:ascii="Times New Roman" w:hAnsi="Times New Roman" w:cs="Times New Roman"/>
          <w:sz w:val="24"/>
          <w:szCs w:val="24"/>
          <w:vertAlign w:val="superscript"/>
        </w:rPr>
        <w:footnoteReference w:id="31"/>
      </w:r>
      <w:r w:rsidRPr="007B4FE2">
        <w:rPr>
          <w:rFonts w:ascii="Times New Roman" w:hAnsi="Times New Roman" w:cs="Times New Roman"/>
          <w:sz w:val="24"/>
          <w:szCs w:val="24"/>
        </w:rPr>
        <w:t>.</w:t>
      </w:r>
    </w:p>
    <w:p w:rsidR="00983828" w:rsidRPr="007B4FE2" w:rsidRDefault="00DF70C3"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Quanto, infine, alla </w:t>
      </w:r>
      <w:r w:rsidRPr="007B4FE2">
        <w:rPr>
          <w:rFonts w:ascii="Times New Roman" w:hAnsi="Times New Roman" w:cs="Times New Roman"/>
          <w:i/>
          <w:sz w:val="24"/>
          <w:szCs w:val="24"/>
        </w:rPr>
        <w:t>proporzionalità in senso stretto</w:t>
      </w:r>
      <w:r w:rsidRPr="007B4FE2">
        <w:rPr>
          <w:rFonts w:ascii="Times New Roman" w:hAnsi="Times New Roman" w:cs="Times New Roman"/>
          <w:sz w:val="24"/>
          <w:szCs w:val="24"/>
        </w:rPr>
        <w:t>, è</w:t>
      </w:r>
      <w:r w:rsidR="006D342A" w:rsidRPr="007B4FE2">
        <w:rPr>
          <w:rFonts w:ascii="Times New Roman" w:hAnsi="Times New Roman" w:cs="Times New Roman"/>
          <w:sz w:val="24"/>
          <w:szCs w:val="24"/>
        </w:rPr>
        <w:t xml:space="preserve"> </w:t>
      </w:r>
      <w:r w:rsidRPr="007B4FE2">
        <w:rPr>
          <w:rFonts w:ascii="Times New Roman" w:hAnsi="Times New Roman" w:cs="Times New Roman"/>
          <w:sz w:val="24"/>
          <w:szCs w:val="24"/>
        </w:rPr>
        <w:t>qui</w:t>
      </w:r>
      <w:r w:rsidR="006D342A"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che entriamo nel vero cuore del sindacato giurisdizionale </w:t>
      </w:r>
      <w:r w:rsidR="00983828" w:rsidRPr="007B4FE2">
        <w:rPr>
          <w:rFonts w:ascii="Times New Roman" w:hAnsi="Times New Roman" w:cs="Times New Roman"/>
          <w:sz w:val="24"/>
          <w:szCs w:val="24"/>
        </w:rPr>
        <w:t>(</w:t>
      </w:r>
      <w:r w:rsidRPr="007B4FE2">
        <w:rPr>
          <w:rFonts w:ascii="Times New Roman" w:hAnsi="Times New Roman" w:cs="Times New Roman"/>
          <w:sz w:val="24"/>
          <w:szCs w:val="24"/>
        </w:rPr>
        <w:t>amministrativo</w:t>
      </w:r>
      <w:r w:rsidR="00983828" w:rsidRPr="007B4FE2">
        <w:rPr>
          <w:rFonts w:ascii="Times New Roman" w:hAnsi="Times New Roman" w:cs="Times New Roman"/>
          <w:sz w:val="24"/>
          <w:szCs w:val="24"/>
        </w:rPr>
        <w:t>)</w:t>
      </w:r>
      <w:r w:rsidRPr="007B4FE2">
        <w:rPr>
          <w:rFonts w:ascii="Times New Roman" w:hAnsi="Times New Roman" w:cs="Times New Roman"/>
          <w:sz w:val="24"/>
          <w:szCs w:val="24"/>
        </w:rPr>
        <w:t>: perché essa implica che una misura adottata dai pubblici poteri non debba mai essere tale da gravare in maniera eccessiva sull'interessato e da risultargli</w:t>
      </w:r>
      <w:r w:rsidR="008B64A0" w:rsidRPr="007B4FE2">
        <w:rPr>
          <w:rFonts w:ascii="Times New Roman" w:hAnsi="Times New Roman" w:cs="Times New Roman"/>
          <w:sz w:val="24"/>
          <w:szCs w:val="24"/>
        </w:rPr>
        <w:t xml:space="preserve">, dunque, </w:t>
      </w:r>
      <w:r w:rsidRPr="007B4FE2">
        <w:rPr>
          <w:rFonts w:ascii="Times New Roman" w:hAnsi="Times New Roman" w:cs="Times New Roman"/>
          <w:sz w:val="24"/>
          <w:szCs w:val="24"/>
        </w:rPr>
        <w:t>intollerabile (</w:t>
      </w:r>
      <w:proofErr w:type="spellStart"/>
      <w:r w:rsidRPr="007B4FE2">
        <w:rPr>
          <w:rFonts w:ascii="Times New Roman" w:hAnsi="Times New Roman" w:cs="Times New Roman"/>
          <w:i/>
          <w:sz w:val="24"/>
          <w:szCs w:val="24"/>
        </w:rPr>
        <w:t>unzumutbar</w:t>
      </w:r>
      <w:proofErr w:type="spellEnd"/>
      <w:r w:rsidRPr="007B4FE2">
        <w:rPr>
          <w:rFonts w:ascii="Times New Roman" w:hAnsi="Times New Roman" w:cs="Times New Roman"/>
          <w:sz w:val="24"/>
          <w:szCs w:val="24"/>
        </w:rPr>
        <w:t>). Si tratta, nella logica dei giudici tedeschi, di paragonare obiettivo e mezzo e di ponderarli nella loro rispettiva importanza.</w:t>
      </w:r>
      <w:r w:rsidR="00AC47C0" w:rsidRPr="007B4FE2">
        <w:rPr>
          <w:rFonts w:ascii="Times New Roman" w:hAnsi="Times New Roman" w:cs="Times New Roman"/>
          <w:sz w:val="24"/>
          <w:szCs w:val="24"/>
        </w:rPr>
        <w:t xml:space="preserve"> </w:t>
      </w:r>
      <w:r w:rsidR="00983828" w:rsidRPr="007B4FE2">
        <w:rPr>
          <w:rFonts w:ascii="Times New Roman" w:hAnsi="Times New Roman" w:cs="Times New Roman"/>
          <w:sz w:val="24"/>
          <w:szCs w:val="24"/>
        </w:rPr>
        <w:t xml:space="preserve">Ed è </w:t>
      </w:r>
      <w:r w:rsidRPr="007B4FE2">
        <w:rPr>
          <w:rFonts w:ascii="Times New Roman" w:hAnsi="Times New Roman" w:cs="Times New Roman"/>
          <w:sz w:val="24"/>
          <w:szCs w:val="24"/>
        </w:rPr>
        <w:t xml:space="preserve">qui </w:t>
      </w:r>
      <w:r w:rsidR="00983828" w:rsidRPr="007B4FE2">
        <w:rPr>
          <w:rFonts w:ascii="Times New Roman" w:hAnsi="Times New Roman" w:cs="Times New Roman"/>
          <w:sz w:val="24"/>
          <w:szCs w:val="24"/>
        </w:rPr>
        <w:t xml:space="preserve">che </w:t>
      </w:r>
      <w:r w:rsidRPr="007B4FE2">
        <w:rPr>
          <w:rFonts w:ascii="Times New Roman" w:hAnsi="Times New Roman" w:cs="Times New Roman"/>
          <w:sz w:val="24"/>
          <w:szCs w:val="24"/>
        </w:rPr>
        <w:t>emerge chiaramente il collegamento con l’idea di dovere preservare sempre quello che è il nucleo essenziale dei diritti fondamentali (</w:t>
      </w:r>
      <w:proofErr w:type="spellStart"/>
      <w:r w:rsidRPr="007B4FE2">
        <w:rPr>
          <w:rFonts w:ascii="Times New Roman" w:hAnsi="Times New Roman" w:cs="Times New Roman"/>
          <w:i/>
          <w:sz w:val="24"/>
          <w:szCs w:val="24"/>
        </w:rPr>
        <w:t>das</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Wesen</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der</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Grundrechte</w:t>
      </w:r>
      <w:proofErr w:type="spellEnd"/>
      <w:r w:rsidRPr="007B4FE2">
        <w:rPr>
          <w:rFonts w:ascii="Times New Roman" w:hAnsi="Times New Roman" w:cs="Times New Roman"/>
          <w:sz w:val="24"/>
          <w:szCs w:val="24"/>
        </w:rPr>
        <w:t xml:space="preserve"> –Art. 19 GG).</w:t>
      </w:r>
      <w:r w:rsidR="00983828" w:rsidRPr="007B4FE2">
        <w:rPr>
          <w:rFonts w:ascii="Times New Roman" w:hAnsi="Times New Roman" w:cs="Times New Roman"/>
          <w:sz w:val="24"/>
          <w:szCs w:val="24"/>
        </w:rPr>
        <w:t xml:space="preserve"> Collegamento che ben si spiega ove si rifletta sulla circostanza che, diversamente dagli altri due parametri costitutivi del principio di proporzionalità, la proporzionalità in senso stretto si</w:t>
      </w:r>
      <w:r w:rsidR="00AC47C0" w:rsidRPr="007B4FE2">
        <w:rPr>
          <w:rFonts w:ascii="Times New Roman" w:hAnsi="Times New Roman" w:cs="Times New Roman"/>
          <w:sz w:val="24"/>
          <w:szCs w:val="24"/>
        </w:rPr>
        <w:t xml:space="preserve"> </w:t>
      </w:r>
      <w:r w:rsidR="00983828" w:rsidRPr="007B4FE2">
        <w:rPr>
          <w:rFonts w:ascii="Times New Roman" w:hAnsi="Times New Roman" w:cs="Times New Roman"/>
          <w:sz w:val="24"/>
          <w:szCs w:val="24"/>
        </w:rPr>
        <w:t>è affermata pienamente come criterio valutativo soltanto dopo il 1945, ossia a seguito dell’esperienza totalitaria dello Stato nazionalsocialista</w:t>
      </w:r>
      <w:r w:rsidR="00983828" w:rsidRPr="007B4FE2">
        <w:rPr>
          <w:rStyle w:val="Rimandonotaapidipagina"/>
          <w:rFonts w:ascii="Times New Roman" w:hAnsi="Times New Roman" w:cs="Times New Roman"/>
          <w:sz w:val="24"/>
          <w:szCs w:val="24"/>
        </w:rPr>
        <w:footnoteReference w:id="32"/>
      </w:r>
      <w:r w:rsidR="00983828" w:rsidRPr="007B4FE2">
        <w:rPr>
          <w:rFonts w:ascii="Times New Roman" w:hAnsi="Times New Roman" w:cs="Times New Roman"/>
          <w:sz w:val="24"/>
          <w:szCs w:val="24"/>
        </w:rPr>
        <w:t>. È</w:t>
      </w:r>
      <w:r w:rsidR="005B1650" w:rsidRPr="007B4FE2">
        <w:rPr>
          <w:rFonts w:ascii="Times New Roman" w:hAnsi="Times New Roman" w:cs="Times New Roman"/>
          <w:sz w:val="24"/>
          <w:szCs w:val="24"/>
        </w:rPr>
        <w:t>,</w:t>
      </w:r>
      <w:r w:rsidR="00983828" w:rsidRPr="007B4FE2">
        <w:rPr>
          <w:rFonts w:ascii="Times New Roman" w:hAnsi="Times New Roman" w:cs="Times New Roman"/>
          <w:sz w:val="24"/>
          <w:szCs w:val="24"/>
        </w:rPr>
        <w:t xml:space="preserve"> infatti</w:t>
      </w:r>
      <w:r w:rsidR="005B1650" w:rsidRPr="007B4FE2">
        <w:rPr>
          <w:rFonts w:ascii="Times New Roman" w:hAnsi="Times New Roman" w:cs="Times New Roman"/>
          <w:sz w:val="24"/>
          <w:szCs w:val="24"/>
        </w:rPr>
        <w:t>,</w:t>
      </w:r>
      <w:r w:rsidR="00983828" w:rsidRPr="007B4FE2">
        <w:rPr>
          <w:rFonts w:ascii="Times New Roman" w:hAnsi="Times New Roman" w:cs="Times New Roman"/>
          <w:sz w:val="24"/>
          <w:szCs w:val="24"/>
        </w:rPr>
        <w:t xml:space="preserve"> in conseguenza di tale negativa esperienza che si diffonde </w:t>
      </w:r>
      <w:r w:rsidR="00691902" w:rsidRPr="007B4FE2">
        <w:rPr>
          <w:rFonts w:ascii="Times New Roman" w:hAnsi="Times New Roman" w:cs="Times New Roman"/>
          <w:sz w:val="24"/>
          <w:szCs w:val="24"/>
        </w:rPr>
        <w:t xml:space="preserve">fra i giuristi tedeschi </w:t>
      </w:r>
      <w:r w:rsidR="00983828" w:rsidRPr="007B4FE2">
        <w:rPr>
          <w:rFonts w:ascii="Times New Roman" w:hAnsi="Times New Roman" w:cs="Times New Roman"/>
          <w:sz w:val="24"/>
          <w:szCs w:val="24"/>
        </w:rPr>
        <w:t>la convinzione</w:t>
      </w:r>
      <w:r w:rsidR="00691902" w:rsidRPr="007B4FE2">
        <w:rPr>
          <w:rFonts w:ascii="Times New Roman" w:hAnsi="Times New Roman" w:cs="Times New Roman"/>
          <w:sz w:val="24"/>
          <w:szCs w:val="24"/>
        </w:rPr>
        <w:t xml:space="preserve"> </w:t>
      </w:r>
      <w:r w:rsidR="0004516E" w:rsidRPr="007B4FE2">
        <w:rPr>
          <w:rFonts w:ascii="Times New Roman" w:hAnsi="Times New Roman" w:cs="Times New Roman"/>
          <w:sz w:val="24"/>
          <w:szCs w:val="24"/>
        </w:rPr>
        <w:t xml:space="preserve">che l’intervento dello </w:t>
      </w:r>
      <w:r w:rsidR="00983828" w:rsidRPr="007B4FE2">
        <w:rPr>
          <w:rFonts w:ascii="Times New Roman" w:hAnsi="Times New Roman" w:cs="Times New Roman"/>
          <w:sz w:val="24"/>
          <w:szCs w:val="24"/>
        </w:rPr>
        <w:t>Stato</w:t>
      </w:r>
      <w:r w:rsidR="00AC47C0" w:rsidRPr="007B4FE2">
        <w:rPr>
          <w:rFonts w:ascii="Times New Roman" w:hAnsi="Times New Roman" w:cs="Times New Roman"/>
          <w:sz w:val="24"/>
          <w:szCs w:val="24"/>
        </w:rPr>
        <w:t xml:space="preserve"> </w:t>
      </w:r>
      <w:r w:rsidR="00983828" w:rsidRPr="007B4FE2">
        <w:rPr>
          <w:rFonts w:ascii="Times New Roman" w:hAnsi="Times New Roman" w:cs="Times New Roman"/>
          <w:sz w:val="24"/>
          <w:szCs w:val="24"/>
        </w:rPr>
        <w:t xml:space="preserve">debba sempre essere oggetto di una valutazione comparativa </w:t>
      </w:r>
      <w:r w:rsidR="0004516E" w:rsidRPr="007B4FE2">
        <w:rPr>
          <w:rFonts w:ascii="Times New Roman" w:hAnsi="Times New Roman" w:cs="Times New Roman"/>
          <w:sz w:val="24"/>
          <w:szCs w:val="24"/>
        </w:rPr>
        <w:t xml:space="preserve">rispetto </w:t>
      </w:r>
      <w:r w:rsidR="00983828" w:rsidRPr="007B4FE2">
        <w:rPr>
          <w:rFonts w:ascii="Times New Roman" w:hAnsi="Times New Roman" w:cs="Times New Roman"/>
          <w:sz w:val="24"/>
          <w:szCs w:val="24"/>
        </w:rPr>
        <w:t xml:space="preserve">ai beni che esso sacrifica. </w:t>
      </w:r>
    </w:p>
    <w:p w:rsidR="00DF70C3" w:rsidRPr="007B4FE2" w:rsidRDefault="00DF70C3"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Naturalmente, una valutazione di questo tipo non può mai avvenire astrattamente: il relativo esame necessita di concretizzazione. Sicché, l'incisività dell'intervento nella sfera giuridica del singolo è il primo parametro di riferimento; </w:t>
      </w:r>
      <w:r w:rsidR="005B1650" w:rsidRPr="007B4FE2">
        <w:rPr>
          <w:rFonts w:ascii="Times New Roman" w:hAnsi="Times New Roman" w:cs="Times New Roman"/>
          <w:sz w:val="24"/>
          <w:szCs w:val="24"/>
        </w:rPr>
        <w:t>m</w:t>
      </w:r>
      <w:r w:rsidRPr="007B4FE2">
        <w:rPr>
          <w:rFonts w:ascii="Times New Roman" w:hAnsi="Times New Roman" w:cs="Times New Roman"/>
          <w:sz w:val="24"/>
          <w:szCs w:val="24"/>
        </w:rPr>
        <w:t>entre il secondo</w:t>
      </w:r>
      <w:r w:rsidR="00E100CD" w:rsidRPr="007B4FE2">
        <w:rPr>
          <w:rFonts w:ascii="Times New Roman" w:hAnsi="Times New Roman" w:cs="Times New Roman"/>
          <w:sz w:val="24"/>
          <w:szCs w:val="24"/>
        </w:rPr>
        <w:t xml:space="preserve"> parametro</w:t>
      </w:r>
      <w:r w:rsidRPr="007B4FE2">
        <w:rPr>
          <w:rFonts w:ascii="Times New Roman" w:hAnsi="Times New Roman" w:cs="Times New Roman"/>
          <w:sz w:val="24"/>
          <w:szCs w:val="24"/>
        </w:rPr>
        <w:t xml:space="preserve"> è rappresentato dal peso e dall'urgenza dell'interesse generale. Il terzo elemento da prendere in considerazione è, invece, il diritto individuale oggetto di protezione da parte dell’ordinamento: sta a dire, che ci sono diritti e diritti; e interessi pubblici e interessi pubblici</w:t>
      </w:r>
      <w:r w:rsidR="005B1650" w:rsidRPr="007B4FE2">
        <w:rPr>
          <w:rStyle w:val="Rimandonotaapidipagina"/>
          <w:rFonts w:ascii="Times New Roman" w:hAnsi="Times New Roman" w:cs="Times New Roman"/>
          <w:sz w:val="24"/>
          <w:szCs w:val="24"/>
        </w:rPr>
        <w:footnoteReference w:id="33"/>
      </w:r>
      <w:r w:rsidRPr="007B4FE2">
        <w:rPr>
          <w:rFonts w:ascii="Times New Roman" w:hAnsi="Times New Roman" w:cs="Times New Roman"/>
          <w:sz w:val="24"/>
          <w:szCs w:val="24"/>
        </w:rPr>
        <w:t xml:space="preserve">. </w:t>
      </w:r>
    </w:p>
    <w:p w:rsidR="00DF70C3" w:rsidRPr="007B4FE2" w:rsidRDefault="00DF70C3"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Sicché, il vero punto di discussione ancora oggi, nella dottrina tedesca, è dove si debba fermare il sindacato del giudice.</w:t>
      </w:r>
      <w:r w:rsidR="00E100CD" w:rsidRPr="007B4FE2">
        <w:rPr>
          <w:rFonts w:ascii="Times New Roman" w:hAnsi="Times New Roman" w:cs="Times New Roman"/>
          <w:sz w:val="24"/>
          <w:szCs w:val="24"/>
        </w:rPr>
        <w:t xml:space="preserve"> </w:t>
      </w:r>
      <w:r w:rsidRPr="007B4FE2">
        <w:rPr>
          <w:rFonts w:ascii="Times New Roman" w:hAnsi="Times New Roman" w:cs="Times New Roman"/>
          <w:sz w:val="24"/>
          <w:szCs w:val="24"/>
        </w:rPr>
        <w:t>E se non si tratti - soprattutto quando si disquisisce di proporzionalità in senso stretto - di una sostituzione da parte del giudice della propria valutazione, rispetto a quella operata dal legislatore o dall’amministrazione. Laddove però, dato l’ancoraggio costituzionale del principio di proporzionalità</w:t>
      </w:r>
      <w:r w:rsidR="00AC47C0" w:rsidRPr="007B4FE2">
        <w:rPr>
          <w:rFonts w:ascii="Times New Roman" w:hAnsi="Times New Roman" w:cs="Times New Roman"/>
          <w:sz w:val="24"/>
          <w:szCs w:val="24"/>
        </w:rPr>
        <w:t xml:space="preserve"> </w:t>
      </w:r>
      <w:r w:rsidR="00D5425A" w:rsidRPr="007B4FE2">
        <w:rPr>
          <w:rFonts w:ascii="Times New Roman" w:hAnsi="Times New Roman" w:cs="Times New Roman"/>
          <w:sz w:val="24"/>
          <w:szCs w:val="24"/>
        </w:rPr>
        <w:t xml:space="preserve">nella </w:t>
      </w:r>
      <w:proofErr w:type="spellStart"/>
      <w:r w:rsidR="00D5425A" w:rsidRPr="007B4FE2">
        <w:rPr>
          <w:rFonts w:ascii="Times New Roman" w:hAnsi="Times New Roman" w:cs="Times New Roman"/>
          <w:i/>
          <w:sz w:val="24"/>
          <w:szCs w:val="24"/>
        </w:rPr>
        <w:t>Grundgesetz</w:t>
      </w:r>
      <w:proofErr w:type="spellEnd"/>
      <w:r w:rsidR="00D5425A" w:rsidRPr="007B4FE2">
        <w:rPr>
          <w:rFonts w:ascii="Times New Roman" w:hAnsi="Times New Roman" w:cs="Times New Roman"/>
          <w:i/>
          <w:sz w:val="24"/>
          <w:szCs w:val="24"/>
        </w:rPr>
        <w:t xml:space="preserve"> tedesca</w:t>
      </w:r>
      <w:r w:rsidR="00D5425A" w:rsidRPr="007B4FE2">
        <w:rPr>
          <w:rFonts w:ascii="Times New Roman" w:hAnsi="Times New Roman" w:cs="Times New Roman"/>
          <w:sz w:val="24"/>
          <w:szCs w:val="24"/>
        </w:rPr>
        <w:t xml:space="preserve">, </w:t>
      </w:r>
      <w:r w:rsidRPr="007B4FE2">
        <w:rPr>
          <w:rFonts w:ascii="Times New Roman" w:hAnsi="Times New Roman" w:cs="Times New Roman"/>
          <w:sz w:val="24"/>
          <w:szCs w:val="24"/>
        </w:rPr>
        <w:t>nell’ambito del sindacato sulle misure adottate dal legislatore spetta di sicuro alla Corte Costituzionale federale esprimere l’ultima parola sul punto</w:t>
      </w:r>
      <w:r w:rsidR="00B83EEF" w:rsidRPr="007B4FE2">
        <w:rPr>
          <w:rFonts w:ascii="Times New Roman" w:hAnsi="Times New Roman" w:cs="Times New Roman"/>
          <w:sz w:val="24"/>
          <w:szCs w:val="24"/>
          <w:vertAlign w:val="superscript"/>
        </w:rPr>
        <w:footnoteReference w:id="34"/>
      </w:r>
      <w:r w:rsidRPr="007B4FE2">
        <w:rPr>
          <w:rFonts w:ascii="Times New Roman" w:hAnsi="Times New Roman" w:cs="Times New Roman"/>
          <w:sz w:val="24"/>
          <w:szCs w:val="24"/>
        </w:rPr>
        <w:t>.</w:t>
      </w:r>
      <w:r w:rsidR="00E100CD" w:rsidRPr="007B4FE2">
        <w:rPr>
          <w:rFonts w:ascii="Times New Roman" w:hAnsi="Times New Roman" w:cs="Times New Roman"/>
          <w:sz w:val="24"/>
          <w:szCs w:val="24"/>
        </w:rPr>
        <w:t xml:space="preserve"> </w:t>
      </w:r>
      <w:r w:rsidRPr="007B4FE2">
        <w:rPr>
          <w:rFonts w:ascii="Times New Roman" w:hAnsi="Times New Roman" w:cs="Times New Roman"/>
          <w:sz w:val="24"/>
          <w:szCs w:val="24"/>
        </w:rPr>
        <w:t>Mentre</w:t>
      </w:r>
      <w:r w:rsidR="00E100CD" w:rsidRPr="007B4FE2">
        <w:rPr>
          <w:rFonts w:ascii="Times New Roman" w:hAnsi="Times New Roman" w:cs="Times New Roman"/>
          <w:sz w:val="24"/>
          <w:szCs w:val="24"/>
        </w:rPr>
        <w:t xml:space="preserve"> certamente </w:t>
      </w:r>
      <w:r w:rsidRPr="007B4FE2">
        <w:rPr>
          <w:rFonts w:ascii="Times New Roman" w:hAnsi="Times New Roman" w:cs="Times New Roman"/>
          <w:sz w:val="24"/>
          <w:szCs w:val="24"/>
        </w:rPr>
        <w:t>più delicata appare la questione quando si disquisisce di sindacato giurisdizionale sull’azione amministrativa.</w:t>
      </w:r>
    </w:p>
    <w:p w:rsidR="00DF70C3" w:rsidRPr="007B4FE2" w:rsidRDefault="00DF70C3"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La domanda è, infatti, se il giudice amministrativo (anche quello tedesco, pur coi suoi maggiori poteri) possa legittimamente sostituire la propria valutazione sulla proporzionalità in senso stretto a que</w:t>
      </w:r>
      <w:r w:rsidR="006934DE" w:rsidRPr="007B4FE2">
        <w:rPr>
          <w:rFonts w:ascii="Times New Roman" w:hAnsi="Times New Roman" w:cs="Times New Roman"/>
          <w:sz w:val="24"/>
          <w:szCs w:val="24"/>
        </w:rPr>
        <w:t>lla fatta dall’amministrazione: p</w:t>
      </w:r>
      <w:r w:rsidRPr="007B4FE2">
        <w:rPr>
          <w:rFonts w:ascii="Times New Roman" w:hAnsi="Times New Roman" w:cs="Times New Roman"/>
          <w:sz w:val="24"/>
          <w:szCs w:val="24"/>
        </w:rPr>
        <w:t>oiché si tratta, in ultima analisi, di attribuire un determinato peso specifico all’interesse pubblico in concreto perseguito dall’amministrazione, onde poterlo bilanciare col sacrificio in concreto imposto al privato dal suo perseguimento.</w:t>
      </w:r>
    </w:p>
    <w:p w:rsidR="00DF70C3" w:rsidRPr="007B4FE2" w:rsidRDefault="00DF70C3"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Ovviamente, la risposta non è semplice e implica una riflessione che va certamente al di là dello spazio qui a mia disposizione. Si tratterebbe, infatti, di ripercorrere la complessa e dibattuta distinzione fra discrezionalità e merito della decisione amministrativa, da un lato.</w:t>
      </w:r>
      <w:r w:rsidR="006934DE" w:rsidRPr="007B4FE2">
        <w:rPr>
          <w:rFonts w:ascii="Times New Roman" w:hAnsi="Times New Roman" w:cs="Times New Roman"/>
          <w:sz w:val="24"/>
          <w:szCs w:val="24"/>
        </w:rPr>
        <w:t xml:space="preserve"> </w:t>
      </w:r>
      <w:r w:rsidRPr="007B4FE2">
        <w:rPr>
          <w:rFonts w:ascii="Times New Roman" w:hAnsi="Times New Roman" w:cs="Times New Roman"/>
          <w:sz w:val="24"/>
          <w:szCs w:val="24"/>
        </w:rPr>
        <w:t>Ma anche la distinzione fra decisioni di politica pubblica e decisioni amministrative in senso stretto</w:t>
      </w:r>
      <w:r w:rsidRPr="007B4FE2">
        <w:rPr>
          <w:rFonts w:ascii="Times New Roman" w:hAnsi="Times New Roman" w:cs="Times New Roman"/>
          <w:sz w:val="24"/>
          <w:szCs w:val="24"/>
          <w:vertAlign w:val="superscript"/>
        </w:rPr>
        <w:footnoteReference w:id="35"/>
      </w:r>
      <w:r w:rsidRPr="007B4FE2">
        <w:rPr>
          <w:rFonts w:ascii="Times New Roman" w:hAnsi="Times New Roman" w:cs="Times New Roman"/>
          <w:sz w:val="24"/>
          <w:szCs w:val="24"/>
        </w:rPr>
        <w:t>.</w:t>
      </w:r>
      <w:r w:rsidR="00C50CDF" w:rsidRPr="007B4FE2">
        <w:rPr>
          <w:rFonts w:ascii="Times New Roman" w:hAnsi="Times New Roman" w:cs="Times New Roman"/>
          <w:sz w:val="24"/>
          <w:szCs w:val="24"/>
        </w:rPr>
        <w:t xml:space="preserve"> </w:t>
      </w:r>
      <w:r w:rsidRPr="007B4FE2">
        <w:rPr>
          <w:rFonts w:ascii="Times New Roman" w:hAnsi="Times New Roman" w:cs="Times New Roman"/>
          <w:sz w:val="24"/>
          <w:szCs w:val="24"/>
        </w:rPr>
        <w:t>Tutte questioni sulle quali vi è da sempre discussione in dottrina, direi a tutte le latitudini</w:t>
      </w:r>
      <w:r w:rsidR="007F2EA1" w:rsidRPr="007B4FE2">
        <w:rPr>
          <w:rStyle w:val="Rimandonotaapidipagina"/>
          <w:rFonts w:ascii="Times New Roman" w:hAnsi="Times New Roman" w:cs="Times New Roman"/>
          <w:sz w:val="24"/>
          <w:szCs w:val="24"/>
        </w:rPr>
        <w:footnoteReference w:id="36"/>
      </w:r>
      <w:r w:rsidRPr="007B4FE2">
        <w:rPr>
          <w:rFonts w:ascii="Times New Roman" w:hAnsi="Times New Roman" w:cs="Times New Roman"/>
          <w:sz w:val="24"/>
          <w:szCs w:val="24"/>
        </w:rPr>
        <w:t>.</w:t>
      </w:r>
    </w:p>
    <w:p w:rsidR="00543DA6" w:rsidRPr="007B4FE2" w:rsidRDefault="00C6095C"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Ma mi</w:t>
      </w:r>
      <w:r w:rsidR="004B6D21" w:rsidRPr="007B4FE2">
        <w:rPr>
          <w:rFonts w:ascii="Times New Roman" w:hAnsi="Times New Roman" w:cs="Times New Roman"/>
          <w:sz w:val="24"/>
          <w:szCs w:val="24"/>
        </w:rPr>
        <w:t xml:space="preserve"> fermo qui, poiché</w:t>
      </w:r>
      <w:r w:rsidR="00D4500B" w:rsidRPr="007B4FE2">
        <w:rPr>
          <w:rFonts w:ascii="Times New Roman" w:hAnsi="Times New Roman" w:cs="Times New Roman"/>
          <w:sz w:val="24"/>
          <w:szCs w:val="24"/>
        </w:rPr>
        <w:t xml:space="preserve"> </w:t>
      </w:r>
      <w:r w:rsidR="00DF70C3" w:rsidRPr="007B4FE2">
        <w:rPr>
          <w:rFonts w:ascii="Times New Roman" w:hAnsi="Times New Roman" w:cs="Times New Roman"/>
          <w:sz w:val="24"/>
          <w:szCs w:val="24"/>
        </w:rPr>
        <w:t>scopo</w:t>
      </w:r>
      <w:r w:rsidR="00543DA6" w:rsidRPr="007B4FE2">
        <w:rPr>
          <w:rFonts w:ascii="Times New Roman" w:hAnsi="Times New Roman" w:cs="Times New Roman"/>
          <w:sz w:val="24"/>
          <w:szCs w:val="24"/>
        </w:rPr>
        <w:t xml:space="preserve"> principale </w:t>
      </w:r>
      <w:r w:rsidR="004B6D21" w:rsidRPr="007B4FE2">
        <w:rPr>
          <w:rFonts w:ascii="Times New Roman" w:hAnsi="Times New Roman" w:cs="Times New Roman"/>
          <w:sz w:val="24"/>
          <w:szCs w:val="24"/>
        </w:rPr>
        <w:t>del presente contributo</w:t>
      </w:r>
      <w:r w:rsidR="0000391D" w:rsidRPr="007B4FE2">
        <w:rPr>
          <w:rFonts w:ascii="Times New Roman" w:hAnsi="Times New Roman" w:cs="Times New Roman"/>
          <w:sz w:val="24"/>
          <w:szCs w:val="24"/>
        </w:rPr>
        <w:t xml:space="preserve"> non è</w:t>
      </w:r>
      <w:r w:rsidR="004B6D21" w:rsidRPr="007B4FE2">
        <w:rPr>
          <w:rFonts w:ascii="Times New Roman" w:hAnsi="Times New Roman" w:cs="Times New Roman"/>
          <w:sz w:val="24"/>
          <w:szCs w:val="24"/>
        </w:rPr>
        <w:t xml:space="preserve"> </w:t>
      </w:r>
      <w:r w:rsidR="0000391D" w:rsidRPr="007B4FE2">
        <w:rPr>
          <w:rFonts w:ascii="Times New Roman" w:hAnsi="Times New Roman" w:cs="Times New Roman"/>
          <w:sz w:val="24"/>
          <w:szCs w:val="24"/>
        </w:rPr>
        <w:t>di indagare</w:t>
      </w:r>
      <w:r w:rsidR="00543DA6" w:rsidRPr="007B4FE2">
        <w:rPr>
          <w:rFonts w:ascii="Times New Roman" w:hAnsi="Times New Roman" w:cs="Times New Roman"/>
          <w:sz w:val="24"/>
          <w:szCs w:val="24"/>
        </w:rPr>
        <w:t xml:space="preserve"> nel dettaglio </w:t>
      </w:r>
      <w:r w:rsidR="0000391D" w:rsidRPr="007B4FE2">
        <w:rPr>
          <w:rFonts w:ascii="Times New Roman" w:hAnsi="Times New Roman" w:cs="Times New Roman"/>
          <w:sz w:val="24"/>
          <w:szCs w:val="24"/>
        </w:rPr>
        <w:t xml:space="preserve">il principio di proporzionalità </w:t>
      </w:r>
      <w:r w:rsidR="00915849" w:rsidRPr="007B4FE2">
        <w:rPr>
          <w:rFonts w:ascii="Times New Roman" w:hAnsi="Times New Roman" w:cs="Times New Roman"/>
          <w:sz w:val="24"/>
          <w:szCs w:val="24"/>
        </w:rPr>
        <w:t xml:space="preserve">per </w:t>
      </w:r>
      <w:r w:rsidR="0000391D" w:rsidRPr="007B4FE2">
        <w:rPr>
          <w:rFonts w:ascii="Times New Roman" w:hAnsi="Times New Roman" w:cs="Times New Roman"/>
          <w:sz w:val="24"/>
          <w:szCs w:val="24"/>
        </w:rPr>
        <w:t xml:space="preserve">come questo </w:t>
      </w:r>
      <w:r w:rsidR="00915849" w:rsidRPr="007B4FE2">
        <w:rPr>
          <w:rFonts w:ascii="Times New Roman" w:hAnsi="Times New Roman" w:cs="Times New Roman"/>
          <w:sz w:val="24"/>
          <w:szCs w:val="24"/>
        </w:rPr>
        <w:t>si è sviluppato e successivamente</w:t>
      </w:r>
      <w:r w:rsidR="00174AF5" w:rsidRPr="007B4FE2">
        <w:rPr>
          <w:rFonts w:ascii="Times New Roman" w:hAnsi="Times New Roman" w:cs="Times New Roman"/>
          <w:sz w:val="24"/>
          <w:szCs w:val="24"/>
        </w:rPr>
        <w:t xml:space="preserve"> </w:t>
      </w:r>
      <w:r w:rsidR="0000391D" w:rsidRPr="007B4FE2">
        <w:rPr>
          <w:rFonts w:ascii="Times New Roman" w:hAnsi="Times New Roman" w:cs="Times New Roman"/>
          <w:sz w:val="24"/>
          <w:szCs w:val="24"/>
        </w:rPr>
        <w:t>evoluto nell’ordinamento tedesco</w:t>
      </w:r>
      <w:r w:rsidR="0000391D" w:rsidRPr="00A64F0E">
        <w:rPr>
          <w:rStyle w:val="Rimandonotaapidipagina"/>
          <w:rFonts w:ascii="Times New Roman" w:hAnsi="Times New Roman" w:cs="Times New Roman"/>
          <w:sz w:val="24"/>
          <w:szCs w:val="24"/>
        </w:rPr>
        <w:footnoteReference w:id="37"/>
      </w:r>
      <w:r w:rsidR="004B6D21" w:rsidRPr="00A64F0E">
        <w:rPr>
          <w:rFonts w:ascii="Times New Roman" w:hAnsi="Times New Roman" w:cs="Times New Roman"/>
          <w:sz w:val="24"/>
          <w:szCs w:val="24"/>
        </w:rPr>
        <w:t>. L’obiettivo è</w:t>
      </w:r>
      <w:r w:rsidR="00A64F0E">
        <w:rPr>
          <w:rFonts w:ascii="Times New Roman" w:hAnsi="Times New Roman" w:cs="Times New Roman"/>
          <w:sz w:val="24"/>
          <w:szCs w:val="24"/>
        </w:rPr>
        <w:t>,</w:t>
      </w:r>
      <w:r w:rsidR="0000391D" w:rsidRPr="00A64F0E">
        <w:rPr>
          <w:rFonts w:ascii="Times New Roman" w:hAnsi="Times New Roman" w:cs="Times New Roman"/>
          <w:sz w:val="24"/>
          <w:szCs w:val="24"/>
        </w:rPr>
        <w:t xml:space="preserve"> piuttosto</w:t>
      </w:r>
      <w:r w:rsidR="00A64F0E">
        <w:rPr>
          <w:rFonts w:ascii="Times New Roman" w:hAnsi="Times New Roman" w:cs="Times New Roman"/>
          <w:sz w:val="24"/>
          <w:szCs w:val="24"/>
        </w:rPr>
        <w:t>,</w:t>
      </w:r>
      <w:r w:rsidR="007E38AD" w:rsidRPr="00A64F0E">
        <w:rPr>
          <w:rFonts w:ascii="Times New Roman" w:hAnsi="Times New Roman" w:cs="Times New Roman"/>
          <w:sz w:val="24"/>
          <w:szCs w:val="24"/>
        </w:rPr>
        <w:t xml:space="preserve"> di delinear</w:t>
      </w:r>
      <w:r w:rsidR="00A64F0E">
        <w:rPr>
          <w:rFonts w:ascii="Times New Roman" w:hAnsi="Times New Roman" w:cs="Times New Roman"/>
          <w:sz w:val="24"/>
          <w:szCs w:val="24"/>
        </w:rPr>
        <w:t>n</w:t>
      </w:r>
      <w:r w:rsidR="0000391D" w:rsidRPr="00A64F0E">
        <w:rPr>
          <w:rFonts w:ascii="Times New Roman" w:hAnsi="Times New Roman" w:cs="Times New Roman"/>
          <w:sz w:val="24"/>
          <w:szCs w:val="24"/>
        </w:rPr>
        <w:t>e i contenuti e</w:t>
      </w:r>
      <w:r w:rsidR="00174AF5" w:rsidRPr="00A64F0E">
        <w:rPr>
          <w:rFonts w:ascii="Times New Roman" w:hAnsi="Times New Roman" w:cs="Times New Roman"/>
          <w:sz w:val="24"/>
          <w:szCs w:val="24"/>
        </w:rPr>
        <w:t xml:space="preserve"> </w:t>
      </w:r>
      <w:r w:rsidR="007E38AD" w:rsidRPr="00A64F0E">
        <w:rPr>
          <w:rFonts w:ascii="Times New Roman" w:hAnsi="Times New Roman" w:cs="Times New Roman"/>
          <w:sz w:val="24"/>
          <w:szCs w:val="24"/>
        </w:rPr>
        <w:t xml:space="preserve">gli </w:t>
      </w:r>
      <w:r w:rsidR="0000391D" w:rsidRPr="00A64F0E">
        <w:rPr>
          <w:rFonts w:ascii="Times New Roman" w:hAnsi="Times New Roman" w:cs="Times New Roman"/>
          <w:sz w:val="24"/>
          <w:szCs w:val="24"/>
        </w:rPr>
        <w:t>sviluppi</w:t>
      </w:r>
      <w:r w:rsidR="00174AF5" w:rsidRPr="00A64F0E">
        <w:rPr>
          <w:rFonts w:ascii="Times New Roman" w:hAnsi="Times New Roman" w:cs="Times New Roman"/>
          <w:sz w:val="24"/>
          <w:szCs w:val="24"/>
        </w:rPr>
        <w:t xml:space="preserve"> </w:t>
      </w:r>
      <w:r w:rsidR="0000391D" w:rsidRPr="00A64F0E">
        <w:rPr>
          <w:rFonts w:ascii="Times New Roman" w:hAnsi="Times New Roman" w:cs="Times New Roman"/>
          <w:sz w:val="24"/>
          <w:szCs w:val="24"/>
        </w:rPr>
        <w:t>nel contesto del diritto dell’Unione Europea</w:t>
      </w:r>
      <w:r w:rsidR="00535371" w:rsidRPr="00A64F0E">
        <w:rPr>
          <w:rFonts w:ascii="Times New Roman" w:hAnsi="Times New Roman" w:cs="Times New Roman"/>
          <w:sz w:val="24"/>
          <w:szCs w:val="24"/>
        </w:rPr>
        <w:t xml:space="preserve"> - dopo un suo</w:t>
      </w:r>
      <w:r w:rsidR="00C50CDF" w:rsidRPr="00A64F0E">
        <w:rPr>
          <w:rFonts w:ascii="Times New Roman" w:hAnsi="Times New Roman" w:cs="Times New Roman"/>
          <w:sz w:val="24"/>
          <w:szCs w:val="24"/>
        </w:rPr>
        <w:t xml:space="preserve"> </w:t>
      </w:r>
      <w:r w:rsidR="00535371" w:rsidRPr="00A64F0E">
        <w:rPr>
          <w:rFonts w:ascii="Times New Roman" w:hAnsi="Times New Roman" w:cs="Times New Roman"/>
          <w:sz w:val="24"/>
          <w:szCs w:val="24"/>
        </w:rPr>
        <w:t xml:space="preserve">breve inquadramento all’interno del sistema dei principi generali nel sistema del diritto UE -, </w:t>
      </w:r>
      <w:r w:rsidR="00543DA6" w:rsidRPr="00A64F0E">
        <w:rPr>
          <w:rFonts w:ascii="Times New Roman" w:hAnsi="Times New Roman" w:cs="Times New Roman"/>
          <w:sz w:val="24"/>
          <w:szCs w:val="24"/>
        </w:rPr>
        <w:t>allo scopo di esplorarne quel potenziale che ha po</w:t>
      </w:r>
      <w:r w:rsidR="00535371" w:rsidRPr="00A64F0E">
        <w:rPr>
          <w:rFonts w:ascii="Times New Roman" w:hAnsi="Times New Roman" w:cs="Times New Roman"/>
          <w:sz w:val="24"/>
          <w:szCs w:val="24"/>
        </w:rPr>
        <w:t xml:space="preserve">rtato ad una sua esportazione (come già si è anticipato) </w:t>
      </w:r>
      <w:r w:rsidR="00543DA6" w:rsidRPr="00A64F0E">
        <w:rPr>
          <w:rFonts w:ascii="Times New Roman" w:hAnsi="Times New Roman" w:cs="Times New Roman"/>
          <w:sz w:val="24"/>
          <w:szCs w:val="24"/>
        </w:rPr>
        <w:t>non</w:t>
      </w:r>
      <w:r w:rsidR="00AC47C0" w:rsidRPr="00A64F0E">
        <w:rPr>
          <w:rFonts w:ascii="Times New Roman" w:hAnsi="Times New Roman" w:cs="Times New Roman"/>
          <w:sz w:val="24"/>
          <w:szCs w:val="24"/>
        </w:rPr>
        <w:t xml:space="preserve"> </w:t>
      </w:r>
      <w:r w:rsidR="00543DA6" w:rsidRPr="00A64F0E">
        <w:rPr>
          <w:rFonts w:ascii="Times New Roman" w:hAnsi="Times New Roman" w:cs="Times New Roman"/>
          <w:sz w:val="24"/>
          <w:szCs w:val="24"/>
        </w:rPr>
        <w:t>solo negli ordinamenti di numerosi Stati membri UE</w:t>
      </w:r>
      <w:r w:rsidR="00652EDF" w:rsidRPr="00A64F0E">
        <w:rPr>
          <w:rFonts w:ascii="Times New Roman" w:hAnsi="Times New Roman" w:cs="Times New Roman"/>
          <w:sz w:val="24"/>
          <w:szCs w:val="24"/>
        </w:rPr>
        <w:t xml:space="preserve"> che non ne facevano uso prima</w:t>
      </w:r>
      <w:r w:rsidR="00543DA6" w:rsidRPr="00A64F0E">
        <w:rPr>
          <w:rFonts w:ascii="Times New Roman" w:hAnsi="Times New Roman" w:cs="Times New Roman"/>
          <w:sz w:val="24"/>
          <w:szCs w:val="24"/>
        </w:rPr>
        <w:t>,</w:t>
      </w:r>
      <w:r w:rsidR="00AC47C0" w:rsidRPr="00A64F0E">
        <w:rPr>
          <w:rFonts w:ascii="Times New Roman" w:hAnsi="Times New Roman" w:cs="Times New Roman"/>
          <w:sz w:val="24"/>
          <w:szCs w:val="24"/>
        </w:rPr>
        <w:t xml:space="preserve"> </w:t>
      </w:r>
      <w:r w:rsidR="00543DA6" w:rsidRPr="00A64F0E">
        <w:rPr>
          <w:rFonts w:ascii="Times New Roman" w:hAnsi="Times New Roman" w:cs="Times New Roman"/>
          <w:sz w:val="24"/>
          <w:szCs w:val="24"/>
        </w:rPr>
        <w:t>ma anche al di fuori dei confini dell’Unione europea.</w:t>
      </w:r>
    </w:p>
    <w:p w:rsidR="004B6D21" w:rsidRPr="007B4FE2" w:rsidRDefault="004B6D21" w:rsidP="007B4FE2">
      <w:pPr>
        <w:spacing w:after="0" w:line="360" w:lineRule="auto"/>
        <w:ind w:firstLine="709"/>
        <w:jc w:val="both"/>
        <w:rPr>
          <w:rFonts w:ascii="Times New Roman" w:hAnsi="Times New Roman" w:cs="Times New Roman"/>
          <w:sz w:val="24"/>
          <w:szCs w:val="24"/>
        </w:rPr>
      </w:pPr>
    </w:p>
    <w:p w:rsidR="00371B00" w:rsidRPr="007B4FE2" w:rsidRDefault="00371B00" w:rsidP="007B4FE2">
      <w:pPr>
        <w:keepNext/>
        <w:spacing w:after="0" w:line="360" w:lineRule="auto"/>
        <w:ind w:firstLine="709"/>
        <w:jc w:val="both"/>
        <w:rPr>
          <w:rFonts w:ascii="Times New Roman" w:eastAsia="Times New Roman" w:hAnsi="Times New Roman" w:cs="Times New Roman"/>
          <w:b/>
          <w:sz w:val="24"/>
          <w:szCs w:val="24"/>
          <w:lang w:eastAsia="it-IT"/>
        </w:rPr>
      </w:pPr>
      <w:r w:rsidRPr="007B4FE2">
        <w:rPr>
          <w:rFonts w:ascii="Times New Roman" w:eastAsia="Times New Roman" w:hAnsi="Times New Roman" w:cs="Times New Roman"/>
          <w:b/>
          <w:sz w:val="24"/>
          <w:szCs w:val="24"/>
          <w:lang w:eastAsia="it-IT"/>
        </w:rPr>
        <w:t xml:space="preserve">3. Il principio di proporzionalità nel diritto dell’Unione europea </w:t>
      </w:r>
    </w:p>
    <w:p w:rsidR="00542811" w:rsidRPr="007B4FE2" w:rsidRDefault="00542811" w:rsidP="007B4FE2">
      <w:pPr>
        <w:keepNext/>
        <w:spacing w:after="0" w:line="360" w:lineRule="auto"/>
        <w:ind w:firstLine="709"/>
        <w:jc w:val="both"/>
        <w:rPr>
          <w:rFonts w:ascii="Times New Roman" w:eastAsia="Times New Roman" w:hAnsi="Times New Roman" w:cs="Times New Roman"/>
          <w:b/>
          <w:sz w:val="24"/>
          <w:szCs w:val="24"/>
          <w:lang w:eastAsia="it-IT"/>
        </w:rPr>
      </w:pPr>
    </w:p>
    <w:p w:rsidR="00542811" w:rsidRPr="007B4FE2" w:rsidRDefault="00542811" w:rsidP="007B4FE2">
      <w:pPr>
        <w:keepNext/>
        <w:spacing w:after="0" w:line="360" w:lineRule="auto"/>
        <w:ind w:firstLine="709"/>
        <w:jc w:val="both"/>
        <w:rPr>
          <w:rFonts w:ascii="Times New Roman" w:eastAsiaTheme="minorEastAsia" w:hAnsi="Times New Roman" w:cs="Times New Roman"/>
          <w:b/>
          <w:sz w:val="24"/>
          <w:szCs w:val="24"/>
          <w:lang w:eastAsia="it-IT"/>
        </w:rPr>
      </w:pPr>
      <w:r w:rsidRPr="007B4FE2">
        <w:rPr>
          <w:rFonts w:ascii="Times New Roman" w:eastAsiaTheme="minorEastAsia" w:hAnsi="Times New Roman" w:cs="Times New Roman"/>
          <w:b/>
          <w:sz w:val="24"/>
          <w:szCs w:val="24"/>
          <w:lang w:eastAsia="it-IT"/>
        </w:rPr>
        <w:t xml:space="preserve">3.1. </w:t>
      </w:r>
      <w:r w:rsidR="003040D1" w:rsidRPr="007B4FE2">
        <w:rPr>
          <w:rFonts w:ascii="Times New Roman" w:eastAsiaTheme="minorEastAsia" w:hAnsi="Times New Roman" w:cs="Times New Roman"/>
          <w:b/>
          <w:sz w:val="24"/>
          <w:szCs w:val="24"/>
          <w:lang w:eastAsia="it-IT"/>
        </w:rPr>
        <w:t xml:space="preserve">Premessa su ruolo e funzione dei </w:t>
      </w:r>
      <w:r w:rsidRPr="007B4FE2">
        <w:rPr>
          <w:rFonts w:ascii="Times New Roman" w:eastAsiaTheme="minorEastAsia" w:hAnsi="Times New Roman" w:cs="Times New Roman"/>
          <w:b/>
          <w:sz w:val="24"/>
          <w:szCs w:val="24"/>
          <w:lang w:eastAsia="it-IT"/>
        </w:rPr>
        <w:t>principi generali nel diritto UE</w:t>
      </w:r>
    </w:p>
    <w:p w:rsidR="00535371" w:rsidRPr="007B4FE2" w:rsidRDefault="00D94D32" w:rsidP="007B4FE2">
      <w:pPr>
        <w:keepNext/>
        <w:spacing w:after="0" w:line="360" w:lineRule="auto"/>
        <w:ind w:firstLine="709"/>
        <w:jc w:val="both"/>
        <w:rPr>
          <w:rFonts w:ascii="Times New Roman" w:eastAsiaTheme="minorEastAsia" w:hAnsi="Times New Roman" w:cs="Times New Roman"/>
          <w:sz w:val="24"/>
          <w:szCs w:val="24"/>
          <w:lang w:eastAsia="it-IT"/>
        </w:rPr>
      </w:pPr>
      <w:r w:rsidRPr="007B4FE2">
        <w:rPr>
          <w:rFonts w:ascii="Times New Roman" w:eastAsiaTheme="minorEastAsia" w:hAnsi="Times New Roman" w:cs="Times New Roman"/>
          <w:sz w:val="24"/>
          <w:szCs w:val="24"/>
          <w:lang w:eastAsia="it-IT"/>
        </w:rPr>
        <w:fldChar w:fldCharType="begin"/>
      </w:r>
      <w:r w:rsidRPr="007B4FE2">
        <w:rPr>
          <w:rFonts w:ascii="Times New Roman" w:eastAsiaTheme="minorEastAsia" w:hAnsi="Times New Roman" w:cs="Times New Roman"/>
          <w:sz w:val="24"/>
          <w:szCs w:val="24"/>
          <w:lang w:eastAsia="it-IT"/>
        </w:rPr>
        <w:instrText>&lt;titolo&gt;&lt;numero&gt;</w:instrText>
      </w:r>
      <w:r w:rsidRPr="007B4FE2">
        <w:rPr>
          <w:rFonts w:ascii="Times New Roman" w:eastAsiaTheme="minorEastAsia" w:hAnsi="Times New Roman" w:cs="Times New Roman"/>
          <w:sz w:val="24"/>
          <w:szCs w:val="24"/>
          <w:lang w:eastAsia="it-IT"/>
        </w:rPr>
        <w:fldChar w:fldCharType="end"/>
      </w:r>
      <w:r w:rsidRPr="007B4FE2">
        <w:rPr>
          <w:rFonts w:ascii="Times New Roman" w:eastAsiaTheme="minorEastAsia" w:hAnsi="Times New Roman" w:cs="Times New Roman"/>
          <w:sz w:val="24"/>
          <w:szCs w:val="24"/>
          <w:lang w:eastAsia="it-IT"/>
        </w:rPr>
        <w:fldChar w:fldCharType="begin"/>
      </w:r>
      <w:r w:rsidRPr="007B4FE2">
        <w:rPr>
          <w:rFonts w:ascii="Times New Roman" w:eastAsiaTheme="minorEastAsia" w:hAnsi="Times New Roman" w:cs="Times New Roman"/>
          <w:sz w:val="24"/>
          <w:szCs w:val="24"/>
          <w:lang w:eastAsia="it-IT"/>
        </w:rPr>
        <w:instrText>&lt;para&gt;</w:instrText>
      </w:r>
      <w:r w:rsidRPr="007B4FE2">
        <w:rPr>
          <w:rFonts w:ascii="Times New Roman" w:eastAsiaTheme="minorEastAsia" w:hAnsi="Times New Roman" w:cs="Times New Roman"/>
          <w:sz w:val="24"/>
          <w:szCs w:val="24"/>
          <w:lang w:eastAsia="it-IT"/>
        </w:rPr>
        <w:fldChar w:fldCharType="end"/>
      </w:r>
      <w:r w:rsidRPr="007B4FE2">
        <w:rPr>
          <w:rFonts w:ascii="Times New Roman" w:eastAsiaTheme="minorEastAsia" w:hAnsi="Times New Roman" w:cs="Times New Roman"/>
          <w:sz w:val="24"/>
          <w:szCs w:val="24"/>
          <w:lang w:eastAsia="it-IT"/>
        </w:rPr>
        <w:t>Analogamente a quanto avviene nel nostro ordinamento nazionale</w:t>
      </w:r>
      <w:r w:rsidR="00FA0007" w:rsidRPr="007B4FE2">
        <w:rPr>
          <w:rFonts w:ascii="Times New Roman" w:eastAsiaTheme="minorEastAsia" w:hAnsi="Times New Roman" w:cs="Times New Roman"/>
          <w:sz w:val="24"/>
          <w:szCs w:val="24"/>
          <w:lang w:eastAsia="it-IT"/>
        </w:rPr>
        <w:t xml:space="preserve">, </w:t>
      </w:r>
      <w:r w:rsidRPr="007B4FE2">
        <w:rPr>
          <w:rFonts w:ascii="Times New Roman" w:eastAsiaTheme="minorEastAsia" w:hAnsi="Times New Roman" w:cs="Times New Roman"/>
          <w:sz w:val="24"/>
          <w:szCs w:val="24"/>
          <w:lang w:eastAsia="it-IT"/>
        </w:rPr>
        <w:t xml:space="preserve">anche </w:t>
      </w:r>
      <w:r w:rsidR="00FA0007" w:rsidRPr="007B4FE2">
        <w:rPr>
          <w:rFonts w:ascii="Times New Roman" w:eastAsiaTheme="minorEastAsia" w:hAnsi="Times New Roman" w:cs="Times New Roman"/>
          <w:sz w:val="24"/>
          <w:szCs w:val="24"/>
          <w:lang w:eastAsia="it-IT"/>
        </w:rPr>
        <w:t>per quello</w:t>
      </w:r>
      <w:r w:rsidR="00AC47C0" w:rsidRPr="007B4FE2">
        <w:rPr>
          <w:rFonts w:ascii="Times New Roman" w:eastAsiaTheme="minorEastAsia" w:hAnsi="Times New Roman" w:cs="Times New Roman"/>
          <w:sz w:val="24"/>
          <w:szCs w:val="24"/>
          <w:lang w:eastAsia="it-IT"/>
        </w:rPr>
        <w:t xml:space="preserve"> </w:t>
      </w:r>
      <w:r w:rsidRPr="007B4FE2">
        <w:rPr>
          <w:rFonts w:ascii="Times New Roman" w:eastAsiaTheme="minorEastAsia" w:hAnsi="Times New Roman" w:cs="Times New Roman"/>
          <w:sz w:val="24"/>
          <w:szCs w:val="24"/>
          <w:lang w:eastAsia="it-IT"/>
        </w:rPr>
        <w:t>UE la funzione principale dei principi generali del diritto è di consentire di colmare le lacune</w:t>
      </w:r>
      <w:r w:rsidR="00FA0007" w:rsidRPr="007B4FE2">
        <w:rPr>
          <w:rFonts w:ascii="Times New Roman" w:eastAsiaTheme="minorEastAsia" w:hAnsi="Times New Roman" w:cs="Times New Roman"/>
          <w:sz w:val="24"/>
          <w:szCs w:val="24"/>
          <w:lang w:eastAsia="it-IT"/>
        </w:rPr>
        <w:t xml:space="preserve"> dell'ordinamento: lacune </w:t>
      </w:r>
      <w:r w:rsidRPr="007B4FE2">
        <w:rPr>
          <w:rFonts w:ascii="Times New Roman" w:eastAsiaTheme="minorEastAsia" w:hAnsi="Times New Roman" w:cs="Times New Roman"/>
          <w:sz w:val="24"/>
          <w:szCs w:val="24"/>
          <w:lang w:eastAsia="it-IT"/>
        </w:rPr>
        <w:t>che si rivelano tanto più importanti</w:t>
      </w:r>
      <w:r w:rsidR="00FA0007" w:rsidRPr="007B4FE2">
        <w:rPr>
          <w:rFonts w:ascii="Times New Roman" w:eastAsiaTheme="minorEastAsia" w:hAnsi="Times New Roman" w:cs="Times New Roman"/>
          <w:sz w:val="24"/>
          <w:szCs w:val="24"/>
          <w:lang w:eastAsia="it-IT"/>
        </w:rPr>
        <w:t xml:space="preserve">, qui, </w:t>
      </w:r>
      <w:r w:rsidRPr="007B4FE2">
        <w:rPr>
          <w:rFonts w:ascii="Times New Roman" w:eastAsiaTheme="minorEastAsia" w:hAnsi="Times New Roman" w:cs="Times New Roman"/>
          <w:sz w:val="24"/>
          <w:szCs w:val="24"/>
          <w:lang w:eastAsia="it-IT"/>
        </w:rPr>
        <w:t>rispetto a quelle proprie di un ordinamento nazionale</w:t>
      </w:r>
      <w:r w:rsidR="00FA0007" w:rsidRPr="007B4FE2">
        <w:rPr>
          <w:rFonts w:ascii="Times New Roman" w:eastAsiaTheme="minorEastAsia" w:hAnsi="Times New Roman" w:cs="Times New Roman"/>
          <w:sz w:val="24"/>
          <w:szCs w:val="24"/>
          <w:lang w:eastAsia="it-IT"/>
        </w:rPr>
        <w:t xml:space="preserve">, </w:t>
      </w:r>
      <w:r w:rsidRPr="007B4FE2">
        <w:rPr>
          <w:rFonts w:ascii="Times New Roman" w:eastAsiaTheme="minorEastAsia" w:hAnsi="Times New Roman" w:cs="Times New Roman"/>
          <w:sz w:val="24"/>
          <w:szCs w:val="24"/>
          <w:lang w:eastAsia="it-IT"/>
        </w:rPr>
        <w:t>per il fatto</w:t>
      </w:r>
      <w:r w:rsidR="00AC47C0" w:rsidRPr="007B4FE2">
        <w:rPr>
          <w:rFonts w:ascii="Times New Roman" w:eastAsiaTheme="minorEastAsia" w:hAnsi="Times New Roman" w:cs="Times New Roman"/>
          <w:sz w:val="24"/>
          <w:szCs w:val="24"/>
          <w:lang w:eastAsia="it-IT"/>
        </w:rPr>
        <w:t xml:space="preserve"> </w:t>
      </w:r>
      <w:r w:rsidR="00FA0007" w:rsidRPr="007B4FE2">
        <w:rPr>
          <w:rFonts w:ascii="Times New Roman" w:eastAsiaTheme="minorEastAsia" w:hAnsi="Times New Roman" w:cs="Times New Roman"/>
          <w:sz w:val="24"/>
          <w:szCs w:val="24"/>
          <w:lang w:eastAsia="it-IT"/>
        </w:rPr>
        <w:t xml:space="preserve">stesso che l’ordinamento UE </w:t>
      </w:r>
      <w:r w:rsidRPr="007B4FE2">
        <w:rPr>
          <w:rFonts w:ascii="Times New Roman" w:eastAsiaTheme="minorEastAsia" w:hAnsi="Times New Roman" w:cs="Times New Roman"/>
          <w:sz w:val="24"/>
          <w:szCs w:val="24"/>
          <w:lang w:eastAsia="it-IT"/>
        </w:rPr>
        <w:t>si conforma al principio delle</w:t>
      </w:r>
      <w:r w:rsidR="00AC47C0" w:rsidRPr="007B4FE2">
        <w:rPr>
          <w:rFonts w:ascii="Times New Roman" w:eastAsiaTheme="minorEastAsia" w:hAnsi="Times New Roman" w:cs="Times New Roman"/>
          <w:sz w:val="24"/>
          <w:szCs w:val="24"/>
          <w:lang w:eastAsia="it-IT"/>
        </w:rPr>
        <w:t xml:space="preserve"> </w:t>
      </w:r>
      <w:r w:rsidRPr="007B4FE2">
        <w:rPr>
          <w:rFonts w:ascii="Times New Roman" w:eastAsiaTheme="minorEastAsia" w:hAnsi="Times New Roman" w:cs="Times New Roman"/>
          <w:sz w:val="24"/>
          <w:szCs w:val="24"/>
          <w:lang w:eastAsia="it-IT"/>
        </w:rPr>
        <w:t>c.d. competenze di attribuzione</w:t>
      </w:r>
      <w:r w:rsidRPr="007B4FE2">
        <w:rPr>
          <w:rFonts w:ascii="Times New Roman" w:eastAsiaTheme="minorEastAsia" w:hAnsi="Times New Roman" w:cs="Times New Roman"/>
          <w:sz w:val="24"/>
          <w:szCs w:val="24"/>
          <w:lang w:eastAsia="it-IT"/>
        </w:rPr>
        <w:fldChar w:fldCharType="begin"/>
      </w:r>
      <w:r w:rsidRPr="007B4FE2">
        <w:rPr>
          <w:rFonts w:ascii="Times New Roman" w:eastAsiaTheme="minorEastAsia" w:hAnsi="Times New Roman" w:cs="Times New Roman"/>
          <w:sz w:val="24"/>
          <w:szCs w:val="24"/>
          <w:lang w:eastAsia="it-IT"/>
        </w:rPr>
        <w:instrText>&lt;/para&gt;</w:instrText>
      </w:r>
      <w:r w:rsidRPr="007B4FE2">
        <w:rPr>
          <w:rFonts w:ascii="Times New Roman" w:eastAsiaTheme="minorEastAsia" w:hAnsi="Times New Roman" w:cs="Times New Roman"/>
          <w:sz w:val="24"/>
          <w:szCs w:val="24"/>
          <w:lang w:eastAsia="it-IT"/>
        </w:rPr>
        <w:fldChar w:fldCharType="end"/>
      </w:r>
      <w:r w:rsidRPr="007B4FE2">
        <w:rPr>
          <w:rFonts w:ascii="Times New Roman" w:eastAsiaTheme="minorEastAsia" w:hAnsi="Times New Roman" w:cs="Times New Roman"/>
          <w:sz w:val="24"/>
          <w:szCs w:val="24"/>
          <w:lang w:eastAsia="it-IT"/>
        </w:rPr>
        <w:fldChar w:fldCharType="begin"/>
      </w:r>
      <w:r w:rsidRPr="007B4FE2">
        <w:rPr>
          <w:rFonts w:ascii="Times New Roman" w:eastAsiaTheme="minorEastAsia" w:hAnsi="Times New Roman" w:cs="Times New Roman"/>
          <w:sz w:val="24"/>
          <w:szCs w:val="24"/>
          <w:lang w:eastAsia="it-IT"/>
        </w:rPr>
        <w:instrText>&lt;para&gt;</w:instrText>
      </w:r>
      <w:r w:rsidRPr="007B4FE2">
        <w:rPr>
          <w:rFonts w:ascii="Times New Roman" w:eastAsiaTheme="minorEastAsia" w:hAnsi="Times New Roman" w:cs="Times New Roman"/>
          <w:sz w:val="24"/>
          <w:szCs w:val="24"/>
          <w:lang w:eastAsia="it-IT"/>
        </w:rPr>
        <w:fldChar w:fldCharType="end"/>
      </w:r>
      <w:r w:rsidRPr="007B4FE2">
        <w:rPr>
          <w:rFonts w:ascii="Times New Roman" w:eastAsiaTheme="minorEastAsia" w:hAnsi="Times New Roman" w:cs="Times New Roman"/>
          <w:sz w:val="24"/>
          <w:szCs w:val="24"/>
          <w:vertAlign w:val="superscript"/>
          <w:lang w:eastAsia="it-IT"/>
        </w:rPr>
        <w:footnoteReference w:id="38"/>
      </w:r>
      <w:r w:rsidRPr="007B4FE2">
        <w:rPr>
          <w:rFonts w:ascii="Times New Roman" w:eastAsiaTheme="minorEastAsia" w:hAnsi="Times New Roman" w:cs="Times New Roman"/>
          <w:sz w:val="24"/>
          <w:szCs w:val="24"/>
          <w:lang w:eastAsia="it-IT"/>
        </w:rPr>
        <w:t>.</w:t>
      </w:r>
      <w:r w:rsidR="00FA0007" w:rsidRPr="007B4FE2">
        <w:rPr>
          <w:rFonts w:ascii="Times New Roman" w:eastAsiaTheme="minorEastAsia" w:hAnsi="Times New Roman" w:cs="Times New Roman"/>
          <w:sz w:val="24"/>
          <w:szCs w:val="24"/>
          <w:lang w:eastAsia="it-IT"/>
        </w:rPr>
        <w:t xml:space="preserve"> </w:t>
      </w:r>
    </w:p>
    <w:p w:rsidR="00542811" w:rsidRPr="007B4FE2" w:rsidRDefault="00FA0007" w:rsidP="007B4FE2">
      <w:pPr>
        <w:keepNext/>
        <w:spacing w:after="0" w:line="360" w:lineRule="auto"/>
        <w:ind w:firstLine="709"/>
        <w:jc w:val="both"/>
        <w:rPr>
          <w:rFonts w:ascii="Times New Roman" w:eastAsia="Times New Roman" w:hAnsi="Times New Roman" w:cs="Times New Roman"/>
          <w:sz w:val="24"/>
          <w:szCs w:val="24"/>
          <w:lang w:eastAsia="it-IT"/>
        </w:rPr>
      </w:pPr>
      <w:r w:rsidRPr="007B4FE2">
        <w:rPr>
          <w:rFonts w:ascii="Times New Roman" w:eastAsiaTheme="minorEastAsia" w:hAnsi="Times New Roman" w:cs="Times New Roman"/>
          <w:sz w:val="24"/>
          <w:szCs w:val="24"/>
          <w:lang w:eastAsia="it-IT"/>
        </w:rPr>
        <w:t>Quanto al</w:t>
      </w:r>
      <w:r w:rsidR="00AC47C0" w:rsidRPr="007B4FE2">
        <w:rPr>
          <w:rFonts w:ascii="Times New Roman" w:eastAsiaTheme="minorEastAsia" w:hAnsi="Times New Roman" w:cs="Times New Roman"/>
          <w:sz w:val="24"/>
          <w:szCs w:val="24"/>
          <w:lang w:eastAsia="it-IT"/>
        </w:rPr>
        <w:t xml:space="preserve"> </w:t>
      </w:r>
      <w:r w:rsidRPr="007B4FE2">
        <w:rPr>
          <w:rFonts w:ascii="Times New Roman" w:eastAsiaTheme="minorEastAsia" w:hAnsi="Times New Roman" w:cs="Times New Roman"/>
          <w:sz w:val="24"/>
          <w:szCs w:val="24"/>
          <w:lang w:eastAsia="it-IT"/>
        </w:rPr>
        <w:t>fondamento giuridico di tale “operazione”, mentre per il diritto nazionale il riferimento obbligato è, ancora oggi, l'art. 12 c. 2 delle disposizioni preliminari al Codice civile</w:t>
      </w:r>
      <w:r w:rsidRPr="007B4FE2">
        <w:rPr>
          <w:rFonts w:ascii="Times New Roman" w:eastAsiaTheme="minorEastAsia" w:hAnsi="Times New Roman" w:cs="Times New Roman"/>
          <w:sz w:val="24"/>
          <w:szCs w:val="24"/>
          <w:vertAlign w:val="superscript"/>
          <w:lang w:eastAsia="it-IT"/>
        </w:rPr>
        <w:footnoteReference w:id="39"/>
      </w:r>
      <w:r w:rsidRPr="007B4FE2">
        <w:rPr>
          <w:rFonts w:ascii="Times New Roman" w:eastAsiaTheme="minorEastAsia" w:hAnsi="Times New Roman" w:cs="Times New Roman"/>
          <w:sz w:val="24"/>
          <w:szCs w:val="24"/>
          <w:lang w:eastAsia="it-IT"/>
        </w:rPr>
        <w:t>, per il diritto UE la possibilità di procedere all’elaborazione di principi</w:t>
      </w:r>
      <w:r w:rsidR="00AC47C0" w:rsidRPr="007B4FE2">
        <w:rPr>
          <w:rFonts w:ascii="Times New Roman" w:eastAsiaTheme="minorEastAsia" w:hAnsi="Times New Roman" w:cs="Times New Roman"/>
          <w:sz w:val="24"/>
          <w:szCs w:val="24"/>
          <w:lang w:eastAsia="it-IT"/>
        </w:rPr>
        <w:t xml:space="preserve"> </w:t>
      </w:r>
      <w:r w:rsidRPr="007B4FE2">
        <w:rPr>
          <w:rFonts w:ascii="Times New Roman" w:eastAsiaTheme="minorEastAsia" w:hAnsi="Times New Roman" w:cs="Times New Roman"/>
          <w:sz w:val="24"/>
          <w:szCs w:val="24"/>
          <w:lang w:eastAsia="it-IT"/>
        </w:rPr>
        <w:t>generali del diritto a questo scopo si può desumere e dal r</w:t>
      </w:r>
      <w:r w:rsidR="00542811" w:rsidRPr="007B4FE2">
        <w:rPr>
          <w:rFonts w:ascii="Times New Roman" w:eastAsia="Times New Roman" w:hAnsi="Times New Roman" w:cs="Times New Roman"/>
          <w:sz w:val="24"/>
          <w:szCs w:val="24"/>
          <w:lang w:eastAsia="it-IT"/>
        </w:rPr>
        <w:t>iferimento a “</w:t>
      </w:r>
      <w:r w:rsidR="00542811" w:rsidRPr="007B4FE2">
        <w:rPr>
          <w:rFonts w:ascii="Times New Roman" w:eastAsia="Times New Roman" w:hAnsi="Times New Roman" w:cs="Times New Roman"/>
          <w:i/>
          <w:sz w:val="24"/>
          <w:szCs w:val="24"/>
          <w:lang w:eastAsia="it-IT"/>
        </w:rPr>
        <w:t>qualsiasi regola di diritto</w:t>
      </w:r>
      <w:r w:rsidR="00542811" w:rsidRPr="007B4FE2">
        <w:rPr>
          <w:rFonts w:ascii="Times New Roman" w:eastAsia="Times New Roman" w:hAnsi="Times New Roman" w:cs="Times New Roman"/>
          <w:sz w:val="24"/>
          <w:szCs w:val="24"/>
          <w:lang w:eastAsia="it-IT"/>
        </w:rPr>
        <w:t>” contenuto nell'art. 263 c. 2 TFUE</w:t>
      </w:r>
      <w:r w:rsidR="00542811" w:rsidRPr="007B4FE2">
        <w:rPr>
          <w:rStyle w:val="Rimandonotaapidipagina"/>
          <w:rFonts w:ascii="Times New Roman" w:eastAsia="Times New Roman" w:hAnsi="Times New Roman" w:cs="Times New Roman"/>
          <w:sz w:val="24"/>
          <w:szCs w:val="24"/>
          <w:lang w:eastAsia="it-IT"/>
        </w:rPr>
        <w:footnoteReference w:id="40"/>
      </w:r>
      <w:r w:rsidRPr="007B4FE2">
        <w:rPr>
          <w:rFonts w:ascii="Times New Roman" w:eastAsia="Times New Roman" w:hAnsi="Times New Roman" w:cs="Times New Roman"/>
          <w:sz w:val="24"/>
          <w:szCs w:val="24"/>
          <w:lang w:eastAsia="it-IT"/>
        </w:rPr>
        <w:t>;</w:t>
      </w:r>
      <w:r w:rsidR="00542811" w:rsidRPr="007B4FE2">
        <w:rPr>
          <w:rFonts w:ascii="Times New Roman" w:eastAsia="Times New Roman" w:hAnsi="Times New Roman" w:cs="Times New Roman"/>
          <w:sz w:val="24"/>
          <w:szCs w:val="24"/>
          <w:lang w:eastAsia="it-IT"/>
        </w:rPr>
        <w:t xml:space="preserve"> </w:t>
      </w:r>
      <w:r w:rsidRPr="007B4FE2">
        <w:rPr>
          <w:rFonts w:ascii="Times New Roman" w:eastAsia="Times New Roman" w:hAnsi="Times New Roman" w:cs="Times New Roman"/>
          <w:sz w:val="24"/>
          <w:szCs w:val="24"/>
          <w:lang w:eastAsia="it-IT"/>
        </w:rPr>
        <w:t>e (soprattutto) dal</w:t>
      </w:r>
      <w:r w:rsidR="00542811" w:rsidRPr="007B4FE2">
        <w:rPr>
          <w:rFonts w:ascii="Times New Roman" w:eastAsia="Times New Roman" w:hAnsi="Times New Roman" w:cs="Times New Roman"/>
          <w:sz w:val="24"/>
          <w:szCs w:val="24"/>
          <w:lang w:eastAsia="it-IT"/>
        </w:rPr>
        <w:t>la previsione dell'art. 340, comma 2, TFUE</w:t>
      </w:r>
      <w:r w:rsidR="00542811" w:rsidRPr="007B4FE2">
        <w:rPr>
          <w:rStyle w:val="Rimandonotaapidipagina"/>
          <w:rFonts w:ascii="Times New Roman" w:eastAsia="Times New Roman" w:hAnsi="Times New Roman" w:cs="Times New Roman"/>
          <w:sz w:val="24"/>
          <w:szCs w:val="24"/>
          <w:lang w:eastAsia="it-IT"/>
        </w:rPr>
        <w:footnoteReference w:id="41"/>
      </w:r>
      <w:r w:rsidR="00542811" w:rsidRPr="007B4FE2">
        <w:rPr>
          <w:rFonts w:ascii="Times New Roman" w:eastAsia="Times New Roman" w:hAnsi="Times New Roman" w:cs="Times New Roman"/>
          <w:sz w:val="24"/>
          <w:szCs w:val="24"/>
          <w:lang w:eastAsia="it-IT"/>
        </w:rPr>
        <w:t xml:space="preserve">. </w:t>
      </w:r>
    </w:p>
    <w:p w:rsidR="00C705D9" w:rsidRPr="007B4FE2" w:rsidRDefault="00FA0007" w:rsidP="007B4FE2">
      <w:pPr>
        <w:keepNext/>
        <w:spacing w:after="0" w:line="360" w:lineRule="auto"/>
        <w:ind w:firstLine="709"/>
        <w:jc w:val="both"/>
        <w:rPr>
          <w:rFonts w:ascii="Times New Roman" w:eastAsiaTheme="minorEastAsia" w:hAnsi="Times New Roman" w:cs="Times New Roman"/>
          <w:sz w:val="24"/>
          <w:szCs w:val="24"/>
          <w:lang w:eastAsia="it-IT"/>
        </w:rPr>
      </w:pPr>
      <w:r w:rsidRPr="007B4FE2">
        <w:rPr>
          <w:rFonts w:ascii="Times New Roman" w:eastAsia="Times New Roman" w:hAnsi="Times New Roman" w:cs="Times New Roman"/>
          <w:sz w:val="24"/>
          <w:szCs w:val="24"/>
          <w:lang w:eastAsia="it-IT"/>
        </w:rPr>
        <w:t xml:space="preserve">Quest’ultima previsione </w:t>
      </w:r>
      <w:r w:rsidR="00542811" w:rsidRPr="007B4FE2">
        <w:rPr>
          <w:rFonts w:ascii="Times New Roman" w:eastAsia="Times New Roman" w:hAnsi="Times New Roman" w:cs="Times New Roman"/>
          <w:sz w:val="24"/>
          <w:szCs w:val="24"/>
          <w:lang w:eastAsia="it-IT"/>
        </w:rPr>
        <w:t>dispone che, “</w:t>
      </w:r>
      <w:r w:rsidR="00542811" w:rsidRPr="007B4FE2">
        <w:rPr>
          <w:rFonts w:ascii="Times New Roman" w:eastAsia="Times New Roman" w:hAnsi="Times New Roman" w:cs="Times New Roman"/>
          <w:i/>
          <w:sz w:val="24"/>
          <w:szCs w:val="24"/>
          <w:lang w:eastAsia="it-IT"/>
        </w:rPr>
        <w:t>In materia di responsabilità extracontrattuale, l'Unione deve risarcire, conformemente ai principi generali comuni ai diritti degli Stati membri, i danni cagionati dalle sue istituzioni o dai suoi agenti nell'esercizio delle loro funzioni</w:t>
      </w:r>
      <w:r w:rsidR="00542811" w:rsidRPr="007B4FE2">
        <w:rPr>
          <w:rFonts w:ascii="Times New Roman" w:eastAsia="Times New Roman" w:hAnsi="Times New Roman" w:cs="Times New Roman"/>
          <w:sz w:val="24"/>
          <w:szCs w:val="24"/>
          <w:lang w:eastAsia="it-IT"/>
        </w:rPr>
        <w:t>”.</w:t>
      </w:r>
      <w:r w:rsidR="00542811" w:rsidRPr="007B4FE2">
        <w:rPr>
          <w:rFonts w:ascii="Times New Roman" w:eastAsiaTheme="minorEastAsia" w:hAnsi="Times New Roman" w:cs="Times New Roman"/>
          <w:sz w:val="24"/>
          <w:szCs w:val="24"/>
          <w:lang w:eastAsia="it-IT"/>
        </w:rPr>
        <w:fldChar w:fldCharType="begin"/>
      </w:r>
      <w:r w:rsidR="00542811" w:rsidRPr="007B4FE2">
        <w:rPr>
          <w:rFonts w:ascii="Times New Roman" w:eastAsiaTheme="minorEastAsia" w:hAnsi="Times New Roman" w:cs="Times New Roman"/>
          <w:sz w:val="24"/>
          <w:szCs w:val="24"/>
          <w:lang w:eastAsia="it-IT"/>
        </w:rPr>
        <w:instrText>&lt;/para&gt;</w:instrText>
      </w:r>
      <w:r w:rsidR="00542811" w:rsidRPr="007B4FE2">
        <w:rPr>
          <w:rFonts w:ascii="Times New Roman" w:eastAsiaTheme="minorEastAsia" w:hAnsi="Times New Roman" w:cs="Times New Roman"/>
          <w:sz w:val="24"/>
          <w:szCs w:val="24"/>
          <w:lang w:eastAsia="it-IT"/>
        </w:rPr>
        <w:fldChar w:fldCharType="end"/>
      </w:r>
      <w:r w:rsidR="00AC47C0" w:rsidRPr="007B4FE2">
        <w:rPr>
          <w:rFonts w:ascii="Times New Roman" w:eastAsiaTheme="minorEastAsia" w:hAnsi="Times New Roman" w:cs="Times New Roman"/>
          <w:sz w:val="24"/>
          <w:szCs w:val="24"/>
          <w:lang w:eastAsia="it-IT"/>
        </w:rPr>
        <w:t xml:space="preserve"> </w:t>
      </w:r>
    </w:p>
    <w:p w:rsidR="00542811" w:rsidRPr="007B4FE2" w:rsidRDefault="00C705D9" w:rsidP="007B4FE2">
      <w:pPr>
        <w:keepNext/>
        <w:spacing w:after="0" w:line="360" w:lineRule="auto"/>
        <w:ind w:firstLine="709"/>
        <w:jc w:val="both"/>
        <w:rPr>
          <w:rFonts w:ascii="Times New Roman" w:eastAsiaTheme="minorEastAsia" w:hAnsi="Times New Roman" w:cs="Times New Roman"/>
          <w:sz w:val="24"/>
          <w:szCs w:val="24"/>
          <w:lang w:eastAsia="it-IT"/>
        </w:rPr>
      </w:pPr>
      <w:r w:rsidRPr="007B4FE2">
        <w:rPr>
          <w:rFonts w:ascii="Times New Roman" w:eastAsiaTheme="minorEastAsia" w:hAnsi="Times New Roman" w:cs="Times New Roman"/>
          <w:sz w:val="24"/>
          <w:szCs w:val="24"/>
          <w:lang w:eastAsia="it-IT"/>
        </w:rPr>
        <w:t xml:space="preserve">A </w:t>
      </w:r>
      <w:r w:rsidR="00542811" w:rsidRPr="007B4FE2">
        <w:rPr>
          <w:rFonts w:ascii="Times New Roman" w:eastAsiaTheme="minorEastAsia" w:hAnsi="Times New Roman" w:cs="Times New Roman"/>
          <w:sz w:val="24"/>
          <w:szCs w:val="24"/>
          <w:lang w:eastAsia="it-IT"/>
        </w:rPr>
        <w:t xml:space="preserve">questo riguardo è </w:t>
      </w:r>
      <w:r w:rsidR="00542811" w:rsidRPr="007B4FE2">
        <w:rPr>
          <w:rFonts w:ascii="Times New Roman" w:eastAsiaTheme="minorEastAsia" w:hAnsi="Times New Roman" w:cs="Times New Roman"/>
          <w:sz w:val="24"/>
          <w:szCs w:val="24"/>
          <w:lang w:eastAsia="it-IT"/>
        </w:rPr>
        <w:fldChar w:fldCharType="begin"/>
      </w:r>
      <w:r w:rsidR="00542811" w:rsidRPr="007B4FE2">
        <w:rPr>
          <w:rFonts w:ascii="Times New Roman" w:eastAsiaTheme="minorEastAsia" w:hAnsi="Times New Roman" w:cs="Times New Roman"/>
          <w:sz w:val="24"/>
          <w:szCs w:val="24"/>
          <w:lang w:eastAsia="it-IT"/>
        </w:rPr>
        <w:instrText>&lt;para&gt;</w:instrText>
      </w:r>
      <w:r w:rsidR="00542811" w:rsidRPr="007B4FE2">
        <w:rPr>
          <w:rFonts w:ascii="Times New Roman" w:eastAsiaTheme="minorEastAsia" w:hAnsi="Times New Roman" w:cs="Times New Roman"/>
          <w:sz w:val="24"/>
          <w:szCs w:val="24"/>
          <w:lang w:eastAsia="it-IT"/>
        </w:rPr>
        <w:fldChar w:fldCharType="end"/>
      </w:r>
      <w:r w:rsidR="00542811" w:rsidRPr="007B4FE2">
        <w:rPr>
          <w:rFonts w:ascii="Times New Roman" w:eastAsia="Times New Roman" w:hAnsi="Times New Roman" w:cs="Times New Roman"/>
          <w:sz w:val="24"/>
          <w:szCs w:val="24"/>
          <w:lang w:eastAsia="it-IT"/>
        </w:rPr>
        <w:t xml:space="preserve">famosissima </w:t>
      </w:r>
      <w:r w:rsidR="00FA0007" w:rsidRPr="007B4FE2">
        <w:rPr>
          <w:rFonts w:ascii="Times New Roman" w:eastAsia="Times New Roman" w:hAnsi="Times New Roman" w:cs="Times New Roman"/>
          <w:sz w:val="24"/>
          <w:szCs w:val="24"/>
          <w:lang w:eastAsia="it-IT"/>
        </w:rPr>
        <w:t xml:space="preserve">la </w:t>
      </w:r>
      <w:r w:rsidR="00542811" w:rsidRPr="007B4FE2">
        <w:rPr>
          <w:rFonts w:ascii="Times New Roman" w:eastAsia="Times New Roman" w:hAnsi="Times New Roman" w:cs="Times New Roman"/>
          <w:sz w:val="24"/>
          <w:szCs w:val="24"/>
          <w:lang w:eastAsia="it-IT"/>
        </w:rPr>
        <w:t xml:space="preserve">pronuncia della Corte di giustizia nel caso </w:t>
      </w:r>
      <w:proofErr w:type="spellStart"/>
      <w:r w:rsidR="00542811" w:rsidRPr="007B4FE2">
        <w:rPr>
          <w:rFonts w:ascii="Times New Roman" w:eastAsia="Times New Roman" w:hAnsi="Times New Roman" w:cs="Times New Roman"/>
          <w:i/>
          <w:sz w:val="24"/>
          <w:szCs w:val="24"/>
          <w:lang w:eastAsia="it-IT"/>
        </w:rPr>
        <w:t>Algera</w:t>
      </w:r>
      <w:proofErr w:type="spellEnd"/>
      <w:r w:rsidR="00542811" w:rsidRPr="007B4FE2">
        <w:rPr>
          <w:rFonts w:ascii="Times New Roman" w:eastAsia="Times New Roman" w:hAnsi="Times New Roman" w:cs="Times New Roman"/>
          <w:i/>
          <w:sz w:val="24"/>
          <w:szCs w:val="24"/>
          <w:lang w:eastAsia="it-IT"/>
        </w:rPr>
        <w:t xml:space="preserve"> </w:t>
      </w:r>
      <w:r w:rsidR="00542811" w:rsidRPr="007B4FE2">
        <w:rPr>
          <w:rFonts w:ascii="Times New Roman" w:eastAsia="Times New Roman" w:hAnsi="Times New Roman" w:cs="Times New Roman"/>
          <w:sz w:val="24"/>
          <w:szCs w:val="24"/>
          <w:lang w:eastAsia="it-IT"/>
        </w:rPr>
        <w:t>del 1957</w:t>
      </w:r>
      <w:r w:rsidRPr="007B4FE2">
        <w:rPr>
          <w:rFonts w:ascii="Times New Roman" w:eastAsia="Times New Roman" w:hAnsi="Times New Roman" w:cs="Times New Roman"/>
          <w:sz w:val="24"/>
          <w:szCs w:val="24"/>
          <w:lang w:eastAsia="it-IT"/>
        </w:rPr>
        <w:t xml:space="preserve">. La quale </w:t>
      </w:r>
      <w:r w:rsidR="00FA0007" w:rsidRPr="007B4FE2">
        <w:rPr>
          <w:rFonts w:ascii="Times New Roman" w:eastAsia="Times New Roman" w:hAnsi="Times New Roman" w:cs="Times New Roman"/>
          <w:sz w:val="24"/>
          <w:szCs w:val="24"/>
          <w:lang w:eastAsia="it-IT"/>
        </w:rPr>
        <w:t xml:space="preserve">è </w:t>
      </w:r>
      <w:r w:rsidR="00542811" w:rsidRPr="007B4FE2">
        <w:rPr>
          <w:rFonts w:ascii="Times New Roman" w:eastAsia="Times New Roman" w:hAnsi="Times New Roman" w:cs="Times New Roman"/>
          <w:sz w:val="24"/>
          <w:szCs w:val="24"/>
          <w:lang w:eastAsia="it-IT"/>
        </w:rPr>
        <w:t xml:space="preserve">prova certa del fatto che la Corte di giustizia ha applicato, sin dagli esordi della sua giurisprudenza, il modo di procedere descritto </w:t>
      </w:r>
      <w:r w:rsidR="00FA0007" w:rsidRPr="007B4FE2">
        <w:rPr>
          <w:rFonts w:ascii="Times New Roman" w:eastAsia="Times New Roman" w:hAnsi="Times New Roman" w:cs="Times New Roman"/>
          <w:sz w:val="24"/>
          <w:szCs w:val="24"/>
          <w:lang w:eastAsia="it-IT"/>
        </w:rPr>
        <w:t>(</w:t>
      </w:r>
      <w:r w:rsidR="00542811" w:rsidRPr="007B4FE2">
        <w:rPr>
          <w:rFonts w:ascii="Times New Roman" w:eastAsia="Times New Roman" w:hAnsi="Times New Roman" w:cs="Times New Roman"/>
          <w:sz w:val="24"/>
          <w:szCs w:val="24"/>
          <w:lang w:eastAsia="it-IT"/>
        </w:rPr>
        <w:t>da questa norma</w:t>
      </w:r>
      <w:r w:rsidR="00FA0007" w:rsidRPr="007B4FE2">
        <w:rPr>
          <w:rFonts w:ascii="Times New Roman" w:eastAsia="Times New Roman" w:hAnsi="Times New Roman" w:cs="Times New Roman"/>
          <w:sz w:val="24"/>
          <w:szCs w:val="24"/>
          <w:lang w:eastAsia="it-IT"/>
        </w:rPr>
        <w:t>)</w:t>
      </w:r>
      <w:r w:rsidR="00542811" w:rsidRPr="007B4FE2">
        <w:rPr>
          <w:rFonts w:ascii="Times New Roman" w:eastAsia="Times New Roman" w:hAnsi="Times New Roman" w:cs="Times New Roman"/>
          <w:sz w:val="24"/>
          <w:szCs w:val="24"/>
          <w:lang w:eastAsia="it-IT"/>
        </w:rPr>
        <w:t xml:space="preserve"> ben al di là dell'ipotesi specifica da essa contemplata (quella della responsabilità extracontrattuale della Comunità)</w:t>
      </w:r>
      <w:r w:rsidRPr="007B4FE2">
        <w:rPr>
          <w:rFonts w:ascii="Times New Roman" w:eastAsia="Times New Roman" w:hAnsi="Times New Roman" w:cs="Times New Roman"/>
          <w:sz w:val="24"/>
          <w:szCs w:val="24"/>
          <w:lang w:eastAsia="it-IT"/>
        </w:rPr>
        <w:t>: un m</w:t>
      </w:r>
      <w:r w:rsidR="00FA0007" w:rsidRPr="007B4FE2">
        <w:rPr>
          <w:rFonts w:ascii="Times New Roman" w:eastAsia="Times New Roman" w:hAnsi="Times New Roman" w:cs="Times New Roman"/>
          <w:sz w:val="24"/>
          <w:szCs w:val="24"/>
          <w:lang w:eastAsia="it-IT"/>
        </w:rPr>
        <w:t>odo di procedere che costituisce, essenzialmente, un brillante esercizio di comparazione giuridica fra ordinamenti degli Stati membri UE</w:t>
      </w:r>
      <w:r w:rsidR="00542811" w:rsidRPr="007B4FE2">
        <w:rPr>
          <w:rStyle w:val="Rimandonotaapidipagina"/>
          <w:rFonts w:ascii="Times New Roman" w:eastAsia="Times New Roman" w:hAnsi="Times New Roman" w:cs="Times New Roman"/>
          <w:sz w:val="24"/>
          <w:szCs w:val="24"/>
          <w:lang w:eastAsia="it-IT"/>
        </w:rPr>
        <w:footnoteReference w:id="42"/>
      </w:r>
      <w:r w:rsidR="00542811" w:rsidRPr="007B4FE2">
        <w:rPr>
          <w:rFonts w:ascii="Times New Roman" w:eastAsia="Times New Roman" w:hAnsi="Times New Roman" w:cs="Times New Roman"/>
          <w:sz w:val="24"/>
          <w:szCs w:val="24"/>
          <w:lang w:eastAsia="it-IT"/>
        </w:rPr>
        <w:t>.</w:t>
      </w:r>
      <w:r w:rsidR="00542811" w:rsidRPr="007B4FE2">
        <w:rPr>
          <w:rFonts w:ascii="Times New Roman" w:eastAsiaTheme="minorEastAsia" w:hAnsi="Times New Roman" w:cs="Times New Roman"/>
          <w:sz w:val="24"/>
          <w:szCs w:val="24"/>
          <w:lang w:eastAsia="it-IT"/>
        </w:rPr>
        <w:fldChar w:fldCharType="begin"/>
      </w:r>
      <w:r w:rsidR="00542811" w:rsidRPr="007B4FE2">
        <w:rPr>
          <w:rFonts w:ascii="Times New Roman" w:eastAsiaTheme="minorEastAsia" w:hAnsi="Times New Roman" w:cs="Times New Roman"/>
          <w:sz w:val="24"/>
          <w:szCs w:val="24"/>
          <w:lang w:eastAsia="it-IT"/>
        </w:rPr>
        <w:instrText>&lt;/para&gt;</w:instrText>
      </w:r>
      <w:r w:rsidR="00542811" w:rsidRPr="007B4FE2">
        <w:rPr>
          <w:rFonts w:ascii="Times New Roman" w:eastAsiaTheme="minorEastAsia" w:hAnsi="Times New Roman" w:cs="Times New Roman"/>
          <w:sz w:val="24"/>
          <w:szCs w:val="24"/>
          <w:lang w:eastAsia="it-IT"/>
        </w:rPr>
        <w:fldChar w:fldCharType="end"/>
      </w:r>
      <w:r w:rsidR="00542811" w:rsidRPr="007B4FE2">
        <w:rPr>
          <w:rFonts w:ascii="Times New Roman" w:eastAsiaTheme="minorEastAsia" w:hAnsi="Times New Roman" w:cs="Times New Roman"/>
          <w:sz w:val="24"/>
          <w:szCs w:val="24"/>
          <w:lang w:eastAsia="it-IT"/>
        </w:rPr>
        <w:t xml:space="preserve"> </w:t>
      </w:r>
    </w:p>
    <w:p w:rsidR="00542811" w:rsidRPr="007B4FE2" w:rsidRDefault="00542811" w:rsidP="007B4FE2">
      <w:pPr>
        <w:spacing w:after="0" w:line="360" w:lineRule="auto"/>
        <w:ind w:firstLine="709"/>
        <w:jc w:val="both"/>
        <w:rPr>
          <w:rFonts w:ascii="Times New Roman" w:eastAsiaTheme="minorEastAsia" w:hAnsi="Times New Roman" w:cs="Times New Roman"/>
          <w:sz w:val="24"/>
          <w:szCs w:val="24"/>
          <w:lang w:eastAsia="it-IT"/>
        </w:rPr>
      </w:pPr>
      <w:r w:rsidRPr="007B4FE2">
        <w:rPr>
          <w:rFonts w:ascii="Times New Roman" w:eastAsiaTheme="minorEastAsia" w:hAnsi="Times New Roman" w:cs="Times New Roman"/>
          <w:sz w:val="24"/>
          <w:szCs w:val="24"/>
          <w:lang w:eastAsia="it-IT"/>
        </w:rPr>
        <w:t>Sin da allora il ragionamento di cui sopra è stato applicato con coerenza; ed è grazie a ciò che la Corte di Giustizia</w:t>
      </w:r>
      <w:r w:rsidR="00AC47C0" w:rsidRPr="007B4FE2">
        <w:rPr>
          <w:rFonts w:ascii="Times New Roman" w:eastAsiaTheme="minorEastAsia" w:hAnsi="Times New Roman" w:cs="Times New Roman"/>
          <w:sz w:val="24"/>
          <w:szCs w:val="24"/>
          <w:lang w:eastAsia="it-IT"/>
        </w:rPr>
        <w:t xml:space="preserve"> </w:t>
      </w:r>
      <w:r w:rsidR="00C705D9" w:rsidRPr="007B4FE2">
        <w:rPr>
          <w:rFonts w:ascii="Times New Roman" w:eastAsiaTheme="minorEastAsia" w:hAnsi="Times New Roman" w:cs="Times New Roman"/>
          <w:sz w:val="24"/>
          <w:szCs w:val="24"/>
          <w:lang w:eastAsia="it-IT"/>
        </w:rPr>
        <w:t>ha potuto e saputo sviluppare</w:t>
      </w:r>
      <w:r w:rsidR="00D94D32" w:rsidRPr="007B4FE2">
        <w:rPr>
          <w:rFonts w:ascii="Times New Roman" w:eastAsiaTheme="minorEastAsia" w:hAnsi="Times New Roman" w:cs="Times New Roman"/>
          <w:sz w:val="24"/>
          <w:szCs w:val="24"/>
          <w:lang w:eastAsia="it-IT"/>
        </w:rPr>
        <w:t xml:space="preserve">, </w:t>
      </w:r>
      <w:r w:rsidRPr="007B4FE2">
        <w:rPr>
          <w:rFonts w:ascii="Times New Roman" w:eastAsia="Times New Roman" w:hAnsi="Times New Roman" w:cs="Times New Roman"/>
          <w:sz w:val="24"/>
          <w:szCs w:val="24"/>
          <w:lang w:eastAsia="it-IT"/>
        </w:rPr>
        <w:t>nel corso del tempo, un corpo organico di principi generali del diritto UE, molti dei quali si riferiscono proprio all'amministrazione, intesa sia come organizzazione che come attività</w:t>
      </w:r>
      <w:r w:rsidR="00C705D9" w:rsidRPr="007B4FE2">
        <w:rPr>
          <w:rStyle w:val="Rimandonotaapidipagina"/>
          <w:rFonts w:ascii="Times New Roman" w:eastAsia="Times New Roman" w:hAnsi="Times New Roman" w:cs="Times New Roman"/>
          <w:sz w:val="24"/>
          <w:szCs w:val="24"/>
          <w:lang w:eastAsia="it-IT"/>
        </w:rPr>
        <w:footnoteReference w:id="43"/>
      </w:r>
      <w:r w:rsidRPr="007B4FE2">
        <w:rPr>
          <w:rFonts w:ascii="Times New Roman" w:eastAsia="Times New Roman" w:hAnsi="Times New Roman" w:cs="Times New Roman"/>
          <w:sz w:val="24"/>
          <w:szCs w:val="24"/>
          <w:lang w:eastAsia="it-IT"/>
        </w:rPr>
        <w:t>.</w:t>
      </w:r>
      <w:r w:rsidRPr="007B4FE2">
        <w:rPr>
          <w:rFonts w:ascii="Times New Roman" w:eastAsiaTheme="minorEastAsia" w:hAnsi="Times New Roman" w:cs="Times New Roman"/>
          <w:sz w:val="24"/>
          <w:szCs w:val="24"/>
          <w:lang w:eastAsia="it-IT"/>
        </w:rPr>
        <w:fldChar w:fldCharType="begin"/>
      </w:r>
      <w:r w:rsidRPr="007B4FE2">
        <w:rPr>
          <w:rFonts w:ascii="Times New Roman" w:eastAsiaTheme="minorEastAsia" w:hAnsi="Times New Roman" w:cs="Times New Roman"/>
          <w:sz w:val="24"/>
          <w:szCs w:val="24"/>
          <w:lang w:eastAsia="it-IT"/>
        </w:rPr>
        <w:instrText>&lt;/para&gt;</w:instrText>
      </w:r>
      <w:r w:rsidRPr="007B4FE2">
        <w:rPr>
          <w:rFonts w:ascii="Times New Roman" w:eastAsiaTheme="minorEastAsia" w:hAnsi="Times New Roman" w:cs="Times New Roman"/>
          <w:sz w:val="24"/>
          <w:szCs w:val="24"/>
          <w:lang w:eastAsia="it-IT"/>
        </w:rPr>
        <w:fldChar w:fldCharType="end"/>
      </w:r>
      <w:r w:rsidRPr="007B4FE2">
        <w:rPr>
          <w:rFonts w:ascii="Times New Roman" w:eastAsiaTheme="minorEastAsia" w:hAnsi="Times New Roman" w:cs="Times New Roman"/>
          <w:sz w:val="24"/>
          <w:szCs w:val="24"/>
          <w:lang w:eastAsia="it-IT"/>
        </w:rPr>
        <w:t xml:space="preserve"> </w:t>
      </w:r>
      <w:r w:rsidRPr="007B4FE2">
        <w:rPr>
          <w:rFonts w:ascii="Times New Roman" w:eastAsiaTheme="minorEastAsia" w:hAnsi="Times New Roman" w:cs="Times New Roman"/>
          <w:sz w:val="24"/>
          <w:szCs w:val="24"/>
          <w:lang w:eastAsia="it-IT"/>
        </w:rPr>
        <w:fldChar w:fldCharType="begin"/>
      </w:r>
      <w:r w:rsidRPr="007B4FE2">
        <w:rPr>
          <w:rFonts w:ascii="Times New Roman" w:eastAsiaTheme="minorEastAsia" w:hAnsi="Times New Roman" w:cs="Times New Roman"/>
          <w:sz w:val="24"/>
          <w:szCs w:val="24"/>
          <w:lang w:eastAsia="it-IT"/>
        </w:rPr>
        <w:instrText>&lt;/para&gt;</w:instrText>
      </w:r>
      <w:r w:rsidRPr="007B4FE2">
        <w:rPr>
          <w:rFonts w:ascii="Times New Roman" w:eastAsiaTheme="minorEastAsia" w:hAnsi="Times New Roman" w:cs="Times New Roman"/>
          <w:sz w:val="24"/>
          <w:szCs w:val="24"/>
          <w:lang w:eastAsia="it-IT"/>
        </w:rPr>
        <w:fldChar w:fldCharType="end"/>
      </w:r>
    </w:p>
    <w:p w:rsidR="003040D1" w:rsidRPr="007B4FE2" w:rsidRDefault="0029511C" w:rsidP="007B4FE2">
      <w:pPr>
        <w:spacing w:after="0" w:line="360" w:lineRule="auto"/>
        <w:ind w:firstLine="709"/>
        <w:jc w:val="both"/>
        <w:rPr>
          <w:rFonts w:ascii="Times New Roman" w:eastAsia="Times New Roman" w:hAnsi="Times New Roman" w:cs="Times New Roman"/>
          <w:sz w:val="24"/>
          <w:szCs w:val="24"/>
          <w:lang w:eastAsia="it-IT"/>
        </w:rPr>
      </w:pPr>
      <w:r w:rsidRPr="007B4FE2">
        <w:rPr>
          <w:rFonts w:ascii="Times New Roman" w:eastAsia="Times New Roman" w:hAnsi="Times New Roman" w:cs="Times New Roman"/>
          <w:sz w:val="24"/>
          <w:szCs w:val="24"/>
          <w:lang w:eastAsia="it-IT"/>
        </w:rPr>
        <w:t xml:space="preserve"> Peraltro - ed è importante </w:t>
      </w:r>
      <w:r w:rsidR="000E4B97" w:rsidRPr="007B4FE2">
        <w:rPr>
          <w:rFonts w:ascii="Times New Roman" w:eastAsia="Times New Roman" w:hAnsi="Times New Roman" w:cs="Times New Roman"/>
          <w:sz w:val="24"/>
          <w:szCs w:val="24"/>
          <w:lang w:eastAsia="it-IT"/>
        </w:rPr>
        <w:t xml:space="preserve">anche </w:t>
      </w:r>
      <w:r w:rsidRPr="007B4FE2">
        <w:rPr>
          <w:rFonts w:ascii="Times New Roman" w:eastAsia="Times New Roman" w:hAnsi="Times New Roman" w:cs="Times New Roman"/>
          <w:sz w:val="24"/>
          <w:szCs w:val="24"/>
          <w:lang w:eastAsia="it-IT"/>
        </w:rPr>
        <w:t xml:space="preserve">qui sottolinearlo - </w:t>
      </w:r>
      <w:r w:rsidR="00542811" w:rsidRPr="007B4FE2">
        <w:rPr>
          <w:rFonts w:ascii="Times New Roman" w:eastAsia="Times New Roman" w:hAnsi="Times New Roman" w:cs="Times New Roman"/>
          <w:sz w:val="24"/>
          <w:szCs w:val="24"/>
          <w:lang w:eastAsia="it-IT"/>
        </w:rPr>
        <w:t>la Corte di giustizia detiene un monopol</w:t>
      </w:r>
      <w:r w:rsidR="00702073" w:rsidRPr="007B4FE2">
        <w:rPr>
          <w:rFonts w:ascii="Times New Roman" w:eastAsia="Times New Roman" w:hAnsi="Times New Roman" w:cs="Times New Roman"/>
          <w:sz w:val="24"/>
          <w:szCs w:val="24"/>
          <w:lang w:eastAsia="it-IT"/>
        </w:rPr>
        <w:t>io assoluto nell'identificare i</w:t>
      </w:r>
      <w:r w:rsidR="00542811" w:rsidRPr="007B4FE2">
        <w:rPr>
          <w:rFonts w:ascii="Times New Roman" w:eastAsia="Times New Roman" w:hAnsi="Times New Roman" w:cs="Times New Roman"/>
          <w:sz w:val="24"/>
          <w:szCs w:val="24"/>
          <w:lang w:eastAsia="it-IT"/>
        </w:rPr>
        <w:t xml:space="preserve"> principi generali del diritto UE</w:t>
      </w:r>
      <w:r w:rsidRPr="007B4FE2">
        <w:rPr>
          <w:rStyle w:val="Rimandonotaapidipagina"/>
          <w:rFonts w:ascii="Times New Roman" w:eastAsia="Times New Roman" w:hAnsi="Times New Roman" w:cs="Times New Roman"/>
          <w:sz w:val="24"/>
          <w:szCs w:val="24"/>
          <w:lang w:eastAsia="it-IT"/>
        </w:rPr>
        <w:footnoteReference w:id="44"/>
      </w:r>
      <w:r w:rsidR="000E4B97" w:rsidRPr="007B4FE2">
        <w:rPr>
          <w:rFonts w:ascii="Times New Roman" w:eastAsia="Times New Roman" w:hAnsi="Times New Roman" w:cs="Times New Roman"/>
          <w:sz w:val="24"/>
          <w:szCs w:val="24"/>
          <w:lang w:eastAsia="it-IT"/>
        </w:rPr>
        <w:t>; e</w:t>
      </w:r>
      <w:r w:rsidR="00702073" w:rsidRPr="007B4FE2">
        <w:rPr>
          <w:rFonts w:ascii="Times New Roman" w:eastAsia="Times New Roman" w:hAnsi="Times New Roman" w:cs="Times New Roman"/>
          <w:sz w:val="24"/>
          <w:szCs w:val="24"/>
          <w:lang w:eastAsia="it-IT"/>
        </w:rPr>
        <w:t xml:space="preserve"> questo</w:t>
      </w:r>
      <w:r w:rsidR="00AC47C0" w:rsidRPr="007B4FE2">
        <w:rPr>
          <w:rFonts w:ascii="Times New Roman" w:eastAsia="Times New Roman" w:hAnsi="Times New Roman" w:cs="Times New Roman"/>
          <w:sz w:val="24"/>
          <w:szCs w:val="24"/>
          <w:lang w:eastAsia="it-IT"/>
        </w:rPr>
        <w:t xml:space="preserve"> </w:t>
      </w:r>
      <w:r w:rsidR="00AA18FA" w:rsidRPr="007B4FE2">
        <w:rPr>
          <w:rFonts w:ascii="Times New Roman" w:eastAsia="Times New Roman" w:hAnsi="Times New Roman" w:cs="Times New Roman"/>
          <w:sz w:val="24"/>
          <w:szCs w:val="24"/>
          <w:lang w:eastAsia="it-IT"/>
        </w:rPr>
        <w:t xml:space="preserve">suo </w:t>
      </w:r>
      <w:r w:rsidR="003040D1" w:rsidRPr="007B4FE2">
        <w:rPr>
          <w:rFonts w:ascii="Times New Roman" w:eastAsia="Times New Roman" w:hAnsi="Times New Roman" w:cs="Times New Roman"/>
          <w:sz w:val="24"/>
          <w:szCs w:val="24"/>
          <w:lang w:eastAsia="it-IT"/>
        </w:rPr>
        <w:fldChar w:fldCharType="begin"/>
      </w:r>
      <w:r w:rsidR="003040D1" w:rsidRPr="007B4FE2">
        <w:rPr>
          <w:rFonts w:ascii="Times New Roman" w:eastAsia="Times New Roman" w:hAnsi="Times New Roman" w:cs="Times New Roman"/>
          <w:sz w:val="24"/>
          <w:szCs w:val="24"/>
          <w:lang w:eastAsia="it-IT"/>
        </w:rPr>
        <w:instrText>&lt;para&gt;</w:instrText>
      </w:r>
      <w:r w:rsidR="003040D1" w:rsidRPr="007B4FE2">
        <w:rPr>
          <w:rFonts w:ascii="Times New Roman" w:eastAsia="Times New Roman" w:hAnsi="Times New Roman" w:cs="Times New Roman"/>
          <w:sz w:val="24"/>
          <w:szCs w:val="24"/>
          <w:lang w:eastAsia="it-IT"/>
        </w:rPr>
        <w:fldChar w:fldCharType="end"/>
      </w:r>
      <w:r w:rsidR="003040D1" w:rsidRPr="007B4FE2">
        <w:rPr>
          <w:rFonts w:ascii="Times New Roman" w:eastAsia="Times New Roman" w:hAnsi="Times New Roman" w:cs="Times New Roman"/>
          <w:sz w:val="24"/>
          <w:szCs w:val="24"/>
          <w:lang w:eastAsia="it-IT"/>
        </w:rPr>
        <w:t>ruolo peculiare ha notevoli implicazioni rispetto al rango di det</w:t>
      </w:r>
      <w:r w:rsidR="00F57A9E" w:rsidRPr="007B4FE2">
        <w:rPr>
          <w:rFonts w:ascii="Times New Roman" w:eastAsia="Times New Roman" w:hAnsi="Times New Roman" w:cs="Times New Roman"/>
          <w:sz w:val="24"/>
          <w:szCs w:val="24"/>
          <w:lang w:eastAsia="it-IT"/>
        </w:rPr>
        <w:t>t</w:t>
      </w:r>
      <w:r w:rsidR="003040D1" w:rsidRPr="007B4FE2">
        <w:rPr>
          <w:rFonts w:ascii="Times New Roman" w:eastAsia="Times New Roman" w:hAnsi="Times New Roman" w:cs="Times New Roman"/>
          <w:sz w:val="24"/>
          <w:szCs w:val="24"/>
          <w:lang w:eastAsia="it-IT"/>
        </w:rPr>
        <w:t>i principi</w:t>
      </w:r>
      <w:r w:rsidR="00F57A9E" w:rsidRPr="007B4FE2">
        <w:rPr>
          <w:rFonts w:ascii="Times New Roman" w:eastAsia="Times New Roman" w:hAnsi="Times New Roman" w:cs="Times New Roman"/>
          <w:sz w:val="24"/>
          <w:szCs w:val="24"/>
          <w:lang w:eastAsia="it-IT"/>
        </w:rPr>
        <w:t>. Se, infatti, n</w:t>
      </w:r>
      <w:r w:rsidR="003040D1" w:rsidRPr="007B4FE2">
        <w:rPr>
          <w:rFonts w:ascii="Times New Roman" w:eastAsia="Times New Roman" w:hAnsi="Times New Roman" w:cs="Times New Roman"/>
          <w:sz w:val="24"/>
          <w:szCs w:val="24"/>
          <w:lang w:eastAsia="it-IT"/>
        </w:rPr>
        <w:t>essun'altra istituzione ha competenza per riformare una sentenza della Corte di giustizia</w:t>
      </w:r>
      <w:r w:rsidR="00F57A9E" w:rsidRPr="007B4FE2">
        <w:rPr>
          <w:rFonts w:ascii="Times New Roman" w:eastAsia="Times New Roman" w:hAnsi="Times New Roman" w:cs="Times New Roman"/>
          <w:sz w:val="24"/>
          <w:szCs w:val="24"/>
          <w:lang w:eastAsia="it-IT"/>
        </w:rPr>
        <w:t xml:space="preserve">, </w:t>
      </w:r>
      <w:r w:rsidR="003040D1" w:rsidRPr="007B4FE2">
        <w:rPr>
          <w:rFonts w:ascii="Times New Roman" w:eastAsia="Times New Roman" w:hAnsi="Times New Roman" w:cs="Times New Roman"/>
          <w:sz w:val="24"/>
          <w:szCs w:val="24"/>
          <w:lang w:eastAsia="it-IT"/>
        </w:rPr>
        <w:t>necessariamente</w:t>
      </w:r>
      <w:r w:rsidR="00AC47C0" w:rsidRPr="007B4FE2">
        <w:rPr>
          <w:rFonts w:ascii="Times New Roman" w:eastAsia="Times New Roman" w:hAnsi="Times New Roman" w:cs="Times New Roman"/>
          <w:sz w:val="24"/>
          <w:szCs w:val="24"/>
          <w:lang w:eastAsia="it-IT"/>
        </w:rPr>
        <w:t xml:space="preserve"> </w:t>
      </w:r>
      <w:r w:rsidR="00F57A9E" w:rsidRPr="007B4FE2">
        <w:rPr>
          <w:rFonts w:ascii="Times New Roman" w:eastAsia="Times New Roman" w:hAnsi="Times New Roman" w:cs="Times New Roman"/>
          <w:sz w:val="24"/>
          <w:szCs w:val="24"/>
          <w:lang w:eastAsia="it-IT"/>
        </w:rPr>
        <w:t>ne consegue</w:t>
      </w:r>
      <w:r w:rsidR="003040D1" w:rsidRPr="007B4FE2">
        <w:rPr>
          <w:rFonts w:ascii="Times New Roman" w:eastAsia="Times New Roman" w:hAnsi="Times New Roman" w:cs="Times New Roman"/>
          <w:sz w:val="24"/>
          <w:szCs w:val="24"/>
          <w:lang w:eastAsia="it-IT"/>
        </w:rPr>
        <w:t xml:space="preserve"> che </w:t>
      </w:r>
      <w:r w:rsidR="00F57A9E" w:rsidRPr="007B4FE2">
        <w:rPr>
          <w:rFonts w:ascii="Times New Roman" w:eastAsia="Times New Roman" w:hAnsi="Times New Roman" w:cs="Times New Roman"/>
          <w:sz w:val="24"/>
          <w:szCs w:val="24"/>
          <w:lang w:eastAsia="it-IT"/>
        </w:rPr>
        <w:t xml:space="preserve">il </w:t>
      </w:r>
      <w:r w:rsidR="003040D1" w:rsidRPr="007B4FE2">
        <w:rPr>
          <w:rFonts w:ascii="Times New Roman" w:eastAsia="Times New Roman" w:hAnsi="Times New Roman" w:cs="Times New Roman"/>
          <w:sz w:val="24"/>
          <w:szCs w:val="24"/>
          <w:lang w:eastAsia="it-IT"/>
        </w:rPr>
        <w:t>diritto giurisprudenziale creato dalla Corte di giustizia si colloca al di sopra del diritto derivato</w:t>
      </w:r>
      <w:r w:rsidR="00702073" w:rsidRPr="007B4FE2">
        <w:rPr>
          <w:rFonts w:ascii="Times New Roman" w:eastAsia="Times New Roman" w:hAnsi="Times New Roman" w:cs="Times New Roman"/>
          <w:sz w:val="24"/>
          <w:szCs w:val="24"/>
          <w:lang w:eastAsia="it-IT"/>
        </w:rPr>
        <w:t xml:space="preserve"> (il legislatore UE non lo può in alcun modo modificare!)</w:t>
      </w:r>
      <w:r w:rsidR="00F57A9E" w:rsidRPr="007B4FE2">
        <w:rPr>
          <w:rFonts w:ascii="Times New Roman" w:eastAsia="Times New Roman" w:hAnsi="Times New Roman" w:cs="Times New Roman"/>
          <w:sz w:val="24"/>
          <w:szCs w:val="24"/>
          <w:vertAlign w:val="superscript"/>
          <w:lang w:eastAsia="it-IT"/>
        </w:rPr>
        <w:footnoteReference w:id="45"/>
      </w:r>
      <w:r w:rsidR="00AA18FA" w:rsidRPr="007B4FE2">
        <w:rPr>
          <w:rFonts w:ascii="Times New Roman" w:eastAsia="Times New Roman" w:hAnsi="Times New Roman" w:cs="Times New Roman"/>
          <w:sz w:val="24"/>
          <w:szCs w:val="24"/>
          <w:lang w:eastAsia="it-IT"/>
        </w:rPr>
        <w:t>; e</w:t>
      </w:r>
      <w:r w:rsidR="003040D1" w:rsidRPr="007B4FE2">
        <w:rPr>
          <w:rFonts w:ascii="Times New Roman" w:eastAsia="Times New Roman" w:hAnsi="Times New Roman" w:cs="Times New Roman"/>
          <w:sz w:val="24"/>
          <w:szCs w:val="24"/>
          <w:lang w:eastAsia="it-IT"/>
        </w:rPr>
        <w:t xml:space="preserve"> questo vale, naturalmente, anche per quel diritto giurisprudenziale che identifica principi generali del diritto UE.</w:t>
      </w:r>
      <w:r w:rsidR="003040D1" w:rsidRPr="007B4FE2">
        <w:rPr>
          <w:rFonts w:ascii="Times New Roman" w:eastAsia="Times New Roman" w:hAnsi="Times New Roman" w:cs="Times New Roman"/>
          <w:sz w:val="24"/>
          <w:szCs w:val="24"/>
          <w:lang w:eastAsia="it-IT"/>
        </w:rPr>
        <w:fldChar w:fldCharType="begin"/>
      </w:r>
      <w:r w:rsidR="003040D1" w:rsidRPr="007B4FE2">
        <w:rPr>
          <w:rFonts w:ascii="Times New Roman" w:eastAsia="Times New Roman" w:hAnsi="Times New Roman" w:cs="Times New Roman"/>
          <w:sz w:val="24"/>
          <w:szCs w:val="24"/>
          <w:lang w:eastAsia="it-IT"/>
        </w:rPr>
        <w:instrText>&lt;/para&gt;</w:instrText>
      </w:r>
      <w:r w:rsidR="003040D1" w:rsidRPr="007B4FE2">
        <w:rPr>
          <w:rFonts w:ascii="Times New Roman" w:eastAsia="Times New Roman" w:hAnsi="Times New Roman" w:cs="Times New Roman"/>
          <w:sz w:val="24"/>
          <w:szCs w:val="24"/>
          <w:lang w:eastAsia="it-IT"/>
        </w:rPr>
        <w:fldChar w:fldCharType="end"/>
      </w:r>
      <w:r w:rsidR="003040D1" w:rsidRPr="007B4FE2">
        <w:rPr>
          <w:rFonts w:ascii="Times New Roman" w:eastAsia="Times New Roman" w:hAnsi="Times New Roman" w:cs="Times New Roman"/>
          <w:sz w:val="24"/>
          <w:szCs w:val="24"/>
          <w:lang w:eastAsia="it-IT"/>
        </w:rPr>
        <w:t xml:space="preserve"> </w:t>
      </w:r>
    </w:p>
    <w:p w:rsidR="003040D1" w:rsidRPr="007B4FE2" w:rsidRDefault="003040D1" w:rsidP="007B4FE2">
      <w:pPr>
        <w:spacing w:after="0" w:line="360" w:lineRule="auto"/>
        <w:ind w:firstLine="709"/>
        <w:jc w:val="both"/>
        <w:rPr>
          <w:rFonts w:ascii="Times New Roman" w:eastAsia="Times New Roman" w:hAnsi="Times New Roman" w:cs="Times New Roman"/>
          <w:sz w:val="24"/>
          <w:szCs w:val="24"/>
          <w:lang w:eastAsia="it-IT"/>
        </w:rPr>
      </w:pPr>
      <w:r w:rsidRPr="007B4FE2">
        <w:rPr>
          <w:rFonts w:ascii="Times New Roman" w:eastAsia="Times New Roman" w:hAnsi="Times New Roman" w:cs="Times New Roman"/>
          <w:sz w:val="24"/>
          <w:szCs w:val="24"/>
          <w:lang w:eastAsia="it-IT"/>
        </w:rPr>
        <w:fldChar w:fldCharType="begin"/>
      </w:r>
      <w:r w:rsidRPr="007B4FE2">
        <w:rPr>
          <w:rFonts w:ascii="Times New Roman" w:eastAsia="Times New Roman" w:hAnsi="Times New Roman" w:cs="Times New Roman"/>
          <w:sz w:val="24"/>
          <w:szCs w:val="24"/>
          <w:lang w:eastAsia="it-IT"/>
        </w:rPr>
        <w:instrText>&lt;para&gt;</w:instrText>
      </w:r>
      <w:r w:rsidRPr="007B4FE2">
        <w:rPr>
          <w:rFonts w:ascii="Times New Roman" w:eastAsia="Times New Roman" w:hAnsi="Times New Roman" w:cs="Times New Roman"/>
          <w:sz w:val="24"/>
          <w:szCs w:val="24"/>
          <w:lang w:eastAsia="it-IT"/>
        </w:rPr>
        <w:fldChar w:fldCharType="end"/>
      </w:r>
      <w:r w:rsidRPr="007B4FE2">
        <w:rPr>
          <w:rFonts w:ascii="Times New Roman" w:eastAsia="Times New Roman" w:hAnsi="Times New Roman" w:cs="Times New Roman"/>
          <w:sz w:val="24"/>
          <w:szCs w:val="24"/>
          <w:lang w:eastAsia="it-IT"/>
        </w:rPr>
        <w:t>Ciò ha (almeno) due importanti conseguenze in concreto.</w:t>
      </w:r>
      <w:r w:rsidR="00AC47C0" w:rsidRPr="007B4FE2">
        <w:rPr>
          <w:rFonts w:ascii="Times New Roman" w:eastAsia="Times New Roman" w:hAnsi="Times New Roman" w:cs="Times New Roman"/>
          <w:sz w:val="24"/>
          <w:szCs w:val="24"/>
          <w:lang w:eastAsia="it-IT"/>
        </w:rPr>
        <w:t xml:space="preserve"> </w:t>
      </w:r>
      <w:r w:rsidRPr="007B4FE2">
        <w:rPr>
          <w:rFonts w:ascii="Times New Roman" w:eastAsia="Times New Roman" w:hAnsi="Times New Roman" w:cs="Times New Roman"/>
          <w:sz w:val="24"/>
          <w:szCs w:val="24"/>
          <w:lang w:eastAsia="it-IT"/>
        </w:rPr>
        <w:t>In primo luogo, che la contrarietà di una norma di diritto derivato con un principio generale del diritto UE rappresenta una delle principali cause di annullamento di atti di diritto derivato</w:t>
      </w:r>
      <w:r w:rsidR="00702073" w:rsidRPr="007B4FE2">
        <w:rPr>
          <w:rFonts w:ascii="Times New Roman" w:eastAsia="Times New Roman" w:hAnsi="Times New Roman" w:cs="Times New Roman"/>
          <w:sz w:val="24"/>
          <w:szCs w:val="24"/>
          <w:lang w:eastAsia="it-IT"/>
        </w:rPr>
        <w:t xml:space="preserve"> UE (Regolamenti e Direttive) </w:t>
      </w:r>
      <w:r w:rsidRPr="007B4FE2">
        <w:rPr>
          <w:rFonts w:ascii="Times New Roman" w:eastAsia="Times New Roman" w:hAnsi="Times New Roman" w:cs="Times New Roman"/>
          <w:sz w:val="24"/>
          <w:szCs w:val="24"/>
          <w:lang w:eastAsia="it-IT"/>
        </w:rPr>
        <w:t>da parte della Corte di giustizia.</w:t>
      </w:r>
      <w:r w:rsidR="00AC47C0" w:rsidRPr="007B4FE2">
        <w:rPr>
          <w:rFonts w:ascii="Times New Roman" w:eastAsia="Times New Roman" w:hAnsi="Times New Roman" w:cs="Times New Roman"/>
          <w:sz w:val="24"/>
          <w:szCs w:val="24"/>
          <w:lang w:eastAsia="it-IT"/>
        </w:rPr>
        <w:t xml:space="preserve"> </w:t>
      </w:r>
      <w:r w:rsidRPr="007B4FE2">
        <w:rPr>
          <w:rFonts w:ascii="Times New Roman" w:eastAsia="Times New Roman" w:hAnsi="Times New Roman" w:cs="Times New Roman"/>
          <w:sz w:val="24"/>
          <w:szCs w:val="24"/>
          <w:lang w:eastAsia="it-IT"/>
        </w:rPr>
        <w:t xml:space="preserve">In secondo luogo </w:t>
      </w:r>
      <w:r w:rsidR="00702073" w:rsidRPr="007B4FE2">
        <w:rPr>
          <w:rFonts w:ascii="Times New Roman" w:eastAsia="Times New Roman" w:hAnsi="Times New Roman" w:cs="Times New Roman"/>
          <w:sz w:val="24"/>
          <w:szCs w:val="24"/>
          <w:lang w:eastAsia="it-IT"/>
        </w:rPr>
        <w:t xml:space="preserve">che, </w:t>
      </w:r>
      <w:r w:rsidRPr="007B4FE2">
        <w:rPr>
          <w:rFonts w:ascii="Times New Roman" w:eastAsia="Times New Roman" w:hAnsi="Times New Roman" w:cs="Times New Roman"/>
          <w:sz w:val="24"/>
          <w:szCs w:val="24"/>
          <w:lang w:eastAsia="it-IT"/>
        </w:rPr>
        <w:t>visto e considerato che ai principi generali del diritto la Corte di giustizia fa sovente riferimento anche come criterio di interpretazione delle norme del diritto</w:t>
      </w:r>
      <w:r w:rsidR="00702073" w:rsidRPr="007B4FE2">
        <w:rPr>
          <w:rFonts w:ascii="Times New Roman" w:eastAsia="Times New Roman" w:hAnsi="Times New Roman" w:cs="Times New Roman"/>
          <w:sz w:val="24"/>
          <w:szCs w:val="24"/>
          <w:lang w:eastAsia="it-IT"/>
        </w:rPr>
        <w:t xml:space="preserve"> UE, </w:t>
      </w:r>
      <w:r w:rsidRPr="007B4FE2">
        <w:rPr>
          <w:rFonts w:ascii="Times New Roman" w:eastAsia="Times New Roman" w:hAnsi="Times New Roman" w:cs="Times New Roman"/>
          <w:sz w:val="24"/>
          <w:szCs w:val="24"/>
          <w:lang w:eastAsia="it-IT"/>
        </w:rPr>
        <w:t xml:space="preserve">in questo modo tali principi generali si impongono anche agli Stati membri, che sono in questo caso certamente tenuti a farne applicazione all'interno dei </w:t>
      </w:r>
      <w:r w:rsidR="00702073" w:rsidRPr="007B4FE2">
        <w:rPr>
          <w:rFonts w:ascii="Times New Roman" w:eastAsia="Times New Roman" w:hAnsi="Times New Roman" w:cs="Times New Roman"/>
          <w:sz w:val="24"/>
          <w:szCs w:val="24"/>
          <w:lang w:eastAsia="it-IT"/>
        </w:rPr>
        <w:t xml:space="preserve">loro </w:t>
      </w:r>
      <w:r w:rsidRPr="007B4FE2">
        <w:rPr>
          <w:rFonts w:ascii="Times New Roman" w:eastAsia="Times New Roman" w:hAnsi="Times New Roman" w:cs="Times New Roman"/>
          <w:sz w:val="24"/>
          <w:szCs w:val="24"/>
          <w:lang w:eastAsia="it-IT"/>
        </w:rPr>
        <w:t>ordinamenti nazionali.</w:t>
      </w:r>
    </w:p>
    <w:p w:rsidR="00AA18FA" w:rsidRPr="007B4FE2" w:rsidRDefault="00AA18FA" w:rsidP="007B4FE2">
      <w:pPr>
        <w:pStyle w:val="Paragrafoelenco"/>
        <w:spacing w:line="360" w:lineRule="auto"/>
        <w:ind w:left="0" w:firstLine="709"/>
        <w:jc w:val="both"/>
        <w:rPr>
          <w:rStyle w:val="hps"/>
          <w:rFonts w:ascii="Times New Roman" w:hAnsi="Times New Roman"/>
          <w:b/>
          <w:sz w:val="24"/>
          <w:szCs w:val="24"/>
        </w:rPr>
      </w:pPr>
    </w:p>
    <w:p w:rsidR="00BA7BC9" w:rsidRPr="007B4FE2" w:rsidRDefault="00BA7BC9" w:rsidP="007B4FE2">
      <w:pPr>
        <w:pStyle w:val="Paragrafoelenco"/>
        <w:spacing w:line="360" w:lineRule="auto"/>
        <w:ind w:left="0" w:firstLine="709"/>
        <w:jc w:val="both"/>
        <w:rPr>
          <w:rStyle w:val="hps"/>
          <w:rFonts w:ascii="Times New Roman" w:hAnsi="Times New Roman"/>
          <w:b/>
          <w:sz w:val="24"/>
          <w:szCs w:val="24"/>
        </w:rPr>
      </w:pPr>
      <w:r w:rsidRPr="007B4FE2">
        <w:rPr>
          <w:rStyle w:val="hps"/>
          <w:rFonts w:ascii="Times New Roman" w:hAnsi="Times New Roman"/>
          <w:b/>
          <w:sz w:val="24"/>
          <w:szCs w:val="24"/>
        </w:rPr>
        <w:t>3.2.</w:t>
      </w:r>
      <w:r w:rsidR="00AC47C0" w:rsidRPr="007B4FE2">
        <w:rPr>
          <w:rStyle w:val="hps"/>
          <w:rFonts w:ascii="Times New Roman" w:hAnsi="Times New Roman"/>
          <w:b/>
          <w:sz w:val="24"/>
          <w:szCs w:val="24"/>
        </w:rPr>
        <w:t xml:space="preserve"> </w:t>
      </w:r>
      <w:r w:rsidRPr="007B4FE2">
        <w:rPr>
          <w:rStyle w:val="hps"/>
          <w:rFonts w:ascii="Times New Roman" w:hAnsi="Times New Roman"/>
          <w:b/>
          <w:sz w:val="24"/>
          <w:szCs w:val="24"/>
        </w:rPr>
        <w:t>Il principio di proporzionalità nella giurisprudenza della Corte di giustizia UE</w:t>
      </w:r>
      <w:r w:rsidR="002B251C" w:rsidRPr="007B4FE2">
        <w:rPr>
          <w:rStyle w:val="Rimandonotaapidipagina"/>
          <w:rFonts w:ascii="Times New Roman" w:hAnsi="Times New Roman"/>
          <w:sz w:val="24"/>
          <w:szCs w:val="24"/>
        </w:rPr>
        <w:footnoteReference w:id="46"/>
      </w:r>
      <w:r w:rsidR="00754526" w:rsidRPr="007B4FE2">
        <w:rPr>
          <w:rStyle w:val="hps"/>
          <w:rFonts w:ascii="Times New Roman" w:hAnsi="Times New Roman"/>
          <w:b/>
          <w:sz w:val="24"/>
          <w:szCs w:val="24"/>
        </w:rPr>
        <w:t xml:space="preserve"> e nei Trattati</w:t>
      </w:r>
    </w:p>
    <w:p w:rsidR="00D21DBC" w:rsidRPr="007B4FE2" w:rsidRDefault="00530E3C" w:rsidP="007B4FE2">
      <w:pPr>
        <w:pStyle w:val="Paragrafoelenco"/>
        <w:spacing w:line="360" w:lineRule="auto"/>
        <w:ind w:left="0" w:firstLine="709"/>
        <w:jc w:val="both"/>
        <w:rPr>
          <w:rStyle w:val="hps"/>
          <w:rFonts w:ascii="Times New Roman" w:hAnsi="Times New Roman"/>
          <w:sz w:val="24"/>
          <w:szCs w:val="24"/>
        </w:rPr>
      </w:pPr>
      <w:r w:rsidRPr="007B4FE2">
        <w:rPr>
          <w:rStyle w:val="hps"/>
          <w:rFonts w:ascii="Times New Roman" w:hAnsi="Times New Roman"/>
          <w:sz w:val="24"/>
          <w:szCs w:val="24"/>
        </w:rPr>
        <w:t xml:space="preserve">Passando all’analisi </w:t>
      </w:r>
      <w:r w:rsidR="00AA18FA" w:rsidRPr="007B4FE2">
        <w:rPr>
          <w:rStyle w:val="hps"/>
          <w:rFonts w:ascii="Times New Roman" w:hAnsi="Times New Roman"/>
          <w:sz w:val="24"/>
          <w:szCs w:val="24"/>
        </w:rPr>
        <w:t xml:space="preserve">specifica </w:t>
      </w:r>
      <w:r w:rsidRPr="007B4FE2">
        <w:rPr>
          <w:rStyle w:val="hps"/>
          <w:rFonts w:ascii="Times New Roman" w:hAnsi="Times New Roman"/>
          <w:sz w:val="24"/>
          <w:szCs w:val="24"/>
        </w:rPr>
        <w:t>del principio</w:t>
      </w:r>
      <w:r w:rsidR="007F5F2C" w:rsidRPr="007B4FE2">
        <w:rPr>
          <w:rStyle w:val="hps"/>
          <w:rFonts w:ascii="Times New Roman" w:hAnsi="Times New Roman"/>
          <w:sz w:val="24"/>
          <w:szCs w:val="24"/>
        </w:rPr>
        <w:t xml:space="preserve"> di proporzionalità</w:t>
      </w:r>
      <w:r w:rsidR="00AC47C0" w:rsidRPr="007B4FE2">
        <w:rPr>
          <w:rStyle w:val="hps"/>
          <w:rFonts w:ascii="Times New Roman" w:hAnsi="Times New Roman"/>
          <w:sz w:val="24"/>
          <w:szCs w:val="24"/>
        </w:rPr>
        <w:t xml:space="preserve"> </w:t>
      </w:r>
      <w:r w:rsidRPr="007B4FE2">
        <w:rPr>
          <w:rStyle w:val="hps"/>
          <w:rFonts w:ascii="Times New Roman" w:hAnsi="Times New Roman"/>
          <w:sz w:val="24"/>
          <w:szCs w:val="24"/>
        </w:rPr>
        <w:t xml:space="preserve">nel diritto dell’Unione europea, inizio col precisare </w:t>
      </w:r>
      <w:r w:rsidR="007F5F2C" w:rsidRPr="007B4FE2">
        <w:rPr>
          <w:rStyle w:val="hps"/>
          <w:rFonts w:ascii="Times New Roman" w:hAnsi="Times New Roman"/>
          <w:sz w:val="24"/>
          <w:szCs w:val="24"/>
        </w:rPr>
        <w:t xml:space="preserve">che </w:t>
      </w:r>
      <w:r w:rsidRPr="007B4FE2">
        <w:rPr>
          <w:rStyle w:val="hps"/>
          <w:rFonts w:ascii="Times New Roman" w:hAnsi="Times New Roman"/>
          <w:sz w:val="24"/>
          <w:szCs w:val="24"/>
        </w:rPr>
        <w:t>la Corte di giustizia di Lussemburgo</w:t>
      </w:r>
      <w:r w:rsidR="00F4248C" w:rsidRPr="007B4FE2">
        <w:rPr>
          <w:rStyle w:val="hps"/>
          <w:rFonts w:ascii="Times New Roman" w:hAnsi="Times New Roman"/>
          <w:sz w:val="24"/>
          <w:szCs w:val="24"/>
        </w:rPr>
        <w:t xml:space="preserve"> vi</w:t>
      </w:r>
      <w:r w:rsidR="00FC2497" w:rsidRPr="007B4FE2">
        <w:rPr>
          <w:rStyle w:val="hps"/>
          <w:rFonts w:ascii="Times New Roman" w:hAnsi="Times New Roman"/>
          <w:sz w:val="24"/>
          <w:szCs w:val="24"/>
        </w:rPr>
        <w:t xml:space="preserve"> </w:t>
      </w:r>
      <w:r w:rsidRPr="007B4FE2">
        <w:rPr>
          <w:rStyle w:val="hps"/>
          <w:rFonts w:ascii="Times New Roman" w:hAnsi="Times New Roman"/>
          <w:sz w:val="24"/>
          <w:szCs w:val="24"/>
        </w:rPr>
        <w:t>ha fatto riferimento</w:t>
      </w:r>
      <w:r w:rsidRPr="007B4FE2">
        <w:rPr>
          <w:rFonts w:ascii="Times New Roman" w:hAnsi="Times New Roman"/>
          <w:sz w:val="24"/>
          <w:szCs w:val="24"/>
        </w:rPr>
        <w:t xml:space="preserve">, mutuandolo chiaramente dal diritto tedesco, </w:t>
      </w:r>
      <w:r w:rsidRPr="007B4FE2">
        <w:rPr>
          <w:rStyle w:val="hps"/>
          <w:rFonts w:ascii="Times New Roman" w:hAnsi="Times New Roman"/>
          <w:sz w:val="24"/>
          <w:szCs w:val="24"/>
        </w:rPr>
        <w:t xml:space="preserve">già nella sua giurisprudenza degli anni Cinquanta e Sessanta: sentenze come </w:t>
      </w:r>
      <w:proofErr w:type="spellStart"/>
      <w:r w:rsidRPr="007B4FE2">
        <w:rPr>
          <w:rStyle w:val="hps"/>
          <w:rFonts w:ascii="Times New Roman" w:hAnsi="Times New Roman"/>
          <w:i/>
          <w:sz w:val="24"/>
          <w:szCs w:val="24"/>
        </w:rPr>
        <w:t>Fédération</w:t>
      </w:r>
      <w:proofErr w:type="spellEnd"/>
      <w:r w:rsidRPr="007B4FE2">
        <w:rPr>
          <w:rStyle w:val="hps"/>
          <w:rFonts w:ascii="Times New Roman" w:hAnsi="Times New Roman"/>
          <w:i/>
          <w:sz w:val="24"/>
          <w:szCs w:val="24"/>
        </w:rPr>
        <w:t xml:space="preserve"> </w:t>
      </w:r>
      <w:proofErr w:type="spellStart"/>
      <w:r w:rsidRPr="007B4FE2">
        <w:rPr>
          <w:rStyle w:val="hps"/>
          <w:rFonts w:ascii="Times New Roman" w:hAnsi="Times New Roman"/>
          <w:i/>
          <w:sz w:val="24"/>
          <w:szCs w:val="24"/>
        </w:rPr>
        <w:t>Charbonnièr</w:t>
      </w:r>
      <w:r w:rsidR="00397B14" w:rsidRPr="007B4FE2">
        <w:rPr>
          <w:rStyle w:val="hps"/>
          <w:rFonts w:ascii="Times New Roman" w:hAnsi="Times New Roman"/>
          <w:i/>
          <w:sz w:val="24"/>
          <w:szCs w:val="24"/>
        </w:rPr>
        <w:t>e</w:t>
      </w:r>
      <w:proofErr w:type="spellEnd"/>
      <w:r w:rsidRPr="007B4FE2">
        <w:rPr>
          <w:rStyle w:val="hps"/>
          <w:rFonts w:ascii="Times New Roman" w:hAnsi="Times New Roman"/>
          <w:sz w:val="24"/>
          <w:szCs w:val="24"/>
        </w:rPr>
        <w:t xml:space="preserve"> del 1956, </w:t>
      </w:r>
      <w:r w:rsidRPr="007B4FE2">
        <w:rPr>
          <w:rStyle w:val="hps"/>
          <w:rFonts w:ascii="Times New Roman" w:hAnsi="Times New Roman"/>
          <w:i/>
          <w:sz w:val="24"/>
          <w:szCs w:val="24"/>
        </w:rPr>
        <w:t>Società acciaierie San Michele</w:t>
      </w:r>
      <w:r w:rsidRPr="007B4FE2">
        <w:rPr>
          <w:rStyle w:val="hps"/>
          <w:rFonts w:ascii="Times New Roman" w:hAnsi="Times New Roman"/>
          <w:sz w:val="24"/>
          <w:szCs w:val="24"/>
        </w:rPr>
        <w:t xml:space="preserve"> del 1962 e </w:t>
      </w:r>
      <w:proofErr w:type="spellStart"/>
      <w:r w:rsidRPr="007B4FE2">
        <w:rPr>
          <w:rStyle w:val="hps"/>
          <w:rFonts w:ascii="Times New Roman" w:hAnsi="Times New Roman"/>
          <w:i/>
          <w:sz w:val="24"/>
          <w:szCs w:val="24"/>
        </w:rPr>
        <w:t>Schmitz</w:t>
      </w:r>
      <w:proofErr w:type="spellEnd"/>
      <w:r w:rsidRPr="007B4FE2">
        <w:rPr>
          <w:rStyle w:val="hps"/>
          <w:rFonts w:ascii="Times New Roman" w:hAnsi="Times New Roman"/>
          <w:sz w:val="24"/>
          <w:szCs w:val="24"/>
        </w:rPr>
        <w:t xml:space="preserve"> del 1964 ne sono la prova concreta</w:t>
      </w:r>
      <w:r w:rsidR="007F5F2C" w:rsidRPr="007B4FE2">
        <w:rPr>
          <w:rFonts w:ascii="Times New Roman" w:hAnsi="Times New Roman"/>
          <w:sz w:val="24"/>
          <w:szCs w:val="24"/>
          <w:vertAlign w:val="superscript"/>
        </w:rPr>
        <w:footnoteReference w:id="47"/>
      </w:r>
      <w:r w:rsidRPr="007B4FE2">
        <w:rPr>
          <w:rStyle w:val="hps"/>
          <w:rFonts w:ascii="Times New Roman" w:hAnsi="Times New Roman"/>
          <w:sz w:val="24"/>
          <w:szCs w:val="24"/>
        </w:rPr>
        <w:t>!</w:t>
      </w:r>
      <w:r w:rsidR="006B46FA" w:rsidRPr="007B4FE2">
        <w:rPr>
          <w:rStyle w:val="hps"/>
          <w:rFonts w:ascii="Times New Roman" w:hAnsi="Times New Roman"/>
          <w:sz w:val="24"/>
          <w:szCs w:val="24"/>
        </w:rPr>
        <w:t xml:space="preserve"> </w:t>
      </w:r>
    </w:p>
    <w:p w:rsidR="005F5D81" w:rsidRPr="007B4FE2" w:rsidRDefault="006B46FA" w:rsidP="007B4FE2">
      <w:pPr>
        <w:pStyle w:val="Paragrafoelenco"/>
        <w:spacing w:line="360" w:lineRule="auto"/>
        <w:ind w:left="0" w:firstLine="709"/>
        <w:jc w:val="both"/>
        <w:rPr>
          <w:rFonts w:ascii="Times New Roman" w:hAnsi="Times New Roman"/>
          <w:sz w:val="24"/>
          <w:szCs w:val="24"/>
        </w:rPr>
      </w:pPr>
      <w:r w:rsidRPr="007B4FE2">
        <w:rPr>
          <w:rStyle w:val="hps"/>
          <w:rFonts w:ascii="Times New Roman" w:hAnsi="Times New Roman"/>
          <w:sz w:val="24"/>
          <w:szCs w:val="24"/>
        </w:rPr>
        <w:t>G</w:t>
      </w:r>
      <w:r w:rsidR="00530E3C" w:rsidRPr="007B4FE2">
        <w:rPr>
          <w:rStyle w:val="hps"/>
          <w:rFonts w:ascii="Times New Roman" w:hAnsi="Times New Roman"/>
          <w:sz w:val="24"/>
          <w:szCs w:val="24"/>
        </w:rPr>
        <w:t>radualmente</w:t>
      </w:r>
      <w:r w:rsidRPr="007B4FE2">
        <w:rPr>
          <w:rStyle w:val="hps"/>
          <w:rFonts w:ascii="Times New Roman" w:hAnsi="Times New Roman"/>
          <w:sz w:val="24"/>
          <w:szCs w:val="24"/>
        </w:rPr>
        <w:t>, poi, tale principio si è</w:t>
      </w:r>
      <w:r w:rsidR="00AC47C0" w:rsidRPr="007B4FE2">
        <w:rPr>
          <w:rStyle w:val="hps"/>
          <w:rFonts w:ascii="Times New Roman" w:hAnsi="Times New Roman"/>
          <w:sz w:val="24"/>
          <w:szCs w:val="24"/>
        </w:rPr>
        <w:t xml:space="preserve"> </w:t>
      </w:r>
      <w:r w:rsidR="00530E3C" w:rsidRPr="007B4FE2">
        <w:rPr>
          <w:rStyle w:val="hps"/>
          <w:rFonts w:ascii="Times New Roman" w:hAnsi="Times New Roman"/>
          <w:sz w:val="24"/>
          <w:szCs w:val="24"/>
        </w:rPr>
        <w:t>trasformato in uno strumento essenziale per il controllo giurisdizionale, applicato a quasi tutti i settori del diritto dell'UE</w:t>
      </w:r>
      <w:r w:rsidR="00530E3C" w:rsidRPr="007B4FE2">
        <w:rPr>
          <w:rStyle w:val="Rimandonotaapidipagina"/>
          <w:rFonts w:ascii="Times New Roman" w:hAnsi="Times New Roman"/>
          <w:sz w:val="24"/>
          <w:szCs w:val="24"/>
        </w:rPr>
        <w:footnoteReference w:id="48"/>
      </w:r>
      <w:r w:rsidR="00530E3C" w:rsidRPr="007B4FE2">
        <w:rPr>
          <w:rFonts w:ascii="Times New Roman" w:hAnsi="Times New Roman"/>
          <w:sz w:val="24"/>
          <w:szCs w:val="24"/>
        </w:rPr>
        <w:t xml:space="preserve">: </w:t>
      </w:r>
      <w:r w:rsidRPr="007B4FE2">
        <w:rPr>
          <w:rFonts w:ascii="Times New Roman" w:hAnsi="Times New Roman"/>
          <w:sz w:val="24"/>
          <w:szCs w:val="24"/>
        </w:rPr>
        <w:t xml:space="preserve">e, </w:t>
      </w:r>
      <w:r w:rsidR="00530E3C" w:rsidRPr="007B4FE2">
        <w:rPr>
          <w:rFonts w:ascii="Times New Roman" w:hAnsi="Times New Roman"/>
          <w:sz w:val="24"/>
          <w:szCs w:val="24"/>
        </w:rPr>
        <w:t>in effetti, si tratta del principio generale più frequentemente invocato ed esaminato</w:t>
      </w:r>
      <w:r w:rsidR="00D21DBC" w:rsidRPr="007B4FE2">
        <w:rPr>
          <w:rFonts w:ascii="Times New Roman" w:hAnsi="Times New Roman"/>
          <w:sz w:val="24"/>
          <w:szCs w:val="24"/>
          <w:vertAlign w:val="superscript"/>
        </w:rPr>
        <w:footnoteReference w:id="49"/>
      </w:r>
      <w:r w:rsidR="00530E3C" w:rsidRPr="007B4FE2">
        <w:rPr>
          <w:rFonts w:ascii="Times New Roman" w:hAnsi="Times New Roman"/>
          <w:sz w:val="24"/>
          <w:szCs w:val="24"/>
        </w:rPr>
        <w:t xml:space="preserve"> nei giudizi davanti alla Corte di giustizia UE</w:t>
      </w:r>
      <w:r w:rsidR="00D21DBC" w:rsidRPr="007B4FE2">
        <w:rPr>
          <w:rFonts w:ascii="Times New Roman" w:hAnsi="Times New Roman"/>
          <w:sz w:val="24"/>
          <w:szCs w:val="24"/>
          <w:vertAlign w:val="superscript"/>
        </w:rPr>
        <w:footnoteReference w:id="50"/>
      </w:r>
      <w:r w:rsidR="007902F0" w:rsidRPr="007B4FE2">
        <w:rPr>
          <w:rFonts w:ascii="Times New Roman" w:hAnsi="Times New Roman"/>
          <w:sz w:val="24"/>
          <w:szCs w:val="24"/>
        </w:rPr>
        <w:t>.</w:t>
      </w:r>
      <w:r w:rsidR="00530E3C" w:rsidRPr="007B4FE2">
        <w:rPr>
          <w:rFonts w:ascii="Times New Roman" w:hAnsi="Times New Roman"/>
          <w:sz w:val="24"/>
          <w:szCs w:val="24"/>
        </w:rPr>
        <w:t xml:space="preserve"> </w:t>
      </w:r>
    </w:p>
    <w:p w:rsidR="005F5D81" w:rsidRPr="007B4FE2" w:rsidRDefault="00F4248C" w:rsidP="007B4FE2">
      <w:pPr>
        <w:pStyle w:val="Paragrafoelenco"/>
        <w:spacing w:line="360" w:lineRule="auto"/>
        <w:ind w:left="0" w:firstLine="709"/>
        <w:jc w:val="both"/>
        <w:rPr>
          <w:rFonts w:ascii="Times New Roman" w:hAnsi="Times New Roman"/>
          <w:sz w:val="24"/>
          <w:szCs w:val="24"/>
        </w:rPr>
      </w:pPr>
      <w:r w:rsidRPr="007B4FE2">
        <w:rPr>
          <w:rFonts w:ascii="Times New Roman" w:hAnsi="Times New Roman"/>
          <w:sz w:val="24"/>
          <w:szCs w:val="24"/>
        </w:rPr>
        <w:t xml:space="preserve">Il </w:t>
      </w:r>
      <w:r w:rsidR="005F5D81" w:rsidRPr="007B4FE2">
        <w:rPr>
          <w:rFonts w:ascii="Times New Roman" w:hAnsi="Times New Roman"/>
          <w:sz w:val="24"/>
          <w:szCs w:val="24"/>
        </w:rPr>
        <w:t>sindacato di proporzionalità è applicato, anzitutto, alle misure adottate dalle Istituzioni, organi ed organismi dell’Unione: siano esse di carattere normativo o amministrativo</w:t>
      </w:r>
      <w:r w:rsidR="005F5D81" w:rsidRPr="007B4FE2">
        <w:rPr>
          <w:rFonts w:ascii="Times New Roman" w:hAnsi="Times New Roman"/>
          <w:sz w:val="24"/>
          <w:szCs w:val="24"/>
          <w:vertAlign w:val="superscript"/>
        </w:rPr>
        <w:footnoteReference w:id="51"/>
      </w:r>
      <w:r w:rsidR="005F5D81" w:rsidRPr="007B4FE2">
        <w:rPr>
          <w:rFonts w:ascii="Times New Roman" w:hAnsi="Times New Roman"/>
          <w:sz w:val="24"/>
          <w:szCs w:val="24"/>
        </w:rPr>
        <w:t>. Anche perché, col Trattato di Maastricht del 1992, il principio di proporzionalità è entrato pure nei Trattati (art. 3 B, ora art. 5 TUE)</w:t>
      </w:r>
      <w:r w:rsidR="00FC2497" w:rsidRPr="007B4FE2">
        <w:rPr>
          <w:rFonts w:ascii="Times New Roman" w:hAnsi="Times New Roman"/>
          <w:sz w:val="24"/>
          <w:szCs w:val="24"/>
        </w:rPr>
        <w:t xml:space="preserve"> </w:t>
      </w:r>
      <w:r w:rsidR="005F5D81" w:rsidRPr="007B4FE2">
        <w:rPr>
          <w:rFonts w:ascii="Times New Roman" w:hAnsi="Times New Roman"/>
          <w:sz w:val="24"/>
          <w:szCs w:val="24"/>
        </w:rPr>
        <w:t xml:space="preserve">almeno per quel che concerne il parametro della </w:t>
      </w:r>
      <w:proofErr w:type="spellStart"/>
      <w:r w:rsidR="005F5D81" w:rsidRPr="007B4FE2">
        <w:rPr>
          <w:rFonts w:ascii="Times New Roman" w:hAnsi="Times New Roman"/>
          <w:sz w:val="24"/>
          <w:szCs w:val="24"/>
        </w:rPr>
        <w:t>necessarietà</w:t>
      </w:r>
      <w:proofErr w:type="spellEnd"/>
      <w:r w:rsidR="00EC4915" w:rsidRPr="007B4FE2">
        <w:rPr>
          <w:rFonts w:ascii="Times New Roman" w:hAnsi="Times New Roman"/>
          <w:sz w:val="24"/>
          <w:szCs w:val="24"/>
        </w:rPr>
        <w:t xml:space="preserve"> con riferimento all’attività delle istituzioni comunitarie</w:t>
      </w:r>
      <w:r w:rsidR="00EC4915" w:rsidRPr="007B4FE2">
        <w:rPr>
          <w:rFonts w:ascii="Times New Roman" w:hAnsi="Times New Roman"/>
          <w:sz w:val="24"/>
          <w:szCs w:val="24"/>
          <w:vertAlign w:val="superscript"/>
        </w:rPr>
        <w:footnoteReference w:id="52"/>
      </w:r>
      <w:r w:rsidR="005F5D81" w:rsidRPr="007B4FE2">
        <w:rPr>
          <w:rFonts w:ascii="Times New Roman" w:hAnsi="Times New Roman"/>
          <w:sz w:val="24"/>
          <w:szCs w:val="24"/>
        </w:rPr>
        <w:t>. E se è vero che solo raramente l’esistenza del vizio di proporzionalità viene positivamente accertata dal giudice UE</w:t>
      </w:r>
      <w:r w:rsidRPr="007B4FE2">
        <w:rPr>
          <w:rFonts w:ascii="Times New Roman" w:hAnsi="Times New Roman"/>
          <w:sz w:val="24"/>
          <w:szCs w:val="24"/>
        </w:rPr>
        <w:t>,</w:t>
      </w:r>
      <w:r w:rsidR="005F5D81" w:rsidRPr="007B4FE2">
        <w:rPr>
          <w:rFonts w:ascii="Times New Roman" w:hAnsi="Times New Roman"/>
          <w:sz w:val="24"/>
          <w:szCs w:val="24"/>
        </w:rPr>
        <w:t xml:space="preserve"> con conseguente annullamento dell’atto impugnato, vi sono</w:t>
      </w:r>
      <w:r w:rsidR="00FC2497" w:rsidRPr="007B4FE2">
        <w:rPr>
          <w:rFonts w:ascii="Times New Roman" w:hAnsi="Times New Roman"/>
          <w:sz w:val="24"/>
          <w:szCs w:val="24"/>
        </w:rPr>
        <w:t xml:space="preserve"> </w:t>
      </w:r>
      <w:r w:rsidRPr="007B4FE2">
        <w:rPr>
          <w:rFonts w:ascii="Times New Roman" w:hAnsi="Times New Roman"/>
          <w:sz w:val="24"/>
          <w:szCs w:val="24"/>
        </w:rPr>
        <w:t xml:space="preserve">tuttavia importantissimi </w:t>
      </w:r>
      <w:r w:rsidR="005F5D81" w:rsidRPr="007B4FE2">
        <w:rPr>
          <w:rFonts w:ascii="Times New Roman" w:hAnsi="Times New Roman"/>
          <w:sz w:val="24"/>
          <w:szCs w:val="24"/>
        </w:rPr>
        <w:t xml:space="preserve">casi </w:t>
      </w:r>
      <w:r w:rsidRPr="007B4FE2">
        <w:rPr>
          <w:rFonts w:ascii="Times New Roman" w:hAnsi="Times New Roman"/>
          <w:sz w:val="24"/>
          <w:szCs w:val="24"/>
        </w:rPr>
        <w:t xml:space="preserve">giurisprudenziali </w:t>
      </w:r>
      <w:r w:rsidR="005F5D81" w:rsidRPr="007B4FE2">
        <w:rPr>
          <w:rFonts w:ascii="Times New Roman" w:hAnsi="Times New Roman"/>
          <w:sz w:val="24"/>
          <w:szCs w:val="24"/>
        </w:rPr>
        <w:t>in cui questo è invece</w:t>
      </w:r>
      <w:r w:rsidR="00C50CDF" w:rsidRPr="007B4FE2">
        <w:rPr>
          <w:rFonts w:ascii="Times New Roman" w:hAnsi="Times New Roman"/>
          <w:sz w:val="24"/>
          <w:szCs w:val="24"/>
        </w:rPr>
        <w:t xml:space="preserve"> </w:t>
      </w:r>
      <w:r w:rsidR="00EC4915" w:rsidRPr="007B4FE2">
        <w:rPr>
          <w:rFonts w:ascii="Times New Roman" w:hAnsi="Times New Roman"/>
          <w:sz w:val="24"/>
          <w:szCs w:val="24"/>
        </w:rPr>
        <w:t xml:space="preserve">effettivamente </w:t>
      </w:r>
      <w:r w:rsidR="005F5D81" w:rsidRPr="007B4FE2">
        <w:rPr>
          <w:rFonts w:ascii="Times New Roman" w:hAnsi="Times New Roman"/>
          <w:sz w:val="24"/>
          <w:szCs w:val="24"/>
        </w:rPr>
        <w:t>avvenuto</w:t>
      </w:r>
      <w:r w:rsidR="00EC4915" w:rsidRPr="007B4FE2">
        <w:rPr>
          <w:rFonts w:ascii="Times New Roman" w:hAnsi="Times New Roman"/>
          <w:sz w:val="24"/>
          <w:szCs w:val="24"/>
        </w:rPr>
        <w:t xml:space="preserve">: come i ben noti casi </w:t>
      </w:r>
      <w:proofErr w:type="spellStart"/>
      <w:r w:rsidR="00EC4915" w:rsidRPr="007B4FE2">
        <w:rPr>
          <w:rFonts w:ascii="Times New Roman" w:hAnsi="Times New Roman"/>
          <w:i/>
          <w:sz w:val="24"/>
          <w:szCs w:val="24"/>
        </w:rPr>
        <w:t>Schecke</w:t>
      </w:r>
      <w:proofErr w:type="spellEnd"/>
      <w:r w:rsidR="00EC4915" w:rsidRPr="007B4FE2">
        <w:rPr>
          <w:rFonts w:ascii="Times New Roman" w:hAnsi="Times New Roman"/>
          <w:sz w:val="24"/>
          <w:szCs w:val="24"/>
        </w:rPr>
        <w:t xml:space="preserve"> del 2010</w:t>
      </w:r>
      <w:r w:rsidR="00C50CDF" w:rsidRPr="007B4FE2">
        <w:rPr>
          <w:rFonts w:ascii="Times New Roman" w:hAnsi="Times New Roman"/>
          <w:sz w:val="24"/>
          <w:szCs w:val="24"/>
        </w:rPr>
        <w:t xml:space="preserve"> </w:t>
      </w:r>
      <w:r w:rsidR="00EC4915" w:rsidRPr="007B4FE2">
        <w:rPr>
          <w:rFonts w:ascii="Times New Roman" w:hAnsi="Times New Roman"/>
          <w:sz w:val="24"/>
          <w:szCs w:val="24"/>
        </w:rPr>
        <w:t xml:space="preserve">e </w:t>
      </w:r>
      <w:r w:rsidR="00EC4915" w:rsidRPr="007B4FE2">
        <w:rPr>
          <w:rFonts w:ascii="Times New Roman" w:hAnsi="Times New Roman"/>
          <w:i/>
          <w:sz w:val="24"/>
          <w:szCs w:val="24"/>
        </w:rPr>
        <w:t xml:space="preserve">Digital </w:t>
      </w:r>
      <w:proofErr w:type="spellStart"/>
      <w:r w:rsidR="00EC4915" w:rsidRPr="007B4FE2">
        <w:rPr>
          <w:rFonts w:ascii="Times New Roman" w:hAnsi="Times New Roman"/>
          <w:i/>
          <w:sz w:val="24"/>
          <w:szCs w:val="24"/>
        </w:rPr>
        <w:t>Rights</w:t>
      </w:r>
      <w:proofErr w:type="spellEnd"/>
      <w:r w:rsidR="00EC4915" w:rsidRPr="007B4FE2">
        <w:rPr>
          <w:rFonts w:ascii="Times New Roman" w:hAnsi="Times New Roman"/>
          <w:i/>
          <w:sz w:val="24"/>
          <w:szCs w:val="24"/>
        </w:rPr>
        <w:t xml:space="preserve"> </w:t>
      </w:r>
      <w:proofErr w:type="spellStart"/>
      <w:r w:rsidR="00EC4915" w:rsidRPr="007B4FE2">
        <w:rPr>
          <w:rFonts w:ascii="Times New Roman" w:hAnsi="Times New Roman"/>
          <w:i/>
          <w:sz w:val="24"/>
          <w:szCs w:val="24"/>
        </w:rPr>
        <w:t>Ireland</w:t>
      </w:r>
      <w:proofErr w:type="spellEnd"/>
      <w:r w:rsidR="00C50CDF" w:rsidRPr="007B4FE2">
        <w:rPr>
          <w:rFonts w:ascii="Times New Roman" w:hAnsi="Times New Roman"/>
          <w:i/>
          <w:sz w:val="24"/>
          <w:szCs w:val="24"/>
        </w:rPr>
        <w:t xml:space="preserve"> </w:t>
      </w:r>
      <w:r w:rsidR="00EC4915" w:rsidRPr="007B4FE2">
        <w:rPr>
          <w:rFonts w:ascii="Times New Roman" w:hAnsi="Times New Roman"/>
          <w:sz w:val="24"/>
          <w:szCs w:val="24"/>
        </w:rPr>
        <w:t>del 2014</w:t>
      </w:r>
      <w:r w:rsidR="005F5D81" w:rsidRPr="007B4FE2">
        <w:rPr>
          <w:rStyle w:val="Rimandonotaapidipagina"/>
          <w:rFonts w:ascii="Times New Roman" w:hAnsi="Times New Roman"/>
          <w:sz w:val="24"/>
          <w:szCs w:val="24"/>
        </w:rPr>
        <w:footnoteReference w:id="53"/>
      </w:r>
      <w:r w:rsidR="003B03B3" w:rsidRPr="007B4FE2">
        <w:rPr>
          <w:rFonts w:ascii="Times New Roman" w:hAnsi="Times New Roman"/>
          <w:sz w:val="24"/>
          <w:szCs w:val="24"/>
        </w:rPr>
        <w:t>.</w:t>
      </w:r>
      <w:r w:rsidR="005F5D81" w:rsidRPr="007B4FE2">
        <w:rPr>
          <w:rFonts w:ascii="Times New Roman" w:hAnsi="Times New Roman"/>
          <w:sz w:val="24"/>
          <w:szCs w:val="24"/>
        </w:rPr>
        <w:t xml:space="preserve"> </w:t>
      </w:r>
    </w:p>
    <w:p w:rsidR="00A765EF" w:rsidRPr="007B4FE2" w:rsidRDefault="00B07F5E" w:rsidP="007B4FE2">
      <w:pPr>
        <w:spacing w:after="0" w:line="360" w:lineRule="auto"/>
        <w:ind w:firstLine="709"/>
        <w:jc w:val="both"/>
        <w:rPr>
          <w:rFonts w:ascii="Times New Roman" w:eastAsiaTheme="minorEastAsia" w:hAnsi="Times New Roman" w:cs="Times New Roman"/>
          <w:sz w:val="24"/>
          <w:szCs w:val="24"/>
          <w:lang w:eastAsia="it-IT"/>
        </w:rPr>
      </w:pPr>
      <w:r w:rsidRPr="007B4FE2">
        <w:rPr>
          <w:rFonts w:ascii="Times New Roman" w:eastAsiaTheme="minorEastAsia" w:hAnsi="Times New Roman" w:cs="Times New Roman"/>
          <w:sz w:val="24"/>
          <w:szCs w:val="24"/>
          <w:lang w:eastAsia="it-IT"/>
        </w:rPr>
        <w:t xml:space="preserve">Il </w:t>
      </w:r>
      <w:r w:rsidR="00F4248C" w:rsidRPr="007B4FE2">
        <w:rPr>
          <w:rFonts w:ascii="Times New Roman" w:eastAsiaTheme="minorEastAsia" w:hAnsi="Times New Roman" w:cs="Times New Roman"/>
          <w:sz w:val="24"/>
          <w:szCs w:val="24"/>
          <w:lang w:eastAsia="it-IT"/>
        </w:rPr>
        <w:t>principio di proporzionalità trova poi senz'altro applicazione anche rispetto alle misure (normative o amministrative) adottate dagli Stati membri in esecuzione degli obblighi der</w:t>
      </w:r>
      <w:r w:rsidRPr="007B4FE2">
        <w:rPr>
          <w:rFonts w:ascii="Times New Roman" w:eastAsiaTheme="minorEastAsia" w:hAnsi="Times New Roman" w:cs="Times New Roman"/>
          <w:sz w:val="24"/>
          <w:szCs w:val="24"/>
          <w:lang w:eastAsia="it-IT"/>
        </w:rPr>
        <w:t>ivanti dal diritto dell’Unione</w:t>
      </w:r>
      <w:r w:rsidR="00A765EF" w:rsidRPr="007B4FE2">
        <w:rPr>
          <w:rFonts w:ascii="Times New Roman" w:eastAsiaTheme="minorEastAsia" w:hAnsi="Times New Roman" w:cs="Times New Roman"/>
          <w:sz w:val="24"/>
          <w:szCs w:val="24"/>
          <w:lang w:eastAsia="it-IT"/>
        </w:rPr>
        <w:t>.</w:t>
      </w:r>
    </w:p>
    <w:p w:rsidR="00F4248C" w:rsidRPr="007B4FE2" w:rsidRDefault="00A765EF" w:rsidP="007B4FE2">
      <w:pPr>
        <w:spacing w:after="0" w:line="360" w:lineRule="auto"/>
        <w:ind w:firstLine="709"/>
        <w:jc w:val="both"/>
        <w:rPr>
          <w:rFonts w:ascii="Times New Roman" w:eastAsiaTheme="minorEastAsia" w:hAnsi="Times New Roman" w:cs="Times New Roman"/>
          <w:bCs/>
          <w:sz w:val="24"/>
          <w:szCs w:val="24"/>
          <w:lang w:eastAsia="it-IT"/>
        </w:rPr>
      </w:pPr>
      <w:r w:rsidRPr="007B4FE2">
        <w:rPr>
          <w:rFonts w:ascii="Times New Roman" w:eastAsiaTheme="minorEastAsia" w:hAnsi="Times New Roman" w:cs="Times New Roman"/>
          <w:sz w:val="24"/>
          <w:szCs w:val="24"/>
          <w:lang w:eastAsia="it-IT"/>
        </w:rPr>
        <w:t>La relativa</w:t>
      </w:r>
      <w:r w:rsidR="00C50CDF" w:rsidRPr="007B4FE2">
        <w:rPr>
          <w:rFonts w:ascii="Times New Roman" w:eastAsiaTheme="minorEastAsia" w:hAnsi="Times New Roman" w:cs="Times New Roman"/>
          <w:sz w:val="24"/>
          <w:szCs w:val="24"/>
          <w:lang w:eastAsia="it-IT"/>
        </w:rPr>
        <w:t xml:space="preserve"> </w:t>
      </w:r>
      <w:r w:rsidR="00F4248C" w:rsidRPr="007B4FE2">
        <w:rPr>
          <w:rFonts w:ascii="Times New Roman" w:eastAsiaTheme="minorEastAsia" w:hAnsi="Times New Roman" w:cs="Times New Roman"/>
          <w:sz w:val="24"/>
          <w:szCs w:val="24"/>
          <w:lang w:eastAsia="it-IT"/>
        </w:rPr>
        <w:t>giurisprudenza può essere sostanzialmente raggruppata all’</w:t>
      </w:r>
      <w:r w:rsidR="00EC4915" w:rsidRPr="007B4FE2">
        <w:rPr>
          <w:rFonts w:ascii="Times New Roman" w:eastAsiaTheme="minorEastAsia" w:hAnsi="Times New Roman" w:cs="Times New Roman"/>
          <w:sz w:val="24"/>
          <w:szCs w:val="24"/>
          <w:lang w:eastAsia="it-IT"/>
        </w:rPr>
        <w:t>in</w:t>
      </w:r>
      <w:r w:rsidR="00ED0712" w:rsidRPr="007B4FE2">
        <w:rPr>
          <w:rFonts w:ascii="Times New Roman" w:eastAsiaTheme="minorEastAsia" w:hAnsi="Times New Roman" w:cs="Times New Roman"/>
          <w:sz w:val="24"/>
          <w:szCs w:val="24"/>
          <w:lang w:eastAsia="it-IT"/>
        </w:rPr>
        <w:t>terno di tre grandi categorie.</w:t>
      </w:r>
      <w:r w:rsidRPr="007B4FE2">
        <w:rPr>
          <w:rFonts w:ascii="Times New Roman" w:eastAsiaTheme="minorEastAsia" w:hAnsi="Times New Roman" w:cs="Times New Roman"/>
          <w:sz w:val="24"/>
          <w:szCs w:val="24"/>
          <w:lang w:eastAsia="it-IT"/>
        </w:rPr>
        <w:t xml:space="preserve"> </w:t>
      </w:r>
      <w:r w:rsidR="00ED0712" w:rsidRPr="007B4FE2">
        <w:rPr>
          <w:rFonts w:ascii="Times New Roman" w:eastAsiaTheme="minorEastAsia" w:hAnsi="Times New Roman" w:cs="Times New Roman"/>
          <w:sz w:val="24"/>
          <w:szCs w:val="24"/>
          <w:lang w:eastAsia="it-IT"/>
        </w:rPr>
        <w:t>Una prima categoria</w:t>
      </w:r>
      <w:r w:rsidR="00C50CDF" w:rsidRPr="007B4FE2">
        <w:rPr>
          <w:rFonts w:ascii="Times New Roman" w:eastAsiaTheme="minorEastAsia" w:hAnsi="Times New Roman" w:cs="Times New Roman"/>
          <w:sz w:val="24"/>
          <w:szCs w:val="24"/>
          <w:lang w:eastAsia="it-IT"/>
        </w:rPr>
        <w:t xml:space="preserve"> </w:t>
      </w:r>
      <w:r w:rsidRPr="007B4FE2">
        <w:rPr>
          <w:rFonts w:ascii="Times New Roman" w:eastAsiaTheme="minorEastAsia" w:hAnsi="Times New Roman" w:cs="Times New Roman"/>
          <w:sz w:val="24"/>
          <w:szCs w:val="24"/>
          <w:lang w:eastAsia="it-IT"/>
        </w:rPr>
        <w:t xml:space="preserve">che </w:t>
      </w:r>
      <w:r w:rsidR="00EC4915" w:rsidRPr="007B4FE2">
        <w:rPr>
          <w:rFonts w:ascii="Times New Roman" w:eastAsiaTheme="minorEastAsia" w:hAnsi="Times New Roman" w:cs="Times New Roman"/>
          <w:sz w:val="24"/>
          <w:szCs w:val="24"/>
          <w:lang w:eastAsia="it-IT"/>
        </w:rPr>
        <w:t>racchiude la casistica relativa</w:t>
      </w:r>
      <w:r w:rsidR="00EC70A7" w:rsidRPr="007B4FE2">
        <w:rPr>
          <w:rFonts w:ascii="Times New Roman" w:eastAsiaTheme="minorEastAsia" w:hAnsi="Times New Roman" w:cs="Times New Roman"/>
          <w:sz w:val="24"/>
          <w:szCs w:val="24"/>
          <w:lang w:eastAsia="it-IT"/>
        </w:rPr>
        <w:t xml:space="preserve"> alle </w:t>
      </w:r>
      <w:r w:rsidR="00F4248C" w:rsidRPr="007B4FE2">
        <w:rPr>
          <w:rFonts w:ascii="Times New Roman" w:eastAsiaTheme="minorEastAsia" w:hAnsi="Times New Roman" w:cs="Times New Roman"/>
          <w:sz w:val="24"/>
          <w:szCs w:val="24"/>
          <w:lang w:eastAsia="it-IT"/>
        </w:rPr>
        <w:t>misure (normative o amministrative) di Stati membri che abbiano l’effetto di limitare libertà o diritti fondamentali previsti dal Trattato o da norme</w:t>
      </w:r>
      <w:r w:rsidR="00EC70A7" w:rsidRPr="007B4FE2">
        <w:rPr>
          <w:rFonts w:ascii="Times New Roman" w:eastAsiaTheme="minorEastAsia" w:hAnsi="Times New Roman" w:cs="Times New Roman"/>
          <w:sz w:val="24"/>
          <w:szCs w:val="24"/>
          <w:lang w:eastAsia="it-IT"/>
        </w:rPr>
        <w:t xml:space="preserve"> UE</w:t>
      </w:r>
      <w:bookmarkStart w:id="0" w:name="MO"/>
      <w:r w:rsidR="00EC70A7" w:rsidRPr="007B4FE2">
        <w:rPr>
          <w:rFonts w:ascii="Times New Roman" w:eastAsiaTheme="minorEastAsia" w:hAnsi="Times New Roman" w:cs="Times New Roman"/>
          <w:sz w:val="24"/>
          <w:szCs w:val="24"/>
          <w:lang w:eastAsia="it-IT"/>
        </w:rPr>
        <w:t xml:space="preserve"> di diritto derivato</w:t>
      </w:r>
      <w:r w:rsidR="00F4248C" w:rsidRPr="007B4FE2">
        <w:rPr>
          <w:rFonts w:ascii="Times New Roman" w:eastAsiaTheme="minorEastAsia" w:hAnsi="Times New Roman" w:cs="Times New Roman"/>
          <w:sz w:val="24"/>
          <w:szCs w:val="24"/>
          <w:vertAlign w:val="superscript"/>
          <w:lang w:eastAsia="it-IT"/>
        </w:rPr>
        <w:footnoteReference w:id="54"/>
      </w:r>
      <w:r w:rsidR="00F4248C" w:rsidRPr="007B4FE2">
        <w:rPr>
          <w:rFonts w:ascii="Times New Roman" w:eastAsiaTheme="minorEastAsia" w:hAnsi="Times New Roman" w:cs="Times New Roman"/>
          <w:sz w:val="24"/>
          <w:szCs w:val="24"/>
          <w:lang w:eastAsia="it-IT"/>
        </w:rPr>
        <w:t>.</w:t>
      </w:r>
      <w:r w:rsidR="00C50CDF" w:rsidRPr="007B4FE2">
        <w:rPr>
          <w:rFonts w:ascii="Times New Roman" w:eastAsiaTheme="minorEastAsia" w:hAnsi="Times New Roman" w:cs="Times New Roman"/>
          <w:sz w:val="24"/>
          <w:szCs w:val="24"/>
          <w:lang w:eastAsia="it-IT"/>
        </w:rPr>
        <w:t xml:space="preserve"> </w:t>
      </w:r>
      <w:r w:rsidRPr="007B4FE2">
        <w:rPr>
          <w:rFonts w:ascii="Times New Roman" w:eastAsiaTheme="minorEastAsia" w:hAnsi="Times New Roman" w:cs="Times New Roman"/>
          <w:sz w:val="24"/>
          <w:szCs w:val="24"/>
          <w:lang w:eastAsia="it-IT"/>
        </w:rPr>
        <w:t xml:space="preserve">Ed in cui rientrano </w:t>
      </w:r>
      <w:r w:rsidR="00ED0712" w:rsidRPr="007B4FE2">
        <w:rPr>
          <w:rFonts w:ascii="Times New Roman" w:eastAsiaTheme="minorEastAsia" w:hAnsi="Times New Roman" w:cs="Times New Roman"/>
          <w:sz w:val="24"/>
          <w:szCs w:val="24"/>
          <w:lang w:eastAsia="it-IT"/>
        </w:rPr>
        <w:t>anche le pronunzie</w:t>
      </w:r>
      <w:r w:rsidR="00C50CDF" w:rsidRPr="007B4FE2">
        <w:rPr>
          <w:rFonts w:ascii="Times New Roman" w:eastAsiaTheme="minorEastAsia" w:hAnsi="Times New Roman" w:cs="Times New Roman"/>
          <w:sz w:val="24"/>
          <w:szCs w:val="24"/>
          <w:lang w:eastAsia="it-IT"/>
        </w:rPr>
        <w:t xml:space="preserve"> </w:t>
      </w:r>
      <w:r w:rsidR="00344241" w:rsidRPr="007B4FE2">
        <w:rPr>
          <w:rFonts w:ascii="Times New Roman" w:eastAsiaTheme="minorEastAsia" w:hAnsi="Times New Roman" w:cs="Times New Roman"/>
          <w:sz w:val="24"/>
          <w:szCs w:val="24"/>
          <w:lang w:eastAsia="it-IT"/>
        </w:rPr>
        <w:t xml:space="preserve">in cui il giudice UE </w:t>
      </w:r>
      <w:r w:rsidR="00F4248C" w:rsidRPr="007B4FE2">
        <w:rPr>
          <w:rFonts w:ascii="Times New Roman" w:eastAsiaTheme="minorEastAsia" w:hAnsi="Times New Roman" w:cs="Times New Roman"/>
          <w:sz w:val="24"/>
          <w:szCs w:val="24"/>
          <w:lang w:eastAsia="it-IT"/>
        </w:rPr>
        <w:t>compie un sindacato di proporzionalità</w:t>
      </w:r>
      <w:r w:rsidR="00344241" w:rsidRPr="007B4FE2">
        <w:rPr>
          <w:rFonts w:ascii="Times New Roman" w:eastAsiaTheme="minorEastAsia" w:hAnsi="Times New Roman" w:cs="Times New Roman"/>
          <w:sz w:val="24"/>
          <w:szCs w:val="24"/>
          <w:lang w:eastAsia="it-IT"/>
        </w:rPr>
        <w:t xml:space="preserve"> sulle</w:t>
      </w:r>
      <w:r w:rsidR="00C50CDF" w:rsidRPr="007B4FE2">
        <w:rPr>
          <w:rFonts w:ascii="Times New Roman" w:eastAsiaTheme="minorEastAsia" w:hAnsi="Times New Roman" w:cs="Times New Roman"/>
          <w:sz w:val="24"/>
          <w:szCs w:val="24"/>
          <w:lang w:eastAsia="it-IT"/>
        </w:rPr>
        <w:t xml:space="preserve"> </w:t>
      </w:r>
      <w:r w:rsidR="00344241" w:rsidRPr="007B4FE2">
        <w:rPr>
          <w:rFonts w:ascii="Times New Roman" w:eastAsiaTheme="minorEastAsia" w:hAnsi="Times New Roman" w:cs="Times New Roman"/>
          <w:sz w:val="24"/>
          <w:szCs w:val="24"/>
          <w:lang w:eastAsia="it-IT"/>
        </w:rPr>
        <w:t>misure adottate da</w:t>
      </w:r>
      <w:r w:rsidR="00F4248C" w:rsidRPr="007B4FE2">
        <w:rPr>
          <w:rFonts w:ascii="Times New Roman" w:eastAsiaTheme="minorEastAsia" w:hAnsi="Times New Roman" w:cs="Times New Roman"/>
          <w:sz w:val="24"/>
          <w:szCs w:val="24"/>
          <w:lang w:eastAsia="it-IT"/>
        </w:rPr>
        <w:t xml:space="preserve"> Stati membri in deroga ad obblighi previsti da singole direttive, allorquando siano le stesse direttive a prevedere</w:t>
      </w:r>
      <w:r w:rsidR="00344241" w:rsidRPr="007B4FE2">
        <w:rPr>
          <w:rFonts w:ascii="Times New Roman" w:eastAsiaTheme="minorEastAsia" w:hAnsi="Times New Roman" w:cs="Times New Roman"/>
          <w:sz w:val="24"/>
          <w:szCs w:val="24"/>
          <w:lang w:eastAsia="it-IT"/>
        </w:rPr>
        <w:t xml:space="preserve"> (</w:t>
      </w:r>
      <w:r w:rsidR="00F4248C" w:rsidRPr="007B4FE2">
        <w:rPr>
          <w:rFonts w:ascii="Times New Roman" w:eastAsiaTheme="minorEastAsia" w:hAnsi="Times New Roman" w:cs="Times New Roman"/>
          <w:sz w:val="24"/>
          <w:szCs w:val="24"/>
          <w:lang w:eastAsia="it-IT"/>
        </w:rPr>
        <w:t>per specifiche r</w:t>
      </w:r>
      <w:r w:rsidR="00344241" w:rsidRPr="007B4FE2">
        <w:rPr>
          <w:rFonts w:ascii="Times New Roman" w:eastAsiaTheme="minorEastAsia" w:hAnsi="Times New Roman" w:cs="Times New Roman"/>
          <w:sz w:val="24"/>
          <w:szCs w:val="24"/>
          <w:lang w:eastAsia="it-IT"/>
        </w:rPr>
        <w:t>agioni espressamente menzionate)</w:t>
      </w:r>
      <w:r w:rsidR="00F4248C" w:rsidRPr="007B4FE2">
        <w:rPr>
          <w:rFonts w:ascii="Times New Roman" w:eastAsiaTheme="minorEastAsia" w:hAnsi="Times New Roman" w:cs="Times New Roman"/>
          <w:sz w:val="24"/>
          <w:szCs w:val="24"/>
          <w:lang w:eastAsia="it-IT"/>
        </w:rPr>
        <w:t xml:space="preserve"> detta possibilità di deroga. </w:t>
      </w:r>
      <w:r w:rsidR="00344241" w:rsidRPr="007B4FE2">
        <w:rPr>
          <w:rFonts w:ascii="Times New Roman" w:eastAsiaTheme="minorEastAsia" w:hAnsi="Times New Roman" w:cs="Times New Roman"/>
          <w:sz w:val="24"/>
          <w:szCs w:val="24"/>
          <w:lang w:eastAsia="it-IT"/>
        </w:rPr>
        <w:t>Qui è peraltro evidente come il sindacato dei giudici UE si spinga regolarmente sino alla</w:t>
      </w:r>
      <w:r w:rsidR="00C50CDF" w:rsidRPr="007B4FE2">
        <w:rPr>
          <w:rFonts w:ascii="Times New Roman" w:eastAsiaTheme="minorEastAsia" w:hAnsi="Times New Roman" w:cs="Times New Roman"/>
          <w:sz w:val="24"/>
          <w:szCs w:val="24"/>
          <w:lang w:eastAsia="it-IT"/>
        </w:rPr>
        <w:t xml:space="preserve"> </w:t>
      </w:r>
      <w:r w:rsidR="00344241" w:rsidRPr="007B4FE2">
        <w:rPr>
          <w:rFonts w:ascii="Times New Roman" w:eastAsiaTheme="minorEastAsia" w:hAnsi="Times New Roman" w:cs="Times New Roman"/>
          <w:sz w:val="24"/>
          <w:szCs w:val="24"/>
          <w:lang w:eastAsia="it-IT"/>
        </w:rPr>
        <w:t>valutazione della proporzionalità in senso stretto:</w:t>
      </w:r>
      <w:r w:rsidR="00C50CDF" w:rsidRPr="007B4FE2">
        <w:rPr>
          <w:rFonts w:ascii="Times New Roman" w:eastAsiaTheme="minorEastAsia" w:hAnsi="Times New Roman" w:cs="Times New Roman"/>
          <w:sz w:val="24"/>
          <w:szCs w:val="24"/>
          <w:lang w:eastAsia="it-IT"/>
        </w:rPr>
        <w:t xml:space="preserve"> </w:t>
      </w:r>
      <w:r w:rsidR="00344241" w:rsidRPr="007B4FE2">
        <w:rPr>
          <w:rFonts w:ascii="Times New Roman" w:eastAsiaTheme="minorEastAsia" w:hAnsi="Times New Roman" w:cs="Times New Roman"/>
          <w:sz w:val="24"/>
          <w:szCs w:val="24"/>
          <w:lang w:eastAsia="it-IT"/>
        </w:rPr>
        <w:t xml:space="preserve">non </w:t>
      </w:r>
      <w:r w:rsidR="004D0214" w:rsidRPr="007B4FE2">
        <w:rPr>
          <w:rFonts w:ascii="Times New Roman" w:eastAsiaTheme="minorEastAsia" w:hAnsi="Times New Roman" w:cs="Times New Roman"/>
          <w:sz w:val="24"/>
          <w:szCs w:val="24"/>
          <w:lang w:eastAsia="it-IT"/>
        </w:rPr>
        <w:t xml:space="preserve">ci </w:t>
      </w:r>
      <w:r w:rsidR="00344241" w:rsidRPr="007B4FE2">
        <w:rPr>
          <w:rFonts w:ascii="Times New Roman" w:eastAsiaTheme="minorEastAsia" w:hAnsi="Times New Roman" w:cs="Times New Roman"/>
          <w:sz w:val="24"/>
          <w:szCs w:val="24"/>
          <w:lang w:eastAsia="it-IT"/>
        </w:rPr>
        <w:t xml:space="preserve">si </w:t>
      </w:r>
      <w:r w:rsidR="004D0214" w:rsidRPr="007B4FE2">
        <w:rPr>
          <w:rFonts w:ascii="Times New Roman" w:eastAsiaTheme="minorEastAsia" w:hAnsi="Times New Roman" w:cs="Times New Roman"/>
          <w:sz w:val="24"/>
          <w:szCs w:val="24"/>
          <w:lang w:eastAsia="it-IT"/>
        </w:rPr>
        <w:t xml:space="preserve">limita, cioè, a </w:t>
      </w:r>
      <w:r w:rsidR="00F4248C" w:rsidRPr="007B4FE2">
        <w:rPr>
          <w:rFonts w:ascii="Times New Roman" w:eastAsiaTheme="minorEastAsia" w:hAnsi="Times New Roman" w:cs="Times New Roman"/>
          <w:sz w:val="24"/>
          <w:szCs w:val="24"/>
          <w:lang w:eastAsia="it-IT"/>
        </w:rPr>
        <w:t>verificare</w:t>
      </w:r>
      <w:r w:rsidR="00344241" w:rsidRPr="007B4FE2">
        <w:rPr>
          <w:rFonts w:ascii="Times New Roman" w:eastAsiaTheme="minorEastAsia" w:hAnsi="Times New Roman" w:cs="Times New Roman"/>
          <w:sz w:val="24"/>
          <w:szCs w:val="24"/>
          <w:lang w:eastAsia="it-IT"/>
        </w:rPr>
        <w:t xml:space="preserve"> che </w:t>
      </w:r>
      <w:r w:rsidR="00F4248C" w:rsidRPr="007B4FE2">
        <w:rPr>
          <w:rFonts w:ascii="Times New Roman" w:eastAsiaTheme="minorEastAsia" w:hAnsi="Times New Roman" w:cs="Times New Roman"/>
          <w:sz w:val="24"/>
          <w:szCs w:val="24"/>
          <w:lang w:eastAsia="it-IT"/>
        </w:rPr>
        <w:t>le deroghe agli obblighi previsti dalla direttiva siano</w:t>
      </w:r>
      <w:r w:rsidR="00C50CDF" w:rsidRPr="007B4FE2">
        <w:rPr>
          <w:rFonts w:ascii="Times New Roman" w:eastAsiaTheme="minorEastAsia" w:hAnsi="Times New Roman" w:cs="Times New Roman"/>
          <w:sz w:val="24"/>
          <w:szCs w:val="24"/>
          <w:lang w:eastAsia="it-IT"/>
        </w:rPr>
        <w:t xml:space="preserve"> </w:t>
      </w:r>
      <w:r w:rsidR="00344241" w:rsidRPr="007B4FE2">
        <w:rPr>
          <w:rFonts w:ascii="Times New Roman" w:eastAsiaTheme="minorEastAsia" w:hAnsi="Times New Roman" w:cs="Times New Roman"/>
          <w:sz w:val="24"/>
          <w:szCs w:val="24"/>
          <w:lang w:eastAsia="it-IT"/>
        </w:rPr>
        <w:t xml:space="preserve">effettivamente </w:t>
      </w:r>
      <w:r w:rsidR="00F4248C" w:rsidRPr="007B4FE2">
        <w:rPr>
          <w:rFonts w:ascii="Times New Roman" w:eastAsiaTheme="minorEastAsia" w:hAnsi="Times New Roman" w:cs="Times New Roman"/>
          <w:sz w:val="24"/>
          <w:szCs w:val="24"/>
          <w:lang w:eastAsia="it-IT"/>
        </w:rPr>
        <w:t>idonee e necessarie</w:t>
      </w:r>
      <w:r w:rsidR="00344241" w:rsidRPr="007B4FE2">
        <w:rPr>
          <w:rFonts w:ascii="Times New Roman" w:eastAsiaTheme="minorEastAsia" w:hAnsi="Times New Roman" w:cs="Times New Roman"/>
          <w:sz w:val="24"/>
          <w:szCs w:val="24"/>
          <w:lang w:eastAsia="it-IT"/>
        </w:rPr>
        <w:t>; ci si fa carico anche della</w:t>
      </w:r>
      <w:r w:rsidR="00C50CDF" w:rsidRPr="007B4FE2">
        <w:rPr>
          <w:rFonts w:ascii="Times New Roman" w:eastAsiaTheme="minorEastAsia" w:hAnsi="Times New Roman" w:cs="Times New Roman"/>
          <w:sz w:val="24"/>
          <w:szCs w:val="24"/>
          <w:lang w:eastAsia="it-IT"/>
        </w:rPr>
        <w:t xml:space="preserve"> </w:t>
      </w:r>
      <w:r w:rsidR="00344241" w:rsidRPr="007B4FE2">
        <w:rPr>
          <w:rFonts w:ascii="Times New Roman" w:eastAsiaTheme="minorEastAsia" w:hAnsi="Times New Roman" w:cs="Times New Roman"/>
          <w:sz w:val="24"/>
          <w:szCs w:val="24"/>
          <w:lang w:eastAsia="it-IT"/>
        </w:rPr>
        <w:t xml:space="preserve">verifica della loro </w:t>
      </w:r>
      <w:r w:rsidR="00F4248C" w:rsidRPr="007B4FE2">
        <w:rPr>
          <w:rFonts w:ascii="Times New Roman" w:eastAsiaTheme="minorEastAsia" w:hAnsi="Times New Roman" w:cs="Times New Roman"/>
          <w:sz w:val="24"/>
          <w:szCs w:val="24"/>
          <w:lang w:eastAsia="it-IT"/>
        </w:rPr>
        <w:t>proporzionali</w:t>
      </w:r>
      <w:r w:rsidR="00344241" w:rsidRPr="007B4FE2">
        <w:rPr>
          <w:rFonts w:ascii="Times New Roman" w:eastAsiaTheme="minorEastAsia" w:hAnsi="Times New Roman" w:cs="Times New Roman"/>
          <w:sz w:val="24"/>
          <w:szCs w:val="24"/>
          <w:lang w:eastAsia="it-IT"/>
        </w:rPr>
        <w:t xml:space="preserve">tà in senso stretto, </w:t>
      </w:r>
      <w:r w:rsidR="004D0214" w:rsidRPr="007B4FE2">
        <w:rPr>
          <w:rFonts w:ascii="Times New Roman" w:eastAsiaTheme="minorEastAsia" w:hAnsi="Times New Roman" w:cs="Times New Roman"/>
          <w:sz w:val="24"/>
          <w:szCs w:val="24"/>
          <w:lang w:eastAsia="it-IT"/>
        </w:rPr>
        <w:t xml:space="preserve">per evitare che le deroghe </w:t>
      </w:r>
      <w:r w:rsidR="00344241" w:rsidRPr="007B4FE2">
        <w:rPr>
          <w:rFonts w:ascii="Times New Roman" w:eastAsiaTheme="minorEastAsia" w:hAnsi="Times New Roman" w:cs="Times New Roman"/>
          <w:sz w:val="24"/>
          <w:szCs w:val="24"/>
          <w:lang w:eastAsia="it-IT"/>
        </w:rPr>
        <w:t xml:space="preserve">siano tali </w:t>
      </w:r>
      <w:r w:rsidR="00F4248C" w:rsidRPr="007B4FE2">
        <w:rPr>
          <w:rFonts w:ascii="Times New Roman" w:eastAsiaTheme="minorEastAsia" w:hAnsi="Times New Roman" w:cs="Times New Roman"/>
          <w:sz w:val="24"/>
          <w:szCs w:val="24"/>
          <w:lang w:eastAsia="it-IT"/>
        </w:rPr>
        <w:t>da mettere del tutto in forse il perseguiment</w:t>
      </w:r>
      <w:r w:rsidR="004D0214" w:rsidRPr="007B4FE2">
        <w:rPr>
          <w:rFonts w:ascii="Times New Roman" w:eastAsiaTheme="minorEastAsia" w:hAnsi="Times New Roman" w:cs="Times New Roman"/>
          <w:sz w:val="24"/>
          <w:szCs w:val="24"/>
          <w:lang w:eastAsia="it-IT"/>
        </w:rPr>
        <w:t>o degli obiettivi previsti dalla direttiva di volta in volta in questione</w:t>
      </w:r>
      <w:r w:rsidR="00F4248C" w:rsidRPr="007B4FE2">
        <w:rPr>
          <w:rFonts w:ascii="Times New Roman" w:eastAsiaTheme="minorEastAsia" w:hAnsi="Times New Roman" w:cs="Times New Roman"/>
          <w:sz w:val="24"/>
          <w:szCs w:val="24"/>
          <w:vertAlign w:val="superscript"/>
          <w:lang w:eastAsia="it-IT"/>
        </w:rPr>
        <w:footnoteReference w:id="55"/>
      </w:r>
      <w:r w:rsidR="00F4248C" w:rsidRPr="007B4FE2">
        <w:rPr>
          <w:rFonts w:ascii="Times New Roman" w:eastAsiaTheme="minorEastAsia" w:hAnsi="Times New Roman" w:cs="Times New Roman"/>
          <w:bCs/>
          <w:sz w:val="24"/>
          <w:szCs w:val="24"/>
          <w:lang w:eastAsia="it-IT"/>
        </w:rPr>
        <w:t>.</w:t>
      </w:r>
    </w:p>
    <w:p w:rsidR="00344241" w:rsidRPr="007B4FE2" w:rsidRDefault="00344241" w:rsidP="007B4FE2">
      <w:pPr>
        <w:spacing w:after="0" w:line="360" w:lineRule="auto"/>
        <w:ind w:firstLine="709"/>
        <w:jc w:val="both"/>
        <w:rPr>
          <w:rFonts w:ascii="Times New Roman" w:eastAsiaTheme="minorEastAsia" w:hAnsi="Times New Roman" w:cs="Times New Roman"/>
          <w:bCs/>
          <w:sz w:val="24"/>
          <w:szCs w:val="24"/>
          <w:lang w:eastAsia="it-IT"/>
        </w:rPr>
      </w:pPr>
    </w:p>
    <w:p w:rsidR="00F4248C" w:rsidRPr="007B4FE2" w:rsidRDefault="00F4248C" w:rsidP="007B4FE2">
      <w:pPr>
        <w:spacing w:after="0" w:line="360" w:lineRule="auto"/>
        <w:ind w:firstLine="709"/>
        <w:jc w:val="both"/>
        <w:rPr>
          <w:rFonts w:ascii="Times New Roman" w:eastAsiaTheme="minorEastAsia" w:hAnsi="Times New Roman" w:cs="Times New Roman"/>
          <w:sz w:val="24"/>
          <w:szCs w:val="24"/>
          <w:lang w:eastAsia="it-IT"/>
        </w:rPr>
      </w:pPr>
      <w:r w:rsidRPr="007B4FE2">
        <w:rPr>
          <w:rFonts w:ascii="Times New Roman" w:eastAsiaTheme="minorEastAsia" w:hAnsi="Times New Roman" w:cs="Times New Roman"/>
          <w:sz w:val="24"/>
          <w:szCs w:val="24"/>
          <w:lang w:eastAsia="it-IT"/>
        </w:rPr>
        <w:t>La seconda categoria di pronunzie</w:t>
      </w:r>
      <w:r w:rsidR="004D0214" w:rsidRPr="007B4FE2">
        <w:rPr>
          <w:rFonts w:ascii="Times New Roman" w:eastAsiaTheme="minorEastAsia" w:hAnsi="Times New Roman" w:cs="Times New Roman"/>
          <w:sz w:val="24"/>
          <w:szCs w:val="24"/>
          <w:lang w:eastAsia="it-IT"/>
        </w:rPr>
        <w:t>, molto ampia e variegata,</w:t>
      </w:r>
      <w:r w:rsidR="00C50CDF" w:rsidRPr="007B4FE2">
        <w:rPr>
          <w:rFonts w:ascii="Times New Roman" w:eastAsiaTheme="minorEastAsia" w:hAnsi="Times New Roman" w:cs="Times New Roman"/>
          <w:sz w:val="24"/>
          <w:szCs w:val="24"/>
          <w:lang w:eastAsia="it-IT"/>
        </w:rPr>
        <w:t xml:space="preserve"> </w:t>
      </w:r>
      <w:r w:rsidR="00B9172E" w:rsidRPr="007B4FE2">
        <w:rPr>
          <w:rFonts w:ascii="Times New Roman" w:eastAsiaTheme="minorEastAsia" w:hAnsi="Times New Roman" w:cs="Times New Roman"/>
          <w:sz w:val="24"/>
          <w:szCs w:val="24"/>
          <w:lang w:eastAsia="it-IT"/>
        </w:rPr>
        <w:t xml:space="preserve">concerne </w:t>
      </w:r>
      <w:r w:rsidRPr="007B4FE2">
        <w:rPr>
          <w:rFonts w:ascii="Times New Roman" w:eastAsiaTheme="minorEastAsia" w:hAnsi="Times New Roman" w:cs="Times New Roman"/>
          <w:sz w:val="24"/>
          <w:szCs w:val="24"/>
          <w:lang w:eastAsia="it-IT"/>
        </w:rPr>
        <w:t>le misure (normative o amministrative) adottate dagli</w:t>
      </w:r>
      <w:r w:rsidR="00397B14" w:rsidRPr="007B4FE2">
        <w:rPr>
          <w:rFonts w:ascii="Times New Roman" w:eastAsiaTheme="minorEastAsia" w:hAnsi="Times New Roman" w:cs="Times New Roman"/>
          <w:sz w:val="24"/>
          <w:szCs w:val="24"/>
          <w:lang w:eastAsia="it-IT"/>
        </w:rPr>
        <w:t xml:space="preserve"> Stati membri in violazione delle regole </w:t>
      </w:r>
      <w:r w:rsidRPr="007B4FE2">
        <w:rPr>
          <w:rFonts w:ascii="Times New Roman" w:eastAsiaTheme="minorEastAsia" w:hAnsi="Times New Roman" w:cs="Times New Roman"/>
          <w:sz w:val="24"/>
          <w:szCs w:val="24"/>
          <w:lang w:eastAsia="it-IT"/>
        </w:rPr>
        <w:t>di concorrenza</w:t>
      </w:r>
      <w:r w:rsidR="009F6990" w:rsidRPr="007B4FE2">
        <w:rPr>
          <w:rFonts w:ascii="Times New Roman" w:eastAsiaTheme="minorEastAsia" w:hAnsi="Times New Roman" w:cs="Times New Roman"/>
          <w:sz w:val="24"/>
          <w:szCs w:val="24"/>
          <w:lang w:eastAsia="it-IT"/>
        </w:rPr>
        <w:t xml:space="preserve"> o</w:t>
      </w:r>
      <w:r w:rsidR="00397B14" w:rsidRPr="007B4FE2">
        <w:rPr>
          <w:rFonts w:ascii="Times New Roman" w:eastAsiaTheme="minorEastAsia" w:hAnsi="Times New Roman" w:cs="Times New Roman"/>
          <w:sz w:val="24"/>
          <w:szCs w:val="24"/>
          <w:lang w:eastAsia="it-IT"/>
        </w:rPr>
        <w:t xml:space="preserve"> delle libertà di circolazione di beni e servizi</w:t>
      </w:r>
      <w:r w:rsidRPr="007B4FE2">
        <w:rPr>
          <w:rFonts w:ascii="Times New Roman" w:eastAsiaTheme="minorEastAsia" w:hAnsi="Times New Roman" w:cs="Times New Roman"/>
          <w:sz w:val="24"/>
          <w:szCs w:val="24"/>
          <w:vertAlign w:val="superscript"/>
          <w:lang w:eastAsia="it-IT"/>
        </w:rPr>
        <w:footnoteReference w:id="56"/>
      </w:r>
      <w:r w:rsidRPr="007B4FE2">
        <w:rPr>
          <w:rFonts w:ascii="Times New Roman" w:eastAsiaTheme="minorEastAsia" w:hAnsi="Times New Roman" w:cs="Times New Roman"/>
          <w:bCs/>
          <w:sz w:val="24"/>
          <w:szCs w:val="24"/>
          <w:lang w:eastAsia="it-IT"/>
        </w:rPr>
        <w:t>.</w:t>
      </w:r>
      <w:r w:rsidR="004D0214" w:rsidRPr="007B4FE2">
        <w:rPr>
          <w:rFonts w:ascii="Times New Roman" w:eastAsiaTheme="minorEastAsia" w:hAnsi="Times New Roman" w:cs="Times New Roman"/>
          <w:bCs/>
          <w:sz w:val="24"/>
          <w:szCs w:val="24"/>
          <w:lang w:eastAsia="it-IT"/>
        </w:rPr>
        <w:t xml:space="preserve"> Anche in</w:t>
      </w:r>
      <w:r w:rsidR="00C50CDF" w:rsidRPr="007B4FE2">
        <w:rPr>
          <w:rFonts w:ascii="Times New Roman" w:eastAsiaTheme="minorEastAsia" w:hAnsi="Times New Roman" w:cs="Times New Roman"/>
          <w:bCs/>
          <w:sz w:val="24"/>
          <w:szCs w:val="24"/>
          <w:lang w:eastAsia="it-IT"/>
        </w:rPr>
        <w:t xml:space="preserve"> </w:t>
      </w:r>
      <w:r w:rsidR="004D0214" w:rsidRPr="007B4FE2">
        <w:rPr>
          <w:rFonts w:ascii="Times New Roman" w:eastAsiaTheme="minorEastAsia" w:hAnsi="Times New Roman" w:cs="Times New Roman"/>
          <w:bCs/>
          <w:sz w:val="24"/>
          <w:szCs w:val="24"/>
          <w:lang w:eastAsia="it-IT"/>
        </w:rPr>
        <w:t>questo caso,</w:t>
      </w:r>
      <w:r w:rsidRPr="007B4FE2">
        <w:rPr>
          <w:rFonts w:ascii="Times New Roman" w:eastAsiaTheme="minorEastAsia" w:hAnsi="Times New Roman" w:cs="Times New Roman"/>
          <w:bCs/>
          <w:sz w:val="24"/>
          <w:szCs w:val="24"/>
          <w:lang w:eastAsia="it-IT"/>
        </w:rPr>
        <w:t xml:space="preserve"> la verifica </w:t>
      </w:r>
      <w:r w:rsidR="004D0214" w:rsidRPr="007B4FE2">
        <w:rPr>
          <w:rFonts w:ascii="Times New Roman" w:eastAsiaTheme="minorEastAsia" w:hAnsi="Times New Roman" w:cs="Times New Roman"/>
          <w:bCs/>
          <w:sz w:val="24"/>
          <w:szCs w:val="24"/>
          <w:lang w:eastAsia="it-IT"/>
        </w:rPr>
        <w:t xml:space="preserve">della Corte UE è molto </w:t>
      </w:r>
      <w:r w:rsidRPr="007B4FE2">
        <w:rPr>
          <w:rFonts w:ascii="Times New Roman" w:eastAsiaTheme="minorEastAsia" w:hAnsi="Times New Roman" w:cs="Times New Roman"/>
          <w:bCs/>
          <w:sz w:val="24"/>
          <w:szCs w:val="24"/>
          <w:lang w:eastAsia="it-IT"/>
        </w:rPr>
        <w:t xml:space="preserve">pregnante </w:t>
      </w:r>
      <w:r w:rsidR="004D0214" w:rsidRPr="007B4FE2">
        <w:rPr>
          <w:rFonts w:ascii="Times New Roman" w:eastAsiaTheme="minorEastAsia" w:hAnsi="Times New Roman" w:cs="Times New Roman"/>
          <w:bCs/>
          <w:sz w:val="24"/>
          <w:szCs w:val="24"/>
          <w:lang w:eastAsia="it-IT"/>
        </w:rPr>
        <w:t xml:space="preserve">ed implica </w:t>
      </w:r>
      <w:r w:rsidRPr="007B4FE2">
        <w:rPr>
          <w:rFonts w:ascii="Times New Roman" w:eastAsiaTheme="minorEastAsia" w:hAnsi="Times New Roman" w:cs="Times New Roman"/>
          <w:bCs/>
          <w:sz w:val="24"/>
          <w:szCs w:val="24"/>
          <w:lang w:eastAsia="it-IT"/>
        </w:rPr>
        <w:t>un partic</w:t>
      </w:r>
      <w:bookmarkEnd w:id="0"/>
      <w:r w:rsidRPr="007B4FE2">
        <w:rPr>
          <w:rFonts w:ascii="Times New Roman" w:eastAsiaTheme="minorEastAsia" w:hAnsi="Times New Roman" w:cs="Times New Roman"/>
          <w:bCs/>
          <w:sz w:val="24"/>
          <w:szCs w:val="24"/>
          <w:lang w:eastAsia="it-IT"/>
        </w:rPr>
        <w:t>olare onere probatorio a carico dello Stato membro</w:t>
      </w:r>
      <w:r w:rsidR="00B07F5E" w:rsidRPr="007B4FE2">
        <w:rPr>
          <w:rFonts w:ascii="Times New Roman" w:eastAsiaTheme="minorEastAsia" w:hAnsi="Times New Roman" w:cs="Times New Roman"/>
          <w:bCs/>
          <w:sz w:val="24"/>
          <w:szCs w:val="24"/>
          <w:lang w:eastAsia="it-IT"/>
        </w:rPr>
        <w:t xml:space="preserve"> per</w:t>
      </w:r>
      <w:r w:rsidR="00C50CDF" w:rsidRPr="007B4FE2">
        <w:rPr>
          <w:rFonts w:ascii="Times New Roman" w:eastAsiaTheme="minorEastAsia" w:hAnsi="Times New Roman" w:cs="Times New Roman"/>
          <w:bCs/>
          <w:sz w:val="24"/>
          <w:szCs w:val="24"/>
          <w:lang w:eastAsia="it-IT"/>
        </w:rPr>
        <w:t xml:space="preserve"> </w:t>
      </w:r>
      <w:r w:rsidRPr="007B4FE2">
        <w:rPr>
          <w:rFonts w:ascii="Times New Roman" w:eastAsiaTheme="minorEastAsia" w:hAnsi="Times New Roman" w:cs="Times New Roman"/>
          <w:bCs/>
          <w:sz w:val="24"/>
          <w:szCs w:val="24"/>
          <w:lang w:eastAsia="it-IT"/>
        </w:rPr>
        <w:t>dimostrare la proporzionalità della misura controversa</w:t>
      </w:r>
      <w:r w:rsidRPr="007B4FE2">
        <w:rPr>
          <w:rFonts w:ascii="Times New Roman" w:eastAsiaTheme="minorEastAsia" w:hAnsi="Times New Roman" w:cs="Times New Roman"/>
          <w:bCs/>
          <w:sz w:val="24"/>
          <w:szCs w:val="24"/>
          <w:vertAlign w:val="superscript"/>
          <w:lang w:eastAsia="it-IT"/>
        </w:rPr>
        <w:footnoteReference w:id="57"/>
      </w:r>
      <w:r w:rsidRPr="007B4FE2">
        <w:rPr>
          <w:rFonts w:ascii="Times New Roman" w:eastAsiaTheme="minorEastAsia" w:hAnsi="Times New Roman" w:cs="Times New Roman"/>
          <w:bCs/>
          <w:sz w:val="24"/>
          <w:szCs w:val="24"/>
          <w:lang w:eastAsia="it-IT"/>
        </w:rPr>
        <w:t xml:space="preserve">. </w:t>
      </w:r>
      <w:r w:rsidRPr="007B4FE2">
        <w:rPr>
          <w:rFonts w:ascii="Times New Roman" w:eastAsiaTheme="minorEastAsia" w:hAnsi="Times New Roman" w:cs="Times New Roman"/>
          <w:sz w:val="24"/>
          <w:szCs w:val="24"/>
          <w:lang w:eastAsia="it-IT"/>
        </w:rPr>
        <w:t>A tale proposito la giurisprudenza</w:t>
      </w:r>
      <w:r w:rsidR="00EE74BA">
        <w:rPr>
          <w:rFonts w:ascii="Times New Roman" w:eastAsiaTheme="minorEastAsia" w:hAnsi="Times New Roman" w:cs="Times New Roman"/>
          <w:sz w:val="24"/>
          <w:szCs w:val="24"/>
          <w:lang w:eastAsia="it-IT"/>
        </w:rPr>
        <w:t xml:space="preserve"> </w:t>
      </w:r>
      <w:r w:rsidR="00AA5A1B">
        <w:rPr>
          <w:rFonts w:ascii="Times New Roman" w:eastAsiaTheme="minorEastAsia" w:hAnsi="Times New Roman" w:cs="Times New Roman"/>
          <w:sz w:val="24"/>
          <w:szCs w:val="24"/>
          <w:lang w:eastAsia="it-IT"/>
        </w:rPr>
        <w:t xml:space="preserve">delle Corti UE </w:t>
      </w:r>
      <w:r w:rsidRPr="007B4FE2">
        <w:rPr>
          <w:rFonts w:ascii="Times New Roman" w:eastAsiaTheme="minorEastAsia" w:hAnsi="Times New Roman" w:cs="Times New Roman"/>
          <w:sz w:val="24"/>
          <w:szCs w:val="24"/>
          <w:lang w:eastAsia="it-IT"/>
        </w:rPr>
        <w:t>appare tanto vasta, quanto costante nel mantenere i suoi indirizzi.</w:t>
      </w:r>
    </w:p>
    <w:p w:rsidR="00F4248C" w:rsidRPr="007B4FE2" w:rsidRDefault="00F4248C" w:rsidP="007B4FE2">
      <w:pPr>
        <w:spacing w:after="0" w:line="360" w:lineRule="auto"/>
        <w:ind w:firstLine="709"/>
        <w:jc w:val="both"/>
        <w:rPr>
          <w:rFonts w:ascii="Times New Roman" w:eastAsiaTheme="minorEastAsia" w:hAnsi="Times New Roman" w:cs="Times New Roman"/>
          <w:sz w:val="24"/>
          <w:szCs w:val="24"/>
          <w:lang w:eastAsia="it-IT"/>
        </w:rPr>
      </w:pPr>
      <w:r w:rsidRPr="007B4FE2">
        <w:rPr>
          <w:rFonts w:ascii="Times New Roman" w:eastAsiaTheme="minorEastAsia" w:hAnsi="Times New Roman" w:cs="Times New Roman"/>
          <w:sz w:val="24"/>
          <w:szCs w:val="24"/>
          <w:lang w:eastAsia="it-IT"/>
        </w:rPr>
        <w:t>Infine - sempre con riguardo al sindacato di proporzionalità delle misure ado</w:t>
      </w:r>
      <w:r w:rsidR="00342245">
        <w:rPr>
          <w:rFonts w:ascii="Times New Roman" w:eastAsiaTheme="minorEastAsia" w:hAnsi="Times New Roman" w:cs="Times New Roman"/>
          <w:sz w:val="24"/>
          <w:szCs w:val="24"/>
          <w:lang w:eastAsia="it-IT"/>
        </w:rPr>
        <w:t>ttate da Stati membri - vi sono ovviamente</w:t>
      </w:r>
      <w:r w:rsidRPr="007B4FE2">
        <w:rPr>
          <w:rFonts w:ascii="Times New Roman" w:eastAsiaTheme="minorEastAsia" w:hAnsi="Times New Roman" w:cs="Times New Roman"/>
          <w:sz w:val="24"/>
          <w:szCs w:val="24"/>
          <w:lang w:eastAsia="it-IT"/>
        </w:rPr>
        <w:t xml:space="preserve"> tutte quelle pronunzie relative a rinvii pregiudiziali ed in cui l’applicazione del principio di proporzionalità viene in questione rispetto ad atti nazionali che implementino norme comunitarie: in particolare per quel che concerne l’applicazione di sanzioni o l’erogazione di benefici</w:t>
      </w:r>
      <w:r w:rsidRPr="007B4FE2">
        <w:rPr>
          <w:rFonts w:ascii="Times New Roman" w:eastAsiaTheme="minorEastAsia" w:hAnsi="Times New Roman" w:cs="Times New Roman"/>
          <w:sz w:val="24"/>
          <w:szCs w:val="24"/>
          <w:vertAlign w:val="superscript"/>
          <w:lang w:eastAsia="it-IT"/>
        </w:rPr>
        <w:footnoteReference w:id="58"/>
      </w:r>
      <w:r w:rsidRPr="007B4FE2">
        <w:rPr>
          <w:rFonts w:ascii="Times New Roman" w:eastAsiaTheme="minorEastAsia" w:hAnsi="Times New Roman" w:cs="Times New Roman"/>
          <w:bCs/>
          <w:sz w:val="24"/>
          <w:szCs w:val="24"/>
          <w:lang w:eastAsia="it-IT"/>
        </w:rPr>
        <w:t xml:space="preserve">. </w:t>
      </w:r>
    </w:p>
    <w:p w:rsidR="00530E3C" w:rsidRPr="007B4FE2" w:rsidRDefault="00F4248C"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Quanto, infine,</w:t>
      </w:r>
      <w:r w:rsidR="00FC2497" w:rsidRPr="007B4FE2">
        <w:rPr>
          <w:rFonts w:ascii="Times New Roman" w:hAnsi="Times New Roman" w:cs="Times New Roman"/>
          <w:sz w:val="24"/>
          <w:szCs w:val="24"/>
        </w:rPr>
        <w:t xml:space="preserve"> </w:t>
      </w:r>
      <w:r w:rsidRPr="007B4FE2">
        <w:rPr>
          <w:rFonts w:ascii="Times New Roman" w:hAnsi="Times New Roman" w:cs="Times New Roman"/>
          <w:sz w:val="24"/>
          <w:szCs w:val="24"/>
        </w:rPr>
        <w:t>agli ambiti di diritto materiale interessati</w:t>
      </w:r>
      <w:r w:rsidR="00A765EF" w:rsidRPr="007B4FE2">
        <w:rPr>
          <w:rFonts w:ascii="Times New Roman" w:hAnsi="Times New Roman" w:cs="Times New Roman"/>
          <w:sz w:val="24"/>
          <w:szCs w:val="24"/>
        </w:rPr>
        <w:t xml:space="preserve"> dalla giurisprudenza UE che fa applicazione del principio di proporzionalità</w:t>
      </w:r>
      <w:r w:rsidRPr="007B4FE2">
        <w:rPr>
          <w:rFonts w:ascii="Times New Roman" w:hAnsi="Times New Roman" w:cs="Times New Roman"/>
          <w:sz w:val="24"/>
          <w:szCs w:val="24"/>
        </w:rPr>
        <w:t>, la maggior</w:t>
      </w:r>
      <w:r w:rsidR="00530E3C" w:rsidRPr="007B4FE2">
        <w:rPr>
          <w:rFonts w:ascii="Times New Roman" w:hAnsi="Times New Roman" w:cs="Times New Roman"/>
          <w:sz w:val="24"/>
          <w:szCs w:val="24"/>
        </w:rPr>
        <w:t xml:space="preserve"> casistica concerne senz’altro i provvedimenti d’irrogazione di sanzioni di qualsivoglia natura, nei diversi settori di intervento delle politiche comunitarie. Ma anche l’ambito relativo all’adozione di misure di intervento correttivo sul libero mercato (provvedimenti di limitazione delle quote di produzione, erogazione di sovvenzioni comunitarie etc.)</w:t>
      </w:r>
      <w:r w:rsidR="004A28AE" w:rsidRPr="007B4FE2">
        <w:rPr>
          <w:rStyle w:val="Rimandonotaapidipagina"/>
          <w:rFonts w:ascii="Times New Roman" w:hAnsi="Times New Roman" w:cs="Times New Roman"/>
          <w:sz w:val="24"/>
          <w:szCs w:val="24"/>
        </w:rPr>
        <w:footnoteReference w:id="59"/>
      </w:r>
      <w:r w:rsidR="00530E3C" w:rsidRPr="007B4FE2">
        <w:rPr>
          <w:rFonts w:ascii="Times New Roman" w:hAnsi="Times New Roman" w:cs="Times New Roman"/>
          <w:sz w:val="24"/>
          <w:szCs w:val="24"/>
        </w:rPr>
        <w:t>.</w:t>
      </w:r>
    </w:p>
    <w:p w:rsidR="00530E3C" w:rsidRPr="007B4FE2" w:rsidRDefault="00530E3C" w:rsidP="007B4FE2">
      <w:pPr>
        <w:pStyle w:val="Paragrafoelenco"/>
        <w:spacing w:line="360" w:lineRule="auto"/>
        <w:ind w:left="0" w:firstLine="709"/>
        <w:jc w:val="both"/>
        <w:rPr>
          <w:rFonts w:ascii="Times New Roman" w:hAnsi="Times New Roman"/>
          <w:sz w:val="24"/>
          <w:szCs w:val="24"/>
        </w:rPr>
      </w:pPr>
      <w:r w:rsidRPr="00342245">
        <w:rPr>
          <w:rFonts w:ascii="Times New Roman" w:hAnsi="Times New Roman"/>
          <w:sz w:val="24"/>
          <w:szCs w:val="24"/>
        </w:rPr>
        <w:t>Da ultimo</w:t>
      </w:r>
      <w:r w:rsidR="00F4248C" w:rsidRPr="00342245">
        <w:rPr>
          <w:rFonts w:ascii="Times New Roman" w:hAnsi="Times New Roman"/>
          <w:sz w:val="24"/>
          <w:szCs w:val="24"/>
        </w:rPr>
        <w:t xml:space="preserve"> -</w:t>
      </w:r>
      <w:r w:rsidR="00FC2497" w:rsidRPr="00342245">
        <w:rPr>
          <w:rFonts w:ascii="Times New Roman" w:hAnsi="Times New Roman"/>
          <w:sz w:val="24"/>
          <w:szCs w:val="24"/>
        </w:rPr>
        <w:t xml:space="preserve"> </w:t>
      </w:r>
      <w:r w:rsidR="00F4248C" w:rsidRPr="00342245">
        <w:rPr>
          <w:rFonts w:ascii="Times New Roman" w:hAnsi="Times New Roman"/>
          <w:sz w:val="24"/>
          <w:szCs w:val="24"/>
        </w:rPr>
        <w:t xml:space="preserve">ed è </w:t>
      </w:r>
      <w:r w:rsidR="00963150" w:rsidRPr="00342245">
        <w:rPr>
          <w:rFonts w:ascii="Times New Roman" w:hAnsi="Times New Roman"/>
          <w:sz w:val="24"/>
          <w:szCs w:val="24"/>
        </w:rPr>
        <w:t xml:space="preserve">molto </w:t>
      </w:r>
      <w:r w:rsidR="00F4248C" w:rsidRPr="00342245">
        <w:rPr>
          <w:rFonts w:ascii="Times New Roman" w:hAnsi="Times New Roman"/>
          <w:sz w:val="24"/>
          <w:szCs w:val="24"/>
        </w:rPr>
        <w:t>importa</w:t>
      </w:r>
      <w:r w:rsidR="00963150" w:rsidRPr="00342245">
        <w:rPr>
          <w:rFonts w:ascii="Times New Roman" w:hAnsi="Times New Roman"/>
          <w:sz w:val="24"/>
          <w:szCs w:val="24"/>
        </w:rPr>
        <w:t>n</w:t>
      </w:r>
      <w:r w:rsidR="00F4248C" w:rsidRPr="00342245">
        <w:rPr>
          <w:rFonts w:ascii="Times New Roman" w:hAnsi="Times New Roman"/>
          <w:sz w:val="24"/>
          <w:szCs w:val="24"/>
        </w:rPr>
        <w:t>te sottolinearlo</w:t>
      </w:r>
      <w:r w:rsidR="00C50CDF" w:rsidRPr="00342245">
        <w:rPr>
          <w:rFonts w:ascii="Times New Roman" w:hAnsi="Times New Roman"/>
          <w:sz w:val="24"/>
          <w:szCs w:val="24"/>
        </w:rPr>
        <w:t xml:space="preserve"> </w:t>
      </w:r>
      <w:r w:rsidR="00963150" w:rsidRPr="00342245">
        <w:rPr>
          <w:rFonts w:ascii="Times New Roman" w:hAnsi="Times New Roman"/>
          <w:sz w:val="24"/>
          <w:szCs w:val="24"/>
        </w:rPr>
        <w:t xml:space="preserve">in questa sede </w:t>
      </w:r>
      <w:r w:rsidR="00F4248C" w:rsidRPr="00342245">
        <w:rPr>
          <w:rFonts w:ascii="Times New Roman" w:hAnsi="Times New Roman"/>
          <w:sz w:val="24"/>
          <w:szCs w:val="24"/>
        </w:rPr>
        <w:t>-</w:t>
      </w:r>
      <w:r w:rsidR="00FC2497" w:rsidRPr="00342245">
        <w:rPr>
          <w:rFonts w:ascii="Times New Roman" w:hAnsi="Times New Roman"/>
          <w:sz w:val="24"/>
          <w:szCs w:val="24"/>
        </w:rPr>
        <w:t xml:space="preserve"> </w:t>
      </w:r>
      <w:r w:rsidRPr="00342245">
        <w:rPr>
          <w:rFonts w:ascii="Times New Roman" w:hAnsi="Times New Roman"/>
          <w:sz w:val="24"/>
          <w:szCs w:val="24"/>
        </w:rPr>
        <w:t>il principio</w:t>
      </w:r>
      <w:r w:rsidR="00963150" w:rsidRPr="00342245">
        <w:rPr>
          <w:rFonts w:ascii="Times New Roman" w:hAnsi="Times New Roman"/>
          <w:sz w:val="24"/>
          <w:szCs w:val="24"/>
        </w:rPr>
        <w:t xml:space="preserve"> di proporzionalità</w:t>
      </w:r>
      <w:r w:rsidR="00C50CDF" w:rsidRPr="00342245">
        <w:rPr>
          <w:rFonts w:ascii="Times New Roman" w:hAnsi="Times New Roman"/>
          <w:sz w:val="24"/>
          <w:szCs w:val="24"/>
        </w:rPr>
        <w:t xml:space="preserve"> </w:t>
      </w:r>
      <w:r w:rsidRPr="00342245">
        <w:rPr>
          <w:rFonts w:ascii="Times New Roman" w:hAnsi="Times New Roman"/>
          <w:sz w:val="24"/>
          <w:szCs w:val="24"/>
        </w:rPr>
        <w:t>è stato inserito nella Carta dei diritti fondamentali dell'Unione Europ</w:t>
      </w:r>
      <w:r w:rsidRPr="007B4FE2">
        <w:rPr>
          <w:rFonts w:ascii="Times New Roman" w:hAnsi="Times New Roman"/>
          <w:sz w:val="24"/>
          <w:szCs w:val="24"/>
        </w:rPr>
        <w:t>ea: nell'art. 52, comma 1, come principio di riferimento in caso di limitazioni ai diritti e alle libertà riconosciute dalla Carta per “</w:t>
      </w:r>
      <w:r w:rsidRPr="007B4FE2">
        <w:rPr>
          <w:rFonts w:ascii="Times New Roman" w:hAnsi="Times New Roman"/>
          <w:i/>
          <w:sz w:val="24"/>
          <w:szCs w:val="24"/>
        </w:rPr>
        <w:t>finalità di interesse generale riconosciute dall'Unione</w:t>
      </w:r>
      <w:r w:rsidRPr="007B4FE2">
        <w:rPr>
          <w:rFonts w:ascii="Times New Roman" w:hAnsi="Times New Roman"/>
          <w:sz w:val="24"/>
          <w:szCs w:val="24"/>
        </w:rPr>
        <w:t>” o per la</w:t>
      </w:r>
      <w:r w:rsidRPr="007B4FE2">
        <w:rPr>
          <w:rFonts w:ascii="Times New Roman" w:hAnsi="Times New Roman"/>
          <w:i/>
          <w:sz w:val="24"/>
          <w:szCs w:val="24"/>
        </w:rPr>
        <w:t xml:space="preserve"> “esigenza di proteggere i diritti e le libertà altrui</w:t>
      </w:r>
      <w:r w:rsidRPr="007B4FE2">
        <w:rPr>
          <w:rFonts w:ascii="Times New Roman" w:hAnsi="Times New Roman"/>
          <w:sz w:val="24"/>
          <w:szCs w:val="24"/>
        </w:rPr>
        <w:t>”.</w:t>
      </w:r>
      <w:r w:rsidR="00A426A0" w:rsidRPr="007B4FE2">
        <w:rPr>
          <w:rFonts w:ascii="Times New Roman" w:hAnsi="Times New Roman"/>
          <w:sz w:val="24"/>
          <w:szCs w:val="24"/>
        </w:rPr>
        <w:t xml:space="preserve"> </w:t>
      </w:r>
      <w:r w:rsidR="00963150" w:rsidRPr="007B4FE2">
        <w:rPr>
          <w:rFonts w:ascii="Times New Roman" w:hAnsi="Times New Roman"/>
          <w:sz w:val="24"/>
          <w:szCs w:val="24"/>
        </w:rPr>
        <w:t>Sicché appare</w:t>
      </w:r>
      <w:r w:rsidR="00AC47C0" w:rsidRPr="007B4FE2">
        <w:rPr>
          <w:rFonts w:ascii="Times New Roman" w:hAnsi="Times New Roman"/>
          <w:sz w:val="24"/>
          <w:szCs w:val="24"/>
        </w:rPr>
        <w:t xml:space="preserve"> </w:t>
      </w:r>
      <w:r w:rsidRPr="007B4FE2">
        <w:rPr>
          <w:rFonts w:ascii="Times New Roman" w:hAnsi="Times New Roman"/>
          <w:sz w:val="24"/>
          <w:szCs w:val="24"/>
        </w:rPr>
        <w:t>evidente</w:t>
      </w:r>
      <w:r w:rsidR="000641DF" w:rsidRPr="007B4FE2">
        <w:rPr>
          <w:rFonts w:ascii="Times New Roman" w:hAnsi="Times New Roman"/>
          <w:sz w:val="24"/>
          <w:szCs w:val="24"/>
        </w:rPr>
        <w:t xml:space="preserve"> </w:t>
      </w:r>
      <w:r w:rsidRPr="007B4FE2">
        <w:rPr>
          <w:rFonts w:ascii="Times New Roman" w:hAnsi="Times New Roman"/>
          <w:sz w:val="24"/>
          <w:szCs w:val="24"/>
        </w:rPr>
        <w:t xml:space="preserve">l’analogia con l’art. 19 della </w:t>
      </w:r>
      <w:proofErr w:type="spellStart"/>
      <w:r w:rsidR="000641DF" w:rsidRPr="007B4FE2">
        <w:rPr>
          <w:rFonts w:ascii="Times New Roman" w:hAnsi="Times New Roman"/>
          <w:i/>
          <w:sz w:val="24"/>
          <w:szCs w:val="24"/>
        </w:rPr>
        <w:t>Grundgesetz</w:t>
      </w:r>
      <w:proofErr w:type="spellEnd"/>
      <w:r w:rsidR="000641DF" w:rsidRPr="007B4FE2">
        <w:rPr>
          <w:rFonts w:ascii="Times New Roman" w:hAnsi="Times New Roman"/>
          <w:i/>
          <w:sz w:val="24"/>
          <w:szCs w:val="24"/>
        </w:rPr>
        <w:t xml:space="preserve"> </w:t>
      </w:r>
      <w:r w:rsidR="000641DF" w:rsidRPr="007B4FE2">
        <w:rPr>
          <w:rFonts w:ascii="Times New Roman" w:hAnsi="Times New Roman"/>
          <w:sz w:val="24"/>
          <w:szCs w:val="24"/>
        </w:rPr>
        <w:t xml:space="preserve">tedesca sulla </w:t>
      </w:r>
      <w:r w:rsidRPr="007B4FE2">
        <w:rPr>
          <w:rFonts w:ascii="Times New Roman" w:hAnsi="Times New Roman"/>
          <w:sz w:val="24"/>
          <w:szCs w:val="24"/>
        </w:rPr>
        <w:t xml:space="preserve">c.d. </w:t>
      </w:r>
      <w:proofErr w:type="spellStart"/>
      <w:r w:rsidRPr="00B968B7">
        <w:rPr>
          <w:rFonts w:ascii="Times New Roman" w:hAnsi="Times New Roman"/>
          <w:i/>
          <w:sz w:val="24"/>
          <w:szCs w:val="24"/>
        </w:rPr>
        <w:t>Wesensgehaltgarantie</w:t>
      </w:r>
      <w:proofErr w:type="spellEnd"/>
      <w:r w:rsidR="00A426A0" w:rsidRPr="007B4FE2">
        <w:rPr>
          <w:rFonts w:ascii="Times New Roman" w:hAnsi="Times New Roman"/>
          <w:sz w:val="24"/>
          <w:szCs w:val="24"/>
        </w:rPr>
        <w:t>, di cui già si è detto</w:t>
      </w:r>
      <w:r w:rsidR="00A426A0" w:rsidRPr="007B4FE2">
        <w:rPr>
          <w:rStyle w:val="Rimandonotaapidipagina"/>
          <w:rFonts w:ascii="Times New Roman" w:hAnsi="Times New Roman"/>
          <w:sz w:val="24"/>
          <w:szCs w:val="24"/>
        </w:rPr>
        <w:footnoteReference w:id="60"/>
      </w:r>
      <w:r w:rsidR="00A426A0" w:rsidRPr="007B4FE2">
        <w:rPr>
          <w:rFonts w:ascii="Times New Roman" w:hAnsi="Times New Roman"/>
          <w:sz w:val="24"/>
          <w:szCs w:val="24"/>
        </w:rPr>
        <w:t>.</w:t>
      </w:r>
    </w:p>
    <w:p w:rsidR="00530E3C" w:rsidRPr="007B4FE2" w:rsidRDefault="00963150" w:rsidP="007B4FE2">
      <w:pPr>
        <w:spacing w:after="0" w:line="360" w:lineRule="auto"/>
        <w:ind w:firstLine="709"/>
        <w:jc w:val="both"/>
        <w:rPr>
          <w:rStyle w:val="hps"/>
          <w:rFonts w:ascii="Times New Roman" w:hAnsi="Times New Roman" w:cs="Times New Roman"/>
          <w:sz w:val="24"/>
          <w:szCs w:val="24"/>
        </w:rPr>
      </w:pPr>
      <w:r w:rsidRPr="007B4FE2">
        <w:rPr>
          <w:rStyle w:val="hps"/>
          <w:rFonts w:ascii="Times New Roman" w:hAnsi="Times New Roman" w:cs="Times New Roman"/>
          <w:sz w:val="24"/>
          <w:szCs w:val="24"/>
        </w:rPr>
        <w:t>Tutto quanto</w:t>
      </w:r>
      <w:r w:rsidR="00C50CDF" w:rsidRPr="007B4FE2">
        <w:rPr>
          <w:rStyle w:val="hps"/>
          <w:rFonts w:ascii="Times New Roman" w:hAnsi="Times New Roman" w:cs="Times New Roman"/>
          <w:sz w:val="24"/>
          <w:szCs w:val="24"/>
        </w:rPr>
        <w:t xml:space="preserve"> </w:t>
      </w:r>
      <w:r w:rsidRPr="007B4FE2">
        <w:rPr>
          <w:rStyle w:val="hps"/>
          <w:rFonts w:ascii="Times New Roman" w:hAnsi="Times New Roman" w:cs="Times New Roman"/>
          <w:sz w:val="24"/>
          <w:szCs w:val="24"/>
        </w:rPr>
        <w:t xml:space="preserve">si è sin qui detto conferma chiaramente che, ad oggi, </w:t>
      </w:r>
      <w:r w:rsidR="00530E3C" w:rsidRPr="007B4FE2">
        <w:rPr>
          <w:rStyle w:val="hps"/>
          <w:rFonts w:ascii="Times New Roman" w:hAnsi="Times New Roman" w:cs="Times New Roman"/>
          <w:sz w:val="24"/>
          <w:szCs w:val="24"/>
        </w:rPr>
        <w:t>non può esservi</w:t>
      </w:r>
      <w:r w:rsidR="000641DF" w:rsidRPr="007B4FE2">
        <w:rPr>
          <w:rStyle w:val="hps"/>
          <w:rFonts w:ascii="Times New Roman" w:hAnsi="Times New Roman" w:cs="Times New Roman"/>
          <w:sz w:val="24"/>
          <w:szCs w:val="24"/>
        </w:rPr>
        <w:t xml:space="preserve"> </w:t>
      </w:r>
      <w:r w:rsidR="00EF3545" w:rsidRPr="007B4FE2">
        <w:rPr>
          <w:rStyle w:val="hps"/>
          <w:rFonts w:ascii="Times New Roman" w:hAnsi="Times New Roman" w:cs="Times New Roman"/>
          <w:sz w:val="24"/>
          <w:szCs w:val="24"/>
        </w:rPr>
        <w:t>più</w:t>
      </w:r>
      <w:r w:rsidR="00AC47C0" w:rsidRPr="007B4FE2">
        <w:rPr>
          <w:rStyle w:val="hps"/>
          <w:rFonts w:ascii="Times New Roman" w:hAnsi="Times New Roman" w:cs="Times New Roman"/>
          <w:sz w:val="24"/>
          <w:szCs w:val="24"/>
        </w:rPr>
        <w:t xml:space="preserve"> </w:t>
      </w:r>
      <w:r w:rsidR="00530E3C" w:rsidRPr="007B4FE2">
        <w:rPr>
          <w:rStyle w:val="hps"/>
          <w:rFonts w:ascii="Times New Roman" w:hAnsi="Times New Roman" w:cs="Times New Roman"/>
          <w:sz w:val="24"/>
          <w:szCs w:val="24"/>
        </w:rPr>
        <w:t>alcun dubbio (o discussione) sull’efficacia vincolante del principio di proporzionalità nel diritto UE: sia rispetto all’attività di Istituzioni, organi ed organismi dell’Unione</w:t>
      </w:r>
      <w:r w:rsidR="000641DF" w:rsidRPr="007B4FE2">
        <w:rPr>
          <w:rStyle w:val="hps"/>
          <w:rFonts w:ascii="Times New Roman" w:hAnsi="Times New Roman" w:cs="Times New Roman"/>
          <w:sz w:val="24"/>
          <w:szCs w:val="24"/>
        </w:rPr>
        <w:t>,</w:t>
      </w:r>
      <w:r w:rsidR="00AC47C0" w:rsidRPr="007B4FE2">
        <w:rPr>
          <w:rStyle w:val="hps"/>
          <w:rFonts w:ascii="Times New Roman" w:hAnsi="Times New Roman" w:cs="Times New Roman"/>
          <w:sz w:val="24"/>
          <w:szCs w:val="24"/>
        </w:rPr>
        <w:t xml:space="preserve"> </w:t>
      </w:r>
      <w:r w:rsidR="00530E3C" w:rsidRPr="007B4FE2">
        <w:rPr>
          <w:rStyle w:val="hps"/>
          <w:rFonts w:ascii="Times New Roman" w:hAnsi="Times New Roman" w:cs="Times New Roman"/>
          <w:sz w:val="24"/>
          <w:szCs w:val="24"/>
        </w:rPr>
        <w:t>che rispetto alle attività di Autorità degli Stati membri che agiscano i</w:t>
      </w:r>
      <w:r w:rsidR="00530E3C" w:rsidRPr="007B4FE2">
        <w:rPr>
          <w:rFonts w:ascii="Times New Roman" w:hAnsi="Times New Roman" w:cs="Times New Roman"/>
          <w:sz w:val="24"/>
          <w:szCs w:val="24"/>
        </w:rPr>
        <w:t>n esecuzione degli obblighi loro derivanti dal diritto dell’Unione</w:t>
      </w:r>
      <w:r w:rsidRPr="007B4FE2">
        <w:rPr>
          <w:rFonts w:ascii="Times New Roman" w:hAnsi="Times New Roman" w:cs="Times New Roman"/>
          <w:sz w:val="24"/>
          <w:szCs w:val="24"/>
        </w:rPr>
        <w:t xml:space="preserve"> come abbiamo visto. Ma</w:t>
      </w:r>
      <w:r w:rsidR="00C50CDF" w:rsidRPr="007B4FE2">
        <w:rPr>
          <w:rFonts w:ascii="Times New Roman" w:hAnsi="Times New Roman" w:cs="Times New Roman"/>
          <w:sz w:val="24"/>
          <w:szCs w:val="24"/>
        </w:rPr>
        <w:t xml:space="preserve"> </w:t>
      </w:r>
      <w:r w:rsidRPr="007B4FE2">
        <w:rPr>
          <w:rFonts w:ascii="Times New Roman" w:hAnsi="Times New Roman" w:cs="Times New Roman"/>
          <w:sz w:val="24"/>
          <w:szCs w:val="24"/>
        </w:rPr>
        <w:t>anche -</w:t>
      </w:r>
      <w:r w:rsidR="00C50CDF"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è più ampiamente - </w:t>
      </w:r>
      <w:r w:rsidRPr="007B4FE2">
        <w:rPr>
          <w:rStyle w:val="hps"/>
          <w:rFonts w:ascii="Times New Roman" w:hAnsi="Times New Roman" w:cs="Times New Roman"/>
          <w:sz w:val="24"/>
          <w:szCs w:val="24"/>
        </w:rPr>
        <w:t xml:space="preserve">con riguardo </w:t>
      </w:r>
      <w:r w:rsidRPr="007B4FE2">
        <w:rPr>
          <w:rFonts w:ascii="Times New Roman" w:hAnsi="Times New Roman" w:cs="Times New Roman"/>
          <w:sz w:val="24"/>
          <w:szCs w:val="24"/>
        </w:rPr>
        <w:t xml:space="preserve">alle attività di Autorità degli Stati membri che agiscano </w:t>
      </w:r>
      <w:r w:rsidR="00530E3C" w:rsidRPr="007B4FE2">
        <w:rPr>
          <w:rStyle w:val="hps"/>
          <w:rFonts w:ascii="Times New Roman" w:hAnsi="Times New Roman" w:cs="Times New Roman"/>
          <w:sz w:val="24"/>
          <w:szCs w:val="24"/>
        </w:rPr>
        <w:t>nell’ambito di attuazione</w:t>
      </w:r>
      <w:r w:rsidR="000641DF" w:rsidRPr="007B4FE2">
        <w:rPr>
          <w:rStyle w:val="hps"/>
          <w:rFonts w:ascii="Times New Roman" w:hAnsi="Times New Roman" w:cs="Times New Roman"/>
          <w:sz w:val="24"/>
          <w:szCs w:val="24"/>
        </w:rPr>
        <w:t xml:space="preserve"> </w:t>
      </w:r>
      <w:r w:rsidR="005A04CF" w:rsidRPr="007B4FE2">
        <w:rPr>
          <w:rStyle w:val="hps"/>
          <w:rFonts w:ascii="Times New Roman" w:hAnsi="Times New Roman" w:cs="Times New Roman"/>
          <w:sz w:val="24"/>
          <w:szCs w:val="24"/>
        </w:rPr>
        <w:t xml:space="preserve">del Diritto UE, </w:t>
      </w:r>
      <w:r w:rsidR="000641DF" w:rsidRPr="007B4FE2">
        <w:rPr>
          <w:rStyle w:val="hps"/>
          <w:rFonts w:ascii="Times New Roman" w:hAnsi="Times New Roman" w:cs="Times New Roman"/>
          <w:sz w:val="24"/>
          <w:szCs w:val="24"/>
        </w:rPr>
        <w:t>secondo quanto è espressamente precisato nell’</w:t>
      </w:r>
      <w:r w:rsidR="00530E3C" w:rsidRPr="007B4FE2">
        <w:rPr>
          <w:rStyle w:val="hps"/>
          <w:rFonts w:ascii="Times New Roman" w:hAnsi="Times New Roman" w:cs="Times New Roman"/>
          <w:sz w:val="24"/>
          <w:szCs w:val="24"/>
        </w:rPr>
        <w:t>ar</w:t>
      </w:r>
      <w:r w:rsidR="000641DF" w:rsidRPr="007B4FE2">
        <w:rPr>
          <w:rStyle w:val="hps"/>
          <w:rFonts w:ascii="Times New Roman" w:hAnsi="Times New Roman" w:cs="Times New Roman"/>
          <w:sz w:val="24"/>
          <w:szCs w:val="24"/>
        </w:rPr>
        <w:t>t. 51 Carta Diritti UE con riguardo all’ambito di applicazione delle disposizioni della Carta medesima</w:t>
      </w:r>
      <w:r w:rsidR="00530E3C" w:rsidRPr="007B4FE2">
        <w:rPr>
          <w:rStyle w:val="Rimandonotaapidipagina"/>
          <w:rFonts w:ascii="Times New Roman" w:hAnsi="Times New Roman" w:cs="Times New Roman"/>
          <w:sz w:val="24"/>
          <w:szCs w:val="24"/>
        </w:rPr>
        <w:footnoteReference w:id="61"/>
      </w:r>
      <w:r w:rsidR="00530E3C" w:rsidRPr="007B4FE2">
        <w:rPr>
          <w:rStyle w:val="hps"/>
          <w:rFonts w:ascii="Times New Roman" w:hAnsi="Times New Roman" w:cs="Times New Roman"/>
          <w:sz w:val="24"/>
          <w:szCs w:val="24"/>
        </w:rPr>
        <w:t>.</w:t>
      </w:r>
    </w:p>
    <w:p w:rsidR="00530E3C" w:rsidRPr="007B4FE2" w:rsidRDefault="00530E3C" w:rsidP="007B4FE2">
      <w:pPr>
        <w:pStyle w:val="Paragrafoelenco"/>
        <w:spacing w:line="360" w:lineRule="auto"/>
        <w:ind w:left="0" w:firstLine="709"/>
        <w:jc w:val="both"/>
        <w:rPr>
          <w:rFonts w:ascii="Times New Roman" w:hAnsi="Times New Roman"/>
          <w:sz w:val="24"/>
          <w:szCs w:val="24"/>
        </w:rPr>
      </w:pPr>
      <w:r w:rsidRPr="007B4FE2">
        <w:rPr>
          <w:rStyle w:val="hps"/>
          <w:rFonts w:ascii="Times New Roman" w:hAnsi="Times New Roman"/>
          <w:sz w:val="24"/>
          <w:szCs w:val="24"/>
        </w:rPr>
        <w:t>Peraltro</w:t>
      </w:r>
      <w:r w:rsidR="007902F0" w:rsidRPr="007B4FE2">
        <w:rPr>
          <w:rStyle w:val="hps"/>
          <w:rFonts w:ascii="Times New Roman" w:hAnsi="Times New Roman"/>
          <w:sz w:val="24"/>
          <w:szCs w:val="24"/>
        </w:rPr>
        <w:t>, come</w:t>
      </w:r>
      <w:r w:rsidRPr="007B4FE2">
        <w:rPr>
          <w:rStyle w:val="hps"/>
          <w:rFonts w:ascii="Times New Roman" w:hAnsi="Times New Roman"/>
          <w:sz w:val="24"/>
          <w:szCs w:val="24"/>
        </w:rPr>
        <w:t xml:space="preserve"> la Corte di giustizia </w:t>
      </w:r>
      <w:r w:rsidR="000641DF" w:rsidRPr="007B4FE2">
        <w:rPr>
          <w:rStyle w:val="hps"/>
          <w:rFonts w:ascii="Times New Roman" w:hAnsi="Times New Roman"/>
          <w:sz w:val="24"/>
          <w:szCs w:val="24"/>
        </w:rPr>
        <w:t>UE</w:t>
      </w:r>
      <w:r w:rsidR="007902F0" w:rsidRPr="007B4FE2">
        <w:rPr>
          <w:rStyle w:val="hps"/>
          <w:rFonts w:ascii="Times New Roman" w:hAnsi="Times New Roman"/>
          <w:sz w:val="24"/>
          <w:szCs w:val="24"/>
        </w:rPr>
        <w:t xml:space="preserve"> ha </w:t>
      </w:r>
      <w:r w:rsidR="00963150" w:rsidRPr="007B4FE2">
        <w:rPr>
          <w:rStyle w:val="hps"/>
          <w:rFonts w:ascii="Times New Roman" w:hAnsi="Times New Roman"/>
          <w:sz w:val="24"/>
          <w:szCs w:val="24"/>
        </w:rPr>
        <w:t xml:space="preserve">già </w:t>
      </w:r>
      <w:r w:rsidRPr="007B4FE2">
        <w:rPr>
          <w:rStyle w:val="hps"/>
          <w:rFonts w:ascii="Times New Roman" w:hAnsi="Times New Roman"/>
          <w:sz w:val="24"/>
          <w:szCs w:val="24"/>
        </w:rPr>
        <w:t>ripetutamente</w:t>
      </w:r>
      <w:r w:rsidR="000641DF" w:rsidRPr="007B4FE2">
        <w:rPr>
          <w:rStyle w:val="hps"/>
          <w:rFonts w:ascii="Times New Roman" w:hAnsi="Times New Roman"/>
          <w:sz w:val="24"/>
          <w:szCs w:val="24"/>
        </w:rPr>
        <w:t xml:space="preserve"> affermato</w:t>
      </w:r>
      <w:r w:rsidR="002D3075" w:rsidRPr="007B4FE2">
        <w:rPr>
          <w:rStyle w:val="hps"/>
          <w:rFonts w:ascii="Times New Roman" w:hAnsi="Times New Roman"/>
          <w:sz w:val="24"/>
          <w:szCs w:val="24"/>
        </w:rPr>
        <w:t>,</w:t>
      </w:r>
      <w:r w:rsidR="00D710CE" w:rsidRPr="007B4FE2">
        <w:rPr>
          <w:rStyle w:val="hps"/>
          <w:rFonts w:ascii="Times New Roman" w:hAnsi="Times New Roman"/>
          <w:sz w:val="24"/>
          <w:szCs w:val="24"/>
        </w:rPr>
        <w:t xml:space="preserve"> </w:t>
      </w:r>
      <w:r w:rsidRPr="007B4FE2">
        <w:rPr>
          <w:rStyle w:val="hps"/>
          <w:rFonts w:ascii="Times New Roman" w:hAnsi="Times New Roman"/>
          <w:sz w:val="24"/>
          <w:szCs w:val="24"/>
        </w:rPr>
        <w:t xml:space="preserve">il principio di proporzionalità </w:t>
      </w:r>
      <w:r w:rsidR="002D3075" w:rsidRPr="007B4FE2">
        <w:rPr>
          <w:rStyle w:val="hps"/>
          <w:rFonts w:ascii="Times New Roman" w:hAnsi="Times New Roman"/>
          <w:sz w:val="24"/>
          <w:szCs w:val="24"/>
        </w:rPr>
        <w:t xml:space="preserve">deve </w:t>
      </w:r>
      <w:r w:rsidRPr="007B4FE2">
        <w:rPr>
          <w:rStyle w:val="hps"/>
          <w:rFonts w:ascii="Times New Roman" w:hAnsi="Times New Roman"/>
          <w:sz w:val="24"/>
          <w:szCs w:val="24"/>
        </w:rPr>
        <w:t xml:space="preserve">essere applicato anche come criterio di interpretazione </w:t>
      </w:r>
      <w:r w:rsidR="007902F0" w:rsidRPr="007B4FE2">
        <w:rPr>
          <w:rStyle w:val="hps"/>
          <w:rFonts w:ascii="Times New Roman" w:hAnsi="Times New Roman"/>
          <w:sz w:val="24"/>
          <w:szCs w:val="24"/>
        </w:rPr>
        <w:t xml:space="preserve">delle proprie norme nazionali </w:t>
      </w:r>
      <w:r w:rsidRPr="007B4FE2">
        <w:rPr>
          <w:rStyle w:val="hps"/>
          <w:rFonts w:ascii="Times New Roman" w:hAnsi="Times New Roman"/>
          <w:sz w:val="24"/>
          <w:szCs w:val="24"/>
        </w:rPr>
        <w:t>da parte delle autorità degli Stati membri</w:t>
      </w:r>
      <w:r w:rsidR="00963150" w:rsidRPr="007B4FE2">
        <w:rPr>
          <w:rStyle w:val="hps"/>
          <w:rFonts w:ascii="Times New Roman" w:hAnsi="Times New Roman"/>
          <w:sz w:val="24"/>
          <w:szCs w:val="24"/>
        </w:rPr>
        <w:t>,</w:t>
      </w:r>
      <w:r w:rsidRPr="007B4FE2">
        <w:rPr>
          <w:rStyle w:val="hps"/>
          <w:rFonts w:ascii="Times New Roman" w:hAnsi="Times New Roman"/>
          <w:sz w:val="24"/>
          <w:szCs w:val="24"/>
        </w:rPr>
        <w:t xml:space="preserve"> quando</w:t>
      </w:r>
      <w:r w:rsidR="005A04CF" w:rsidRPr="007B4FE2">
        <w:rPr>
          <w:rStyle w:val="hps"/>
          <w:rFonts w:ascii="Times New Roman" w:hAnsi="Times New Roman"/>
          <w:sz w:val="24"/>
          <w:szCs w:val="24"/>
        </w:rPr>
        <w:t xml:space="preserve"> questi</w:t>
      </w:r>
      <w:r w:rsidR="00963150" w:rsidRPr="007B4FE2">
        <w:rPr>
          <w:rStyle w:val="hps"/>
          <w:rFonts w:ascii="Times New Roman" w:hAnsi="Times New Roman"/>
          <w:sz w:val="24"/>
          <w:szCs w:val="24"/>
        </w:rPr>
        <w:t xml:space="preserve"> attui</w:t>
      </w:r>
      <w:r w:rsidRPr="007B4FE2">
        <w:rPr>
          <w:rStyle w:val="hps"/>
          <w:rFonts w:ascii="Times New Roman" w:hAnsi="Times New Roman"/>
          <w:sz w:val="24"/>
          <w:szCs w:val="24"/>
        </w:rPr>
        <w:t>no il diritto UE nei propri ordinamenti giuridici nazionali</w:t>
      </w:r>
      <w:r w:rsidR="007902F0" w:rsidRPr="007B4FE2">
        <w:rPr>
          <w:rStyle w:val="Rimandonotaapidipagina"/>
          <w:rFonts w:ascii="Times New Roman" w:hAnsi="Times New Roman"/>
          <w:sz w:val="24"/>
          <w:szCs w:val="24"/>
        </w:rPr>
        <w:footnoteReference w:id="62"/>
      </w:r>
      <w:r w:rsidRPr="007B4FE2">
        <w:rPr>
          <w:rStyle w:val="hps"/>
          <w:rFonts w:ascii="Times New Roman" w:hAnsi="Times New Roman"/>
          <w:sz w:val="24"/>
          <w:szCs w:val="24"/>
        </w:rPr>
        <w:t>.</w:t>
      </w:r>
      <w:r w:rsidR="00AC47C0" w:rsidRPr="007B4FE2">
        <w:rPr>
          <w:rStyle w:val="hps"/>
          <w:rFonts w:ascii="Times New Roman" w:hAnsi="Times New Roman"/>
          <w:sz w:val="24"/>
          <w:szCs w:val="24"/>
        </w:rPr>
        <w:t xml:space="preserve"> </w:t>
      </w:r>
      <w:r w:rsidRPr="007B4FE2">
        <w:rPr>
          <w:rStyle w:val="hps"/>
          <w:rFonts w:ascii="Times New Roman" w:hAnsi="Times New Roman"/>
          <w:sz w:val="24"/>
          <w:szCs w:val="24"/>
        </w:rPr>
        <w:t xml:space="preserve">Ed è proprio questa statuizione giurisprudenziale che è stata all’origine di quello che ho altrove definito come l’effetto di </w:t>
      </w:r>
      <w:proofErr w:type="spellStart"/>
      <w:r w:rsidRPr="007B4FE2">
        <w:rPr>
          <w:rStyle w:val="hps"/>
          <w:rFonts w:ascii="Times New Roman" w:hAnsi="Times New Roman"/>
          <w:i/>
          <w:sz w:val="24"/>
          <w:szCs w:val="24"/>
        </w:rPr>
        <w:t>spill</w:t>
      </w:r>
      <w:proofErr w:type="spellEnd"/>
      <w:r w:rsidRPr="007B4FE2">
        <w:rPr>
          <w:rStyle w:val="hps"/>
          <w:rFonts w:ascii="Times New Roman" w:hAnsi="Times New Roman"/>
          <w:i/>
          <w:sz w:val="24"/>
          <w:szCs w:val="24"/>
        </w:rPr>
        <w:t xml:space="preserve">-over </w:t>
      </w:r>
      <w:r w:rsidRPr="007B4FE2">
        <w:rPr>
          <w:rStyle w:val="hps"/>
          <w:rFonts w:ascii="Times New Roman" w:hAnsi="Times New Roman"/>
          <w:sz w:val="24"/>
          <w:szCs w:val="24"/>
        </w:rPr>
        <w:t>del principio di proporzionalità: vale a dire il suo utilizzo da parte dei giudici nazionali anche rispetto a casi senza alcuna rilevanza diretta per il diritto dell'UE</w:t>
      </w:r>
      <w:r w:rsidRPr="007B4FE2">
        <w:rPr>
          <w:rFonts w:ascii="Times New Roman" w:hAnsi="Times New Roman"/>
          <w:sz w:val="24"/>
          <w:szCs w:val="24"/>
          <w:vertAlign w:val="superscript"/>
        </w:rPr>
        <w:footnoteReference w:id="63"/>
      </w:r>
      <w:r w:rsidRPr="007B4FE2">
        <w:rPr>
          <w:rFonts w:ascii="Times New Roman" w:hAnsi="Times New Roman"/>
          <w:sz w:val="24"/>
          <w:szCs w:val="24"/>
        </w:rPr>
        <w:t xml:space="preserve">. </w:t>
      </w:r>
    </w:p>
    <w:p w:rsidR="00DC617A" w:rsidRPr="007B4FE2" w:rsidRDefault="00DC617A" w:rsidP="007B4FE2">
      <w:pPr>
        <w:spacing w:after="0" w:line="360" w:lineRule="auto"/>
        <w:ind w:firstLine="567"/>
        <w:jc w:val="both"/>
        <w:rPr>
          <w:rFonts w:ascii="Times New Roman" w:hAnsi="Times New Roman" w:cs="Times New Roman"/>
          <w:sz w:val="24"/>
          <w:szCs w:val="24"/>
        </w:rPr>
      </w:pPr>
    </w:p>
    <w:p w:rsidR="00DC617A" w:rsidRPr="007B4FE2" w:rsidRDefault="00DC617A" w:rsidP="007B4FE2">
      <w:pPr>
        <w:spacing w:after="0" w:line="360" w:lineRule="auto"/>
        <w:ind w:firstLine="567"/>
        <w:jc w:val="both"/>
        <w:rPr>
          <w:rFonts w:ascii="Times New Roman" w:hAnsi="Times New Roman" w:cs="Times New Roman"/>
          <w:b/>
          <w:sz w:val="24"/>
          <w:szCs w:val="24"/>
        </w:rPr>
      </w:pPr>
      <w:r w:rsidRPr="007B4FE2">
        <w:rPr>
          <w:rFonts w:ascii="Times New Roman" w:hAnsi="Times New Roman" w:cs="Times New Roman"/>
          <w:b/>
          <w:sz w:val="24"/>
          <w:szCs w:val="24"/>
        </w:rPr>
        <w:t xml:space="preserve">3.3. </w:t>
      </w:r>
      <w:r w:rsidRPr="007B4FE2">
        <w:rPr>
          <w:rFonts w:ascii="Times New Roman" w:hAnsi="Times New Roman" w:cs="Times New Roman"/>
          <w:b/>
          <w:i/>
          <w:sz w:val="24"/>
          <w:szCs w:val="24"/>
        </w:rPr>
        <w:t>Segue</w:t>
      </w:r>
      <w:r w:rsidRPr="007B4FE2">
        <w:rPr>
          <w:rFonts w:ascii="Times New Roman" w:hAnsi="Times New Roman" w:cs="Times New Roman"/>
          <w:b/>
          <w:sz w:val="24"/>
          <w:szCs w:val="24"/>
        </w:rPr>
        <w:t>. L’esame “a tre gradini” da parte dei giudici UE</w:t>
      </w:r>
    </w:p>
    <w:p w:rsidR="00884519" w:rsidRPr="007B4FE2" w:rsidRDefault="00441627"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Quan</w:t>
      </w:r>
      <w:r w:rsidR="002030E4" w:rsidRPr="007B4FE2">
        <w:rPr>
          <w:rFonts w:ascii="Times New Roman" w:hAnsi="Times New Roman" w:cs="Times New Roman"/>
          <w:sz w:val="24"/>
          <w:szCs w:val="24"/>
        </w:rPr>
        <w:t>to</w:t>
      </w:r>
      <w:r w:rsidR="00F56499" w:rsidRPr="007B4FE2">
        <w:rPr>
          <w:rFonts w:ascii="Times New Roman" w:hAnsi="Times New Roman" w:cs="Times New Roman"/>
          <w:sz w:val="24"/>
          <w:szCs w:val="24"/>
        </w:rPr>
        <w:t xml:space="preserve"> </w:t>
      </w:r>
      <w:r w:rsidR="002030E4" w:rsidRPr="007B4FE2">
        <w:rPr>
          <w:rFonts w:ascii="Times New Roman" w:hAnsi="Times New Roman" w:cs="Times New Roman"/>
          <w:sz w:val="24"/>
          <w:szCs w:val="24"/>
        </w:rPr>
        <w:t xml:space="preserve">ai suoi contenuti </w:t>
      </w:r>
      <w:r w:rsidR="006807E7" w:rsidRPr="007B4FE2">
        <w:rPr>
          <w:rFonts w:ascii="Times New Roman" w:hAnsi="Times New Roman" w:cs="Times New Roman"/>
          <w:sz w:val="24"/>
          <w:szCs w:val="24"/>
        </w:rPr>
        <w:t xml:space="preserve">concreti, </w:t>
      </w:r>
      <w:r w:rsidR="00D35CD5" w:rsidRPr="007B4FE2">
        <w:rPr>
          <w:rFonts w:ascii="Times New Roman" w:hAnsi="Times New Roman" w:cs="Times New Roman"/>
          <w:sz w:val="24"/>
          <w:szCs w:val="24"/>
        </w:rPr>
        <w:t xml:space="preserve">come già si è accennato nel precedente paragrafo </w:t>
      </w:r>
      <w:r w:rsidR="006807E7" w:rsidRPr="007B4FE2">
        <w:rPr>
          <w:rFonts w:ascii="Times New Roman" w:hAnsi="Times New Roman" w:cs="Times New Roman"/>
          <w:sz w:val="24"/>
          <w:szCs w:val="24"/>
        </w:rPr>
        <w:t xml:space="preserve">il sindacato di proporzionalità applicato dai giudici </w:t>
      </w:r>
      <w:r w:rsidR="00EC0E5B" w:rsidRPr="007B4FE2">
        <w:rPr>
          <w:rFonts w:ascii="Times New Roman" w:hAnsi="Times New Roman" w:cs="Times New Roman"/>
          <w:sz w:val="24"/>
          <w:szCs w:val="24"/>
        </w:rPr>
        <w:t xml:space="preserve">UE </w:t>
      </w:r>
      <w:r w:rsidR="006807E7" w:rsidRPr="007B4FE2">
        <w:rPr>
          <w:rFonts w:ascii="Times New Roman" w:hAnsi="Times New Roman" w:cs="Times New Roman"/>
          <w:sz w:val="24"/>
          <w:szCs w:val="24"/>
        </w:rPr>
        <w:t>ripercorre</w:t>
      </w:r>
      <w:r w:rsidR="003D1334" w:rsidRPr="007B4FE2">
        <w:rPr>
          <w:rFonts w:ascii="Times New Roman" w:hAnsi="Times New Roman" w:cs="Times New Roman"/>
          <w:sz w:val="24"/>
          <w:szCs w:val="24"/>
        </w:rPr>
        <w:t>,</w:t>
      </w:r>
      <w:r w:rsidR="00D35CD5" w:rsidRPr="007B4FE2">
        <w:rPr>
          <w:rFonts w:ascii="Times New Roman" w:hAnsi="Times New Roman" w:cs="Times New Roman"/>
          <w:sz w:val="24"/>
          <w:szCs w:val="24"/>
        </w:rPr>
        <w:t xml:space="preserve"> in effetti</w:t>
      </w:r>
      <w:r w:rsidR="003D1334" w:rsidRPr="007B4FE2">
        <w:rPr>
          <w:rFonts w:ascii="Times New Roman" w:hAnsi="Times New Roman" w:cs="Times New Roman"/>
          <w:sz w:val="24"/>
          <w:szCs w:val="24"/>
        </w:rPr>
        <w:t>,</w:t>
      </w:r>
      <w:r w:rsidR="00C50CDF" w:rsidRPr="007B4FE2">
        <w:rPr>
          <w:rFonts w:ascii="Times New Roman" w:hAnsi="Times New Roman" w:cs="Times New Roman"/>
          <w:sz w:val="24"/>
          <w:szCs w:val="24"/>
        </w:rPr>
        <w:t xml:space="preserve"> </w:t>
      </w:r>
      <w:r w:rsidR="006807E7" w:rsidRPr="007B4FE2">
        <w:rPr>
          <w:rFonts w:ascii="Times New Roman" w:hAnsi="Times New Roman" w:cs="Times New Roman"/>
          <w:sz w:val="24"/>
          <w:szCs w:val="24"/>
        </w:rPr>
        <w:t>il classico esame in tre tappe</w:t>
      </w:r>
      <w:r w:rsidR="000B6D4C" w:rsidRPr="007B4FE2">
        <w:rPr>
          <w:rFonts w:ascii="Times New Roman" w:hAnsi="Times New Roman" w:cs="Times New Roman"/>
          <w:sz w:val="24"/>
          <w:szCs w:val="24"/>
        </w:rPr>
        <w:t xml:space="preserve"> (o a tre gradini</w:t>
      </w:r>
      <w:r w:rsidR="001C75B8" w:rsidRPr="007B4FE2">
        <w:rPr>
          <w:rFonts w:ascii="Times New Roman" w:hAnsi="Times New Roman" w:cs="Times New Roman"/>
          <w:sz w:val="24"/>
          <w:szCs w:val="24"/>
        </w:rPr>
        <w:t xml:space="preserve"> – </w:t>
      </w:r>
      <w:proofErr w:type="spellStart"/>
      <w:r w:rsidR="001C75B8" w:rsidRPr="007B4FE2">
        <w:rPr>
          <w:rFonts w:ascii="Times New Roman" w:hAnsi="Times New Roman" w:cs="Times New Roman"/>
          <w:i/>
          <w:sz w:val="24"/>
          <w:szCs w:val="24"/>
        </w:rPr>
        <w:t>dreistufige</w:t>
      </w:r>
      <w:proofErr w:type="spellEnd"/>
      <w:r w:rsidR="001C75B8" w:rsidRPr="007B4FE2">
        <w:rPr>
          <w:rFonts w:ascii="Times New Roman" w:hAnsi="Times New Roman" w:cs="Times New Roman"/>
          <w:i/>
          <w:sz w:val="24"/>
          <w:szCs w:val="24"/>
        </w:rPr>
        <w:t xml:space="preserve"> </w:t>
      </w:r>
      <w:proofErr w:type="spellStart"/>
      <w:r w:rsidR="001C75B8" w:rsidRPr="007B4FE2">
        <w:rPr>
          <w:rFonts w:ascii="Times New Roman" w:hAnsi="Times New Roman" w:cs="Times New Roman"/>
          <w:i/>
          <w:sz w:val="24"/>
          <w:szCs w:val="24"/>
        </w:rPr>
        <w:t>Prüfung</w:t>
      </w:r>
      <w:proofErr w:type="spellEnd"/>
      <w:r w:rsidR="000B6D4C" w:rsidRPr="007B4FE2">
        <w:rPr>
          <w:rFonts w:ascii="Times New Roman" w:hAnsi="Times New Roman" w:cs="Times New Roman"/>
          <w:sz w:val="24"/>
          <w:szCs w:val="24"/>
        </w:rPr>
        <w:t xml:space="preserve">) </w:t>
      </w:r>
      <w:r w:rsidR="006807E7" w:rsidRPr="007B4FE2">
        <w:rPr>
          <w:rFonts w:ascii="Times New Roman" w:hAnsi="Times New Roman" w:cs="Times New Roman"/>
          <w:sz w:val="24"/>
          <w:szCs w:val="24"/>
        </w:rPr>
        <w:t>coniato dalla giurisprudenza tedesca: ossia il</w:t>
      </w:r>
      <w:r w:rsidR="0039782A" w:rsidRPr="007B4FE2">
        <w:rPr>
          <w:rFonts w:ascii="Times New Roman" w:hAnsi="Times New Roman" w:cs="Times New Roman"/>
          <w:sz w:val="24"/>
          <w:szCs w:val="24"/>
        </w:rPr>
        <w:t xml:space="preserve"> tradizionale</w:t>
      </w:r>
      <w:r w:rsidR="006807E7" w:rsidRPr="007B4FE2">
        <w:rPr>
          <w:rFonts w:ascii="Times New Roman" w:hAnsi="Times New Roman" w:cs="Times New Roman"/>
          <w:sz w:val="24"/>
          <w:szCs w:val="24"/>
        </w:rPr>
        <w:t xml:space="preserve"> sindacato circa l'idoneità, la </w:t>
      </w:r>
      <w:proofErr w:type="spellStart"/>
      <w:r w:rsidR="006807E7" w:rsidRPr="007B4FE2">
        <w:rPr>
          <w:rFonts w:ascii="Times New Roman" w:hAnsi="Times New Roman" w:cs="Times New Roman"/>
          <w:sz w:val="24"/>
          <w:szCs w:val="24"/>
        </w:rPr>
        <w:t>necessarietà</w:t>
      </w:r>
      <w:proofErr w:type="spellEnd"/>
      <w:r w:rsidR="006807E7" w:rsidRPr="007B4FE2">
        <w:rPr>
          <w:rFonts w:ascii="Times New Roman" w:hAnsi="Times New Roman" w:cs="Times New Roman"/>
          <w:sz w:val="24"/>
          <w:szCs w:val="24"/>
        </w:rPr>
        <w:t xml:space="preserve"> e la proporzionalità in senso stretto della misura oggetto di sindacato</w:t>
      </w:r>
      <w:r w:rsidR="003D1334" w:rsidRPr="007B4FE2">
        <w:rPr>
          <w:rFonts w:ascii="Times New Roman" w:hAnsi="Times New Roman" w:cs="Times New Roman"/>
          <w:sz w:val="24"/>
          <w:szCs w:val="24"/>
        </w:rPr>
        <w:t xml:space="preserve"> giurisdizionale</w:t>
      </w:r>
      <w:r w:rsidR="0039782A" w:rsidRPr="007B4FE2">
        <w:rPr>
          <w:rFonts w:ascii="Times New Roman" w:hAnsi="Times New Roman" w:cs="Times New Roman"/>
          <w:sz w:val="24"/>
          <w:szCs w:val="24"/>
          <w:vertAlign w:val="superscript"/>
        </w:rPr>
        <w:footnoteReference w:id="64"/>
      </w:r>
      <w:r w:rsidR="0039782A" w:rsidRPr="007B4FE2">
        <w:rPr>
          <w:rFonts w:ascii="Times New Roman" w:hAnsi="Times New Roman" w:cs="Times New Roman"/>
          <w:sz w:val="24"/>
          <w:szCs w:val="24"/>
        </w:rPr>
        <w:t>. Al punto che</w:t>
      </w:r>
      <w:r w:rsidR="003D1334" w:rsidRPr="007B4FE2">
        <w:rPr>
          <w:rFonts w:ascii="Times New Roman" w:hAnsi="Times New Roman" w:cs="Times New Roman"/>
          <w:sz w:val="24"/>
          <w:szCs w:val="24"/>
        </w:rPr>
        <w:t xml:space="preserve"> -</w:t>
      </w:r>
      <w:r w:rsidR="0039782A" w:rsidRPr="007B4FE2">
        <w:rPr>
          <w:rFonts w:ascii="Times New Roman" w:hAnsi="Times New Roman" w:cs="Times New Roman"/>
          <w:sz w:val="24"/>
          <w:szCs w:val="24"/>
        </w:rPr>
        <w:t xml:space="preserve"> come avrò modo di chiarire nelle conclusioni</w:t>
      </w:r>
      <w:r w:rsidR="0039782A" w:rsidRPr="007B4FE2">
        <w:rPr>
          <w:rFonts w:ascii="Times New Roman" w:hAnsi="Times New Roman" w:cs="Times New Roman"/>
          <w:sz w:val="24"/>
          <w:szCs w:val="24"/>
          <w:vertAlign w:val="superscript"/>
        </w:rPr>
        <w:footnoteReference w:id="65"/>
      </w:r>
      <w:r w:rsidR="002A5260" w:rsidRPr="007B4FE2">
        <w:rPr>
          <w:rFonts w:ascii="Times New Roman" w:hAnsi="Times New Roman" w:cs="Times New Roman"/>
          <w:sz w:val="24"/>
          <w:szCs w:val="24"/>
        </w:rPr>
        <w:t xml:space="preserve"> -</w:t>
      </w:r>
      <w:r w:rsidR="00C50CDF" w:rsidRPr="007B4FE2">
        <w:rPr>
          <w:rFonts w:ascii="Times New Roman" w:hAnsi="Times New Roman" w:cs="Times New Roman"/>
          <w:sz w:val="24"/>
          <w:szCs w:val="24"/>
        </w:rPr>
        <w:t xml:space="preserve"> </w:t>
      </w:r>
      <w:r w:rsidR="003D1334" w:rsidRPr="007B4FE2">
        <w:rPr>
          <w:rFonts w:ascii="Times New Roman" w:hAnsi="Times New Roman" w:cs="Times New Roman"/>
          <w:sz w:val="24"/>
          <w:szCs w:val="24"/>
        </w:rPr>
        <w:t xml:space="preserve">almeno sotto questo profilo </w:t>
      </w:r>
      <w:r w:rsidR="003C0163" w:rsidRPr="007B4FE2">
        <w:rPr>
          <w:rFonts w:ascii="Times New Roman" w:hAnsi="Times New Roman" w:cs="Times New Roman"/>
          <w:sz w:val="24"/>
          <w:szCs w:val="24"/>
        </w:rPr>
        <w:t>le differenze nei contenuti fra il principio di proporzionalità UE e quello tedesco sono</w:t>
      </w:r>
      <w:r w:rsidR="0039782A" w:rsidRPr="007B4FE2">
        <w:rPr>
          <w:rFonts w:ascii="Times New Roman" w:hAnsi="Times New Roman" w:cs="Times New Roman"/>
          <w:sz w:val="24"/>
          <w:szCs w:val="24"/>
        </w:rPr>
        <w:t xml:space="preserve"> in verità </w:t>
      </w:r>
      <w:r w:rsidR="003C0163" w:rsidRPr="007B4FE2">
        <w:rPr>
          <w:rFonts w:ascii="Times New Roman" w:hAnsi="Times New Roman" w:cs="Times New Roman"/>
          <w:sz w:val="24"/>
          <w:szCs w:val="24"/>
        </w:rPr>
        <w:t>più apparenti che reali</w:t>
      </w:r>
      <w:r w:rsidR="0039782A" w:rsidRPr="007B4FE2">
        <w:rPr>
          <w:rFonts w:ascii="Times New Roman" w:hAnsi="Times New Roman" w:cs="Times New Roman"/>
          <w:sz w:val="24"/>
          <w:szCs w:val="24"/>
        </w:rPr>
        <w:t>.</w:t>
      </w:r>
    </w:p>
    <w:p w:rsidR="002A6A64" w:rsidRPr="007B4FE2" w:rsidRDefault="003C0163"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Per meglio comprender</w:t>
      </w:r>
      <w:r w:rsidR="002A6A64" w:rsidRPr="007B4FE2">
        <w:rPr>
          <w:rFonts w:ascii="Times New Roman" w:hAnsi="Times New Roman" w:cs="Times New Roman"/>
          <w:sz w:val="24"/>
          <w:szCs w:val="24"/>
        </w:rPr>
        <w:t>e il ragionamento</w:t>
      </w:r>
      <w:r w:rsidRPr="007B4FE2">
        <w:rPr>
          <w:rFonts w:ascii="Times New Roman" w:hAnsi="Times New Roman" w:cs="Times New Roman"/>
          <w:sz w:val="24"/>
          <w:szCs w:val="24"/>
        </w:rPr>
        <w:t xml:space="preserve"> </w:t>
      </w:r>
      <w:r w:rsidR="002A6A64" w:rsidRPr="007B4FE2">
        <w:rPr>
          <w:rFonts w:ascii="Times New Roman" w:hAnsi="Times New Roman" w:cs="Times New Roman"/>
          <w:sz w:val="24"/>
          <w:szCs w:val="24"/>
        </w:rPr>
        <w:t xml:space="preserve">che </w:t>
      </w:r>
      <w:r w:rsidRPr="007B4FE2">
        <w:rPr>
          <w:rFonts w:ascii="Times New Roman" w:hAnsi="Times New Roman" w:cs="Times New Roman"/>
          <w:sz w:val="24"/>
          <w:szCs w:val="24"/>
        </w:rPr>
        <w:t xml:space="preserve">l’applicazione di </w:t>
      </w:r>
      <w:r w:rsidR="002A6A64" w:rsidRPr="007B4FE2">
        <w:rPr>
          <w:rFonts w:ascii="Times New Roman" w:hAnsi="Times New Roman" w:cs="Times New Roman"/>
          <w:sz w:val="24"/>
          <w:szCs w:val="24"/>
        </w:rPr>
        <w:t xml:space="preserve">questi tre parametri </w:t>
      </w:r>
      <w:r w:rsidRPr="007B4FE2">
        <w:rPr>
          <w:rFonts w:ascii="Times New Roman" w:hAnsi="Times New Roman" w:cs="Times New Roman"/>
          <w:sz w:val="24"/>
          <w:szCs w:val="24"/>
        </w:rPr>
        <w:t>di sindacato giurisdizionale implica</w:t>
      </w:r>
      <w:r w:rsidR="0039782A" w:rsidRPr="007B4FE2">
        <w:rPr>
          <w:rFonts w:ascii="Times New Roman" w:hAnsi="Times New Roman" w:cs="Times New Roman"/>
          <w:sz w:val="24"/>
          <w:szCs w:val="24"/>
        </w:rPr>
        <w:t xml:space="preserve"> nella giurisprudenza dei giudici di Lussemburgo</w:t>
      </w:r>
      <w:r w:rsidRPr="007B4FE2">
        <w:rPr>
          <w:rFonts w:ascii="Times New Roman" w:hAnsi="Times New Roman" w:cs="Times New Roman"/>
          <w:sz w:val="24"/>
          <w:szCs w:val="24"/>
        </w:rPr>
        <w:t xml:space="preserve">, oltre a darne una sommaria descrizione, </w:t>
      </w:r>
      <w:r w:rsidR="002A6A64" w:rsidRPr="007B4FE2">
        <w:rPr>
          <w:rFonts w:ascii="Times New Roman" w:hAnsi="Times New Roman" w:cs="Times New Roman"/>
          <w:sz w:val="24"/>
          <w:szCs w:val="24"/>
        </w:rPr>
        <w:t xml:space="preserve">procederò </w:t>
      </w:r>
      <w:r w:rsidR="0039782A" w:rsidRPr="007B4FE2">
        <w:rPr>
          <w:rFonts w:ascii="Times New Roman" w:hAnsi="Times New Roman" w:cs="Times New Roman"/>
          <w:sz w:val="24"/>
          <w:szCs w:val="24"/>
        </w:rPr>
        <w:t xml:space="preserve">qui di seguito </w:t>
      </w:r>
      <w:r w:rsidR="002A6A64" w:rsidRPr="007B4FE2">
        <w:rPr>
          <w:rFonts w:ascii="Times New Roman" w:hAnsi="Times New Roman" w:cs="Times New Roman"/>
          <w:sz w:val="24"/>
          <w:szCs w:val="24"/>
        </w:rPr>
        <w:t xml:space="preserve">a fornire anche un esempio concreto di </w:t>
      </w:r>
      <w:r w:rsidRPr="007B4FE2">
        <w:rPr>
          <w:rFonts w:ascii="Times New Roman" w:hAnsi="Times New Roman" w:cs="Times New Roman"/>
          <w:sz w:val="24"/>
          <w:szCs w:val="24"/>
        </w:rPr>
        <w:t xml:space="preserve">loro </w:t>
      </w:r>
      <w:r w:rsidR="002A6A64" w:rsidRPr="007B4FE2">
        <w:rPr>
          <w:rFonts w:ascii="Times New Roman" w:hAnsi="Times New Roman" w:cs="Times New Roman"/>
          <w:sz w:val="24"/>
          <w:szCs w:val="24"/>
        </w:rPr>
        <w:t>applicazione</w:t>
      </w:r>
      <w:r w:rsidRPr="007B4FE2">
        <w:rPr>
          <w:rFonts w:ascii="Times New Roman" w:hAnsi="Times New Roman" w:cs="Times New Roman"/>
          <w:sz w:val="24"/>
          <w:szCs w:val="24"/>
        </w:rPr>
        <w:t xml:space="preserve">. </w:t>
      </w:r>
    </w:p>
    <w:p w:rsidR="002010DF" w:rsidRPr="007B4FE2" w:rsidRDefault="00EC0E5B"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 xml:space="preserve"> Per il profilo della idoneità</w:t>
      </w:r>
      <w:r w:rsidR="002010DF" w:rsidRPr="007B4FE2">
        <w:rPr>
          <w:rFonts w:ascii="Times New Roman" w:hAnsi="Times New Roman" w:cs="Times New Roman"/>
          <w:sz w:val="24"/>
          <w:szCs w:val="24"/>
        </w:rPr>
        <w:t>, anche per la Corte di giustizia</w:t>
      </w:r>
      <w:r w:rsidR="002A5260" w:rsidRPr="007B4FE2">
        <w:rPr>
          <w:rFonts w:ascii="Times New Roman" w:hAnsi="Times New Roman" w:cs="Times New Roman"/>
          <w:sz w:val="24"/>
          <w:szCs w:val="24"/>
        </w:rPr>
        <w:t xml:space="preserve"> UE</w:t>
      </w:r>
      <w:r w:rsidR="002010DF" w:rsidRPr="007B4FE2">
        <w:rPr>
          <w:rFonts w:ascii="Times New Roman" w:hAnsi="Times New Roman" w:cs="Times New Roman"/>
          <w:sz w:val="24"/>
          <w:szCs w:val="24"/>
        </w:rPr>
        <w:t xml:space="preserve"> </w:t>
      </w:r>
      <w:r w:rsidR="009506F1" w:rsidRPr="007B4FE2">
        <w:rPr>
          <w:rFonts w:ascii="Times New Roman" w:hAnsi="Times New Roman" w:cs="Times New Roman"/>
          <w:sz w:val="24"/>
          <w:szCs w:val="24"/>
        </w:rPr>
        <w:t>si tratta</w:t>
      </w:r>
      <w:r w:rsidR="002010DF" w:rsidRPr="007B4FE2">
        <w:rPr>
          <w:rFonts w:ascii="Times New Roman" w:hAnsi="Times New Roman" w:cs="Times New Roman"/>
          <w:sz w:val="24"/>
          <w:szCs w:val="24"/>
        </w:rPr>
        <w:t>, nella sostanza,</w:t>
      </w:r>
      <w:r w:rsidR="009506F1"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di </w:t>
      </w:r>
      <w:r w:rsidR="002010DF" w:rsidRPr="007B4FE2">
        <w:rPr>
          <w:rFonts w:ascii="Times New Roman" w:hAnsi="Times New Roman" w:cs="Times New Roman"/>
          <w:sz w:val="24"/>
          <w:szCs w:val="24"/>
        </w:rPr>
        <w:t>“</w:t>
      </w:r>
      <w:r w:rsidR="002010DF" w:rsidRPr="007B4FE2">
        <w:rPr>
          <w:rFonts w:ascii="Times New Roman" w:hAnsi="Times New Roman" w:cs="Times New Roman"/>
          <w:i/>
          <w:sz w:val="24"/>
          <w:szCs w:val="24"/>
        </w:rPr>
        <w:t>accertare se i mezzi (…)</w:t>
      </w:r>
      <w:r w:rsidR="00AC47C0" w:rsidRPr="007B4FE2">
        <w:rPr>
          <w:rFonts w:ascii="Times New Roman" w:hAnsi="Times New Roman" w:cs="Times New Roman"/>
          <w:i/>
          <w:sz w:val="24"/>
          <w:szCs w:val="24"/>
        </w:rPr>
        <w:t xml:space="preserve"> </w:t>
      </w:r>
      <w:r w:rsidR="002010DF" w:rsidRPr="007B4FE2">
        <w:rPr>
          <w:rFonts w:ascii="Times New Roman" w:hAnsi="Times New Roman" w:cs="Times New Roman"/>
          <w:i/>
          <w:sz w:val="24"/>
          <w:szCs w:val="24"/>
        </w:rPr>
        <w:t>contemplati siano idonei a conseguire lo scopo perseguito</w:t>
      </w:r>
      <w:r w:rsidR="002010DF" w:rsidRPr="007B4FE2">
        <w:rPr>
          <w:rFonts w:ascii="Times New Roman" w:hAnsi="Times New Roman" w:cs="Times New Roman"/>
          <w:sz w:val="24"/>
          <w:szCs w:val="24"/>
        </w:rPr>
        <w:t>”</w:t>
      </w:r>
      <w:r w:rsidR="006807E7" w:rsidRPr="007B4FE2">
        <w:rPr>
          <w:rStyle w:val="Rimandonotaapidipagina"/>
          <w:rFonts w:ascii="Times New Roman" w:hAnsi="Times New Roman" w:cs="Times New Roman"/>
          <w:sz w:val="24"/>
          <w:szCs w:val="24"/>
        </w:rPr>
        <w:footnoteReference w:id="66"/>
      </w:r>
      <w:r w:rsidR="006807E7" w:rsidRPr="007B4FE2">
        <w:rPr>
          <w:rFonts w:ascii="Times New Roman" w:hAnsi="Times New Roman" w:cs="Times New Roman"/>
          <w:sz w:val="24"/>
          <w:szCs w:val="24"/>
        </w:rPr>
        <w:t>.</w:t>
      </w:r>
      <w:r w:rsidR="00AC47C0" w:rsidRPr="007B4FE2">
        <w:rPr>
          <w:rFonts w:ascii="Times New Roman" w:hAnsi="Times New Roman" w:cs="Times New Roman"/>
          <w:sz w:val="24"/>
          <w:szCs w:val="24"/>
        </w:rPr>
        <w:t xml:space="preserve"> </w:t>
      </w:r>
      <w:r w:rsidR="002010DF" w:rsidRPr="007B4FE2">
        <w:rPr>
          <w:rFonts w:ascii="Times New Roman" w:hAnsi="Times New Roman" w:cs="Times New Roman"/>
          <w:sz w:val="24"/>
          <w:szCs w:val="24"/>
        </w:rPr>
        <w:t>Questa valutazione, tuttavia, di rado è espressa chiaramente</w:t>
      </w:r>
      <w:r w:rsidR="00AC47C0" w:rsidRPr="007B4FE2">
        <w:rPr>
          <w:rFonts w:ascii="Times New Roman" w:hAnsi="Times New Roman" w:cs="Times New Roman"/>
          <w:sz w:val="24"/>
          <w:szCs w:val="24"/>
        </w:rPr>
        <w:t xml:space="preserve"> </w:t>
      </w:r>
      <w:r w:rsidR="003D1334" w:rsidRPr="007B4FE2">
        <w:rPr>
          <w:rFonts w:ascii="Times New Roman" w:hAnsi="Times New Roman" w:cs="Times New Roman"/>
          <w:sz w:val="24"/>
          <w:szCs w:val="24"/>
        </w:rPr>
        <w:t>e con queste parole: n</w:t>
      </w:r>
      <w:r w:rsidR="002A5260" w:rsidRPr="007B4FE2">
        <w:rPr>
          <w:rFonts w:ascii="Times New Roman" w:hAnsi="Times New Roman" w:cs="Times New Roman"/>
          <w:sz w:val="24"/>
          <w:szCs w:val="24"/>
        </w:rPr>
        <w:t>ella maggio</w:t>
      </w:r>
      <w:r w:rsidR="00AC47C0" w:rsidRPr="007B4FE2">
        <w:rPr>
          <w:rFonts w:ascii="Times New Roman" w:hAnsi="Times New Roman" w:cs="Times New Roman"/>
          <w:sz w:val="24"/>
          <w:szCs w:val="24"/>
        </w:rPr>
        <w:t>r</w:t>
      </w:r>
      <w:r w:rsidR="003D1334" w:rsidRPr="007B4FE2">
        <w:rPr>
          <w:rFonts w:ascii="Times New Roman" w:hAnsi="Times New Roman" w:cs="Times New Roman"/>
          <w:sz w:val="24"/>
          <w:szCs w:val="24"/>
        </w:rPr>
        <w:t xml:space="preserve"> parte dei casi </w:t>
      </w:r>
      <w:r w:rsidR="002A5260" w:rsidRPr="007B4FE2">
        <w:rPr>
          <w:rFonts w:ascii="Times New Roman" w:hAnsi="Times New Roman" w:cs="Times New Roman"/>
          <w:sz w:val="24"/>
          <w:szCs w:val="24"/>
        </w:rPr>
        <w:t>resta implicita nel ragionamento della Corte</w:t>
      </w:r>
      <w:r w:rsidR="002A5260" w:rsidRPr="007B4FE2">
        <w:rPr>
          <w:rStyle w:val="Rimandonotaapidipagina"/>
          <w:rFonts w:ascii="Times New Roman" w:hAnsi="Times New Roman" w:cs="Times New Roman"/>
          <w:sz w:val="24"/>
          <w:szCs w:val="24"/>
        </w:rPr>
        <w:footnoteReference w:id="67"/>
      </w:r>
      <w:r w:rsidR="002A5260" w:rsidRPr="007B4FE2">
        <w:rPr>
          <w:rFonts w:ascii="Times New Roman" w:hAnsi="Times New Roman" w:cs="Times New Roman"/>
          <w:sz w:val="24"/>
          <w:szCs w:val="24"/>
        </w:rPr>
        <w:t xml:space="preserve"> (ma non per questo se ne</w:t>
      </w:r>
      <w:r w:rsidR="00AC47C0" w:rsidRPr="007B4FE2">
        <w:rPr>
          <w:rFonts w:ascii="Times New Roman" w:hAnsi="Times New Roman" w:cs="Times New Roman"/>
          <w:sz w:val="24"/>
          <w:szCs w:val="24"/>
        </w:rPr>
        <w:t xml:space="preserve"> </w:t>
      </w:r>
      <w:r w:rsidR="002A5260" w:rsidRPr="007B4FE2">
        <w:rPr>
          <w:rFonts w:ascii="Times New Roman" w:hAnsi="Times New Roman" w:cs="Times New Roman"/>
          <w:sz w:val="24"/>
          <w:szCs w:val="24"/>
        </w:rPr>
        <w:t>deve dedurre che non vi sia stata</w:t>
      </w:r>
      <w:r w:rsidR="00AC47C0" w:rsidRPr="007B4FE2">
        <w:rPr>
          <w:rFonts w:ascii="Times New Roman" w:hAnsi="Times New Roman" w:cs="Times New Roman"/>
          <w:sz w:val="24"/>
          <w:szCs w:val="24"/>
        </w:rPr>
        <w:t>!</w:t>
      </w:r>
      <w:r w:rsidR="002A5260" w:rsidRPr="007B4FE2">
        <w:rPr>
          <w:rFonts w:ascii="Times New Roman" w:hAnsi="Times New Roman" w:cs="Times New Roman"/>
          <w:sz w:val="24"/>
          <w:szCs w:val="24"/>
        </w:rPr>
        <w:t>).</w:t>
      </w:r>
    </w:p>
    <w:p w:rsidR="005F6085" w:rsidRPr="007B4FE2" w:rsidRDefault="00132FBD"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 xml:space="preserve"> A questo proposito</w:t>
      </w:r>
      <w:r w:rsidR="006E3CFF" w:rsidRPr="007B4FE2">
        <w:rPr>
          <w:rFonts w:ascii="Times New Roman" w:hAnsi="Times New Roman" w:cs="Times New Roman"/>
          <w:sz w:val="24"/>
          <w:szCs w:val="24"/>
        </w:rPr>
        <w:t>,</w:t>
      </w:r>
      <w:r w:rsidRPr="007B4FE2">
        <w:rPr>
          <w:rFonts w:ascii="Times New Roman" w:hAnsi="Times New Roman" w:cs="Times New Roman"/>
          <w:sz w:val="24"/>
          <w:szCs w:val="24"/>
        </w:rPr>
        <w:t xml:space="preserve"> un caso famosissimo è</w:t>
      </w:r>
      <w:r w:rsidR="007F5B08" w:rsidRPr="007B4FE2">
        <w:rPr>
          <w:rFonts w:ascii="Times New Roman" w:hAnsi="Times New Roman" w:cs="Times New Roman"/>
          <w:sz w:val="24"/>
          <w:szCs w:val="24"/>
        </w:rPr>
        <w:t xml:space="preserve"> quello oggetto della pronunzia </w:t>
      </w:r>
      <w:proofErr w:type="spellStart"/>
      <w:r w:rsidR="005F6085" w:rsidRPr="007B4FE2">
        <w:rPr>
          <w:rFonts w:ascii="Times New Roman" w:hAnsi="Times New Roman" w:cs="Times New Roman"/>
          <w:i/>
          <w:sz w:val="24"/>
          <w:szCs w:val="24"/>
        </w:rPr>
        <w:t>Cassis</w:t>
      </w:r>
      <w:proofErr w:type="spellEnd"/>
      <w:r w:rsidR="005F6085" w:rsidRPr="007B4FE2">
        <w:rPr>
          <w:rFonts w:ascii="Times New Roman" w:hAnsi="Times New Roman" w:cs="Times New Roman"/>
          <w:i/>
          <w:sz w:val="24"/>
          <w:szCs w:val="24"/>
        </w:rPr>
        <w:t xml:space="preserve"> De </w:t>
      </w:r>
      <w:proofErr w:type="spellStart"/>
      <w:r w:rsidR="005F6085" w:rsidRPr="007B4FE2">
        <w:rPr>
          <w:rFonts w:ascii="Times New Roman" w:hAnsi="Times New Roman" w:cs="Times New Roman"/>
          <w:i/>
          <w:sz w:val="24"/>
          <w:szCs w:val="24"/>
        </w:rPr>
        <w:t>Dijon</w:t>
      </w:r>
      <w:proofErr w:type="spellEnd"/>
      <w:r w:rsidR="00D4500B" w:rsidRPr="007B4FE2">
        <w:rPr>
          <w:rFonts w:ascii="Times New Roman" w:hAnsi="Times New Roman" w:cs="Times New Roman"/>
          <w:i/>
          <w:sz w:val="24"/>
          <w:szCs w:val="24"/>
        </w:rPr>
        <w:t xml:space="preserve"> </w:t>
      </w:r>
      <w:r w:rsidR="007F5B08" w:rsidRPr="007B4FE2">
        <w:rPr>
          <w:rFonts w:ascii="Times New Roman" w:hAnsi="Times New Roman" w:cs="Times New Roman"/>
          <w:sz w:val="24"/>
          <w:szCs w:val="24"/>
        </w:rPr>
        <w:t>del 1979</w:t>
      </w:r>
      <w:r w:rsidR="00AF04B9" w:rsidRPr="007B4FE2">
        <w:rPr>
          <w:rFonts w:ascii="Times New Roman" w:hAnsi="Times New Roman" w:cs="Times New Roman"/>
          <w:sz w:val="24"/>
          <w:szCs w:val="24"/>
          <w:vertAlign w:val="superscript"/>
        </w:rPr>
        <w:footnoteReference w:id="68"/>
      </w:r>
      <w:r w:rsidR="005F6085" w:rsidRPr="007B4FE2">
        <w:rPr>
          <w:rFonts w:ascii="Times New Roman" w:hAnsi="Times New Roman" w:cs="Times New Roman"/>
          <w:i/>
          <w:sz w:val="24"/>
          <w:szCs w:val="24"/>
        </w:rPr>
        <w:t>.</w:t>
      </w:r>
      <w:r w:rsidR="00AC47C0"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La controversia</w:t>
      </w:r>
      <w:r w:rsidR="00F7624B"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in oggetto concerneva</w:t>
      </w:r>
      <w:r w:rsidR="00F7624B"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l'introduzione di una partita di</w:t>
      </w:r>
      <w:r w:rsidR="00F7624B"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un</w:t>
      </w:r>
      <w:r w:rsidR="00F7624B"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 xml:space="preserve">particolare </w:t>
      </w:r>
      <w:r w:rsidR="00397B14" w:rsidRPr="007B4FE2">
        <w:rPr>
          <w:rFonts w:ascii="Times New Roman" w:hAnsi="Times New Roman" w:cs="Times New Roman"/>
          <w:sz w:val="24"/>
          <w:szCs w:val="24"/>
        </w:rPr>
        <w:t>liquore</w:t>
      </w:r>
      <w:r w:rsidR="005F6085" w:rsidRPr="007B4FE2">
        <w:rPr>
          <w:rFonts w:ascii="Times New Roman" w:hAnsi="Times New Roman" w:cs="Times New Roman"/>
          <w:sz w:val="24"/>
          <w:szCs w:val="24"/>
        </w:rPr>
        <w:t xml:space="preserve"> francese - il </w:t>
      </w:r>
      <w:r w:rsidR="00397B14" w:rsidRPr="007B4FE2">
        <w:rPr>
          <w:rFonts w:ascii="Times New Roman" w:hAnsi="Times New Roman" w:cs="Times New Roman"/>
          <w:sz w:val="24"/>
          <w:szCs w:val="24"/>
        </w:rPr>
        <w:t>liquore</w:t>
      </w:r>
      <w:r w:rsidR="005F6085" w:rsidRPr="007B4FE2">
        <w:rPr>
          <w:rFonts w:ascii="Times New Roman" w:hAnsi="Times New Roman" w:cs="Times New Roman"/>
          <w:sz w:val="24"/>
          <w:szCs w:val="24"/>
        </w:rPr>
        <w:t xml:space="preserve"> </w:t>
      </w:r>
      <w:proofErr w:type="spellStart"/>
      <w:r w:rsidR="005F6085" w:rsidRPr="007B4FE2">
        <w:rPr>
          <w:rFonts w:ascii="Times New Roman" w:hAnsi="Times New Roman" w:cs="Times New Roman"/>
          <w:i/>
          <w:sz w:val="24"/>
          <w:szCs w:val="24"/>
        </w:rPr>
        <w:t>Cassis</w:t>
      </w:r>
      <w:proofErr w:type="spellEnd"/>
      <w:r w:rsidR="005F6085" w:rsidRPr="007B4FE2">
        <w:rPr>
          <w:rFonts w:ascii="Times New Roman" w:hAnsi="Times New Roman" w:cs="Times New Roman"/>
          <w:i/>
          <w:sz w:val="24"/>
          <w:szCs w:val="24"/>
        </w:rPr>
        <w:t xml:space="preserve"> De </w:t>
      </w:r>
      <w:proofErr w:type="spellStart"/>
      <w:r w:rsidR="005F6085" w:rsidRPr="007B4FE2">
        <w:rPr>
          <w:rFonts w:ascii="Times New Roman" w:hAnsi="Times New Roman" w:cs="Times New Roman"/>
          <w:i/>
          <w:sz w:val="24"/>
          <w:szCs w:val="24"/>
        </w:rPr>
        <w:t>Dijon</w:t>
      </w:r>
      <w:proofErr w:type="spellEnd"/>
      <w:r w:rsidR="005F6085" w:rsidRPr="007B4FE2">
        <w:rPr>
          <w:rFonts w:ascii="Times New Roman" w:hAnsi="Times New Roman" w:cs="Times New Roman"/>
          <w:sz w:val="24"/>
          <w:szCs w:val="24"/>
        </w:rPr>
        <w:t>,</w:t>
      </w:r>
      <w:r w:rsidR="00BF0EAD" w:rsidRPr="007B4FE2">
        <w:rPr>
          <w:rFonts w:ascii="Times New Roman" w:hAnsi="Times New Roman" w:cs="Times New Roman"/>
          <w:sz w:val="24"/>
          <w:szCs w:val="24"/>
        </w:rPr>
        <w:t xml:space="preserve"> appunto</w:t>
      </w:r>
      <w:r w:rsidR="00F7624B"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w:t>
      </w:r>
      <w:r w:rsidR="00F7624B"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 xml:space="preserve">nella </w:t>
      </w:r>
      <w:r w:rsidR="008E692B" w:rsidRPr="007B4FE2">
        <w:rPr>
          <w:rFonts w:ascii="Times New Roman" w:hAnsi="Times New Roman" w:cs="Times New Roman"/>
          <w:sz w:val="24"/>
          <w:szCs w:val="24"/>
        </w:rPr>
        <w:t>(allora) Repubblica federale tedesca</w:t>
      </w:r>
      <w:r w:rsidR="00BF0EAD" w:rsidRPr="007B4FE2">
        <w:rPr>
          <w:rFonts w:ascii="Times New Roman" w:hAnsi="Times New Roman" w:cs="Times New Roman"/>
          <w:sz w:val="24"/>
          <w:szCs w:val="24"/>
        </w:rPr>
        <w:t>.</w:t>
      </w:r>
      <w:r w:rsidR="00AC47C0" w:rsidRPr="007B4FE2">
        <w:rPr>
          <w:rFonts w:ascii="Times New Roman" w:hAnsi="Times New Roman" w:cs="Times New Roman"/>
          <w:sz w:val="24"/>
          <w:szCs w:val="24"/>
        </w:rPr>
        <w:t xml:space="preserve"> </w:t>
      </w:r>
      <w:r w:rsidR="00BF0EAD" w:rsidRPr="007B4FE2">
        <w:rPr>
          <w:rFonts w:ascii="Times New Roman" w:hAnsi="Times New Roman" w:cs="Times New Roman"/>
          <w:sz w:val="24"/>
          <w:szCs w:val="24"/>
        </w:rPr>
        <w:t>L</w:t>
      </w:r>
      <w:r w:rsidR="007F5B08" w:rsidRPr="007B4FE2">
        <w:rPr>
          <w:rFonts w:ascii="Times New Roman" w:hAnsi="Times New Roman" w:cs="Times New Roman"/>
          <w:sz w:val="24"/>
          <w:szCs w:val="24"/>
        </w:rPr>
        <w:t xml:space="preserve">’amministrazione del monopolio federale dell'alcool tedesca aveva </w:t>
      </w:r>
      <w:r w:rsidR="002010DF" w:rsidRPr="007B4FE2">
        <w:rPr>
          <w:rFonts w:ascii="Times New Roman" w:hAnsi="Times New Roman" w:cs="Times New Roman"/>
          <w:sz w:val="24"/>
          <w:szCs w:val="24"/>
        </w:rPr>
        <w:t xml:space="preserve">negato ad un </w:t>
      </w:r>
      <w:r w:rsidR="007F5B08" w:rsidRPr="007B4FE2">
        <w:rPr>
          <w:rFonts w:ascii="Times New Roman" w:hAnsi="Times New Roman" w:cs="Times New Roman"/>
          <w:sz w:val="24"/>
          <w:szCs w:val="24"/>
        </w:rPr>
        <w:t>importatore tedes</w:t>
      </w:r>
      <w:r w:rsidR="00BF0EAD" w:rsidRPr="007B4FE2">
        <w:rPr>
          <w:rFonts w:ascii="Times New Roman" w:hAnsi="Times New Roman" w:cs="Times New Roman"/>
          <w:sz w:val="24"/>
          <w:szCs w:val="24"/>
        </w:rPr>
        <w:t xml:space="preserve">co l'autorizzazione </w:t>
      </w:r>
      <w:r w:rsidR="002010DF" w:rsidRPr="007B4FE2">
        <w:rPr>
          <w:rFonts w:ascii="Times New Roman" w:hAnsi="Times New Roman" w:cs="Times New Roman"/>
          <w:sz w:val="24"/>
          <w:szCs w:val="24"/>
        </w:rPr>
        <w:t xml:space="preserve">necessaria per </w:t>
      </w:r>
      <w:r w:rsidR="00BF0EAD" w:rsidRPr="007B4FE2">
        <w:rPr>
          <w:rFonts w:ascii="Times New Roman" w:hAnsi="Times New Roman" w:cs="Times New Roman"/>
          <w:sz w:val="24"/>
          <w:szCs w:val="24"/>
        </w:rPr>
        <w:t>importarlo</w:t>
      </w:r>
      <w:r w:rsidR="007F5B08" w:rsidRPr="007B4FE2">
        <w:rPr>
          <w:rFonts w:ascii="Times New Roman" w:hAnsi="Times New Roman" w:cs="Times New Roman"/>
          <w:sz w:val="24"/>
          <w:szCs w:val="24"/>
        </w:rPr>
        <w:t xml:space="preserve"> dalla Francia</w:t>
      </w:r>
      <w:r w:rsidR="002010DF" w:rsidRPr="007B4FE2">
        <w:rPr>
          <w:rFonts w:ascii="Times New Roman" w:hAnsi="Times New Roman" w:cs="Times New Roman"/>
          <w:sz w:val="24"/>
          <w:szCs w:val="24"/>
        </w:rPr>
        <w:t xml:space="preserve"> e metterlo</w:t>
      </w:r>
      <w:r w:rsidR="007F5B08" w:rsidRPr="007B4FE2">
        <w:rPr>
          <w:rFonts w:ascii="Times New Roman" w:hAnsi="Times New Roman" w:cs="Times New Roman"/>
          <w:sz w:val="24"/>
          <w:szCs w:val="24"/>
        </w:rPr>
        <w:t xml:space="preserve"> in commercio nella Repubblica federale tedesca</w:t>
      </w:r>
      <w:r w:rsidR="00BF0EAD" w:rsidRPr="007B4FE2">
        <w:rPr>
          <w:rFonts w:ascii="Times New Roman" w:hAnsi="Times New Roman" w:cs="Times New Roman"/>
          <w:sz w:val="24"/>
          <w:szCs w:val="24"/>
        </w:rPr>
        <w:t xml:space="preserve">, a motivo del carente contenuto alcolico del </w:t>
      </w:r>
      <w:r w:rsidR="00397B14" w:rsidRPr="007B4FE2">
        <w:rPr>
          <w:rFonts w:ascii="Times New Roman" w:hAnsi="Times New Roman" w:cs="Times New Roman"/>
          <w:sz w:val="24"/>
          <w:szCs w:val="24"/>
        </w:rPr>
        <w:t>liquore</w:t>
      </w:r>
      <w:r w:rsidR="00BF0EAD" w:rsidRPr="007B4FE2">
        <w:rPr>
          <w:rFonts w:ascii="Times New Roman" w:hAnsi="Times New Roman" w:cs="Times New Roman"/>
          <w:sz w:val="24"/>
          <w:szCs w:val="24"/>
        </w:rPr>
        <w:t xml:space="preserve"> medesimo e in applicazione della normativa nazionale relativa al contenuto minimo di alcol per le bevande introdotte sul mercato tedesco. L’importatore ave</w:t>
      </w:r>
      <w:r w:rsidR="007F5B08" w:rsidRPr="007B4FE2">
        <w:rPr>
          <w:rFonts w:ascii="Times New Roman" w:hAnsi="Times New Roman" w:cs="Times New Roman"/>
          <w:sz w:val="24"/>
          <w:szCs w:val="24"/>
        </w:rPr>
        <w:t>va</w:t>
      </w:r>
      <w:r w:rsidR="008C5067" w:rsidRPr="007B4FE2">
        <w:rPr>
          <w:rFonts w:ascii="Times New Roman" w:hAnsi="Times New Roman" w:cs="Times New Roman"/>
          <w:sz w:val="24"/>
          <w:szCs w:val="24"/>
        </w:rPr>
        <w:t xml:space="preserve"> </w:t>
      </w:r>
      <w:r w:rsidR="00BF0EAD" w:rsidRPr="007B4FE2">
        <w:rPr>
          <w:rFonts w:ascii="Times New Roman" w:hAnsi="Times New Roman" w:cs="Times New Roman"/>
          <w:sz w:val="24"/>
          <w:szCs w:val="24"/>
        </w:rPr>
        <w:t xml:space="preserve">tuttavia </w:t>
      </w:r>
      <w:r w:rsidR="007F5B08" w:rsidRPr="007B4FE2">
        <w:rPr>
          <w:rFonts w:ascii="Times New Roman" w:hAnsi="Times New Roman" w:cs="Times New Roman"/>
          <w:sz w:val="24"/>
          <w:szCs w:val="24"/>
        </w:rPr>
        <w:t xml:space="preserve">impugnato </w:t>
      </w:r>
      <w:r w:rsidR="00BF0EAD" w:rsidRPr="007B4FE2">
        <w:rPr>
          <w:rFonts w:ascii="Times New Roman" w:hAnsi="Times New Roman" w:cs="Times New Roman"/>
          <w:sz w:val="24"/>
          <w:szCs w:val="24"/>
        </w:rPr>
        <w:t xml:space="preserve">il </w:t>
      </w:r>
      <w:r w:rsidR="007F5B08" w:rsidRPr="007B4FE2">
        <w:rPr>
          <w:rFonts w:ascii="Times New Roman" w:hAnsi="Times New Roman" w:cs="Times New Roman"/>
          <w:sz w:val="24"/>
          <w:szCs w:val="24"/>
        </w:rPr>
        <w:t>provvedimento negativo</w:t>
      </w:r>
      <w:r w:rsidR="00BF0EAD" w:rsidRPr="007B4FE2">
        <w:rPr>
          <w:rFonts w:ascii="Times New Roman" w:hAnsi="Times New Roman" w:cs="Times New Roman"/>
          <w:sz w:val="24"/>
          <w:szCs w:val="24"/>
        </w:rPr>
        <w:t xml:space="preserve">; e, a </w:t>
      </w:r>
      <w:r w:rsidR="008C5067" w:rsidRPr="007B4FE2">
        <w:rPr>
          <w:rFonts w:ascii="Times New Roman" w:hAnsi="Times New Roman" w:cs="Times New Roman"/>
          <w:sz w:val="24"/>
          <w:szCs w:val="24"/>
        </w:rPr>
        <w:t xml:space="preserve">seguito </w:t>
      </w:r>
      <w:r w:rsidR="00BF0EAD" w:rsidRPr="007B4FE2">
        <w:rPr>
          <w:rFonts w:ascii="Times New Roman" w:hAnsi="Times New Roman" w:cs="Times New Roman"/>
          <w:sz w:val="24"/>
          <w:szCs w:val="24"/>
        </w:rPr>
        <w:t>del rinvio pregiudiziale da parte del giudice tedesco</w:t>
      </w:r>
      <w:r w:rsidR="00BF0EAD" w:rsidRPr="007B4FE2">
        <w:rPr>
          <w:rFonts w:ascii="Times New Roman" w:hAnsi="Times New Roman" w:cs="Times New Roman"/>
          <w:sz w:val="24"/>
          <w:szCs w:val="24"/>
          <w:vertAlign w:val="superscript"/>
        </w:rPr>
        <w:footnoteReference w:id="69"/>
      </w:r>
      <w:r w:rsidR="002010DF" w:rsidRPr="007B4FE2">
        <w:rPr>
          <w:rFonts w:ascii="Times New Roman" w:hAnsi="Times New Roman" w:cs="Times New Roman"/>
          <w:sz w:val="24"/>
          <w:szCs w:val="24"/>
        </w:rPr>
        <w:t>,</w:t>
      </w:r>
      <w:r w:rsidR="00BF0EAD" w:rsidRPr="007B4FE2">
        <w:rPr>
          <w:rFonts w:ascii="Times New Roman" w:hAnsi="Times New Roman" w:cs="Times New Roman"/>
          <w:sz w:val="24"/>
          <w:szCs w:val="24"/>
        </w:rPr>
        <w:t xml:space="preserve"> </w:t>
      </w:r>
      <w:r w:rsidR="007F5B08" w:rsidRPr="007B4FE2">
        <w:rPr>
          <w:rFonts w:ascii="Times New Roman" w:hAnsi="Times New Roman" w:cs="Times New Roman"/>
          <w:sz w:val="24"/>
          <w:szCs w:val="24"/>
        </w:rPr>
        <w:t xml:space="preserve">la </w:t>
      </w:r>
      <w:r w:rsidR="009B4DC1" w:rsidRPr="007B4FE2">
        <w:rPr>
          <w:rFonts w:ascii="Times New Roman" w:hAnsi="Times New Roman" w:cs="Times New Roman"/>
          <w:sz w:val="24"/>
          <w:szCs w:val="24"/>
        </w:rPr>
        <w:t>Corte di giustizia</w:t>
      </w:r>
      <w:r w:rsidR="00E00E84" w:rsidRPr="007B4FE2">
        <w:rPr>
          <w:rFonts w:ascii="Times New Roman" w:hAnsi="Times New Roman" w:cs="Times New Roman"/>
          <w:sz w:val="24"/>
          <w:szCs w:val="24"/>
        </w:rPr>
        <w:t xml:space="preserve"> </w:t>
      </w:r>
      <w:r w:rsidR="00D4500B" w:rsidRPr="007B4FE2">
        <w:rPr>
          <w:rFonts w:ascii="Times New Roman" w:hAnsi="Times New Roman" w:cs="Times New Roman"/>
          <w:sz w:val="24"/>
          <w:szCs w:val="24"/>
        </w:rPr>
        <w:t>aveva dichiarato i</w:t>
      </w:r>
      <w:r w:rsidR="009B4DC1" w:rsidRPr="007B4FE2">
        <w:rPr>
          <w:rFonts w:ascii="Times New Roman" w:hAnsi="Times New Roman" w:cs="Times New Roman"/>
          <w:sz w:val="24"/>
          <w:szCs w:val="24"/>
        </w:rPr>
        <w:t>llegittim</w:t>
      </w:r>
      <w:r w:rsidR="00D4500B" w:rsidRPr="007B4FE2">
        <w:rPr>
          <w:rFonts w:ascii="Times New Roman" w:hAnsi="Times New Roman" w:cs="Times New Roman"/>
          <w:sz w:val="24"/>
          <w:szCs w:val="24"/>
        </w:rPr>
        <w:t>o il</w:t>
      </w:r>
      <w:r w:rsidR="009B4DC1" w:rsidRPr="007B4FE2">
        <w:rPr>
          <w:rFonts w:ascii="Times New Roman" w:hAnsi="Times New Roman" w:cs="Times New Roman"/>
          <w:sz w:val="24"/>
          <w:szCs w:val="24"/>
        </w:rPr>
        <w:t xml:space="preserve"> divieto di importazione</w:t>
      </w:r>
      <w:r w:rsidR="00F7624B"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w:t>
      </w:r>
      <w:r w:rsidR="005F6085" w:rsidRPr="007B4FE2">
        <w:rPr>
          <w:rFonts w:ascii="Times New Roman" w:hAnsi="Times New Roman" w:cs="Times New Roman"/>
          <w:i/>
          <w:sz w:val="24"/>
          <w:szCs w:val="24"/>
        </w:rPr>
        <w:t>dal</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momento</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che</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il</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consumatore</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può</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procurarsi</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sul</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mercato</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una</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gamma estremamente varia di</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prodotti</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con</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gradazione</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alcolica</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bassa</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o</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media</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ed</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inoltre</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una parte</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rilevante</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delle</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bevande alcoliche con forte gradazione, liberamente poste in</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vendita</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sul</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mercato</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tedesco, viene</w:t>
      </w:r>
      <w:r w:rsidR="00F7624B" w:rsidRPr="007B4FE2">
        <w:rPr>
          <w:rFonts w:ascii="Times New Roman" w:hAnsi="Times New Roman" w:cs="Times New Roman"/>
          <w:i/>
          <w:sz w:val="24"/>
          <w:szCs w:val="24"/>
        </w:rPr>
        <w:t xml:space="preserve"> </w:t>
      </w:r>
      <w:r w:rsidR="005F6085" w:rsidRPr="007B4FE2">
        <w:rPr>
          <w:rFonts w:ascii="Times New Roman" w:hAnsi="Times New Roman" w:cs="Times New Roman"/>
          <w:i/>
          <w:sz w:val="24"/>
          <w:szCs w:val="24"/>
        </w:rPr>
        <w:t>consumata correntemente in forma diluita</w:t>
      </w:r>
      <w:r w:rsidR="005F6085" w:rsidRPr="007B4FE2">
        <w:rPr>
          <w:rFonts w:ascii="Times New Roman" w:hAnsi="Times New Roman" w:cs="Times New Roman"/>
          <w:sz w:val="24"/>
          <w:szCs w:val="24"/>
        </w:rPr>
        <w:t>"</w:t>
      </w:r>
      <w:r w:rsidR="005F6085" w:rsidRPr="007B4FE2">
        <w:rPr>
          <w:rFonts w:ascii="Times New Roman" w:hAnsi="Times New Roman" w:cs="Times New Roman"/>
          <w:sz w:val="24"/>
          <w:szCs w:val="24"/>
          <w:vertAlign w:val="superscript"/>
        </w:rPr>
        <w:footnoteReference w:id="70"/>
      </w:r>
      <w:r w:rsidR="00BF0EAD" w:rsidRPr="007B4FE2">
        <w:rPr>
          <w:rFonts w:ascii="Times New Roman" w:hAnsi="Times New Roman" w:cs="Times New Roman"/>
          <w:sz w:val="24"/>
          <w:szCs w:val="24"/>
        </w:rPr>
        <w:t xml:space="preserve">. Dunque - e </w:t>
      </w:r>
      <w:r w:rsidR="005F6085" w:rsidRPr="007B4FE2">
        <w:rPr>
          <w:rFonts w:ascii="Times New Roman" w:hAnsi="Times New Roman" w:cs="Times New Roman"/>
          <w:sz w:val="24"/>
          <w:szCs w:val="24"/>
        </w:rPr>
        <w:t>pur</w:t>
      </w:r>
      <w:r w:rsidR="00BF0EAD" w:rsidRPr="007B4FE2">
        <w:rPr>
          <w:rFonts w:ascii="Times New Roman" w:hAnsi="Times New Roman" w:cs="Times New Roman"/>
          <w:sz w:val="24"/>
          <w:szCs w:val="24"/>
        </w:rPr>
        <w:t xml:space="preserve"> non affermandolo espressamente -</w:t>
      </w:r>
      <w:r w:rsidR="00AC47C0"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la Corte</w:t>
      </w:r>
      <w:r w:rsidR="009B4DC1" w:rsidRPr="007B4FE2">
        <w:rPr>
          <w:rFonts w:ascii="Times New Roman" w:hAnsi="Times New Roman" w:cs="Times New Roman"/>
          <w:sz w:val="24"/>
          <w:szCs w:val="24"/>
        </w:rPr>
        <w:t xml:space="preserve"> aveva</w:t>
      </w:r>
      <w:r w:rsidR="00F7624B"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valutato</w:t>
      </w:r>
      <w:r w:rsidR="00D4500B" w:rsidRPr="007B4FE2">
        <w:rPr>
          <w:rFonts w:ascii="Times New Roman" w:hAnsi="Times New Roman" w:cs="Times New Roman"/>
          <w:sz w:val="24"/>
          <w:szCs w:val="24"/>
        </w:rPr>
        <w:t xml:space="preserve"> il diniego di importazione</w:t>
      </w:r>
      <w:r w:rsidR="00E00E84" w:rsidRPr="007B4FE2">
        <w:rPr>
          <w:rFonts w:ascii="Times New Roman" w:hAnsi="Times New Roman" w:cs="Times New Roman"/>
          <w:sz w:val="24"/>
          <w:szCs w:val="24"/>
        </w:rPr>
        <w:t xml:space="preserve"> </w:t>
      </w:r>
      <w:r w:rsidR="00D4500B" w:rsidRPr="007B4FE2">
        <w:rPr>
          <w:rFonts w:ascii="Times New Roman" w:hAnsi="Times New Roman" w:cs="Times New Roman"/>
          <w:sz w:val="24"/>
          <w:szCs w:val="24"/>
        </w:rPr>
        <w:t>- e</w:t>
      </w:r>
      <w:r w:rsidR="005F6085" w:rsidRPr="007B4FE2">
        <w:rPr>
          <w:rFonts w:ascii="Times New Roman" w:hAnsi="Times New Roman" w:cs="Times New Roman"/>
          <w:sz w:val="24"/>
          <w:szCs w:val="24"/>
        </w:rPr>
        <w:t xml:space="preserve"> la disciplina tedesca sul c</w:t>
      </w:r>
      <w:r w:rsidRPr="007B4FE2">
        <w:rPr>
          <w:rFonts w:ascii="Times New Roman" w:hAnsi="Times New Roman" w:cs="Times New Roman"/>
          <w:sz w:val="24"/>
          <w:szCs w:val="24"/>
        </w:rPr>
        <w:t>ontenuto minimo di</w:t>
      </w:r>
      <w:r w:rsidR="00F7624B" w:rsidRPr="007B4FE2">
        <w:rPr>
          <w:rFonts w:ascii="Times New Roman" w:hAnsi="Times New Roman" w:cs="Times New Roman"/>
          <w:sz w:val="24"/>
          <w:szCs w:val="24"/>
        </w:rPr>
        <w:t xml:space="preserve"> </w:t>
      </w:r>
      <w:r w:rsidRPr="007B4FE2">
        <w:rPr>
          <w:rFonts w:ascii="Times New Roman" w:hAnsi="Times New Roman" w:cs="Times New Roman"/>
          <w:sz w:val="24"/>
          <w:szCs w:val="24"/>
        </w:rPr>
        <w:t>alcol</w:t>
      </w:r>
      <w:r w:rsidR="00E00E84" w:rsidRPr="007B4FE2">
        <w:rPr>
          <w:rFonts w:ascii="Times New Roman" w:hAnsi="Times New Roman" w:cs="Times New Roman"/>
          <w:sz w:val="24"/>
          <w:szCs w:val="24"/>
        </w:rPr>
        <w:t xml:space="preserve"> </w:t>
      </w:r>
      <w:r w:rsidR="00D4500B" w:rsidRPr="007B4FE2">
        <w:rPr>
          <w:rFonts w:ascii="Times New Roman" w:hAnsi="Times New Roman" w:cs="Times New Roman"/>
          <w:sz w:val="24"/>
          <w:szCs w:val="24"/>
        </w:rPr>
        <w:t xml:space="preserve">di cui esso faceva applicazione - </w:t>
      </w:r>
      <w:r w:rsidRPr="007B4FE2">
        <w:rPr>
          <w:rFonts w:ascii="Times New Roman" w:hAnsi="Times New Roman" w:cs="Times New Roman"/>
          <w:sz w:val="24"/>
          <w:szCs w:val="24"/>
        </w:rPr>
        <w:t>come i</w:t>
      </w:r>
      <w:r w:rsidR="00D4500B" w:rsidRPr="007B4FE2">
        <w:rPr>
          <w:rFonts w:ascii="Times New Roman" w:hAnsi="Times New Roman" w:cs="Times New Roman"/>
          <w:sz w:val="24"/>
          <w:szCs w:val="24"/>
        </w:rPr>
        <w:t>nidonei</w:t>
      </w:r>
      <w:r w:rsidR="005F6085" w:rsidRPr="007B4FE2">
        <w:rPr>
          <w:rFonts w:ascii="Times New Roman" w:hAnsi="Times New Roman" w:cs="Times New Roman"/>
          <w:sz w:val="24"/>
          <w:szCs w:val="24"/>
        </w:rPr>
        <w:t xml:space="preserve"> al</w:t>
      </w:r>
      <w:r w:rsidR="00F7624B"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raggiungimento dell'obiettivo di tutelare la salute dei cittadini</w:t>
      </w:r>
      <w:r w:rsidR="005F6085" w:rsidRPr="007B4FE2">
        <w:rPr>
          <w:rFonts w:ascii="Times New Roman" w:hAnsi="Times New Roman" w:cs="Times New Roman"/>
          <w:sz w:val="24"/>
          <w:szCs w:val="24"/>
          <w:vertAlign w:val="superscript"/>
        </w:rPr>
        <w:footnoteReference w:id="71"/>
      </w:r>
      <w:r w:rsidR="005F6085" w:rsidRPr="007B4FE2">
        <w:rPr>
          <w:rFonts w:ascii="Times New Roman" w:hAnsi="Times New Roman" w:cs="Times New Roman"/>
          <w:sz w:val="24"/>
          <w:szCs w:val="24"/>
        </w:rPr>
        <w:t>.</w:t>
      </w:r>
    </w:p>
    <w:p w:rsidR="00D4500B" w:rsidRPr="007B4FE2" w:rsidRDefault="00D4500B"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Una volta stabili</w:t>
      </w:r>
      <w:r w:rsidRPr="00F45C3D">
        <w:rPr>
          <w:rFonts w:ascii="Times New Roman" w:hAnsi="Times New Roman" w:cs="Times New Roman"/>
          <w:sz w:val="24"/>
          <w:szCs w:val="24"/>
        </w:rPr>
        <w:t>to (implicitamente od esplicitamente) che una</w:t>
      </w:r>
      <w:r w:rsidRPr="007B4FE2">
        <w:rPr>
          <w:rFonts w:ascii="Times New Roman" w:hAnsi="Times New Roman" w:cs="Times New Roman"/>
          <w:sz w:val="24"/>
          <w:szCs w:val="24"/>
        </w:rPr>
        <w:t xml:space="preserve"> misura controversa rispetta il parametro della </w:t>
      </w:r>
      <w:r w:rsidR="009B4DC1" w:rsidRPr="007B4FE2">
        <w:rPr>
          <w:rFonts w:ascii="Times New Roman" w:hAnsi="Times New Roman" w:cs="Times New Roman"/>
          <w:sz w:val="24"/>
          <w:szCs w:val="24"/>
        </w:rPr>
        <w:t>idoneità</w:t>
      </w:r>
      <w:r w:rsidRPr="007B4FE2">
        <w:rPr>
          <w:rFonts w:ascii="Times New Roman" w:hAnsi="Times New Roman" w:cs="Times New Roman"/>
          <w:sz w:val="24"/>
          <w:szCs w:val="24"/>
        </w:rPr>
        <w:t>, i giudici di Lussemburgo p</w:t>
      </w:r>
      <w:r w:rsidR="005F6085" w:rsidRPr="007B4FE2">
        <w:rPr>
          <w:rFonts w:ascii="Times New Roman" w:hAnsi="Times New Roman" w:cs="Times New Roman"/>
          <w:sz w:val="24"/>
          <w:szCs w:val="24"/>
        </w:rPr>
        <w:t>assa</w:t>
      </w:r>
      <w:r w:rsidRPr="007B4FE2">
        <w:rPr>
          <w:rFonts w:ascii="Times New Roman" w:hAnsi="Times New Roman" w:cs="Times New Roman"/>
          <w:sz w:val="24"/>
          <w:szCs w:val="24"/>
        </w:rPr>
        <w:t>no</w:t>
      </w:r>
      <w:r w:rsidR="005F6085" w:rsidRPr="007B4FE2">
        <w:rPr>
          <w:rFonts w:ascii="Times New Roman" w:hAnsi="Times New Roman" w:cs="Times New Roman"/>
          <w:sz w:val="24"/>
          <w:szCs w:val="24"/>
        </w:rPr>
        <w:t xml:space="preserve"> al</w:t>
      </w:r>
      <w:r w:rsidR="00EC0E5B" w:rsidRPr="007B4FE2">
        <w:rPr>
          <w:rFonts w:ascii="Times New Roman" w:hAnsi="Times New Roman" w:cs="Times New Roman"/>
          <w:sz w:val="24"/>
          <w:szCs w:val="24"/>
        </w:rPr>
        <w:t>l’esame del secon</w:t>
      </w:r>
      <w:r w:rsidRPr="007B4FE2">
        <w:rPr>
          <w:rFonts w:ascii="Times New Roman" w:hAnsi="Times New Roman" w:cs="Times New Roman"/>
          <w:sz w:val="24"/>
          <w:szCs w:val="24"/>
        </w:rPr>
        <w:t>do parametro della proporzionalità:</w:t>
      </w:r>
      <w:r w:rsidR="009B4DC1" w:rsidRPr="007B4FE2">
        <w:rPr>
          <w:rFonts w:ascii="Times New Roman" w:hAnsi="Times New Roman" w:cs="Times New Roman"/>
          <w:sz w:val="24"/>
          <w:szCs w:val="24"/>
        </w:rPr>
        <w:t xml:space="preserve"> </w:t>
      </w:r>
      <w:r w:rsidR="005F6085" w:rsidRPr="007B4FE2">
        <w:rPr>
          <w:rFonts w:ascii="Times New Roman" w:hAnsi="Times New Roman" w:cs="Times New Roman"/>
          <w:sz w:val="24"/>
          <w:szCs w:val="24"/>
        </w:rPr>
        <w:t xml:space="preserve">la </w:t>
      </w:r>
      <w:proofErr w:type="spellStart"/>
      <w:r w:rsidR="005F6085" w:rsidRPr="007B4FE2">
        <w:rPr>
          <w:rFonts w:ascii="Times New Roman" w:hAnsi="Times New Roman" w:cs="Times New Roman"/>
          <w:sz w:val="24"/>
          <w:szCs w:val="24"/>
        </w:rPr>
        <w:t>necessarietà</w:t>
      </w:r>
      <w:proofErr w:type="spellEnd"/>
      <w:r w:rsidR="005F6085" w:rsidRPr="007B4FE2">
        <w:rPr>
          <w:rFonts w:ascii="Times New Roman" w:hAnsi="Times New Roman" w:cs="Times New Roman"/>
          <w:sz w:val="24"/>
          <w:szCs w:val="24"/>
        </w:rPr>
        <w:t>.</w:t>
      </w:r>
      <w:r w:rsidR="00F7624B" w:rsidRPr="007B4FE2">
        <w:rPr>
          <w:rFonts w:ascii="Times New Roman" w:hAnsi="Times New Roman" w:cs="Times New Roman"/>
          <w:sz w:val="24"/>
          <w:szCs w:val="24"/>
        </w:rPr>
        <w:t xml:space="preserve"> </w:t>
      </w:r>
    </w:p>
    <w:p w:rsidR="00CD5890" w:rsidRPr="007B4FE2" w:rsidRDefault="00132FBD"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Tale</w:t>
      </w:r>
      <w:r w:rsidR="00D4500B" w:rsidRPr="007B4FE2">
        <w:rPr>
          <w:rFonts w:ascii="Times New Roman" w:hAnsi="Times New Roman" w:cs="Times New Roman"/>
          <w:sz w:val="24"/>
          <w:szCs w:val="24"/>
        </w:rPr>
        <w:t xml:space="preserve"> secondo </w:t>
      </w:r>
      <w:r w:rsidRPr="007B4FE2">
        <w:rPr>
          <w:rFonts w:ascii="Times New Roman" w:hAnsi="Times New Roman" w:cs="Times New Roman"/>
          <w:sz w:val="24"/>
          <w:szCs w:val="24"/>
        </w:rPr>
        <w:t xml:space="preserve">parametro </w:t>
      </w:r>
      <w:r w:rsidR="00EC0E5B" w:rsidRPr="007B4FE2">
        <w:rPr>
          <w:rFonts w:ascii="Times New Roman" w:hAnsi="Times New Roman" w:cs="Times New Roman"/>
          <w:sz w:val="24"/>
          <w:szCs w:val="24"/>
        </w:rPr>
        <w:t>implica che “</w:t>
      </w:r>
      <w:r w:rsidR="00EC0E5B" w:rsidRPr="007B4FE2">
        <w:rPr>
          <w:rFonts w:ascii="Times New Roman" w:hAnsi="Times New Roman" w:cs="Times New Roman"/>
          <w:i/>
          <w:sz w:val="24"/>
          <w:szCs w:val="24"/>
        </w:rPr>
        <w:t>qualora si presenti una scelta tra più</w:t>
      </w:r>
      <w:r w:rsidR="00F7624B" w:rsidRPr="007B4FE2">
        <w:rPr>
          <w:rFonts w:ascii="Times New Roman" w:hAnsi="Times New Roman" w:cs="Times New Roman"/>
          <w:i/>
          <w:sz w:val="24"/>
          <w:szCs w:val="24"/>
        </w:rPr>
        <w:t xml:space="preserve"> </w:t>
      </w:r>
      <w:r w:rsidR="00EC0E5B" w:rsidRPr="007B4FE2">
        <w:rPr>
          <w:rFonts w:ascii="Times New Roman" w:hAnsi="Times New Roman" w:cs="Times New Roman"/>
          <w:i/>
          <w:sz w:val="24"/>
          <w:szCs w:val="24"/>
        </w:rPr>
        <w:t>misure</w:t>
      </w:r>
      <w:r w:rsidR="00F7624B" w:rsidRPr="007B4FE2">
        <w:rPr>
          <w:rFonts w:ascii="Times New Roman" w:hAnsi="Times New Roman" w:cs="Times New Roman"/>
          <w:i/>
          <w:sz w:val="24"/>
          <w:szCs w:val="24"/>
        </w:rPr>
        <w:t xml:space="preserve"> </w:t>
      </w:r>
      <w:r w:rsidR="00EC0E5B" w:rsidRPr="007B4FE2">
        <w:rPr>
          <w:rFonts w:ascii="Times New Roman" w:hAnsi="Times New Roman" w:cs="Times New Roman"/>
          <w:i/>
          <w:sz w:val="24"/>
          <w:szCs w:val="24"/>
        </w:rPr>
        <w:t>appropriate, è necessario</w:t>
      </w:r>
      <w:r w:rsidR="00F7624B" w:rsidRPr="007B4FE2">
        <w:rPr>
          <w:rFonts w:ascii="Times New Roman" w:hAnsi="Times New Roman" w:cs="Times New Roman"/>
          <w:i/>
          <w:sz w:val="24"/>
          <w:szCs w:val="24"/>
        </w:rPr>
        <w:t xml:space="preserve"> </w:t>
      </w:r>
      <w:r w:rsidR="00EC0E5B" w:rsidRPr="007B4FE2">
        <w:rPr>
          <w:rFonts w:ascii="Times New Roman" w:hAnsi="Times New Roman" w:cs="Times New Roman"/>
          <w:i/>
          <w:sz w:val="24"/>
          <w:szCs w:val="24"/>
        </w:rPr>
        <w:t>ricorrere alla meno restrittiva</w:t>
      </w:r>
      <w:r w:rsidR="00EC0E5B" w:rsidRPr="007B4FE2">
        <w:rPr>
          <w:rFonts w:ascii="Times New Roman" w:hAnsi="Times New Roman" w:cs="Times New Roman"/>
          <w:sz w:val="24"/>
          <w:szCs w:val="24"/>
        </w:rPr>
        <w:t>”</w:t>
      </w:r>
      <w:r w:rsidR="00EC0E5B" w:rsidRPr="007B4FE2">
        <w:rPr>
          <w:rFonts w:ascii="Times New Roman" w:hAnsi="Times New Roman" w:cs="Times New Roman"/>
          <w:sz w:val="24"/>
          <w:szCs w:val="24"/>
          <w:vertAlign w:val="superscript"/>
        </w:rPr>
        <w:footnoteReference w:id="72"/>
      </w:r>
      <w:r w:rsidR="00EC0E5B" w:rsidRPr="007B4FE2">
        <w:rPr>
          <w:rFonts w:ascii="Times New Roman" w:hAnsi="Times New Roman" w:cs="Times New Roman"/>
          <w:sz w:val="24"/>
          <w:szCs w:val="24"/>
        </w:rPr>
        <w:t>.</w:t>
      </w:r>
      <w:r w:rsidR="00D4500B" w:rsidRPr="007B4FE2">
        <w:rPr>
          <w:rFonts w:ascii="Times New Roman" w:hAnsi="Times New Roman" w:cs="Times New Roman"/>
          <w:sz w:val="24"/>
          <w:szCs w:val="24"/>
        </w:rPr>
        <w:t xml:space="preserve"> Ed è questo </w:t>
      </w:r>
      <w:r w:rsidR="00EC0E5B" w:rsidRPr="007B4FE2">
        <w:rPr>
          <w:rFonts w:ascii="Times New Roman" w:hAnsi="Times New Roman" w:cs="Times New Roman"/>
          <w:sz w:val="24"/>
          <w:szCs w:val="24"/>
        </w:rPr>
        <w:t>parametro di valutazione</w:t>
      </w:r>
      <w:r w:rsidR="00D4500B" w:rsidRPr="007B4FE2">
        <w:rPr>
          <w:rFonts w:ascii="Times New Roman" w:hAnsi="Times New Roman" w:cs="Times New Roman"/>
          <w:sz w:val="24"/>
          <w:szCs w:val="24"/>
        </w:rPr>
        <w:t xml:space="preserve"> che </w:t>
      </w:r>
      <w:r w:rsidR="00EC0E5B" w:rsidRPr="007B4FE2">
        <w:rPr>
          <w:rFonts w:ascii="Times New Roman" w:hAnsi="Times New Roman" w:cs="Times New Roman"/>
          <w:sz w:val="24"/>
          <w:szCs w:val="24"/>
        </w:rPr>
        <w:t>ha dominato</w:t>
      </w:r>
      <w:r w:rsidR="00D4500B" w:rsidRPr="007B4FE2">
        <w:rPr>
          <w:rFonts w:ascii="Times New Roman" w:hAnsi="Times New Roman" w:cs="Times New Roman"/>
          <w:sz w:val="24"/>
          <w:szCs w:val="24"/>
        </w:rPr>
        <w:t>,</w:t>
      </w:r>
      <w:r w:rsidR="00EC0E5B" w:rsidRPr="007B4FE2">
        <w:rPr>
          <w:rFonts w:ascii="Times New Roman" w:hAnsi="Times New Roman" w:cs="Times New Roman"/>
          <w:sz w:val="24"/>
          <w:szCs w:val="24"/>
        </w:rPr>
        <w:t xml:space="preserve"> in misura via</w:t>
      </w:r>
      <w:r w:rsidR="00F7624B" w:rsidRPr="007B4FE2">
        <w:rPr>
          <w:rFonts w:ascii="Times New Roman" w:hAnsi="Times New Roman" w:cs="Times New Roman"/>
          <w:sz w:val="24"/>
          <w:szCs w:val="24"/>
        </w:rPr>
        <w:t xml:space="preserve"> </w:t>
      </w:r>
      <w:r w:rsidR="00EC0E5B" w:rsidRPr="007B4FE2">
        <w:rPr>
          <w:rFonts w:ascii="Times New Roman" w:hAnsi="Times New Roman" w:cs="Times New Roman"/>
          <w:sz w:val="24"/>
          <w:szCs w:val="24"/>
        </w:rPr>
        <w:t>via crescente</w:t>
      </w:r>
      <w:r w:rsidR="00D4500B" w:rsidRPr="007B4FE2">
        <w:rPr>
          <w:rFonts w:ascii="Times New Roman" w:hAnsi="Times New Roman" w:cs="Times New Roman"/>
          <w:sz w:val="24"/>
          <w:szCs w:val="24"/>
        </w:rPr>
        <w:t>,</w:t>
      </w:r>
      <w:r w:rsidR="00E00E84" w:rsidRPr="007B4FE2">
        <w:rPr>
          <w:rFonts w:ascii="Times New Roman" w:hAnsi="Times New Roman" w:cs="Times New Roman"/>
          <w:sz w:val="24"/>
          <w:szCs w:val="24"/>
        </w:rPr>
        <w:t xml:space="preserve"> </w:t>
      </w:r>
      <w:r w:rsidR="00EC0E5B" w:rsidRPr="007B4FE2">
        <w:rPr>
          <w:rFonts w:ascii="Times New Roman" w:hAnsi="Times New Roman" w:cs="Times New Roman"/>
          <w:sz w:val="24"/>
          <w:szCs w:val="24"/>
        </w:rPr>
        <w:t>la giurisprudenza</w:t>
      </w:r>
      <w:r w:rsidRPr="007B4FE2">
        <w:rPr>
          <w:rFonts w:ascii="Times New Roman" w:hAnsi="Times New Roman" w:cs="Times New Roman"/>
          <w:sz w:val="24"/>
          <w:szCs w:val="24"/>
        </w:rPr>
        <w:t xml:space="preserve"> dei giudici </w:t>
      </w:r>
      <w:r w:rsidR="00EC0E5B" w:rsidRPr="007B4FE2">
        <w:rPr>
          <w:rFonts w:ascii="Times New Roman" w:hAnsi="Times New Roman" w:cs="Times New Roman"/>
          <w:sz w:val="24"/>
          <w:szCs w:val="24"/>
        </w:rPr>
        <w:t>UE</w:t>
      </w:r>
      <w:r w:rsidR="00CD5890" w:rsidRPr="007B4FE2">
        <w:rPr>
          <w:rFonts w:ascii="Times New Roman" w:hAnsi="Times New Roman" w:cs="Times New Roman"/>
          <w:sz w:val="24"/>
          <w:szCs w:val="24"/>
        </w:rPr>
        <w:t>,</w:t>
      </w:r>
      <w:r w:rsidR="00E00E84" w:rsidRPr="007B4FE2">
        <w:rPr>
          <w:rFonts w:ascii="Times New Roman" w:hAnsi="Times New Roman" w:cs="Times New Roman"/>
          <w:sz w:val="24"/>
          <w:szCs w:val="24"/>
        </w:rPr>
        <w:t xml:space="preserve"> </w:t>
      </w:r>
      <w:r w:rsidR="00D4500B" w:rsidRPr="007B4FE2">
        <w:rPr>
          <w:rFonts w:ascii="Times New Roman" w:hAnsi="Times New Roman" w:cs="Times New Roman"/>
          <w:sz w:val="24"/>
          <w:szCs w:val="24"/>
        </w:rPr>
        <w:t xml:space="preserve">essendo </w:t>
      </w:r>
      <w:r w:rsidR="00EC0E5B" w:rsidRPr="007B4FE2">
        <w:rPr>
          <w:rFonts w:ascii="Times New Roman" w:hAnsi="Times New Roman" w:cs="Times New Roman"/>
          <w:sz w:val="24"/>
          <w:szCs w:val="24"/>
        </w:rPr>
        <w:t xml:space="preserve">oggetto </w:t>
      </w:r>
      <w:r w:rsidR="00D4500B" w:rsidRPr="007B4FE2">
        <w:rPr>
          <w:rFonts w:ascii="Times New Roman" w:hAnsi="Times New Roman" w:cs="Times New Roman"/>
          <w:sz w:val="24"/>
          <w:szCs w:val="24"/>
        </w:rPr>
        <w:t>di</w:t>
      </w:r>
      <w:r w:rsidR="00E00E84" w:rsidRPr="007B4FE2">
        <w:rPr>
          <w:rFonts w:ascii="Times New Roman" w:hAnsi="Times New Roman" w:cs="Times New Roman"/>
          <w:sz w:val="24"/>
          <w:szCs w:val="24"/>
        </w:rPr>
        <w:t xml:space="preserve"> </w:t>
      </w:r>
      <w:r w:rsidR="00D4500B" w:rsidRPr="007B4FE2">
        <w:rPr>
          <w:rFonts w:ascii="Times New Roman" w:hAnsi="Times New Roman" w:cs="Times New Roman"/>
          <w:sz w:val="24"/>
          <w:szCs w:val="24"/>
        </w:rPr>
        <w:t xml:space="preserve">(espresso) </w:t>
      </w:r>
      <w:r w:rsidR="00EC0E5B" w:rsidRPr="007B4FE2">
        <w:rPr>
          <w:rFonts w:ascii="Times New Roman" w:hAnsi="Times New Roman" w:cs="Times New Roman"/>
          <w:sz w:val="24"/>
          <w:szCs w:val="24"/>
        </w:rPr>
        <w:t>esame</w:t>
      </w:r>
      <w:r w:rsidR="00F7624B" w:rsidRPr="007B4FE2">
        <w:rPr>
          <w:rFonts w:ascii="Times New Roman" w:hAnsi="Times New Roman" w:cs="Times New Roman"/>
          <w:sz w:val="24"/>
          <w:szCs w:val="24"/>
        </w:rPr>
        <w:t xml:space="preserve"> </w:t>
      </w:r>
      <w:r w:rsidR="00EC0E5B" w:rsidRPr="007B4FE2">
        <w:rPr>
          <w:rFonts w:ascii="Times New Roman" w:hAnsi="Times New Roman" w:cs="Times New Roman"/>
          <w:sz w:val="24"/>
          <w:szCs w:val="24"/>
        </w:rPr>
        <w:t>nella</w:t>
      </w:r>
      <w:r w:rsidR="00F7624B" w:rsidRPr="007B4FE2">
        <w:rPr>
          <w:rFonts w:ascii="Times New Roman" w:hAnsi="Times New Roman" w:cs="Times New Roman"/>
          <w:sz w:val="24"/>
          <w:szCs w:val="24"/>
        </w:rPr>
        <w:t xml:space="preserve"> </w:t>
      </w:r>
      <w:r w:rsidR="00EC0E5B" w:rsidRPr="007B4FE2">
        <w:rPr>
          <w:rFonts w:ascii="Times New Roman" w:hAnsi="Times New Roman" w:cs="Times New Roman"/>
          <w:sz w:val="24"/>
          <w:szCs w:val="24"/>
        </w:rPr>
        <w:t>quasi totalità dei casi in</w:t>
      </w:r>
      <w:r w:rsidR="009B4DC1" w:rsidRPr="007B4FE2">
        <w:rPr>
          <w:rFonts w:ascii="Times New Roman" w:hAnsi="Times New Roman" w:cs="Times New Roman"/>
          <w:sz w:val="24"/>
          <w:szCs w:val="24"/>
        </w:rPr>
        <w:t xml:space="preserve"> cui</w:t>
      </w:r>
      <w:r w:rsidR="00F7624B" w:rsidRPr="007B4FE2">
        <w:rPr>
          <w:rFonts w:ascii="Times New Roman" w:hAnsi="Times New Roman" w:cs="Times New Roman"/>
          <w:sz w:val="24"/>
          <w:szCs w:val="24"/>
        </w:rPr>
        <w:t xml:space="preserve"> </w:t>
      </w:r>
      <w:r w:rsidR="00EC0E5B" w:rsidRPr="007B4FE2">
        <w:rPr>
          <w:rFonts w:ascii="Times New Roman" w:hAnsi="Times New Roman" w:cs="Times New Roman"/>
          <w:sz w:val="24"/>
          <w:szCs w:val="24"/>
        </w:rPr>
        <w:t>il principio di proporzionalità viene applicato</w:t>
      </w:r>
      <w:r w:rsidR="00BF0EAD" w:rsidRPr="007B4FE2">
        <w:rPr>
          <w:rFonts w:ascii="Times New Roman" w:hAnsi="Times New Roman" w:cs="Times New Roman"/>
          <w:sz w:val="24"/>
          <w:szCs w:val="24"/>
        </w:rPr>
        <w:t xml:space="preserve"> dai giudici UE</w:t>
      </w:r>
      <w:r w:rsidR="00EC0E5B" w:rsidRPr="007B4FE2">
        <w:rPr>
          <w:rFonts w:ascii="Times New Roman" w:hAnsi="Times New Roman" w:cs="Times New Roman"/>
          <w:sz w:val="24"/>
          <w:szCs w:val="24"/>
        </w:rPr>
        <w:t xml:space="preserve">. </w:t>
      </w:r>
    </w:p>
    <w:p w:rsidR="009848F1" w:rsidRPr="007B4FE2" w:rsidRDefault="003E12E0"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 xml:space="preserve">Quanto alle </w:t>
      </w:r>
      <w:r w:rsidR="00247919" w:rsidRPr="007B4FE2">
        <w:rPr>
          <w:rFonts w:ascii="Times New Roman" w:hAnsi="Times New Roman" w:cs="Times New Roman"/>
          <w:sz w:val="24"/>
          <w:szCs w:val="24"/>
        </w:rPr>
        <w:t>modalità</w:t>
      </w:r>
      <w:r w:rsidR="00AC47C0" w:rsidRPr="007B4FE2">
        <w:rPr>
          <w:rFonts w:ascii="Times New Roman" w:hAnsi="Times New Roman" w:cs="Times New Roman"/>
          <w:sz w:val="24"/>
          <w:szCs w:val="24"/>
        </w:rPr>
        <w:t xml:space="preserve"> </w:t>
      </w:r>
      <w:r w:rsidRPr="007B4FE2">
        <w:rPr>
          <w:rFonts w:ascii="Times New Roman" w:hAnsi="Times New Roman" w:cs="Times New Roman"/>
          <w:sz w:val="24"/>
          <w:szCs w:val="24"/>
        </w:rPr>
        <w:t>concrete di</w:t>
      </w:r>
      <w:r w:rsidR="00AC47C0" w:rsidRPr="007B4FE2">
        <w:rPr>
          <w:rFonts w:ascii="Times New Roman" w:hAnsi="Times New Roman" w:cs="Times New Roman"/>
          <w:sz w:val="24"/>
          <w:szCs w:val="24"/>
        </w:rPr>
        <w:t xml:space="preserve"> </w:t>
      </w:r>
      <w:r w:rsidRPr="007B4FE2">
        <w:rPr>
          <w:rFonts w:ascii="Times New Roman" w:hAnsi="Times New Roman" w:cs="Times New Roman"/>
          <w:sz w:val="24"/>
          <w:szCs w:val="24"/>
        </w:rPr>
        <w:t>sindacato</w:t>
      </w:r>
      <w:r w:rsidR="00AC47C0"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della </w:t>
      </w:r>
      <w:proofErr w:type="spellStart"/>
      <w:r w:rsidRPr="007B4FE2">
        <w:rPr>
          <w:rFonts w:ascii="Times New Roman" w:hAnsi="Times New Roman" w:cs="Times New Roman"/>
          <w:sz w:val="24"/>
          <w:szCs w:val="24"/>
        </w:rPr>
        <w:t>necessarietà</w:t>
      </w:r>
      <w:proofErr w:type="spellEnd"/>
      <w:r w:rsidRPr="007B4FE2">
        <w:rPr>
          <w:rFonts w:ascii="Times New Roman" w:hAnsi="Times New Roman" w:cs="Times New Roman"/>
          <w:sz w:val="24"/>
          <w:szCs w:val="24"/>
        </w:rPr>
        <w:t xml:space="preserve">, un esempio illuminante </w:t>
      </w:r>
      <w:r w:rsidR="009848F1" w:rsidRPr="007B4FE2">
        <w:rPr>
          <w:rFonts w:ascii="Times New Roman" w:hAnsi="Times New Roman" w:cs="Times New Roman"/>
          <w:sz w:val="24"/>
          <w:szCs w:val="24"/>
        </w:rPr>
        <w:t>è rappresentato dal</w:t>
      </w:r>
      <w:r w:rsidR="00D4500B" w:rsidRPr="007B4FE2">
        <w:rPr>
          <w:rFonts w:ascii="Times New Roman" w:hAnsi="Times New Roman" w:cs="Times New Roman"/>
          <w:sz w:val="24"/>
          <w:szCs w:val="24"/>
        </w:rPr>
        <w:t xml:space="preserve"> </w:t>
      </w:r>
      <w:r w:rsidR="004D53D7" w:rsidRPr="007B4FE2">
        <w:rPr>
          <w:rFonts w:ascii="Times New Roman" w:hAnsi="Times New Roman" w:cs="Times New Roman"/>
          <w:sz w:val="24"/>
          <w:szCs w:val="24"/>
        </w:rPr>
        <w:t xml:space="preserve">c.d. </w:t>
      </w:r>
      <w:r w:rsidR="00247919" w:rsidRPr="007B4FE2">
        <w:rPr>
          <w:rFonts w:ascii="Times New Roman" w:hAnsi="Times New Roman" w:cs="Times New Roman"/>
          <w:sz w:val="24"/>
          <w:szCs w:val="24"/>
        </w:rPr>
        <w:t xml:space="preserve">caso </w:t>
      </w:r>
      <w:proofErr w:type="spellStart"/>
      <w:r w:rsidR="00247919" w:rsidRPr="007B4FE2">
        <w:rPr>
          <w:rFonts w:ascii="Times New Roman" w:hAnsi="Times New Roman" w:cs="Times New Roman"/>
          <w:i/>
          <w:sz w:val="24"/>
          <w:szCs w:val="24"/>
        </w:rPr>
        <w:t>Wurst-Waren</w:t>
      </w:r>
      <w:proofErr w:type="spellEnd"/>
      <w:r w:rsidR="00433317" w:rsidRPr="007B4FE2">
        <w:rPr>
          <w:rFonts w:ascii="Times New Roman" w:hAnsi="Times New Roman" w:cs="Times New Roman"/>
          <w:sz w:val="24"/>
          <w:szCs w:val="24"/>
        </w:rPr>
        <w:t xml:space="preserve"> del 1989</w:t>
      </w:r>
      <w:r w:rsidR="00FE66F5" w:rsidRPr="007B4FE2">
        <w:rPr>
          <w:rFonts w:ascii="Times New Roman" w:hAnsi="Times New Roman" w:cs="Times New Roman"/>
          <w:sz w:val="24"/>
          <w:szCs w:val="24"/>
        </w:rPr>
        <w:t xml:space="preserve"> (sempre in tema di</w:t>
      </w:r>
      <w:r w:rsidRPr="007B4FE2">
        <w:rPr>
          <w:rFonts w:ascii="Times New Roman" w:hAnsi="Times New Roman" w:cs="Times New Roman"/>
          <w:sz w:val="24"/>
          <w:szCs w:val="24"/>
        </w:rPr>
        <w:t xml:space="preserve"> misure di effetto equivalente).</w:t>
      </w:r>
      <w:r w:rsidR="00AC47C0"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La </w:t>
      </w:r>
      <w:r w:rsidR="004D53D7" w:rsidRPr="007B4FE2">
        <w:rPr>
          <w:rFonts w:ascii="Times New Roman" w:hAnsi="Times New Roman" w:cs="Times New Roman"/>
          <w:sz w:val="24"/>
          <w:szCs w:val="24"/>
        </w:rPr>
        <w:t>Corte</w:t>
      </w:r>
      <w:r w:rsidR="00FE66F5" w:rsidRPr="007B4FE2">
        <w:rPr>
          <w:rFonts w:ascii="Times New Roman" w:hAnsi="Times New Roman" w:cs="Times New Roman"/>
          <w:sz w:val="24"/>
          <w:szCs w:val="24"/>
        </w:rPr>
        <w:t xml:space="preserve"> di giustizia</w:t>
      </w:r>
      <w:r w:rsidR="00E00E84" w:rsidRPr="007B4FE2">
        <w:rPr>
          <w:rFonts w:ascii="Times New Roman" w:hAnsi="Times New Roman" w:cs="Times New Roman"/>
          <w:sz w:val="24"/>
          <w:szCs w:val="24"/>
        </w:rPr>
        <w:t xml:space="preserve"> </w:t>
      </w:r>
      <w:r w:rsidR="007C5C7C" w:rsidRPr="007B4FE2">
        <w:rPr>
          <w:rFonts w:ascii="Times New Roman" w:hAnsi="Times New Roman" w:cs="Times New Roman"/>
          <w:sz w:val="24"/>
          <w:szCs w:val="24"/>
        </w:rPr>
        <w:t>aveva</w:t>
      </w:r>
      <w:r w:rsidR="004D53D7"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infatti </w:t>
      </w:r>
      <w:r w:rsidR="004D53D7" w:rsidRPr="007B4FE2">
        <w:rPr>
          <w:rFonts w:ascii="Times New Roman" w:hAnsi="Times New Roman" w:cs="Times New Roman"/>
          <w:sz w:val="24"/>
          <w:szCs w:val="24"/>
        </w:rPr>
        <w:t xml:space="preserve">dichiarato contrario al parametro della </w:t>
      </w:r>
      <w:proofErr w:type="spellStart"/>
      <w:r w:rsidR="004D53D7" w:rsidRPr="007B4FE2">
        <w:rPr>
          <w:rFonts w:ascii="Times New Roman" w:hAnsi="Times New Roman" w:cs="Times New Roman"/>
          <w:sz w:val="24"/>
          <w:szCs w:val="24"/>
        </w:rPr>
        <w:t>necessarietà</w:t>
      </w:r>
      <w:proofErr w:type="spellEnd"/>
      <w:r w:rsidR="00D4500B" w:rsidRPr="007B4FE2">
        <w:rPr>
          <w:rFonts w:ascii="Times New Roman" w:hAnsi="Times New Roman" w:cs="Times New Roman"/>
          <w:sz w:val="24"/>
          <w:szCs w:val="24"/>
        </w:rPr>
        <w:t xml:space="preserve"> </w:t>
      </w:r>
      <w:r w:rsidR="00280307" w:rsidRPr="007B4FE2">
        <w:rPr>
          <w:rFonts w:ascii="Times New Roman" w:hAnsi="Times New Roman" w:cs="Times New Roman"/>
          <w:sz w:val="24"/>
          <w:szCs w:val="24"/>
        </w:rPr>
        <w:t xml:space="preserve">il </w:t>
      </w:r>
      <w:r w:rsidR="00247919" w:rsidRPr="007B4FE2">
        <w:rPr>
          <w:rFonts w:ascii="Times New Roman" w:hAnsi="Times New Roman" w:cs="Times New Roman"/>
          <w:sz w:val="24"/>
          <w:szCs w:val="24"/>
        </w:rPr>
        <w:t>divieto di importazione tedesco</w:t>
      </w:r>
      <w:r w:rsidR="00D4500B" w:rsidRPr="007B4FE2">
        <w:rPr>
          <w:rFonts w:ascii="Times New Roman" w:hAnsi="Times New Roman" w:cs="Times New Roman"/>
          <w:sz w:val="24"/>
          <w:szCs w:val="24"/>
        </w:rPr>
        <w:t xml:space="preserve"> </w:t>
      </w:r>
      <w:r w:rsidR="00247919" w:rsidRPr="007B4FE2">
        <w:rPr>
          <w:rFonts w:ascii="Times New Roman" w:hAnsi="Times New Roman" w:cs="Times New Roman"/>
          <w:sz w:val="24"/>
          <w:szCs w:val="24"/>
        </w:rPr>
        <w:t xml:space="preserve">di cui alla controversia </w:t>
      </w:r>
      <w:r w:rsidR="00280307" w:rsidRPr="007B4FE2">
        <w:rPr>
          <w:rFonts w:ascii="Times New Roman" w:hAnsi="Times New Roman" w:cs="Times New Roman"/>
          <w:sz w:val="24"/>
          <w:szCs w:val="24"/>
        </w:rPr>
        <w:t xml:space="preserve">poiché, </w:t>
      </w:r>
      <w:r w:rsidR="00247919" w:rsidRPr="007B4FE2">
        <w:rPr>
          <w:rFonts w:ascii="Times New Roman" w:hAnsi="Times New Roman" w:cs="Times New Roman"/>
          <w:sz w:val="24"/>
          <w:szCs w:val="24"/>
        </w:rPr>
        <w:t xml:space="preserve">in base alla sua </w:t>
      </w:r>
      <w:r w:rsidR="00280307" w:rsidRPr="007B4FE2">
        <w:rPr>
          <w:rFonts w:ascii="Times New Roman" w:hAnsi="Times New Roman" w:cs="Times New Roman"/>
          <w:sz w:val="24"/>
          <w:szCs w:val="24"/>
        </w:rPr>
        <w:t>costante</w:t>
      </w:r>
      <w:r w:rsidR="00D4500B" w:rsidRPr="007B4FE2">
        <w:rPr>
          <w:rFonts w:ascii="Times New Roman" w:hAnsi="Times New Roman" w:cs="Times New Roman"/>
          <w:sz w:val="24"/>
          <w:szCs w:val="24"/>
        </w:rPr>
        <w:t xml:space="preserve"> </w:t>
      </w:r>
      <w:r w:rsidR="00280307" w:rsidRPr="007B4FE2">
        <w:rPr>
          <w:rFonts w:ascii="Times New Roman" w:hAnsi="Times New Roman" w:cs="Times New Roman"/>
          <w:sz w:val="24"/>
          <w:szCs w:val="24"/>
        </w:rPr>
        <w:t>giurisprudenza,</w:t>
      </w:r>
      <w:r w:rsidR="00D4500B" w:rsidRPr="007B4FE2">
        <w:rPr>
          <w:rFonts w:ascii="Times New Roman" w:hAnsi="Times New Roman" w:cs="Times New Roman"/>
          <w:sz w:val="24"/>
          <w:szCs w:val="24"/>
        </w:rPr>
        <w:t xml:space="preserve"> </w:t>
      </w:r>
      <w:r w:rsidR="00280307" w:rsidRPr="007B4FE2">
        <w:rPr>
          <w:rFonts w:ascii="Times New Roman" w:hAnsi="Times New Roman" w:cs="Times New Roman"/>
          <w:sz w:val="24"/>
          <w:szCs w:val="24"/>
        </w:rPr>
        <w:t xml:space="preserve">“(…) </w:t>
      </w:r>
      <w:r w:rsidR="00247919" w:rsidRPr="007B4FE2">
        <w:rPr>
          <w:rFonts w:ascii="Times New Roman" w:hAnsi="Times New Roman" w:cs="Times New Roman"/>
          <w:i/>
          <w:sz w:val="24"/>
          <w:szCs w:val="24"/>
        </w:rPr>
        <w:t>se</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la</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salute</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e</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la</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vita</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delle persone rientrano nel novero degli</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interessi tutelati dall'art. 36 e se spetta agli Stati membri decidere nei</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limiti</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del</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Trattato</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il</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livello</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al</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quale</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essi intendono assicurarne la</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tutela, una</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normativa</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nazionale</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avente</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un</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effetto</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restrittivo</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sulle importazioni è compatibile</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con</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il Trattato solo qualora sia necessaria per</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l'efficace</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tutela</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di</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detti</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interessi</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e</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qualora questo scopo non possa essere</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conseguito</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mediante</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provvedimenti</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meno restrittivi per gli scambi</w:t>
      </w:r>
      <w:r w:rsidR="00D4500B" w:rsidRPr="007B4FE2">
        <w:rPr>
          <w:rFonts w:ascii="Times New Roman" w:hAnsi="Times New Roman" w:cs="Times New Roman"/>
          <w:i/>
          <w:sz w:val="24"/>
          <w:szCs w:val="24"/>
        </w:rPr>
        <w:t xml:space="preserve"> </w:t>
      </w:r>
      <w:r w:rsidR="00247919" w:rsidRPr="007B4FE2">
        <w:rPr>
          <w:rFonts w:ascii="Times New Roman" w:hAnsi="Times New Roman" w:cs="Times New Roman"/>
          <w:i/>
          <w:sz w:val="24"/>
          <w:szCs w:val="24"/>
        </w:rPr>
        <w:t>intracomunitari</w:t>
      </w:r>
      <w:r w:rsidR="00247919" w:rsidRPr="007B4FE2">
        <w:rPr>
          <w:rFonts w:ascii="Times New Roman" w:hAnsi="Times New Roman" w:cs="Times New Roman"/>
          <w:sz w:val="24"/>
          <w:szCs w:val="24"/>
        </w:rPr>
        <w:t>"</w:t>
      </w:r>
      <w:r w:rsidR="00247919" w:rsidRPr="007B4FE2">
        <w:rPr>
          <w:rFonts w:ascii="Times New Roman" w:hAnsi="Times New Roman" w:cs="Times New Roman"/>
          <w:sz w:val="24"/>
          <w:szCs w:val="24"/>
          <w:vertAlign w:val="superscript"/>
        </w:rPr>
        <w:footnoteReference w:id="73"/>
      </w:r>
      <w:r w:rsidR="00247919" w:rsidRPr="007B4FE2">
        <w:rPr>
          <w:rFonts w:ascii="Times New Roman" w:hAnsi="Times New Roman" w:cs="Times New Roman"/>
          <w:sz w:val="24"/>
          <w:szCs w:val="24"/>
        </w:rPr>
        <w:t>.</w:t>
      </w:r>
      <w:r w:rsidR="007C5C7C" w:rsidRPr="007B4FE2">
        <w:rPr>
          <w:rFonts w:ascii="Times New Roman" w:hAnsi="Times New Roman" w:cs="Times New Roman"/>
          <w:sz w:val="24"/>
          <w:szCs w:val="24"/>
        </w:rPr>
        <w:t xml:space="preserve"> Né</w:t>
      </w:r>
      <w:r w:rsidR="00D4500B" w:rsidRPr="007B4FE2">
        <w:rPr>
          <w:rFonts w:ascii="Times New Roman" w:hAnsi="Times New Roman" w:cs="Times New Roman"/>
          <w:sz w:val="24"/>
          <w:szCs w:val="24"/>
        </w:rPr>
        <w:t xml:space="preserve"> </w:t>
      </w:r>
      <w:r w:rsidR="00A72BE6" w:rsidRPr="007B4FE2">
        <w:rPr>
          <w:rFonts w:ascii="Times New Roman" w:hAnsi="Times New Roman" w:cs="Times New Roman"/>
          <w:sz w:val="24"/>
          <w:szCs w:val="24"/>
        </w:rPr>
        <w:t>il divieto</w:t>
      </w:r>
      <w:r w:rsidR="00D710CE" w:rsidRPr="007B4FE2">
        <w:rPr>
          <w:rFonts w:ascii="Times New Roman" w:hAnsi="Times New Roman" w:cs="Times New Roman"/>
          <w:sz w:val="24"/>
          <w:szCs w:val="24"/>
        </w:rPr>
        <w:t xml:space="preserve"> </w:t>
      </w:r>
      <w:r w:rsidR="00AC47C0" w:rsidRPr="007B4FE2">
        <w:rPr>
          <w:rFonts w:ascii="Times New Roman" w:hAnsi="Times New Roman" w:cs="Times New Roman"/>
          <w:sz w:val="24"/>
          <w:szCs w:val="24"/>
        </w:rPr>
        <w:t xml:space="preserve">era apparso </w:t>
      </w:r>
      <w:r w:rsidR="00A72BE6" w:rsidRPr="007B4FE2">
        <w:rPr>
          <w:rFonts w:ascii="Times New Roman" w:hAnsi="Times New Roman" w:cs="Times New Roman"/>
          <w:sz w:val="24"/>
          <w:szCs w:val="24"/>
        </w:rPr>
        <w:t xml:space="preserve">alla Corte </w:t>
      </w:r>
      <w:r w:rsidR="00AC47C0" w:rsidRPr="007B4FE2">
        <w:rPr>
          <w:rFonts w:ascii="Times New Roman" w:hAnsi="Times New Roman" w:cs="Times New Roman"/>
          <w:sz w:val="24"/>
          <w:szCs w:val="24"/>
        </w:rPr>
        <w:t xml:space="preserve">come </w:t>
      </w:r>
      <w:r w:rsidR="007C5C7C" w:rsidRPr="007B4FE2">
        <w:rPr>
          <w:rFonts w:ascii="Times New Roman" w:hAnsi="Times New Roman" w:cs="Times New Roman"/>
          <w:sz w:val="24"/>
          <w:szCs w:val="24"/>
        </w:rPr>
        <w:t>necessario per esigenze</w:t>
      </w:r>
      <w:r w:rsidR="00D4500B" w:rsidRPr="007B4FE2">
        <w:rPr>
          <w:rFonts w:ascii="Times New Roman" w:hAnsi="Times New Roman" w:cs="Times New Roman"/>
          <w:sz w:val="24"/>
          <w:szCs w:val="24"/>
        </w:rPr>
        <w:t xml:space="preserve"> </w:t>
      </w:r>
      <w:r w:rsidR="007C5C7C" w:rsidRPr="007B4FE2">
        <w:rPr>
          <w:rFonts w:ascii="Times New Roman" w:hAnsi="Times New Roman" w:cs="Times New Roman"/>
          <w:sz w:val="24"/>
          <w:szCs w:val="24"/>
        </w:rPr>
        <w:t>imperative</w:t>
      </w:r>
      <w:r w:rsidR="00D4500B" w:rsidRPr="007B4FE2">
        <w:rPr>
          <w:rFonts w:ascii="Times New Roman" w:hAnsi="Times New Roman" w:cs="Times New Roman"/>
          <w:sz w:val="24"/>
          <w:szCs w:val="24"/>
        </w:rPr>
        <w:t xml:space="preserve"> </w:t>
      </w:r>
      <w:r w:rsidR="007C5C7C" w:rsidRPr="007B4FE2">
        <w:rPr>
          <w:rFonts w:ascii="Times New Roman" w:hAnsi="Times New Roman" w:cs="Times New Roman"/>
          <w:sz w:val="24"/>
          <w:szCs w:val="24"/>
        </w:rPr>
        <w:t>attinenti</w:t>
      </w:r>
      <w:r w:rsidR="00D4500B" w:rsidRPr="007B4FE2">
        <w:rPr>
          <w:rFonts w:ascii="Times New Roman" w:hAnsi="Times New Roman" w:cs="Times New Roman"/>
          <w:sz w:val="24"/>
          <w:szCs w:val="24"/>
        </w:rPr>
        <w:t xml:space="preserve"> </w:t>
      </w:r>
      <w:r w:rsidR="007C5C7C" w:rsidRPr="007B4FE2">
        <w:rPr>
          <w:rFonts w:ascii="Times New Roman" w:hAnsi="Times New Roman" w:cs="Times New Roman"/>
          <w:sz w:val="24"/>
          <w:szCs w:val="24"/>
        </w:rPr>
        <w:t>alla</w:t>
      </w:r>
      <w:r w:rsidR="00D4500B" w:rsidRPr="007B4FE2">
        <w:rPr>
          <w:rFonts w:ascii="Times New Roman" w:hAnsi="Times New Roman" w:cs="Times New Roman"/>
          <w:sz w:val="24"/>
          <w:szCs w:val="24"/>
        </w:rPr>
        <w:t xml:space="preserve"> </w:t>
      </w:r>
      <w:r w:rsidR="007C5C7C" w:rsidRPr="007B4FE2">
        <w:rPr>
          <w:rFonts w:ascii="Times New Roman" w:hAnsi="Times New Roman" w:cs="Times New Roman"/>
          <w:sz w:val="24"/>
          <w:szCs w:val="24"/>
        </w:rPr>
        <w:t>tutela</w:t>
      </w:r>
      <w:r w:rsidR="00D4500B" w:rsidRPr="007B4FE2">
        <w:rPr>
          <w:rFonts w:ascii="Times New Roman" w:hAnsi="Times New Roman" w:cs="Times New Roman"/>
          <w:sz w:val="24"/>
          <w:szCs w:val="24"/>
        </w:rPr>
        <w:t xml:space="preserve"> </w:t>
      </w:r>
      <w:r w:rsidR="007C5C7C" w:rsidRPr="007B4FE2">
        <w:rPr>
          <w:rFonts w:ascii="Times New Roman" w:hAnsi="Times New Roman" w:cs="Times New Roman"/>
          <w:sz w:val="24"/>
          <w:szCs w:val="24"/>
        </w:rPr>
        <w:t>dei</w:t>
      </w:r>
      <w:r w:rsidR="00D4500B" w:rsidRPr="007B4FE2">
        <w:rPr>
          <w:rFonts w:ascii="Times New Roman" w:hAnsi="Times New Roman" w:cs="Times New Roman"/>
          <w:sz w:val="24"/>
          <w:szCs w:val="24"/>
        </w:rPr>
        <w:t xml:space="preserve"> </w:t>
      </w:r>
      <w:r w:rsidR="007C5C7C" w:rsidRPr="007B4FE2">
        <w:rPr>
          <w:rFonts w:ascii="Times New Roman" w:hAnsi="Times New Roman" w:cs="Times New Roman"/>
          <w:sz w:val="24"/>
          <w:szCs w:val="24"/>
        </w:rPr>
        <w:t>consumatori</w:t>
      </w:r>
      <w:r w:rsidR="00AC47C0" w:rsidRPr="007B4FE2">
        <w:rPr>
          <w:rFonts w:ascii="Times New Roman" w:hAnsi="Times New Roman" w:cs="Times New Roman"/>
          <w:sz w:val="24"/>
          <w:szCs w:val="24"/>
        </w:rPr>
        <w:t>:</w:t>
      </w:r>
      <w:r w:rsidR="00D710CE" w:rsidRPr="007B4FE2">
        <w:rPr>
          <w:rFonts w:ascii="Times New Roman" w:hAnsi="Times New Roman" w:cs="Times New Roman"/>
          <w:sz w:val="24"/>
          <w:szCs w:val="24"/>
        </w:rPr>
        <w:t xml:space="preserve"> </w:t>
      </w:r>
      <w:r w:rsidR="007C5C7C" w:rsidRPr="007B4FE2">
        <w:rPr>
          <w:rFonts w:ascii="Times New Roman" w:hAnsi="Times New Roman" w:cs="Times New Roman"/>
          <w:sz w:val="24"/>
          <w:szCs w:val="24"/>
        </w:rPr>
        <w:t>poiché a tale scopo</w:t>
      </w:r>
      <w:r w:rsidR="00A72BE6" w:rsidRPr="007B4FE2">
        <w:rPr>
          <w:rFonts w:ascii="Times New Roman" w:hAnsi="Times New Roman" w:cs="Times New Roman"/>
          <w:sz w:val="24"/>
          <w:szCs w:val="24"/>
        </w:rPr>
        <w:t>,</w:t>
      </w:r>
      <w:r w:rsidR="00D4500B" w:rsidRPr="007B4FE2">
        <w:rPr>
          <w:rFonts w:ascii="Times New Roman" w:hAnsi="Times New Roman" w:cs="Times New Roman"/>
          <w:sz w:val="24"/>
          <w:szCs w:val="24"/>
        </w:rPr>
        <w:t xml:space="preserve"> </w:t>
      </w:r>
      <w:proofErr w:type="gramStart"/>
      <w:r w:rsidR="007C5C7C" w:rsidRPr="007B4FE2">
        <w:rPr>
          <w:rFonts w:ascii="Times New Roman" w:hAnsi="Times New Roman" w:cs="Times New Roman"/>
          <w:sz w:val="24"/>
          <w:szCs w:val="24"/>
        </w:rPr>
        <w:t xml:space="preserve">“ </w:t>
      </w:r>
      <w:r w:rsidR="007C5C7C" w:rsidRPr="007B4FE2">
        <w:rPr>
          <w:rFonts w:ascii="Times New Roman" w:hAnsi="Times New Roman" w:cs="Times New Roman"/>
          <w:i/>
          <w:sz w:val="24"/>
          <w:szCs w:val="24"/>
        </w:rPr>
        <w:t>(</w:t>
      </w:r>
      <w:proofErr w:type="gramEnd"/>
      <w:r w:rsidR="007C5C7C" w:rsidRPr="007B4FE2">
        <w:rPr>
          <w:rFonts w:ascii="Times New Roman" w:hAnsi="Times New Roman" w:cs="Times New Roman"/>
          <w:i/>
          <w:sz w:val="24"/>
          <w:szCs w:val="24"/>
        </w:rPr>
        <w:t>…) gli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Stati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membri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sono</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autorizzati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a</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determinare</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le</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modalità</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di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etichettatura</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dei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prodotti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alimentari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non</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presentati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in</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imballaggi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preconfezionati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al</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consumatore</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finale,</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così</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da</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assicurare</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a</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quest'ultimo</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le</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informazioni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essenziali</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per</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la</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sua</w:t>
      </w:r>
      <w:r w:rsidR="00D4500B" w:rsidRPr="007B4FE2">
        <w:rPr>
          <w:rFonts w:ascii="Times New Roman" w:hAnsi="Times New Roman" w:cs="Times New Roman"/>
          <w:i/>
          <w:sz w:val="24"/>
          <w:szCs w:val="24"/>
        </w:rPr>
        <w:t xml:space="preserve"> </w:t>
      </w:r>
      <w:r w:rsidR="007C5C7C" w:rsidRPr="007B4FE2">
        <w:rPr>
          <w:rFonts w:ascii="Times New Roman" w:hAnsi="Times New Roman" w:cs="Times New Roman"/>
          <w:i/>
          <w:sz w:val="24"/>
          <w:szCs w:val="24"/>
        </w:rPr>
        <w:t>scelta</w:t>
      </w:r>
      <w:r w:rsidR="007C5C7C" w:rsidRPr="007B4FE2">
        <w:rPr>
          <w:rFonts w:ascii="Times New Roman" w:hAnsi="Times New Roman" w:cs="Times New Roman"/>
          <w:sz w:val="24"/>
          <w:szCs w:val="24"/>
        </w:rPr>
        <w:t>”</w:t>
      </w:r>
      <w:r w:rsidR="007C5C7C" w:rsidRPr="007B4FE2">
        <w:rPr>
          <w:rStyle w:val="Rimandonotaapidipagina"/>
          <w:rFonts w:ascii="Times New Roman" w:hAnsi="Times New Roman" w:cs="Times New Roman"/>
          <w:sz w:val="24"/>
          <w:szCs w:val="24"/>
        </w:rPr>
        <w:footnoteReference w:id="74"/>
      </w:r>
      <w:r w:rsidR="007C5C7C" w:rsidRPr="007B4FE2">
        <w:rPr>
          <w:rFonts w:ascii="Times New Roman" w:hAnsi="Times New Roman" w:cs="Times New Roman"/>
          <w:sz w:val="24"/>
          <w:szCs w:val="24"/>
        </w:rPr>
        <w:t>.</w:t>
      </w:r>
      <w:r w:rsidR="009848F1" w:rsidRPr="007B4FE2">
        <w:rPr>
          <w:rFonts w:ascii="Times New Roman" w:hAnsi="Times New Roman" w:cs="Times New Roman"/>
          <w:sz w:val="24"/>
          <w:szCs w:val="24"/>
        </w:rPr>
        <w:t xml:space="preserve"> </w:t>
      </w:r>
    </w:p>
    <w:p w:rsidR="00C50CDF" w:rsidRPr="007B4FE2" w:rsidRDefault="00132FBD"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Per quel che co</w:t>
      </w:r>
      <w:r w:rsidR="006E6AE8" w:rsidRPr="007B4FE2">
        <w:rPr>
          <w:rFonts w:ascii="Times New Roman" w:hAnsi="Times New Roman" w:cs="Times New Roman"/>
          <w:sz w:val="24"/>
          <w:szCs w:val="24"/>
        </w:rPr>
        <w:t>ncerne, infine, l’esame della proporzionalità in senso stretto,</w:t>
      </w:r>
      <w:r w:rsidR="00E00E84" w:rsidRPr="007B4FE2">
        <w:rPr>
          <w:rFonts w:ascii="Times New Roman" w:hAnsi="Times New Roman" w:cs="Times New Roman"/>
          <w:sz w:val="24"/>
          <w:szCs w:val="24"/>
        </w:rPr>
        <w:t xml:space="preserve"> </w:t>
      </w:r>
      <w:r w:rsidR="00C50CDF" w:rsidRPr="007B4FE2">
        <w:rPr>
          <w:rFonts w:ascii="Times New Roman" w:hAnsi="Times New Roman" w:cs="Times New Roman"/>
          <w:sz w:val="24"/>
          <w:szCs w:val="24"/>
        </w:rPr>
        <w:t xml:space="preserve">come si è detto </w:t>
      </w:r>
      <w:r w:rsidR="006E6AE8" w:rsidRPr="007B4FE2">
        <w:rPr>
          <w:rFonts w:ascii="Times New Roman" w:hAnsi="Times New Roman" w:cs="Times New Roman"/>
          <w:sz w:val="24"/>
          <w:szCs w:val="24"/>
        </w:rPr>
        <w:t xml:space="preserve">essa implica </w:t>
      </w:r>
      <w:r w:rsidR="00C50CDF" w:rsidRPr="007B4FE2">
        <w:rPr>
          <w:rFonts w:ascii="Times New Roman" w:hAnsi="Times New Roman" w:cs="Times New Roman"/>
          <w:sz w:val="24"/>
          <w:szCs w:val="24"/>
        </w:rPr>
        <w:t xml:space="preserve">l’onere di </w:t>
      </w:r>
      <w:r w:rsidR="00A72BE6" w:rsidRPr="007B4FE2">
        <w:rPr>
          <w:rFonts w:ascii="Times New Roman" w:hAnsi="Times New Roman" w:cs="Times New Roman"/>
          <w:sz w:val="24"/>
          <w:szCs w:val="24"/>
        </w:rPr>
        <w:t xml:space="preserve">operare </w:t>
      </w:r>
      <w:r w:rsidR="006E6AE8" w:rsidRPr="007B4FE2">
        <w:rPr>
          <w:rFonts w:ascii="Times New Roman" w:hAnsi="Times New Roman" w:cs="Times New Roman"/>
          <w:sz w:val="24"/>
          <w:szCs w:val="24"/>
        </w:rPr>
        <w:t>una</w:t>
      </w:r>
      <w:r w:rsidR="00F7624B" w:rsidRPr="007B4FE2">
        <w:rPr>
          <w:rFonts w:ascii="Times New Roman" w:hAnsi="Times New Roman" w:cs="Times New Roman"/>
          <w:sz w:val="24"/>
          <w:szCs w:val="24"/>
        </w:rPr>
        <w:t xml:space="preserve"> </w:t>
      </w:r>
      <w:r w:rsidR="00C50CDF" w:rsidRPr="007B4FE2">
        <w:rPr>
          <w:rFonts w:ascii="Times New Roman" w:hAnsi="Times New Roman" w:cs="Times New Roman"/>
          <w:sz w:val="24"/>
          <w:szCs w:val="24"/>
        </w:rPr>
        <w:t xml:space="preserve">(sovente complessa) </w:t>
      </w:r>
      <w:r w:rsidR="006E6AE8" w:rsidRPr="007B4FE2">
        <w:rPr>
          <w:rFonts w:ascii="Times New Roman" w:hAnsi="Times New Roman" w:cs="Times New Roman"/>
          <w:sz w:val="24"/>
          <w:szCs w:val="24"/>
        </w:rPr>
        <w:t>valutazione comparativa</w:t>
      </w:r>
      <w:r w:rsidR="00C50CDF" w:rsidRPr="007B4FE2">
        <w:rPr>
          <w:rFonts w:ascii="Times New Roman" w:hAnsi="Times New Roman" w:cs="Times New Roman"/>
          <w:sz w:val="24"/>
          <w:szCs w:val="24"/>
        </w:rPr>
        <w:t xml:space="preserve">. </w:t>
      </w:r>
    </w:p>
    <w:p w:rsidR="00D60F13" w:rsidRPr="007B4FE2" w:rsidRDefault="00C50CDF"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Per un’interessante ipotesi di valutazione comparativa</w:t>
      </w:r>
      <w:r w:rsidR="006E6AE8" w:rsidRPr="007B4FE2">
        <w:rPr>
          <w:rFonts w:ascii="Times New Roman" w:hAnsi="Times New Roman" w:cs="Times New Roman"/>
          <w:sz w:val="24"/>
          <w:szCs w:val="24"/>
        </w:rPr>
        <w:t xml:space="preserve"> tra l’interesse pubblico perseguito dall’autorità che agisce, da un lato,</w:t>
      </w:r>
      <w:r w:rsidR="00F7624B" w:rsidRPr="007B4FE2">
        <w:rPr>
          <w:rFonts w:ascii="Times New Roman" w:hAnsi="Times New Roman" w:cs="Times New Roman"/>
          <w:sz w:val="24"/>
          <w:szCs w:val="24"/>
        </w:rPr>
        <w:t xml:space="preserve"> </w:t>
      </w:r>
      <w:r w:rsidR="006E6AE8" w:rsidRPr="007B4FE2">
        <w:rPr>
          <w:rFonts w:ascii="Times New Roman" w:hAnsi="Times New Roman" w:cs="Times New Roman"/>
          <w:sz w:val="24"/>
          <w:szCs w:val="24"/>
        </w:rPr>
        <w:t>e</w:t>
      </w:r>
      <w:r w:rsidR="00F7624B" w:rsidRPr="007B4FE2">
        <w:rPr>
          <w:rFonts w:ascii="Times New Roman" w:hAnsi="Times New Roman" w:cs="Times New Roman"/>
          <w:sz w:val="24"/>
          <w:szCs w:val="24"/>
        </w:rPr>
        <w:t xml:space="preserve"> </w:t>
      </w:r>
      <w:r w:rsidR="006E6AE8" w:rsidRPr="007B4FE2">
        <w:rPr>
          <w:rFonts w:ascii="Times New Roman" w:hAnsi="Times New Roman" w:cs="Times New Roman"/>
          <w:sz w:val="24"/>
          <w:szCs w:val="24"/>
        </w:rPr>
        <w:t>le posizioni individuali giuridicamente protette</w:t>
      </w:r>
      <w:r w:rsidR="00A72BE6" w:rsidRPr="007B4FE2">
        <w:rPr>
          <w:rFonts w:ascii="Times New Roman" w:hAnsi="Times New Roman" w:cs="Times New Roman"/>
          <w:sz w:val="24"/>
          <w:szCs w:val="24"/>
        </w:rPr>
        <w:t xml:space="preserve"> e </w:t>
      </w:r>
      <w:r w:rsidR="006E6AE8" w:rsidRPr="007B4FE2">
        <w:rPr>
          <w:rFonts w:ascii="Times New Roman" w:hAnsi="Times New Roman" w:cs="Times New Roman"/>
          <w:sz w:val="24"/>
          <w:szCs w:val="24"/>
        </w:rPr>
        <w:t>che si oppongono al suo perseguimento,</w:t>
      </w:r>
      <w:r w:rsidR="00F7624B" w:rsidRPr="007B4FE2">
        <w:rPr>
          <w:rFonts w:ascii="Times New Roman" w:hAnsi="Times New Roman" w:cs="Times New Roman"/>
          <w:sz w:val="24"/>
          <w:szCs w:val="24"/>
        </w:rPr>
        <w:t xml:space="preserve"> </w:t>
      </w:r>
      <w:r w:rsidRPr="007B4FE2">
        <w:rPr>
          <w:rFonts w:ascii="Times New Roman" w:hAnsi="Times New Roman" w:cs="Times New Roman"/>
          <w:sz w:val="24"/>
          <w:szCs w:val="24"/>
        </w:rPr>
        <w:t>dall’altro,</w:t>
      </w:r>
      <w:r w:rsidR="00D60F13" w:rsidRPr="007B4FE2">
        <w:rPr>
          <w:rFonts w:ascii="Times New Roman" w:hAnsi="Times New Roman" w:cs="Times New Roman"/>
          <w:sz w:val="24"/>
          <w:szCs w:val="24"/>
        </w:rPr>
        <w:t xml:space="preserve"> vale la pena</w:t>
      </w:r>
      <w:r w:rsidR="00DC2EB8"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qui </w:t>
      </w:r>
      <w:r w:rsidR="00D60F13" w:rsidRPr="007B4FE2">
        <w:rPr>
          <w:rFonts w:ascii="Times New Roman" w:hAnsi="Times New Roman" w:cs="Times New Roman"/>
          <w:sz w:val="24"/>
          <w:szCs w:val="24"/>
        </w:rPr>
        <w:t>di richiamare una sentenza tuttora fondamentale</w:t>
      </w:r>
      <w:r w:rsidR="00D4500B" w:rsidRPr="007B4FE2">
        <w:rPr>
          <w:rFonts w:ascii="Times New Roman" w:hAnsi="Times New Roman" w:cs="Times New Roman"/>
          <w:sz w:val="24"/>
          <w:szCs w:val="24"/>
        </w:rPr>
        <w:t xml:space="preserve"> </w:t>
      </w:r>
      <w:r w:rsidR="00D60F13" w:rsidRPr="007B4FE2">
        <w:rPr>
          <w:rFonts w:ascii="Times New Roman" w:hAnsi="Times New Roman" w:cs="Times New Roman"/>
          <w:sz w:val="24"/>
          <w:szCs w:val="24"/>
        </w:rPr>
        <w:t>della Corte di giustizia</w:t>
      </w:r>
      <w:r w:rsidR="00433317" w:rsidRPr="007B4FE2">
        <w:rPr>
          <w:rFonts w:ascii="Times New Roman" w:hAnsi="Times New Roman" w:cs="Times New Roman"/>
          <w:sz w:val="24"/>
          <w:szCs w:val="24"/>
        </w:rPr>
        <w:t>,</w:t>
      </w:r>
      <w:r w:rsidR="00E00E84" w:rsidRPr="007B4FE2">
        <w:rPr>
          <w:rFonts w:ascii="Times New Roman" w:hAnsi="Times New Roman" w:cs="Times New Roman"/>
          <w:sz w:val="24"/>
          <w:szCs w:val="24"/>
        </w:rPr>
        <w:t xml:space="preserve"> </w:t>
      </w:r>
      <w:r w:rsidR="00433317" w:rsidRPr="007B4FE2">
        <w:rPr>
          <w:rFonts w:ascii="Times New Roman" w:hAnsi="Times New Roman" w:cs="Times New Roman"/>
          <w:sz w:val="24"/>
          <w:szCs w:val="24"/>
        </w:rPr>
        <w:t xml:space="preserve">anch’essa del 1989, </w:t>
      </w:r>
      <w:r w:rsidR="00D60F13" w:rsidRPr="007B4FE2">
        <w:rPr>
          <w:rFonts w:ascii="Times New Roman" w:hAnsi="Times New Roman" w:cs="Times New Roman"/>
          <w:sz w:val="24"/>
          <w:szCs w:val="24"/>
        </w:rPr>
        <w:t>che illustra molto</w:t>
      </w:r>
      <w:r w:rsidR="00F7624B" w:rsidRPr="007B4FE2">
        <w:rPr>
          <w:rFonts w:ascii="Times New Roman" w:hAnsi="Times New Roman" w:cs="Times New Roman"/>
          <w:sz w:val="24"/>
          <w:szCs w:val="24"/>
        </w:rPr>
        <w:t xml:space="preserve"> </w:t>
      </w:r>
      <w:r w:rsidR="00D60F13" w:rsidRPr="007B4FE2">
        <w:rPr>
          <w:rFonts w:ascii="Times New Roman" w:hAnsi="Times New Roman" w:cs="Times New Roman"/>
          <w:sz w:val="24"/>
          <w:szCs w:val="24"/>
        </w:rPr>
        <w:t xml:space="preserve">bene il modo in cui questo terzo parametro di valutazione viene </w:t>
      </w:r>
      <w:r w:rsidR="000B6D4C" w:rsidRPr="007B4FE2">
        <w:rPr>
          <w:rFonts w:ascii="Times New Roman" w:hAnsi="Times New Roman" w:cs="Times New Roman"/>
          <w:sz w:val="24"/>
          <w:szCs w:val="24"/>
        </w:rPr>
        <w:t>inteso</w:t>
      </w:r>
      <w:r w:rsidR="00F7624B" w:rsidRPr="007B4FE2">
        <w:rPr>
          <w:rFonts w:ascii="Times New Roman" w:hAnsi="Times New Roman" w:cs="Times New Roman"/>
          <w:sz w:val="24"/>
          <w:szCs w:val="24"/>
        </w:rPr>
        <w:t xml:space="preserve"> </w:t>
      </w:r>
      <w:r w:rsidR="00433317" w:rsidRPr="007B4FE2">
        <w:rPr>
          <w:rFonts w:ascii="Times New Roman" w:hAnsi="Times New Roman" w:cs="Times New Roman"/>
          <w:sz w:val="24"/>
          <w:szCs w:val="24"/>
        </w:rPr>
        <w:t xml:space="preserve">dai giudici UE: si tratta della pronunzia nel caso </w:t>
      </w:r>
      <w:proofErr w:type="spellStart"/>
      <w:r w:rsidR="00433317" w:rsidRPr="007B4FE2">
        <w:rPr>
          <w:rFonts w:ascii="Times New Roman" w:hAnsi="Times New Roman" w:cs="Times New Roman"/>
          <w:i/>
          <w:sz w:val="24"/>
          <w:szCs w:val="24"/>
        </w:rPr>
        <w:t>Groener</w:t>
      </w:r>
      <w:proofErr w:type="spellEnd"/>
      <w:r w:rsidR="00433317" w:rsidRPr="007B4FE2">
        <w:rPr>
          <w:rFonts w:ascii="Times New Roman" w:hAnsi="Times New Roman" w:cs="Times New Roman"/>
          <w:sz w:val="24"/>
          <w:szCs w:val="24"/>
          <w:vertAlign w:val="superscript"/>
        </w:rPr>
        <w:footnoteReference w:id="75"/>
      </w:r>
      <w:r w:rsidR="00433317" w:rsidRPr="007B4FE2">
        <w:rPr>
          <w:rFonts w:ascii="Times New Roman" w:hAnsi="Times New Roman" w:cs="Times New Roman"/>
          <w:sz w:val="24"/>
          <w:szCs w:val="24"/>
        </w:rPr>
        <w:t>.</w:t>
      </w:r>
      <w:r w:rsidR="00D60F13" w:rsidRPr="007B4FE2">
        <w:rPr>
          <w:rFonts w:ascii="Times New Roman" w:hAnsi="Times New Roman" w:cs="Times New Roman"/>
          <w:sz w:val="24"/>
          <w:szCs w:val="24"/>
        </w:rPr>
        <w:t xml:space="preserve"> </w:t>
      </w:r>
    </w:p>
    <w:p w:rsidR="00D60F13" w:rsidRPr="007B4FE2" w:rsidRDefault="00D60F13" w:rsidP="007B4FE2">
      <w:pPr>
        <w:spacing w:after="0" w:line="360" w:lineRule="auto"/>
        <w:ind w:firstLine="567"/>
        <w:jc w:val="both"/>
        <w:rPr>
          <w:rFonts w:ascii="Times New Roman" w:hAnsi="Times New Roman" w:cs="Times New Roman"/>
          <w:sz w:val="24"/>
          <w:szCs w:val="24"/>
        </w:rPr>
      </w:pPr>
      <w:r w:rsidRPr="00F45C3D">
        <w:rPr>
          <w:rFonts w:ascii="Times New Roman" w:hAnsi="Times New Roman" w:cs="Times New Roman"/>
          <w:sz w:val="24"/>
          <w:szCs w:val="24"/>
        </w:rPr>
        <w:t>Controverso era qui il requisito di necessaria conoscenza di una lingua ufficiale del paese di accoglienza</w:t>
      </w:r>
      <w:r w:rsidR="00C50CDF" w:rsidRPr="00F45C3D">
        <w:rPr>
          <w:rFonts w:ascii="Times New Roman" w:hAnsi="Times New Roman" w:cs="Times New Roman"/>
          <w:sz w:val="24"/>
          <w:szCs w:val="24"/>
        </w:rPr>
        <w:t xml:space="preserve"> (</w:t>
      </w:r>
      <w:r w:rsidR="00F45C3D">
        <w:rPr>
          <w:rFonts w:ascii="Times New Roman" w:hAnsi="Times New Roman" w:cs="Times New Roman"/>
          <w:sz w:val="24"/>
          <w:szCs w:val="24"/>
        </w:rPr>
        <w:t>e, più</w:t>
      </w:r>
      <w:r w:rsidRPr="00F45C3D">
        <w:rPr>
          <w:rFonts w:ascii="Times New Roman" w:hAnsi="Times New Roman" w:cs="Times New Roman"/>
          <w:sz w:val="24"/>
          <w:szCs w:val="24"/>
        </w:rPr>
        <w:t xml:space="preserve"> precisamente, della lingua irlandese</w:t>
      </w:r>
      <w:r w:rsidR="00C50CDF" w:rsidRPr="00F45C3D">
        <w:rPr>
          <w:rFonts w:ascii="Times New Roman" w:hAnsi="Times New Roman" w:cs="Times New Roman"/>
          <w:sz w:val="24"/>
          <w:szCs w:val="24"/>
        </w:rPr>
        <w:t xml:space="preserve">) </w:t>
      </w:r>
      <w:r w:rsidRPr="00F45C3D">
        <w:rPr>
          <w:rFonts w:ascii="Times New Roman" w:hAnsi="Times New Roman" w:cs="Times New Roman"/>
          <w:sz w:val="24"/>
          <w:szCs w:val="24"/>
        </w:rPr>
        <w:t xml:space="preserve">al fine di </w:t>
      </w:r>
      <w:r w:rsidR="00F45C3D">
        <w:rPr>
          <w:rFonts w:ascii="Times New Roman" w:hAnsi="Times New Roman" w:cs="Times New Roman"/>
          <w:sz w:val="24"/>
          <w:szCs w:val="24"/>
        </w:rPr>
        <w:t xml:space="preserve">potere </w:t>
      </w:r>
      <w:r w:rsidRPr="00F45C3D">
        <w:rPr>
          <w:rFonts w:ascii="Times New Roman" w:hAnsi="Times New Roman" w:cs="Times New Roman"/>
          <w:sz w:val="24"/>
          <w:szCs w:val="24"/>
        </w:rPr>
        <w:t>ottenere un posto come docente di arte a Dublino</w:t>
      </w:r>
      <w:r w:rsidR="00C50CDF" w:rsidRPr="00F45C3D">
        <w:rPr>
          <w:rFonts w:ascii="Times New Roman" w:hAnsi="Times New Roman" w:cs="Times New Roman"/>
          <w:sz w:val="24"/>
          <w:szCs w:val="24"/>
        </w:rPr>
        <w:t>, facendo esercizio del proprio diritto alla libera circolazione da parte del lavoratore</w:t>
      </w:r>
      <w:r w:rsidRPr="00F45C3D">
        <w:rPr>
          <w:rFonts w:ascii="Times New Roman" w:hAnsi="Times New Roman" w:cs="Times New Roman"/>
          <w:sz w:val="24"/>
          <w:szCs w:val="24"/>
        </w:rPr>
        <w:t>. Dopo avere specificato</w:t>
      </w:r>
      <w:r w:rsidR="00F45C3D">
        <w:rPr>
          <w:rFonts w:ascii="Times New Roman" w:hAnsi="Times New Roman" w:cs="Times New Roman"/>
          <w:sz w:val="24"/>
          <w:szCs w:val="24"/>
        </w:rPr>
        <w:t>,</w:t>
      </w:r>
      <w:r w:rsidRPr="00F45C3D">
        <w:rPr>
          <w:rFonts w:ascii="Times New Roman" w:hAnsi="Times New Roman" w:cs="Times New Roman"/>
          <w:sz w:val="24"/>
          <w:szCs w:val="24"/>
        </w:rPr>
        <w:t xml:space="preserve"> in generale</w:t>
      </w:r>
      <w:r w:rsidR="00F45C3D">
        <w:rPr>
          <w:rFonts w:ascii="Times New Roman" w:hAnsi="Times New Roman" w:cs="Times New Roman"/>
          <w:sz w:val="24"/>
          <w:szCs w:val="24"/>
        </w:rPr>
        <w:t>,</w:t>
      </w:r>
      <w:r w:rsidRPr="00F45C3D">
        <w:rPr>
          <w:rFonts w:ascii="Times New Roman" w:hAnsi="Times New Roman" w:cs="Times New Roman"/>
          <w:sz w:val="24"/>
          <w:szCs w:val="24"/>
        </w:rPr>
        <w:t xml:space="preserve"> che “</w:t>
      </w:r>
      <w:r w:rsidRPr="00F45C3D">
        <w:rPr>
          <w:rFonts w:ascii="Times New Roman" w:hAnsi="Times New Roman" w:cs="Times New Roman"/>
          <w:i/>
          <w:sz w:val="24"/>
          <w:szCs w:val="24"/>
        </w:rPr>
        <w:t>Le norme del</w:t>
      </w:r>
      <w:r w:rsidR="00F7624B" w:rsidRPr="00F45C3D">
        <w:rPr>
          <w:rFonts w:ascii="Times New Roman" w:hAnsi="Times New Roman" w:cs="Times New Roman"/>
          <w:i/>
          <w:sz w:val="24"/>
          <w:szCs w:val="24"/>
        </w:rPr>
        <w:t xml:space="preserve"> </w:t>
      </w:r>
      <w:r w:rsidRPr="00F45C3D">
        <w:rPr>
          <w:rFonts w:ascii="Times New Roman" w:hAnsi="Times New Roman" w:cs="Times New Roman"/>
          <w:i/>
          <w:sz w:val="24"/>
          <w:szCs w:val="24"/>
        </w:rPr>
        <w:t>trattato</w:t>
      </w:r>
      <w:r w:rsidR="00F7624B" w:rsidRPr="00F45C3D">
        <w:rPr>
          <w:rFonts w:ascii="Times New Roman" w:hAnsi="Times New Roman" w:cs="Times New Roman"/>
          <w:i/>
          <w:sz w:val="24"/>
          <w:szCs w:val="24"/>
        </w:rPr>
        <w:t xml:space="preserve"> </w:t>
      </w:r>
      <w:r w:rsidRPr="00F45C3D">
        <w:rPr>
          <w:rFonts w:ascii="Times New Roman" w:hAnsi="Times New Roman" w:cs="Times New Roman"/>
          <w:i/>
          <w:sz w:val="24"/>
          <w:szCs w:val="24"/>
        </w:rPr>
        <w:t>CEE</w:t>
      </w:r>
      <w:r w:rsidR="00F7624B" w:rsidRPr="00F45C3D">
        <w:rPr>
          <w:rFonts w:ascii="Times New Roman" w:hAnsi="Times New Roman" w:cs="Times New Roman"/>
          <w:i/>
          <w:sz w:val="24"/>
          <w:szCs w:val="24"/>
        </w:rPr>
        <w:t xml:space="preserve"> </w:t>
      </w:r>
      <w:r w:rsidRPr="00F45C3D">
        <w:rPr>
          <w:rFonts w:ascii="Times New Roman" w:hAnsi="Times New Roman" w:cs="Times New Roman"/>
          <w:i/>
          <w:sz w:val="24"/>
          <w:szCs w:val="24"/>
        </w:rPr>
        <w:t>non</w:t>
      </w:r>
      <w:r w:rsidR="00F7624B" w:rsidRPr="00F45C3D">
        <w:rPr>
          <w:rFonts w:ascii="Times New Roman" w:hAnsi="Times New Roman" w:cs="Times New Roman"/>
          <w:i/>
          <w:sz w:val="24"/>
          <w:szCs w:val="24"/>
        </w:rPr>
        <w:t xml:space="preserve"> </w:t>
      </w:r>
      <w:r w:rsidRPr="00F45C3D">
        <w:rPr>
          <w:rFonts w:ascii="Times New Roman" w:hAnsi="Times New Roman" w:cs="Times New Roman"/>
          <w:i/>
          <w:sz w:val="24"/>
          <w:szCs w:val="24"/>
        </w:rPr>
        <w:t>ostano</w:t>
      </w:r>
      <w:r w:rsidR="00F7624B" w:rsidRPr="00F45C3D">
        <w:rPr>
          <w:rFonts w:ascii="Times New Roman" w:hAnsi="Times New Roman" w:cs="Times New Roman"/>
          <w:i/>
          <w:sz w:val="24"/>
          <w:szCs w:val="24"/>
        </w:rPr>
        <w:t xml:space="preserve"> </w:t>
      </w:r>
      <w:r w:rsidRPr="00F45C3D">
        <w:rPr>
          <w:rFonts w:ascii="Times New Roman" w:hAnsi="Times New Roman" w:cs="Times New Roman"/>
          <w:i/>
          <w:sz w:val="24"/>
          <w:szCs w:val="24"/>
        </w:rPr>
        <w:t>ad</w:t>
      </w:r>
      <w:r w:rsidR="00F7624B" w:rsidRPr="00F45C3D">
        <w:rPr>
          <w:rFonts w:ascii="Times New Roman" w:hAnsi="Times New Roman" w:cs="Times New Roman"/>
          <w:i/>
          <w:sz w:val="24"/>
          <w:szCs w:val="24"/>
        </w:rPr>
        <w:t xml:space="preserve"> </w:t>
      </w:r>
      <w:r w:rsidRPr="00F45C3D">
        <w:rPr>
          <w:rFonts w:ascii="Times New Roman" w:hAnsi="Times New Roman" w:cs="Times New Roman"/>
          <w:i/>
          <w:sz w:val="24"/>
          <w:szCs w:val="24"/>
        </w:rPr>
        <w:t>una politica di difesa e valorizza</w:t>
      </w:r>
      <w:r w:rsidRPr="007B4FE2">
        <w:rPr>
          <w:rFonts w:ascii="Times New Roman" w:hAnsi="Times New Roman" w:cs="Times New Roman"/>
          <w:i/>
          <w:sz w:val="24"/>
          <w:szCs w:val="24"/>
        </w:rPr>
        <w:t>zione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della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lingua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di</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uno Stato membro, la quale è nel contempo lingua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 xml:space="preserve">nazionale e prima lingua ufficiale” </w:t>
      </w:r>
      <w:r w:rsidRPr="007B4FE2">
        <w:rPr>
          <w:rFonts w:ascii="Times New Roman" w:hAnsi="Times New Roman" w:cs="Times New Roman"/>
          <w:sz w:val="24"/>
          <w:szCs w:val="24"/>
        </w:rPr>
        <w:t xml:space="preserve">la Corte aveva precisato anche che </w:t>
      </w:r>
      <w:r w:rsidRPr="007B4FE2">
        <w:rPr>
          <w:rFonts w:ascii="Times New Roman" w:hAnsi="Times New Roman" w:cs="Times New Roman"/>
          <w:i/>
          <w:sz w:val="24"/>
          <w:szCs w:val="24"/>
        </w:rPr>
        <w:t>“Tuttavia, l'attuazione di tale politica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non</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deve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ledere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una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libertà fondamentale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come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la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libera circolazione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dei</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lavoratori</w:t>
      </w:r>
      <w:r w:rsidRPr="007B4FE2">
        <w:rPr>
          <w:rFonts w:ascii="Times New Roman" w:hAnsi="Times New Roman" w:cs="Times New Roman"/>
          <w:sz w:val="24"/>
          <w:szCs w:val="24"/>
        </w:rPr>
        <w:t>”; e</w:t>
      </w:r>
      <w:r w:rsidR="00F7624B" w:rsidRPr="007B4FE2">
        <w:rPr>
          <w:rFonts w:ascii="Times New Roman" w:hAnsi="Times New Roman" w:cs="Times New Roman"/>
          <w:sz w:val="24"/>
          <w:szCs w:val="24"/>
        </w:rPr>
        <w:t xml:space="preserve"> </w:t>
      </w:r>
      <w:r w:rsidRPr="007B4FE2">
        <w:rPr>
          <w:rFonts w:ascii="Times New Roman" w:hAnsi="Times New Roman" w:cs="Times New Roman"/>
          <w:sz w:val="24"/>
          <w:szCs w:val="24"/>
        </w:rPr>
        <w:t>che “</w:t>
      </w:r>
      <w:r w:rsidRPr="007B4FE2">
        <w:rPr>
          <w:rFonts w:ascii="Times New Roman" w:hAnsi="Times New Roman" w:cs="Times New Roman"/>
          <w:i/>
          <w:sz w:val="24"/>
          <w:szCs w:val="24"/>
        </w:rPr>
        <w:t>Di conseguenza, gli obblighi discendenti dai provvedimenti d'attuazione di</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questa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politica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non debbono in ogni caso essere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sproporzionati rispetto allo scopo perseguito e le relative modalità d'applicazione non debbono comportare discriminazioni a danno dei cittadini degli altri Stati membri</w:t>
      </w:r>
      <w:r w:rsidR="00B854DF" w:rsidRPr="007B4FE2">
        <w:rPr>
          <w:rFonts w:ascii="Times New Roman" w:hAnsi="Times New Roman" w:cs="Times New Roman"/>
          <w:sz w:val="24"/>
          <w:szCs w:val="24"/>
        </w:rPr>
        <w:t>”; s</w:t>
      </w:r>
      <w:r w:rsidR="00E00E84" w:rsidRPr="007B4FE2">
        <w:rPr>
          <w:rFonts w:ascii="Times New Roman" w:hAnsi="Times New Roman" w:cs="Times New Roman"/>
          <w:sz w:val="24"/>
          <w:szCs w:val="24"/>
        </w:rPr>
        <w:t>icché - e in tema di proporzionalità in senso stretto - l</w:t>
      </w:r>
      <w:r w:rsidRPr="007B4FE2">
        <w:rPr>
          <w:rFonts w:ascii="Times New Roman" w:hAnsi="Times New Roman" w:cs="Times New Roman"/>
          <w:sz w:val="24"/>
          <w:szCs w:val="24"/>
        </w:rPr>
        <w:t>a conclusione della Corte era stata che, con riguardo al caso di specie</w:t>
      </w:r>
      <w:r w:rsidR="000B6D4C" w:rsidRPr="007B4FE2">
        <w:rPr>
          <w:rFonts w:ascii="Times New Roman" w:hAnsi="Times New Roman" w:cs="Times New Roman"/>
          <w:sz w:val="24"/>
          <w:szCs w:val="24"/>
        </w:rPr>
        <w:t>,</w:t>
      </w:r>
      <w:r w:rsidRPr="007B4FE2">
        <w:rPr>
          <w:rFonts w:ascii="Times New Roman" w:hAnsi="Times New Roman" w:cs="Times New Roman"/>
          <w:sz w:val="24"/>
          <w:szCs w:val="24"/>
        </w:rPr>
        <w:t xml:space="preserve"> “</w:t>
      </w:r>
      <w:r w:rsidRPr="007B4FE2">
        <w:rPr>
          <w:rFonts w:ascii="Times New Roman" w:hAnsi="Times New Roman" w:cs="Times New Roman"/>
          <w:i/>
          <w:sz w:val="24"/>
          <w:szCs w:val="24"/>
        </w:rPr>
        <w:t>Si deve riconoscere l'importanza che riveste l'istruzione ai fini della realizzazione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di</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una tale politica. Gli insegnanti hanno infatti un ruolo essenziale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da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svolgere, non</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soltanto</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tramite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l'insegnamento</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che impartiscono</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ma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anche grazie alla loro partecipazione alla vita quotidiana della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scuola</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 xml:space="preserve">ed ai rapporti privilegiati intrattenuti con i loro </w:t>
      </w:r>
      <w:r w:rsidR="006E58B7" w:rsidRPr="007B4FE2">
        <w:rPr>
          <w:rFonts w:ascii="Times New Roman" w:hAnsi="Times New Roman" w:cs="Times New Roman"/>
          <w:i/>
          <w:sz w:val="24"/>
          <w:szCs w:val="24"/>
        </w:rPr>
        <w:t>allievi</w:t>
      </w:r>
      <w:r w:rsidRPr="007B4FE2">
        <w:rPr>
          <w:rFonts w:ascii="Times New Roman" w:hAnsi="Times New Roman" w:cs="Times New Roman"/>
          <w:i/>
          <w:sz w:val="24"/>
          <w:szCs w:val="24"/>
        </w:rPr>
        <w:t>. In</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tale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contesto</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non è irragionevole esigere da loro una certa conoscenza della prima lingua nazionale. Ne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consegue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che</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il</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requisito</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ad</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essi</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prescritto di una conoscenza adeguata di questa lingua, purché il livello di conoscenza domandato non sia sproporzionato</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rispetto</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allo scopo perseguito, dev'essere considerato una condizione relativa alle conoscenze richieste in relazione alla natura dell'impiego</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offerto, ex</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art. 3, n. 1, ultimo</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comma, del</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regolamento</w:t>
      </w:r>
      <w:r w:rsidR="00F7624B" w:rsidRPr="007B4FE2">
        <w:rPr>
          <w:rFonts w:ascii="Times New Roman" w:hAnsi="Times New Roman" w:cs="Times New Roman"/>
          <w:i/>
          <w:sz w:val="24"/>
          <w:szCs w:val="24"/>
        </w:rPr>
        <w:t xml:space="preserve"> </w:t>
      </w:r>
      <w:r w:rsidRPr="007B4FE2">
        <w:rPr>
          <w:rFonts w:ascii="Times New Roman" w:hAnsi="Times New Roman" w:cs="Times New Roman"/>
          <w:i/>
          <w:sz w:val="24"/>
          <w:szCs w:val="24"/>
        </w:rPr>
        <w:t>n. 612/68</w:t>
      </w:r>
      <w:r w:rsidRPr="007B4FE2">
        <w:rPr>
          <w:rFonts w:ascii="Times New Roman" w:hAnsi="Times New Roman" w:cs="Times New Roman"/>
          <w:sz w:val="24"/>
          <w:szCs w:val="24"/>
        </w:rPr>
        <w:t>”</w:t>
      </w:r>
      <w:r w:rsidRPr="007B4FE2">
        <w:rPr>
          <w:rFonts w:ascii="Times New Roman" w:hAnsi="Times New Roman" w:cs="Times New Roman"/>
          <w:sz w:val="24"/>
          <w:szCs w:val="24"/>
          <w:vertAlign w:val="superscript"/>
        </w:rPr>
        <w:footnoteReference w:id="76"/>
      </w:r>
      <w:r w:rsidRPr="007B4FE2">
        <w:rPr>
          <w:rFonts w:ascii="Times New Roman" w:hAnsi="Times New Roman" w:cs="Times New Roman"/>
          <w:sz w:val="24"/>
          <w:szCs w:val="24"/>
        </w:rPr>
        <w:t>.</w:t>
      </w:r>
    </w:p>
    <w:p w:rsidR="00D60F13" w:rsidRPr="007B4FE2" w:rsidRDefault="00D60F13" w:rsidP="007B4FE2">
      <w:pPr>
        <w:spacing w:after="0" w:line="360" w:lineRule="auto"/>
        <w:ind w:firstLine="567"/>
        <w:jc w:val="both"/>
        <w:rPr>
          <w:rFonts w:ascii="Times New Roman" w:hAnsi="Times New Roman" w:cs="Times New Roman"/>
          <w:sz w:val="24"/>
          <w:szCs w:val="24"/>
        </w:rPr>
      </w:pPr>
    </w:p>
    <w:p w:rsidR="00D710CE" w:rsidRPr="007B4FE2" w:rsidRDefault="00D710CE" w:rsidP="007B4FE2">
      <w:pPr>
        <w:spacing w:after="0" w:line="360" w:lineRule="auto"/>
        <w:ind w:firstLine="567"/>
        <w:jc w:val="both"/>
        <w:rPr>
          <w:rFonts w:ascii="Times New Roman" w:hAnsi="Times New Roman" w:cs="Times New Roman"/>
          <w:b/>
          <w:sz w:val="24"/>
          <w:szCs w:val="24"/>
        </w:rPr>
      </w:pPr>
      <w:r w:rsidRPr="007B4FE2">
        <w:rPr>
          <w:rFonts w:ascii="Times New Roman" w:hAnsi="Times New Roman" w:cs="Times New Roman"/>
          <w:b/>
          <w:sz w:val="24"/>
          <w:szCs w:val="24"/>
        </w:rPr>
        <w:t xml:space="preserve">4. </w:t>
      </w:r>
      <w:r w:rsidR="005200C6" w:rsidRPr="007B4FE2">
        <w:rPr>
          <w:rFonts w:ascii="Times New Roman" w:hAnsi="Times New Roman" w:cs="Times New Roman"/>
          <w:b/>
          <w:sz w:val="24"/>
          <w:szCs w:val="24"/>
        </w:rPr>
        <w:t xml:space="preserve">L’espansione del </w:t>
      </w:r>
      <w:r w:rsidRPr="007B4FE2">
        <w:rPr>
          <w:rFonts w:ascii="Times New Roman" w:hAnsi="Times New Roman" w:cs="Times New Roman"/>
          <w:b/>
          <w:sz w:val="24"/>
          <w:szCs w:val="24"/>
        </w:rPr>
        <w:t>principio di proporzionalità negli ordinamenti nazionali degli Stati membri</w:t>
      </w:r>
      <w:r w:rsidR="005200C6" w:rsidRPr="007B4FE2">
        <w:rPr>
          <w:rFonts w:ascii="Times New Roman" w:hAnsi="Times New Roman" w:cs="Times New Roman"/>
          <w:b/>
          <w:sz w:val="24"/>
          <w:szCs w:val="24"/>
        </w:rPr>
        <w:t xml:space="preserve"> UE e</w:t>
      </w:r>
      <w:r w:rsidR="00C50CDF" w:rsidRPr="007B4FE2">
        <w:rPr>
          <w:rFonts w:ascii="Times New Roman" w:hAnsi="Times New Roman" w:cs="Times New Roman"/>
          <w:b/>
          <w:sz w:val="24"/>
          <w:szCs w:val="24"/>
        </w:rPr>
        <w:t>d</w:t>
      </w:r>
      <w:r w:rsidR="005200C6" w:rsidRPr="007B4FE2">
        <w:rPr>
          <w:rFonts w:ascii="Times New Roman" w:hAnsi="Times New Roman" w:cs="Times New Roman"/>
          <w:b/>
          <w:sz w:val="24"/>
          <w:szCs w:val="24"/>
        </w:rPr>
        <w:t xml:space="preserve"> al di là dei confini dell’Unione Europea: alcuni casi paradigmatici</w:t>
      </w:r>
    </w:p>
    <w:p w:rsidR="00D710CE" w:rsidRPr="007B4FE2" w:rsidRDefault="00D710CE" w:rsidP="007B4FE2">
      <w:pPr>
        <w:spacing w:after="0" w:line="360" w:lineRule="auto"/>
        <w:ind w:firstLine="567"/>
        <w:jc w:val="both"/>
        <w:rPr>
          <w:rFonts w:ascii="Times New Roman" w:hAnsi="Times New Roman" w:cs="Times New Roman"/>
          <w:b/>
          <w:sz w:val="24"/>
          <w:szCs w:val="24"/>
        </w:rPr>
      </w:pPr>
    </w:p>
    <w:p w:rsidR="00D710CE" w:rsidRPr="007B4FE2" w:rsidRDefault="00D710CE" w:rsidP="007B4FE2">
      <w:pPr>
        <w:spacing w:after="0" w:line="360" w:lineRule="auto"/>
        <w:ind w:firstLine="567"/>
        <w:jc w:val="both"/>
        <w:rPr>
          <w:rFonts w:ascii="Times New Roman" w:hAnsi="Times New Roman" w:cs="Times New Roman"/>
          <w:b/>
          <w:sz w:val="24"/>
          <w:szCs w:val="24"/>
        </w:rPr>
      </w:pPr>
      <w:r w:rsidRPr="007B4FE2">
        <w:rPr>
          <w:rFonts w:ascii="Times New Roman" w:hAnsi="Times New Roman" w:cs="Times New Roman"/>
          <w:b/>
          <w:sz w:val="24"/>
          <w:szCs w:val="24"/>
        </w:rPr>
        <w:t>4.1. Dall’obbligo di risp</w:t>
      </w:r>
      <w:r w:rsidR="005859EA" w:rsidRPr="007B4FE2">
        <w:rPr>
          <w:rFonts w:ascii="Times New Roman" w:hAnsi="Times New Roman" w:cs="Times New Roman"/>
          <w:b/>
          <w:sz w:val="24"/>
          <w:szCs w:val="24"/>
        </w:rPr>
        <w:t>etto dei principi generali UE al c.d. effetto di “tracimazione”</w:t>
      </w:r>
      <w:r w:rsidRPr="007B4FE2">
        <w:rPr>
          <w:rFonts w:ascii="Times New Roman" w:hAnsi="Times New Roman" w:cs="Times New Roman"/>
          <w:b/>
          <w:sz w:val="24"/>
          <w:szCs w:val="24"/>
        </w:rPr>
        <w:t xml:space="preserve"> </w:t>
      </w:r>
      <w:r w:rsidR="005859EA" w:rsidRPr="007B4FE2">
        <w:rPr>
          <w:rFonts w:ascii="Times New Roman" w:hAnsi="Times New Roman" w:cs="Times New Roman"/>
          <w:b/>
          <w:sz w:val="24"/>
          <w:szCs w:val="24"/>
        </w:rPr>
        <w:t>(</w:t>
      </w:r>
      <w:proofErr w:type="spellStart"/>
      <w:r w:rsidR="005859EA" w:rsidRPr="007B4FE2">
        <w:rPr>
          <w:rFonts w:ascii="Times New Roman" w:hAnsi="Times New Roman" w:cs="Times New Roman"/>
          <w:b/>
          <w:i/>
          <w:sz w:val="24"/>
          <w:szCs w:val="24"/>
        </w:rPr>
        <w:t>s</w:t>
      </w:r>
      <w:r w:rsidRPr="007B4FE2">
        <w:rPr>
          <w:rFonts w:ascii="Times New Roman" w:hAnsi="Times New Roman" w:cs="Times New Roman"/>
          <w:b/>
          <w:i/>
          <w:sz w:val="24"/>
          <w:szCs w:val="24"/>
        </w:rPr>
        <w:t>pill</w:t>
      </w:r>
      <w:proofErr w:type="spellEnd"/>
      <w:r w:rsidRPr="007B4FE2">
        <w:rPr>
          <w:rFonts w:ascii="Times New Roman" w:hAnsi="Times New Roman" w:cs="Times New Roman"/>
          <w:b/>
          <w:i/>
          <w:sz w:val="24"/>
          <w:szCs w:val="24"/>
        </w:rPr>
        <w:t>-over</w:t>
      </w:r>
      <w:r w:rsidR="005859EA" w:rsidRPr="007B4FE2">
        <w:rPr>
          <w:rFonts w:ascii="Times New Roman" w:hAnsi="Times New Roman" w:cs="Times New Roman"/>
          <w:b/>
          <w:i/>
          <w:sz w:val="24"/>
          <w:szCs w:val="24"/>
        </w:rPr>
        <w:t>-</w:t>
      </w:r>
      <w:proofErr w:type="spellStart"/>
      <w:r w:rsidR="005859EA" w:rsidRPr="007B4FE2">
        <w:rPr>
          <w:rFonts w:ascii="Times New Roman" w:hAnsi="Times New Roman" w:cs="Times New Roman"/>
          <w:b/>
          <w:i/>
          <w:sz w:val="24"/>
          <w:szCs w:val="24"/>
        </w:rPr>
        <w:t>effect</w:t>
      </w:r>
      <w:proofErr w:type="spellEnd"/>
      <w:r w:rsidR="005859EA" w:rsidRPr="007B4FE2">
        <w:rPr>
          <w:rFonts w:ascii="Times New Roman" w:hAnsi="Times New Roman" w:cs="Times New Roman"/>
          <w:b/>
          <w:sz w:val="24"/>
          <w:szCs w:val="24"/>
        </w:rPr>
        <w:t>).</w:t>
      </w:r>
    </w:p>
    <w:p w:rsidR="00D710CE" w:rsidRPr="007B4FE2" w:rsidRDefault="0085404D"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Q</w:t>
      </w:r>
      <w:r w:rsidR="00D710CE" w:rsidRPr="007B4FE2">
        <w:rPr>
          <w:rFonts w:ascii="Times New Roman" w:hAnsi="Times New Roman" w:cs="Times New Roman"/>
          <w:sz w:val="24"/>
          <w:szCs w:val="24"/>
        </w:rPr>
        <w:t xml:space="preserve">uale che sia la </w:t>
      </w:r>
      <w:r w:rsidR="005859EA" w:rsidRPr="007B4FE2">
        <w:rPr>
          <w:rFonts w:ascii="Times New Roman" w:hAnsi="Times New Roman" w:cs="Times New Roman"/>
          <w:sz w:val="24"/>
          <w:szCs w:val="24"/>
        </w:rPr>
        <w:t>f</w:t>
      </w:r>
      <w:r w:rsidR="00D710CE" w:rsidRPr="007B4FE2">
        <w:rPr>
          <w:rFonts w:ascii="Times New Roman" w:hAnsi="Times New Roman" w:cs="Times New Roman"/>
          <w:sz w:val="24"/>
          <w:szCs w:val="24"/>
        </w:rPr>
        <w:t>o</w:t>
      </w:r>
      <w:r w:rsidRPr="007B4FE2">
        <w:rPr>
          <w:rFonts w:ascii="Times New Roman" w:hAnsi="Times New Roman" w:cs="Times New Roman"/>
          <w:sz w:val="24"/>
          <w:szCs w:val="24"/>
        </w:rPr>
        <w:t>nte originaria di provenienza</w:t>
      </w:r>
      <w:r w:rsidR="006A2A0F" w:rsidRPr="007B4FE2">
        <w:rPr>
          <w:rFonts w:ascii="Times New Roman" w:hAnsi="Times New Roman" w:cs="Times New Roman"/>
          <w:sz w:val="24"/>
          <w:szCs w:val="24"/>
        </w:rPr>
        <w:t xml:space="preserve"> </w:t>
      </w:r>
      <w:r w:rsidRPr="007B4FE2">
        <w:rPr>
          <w:rFonts w:ascii="Times New Roman" w:hAnsi="Times New Roman" w:cs="Times New Roman"/>
          <w:sz w:val="24"/>
          <w:szCs w:val="24"/>
        </w:rPr>
        <w:t>di un principio generale del diritto UE (</w:t>
      </w:r>
      <w:r w:rsidR="00D710CE" w:rsidRPr="007B4FE2">
        <w:rPr>
          <w:rFonts w:ascii="Times New Roman" w:hAnsi="Times New Roman" w:cs="Times New Roman"/>
          <w:sz w:val="24"/>
          <w:szCs w:val="24"/>
        </w:rPr>
        <w:t>l'ordinamento di uno Stato membro, il diritto internazionale, una norma dei Trattati, una norma di diritto derivato etc.</w:t>
      </w:r>
      <w:r w:rsidRPr="007B4FE2">
        <w:rPr>
          <w:rFonts w:ascii="Times New Roman" w:hAnsi="Times New Roman" w:cs="Times New Roman"/>
          <w:sz w:val="24"/>
          <w:szCs w:val="24"/>
        </w:rPr>
        <w:t>)</w:t>
      </w:r>
      <w:r w:rsidRPr="007B4FE2">
        <w:rPr>
          <w:rStyle w:val="Rimandonotaapidipagina"/>
          <w:rFonts w:ascii="Times New Roman" w:hAnsi="Times New Roman" w:cs="Times New Roman"/>
          <w:sz w:val="24"/>
          <w:szCs w:val="24"/>
        </w:rPr>
        <w:footnoteReference w:id="77"/>
      </w:r>
      <w:r w:rsidRPr="007B4FE2">
        <w:rPr>
          <w:rFonts w:ascii="Times New Roman" w:hAnsi="Times New Roman" w:cs="Times New Roman"/>
          <w:sz w:val="24"/>
          <w:szCs w:val="24"/>
        </w:rPr>
        <w:t xml:space="preserve"> il</w:t>
      </w:r>
      <w:r w:rsidR="006A2A0F" w:rsidRPr="007B4FE2">
        <w:rPr>
          <w:rFonts w:ascii="Times New Roman" w:hAnsi="Times New Roman" w:cs="Times New Roman"/>
          <w:sz w:val="24"/>
          <w:szCs w:val="24"/>
        </w:rPr>
        <w:t xml:space="preserve"> </w:t>
      </w:r>
      <w:r w:rsidRPr="007B4FE2">
        <w:rPr>
          <w:rFonts w:ascii="Times New Roman" w:hAnsi="Times New Roman" w:cs="Times New Roman"/>
          <w:sz w:val="24"/>
          <w:szCs w:val="24"/>
        </w:rPr>
        <w:t>fatto è che</w:t>
      </w:r>
      <w:r w:rsidR="005859EA"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 come già si è anticipato</w:t>
      </w:r>
      <w:r w:rsidRPr="007B4FE2">
        <w:rPr>
          <w:rFonts w:ascii="Times New Roman" w:hAnsi="Times New Roman" w:cs="Times New Roman"/>
          <w:sz w:val="24"/>
          <w:szCs w:val="24"/>
          <w:vertAlign w:val="superscript"/>
        </w:rPr>
        <w:footnoteReference w:id="78"/>
      </w:r>
      <w:r w:rsidR="005859EA" w:rsidRPr="007B4FE2">
        <w:rPr>
          <w:rFonts w:ascii="Times New Roman" w:hAnsi="Times New Roman" w:cs="Times New Roman"/>
          <w:sz w:val="24"/>
          <w:szCs w:val="24"/>
        </w:rPr>
        <w:t>-</w:t>
      </w:r>
      <w:r w:rsidR="006A2A0F" w:rsidRPr="007B4FE2">
        <w:rPr>
          <w:rFonts w:ascii="Times New Roman" w:hAnsi="Times New Roman" w:cs="Times New Roman"/>
          <w:sz w:val="24"/>
          <w:szCs w:val="24"/>
        </w:rPr>
        <w:t xml:space="preserve"> </w:t>
      </w:r>
      <w:r w:rsidR="005859EA" w:rsidRPr="007B4FE2">
        <w:rPr>
          <w:rFonts w:ascii="Times New Roman" w:hAnsi="Times New Roman" w:cs="Times New Roman"/>
          <w:sz w:val="24"/>
          <w:szCs w:val="24"/>
        </w:rPr>
        <w:t>u</w:t>
      </w:r>
      <w:r w:rsidR="00D710CE" w:rsidRPr="007B4FE2">
        <w:rPr>
          <w:rFonts w:ascii="Times New Roman" w:hAnsi="Times New Roman" w:cs="Times New Roman"/>
          <w:sz w:val="24"/>
          <w:szCs w:val="24"/>
        </w:rPr>
        <w:t xml:space="preserve">na volta che un principio generale sia stato qualificato quale “principio generale del diritto UE” dalla Corte di giustizia, detto principio è necessariamente destinato a prevalere sia sul diritto UE derivato, sia sul diritto nazionale degli Stati membri ogni qual volta ci si trovi nell’ambito di applicazione del diritto UE: come la Corte di </w:t>
      </w:r>
      <w:r w:rsidR="00BF20E7" w:rsidRPr="007B4FE2">
        <w:rPr>
          <w:rFonts w:ascii="Times New Roman" w:hAnsi="Times New Roman" w:cs="Times New Roman"/>
          <w:sz w:val="24"/>
          <w:szCs w:val="24"/>
        </w:rPr>
        <w:t xml:space="preserve">giustizia di </w:t>
      </w:r>
      <w:r w:rsidR="00D710CE" w:rsidRPr="007B4FE2">
        <w:rPr>
          <w:rFonts w:ascii="Times New Roman" w:hAnsi="Times New Roman" w:cs="Times New Roman"/>
          <w:sz w:val="24"/>
          <w:szCs w:val="24"/>
        </w:rPr>
        <w:t xml:space="preserve">Lussemburgo ha peraltro espressamente chiarito sin dalla sua sentenza </w:t>
      </w:r>
      <w:proofErr w:type="spellStart"/>
      <w:r w:rsidR="00D710CE" w:rsidRPr="007B4FE2">
        <w:rPr>
          <w:rFonts w:ascii="Times New Roman" w:hAnsi="Times New Roman" w:cs="Times New Roman"/>
          <w:i/>
          <w:sz w:val="24"/>
          <w:szCs w:val="24"/>
        </w:rPr>
        <w:t>Eridania</w:t>
      </w:r>
      <w:proofErr w:type="spellEnd"/>
      <w:r w:rsidR="00D710CE" w:rsidRPr="007B4FE2">
        <w:rPr>
          <w:rFonts w:ascii="Times New Roman" w:hAnsi="Times New Roman" w:cs="Times New Roman"/>
          <w:i/>
          <w:sz w:val="24"/>
          <w:szCs w:val="24"/>
        </w:rPr>
        <w:t xml:space="preserve"> </w:t>
      </w:r>
      <w:r w:rsidR="00D710CE" w:rsidRPr="007B4FE2">
        <w:rPr>
          <w:rFonts w:ascii="Times New Roman" w:hAnsi="Times New Roman" w:cs="Times New Roman"/>
          <w:sz w:val="24"/>
          <w:szCs w:val="24"/>
        </w:rPr>
        <w:t>del 1979</w:t>
      </w:r>
      <w:r w:rsidR="00D710CE" w:rsidRPr="007B4FE2">
        <w:rPr>
          <w:rFonts w:ascii="Times New Roman" w:hAnsi="Times New Roman" w:cs="Times New Roman"/>
          <w:sz w:val="24"/>
          <w:szCs w:val="24"/>
          <w:vertAlign w:val="superscript"/>
        </w:rPr>
        <w:footnoteReference w:id="79"/>
      </w:r>
      <w:r w:rsidR="00D710CE" w:rsidRPr="007B4FE2">
        <w:rPr>
          <w:rFonts w:ascii="Times New Roman" w:hAnsi="Times New Roman" w:cs="Times New Roman"/>
          <w:sz w:val="24"/>
          <w:szCs w:val="24"/>
        </w:rPr>
        <w:t>.</w:t>
      </w:r>
      <w:r w:rsidR="00D710CE" w:rsidRPr="007B4FE2">
        <w:rPr>
          <w:rFonts w:ascii="Times New Roman" w:hAnsi="Times New Roman" w:cs="Times New Roman"/>
          <w:sz w:val="24"/>
          <w:szCs w:val="24"/>
        </w:rPr>
        <w:fldChar w:fldCharType="begin"/>
      </w:r>
      <w:r w:rsidR="00D710CE" w:rsidRPr="007B4FE2">
        <w:rPr>
          <w:rFonts w:ascii="Times New Roman" w:hAnsi="Times New Roman" w:cs="Times New Roman"/>
          <w:sz w:val="24"/>
          <w:szCs w:val="24"/>
        </w:rPr>
        <w:instrText>&lt;/para&gt;</w:instrText>
      </w:r>
      <w:r w:rsidR="00D710CE" w:rsidRPr="007B4FE2">
        <w:rPr>
          <w:rFonts w:ascii="Times New Roman" w:hAnsi="Times New Roman" w:cs="Times New Roman"/>
          <w:sz w:val="24"/>
          <w:szCs w:val="24"/>
        </w:rPr>
        <w:fldChar w:fldCharType="end"/>
      </w:r>
      <w:r w:rsidR="00D710CE" w:rsidRPr="007B4FE2">
        <w:rPr>
          <w:rFonts w:ascii="Times New Roman" w:hAnsi="Times New Roman" w:cs="Times New Roman"/>
          <w:sz w:val="24"/>
          <w:szCs w:val="24"/>
        </w:rPr>
        <w:t xml:space="preserve"> </w:t>
      </w:r>
    </w:p>
    <w:p w:rsidR="00D710CE" w:rsidRPr="007B4FE2" w:rsidRDefault="00360998"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E</w:t>
      </w:r>
      <w:r w:rsidR="007B5DA8" w:rsidRPr="007B4FE2">
        <w:rPr>
          <w:rFonts w:ascii="Times New Roman" w:hAnsi="Times New Roman" w:cs="Times New Roman"/>
          <w:sz w:val="24"/>
          <w:szCs w:val="24"/>
        </w:rPr>
        <w:t>,</w:t>
      </w:r>
      <w:r w:rsidRPr="007B4FE2">
        <w:rPr>
          <w:rFonts w:ascii="Times New Roman" w:hAnsi="Times New Roman" w:cs="Times New Roman"/>
          <w:sz w:val="24"/>
          <w:szCs w:val="24"/>
        </w:rPr>
        <w:t xml:space="preserve"> i</w:t>
      </w:r>
      <w:r w:rsidR="00D710CE" w:rsidRPr="007B4FE2">
        <w:rPr>
          <w:rFonts w:ascii="Times New Roman" w:hAnsi="Times New Roman" w:cs="Times New Roman"/>
          <w:sz w:val="24"/>
          <w:szCs w:val="24"/>
        </w:rPr>
        <w:t>n effetti</w:t>
      </w:r>
      <w:r w:rsidR="007B5DA8" w:rsidRPr="007B4FE2">
        <w:rPr>
          <w:rFonts w:ascii="Times New Roman" w:hAnsi="Times New Roman" w:cs="Times New Roman"/>
          <w:sz w:val="24"/>
          <w:szCs w:val="24"/>
        </w:rPr>
        <w:t>,</w:t>
      </w:r>
      <w:r w:rsidR="00D710CE" w:rsidRPr="007B4FE2">
        <w:rPr>
          <w:rFonts w:ascii="Times New Roman" w:hAnsi="Times New Roman" w:cs="Times New Roman"/>
          <w:sz w:val="24"/>
          <w:szCs w:val="24"/>
        </w:rPr>
        <w:t xml:space="preserve"> le une dopo le altre - e pur con tutti i problemi di adattamento che questo abbia potuto implicare - tutte le giurisdizioni nazionali hanno accettato di applicare il principio di proporzionalità con riguardo alle misure adottate in ossequio agli obblighi scaturenti dal diritto UE.</w:t>
      </w:r>
      <w:r w:rsidR="007B5DA8" w:rsidRPr="007B4FE2">
        <w:rPr>
          <w:rFonts w:ascii="Times New Roman" w:hAnsi="Times New Roman" w:cs="Times New Roman"/>
          <w:sz w:val="24"/>
          <w:szCs w:val="24"/>
        </w:rPr>
        <w:t xml:space="preserve"> </w:t>
      </w:r>
      <w:r w:rsidR="00D710CE" w:rsidRPr="007B4FE2">
        <w:rPr>
          <w:rFonts w:ascii="Times New Roman" w:hAnsi="Times New Roman" w:cs="Times New Roman"/>
          <w:sz w:val="24"/>
          <w:szCs w:val="24"/>
        </w:rPr>
        <w:t>Ma, ovviament</w:t>
      </w:r>
      <w:r w:rsidR="00C53D12" w:rsidRPr="007B4FE2">
        <w:rPr>
          <w:rFonts w:ascii="Times New Roman" w:hAnsi="Times New Roman" w:cs="Times New Roman"/>
          <w:sz w:val="24"/>
          <w:szCs w:val="24"/>
        </w:rPr>
        <w:t>e, il principio di proporzionalità</w:t>
      </w:r>
      <w:r w:rsidR="00D710CE" w:rsidRPr="007B4FE2">
        <w:rPr>
          <w:rFonts w:ascii="Times New Roman" w:hAnsi="Times New Roman" w:cs="Times New Roman"/>
          <w:sz w:val="24"/>
          <w:szCs w:val="24"/>
        </w:rPr>
        <w:t xml:space="preserve"> non è rimast</w:t>
      </w:r>
      <w:r w:rsidR="00CA6DCD">
        <w:rPr>
          <w:rFonts w:ascii="Times New Roman" w:hAnsi="Times New Roman" w:cs="Times New Roman"/>
          <w:sz w:val="24"/>
          <w:szCs w:val="24"/>
        </w:rPr>
        <w:t>o relegato solo a questo ambito</w:t>
      </w:r>
      <w:r w:rsidR="00D710CE" w:rsidRPr="007B4FE2">
        <w:rPr>
          <w:rFonts w:ascii="Times New Roman" w:hAnsi="Times New Roman" w:cs="Times New Roman"/>
          <w:sz w:val="24"/>
          <w:szCs w:val="24"/>
        </w:rPr>
        <w:t xml:space="preserve"> e si è presto esteso, grazie all’uso fattone da parte dei giudici degli Stati membri, anche ad ambiti e materie non strettamente di rilevanza</w:t>
      </w:r>
      <w:r w:rsidRPr="007B4FE2">
        <w:rPr>
          <w:rFonts w:ascii="Times New Roman" w:hAnsi="Times New Roman" w:cs="Times New Roman"/>
          <w:sz w:val="24"/>
          <w:szCs w:val="24"/>
        </w:rPr>
        <w:t xml:space="preserve"> per il diritto UE</w:t>
      </w:r>
      <w:r w:rsidR="00D710CE" w:rsidRPr="007B4FE2">
        <w:rPr>
          <w:rFonts w:ascii="Times New Roman" w:hAnsi="Times New Roman" w:cs="Times New Roman"/>
          <w:sz w:val="24"/>
          <w:szCs w:val="24"/>
          <w:vertAlign w:val="superscript"/>
        </w:rPr>
        <w:footnoteReference w:id="80"/>
      </w:r>
      <w:r w:rsidR="00D710CE" w:rsidRPr="007B4FE2">
        <w:rPr>
          <w:rFonts w:ascii="Times New Roman" w:hAnsi="Times New Roman" w:cs="Times New Roman"/>
          <w:sz w:val="24"/>
          <w:szCs w:val="24"/>
        </w:rPr>
        <w:t xml:space="preserve">. </w:t>
      </w:r>
    </w:p>
    <w:p w:rsidR="00D710CE" w:rsidRPr="007B4FE2" w:rsidRDefault="00D710CE"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La ragione di questa evoluzione - come ho avuto modo di osservare già in varie occasioni</w:t>
      </w:r>
      <w:r w:rsidRPr="007B4FE2">
        <w:rPr>
          <w:rFonts w:ascii="Times New Roman" w:hAnsi="Times New Roman" w:cs="Times New Roman"/>
          <w:sz w:val="24"/>
          <w:szCs w:val="24"/>
          <w:vertAlign w:val="superscript"/>
        </w:rPr>
        <w:footnoteReference w:id="81"/>
      </w:r>
      <w:r w:rsidRPr="007B4FE2">
        <w:rPr>
          <w:rFonts w:ascii="Times New Roman" w:hAnsi="Times New Roman" w:cs="Times New Roman"/>
          <w:sz w:val="24"/>
          <w:szCs w:val="24"/>
        </w:rPr>
        <w:t xml:space="preserve"> - è che il principio di eguaglianza osta all'applicazione di parametri diversi a situazioni analoghe (ad es. materie afferenti a settori analoghi d'intervento, l'uno di competenza</w:t>
      </w:r>
      <w:r w:rsidR="00E00228" w:rsidRPr="007B4FE2">
        <w:rPr>
          <w:rFonts w:ascii="Times New Roman" w:hAnsi="Times New Roman" w:cs="Times New Roman"/>
          <w:sz w:val="24"/>
          <w:szCs w:val="24"/>
        </w:rPr>
        <w:t xml:space="preserve"> del diritto UE</w:t>
      </w:r>
      <w:r w:rsidRPr="007B4FE2">
        <w:rPr>
          <w:rFonts w:ascii="Times New Roman" w:hAnsi="Times New Roman" w:cs="Times New Roman"/>
          <w:sz w:val="24"/>
          <w:szCs w:val="24"/>
        </w:rPr>
        <w:t xml:space="preserve">, l'altro di competenza </w:t>
      </w:r>
      <w:r w:rsidR="00E00228" w:rsidRPr="007B4FE2">
        <w:rPr>
          <w:rFonts w:ascii="Times New Roman" w:hAnsi="Times New Roman" w:cs="Times New Roman"/>
          <w:sz w:val="24"/>
          <w:szCs w:val="24"/>
        </w:rPr>
        <w:t xml:space="preserve">del diritto </w:t>
      </w:r>
      <w:r w:rsidRPr="007B4FE2">
        <w:rPr>
          <w:rFonts w:ascii="Times New Roman" w:hAnsi="Times New Roman" w:cs="Times New Roman"/>
          <w:sz w:val="24"/>
          <w:szCs w:val="24"/>
        </w:rPr>
        <w:t>nazionale). E questa sarebbe la situazione che si verrebbe</w:t>
      </w:r>
      <w:r w:rsidR="00E00228" w:rsidRPr="007B4FE2">
        <w:rPr>
          <w:rFonts w:ascii="Times New Roman" w:hAnsi="Times New Roman" w:cs="Times New Roman"/>
          <w:sz w:val="24"/>
          <w:szCs w:val="24"/>
        </w:rPr>
        <w:t xml:space="preserve"> di fatto</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a creare, all’interno dei diritti nazionali, ove la sola differenza fra due fattispecie fosse che, nell'un caso, si trattasse di un provvedimento nazionale che pone in esecuzione obblighi</w:t>
      </w:r>
      <w:r w:rsidR="00E00228" w:rsidRPr="007B4FE2">
        <w:rPr>
          <w:rFonts w:ascii="Times New Roman" w:hAnsi="Times New Roman" w:cs="Times New Roman"/>
          <w:sz w:val="24"/>
          <w:szCs w:val="24"/>
        </w:rPr>
        <w:t xml:space="preserve"> derivanti dal diritto UE</w:t>
      </w:r>
      <w:r w:rsidRPr="007B4FE2">
        <w:rPr>
          <w:rFonts w:ascii="Times New Roman" w:hAnsi="Times New Roman" w:cs="Times New Roman"/>
          <w:sz w:val="24"/>
          <w:szCs w:val="24"/>
        </w:rPr>
        <w:t>, mentre nell'altro caso di un provvedimento</w:t>
      </w:r>
      <w:r w:rsidR="00CF6416" w:rsidRPr="007B4FE2">
        <w:rPr>
          <w:rFonts w:ascii="Times New Roman" w:hAnsi="Times New Roman" w:cs="Times New Roman"/>
          <w:sz w:val="24"/>
          <w:szCs w:val="24"/>
        </w:rPr>
        <w:t xml:space="preserve"> </w:t>
      </w:r>
      <w:r w:rsidR="00E00228" w:rsidRPr="007B4FE2">
        <w:rPr>
          <w:rFonts w:ascii="Times New Roman" w:hAnsi="Times New Roman" w:cs="Times New Roman"/>
          <w:sz w:val="24"/>
          <w:szCs w:val="24"/>
        </w:rPr>
        <w:t>che si basa unicamente sul diritto</w:t>
      </w:r>
      <w:r w:rsidRPr="007B4FE2">
        <w:rPr>
          <w:rFonts w:ascii="Times New Roman" w:hAnsi="Times New Roman" w:cs="Times New Roman"/>
          <w:sz w:val="24"/>
          <w:szCs w:val="24"/>
        </w:rPr>
        <w:t xml:space="preserve"> interno</w:t>
      </w:r>
      <w:r w:rsidRPr="007B4FE2">
        <w:rPr>
          <w:rFonts w:ascii="Times New Roman" w:hAnsi="Times New Roman" w:cs="Times New Roman"/>
          <w:sz w:val="24"/>
          <w:szCs w:val="24"/>
          <w:vertAlign w:val="superscript"/>
        </w:rPr>
        <w:footnoteReference w:id="82"/>
      </w:r>
      <w:r w:rsidRPr="007B4FE2">
        <w:rPr>
          <w:rFonts w:ascii="Times New Roman" w:hAnsi="Times New Roman" w:cs="Times New Roman"/>
          <w:sz w:val="24"/>
          <w:szCs w:val="24"/>
        </w:rPr>
        <w:t>.</w:t>
      </w:r>
    </w:p>
    <w:p w:rsidR="008864DC" w:rsidRPr="007B4FE2" w:rsidRDefault="00D710CE"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Ove si estenda il ragionamento prospettato</w:t>
      </w:r>
      <w:r w:rsidR="00BF20E7" w:rsidRPr="007B4FE2">
        <w:rPr>
          <w:rFonts w:ascii="Times New Roman" w:hAnsi="Times New Roman" w:cs="Times New Roman"/>
          <w:sz w:val="24"/>
          <w:szCs w:val="24"/>
        </w:rPr>
        <w:t>,</w:t>
      </w:r>
      <w:r w:rsidRPr="007B4FE2">
        <w:rPr>
          <w:rFonts w:ascii="Times New Roman" w:hAnsi="Times New Roman" w:cs="Times New Roman"/>
          <w:sz w:val="24"/>
          <w:szCs w:val="24"/>
        </w:rPr>
        <w:t xml:space="preserve"> dall'ipotesi della disciplina positiva di singoli settori</w:t>
      </w:r>
      <w:r w:rsidR="00BF20E7" w:rsidRPr="007B4FE2">
        <w:rPr>
          <w:rFonts w:ascii="Times New Roman" w:hAnsi="Times New Roman" w:cs="Times New Roman"/>
          <w:sz w:val="24"/>
          <w:szCs w:val="24"/>
        </w:rPr>
        <w:t>,</w:t>
      </w:r>
      <w:r w:rsidRPr="007B4FE2">
        <w:rPr>
          <w:rFonts w:ascii="Times New Roman" w:hAnsi="Times New Roman" w:cs="Times New Roman"/>
          <w:sz w:val="24"/>
          <w:szCs w:val="24"/>
        </w:rPr>
        <w:t xml:space="preserve"> al caso dei principi generali del diritto</w:t>
      </w:r>
      <w:r w:rsidR="00BF20E7" w:rsidRPr="007B4FE2">
        <w:rPr>
          <w:rFonts w:ascii="Times New Roman" w:hAnsi="Times New Roman" w:cs="Times New Roman"/>
          <w:sz w:val="24"/>
          <w:szCs w:val="24"/>
        </w:rPr>
        <w:t>,</w:t>
      </w:r>
      <w:r w:rsidRPr="007B4FE2">
        <w:rPr>
          <w:rFonts w:ascii="Times New Roman" w:hAnsi="Times New Roman" w:cs="Times New Roman"/>
          <w:sz w:val="24"/>
          <w:szCs w:val="24"/>
        </w:rPr>
        <w:t xml:space="preserve"> l'evidenza di questa affermazione appare ancora più chiara: i principi generali del diritto, infatti, non conoscono confini di materia quanto alla possibile estensione del loro ambito di applicazione</w:t>
      </w:r>
      <w:r w:rsidR="008864DC" w:rsidRPr="007B4FE2">
        <w:rPr>
          <w:rStyle w:val="Rimandonotaapidipagina"/>
          <w:rFonts w:ascii="Times New Roman" w:hAnsi="Times New Roman" w:cs="Times New Roman"/>
          <w:sz w:val="24"/>
          <w:szCs w:val="24"/>
        </w:rPr>
        <w:footnoteReference w:id="83"/>
      </w:r>
      <w:r w:rsidR="008864DC" w:rsidRPr="007B4FE2">
        <w:rPr>
          <w:rFonts w:ascii="Times New Roman" w:hAnsi="Times New Roman" w:cs="Times New Roman"/>
          <w:sz w:val="24"/>
          <w:szCs w:val="24"/>
        </w:rPr>
        <w:t>.</w:t>
      </w:r>
    </w:p>
    <w:p w:rsidR="007B5DA8" w:rsidRPr="007B4FE2" w:rsidRDefault="00D710CE"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 xml:space="preserve">La conclusione necessaria è dunque che, in ossequio al principio generale di eguaglianza, l'ambito di operatività del principio di proporzionalità </w:t>
      </w:r>
      <w:r w:rsidR="00BF20E7" w:rsidRPr="007B4FE2">
        <w:rPr>
          <w:rFonts w:ascii="Times New Roman" w:hAnsi="Times New Roman" w:cs="Times New Roman"/>
          <w:sz w:val="24"/>
          <w:szCs w:val="24"/>
        </w:rPr>
        <w:t xml:space="preserve">UE </w:t>
      </w:r>
      <w:r w:rsidR="00CA6DCD">
        <w:rPr>
          <w:rFonts w:ascii="Times New Roman" w:hAnsi="Times New Roman" w:cs="Times New Roman"/>
          <w:sz w:val="24"/>
          <w:szCs w:val="24"/>
        </w:rPr>
        <w:t>finisce per estendersi,</w:t>
      </w:r>
      <w:r w:rsidR="00EE74BA">
        <w:rPr>
          <w:rFonts w:ascii="Times New Roman" w:hAnsi="Times New Roman" w:cs="Times New Roman"/>
          <w:sz w:val="24"/>
          <w:szCs w:val="24"/>
        </w:rPr>
        <w:t xml:space="preserve"> </w:t>
      </w:r>
      <w:r w:rsidRPr="007B4FE2">
        <w:rPr>
          <w:rFonts w:ascii="Times New Roman" w:hAnsi="Times New Roman" w:cs="Times New Roman"/>
          <w:sz w:val="24"/>
          <w:szCs w:val="24"/>
        </w:rPr>
        <w:t>all'interno degli ordinamenti dei singoli Stati membri, ben al di là delle sole fattispecie</w:t>
      </w:r>
      <w:r w:rsidR="00EE74BA">
        <w:rPr>
          <w:rFonts w:ascii="Times New Roman" w:hAnsi="Times New Roman" w:cs="Times New Roman"/>
          <w:sz w:val="24"/>
          <w:szCs w:val="24"/>
        </w:rPr>
        <w:t xml:space="preserve"> </w:t>
      </w:r>
      <w:r w:rsidR="00CA6DCD">
        <w:rPr>
          <w:rFonts w:ascii="Times New Roman" w:hAnsi="Times New Roman" w:cs="Times New Roman"/>
          <w:sz w:val="24"/>
          <w:szCs w:val="24"/>
        </w:rPr>
        <w:t>rilevanti per il diritto UE</w:t>
      </w:r>
      <w:r w:rsidR="008864DC" w:rsidRPr="007B4FE2">
        <w:rPr>
          <w:rFonts w:ascii="Times New Roman" w:hAnsi="Times New Roman" w:cs="Times New Roman"/>
          <w:sz w:val="24"/>
          <w:szCs w:val="24"/>
        </w:rPr>
        <w:t>. Conclusione, quest’ultima,</w:t>
      </w:r>
      <w:r w:rsidRPr="007B4FE2">
        <w:rPr>
          <w:rFonts w:ascii="Times New Roman" w:hAnsi="Times New Roman" w:cs="Times New Roman"/>
          <w:sz w:val="24"/>
          <w:szCs w:val="24"/>
        </w:rPr>
        <w:t xml:space="preserve"> che risulta confermata non soltanto dall'esame della giurisprudenza</w:t>
      </w:r>
      <w:r w:rsidR="00DC2EB8" w:rsidRPr="007B4FE2">
        <w:rPr>
          <w:rFonts w:ascii="Times New Roman" w:hAnsi="Times New Roman" w:cs="Times New Roman"/>
          <w:sz w:val="24"/>
          <w:szCs w:val="24"/>
        </w:rPr>
        <w:t xml:space="preserve"> </w:t>
      </w:r>
      <w:r w:rsidR="00BF20E7" w:rsidRPr="007B4FE2">
        <w:rPr>
          <w:rFonts w:ascii="Times New Roman" w:hAnsi="Times New Roman" w:cs="Times New Roman"/>
          <w:sz w:val="24"/>
          <w:szCs w:val="24"/>
        </w:rPr>
        <w:t>dei giudici UE</w:t>
      </w:r>
      <w:r w:rsidR="008864DC" w:rsidRPr="007B4FE2">
        <w:rPr>
          <w:rStyle w:val="Rimandonotaapidipagina"/>
          <w:rFonts w:ascii="Times New Roman" w:hAnsi="Times New Roman" w:cs="Times New Roman"/>
          <w:sz w:val="24"/>
          <w:szCs w:val="24"/>
        </w:rPr>
        <w:footnoteReference w:id="84"/>
      </w:r>
      <w:r w:rsidR="00CA6DCD">
        <w:rPr>
          <w:rFonts w:ascii="Times New Roman" w:hAnsi="Times New Roman" w:cs="Times New Roman"/>
          <w:sz w:val="24"/>
          <w:szCs w:val="24"/>
        </w:rPr>
        <w:t>, m</w:t>
      </w:r>
      <w:r w:rsidR="008864DC" w:rsidRPr="007B4FE2">
        <w:rPr>
          <w:rFonts w:ascii="Times New Roman" w:hAnsi="Times New Roman" w:cs="Times New Roman"/>
          <w:sz w:val="24"/>
          <w:szCs w:val="24"/>
        </w:rPr>
        <w:t xml:space="preserve">a anche da un’analisi degli </w:t>
      </w:r>
      <w:r w:rsidRPr="007B4FE2">
        <w:rPr>
          <w:rFonts w:ascii="Times New Roman" w:hAnsi="Times New Roman" w:cs="Times New Roman"/>
          <w:sz w:val="24"/>
          <w:szCs w:val="24"/>
        </w:rPr>
        <w:t xml:space="preserve">sviluppi che si sono avuti, a tale riguardo, negli ordinamenti </w:t>
      </w:r>
      <w:r w:rsidR="00A91639" w:rsidRPr="007B4FE2">
        <w:rPr>
          <w:rFonts w:ascii="Times New Roman" w:hAnsi="Times New Roman" w:cs="Times New Roman"/>
          <w:sz w:val="24"/>
          <w:szCs w:val="24"/>
        </w:rPr>
        <w:t xml:space="preserve">nazionali </w:t>
      </w:r>
      <w:r w:rsidR="008864DC" w:rsidRPr="007B4FE2">
        <w:rPr>
          <w:rFonts w:ascii="Times New Roman" w:hAnsi="Times New Roman" w:cs="Times New Roman"/>
          <w:sz w:val="24"/>
          <w:szCs w:val="24"/>
        </w:rPr>
        <w:t xml:space="preserve">di molti </w:t>
      </w:r>
      <w:r w:rsidRPr="007B4FE2">
        <w:rPr>
          <w:rFonts w:ascii="Times New Roman" w:hAnsi="Times New Roman" w:cs="Times New Roman"/>
          <w:sz w:val="24"/>
          <w:szCs w:val="24"/>
        </w:rPr>
        <w:t>Stati membri che non conoscevano, prima dell'avvento della giurisprudenza</w:t>
      </w:r>
      <w:r w:rsidR="00BF20E7" w:rsidRPr="007B4FE2">
        <w:rPr>
          <w:rFonts w:ascii="Times New Roman" w:hAnsi="Times New Roman" w:cs="Times New Roman"/>
          <w:sz w:val="24"/>
          <w:szCs w:val="24"/>
        </w:rPr>
        <w:t xml:space="preserve"> UE</w:t>
      </w:r>
      <w:r w:rsidRPr="007B4FE2">
        <w:rPr>
          <w:rFonts w:ascii="Times New Roman" w:hAnsi="Times New Roman" w:cs="Times New Roman"/>
          <w:sz w:val="24"/>
          <w:szCs w:val="24"/>
        </w:rPr>
        <w:t>, un vero e propr</w:t>
      </w:r>
      <w:r w:rsidR="008864DC" w:rsidRPr="007B4FE2">
        <w:rPr>
          <w:rFonts w:ascii="Times New Roman" w:hAnsi="Times New Roman" w:cs="Times New Roman"/>
          <w:sz w:val="24"/>
          <w:szCs w:val="24"/>
        </w:rPr>
        <w:t xml:space="preserve">io sindacato di proporzionalità. </w:t>
      </w:r>
    </w:p>
    <w:p w:rsidR="006B6514" w:rsidRPr="007B4FE2" w:rsidRDefault="008864DC"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Quello</w:t>
      </w:r>
      <w:r w:rsidR="007B5DA8" w:rsidRPr="007B4FE2">
        <w:rPr>
          <w:rFonts w:ascii="Times New Roman" w:hAnsi="Times New Roman" w:cs="Times New Roman"/>
          <w:sz w:val="24"/>
          <w:szCs w:val="24"/>
        </w:rPr>
        <w:t xml:space="preserve"> dell’ordinamento</w:t>
      </w:r>
      <w:r w:rsidRPr="007B4FE2">
        <w:rPr>
          <w:rFonts w:ascii="Times New Roman" w:hAnsi="Times New Roman" w:cs="Times New Roman"/>
          <w:sz w:val="24"/>
          <w:szCs w:val="24"/>
        </w:rPr>
        <w:t xml:space="preserve"> italian</w:t>
      </w:r>
      <w:r w:rsidR="00A91639" w:rsidRPr="007B4FE2">
        <w:rPr>
          <w:rFonts w:ascii="Times New Roman" w:hAnsi="Times New Roman" w:cs="Times New Roman"/>
          <w:sz w:val="24"/>
          <w:szCs w:val="24"/>
        </w:rPr>
        <w:t xml:space="preserve">o e sicuramente un esempio interessante, sul quale </w:t>
      </w:r>
      <w:r w:rsidR="006B6514" w:rsidRPr="007B4FE2">
        <w:rPr>
          <w:rFonts w:ascii="Times New Roman" w:hAnsi="Times New Roman" w:cs="Times New Roman"/>
          <w:sz w:val="24"/>
          <w:szCs w:val="24"/>
        </w:rPr>
        <w:t xml:space="preserve">però </w:t>
      </w:r>
      <w:r w:rsidR="00A91639" w:rsidRPr="007B4FE2">
        <w:rPr>
          <w:rFonts w:ascii="Times New Roman" w:hAnsi="Times New Roman" w:cs="Times New Roman"/>
          <w:sz w:val="24"/>
          <w:szCs w:val="24"/>
        </w:rPr>
        <w:t>mi sono già altrove diffusa</w:t>
      </w:r>
      <w:r w:rsidRPr="007B4FE2">
        <w:rPr>
          <w:rStyle w:val="Rimandonotaapidipagina"/>
          <w:rFonts w:ascii="Times New Roman" w:hAnsi="Times New Roman" w:cs="Times New Roman"/>
          <w:sz w:val="24"/>
          <w:szCs w:val="24"/>
        </w:rPr>
        <w:footnoteReference w:id="85"/>
      </w:r>
      <w:r w:rsidRPr="007B4FE2">
        <w:rPr>
          <w:rFonts w:ascii="Times New Roman" w:hAnsi="Times New Roman" w:cs="Times New Roman"/>
          <w:sz w:val="24"/>
          <w:szCs w:val="24"/>
        </w:rPr>
        <w:t>.</w:t>
      </w:r>
      <w:r w:rsidR="00CF6416" w:rsidRPr="007B4FE2">
        <w:rPr>
          <w:rFonts w:ascii="Times New Roman" w:hAnsi="Times New Roman" w:cs="Times New Roman"/>
          <w:sz w:val="24"/>
          <w:szCs w:val="24"/>
        </w:rPr>
        <w:t xml:space="preserve"> </w:t>
      </w:r>
      <w:r w:rsidR="007B5DA8" w:rsidRPr="007B4FE2">
        <w:rPr>
          <w:rFonts w:ascii="Times New Roman" w:hAnsi="Times New Roman" w:cs="Times New Roman"/>
          <w:sz w:val="24"/>
          <w:szCs w:val="24"/>
        </w:rPr>
        <w:t>Sicché</w:t>
      </w:r>
      <w:r w:rsidR="00BF20E7" w:rsidRPr="007B4FE2">
        <w:rPr>
          <w:rFonts w:ascii="Times New Roman" w:hAnsi="Times New Roman" w:cs="Times New Roman"/>
          <w:sz w:val="24"/>
          <w:szCs w:val="24"/>
        </w:rPr>
        <w:t>,</w:t>
      </w:r>
      <w:r w:rsidR="007B5DA8" w:rsidRPr="007B4FE2">
        <w:rPr>
          <w:rFonts w:ascii="Times New Roman" w:hAnsi="Times New Roman" w:cs="Times New Roman"/>
          <w:sz w:val="24"/>
          <w:szCs w:val="24"/>
        </w:rPr>
        <w:t xml:space="preserve"> mi</w:t>
      </w:r>
      <w:r w:rsidR="006B6514" w:rsidRPr="007B4FE2">
        <w:rPr>
          <w:rFonts w:ascii="Times New Roman" w:hAnsi="Times New Roman" w:cs="Times New Roman"/>
          <w:sz w:val="24"/>
          <w:szCs w:val="24"/>
        </w:rPr>
        <w:t xml:space="preserve"> limito qui a dire/ribadire, che l’applicazione del principio di proporzionalità, (esteso anche in questo caso a fattispecie a mera rilevanza nazionale) è fatta di luci ed ombre: come dimostra, fra l’altro, anche il ragionamento intorno alla proporzionalità fatto dalla nostra Consulta</w:t>
      </w:r>
      <w:r w:rsidR="007B5DA8" w:rsidRPr="007B4FE2">
        <w:rPr>
          <w:rFonts w:ascii="Times New Roman" w:hAnsi="Times New Roman" w:cs="Times New Roman"/>
          <w:sz w:val="24"/>
          <w:szCs w:val="24"/>
        </w:rPr>
        <w:t>,</w:t>
      </w:r>
      <w:r w:rsidR="00CF6416" w:rsidRPr="007B4FE2">
        <w:rPr>
          <w:rFonts w:ascii="Times New Roman" w:hAnsi="Times New Roman" w:cs="Times New Roman"/>
          <w:sz w:val="24"/>
          <w:szCs w:val="24"/>
        </w:rPr>
        <w:t xml:space="preserve"> </w:t>
      </w:r>
      <w:r w:rsidR="006B6514" w:rsidRPr="007B4FE2">
        <w:rPr>
          <w:rFonts w:ascii="Times New Roman" w:hAnsi="Times New Roman" w:cs="Times New Roman"/>
          <w:sz w:val="24"/>
          <w:szCs w:val="24"/>
        </w:rPr>
        <w:t>con la sua ormai notissima sentenza n. 20</w:t>
      </w:r>
      <w:r w:rsidR="007B5DA8" w:rsidRPr="007B4FE2">
        <w:rPr>
          <w:rFonts w:ascii="Times New Roman" w:hAnsi="Times New Roman" w:cs="Times New Roman"/>
          <w:sz w:val="24"/>
          <w:szCs w:val="24"/>
        </w:rPr>
        <w:t>/2019</w:t>
      </w:r>
      <w:r w:rsidR="007B5DA8" w:rsidRPr="007B4FE2">
        <w:rPr>
          <w:rStyle w:val="Rimandonotaapidipagina"/>
          <w:rFonts w:ascii="Times New Roman" w:hAnsi="Times New Roman" w:cs="Times New Roman"/>
          <w:sz w:val="24"/>
          <w:szCs w:val="24"/>
        </w:rPr>
        <w:footnoteReference w:id="86"/>
      </w:r>
      <w:r w:rsidR="006B6514" w:rsidRPr="007B4FE2">
        <w:rPr>
          <w:rFonts w:ascii="Times New Roman" w:hAnsi="Times New Roman" w:cs="Times New Roman"/>
          <w:sz w:val="24"/>
          <w:szCs w:val="24"/>
        </w:rPr>
        <w:t>, a proposito di taluni obblighi di pubb</w:t>
      </w:r>
      <w:r w:rsidR="00CD79A5" w:rsidRPr="007B4FE2">
        <w:rPr>
          <w:rFonts w:ascii="Times New Roman" w:hAnsi="Times New Roman" w:cs="Times New Roman"/>
          <w:sz w:val="24"/>
          <w:szCs w:val="24"/>
        </w:rPr>
        <w:t>licazione previsti dal 33/2013 (</w:t>
      </w:r>
      <w:r w:rsidR="006B6514" w:rsidRPr="007B4FE2">
        <w:rPr>
          <w:rFonts w:ascii="Times New Roman" w:hAnsi="Times New Roman" w:cs="Times New Roman"/>
          <w:sz w:val="24"/>
          <w:szCs w:val="24"/>
        </w:rPr>
        <w:t>c.d. Decreto Trasparenza</w:t>
      </w:r>
      <w:r w:rsidR="00CD79A5" w:rsidRPr="007B4FE2">
        <w:rPr>
          <w:rFonts w:ascii="Times New Roman" w:hAnsi="Times New Roman" w:cs="Times New Roman"/>
          <w:sz w:val="24"/>
          <w:szCs w:val="24"/>
        </w:rPr>
        <w:t>)</w:t>
      </w:r>
      <w:r w:rsidR="006B6514" w:rsidRPr="007B4FE2">
        <w:rPr>
          <w:rFonts w:ascii="Times New Roman" w:hAnsi="Times New Roman" w:cs="Times New Roman"/>
          <w:sz w:val="24"/>
          <w:szCs w:val="24"/>
        </w:rPr>
        <w:t xml:space="preserve"> e del loro rapporto col diritto alla riservatezza.</w:t>
      </w:r>
    </w:p>
    <w:p w:rsidR="00D710CE" w:rsidRPr="007B4FE2" w:rsidRDefault="006B6514"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 xml:space="preserve">Un </w:t>
      </w:r>
      <w:r w:rsidR="00A91639" w:rsidRPr="007B4FE2">
        <w:rPr>
          <w:rFonts w:ascii="Times New Roman" w:hAnsi="Times New Roman" w:cs="Times New Roman"/>
          <w:sz w:val="24"/>
          <w:szCs w:val="24"/>
        </w:rPr>
        <w:t>altro esempio</w:t>
      </w:r>
      <w:r w:rsidR="0097768D" w:rsidRPr="007B4FE2">
        <w:rPr>
          <w:rFonts w:ascii="Times New Roman" w:hAnsi="Times New Roman" w:cs="Times New Roman"/>
          <w:sz w:val="24"/>
          <w:szCs w:val="24"/>
        </w:rPr>
        <w:t>,</w:t>
      </w:r>
      <w:r w:rsidR="00A91639" w:rsidRPr="007B4FE2">
        <w:rPr>
          <w:rFonts w:ascii="Times New Roman" w:hAnsi="Times New Roman" w:cs="Times New Roman"/>
          <w:sz w:val="24"/>
          <w:szCs w:val="24"/>
        </w:rPr>
        <w:t xml:space="preserve"> interessantissimo</w:t>
      </w:r>
      <w:r w:rsidRPr="007B4FE2">
        <w:rPr>
          <w:rFonts w:ascii="Times New Roman" w:hAnsi="Times New Roman" w:cs="Times New Roman"/>
          <w:sz w:val="24"/>
          <w:szCs w:val="24"/>
        </w:rPr>
        <w:t xml:space="preserve">, </w:t>
      </w:r>
      <w:r w:rsidR="00A91639" w:rsidRPr="007B4FE2">
        <w:rPr>
          <w:rFonts w:ascii="Times New Roman" w:hAnsi="Times New Roman" w:cs="Times New Roman"/>
          <w:sz w:val="24"/>
          <w:szCs w:val="24"/>
        </w:rPr>
        <w:t xml:space="preserve">è </w:t>
      </w:r>
      <w:r w:rsidR="00CA6DCD">
        <w:rPr>
          <w:rFonts w:ascii="Times New Roman" w:hAnsi="Times New Roman" w:cs="Times New Roman"/>
          <w:sz w:val="24"/>
          <w:szCs w:val="24"/>
        </w:rPr>
        <w:t xml:space="preserve">invece </w:t>
      </w:r>
      <w:r w:rsidR="008864DC" w:rsidRPr="007B4FE2">
        <w:rPr>
          <w:rFonts w:ascii="Times New Roman" w:hAnsi="Times New Roman" w:cs="Times New Roman"/>
          <w:sz w:val="24"/>
          <w:szCs w:val="24"/>
        </w:rPr>
        <w:t xml:space="preserve">quello </w:t>
      </w:r>
      <w:r w:rsidRPr="007B4FE2">
        <w:rPr>
          <w:rFonts w:ascii="Times New Roman" w:hAnsi="Times New Roman" w:cs="Times New Roman"/>
          <w:sz w:val="24"/>
          <w:szCs w:val="24"/>
        </w:rPr>
        <w:t xml:space="preserve">dell’ordinamento </w:t>
      </w:r>
      <w:r w:rsidR="008864DC" w:rsidRPr="007B4FE2">
        <w:rPr>
          <w:rFonts w:ascii="Times New Roman" w:hAnsi="Times New Roman" w:cs="Times New Roman"/>
          <w:sz w:val="24"/>
          <w:szCs w:val="24"/>
        </w:rPr>
        <w:t>britannico che</w:t>
      </w:r>
      <w:r w:rsidRPr="007B4FE2">
        <w:rPr>
          <w:rFonts w:ascii="Times New Roman" w:hAnsi="Times New Roman" w:cs="Times New Roman"/>
          <w:sz w:val="24"/>
          <w:szCs w:val="24"/>
        </w:rPr>
        <w:t xml:space="preserve"> </w:t>
      </w:r>
      <w:r w:rsidR="00A91639" w:rsidRPr="007B4FE2">
        <w:rPr>
          <w:rFonts w:ascii="Times New Roman" w:hAnsi="Times New Roman" w:cs="Times New Roman"/>
          <w:sz w:val="24"/>
          <w:szCs w:val="24"/>
        </w:rPr>
        <w:t>appare per certi versi ancora più paradigmatico: ragione per cui vale la pena di soffermarvisi</w:t>
      </w:r>
      <w:r w:rsidRPr="007B4FE2">
        <w:rPr>
          <w:rFonts w:ascii="Times New Roman" w:hAnsi="Times New Roman" w:cs="Times New Roman"/>
          <w:sz w:val="24"/>
          <w:szCs w:val="24"/>
        </w:rPr>
        <w:t xml:space="preserve"> </w:t>
      </w:r>
      <w:r w:rsidR="00A91639" w:rsidRPr="007B4FE2">
        <w:rPr>
          <w:rFonts w:ascii="Times New Roman" w:hAnsi="Times New Roman" w:cs="Times New Roman"/>
          <w:sz w:val="24"/>
          <w:szCs w:val="24"/>
        </w:rPr>
        <w:t>brevemente</w:t>
      </w:r>
      <w:r w:rsidR="00BF20E7" w:rsidRPr="007B4FE2">
        <w:rPr>
          <w:rFonts w:ascii="Times New Roman" w:hAnsi="Times New Roman" w:cs="Times New Roman"/>
          <w:sz w:val="24"/>
          <w:szCs w:val="24"/>
        </w:rPr>
        <w:t xml:space="preserve"> qui di seguito</w:t>
      </w:r>
      <w:r w:rsidR="00A91639" w:rsidRPr="007B4FE2">
        <w:rPr>
          <w:rFonts w:ascii="Times New Roman" w:hAnsi="Times New Roman" w:cs="Times New Roman"/>
          <w:sz w:val="24"/>
          <w:szCs w:val="24"/>
        </w:rPr>
        <w:t>.</w:t>
      </w:r>
    </w:p>
    <w:p w:rsidR="00D710CE" w:rsidRPr="007B4FE2" w:rsidRDefault="00D710CE" w:rsidP="007B4FE2">
      <w:pPr>
        <w:spacing w:after="0" w:line="360" w:lineRule="auto"/>
        <w:ind w:firstLine="567"/>
        <w:jc w:val="both"/>
        <w:rPr>
          <w:rFonts w:ascii="Times New Roman" w:hAnsi="Times New Roman" w:cs="Times New Roman"/>
          <w:sz w:val="24"/>
          <w:szCs w:val="24"/>
        </w:rPr>
      </w:pPr>
    </w:p>
    <w:p w:rsidR="00D710CE" w:rsidRPr="0058330B" w:rsidRDefault="00F45571" w:rsidP="007B4FE2">
      <w:pPr>
        <w:spacing w:after="0" w:line="360" w:lineRule="auto"/>
        <w:ind w:firstLine="567"/>
        <w:jc w:val="both"/>
        <w:rPr>
          <w:rFonts w:ascii="Times New Roman" w:hAnsi="Times New Roman" w:cs="Times New Roman"/>
          <w:b/>
          <w:sz w:val="24"/>
          <w:szCs w:val="24"/>
        </w:rPr>
      </w:pPr>
      <w:r w:rsidRPr="0058330B">
        <w:rPr>
          <w:rFonts w:ascii="Times New Roman" w:hAnsi="Times New Roman" w:cs="Times New Roman"/>
          <w:b/>
          <w:sz w:val="24"/>
          <w:szCs w:val="24"/>
        </w:rPr>
        <w:t>4</w:t>
      </w:r>
      <w:r w:rsidR="00D710CE" w:rsidRPr="0058330B">
        <w:rPr>
          <w:rFonts w:ascii="Times New Roman" w:hAnsi="Times New Roman" w:cs="Times New Roman"/>
          <w:b/>
          <w:sz w:val="24"/>
          <w:szCs w:val="24"/>
        </w:rPr>
        <w:t xml:space="preserve">.2. Il principio di proporzionalità nel diritto </w:t>
      </w:r>
      <w:r w:rsidR="00A91639" w:rsidRPr="0058330B">
        <w:rPr>
          <w:rFonts w:ascii="Times New Roman" w:hAnsi="Times New Roman" w:cs="Times New Roman"/>
          <w:b/>
          <w:sz w:val="24"/>
          <w:szCs w:val="24"/>
        </w:rPr>
        <w:t xml:space="preserve">britannico di </w:t>
      </w:r>
      <w:r w:rsidR="00A91639" w:rsidRPr="0058330B">
        <w:rPr>
          <w:rFonts w:ascii="Times New Roman" w:hAnsi="Times New Roman" w:cs="Times New Roman"/>
          <w:b/>
          <w:i/>
          <w:sz w:val="24"/>
          <w:szCs w:val="24"/>
        </w:rPr>
        <w:t>Common Law</w:t>
      </w:r>
    </w:p>
    <w:p w:rsidR="00D3524B" w:rsidRPr="007B4FE2" w:rsidRDefault="00F45571" w:rsidP="007B4FE2">
      <w:pPr>
        <w:spacing w:after="0" w:line="360" w:lineRule="auto"/>
        <w:ind w:firstLine="567"/>
        <w:jc w:val="both"/>
        <w:rPr>
          <w:rFonts w:ascii="Times New Roman" w:hAnsi="Times New Roman" w:cs="Times New Roman"/>
          <w:sz w:val="24"/>
          <w:szCs w:val="24"/>
        </w:rPr>
      </w:pPr>
      <w:r w:rsidRPr="0058330B">
        <w:rPr>
          <w:rFonts w:ascii="Times New Roman" w:hAnsi="Times New Roman" w:cs="Times New Roman"/>
          <w:sz w:val="24"/>
          <w:szCs w:val="24"/>
        </w:rPr>
        <w:t xml:space="preserve">Fra i casi più interessanti di </w:t>
      </w:r>
      <w:proofErr w:type="spellStart"/>
      <w:r w:rsidRPr="0058330B">
        <w:rPr>
          <w:rFonts w:ascii="Times New Roman" w:hAnsi="Times New Roman" w:cs="Times New Roman"/>
          <w:i/>
          <w:sz w:val="24"/>
          <w:szCs w:val="24"/>
        </w:rPr>
        <w:t>spill</w:t>
      </w:r>
      <w:proofErr w:type="spellEnd"/>
      <w:r w:rsidRPr="0058330B">
        <w:rPr>
          <w:rFonts w:ascii="Times New Roman" w:hAnsi="Times New Roman" w:cs="Times New Roman"/>
          <w:i/>
          <w:sz w:val="24"/>
          <w:szCs w:val="24"/>
        </w:rPr>
        <w:t>-over</w:t>
      </w:r>
      <w:r w:rsidRPr="0058330B">
        <w:rPr>
          <w:rFonts w:ascii="Times New Roman" w:hAnsi="Times New Roman" w:cs="Times New Roman"/>
          <w:sz w:val="24"/>
          <w:szCs w:val="24"/>
        </w:rPr>
        <w:t>/tracimazione del principio di proporzionalit</w:t>
      </w:r>
      <w:r w:rsidR="0058330B">
        <w:rPr>
          <w:rFonts w:ascii="Times New Roman" w:hAnsi="Times New Roman" w:cs="Times New Roman"/>
          <w:sz w:val="24"/>
          <w:szCs w:val="24"/>
        </w:rPr>
        <w:t xml:space="preserve">à ve ne è uno assai paradossale ed è </w:t>
      </w:r>
      <w:r w:rsidR="0021533E">
        <w:rPr>
          <w:rFonts w:ascii="Times New Roman" w:hAnsi="Times New Roman" w:cs="Times New Roman"/>
          <w:sz w:val="24"/>
          <w:szCs w:val="24"/>
        </w:rPr>
        <w:t>quello britannico:</w:t>
      </w:r>
      <w:r w:rsidR="00EE74BA">
        <w:rPr>
          <w:rFonts w:ascii="Times New Roman" w:hAnsi="Times New Roman" w:cs="Times New Roman"/>
          <w:sz w:val="24"/>
          <w:szCs w:val="24"/>
        </w:rPr>
        <w:t xml:space="preserve"> </w:t>
      </w:r>
      <w:r w:rsidR="0058330B">
        <w:rPr>
          <w:rFonts w:ascii="Times New Roman" w:hAnsi="Times New Roman" w:cs="Times New Roman"/>
          <w:sz w:val="24"/>
          <w:szCs w:val="24"/>
        </w:rPr>
        <w:t>poiché</w:t>
      </w:r>
      <w:r w:rsidR="0021533E">
        <w:rPr>
          <w:rFonts w:ascii="Times New Roman" w:hAnsi="Times New Roman" w:cs="Times New Roman"/>
          <w:sz w:val="24"/>
          <w:szCs w:val="24"/>
        </w:rPr>
        <w:t xml:space="preserve"> esso</w:t>
      </w:r>
      <w:r w:rsidR="00EE74BA">
        <w:rPr>
          <w:rFonts w:ascii="Times New Roman" w:hAnsi="Times New Roman" w:cs="Times New Roman"/>
          <w:sz w:val="24"/>
          <w:szCs w:val="24"/>
        </w:rPr>
        <w:t xml:space="preserve"> </w:t>
      </w:r>
      <w:r w:rsidRPr="0058330B">
        <w:rPr>
          <w:rFonts w:ascii="Times New Roman" w:hAnsi="Times New Roman" w:cs="Times New Roman"/>
          <w:sz w:val="24"/>
          <w:szCs w:val="24"/>
        </w:rPr>
        <w:t>rappresenta</w:t>
      </w:r>
      <w:r w:rsidR="0021533E">
        <w:rPr>
          <w:rFonts w:ascii="Times New Roman" w:hAnsi="Times New Roman" w:cs="Times New Roman"/>
          <w:sz w:val="24"/>
          <w:szCs w:val="24"/>
        </w:rPr>
        <w:t xml:space="preserve"> </w:t>
      </w:r>
      <w:r w:rsidRPr="0058330B">
        <w:rPr>
          <w:rFonts w:ascii="Times New Roman" w:hAnsi="Times New Roman" w:cs="Times New Roman"/>
          <w:sz w:val="24"/>
          <w:szCs w:val="24"/>
        </w:rPr>
        <w:t xml:space="preserve">un esempio di iniziale resistenza </w:t>
      </w:r>
      <w:r w:rsidR="0021533E">
        <w:rPr>
          <w:rFonts w:ascii="Times New Roman" w:hAnsi="Times New Roman" w:cs="Times New Roman"/>
          <w:sz w:val="24"/>
          <w:szCs w:val="24"/>
        </w:rPr>
        <w:t>“</w:t>
      </w:r>
      <w:r w:rsidRPr="0058330B">
        <w:rPr>
          <w:rFonts w:ascii="Times New Roman" w:hAnsi="Times New Roman" w:cs="Times New Roman"/>
          <w:sz w:val="24"/>
          <w:szCs w:val="24"/>
        </w:rPr>
        <w:t>ad oltranza</w:t>
      </w:r>
      <w:r w:rsidR="0021533E">
        <w:rPr>
          <w:rFonts w:ascii="Times New Roman" w:hAnsi="Times New Roman" w:cs="Times New Roman"/>
          <w:sz w:val="24"/>
          <w:szCs w:val="24"/>
        </w:rPr>
        <w:t>”</w:t>
      </w:r>
      <w:r w:rsidRPr="0058330B">
        <w:rPr>
          <w:rFonts w:ascii="Times New Roman" w:hAnsi="Times New Roman" w:cs="Times New Roman"/>
          <w:sz w:val="24"/>
          <w:szCs w:val="24"/>
        </w:rPr>
        <w:t xml:space="preserve"> dei giudici nazionali rispetto all’applicazion</w:t>
      </w:r>
      <w:r w:rsidRPr="007B4FE2">
        <w:rPr>
          <w:rFonts w:ascii="Times New Roman" w:hAnsi="Times New Roman" w:cs="Times New Roman"/>
          <w:sz w:val="24"/>
          <w:szCs w:val="24"/>
        </w:rPr>
        <w:t>e del principio di proporzionalità comunitario.</w:t>
      </w:r>
    </w:p>
    <w:p w:rsidR="003E00C3" w:rsidRPr="007B4FE2" w:rsidRDefault="0058330B" w:rsidP="007B4FE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 infatti, g</w:t>
      </w:r>
      <w:r w:rsidR="00D3524B" w:rsidRPr="007B4FE2">
        <w:rPr>
          <w:rFonts w:ascii="Times New Roman" w:hAnsi="Times New Roman" w:cs="Times New Roman"/>
          <w:sz w:val="24"/>
          <w:szCs w:val="24"/>
        </w:rPr>
        <w:t>ià</w:t>
      </w:r>
      <w:r w:rsidR="00CF6416" w:rsidRPr="007B4FE2">
        <w:rPr>
          <w:rFonts w:ascii="Times New Roman" w:hAnsi="Times New Roman" w:cs="Times New Roman"/>
          <w:sz w:val="24"/>
          <w:szCs w:val="24"/>
        </w:rPr>
        <w:t xml:space="preserve"> </w:t>
      </w:r>
      <w:r w:rsidR="00D3524B" w:rsidRPr="007B4FE2">
        <w:rPr>
          <w:rFonts w:ascii="Times New Roman" w:hAnsi="Times New Roman" w:cs="Times New Roman"/>
          <w:sz w:val="24"/>
          <w:szCs w:val="24"/>
        </w:rPr>
        <w:t xml:space="preserve">all’inizio degli anni Ottanta </w:t>
      </w:r>
      <w:r w:rsidR="005D3618" w:rsidRPr="007B4FE2">
        <w:rPr>
          <w:rFonts w:ascii="Times New Roman" w:hAnsi="Times New Roman" w:cs="Times New Roman"/>
          <w:i/>
          <w:sz w:val="24"/>
          <w:szCs w:val="24"/>
        </w:rPr>
        <w:t xml:space="preserve">Lord </w:t>
      </w:r>
      <w:proofErr w:type="spellStart"/>
      <w:r w:rsidR="005D3618" w:rsidRPr="007B4FE2">
        <w:rPr>
          <w:rFonts w:ascii="Times New Roman" w:hAnsi="Times New Roman" w:cs="Times New Roman"/>
          <w:i/>
          <w:sz w:val="24"/>
          <w:szCs w:val="24"/>
        </w:rPr>
        <w:t>Diplock</w:t>
      </w:r>
      <w:proofErr w:type="spellEnd"/>
      <w:r w:rsidR="0021533E">
        <w:rPr>
          <w:rFonts w:ascii="Times New Roman" w:hAnsi="Times New Roman" w:cs="Times New Roman"/>
          <w:sz w:val="24"/>
          <w:szCs w:val="24"/>
        </w:rPr>
        <w:t xml:space="preserve"> (</w:t>
      </w:r>
      <w:r w:rsidR="005D3618" w:rsidRPr="007B4FE2">
        <w:rPr>
          <w:rFonts w:ascii="Times New Roman" w:hAnsi="Times New Roman" w:cs="Times New Roman"/>
          <w:sz w:val="24"/>
          <w:szCs w:val="24"/>
        </w:rPr>
        <w:t xml:space="preserve">autorevole giudice della </w:t>
      </w:r>
      <w:r w:rsidR="005D3618" w:rsidRPr="007B4FE2">
        <w:rPr>
          <w:rFonts w:ascii="Times New Roman" w:hAnsi="Times New Roman" w:cs="Times New Roman"/>
          <w:i/>
          <w:sz w:val="24"/>
          <w:szCs w:val="24"/>
        </w:rPr>
        <w:t xml:space="preserve">House of </w:t>
      </w:r>
      <w:proofErr w:type="spellStart"/>
      <w:r w:rsidR="005D3618" w:rsidRPr="007B4FE2">
        <w:rPr>
          <w:rFonts w:ascii="Times New Roman" w:hAnsi="Times New Roman" w:cs="Times New Roman"/>
          <w:i/>
          <w:sz w:val="24"/>
          <w:szCs w:val="24"/>
        </w:rPr>
        <w:t>Lords</w:t>
      </w:r>
      <w:proofErr w:type="spellEnd"/>
      <w:r w:rsidR="0021533E">
        <w:rPr>
          <w:rFonts w:ascii="Times New Roman" w:hAnsi="Times New Roman" w:cs="Times New Roman"/>
          <w:sz w:val="24"/>
          <w:szCs w:val="24"/>
        </w:rPr>
        <w:t>)</w:t>
      </w:r>
      <w:r w:rsidR="005D3618" w:rsidRPr="007B4FE2">
        <w:rPr>
          <w:rFonts w:ascii="Times New Roman" w:hAnsi="Times New Roman" w:cs="Times New Roman"/>
          <w:sz w:val="24"/>
          <w:szCs w:val="24"/>
        </w:rPr>
        <w:t xml:space="preserve"> aveva sottolineato l’importanza del principio</w:t>
      </w:r>
      <w:r w:rsidR="0021533E">
        <w:rPr>
          <w:rFonts w:ascii="Times New Roman" w:hAnsi="Times New Roman" w:cs="Times New Roman"/>
          <w:sz w:val="24"/>
          <w:szCs w:val="24"/>
        </w:rPr>
        <w:t xml:space="preserve"> (</w:t>
      </w:r>
      <w:r w:rsidR="00D3524B" w:rsidRPr="007B4FE2">
        <w:rPr>
          <w:rFonts w:ascii="Times New Roman" w:hAnsi="Times New Roman" w:cs="Times New Roman"/>
          <w:sz w:val="24"/>
          <w:szCs w:val="24"/>
        </w:rPr>
        <w:t>da lui</w:t>
      </w:r>
      <w:r w:rsidR="00CF6416" w:rsidRPr="007B4FE2">
        <w:rPr>
          <w:rFonts w:ascii="Times New Roman" w:hAnsi="Times New Roman" w:cs="Times New Roman"/>
          <w:sz w:val="24"/>
          <w:szCs w:val="24"/>
        </w:rPr>
        <w:t xml:space="preserve"> </w:t>
      </w:r>
      <w:r w:rsidR="005D3618" w:rsidRPr="007B4FE2">
        <w:rPr>
          <w:rFonts w:ascii="Times New Roman" w:hAnsi="Times New Roman" w:cs="Times New Roman"/>
          <w:sz w:val="24"/>
          <w:szCs w:val="24"/>
        </w:rPr>
        <w:t>riassunto con la efficacissima formula</w:t>
      </w:r>
      <w:r w:rsidR="00D3524B" w:rsidRPr="007B4FE2">
        <w:rPr>
          <w:rFonts w:ascii="Times New Roman" w:hAnsi="Times New Roman" w:cs="Times New Roman"/>
          <w:sz w:val="24"/>
          <w:szCs w:val="24"/>
        </w:rPr>
        <w:t xml:space="preserve"> </w:t>
      </w:r>
      <w:r w:rsidR="005D3618" w:rsidRPr="007B4FE2">
        <w:rPr>
          <w:rFonts w:ascii="Times New Roman" w:hAnsi="Times New Roman" w:cs="Times New Roman"/>
          <w:sz w:val="24"/>
          <w:szCs w:val="24"/>
        </w:rPr>
        <w:t>“</w:t>
      </w:r>
      <w:r w:rsidR="005D3618" w:rsidRPr="007B4FE2">
        <w:rPr>
          <w:rFonts w:ascii="Times New Roman" w:hAnsi="Times New Roman" w:cs="Times New Roman"/>
          <w:i/>
          <w:sz w:val="24"/>
          <w:szCs w:val="24"/>
        </w:rPr>
        <w:t xml:space="preserve">The </w:t>
      </w:r>
      <w:proofErr w:type="spellStart"/>
      <w:r w:rsidR="005D3618" w:rsidRPr="007B4FE2">
        <w:rPr>
          <w:rFonts w:ascii="Times New Roman" w:hAnsi="Times New Roman" w:cs="Times New Roman"/>
          <w:i/>
          <w:sz w:val="24"/>
          <w:szCs w:val="24"/>
        </w:rPr>
        <w:t>principle</w:t>
      </w:r>
      <w:proofErr w:type="spellEnd"/>
      <w:r w:rsidR="005D3618" w:rsidRPr="007B4FE2">
        <w:rPr>
          <w:rFonts w:ascii="Times New Roman" w:hAnsi="Times New Roman" w:cs="Times New Roman"/>
          <w:i/>
          <w:sz w:val="24"/>
          <w:szCs w:val="24"/>
        </w:rPr>
        <w:t xml:space="preserve"> of </w:t>
      </w:r>
      <w:proofErr w:type="spellStart"/>
      <w:r w:rsidR="005D3618" w:rsidRPr="007B4FE2">
        <w:rPr>
          <w:rFonts w:ascii="Times New Roman" w:hAnsi="Times New Roman" w:cs="Times New Roman"/>
          <w:i/>
          <w:sz w:val="24"/>
          <w:szCs w:val="24"/>
        </w:rPr>
        <w:t>proportionality</w:t>
      </w:r>
      <w:proofErr w:type="spellEnd"/>
      <w:r w:rsidR="005D3618" w:rsidRPr="007B4FE2">
        <w:rPr>
          <w:rFonts w:ascii="Times New Roman" w:hAnsi="Times New Roman" w:cs="Times New Roman"/>
          <w:i/>
          <w:sz w:val="24"/>
          <w:szCs w:val="24"/>
        </w:rPr>
        <w:t xml:space="preserve"> </w:t>
      </w:r>
      <w:proofErr w:type="spellStart"/>
      <w:r w:rsidR="005D3618" w:rsidRPr="007B4FE2">
        <w:rPr>
          <w:rFonts w:ascii="Times New Roman" w:hAnsi="Times New Roman" w:cs="Times New Roman"/>
          <w:i/>
          <w:sz w:val="24"/>
          <w:szCs w:val="24"/>
        </w:rPr>
        <w:t>prohibits</w:t>
      </w:r>
      <w:proofErr w:type="spellEnd"/>
      <w:r w:rsidR="005D3618" w:rsidRPr="007B4FE2">
        <w:rPr>
          <w:rFonts w:ascii="Times New Roman" w:hAnsi="Times New Roman" w:cs="Times New Roman"/>
          <w:i/>
          <w:sz w:val="24"/>
          <w:szCs w:val="24"/>
        </w:rPr>
        <w:t xml:space="preserve"> the use of a </w:t>
      </w:r>
      <w:proofErr w:type="spellStart"/>
      <w:r w:rsidR="005D3618" w:rsidRPr="007B4FE2">
        <w:rPr>
          <w:rFonts w:ascii="Times New Roman" w:hAnsi="Times New Roman" w:cs="Times New Roman"/>
          <w:i/>
          <w:sz w:val="24"/>
          <w:szCs w:val="24"/>
        </w:rPr>
        <w:t>steam</w:t>
      </w:r>
      <w:proofErr w:type="spellEnd"/>
      <w:r w:rsidR="005D3618" w:rsidRPr="007B4FE2">
        <w:rPr>
          <w:rFonts w:ascii="Times New Roman" w:hAnsi="Times New Roman" w:cs="Times New Roman"/>
          <w:i/>
          <w:sz w:val="24"/>
          <w:szCs w:val="24"/>
        </w:rPr>
        <w:t xml:space="preserve"> </w:t>
      </w:r>
      <w:proofErr w:type="spellStart"/>
      <w:r w:rsidR="005D3618" w:rsidRPr="007B4FE2">
        <w:rPr>
          <w:rFonts w:ascii="Times New Roman" w:hAnsi="Times New Roman" w:cs="Times New Roman"/>
          <w:i/>
          <w:sz w:val="24"/>
          <w:szCs w:val="24"/>
        </w:rPr>
        <w:t>hammer</w:t>
      </w:r>
      <w:proofErr w:type="spellEnd"/>
      <w:r w:rsidR="005D3618" w:rsidRPr="007B4FE2">
        <w:rPr>
          <w:rFonts w:ascii="Times New Roman" w:hAnsi="Times New Roman" w:cs="Times New Roman"/>
          <w:i/>
          <w:sz w:val="24"/>
          <w:szCs w:val="24"/>
        </w:rPr>
        <w:t xml:space="preserve"> to crack a </w:t>
      </w:r>
      <w:proofErr w:type="spellStart"/>
      <w:r w:rsidR="005D3618" w:rsidRPr="007B4FE2">
        <w:rPr>
          <w:rFonts w:ascii="Times New Roman" w:hAnsi="Times New Roman" w:cs="Times New Roman"/>
          <w:i/>
          <w:sz w:val="24"/>
          <w:szCs w:val="24"/>
        </w:rPr>
        <w:t>nut</w:t>
      </w:r>
      <w:proofErr w:type="spellEnd"/>
      <w:r w:rsidR="005D3618" w:rsidRPr="007B4FE2">
        <w:rPr>
          <w:rFonts w:ascii="Times New Roman" w:hAnsi="Times New Roman" w:cs="Times New Roman"/>
          <w:i/>
          <w:sz w:val="24"/>
          <w:szCs w:val="24"/>
        </w:rPr>
        <w:t xml:space="preserve"> </w:t>
      </w:r>
      <w:proofErr w:type="spellStart"/>
      <w:r w:rsidR="005D3618" w:rsidRPr="007B4FE2">
        <w:rPr>
          <w:rFonts w:ascii="Times New Roman" w:hAnsi="Times New Roman" w:cs="Times New Roman"/>
          <w:i/>
          <w:sz w:val="24"/>
          <w:szCs w:val="24"/>
        </w:rPr>
        <w:t>if</w:t>
      </w:r>
      <w:proofErr w:type="spellEnd"/>
      <w:r w:rsidR="005D3618" w:rsidRPr="007B4FE2">
        <w:rPr>
          <w:rFonts w:ascii="Times New Roman" w:hAnsi="Times New Roman" w:cs="Times New Roman"/>
          <w:i/>
          <w:sz w:val="24"/>
          <w:szCs w:val="24"/>
        </w:rPr>
        <w:t xml:space="preserve"> a </w:t>
      </w:r>
      <w:proofErr w:type="spellStart"/>
      <w:r w:rsidR="005D3618" w:rsidRPr="007B4FE2">
        <w:rPr>
          <w:rFonts w:ascii="Times New Roman" w:hAnsi="Times New Roman" w:cs="Times New Roman"/>
          <w:i/>
          <w:sz w:val="24"/>
          <w:szCs w:val="24"/>
        </w:rPr>
        <w:t>nutcracker</w:t>
      </w:r>
      <w:proofErr w:type="spellEnd"/>
      <w:r w:rsidR="005D3618" w:rsidRPr="007B4FE2">
        <w:rPr>
          <w:rFonts w:ascii="Times New Roman" w:hAnsi="Times New Roman" w:cs="Times New Roman"/>
          <w:i/>
          <w:sz w:val="24"/>
          <w:szCs w:val="24"/>
        </w:rPr>
        <w:t xml:space="preserve"> </w:t>
      </w:r>
      <w:proofErr w:type="spellStart"/>
      <w:r w:rsidR="005D3618" w:rsidRPr="007B4FE2">
        <w:rPr>
          <w:rFonts w:ascii="Times New Roman" w:hAnsi="Times New Roman" w:cs="Times New Roman"/>
          <w:i/>
          <w:sz w:val="24"/>
          <w:szCs w:val="24"/>
        </w:rPr>
        <w:t>would</w:t>
      </w:r>
      <w:proofErr w:type="spellEnd"/>
      <w:r w:rsidR="005D3618" w:rsidRPr="007B4FE2">
        <w:rPr>
          <w:rFonts w:ascii="Times New Roman" w:hAnsi="Times New Roman" w:cs="Times New Roman"/>
          <w:i/>
          <w:sz w:val="24"/>
          <w:szCs w:val="24"/>
        </w:rPr>
        <w:t xml:space="preserve"> do </w:t>
      </w:r>
      <w:proofErr w:type="spellStart"/>
      <w:r w:rsidR="005D3618" w:rsidRPr="007B4FE2">
        <w:rPr>
          <w:rFonts w:ascii="Times New Roman" w:hAnsi="Times New Roman" w:cs="Times New Roman"/>
          <w:i/>
          <w:sz w:val="24"/>
          <w:szCs w:val="24"/>
        </w:rPr>
        <w:t>it</w:t>
      </w:r>
      <w:proofErr w:type="spellEnd"/>
      <w:r w:rsidR="005D3618" w:rsidRPr="007B4FE2">
        <w:rPr>
          <w:rFonts w:ascii="Times New Roman" w:hAnsi="Times New Roman" w:cs="Times New Roman"/>
          <w:i/>
          <w:sz w:val="24"/>
          <w:szCs w:val="24"/>
        </w:rPr>
        <w:t>”</w:t>
      </w:r>
      <w:r w:rsidR="005D3618" w:rsidRPr="007B4FE2">
        <w:rPr>
          <w:rFonts w:ascii="Times New Roman" w:hAnsi="Times New Roman" w:cs="Times New Roman"/>
          <w:sz w:val="24"/>
          <w:szCs w:val="24"/>
          <w:vertAlign w:val="superscript"/>
        </w:rPr>
        <w:footnoteReference w:id="87"/>
      </w:r>
      <w:r w:rsidR="0021533E">
        <w:rPr>
          <w:rFonts w:ascii="Times New Roman" w:hAnsi="Times New Roman" w:cs="Times New Roman"/>
          <w:sz w:val="24"/>
          <w:szCs w:val="24"/>
        </w:rPr>
        <w:t>) c</w:t>
      </w:r>
      <w:r w:rsidR="00D3524B" w:rsidRPr="007B4FE2">
        <w:rPr>
          <w:rFonts w:ascii="Times New Roman" w:hAnsi="Times New Roman" w:cs="Times New Roman"/>
          <w:sz w:val="24"/>
          <w:szCs w:val="24"/>
        </w:rPr>
        <w:t>iò nonostante</w:t>
      </w:r>
      <w:r w:rsidR="00CE181A" w:rsidRPr="007B4FE2">
        <w:rPr>
          <w:rFonts w:ascii="Times New Roman" w:hAnsi="Times New Roman" w:cs="Times New Roman"/>
          <w:sz w:val="24"/>
          <w:szCs w:val="24"/>
        </w:rPr>
        <w:t>,</w:t>
      </w:r>
      <w:r w:rsidR="00CF6416" w:rsidRPr="007B4FE2">
        <w:rPr>
          <w:rFonts w:ascii="Times New Roman" w:hAnsi="Times New Roman" w:cs="Times New Roman"/>
          <w:sz w:val="24"/>
          <w:szCs w:val="24"/>
        </w:rPr>
        <w:t xml:space="preserve"> </w:t>
      </w:r>
      <w:r w:rsidR="0021533E">
        <w:rPr>
          <w:rFonts w:ascii="Times New Roman" w:hAnsi="Times New Roman" w:cs="Times New Roman"/>
          <w:sz w:val="24"/>
          <w:szCs w:val="24"/>
        </w:rPr>
        <w:t xml:space="preserve">e </w:t>
      </w:r>
      <w:r w:rsidR="005D3618" w:rsidRPr="007B4FE2">
        <w:rPr>
          <w:rFonts w:ascii="Times New Roman" w:hAnsi="Times New Roman" w:cs="Times New Roman"/>
          <w:sz w:val="24"/>
          <w:szCs w:val="24"/>
        </w:rPr>
        <w:t>per decenni</w:t>
      </w:r>
      <w:r w:rsidR="0021533E">
        <w:rPr>
          <w:rFonts w:ascii="Times New Roman" w:hAnsi="Times New Roman" w:cs="Times New Roman"/>
          <w:sz w:val="24"/>
          <w:szCs w:val="24"/>
        </w:rPr>
        <w:t>,</w:t>
      </w:r>
      <w:r w:rsidR="00EE74BA">
        <w:rPr>
          <w:rFonts w:ascii="Times New Roman" w:hAnsi="Times New Roman" w:cs="Times New Roman"/>
          <w:sz w:val="24"/>
          <w:szCs w:val="24"/>
        </w:rPr>
        <w:t xml:space="preserve"> </w:t>
      </w:r>
      <w:r w:rsidR="003E00C3" w:rsidRPr="007B4FE2">
        <w:rPr>
          <w:rFonts w:ascii="Times New Roman" w:hAnsi="Times New Roman" w:cs="Times New Roman"/>
          <w:sz w:val="24"/>
          <w:szCs w:val="24"/>
        </w:rPr>
        <w:t>i giudici britannici si sono rifiutati di applicarlo</w:t>
      </w:r>
      <w:r w:rsidR="00CE181A" w:rsidRPr="007B4FE2">
        <w:rPr>
          <w:rFonts w:ascii="Times New Roman" w:hAnsi="Times New Roman" w:cs="Times New Roman"/>
          <w:sz w:val="24"/>
          <w:szCs w:val="24"/>
        </w:rPr>
        <w:t>,</w:t>
      </w:r>
      <w:r w:rsidR="0054473C" w:rsidRPr="007B4FE2">
        <w:rPr>
          <w:rFonts w:ascii="Times New Roman" w:hAnsi="Times New Roman" w:cs="Times New Roman"/>
          <w:sz w:val="24"/>
          <w:szCs w:val="24"/>
        </w:rPr>
        <w:t xml:space="preserve"> giudicandolo inutile</w:t>
      </w:r>
      <w:r w:rsidR="00796A9E" w:rsidRPr="007B4FE2">
        <w:rPr>
          <w:rFonts w:ascii="Times New Roman" w:hAnsi="Times New Roman" w:cs="Times New Roman"/>
          <w:sz w:val="24"/>
          <w:szCs w:val="24"/>
          <w:vertAlign w:val="superscript"/>
        </w:rPr>
        <w:footnoteReference w:id="88"/>
      </w:r>
      <w:r w:rsidR="0054473C" w:rsidRPr="007B4FE2">
        <w:rPr>
          <w:rFonts w:ascii="Times New Roman" w:hAnsi="Times New Roman" w:cs="Times New Roman"/>
          <w:sz w:val="24"/>
          <w:szCs w:val="24"/>
        </w:rPr>
        <w:t xml:space="preserve"> </w:t>
      </w:r>
      <w:r w:rsidR="00CE181A" w:rsidRPr="007B4FE2">
        <w:rPr>
          <w:rFonts w:ascii="Times New Roman" w:hAnsi="Times New Roman" w:cs="Times New Roman"/>
          <w:sz w:val="24"/>
          <w:szCs w:val="24"/>
        </w:rPr>
        <w:t>e/</w:t>
      </w:r>
      <w:r w:rsidR="0054473C" w:rsidRPr="007B4FE2">
        <w:rPr>
          <w:rFonts w:ascii="Times New Roman" w:hAnsi="Times New Roman" w:cs="Times New Roman"/>
          <w:sz w:val="24"/>
          <w:szCs w:val="24"/>
        </w:rPr>
        <w:t>o eccessivamente invasivo</w:t>
      </w:r>
      <w:r w:rsidR="00796A9E" w:rsidRPr="007B4FE2">
        <w:rPr>
          <w:rStyle w:val="Rimandonotaapidipagina"/>
          <w:rFonts w:ascii="Times New Roman" w:hAnsi="Times New Roman" w:cs="Times New Roman"/>
          <w:sz w:val="24"/>
          <w:szCs w:val="24"/>
        </w:rPr>
        <w:footnoteReference w:id="89"/>
      </w:r>
      <w:r w:rsidR="008D363A" w:rsidRPr="007B4FE2">
        <w:rPr>
          <w:rFonts w:ascii="Times New Roman" w:hAnsi="Times New Roman" w:cs="Times New Roman"/>
          <w:sz w:val="24"/>
          <w:szCs w:val="24"/>
        </w:rPr>
        <w:t>;</w:t>
      </w:r>
      <w:r w:rsidR="0054473C" w:rsidRPr="007B4FE2">
        <w:rPr>
          <w:rFonts w:ascii="Times New Roman" w:hAnsi="Times New Roman" w:cs="Times New Roman"/>
          <w:sz w:val="24"/>
          <w:szCs w:val="24"/>
        </w:rPr>
        <w:t xml:space="preserve"> e</w:t>
      </w:r>
      <w:r w:rsidR="00CF6416" w:rsidRPr="007B4FE2">
        <w:rPr>
          <w:rFonts w:ascii="Times New Roman" w:hAnsi="Times New Roman" w:cs="Times New Roman"/>
          <w:sz w:val="24"/>
          <w:szCs w:val="24"/>
        </w:rPr>
        <w:t xml:space="preserve"> </w:t>
      </w:r>
      <w:r w:rsidR="003E00C3" w:rsidRPr="007B4FE2">
        <w:rPr>
          <w:rFonts w:ascii="Times New Roman" w:hAnsi="Times New Roman" w:cs="Times New Roman"/>
          <w:sz w:val="24"/>
          <w:szCs w:val="24"/>
        </w:rPr>
        <w:t>preferendogli</w:t>
      </w:r>
      <w:r w:rsidR="005D3618" w:rsidRPr="007B4FE2">
        <w:rPr>
          <w:rFonts w:ascii="Times New Roman" w:hAnsi="Times New Roman" w:cs="Times New Roman"/>
          <w:sz w:val="24"/>
          <w:szCs w:val="24"/>
        </w:rPr>
        <w:t xml:space="preserve"> </w:t>
      </w:r>
      <w:r w:rsidR="0054473C" w:rsidRPr="007B4FE2">
        <w:rPr>
          <w:rFonts w:ascii="Times New Roman" w:hAnsi="Times New Roman" w:cs="Times New Roman"/>
          <w:sz w:val="24"/>
          <w:szCs w:val="24"/>
        </w:rPr>
        <w:t>i</w:t>
      </w:r>
      <w:r w:rsidR="003E00C3" w:rsidRPr="007B4FE2">
        <w:rPr>
          <w:rFonts w:ascii="Times New Roman" w:hAnsi="Times New Roman" w:cs="Times New Roman"/>
          <w:sz w:val="24"/>
          <w:szCs w:val="24"/>
        </w:rPr>
        <w:t xml:space="preserve">l </w:t>
      </w:r>
      <w:proofErr w:type="spellStart"/>
      <w:r w:rsidR="003E00C3" w:rsidRPr="007B4FE2">
        <w:rPr>
          <w:rFonts w:ascii="Times New Roman" w:hAnsi="Times New Roman" w:cs="Times New Roman"/>
          <w:sz w:val="24"/>
          <w:szCs w:val="24"/>
        </w:rPr>
        <w:t>nazionalissimo</w:t>
      </w:r>
      <w:proofErr w:type="spellEnd"/>
      <w:r w:rsidR="003E00C3" w:rsidRPr="007B4FE2">
        <w:rPr>
          <w:rFonts w:ascii="Times New Roman" w:hAnsi="Times New Roman" w:cs="Times New Roman"/>
          <w:sz w:val="24"/>
          <w:szCs w:val="24"/>
        </w:rPr>
        <w:t xml:space="preserve"> “</w:t>
      </w:r>
      <w:proofErr w:type="spellStart"/>
      <w:r w:rsidR="003E00C3" w:rsidRPr="007B4FE2">
        <w:rPr>
          <w:rFonts w:ascii="Times New Roman" w:hAnsi="Times New Roman" w:cs="Times New Roman"/>
          <w:i/>
          <w:sz w:val="24"/>
          <w:szCs w:val="24"/>
        </w:rPr>
        <w:t>Wednesbury</w:t>
      </w:r>
      <w:proofErr w:type="spellEnd"/>
      <w:r w:rsidR="003E00C3" w:rsidRPr="007B4FE2">
        <w:rPr>
          <w:rFonts w:ascii="Times New Roman" w:hAnsi="Times New Roman" w:cs="Times New Roman"/>
          <w:i/>
          <w:sz w:val="24"/>
          <w:szCs w:val="24"/>
        </w:rPr>
        <w:t>-Test</w:t>
      </w:r>
      <w:r w:rsidR="003E00C3" w:rsidRPr="007B4FE2">
        <w:rPr>
          <w:rFonts w:ascii="Times New Roman" w:hAnsi="Times New Roman" w:cs="Times New Roman"/>
          <w:sz w:val="24"/>
          <w:szCs w:val="24"/>
        </w:rPr>
        <w:t>” (</w:t>
      </w:r>
      <w:proofErr w:type="spellStart"/>
      <w:r w:rsidR="003E00C3" w:rsidRPr="007B4FE2">
        <w:rPr>
          <w:rFonts w:ascii="Times New Roman" w:hAnsi="Times New Roman" w:cs="Times New Roman"/>
          <w:i/>
          <w:sz w:val="24"/>
          <w:szCs w:val="24"/>
        </w:rPr>
        <w:t>Reasonableness</w:t>
      </w:r>
      <w:proofErr w:type="spellEnd"/>
      <w:r w:rsidR="003E00C3" w:rsidRPr="007B4FE2">
        <w:rPr>
          <w:rFonts w:ascii="Times New Roman" w:hAnsi="Times New Roman" w:cs="Times New Roman"/>
          <w:i/>
          <w:sz w:val="24"/>
          <w:szCs w:val="24"/>
        </w:rPr>
        <w:t>-test</w:t>
      </w:r>
      <w:r w:rsidR="003E00C3" w:rsidRPr="007B4FE2">
        <w:rPr>
          <w:rFonts w:ascii="Times New Roman" w:hAnsi="Times New Roman" w:cs="Times New Roman"/>
          <w:sz w:val="24"/>
          <w:szCs w:val="24"/>
        </w:rPr>
        <w:t>).</w:t>
      </w:r>
      <w:r w:rsidR="0054473C" w:rsidRPr="007B4FE2">
        <w:rPr>
          <w:rFonts w:ascii="Times New Roman" w:hAnsi="Times New Roman" w:cs="Times New Roman"/>
          <w:sz w:val="24"/>
          <w:szCs w:val="24"/>
        </w:rPr>
        <w:t xml:space="preserve"> </w:t>
      </w:r>
    </w:p>
    <w:p w:rsidR="00F802BE" w:rsidRPr="007B4FE2" w:rsidRDefault="00F45571" w:rsidP="007B4FE2">
      <w:pPr>
        <w:spacing w:after="0" w:line="360" w:lineRule="auto"/>
        <w:ind w:firstLine="567"/>
        <w:jc w:val="both"/>
        <w:rPr>
          <w:rFonts w:ascii="Times New Roman" w:hAnsi="Times New Roman" w:cs="Times New Roman"/>
          <w:sz w:val="24"/>
          <w:szCs w:val="24"/>
          <w:lang w:val="en-GB"/>
        </w:rPr>
      </w:pPr>
      <w:r w:rsidRPr="007B4FE2">
        <w:rPr>
          <w:rFonts w:ascii="Times New Roman" w:hAnsi="Times New Roman" w:cs="Times New Roman"/>
          <w:sz w:val="24"/>
          <w:szCs w:val="24"/>
        </w:rPr>
        <w:t>La situa</w:t>
      </w:r>
      <w:r w:rsidR="00D3524B" w:rsidRPr="007B4FE2">
        <w:rPr>
          <w:rFonts w:ascii="Times New Roman" w:hAnsi="Times New Roman" w:cs="Times New Roman"/>
          <w:sz w:val="24"/>
          <w:szCs w:val="24"/>
        </w:rPr>
        <w:t xml:space="preserve">zione si è </w:t>
      </w:r>
      <w:r w:rsidR="00CE181A" w:rsidRPr="007B4FE2">
        <w:rPr>
          <w:rFonts w:ascii="Times New Roman" w:hAnsi="Times New Roman" w:cs="Times New Roman"/>
          <w:sz w:val="24"/>
          <w:szCs w:val="24"/>
        </w:rPr>
        <w:t xml:space="preserve">però </w:t>
      </w:r>
      <w:r w:rsidR="00D3524B" w:rsidRPr="007B4FE2">
        <w:rPr>
          <w:rFonts w:ascii="Times New Roman" w:hAnsi="Times New Roman" w:cs="Times New Roman"/>
          <w:sz w:val="24"/>
          <w:szCs w:val="24"/>
        </w:rPr>
        <w:t>modificata a partire dalla seconda metà degli anni Novanta</w:t>
      </w:r>
      <w:r w:rsidR="0054473C" w:rsidRPr="007B4FE2">
        <w:rPr>
          <w:rFonts w:ascii="Times New Roman" w:hAnsi="Times New Roman" w:cs="Times New Roman"/>
          <w:sz w:val="24"/>
          <w:szCs w:val="24"/>
        </w:rPr>
        <w:t>;</w:t>
      </w:r>
      <w:r w:rsidR="00D3524B" w:rsidRPr="007B4FE2">
        <w:rPr>
          <w:rFonts w:ascii="Times New Roman" w:hAnsi="Times New Roman" w:cs="Times New Roman"/>
          <w:sz w:val="24"/>
          <w:szCs w:val="24"/>
        </w:rPr>
        <w:t xml:space="preserve"> e </w:t>
      </w:r>
      <w:r w:rsidRPr="007B4FE2">
        <w:rPr>
          <w:rFonts w:ascii="Times New Roman" w:hAnsi="Times New Roman" w:cs="Times New Roman"/>
          <w:sz w:val="24"/>
          <w:szCs w:val="24"/>
        </w:rPr>
        <w:t>in particolare dopo l’adozione de</w:t>
      </w:r>
      <w:r w:rsidR="00D3524B" w:rsidRPr="007B4FE2">
        <w:rPr>
          <w:rFonts w:ascii="Times New Roman" w:hAnsi="Times New Roman" w:cs="Times New Roman"/>
          <w:sz w:val="24"/>
          <w:szCs w:val="24"/>
        </w:rPr>
        <w:t>llo “</w:t>
      </w:r>
      <w:r w:rsidR="00D3524B" w:rsidRPr="007B4FE2">
        <w:rPr>
          <w:rFonts w:ascii="Times New Roman" w:hAnsi="Times New Roman" w:cs="Times New Roman"/>
          <w:i/>
          <w:sz w:val="24"/>
          <w:szCs w:val="24"/>
        </w:rPr>
        <w:t xml:space="preserve">Human </w:t>
      </w:r>
      <w:proofErr w:type="spellStart"/>
      <w:r w:rsidR="00D3524B" w:rsidRPr="007B4FE2">
        <w:rPr>
          <w:rFonts w:ascii="Times New Roman" w:hAnsi="Times New Roman" w:cs="Times New Roman"/>
          <w:i/>
          <w:sz w:val="24"/>
          <w:szCs w:val="24"/>
        </w:rPr>
        <w:t>rights</w:t>
      </w:r>
      <w:proofErr w:type="spellEnd"/>
      <w:r w:rsidR="00D3524B" w:rsidRPr="007B4FE2">
        <w:rPr>
          <w:rFonts w:ascii="Times New Roman" w:hAnsi="Times New Roman" w:cs="Times New Roman"/>
          <w:i/>
          <w:sz w:val="24"/>
          <w:szCs w:val="24"/>
        </w:rPr>
        <w:t xml:space="preserve"> </w:t>
      </w:r>
      <w:proofErr w:type="spellStart"/>
      <w:r w:rsidR="00D3524B" w:rsidRPr="007B4FE2">
        <w:rPr>
          <w:rFonts w:ascii="Times New Roman" w:hAnsi="Times New Roman" w:cs="Times New Roman"/>
          <w:i/>
          <w:sz w:val="24"/>
          <w:szCs w:val="24"/>
        </w:rPr>
        <w:t>act</w:t>
      </w:r>
      <w:proofErr w:type="spellEnd"/>
      <w:r w:rsidR="00D3524B" w:rsidRPr="007B4FE2">
        <w:rPr>
          <w:rFonts w:ascii="Times New Roman" w:hAnsi="Times New Roman" w:cs="Times New Roman"/>
          <w:sz w:val="24"/>
          <w:szCs w:val="24"/>
        </w:rPr>
        <w:t>” del 1998</w:t>
      </w:r>
      <w:r w:rsidR="00D3524B" w:rsidRPr="007B4FE2">
        <w:rPr>
          <w:rStyle w:val="Rimandonotaapidipagina"/>
          <w:rFonts w:ascii="Times New Roman" w:hAnsi="Times New Roman" w:cs="Times New Roman"/>
          <w:sz w:val="24"/>
          <w:szCs w:val="24"/>
        </w:rPr>
        <w:footnoteReference w:id="90"/>
      </w:r>
      <w:r w:rsidR="00D3524B" w:rsidRPr="007B4FE2">
        <w:rPr>
          <w:rFonts w:ascii="Times New Roman" w:hAnsi="Times New Roman" w:cs="Times New Roman"/>
          <w:sz w:val="24"/>
          <w:szCs w:val="24"/>
        </w:rPr>
        <w:t>, con cui è stata trasposta nel diritto interno</w:t>
      </w:r>
      <w:r w:rsidRPr="007B4FE2">
        <w:rPr>
          <w:rFonts w:ascii="Times New Roman" w:hAnsi="Times New Roman" w:cs="Times New Roman"/>
          <w:sz w:val="24"/>
          <w:szCs w:val="24"/>
        </w:rPr>
        <w:t xml:space="preserve"> la Convenzione Europea dei Diritti dell’Uomo (CEDU).</w:t>
      </w:r>
      <w:r w:rsidR="00CF6416" w:rsidRPr="007B4FE2">
        <w:rPr>
          <w:rFonts w:ascii="Times New Roman" w:hAnsi="Times New Roman" w:cs="Times New Roman"/>
          <w:sz w:val="24"/>
          <w:szCs w:val="24"/>
        </w:rPr>
        <w:t xml:space="preserve"> Sicché, attualmente</w:t>
      </w:r>
      <w:r w:rsidR="0054473C" w:rsidRPr="007B4FE2">
        <w:rPr>
          <w:rFonts w:ascii="Times New Roman" w:hAnsi="Times New Roman" w:cs="Times New Roman"/>
          <w:sz w:val="24"/>
          <w:szCs w:val="24"/>
        </w:rPr>
        <w:t xml:space="preserve"> </w:t>
      </w:r>
      <w:r w:rsidR="00167B87" w:rsidRPr="007B4FE2">
        <w:rPr>
          <w:rFonts w:ascii="Times New Roman" w:hAnsi="Times New Roman" w:cs="Times New Roman"/>
          <w:sz w:val="24"/>
          <w:szCs w:val="24"/>
        </w:rPr>
        <w:t xml:space="preserve">le </w:t>
      </w:r>
      <w:r w:rsidRPr="007B4FE2">
        <w:rPr>
          <w:rFonts w:ascii="Times New Roman" w:hAnsi="Times New Roman" w:cs="Times New Roman"/>
          <w:sz w:val="24"/>
          <w:szCs w:val="24"/>
        </w:rPr>
        <w:t xml:space="preserve">Corti britanniche </w:t>
      </w:r>
      <w:r w:rsidR="00167B87" w:rsidRPr="007B4FE2">
        <w:rPr>
          <w:rFonts w:ascii="Times New Roman" w:hAnsi="Times New Roman" w:cs="Times New Roman"/>
          <w:sz w:val="24"/>
          <w:szCs w:val="24"/>
        </w:rPr>
        <w:t>fanno ricorso</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sovente</w:t>
      </w:r>
      <w:r w:rsidR="00F802BE" w:rsidRPr="007B4FE2">
        <w:rPr>
          <w:rFonts w:ascii="Times New Roman" w:hAnsi="Times New Roman" w:cs="Times New Roman"/>
          <w:sz w:val="24"/>
          <w:szCs w:val="24"/>
        </w:rPr>
        <w:t>,</w:t>
      </w:r>
      <w:r w:rsidR="00CE181A" w:rsidRPr="007B4FE2">
        <w:rPr>
          <w:rFonts w:ascii="Times New Roman" w:hAnsi="Times New Roman" w:cs="Times New Roman"/>
          <w:sz w:val="24"/>
          <w:szCs w:val="24"/>
        </w:rPr>
        <w:t xml:space="preserve"> </w:t>
      </w:r>
      <w:r w:rsidR="00167B87" w:rsidRPr="007B4FE2">
        <w:rPr>
          <w:rFonts w:ascii="Times New Roman" w:hAnsi="Times New Roman" w:cs="Times New Roman"/>
          <w:sz w:val="24"/>
          <w:szCs w:val="24"/>
        </w:rPr>
        <w:t>anche</w:t>
      </w:r>
      <w:r w:rsidR="00CF6416" w:rsidRPr="007B4FE2">
        <w:rPr>
          <w:rFonts w:ascii="Times New Roman" w:hAnsi="Times New Roman" w:cs="Times New Roman"/>
          <w:sz w:val="24"/>
          <w:szCs w:val="24"/>
        </w:rPr>
        <w:t xml:space="preserve"> </w:t>
      </w:r>
      <w:r w:rsidR="00167B87" w:rsidRPr="007B4FE2">
        <w:rPr>
          <w:rFonts w:ascii="Times New Roman" w:hAnsi="Times New Roman" w:cs="Times New Roman"/>
          <w:sz w:val="24"/>
          <w:szCs w:val="24"/>
        </w:rPr>
        <w:t>con riguardo a</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fattispecie a mera rilevanza nazionale</w:t>
      </w:r>
      <w:r w:rsidR="00CE181A" w:rsidRPr="007B4FE2">
        <w:rPr>
          <w:rFonts w:ascii="Times New Roman" w:hAnsi="Times New Roman" w:cs="Times New Roman"/>
          <w:sz w:val="24"/>
          <w:szCs w:val="24"/>
        </w:rPr>
        <w:t>,</w:t>
      </w:r>
      <w:r w:rsidRPr="007B4FE2">
        <w:rPr>
          <w:rFonts w:ascii="Times New Roman" w:hAnsi="Times New Roman" w:cs="Times New Roman"/>
          <w:sz w:val="24"/>
          <w:szCs w:val="24"/>
        </w:rPr>
        <w:t xml:space="preserve"> </w:t>
      </w:r>
      <w:r w:rsidR="00167B87" w:rsidRPr="007B4FE2">
        <w:rPr>
          <w:rFonts w:ascii="Times New Roman" w:hAnsi="Times New Roman" w:cs="Times New Roman"/>
          <w:sz w:val="24"/>
          <w:szCs w:val="24"/>
        </w:rPr>
        <w:t>al principio di proporzionalità</w:t>
      </w:r>
      <w:r w:rsidR="00F802BE" w:rsidRPr="007B4FE2">
        <w:rPr>
          <w:rFonts w:ascii="Times New Roman" w:hAnsi="Times New Roman" w:cs="Times New Roman"/>
          <w:sz w:val="24"/>
          <w:szCs w:val="24"/>
        </w:rPr>
        <w:t>, che utilizzano</w:t>
      </w:r>
      <w:r w:rsidRPr="007B4FE2">
        <w:rPr>
          <w:rFonts w:ascii="Times New Roman" w:hAnsi="Times New Roman" w:cs="Times New Roman"/>
          <w:sz w:val="24"/>
          <w:szCs w:val="24"/>
        </w:rPr>
        <w:t xml:space="preserve"> al posto del “</w:t>
      </w:r>
      <w:proofErr w:type="spellStart"/>
      <w:r w:rsidRPr="007B4FE2">
        <w:rPr>
          <w:rFonts w:ascii="Times New Roman" w:hAnsi="Times New Roman" w:cs="Times New Roman"/>
          <w:i/>
          <w:sz w:val="24"/>
          <w:szCs w:val="24"/>
        </w:rPr>
        <w:t>Wednesbury</w:t>
      </w:r>
      <w:proofErr w:type="spellEnd"/>
      <w:r w:rsidRPr="007B4FE2">
        <w:rPr>
          <w:rFonts w:ascii="Times New Roman" w:hAnsi="Times New Roman" w:cs="Times New Roman"/>
          <w:i/>
          <w:sz w:val="24"/>
          <w:szCs w:val="24"/>
        </w:rPr>
        <w:t>-Test</w:t>
      </w:r>
      <w:r w:rsidRPr="007B4FE2">
        <w:rPr>
          <w:rFonts w:ascii="Times New Roman" w:hAnsi="Times New Roman" w:cs="Times New Roman"/>
          <w:sz w:val="24"/>
          <w:szCs w:val="24"/>
        </w:rPr>
        <w:t>”</w:t>
      </w:r>
      <w:r w:rsidR="00F802BE" w:rsidRPr="007B4FE2">
        <w:rPr>
          <w:rFonts w:ascii="Times New Roman" w:hAnsi="Times New Roman" w:cs="Times New Roman"/>
          <w:sz w:val="24"/>
          <w:szCs w:val="24"/>
        </w:rPr>
        <w:t xml:space="preserve">. </w:t>
      </w:r>
      <w:proofErr w:type="spellStart"/>
      <w:r w:rsidR="00F802BE" w:rsidRPr="007B4FE2">
        <w:rPr>
          <w:rFonts w:ascii="Times New Roman" w:hAnsi="Times New Roman" w:cs="Times New Roman"/>
          <w:sz w:val="24"/>
          <w:szCs w:val="24"/>
          <w:lang w:val="en-GB"/>
        </w:rPr>
        <w:t>Ciò</w:t>
      </w:r>
      <w:proofErr w:type="spellEnd"/>
      <w:r w:rsidR="00F802BE" w:rsidRPr="007B4FE2">
        <w:rPr>
          <w:rFonts w:ascii="Times New Roman" w:hAnsi="Times New Roman" w:cs="Times New Roman"/>
          <w:sz w:val="24"/>
          <w:szCs w:val="24"/>
          <w:lang w:val="en-GB"/>
        </w:rPr>
        <w:t xml:space="preserve"> </w:t>
      </w:r>
      <w:proofErr w:type="spellStart"/>
      <w:r w:rsidR="00167B87" w:rsidRPr="007B4FE2">
        <w:rPr>
          <w:rFonts w:ascii="Times New Roman" w:hAnsi="Times New Roman" w:cs="Times New Roman"/>
          <w:sz w:val="24"/>
          <w:szCs w:val="24"/>
          <w:lang w:val="en-GB"/>
        </w:rPr>
        <w:t>sul</w:t>
      </w:r>
      <w:proofErr w:type="spellEnd"/>
      <w:r w:rsidR="00167B87" w:rsidRPr="007B4FE2">
        <w:rPr>
          <w:rFonts w:ascii="Times New Roman" w:hAnsi="Times New Roman" w:cs="Times New Roman"/>
          <w:sz w:val="24"/>
          <w:szCs w:val="24"/>
          <w:lang w:val="en-GB"/>
        </w:rPr>
        <w:t xml:space="preserve"> </w:t>
      </w:r>
      <w:proofErr w:type="spellStart"/>
      <w:r w:rsidR="00167B87" w:rsidRPr="007B4FE2">
        <w:rPr>
          <w:rFonts w:ascii="Times New Roman" w:hAnsi="Times New Roman" w:cs="Times New Roman"/>
          <w:sz w:val="24"/>
          <w:szCs w:val="24"/>
          <w:lang w:val="en-GB"/>
        </w:rPr>
        <w:t>presupposto</w:t>
      </w:r>
      <w:proofErr w:type="spellEnd"/>
      <w:r w:rsidR="00167B87" w:rsidRPr="007B4FE2">
        <w:rPr>
          <w:rFonts w:ascii="Times New Roman" w:hAnsi="Times New Roman" w:cs="Times New Roman"/>
          <w:sz w:val="24"/>
          <w:szCs w:val="24"/>
          <w:lang w:val="en-GB"/>
        </w:rPr>
        <w:t xml:space="preserve"> </w:t>
      </w:r>
      <w:proofErr w:type="spellStart"/>
      <w:r w:rsidR="00167B87" w:rsidRPr="007B4FE2">
        <w:rPr>
          <w:rFonts w:ascii="Times New Roman" w:hAnsi="Times New Roman" w:cs="Times New Roman"/>
          <w:sz w:val="24"/>
          <w:szCs w:val="24"/>
          <w:lang w:val="en-GB"/>
        </w:rPr>
        <w:t>che</w:t>
      </w:r>
      <w:proofErr w:type="spellEnd"/>
      <w:r w:rsidR="00167B87" w:rsidRPr="007B4FE2">
        <w:rPr>
          <w:rFonts w:ascii="Times New Roman" w:hAnsi="Times New Roman" w:cs="Times New Roman"/>
          <w:sz w:val="24"/>
          <w:szCs w:val="24"/>
          <w:lang w:val="en-GB"/>
        </w:rPr>
        <w:t xml:space="preserve"> “</w:t>
      </w:r>
      <w:r w:rsidR="00112E31" w:rsidRPr="007B4FE2">
        <w:rPr>
          <w:rFonts w:ascii="Times New Roman" w:hAnsi="Times New Roman" w:cs="Times New Roman"/>
          <w:i/>
          <w:sz w:val="24"/>
          <w:szCs w:val="24"/>
          <w:lang w:val="en-GB"/>
        </w:rPr>
        <w:t xml:space="preserve">greater intensity of review is available under the </w:t>
      </w:r>
      <w:r w:rsidR="00112E31" w:rsidRPr="007B4FE2">
        <w:rPr>
          <w:rFonts w:ascii="Times New Roman" w:hAnsi="Times New Roman" w:cs="Times New Roman"/>
          <w:bCs/>
          <w:i/>
          <w:sz w:val="24"/>
          <w:szCs w:val="24"/>
          <w:lang w:val="en-GB"/>
        </w:rPr>
        <w:t>proportionality</w:t>
      </w:r>
      <w:r w:rsidR="00112E31" w:rsidRPr="007B4FE2">
        <w:rPr>
          <w:rFonts w:ascii="Times New Roman" w:hAnsi="Times New Roman" w:cs="Times New Roman"/>
          <w:i/>
          <w:sz w:val="24"/>
          <w:szCs w:val="24"/>
          <w:lang w:val="en-GB"/>
        </w:rPr>
        <w:t xml:space="preserve"> approach</w:t>
      </w:r>
      <w:r w:rsidR="00CF6416" w:rsidRPr="007B4FE2">
        <w:rPr>
          <w:rFonts w:ascii="Times New Roman" w:hAnsi="Times New Roman" w:cs="Times New Roman"/>
          <w:i/>
          <w:sz w:val="24"/>
          <w:szCs w:val="24"/>
          <w:lang w:val="en-GB"/>
        </w:rPr>
        <w:t xml:space="preserve"> </w:t>
      </w:r>
      <w:r w:rsidR="00167B87" w:rsidRPr="007B4FE2">
        <w:rPr>
          <w:rFonts w:ascii="Times New Roman" w:hAnsi="Times New Roman" w:cs="Times New Roman"/>
          <w:i/>
          <w:sz w:val="24"/>
          <w:szCs w:val="24"/>
          <w:lang w:val="en-GB"/>
        </w:rPr>
        <w:t xml:space="preserve">(…) </w:t>
      </w:r>
      <w:r w:rsidR="00112E31" w:rsidRPr="007B4FE2">
        <w:rPr>
          <w:rFonts w:ascii="Times New Roman" w:hAnsi="Times New Roman" w:cs="Times New Roman"/>
          <w:i/>
          <w:sz w:val="24"/>
          <w:szCs w:val="24"/>
          <w:lang w:val="en-GB"/>
        </w:rPr>
        <w:t xml:space="preserve">than is the case where the review is conducted on the traditional </w:t>
      </w:r>
      <w:r w:rsidR="00112E31" w:rsidRPr="007B4FE2">
        <w:rPr>
          <w:rFonts w:ascii="Times New Roman" w:hAnsi="Times New Roman" w:cs="Times New Roman"/>
          <w:bCs/>
          <w:i/>
          <w:iCs/>
          <w:sz w:val="24"/>
          <w:szCs w:val="24"/>
          <w:lang w:val="en-GB"/>
        </w:rPr>
        <w:t>Wednesbury</w:t>
      </w:r>
      <w:r w:rsidR="00112E31" w:rsidRPr="007B4FE2">
        <w:rPr>
          <w:rFonts w:ascii="Times New Roman" w:hAnsi="Times New Roman" w:cs="Times New Roman"/>
          <w:i/>
          <w:sz w:val="24"/>
          <w:szCs w:val="24"/>
          <w:lang w:val="en-GB"/>
        </w:rPr>
        <w:t xml:space="preserve"> grounds</w:t>
      </w:r>
      <w:r w:rsidR="00167B87" w:rsidRPr="007B4FE2">
        <w:rPr>
          <w:rFonts w:ascii="Times New Roman" w:hAnsi="Times New Roman" w:cs="Times New Roman"/>
          <w:sz w:val="24"/>
          <w:szCs w:val="24"/>
          <w:lang w:val="en-GB"/>
        </w:rPr>
        <w:t>”</w:t>
      </w:r>
      <w:r w:rsidR="00112E31" w:rsidRPr="007B4FE2">
        <w:rPr>
          <w:rFonts w:ascii="Times New Roman" w:hAnsi="Times New Roman" w:cs="Times New Roman"/>
          <w:sz w:val="24"/>
          <w:szCs w:val="24"/>
          <w:vertAlign w:val="superscript"/>
          <w:lang w:val="fr-FR"/>
        </w:rPr>
        <w:footnoteReference w:id="91"/>
      </w:r>
      <w:r w:rsidR="00112E31" w:rsidRPr="007B4FE2">
        <w:rPr>
          <w:rFonts w:ascii="Times New Roman" w:hAnsi="Times New Roman" w:cs="Times New Roman"/>
          <w:sz w:val="24"/>
          <w:szCs w:val="24"/>
          <w:lang w:val="en-GB"/>
        </w:rPr>
        <w:t xml:space="preserve">. </w:t>
      </w:r>
    </w:p>
    <w:p w:rsidR="00112E31" w:rsidRPr="007B4FE2" w:rsidRDefault="00F802BE"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In</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effetti,</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grazie all’utilizzo</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di un</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principio di proporzionalità costruito</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sul modello di quello applicato dai giudici UE</w:t>
      </w:r>
      <w:r w:rsidR="008D363A" w:rsidRPr="007B4FE2">
        <w:rPr>
          <w:rFonts w:ascii="Times New Roman" w:hAnsi="Times New Roman" w:cs="Times New Roman"/>
          <w:sz w:val="24"/>
          <w:szCs w:val="24"/>
        </w:rPr>
        <w:t>,</w:t>
      </w:r>
      <w:r w:rsidR="00DC2EB8" w:rsidRPr="007B4FE2">
        <w:rPr>
          <w:rFonts w:ascii="Times New Roman" w:hAnsi="Times New Roman" w:cs="Times New Roman"/>
          <w:sz w:val="24"/>
          <w:szCs w:val="24"/>
        </w:rPr>
        <w:t xml:space="preserve"> </w:t>
      </w:r>
      <w:r w:rsidRPr="007B4FE2">
        <w:rPr>
          <w:rFonts w:ascii="Times New Roman" w:hAnsi="Times New Roman" w:cs="Times New Roman"/>
          <w:sz w:val="24"/>
          <w:szCs w:val="24"/>
        </w:rPr>
        <w:t>il controllo giurisdizionale</w:t>
      </w:r>
      <w:r w:rsidR="00FE6124" w:rsidRPr="007B4FE2">
        <w:rPr>
          <w:rFonts w:ascii="Times New Roman" w:hAnsi="Times New Roman" w:cs="Times New Roman"/>
          <w:sz w:val="24"/>
          <w:szCs w:val="24"/>
        </w:rPr>
        <w:t xml:space="preserve"> </w:t>
      </w:r>
      <w:r w:rsidR="00CF6416" w:rsidRPr="007B4FE2">
        <w:rPr>
          <w:rFonts w:ascii="Times New Roman" w:hAnsi="Times New Roman" w:cs="Times New Roman"/>
          <w:sz w:val="24"/>
          <w:szCs w:val="24"/>
        </w:rPr>
        <w:t xml:space="preserve">operato dalle corti britanniche </w:t>
      </w:r>
      <w:r w:rsidRPr="007B4FE2">
        <w:rPr>
          <w:rFonts w:ascii="Times New Roman" w:hAnsi="Times New Roman" w:cs="Times New Roman"/>
          <w:sz w:val="24"/>
          <w:szCs w:val="24"/>
        </w:rPr>
        <w:t>risulta</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essere </w:t>
      </w:r>
      <w:r w:rsidR="00CF6416" w:rsidRPr="007B4FE2">
        <w:rPr>
          <w:rFonts w:ascii="Times New Roman" w:hAnsi="Times New Roman" w:cs="Times New Roman"/>
          <w:sz w:val="24"/>
          <w:szCs w:val="24"/>
        </w:rPr>
        <w:t xml:space="preserve">più </w:t>
      </w:r>
      <w:r w:rsidRPr="007B4FE2">
        <w:rPr>
          <w:rFonts w:ascii="Times New Roman" w:hAnsi="Times New Roman" w:cs="Times New Roman"/>
          <w:sz w:val="24"/>
          <w:szCs w:val="24"/>
        </w:rPr>
        <w:t>ampio ed approfondito</w:t>
      </w:r>
      <w:r w:rsidR="00112E31" w:rsidRPr="007B4FE2">
        <w:rPr>
          <w:rFonts w:ascii="Times New Roman" w:hAnsi="Times New Roman" w:cs="Times New Roman"/>
          <w:sz w:val="24"/>
          <w:szCs w:val="24"/>
          <w:vertAlign w:val="superscript"/>
          <w:lang w:val="fr-FR"/>
        </w:rPr>
        <w:footnoteReference w:id="92"/>
      </w:r>
      <w:r w:rsidRPr="007B4FE2">
        <w:rPr>
          <w:rFonts w:ascii="Times New Roman" w:hAnsi="Times New Roman" w:cs="Times New Roman"/>
          <w:sz w:val="24"/>
          <w:szCs w:val="24"/>
        </w:rPr>
        <w:t>; ed in alcune pronunzie</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si fa persino riferimento</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espresso all’esigenza che si tratti di un controllo di proporzionalità </w:t>
      </w:r>
      <w:proofErr w:type="gramStart"/>
      <w:r w:rsidRPr="007B4FE2">
        <w:rPr>
          <w:rFonts w:ascii="Times New Roman" w:hAnsi="Times New Roman" w:cs="Times New Roman"/>
          <w:sz w:val="24"/>
          <w:szCs w:val="24"/>
        </w:rPr>
        <w:t>“ a</w:t>
      </w:r>
      <w:proofErr w:type="gramEnd"/>
      <w:r w:rsidRPr="007B4FE2">
        <w:rPr>
          <w:rFonts w:ascii="Times New Roman" w:hAnsi="Times New Roman" w:cs="Times New Roman"/>
          <w:sz w:val="24"/>
          <w:szCs w:val="24"/>
        </w:rPr>
        <w:t xml:space="preserve"> tre gradini”</w:t>
      </w:r>
      <w:r w:rsidRPr="007B4FE2">
        <w:rPr>
          <w:rFonts w:ascii="Times New Roman" w:hAnsi="Times New Roman" w:cs="Times New Roman"/>
          <w:sz w:val="24"/>
          <w:szCs w:val="24"/>
          <w:vertAlign w:val="superscript"/>
          <w:lang w:val="fr-FR"/>
        </w:rPr>
        <w:footnoteReference w:id="93"/>
      </w:r>
      <w:r w:rsidRPr="007B4FE2">
        <w:rPr>
          <w:rFonts w:ascii="Times New Roman" w:hAnsi="Times New Roman" w:cs="Times New Roman"/>
          <w:sz w:val="24"/>
          <w:szCs w:val="24"/>
        </w:rPr>
        <w:t>. Al punto che, sulla base di un'analisi della giurisprudenza</w:t>
      </w:r>
      <w:r w:rsidR="00CF6416" w:rsidRPr="007B4FE2">
        <w:rPr>
          <w:rFonts w:ascii="Times New Roman" w:hAnsi="Times New Roman" w:cs="Times New Roman"/>
          <w:sz w:val="24"/>
          <w:szCs w:val="24"/>
        </w:rPr>
        <w:t xml:space="preserve"> post ado</w:t>
      </w:r>
      <w:r w:rsidR="009A4720" w:rsidRPr="007B4FE2">
        <w:rPr>
          <w:rFonts w:ascii="Times New Roman" w:hAnsi="Times New Roman" w:cs="Times New Roman"/>
          <w:sz w:val="24"/>
          <w:szCs w:val="24"/>
        </w:rPr>
        <w:t>zione dello</w:t>
      </w:r>
      <w:r w:rsidRPr="007B4FE2">
        <w:rPr>
          <w:rFonts w:ascii="Times New Roman" w:hAnsi="Times New Roman" w:cs="Times New Roman"/>
          <w:sz w:val="24"/>
          <w:szCs w:val="24"/>
        </w:rPr>
        <w:t xml:space="preserve"> '"</w:t>
      </w:r>
      <w:r w:rsidRPr="007B4FE2">
        <w:rPr>
          <w:rFonts w:ascii="Times New Roman" w:hAnsi="Times New Roman" w:cs="Times New Roman"/>
          <w:i/>
          <w:sz w:val="24"/>
          <w:szCs w:val="24"/>
        </w:rPr>
        <w:t xml:space="preserve">Human </w:t>
      </w:r>
      <w:proofErr w:type="spellStart"/>
      <w:r w:rsidRPr="007B4FE2">
        <w:rPr>
          <w:rFonts w:ascii="Times New Roman" w:hAnsi="Times New Roman" w:cs="Times New Roman"/>
          <w:i/>
          <w:sz w:val="24"/>
          <w:szCs w:val="24"/>
        </w:rPr>
        <w:t>Rights</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Act</w:t>
      </w:r>
      <w:proofErr w:type="spellEnd"/>
      <w:r w:rsidRPr="007B4FE2">
        <w:rPr>
          <w:rFonts w:ascii="Times New Roman" w:hAnsi="Times New Roman" w:cs="Times New Roman"/>
          <w:sz w:val="24"/>
          <w:szCs w:val="24"/>
        </w:rPr>
        <w:t>"</w:t>
      </w:r>
      <w:r w:rsidR="009A4720" w:rsidRPr="007B4FE2">
        <w:rPr>
          <w:rFonts w:ascii="Times New Roman" w:hAnsi="Times New Roman" w:cs="Times New Roman"/>
          <w:sz w:val="24"/>
          <w:szCs w:val="24"/>
        </w:rPr>
        <w:t>,</w:t>
      </w:r>
      <w:r w:rsidR="00CF6416" w:rsidRPr="007B4FE2">
        <w:rPr>
          <w:rFonts w:ascii="Times New Roman" w:hAnsi="Times New Roman" w:cs="Times New Roman"/>
          <w:sz w:val="24"/>
          <w:szCs w:val="24"/>
        </w:rPr>
        <w:t xml:space="preserve"> </w:t>
      </w:r>
      <w:r w:rsidR="009A4720" w:rsidRPr="007B4FE2">
        <w:rPr>
          <w:rFonts w:ascii="Times New Roman" w:hAnsi="Times New Roman" w:cs="Times New Roman"/>
          <w:sz w:val="24"/>
          <w:szCs w:val="24"/>
        </w:rPr>
        <w:t>in dottrina si è affermato che vi è stata una vera e propria</w:t>
      </w:r>
      <w:r w:rsidR="00CF6416" w:rsidRPr="007B4FE2">
        <w:rPr>
          <w:rFonts w:ascii="Times New Roman" w:hAnsi="Times New Roman" w:cs="Times New Roman"/>
          <w:sz w:val="24"/>
          <w:szCs w:val="24"/>
        </w:rPr>
        <w:t xml:space="preserve"> </w:t>
      </w:r>
      <w:r w:rsidR="009A4720" w:rsidRPr="007B4FE2">
        <w:rPr>
          <w:rFonts w:ascii="Times New Roman" w:hAnsi="Times New Roman" w:cs="Times New Roman"/>
          <w:sz w:val="24"/>
          <w:szCs w:val="24"/>
        </w:rPr>
        <w:t>trasformazione</w:t>
      </w:r>
      <w:r w:rsidR="00CF6416" w:rsidRPr="007B4FE2">
        <w:rPr>
          <w:rFonts w:ascii="Times New Roman" w:hAnsi="Times New Roman" w:cs="Times New Roman"/>
          <w:sz w:val="24"/>
          <w:szCs w:val="24"/>
        </w:rPr>
        <w:t xml:space="preserve"> </w:t>
      </w:r>
      <w:r w:rsidR="009A4720" w:rsidRPr="007B4FE2">
        <w:rPr>
          <w:rFonts w:ascii="Times New Roman" w:hAnsi="Times New Roman" w:cs="Times New Roman"/>
          <w:sz w:val="24"/>
          <w:szCs w:val="24"/>
        </w:rPr>
        <w:t xml:space="preserve">del diritto </w:t>
      </w:r>
      <w:r w:rsidRPr="007B4FE2">
        <w:rPr>
          <w:rFonts w:ascii="Times New Roman" w:hAnsi="Times New Roman" w:cs="Times New Roman"/>
          <w:sz w:val="24"/>
          <w:szCs w:val="24"/>
        </w:rPr>
        <w:t>britannico</w:t>
      </w:r>
      <w:r w:rsidR="008D363A" w:rsidRPr="007B4FE2">
        <w:rPr>
          <w:rFonts w:ascii="Times New Roman" w:hAnsi="Times New Roman" w:cs="Times New Roman"/>
          <w:sz w:val="24"/>
          <w:szCs w:val="24"/>
        </w:rPr>
        <w:t>;</w:t>
      </w:r>
      <w:r w:rsidRPr="007B4FE2">
        <w:rPr>
          <w:rFonts w:ascii="Times New Roman" w:hAnsi="Times New Roman" w:cs="Times New Roman"/>
          <w:sz w:val="24"/>
          <w:szCs w:val="24"/>
        </w:rPr>
        <w:t xml:space="preserve"> e che la proporzionalità è</w:t>
      </w:r>
      <w:r w:rsidR="00CF6416" w:rsidRPr="007B4FE2">
        <w:rPr>
          <w:rFonts w:ascii="Times New Roman" w:hAnsi="Times New Roman" w:cs="Times New Roman"/>
          <w:sz w:val="24"/>
          <w:szCs w:val="24"/>
        </w:rPr>
        <w:t xml:space="preserve"> </w:t>
      </w:r>
      <w:r w:rsidR="009A4720" w:rsidRPr="007B4FE2">
        <w:rPr>
          <w:rFonts w:ascii="Times New Roman" w:hAnsi="Times New Roman" w:cs="Times New Roman"/>
          <w:sz w:val="24"/>
          <w:szCs w:val="24"/>
        </w:rPr>
        <w:t xml:space="preserve">divenuta </w:t>
      </w:r>
      <w:r w:rsidRPr="007B4FE2">
        <w:rPr>
          <w:rFonts w:ascii="Times New Roman" w:hAnsi="Times New Roman" w:cs="Times New Roman"/>
          <w:sz w:val="24"/>
          <w:szCs w:val="24"/>
        </w:rPr>
        <w:t>ora</w:t>
      </w:r>
      <w:r w:rsidR="009A4720" w:rsidRPr="007B4FE2">
        <w:rPr>
          <w:rFonts w:ascii="Times New Roman" w:hAnsi="Times New Roman" w:cs="Times New Roman"/>
          <w:sz w:val="24"/>
          <w:szCs w:val="24"/>
        </w:rPr>
        <w:t>mai</w:t>
      </w:r>
      <w:r w:rsidRPr="007B4FE2">
        <w:rPr>
          <w:rFonts w:ascii="Times New Roman" w:hAnsi="Times New Roman" w:cs="Times New Roman"/>
          <w:sz w:val="24"/>
          <w:szCs w:val="24"/>
        </w:rPr>
        <w:t xml:space="preserve"> uno strumento obbligatorio di</w:t>
      </w:r>
      <w:r w:rsidR="00CF6416" w:rsidRPr="007B4FE2">
        <w:rPr>
          <w:rFonts w:ascii="Times New Roman" w:hAnsi="Times New Roman" w:cs="Times New Roman"/>
          <w:sz w:val="24"/>
          <w:szCs w:val="24"/>
        </w:rPr>
        <w:t xml:space="preserve"> </w:t>
      </w:r>
      <w:r w:rsidR="009A4720" w:rsidRPr="007B4FE2">
        <w:rPr>
          <w:rFonts w:ascii="Times New Roman" w:hAnsi="Times New Roman" w:cs="Times New Roman"/>
          <w:sz w:val="24"/>
          <w:szCs w:val="24"/>
        </w:rPr>
        <w:t xml:space="preserve">sindacato </w:t>
      </w:r>
      <w:r w:rsidRPr="007B4FE2">
        <w:rPr>
          <w:rFonts w:ascii="Times New Roman" w:hAnsi="Times New Roman" w:cs="Times New Roman"/>
          <w:sz w:val="24"/>
          <w:szCs w:val="24"/>
        </w:rPr>
        <w:t>giurisdizionale quando</w:t>
      </w:r>
      <w:r w:rsidR="00CF6416" w:rsidRPr="007B4FE2">
        <w:rPr>
          <w:rFonts w:ascii="Times New Roman" w:hAnsi="Times New Roman" w:cs="Times New Roman"/>
          <w:sz w:val="24"/>
          <w:szCs w:val="24"/>
        </w:rPr>
        <w:t xml:space="preserve"> vi </w:t>
      </w:r>
      <w:r w:rsidR="009A4720" w:rsidRPr="007B4FE2">
        <w:rPr>
          <w:rFonts w:ascii="Times New Roman" w:hAnsi="Times New Roman" w:cs="Times New Roman"/>
          <w:sz w:val="24"/>
          <w:szCs w:val="24"/>
        </w:rPr>
        <w:t xml:space="preserve">siano </w:t>
      </w:r>
      <w:r w:rsidRPr="007B4FE2">
        <w:rPr>
          <w:rFonts w:ascii="Times New Roman" w:hAnsi="Times New Roman" w:cs="Times New Roman"/>
          <w:sz w:val="24"/>
          <w:szCs w:val="24"/>
        </w:rPr>
        <w:t>in gioco</w:t>
      </w:r>
      <w:r w:rsidR="00CF6416" w:rsidRPr="007B4FE2">
        <w:rPr>
          <w:rFonts w:ascii="Times New Roman" w:hAnsi="Times New Roman" w:cs="Times New Roman"/>
          <w:sz w:val="24"/>
          <w:szCs w:val="24"/>
        </w:rPr>
        <w:t xml:space="preserve"> </w:t>
      </w:r>
      <w:r w:rsidR="00C61516" w:rsidRPr="007B4FE2">
        <w:rPr>
          <w:rFonts w:ascii="Times New Roman" w:hAnsi="Times New Roman" w:cs="Times New Roman"/>
          <w:sz w:val="24"/>
          <w:szCs w:val="24"/>
        </w:rPr>
        <w:t xml:space="preserve">dei </w:t>
      </w:r>
      <w:r w:rsidRPr="007B4FE2">
        <w:rPr>
          <w:rFonts w:ascii="Times New Roman" w:hAnsi="Times New Roman" w:cs="Times New Roman"/>
          <w:sz w:val="24"/>
          <w:szCs w:val="24"/>
        </w:rPr>
        <w:t>diritti</w:t>
      </w:r>
      <w:r w:rsidR="00112E31" w:rsidRPr="007B4FE2">
        <w:rPr>
          <w:rFonts w:ascii="Times New Roman" w:hAnsi="Times New Roman" w:cs="Times New Roman"/>
          <w:sz w:val="24"/>
          <w:szCs w:val="24"/>
          <w:vertAlign w:val="superscript"/>
          <w:lang w:val="fr-FR"/>
        </w:rPr>
        <w:footnoteReference w:id="94"/>
      </w:r>
      <w:r w:rsidR="00112E31" w:rsidRPr="007B4FE2">
        <w:rPr>
          <w:rFonts w:ascii="Times New Roman" w:hAnsi="Times New Roman" w:cs="Times New Roman"/>
          <w:sz w:val="24"/>
          <w:szCs w:val="24"/>
        </w:rPr>
        <w:t xml:space="preserve">. </w:t>
      </w:r>
    </w:p>
    <w:p w:rsidR="004E076D" w:rsidRPr="007B4FE2" w:rsidRDefault="00C61516"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Tuttavia, il</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contrasto/confronto fra</w:t>
      </w:r>
      <w:r w:rsidR="00CF6416" w:rsidRPr="007B4FE2">
        <w:rPr>
          <w:rFonts w:ascii="Times New Roman" w:hAnsi="Times New Roman" w:cs="Times New Roman"/>
          <w:sz w:val="24"/>
          <w:szCs w:val="24"/>
        </w:rPr>
        <w:t xml:space="preserve"> il</w:t>
      </w:r>
      <w:r w:rsidR="00FE6124" w:rsidRPr="007B4FE2">
        <w:rPr>
          <w:rFonts w:ascii="Times New Roman" w:hAnsi="Times New Roman" w:cs="Times New Roman"/>
          <w:sz w:val="24"/>
          <w:szCs w:val="24"/>
        </w:rPr>
        <w:t xml:space="preserve"> </w:t>
      </w:r>
      <w:r w:rsidR="00CF6416" w:rsidRPr="007B4FE2">
        <w:rPr>
          <w:rFonts w:ascii="Times New Roman" w:hAnsi="Times New Roman" w:cs="Times New Roman"/>
          <w:sz w:val="24"/>
          <w:szCs w:val="24"/>
        </w:rPr>
        <w:t xml:space="preserve">test di </w:t>
      </w:r>
      <w:r w:rsidRPr="007B4FE2">
        <w:rPr>
          <w:rFonts w:ascii="Times New Roman" w:hAnsi="Times New Roman" w:cs="Times New Roman"/>
          <w:sz w:val="24"/>
          <w:szCs w:val="24"/>
        </w:rPr>
        <w:t>ragionevolezza</w:t>
      </w:r>
      <w:r w:rsidR="00CF6416" w:rsidRPr="007B4FE2">
        <w:rPr>
          <w:rFonts w:ascii="Times New Roman" w:hAnsi="Times New Roman" w:cs="Times New Roman"/>
          <w:sz w:val="24"/>
          <w:szCs w:val="24"/>
        </w:rPr>
        <w:t xml:space="preserve"> </w:t>
      </w:r>
      <w:proofErr w:type="spellStart"/>
      <w:r w:rsidR="00CF6416" w:rsidRPr="007B4FE2">
        <w:rPr>
          <w:rFonts w:ascii="Times New Roman" w:hAnsi="Times New Roman" w:cs="Times New Roman"/>
          <w:i/>
          <w:sz w:val="24"/>
          <w:szCs w:val="24"/>
        </w:rPr>
        <w:t>Wednesbury</w:t>
      </w:r>
      <w:proofErr w:type="spellEnd"/>
      <w:r w:rsidR="00FE6124" w:rsidRPr="007B4FE2">
        <w:rPr>
          <w:rFonts w:ascii="Times New Roman" w:hAnsi="Times New Roman" w:cs="Times New Roman"/>
          <w:i/>
          <w:sz w:val="24"/>
          <w:szCs w:val="24"/>
        </w:rPr>
        <w:t xml:space="preserve"> </w:t>
      </w:r>
      <w:r w:rsidR="00CF6416" w:rsidRPr="007B4FE2">
        <w:rPr>
          <w:rFonts w:ascii="Times New Roman" w:hAnsi="Times New Roman" w:cs="Times New Roman"/>
          <w:sz w:val="24"/>
          <w:szCs w:val="24"/>
        </w:rPr>
        <w:t>e il</w:t>
      </w:r>
      <w:r w:rsidR="00FE6124" w:rsidRPr="007B4FE2">
        <w:rPr>
          <w:rFonts w:ascii="Times New Roman" w:hAnsi="Times New Roman" w:cs="Times New Roman"/>
          <w:sz w:val="24"/>
          <w:szCs w:val="24"/>
        </w:rPr>
        <w:t xml:space="preserve"> </w:t>
      </w:r>
      <w:r w:rsidR="00CF6416" w:rsidRPr="007B4FE2">
        <w:rPr>
          <w:rFonts w:ascii="Times New Roman" w:hAnsi="Times New Roman" w:cs="Times New Roman"/>
          <w:sz w:val="24"/>
          <w:szCs w:val="24"/>
        </w:rPr>
        <w:t>test di</w:t>
      </w:r>
      <w:r w:rsidR="00FE6124" w:rsidRPr="007B4FE2">
        <w:rPr>
          <w:rFonts w:ascii="Times New Roman" w:hAnsi="Times New Roman" w:cs="Times New Roman"/>
          <w:sz w:val="24"/>
          <w:szCs w:val="24"/>
        </w:rPr>
        <w:t xml:space="preserve"> </w:t>
      </w:r>
      <w:r w:rsidRPr="007B4FE2">
        <w:rPr>
          <w:rFonts w:ascii="Times New Roman" w:hAnsi="Times New Roman" w:cs="Times New Roman"/>
          <w:sz w:val="24"/>
          <w:szCs w:val="24"/>
        </w:rPr>
        <w:t>proporzionalità</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quali</w:t>
      </w:r>
      <w:r w:rsidR="00FE6124" w:rsidRPr="007B4FE2">
        <w:rPr>
          <w:rFonts w:ascii="Times New Roman" w:hAnsi="Times New Roman" w:cs="Times New Roman"/>
          <w:sz w:val="24"/>
          <w:szCs w:val="24"/>
        </w:rPr>
        <w:t xml:space="preserve"> </w:t>
      </w:r>
      <w:r w:rsidR="00CF6416" w:rsidRPr="007B4FE2">
        <w:rPr>
          <w:rFonts w:ascii="Times New Roman" w:hAnsi="Times New Roman" w:cs="Times New Roman"/>
          <w:sz w:val="24"/>
          <w:szCs w:val="24"/>
        </w:rPr>
        <w:t xml:space="preserve">strumenti di </w:t>
      </w:r>
      <w:r w:rsidRPr="007B4FE2">
        <w:rPr>
          <w:rFonts w:ascii="Times New Roman" w:hAnsi="Times New Roman" w:cs="Times New Roman"/>
          <w:sz w:val="24"/>
          <w:szCs w:val="24"/>
        </w:rPr>
        <w:t>sindacato giurisdizionale è tutt'altro che sopito</w:t>
      </w:r>
      <w:r w:rsidRPr="007B4FE2">
        <w:rPr>
          <w:rFonts w:ascii="Times New Roman" w:hAnsi="Times New Roman" w:cs="Times New Roman"/>
          <w:sz w:val="24"/>
          <w:szCs w:val="24"/>
          <w:vertAlign w:val="superscript"/>
          <w:lang w:val="fr-FR"/>
        </w:rPr>
        <w:footnoteReference w:id="95"/>
      </w:r>
      <w:r w:rsidRPr="007B4FE2">
        <w:rPr>
          <w:rFonts w:ascii="Times New Roman" w:hAnsi="Times New Roman" w:cs="Times New Roman"/>
          <w:sz w:val="24"/>
          <w:szCs w:val="24"/>
        </w:rPr>
        <w:t xml:space="preserve">. Anzi, </w:t>
      </w:r>
      <w:r w:rsidR="00271A36" w:rsidRPr="007B4FE2">
        <w:rPr>
          <w:rFonts w:ascii="Times New Roman" w:hAnsi="Times New Roman" w:cs="Times New Roman"/>
          <w:sz w:val="24"/>
          <w:szCs w:val="24"/>
        </w:rPr>
        <w:t>in verità</w:t>
      </w:r>
      <w:r w:rsidR="008D363A" w:rsidRPr="007B4FE2">
        <w:rPr>
          <w:rFonts w:ascii="Times New Roman" w:hAnsi="Times New Roman" w:cs="Times New Roman"/>
          <w:sz w:val="24"/>
          <w:szCs w:val="24"/>
        </w:rPr>
        <w:t>,</w:t>
      </w:r>
      <w:r w:rsidR="00271A36" w:rsidRPr="007B4FE2">
        <w:rPr>
          <w:rFonts w:ascii="Times New Roman" w:hAnsi="Times New Roman" w:cs="Times New Roman"/>
          <w:sz w:val="24"/>
          <w:szCs w:val="24"/>
        </w:rPr>
        <w:t xml:space="preserve"> </w:t>
      </w:r>
      <w:r w:rsidRPr="007B4FE2">
        <w:rPr>
          <w:rFonts w:ascii="Times New Roman" w:hAnsi="Times New Roman" w:cs="Times New Roman"/>
          <w:sz w:val="24"/>
          <w:szCs w:val="24"/>
        </w:rPr>
        <w:t>risulta essersi</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rinvigorito nella prospettiva dell'imminente </w:t>
      </w:r>
      <w:proofErr w:type="spellStart"/>
      <w:r w:rsidRPr="007B4FE2">
        <w:rPr>
          <w:rFonts w:ascii="Times New Roman" w:hAnsi="Times New Roman" w:cs="Times New Roman"/>
          <w:i/>
          <w:sz w:val="24"/>
          <w:szCs w:val="24"/>
        </w:rPr>
        <w:t>Brexit</w:t>
      </w:r>
      <w:proofErr w:type="spellEnd"/>
      <w:r w:rsidRPr="007B4FE2">
        <w:rPr>
          <w:rFonts w:ascii="Times New Roman" w:hAnsi="Times New Roman" w:cs="Times New Roman"/>
          <w:sz w:val="24"/>
          <w:szCs w:val="24"/>
        </w:rPr>
        <w:t>: che, almeno secondo alcuni commentatori,</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potrebbe essere </w:t>
      </w:r>
      <w:r w:rsidR="00801B3D" w:rsidRPr="007B4FE2">
        <w:rPr>
          <w:rFonts w:ascii="Times New Roman" w:hAnsi="Times New Roman" w:cs="Times New Roman"/>
          <w:sz w:val="24"/>
          <w:szCs w:val="24"/>
        </w:rPr>
        <w:t xml:space="preserve">un’opportunità </w:t>
      </w:r>
      <w:r w:rsidRPr="007B4FE2">
        <w:rPr>
          <w:rFonts w:ascii="Times New Roman" w:hAnsi="Times New Roman" w:cs="Times New Roman"/>
          <w:sz w:val="24"/>
          <w:szCs w:val="24"/>
        </w:rPr>
        <w:t>per potere intraprendere quella che è stata significativamente</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definita</w:t>
      </w:r>
      <w:r w:rsidR="00CF6416" w:rsidRPr="007B4FE2">
        <w:rPr>
          <w:rFonts w:ascii="Times New Roman" w:hAnsi="Times New Roman" w:cs="Times New Roman"/>
          <w:sz w:val="24"/>
          <w:szCs w:val="24"/>
        </w:rPr>
        <w:t xml:space="preserve"> </w:t>
      </w:r>
      <w:r w:rsidRPr="007B4FE2">
        <w:rPr>
          <w:rFonts w:ascii="Times New Roman" w:hAnsi="Times New Roman" w:cs="Times New Roman"/>
          <w:sz w:val="24"/>
          <w:szCs w:val="24"/>
        </w:rPr>
        <w:t>come un’opera di “</w:t>
      </w:r>
      <w:r w:rsidRPr="007B4FE2">
        <w:rPr>
          <w:rFonts w:ascii="Times New Roman" w:hAnsi="Times New Roman" w:cs="Times New Roman"/>
          <w:i/>
          <w:sz w:val="24"/>
          <w:szCs w:val="24"/>
        </w:rPr>
        <w:t>decontaminazione del diritto inglese</w:t>
      </w:r>
      <w:r w:rsidRPr="007B4FE2">
        <w:rPr>
          <w:rFonts w:ascii="Times New Roman" w:hAnsi="Times New Roman" w:cs="Times New Roman"/>
          <w:sz w:val="24"/>
          <w:szCs w:val="24"/>
        </w:rPr>
        <w:t>”</w:t>
      </w:r>
      <w:r w:rsidR="00112E31" w:rsidRPr="007B4FE2">
        <w:rPr>
          <w:rFonts w:ascii="Times New Roman" w:hAnsi="Times New Roman" w:cs="Times New Roman"/>
          <w:sz w:val="24"/>
          <w:szCs w:val="24"/>
          <w:vertAlign w:val="superscript"/>
          <w:lang w:val="fr-FR"/>
        </w:rPr>
        <w:footnoteReference w:id="96"/>
      </w:r>
      <w:r w:rsidR="00801B3D" w:rsidRPr="007B4FE2">
        <w:rPr>
          <w:rFonts w:ascii="Times New Roman" w:hAnsi="Times New Roman" w:cs="Times New Roman"/>
          <w:sz w:val="24"/>
          <w:szCs w:val="24"/>
        </w:rPr>
        <w:t xml:space="preserve"> (sigh!)</w:t>
      </w:r>
      <w:r w:rsidR="00112E31" w:rsidRPr="007B4FE2">
        <w:rPr>
          <w:rFonts w:ascii="Times New Roman" w:hAnsi="Times New Roman" w:cs="Times New Roman"/>
          <w:sz w:val="24"/>
          <w:szCs w:val="24"/>
        </w:rPr>
        <w:t xml:space="preserve">. </w:t>
      </w:r>
    </w:p>
    <w:p w:rsidR="00D710CE" w:rsidRPr="007B4FE2" w:rsidRDefault="00D710CE" w:rsidP="007B4FE2">
      <w:pPr>
        <w:spacing w:after="0" w:line="360" w:lineRule="auto"/>
        <w:ind w:firstLine="567"/>
        <w:jc w:val="both"/>
        <w:rPr>
          <w:rFonts w:ascii="Times New Roman" w:hAnsi="Times New Roman" w:cs="Times New Roman"/>
          <w:sz w:val="24"/>
          <w:szCs w:val="24"/>
        </w:rPr>
      </w:pPr>
      <w:r w:rsidRPr="007B4FE2">
        <w:rPr>
          <w:rFonts w:ascii="Times New Roman" w:hAnsi="Times New Roman" w:cs="Times New Roman"/>
          <w:sz w:val="24"/>
          <w:szCs w:val="24"/>
        </w:rPr>
        <w:t xml:space="preserve"> </w:t>
      </w:r>
    </w:p>
    <w:p w:rsidR="00294C59" w:rsidRPr="007B4FE2" w:rsidRDefault="00D710CE" w:rsidP="007B4FE2">
      <w:pPr>
        <w:spacing w:after="0" w:line="360" w:lineRule="auto"/>
        <w:ind w:firstLine="709"/>
        <w:jc w:val="both"/>
        <w:rPr>
          <w:rFonts w:ascii="Times New Roman" w:hAnsi="Times New Roman" w:cs="Times New Roman"/>
          <w:b/>
          <w:sz w:val="24"/>
          <w:szCs w:val="24"/>
        </w:rPr>
      </w:pPr>
      <w:r w:rsidRPr="007B4FE2">
        <w:rPr>
          <w:rFonts w:ascii="Times New Roman" w:hAnsi="Times New Roman" w:cs="Times New Roman"/>
          <w:b/>
          <w:sz w:val="24"/>
          <w:szCs w:val="24"/>
        </w:rPr>
        <w:t>5</w:t>
      </w:r>
      <w:r w:rsidR="00C31093" w:rsidRPr="007B4FE2">
        <w:rPr>
          <w:rFonts w:ascii="Times New Roman" w:hAnsi="Times New Roman" w:cs="Times New Roman"/>
          <w:b/>
          <w:sz w:val="24"/>
          <w:szCs w:val="24"/>
        </w:rPr>
        <w:t>. Il principio di proporzionalità</w:t>
      </w:r>
      <w:r w:rsidR="00294C59" w:rsidRPr="007B4FE2">
        <w:rPr>
          <w:rFonts w:ascii="Times New Roman" w:hAnsi="Times New Roman" w:cs="Times New Roman"/>
          <w:b/>
          <w:sz w:val="24"/>
          <w:szCs w:val="24"/>
        </w:rPr>
        <w:t xml:space="preserve"> nel</w:t>
      </w:r>
      <w:r w:rsidRPr="007B4FE2">
        <w:rPr>
          <w:rFonts w:ascii="Times New Roman" w:hAnsi="Times New Roman" w:cs="Times New Roman"/>
          <w:b/>
          <w:sz w:val="24"/>
          <w:szCs w:val="24"/>
        </w:rPr>
        <w:t xml:space="preserve"> </w:t>
      </w:r>
      <w:r w:rsidR="00294C59" w:rsidRPr="007B4FE2">
        <w:rPr>
          <w:rFonts w:ascii="Times New Roman" w:hAnsi="Times New Roman" w:cs="Times New Roman"/>
          <w:b/>
          <w:sz w:val="24"/>
          <w:szCs w:val="24"/>
        </w:rPr>
        <w:t>e oltre i confini del diritto UE: osservazioni conclusive.</w:t>
      </w:r>
    </w:p>
    <w:p w:rsidR="008C176C" w:rsidRPr="007B4FE2" w:rsidRDefault="008C176C" w:rsidP="007B4FE2">
      <w:pPr>
        <w:spacing w:after="0" w:line="360" w:lineRule="auto"/>
        <w:ind w:firstLine="709"/>
        <w:jc w:val="both"/>
        <w:rPr>
          <w:rFonts w:ascii="Times New Roman" w:hAnsi="Times New Roman" w:cs="Times New Roman"/>
          <w:b/>
          <w:sz w:val="24"/>
          <w:szCs w:val="24"/>
        </w:rPr>
      </w:pPr>
    </w:p>
    <w:p w:rsidR="008C176C" w:rsidRPr="007B4FE2" w:rsidRDefault="008C176C"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b/>
          <w:sz w:val="24"/>
          <w:szCs w:val="24"/>
        </w:rPr>
        <w:t>5.</w:t>
      </w:r>
      <w:r w:rsidR="002E6B5D" w:rsidRPr="007B4FE2">
        <w:rPr>
          <w:rFonts w:ascii="Times New Roman" w:hAnsi="Times New Roman" w:cs="Times New Roman"/>
          <w:b/>
          <w:sz w:val="24"/>
          <w:szCs w:val="24"/>
        </w:rPr>
        <w:t>1</w:t>
      </w:r>
      <w:r w:rsidRPr="007B4FE2">
        <w:rPr>
          <w:rFonts w:ascii="Times New Roman" w:hAnsi="Times New Roman" w:cs="Times New Roman"/>
          <w:b/>
          <w:sz w:val="24"/>
          <w:szCs w:val="24"/>
        </w:rPr>
        <w:t xml:space="preserve">. Il principio di proporzionalità anche oltre i confini del diritto UE? </w:t>
      </w:r>
    </w:p>
    <w:p w:rsidR="008C176C" w:rsidRPr="007B4FE2" w:rsidRDefault="00161782"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A margine (e in qualche maniera a completamento) del vasto dibattito sul tema che sta</w:t>
      </w:r>
      <w:r w:rsidR="00FE6124" w:rsidRPr="007B4FE2">
        <w:rPr>
          <w:rFonts w:ascii="Times New Roman" w:hAnsi="Times New Roman" w:cs="Times New Roman"/>
          <w:sz w:val="24"/>
          <w:szCs w:val="24"/>
        </w:rPr>
        <w:t xml:space="preserve"> </w:t>
      </w:r>
      <w:r w:rsidRPr="007B4FE2">
        <w:rPr>
          <w:rFonts w:ascii="Times New Roman" w:hAnsi="Times New Roman" w:cs="Times New Roman"/>
          <w:sz w:val="24"/>
          <w:szCs w:val="24"/>
        </w:rPr>
        <w:t>attraversando la dottrina britannica</w:t>
      </w:r>
      <w:r w:rsidR="00987585" w:rsidRPr="007B4FE2">
        <w:rPr>
          <w:rStyle w:val="Rimandonotaapidipagina"/>
          <w:rFonts w:ascii="Times New Roman" w:hAnsi="Times New Roman" w:cs="Times New Roman"/>
          <w:sz w:val="24"/>
          <w:szCs w:val="24"/>
        </w:rPr>
        <w:footnoteReference w:id="97"/>
      </w:r>
      <w:r w:rsidRPr="007B4FE2">
        <w:rPr>
          <w:rFonts w:ascii="Times New Roman" w:hAnsi="Times New Roman" w:cs="Times New Roman"/>
          <w:sz w:val="24"/>
          <w:szCs w:val="24"/>
        </w:rPr>
        <w:t>, l</w:t>
      </w:r>
      <w:r w:rsidR="008C176C" w:rsidRPr="007B4FE2">
        <w:rPr>
          <w:rFonts w:ascii="Times New Roman" w:hAnsi="Times New Roman" w:cs="Times New Roman"/>
          <w:sz w:val="24"/>
          <w:szCs w:val="24"/>
        </w:rPr>
        <w:t>a constatazione più interessante (e per molti versi entusiasmante) che ho avuto modo di fare nel corso dei miei più recenti</w:t>
      </w:r>
      <w:r w:rsidR="00FE6124" w:rsidRPr="007B4FE2">
        <w:rPr>
          <w:rFonts w:ascii="Times New Roman" w:hAnsi="Times New Roman" w:cs="Times New Roman"/>
          <w:sz w:val="24"/>
          <w:szCs w:val="24"/>
        </w:rPr>
        <w:t xml:space="preserve"> </w:t>
      </w:r>
      <w:r w:rsidR="008C176C" w:rsidRPr="007B4FE2">
        <w:rPr>
          <w:rFonts w:ascii="Times New Roman" w:hAnsi="Times New Roman" w:cs="Times New Roman"/>
          <w:sz w:val="24"/>
          <w:szCs w:val="24"/>
        </w:rPr>
        <w:t>studi sull’argomento</w:t>
      </w:r>
      <w:r w:rsidR="008C176C" w:rsidRPr="007B4FE2">
        <w:rPr>
          <w:rFonts w:ascii="Times New Roman" w:hAnsi="Times New Roman" w:cs="Times New Roman"/>
          <w:sz w:val="24"/>
          <w:szCs w:val="24"/>
          <w:vertAlign w:val="superscript"/>
        </w:rPr>
        <w:footnoteReference w:id="98"/>
      </w:r>
      <w:r w:rsidR="008C176C" w:rsidRPr="007B4FE2">
        <w:rPr>
          <w:rFonts w:ascii="Times New Roman" w:hAnsi="Times New Roman" w:cs="Times New Roman"/>
          <w:sz w:val="24"/>
          <w:szCs w:val="24"/>
        </w:rPr>
        <w:t xml:space="preserve"> è di come l’ambito di influenza</w:t>
      </w:r>
      <w:r w:rsidR="00FE6124" w:rsidRPr="007B4FE2">
        <w:rPr>
          <w:rFonts w:ascii="Times New Roman" w:hAnsi="Times New Roman" w:cs="Times New Roman"/>
          <w:sz w:val="24"/>
          <w:szCs w:val="24"/>
        </w:rPr>
        <w:t xml:space="preserve"> </w:t>
      </w:r>
      <w:r w:rsidR="00364A4F" w:rsidRPr="007B4FE2">
        <w:rPr>
          <w:rFonts w:ascii="Times New Roman" w:hAnsi="Times New Roman" w:cs="Times New Roman"/>
          <w:sz w:val="24"/>
          <w:szCs w:val="24"/>
        </w:rPr>
        <w:t xml:space="preserve">del principio di </w:t>
      </w:r>
      <w:r w:rsidR="008C176C" w:rsidRPr="007B4FE2">
        <w:rPr>
          <w:rFonts w:ascii="Times New Roman" w:hAnsi="Times New Roman" w:cs="Times New Roman"/>
          <w:sz w:val="24"/>
          <w:szCs w:val="24"/>
        </w:rPr>
        <w:t xml:space="preserve">proporzionalità si sia </w:t>
      </w:r>
      <w:r w:rsidR="00364A4F" w:rsidRPr="007B4FE2">
        <w:rPr>
          <w:rFonts w:ascii="Times New Roman" w:hAnsi="Times New Roman" w:cs="Times New Roman"/>
          <w:sz w:val="24"/>
          <w:szCs w:val="24"/>
        </w:rPr>
        <w:t xml:space="preserve">più di recente </w:t>
      </w:r>
      <w:r w:rsidR="008C176C" w:rsidRPr="007B4FE2">
        <w:rPr>
          <w:rFonts w:ascii="Times New Roman" w:hAnsi="Times New Roman" w:cs="Times New Roman"/>
          <w:sz w:val="24"/>
          <w:szCs w:val="24"/>
        </w:rPr>
        <w:t>esteso</w:t>
      </w:r>
      <w:r w:rsidR="00FE6124" w:rsidRPr="007B4FE2">
        <w:rPr>
          <w:rFonts w:ascii="Times New Roman" w:hAnsi="Times New Roman" w:cs="Times New Roman"/>
          <w:sz w:val="24"/>
          <w:szCs w:val="24"/>
        </w:rPr>
        <w:t xml:space="preserve"> </w:t>
      </w:r>
      <w:r w:rsidR="008C176C" w:rsidRPr="007B4FE2">
        <w:rPr>
          <w:rFonts w:ascii="Times New Roman" w:hAnsi="Times New Roman" w:cs="Times New Roman"/>
          <w:sz w:val="24"/>
          <w:szCs w:val="24"/>
        </w:rPr>
        <w:t>anche</w:t>
      </w:r>
      <w:r w:rsidR="00FE6124" w:rsidRPr="007B4FE2">
        <w:rPr>
          <w:rFonts w:ascii="Times New Roman" w:hAnsi="Times New Roman" w:cs="Times New Roman"/>
          <w:sz w:val="24"/>
          <w:szCs w:val="24"/>
        </w:rPr>
        <w:t xml:space="preserve"> </w:t>
      </w:r>
      <w:r w:rsidR="008C176C" w:rsidRPr="007B4FE2">
        <w:rPr>
          <w:rFonts w:ascii="Times New Roman" w:hAnsi="Times New Roman" w:cs="Times New Roman"/>
          <w:sz w:val="24"/>
          <w:szCs w:val="24"/>
        </w:rPr>
        <w:t>ben oltre i confini dell’Unione europea.</w:t>
      </w:r>
    </w:p>
    <w:p w:rsidR="008C176C" w:rsidRPr="007B4FE2" w:rsidRDefault="008C176C"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Esiste infatti un intenso (ed interessantissimo) dibattito</w:t>
      </w:r>
      <w:r w:rsidR="00FE6124" w:rsidRPr="007B4FE2">
        <w:rPr>
          <w:rFonts w:ascii="Times New Roman" w:hAnsi="Times New Roman" w:cs="Times New Roman"/>
          <w:sz w:val="24"/>
          <w:szCs w:val="24"/>
        </w:rPr>
        <w:t xml:space="preserve"> </w:t>
      </w:r>
      <w:r w:rsidR="00C80258" w:rsidRPr="007B4FE2">
        <w:rPr>
          <w:rFonts w:ascii="Times New Roman" w:hAnsi="Times New Roman" w:cs="Times New Roman"/>
          <w:sz w:val="24"/>
          <w:szCs w:val="24"/>
        </w:rPr>
        <w:t xml:space="preserve">anche </w:t>
      </w:r>
      <w:r w:rsidRPr="007B4FE2">
        <w:rPr>
          <w:rFonts w:ascii="Times New Roman" w:hAnsi="Times New Roman" w:cs="Times New Roman"/>
          <w:sz w:val="24"/>
          <w:szCs w:val="24"/>
        </w:rPr>
        <w:t xml:space="preserve">tra gli studiosi d’oltreoceano (in Australia, </w:t>
      </w:r>
      <w:r w:rsidR="00C80258" w:rsidRPr="007B4FE2">
        <w:rPr>
          <w:rFonts w:ascii="Times New Roman" w:hAnsi="Times New Roman" w:cs="Times New Roman"/>
          <w:sz w:val="24"/>
          <w:szCs w:val="24"/>
        </w:rPr>
        <w:t xml:space="preserve">Canada, ma anche </w:t>
      </w:r>
      <w:r w:rsidRPr="007B4FE2">
        <w:rPr>
          <w:rFonts w:ascii="Times New Roman" w:hAnsi="Times New Roman" w:cs="Times New Roman"/>
          <w:sz w:val="24"/>
          <w:szCs w:val="24"/>
        </w:rPr>
        <w:t>Nuova Zelanda</w:t>
      </w:r>
      <w:r w:rsidR="00987585" w:rsidRPr="007B4FE2">
        <w:rPr>
          <w:rFonts w:ascii="Times New Roman" w:hAnsi="Times New Roman" w:cs="Times New Roman"/>
          <w:sz w:val="24"/>
          <w:szCs w:val="24"/>
          <w:vertAlign w:val="superscript"/>
          <w:lang w:val="en-US"/>
        </w:rPr>
        <w:footnoteReference w:id="99"/>
      </w:r>
      <w:r w:rsidRPr="007B4FE2">
        <w:rPr>
          <w:rFonts w:ascii="Times New Roman" w:hAnsi="Times New Roman" w:cs="Times New Roman"/>
          <w:sz w:val="24"/>
          <w:szCs w:val="24"/>
        </w:rPr>
        <w:t xml:space="preserve">), sul se il principio di proporzionalità debba divenire un principio generale, da applicarsi al sindacato giurisdizionale sulle decisioni normative ed amministrative adottate dai pubblici poteri, che prenderebbe il posto del “farraginoso e poco soddisfacente” test di ragionevolezza </w:t>
      </w:r>
      <w:proofErr w:type="spellStart"/>
      <w:r w:rsidRPr="007B4FE2">
        <w:rPr>
          <w:rFonts w:ascii="Times New Roman" w:hAnsi="Times New Roman" w:cs="Times New Roman"/>
          <w:i/>
          <w:sz w:val="24"/>
          <w:szCs w:val="24"/>
        </w:rPr>
        <w:t>Wednesbury</w:t>
      </w:r>
      <w:proofErr w:type="spellEnd"/>
      <w:r w:rsidRPr="007B4FE2">
        <w:rPr>
          <w:rFonts w:ascii="Times New Roman" w:hAnsi="Times New Roman" w:cs="Times New Roman"/>
          <w:sz w:val="24"/>
          <w:szCs w:val="24"/>
        </w:rPr>
        <w:t xml:space="preserve"> di tradizione britannica</w:t>
      </w:r>
      <w:r w:rsidRPr="007B4FE2">
        <w:rPr>
          <w:rFonts w:ascii="Times New Roman" w:hAnsi="Times New Roman" w:cs="Times New Roman"/>
          <w:sz w:val="24"/>
          <w:szCs w:val="24"/>
          <w:vertAlign w:val="superscript"/>
        </w:rPr>
        <w:footnoteReference w:id="100"/>
      </w:r>
      <w:r w:rsidRPr="007B4FE2">
        <w:rPr>
          <w:rFonts w:ascii="Times New Roman" w:hAnsi="Times New Roman" w:cs="Times New Roman"/>
          <w:sz w:val="24"/>
          <w:szCs w:val="24"/>
        </w:rPr>
        <w:t>.</w:t>
      </w:r>
    </w:p>
    <w:p w:rsidR="008C176C" w:rsidRPr="007B4FE2" w:rsidRDefault="008C176C"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Riservandomi di approfondire meglio il tema altrove, mi limito qui ad osservare, conclusivamente, che l’importazione del principio di proporzionalità oltreoceano è stata facilitata dalla circostanza che, nell'applicare i principi generali del diritto, la Corte di giustizia UE segue essenzialmente gli schemi sviluppati dalle Corti Supreme dei paesi continentali europei (a cominciare dal </w:t>
      </w:r>
      <w:proofErr w:type="spellStart"/>
      <w:r w:rsidRPr="007B4FE2">
        <w:rPr>
          <w:rFonts w:ascii="Times New Roman" w:hAnsi="Times New Roman" w:cs="Times New Roman"/>
          <w:i/>
          <w:sz w:val="24"/>
          <w:szCs w:val="24"/>
        </w:rPr>
        <w:t>Conseil</w:t>
      </w:r>
      <w:proofErr w:type="spellEnd"/>
      <w:r w:rsidRPr="007B4FE2">
        <w:rPr>
          <w:rFonts w:ascii="Times New Roman" w:hAnsi="Times New Roman" w:cs="Times New Roman"/>
          <w:i/>
          <w:sz w:val="24"/>
          <w:szCs w:val="24"/>
        </w:rPr>
        <w:t xml:space="preserve"> d'</w:t>
      </w:r>
      <w:proofErr w:type="spellStart"/>
      <w:r w:rsidRPr="007B4FE2">
        <w:rPr>
          <w:rFonts w:ascii="Times New Roman" w:hAnsi="Times New Roman" w:cs="Times New Roman"/>
          <w:i/>
          <w:sz w:val="24"/>
          <w:szCs w:val="24"/>
        </w:rPr>
        <w:t>État</w:t>
      </w:r>
      <w:proofErr w:type="spellEnd"/>
      <w:r w:rsidRPr="007B4FE2">
        <w:rPr>
          <w:rFonts w:ascii="Times New Roman" w:hAnsi="Times New Roman" w:cs="Times New Roman"/>
          <w:sz w:val="24"/>
          <w:szCs w:val="24"/>
        </w:rPr>
        <w:t xml:space="preserve"> francese) da circa un secolo.</w:t>
      </w:r>
      <w:r w:rsidR="008D363A" w:rsidRPr="007B4FE2">
        <w:rPr>
          <w:rFonts w:ascii="Times New Roman" w:hAnsi="Times New Roman" w:cs="Times New Roman"/>
          <w:sz w:val="24"/>
          <w:szCs w:val="24"/>
        </w:rPr>
        <w:t xml:space="preserve"> </w:t>
      </w:r>
      <w:r w:rsidRPr="007B4FE2">
        <w:rPr>
          <w:rFonts w:ascii="Times New Roman" w:hAnsi="Times New Roman" w:cs="Times New Roman"/>
          <w:sz w:val="24"/>
          <w:szCs w:val="24"/>
        </w:rPr>
        <w:t>Schemi che somigliano</w:t>
      </w:r>
      <w:r w:rsidR="008D363A" w:rsidRPr="007B4FE2">
        <w:rPr>
          <w:rFonts w:ascii="Times New Roman" w:hAnsi="Times New Roman" w:cs="Times New Roman"/>
          <w:sz w:val="24"/>
          <w:szCs w:val="24"/>
        </w:rPr>
        <w:t>,</w:t>
      </w:r>
      <w:r w:rsidRPr="007B4FE2">
        <w:rPr>
          <w:rFonts w:ascii="Times New Roman" w:hAnsi="Times New Roman" w:cs="Times New Roman"/>
          <w:sz w:val="24"/>
          <w:szCs w:val="24"/>
        </w:rPr>
        <w:t xml:space="preserve"> in una certa misura</w:t>
      </w:r>
      <w:r w:rsidR="008D363A" w:rsidRPr="007B4FE2">
        <w:rPr>
          <w:rFonts w:ascii="Times New Roman" w:hAnsi="Times New Roman" w:cs="Times New Roman"/>
          <w:sz w:val="24"/>
          <w:szCs w:val="24"/>
        </w:rPr>
        <w:t>,</w:t>
      </w:r>
      <w:r w:rsidRPr="007B4FE2">
        <w:rPr>
          <w:rFonts w:ascii="Times New Roman" w:hAnsi="Times New Roman" w:cs="Times New Roman"/>
          <w:sz w:val="24"/>
          <w:szCs w:val="24"/>
        </w:rPr>
        <w:t xml:space="preserve"> all'uso dei principi di </w:t>
      </w:r>
      <w:proofErr w:type="spellStart"/>
      <w:r w:rsidRPr="007B4FE2">
        <w:rPr>
          <w:rFonts w:ascii="Times New Roman" w:hAnsi="Times New Roman" w:cs="Times New Roman"/>
          <w:i/>
          <w:sz w:val="24"/>
          <w:szCs w:val="24"/>
        </w:rPr>
        <w:t>natural</w:t>
      </w:r>
      <w:proofErr w:type="spellEnd"/>
      <w:r w:rsidRPr="007B4FE2">
        <w:rPr>
          <w:rFonts w:ascii="Times New Roman" w:hAnsi="Times New Roman" w:cs="Times New Roman"/>
          <w:i/>
          <w:sz w:val="24"/>
          <w:szCs w:val="24"/>
        </w:rPr>
        <w:t xml:space="preserve"> </w:t>
      </w:r>
      <w:proofErr w:type="spellStart"/>
      <w:r w:rsidRPr="007B4FE2">
        <w:rPr>
          <w:rFonts w:ascii="Times New Roman" w:hAnsi="Times New Roman" w:cs="Times New Roman"/>
          <w:i/>
          <w:sz w:val="24"/>
          <w:szCs w:val="24"/>
        </w:rPr>
        <w:t>justice</w:t>
      </w:r>
      <w:proofErr w:type="spellEnd"/>
      <w:r w:rsidRPr="007B4FE2">
        <w:rPr>
          <w:rFonts w:ascii="Times New Roman" w:hAnsi="Times New Roman" w:cs="Times New Roman"/>
          <w:i/>
          <w:sz w:val="24"/>
          <w:szCs w:val="24"/>
        </w:rPr>
        <w:t xml:space="preserve"> </w:t>
      </w:r>
      <w:r w:rsidRPr="007B4FE2">
        <w:rPr>
          <w:rFonts w:ascii="Times New Roman" w:hAnsi="Times New Roman" w:cs="Times New Roman"/>
          <w:sz w:val="24"/>
          <w:szCs w:val="24"/>
        </w:rPr>
        <w:t xml:space="preserve">applicati da parte dei tribunali britannici, principalmente dalla </w:t>
      </w:r>
      <w:r w:rsidRPr="007B4FE2">
        <w:rPr>
          <w:rFonts w:ascii="Times New Roman" w:hAnsi="Times New Roman" w:cs="Times New Roman"/>
          <w:i/>
          <w:sz w:val="24"/>
          <w:szCs w:val="24"/>
        </w:rPr>
        <w:t xml:space="preserve">House of </w:t>
      </w:r>
      <w:proofErr w:type="spellStart"/>
      <w:r w:rsidRPr="007B4FE2">
        <w:rPr>
          <w:rFonts w:ascii="Times New Roman" w:hAnsi="Times New Roman" w:cs="Times New Roman"/>
          <w:i/>
          <w:sz w:val="24"/>
          <w:szCs w:val="24"/>
        </w:rPr>
        <w:t>Lords</w:t>
      </w:r>
      <w:proofErr w:type="spellEnd"/>
      <w:r w:rsidRPr="007B4FE2">
        <w:rPr>
          <w:rFonts w:ascii="Times New Roman" w:hAnsi="Times New Roman" w:cs="Times New Roman"/>
          <w:sz w:val="24"/>
          <w:szCs w:val="24"/>
        </w:rPr>
        <w:t xml:space="preserve">, nello stesso periodo. E che sono ovviamente stati importati dalle giurisdizioni di </w:t>
      </w:r>
      <w:r w:rsidRPr="007B4FE2">
        <w:rPr>
          <w:rFonts w:ascii="Times New Roman" w:hAnsi="Times New Roman" w:cs="Times New Roman"/>
          <w:i/>
          <w:sz w:val="24"/>
          <w:szCs w:val="24"/>
        </w:rPr>
        <w:t>Common Law</w:t>
      </w:r>
      <w:r w:rsidRPr="007B4FE2">
        <w:rPr>
          <w:rFonts w:ascii="Times New Roman" w:hAnsi="Times New Roman" w:cs="Times New Roman"/>
          <w:sz w:val="24"/>
          <w:szCs w:val="24"/>
        </w:rPr>
        <w:t xml:space="preserve"> d’oltreoceano.</w:t>
      </w:r>
    </w:p>
    <w:p w:rsidR="00294C59" w:rsidRPr="007B4FE2" w:rsidRDefault="00294C59" w:rsidP="007B4FE2">
      <w:pPr>
        <w:spacing w:after="0" w:line="360" w:lineRule="auto"/>
        <w:ind w:firstLine="709"/>
        <w:jc w:val="both"/>
        <w:rPr>
          <w:rFonts w:ascii="Times New Roman" w:hAnsi="Times New Roman" w:cs="Times New Roman"/>
          <w:sz w:val="24"/>
          <w:szCs w:val="24"/>
        </w:rPr>
      </w:pPr>
    </w:p>
    <w:p w:rsidR="00355DEA" w:rsidRPr="007B4FE2" w:rsidRDefault="00D710CE" w:rsidP="007B4FE2">
      <w:pPr>
        <w:spacing w:after="0" w:line="360" w:lineRule="auto"/>
        <w:ind w:firstLine="709"/>
        <w:jc w:val="both"/>
        <w:rPr>
          <w:rFonts w:ascii="Times New Roman" w:hAnsi="Times New Roman" w:cs="Times New Roman"/>
          <w:b/>
          <w:sz w:val="24"/>
          <w:szCs w:val="24"/>
        </w:rPr>
      </w:pPr>
      <w:r w:rsidRPr="007B4FE2">
        <w:rPr>
          <w:rFonts w:ascii="Times New Roman" w:hAnsi="Times New Roman" w:cs="Times New Roman"/>
          <w:b/>
          <w:sz w:val="24"/>
          <w:szCs w:val="24"/>
        </w:rPr>
        <w:t>5</w:t>
      </w:r>
      <w:r w:rsidR="002F1AE4" w:rsidRPr="007B4FE2">
        <w:rPr>
          <w:rFonts w:ascii="Times New Roman" w:hAnsi="Times New Roman" w:cs="Times New Roman"/>
          <w:b/>
          <w:sz w:val="24"/>
          <w:szCs w:val="24"/>
        </w:rPr>
        <w:t>.2</w:t>
      </w:r>
      <w:r w:rsidR="00294C59" w:rsidRPr="007B4FE2">
        <w:rPr>
          <w:rFonts w:ascii="Times New Roman" w:hAnsi="Times New Roman" w:cs="Times New Roman"/>
          <w:b/>
          <w:sz w:val="24"/>
          <w:szCs w:val="24"/>
        </w:rPr>
        <w:t xml:space="preserve">. </w:t>
      </w:r>
      <w:r w:rsidR="00C75C49" w:rsidRPr="007B4FE2">
        <w:rPr>
          <w:rFonts w:ascii="Times New Roman" w:hAnsi="Times New Roman" w:cs="Times New Roman"/>
          <w:b/>
          <w:sz w:val="24"/>
          <w:szCs w:val="24"/>
        </w:rPr>
        <w:t xml:space="preserve">Un </w:t>
      </w:r>
      <w:r w:rsidR="00355DEA" w:rsidRPr="007B4FE2">
        <w:rPr>
          <w:rFonts w:ascii="Times New Roman" w:hAnsi="Times New Roman" w:cs="Times New Roman"/>
          <w:b/>
          <w:sz w:val="24"/>
          <w:szCs w:val="24"/>
        </w:rPr>
        <w:t xml:space="preserve">modello di sindacato giurisdizionale della proporzionalità caratteristico del diritto </w:t>
      </w:r>
      <w:r w:rsidR="008A2FDB" w:rsidRPr="007B4FE2">
        <w:rPr>
          <w:rFonts w:ascii="Times New Roman" w:hAnsi="Times New Roman" w:cs="Times New Roman"/>
          <w:b/>
          <w:sz w:val="24"/>
          <w:szCs w:val="24"/>
        </w:rPr>
        <w:t>UE</w:t>
      </w:r>
      <w:r w:rsidR="00C75C49" w:rsidRPr="007B4FE2">
        <w:rPr>
          <w:rFonts w:ascii="Times New Roman" w:hAnsi="Times New Roman" w:cs="Times New Roman"/>
          <w:b/>
          <w:sz w:val="24"/>
          <w:szCs w:val="24"/>
        </w:rPr>
        <w:t>?</w:t>
      </w:r>
    </w:p>
    <w:p w:rsidR="0082425D" w:rsidRPr="00442D36" w:rsidRDefault="00C80258"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Per concludere, vorrei tentare infine di dare </w:t>
      </w:r>
      <w:r w:rsidR="0082425D" w:rsidRPr="007B4FE2">
        <w:rPr>
          <w:rFonts w:ascii="Times New Roman" w:hAnsi="Times New Roman" w:cs="Times New Roman"/>
          <w:sz w:val="24"/>
          <w:szCs w:val="24"/>
        </w:rPr>
        <w:t xml:space="preserve">una </w:t>
      </w:r>
      <w:r w:rsidRPr="007B4FE2">
        <w:rPr>
          <w:rFonts w:ascii="Times New Roman" w:hAnsi="Times New Roman" w:cs="Times New Roman"/>
          <w:sz w:val="24"/>
          <w:szCs w:val="24"/>
        </w:rPr>
        <w:t xml:space="preserve">risposta alla domanda, se il principio di proporzionalità dell’Unione europea, quello che è </w:t>
      </w:r>
      <w:r w:rsidR="00442D36">
        <w:rPr>
          <w:rFonts w:ascii="Times New Roman" w:hAnsi="Times New Roman" w:cs="Times New Roman"/>
          <w:sz w:val="24"/>
          <w:szCs w:val="24"/>
        </w:rPr>
        <w:t>“</w:t>
      </w:r>
      <w:r w:rsidRPr="007B4FE2">
        <w:rPr>
          <w:rFonts w:ascii="Times New Roman" w:hAnsi="Times New Roman" w:cs="Times New Roman"/>
          <w:sz w:val="24"/>
          <w:szCs w:val="24"/>
        </w:rPr>
        <w:t>tracimato</w:t>
      </w:r>
      <w:r w:rsidR="00442D36">
        <w:rPr>
          <w:rFonts w:ascii="Times New Roman" w:hAnsi="Times New Roman" w:cs="Times New Roman"/>
          <w:sz w:val="24"/>
          <w:szCs w:val="24"/>
        </w:rPr>
        <w:t>”</w:t>
      </w:r>
      <w:r w:rsidRPr="007B4FE2">
        <w:rPr>
          <w:rFonts w:ascii="Times New Roman" w:hAnsi="Times New Roman" w:cs="Times New Roman"/>
          <w:sz w:val="24"/>
          <w:szCs w:val="24"/>
        </w:rPr>
        <w:t xml:space="preserve"> nei vari ordinamenti nazionali (anche al di là dei confini dell’</w:t>
      </w:r>
      <w:r w:rsidRPr="00442D36">
        <w:rPr>
          <w:rFonts w:ascii="Times New Roman" w:hAnsi="Times New Roman" w:cs="Times New Roman"/>
          <w:sz w:val="24"/>
          <w:szCs w:val="24"/>
        </w:rPr>
        <w:t>UE, come si è visto), sia la stessa cosa di quello tedesco</w:t>
      </w:r>
      <w:r w:rsidR="0082425D" w:rsidRPr="00442D36">
        <w:rPr>
          <w:rFonts w:ascii="Times New Roman" w:hAnsi="Times New Roman" w:cs="Times New Roman"/>
          <w:sz w:val="24"/>
          <w:szCs w:val="24"/>
        </w:rPr>
        <w:t>.</w:t>
      </w:r>
    </w:p>
    <w:p w:rsidR="00C80258" w:rsidRPr="00442D36" w:rsidRDefault="004B6F76" w:rsidP="007B4FE2">
      <w:pPr>
        <w:spacing w:after="0" w:line="360" w:lineRule="auto"/>
        <w:ind w:firstLine="709"/>
        <w:jc w:val="both"/>
        <w:rPr>
          <w:rFonts w:ascii="Times New Roman" w:hAnsi="Times New Roman" w:cs="Times New Roman"/>
          <w:sz w:val="24"/>
          <w:szCs w:val="24"/>
          <w:u w:val="single"/>
        </w:rPr>
      </w:pPr>
      <w:r w:rsidRPr="00442D36">
        <w:rPr>
          <w:rFonts w:ascii="Times New Roman" w:hAnsi="Times New Roman" w:cs="Times New Roman"/>
          <w:sz w:val="24"/>
          <w:szCs w:val="24"/>
        </w:rPr>
        <w:t>Come vedremo</w:t>
      </w:r>
      <w:r w:rsidR="008D363A" w:rsidRPr="00442D36">
        <w:rPr>
          <w:rFonts w:ascii="Times New Roman" w:hAnsi="Times New Roman" w:cs="Times New Roman"/>
          <w:sz w:val="24"/>
          <w:szCs w:val="24"/>
        </w:rPr>
        <w:t>,</w:t>
      </w:r>
      <w:r w:rsidRPr="00442D36">
        <w:rPr>
          <w:rFonts w:ascii="Times New Roman" w:hAnsi="Times New Roman" w:cs="Times New Roman"/>
          <w:sz w:val="24"/>
          <w:szCs w:val="24"/>
        </w:rPr>
        <w:t xml:space="preserve"> </w:t>
      </w:r>
      <w:r w:rsidR="0082425D" w:rsidRPr="00442D36">
        <w:rPr>
          <w:rFonts w:ascii="Times New Roman" w:hAnsi="Times New Roman" w:cs="Times New Roman"/>
          <w:sz w:val="24"/>
          <w:szCs w:val="24"/>
        </w:rPr>
        <w:t>a questo complessa domanda</w:t>
      </w:r>
      <w:r w:rsidR="00FE6124" w:rsidRPr="00442D36">
        <w:rPr>
          <w:rFonts w:ascii="Times New Roman" w:hAnsi="Times New Roman" w:cs="Times New Roman"/>
          <w:sz w:val="24"/>
          <w:szCs w:val="24"/>
        </w:rPr>
        <w:t xml:space="preserve"> </w:t>
      </w:r>
      <w:r w:rsidR="00C80258" w:rsidRPr="00442D36">
        <w:rPr>
          <w:rFonts w:ascii="Times New Roman" w:hAnsi="Times New Roman" w:cs="Times New Roman"/>
          <w:sz w:val="24"/>
          <w:szCs w:val="24"/>
        </w:rPr>
        <w:t>non si può che</w:t>
      </w:r>
      <w:r w:rsidR="00FE6124" w:rsidRPr="00442D36">
        <w:rPr>
          <w:rFonts w:ascii="Times New Roman" w:hAnsi="Times New Roman" w:cs="Times New Roman"/>
          <w:sz w:val="24"/>
          <w:szCs w:val="24"/>
        </w:rPr>
        <w:t xml:space="preserve"> </w:t>
      </w:r>
      <w:r w:rsidR="008D363A" w:rsidRPr="00442D36">
        <w:rPr>
          <w:rFonts w:ascii="Times New Roman" w:hAnsi="Times New Roman" w:cs="Times New Roman"/>
          <w:sz w:val="24"/>
          <w:szCs w:val="24"/>
        </w:rPr>
        <w:t>fornire</w:t>
      </w:r>
      <w:r w:rsidR="00C80258" w:rsidRPr="00442D36">
        <w:rPr>
          <w:rFonts w:ascii="Times New Roman" w:hAnsi="Times New Roman" w:cs="Times New Roman"/>
          <w:sz w:val="24"/>
          <w:szCs w:val="24"/>
        </w:rPr>
        <w:t xml:space="preserve"> una risposta composita: come</w:t>
      </w:r>
      <w:r w:rsidR="00FE6124" w:rsidRPr="00442D36">
        <w:rPr>
          <w:rFonts w:ascii="Times New Roman" w:hAnsi="Times New Roman" w:cs="Times New Roman"/>
          <w:sz w:val="24"/>
          <w:szCs w:val="24"/>
        </w:rPr>
        <w:t xml:space="preserve"> </w:t>
      </w:r>
      <w:r w:rsidR="00C80258" w:rsidRPr="00442D36">
        <w:rPr>
          <w:rFonts w:ascii="Times New Roman" w:hAnsi="Times New Roman" w:cs="Times New Roman"/>
          <w:sz w:val="24"/>
          <w:szCs w:val="24"/>
        </w:rPr>
        <w:t>composita</w:t>
      </w:r>
      <w:r w:rsidR="00FE6124" w:rsidRPr="00442D36">
        <w:rPr>
          <w:rFonts w:ascii="Times New Roman" w:hAnsi="Times New Roman" w:cs="Times New Roman"/>
          <w:sz w:val="24"/>
          <w:szCs w:val="24"/>
        </w:rPr>
        <w:t xml:space="preserve"> </w:t>
      </w:r>
      <w:r w:rsidR="00C80258" w:rsidRPr="00442D36">
        <w:rPr>
          <w:rFonts w:ascii="Times New Roman" w:hAnsi="Times New Roman" w:cs="Times New Roman"/>
          <w:sz w:val="24"/>
          <w:szCs w:val="24"/>
        </w:rPr>
        <w:t>è,</w:t>
      </w:r>
      <w:r w:rsidR="00FE6124" w:rsidRPr="00442D36">
        <w:rPr>
          <w:rFonts w:ascii="Times New Roman" w:hAnsi="Times New Roman" w:cs="Times New Roman"/>
          <w:sz w:val="24"/>
          <w:szCs w:val="24"/>
        </w:rPr>
        <w:t xml:space="preserve"> </w:t>
      </w:r>
      <w:r w:rsidR="00C80258" w:rsidRPr="00442D36">
        <w:rPr>
          <w:rFonts w:ascii="Times New Roman" w:hAnsi="Times New Roman" w:cs="Times New Roman"/>
          <w:sz w:val="24"/>
          <w:szCs w:val="24"/>
        </w:rPr>
        <w:t>d’altra parte, l’amministrazione stessa dell’Unione europea</w:t>
      </w:r>
      <w:r w:rsidR="00C80258" w:rsidRPr="00442D36">
        <w:rPr>
          <w:rFonts w:ascii="Times New Roman" w:hAnsi="Times New Roman" w:cs="Times New Roman"/>
          <w:sz w:val="24"/>
          <w:szCs w:val="24"/>
          <w:vertAlign w:val="superscript"/>
        </w:rPr>
        <w:footnoteReference w:id="101"/>
      </w:r>
      <w:r w:rsidR="0082425D" w:rsidRPr="00442D36">
        <w:rPr>
          <w:rFonts w:ascii="Times New Roman" w:hAnsi="Times New Roman" w:cs="Times New Roman"/>
          <w:sz w:val="24"/>
          <w:szCs w:val="24"/>
        </w:rPr>
        <w:t>!</w:t>
      </w:r>
      <w:r w:rsidR="00FE6124" w:rsidRPr="00442D36">
        <w:rPr>
          <w:rFonts w:ascii="Times New Roman" w:hAnsi="Times New Roman" w:cs="Times New Roman"/>
          <w:sz w:val="24"/>
          <w:szCs w:val="24"/>
        </w:rPr>
        <w:t xml:space="preserve"> </w:t>
      </w:r>
    </w:p>
    <w:p w:rsidR="00D778A9" w:rsidRPr="007B4FE2" w:rsidRDefault="008D363A" w:rsidP="007B4FE2">
      <w:pPr>
        <w:spacing w:after="0" w:line="360" w:lineRule="auto"/>
        <w:ind w:firstLine="709"/>
        <w:jc w:val="both"/>
        <w:rPr>
          <w:rFonts w:ascii="Times New Roman" w:hAnsi="Times New Roman" w:cs="Times New Roman"/>
          <w:sz w:val="24"/>
          <w:szCs w:val="24"/>
        </w:rPr>
      </w:pPr>
      <w:r w:rsidRPr="00442D36">
        <w:rPr>
          <w:rFonts w:ascii="Times New Roman" w:hAnsi="Times New Roman" w:cs="Times New Roman"/>
          <w:sz w:val="24"/>
          <w:szCs w:val="24"/>
        </w:rPr>
        <w:t>Anni orsono i</w:t>
      </w:r>
      <w:r w:rsidR="00C75C49" w:rsidRPr="00442D36">
        <w:rPr>
          <w:rFonts w:ascii="Times New Roman" w:hAnsi="Times New Roman" w:cs="Times New Roman"/>
          <w:sz w:val="24"/>
          <w:szCs w:val="24"/>
        </w:rPr>
        <w:t>n dottrina è stato autorevolmente osservato</w:t>
      </w:r>
      <w:r w:rsidRPr="00442D36">
        <w:rPr>
          <w:rFonts w:ascii="Times New Roman" w:hAnsi="Times New Roman" w:cs="Times New Roman"/>
          <w:sz w:val="24"/>
          <w:szCs w:val="24"/>
        </w:rPr>
        <w:t>,</w:t>
      </w:r>
      <w:r w:rsidR="00DC2EB8" w:rsidRPr="00442D36">
        <w:rPr>
          <w:rFonts w:ascii="Times New Roman" w:hAnsi="Times New Roman" w:cs="Times New Roman"/>
          <w:sz w:val="24"/>
          <w:szCs w:val="24"/>
        </w:rPr>
        <w:t xml:space="preserve"> </w:t>
      </w:r>
      <w:r w:rsidR="00C75C49" w:rsidRPr="00442D36">
        <w:rPr>
          <w:rFonts w:ascii="Times New Roman" w:hAnsi="Times New Roman" w:cs="Times New Roman"/>
          <w:sz w:val="24"/>
          <w:szCs w:val="24"/>
        </w:rPr>
        <w:t>che</w:t>
      </w:r>
      <w:r w:rsidRPr="00442D36">
        <w:rPr>
          <w:rFonts w:ascii="Times New Roman" w:hAnsi="Times New Roman" w:cs="Times New Roman"/>
          <w:sz w:val="24"/>
          <w:szCs w:val="24"/>
        </w:rPr>
        <w:t xml:space="preserve"> </w:t>
      </w:r>
      <w:r w:rsidR="00D778A9" w:rsidRPr="00442D36">
        <w:rPr>
          <w:rFonts w:ascii="Times New Roman" w:hAnsi="Times New Roman" w:cs="Times New Roman"/>
          <w:sz w:val="24"/>
          <w:szCs w:val="24"/>
        </w:rPr>
        <w:t>un</w:t>
      </w:r>
      <w:r w:rsidR="00221DC5" w:rsidRPr="00442D36">
        <w:rPr>
          <w:rFonts w:ascii="Times New Roman" w:hAnsi="Times New Roman" w:cs="Times New Roman"/>
          <w:sz w:val="24"/>
          <w:szCs w:val="24"/>
        </w:rPr>
        <w:t>’</w:t>
      </w:r>
      <w:r w:rsidR="00714069" w:rsidRPr="00442D36">
        <w:rPr>
          <w:rFonts w:ascii="Times New Roman" w:hAnsi="Times New Roman" w:cs="Times New Roman"/>
          <w:sz w:val="24"/>
          <w:szCs w:val="24"/>
        </w:rPr>
        <w:t xml:space="preserve">importante </w:t>
      </w:r>
      <w:r w:rsidR="00D778A9" w:rsidRPr="00442D36">
        <w:rPr>
          <w:rFonts w:ascii="Times New Roman" w:hAnsi="Times New Roman" w:cs="Times New Roman"/>
          <w:sz w:val="24"/>
          <w:szCs w:val="24"/>
        </w:rPr>
        <w:t>dive</w:t>
      </w:r>
      <w:r w:rsidR="00D778A9" w:rsidRPr="007B4FE2">
        <w:rPr>
          <w:rFonts w:ascii="Times New Roman" w:hAnsi="Times New Roman" w:cs="Times New Roman"/>
          <w:sz w:val="24"/>
          <w:szCs w:val="24"/>
        </w:rPr>
        <w:t>rgenza fra il modello tedesco e quello UE di sindacato giurisdizionale della proporzionalità consisterebbe nel fatto che</w:t>
      </w:r>
      <w:r w:rsidR="006D4BFD" w:rsidRPr="007B4FE2">
        <w:rPr>
          <w:rFonts w:ascii="Times New Roman" w:hAnsi="Times New Roman" w:cs="Times New Roman"/>
          <w:sz w:val="24"/>
          <w:szCs w:val="24"/>
        </w:rPr>
        <w:t xml:space="preserve"> </w:t>
      </w:r>
      <w:r w:rsidR="00D778A9" w:rsidRPr="007B4FE2">
        <w:rPr>
          <w:rFonts w:ascii="Times New Roman" w:hAnsi="Times New Roman" w:cs="Times New Roman"/>
          <w:sz w:val="24"/>
          <w:szCs w:val="24"/>
        </w:rPr>
        <w:t>i giudici UE</w:t>
      </w:r>
      <w:r w:rsidR="00D710CE" w:rsidRPr="007B4FE2">
        <w:rPr>
          <w:rFonts w:ascii="Times New Roman" w:hAnsi="Times New Roman" w:cs="Times New Roman"/>
          <w:sz w:val="24"/>
          <w:szCs w:val="24"/>
        </w:rPr>
        <w:t xml:space="preserve"> </w:t>
      </w:r>
      <w:r w:rsidR="00744E65" w:rsidRPr="007B4FE2">
        <w:rPr>
          <w:rFonts w:ascii="Times New Roman" w:hAnsi="Times New Roman" w:cs="Times New Roman"/>
          <w:sz w:val="24"/>
          <w:szCs w:val="24"/>
        </w:rPr>
        <w:t>prescinderebbero</w:t>
      </w:r>
      <w:r w:rsidR="002D3075" w:rsidRPr="007B4FE2">
        <w:rPr>
          <w:rFonts w:ascii="Times New Roman" w:hAnsi="Times New Roman" w:cs="Times New Roman"/>
          <w:sz w:val="24"/>
          <w:szCs w:val="24"/>
        </w:rPr>
        <w:t xml:space="preserve"> dall’</w:t>
      </w:r>
      <w:r w:rsidR="006D4BFD" w:rsidRPr="007B4FE2">
        <w:rPr>
          <w:rFonts w:ascii="Times New Roman" w:hAnsi="Times New Roman" w:cs="Times New Roman"/>
          <w:sz w:val="24"/>
          <w:szCs w:val="24"/>
        </w:rPr>
        <w:t>esame in sequenza rigidamente trifasica</w:t>
      </w:r>
      <w:r w:rsidR="00D778A9" w:rsidRPr="007B4FE2">
        <w:rPr>
          <w:rFonts w:ascii="Times New Roman" w:hAnsi="Times New Roman" w:cs="Times New Roman"/>
          <w:sz w:val="24"/>
          <w:szCs w:val="24"/>
        </w:rPr>
        <w:t xml:space="preserve"> della proporzionalità</w:t>
      </w:r>
      <w:r w:rsidR="00B85CE1" w:rsidRPr="007B4FE2">
        <w:rPr>
          <w:rFonts w:ascii="Times New Roman" w:hAnsi="Times New Roman" w:cs="Times New Roman"/>
          <w:sz w:val="24"/>
          <w:szCs w:val="24"/>
        </w:rPr>
        <w:t>,</w:t>
      </w:r>
      <w:r w:rsidR="00D4500B" w:rsidRPr="007B4FE2">
        <w:rPr>
          <w:rFonts w:ascii="Times New Roman" w:hAnsi="Times New Roman" w:cs="Times New Roman"/>
          <w:sz w:val="24"/>
          <w:szCs w:val="24"/>
        </w:rPr>
        <w:t xml:space="preserve"> </w:t>
      </w:r>
      <w:r w:rsidR="00D31A1A" w:rsidRPr="007B4FE2">
        <w:rPr>
          <w:rFonts w:ascii="Times New Roman" w:hAnsi="Times New Roman" w:cs="Times New Roman"/>
          <w:sz w:val="24"/>
          <w:szCs w:val="24"/>
        </w:rPr>
        <w:t xml:space="preserve">così </w:t>
      </w:r>
      <w:r w:rsidR="00D778A9" w:rsidRPr="007B4FE2">
        <w:rPr>
          <w:rFonts w:ascii="Times New Roman" w:hAnsi="Times New Roman" w:cs="Times New Roman"/>
          <w:sz w:val="24"/>
          <w:szCs w:val="24"/>
        </w:rPr>
        <w:t>come</w:t>
      </w:r>
      <w:r w:rsidR="006D4BFD" w:rsidRPr="007B4FE2">
        <w:rPr>
          <w:rFonts w:ascii="Times New Roman" w:hAnsi="Times New Roman" w:cs="Times New Roman"/>
          <w:sz w:val="24"/>
          <w:szCs w:val="24"/>
        </w:rPr>
        <w:t xml:space="preserve"> proposto</w:t>
      </w:r>
      <w:r w:rsidR="00B85CE1" w:rsidRPr="007B4FE2">
        <w:rPr>
          <w:rFonts w:ascii="Times New Roman" w:hAnsi="Times New Roman" w:cs="Times New Roman"/>
          <w:sz w:val="24"/>
          <w:szCs w:val="24"/>
        </w:rPr>
        <w:t xml:space="preserve"> e teorizzato</w:t>
      </w:r>
      <w:r w:rsidR="006D4BFD" w:rsidRPr="007B4FE2">
        <w:rPr>
          <w:rFonts w:ascii="Times New Roman" w:hAnsi="Times New Roman" w:cs="Times New Roman"/>
          <w:sz w:val="24"/>
          <w:szCs w:val="24"/>
        </w:rPr>
        <w:t xml:space="preserve"> dalla dottrina tedesca</w:t>
      </w:r>
      <w:r w:rsidR="00221DC5" w:rsidRPr="007B4FE2">
        <w:rPr>
          <w:rFonts w:ascii="Times New Roman" w:hAnsi="Times New Roman" w:cs="Times New Roman"/>
          <w:sz w:val="24"/>
          <w:szCs w:val="24"/>
          <w:vertAlign w:val="superscript"/>
        </w:rPr>
        <w:footnoteReference w:id="102"/>
      </w:r>
      <w:r w:rsidR="006D4BFD" w:rsidRPr="007B4FE2">
        <w:rPr>
          <w:rFonts w:ascii="Times New Roman" w:hAnsi="Times New Roman" w:cs="Times New Roman"/>
          <w:sz w:val="24"/>
          <w:szCs w:val="24"/>
        </w:rPr>
        <w:t xml:space="preserve">. </w:t>
      </w:r>
    </w:p>
    <w:p w:rsidR="00D31A1A" w:rsidRPr="007B4FE2" w:rsidRDefault="00D778A9"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 Personalmente</w:t>
      </w:r>
      <w:r w:rsidR="00B85CE1" w:rsidRPr="007B4FE2">
        <w:rPr>
          <w:rFonts w:ascii="Times New Roman" w:hAnsi="Times New Roman" w:cs="Times New Roman"/>
          <w:sz w:val="24"/>
          <w:szCs w:val="24"/>
        </w:rPr>
        <w:t xml:space="preserve"> -</w:t>
      </w:r>
      <w:r w:rsidR="00D4500B" w:rsidRPr="007B4FE2">
        <w:rPr>
          <w:rFonts w:ascii="Times New Roman" w:hAnsi="Times New Roman" w:cs="Times New Roman"/>
          <w:sz w:val="24"/>
          <w:szCs w:val="24"/>
        </w:rPr>
        <w:t xml:space="preserve"> </w:t>
      </w:r>
      <w:r w:rsidR="00B85CE1" w:rsidRPr="007B4FE2">
        <w:rPr>
          <w:rFonts w:ascii="Times New Roman" w:hAnsi="Times New Roman" w:cs="Times New Roman"/>
          <w:sz w:val="24"/>
          <w:szCs w:val="24"/>
        </w:rPr>
        <w:t>e in parziale difformità rispetto a quanto io stessa ho in precedenza sostenuto</w:t>
      </w:r>
      <w:r w:rsidR="00442D36">
        <w:rPr>
          <w:rFonts w:ascii="Times New Roman" w:hAnsi="Times New Roman" w:cs="Times New Roman"/>
          <w:sz w:val="24"/>
          <w:szCs w:val="24"/>
        </w:rPr>
        <w:t>,</w:t>
      </w:r>
      <w:r w:rsidR="00B85CE1" w:rsidRPr="007B4FE2">
        <w:rPr>
          <w:rFonts w:ascii="Times New Roman" w:hAnsi="Times New Roman" w:cs="Times New Roman"/>
          <w:sz w:val="24"/>
          <w:szCs w:val="24"/>
        </w:rPr>
        <w:t xml:space="preserve"> in vari miei scritti sul tema</w:t>
      </w:r>
      <w:r w:rsidR="00B85CE1" w:rsidRPr="007B4FE2">
        <w:rPr>
          <w:rStyle w:val="Rimandonotaapidipagina"/>
          <w:rFonts w:ascii="Times New Roman" w:hAnsi="Times New Roman" w:cs="Times New Roman"/>
          <w:sz w:val="24"/>
          <w:szCs w:val="24"/>
        </w:rPr>
        <w:footnoteReference w:id="103"/>
      </w:r>
      <w:r w:rsidR="00B85CE1" w:rsidRPr="007B4FE2">
        <w:rPr>
          <w:rFonts w:ascii="Times New Roman" w:hAnsi="Times New Roman" w:cs="Times New Roman"/>
          <w:sz w:val="24"/>
          <w:szCs w:val="24"/>
        </w:rPr>
        <w:t xml:space="preserve"> -</w:t>
      </w:r>
      <w:r w:rsidR="00D4500B" w:rsidRPr="007B4FE2">
        <w:rPr>
          <w:rFonts w:ascii="Times New Roman" w:hAnsi="Times New Roman" w:cs="Times New Roman"/>
          <w:sz w:val="24"/>
          <w:szCs w:val="24"/>
        </w:rPr>
        <w:t xml:space="preserve"> </w:t>
      </w:r>
      <w:r w:rsidRPr="007B4FE2">
        <w:rPr>
          <w:rFonts w:ascii="Times New Roman" w:hAnsi="Times New Roman" w:cs="Times New Roman"/>
          <w:sz w:val="24"/>
          <w:szCs w:val="24"/>
        </w:rPr>
        <w:t>dopo anni di analisi</w:t>
      </w:r>
      <w:r w:rsidR="00D4500B" w:rsidRPr="007B4FE2">
        <w:rPr>
          <w:rFonts w:ascii="Times New Roman" w:hAnsi="Times New Roman" w:cs="Times New Roman"/>
          <w:sz w:val="24"/>
          <w:szCs w:val="24"/>
        </w:rPr>
        <w:t xml:space="preserve"> </w:t>
      </w:r>
      <w:r w:rsidRPr="007B4FE2">
        <w:rPr>
          <w:rFonts w:ascii="Times New Roman" w:hAnsi="Times New Roman" w:cs="Times New Roman"/>
          <w:sz w:val="24"/>
          <w:szCs w:val="24"/>
        </w:rPr>
        <w:t>costante della giurisprudenza UE a tale riguardo mi sono convinta</w:t>
      </w:r>
      <w:r w:rsidR="00B85CE1" w:rsidRPr="007B4FE2">
        <w:rPr>
          <w:rFonts w:ascii="Times New Roman" w:hAnsi="Times New Roman" w:cs="Times New Roman"/>
          <w:sz w:val="24"/>
          <w:szCs w:val="24"/>
        </w:rPr>
        <w:t xml:space="preserve">, invece, </w:t>
      </w:r>
      <w:r w:rsidRPr="007B4FE2">
        <w:rPr>
          <w:rFonts w:ascii="Times New Roman" w:hAnsi="Times New Roman" w:cs="Times New Roman"/>
          <w:sz w:val="24"/>
          <w:szCs w:val="24"/>
        </w:rPr>
        <w:t xml:space="preserve">che </w:t>
      </w:r>
      <w:r w:rsidR="00B85CE1" w:rsidRPr="007B4FE2">
        <w:rPr>
          <w:rFonts w:ascii="Times New Roman" w:hAnsi="Times New Roman" w:cs="Times New Roman"/>
          <w:sz w:val="24"/>
          <w:szCs w:val="24"/>
        </w:rPr>
        <w:t xml:space="preserve">questa sia </w:t>
      </w:r>
      <w:r w:rsidR="006D4BFD" w:rsidRPr="007B4FE2">
        <w:rPr>
          <w:rFonts w:ascii="Times New Roman" w:hAnsi="Times New Roman" w:cs="Times New Roman"/>
          <w:sz w:val="24"/>
          <w:szCs w:val="24"/>
        </w:rPr>
        <w:t xml:space="preserve">una differenza </w:t>
      </w:r>
      <w:r w:rsidR="00744E65" w:rsidRPr="007B4FE2">
        <w:rPr>
          <w:rFonts w:ascii="Times New Roman" w:hAnsi="Times New Roman" w:cs="Times New Roman"/>
          <w:sz w:val="24"/>
          <w:szCs w:val="24"/>
        </w:rPr>
        <w:t xml:space="preserve">molto </w:t>
      </w:r>
      <w:r w:rsidR="006D4BFD" w:rsidRPr="007B4FE2">
        <w:rPr>
          <w:rFonts w:ascii="Times New Roman" w:hAnsi="Times New Roman" w:cs="Times New Roman"/>
          <w:sz w:val="24"/>
          <w:szCs w:val="24"/>
        </w:rPr>
        <w:t>più apparente che reale</w:t>
      </w:r>
      <w:r w:rsidR="00B85CE1" w:rsidRPr="007B4FE2">
        <w:rPr>
          <w:rFonts w:ascii="Times New Roman" w:hAnsi="Times New Roman" w:cs="Times New Roman"/>
          <w:sz w:val="24"/>
          <w:szCs w:val="24"/>
        </w:rPr>
        <w:t>;</w:t>
      </w:r>
      <w:r w:rsidR="00D4500B" w:rsidRPr="007B4FE2">
        <w:rPr>
          <w:rFonts w:ascii="Times New Roman" w:hAnsi="Times New Roman" w:cs="Times New Roman"/>
          <w:sz w:val="24"/>
          <w:szCs w:val="24"/>
        </w:rPr>
        <w:t xml:space="preserve"> </w:t>
      </w:r>
      <w:r w:rsidR="006D4BFD" w:rsidRPr="007B4FE2">
        <w:rPr>
          <w:rFonts w:ascii="Times New Roman" w:hAnsi="Times New Roman" w:cs="Times New Roman"/>
          <w:sz w:val="24"/>
          <w:szCs w:val="24"/>
        </w:rPr>
        <w:t xml:space="preserve">e </w:t>
      </w:r>
      <w:r w:rsidRPr="007B4FE2">
        <w:rPr>
          <w:rFonts w:ascii="Times New Roman" w:hAnsi="Times New Roman" w:cs="Times New Roman"/>
          <w:sz w:val="24"/>
          <w:szCs w:val="24"/>
        </w:rPr>
        <w:t>che</w:t>
      </w:r>
      <w:r w:rsidR="0026372C" w:rsidRPr="007B4FE2">
        <w:rPr>
          <w:rFonts w:ascii="Times New Roman" w:hAnsi="Times New Roman" w:cs="Times New Roman"/>
          <w:sz w:val="24"/>
          <w:szCs w:val="24"/>
        </w:rPr>
        <w:t xml:space="preserve"> </w:t>
      </w:r>
      <w:r w:rsidR="00D31A1A" w:rsidRPr="007B4FE2">
        <w:rPr>
          <w:rFonts w:ascii="Times New Roman" w:hAnsi="Times New Roman" w:cs="Times New Roman"/>
          <w:sz w:val="24"/>
          <w:szCs w:val="24"/>
        </w:rPr>
        <w:t xml:space="preserve">sia </w:t>
      </w:r>
      <w:r w:rsidRPr="007B4FE2">
        <w:rPr>
          <w:rFonts w:ascii="Times New Roman" w:hAnsi="Times New Roman" w:cs="Times New Roman"/>
          <w:sz w:val="24"/>
          <w:szCs w:val="24"/>
        </w:rPr>
        <w:t>dovuta</w:t>
      </w:r>
      <w:r w:rsidR="0026372C" w:rsidRPr="007B4FE2">
        <w:rPr>
          <w:rFonts w:ascii="Times New Roman" w:hAnsi="Times New Roman" w:cs="Times New Roman"/>
          <w:sz w:val="24"/>
          <w:szCs w:val="24"/>
        </w:rPr>
        <w:t xml:space="preserve"> </w:t>
      </w:r>
      <w:r w:rsidR="00D31A1A" w:rsidRPr="007B4FE2">
        <w:rPr>
          <w:rFonts w:ascii="Times New Roman" w:hAnsi="Times New Roman" w:cs="Times New Roman"/>
          <w:sz w:val="24"/>
          <w:szCs w:val="24"/>
        </w:rPr>
        <w:t xml:space="preserve">essenzialmente </w:t>
      </w:r>
      <w:r w:rsidR="006D4BFD" w:rsidRPr="007B4FE2">
        <w:rPr>
          <w:rFonts w:ascii="Times New Roman" w:hAnsi="Times New Roman" w:cs="Times New Roman"/>
          <w:sz w:val="24"/>
          <w:szCs w:val="24"/>
        </w:rPr>
        <w:t>alle differenze di stile</w:t>
      </w:r>
      <w:r w:rsidR="0026372C" w:rsidRPr="007B4FE2">
        <w:rPr>
          <w:rFonts w:ascii="Times New Roman" w:hAnsi="Times New Roman" w:cs="Times New Roman"/>
          <w:sz w:val="24"/>
          <w:szCs w:val="24"/>
        </w:rPr>
        <w:t xml:space="preserve"> </w:t>
      </w:r>
      <w:r w:rsidR="00D31A1A" w:rsidRPr="007B4FE2">
        <w:rPr>
          <w:rFonts w:ascii="Times New Roman" w:hAnsi="Times New Roman" w:cs="Times New Roman"/>
          <w:sz w:val="24"/>
          <w:szCs w:val="24"/>
        </w:rPr>
        <w:t xml:space="preserve">- </w:t>
      </w:r>
      <w:r w:rsidR="006D4BFD" w:rsidRPr="007B4FE2">
        <w:rPr>
          <w:rFonts w:ascii="Times New Roman" w:hAnsi="Times New Roman" w:cs="Times New Roman"/>
          <w:sz w:val="24"/>
          <w:szCs w:val="24"/>
        </w:rPr>
        <w:t>e nel modo di redigere le sentenze</w:t>
      </w:r>
      <w:r w:rsidR="00D31A1A" w:rsidRPr="007B4FE2">
        <w:rPr>
          <w:rFonts w:ascii="Times New Roman" w:hAnsi="Times New Roman" w:cs="Times New Roman"/>
          <w:sz w:val="24"/>
          <w:szCs w:val="24"/>
        </w:rPr>
        <w:t xml:space="preserve"> -</w:t>
      </w:r>
      <w:r w:rsidR="0026372C" w:rsidRPr="007B4FE2">
        <w:rPr>
          <w:rFonts w:ascii="Times New Roman" w:hAnsi="Times New Roman" w:cs="Times New Roman"/>
          <w:sz w:val="24"/>
          <w:szCs w:val="24"/>
        </w:rPr>
        <w:t xml:space="preserve"> </w:t>
      </w:r>
      <w:r w:rsidR="006D4BFD" w:rsidRPr="007B4FE2">
        <w:rPr>
          <w:rFonts w:ascii="Times New Roman" w:hAnsi="Times New Roman" w:cs="Times New Roman"/>
          <w:sz w:val="24"/>
          <w:szCs w:val="24"/>
        </w:rPr>
        <w:t>fra giudici tedeschi e giudici UE. Mentre i primi</w:t>
      </w:r>
      <w:r w:rsidR="00F37D2D" w:rsidRPr="007B4FE2">
        <w:rPr>
          <w:rFonts w:ascii="Times New Roman" w:hAnsi="Times New Roman" w:cs="Times New Roman"/>
          <w:sz w:val="24"/>
          <w:szCs w:val="24"/>
        </w:rPr>
        <w:t xml:space="preserve"> hanno</w:t>
      </w:r>
      <w:r w:rsidR="008D363A" w:rsidRPr="007B4FE2">
        <w:rPr>
          <w:rFonts w:ascii="Times New Roman" w:hAnsi="Times New Roman" w:cs="Times New Roman"/>
          <w:sz w:val="24"/>
          <w:szCs w:val="24"/>
        </w:rPr>
        <w:t>,</w:t>
      </w:r>
      <w:r w:rsidR="00F37D2D" w:rsidRPr="007B4FE2">
        <w:rPr>
          <w:rFonts w:ascii="Times New Roman" w:hAnsi="Times New Roman" w:cs="Times New Roman"/>
          <w:sz w:val="24"/>
          <w:szCs w:val="24"/>
        </w:rPr>
        <w:t xml:space="preserve"> infatti, </w:t>
      </w:r>
      <w:r w:rsidRPr="007B4FE2">
        <w:rPr>
          <w:rFonts w:ascii="Times New Roman" w:hAnsi="Times New Roman" w:cs="Times New Roman"/>
          <w:sz w:val="24"/>
          <w:szCs w:val="24"/>
        </w:rPr>
        <w:t>l’abitudine di</w:t>
      </w:r>
      <w:r w:rsidR="006D4BFD" w:rsidRPr="007B4FE2">
        <w:rPr>
          <w:rFonts w:ascii="Times New Roman" w:hAnsi="Times New Roman" w:cs="Times New Roman"/>
          <w:sz w:val="24"/>
          <w:szCs w:val="24"/>
        </w:rPr>
        <w:t xml:space="preserve"> redigere sentenze ampie e dettagliatamente motivate, i secondi si attengono, invece</w:t>
      </w:r>
      <w:r w:rsidR="00F37D2D" w:rsidRPr="007B4FE2">
        <w:rPr>
          <w:rFonts w:ascii="Times New Roman" w:hAnsi="Times New Roman" w:cs="Times New Roman"/>
          <w:sz w:val="24"/>
          <w:szCs w:val="24"/>
        </w:rPr>
        <w:t xml:space="preserve">, </w:t>
      </w:r>
      <w:r w:rsidR="006D4BFD" w:rsidRPr="007B4FE2">
        <w:rPr>
          <w:rFonts w:ascii="Times New Roman" w:hAnsi="Times New Roman" w:cs="Times New Roman"/>
          <w:sz w:val="24"/>
          <w:szCs w:val="24"/>
        </w:rPr>
        <w:t>ad uno stile più scarno ed essenziale</w:t>
      </w:r>
      <w:r w:rsidR="00744E65" w:rsidRPr="007B4FE2">
        <w:rPr>
          <w:rFonts w:ascii="Times New Roman" w:hAnsi="Times New Roman" w:cs="Times New Roman"/>
          <w:sz w:val="24"/>
          <w:szCs w:val="24"/>
        </w:rPr>
        <w:t>,</w:t>
      </w:r>
      <w:r w:rsidR="006D4BFD" w:rsidRPr="007B4FE2">
        <w:rPr>
          <w:rFonts w:ascii="Times New Roman" w:hAnsi="Times New Roman" w:cs="Times New Roman"/>
          <w:sz w:val="24"/>
          <w:szCs w:val="24"/>
        </w:rPr>
        <w:t xml:space="preserve"> che fa emergere solo i passaggi essenziali del loro ragionamento giuridico: sicché, ad esempio, se del sindacato sull’idoneità spesso nella sentenza non si dà conto, questo non vuol dire che esso</w:t>
      </w:r>
      <w:r w:rsidR="00D31A1A" w:rsidRPr="007B4FE2">
        <w:rPr>
          <w:rFonts w:ascii="Times New Roman" w:hAnsi="Times New Roman" w:cs="Times New Roman"/>
          <w:sz w:val="24"/>
          <w:szCs w:val="24"/>
        </w:rPr>
        <w:t xml:space="preserve"> effettivamente </w:t>
      </w:r>
      <w:r w:rsidR="006D4BFD" w:rsidRPr="007B4FE2">
        <w:rPr>
          <w:rFonts w:ascii="Times New Roman" w:hAnsi="Times New Roman" w:cs="Times New Roman"/>
          <w:sz w:val="24"/>
          <w:szCs w:val="24"/>
        </w:rPr>
        <w:t>non sia stato compiuto dal giudice UE</w:t>
      </w:r>
      <w:r w:rsidR="00355DEA" w:rsidRPr="007B4FE2">
        <w:rPr>
          <w:rStyle w:val="Rimandonotaapidipagina"/>
          <w:rFonts w:ascii="Times New Roman" w:hAnsi="Times New Roman" w:cs="Times New Roman"/>
          <w:sz w:val="24"/>
          <w:szCs w:val="24"/>
        </w:rPr>
        <w:footnoteReference w:id="104"/>
      </w:r>
      <w:r w:rsidRPr="007B4FE2">
        <w:rPr>
          <w:rFonts w:ascii="Times New Roman" w:hAnsi="Times New Roman" w:cs="Times New Roman"/>
          <w:sz w:val="24"/>
          <w:szCs w:val="24"/>
        </w:rPr>
        <w:t>.</w:t>
      </w:r>
      <w:r w:rsidR="00D4500B" w:rsidRPr="007B4FE2">
        <w:rPr>
          <w:rFonts w:ascii="Times New Roman" w:hAnsi="Times New Roman" w:cs="Times New Roman"/>
          <w:sz w:val="24"/>
          <w:szCs w:val="24"/>
        </w:rPr>
        <w:t xml:space="preserve"> </w:t>
      </w:r>
    </w:p>
    <w:p w:rsidR="00F37D2D" w:rsidRPr="007B4FE2" w:rsidRDefault="006D2870"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Ciò</w:t>
      </w:r>
      <w:r w:rsidR="00D710CE"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anche in ragione della circostanza </w:t>
      </w:r>
      <w:r w:rsidR="00F37D2D" w:rsidRPr="007B4FE2">
        <w:rPr>
          <w:rFonts w:ascii="Times New Roman" w:hAnsi="Times New Roman" w:cs="Times New Roman"/>
          <w:sz w:val="24"/>
          <w:szCs w:val="24"/>
        </w:rPr>
        <w:t>che la ricostruzione dei fatti e, soprattutto, la ricostruzione del quadro normativo di riferimento occupa già moltissimo spazio nell’economia delle sentenze dei giudici UE: e ciò</w:t>
      </w:r>
      <w:r w:rsidR="00D710CE" w:rsidRPr="007B4FE2">
        <w:rPr>
          <w:rFonts w:ascii="Times New Roman" w:hAnsi="Times New Roman" w:cs="Times New Roman"/>
          <w:sz w:val="24"/>
          <w:szCs w:val="24"/>
        </w:rPr>
        <w:t xml:space="preserve"> </w:t>
      </w:r>
      <w:r w:rsidR="00F37D2D" w:rsidRPr="007B4FE2">
        <w:rPr>
          <w:rFonts w:ascii="Times New Roman" w:hAnsi="Times New Roman" w:cs="Times New Roman"/>
          <w:sz w:val="24"/>
          <w:szCs w:val="24"/>
        </w:rPr>
        <w:t>proprio in ragione</w:t>
      </w:r>
      <w:r w:rsidR="00DC2EB8" w:rsidRPr="007B4FE2">
        <w:rPr>
          <w:rFonts w:ascii="Times New Roman" w:hAnsi="Times New Roman" w:cs="Times New Roman"/>
          <w:sz w:val="24"/>
          <w:szCs w:val="24"/>
        </w:rPr>
        <w:t xml:space="preserve"> </w:t>
      </w:r>
      <w:r w:rsidR="008D363A" w:rsidRPr="007B4FE2">
        <w:rPr>
          <w:rFonts w:ascii="Times New Roman" w:hAnsi="Times New Roman" w:cs="Times New Roman"/>
          <w:sz w:val="24"/>
          <w:szCs w:val="24"/>
        </w:rPr>
        <w:t xml:space="preserve">del fatto </w:t>
      </w:r>
      <w:r w:rsidR="00F37D2D" w:rsidRPr="007B4FE2">
        <w:rPr>
          <w:rFonts w:ascii="Times New Roman" w:hAnsi="Times New Roman" w:cs="Times New Roman"/>
          <w:sz w:val="24"/>
          <w:szCs w:val="24"/>
        </w:rPr>
        <w:t>che si tratta di una Corte che deve</w:t>
      </w:r>
      <w:r w:rsidR="00D710CE" w:rsidRPr="007B4FE2">
        <w:rPr>
          <w:rFonts w:ascii="Times New Roman" w:hAnsi="Times New Roman" w:cs="Times New Roman"/>
          <w:sz w:val="24"/>
          <w:szCs w:val="24"/>
        </w:rPr>
        <w:t xml:space="preserve"> </w:t>
      </w:r>
      <w:r w:rsidR="00F37D2D" w:rsidRPr="007B4FE2">
        <w:rPr>
          <w:rFonts w:ascii="Times New Roman" w:hAnsi="Times New Roman" w:cs="Times New Roman"/>
          <w:sz w:val="24"/>
          <w:szCs w:val="24"/>
        </w:rPr>
        <w:t>necessariamente interagire con</w:t>
      </w:r>
      <w:r w:rsidR="00EE74BA">
        <w:rPr>
          <w:rFonts w:ascii="Times New Roman" w:hAnsi="Times New Roman" w:cs="Times New Roman"/>
          <w:sz w:val="24"/>
          <w:szCs w:val="24"/>
        </w:rPr>
        <w:t xml:space="preserve"> </w:t>
      </w:r>
      <w:r w:rsidR="00D43245" w:rsidRPr="007B4FE2">
        <w:rPr>
          <w:rFonts w:ascii="Times New Roman" w:hAnsi="Times New Roman" w:cs="Times New Roman"/>
          <w:sz w:val="24"/>
          <w:szCs w:val="24"/>
        </w:rPr>
        <w:t>(ad oggi ventotto)</w:t>
      </w:r>
      <w:r w:rsidR="00F37D2D" w:rsidRPr="007B4FE2">
        <w:rPr>
          <w:rFonts w:ascii="Times New Roman" w:hAnsi="Times New Roman" w:cs="Times New Roman"/>
          <w:sz w:val="24"/>
          <w:szCs w:val="24"/>
        </w:rPr>
        <w:t xml:space="preserve"> diversi</w:t>
      </w:r>
      <w:r w:rsidR="00D710CE" w:rsidRPr="007B4FE2">
        <w:rPr>
          <w:rFonts w:ascii="Times New Roman" w:hAnsi="Times New Roman" w:cs="Times New Roman"/>
          <w:sz w:val="24"/>
          <w:szCs w:val="24"/>
        </w:rPr>
        <w:t xml:space="preserve"> </w:t>
      </w:r>
      <w:r w:rsidR="00F37D2D" w:rsidRPr="007B4FE2">
        <w:rPr>
          <w:rFonts w:ascii="Times New Roman" w:hAnsi="Times New Roman" w:cs="Times New Roman"/>
          <w:sz w:val="24"/>
          <w:szCs w:val="24"/>
        </w:rPr>
        <w:t>ordinamenti giuridici</w:t>
      </w:r>
      <w:r w:rsidR="00D710CE" w:rsidRPr="007B4FE2">
        <w:rPr>
          <w:rFonts w:ascii="Times New Roman" w:hAnsi="Times New Roman" w:cs="Times New Roman"/>
          <w:sz w:val="24"/>
          <w:szCs w:val="24"/>
        </w:rPr>
        <w:t xml:space="preserve"> </w:t>
      </w:r>
      <w:r w:rsidR="00F37D2D" w:rsidRPr="007B4FE2">
        <w:rPr>
          <w:rFonts w:ascii="Times New Roman" w:hAnsi="Times New Roman" w:cs="Times New Roman"/>
          <w:sz w:val="24"/>
          <w:szCs w:val="24"/>
        </w:rPr>
        <w:t>nazionali</w:t>
      </w:r>
      <w:r w:rsidR="00C31093" w:rsidRPr="007B4FE2">
        <w:rPr>
          <w:rFonts w:ascii="Times New Roman" w:hAnsi="Times New Roman" w:cs="Times New Roman"/>
          <w:sz w:val="24"/>
          <w:szCs w:val="24"/>
        </w:rPr>
        <w:t>, i quali</w:t>
      </w:r>
      <w:r w:rsidR="00D710CE" w:rsidRPr="007B4FE2">
        <w:rPr>
          <w:rFonts w:ascii="Times New Roman" w:hAnsi="Times New Roman" w:cs="Times New Roman"/>
          <w:sz w:val="24"/>
          <w:szCs w:val="24"/>
        </w:rPr>
        <w:t xml:space="preserve"> </w:t>
      </w:r>
      <w:r w:rsidR="00F37D2D" w:rsidRPr="007B4FE2">
        <w:rPr>
          <w:rFonts w:ascii="Times New Roman" w:hAnsi="Times New Roman" w:cs="Times New Roman"/>
          <w:sz w:val="24"/>
          <w:szCs w:val="24"/>
        </w:rPr>
        <w:t>devono essere di volta in volta</w:t>
      </w:r>
      <w:r w:rsidR="00D710CE" w:rsidRPr="007B4FE2">
        <w:rPr>
          <w:rFonts w:ascii="Times New Roman" w:hAnsi="Times New Roman" w:cs="Times New Roman"/>
          <w:sz w:val="24"/>
          <w:szCs w:val="24"/>
        </w:rPr>
        <w:t xml:space="preserve"> </w:t>
      </w:r>
      <w:r w:rsidR="00C31093" w:rsidRPr="007B4FE2">
        <w:rPr>
          <w:rFonts w:ascii="Times New Roman" w:hAnsi="Times New Roman" w:cs="Times New Roman"/>
          <w:sz w:val="24"/>
          <w:szCs w:val="24"/>
        </w:rPr>
        <w:t xml:space="preserve">adeguatamente </w:t>
      </w:r>
      <w:r w:rsidR="00F37D2D" w:rsidRPr="007B4FE2">
        <w:rPr>
          <w:rFonts w:ascii="Times New Roman" w:hAnsi="Times New Roman" w:cs="Times New Roman"/>
          <w:sz w:val="24"/>
          <w:szCs w:val="24"/>
        </w:rPr>
        <w:t>combinati/intersecati con le norme</w:t>
      </w:r>
      <w:r w:rsidR="00C31093" w:rsidRPr="007B4FE2">
        <w:rPr>
          <w:rFonts w:ascii="Times New Roman" w:hAnsi="Times New Roman" w:cs="Times New Roman"/>
          <w:sz w:val="24"/>
          <w:szCs w:val="24"/>
        </w:rPr>
        <w:t xml:space="preserve"> di diritto UE</w:t>
      </w:r>
      <w:r w:rsidR="00F37D2D" w:rsidRPr="007B4FE2">
        <w:rPr>
          <w:rFonts w:ascii="Times New Roman" w:hAnsi="Times New Roman" w:cs="Times New Roman"/>
          <w:sz w:val="24"/>
          <w:szCs w:val="24"/>
        </w:rPr>
        <w:t xml:space="preserve"> di volta in volta</w:t>
      </w:r>
      <w:r w:rsidR="00D710CE" w:rsidRPr="007B4FE2">
        <w:rPr>
          <w:rFonts w:ascii="Times New Roman" w:hAnsi="Times New Roman" w:cs="Times New Roman"/>
          <w:sz w:val="24"/>
          <w:szCs w:val="24"/>
        </w:rPr>
        <w:t xml:space="preserve"> </w:t>
      </w:r>
      <w:r w:rsidR="00F37D2D" w:rsidRPr="007B4FE2">
        <w:rPr>
          <w:rFonts w:ascii="Times New Roman" w:hAnsi="Times New Roman" w:cs="Times New Roman"/>
          <w:sz w:val="24"/>
          <w:szCs w:val="24"/>
        </w:rPr>
        <w:t xml:space="preserve">rilevanti. </w:t>
      </w:r>
    </w:p>
    <w:p w:rsidR="00D31A1A" w:rsidRPr="007B4FE2" w:rsidRDefault="00D778A9"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Per la stessa ragione</w:t>
      </w:r>
      <w:r w:rsidR="00B85CE1" w:rsidRPr="007B4FE2">
        <w:rPr>
          <w:rFonts w:ascii="Times New Roman" w:hAnsi="Times New Roman" w:cs="Times New Roman"/>
          <w:sz w:val="24"/>
          <w:szCs w:val="24"/>
        </w:rPr>
        <w:t>,</w:t>
      </w:r>
      <w:r w:rsidR="00D4500B" w:rsidRPr="007B4FE2">
        <w:rPr>
          <w:rFonts w:ascii="Times New Roman" w:hAnsi="Times New Roman" w:cs="Times New Roman"/>
          <w:sz w:val="24"/>
          <w:szCs w:val="24"/>
        </w:rPr>
        <w:t xml:space="preserve"> </w:t>
      </w:r>
      <w:r w:rsidRPr="007B4FE2">
        <w:rPr>
          <w:rFonts w:ascii="Times New Roman" w:hAnsi="Times New Roman" w:cs="Times New Roman"/>
          <w:sz w:val="24"/>
          <w:szCs w:val="24"/>
        </w:rPr>
        <w:t>può apparire talora</w:t>
      </w:r>
      <w:r w:rsidR="0026372C" w:rsidRPr="007B4FE2">
        <w:rPr>
          <w:rFonts w:ascii="Times New Roman" w:hAnsi="Times New Roman" w:cs="Times New Roman"/>
          <w:sz w:val="24"/>
          <w:szCs w:val="24"/>
        </w:rPr>
        <w:t xml:space="preserve"> </w:t>
      </w:r>
      <w:r w:rsidR="00D31A1A" w:rsidRPr="007B4FE2">
        <w:rPr>
          <w:rFonts w:ascii="Times New Roman" w:hAnsi="Times New Roman" w:cs="Times New Roman"/>
          <w:sz w:val="24"/>
          <w:szCs w:val="24"/>
        </w:rPr>
        <w:t xml:space="preserve">che </w:t>
      </w:r>
      <w:r w:rsidRPr="007B4FE2">
        <w:rPr>
          <w:rFonts w:ascii="Times New Roman" w:hAnsi="Times New Roman" w:cs="Times New Roman"/>
          <w:sz w:val="24"/>
          <w:szCs w:val="24"/>
        </w:rPr>
        <w:t xml:space="preserve">il </w:t>
      </w:r>
      <w:r w:rsidR="00355DEA" w:rsidRPr="007B4FE2">
        <w:rPr>
          <w:rFonts w:ascii="Times New Roman" w:hAnsi="Times New Roman" w:cs="Times New Roman"/>
          <w:sz w:val="24"/>
          <w:szCs w:val="24"/>
        </w:rPr>
        <w:t>sindacato di proporzionalità compiuto dai giudici UE</w:t>
      </w:r>
      <w:r w:rsidR="00D4500B"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sia operato </w:t>
      </w:r>
      <w:r w:rsidR="00355DEA" w:rsidRPr="007B4FE2">
        <w:rPr>
          <w:rFonts w:ascii="Times New Roman" w:hAnsi="Times New Roman" w:cs="Times New Roman"/>
          <w:sz w:val="24"/>
          <w:szCs w:val="24"/>
        </w:rPr>
        <w:t>alterando la sequenza di applicazione dei suoi elementi costitutivi</w:t>
      </w:r>
      <w:r w:rsidR="00355DEA" w:rsidRPr="007B4FE2">
        <w:rPr>
          <w:rStyle w:val="Rimandonotaapidipagina"/>
          <w:rFonts w:ascii="Times New Roman" w:hAnsi="Times New Roman" w:cs="Times New Roman"/>
          <w:sz w:val="24"/>
          <w:szCs w:val="24"/>
        </w:rPr>
        <w:footnoteReference w:id="105"/>
      </w:r>
      <w:r w:rsidR="00355DEA" w:rsidRPr="007B4FE2">
        <w:rPr>
          <w:rFonts w:ascii="Times New Roman" w:hAnsi="Times New Roman" w:cs="Times New Roman"/>
          <w:sz w:val="24"/>
          <w:szCs w:val="24"/>
        </w:rPr>
        <w:t>.</w:t>
      </w:r>
      <w:r w:rsidR="00B85CE1" w:rsidRPr="007B4FE2">
        <w:rPr>
          <w:rFonts w:ascii="Times New Roman" w:hAnsi="Times New Roman" w:cs="Times New Roman"/>
          <w:sz w:val="24"/>
          <w:szCs w:val="24"/>
        </w:rPr>
        <w:t xml:space="preserve"> Mentre, invece, è </w:t>
      </w:r>
      <w:r w:rsidR="00D31A1A" w:rsidRPr="007B4FE2">
        <w:rPr>
          <w:rFonts w:ascii="Times New Roman" w:hAnsi="Times New Roman" w:cs="Times New Roman"/>
          <w:sz w:val="24"/>
          <w:szCs w:val="24"/>
        </w:rPr>
        <w:t xml:space="preserve">sovente </w:t>
      </w:r>
      <w:r w:rsidR="00B85CE1" w:rsidRPr="007B4FE2">
        <w:rPr>
          <w:rFonts w:ascii="Times New Roman" w:hAnsi="Times New Roman" w:cs="Times New Roman"/>
          <w:sz w:val="24"/>
          <w:szCs w:val="24"/>
        </w:rPr>
        <w:t>solo la maniera</w:t>
      </w:r>
      <w:r w:rsidR="0026372C" w:rsidRPr="007B4FE2">
        <w:rPr>
          <w:rFonts w:ascii="Times New Roman" w:hAnsi="Times New Roman" w:cs="Times New Roman"/>
          <w:sz w:val="24"/>
          <w:szCs w:val="24"/>
        </w:rPr>
        <w:t xml:space="preserve"> </w:t>
      </w:r>
      <w:r w:rsidR="00D31A1A" w:rsidRPr="007B4FE2">
        <w:rPr>
          <w:rFonts w:ascii="Times New Roman" w:hAnsi="Times New Roman" w:cs="Times New Roman"/>
          <w:sz w:val="24"/>
          <w:szCs w:val="24"/>
        </w:rPr>
        <w:t xml:space="preserve">troppo </w:t>
      </w:r>
      <w:r w:rsidR="00B85CE1" w:rsidRPr="007B4FE2">
        <w:rPr>
          <w:rFonts w:ascii="Times New Roman" w:hAnsi="Times New Roman" w:cs="Times New Roman"/>
          <w:sz w:val="24"/>
          <w:szCs w:val="24"/>
        </w:rPr>
        <w:t>sintetica di esporre il ragionamento</w:t>
      </w:r>
      <w:r w:rsidR="008D363A" w:rsidRPr="007B4FE2">
        <w:rPr>
          <w:rFonts w:ascii="Times New Roman" w:hAnsi="Times New Roman" w:cs="Times New Roman"/>
          <w:sz w:val="24"/>
          <w:szCs w:val="24"/>
        </w:rPr>
        <w:t xml:space="preserve"> “in diritto”</w:t>
      </w:r>
      <w:r w:rsidR="00DC2EB8" w:rsidRPr="007B4FE2">
        <w:rPr>
          <w:rFonts w:ascii="Times New Roman" w:hAnsi="Times New Roman" w:cs="Times New Roman"/>
          <w:sz w:val="24"/>
          <w:szCs w:val="24"/>
        </w:rPr>
        <w:t xml:space="preserve"> </w:t>
      </w:r>
      <w:r w:rsidR="00B85CE1" w:rsidRPr="007B4FE2">
        <w:rPr>
          <w:rFonts w:ascii="Times New Roman" w:hAnsi="Times New Roman" w:cs="Times New Roman"/>
          <w:sz w:val="24"/>
          <w:szCs w:val="24"/>
        </w:rPr>
        <w:t>da parte della</w:t>
      </w:r>
      <w:r w:rsidR="00D4500B" w:rsidRPr="007B4FE2">
        <w:rPr>
          <w:rFonts w:ascii="Times New Roman" w:hAnsi="Times New Roman" w:cs="Times New Roman"/>
          <w:sz w:val="24"/>
          <w:szCs w:val="24"/>
        </w:rPr>
        <w:t xml:space="preserve"> </w:t>
      </w:r>
      <w:r w:rsidR="00B85CE1" w:rsidRPr="007B4FE2">
        <w:rPr>
          <w:rFonts w:ascii="Times New Roman" w:hAnsi="Times New Roman" w:cs="Times New Roman"/>
          <w:sz w:val="24"/>
          <w:szCs w:val="24"/>
        </w:rPr>
        <w:t>Corte di giustizia UE</w:t>
      </w:r>
      <w:r w:rsidR="00D31A1A" w:rsidRPr="007B4FE2">
        <w:rPr>
          <w:rFonts w:ascii="Times New Roman" w:hAnsi="Times New Roman" w:cs="Times New Roman"/>
          <w:sz w:val="24"/>
          <w:szCs w:val="24"/>
        </w:rPr>
        <w:t xml:space="preserve"> che induce la dottrina a sollevare</w:t>
      </w:r>
      <w:r w:rsidR="00DC2EB8" w:rsidRPr="007B4FE2">
        <w:rPr>
          <w:rFonts w:ascii="Times New Roman" w:hAnsi="Times New Roman" w:cs="Times New Roman"/>
          <w:sz w:val="24"/>
          <w:szCs w:val="24"/>
        </w:rPr>
        <w:t xml:space="preserve"> </w:t>
      </w:r>
      <w:r w:rsidR="008D363A" w:rsidRPr="007B4FE2">
        <w:rPr>
          <w:rFonts w:ascii="Times New Roman" w:hAnsi="Times New Roman" w:cs="Times New Roman"/>
          <w:sz w:val="24"/>
          <w:szCs w:val="24"/>
        </w:rPr>
        <w:t xml:space="preserve">talora </w:t>
      </w:r>
      <w:r w:rsidR="00D31A1A" w:rsidRPr="007B4FE2">
        <w:rPr>
          <w:rFonts w:ascii="Times New Roman" w:hAnsi="Times New Roman" w:cs="Times New Roman"/>
          <w:sz w:val="24"/>
          <w:szCs w:val="24"/>
        </w:rPr>
        <w:t xml:space="preserve">dubbi </w:t>
      </w:r>
      <w:r w:rsidR="00B85CE1" w:rsidRPr="007B4FE2">
        <w:rPr>
          <w:rFonts w:ascii="Times New Roman" w:hAnsi="Times New Roman" w:cs="Times New Roman"/>
          <w:sz w:val="24"/>
          <w:szCs w:val="24"/>
        </w:rPr>
        <w:t>sull’esistenza di salti logici nel ragionamento della Corte</w:t>
      </w:r>
      <w:r w:rsidR="00D31A1A" w:rsidRPr="007B4FE2">
        <w:rPr>
          <w:rFonts w:ascii="Times New Roman" w:hAnsi="Times New Roman" w:cs="Times New Roman"/>
          <w:sz w:val="24"/>
          <w:szCs w:val="24"/>
        </w:rPr>
        <w:t>.</w:t>
      </w:r>
      <w:r w:rsidR="00B85CE1" w:rsidRPr="007B4FE2">
        <w:rPr>
          <w:rFonts w:ascii="Times New Roman" w:hAnsi="Times New Roman" w:cs="Times New Roman"/>
          <w:sz w:val="24"/>
          <w:szCs w:val="24"/>
        </w:rPr>
        <w:t xml:space="preserve"> </w:t>
      </w:r>
    </w:p>
    <w:p w:rsidR="00F105D6" w:rsidRPr="007B4FE2" w:rsidRDefault="00B85CE1" w:rsidP="007B4FE2">
      <w:pPr>
        <w:spacing w:after="0" w:line="360" w:lineRule="auto"/>
        <w:ind w:firstLine="709"/>
        <w:jc w:val="both"/>
        <w:rPr>
          <w:rStyle w:val="Enfasicorsivo"/>
          <w:rFonts w:ascii="Times New Roman" w:hAnsi="Times New Roman" w:cs="Times New Roman"/>
          <w:i w:val="0"/>
          <w:sz w:val="24"/>
          <w:szCs w:val="24"/>
        </w:rPr>
      </w:pPr>
      <w:r w:rsidRPr="007B4FE2">
        <w:rPr>
          <w:rFonts w:ascii="Times New Roman" w:hAnsi="Times New Roman" w:cs="Times New Roman"/>
          <w:sz w:val="24"/>
          <w:szCs w:val="24"/>
        </w:rPr>
        <w:t>Non vale</w:t>
      </w:r>
      <w:r w:rsidR="00DC2EB8" w:rsidRPr="007B4FE2">
        <w:rPr>
          <w:rFonts w:ascii="Times New Roman" w:hAnsi="Times New Roman" w:cs="Times New Roman"/>
          <w:sz w:val="24"/>
          <w:szCs w:val="24"/>
        </w:rPr>
        <w:t xml:space="preserve"> </w:t>
      </w:r>
      <w:r w:rsidR="008D363A" w:rsidRPr="007B4FE2">
        <w:rPr>
          <w:rFonts w:ascii="Times New Roman" w:hAnsi="Times New Roman" w:cs="Times New Roman"/>
          <w:sz w:val="24"/>
          <w:szCs w:val="24"/>
        </w:rPr>
        <w:t xml:space="preserve">infatti </w:t>
      </w:r>
      <w:r w:rsidR="00FC6C95" w:rsidRPr="007B4FE2">
        <w:rPr>
          <w:rFonts w:ascii="Times New Roman" w:hAnsi="Times New Roman" w:cs="Times New Roman"/>
          <w:sz w:val="24"/>
          <w:szCs w:val="24"/>
        </w:rPr>
        <w:t>qui il</w:t>
      </w:r>
      <w:r w:rsidR="00D4500B" w:rsidRPr="007B4FE2">
        <w:rPr>
          <w:rFonts w:ascii="Times New Roman" w:hAnsi="Times New Roman" w:cs="Times New Roman"/>
          <w:sz w:val="24"/>
          <w:szCs w:val="24"/>
        </w:rPr>
        <w:t xml:space="preserve"> </w:t>
      </w:r>
      <w:r w:rsidR="00FC6C95" w:rsidRPr="007B4FE2">
        <w:rPr>
          <w:rFonts w:ascii="Times New Roman" w:hAnsi="Times New Roman" w:cs="Times New Roman"/>
          <w:sz w:val="24"/>
          <w:szCs w:val="24"/>
        </w:rPr>
        <w:t>proverbio (paradossalmente tedes</w:t>
      </w:r>
      <w:r w:rsidRPr="007B4FE2">
        <w:rPr>
          <w:rFonts w:ascii="Times New Roman" w:hAnsi="Times New Roman" w:cs="Times New Roman"/>
          <w:sz w:val="24"/>
          <w:szCs w:val="24"/>
        </w:rPr>
        <w:t>co</w:t>
      </w:r>
      <w:r w:rsidR="00FC6C95" w:rsidRPr="007B4FE2">
        <w:rPr>
          <w:rFonts w:ascii="Times New Roman" w:hAnsi="Times New Roman" w:cs="Times New Roman"/>
          <w:sz w:val="24"/>
          <w:szCs w:val="24"/>
        </w:rPr>
        <w:t>)</w:t>
      </w:r>
      <w:r w:rsidR="00D4500B" w:rsidRPr="007B4FE2">
        <w:rPr>
          <w:rFonts w:ascii="Times New Roman" w:hAnsi="Times New Roman" w:cs="Times New Roman"/>
          <w:sz w:val="24"/>
          <w:szCs w:val="24"/>
        </w:rPr>
        <w:t xml:space="preserve"> </w:t>
      </w:r>
      <w:r w:rsidR="00F105D6" w:rsidRPr="007B4FE2">
        <w:rPr>
          <w:rFonts w:ascii="Times New Roman" w:hAnsi="Times New Roman" w:cs="Times New Roman"/>
          <w:sz w:val="24"/>
          <w:szCs w:val="24"/>
        </w:rPr>
        <w:t xml:space="preserve">secondo cui </w:t>
      </w:r>
      <w:r w:rsidRPr="007B4FE2">
        <w:rPr>
          <w:rFonts w:ascii="Times New Roman" w:hAnsi="Times New Roman" w:cs="Times New Roman"/>
          <w:sz w:val="24"/>
          <w:szCs w:val="24"/>
        </w:rPr>
        <w:t>“</w:t>
      </w:r>
      <w:r w:rsidRPr="007B4FE2">
        <w:rPr>
          <w:rStyle w:val="st"/>
          <w:rFonts w:ascii="Times New Roman" w:hAnsi="Times New Roman" w:cs="Times New Roman"/>
          <w:i/>
          <w:sz w:val="24"/>
          <w:szCs w:val="24"/>
        </w:rPr>
        <w:t xml:space="preserve">In </w:t>
      </w:r>
      <w:proofErr w:type="spellStart"/>
      <w:r w:rsidRPr="007B4FE2">
        <w:rPr>
          <w:rStyle w:val="st"/>
          <w:rFonts w:ascii="Times New Roman" w:hAnsi="Times New Roman" w:cs="Times New Roman"/>
          <w:i/>
          <w:sz w:val="24"/>
          <w:szCs w:val="24"/>
        </w:rPr>
        <w:t>der</w:t>
      </w:r>
      <w:proofErr w:type="spellEnd"/>
      <w:r w:rsidRPr="007B4FE2">
        <w:rPr>
          <w:rStyle w:val="st"/>
          <w:rFonts w:ascii="Times New Roman" w:hAnsi="Times New Roman" w:cs="Times New Roman"/>
          <w:i/>
          <w:sz w:val="24"/>
          <w:szCs w:val="24"/>
        </w:rPr>
        <w:t xml:space="preserve"> </w:t>
      </w:r>
      <w:proofErr w:type="spellStart"/>
      <w:r w:rsidRPr="007B4FE2">
        <w:rPr>
          <w:rStyle w:val="Enfasicorsivo"/>
          <w:rFonts w:ascii="Times New Roman" w:hAnsi="Times New Roman" w:cs="Times New Roman"/>
          <w:sz w:val="24"/>
          <w:szCs w:val="24"/>
        </w:rPr>
        <w:t>Kürze</w:t>
      </w:r>
      <w:proofErr w:type="spellEnd"/>
      <w:r w:rsidRPr="007B4FE2">
        <w:rPr>
          <w:rStyle w:val="Enfasicorsivo"/>
          <w:rFonts w:ascii="Times New Roman" w:hAnsi="Times New Roman" w:cs="Times New Roman"/>
          <w:sz w:val="24"/>
          <w:szCs w:val="24"/>
        </w:rPr>
        <w:t xml:space="preserve"> </w:t>
      </w:r>
      <w:proofErr w:type="spellStart"/>
      <w:r w:rsidRPr="007B4FE2">
        <w:rPr>
          <w:rStyle w:val="Enfasicorsivo"/>
          <w:rFonts w:ascii="Times New Roman" w:hAnsi="Times New Roman" w:cs="Times New Roman"/>
          <w:sz w:val="24"/>
          <w:szCs w:val="24"/>
        </w:rPr>
        <w:t>liegt</w:t>
      </w:r>
      <w:proofErr w:type="spellEnd"/>
      <w:r w:rsidRPr="007B4FE2">
        <w:rPr>
          <w:rStyle w:val="Enfasicorsivo"/>
          <w:rFonts w:ascii="Times New Roman" w:hAnsi="Times New Roman" w:cs="Times New Roman"/>
          <w:sz w:val="24"/>
          <w:szCs w:val="24"/>
        </w:rPr>
        <w:t xml:space="preserve"> die </w:t>
      </w:r>
      <w:proofErr w:type="spellStart"/>
      <w:r w:rsidRPr="007B4FE2">
        <w:rPr>
          <w:rStyle w:val="Enfasicorsivo"/>
          <w:rFonts w:ascii="Times New Roman" w:hAnsi="Times New Roman" w:cs="Times New Roman"/>
          <w:sz w:val="24"/>
          <w:szCs w:val="24"/>
        </w:rPr>
        <w:t>Würze</w:t>
      </w:r>
      <w:proofErr w:type="spellEnd"/>
      <w:r w:rsidRPr="007B4FE2">
        <w:rPr>
          <w:rStyle w:val="Enfasicorsivo"/>
          <w:rFonts w:ascii="Times New Roman" w:hAnsi="Times New Roman" w:cs="Times New Roman"/>
          <w:i w:val="0"/>
          <w:sz w:val="24"/>
          <w:szCs w:val="24"/>
        </w:rPr>
        <w:t>”</w:t>
      </w:r>
      <w:r w:rsidR="00F105D6" w:rsidRPr="007B4FE2">
        <w:rPr>
          <w:rStyle w:val="Enfasicorsivo"/>
          <w:rFonts w:ascii="Times New Roman" w:hAnsi="Times New Roman" w:cs="Times New Roman"/>
          <w:i w:val="0"/>
          <w:sz w:val="24"/>
          <w:szCs w:val="24"/>
        </w:rPr>
        <w:t>!</w:t>
      </w:r>
      <w:r w:rsidR="00F105D6" w:rsidRPr="007B4FE2">
        <w:rPr>
          <w:rStyle w:val="Rimandonotaapidipagina"/>
          <w:rFonts w:ascii="Times New Roman" w:hAnsi="Times New Roman" w:cs="Times New Roman"/>
          <w:iCs/>
          <w:sz w:val="24"/>
          <w:szCs w:val="24"/>
        </w:rPr>
        <w:footnoteReference w:id="106"/>
      </w:r>
      <w:r w:rsidR="00D31A1A" w:rsidRPr="007B4FE2">
        <w:rPr>
          <w:rStyle w:val="Enfasicorsivo"/>
          <w:rFonts w:ascii="Times New Roman" w:hAnsi="Times New Roman" w:cs="Times New Roman"/>
          <w:i w:val="0"/>
          <w:sz w:val="24"/>
          <w:szCs w:val="24"/>
        </w:rPr>
        <w:t xml:space="preserve"> Ma rimane il problema che, a f</w:t>
      </w:r>
      <w:r w:rsidR="00B65982" w:rsidRPr="007B4FE2">
        <w:rPr>
          <w:rStyle w:val="Enfasicorsivo"/>
          <w:rFonts w:ascii="Times New Roman" w:hAnsi="Times New Roman" w:cs="Times New Roman"/>
          <w:i w:val="0"/>
          <w:sz w:val="24"/>
          <w:szCs w:val="24"/>
        </w:rPr>
        <w:t>r</w:t>
      </w:r>
      <w:r w:rsidR="00D31A1A" w:rsidRPr="007B4FE2">
        <w:rPr>
          <w:rStyle w:val="Enfasicorsivo"/>
          <w:rFonts w:ascii="Times New Roman" w:hAnsi="Times New Roman" w:cs="Times New Roman"/>
          <w:i w:val="0"/>
          <w:sz w:val="24"/>
          <w:szCs w:val="24"/>
        </w:rPr>
        <w:t>onte del sovraccarico crescente di lavoro a cui sono sottoposti i giudici comunitari, e in particolare la Corte di giustizia</w:t>
      </w:r>
      <w:r w:rsidR="006B147A" w:rsidRPr="007B4FE2">
        <w:rPr>
          <w:rStyle w:val="Rimandonotaapidipagina"/>
          <w:rFonts w:ascii="Times New Roman" w:hAnsi="Times New Roman" w:cs="Times New Roman"/>
          <w:iCs/>
          <w:sz w:val="24"/>
          <w:szCs w:val="24"/>
        </w:rPr>
        <w:footnoteReference w:id="107"/>
      </w:r>
      <w:r w:rsidR="00D31A1A" w:rsidRPr="007B4FE2">
        <w:rPr>
          <w:rStyle w:val="Enfasicorsivo"/>
          <w:rFonts w:ascii="Times New Roman" w:hAnsi="Times New Roman" w:cs="Times New Roman"/>
          <w:i w:val="0"/>
          <w:sz w:val="24"/>
          <w:szCs w:val="24"/>
        </w:rPr>
        <w:t>, non è prevedibile che si possa migliorare questo aspetto, attraverso la redazione di pronunzie magari meglio dettagliate</w:t>
      </w:r>
      <w:r w:rsidR="00E84FF6" w:rsidRPr="007B4FE2">
        <w:rPr>
          <w:rStyle w:val="Enfasicorsivo"/>
          <w:rFonts w:ascii="Times New Roman" w:hAnsi="Times New Roman" w:cs="Times New Roman"/>
          <w:i w:val="0"/>
          <w:sz w:val="24"/>
          <w:szCs w:val="24"/>
        </w:rPr>
        <w:t xml:space="preserve"> (anche in punto</w:t>
      </w:r>
      <w:r w:rsidR="00FE6124" w:rsidRPr="007B4FE2">
        <w:rPr>
          <w:rStyle w:val="Enfasicorsivo"/>
          <w:rFonts w:ascii="Times New Roman" w:hAnsi="Times New Roman" w:cs="Times New Roman"/>
          <w:i w:val="0"/>
          <w:sz w:val="24"/>
          <w:szCs w:val="24"/>
        </w:rPr>
        <w:t xml:space="preserve"> </w:t>
      </w:r>
      <w:r w:rsidR="00E84FF6" w:rsidRPr="007B4FE2">
        <w:rPr>
          <w:rStyle w:val="Enfasicorsivo"/>
          <w:rFonts w:ascii="Times New Roman" w:hAnsi="Times New Roman" w:cs="Times New Roman"/>
          <w:i w:val="0"/>
          <w:sz w:val="24"/>
          <w:szCs w:val="24"/>
        </w:rPr>
        <w:t>di sindacato della proporzionalità)</w:t>
      </w:r>
      <w:r w:rsidR="00D31A1A" w:rsidRPr="007B4FE2">
        <w:rPr>
          <w:rStyle w:val="Enfasicorsivo"/>
          <w:rFonts w:ascii="Times New Roman" w:hAnsi="Times New Roman" w:cs="Times New Roman"/>
          <w:i w:val="0"/>
          <w:sz w:val="24"/>
          <w:szCs w:val="24"/>
        </w:rPr>
        <w:t>. Tutto spinge, in</w:t>
      </w:r>
      <w:r w:rsidR="00B65982" w:rsidRPr="007B4FE2">
        <w:rPr>
          <w:rStyle w:val="Enfasicorsivo"/>
          <w:rFonts w:ascii="Times New Roman" w:hAnsi="Times New Roman" w:cs="Times New Roman"/>
          <w:i w:val="0"/>
          <w:sz w:val="24"/>
          <w:szCs w:val="24"/>
        </w:rPr>
        <w:t>vece, nella direzione contraria:</w:t>
      </w:r>
      <w:r w:rsidR="00D31A1A" w:rsidRPr="007B4FE2">
        <w:rPr>
          <w:rStyle w:val="Enfasicorsivo"/>
          <w:rFonts w:ascii="Times New Roman" w:hAnsi="Times New Roman" w:cs="Times New Roman"/>
          <w:i w:val="0"/>
          <w:sz w:val="24"/>
          <w:szCs w:val="24"/>
        </w:rPr>
        <w:t xml:space="preserve"> di sentenze più brevi e</w:t>
      </w:r>
      <w:r w:rsidR="00B65982" w:rsidRPr="007B4FE2">
        <w:rPr>
          <w:rStyle w:val="Enfasicorsivo"/>
          <w:rFonts w:ascii="Times New Roman" w:hAnsi="Times New Roman" w:cs="Times New Roman"/>
          <w:i w:val="0"/>
          <w:sz w:val="24"/>
          <w:szCs w:val="24"/>
        </w:rPr>
        <w:t>,</w:t>
      </w:r>
      <w:r w:rsidR="00D31A1A" w:rsidRPr="007B4FE2">
        <w:rPr>
          <w:rStyle w:val="Enfasicorsivo"/>
          <w:rFonts w:ascii="Times New Roman" w:hAnsi="Times New Roman" w:cs="Times New Roman"/>
          <w:i w:val="0"/>
          <w:sz w:val="24"/>
          <w:szCs w:val="24"/>
        </w:rPr>
        <w:t xml:space="preserve"> dunque</w:t>
      </w:r>
      <w:r w:rsidR="00B65982" w:rsidRPr="007B4FE2">
        <w:rPr>
          <w:rStyle w:val="Enfasicorsivo"/>
          <w:rFonts w:ascii="Times New Roman" w:hAnsi="Times New Roman" w:cs="Times New Roman"/>
          <w:i w:val="0"/>
          <w:sz w:val="24"/>
          <w:szCs w:val="24"/>
        </w:rPr>
        <w:t>,</w:t>
      </w:r>
      <w:r w:rsidR="0026372C" w:rsidRPr="007B4FE2">
        <w:rPr>
          <w:rStyle w:val="Enfasicorsivo"/>
          <w:rFonts w:ascii="Times New Roman" w:hAnsi="Times New Roman" w:cs="Times New Roman"/>
          <w:i w:val="0"/>
          <w:sz w:val="24"/>
          <w:szCs w:val="24"/>
        </w:rPr>
        <w:t xml:space="preserve"> </w:t>
      </w:r>
      <w:r w:rsidR="00E84FF6" w:rsidRPr="007B4FE2">
        <w:rPr>
          <w:rStyle w:val="Enfasicorsivo"/>
          <w:rFonts w:ascii="Times New Roman" w:hAnsi="Times New Roman" w:cs="Times New Roman"/>
          <w:i w:val="0"/>
          <w:sz w:val="24"/>
          <w:szCs w:val="24"/>
        </w:rPr>
        <w:t xml:space="preserve">necessariamente </w:t>
      </w:r>
      <w:r w:rsidR="00D31A1A" w:rsidRPr="007B4FE2">
        <w:rPr>
          <w:rStyle w:val="Enfasicorsivo"/>
          <w:rFonts w:ascii="Times New Roman" w:hAnsi="Times New Roman" w:cs="Times New Roman"/>
          <w:i w:val="0"/>
          <w:sz w:val="24"/>
          <w:szCs w:val="24"/>
        </w:rPr>
        <w:t xml:space="preserve">meno argomentate. </w:t>
      </w:r>
    </w:p>
    <w:p w:rsidR="00B65982" w:rsidRPr="007B4FE2" w:rsidRDefault="00B65982"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Lasciando dunque da parte questo primo aspetto, u</w:t>
      </w:r>
      <w:r w:rsidR="00355DEA" w:rsidRPr="007B4FE2">
        <w:rPr>
          <w:rFonts w:ascii="Times New Roman" w:hAnsi="Times New Roman" w:cs="Times New Roman"/>
          <w:sz w:val="24"/>
          <w:szCs w:val="24"/>
        </w:rPr>
        <w:t>n elemento</w:t>
      </w:r>
      <w:r w:rsidR="00D778A9" w:rsidRPr="007B4FE2">
        <w:rPr>
          <w:rFonts w:ascii="Times New Roman" w:hAnsi="Times New Roman" w:cs="Times New Roman"/>
          <w:sz w:val="24"/>
          <w:szCs w:val="24"/>
        </w:rPr>
        <w:t xml:space="preserve"> che</w:t>
      </w:r>
      <w:r w:rsidR="0078469E"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invece </w:t>
      </w:r>
      <w:r w:rsidR="00355DEA" w:rsidRPr="007B4FE2">
        <w:rPr>
          <w:rFonts w:ascii="Times New Roman" w:hAnsi="Times New Roman" w:cs="Times New Roman"/>
          <w:sz w:val="24"/>
          <w:szCs w:val="24"/>
        </w:rPr>
        <w:t>certamente contribuisce</w:t>
      </w:r>
      <w:r w:rsidR="00D778A9" w:rsidRPr="007B4FE2">
        <w:rPr>
          <w:rFonts w:ascii="Times New Roman" w:hAnsi="Times New Roman" w:cs="Times New Roman"/>
          <w:sz w:val="24"/>
          <w:szCs w:val="24"/>
        </w:rPr>
        <w:t xml:space="preserve"> a</w:t>
      </w:r>
      <w:r w:rsidR="00D4500B" w:rsidRPr="007B4FE2">
        <w:rPr>
          <w:rFonts w:ascii="Times New Roman" w:hAnsi="Times New Roman" w:cs="Times New Roman"/>
          <w:sz w:val="24"/>
          <w:szCs w:val="24"/>
        </w:rPr>
        <w:t xml:space="preserve"> </w:t>
      </w:r>
      <w:r w:rsidR="00355DEA" w:rsidRPr="007B4FE2">
        <w:rPr>
          <w:rFonts w:ascii="Times New Roman" w:hAnsi="Times New Roman" w:cs="Times New Roman"/>
          <w:sz w:val="24"/>
          <w:szCs w:val="24"/>
        </w:rPr>
        <w:t>ridurre le possibili coincidenze “sostanziali” del principio di proporzionalità UE con il princ</w:t>
      </w:r>
      <w:r w:rsidR="00D778A9" w:rsidRPr="007B4FE2">
        <w:rPr>
          <w:rFonts w:ascii="Times New Roman" w:hAnsi="Times New Roman" w:cs="Times New Roman"/>
          <w:sz w:val="24"/>
          <w:szCs w:val="24"/>
        </w:rPr>
        <w:t>ipio di proporzionalità tedesco</w:t>
      </w:r>
      <w:r w:rsidR="00355DEA" w:rsidRPr="007B4FE2">
        <w:rPr>
          <w:rFonts w:ascii="Times New Roman" w:hAnsi="Times New Roman" w:cs="Times New Roman"/>
          <w:sz w:val="24"/>
          <w:szCs w:val="24"/>
        </w:rPr>
        <w:t xml:space="preserve"> è</w:t>
      </w:r>
      <w:r w:rsidR="0078469E" w:rsidRPr="007B4FE2">
        <w:rPr>
          <w:rFonts w:ascii="Times New Roman" w:hAnsi="Times New Roman" w:cs="Times New Roman"/>
          <w:sz w:val="24"/>
          <w:szCs w:val="24"/>
        </w:rPr>
        <w:t xml:space="preserve">, </w:t>
      </w:r>
      <w:r w:rsidR="00D778A9" w:rsidRPr="007B4FE2">
        <w:rPr>
          <w:rFonts w:ascii="Times New Roman" w:hAnsi="Times New Roman" w:cs="Times New Roman"/>
          <w:sz w:val="24"/>
          <w:szCs w:val="24"/>
        </w:rPr>
        <w:t>a mio parere,</w:t>
      </w:r>
      <w:r w:rsidR="00D4500B" w:rsidRPr="007B4FE2">
        <w:rPr>
          <w:rFonts w:ascii="Times New Roman" w:hAnsi="Times New Roman" w:cs="Times New Roman"/>
          <w:sz w:val="24"/>
          <w:szCs w:val="24"/>
        </w:rPr>
        <w:t xml:space="preserve"> </w:t>
      </w:r>
      <w:r w:rsidR="00D778A9" w:rsidRPr="007B4FE2">
        <w:rPr>
          <w:rFonts w:ascii="Times New Roman" w:hAnsi="Times New Roman" w:cs="Times New Roman"/>
          <w:sz w:val="24"/>
          <w:szCs w:val="24"/>
        </w:rPr>
        <w:t xml:space="preserve">la ben </w:t>
      </w:r>
      <w:r w:rsidR="00355DEA" w:rsidRPr="007B4FE2">
        <w:rPr>
          <w:rFonts w:ascii="Times New Roman" w:hAnsi="Times New Roman" w:cs="Times New Roman"/>
          <w:sz w:val="24"/>
          <w:szCs w:val="24"/>
        </w:rPr>
        <w:t xml:space="preserve">nota divergenza di fondo d’impostazione fra il sistema di tutela giurisdizionale UE ed il sistema di tutela giurisdizionale proprio del diritto pubblico tedesco. </w:t>
      </w:r>
    </w:p>
    <w:p w:rsidR="00E84FF6" w:rsidRPr="007B4FE2" w:rsidRDefault="00355DEA"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Come è stato ancora di recente ricordato in dottrina</w:t>
      </w:r>
      <w:r w:rsidRPr="007B4FE2">
        <w:rPr>
          <w:rStyle w:val="Rimandonotaapidipagina"/>
          <w:rFonts w:ascii="Times New Roman" w:hAnsi="Times New Roman" w:cs="Times New Roman"/>
          <w:sz w:val="24"/>
          <w:szCs w:val="24"/>
        </w:rPr>
        <w:footnoteReference w:id="108"/>
      </w:r>
      <w:r w:rsidRPr="007B4FE2">
        <w:rPr>
          <w:rFonts w:ascii="Times New Roman" w:hAnsi="Times New Roman" w:cs="Times New Roman"/>
          <w:sz w:val="24"/>
          <w:szCs w:val="24"/>
        </w:rPr>
        <w:t>, la tutela apprestata dal giudice tedesco è una tutela soggettivamente orientata: che tiene dunque conto, soprattutto, dell'intensità con cui la misura adottata abbia inciso nella sfera giuridica del ricorrente.</w:t>
      </w:r>
      <w:r w:rsidR="00D43245" w:rsidRPr="007B4FE2">
        <w:rPr>
          <w:rFonts w:ascii="Times New Roman" w:hAnsi="Times New Roman" w:cs="Times New Roman"/>
          <w:sz w:val="24"/>
          <w:szCs w:val="24"/>
        </w:rPr>
        <w:t xml:space="preserve"> Il che è ovviamente legato anche alla natura del giudizio, così come questo è strutturato dalle n</w:t>
      </w:r>
      <w:r w:rsidR="007576E3" w:rsidRPr="007B4FE2">
        <w:rPr>
          <w:rFonts w:ascii="Times New Roman" w:hAnsi="Times New Roman" w:cs="Times New Roman"/>
          <w:sz w:val="24"/>
          <w:szCs w:val="24"/>
        </w:rPr>
        <w:t>orme del Codice tedesco sul</w:t>
      </w:r>
      <w:r w:rsidR="00D43245" w:rsidRPr="007B4FE2">
        <w:rPr>
          <w:rFonts w:ascii="Times New Roman" w:hAnsi="Times New Roman" w:cs="Times New Roman"/>
          <w:sz w:val="24"/>
          <w:szCs w:val="24"/>
        </w:rPr>
        <w:t xml:space="preserve"> processo amministrativo (</w:t>
      </w:r>
      <w:proofErr w:type="spellStart"/>
      <w:r w:rsidR="00D43245" w:rsidRPr="007B4FE2">
        <w:rPr>
          <w:rFonts w:ascii="Times New Roman" w:hAnsi="Times New Roman" w:cs="Times New Roman"/>
          <w:i/>
          <w:sz w:val="24"/>
          <w:szCs w:val="24"/>
        </w:rPr>
        <w:t>Verwaltungsgerichtsordnung</w:t>
      </w:r>
      <w:proofErr w:type="spellEnd"/>
      <w:r w:rsidR="00D43245" w:rsidRPr="007B4FE2">
        <w:rPr>
          <w:rFonts w:ascii="Times New Roman" w:hAnsi="Times New Roman" w:cs="Times New Roman"/>
          <w:sz w:val="24"/>
          <w:szCs w:val="24"/>
        </w:rPr>
        <w:t xml:space="preserve"> – </w:t>
      </w:r>
      <w:proofErr w:type="spellStart"/>
      <w:r w:rsidR="00D43245" w:rsidRPr="007B4FE2">
        <w:rPr>
          <w:rFonts w:ascii="Times New Roman" w:hAnsi="Times New Roman" w:cs="Times New Roman"/>
          <w:sz w:val="24"/>
          <w:szCs w:val="24"/>
        </w:rPr>
        <w:t>VwGO</w:t>
      </w:r>
      <w:proofErr w:type="spellEnd"/>
      <w:r w:rsidR="00D43245" w:rsidRPr="007B4FE2">
        <w:rPr>
          <w:rStyle w:val="Rimandonotaapidipagina"/>
          <w:rFonts w:ascii="Times New Roman" w:hAnsi="Times New Roman" w:cs="Times New Roman"/>
          <w:sz w:val="24"/>
          <w:szCs w:val="24"/>
          <w:lang w:val="de-DE"/>
        </w:rPr>
        <w:footnoteReference w:id="109"/>
      </w:r>
      <w:r w:rsidR="00D43245" w:rsidRPr="007B4FE2">
        <w:rPr>
          <w:rFonts w:ascii="Times New Roman" w:hAnsi="Times New Roman" w:cs="Times New Roman"/>
          <w:sz w:val="24"/>
          <w:szCs w:val="24"/>
        </w:rPr>
        <w:t>)</w:t>
      </w:r>
      <w:r w:rsidR="007576E3" w:rsidRPr="007B4FE2">
        <w:rPr>
          <w:rFonts w:ascii="Times New Roman" w:hAnsi="Times New Roman" w:cs="Times New Roman"/>
          <w:sz w:val="24"/>
          <w:szCs w:val="24"/>
        </w:rPr>
        <w:t>; ed è strettamente connesso</w:t>
      </w:r>
      <w:r w:rsidR="00EE74BA">
        <w:rPr>
          <w:rFonts w:ascii="Times New Roman" w:hAnsi="Times New Roman" w:cs="Times New Roman"/>
          <w:sz w:val="24"/>
          <w:szCs w:val="24"/>
        </w:rPr>
        <w:t xml:space="preserve"> </w:t>
      </w:r>
      <w:r w:rsidR="007576E3" w:rsidRPr="007B4FE2">
        <w:rPr>
          <w:rFonts w:ascii="Times New Roman" w:hAnsi="Times New Roman" w:cs="Times New Roman"/>
          <w:sz w:val="24"/>
          <w:szCs w:val="24"/>
        </w:rPr>
        <w:t>ai poteri che queste norme attribuiscono ai giudici amministrativi</w:t>
      </w:r>
      <w:r w:rsidR="00D43245" w:rsidRPr="007B4FE2">
        <w:rPr>
          <w:rFonts w:ascii="Times New Roman" w:hAnsi="Times New Roman" w:cs="Times New Roman"/>
          <w:sz w:val="24"/>
          <w:szCs w:val="24"/>
        </w:rPr>
        <w:t xml:space="preserve"> </w:t>
      </w:r>
      <w:r w:rsidR="007576E3" w:rsidRPr="007B4FE2">
        <w:rPr>
          <w:rFonts w:ascii="Times New Roman" w:hAnsi="Times New Roman" w:cs="Times New Roman"/>
          <w:sz w:val="24"/>
          <w:szCs w:val="24"/>
        </w:rPr>
        <w:t>in sede di sindacato giurisdizionale.</w:t>
      </w:r>
      <w:r w:rsidR="00EE74BA">
        <w:rPr>
          <w:rFonts w:ascii="Times New Roman" w:hAnsi="Times New Roman" w:cs="Times New Roman"/>
          <w:sz w:val="24"/>
          <w:szCs w:val="24"/>
        </w:rPr>
        <w:t xml:space="preserve"> </w:t>
      </w:r>
      <w:r w:rsidRPr="007B4FE2">
        <w:rPr>
          <w:rFonts w:ascii="Times New Roman" w:hAnsi="Times New Roman" w:cs="Times New Roman"/>
          <w:sz w:val="24"/>
          <w:szCs w:val="24"/>
        </w:rPr>
        <w:t>Mentre, viceversa, la tutela apprestata dal giudice UE è piuttosto una tutela giurisdizionale di tipo oggettivo: che tiene cioè conto, essenzialmente, degli interessi concretamente in gioco</w:t>
      </w:r>
      <w:r w:rsidRPr="007B4FE2">
        <w:rPr>
          <w:rStyle w:val="Rimandonotaapidipagina"/>
          <w:rFonts w:ascii="Times New Roman" w:hAnsi="Times New Roman" w:cs="Times New Roman"/>
          <w:sz w:val="24"/>
          <w:szCs w:val="24"/>
        </w:rPr>
        <w:footnoteReference w:id="110"/>
      </w:r>
      <w:r w:rsidRPr="007B4FE2">
        <w:rPr>
          <w:rFonts w:ascii="Times New Roman" w:hAnsi="Times New Roman" w:cs="Times New Roman"/>
          <w:smallCaps/>
          <w:color w:val="000000"/>
          <w:sz w:val="24"/>
          <w:szCs w:val="24"/>
        </w:rPr>
        <w:t xml:space="preserve">, </w:t>
      </w:r>
      <w:r w:rsidRPr="007B4FE2">
        <w:rPr>
          <w:rFonts w:ascii="Times New Roman" w:hAnsi="Times New Roman" w:cs="Times New Roman"/>
          <w:sz w:val="24"/>
          <w:szCs w:val="24"/>
        </w:rPr>
        <w:t>senza attribuire un peso determinante alla misura del sacrificio patito dal singolo. Sicché</w:t>
      </w:r>
      <w:r w:rsidR="00E76F60" w:rsidRPr="007B4FE2">
        <w:rPr>
          <w:rFonts w:ascii="Times New Roman" w:hAnsi="Times New Roman" w:cs="Times New Roman"/>
          <w:sz w:val="24"/>
          <w:szCs w:val="24"/>
        </w:rPr>
        <w:t>,</w:t>
      </w:r>
      <w:r w:rsidRPr="007B4FE2">
        <w:rPr>
          <w:rFonts w:ascii="Times New Roman" w:hAnsi="Times New Roman" w:cs="Times New Roman"/>
          <w:sz w:val="24"/>
          <w:szCs w:val="24"/>
        </w:rPr>
        <w:t xml:space="preserve"> lo stesso sindacato di proporzionalità si concentra su di una valutazione comparativa degli interessi concretamente in gioco.</w:t>
      </w:r>
      <w:r w:rsidR="00E84FF6" w:rsidRPr="007B4FE2">
        <w:rPr>
          <w:rFonts w:ascii="Times New Roman" w:hAnsi="Times New Roman" w:cs="Times New Roman"/>
          <w:sz w:val="24"/>
          <w:szCs w:val="24"/>
        </w:rPr>
        <w:t xml:space="preserve"> Il che</w:t>
      </w:r>
      <w:r w:rsidR="00FE6124" w:rsidRPr="007B4FE2">
        <w:rPr>
          <w:rFonts w:ascii="Times New Roman" w:hAnsi="Times New Roman" w:cs="Times New Roman"/>
          <w:sz w:val="24"/>
          <w:szCs w:val="24"/>
        </w:rPr>
        <w:t xml:space="preserve"> </w:t>
      </w:r>
      <w:r w:rsidR="00E84FF6" w:rsidRPr="007B4FE2">
        <w:rPr>
          <w:rFonts w:ascii="Times New Roman" w:hAnsi="Times New Roman" w:cs="Times New Roman"/>
          <w:sz w:val="24"/>
          <w:szCs w:val="24"/>
        </w:rPr>
        <w:t>parrebbe talora avvicinare il sindacato di proporzionalità dei giudici UE a quel "</w:t>
      </w:r>
      <w:proofErr w:type="spellStart"/>
      <w:r w:rsidR="00E84FF6" w:rsidRPr="007B4FE2">
        <w:rPr>
          <w:rFonts w:ascii="Times New Roman" w:hAnsi="Times New Roman" w:cs="Times New Roman"/>
          <w:i/>
          <w:sz w:val="24"/>
          <w:szCs w:val="24"/>
        </w:rPr>
        <w:t>bilan</w:t>
      </w:r>
      <w:proofErr w:type="spellEnd"/>
      <w:r w:rsidR="00E84FF6" w:rsidRPr="007B4FE2">
        <w:rPr>
          <w:rFonts w:ascii="Times New Roman" w:hAnsi="Times New Roman" w:cs="Times New Roman"/>
          <w:i/>
          <w:sz w:val="24"/>
          <w:szCs w:val="24"/>
        </w:rPr>
        <w:t xml:space="preserve"> </w:t>
      </w:r>
      <w:proofErr w:type="spellStart"/>
      <w:r w:rsidR="007576E3" w:rsidRPr="007B4FE2">
        <w:rPr>
          <w:rFonts w:ascii="Times New Roman" w:hAnsi="Times New Roman" w:cs="Times New Roman"/>
          <w:i/>
          <w:sz w:val="24"/>
          <w:szCs w:val="24"/>
        </w:rPr>
        <w:t>coûts-avantages</w:t>
      </w:r>
      <w:proofErr w:type="spellEnd"/>
      <w:r w:rsidR="00E84FF6" w:rsidRPr="007B4FE2">
        <w:rPr>
          <w:rFonts w:ascii="Times New Roman" w:hAnsi="Times New Roman" w:cs="Times New Roman"/>
          <w:sz w:val="24"/>
          <w:szCs w:val="24"/>
        </w:rPr>
        <w:t xml:space="preserve">" tipico del principio di proporzionalità come applicato nella giurisprudenza francese del </w:t>
      </w:r>
      <w:proofErr w:type="spellStart"/>
      <w:r w:rsidR="00E84FF6" w:rsidRPr="007B4FE2">
        <w:rPr>
          <w:rFonts w:ascii="Times New Roman" w:hAnsi="Times New Roman" w:cs="Times New Roman"/>
          <w:i/>
          <w:sz w:val="24"/>
          <w:szCs w:val="24"/>
        </w:rPr>
        <w:t>Conseil</w:t>
      </w:r>
      <w:proofErr w:type="spellEnd"/>
      <w:r w:rsidR="00E84FF6" w:rsidRPr="007B4FE2">
        <w:rPr>
          <w:rFonts w:ascii="Times New Roman" w:hAnsi="Times New Roman" w:cs="Times New Roman"/>
          <w:i/>
          <w:sz w:val="24"/>
          <w:szCs w:val="24"/>
        </w:rPr>
        <w:t xml:space="preserve"> d'</w:t>
      </w:r>
      <w:proofErr w:type="spellStart"/>
      <w:r w:rsidR="00E84FF6" w:rsidRPr="007B4FE2">
        <w:rPr>
          <w:rFonts w:ascii="Times New Roman" w:hAnsi="Times New Roman" w:cs="Times New Roman"/>
          <w:i/>
          <w:sz w:val="24"/>
          <w:szCs w:val="24"/>
        </w:rPr>
        <w:t>Etat</w:t>
      </w:r>
      <w:proofErr w:type="spellEnd"/>
      <w:r w:rsidR="002D66F7" w:rsidRPr="007B4FE2">
        <w:rPr>
          <w:rStyle w:val="Rimandonotaapidipagina"/>
          <w:rFonts w:ascii="Times New Roman" w:hAnsi="Times New Roman" w:cs="Times New Roman"/>
          <w:sz w:val="24"/>
          <w:szCs w:val="24"/>
        </w:rPr>
        <w:footnoteReference w:id="111"/>
      </w:r>
      <w:r w:rsidR="00442D36">
        <w:rPr>
          <w:rFonts w:ascii="Times New Roman" w:hAnsi="Times New Roman" w:cs="Times New Roman"/>
          <w:sz w:val="24"/>
          <w:szCs w:val="24"/>
        </w:rPr>
        <w:t>;</w:t>
      </w:r>
      <w:r w:rsidR="00E84FF6" w:rsidRPr="007B4FE2">
        <w:rPr>
          <w:rFonts w:ascii="Times New Roman" w:hAnsi="Times New Roman" w:cs="Times New Roman"/>
          <w:sz w:val="24"/>
          <w:szCs w:val="24"/>
        </w:rPr>
        <w:t xml:space="preserve"> ed il cui obiettivo è, essenzialmente,</w:t>
      </w:r>
      <w:r w:rsidR="00FE6124" w:rsidRPr="007B4FE2">
        <w:rPr>
          <w:rFonts w:ascii="Times New Roman" w:hAnsi="Times New Roman" w:cs="Times New Roman"/>
          <w:sz w:val="24"/>
          <w:szCs w:val="24"/>
        </w:rPr>
        <w:t xml:space="preserve"> </w:t>
      </w:r>
      <w:r w:rsidR="00E84FF6" w:rsidRPr="007B4FE2">
        <w:rPr>
          <w:rFonts w:ascii="Times New Roman" w:hAnsi="Times New Roman" w:cs="Times New Roman"/>
          <w:sz w:val="24"/>
          <w:szCs w:val="24"/>
        </w:rPr>
        <w:t>di operare una valutazione complessiva e comparativa dei vantaggi e degli svantaggi prodotti dalla misura adottata, secondo una concezione multipolare degli interessi in gioco</w:t>
      </w:r>
      <w:r w:rsidR="00E84FF6" w:rsidRPr="007B4FE2">
        <w:rPr>
          <w:rFonts w:ascii="Times New Roman" w:hAnsi="Times New Roman" w:cs="Times New Roman"/>
          <w:sz w:val="24"/>
          <w:szCs w:val="24"/>
          <w:vertAlign w:val="superscript"/>
        </w:rPr>
        <w:footnoteReference w:id="112"/>
      </w:r>
      <w:r w:rsidR="00E84FF6" w:rsidRPr="007B4FE2">
        <w:rPr>
          <w:rFonts w:ascii="Times New Roman" w:hAnsi="Times New Roman" w:cs="Times New Roman"/>
          <w:sz w:val="24"/>
          <w:szCs w:val="24"/>
        </w:rPr>
        <w:t>.</w:t>
      </w:r>
    </w:p>
    <w:p w:rsidR="00FB76AB" w:rsidRPr="007B4FE2" w:rsidRDefault="00FB76AB"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Il fatto che il giudice di Lussemburgo si isp</w:t>
      </w:r>
      <w:r w:rsidR="00442D36">
        <w:rPr>
          <w:rFonts w:ascii="Times New Roman" w:hAnsi="Times New Roman" w:cs="Times New Roman"/>
          <w:sz w:val="24"/>
          <w:szCs w:val="24"/>
        </w:rPr>
        <w:t>iri a quest’ultimo</w:t>
      </w:r>
      <w:r w:rsidRPr="007B4FE2">
        <w:rPr>
          <w:rFonts w:ascii="Times New Roman" w:hAnsi="Times New Roman" w:cs="Times New Roman"/>
          <w:sz w:val="24"/>
          <w:szCs w:val="24"/>
        </w:rPr>
        <w:t xml:space="preserve"> modello di sindacato giurisdizionale fornisce, a mio parere, una spiegazione anche per la circostanza -</w:t>
      </w:r>
      <w:r w:rsidR="00DC2EB8"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spesso lamentata in dottrina - che risulta difficile individuare, a priori, una regola stabile quanto all’incisività effettiva del sindacato operato dai giudici UE tramite l’applicazione del principio di proporzionalità. Questa dipende, infatti, anche dal peso attribuito agli interessi concretamente in gioco; </w:t>
      </w:r>
      <w:r w:rsidR="00442D36">
        <w:rPr>
          <w:rFonts w:ascii="Times New Roman" w:hAnsi="Times New Roman" w:cs="Times New Roman"/>
          <w:sz w:val="24"/>
          <w:szCs w:val="24"/>
        </w:rPr>
        <w:t>peso</w:t>
      </w:r>
      <w:r w:rsidRPr="007B4FE2">
        <w:rPr>
          <w:rFonts w:ascii="Times New Roman" w:hAnsi="Times New Roman" w:cs="Times New Roman"/>
          <w:sz w:val="24"/>
          <w:szCs w:val="24"/>
        </w:rPr>
        <w:t xml:space="preserve"> che è condizionato dal chiaro favore dei giudici UE rispetto a quelle misure (siano esse adottate dall’UE o dagli Stati membri) che rappresentano un positivo contributo rispetto alla “</w:t>
      </w:r>
      <w:r w:rsidRPr="007B4FE2">
        <w:rPr>
          <w:rFonts w:ascii="Times New Roman" w:hAnsi="Times New Roman" w:cs="Times New Roman"/>
          <w:i/>
          <w:sz w:val="24"/>
          <w:szCs w:val="24"/>
        </w:rPr>
        <w:t>costruzione dell’edificio comunitario</w:t>
      </w:r>
      <w:r w:rsidRPr="007B4FE2">
        <w:rPr>
          <w:rFonts w:ascii="Times New Roman" w:hAnsi="Times New Roman" w:cs="Times New Roman"/>
          <w:sz w:val="24"/>
          <w:szCs w:val="24"/>
        </w:rPr>
        <w:t>”</w:t>
      </w:r>
      <w:r w:rsidRPr="007B4FE2">
        <w:rPr>
          <w:rFonts w:ascii="Times New Roman" w:hAnsi="Times New Roman" w:cs="Times New Roman"/>
          <w:sz w:val="24"/>
          <w:szCs w:val="24"/>
          <w:vertAlign w:val="superscript"/>
        </w:rPr>
        <w:footnoteReference w:id="113"/>
      </w:r>
      <w:r w:rsidR="001E7D26" w:rsidRPr="007B4FE2">
        <w:rPr>
          <w:rFonts w:ascii="Times New Roman" w:hAnsi="Times New Roman" w:cs="Times New Roman"/>
          <w:sz w:val="24"/>
          <w:szCs w:val="24"/>
        </w:rPr>
        <w:t>, nella prospettiva di quella “</w:t>
      </w:r>
      <w:r w:rsidR="001E7D26" w:rsidRPr="007B4FE2">
        <w:rPr>
          <w:rFonts w:ascii="Times New Roman" w:hAnsi="Times New Roman" w:cs="Times New Roman"/>
          <w:i/>
          <w:sz w:val="24"/>
          <w:szCs w:val="24"/>
        </w:rPr>
        <w:t>Unione sempre più stretta fra i popoli dell’Europa</w:t>
      </w:r>
      <w:r w:rsidR="001E7D26" w:rsidRPr="007B4FE2">
        <w:rPr>
          <w:rFonts w:ascii="Times New Roman" w:hAnsi="Times New Roman" w:cs="Times New Roman"/>
          <w:sz w:val="24"/>
          <w:szCs w:val="24"/>
        </w:rPr>
        <w:t>” di cui al preambolo del Trattato UE (sin dal Trattato di Maastricht).</w:t>
      </w:r>
      <w:r w:rsidR="00EE74BA">
        <w:rPr>
          <w:rFonts w:ascii="Times New Roman" w:hAnsi="Times New Roman" w:cs="Times New Roman"/>
          <w:sz w:val="24"/>
          <w:szCs w:val="24"/>
        </w:rPr>
        <w:t xml:space="preserve"> </w:t>
      </w:r>
      <w:r w:rsidRPr="007B4FE2">
        <w:rPr>
          <w:rFonts w:ascii="Times New Roman" w:hAnsi="Times New Roman" w:cs="Times New Roman"/>
          <w:sz w:val="24"/>
          <w:szCs w:val="24"/>
        </w:rPr>
        <w:t>Al contrario, invece, del disfavore rispetto a quelle misure (adottate dagli Stati membri) in deroga rispetto al diritto UE: qui, infatti, il principio di proporzionalità è applicato con maggior rigore dai giudici di Lussemburgo e nell’ottica di operare una valutazione comparativa fra le esigenze poste dalle situazioni interne ai singoli Stati membri (e che possano in astratto giustificare l’adozione di misure in deroga) e l’esigenza di garantire, invece, quelle libertà, quei diritti e quei principi che sono la ragione stessa di esistenza dell’Unione europea</w:t>
      </w:r>
      <w:r w:rsidRPr="007B4FE2">
        <w:rPr>
          <w:rFonts w:ascii="Times New Roman" w:hAnsi="Times New Roman" w:cs="Times New Roman"/>
          <w:sz w:val="24"/>
          <w:szCs w:val="24"/>
          <w:vertAlign w:val="superscript"/>
        </w:rPr>
        <w:footnoteReference w:id="114"/>
      </w:r>
      <w:r w:rsidRPr="007B4FE2">
        <w:rPr>
          <w:rFonts w:ascii="Times New Roman" w:hAnsi="Times New Roman" w:cs="Times New Roman"/>
          <w:sz w:val="24"/>
          <w:szCs w:val="24"/>
        </w:rPr>
        <w:t>.</w:t>
      </w:r>
    </w:p>
    <w:p w:rsidR="00FB76AB" w:rsidRPr="007B4FE2" w:rsidRDefault="00FB76AB"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Vi è, infine, anche un altro importante elemento di cui è necessario tenere conto nel valutare la giurisprudenza dei giudici di Lussemburgo sul principio di proporzionalità. Si tratta della procedura nel contesto della quale il relativo sindacato si colloca. Ben diverso è, infatti, il modo in cui la Corte di Lussemburgo struttura il suo sindacato (sulla proporzionalità) nel caso in cui si tratti di una sentenza relativa ad procedura di infrazione</w:t>
      </w:r>
      <w:r w:rsidRPr="007B4FE2">
        <w:rPr>
          <w:rFonts w:ascii="Times New Roman" w:hAnsi="Times New Roman" w:cs="Times New Roman"/>
          <w:sz w:val="24"/>
          <w:szCs w:val="24"/>
          <w:vertAlign w:val="superscript"/>
        </w:rPr>
        <w:footnoteReference w:id="115"/>
      </w:r>
      <w:r w:rsidRPr="007B4FE2">
        <w:rPr>
          <w:rFonts w:ascii="Times New Roman" w:hAnsi="Times New Roman" w:cs="Times New Roman"/>
          <w:sz w:val="24"/>
          <w:szCs w:val="24"/>
        </w:rPr>
        <w:t>,</w:t>
      </w:r>
      <w:r w:rsidR="00DC2EB8" w:rsidRPr="007B4FE2">
        <w:rPr>
          <w:rFonts w:ascii="Times New Roman" w:hAnsi="Times New Roman" w:cs="Times New Roman"/>
          <w:sz w:val="24"/>
          <w:szCs w:val="24"/>
        </w:rPr>
        <w:t xml:space="preserve"> </w:t>
      </w:r>
      <w:r w:rsidRPr="007B4FE2">
        <w:rPr>
          <w:rFonts w:ascii="Times New Roman" w:hAnsi="Times New Roman" w:cs="Times New Roman"/>
          <w:sz w:val="24"/>
          <w:szCs w:val="24"/>
        </w:rPr>
        <w:t>rispetto al caso</w:t>
      </w:r>
      <w:r w:rsidR="00DC2EB8" w:rsidRPr="007B4FE2">
        <w:rPr>
          <w:rFonts w:ascii="Times New Roman" w:hAnsi="Times New Roman" w:cs="Times New Roman"/>
          <w:sz w:val="24"/>
          <w:szCs w:val="24"/>
        </w:rPr>
        <w:t xml:space="preserve"> </w:t>
      </w:r>
      <w:r w:rsidRPr="007B4FE2">
        <w:rPr>
          <w:rFonts w:ascii="Times New Roman" w:hAnsi="Times New Roman" w:cs="Times New Roman"/>
          <w:sz w:val="24"/>
          <w:szCs w:val="24"/>
        </w:rPr>
        <w:t>in cui si tratti di una pronunzia in risposta ad un rinvio pregiudiziale</w:t>
      </w:r>
      <w:r w:rsidRPr="007B4FE2">
        <w:rPr>
          <w:rFonts w:ascii="Times New Roman" w:hAnsi="Times New Roman" w:cs="Times New Roman"/>
          <w:sz w:val="24"/>
          <w:szCs w:val="24"/>
          <w:vertAlign w:val="superscript"/>
        </w:rPr>
        <w:footnoteReference w:id="116"/>
      </w:r>
      <w:r w:rsidRPr="007B4FE2">
        <w:rPr>
          <w:rFonts w:ascii="Times New Roman" w:hAnsi="Times New Roman" w:cs="Times New Roman"/>
          <w:sz w:val="24"/>
          <w:szCs w:val="24"/>
        </w:rPr>
        <w:t xml:space="preserve">. In </w:t>
      </w:r>
      <w:r w:rsidR="00442D36">
        <w:rPr>
          <w:rFonts w:ascii="Times New Roman" w:hAnsi="Times New Roman" w:cs="Times New Roman"/>
          <w:sz w:val="24"/>
          <w:szCs w:val="24"/>
        </w:rPr>
        <w:t>quest’ultima ipotesi</w:t>
      </w:r>
      <w:r w:rsidRPr="007B4FE2">
        <w:rPr>
          <w:rFonts w:ascii="Times New Roman" w:hAnsi="Times New Roman" w:cs="Times New Roman"/>
          <w:sz w:val="24"/>
          <w:szCs w:val="24"/>
        </w:rPr>
        <w:t xml:space="preserve"> la Corte di giustizia UE si limita, almeno in linea di principio, a fornire al giudice nazionale i parametri di riferimento per la sua decisione. E spetterà dunque al giudice nazionale valutare in concreto la compatibilità con il principio di proporzionalità di quegli atti nazionali oggetto di contestazione, ed all’origine della controversia che ha dato luogo al rinvio pregiudiziale</w:t>
      </w:r>
      <w:r w:rsidRPr="007B4FE2">
        <w:rPr>
          <w:rFonts w:ascii="Times New Roman" w:hAnsi="Times New Roman" w:cs="Times New Roman"/>
          <w:sz w:val="24"/>
          <w:szCs w:val="24"/>
          <w:vertAlign w:val="superscript"/>
        </w:rPr>
        <w:footnoteReference w:id="117"/>
      </w:r>
      <w:r w:rsidRPr="007B4FE2">
        <w:rPr>
          <w:rFonts w:ascii="Times New Roman" w:hAnsi="Times New Roman" w:cs="Times New Roman"/>
          <w:sz w:val="24"/>
          <w:szCs w:val="24"/>
        </w:rPr>
        <w:t>.</w:t>
      </w:r>
    </w:p>
    <w:p w:rsidR="00105D5E" w:rsidRPr="007B4FE2" w:rsidRDefault="00105D5E" w:rsidP="007B4FE2">
      <w:pPr>
        <w:spacing w:after="0" w:line="360" w:lineRule="auto"/>
        <w:ind w:firstLine="709"/>
        <w:jc w:val="both"/>
        <w:rPr>
          <w:rFonts w:ascii="Times New Roman" w:hAnsi="Times New Roman" w:cs="Times New Roman"/>
          <w:sz w:val="24"/>
          <w:szCs w:val="24"/>
        </w:rPr>
      </w:pPr>
    </w:p>
    <w:p w:rsidR="00105D5E" w:rsidRPr="007B4FE2" w:rsidRDefault="00105D5E" w:rsidP="007B4FE2">
      <w:pPr>
        <w:spacing w:after="0" w:line="360" w:lineRule="auto"/>
        <w:ind w:firstLine="709"/>
        <w:jc w:val="both"/>
        <w:rPr>
          <w:rFonts w:ascii="Times New Roman" w:hAnsi="Times New Roman" w:cs="Times New Roman"/>
          <w:b/>
          <w:sz w:val="24"/>
          <w:szCs w:val="24"/>
        </w:rPr>
      </w:pPr>
      <w:r w:rsidRPr="007B4FE2">
        <w:rPr>
          <w:rFonts w:ascii="Times New Roman" w:hAnsi="Times New Roman" w:cs="Times New Roman"/>
          <w:b/>
          <w:sz w:val="24"/>
          <w:szCs w:val="24"/>
        </w:rPr>
        <w:t xml:space="preserve">5.3. </w:t>
      </w:r>
      <w:r w:rsidR="003E3804" w:rsidRPr="007B4FE2">
        <w:rPr>
          <w:rFonts w:ascii="Times New Roman" w:hAnsi="Times New Roman" w:cs="Times New Roman"/>
          <w:b/>
          <w:sz w:val="24"/>
          <w:szCs w:val="24"/>
        </w:rPr>
        <w:t>Breve riflessione conclusiva</w:t>
      </w:r>
    </w:p>
    <w:p w:rsidR="00205B61" w:rsidRPr="007B4FE2" w:rsidRDefault="00105D5E"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Per concludere queste mie riflessioni sul principio di proporzionalità vorrei richiamare</w:t>
      </w:r>
      <w:r w:rsidR="00DC2EB8"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qui quanto osservato dal </w:t>
      </w:r>
      <w:r w:rsidR="00205B61" w:rsidRPr="007B4FE2">
        <w:rPr>
          <w:rFonts w:ascii="Times New Roman" w:hAnsi="Times New Roman" w:cs="Times New Roman"/>
          <w:sz w:val="24"/>
          <w:szCs w:val="24"/>
        </w:rPr>
        <w:t xml:space="preserve">Presidente aggiunto onorario del Consiglio di Stato, </w:t>
      </w:r>
      <w:r w:rsidR="00205B61" w:rsidRPr="007B4FE2">
        <w:rPr>
          <w:rFonts w:ascii="Times New Roman" w:hAnsi="Times New Roman" w:cs="Times New Roman"/>
          <w:i/>
          <w:sz w:val="24"/>
          <w:szCs w:val="24"/>
        </w:rPr>
        <w:t>Salvatore Giacchetti</w:t>
      </w:r>
      <w:r w:rsidRPr="007B4FE2">
        <w:rPr>
          <w:rFonts w:ascii="Times New Roman" w:hAnsi="Times New Roman" w:cs="Times New Roman"/>
          <w:sz w:val="24"/>
          <w:szCs w:val="24"/>
        </w:rPr>
        <w:t>: che</w:t>
      </w:r>
      <w:r w:rsidR="00205B61" w:rsidRPr="007B4FE2">
        <w:rPr>
          <w:rFonts w:ascii="Times New Roman" w:hAnsi="Times New Roman" w:cs="Times New Roman"/>
          <w:sz w:val="24"/>
          <w:szCs w:val="24"/>
        </w:rPr>
        <w:t xml:space="preserve"> ha</w:t>
      </w:r>
      <w:r w:rsidR="00DC2EB8"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di recente </w:t>
      </w:r>
      <w:r w:rsidR="00205B61" w:rsidRPr="007B4FE2">
        <w:rPr>
          <w:rFonts w:ascii="Times New Roman" w:hAnsi="Times New Roman" w:cs="Times New Roman"/>
          <w:sz w:val="24"/>
          <w:szCs w:val="24"/>
        </w:rPr>
        <w:t>evocato</w:t>
      </w:r>
      <w:r w:rsidRPr="007B4FE2">
        <w:rPr>
          <w:rFonts w:ascii="Times New Roman" w:hAnsi="Times New Roman" w:cs="Times New Roman"/>
          <w:sz w:val="24"/>
          <w:szCs w:val="24"/>
        </w:rPr>
        <w:t xml:space="preserve"> il sindacato giurisdizionale di tipo oggettivo quale </w:t>
      </w:r>
      <w:r w:rsidR="00205B61" w:rsidRPr="007B4FE2">
        <w:rPr>
          <w:rFonts w:ascii="Times New Roman" w:hAnsi="Times New Roman" w:cs="Times New Roman"/>
          <w:sz w:val="24"/>
          <w:szCs w:val="24"/>
        </w:rPr>
        <w:t>possibile antidoto al problema del nostro processo amministrativo definito come “</w:t>
      </w:r>
      <w:r w:rsidR="00205B61" w:rsidRPr="007B4FE2">
        <w:rPr>
          <w:rFonts w:ascii="Times New Roman" w:hAnsi="Times New Roman" w:cs="Times New Roman"/>
          <w:i/>
          <w:sz w:val="24"/>
          <w:szCs w:val="24"/>
        </w:rPr>
        <w:t>un inaffondabile Titanic, con un inossidabile carico di interessi legittimi e quindi di giurisdizione soggettiva orientata alla prevalente tutela del ricorrente</w:t>
      </w:r>
      <w:r w:rsidR="00442D36" w:rsidRPr="00442D36">
        <w:rPr>
          <w:rFonts w:ascii="Times New Roman" w:hAnsi="Times New Roman" w:cs="Times New Roman"/>
          <w:sz w:val="24"/>
          <w:szCs w:val="24"/>
        </w:rPr>
        <w:t>”</w:t>
      </w:r>
      <w:r w:rsidR="00205B61" w:rsidRPr="00442D36">
        <w:rPr>
          <w:rFonts w:ascii="Times New Roman" w:hAnsi="Times New Roman" w:cs="Times New Roman"/>
          <w:sz w:val="24"/>
          <w:szCs w:val="24"/>
          <w:vertAlign w:val="superscript"/>
        </w:rPr>
        <w:footnoteReference w:id="118"/>
      </w:r>
      <w:r w:rsidR="00205B61" w:rsidRPr="00442D36">
        <w:rPr>
          <w:rFonts w:ascii="Times New Roman" w:hAnsi="Times New Roman" w:cs="Times New Roman"/>
          <w:sz w:val="24"/>
          <w:szCs w:val="24"/>
        </w:rPr>
        <w:t>.</w:t>
      </w:r>
    </w:p>
    <w:p w:rsidR="00205B61" w:rsidRPr="007B4FE2" w:rsidRDefault="00205B61"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Una riflessione che, in realtà, ed almeno nei suoi esiti ultimi, coincide con quella fatta di recente dal Presidente </w:t>
      </w:r>
      <w:r w:rsidR="00425309" w:rsidRPr="007B4FE2">
        <w:rPr>
          <w:rFonts w:ascii="Times New Roman" w:hAnsi="Times New Roman" w:cs="Times New Roman"/>
          <w:i/>
          <w:sz w:val="24"/>
          <w:szCs w:val="24"/>
        </w:rPr>
        <w:t xml:space="preserve">Filippo </w:t>
      </w:r>
      <w:r w:rsidR="00963CEC" w:rsidRPr="007B4FE2">
        <w:rPr>
          <w:rFonts w:ascii="Times New Roman" w:hAnsi="Times New Roman" w:cs="Times New Roman"/>
          <w:i/>
          <w:sz w:val="24"/>
          <w:szCs w:val="24"/>
        </w:rPr>
        <w:t>Patroni Griffi</w:t>
      </w:r>
      <w:r w:rsidR="00963CEC" w:rsidRPr="007B4FE2">
        <w:rPr>
          <w:rFonts w:ascii="Times New Roman" w:hAnsi="Times New Roman" w:cs="Times New Roman"/>
          <w:sz w:val="24"/>
          <w:szCs w:val="24"/>
        </w:rPr>
        <w:t>,</w:t>
      </w:r>
      <w:r w:rsidR="00DC2EB8" w:rsidRPr="007B4FE2">
        <w:rPr>
          <w:rFonts w:ascii="Times New Roman" w:hAnsi="Times New Roman" w:cs="Times New Roman"/>
          <w:sz w:val="24"/>
          <w:szCs w:val="24"/>
        </w:rPr>
        <w:t xml:space="preserve"> </w:t>
      </w:r>
      <w:r w:rsidRPr="007B4FE2">
        <w:rPr>
          <w:rFonts w:ascii="Times New Roman" w:hAnsi="Times New Roman" w:cs="Times New Roman"/>
          <w:sz w:val="24"/>
          <w:szCs w:val="24"/>
        </w:rPr>
        <w:t>nella sua relazione al convegno di Parma dello scorso 4 ottobre</w:t>
      </w:r>
      <w:r w:rsidR="00963CEC" w:rsidRPr="007B4FE2">
        <w:rPr>
          <w:rFonts w:ascii="Times New Roman" w:hAnsi="Times New Roman" w:cs="Times New Roman"/>
          <w:sz w:val="24"/>
          <w:szCs w:val="24"/>
        </w:rPr>
        <w:t xml:space="preserve"> 2019,</w:t>
      </w:r>
      <w:r w:rsidR="00DC2EB8" w:rsidRPr="007B4FE2">
        <w:rPr>
          <w:rFonts w:ascii="Times New Roman" w:hAnsi="Times New Roman" w:cs="Times New Roman"/>
          <w:sz w:val="24"/>
          <w:szCs w:val="24"/>
        </w:rPr>
        <w:t xml:space="preserve"> </w:t>
      </w:r>
      <w:r w:rsidRPr="007B4FE2">
        <w:rPr>
          <w:rFonts w:ascii="Times New Roman" w:hAnsi="Times New Roman" w:cs="Times New Roman"/>
          <w:sz w:val="24"/>
          <w:szCs w:val="24"/>
        </w:rPr>
        <w:t>dall’evocativo titolo “La giustizia amministrativa tra presente e futuro".</w:t>
      </w:r>
      <w:r w:rsidR="00425309" w:rsidRPr="007B4FE2">
        <w:rPr>
          <w:rFonts w:ascii="Times New Roman" w:hAnsi="Times New Roman" w:cs="Times New Roman"/>
          <w:sz w:val="24"/>
          <w:szCs w:val="24"/>
        </w:rPr>
        <w:t xml:space="preserve"> </w:t>
      </w:r>
      <w:r w:rsidRPr="007B4FE2">
        <w:rPr>
          <w:rFonts w:ascii="Times New Roman" w:hAnsi="Times New Roman" w:cs="Times New Roman"/>
          <w:sz w:val="24"/>
          <w:szCs w:val="24"/>
        </w:rPr>
        <w:t>Pur partendo, infatti, da una posizione opposta -</w:t>
      </w:r>
      <w:r w:rsidR="00425309" w:rsidRPr="007B4FE2">
        <w:rPr>
          <w:rFonts w:ascii="Times New Roman" w:hAnsi="Times New Roman" w:cs="Times New Roman"/>
          <w:sz w:val="24"/>
          <w:szCs w:val="24"/>
        </w:rPr>
        <w:t xml:space="preserve"> </w:t>
      </w:r>
      <w:r w:rsidRPr="007B4FE2">
        <w:rPr>
          <w:rFonts w:ascii="Times New Roman" w:hAnsi="Times New Roman" w:cs="Times New Roman"/>
          <w:sz w:val="24"/>
          <w:szCs w:val="24"/>
        </w:rPr>
        <w:t>che consiste nel considerare del tutto positivo il progressivo abbandono della concezione oggettiva del giudizio amministrativo da parte del nostro ordinamento nazionale</w:t>
      </w:r>
      <w:r w:rsidR="00425309" w:rsidRPr="007B4FE2">
        <w:rPr>
          <w:rFonts w:ascii="Times New Roman" w:hAnsi="Times New Roman" w:cs="Times New Roman"/>
          <w:sz w:val="24"/>
          <w:szCs w:val="24"/>
        </w:rPr>
        <w:t xml:space="preserve"> </w:t>
      </w:r>
      <w:r w:rsidRPr="007B4FE2">
        <w:rPr>
          <w:rFonts w:ascii="Times New Roman" w:hAnsi="Times New Roman" w:cs="Times New Roman"/>
          <w:sz w:val="24"/>
          <w:szCs w:val="24"/>
        </w:rPr>
        <w:t xml:space="preserve">- </w:t>
      </w:r>
      <w:r w:rsidRPr="007B4FE2">
        <w:rPr>
          <w:rFonts w:ascii="Times New Roman" w:hAnsi="Times New Roman" w:cs="Times New Roman"/>
          <w:i/>
          <w:sz w:val="24"/>
          <w:szCs w:val="24"/>
        </w:rPr>
        <w:t>Patroni Griffi</w:t>
      </w:r>
      <w:r w:rsidRPr="007B4FE2">
        <w:rPr>
          <w:rFonts w:ascii="Times New Roman" w:hAnsi="Times New Roman" w:cs="Times New Roman"/>
          <w:sz w:val="24"/>
          <w:szCs w:val="24"/>
        </w:rPr>
        <w:t xml:space="preserve"> ha esortato la dottrina a guidare la giurisprudenza anche ripensando categorie concettuali consolidate, come il diritto soggettivo e l’interesse legittimo, soprattutto nella loro trasposizione sul piano processuale e come criterio di riparto della giurisdizione. Perché, ci avverte </w:t>
      </w:r>
      <w:r w:rsidRPr="00442D36">
        <w:rPr>
          <w:rFonts w:ascii="Times New Roman" w:hAnsi="Times New Roman" w:cs="Times New Roman"/>
          <w:i/>
          <w:sz w:val="24"/>
          <w:szCs w:val="24"/>
        </w:rPr>
        <w:t>Patroni Griffi</w:t>
      </w:r>
      <w:r w:rsidRPr="007B4FE2">
        <w:rPr>
          <w:rFonts w:ascii="Times New Roman" w:hAnsi="Times New Roman" w:cs="Times New Roman"/>
          <w:sz w:val="24"/>
          <w:szCs w:val="24"/>
        </w:rPr>
        <w:t>, occorre far sì che i giudici amministrativi continuino a porsi al contempo come “</w:t>
      </w:r>
      <w:r w:rsidRPr="007B4FE2">
        <w:rPr>
          <w:rFonts w:ascii="Times New Roman" w:hAnsi="Times New Roman" w:cs="Times New Roman"/>
          <w:i/>
          <w:sz w:val="24"/>
          <w:szCs w:val="24"/>
        </w:rPr>
        <w:t>garanti del cittadino e della legittimità del potere</w:t>
      </w:r>
      <w:r w:rsidRPr="007B4FE2">
        <w:rPr>
          <w:rFonts w:ascii="Times New Roman" w:hAnsi="Times New Roman" w:cs="Times New Roman"/>
          <w:sz w:val="24"/>
          <w:szCs w:val="24"/>
        </w:rPr>
        <w:t>”</w:t>
      </w:r>
      <w:r w:rsidRPr="007B4FE2">
        <w:rPr>
          <w:rFonts w:ascii="Times New Roman" w:hAnsi="Times New Roman" w:cs="Times New Roman"/>
          <w:sz w:val="24"/>
          <w:szCs w:val="24"/>
          <w:vertAlign w:val="superscript"/>
        </w:rPr>
        <w:footnoteReference w:id="119"/>
      </w:r>
      <w:r w:rsidRPr="007B4FE2">
        <w:rPr>
          <w:rFonts w:ascii="Times New Roman" w:hAnsi="Times New Roman" w:cs="Times New Roman"/>
          <w:sz w:val="24"/>
          <w:szCs w:val="24"/>
        </w:rPr>
        <w:t>. Per</w:t>
      </w:r>
      <w:r w:rsidR="00DC2EB8" w:rsidRPr="007B4FE2">
        <w:rPr>
          <w:rFonts w:ascii="Times New Roman" w:hAnsi="Times New Roman" w:cs="Times New Roman"/>
          <w:sz w:val="24"/>
          <w:szCs w:val="24"/>
        </w:rPr>
        <w:t xml:space="preserve"> </w:t>
      </w:r>
      <w:r w:rsidRPr="007B4FE2">
        <w:rPr>
          <w:rFonts w:ascii="Times New Roman" w:hAnsi="Times New Roman" w:cs="Times New Roman"/>
          <w:sz w:val="24"/>
          <w:szCs w:val="24"/>
        </w:rPr>
        <w:t>continuare</w:t>
      </w:r>
      <w:r w:rsidR="00DC2EB8" w:rsidRPr="007B4FE2">
        <w:rPr>
          <w:rFonts w:ascii="Times New Roman" w:hAnsi="Times New Roman" w:cs="Times New Roman"/>
          <w:sz w:val="24"/>
          <w:szCs w:val="24"/>
        </w:rPr>
        <w:t xml:space="preserve"> </w:t>
      </w:r>
      <w:r w:rsidR="00963CEC" w:rsidRPr="007B4FE2">
        <w:rPr>
          <w:rFonts w:ascii="Times New Roman" w:hAnsi="Times New Roman" w:cs="Times New Roman"/>
          <w:sz w:val="24"/>
          <w:szCs w:val="24"/>
        </w:rPr>
        <w:t>- aggiungerei ora</w:t>
      </w:r>
      <w:r w:rsidR="00DC2EB8" w:rsidRPr="007B4FE2">
        <w:rPr>
          <w:rFonts w:ascii="Times New Roman" w:hAnsi="Times New Roman" w:cs="Times New Roman"/>
          <w:sz w:val="24"/>
          <w:szCs w:val="24"/>
        </w:rPr>
        <w:t xml:space="preserve"> </w:t>
      </w:r>
      <w:r w:rsidR="00963CEC" w:rsidRPr="007B4FE2">
        <w:rPr>
          <w:rFonts w:ascii="Times New Roman" w:hAnsi="Times New Roman" w:cs="Times New Roman"/>
          <w:sz w:val="24"/>
          <w:szCs w:val="24"/>
        </w:rPr>
        <w:t xml:space="preserve">- </w:t>
      </w:r>
      <w:r w:rsidRPr="007B4FE2">
        <w:rPr>
          <w:rFonts w:ascii="Times New Roman" w:hAnsi="Times New Roman" w:cs="Times New Roman"/>
          <w:sz w:val="24"/>
          <w:szCs w:val="24"/>
        </w:rPr>
        <w:t>quella “</w:t>
      </w:r>
      <w:r w:rsidRPr="007B4FE2">
        <w:rPr>
          <w:rFonts w:ascii="Times New Roman" w:hAnsi="Times New Roman" w:cs="Times New Roman"/>
          <w:i/>
          <w:sz w:val="24"/>
          <w:szCs w:val="24"/>
        </w:rPr>
        <w:t>lotta contro il potere arbitrario</w:t>
      </w:r>
      <w:r w:rsidRPr="007B4FE2">
        <w:rPr>
          <w:rFonts w:ascii="Times New Roman" w:hAnsi="Times New Roman" w:cs="Times New Roman"/>
          <w:sz w:val="24"/>
          <w:szCs w:val="24"/>
        </w:rPr>
        <w:t>” cui il Presidente</w:t>
      </w:r>
      <w:r w:rsidR="00DC2EB8" w:rsidRPr="007B4FE2">
        <w:rPr>
          <w:rFonts w:ascii="Times New Roman" w:hAnsi="Times New Roman" w:cs="Times New Roman"/>
          <w:sz w:val="24"/>
          <w:szCs w:val="24"/>
        </w:rPr>
        <w:t xml:space="preserve"> </w:t>
      </w:r>
      <w:r w:rsidR="00963CEC" w:rsidRPr="007B4FE2">
        <w:rPr>
          <w:rFonts w:ascii="Times New Roman" w:hAnsi="Times New Roman" w:cs="Times New Roman"/>
          <w:sz w:val="24"/>
          <w:szCs w:val="24"/>
        </w:rPr>
        <w:t xml:space="preserve">ha fatto riferimento </w:t>
      </w:r>
      <w:r w:rsidRPr="007B4FE2">
        <w:rPr>
          <w:rFonts w:ascii="Times New Roman" w:hAnsi="Times New Roman" w:cs="Times New Roman"/>
          <w:sz w:val="24"/>
          <w:szCs w:val="24"/>
        </w:rPr>
        <w:t>nel suo discorso introduttivo</w:t>
      </w:r>
      <w:r w:rsidR="00963CEC" w:rsidRPr="007B4FE2">
        <w:rPr>
          <w:rFonts w:ascii="Times New Roman" w:hAnsi="Times New Roman" w:cs="Times New Roman"/>
          <w:sz w:val="24"/>
          <w:szCs w:val="24"/>
        </w:rPr>
        <w:t>, qui pubblicato</w:t>
      </w:r>
      <w:r w:rsidR="00425309" w:rsidRPr="007B4FE2">
        <w:rPr>
          <w:rStyle w:val="Rimandonotaapidipagina"/>
          <w:rFonts w:ascii="Times New Roman" w:hAnsi="Times New Roman" w:cs="Times New Roman"/>
          <w:sz w:val="24"/>
          <w:szCs w:val="24"/>
        </w:rPr>
        <w:footnoteReference w:id="120"/>
      </w:r>
      <w:r w:rsidRPr="007B4FE2">
        <w:rPr>
          <w:rFonts w:ascii="Times New Roman" w:hAnsi="Times New Roman" w:cs="Times New Roman"/>
          <w:sz w:val="24"/>
          <w:szCs w:val="24"/>
        </w:rPr>
        <w:t>.</w:t>
      </w:r>
    </w:p>
    <w:p w:rsidR="00652EDF" w:rsidRDefault="00205B61" w:rsidP="007B4FE2">
      <w:pPr>
        <w:spacing w:after="0" w:line="360" w:lineRule="auto"/>
        <w:ind w:firstLine="709"/>
        <w:jc w:val="both"/>
        <w:rPr>
          <w:rFonts w:ascii="Times New Roman" w:hAnsi="Times New Roman" w:cs="Times New Roman"/>
          <w:sz w:val="24"/>
          <w:szCs w:val="24"/>
        </w:rPr>
      </w:pPr>
      <w:r w:rsidRPr="007B4FE2">
        <w:rPr>
          <w:rFonts w:ascii="Times New Roman" w:hAnsi="Times New Roman" w:cs="Times New Roman"/>
          <w:sz w:val="24"/>
          <w:szCs w:val="24"/>
        </w:rPr>
        <w:t xml:space="preserve">In questa prospettiva </w:t>
      </w:r>
      <w:r w:rsidR="00425309" w:rsidRPr="007B4FE2">
        <w:rPr>
          <w:rFonts w:ascii="Times New Roman" w:hAnsi="Times New Roman" w:cs="Times New Roman"/>
          <w:sz w:val="24"/>
          <w:szCs w:val="24"/>
        </w:rPr>
        <w:t xml:space="preserve">- come sottolinea </w:t>
      </w:r>
      <w:r w:rsidR="00FB76AB" w:rsidRPr="007B4FE2">
        <w:rPr>
          <w:rFonts w:ascii="Times New Roman" w:hAnsi="Times New Roman" w:cs="Times New Roman"/>
          <w:sz w:val="24"/>
          <w:szCs w:val="24"/>
        </w:rPr>
        <w:t xml:space="preserve">peraltro </w:t>
      </w:r>
      <w:r w:rsidR="00425309" w:rsidRPr="007B4FE2">
        <w:rPr>
          <w:rFonts w:ascii="Times New Roman" w:hAnsi="Times New Roman" w:cs="Times New Roman"/>
          <w:sz w:val="24"/>
          <w:szCs w:val="24"/>
        </w:rPr>
        <w:t>anche</w:t>
      </w:r>
      <w:r w:rsidR="00FC2497" w:rsidRPr="007B4FE2">
        <w:rPr>
          <w:rFonts w:ascii="Times New Roman" w:hAnsi="Times New Roman" w:cs="Times New Roman"/>
          <w:sz w:val="24"/>
          <w:szCs w:val="24"/>
        </w:rPr>
        <w:t xml:space="preserve"> </w:t>
      </w:r>
      <w:r w:rsidR="00425309" w:rsidRPr="007B4FE2">
        <w:rPr>
          <w:rFonts w:ascii="Times New Roman" w:hAnsi="Times New Roman" w:cs="Times New Roman"/>
          <w:i/>
          <w:sz w:val="24"/>
          <w:szCs w:val="24"/>
        </w:rPr>
        <w:t>Stefano</w:t>
      </w:r>
      <w:r w:rsidRPr="007B4FE2">
        <w:rPr>
          <w:rFonts w:ascii="Times New Roman" w:hAnsi="Times New Roman" w:cs="Times New Roman"/>
          <w:i/>
          <w:sz w:val="24"/>
          <w:szCs w:val="24"/>
        </w:rPr>
        <w:t xml:space="preserve"> Cognetti</w:t>
      </w:r>
      <w:r w:rsidR="00425309" w:rsidRPr="007B4FE2">
        <w:rPr>
          <w:rStyle w:val="Rimandonotaapidipagina"/>
          <w:rFonts w:ascii="Times New Roman" w:hAnsi="Times New Roman" w:cs="Times New Roman"/>
          <w:sz w:val="24"/>
          <w:szCs w:val="24"/>
        </w:rPr>
        <w:footnoteReference w:id="121"/>
      </w:r>
      <w:r w:rsidR="00425309" w:rsidRPr="007B4FE2">
        <w:rPr>
          <w:rFonts w:ascii="Times New Roman" w:hAnsi="Times New Roman" w:cs="Times New Roman"/>
          <w:sz w:val="24"/>
          <w:szCs w:val="24"/>
        </w:rPr>
        <w:t xml:space="preserve"> </w:t>
      </w:r>
      <w:r w:rsidRPr="007B4FE2">
        <w:rPr>
          <w:rFonts w:ascii="Times New Roman" w:hAnsi="Times New Roman" w:cs="Times New Roman"/>
          <w:sz w:val="24"/>
          <w:szCs w:val="24"/>
        </w:rPr>
        <w:t>- non c’è dubbio che il principio di proporzionalità rappresenti uno strumento di sindacato giurisdizionale indispensabile e largamente ineguagliabile, quanto al livello di effettività della tutela giurisdizionale (amministrativa) che esso può/potrebbe in concreto contribuire a garantire.</w:t>
      </w:r>
    </w:p>
    <w:p w:rsidR="00EE74BA" w:rsidRDefault="002B364F" w:rsidP="007B4FE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È </w:t>
      </w:r>
      <w:r w:rsidR="00853E25">
        <w:rPr>
          <w:rFonts w:ascii="Times New Roman" w:hAnsi="Times New Roman" w:cs="Times New Roman"/>
          <w:sz w:val="24"/>
          <w:szCs w:val="24"/>
        </w:rPr>
        <w:t xml:space="preserve">da </w:t>
      </w:r>
      <w:r w:rsidR="00EE74BA">
        <w:rPr>
          <w:rFonts w:ascii="Times New Roman" w:hAnsi="Times New Roman" w:cs="Times New Roman"/>
          <w:sz w:val="24"/>
          <w:szCs w:val="24"/>
        </w:rPr>
        <w:t>salutare</w:t>
      </w:r>
      <w:r>
        <w:rPr>
          <w:rFonts w:ascii="Times New Roman" w:hAnsi="Times New Roman" w:cs="Times New Roman"/>
          <w:sz w:val="24"/>
          <w:szCs w:val="24"/>
        </w:rPr>
        <w:t xml:space="preserve"> dunque </w:t>
      </w:r>
      <w:r w:rsidR="00EE74BA">
        <w:rPr>
          <w:rFonts w:ascii="Times New Roman" w:hAnsi="Times New Roman" w:cs="Times New Roman"/>
          <w:sz w:val="24"/>
          <w:szCs w:val="24"/>
        </w:rPr>
        <w:t xml:space="preserve">con </w:t>
      </w:r>
      <w:r w:rsidR="005E1CAB">
        <w:rPr>
          <w:rFonts w:ascii="Times New Roman" w:hAnsi="Times New Roman" w:cs="Times New Roman"/>
          <w:sz w:val="24"/>
          <w:szCs w:val="24"/>
        </w:rPr>
        <w:t xml:space="preserve">grande </w:t>
      </w:r>
      <w:r w:rsidR="00EE74BA">
        <w:rPr>
          <w:rFonts w:ascii="Times New Roman" w:hAnsi="Times New Roman" w:cs="Times New Roman"/>
          <w:sz w:val="24"/>
          <w:szCs w:val="24"/>
        </w:rPr>
        <w:t>favore il rinnovato interesse</w:t>
      </w:r>
      <w:r>
        <w:rPr>
          <w:rFonts w:ascii="Times New Roman" w:hAnsi="Times New Roman" w:cs="Times New Roman"/>
          <w:sz w:val="24"/>
          <w:szCs w:val="24"/>
        </w:rPr>
        <w:t xml:space="preserve"> </w:t>
      </w:r>
      <w:r w:rsidR="00EE74BA">
        <w:rPr>
          <w:rFonts w:ascii="Times New Roman" w:hAnsi="Times New Roman" w:cs="Times New Roman"/>
          <w:sz w:val="24"/>
          <w:szCs w:val="24"/>
        </w:rPr>
        <w:t>per lo studio di questo principio</w:t>
      </w:r>
      <w:r w:rsidR="005E1CAB">
        <w:rPr>
          <w:rFonts w:ascii="Times New Roman" w:hAnsi="Times New Roman" w:cs="Times New Roman"/>
          <w:sz w:val="24"/>
          <w:szCs w:val="24"/>
        </w:rPr>
        <w:t xml:space="preserve">. Di esso </w:t>
      </w:r>
      <w:r w:rsidR="00EE74BA">
        <w:rPr>
          <w:rFonts w:ascii="Times New Roman" w:hAnsi="Times New Roman" w:cs="Times New Roman"/>
          <w:sz w:val="24"/>
          <w:szCs w:val="24"/>
        </w:rPr>
        <w:t>è prova la molta letteratura, soprattutto in lingua inglese, prodotta più</w:t>
      </w:r>
      <w:r w:rsidR="005E1CAB">
        <w:rPr>
          <w:rFonts w:ascii="Times New Roman" w:hAnsi="Times New Roman" w:cs="Times New Roman"/>
          <w:sz w:val="24"/>
          <w:szCs w:val="24"/>
        </w:rPr>
        <w:t xml:space="preserve"> di recente</w:t>
      </w:r>
      <w:r>
        <w:rPr>
          <w:rFonts w:ascii="Times New Roman" w:hAnsi="Times New Roman" w:cs="Times New Roman"/>
          <w:sz w:val="24"/>
          <w:szCs w:val="24"/>
        </w:rPr>
        <w:t xml:space="preserve"> e </w:t>
      </w:r>
      <w:proofErr w:type="gramStart"/>
      <w:r>
        <w:rPr>
          <w:rFonts w:ascii="Times New Roman" w:hAnsi="Times New Roman" w:cs="Times New Roman"/>
          <w:sz w:val="24"/>
          <w:szCs w:val="24"/>
        </w:rPr>
        <w:t xml:space="preserve">che </w:t>
      </w:r>
      <w:r w:rsidR="005E1CAB">
        <w:rPr>
          <w:rFonts w:ascii="Times New Roman" w:hAnsi="Times New Roman" w:cs="Times New Roman"/>
          <w:sz w:val="24"/>
          <w:szCs w:val="24"/>
        </w:rPr>
        <w:t xml:space="preserve"> contiene</w:t>
      </w:r>
      <w:proofErr w:type="gramEnd"/>
      <w:r w:rsidR="005E1CAB">
        <w:rPr>
          <w:rFonts w:ascii="Times New Roman" w:hAnsi="Times New Roman" w:cs="Times New Roman"/>
          <w:sz w:val="24"/>
          <w:szCs w:val="24"/>
        </w:rPr>
        <w:t xml:space="preserve"> spunti di riflessione assai interessanti</w:t>
      </w:r>
      <w:r w:rsidR="00853E25">
        <w:rPr>
          <w:rFonts w:ascii="Times New Roman" w:hAnsi="Times New Roman" w:cs="Times New Roman"/>
          <w:sz w:val="24"/>
          <w:szCs w:val="24"/>
        </w:rPr>
        <w:t>,</w:t>
      </w:r>
      <w:r w:rsidR="005E1CAB">
        <w:rPr>
          <w:rFonts w:ascii="Times New Roman" w:hAnsi="Times New Roman" w:cs="Times New Roman"/>
          <w:sz w:val="24"/>
          <w:szCs w:val="24"/>
        </w:rPr>
        <w:t xml:space="preserve"> anche nella prospettiva di una sua più ampia e consapevole applicazione nel contesto del sindacato giurisdizionale (amministrativo). </w:t>
      </w:r>
    </w:p>
    <w:p w:rsidR="00F10CDE" w:rsidRDefault="00F10CDE" w:rsidP="007B4FE2">
      <w:pPr>
        <w:spacing w:after="0" w:line="360" w:lineRule="auto"/>
        <w:ind w:firstLine="709"/>
        <w:jc w:val="both"/>
        <w:rPr>
          <w:rFonts w:ascii="Times New Roman" w:hAnsi="Times New Roman" w:cs="Times New Roman"/>
          <w:sz w:val="24"/>
          <w:szCs w:val="24"/>
        </w:rPr>
      </w:pPr>
    </w:p>
    <w:p w:rsidR="00F10CDE" w:rsidRPr="00AA5BCE" w:rsidRDefault="00F10CDE" w:rsidP="00AA5BCE">
      <w:pPr>
        <w:spacing w:after="0" w:line="360" w:lineRule="auto"/>
        <w:ind w:firstLine="709"/>
        <w:jc w:val="right"/>
        <w:rPr>
          <w:rFonts w:ascii="Times New Roman" w:eastAsiaTheme="minorEastAsia" w:hAnsi="Times New Roman" w:cs="Times New Roman"/>
          <w:b/>
          <w:sz w:val="32"/>
          <w:szCs w:val="32"/>
          <w:lang w:eastAsia="it-IT"/>
        </w:rPr>
      </w:pPr>
      <w:r w:rsidRPr="00AA5BCE">
        <w:rPr>
          <w:rFonts w:ascii="Times New Roman" w:eastAsiaTheme="minorEastAsia" w:hAnsi="Times New Roman" w:cs="Times New Roman"/>
          <w:b/>
          <w:sz w:val="32"/>
          <w:szCs w:val="32"/>
          <w:lang w:eastAsia="it-IT"/>
        </w:rPr>
        <w:t xml:space="preserve">Diana-Urania </w:t>
      </w:r>
      <w:proofErr w:type="spellStart"/>
      <w:r w:rsidRPr="00AA5BCE">
        <w:rPr>
          <w:rFonts w:ascii="Times New Roman" w:eastAsiaTheme="minorEastAsia" w:hAnsi="Times New Roman" w:cs="Times New Roman"/>
          <w:b/>
          <w:sz w:val="32"/>
          <w:szCs w:val="32"/>
          <w:lang w:eastAsia="it-IT"/>
        </w:rPr>
        <w:t>Galetta</w:t>
      </w:r>
      <w:proofErr w:type="spellEnd"/>
    </w:p>
    <w:p w:rsidR="00F10CDE" w:rsidRDefault="00F10CDE" w:rsidP="00AA5BCE">
      <w:pPr>
        <w:spacing w:after="0" w:line="360" w:lineRule="auto"/>
        <w:ind w:firstLine="709"/>
        <w:jc w:val="right"/>
        <w:rPr>
          <w:rFonts w:ascii="Times New Roman" w:eastAsiaTheme="minorEastAsia" w:hAnsi="Times New Roman" w:cs="Times New Roman"/>
          <w:sz w:val="24"/>
          <w:szCs w:val="24"/>
          <w:lang w:eastAsia="it-IT"/>
        </w:rPr>
      </w:pPr>
      <w:r>
        <w:rPr>
          <w:rFonts w:ascii="Times New Roman" w:eastAsiaTheme="minorEastAsia" w:hAnsi="Times New Roman" w:cs="Times New Roman"/>
          <w:sz w:val="24"/>
          <w:szCs w:val="24"/>
          <w:lang w:eastAsia="it-IT"/>
        </w:rPr>
        <w:t>Professore ordinario presso l’Università statale di Milano</w:t>
      </w:r>
    </w:p>
    <w:p w:rsidR="00AA5BCE" w:rsidRDefault="00AA5BCE" w:rsidP="00AA5BCE">
      <w:pPr>
        <w:spacing w:after="0" w:line="360" w:lineRule="auto"/>
        <w:ind w:firstLine="709"/>
        <w:jc w:val="right"/>
        <w:rPr>
          <w:rFonts w:ascii="Times New Roman" w:eastAsiaTheme="minorEastAsia" w:hAnsi="Times New Roman" w:cs="Times New Roman"/>
          <w:sz w:val="24"/>
          <w:szCs w:val="24"/>
          <w:lang w:eastAsia="it-IT"/>
        </w:rPr>
      </w:pPr>
    </w:p>
    <w:p w:rsidR="00AA5BCE" w:rsidRPr="007B4FE2" w:rsidRDefault="00AA5BCE" w:rsidP="00AA5BCE">
      <w:pPr>
        <w:spacing w:after="0" w:line="360" w:lineRule="auto"/>
        <w:ind w:firstLine="709"/>
        <w:jc w:val="right"/>
        <w:rPr>
          <w:rFonts w:ascii="Times New Roman" w:eastAsiaTheme="minorEastAsia" w:hAnsi="Times New Roman" w:cs="Times New Roman"/>
          <w:sz w:val="24"/>
          <w:szCs w:val="24"/>
          <w:lang w:eastAsia="it-IT"/>
        </w:rPr>
      </w:pPr>
      <w:r>
        <w:rPr>
          <w:rFonts w:ascii="Times New Roman" w:eastAsiaTheme="minorEastAsia" w:hAnsi="Times New Roman" w:cs="Times New Roman"/>
          <w:sz w:val="24"/>
          <w:szCs w:val="24"/>
          <w:lang w:eastAsia="it-IT"/>
        </w:rPr>
        <w:t>Pubblicato il 31 gennaio 2020</w:t>
      </w:r>
      <w:bookmarkStart w:id="3" w:name="_GoBack"/>
      <w:bookmarkEnd w:id="3"/>
    </w:p>
    <w:sectPr w:rsidR="00AA5BCE" w:rsidRPr="007B4FE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B81" w:rsidRDefault="00332B81" w:rsidP="00916F2C">
      <w:pPr>
        <w:spacing w:after="0" w:line="240" w:lineRule="auto"/>
      </w:pPr>
      <w:r>
        <w:separator/>
      </w:r>
    </w:p>
  </w:endnote>
  <w:endnote w:type="continuationSeparator" w:id="0">
    <w:p w:rsidR="00332B81" w:rsidRDefault="00332B81" w:rsidP="0091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B81" w:rsidRDefault="00332B81" w:rsidP="00916F2C">
      <w:pPr>
        <w:spacing w:after="0" w:line="240" w:lineRule="auto"/>
      </w:pPr>
      <w:r>
        <w:separator/>
      </w:r>
    </w:p>
  </w:footnote>
  <w:footnote w:type="continuationSeparator" w:id="0">
    <w:p w:rsidR="00332B81" w:rsidRDefault="00332B81" w:rsidP="00916F2C">
      <w:pPr>
        <w:spacing w:after="0" w:line="240" w:lineRule="auto"/>
      </w:pPr>
      <w:r>
        <w:continuationSeparator/>
      </w:r>
    </w:p>
  </w:footnote>
  <w:footnote w:id="1">
    <w:p w:rsidR="0097768D" w:rsidRPr="007B4FE2" w:rsidRDefault="0097768D" w:rsidP="007B4FE2">
      <w:pPr>
        <w:pStyle w:val="Testonotaapidipagina"/>
        <w:rPr>
          <w:szCs w:val="18"/>
        </w:rPr>
      </w:pPr>
      <w:r w:rsidRPr="007B4FE2">
        <w:rPr>
          <w:rStyle w:val="Rimandonotaapidipagina"/>
          <w:sz w:val="18"/>
          <w:szCs w:val="18"/>
        </w:rPr>
        <w:t>(*)</w:t>
      </w:r>
      <w:r w:rsidRPr="007B4FE2">
        <w:rPr>
          <w:szCs w:val="18"/>
        </w:rPr>
        <w:t xml:space="preserve"> I contenuti del presente scritto sono stati da me presentati, in forma sintetica e riassuntiva, al Convegno dal titolo “</w:t>
      </w:r>
      <w:r w:rsidRPr="007B4FE2">
        <w:rPr>
          <w:i/>
          <w:szCs w:val="18"/>
        </w:rPr>
        <w:t>Itinerari della Giustizia amministrativa e del suo giudice. Per i 130 anni dall’istituzione della Quarta Sezione del Consiglio di Stato</w:t>
      </w:r>
      <w:r w:rsidRPr="007B4FE2">
        <w:rPr>
          <w:szCs w:val="18"/>
        </w:rPr>
        <w:t>”, svoltosi a Roma in data 20 novembre 2019, presso la Sede del Consiglio di Stato (Palazzo Spada - Aula di Pompeo).</w:t>
      </w:r>
    </w:p>
  </w:footnote>
  <w:footnote w:id="2">
    <w:p w:rsidR="0097768D" w:rsidRPr="007B4FE2" w:rsidRDefault="0097768D" w:rsidP="007B4FE2">
      <w:pPr>
        <w:pStyle w:val="Testonotaapidipagina"/>
        <w:rPr>
          <w:szCs w:val="18"/>
          <w:lang w:val="en-GB"/>
        </w:rPr>
      </w:pPr>
      <w:r w:rsidRPr="007B4FE2">
        <w:rPr>
          <w:rStyle w:val="Rimandonotaapidipagina"/>
          <w:sz w:val="18"/>
          <w:szCs w:val="18"/>
        </w:rPr>
        <w:footnoteRef/>
      </w:r>
      <w:r w:rsidRPr="007B4FE2">
        <w:rPr>
          <w:szCs w:val="18"/>
          <w:lang w:val="en-GB"/>
        </w:rPr>
        <w:t xml:space="preserve"> </w:t>
      </w:r>
      <w:r w:rsidRPr="007B4FE2">
        <w:rPr>
          <w:szCs w:val="18"/>
          <w:lang w:val="en-US"/>
        </w:rPr>
        <w:t xml:space="preserve">A.L. Young, G. de </w:t>
      </w:r>
      <w:proofErr w:type="spellStart"/>
      <w:r w:rsidRPr="007B4FE2">
        <w:rPr>
          <w:szCs w:val="18"/>
          <w:lang w:val="en-US"/>
        </w:rPr>
        <w:t>Búrca</w:t>
      </w:r>
      <w:proofErr w:type="spellEnd"/>
      <w:r w:rsidRPr="007B4FE2">
        <w:rPr>
          <w:szCs w:val="18"/>
          <w:lang w:val="en-US"/>
        </w:rPr>
        <w:t xml:space="preserve">, </w:t>
      </w:r>
      <w:r w:rsidRPr="007B4FE2">
        <w:rPr>
          <w:i/>
          <w:szCs w:val="18"/>
          <w:lang w:val="en-US"/>
        </w:rPr>
        <w:t>Proportionality</w:t>
      </w:r>
      <w:r w:rsidRPr="007B4FE2">
        <w:rPr>
          <w:szCs w:val="18"/>
          <w:lang w:val="en-US"/>
        </w:rPr>
        <w:t xml:space="preserve">, in S. </w:t>
      </w:r>
      <w:proofErr w:type="spellStart"/>
      <w:r w:rsidRPr="007B4FE2">
        <w:rPr>
          <w:szCs w:val="18"/>
          <w:lang w:val="en-US"/>
        </w:rPr>
        <w:t>Vogenauer</w:t>
      </w:r>
      <w:proofErr w:type="spellEnd"/>
      <w:r w:rsidRPr="007B4FE2">
        <w:rPr>
          <w:szCs w:val="18"/>
          <w:lang w:val="en-US"/>
        </w:rPr>
        <w:t xml:space="preserve">, S. </w:t>
      </w:r>
      <w:proofErr w:type="spellStart"/>
      <w:r w:rsidRPr="007B4FE2">
        <w:rPr>
          <w:szCs w:val="18"/>
          <w:lang w:val="en-US"/>
        </w:rPr>
        <w:t>Weatherill</w:t>
      </w:r>
      <w:proofErr w:type="spellEnd"/>
      <w:r w:rsidRPr="007B4FE2">
        <w:rPr>
          <w:szCs w:val="18"/>
          <w:lang w:val="en-US"/>
        </w:rPr>
        <w:t xml:space="preserve"> (Eds.), </w:t>
      </w:r>
      <w:r w:rsidRPr="007B4FE2">
        <w:rPr>
          <w:i/>
          <w:szCs w:val="18"/>
          <w:lang w:val="en-US"/>
        </w:rPr>
        <w:t>General Principles of Law: European and Comparative Perspectives</w:t>
      </w:r>
      <w:r w:rsidRPr="007B4FE2">
        <w:rPr>
          <w:szCs w:val="18"/>
          <w:lang w:val="en-US"/>
        </w:rPr>
        <w:t>, London, 2017, p. 133 ss.</w:t>
      </w:r>
    </w:p>
  </w:footnote>
  <w:footnote w:id="3">
    <w:p w:rsidR="0097768D" w:rsidRPr="007B4FE2" w:rsidRDefault="0097768D" w:rsidP="007B4FE2">
      <w:pPr>
        <w:pStyle w:val="Testonotaapidipagina"/>
        <w:rPr>
          <w:szCs w:val="18"/>
          <w:lang w:val="de-DE"/>
        </w:rPr>
      </w:pPr>
      <w:r w:rsidRPr="007B4FE2">
        <w:rPr>
          <w:rStyle w:val="Rimandonotaapidipagina"/>
          <w:sz w:val="18"/>
          <w:szCs w:val="18"/>
        </w:rPr>
        <w:footnoteRef/>
      </w:r>
      <w:r w:rsidRPr="007B4FE2">
        <w:rPr>
          <w:szCs w:val="18"/>
          <w:lang w:val="de-DE"/>
        </w:rPr>
        <w:t xml:space="preserve"> Sul </w:t>
      </w:r>
      <w:proofErr w:type="spellStart"/>
      <w:r w:rsidRPr="007B4FE2">
        <w:rPr>
          <w:szCs w:val="18"/>
          <w:lang w:val="de-DE"/>
        </w:rPr>
        <w:t>punto</w:t>
      </w:r>
      <w:proofErr w:type="spellEnd"/>
      <w:r w:rsidRPr="007B4FE2">
        <w:rPr>
          <w:szCs w:val="18"/>
          <w:lang w:val="de-DE"/>
        </w:rPr>
        <w:t xml:space="preserve"> si </w:t>
      </w:r>
      <w:proofErr w:type="spellStart"/>
      <w:r w:rsidRPr="007B4FE2">
        <w:rPr>
          <w:szCs w:val="18"/>
          <w:lang w:val="de-DE"/>
        </w:rPr>
        <w:t>rinvia</w:t>
      </w:r>
      <w:proofErr w:type="spellEnd"/>
      <w:r w:rsidRPr="007B4FE2">
        <w:rPr>
          <w:szCs w:val="18"/>
          <w:lang w:val="de-DE"/>
        </w:rPr>
        <w:t xml:space="preserve"> per tutti al </w:t>
      </w:r>
      <w:proofErr w:type="spellStart"/>
      <w:r w:rsidRPr="007B4FE2">
        <w:rPr>
          <w:szCs w:val="18"/>
          <w:lang w:val="de-DE"/>
        </w:rPr>
        <w:t>volume</w:t>
      </w:r>
      <w:proofErr w:type="spellEnd"/>
      <w:r w:rsidRPr="007B4FE2">
        <w:rPr>
          <w:szCs w:val="18"/>
          <w:lang w:val="de-DE"/>
        </w:rPr>
        <w:t xml:space="preserve"> di J. Schwarze, </w:t>
      </w:r>
      <w:r w:rsidRPr="007B4FE2">
        <w:rPr>
          <w:i/>
          <w:szCs w:val="18"/>
          <w:lang w:val="de-DE"/>
        </w:rPr>
        <w:t>Zukunftsaussichten für das Europäische Öffentliche Recht</w:t>
      </w:r>
      <w:r w:rsidRPr="007B4FE2">
        <w:rPr>
          <w:szCs w:val="18"/>
          <w:lang w:val="de-DE"/>
        </w:rPr>
        <w:t xml:space="preserve">, Baden-Baden, 2010, </w:t>
      </w:r>
      <w:r w:rsidRPr="007B4FE2">
        <w:rPr>
          <w:i/>
          <w:szCs w:val="18"/>
          <w:lang w:val="de-DE"/>
        </w:rPr>
        <w:t>passim</w:t>
      </w:r>
      <w:r w:rsidRPr="007B4FE2">
        <w:rPr>
          <w:szCs w:val="18"/>
          <w:lang w:val="de-DE"/>
        </w:rPr>
        <w:t>.</w:t>
      </w:r>
    </w:p>
  </w:footnote>
  <w:footnote w:id="4">
    <w:p w:rsidR="0097768D" w:rsidRPr="007B4FE2" w:rsidRDefault="0097768D" w:rsidP="007B4FE2">
      <w:pPr>
        <w:spacing w:after="0" w:line="240" w:lineRule="auto"/>
        <w:jc w:val="both"/>
        <w:rPr>
          <w:rFonts w:ascii="Times New Roman" w:hAnsi="Times New Roman" w:cs="Times New Roman"/>
          <w:sz w:val="18"/>
          <w:szCs w:val="18"/>
          <w:lang w:val="de-DE"/>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de-DE"/>
        </w:rPr>
        <w:t xml:space="preserve"> Cfr. G.H. von Berg, </w:t>
      </w:r>
      <w:r w:rsidRPr="007B4FE2">
        <w:rPr>
          <w:rFonts w:ascii="Times New Roman" w:hAnsi="Times New Roman" w:cs="Times New Roman"/>
          <w:i/>
          <w:sz w:val="18"/>
          <w:szCs w:val="18"/>
          <w:lang w:val="de-DE"/>
        </w:rPr>
        <w:t xml:space="preserve">Handbuch des </w:t>
      </w:r>
      <w:proofErr w:type="spellStart"/>
      <w:r w:rsidRPr="007B4FE2">
        <w:rPr>
          <w:rFonts w:ascii="Times New Roman" w:hAnsi="Times New Roman" w:cs="Times New Roman"/>
          <w:i/>
          <w:sz w:val="18"/>
          <w:szCs w:val="18"/>
          <w:lang w:val="de-DE"/>
        </w:rPr>
        <w:t>Teutschen</w:t>
      </w:r>
      <w:proofErr w:type="spellEnd"/>
      <w:r w:rsidRPr="007B4FE2">
        <w:rPr>
          <w:rFonts w:ascii="Times New Roman" w:hAnsi="Times New Roman" w:cs="Times New Roman"/>
          <w:i/>
          <w:sz w:val="18"/>
          <w:szCs w:val="18"/>
          <w:lang w:val="de-DE"/>
        </w:rPr>
        <w:t xml:space="preserve"> </w:t>
      </w:r>
      <w:proofErr w:type="spellStart"/>
      <w:r w:rsidRPr="007B4FE2">
        <w:rPr>
          <w:rFonts w:ascii="Times New Roman" w:hAnsi="Times New Roman" w:cs="Times New Roman"/>
          <w:i/>
          <w:sz w:val="18"/>
          <w:szCs w:val="18"/>
          <w:lang w:val="de-DE"/>
        </w:rPr>
        <w:t>Policeyrechts</w:t>
      </w:r>
      <w:proofErr w:type="spellEnd"/>
      <w:r w:rsidRPr="007B4FE2">
        <w:rPr>
          <w:rFonts w:ascii="Times New Roman" w:hAnsi="Times New Roman" w:cs="Times New Roman"/>
          <w:sz w:val="18"/>
          <w:szCs w:val="18"/>
          <w:lang w:val="de-DE"/>
        </w:rPr>
        <w:t xml:space="preserve">, Hannover, 1802, p. 67. </w:t>
      </w:r>
    </w:p>
  </w:footnote>
  <w:footnote w:id="5">
    <w:p w:rsidR="0097768D" w:rsidRPr="007B4FE2" w:rsidRDefault="0097768D" w:rsidP="007B4FE2">
      <w:pPr>
        <w:pStyle w:val="Testonotaapidipagina"/>
        <w:rPr>
          <w:szCs w:val="18"/>
          <w:lang w:val="fr-FR"/>
        </w:rPr>
      </w:pPr>
      <w:r w:rsidRPr="007B4FE2">
        <w:rPr>
          <w:rStyle w:val="Rimandonotaapidipagina"/>
          <w:sz w:val="18"/>
          <w:szCs w:val="18"/>
        </w:rPr>
        <w:footnoteRef/>
      </w:r>
      <w:r w:rsidRPr="007B4FE2">
        <w:rPr>
          <w:szCs w:val="18"/>
        </w:rPr>
        <w:t xml:space="preserve"> V. a tal riguardo Z. </w:t>
      </w:r>
      <w:proofErr w:type="spellStart"/>
      <w:r w:rsidRPr="007B4FE2">
        <w:rPr>
          <w:szCs w:val="18"/>
        </w:rPr>
        <w:t>Giacometti</w:t>
      </w:r>
      <w:proofErr w:type="spellEnd"/>
      <w:r w:rsidRPr="007B4FE2">
        <w:rPr>
          <w:szCs w:val="18"/>
        </w:rPr>
        <w:t xml:space="preserve">, </w:t>
      </w:r>
      <w:proofErr w:type="spellStart"/>
      <w:r w:rsidRPr="007B4FE2">
        <w:rPr>
          <w:i/>
          <w:szCs w:val="18"/>
        </w:rPr>
        <w:t>Nécrologie</w:t>
      </w:r>
      <w:proofErr w:type="spellEnd"/>
      <w:r w:rsidRPr="007B4FE2">
        <w:rPr>
          <w:i/>
          <w:szCs w:val="18"/>
        </w:rPr>
        <w:t xml:space="preserve">. </w:t>
      </w:r>
      <w:r w:rsidRPr="007B4FE2">
        <w:rPr>
          <w:i/>
          <w:szCs w:val="18"/>
          <w:lang w:val="fr-FR"/>
        </w:rPr>
        <w:t xml:space="preserve">Fritz </w:t>
      </w:r>
      <w:proofErr w:type="spellStart"/>
      <w:r w:rsidRPr="007B4FE2">
        <w:rPr>
          <w:i/>
          <w:szCs w:val="18"/>
          <w:lang w:val="fr-FR"/>
        </w:rPr>
        <w:t>Fleiner</w:t>
      </w:r>
      <w:proofErr w:type="spellEnd"/>
      <w:r w:rsidRPr="007B4FE2">
        <w:rPr>
          <w:szCs w:val="18"/>
          <w:lang w:val="fr-FR"/>
        </w:rPr>
        <w:t xml:space="preserve">, in </w:t>
      </w:r>
      <w:r w:rsidRPr="007B4FE2">
        <w:rPr>
          <w:i/>
          <w:szCs w:val="18"/>
          <w:lang w:val="fr-FR"/>
        </w:rPr>
        <w:t>Revue d'Histoire Politique et Constitutionnelle</w:t>
      </w:r>
      <w:r w:rsidRPr="007B4FE2">
        <w:rPr>
          <w:szCs w:val="18"/>
          <w:lang w:val="fr-FR"/>
        </w:rPr>
        <w:t xml:space="preserve">, 1938/2, p. 462 </w:t>
      </w:r>
      <w:proofErr w:type="spellStart"/>
      <w:r w:rsidRPr="007B4FE2">
        <w:rPr>
          <w:szCs w:val="18"/>
          <w:lang w:val="fr-FR"/>
        </w:rPr>
        <w:t>ss</w:t>
      </w:r>
      <w:proofErr w:type="spellEnd"/>
      <w:r w:rsidRPr="007B4FE2">
        <w:rPr>
          <w:szCs w:val="18"/>
          <w:lang w:val="fr-FR"/>
        </w:rPr>
        <w:t>.</w:t>
      </w:r>
    </w:p>
  </w:footnote>
  <w:footnote w:id="6">
    <w:p w:rsidR="0097768D" w:rsidRPr="007B4FE2" w:rsidRDefault="0097768D" w:rsidP="007B4FE2">
      <w:pPr>
        <w:pStyle w:val="Testonotaapidipagina"/>
        <w:rPr>
          <w:szCs w:val="18"/>
          <w:lang w:val="de-DE"/>
        </w:rPr>
      </w:pPr>
      <w:r w:rsidRPr="007B4FE2">
        <w:rPr>
          <w:rStyle w:val="Rimandonotaapidipagina"/>
          <w:sz w:val="18"/>
          <w:szCs w:val="18"/>
        </w:rPr>
        <w:footnoteRef/>
      </w:r>
      <w:r w:rsidRPr="007B4FE2">
        <w:rPr>
          <w:szCs w:val="18"/>
          <w:lang w:val="de-DE"/>
        </w:rPr>
        <w:t xml:space="preserve"> La </w:t>
      </w:r>
      <w:proofErr w:type="spellStart"/>
      <w:r w:rsidRPr="007B4FE2">
        <w:rPr>
          <w:szCs w:val="18"/>
          <w:lang w:val="de-DE"/>
        </w:rPr>
        <w:t>traduzione</w:t>
      </w:r>
      <w:proofErr w:type="spellEnd"/>
      <w:r w:rsidRPr="007B4FE2">
        <w:rPr>
          <w:szCs w:val="18"/>
          <w:lang w:val="de-DE"/>
        </w:rPr>
        <w:t xml:space="preserve"> è </w:t>
      </w:r>
      <w:proofErr w:type="spellStart"/>
      <w:r w:rsidRPr="007B4FE2">
        <w:rPr>
          <w:szCs w:val="18"/>
          <w:lang w:val="de-DE"/>
        </w:rPr>
        <w:t>mia</w:t>
      </w:r>
      <w:proofErr w:type="spellEnd"/>
      <w:r w:rsidRPr="007B4FE2">
        <w:rPr>
          <w:szCs w:val="18"/>
          <w:lang w:val="de-DE"/>
        </w:rPr>
        <w:t xml:space="preserve">. Più </w:t>
      </w:r>
      <w:proofErr w:type="spellStart"/>
      <w:r w:rsidRPr="007B4FE2">
        <w:rPr>
          <w:szCs w:val="18"/>
          <w:lang w:val="de-DE"/>
        </w:rPr>
        <w:t>precisamente</w:t>
      </w:r>
      <w:proofErr w:type="spellEnd"/>
      <w:r w:rsidRPr="007B4FE2">
        <w:rPr>
          <w:szCs w:val="18"/>
          <w:lang w:val="de-DE"/>
        </w:rPr>
        <w:t xml:space="preserve"> </w:t>
      </w:r>
      <w:proofErr w:type="spellStart"/>
      <w:r w:rsidRPr="007B4FE2">
        <w:rPr>
          <w:szCs w:val="18"/>
          <w:lang w:val="de-DE"/>
        </w:rPr>
        <w:t>Fleiner</w:t>
      </w:r>
      <w:proofErr w:type="spellEnd"/>
      <w:r w:rsidRPr="007B4FE2">
        <w:rPr>
          <w:szCs w:val="18"/>
          <w:lang w:val="de-DE"/>
        </w:rPr>
        <w:t xml:space="preserve"> </w:t>
      </w:r>
      <w:proofErr w:type="spellStart"/>
      <w:r w:rsidRPr="007B4FE2">
        <w:rPr>
          <w:szCs w:val="18"/>
          <w:lang w:val="de-DE"/>
        </w:rPr>
        <w:t>affermava</w:t>
      </w:r>
      <w:proofErr w:type="spellEnd"/>
      <w:r w:rsidRPr="007B4FE2">
        <w:rPr>
          <w:szCs w:val="18"/>
          <w:lang w:val="de-DE"/>
        </w:rPr>
        <w:t xml:space="preserve"> </w:t>
      </w:r>
      <w:proofErr w:type="spellStart"/>
      <w:r w:rsidRPr="007B4FE2">
        <w:rPr>
          <w:szCs w:val="18"/>
          <w:lang w:val="de-DE"/>
        </w:rPr>
        <w:t>che</w:t>
      </w:r>
      <w:proofErr w:type="spellEnd"/>
      <w:r w:rsidRPr="007B4FE2">
        <w:rPr>
          <w:szCs w:val="18"/>
          <w:lang w:val="de-DE"/>
        </w:rPr>
        <w:t xml:space="preserve"> "</w:t>
      </w:r>
      <w:r w:rsidRPr="007B4FE2">
        <w:rPr>
          <w:i/>
          <w:szCs w:val="18"/>
          <w:lang w:val="de-DE"/>
        </w:rPr>
        <w:t xml:space="preserve">Des Amtes der Polizei ist es, die “nötigen Anstalten” zu treffen zur Erhaltung der öffentlichen Sicherheit und Ordnung. Die Beschränkung der individuellen Freiheit darf nie das absolut erforderliche Maß überschreiten. </w:t>
      </w:r>
      <w:r w:rsidRPr="007B4FE2">
        <w:rPr>
          <w:b/>
          <w:i/>
          <w:szCs w:val="18"/>
          <w:lang w:val="de-DE"/>
        </w:rPr>
        <w:t>Die Polizei soll nicht mit Kanonen auf Spatzen schießen</w:t>
      </w:r>
      <w:r w:rsidRPr="007B4FE2">
        <w:rPr>
          <w:szCs w:val="18"/>
          <w:lang w:val="de-DE"/>
        </w:rPr>
        <w:t xml:space="preserve">". F. </w:t>
      </w:r>
      <w:proofErr w:type="spellStart"/>
      <w:r w:rsidRPr="007B4FE2">
        <w:rPr>
          <w:snapToGrid w:val="0"/>
          <w:szCs w:val="18"/>
          <w:lang w:val="de-DE"/>
        </w:rPr>
        <w:t>Fleiner</w:t>
      </w:r>
      <w:proofErr w:type="spellEnd"/>
      <w:r w:rsidRPr="007B4FE2">
        <w:rPr>
          <w:snapToGrid w:val="0"/>
          <w:szCs w:val="18"/>
          <w:lang w:val="de-DE"/>
        </w:rPr>
        <w:t xml:space="preserve">, </w:t>
      </w:r>
      <w:r w:rsidRPr="007B4FE2">
        <w:rPr>
          <w:i/>
          <w:snapToGrid w:val="0"/>
          <w:szCs w:val="18"/>
          <w:lang w:val="de-DE"/>
        </w:rPr>
        <w:t>Institutionen des Deutschen Verwaltungsrechts</w:t>
      </w:r>
      <w:r w:rsidRPr="007B4FE2">
        <w:rPr>
          <w:snapToGrid w:val="0"/>
          <w:szCs w:val="18"/>
          <w:lang w:val="de-DE"/>
        </w:rPr>
        <w:t>, Tübingen, 1912, p. 354.</w:t>
      </w:r>
    </w:p>
  </w:footnote>
  <w:footnote w:id="7">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Così si era espresso peraltro lo stesso Otto Mayer: O. Mayer, </w:t>
      </w:r>
      <w:proofErr w:type="spellStart"/>
      <w:r w:rsidRPr="007B4FE2">
        <w:rPr>
          <w:rFonts w:ascii="Times New Roman" w:hAnsi="Times New Roman" w:cs="Times New Roman"/>
          <w:i/>
          <w:sz w:val="18"/>
          <w:szCs w:val="18"/>
        </w:rPr>
        <w:t>Deutsches</w:t>
      </w:r>
      <w:proofErr w:type="spellEnd"/>
      <w:r w:rsidRPr="007B4FE2">
        <w:rPr>
          <w:rFonts w:ascii="Times New Roman" w:hAnsi="Times New Roman" w:cs="Times New Roman"/>
          <w:i/>
          <w:sz w:val="18"/>
          <w:szCs w:val="18"/>
        </w:rPr>
        <w:t xml:space="preserve"> </w:t>
      </w:r>
      <w:proofErr w:type="spellStart"/>
      <w:r w:rsidRPr="007B4FE2">
        <w:rPr>
          <w:rFonts w:ascii="Times New Roman" w:hAnsi="Times New Roman" w:cs="Times New Roman"/>
          <w:i/>
          <w:sz w:val="18"/>
          <w:szCs w:val="18"/>
        </w:rPr>
        <w:t>Verwaltungsrecht</w:t>
      </w:r>
      <w:proofErr w:type="spellEnd"/>
      <w:r w:rsidRPr="007B4FE2">
        <w:rPr>
          <w:rFonts w:ascii="Times New Roman" w:hAnsi="Times New Roman" w:cs="Times New Roman"/>
          <w:sz w:val="18"/>
          <w:szCs w:val="18"/>
        </w:rPr>
        <w:t xml:space="preserve">, vol. 1, 3^ </w:t>
      </w:r>
      <w:proofErr w:type="spellStart"/>
      <w:proofErr w:type="gramStart"/>
      <w:r w:rsidRPr="007B4FE2">
        <w:rPr>
          <w:rFonts w:ascii="Times New Roman" w:hAnsi="Times New Roman" w:cs="Times New Roman"/>
          <w:sz w:val="18"/>
          <w:szCs w:val="18"/>
        </w:rPr>
        <w:t>ediz</w:t>
      </w:r>
      <w:proofErr w:type="spellEnd"/>
      <w:r w:rsidRPr="007B4FE2">
        <w:rPr>
          <w:rFonts w:ascii="Times New Roman" w:hAnsi="Times New Roman" w:cs="Times New Roman"/>
          <w:sz w:val="18"/>
          <w:szCs w:val="18"/>
        </w:rPr>
        <w:t>.,</w:t>
      </w:r>
      <w:proofErr w:type="gramEnd"/>
      <w:r w:rsidRPr="007B4FE2">
        <w:rPr>
          <w:rFonts w:ascii="Times New Roman" w:hAnsi="Times New Roman" w:cs="Times New Roman"/>
          <w:sz w:val="18"/>
          <w:szCs w:val="18"/>
        </w:rPr>
        <w:t xml:space="preserve"> München e Leipzig, 1924, p. 223. Così come molti altri autori di lingua tedesca. Per un esame approfondito del pensiero dei vari autori tedeschi con riguardo al significato del principio di proporzionalità si veda M. d’</w:t>
      </w:r>
      <w:proofErr w:type="spellStart"/>
      <w:r w:rsidRPr="007B4FE2">
        <w:rPr>
          <w:rFonts w:ascii="Times New Roman" w:hAnsi="Times New Roman" w:cs="Times New Roman"/>
          <w:sz w:val="18"/>
          <w:szCs w:val="18"/>
        </w:rPr>
        <w:t>Avoine</w:t>
      </w:r>
      <w:proofErr w:type="spellEnd"/>
      <w:r w:rsidRPr="007B4FE2">
        <w:rPr>
          <w:rFonts w:ascii="Times New Roman" w:hAnsi="Times New Roman" w:cs="Times New Roman"/>
          <w:sz w:val="18"/>
          <w:szCs w:val="18"/>
        </w:rPr>
        <w:t xml:space="preserve">, </w:t>
      </w:r>
      <w:r w:rsidRPr="007B4FE2">
        <w:rPr>
          <w:rFonts w:ascii="Times New Roman" w:hAnsi="Times New Roman" w:cs="Times New Roman"/>
          <w:i/>
          <w:sz w:val="18"/>
          <w:szCs w:val="18"/>
        </w:rPr>
        <w:t xml:space="preserve">Die </w:t>
      </w:r>
      <w:proofErr w:type="spellStart"/>
      <w:r w:rsidRPr="007B4FE2">
        <w:rPr>
          <w:rFonts w:ascii="Times New Roman" w:hAnsi="Times New Roman" w:cs="Times New Roman"/>
          <w:i/>
          <w:sz w:val="18"/>
          <w:szCs w:val="18"/>
        </w:rPr>
        <w:t>Entwicklung</w:t>
      </w:r>
      <w:proofErr w:type="spellEnd"/>
      <w:r w:rsidRPr="007B4FE2">
        <w:rPr>
          <w:rFonts w:ascii="Times New Roman" w:hAnsi="Times New Roman" w:cs="Times New Roman"/>
          <w:i/>
          <w:sz w:val="18"/>
          <w:szCs w:val="18"/>
        </w:rPr>
        <w:t xml:space="preserve"> </w:t>
      </w:r>
      <w:proofErr w:type="spellStart"/>
      <w:r w:rsidRPr="007B4FE2">
        <w:rPr>
          <w:rFonts w:ascii="Times New Roman" w:hAnsi="Times New Roman" w:cs="Times New Roman"/>
          <w:i/>
          <w:sz w:val="18"/>
          <w:szCs w:val="18"/>
        </w:rPr>
        <w:t>des</w:t>
      </w:r>
      <w:proofErr w:type="spellEnd"/>
      <w:r w:rsidRPr="007B4FE2">
        <w:rPr>
          <w:rFonts w:ascii="Times New Roman" w:hAnsi="Times New Roman" w:cs="Times New Roman"/>
          <w:i/>
          <w:sz w:val="18"/>
          <w:szCs w:val="18"/>
        </w:rPr>
        <w:t xml:space="preserve"> </w:t>
      </w:r>
      <w:proofErr w:type="spellStart"/>
      <w:r w:rsidRPr="007B4FE2">
        <w:rPr>
          <w:rFonts w:ascii="Times New Roman" w:hAnsi="Times New Roman" w:cs="Times New Roman"/>
          <w:i/>
          <w:sz w:val="18"/>
          <w:szCs w:val="18"/>
        </w:rPr>
        <w:t>Grundsatzes</w:t>
      </w:r>
      <w:proofErr w:type="spellEnd"/>
      <w:r w:rsidRPr="007B4FE2">
        <w:rPr>
          <w:rFonts w:ascii="Times New Roman" w:hAnsi="Times New Roman" w:cs="Times New Roman"/>
          <w:i/>
          <w:sz w:val="18"/>
          <w:szCs w:val="18"/>
        </w:rPr>
        <w:t xml:space="preserve"> </w:t>
      </w:r>
      <w:proofErr w:type="spellStart"/>
      <w:r w:rsidRPr="007B4FE2">
        <w:rPr>
          <w:rFonts w:ascii="Times New Roman" w:hAnsi="Times New Roman" w:cs="Times New Roman"/>
          <w:i/>
          <w:sz w:val="18"/>
          <w:szCs w:val="18"/>
        </w:rPr>
        <w:t>der</w:t>
      </w:r>
      <w:proofErr w:type="spellEnd"/>
      <w:r w:rsidRPr="007B4FE2">
        <w:rPr>
          <w:rFonts w:ascii="Times New Roman" w:hAnsi="Times New Roman" w:cs="Times New Roman"/>
          <w:i/>
          <w:sz w:val="18"/>
          <w:szCs w:val="18"/>
        </w:rPr>
        <w:t xml:space="preserve"> </w:t>
      </w:r>
      <w:proofErr w:type="spellStart"/>
      <w:r w:rsidRPr="007B4FE2">
        <w:rPr>
          <w:rFonts w:ascii="Times New Roman" w:hAnsi="Times New Roman" w:cs="Times New Roman"/>
          <w:i/>
          <w:sz w:val="18"/>
          <w:szCs w:val="18"/>
        </w:rPr>
        <w:t>Verhältnismäßigkeit</w:t>
      </w:r>
      <w:proofErr w:type="spellEnd"/>
      <w:r w:rsidRPr="007B4FE2">
        <w:rPr>
          <w:rFonts w:ascii="Times New Roman" w:hAnsi="Times New Roman" w:cs="Times New Roman"/>
          <w:sz w:val="18"/>
          <w:szCs w:val="18"/>
        </w:rPr>
        <w:t>, Trier, 1994, p. 48 ss., 85 ss.</w:t>
      </w:r>
    </w:p>
  </w:footnote>
  <w:footnote w:id="8">
    <w:p w:rsidR="0097768D" w:rsidRPr="007B4FE2" w:rsidRDefault="0097768D" w:rsidP="007B4FE2">
      <w:pPr>
        <w:widowControl w:val="0"/>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de-DE"/>
        </w:rPr>
        <w:t xml:space="preserve"> “</w:t>
      </w:r>
      <w:r w:rsidRPr="007B4FE2">
        <w:rPr>
          <w:rFonts w:ascii="Times New Roman" w:hAnsi="Times New Roman" w:cs="Times New Roman"/>
          <w:i/>
          <w:sz w:val="18"/>
          <w:szCs w:val="18"/>
          <w:lang w:val="de-DE"/>
        </w:rPr>
        <w:t xml:space="preserve">Erst mit der Feststellung, </w:t>
      </w:r>
      <w:proofErr w:type="spellStart"/>
      <w:r w:rsidRPr="007B4FE2">
        <w:rPr>
          <w:rFonts w:ascii="Times New Roman" w:hAnsi="Times New Roman" w:cs="Times New Roman"/>
          <w:i/>
          <w:sz w:val="18"/>
          <w:szCs w:val="18"/>
          <w:lang w:val="de-DE"/>
        </w:rPr>
        <w:t>daß</w:t>
      </w:r>
      <w:proofErr w:type="spellEnd"/>
      <w:r w:rsidRPr="007B4FE2">
        <w:rPr>
          <w:rFonts w:ascii="Times New Roman" w:hAnsi="Times New Roman" w:cs="Times New Roman"/>
          <w:i/>
          <w:sz w:val="18"/>
          <w:szCs w:val="18"/>
          <w:lang w:val="de-DE"/>
        </w:rPr>
        <w:t xml:space="preserve"> ein Interesse der Allgemeinheit besteht, welches nur durch einen Eingriff in die private Sphäre befriedigt werden kann, gelangt man in den Anwendungsbereich des Grundsatzes</w:t>
      </w:r>
      <w:r w:rsidRPr="007B4FE2">
        <w:rPr>
          <w:rFonts w:ascii="Times New Roman" w:hAnsi="Times New Roman" w:cs="Times New Roman"/>
          <w:sz w:val="18"/>
          <w:szCs w:val="18"/>
          <w:lang w:val="de-DE"/>
        </w:rPr>
        <w:t xml:space="preserve">". R. von Krauss, </w:t>
      </w:r>
      <w:r w:rsidRPr="007B4FE2">
        <w:rPr>
          <w:rFonts w:ascii="Times New Roman" w:hAnsi="Times New Roman" w:cs="Times New Roman"/>
          <w:i/>
          <w:sz w:val="18"/>
          <w:szCs w:val="18"/>
          <w:lang w:val="de-DE"/>
        </w:rPr>
        <w:t>Der Grundsatz der Verhältnismäßigkeit in seiner Bedeutung für die Notwendigkeit des Mittels im Verwaltungsrecht</w:t>
      </w:r>
      <w:r w:rsidRPr="007B4FE2">
        <w:rPr>
          <w:rFonts w:ascii="Times New Roman" w:hAnsi="Times New Roman" w:cs="Times New Roman"/>
          <w:sz w:val="18"/>
          <w:szCs w:val="18"/>
          <w:lang w:val="de-DE"/>
        </w:rPr>
        <w:t xml:space="preserve">, Hamburg, 1955, p. 94. </w:t>
      </w:r>
      <w:r w:rsidRPr="007B4FE2">
        <w:rPr>
          <w:rFonts w:ascii="Times New Roman" w:hAnsi="Times New Roman" w:cs="Times New Roman"/>
          <w:sz w:val="18"/>
          <w:szCs w:val="18"/>
        </w:rPr>
        <w:t>La traduzione è mia.</w:t>
      </w:r>
    </w:p>
  </w:footnote>
  <w:footnote w:id="9">
    <w:p w:rsidR="0097768D" w:rsidRPr="007B4FE2" w:rsidRDefault="0097768D" w:rsidP="007B4FE2">
      <w:pPr>
        <w:spacing w:after="0" w:line="240" w:lineRule="auto"/>
        <w:jc w:val="both"/>
        <w:rPr>
          <w:rFonts w:ascii="Times New Roman" w:hAnsi="Times New Roman" w:cs="Times New Roman"/>
          <w:sz w:val="18"/>
          <w:szCs w:val="18"/>
        </w:rPr>
      </w:pPr>
      <w:r w:rsidRPr="007B4FE2">
        <w:rPr>
          <w:rFonts w:ascii="Times New Roman" w:hAnsi="Times New Roman" w:cs="Times New Roman"/>
          <w:sz w:val="18"/>
          <w:szCs w:val="18"/>
          <w:vertAlign w:val="superscript"/>
        </w:rPr>
        <w:footnoteRef/>
      </w:r>
      <w:r w:rsidRPr="007B4FE2">
        <w:rPr>
          <w:rFonts w:ascii="Times New Roman" w:hAnsi="Times New Roman" w:cs="Times New Roman"/>
          <w:sz w:val="18"/>
          <w:szCs w:val="18"/>
          <w:vertAlign w:val="superscript"/>
        </w:rPr>
        <w:t xml:space="preserve"> </w:t>
      </w:r>
      <w:r w:rsidRPr="007B4FE2">
        <w:rPr>
          <w:rFonts w:ascii="Times New Roman" w:hAnsi="Times New Roman" w:cs="Times New Roman"/>
          <w:sz w:val="18"/>
          <w:szCs w:val="18"/>
        </w:rPr>
        <w:t xml:space="preserve">La necessità di limitare in tal senso il potere statuale è emersa sin dai tempi più remoti. Più precisamente, se ne ritrova traccia già nella </w:t>
      </w:r>
      <w:r w:rsidRPr="007B4FE2">
        <w:rPr>
          <w:rFonts w:ascii="Times New Roman" w:hAnsi="Times New Roman" w:cs="Times New Roman"/>
          <w:i/>
          <w:sz w:val="18"/>
          <w:szCs w:val="18"/>
        </w:rPr>
        <w:t xml:space="preserve">Magna </w:t>
      </w:r>
      <w:proofErr w:type="spellStart"/>
      <w:r w:rsidRPr="007B4FE2">
        <w:rPr>
          <w:rFonts w:ascii="Times New Roman" w:hAnsi="Times New Roman" w:cs="Times New Roman"/>
          <w:i/>
          <w:sz w:val="18"/>
          <w:szCs w:val="18"/>
        </w:rPr>
        <w:t>Charta</w:t>
      </w:r>
      <w:proofErr w:type="spellEnd"/>
      <w:r w:rsidRPr="007B4FE2">
        <w:rPr>
          <w:rFonts w:ascii="Times New Roman" w:hAnsi="Times New Roman" w:cs="Times New Roman"/>
          <w:i/>
          <w:sz w:val="18"/>
          <w:szCs w:val="18"/>
        </w:rPr>
        <w:t xml:space="preserve"> </w:t>
      </w:r>
      <w:proofErr w:type="spellStart"/>
      <w:r w:rsidRPr="007B4FE2">
        <w:rPr>
          <w:rFonts w:ascii="Times New Roman" w:hAnsi="Times New Roman" w:cs="Times New Roman"/>
          <w:i/>
          <w:sz w:val="18"/>
          <w:szCs w:val="18"/>
        </w:rPr>
        <w:t>Libertatum</w:t>
      </w:r>
      <w:proofErr w:type="spellEnd"/>
      <w:r w:rsidRPr="007B4FE2">
        <w:rPr>
          <w:rFonts w:ascii="Times New Roman" w:hAnsi="Times New Roman" w:cs="Times New Roman"/>
          <w:sz w:val="18"/>
          <w:szCs w:val="18"/>
        </w:rPr>
        <w:t xml:space="preserve"> inglese del 1215: "L'uomo libero dovrà essere punito per un reato lieve secondo la misura dello stesso e per un reato grave secondo la gravità dello stesso (in https://www.rivstoricavirt.com/rivstoricavirt_sito/CorpoMC1215I.html, documento consultato da ultimo il 01.01.2020).</w:t>
      </w:r>
    </w:p>
  </w:footnote>
  <w:footnote w:id="10">
    <w:p w:rsidR="0097768D" w:rsidRPr="007B4FE2" w:rsidRDefault="0097768D" w:rsidP="007B4FE2">
      <w:pPr>
        <w:spacing w:after="0" w:line="240" w:lineRule="auto"/>
        <w:jc w:val="both"/>
        <w:rPr>
          <w:rFonts w:ascii="Times New Roman" w:hAnsi="Times New Roman" w:cs="Times New Roman"/>
          <w:sz w:val="18"/>
          <w:szCs w:val="18"/>
          <w:lang w:val="de-DE"/>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de-DE"/>
        </w:rPr>
        <w:t xml:space="preserve"> Von Krauss, </w:t>
      </w:r>
      <w:r w:rsidRPr="007B4FE2">
        <w:rPr>
          <w:rFonts w:ascii="Times New Roman" w:hAnsi="Times New Roman" w:cs="Times New Roman"/>
          <w:i/>
          <w:sz w:val="18"/>
          <w:szCs w:val="18"/>
          <w:lang w:val="de-DE"/>
        </w:rPr>
        <w:t>Verhältnismäßigkeit</w:t>
      </w:r>
      <w:r w:rsidRPr="007B4FE2">
        <w:rPr>
          <w:rFonts w:ascii="Times New Roman" w:hAnsi="Times New Roman" w:cs="Times New Roman"/>
          <w:sz w:val="18"/>
          <w:szCs w:val="18"/>
          <w:lang w:val="de-DE"/>
        </w:rPr>
        <w:t>, p. 18.</w:t>
      </w:r>
    </w:p>
  </w:footnote>
  <w:footnote w:id="11">
    <w:p w:rsidR="0097768D" w:rsidRPr="007B4FE2" w:rsidRDefault="0097768D" w:rsidP="007B4FE2">
      <w:pPr>
        <w:spacing w:after="0" w:line="240" w:lineRule="auto"/>
        <w:jc w:val="both"/>
        <w:rPr>
          <w:rFonts w:ascii="Times New Roman" w:hAnsi="Times New Roman" w:cs="Times New Roman"/>
          <w:sz w:val="18"/>
          <w:szCs w:val="18"/>
          <w:lang w:val="de-DE"/>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de-DE"/>
        </w:rPr>
        <w:t xml:space="preserve"> Lerche, </w:t>
      </w:r>
      <w:r w:rsidRPr="007B4FE2">
        <w:rPr>
          <w:rFonts w:ascii="Times New Roman" w:hAnsi="Times New Roman" w:cs="Times New Roman"/>
          <w:i/>
          <w:sz w:val="18"/>
          <w:szCs w:val="18"/>
          <w:lang w:val="de-DE"/>
        </w:rPr>
        <w:t>Übermaß</w:t>
      </w:r>
      <w:r w:rsidRPr="007B4FE2">
        <w:rPr>
          <w:rFonts w:ascii="Times New Roman" w:hAnsi="Times New Roman" w:cs="Times New Roman"/>
          <w:sz w:val="18"/>
          <w:szCs w:val="18"/>
          <w:lang w:val="de-DE"/>
        </w:rPr>
        <w:t>, p. 19.</w:t>
      </w:r>
    </w:p>
  </w:footnote>
  <w:footnote w:id="12">
    <w:p w:rsidR="0097768D" w:rsidRPr="007B4FE2" w:rsidRDefault="0097768D" w:rsidP="007B4FE2">
      <w:pPr>
        <w:pStyle w:val="Testonotaapidipagina"/>
        <w:rPr>
          <w:szCs w:val="18"/>
          <w:lang w:val="de-DE"/>
        </w:rPr>
      </w:pPr>
      <w:r w:rsidRPr="007B4FE2">
        <w:rPr>
          <w:rStyle w:val="Rimandonotaapidipagina"/>
          <w:sz w:val="18"/>
          <w:szCs w:val="18"/>
        </w:rPr>
        <w:footnoteRef/>
      </w:r>
      <w:r w:rsidRPr="007B4FE2">
        <w:rPr>
          <w:szCs w:val="18"/>
          <w:lang w:val="de-DE"/>
        </w:rPr>
        <w:t xml:space="preserve"> V. da ultimo </w:t>
      </w:r>
      <w:r w:rsidRPr="007B4FE2">
        <w:rPr>
          <w:iCs/>
          <w:szCs w:val="18"/>
          <w:lang w:val="de-DE"/>
        </w:rPr>
        <w:t xml:space="preserve">J. </w:t>
      </w:r>
      <w:proofErr w:type="spellStart"/>
      <w:r w:rsidRPr="007B4FE2">
        <w:rPr>
          <w:iCs/>
          <w:szCs w:val="18"/>
          <w:lang w:val="de-DE"/>
        </w:rPr>
        <w:t>Brenz</w:t>
      </w:r>
      <w:proofErr w:type="spellEnd"/>
      <w:r w:rsidRPr="007B4FE2">
        <w:rPr>
          <w:iCs/>
          <w:szCs w:val="18"/>
          <w:lang w:val="de-DE"/>
        </w:rPr>
        <w:t xml:space="preserve">, </w:t>
      </w:r>
      <w:r w:rsidRPr="007B4FE2">
        <w:rPr>
          <w:i/>
          <w:iCs/>
          <w:szCs w:val="18"/>
          <w:lang w:val="de-DE"/>
        </w:rPr>
        <w:t>Das Polizeirecht als ein durch den Verhältnismäßigkeitsgrundsatz bestimmtes System von Abwägungsentscheidungen</w:t>
      </w:r>
      <w:r w:rsidRPr="007B4FE2">
        <w:rPr>
          <w:iCs/>
          <w:szCs w:val="18"/>
          <w:lang w:val="de-DE"/>
        </w:rPr>
        <w:t xml:space="preserve">, Berlin, 2018. </w:t>
      </w:r>
    </w:p>
  </w:footnote>
  <w:footnote w:id="13">
    <w:p w:rsidR="0097768D" w:rsidRPr="007B4FE2" w:rsidRDefault="0097768D" w:rsidP="007B4FE2">
      <w:pPr>
        <w:spacing w:after="0" w:line="240" w:lineRule="auto"/>
        <w:jc w:val="both"/>
        <w:rPr>
          <w:rFonts w:ascii="Times New Roman" w:hAnsi="Times New Roman" w:cs="Times New Roman"/>
          <w:color w:val="000000"/>
          <w:sz w:val="18"/>
          <w:szCs w:val="18"/>
        </w:rPr>
      </w:pPr>
      <w:r w:rsidRPr="007B4FE2">
        <w:rPr>
          <w:rStyle w:val="Rimandonotaapidipagina"/>
          <w:rFonts w:ascii="Times New Roman" w:hAnsi="Times New Roman" w:cs="Times New Roman"/>
          <w:color w:val="000000"/>
          <w:sz w:val="18"/>
          <w:szCs w:val="18"/>
        </w:rPr>
        <w:footnoteRef/>
      </w:r>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Sent</w:t>
      </w:r>
      <w:proofErr w:type="spellEnd"/>
      <w:r w:rsidRPr="007B4FE2">
        <w:rPr>
          <w:rFonts w:ascii="Times New Roman" w:hAnsi="Times New Roman" w:cs="Times New Roman"/>
          <w:color w:val="000000"/>
          <w:sz w:val="18"/>
          <w:szCs w:val="18"/>
          <w:lang w:val="de-DE"/>
        </w:rPr>
        <w:t xml:space="preserve">. 14.06.1882, in </w:t>
      </w:r>
      <w:r w:rsidRPr="007B4FE2">
        <w:rPr>
          <w:rFonts w:ascii="Times New Roman" w:hAnsi="Times New Roman" w:cs="Times New Roman"/>
          <w:i/>
          <w:color w:val="000000"/>
          <w:sz w:val="18"/>
          <w:szCs w:val="18"/>
          <w:lang w:val="de-DE"/>
        </w:rPr>
        <w:t>Entscheidungen des preußisches Oberverwaltungsgerichts</w:t>
      </w:r>
      <w:r w:rsidRPr="007B4FE2">
        <w:rPr>
          <w:rFonts w:ascii="Times New Roman" w:hAnsi="Times New Roman" w:cs="Times New Roman"/>
          <w:color w:val="000000"/>
          <w:sz w:val="18"/>
          <w:szCs w:val="18"/>
          <w:lang w:val="de-DE"/>
        </w:rPr>
        <w:t xml:space="preserve">, n. 9, p. 353 </w:t>
      </w:r>
      <w:proofErr w:type="spellStart"/>
      <w:r w:rsidRPr="007B4FE2">
        <w:rPr>
          <w:rFonts w:ascii="Times New Roman" w:hAnsi="Times New Roman" w:cs="Times New Roman"/>
          <w:color w:val="000000"/>
          <w:sz w:val="18"/>
          <w:szCs w:val="18"/>
          <w:lang w:val="de-DE"/>
        </w:rPr>
        <w:t>ss</w:t>
      </w:r>
      <w:proofErr w:type="spellEnd"/>
      <w:r w:rsidRPr="007B4FE2">
        <w:rPr>
          <w:rFonts w:ascii="Times New Roman" w:hAnsi="Times New Roman" w:cs="Times New Roman"/>
          <w:color w:val="000000"/>
          <w:sz w:val="18"/>
          <w:szCs w:val="18"/>
          <w:lang w:val="de-DE"/>
        </w:rPr>
        <w:t xml:space="preserve">. </w:t>
      </w:r>
      <w:r w:rsidRPr="007B4FE2">
        <w:rPr>
          <w:rFonts w:ascii="Times New Roman" w:hAnsi="Times New Roman" w:cs="Times New Roman"/>
          <w:color w:val="000000"/>
          <w:sz w:val="18"/>
          <w:szCs w:val="18"/>
        </w:rPr>
        <w:t>La traduzione è mia.</w:t>
      </w:r>
    </w:p>
  </w:footnote>
  <w:footnote w:id="14">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Cfr. le sentenze 10.04.1886 e 03.07.1886,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sz w:val="18"/>
          <w:szCs w:val="18"/>
        </w:rPr>
        <w:t xml:space="preserve"> 13, p. 424 ss. e 426 ss. Il Tribunale superiore prussiano aveva dovuto valutare, in entrambi i casi, se le misure adottate dalla Polizia non avessero superato, in intensità, quanto richiesto dall'obiettivo perseguito.</w:t>
      </w:r>
    </w:p>
  </w:footnote>
  <w:footnote w:id="15">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Si vedano, fra le tante, le sentenze 04.11.1889,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i/>
          <w:sz w:val="18"/>
          <w:szCs w:val="18"/>
        </w:rPr>
        <w:t xml:space="preserve"> </w:t>
      </w:r>
      <w:r w:rsidRPr="007B4FE2">
        <w:rPr>
          <w:rFonts w:ascii="Times New Roman" w:hAnsi="Times New Roman" w:cs="Times New Roman"/>
          <w:sz w:val="18"/>
          <w:szCs w:val="18"/>
        </w:rPr>
        <w:t xml:space="preserve">18, p. 336 ss.; 18.12.1896,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sz w:val="18"/>
          <w:szCs w:val="18"/>
        </w:rPr>
        <w:t xml:space="preserve"> 31, p. 409 ss.; 02.07.1990,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i/>
          <w:sz w:val="18"/>
          <w:szCs w:val="18"/>
        </w:rPr>
        <w:t xml:space="preserve"> </w:t>
      </w:r>
      <w:r w:rsidRPr="007B4FE2">
        <w:rPr>
          <w:rFonts w:ascii="Times New Roman" w:hAnsi="Times New Roman" w:cs="Times New Roman"/>
          <w:sz w:val="18"/>
          <w:szCs w:val="18"/>
        </w:rPr>
        <w:t xml:space="preserve">37, p. 401 ss.; 20.09.1900,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sz w:val="18"/>
          <w:szCs w:val="18"/>
        </w:rPr>
        <w:t xml:space="preserve"> 38, p. 291 ss.; 21.09.1903,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sz w:val="18"/>
          <w:szCs w:val="18"/>
        </w:rPr>
        <w:t xml:space="preserve"> 44, p. 342 ss.; 13.05.1904,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sz w:val="18"/>
          <w:szCs w:val="18"/>
        </w:rPr>
        <w:t xml:space="preserve"> 45, p. 416 ss.; 19.12.1907,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i/>
          <w:sz w:val="18"/>
          <w:szCs w:val="18"/>
        </w:rPr>
        <w:t xml:space="preserve"> </w:t>
      </w:r>
      <w:r w:rsidRPr="007B4FE2">
        <w:rPr>
          <w:rFonts w:ascii="Times New Roman" w:hAnsi="Times New Roman" w:cs="Times New Roman"/>
          <w:sz w:val="18"/>
          <w:szCs w:val="18"/>
        </w:rPr>
        <w:t xml:space="preserve">51, p. 248 ss.; 24.05.1912,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sz w:val="18"/>
          <w:szCs w:val="18"/>
        </w:rPr>
        <w:t xml:space="preserve"> 61, p. 255 ss.; 15.03.1923,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sz w:val="18"/>
          <w:szCs w:val="18"/>
        </w:rPr>
        <w:t xml:space="preserve">, 78, p. 431 ss.; 10.09.1924,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sz w:val="18"/>
          <w:szCs w:val="18"/>
        </w:rPr>
        <w:t xml:space="preserve"> 79, p. 297 ss.; 23.03.1933, in </w:t>
      </w:r>
      <w:proofErr w:type="spellStart"/>
      <w:r w:rsidRPr="007B4FE2">
        <w:rPr>
          <w:rFonts w:ascii="Times New Roman" w:hAnsi="Times New Roman" w:cs="Times New Roman"/>
          <w:i/>
          <w:sz w:val="18"/>
          <w:szCs w:val="18"/>
        </w:rPr>
        <w:t>PrOVG</w:t>
      </w:r>
      <w:proofErr w:type="spellEnd"/>
      <w:r w:rsidRPr="007B4FE2">
        <w:rPr>
          <w:rFonts w:ascii="Times New Roman" w:hAnsi="Times New Roman" w:cs="Times New Roman"/>
          <w:sz w:val="18"/>
          <w:szCs w:val="18"/>
        </w:rPr>
        <w:t>, 90, p. 293 ss.</w:t>
      </w:r>
    </w:p>
  </w:footnote>
  <w:footnote w:id="16">
    <w:p w:rsidR="0097768D" w:rsidRPr="007B4FE2" w:rsidRDefault="0097768D" w:rsidP="007B4FE2">
      <w:pPr>
        <w:spacing w:after="0" w:line="240" w:lineRule="auto"/>
        <w:jc w:val="both"/>
        <w:rPr>
          <w:rFonts w:ascii="Times New Roman" w:hAnsi="Times New Roman" w:cs="Times New Roman"/>
          <w:sz w:val="18"/>
          <w:szCs w:val="18"/>
          <w:lang w:val="de-DE"/>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de-DE"/>
        </w:rPr>
        <w:t xml:space="preserve"> In </w:t>
      </w:r>
      <w:proofErr w:type="spellStart"/>
      <w:r w:rsidRPr="007B4FE2">
        <w:rPr>
          <w:rFonts w:ascii="Times New Roman" w:hAnsi="Times New Roman" w:cs="Times New Roman"/>
          <w:sz w:val="18"/>
          <w:szCs w:val="18"/>
          <w:lang w:val="de-DE"/>
        </w:rPr>
        <w:t>argomento</w:t>
      </w:r>
      <w:proofErr w:type="spellEnd"/>
      <w:r w:rsidRPr="007B4FE2">
        <w:rPr>
          <w:rFonts w:ascii="Times New Roman" w:hAnsi="Times New Roman" w:cs="Times New Roman"/>
          <w:sz w:val="18"/>
          <w:szCs w:val="18"/>
          <w:lang w:val="de-DE"/>
        </w:rPr>
        <w:t xml:space="preserve"> </w:t>
      </w:r>
      <w:proofErr w:type="spellStart"/>
      <w:proofErr w:type="gramStart"/>
      <w:r w:rsidRPr="007B4FE2">
        <w:rPr>
          <w:rFonts w:ascii="Times New Roman" w:hAnsi="Times New Roman" w:cs="Times New Roman"/>
          <w:sz w:val="18"/>
          <w:szCs w:val="18"/>
          <w:lang w:val="de-DE"/>
        </w:rPr>
        <w:t>cfr</w:t>
      </w:r>
      <w:proofErr w:type="spellEnd"/>
      <w:r w:rsidRPr="007B4FE2">
        <w:rPr>
          <w:rFonts w:ascii="Times New Roman" w:hAnsi="Times New Roman" w:cs="Times New Roman"/>
          <w:sz w:val="18"/>
          <w:szCs w:val="18"/>
          <w:lang w:val="de-DE"/>
        </w:rPr>
        <w:t>.,</w:t>
      </w:r>
      <w:proofErr w:type="gramEnd"/>
      <w:r w:rsidRPr="007B4FE2">
        <w:rPr>
          <w:rFonts w:ascii="Times New Roman" w:hAnsi="Times New Roman" w:cs="Times New Roman"/>
          <w:sz w:val="18"/>
          <w:szCs w:val="18"/>
          <w:lang w:val="de-DE"/>
        </w:rPr>
        <w:t xml:space="preserve"> </w:t>
      </w:r>
      <w:proofErr w:type="spellStart"/>
      <w:r w:rsidRPr="007B4FE2">
        <w:rPr>
          <w:rFonts w:ascii="Times New Roman" w:hAnsi="Times New Roman" w:cs="Times New Roman"/>
          <w:sz w:val="18"/>
          <w:szCs w:val="18"/>
          <w:lang w:val="de-DE"/>
        </w:rPr>
        <w:t>tra</w:t>
      </w:r>
      <w:proofErr w:type="spellEnd"/>
      <w:r w:rsidRPr="007B4FE2">
        <w:rPr>
          <w:rFonts w:ascii="Times New Roman" w:hAnsi="Times New Roman" w:cs="Times New Roman"/>
          <w:sz w:val="18"/>
          <w:szCs w:val="18"/>
          <w:lang w:val="de-DE"/>
        </w:rPr>
        <w:t xml:space="preserve"> </w:t>
      </w:r>
      <w:proofErr w:type="spellStart"/>
      <w:r w:rsidRPr="007B4FE2">
        <w:rPr>
          <w:rFonts w:ascii="Times New Roman" w:hAnsi="Times New Roman" w:cs="Times New Roman"/>
          <w:sz w:val="18"/>
          <w:szCs w:val="18"/>
          <w:lang w:val="de-DE"/>
        </w:rPr>
        <w:t>gli</w:t>
      </w:r>
      <w:proofErr w:type="spellEnd"/>
      <w:r w:rsidRPr="007B4FE2">
        <w:rPr>
          <w:rFonts w:ascii="Times New Roman" w:hAnsi="Times New Roman" w:cs="Times New Roman"/>
          <w:sz w:val="18"/>
          <w:szCs w:val="18"/>
          <w:lang w:val="de-DE"/>
        </w:rPr>
        <w:t xml:space="preserve"> </w:t>
      </w:r>
      <w:proofErr w:type="spellStart"/>
      <w:r w:rsidRPr="007B4FE2">
        <w:rPr>
          <w:rFonts w:ascii="Times New Roman" w:hAnsi="Times New Roman" w:cs="Times New Roman"/>
          <w:sz w:val="18"/>
          <w:szCs w:val="18"/>
          <w:lang w:val="de-DE"/>
        </w:rPr>
        <w:t>altri</w:t>
      </w:r>
      <w:proofErr w:type="spellEnd"/>
      <w:r w:rsidRPr="007B4FE2">
        <w:rPr>
          <w:rFonts w:ascii="Times New Roman" w:hAnsi="Times New Roman" w:cs="Times New Roman"/>
          <w:sz w:val="18"/>
          <w:szCs w:val="18"/>
          <w:lang w:val="de-DE"/>
        </w:rPr>
        <w:t xml:space="preserve">, K. Stern, </w:t>
      </w:r>
      <w:r w:rsidRPr="007B4FE2">
        <w:rPr>
          <w:rFonts w:ascii="Times New Roman" w:hAnsi="Times New Roman" w:cs="Times New Roman"/>
          <w:i/>
          <w:sz w:val="18"/>
          <w:szCs w:val="18"/>
          <w:lang w:val="de-DE"/>
        </w:rPr>
        <w:t>Zur Entstehung und Ableitung des Übermaßverbots</w:t>
      </w:r>
      <w:r w:rsidRPr="007B4FE2">
        <w:rPr>
          <w:rFonts w:ascii="Times New Roman" w:hAnsi="Times New Roman" w:cs="Times New Roman"/>
          <w:sz w:val="18"/>
          <w:szCs w:val="18"/>
          <w:lang w:val="de-DE"/>
        </w:rPr>
        <w:t xml:space="preserve">, in P. Badura, R. Scholz (a </w:t>
      </w:r>
      <w:proofErr w:type="spellStart"/>
      <w:r w:rsidRPr="007B4FE2">
        <w:rPr>
          <w:rFonts w:ascii="Times New Roman" w:hAnsi="Times New Roman" w:cs="Times New Roman"/>
          <w:sz w:val="18"/>
          <w:szCs w:val="18"/>
          <w:lang w:val="de-DE"/>
        </w:rPr>
        <w:t>cura</w:t>
      </w:r>
      <w:proofErr w:type="spellEnd"/>
      <w:r w:rsidRPr="007B4FE2">
        <w:rPr>
          <w:rFonts w:ascii="Times New Roman" w:hAnsi="Times New Roman" w:cs="Times New Roman"/>
          <w:sz w:val="18"/>
          <w:szCs w:val="18"/>
          <w:lang w:val="de-DE"/>
        </w:rPr>
        <w:t xml:space="preserve"> di), </w:t>
      </w:r>
      <w:r w:rsidRPr="007B4FE2">
        <w:rPr>
          <w:rFonts w:ascii="Times New Roman" w:hAnsi="Times New Roman" w:cs="Times New Roman"/>
          <w:i/>
          <w:sz w:val="18"/>
          <w:szCs w:val="18"/>
          <w:lang w:val="de-DE"/>
        </w:rPr>
        <w:t>Wege und Verfahren des Verfassungslebens. Festschrift für P. Lerche</w:t>
      </w:r>
      <w:r w:rsidRPr="007B4FE2">
        <w:rPr>
          <w:rFonts w:ascii="Times New Roman" w:hAnsi="Times New Roman" w:cs="Times New Roman"/>
          <w:sz w:val="18"/>
          <w:szCs w:val="18"/>
          <w:lang w:val="de-DE"/>
        </w:rPr>
        <w:t xml:space="preserve">, München, 1993, p. 165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G. Ress, </w:t>
      </w:r>
      <w:r w:rsidRPr="007B4FE2">
        <w:rPr>
          <w:rFonts w:ascii="Times New Roman" w:hAnsi="Times New Roman" w:cs="Times New Roman"/>
          <w:i/>
          <w:sz w:val="18"/>
          <w:szCs w:val="18"/>
          <w:lang w:val="de-DE"/>
        </w:rPr>
        <w:t>Der Grundsatz der Verhältnismäßigkeit im deutschen Recht</w:t>
      </w:r>
      <w:r w:rsidRPr="007B4FE2">
        <w:rPr>
          <w:rFonts w:ascii="Times New Roman" w:hAnsi="Times New Roman" w:cs="Times New Roman"/>
          <w:sz w:val="18"/>
          <w:szCs w:val="18"/>
          <w:lang w:val="de-DE"/>
        </w:rPr>
        <w:t xml:space="preserve">, in H. Kutscher, G. Ress, </w:t>
      </w:r>
      <w:r w:rsidRPr="007B4FE2">
        <w:rPr>
          <w:rFonts w:ascii="Times New Roman" w:hAnsi="Times New Roman" w:cs="Times New Roman"/>
          <w:i/>
          <w:sz w:val="18"/>
          <w:szCs w:val="18"/>
          <w:lang w:val="de-DE"/>
        </w:rPr>
        <w:t>Der Grundsatz der Verhältnismäßigkeit in europäischen Rechtsordnungen</w:t>
      </w:r>
      <w:r w:rsidRPr="007B4FE2">
        <w:rPr>
          <w:rFonts w:ascii="Times New Roman" w:hAnsi="Times New Roman" w:cs="Times New Roman"/>
          <w:sz w:val="18"/>
          <w:szCs w:val="18"/>
          <w:lang w:val="de-DE"/>
        </w:rPr>
        <w:t xml:space="preserve">, Heidelberg, 1985, p. 11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w:t>
      </w:r>
    </w:p>
  </w:footnote>
  <w:footnote w:id="17">
    <w:p w:rsidR="0097768D" w:rsidRPr="007B4FE2" w:rsidRDefault="0097768D" w:rsidP="007B4FE2">
      <w:pPr>
        <w:spacing w:after="0" w:line="240" w:lineRule="auto"/>
        <w:jc w:val="both"/>
        <w:rPr>
          <w:rFonts w:ascii="Times New Roman" w:hAnsi="Times New Roman" w:cs="Times New Roman"/>
          <w:color w:val="000000"/>
          <w:sz w:val="18"/>
          <w:szCs w:val="18"/>
          <w:lang w:val="de-DE"/>
        </w:rPr>
      </w:pPr>
      <w:r w:rsidRPr="007B4FE2">
        <w:rPr>
          <w:rStyle w:val="Rimandonotaapidipagina"/>
          <w:rFonts w:ascii="Times New Roman" w:hAnsi="Times New Roman" w:cs="Times New Roman"/>
          <w:color w:val="000000"/>
          <w:sz w:val="18"/>
          <w:szCs w:val="18"/>
        </w:rPr>
        <w:footnoteRef/>
      </w:r>
      <w:r w:rsidRPr="007B4FE2">
        <w:rPr>
          <w:rFonts w:ascii="Times New Roman" w:hAnsi="Times New Roman" w:cs="Times New Roman"/>
          <w:color w:val="000000"/>
          <w:sz w:val="18"/>
          <w:szCs w:val="18"/>
        </w:rPr>
        <w:t xml:space="preserve"> La Corte costituzionale federale constata che il principio di proporzionalità ed il divieto di adozione di misure eccessive (</w:t>
      </w:r>
      <w:proofErr w:type="spellStart"/>
      <w:r w:rsidRPr="007B4FE2">
        <w:rPr>
          <w:rFonts w:ascii="Times New Roman" w:hAnsi="Times New Roman" w:cs="Times New Roman"/>
          <w:i/>
          <w:color w:val="000000"/>
          <w:sz w:val="18"/>
          <w:szCs w:val="18"/>
        </w:rPr>
        <w:t>Übermaßverbot</w:t>
      </w:r>
      <w:proofErr w:type="spellEnd"/>
      <w:r w:rsidRPr="007B4FE2">
        <w:rPr>
          <w:rFonts w:ascii="Times New Roman" w:hAnsi="Times New Roman" w:cs="Times New Roman"/>
          <w:color w:val="000000"/>
          <w:sz w:val="18"/>
          <w:szCs w:val="18"/>
        </w:rPr>
        <w:t>)</w:t>
      </w:r>
      <w:proofErr w:type="gramStart"/>
      <w:r w:rsidRPr="007B4FE2">
        <w:rPr>
          <w:rFonts w:ascii="Times New Roman" w:hAnsi="Times New Roman" w:cs="Times New Roman"/>
          <w:color w:val="000000"/>
          <w:sz w:val="18"/>
          <w:szCs w:val="18"/>
        </w:rPr>
        <w:t>"....</w:t>
      </w:r>
      <w:proofErr w:type="spellStart"/>
      <w:proofErr w:type="gramEnd"/>
      <w:r w:rsidRPr="007B4FE2">
        <w:rPr>
          <w:rFonts w:ascii="Times New Roman" w:hAnsi="Times New Roman" w:cs="Times New Roman"/>
          <w:i/>
          <w:color w:val="000000"/>
          <w:sz w:val="18"/>
          <w:szCs w:val="18"/>
        </w:rPr>
        <w:t>sich</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als</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übergreifende</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Leitregeln</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aller</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staatlichen</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Handel</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zwingend</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aus</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dem</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Rechtsstaatsprinzip</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ergeben</w:t>
      </w:r>
      <w:proofErr w:type="spellEnd"/>
      <w:r w:rsidRPr="007B4FE2">
        <w:rPr>
          <w:rFonts w:ascii="Times New Roman" w:hAnsi="Times New Roman" w:cs="Times New Roman"/>
          <w:i/>
          <w:color w:val="000000"/>
          <w:sz w:val="18"/>
          <w:szCs w:val="18"/>
        </w:rPr>
        <w:t xml:space="preserve"> und </w:t>
      </w:r>
      <w:proofErr w:type="spellStart"/>
      <w:r w:rsidRPr="007B4FE2">
        <w:rPr>
          <w:rFonts w:ascii="Times New Roman" w:hAnsi="Times New Roman" w:cs="Times New Roman"/>
          <w:i/>
          <w:color w:val="000000"/>
          <w:sz w:val="18"/>
          <w:szCs w:val="18"/>
        </w:rPr>
        <w:t>deshalb</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Verfassungsrang</w:t>
      </w:r>
      <w:proofErr w:type="spellEnd"/>
      <w:r w:rsidRPr="007B4FE2">
        <w:rPr>
          <w:rFonts w:ascii="Times New Roman" w:hAnsi="Times New Roman" w:cs="Times New Roman"/>
          <w:i/>
          <w:color w:val="000000"/>
          <w:sz w:val="18"/>
          <w:szCs w:val="18"/>
        </w:rPr>
        <w:t xml:space="preserve"> </w:t>
      </w:r>
      <w:proofErr w:type="spellStart"/>
      <w:r w:rsidRPr="007B4FE2">
        <w:rPr>
          <w:rFonts w:ascii="Times New Roman" w:hAnsi="Times New Roman" w:cs="Times New Roman"/>
          <w:i/>
          <w:color w:val="000000"/>
          <w:sz w:val="18"/>
          <w:szCs w:val="18"/>
        </w:rPr>
        <w:t>haben</w:t>
      </w:r>
      <w:proofErr w:type="spellEnd"/>
      <w:r w:rsidRPr="007B4FE2">
        <w:rPr>
          <w:rFonts w:ascii="Times New Roman" w:hAnsi="Times New Roman" w:cs="Times New Roman"/>
          <w:color w:val="000000"/>
          <w:sz w:val="18"/>
          <w:szCs w:val="18"/>
        </w:rPr>
        <w:t xml:space="preserve">" (si </w:t>
      </w:r>
      <w:proofErr w:type="spellStart"/>
      <w:r w:rsidRPr="007B4FE2">
        <w:rPr>
          <w:rFonts w:ascii="Times New Roman" w:hAnsi="Times New Roman" w:cs="Times New Roman"/>
          <w:color w:val="000000"/>
          <w:sz w:val="18"/>
          <w:szCs w:val="18"/>
        </w:rPr>
        <w:t>delinenano</w:t>
      </w:r>
      <w:proofErr w:type="spellEnd"/>
      <w:r w:rsidRPr="007B4FE2">
        <w:rPr>
          <w:rFonts w:ascii="Times New Roman" w:hAnsi="Times New Roman" w:cs="Times New Roman"/>
          <w:color w:val="000000"/>
          <w:sz w:val="18"/>
          <w:szCs w:val="18"/>
        </w:rPr>
        <w:t xml:space="preserve"> quali regole generali e superiori per tutte le azioni dello Stato ed hanno pertanto rango costituzionale). </w:t>
      </w:r>
      <w:r w:rsidRPr="007B4FE2">
        <w:rPr>
          <w:rFonts w:ascii="Times New Roman" w:hAnsi="Times New Roman" w:cs="Times New Roman"/>
          <w:color w:val="000000"/>
          <w:sz w:val="18"/>
          <w:szCs w:val="18"/>
          <w:lang w:val="de-DE"/>
        </w:rPr>
        <w:t xml:space="preserve">Bundesverfassungsgericht (BVerfG), </w:t>
      </w:r>
      <w:proofErr w:type="spellStart"/>
      <w:r w:rsidRPr="007B4FE2">
        <w:rPr>
          <w:rFonts w:ascii="Times New Roman" w:hAnsi="Times New Roman" w:cs="Times New Roman"/>
          <w:color w:val="000000"/>
          <w:sz w:val="18"/>
          <w:szCs w:val="18"/>
          <w:lang w:val="de-DE"/>
        </w:rPr>
        <w:t>sent</w:t>
      </w:r>
      <w:proofErr w:type="spellEnd"/>
      <w:r w:rsidRPr="007B4FE2">
        <w:rPr>
          <w:rFonts w:ascii="Times New Roman" w:hAnsi="Times New Roman" w:cs="Times New Roman"/>
          <w:color w:val="000000"/>
          <w:sz w:val="18"/>
          <w:szCs w:val="18"/>
          <w:lang w:val="de-DE"/>
        </w:rPr>
        <w:t xml:space="preserve">. 05.03.1968, in </w:t>
      </w:r>
      <w:r w:rsidRPr="007B4FE2">
        <w:rPr>
          <w:rFonts w:ascii="Times New Roman" w:hAnsi="Times New Roman" w:cs="Times New Roman"/>
          <w:i/>
          <w:color w:val="000000"/>
          <w:sz w:val="18"/>
          <w:szCs w:val="18"/>
          <w:lang w:val="de-DE"/>
        </w:rPr>
        <w:t>BVerfGE</w:t>
      </w:r>
      <w:r w:rsidRPr="007B4FE2">
        <w:rPr>
          <w:rFonts w:ascii="Times New Roman" w:hAnsi="Times New Roman" w:cs="Times New Roman"/>
          <w:color w:val="000000"/>
          <w:sz w:val="18"/>
          <w:szCs w:val="18"/>
          <w:lang w:val="de-DE"/>
        </w:rPr>
        <w:t xml:space="preserve"> 23, p. 127 </w:t>
      </w:r>
      <w:proofErr w:type="spellStart"/>
      <w:proofErr w:type="gramStart"/>
      <w:r w:rsidRPr="007B4FE2">
        <w:rPr>
          <w:rFonts w:ascii="Times New Roman" w:hAnsi="Times New Roman" w:cs="Times New Roman"/>
          <w:color w:val="000000"/>
          <w:sz w:val="18"/>
          <w:szCs w:val="18"/>
          <w:lang w:val="de-DE"/>
        </w:rPr>
        <w:t>ss</w:t>
      </w:r>
      <w:proofErr w:type="spellEnd"/>
      <w:r w:rsidRPr="007B4FE2">
        <w:rPr>
          <w:rFonts w:ascii="Times New Roman" w:hAnsi="Times New Roman" w:cs="Times New Roman"/>
          <w:color w:val="000000"/>
          <w:sz w:val="18"/>
          <w:szCs w:val="18"/>
          <w:lang w:val="de-DE"/>
        </w:rPr>
        <w:t>.;</w:t>
      </w:r>
      <w:proofErr w:type="gramEnd"/>
      <w:r w:rsidRPr="007B4FE2">
        <w:rPr>
          <w:rFonts w:ascii="Times New Roman" w:hAnsi="Times New Roman" w:cs="Times New Roman"/>
          <w:color w:val="000000"/>
          <w:sz w:val="18"/>
          <w:szCs w:val="18"/>
          <w:lang w:val="de-DE"/>
        </w:rPr>
        <w:t xml:space="preserve"> </w:t>
      </w:r>
      <w:r w:rsidRPr="007B4FE2">
        <w:rPr>
          <w:rFonts w:ascii="Times New Roman" w:hAnsi="Times New Roman" w:cs="Times New Roman"/>
          <w:i/>
          <w:color w:val="000000"/>
          <w:sz w:val="18"/>
          <w:szCs w:val="18"/>
          <w:lang w:val="de-DE"/>
        </w:rPr>
        <w:t>idem</w:t>
      </w:r>
      <w:r w:rsidRPr="007B4FE2">
        <w:rPr>
          <w:rFonts w:ascii="Times New Roman" w:hAnsi="Times New Roman" w:cs="Times New Roman"/>
          <w:color w:val="000000"/>
          <w:sz w:val="18"/>
          <w:szCs w:val="18"/>
          <w:lang w:val="de-DE"/>
        </w:rPr>
        <w:t xml:space="preserve"> BVerfG, </w:t>
      </w:r>
      <w:proofErr w:type="spellStart"/>
      <w:r w:rsidRPr="007B4FE2">
        <w:rPr>
          <w:rFonts w:ascii="Times New Roman" w:hAnsi="Times New Roman" w:cs="Times New Roman"/>
          <w:color w:val="000000"/>
          <w:sz w:val="18"/>
          <w:szCs w:val="18"/>
          <w:lang w:val="de-DE"/>
        </w:rPr>
        <w:t>sent</w:t>
      </w:r>
      <w:proofErr w:type="spellEnd"/>
      <w:r w:rsidRPr="007B4FE2">
        <w:rPr>
          <w:rFonts w:ascii="Times New Roman" w:hAnsi="Times New Roman" w:cs="Times New Roman"/>
          <w:color w:val="000000"/>
          <w:sz w:val="18"/>
          <w:szCs w:val="18"/>
          <w:lang w:val="de-DE"/>
        </w:rPr>
        <w:t xml:space="preserve">. </w:t>
      </w:r>
      <w:r w:rsidRPr="007B4FE2">
        <w:rPr>
          <w:rFonts w:ascii="Times New Roman" w:hAnsi="Times New Roman" w:cs="Times New Roman"/>
          <w:color w:val="000000"/>
          <w:sz w:val="18"/>
          <w:szCs w:val="18"/>
        </w:rPr>
        <w:t xml:space="preserve">04.02.1975, in </w:t>
      </w:r>
      <w:proofErr w:type="spellStart"/>
      <w:r w:rsidRPr="007B4FE2">
        <w:rPr>
          <w:rFonts w:ascii="Times New Roman" w:hAnsi="Times New Roman" w:cs="Times New Roman"/>
          <w:i/>
          <w:color w:val="000000"/>
          <w:sz w:val="18"/>
          <w:szCs w:val="18"/>
        </w:rPr>
        <w:t>BVerfGE</w:t>
      </w:r>
      <w:proofErr w:type="spellEnd"/>
      <w:r w:rsidRPr="007B4FE2">
        <w:rPr>
          <w:rFonts w:ascii="Times New Roman" w:hAnsi="Times New Roman" w:cs="Times New Roman"/>
          <w:color w:val="000000"/>
          <w:sz w:val="18"/>
          <w:szCs w:val="18"/>
        </w:rPr>
        <w:t xml:space="preserve"> 38, p. 348 ss. In argomento si vedano poi, anche </w:t>
      </w:r>
      <w:proofErr w:type="spellStart"/>
      <w:r w:rsidRPr="007B4FE2">
        <w:rPr>
          <w:rFonts w:ascii="Times New Roman" w:hAnsi="Times New Roman" w:cs="Times New Roman"/>
          <w:color w:val="000000"/>
          <w:sz w:val="18"/>
          <w:szCs w:val="18"/>
        </w:rPr>
        <w:t>BVerfG</w:t>
      </w:r>
      <w:proofErr w:type="spellEnd"/>
      <w:r w:rsidRPr="007B4FE2">
        <w:rPr>
          <w:rFonts w:ascii="Times New Roman" w:hAnsi="Times New Roman" w:cs="Times New Roman"/>
          <w:color w:val="000000"/>
          <w:sz w:val="18"/>
          <w:szCs w:val="18"/>
        </w:rPr>
        <w:t xml:space="preserve">, </w:t>
      </w:r>
      <w:proofErr w:type="spellStart"/>
      <w:r w:rsidRPr="007B4FE2">
        <w:rPr>
          <w:rFonts w:ascii="Times New Roman" w:hAnsi="Times New Roman" w:cs="Times New Roman"/>
          <w:color w:val="000000"/>
          <w:sz w:val="18"/>
          <w:szCs w:val="18"/>
        </w:rPr>
        <w:t>sent</w:t>
      </w:r>
      <w:proofErr w:type="spellEnd"/>
      <w:r w:rsidRPr="007B4FE2">
        <w:rPr>
          <w:rFonts w:ascii="Times New Roman" w:hAnsi="Times New Roman" w:cs="Times New Roman"/>
          <w:color w:val="000000"/>
          <w:sz w:val="18"/>
          <w:szCs w:val="18"/>
        </w:rPr>
        <w:t xml:space="preserve">. </w:t>
      </w:r>
      <w:r w:rsidRPr="00AA5BCE">
        <w:rPr>
          <w:rFonts w:ascii="Times New Roman" w:hAnsi="Times New Roman" w:cs="Times New Roman"/>
          <w:color w:val="000000"/>
          <w:sz w:val="18"/>
          <w:szCs w:val="18"/>
          <w:lang w:val="en-US"/>
        </w:rPr>
        <w:t xml:space="preserve">15.12.1965, in </w:t>
      </w:r>
      <w:r w:rsidRPr="00AA5BCE">
        <w:rPr>
          <w:rFonts w:ascii="Times New Roman" w:hAnsi="Times New Roman" w:cs="Times New Roman"/>
          <w:i/>
          <w:color w:val="000000"/>
          <w:sz w:val="18"/>
          <w:szCs w:val="18"/>
          <w:lang w:val="en-US"/>
        </w:rPr>
        <w:t>BVerfGE</w:t>
      </w:r>
      <w:r w:rsidRPr="00AA5BCE">
        <w:rPr>
          <w:rFonts w:ascii="Times New Roman" w:hAnsi="Times New Roman" w:cs="Times New Roman"/>
          <w:color w:val="000000"/>
          <w:sz w:val="18"/>
          <w:szCs w:val="18"/>
          <w:lang w:val="en-US"/>
        </w:rPr>
        <w:t xml:space="preserve"> 19, p. 343 ss.; BVerfG sent. 09.11.1976, in </w:t>
      </w:r>
      <w:r w:rsidRPr="00AA5BCE">
        <w:rPr>
          <w:rFonts w:ascii="Times New Roman" w:hAnsi="Times New Roman" w:cs="Times New Roman"/>
          <w:i/>
          <w:color w:val="000000"/>
          <w:sz w:val="18"/>
          <w:szCs w:val="18"/>
          <w:lang w:val="en-US"/>
        </w:rPr>
        <w:t>BVerfGE</w:t>
      </w:r>
      <w:r w:rsidRPr="00AA5BCE">
        <w:rPr>
          <w:rFonts w:ascii="Times New Roman" w:hAnsi="Times New Roman" w:cs="Times New Roman"/>
          <w:color w:val="000000"/>
          <w:sz w:val="18"/>
          <w:szCs w:val="18"/>
          <w:lang w:val="en-US"/>
        </w:rPr>
        <w:t xml:space="preserve"> 43, p. 101 ss.; BVerfG, sent. 19.10.1982, in </w:t>
      </w:r>
      <w:r w:rsidRPr="00AA5BCE">
        <w:rPr>
          <w:rFonts w:ascii="Times New Roman" w:hAnsi="Times New Roman" w:cs="Times New Roman"/>
          <w:i/>
          <w:color w:val="000000"/>
          <w:sz w:val="18"/>
          <w:szCs w:val="18"/>
          <w:lang w:val="en-US"/>
        </w:rPr>
        <w:t>BVerfGE</w:t>
      </w:r>
      <w:r w:rsidRPr="00AA5BCE">
        <w:rPr>
          <w:rFonts w:ascii="Times New Roman" w:hAnsi="Times New Roman" w:cs="Times New Roman"/>
          <w:color w:val="000000"/>
          <w:sz w:val="18"/>
          <w:szCs w:val="18"/>
          <w:lang w:val="en-US"/>
        </w:rPr>
        <w:t xml:space="preserve"> 61, p. 126 ss. </w:t>
      </w:r>
      <w:r w:rsidRPr="007B4FE2">
        <w:rPr>
          <w:rFonts w:ascii="Times New Roman" w:hAnsi="Times New Roman" w:cs="Times New Roman"/>
          <w:color w:val="000000"/>
          <w:sz w:val="18"/>
          <w:szCs w:val="18"/>
          <w:lang w:val="de-DE"/>
        </w:rPr>
        <w:t xml:space="preserve">V. A. Bleckmann, </w:t>
      </w:r>
      <w:r w:rsidRPr="007B4FE2">
        <w:rPr>
          <w:rFonts w:ascii="Times New Roman" w:hAnsi="Times New Roman" w:cs="Times New Roman"/>
          <w:i/>
          <w:color w:val="000000"/>
          <w:sz w:val="18"/>
          <w:szCs w:val="18"/>
          <w:lang w:val="de-DE"/>
        </w:rPr>
        <w:t xml:space="preserve">Begründung und Anwendungsbereich des </w:t>
      </w:r>
      <w:proofErr w:type="spellStart"/>
      <w:r w:rsidRPr="007B4FE2">
        <w:rPr>
          <w:rFonts w:ascii="Times New Roman" w:hAnsi="Times New Roman" w:cs="Times New Roman"/>
          <w:i/>
          <w:color w:val="000000"/>
          <w:sz w:val="18"/>
          <w:szCs w:val="18"/>
          <w:lang w:val="de-DE"/>
        </w:rPr>
        <w:t>Verhältnismäßigkeitsprinzipes</w:t>
      </w:r>
      <w:proofErr w:type="spellEnd"/>
      <w:r w:rsidRPr="007B4FE2">
        <w:rPr>
          <w:rFonts w:ascii="Times New Roman" w:hAnsi="Times New Roman" w:cs="Times New Roman"/>
          <w:color w:val="000000"/>
          <w:sz w:val="18"/>
          <w:szCs w:val="18"/>
          <w:lang w:val="de-DE"/>
        </w:rPr>
        <w:t xml:space="preserve">, in </w:t>
      </w:r>
      <w:proofErr w:type="spellStart"/>
      <w:r w:rsidRPr="007B4FE2">
        <w:rPr>
          <w:rFonts w:ascii="Times New Roman" w:hAnsi="Times New Roman" w:cs="Times New Roman"/>
          <w:i/>
          <w:snapToGrid w:val="0"/>
          <w:color w:val="000000"/>
          <w:sz w:val="18"/>
          <w:szCs w:val="18"/>
          <w:lang w:val="de-DE"/>
        </w:rPr>
        <w:t>Juristiche</w:t>
      </w:r>
      <w:proofErr w:type="spellEnd"/>
      <w:r w:rsidRPr="007B4FE2">
        <w:rPr>
          <w:rFonts w:ascii="Times New Roman" w:hAnsi="Times New Roman" w:cs="Times New Roman"/>
          <w:i/>
          <w:snapToGrid w:val="0"/>
          <w:color w:val="000000"/>
          <w:sz w:val="18"/>
          <w:szCs w:val="18"/>
          <w:lang w:val="de-DE"/>
        </w:rPr>
        <w:t xml:space="preserve"> Schulung</w:t>
      </w:r>
      <w:r w:rsidRPr="007B4FE2">
        <w:rPr>
          <w:rFonts w:ascii="Times New Roman" w:hAnsi="Times New Roman" w:cs="Times New Roman"/>
          <w:snapToGrid w:val="0"/>
          <w:color w:val="000000"/>
          <w:sz w:val="18"/>
          <w:szCs w:val="18"/>
          <w:lang w:val="de-DE"/>
        </w:rPr>
        <w:t xml:space="preserve">, </w:t>
      </w:r>
      <w:r w:rsidRPr="007B4FE2">
        <w:rPr>
          <w:rFonts w:ascii="Times New Roman" w:hAnsi="Times New Roman" w:cs="Times New Roman"/>
          <w:color w:val="000000"/>
          <w:sz w:val="18"/>
          <w:szCs w:val="18"/>
          <w:lang w:val="de-DE"/>
        </w:rPr>
        <w:t>1994, p. 178 s.</w:t>
      </w:r>
    </w:p>
  </w:footnote>
  <w:footnote w:id="18">
    <w:p w:rsidR="0097768D" w:rsidRPr="007B4FE2" w:rsidRDefault="0097768D" w:rsidP="007B4FE2">
      <w:pPr>
        <w:spacing w:after="0" w:line="240" w:lineRule="auto"/>
        <w:jc w:val="both"/>
        <w:rPr>
          <w:rFonts w:ascii="Times New Roman" w:hAnsi="Times New Roman" w:cs="Times New Roman"/>
          <w:color w:val="000000"/>
          <w:sz w:val="18"/>
          <w:szCs w:val="18"/>
          <w:lang w:val="de-DE"/>
        </w:rPr>
      </w:pPr>
      <w:r w:rsidRPr="007B4FE2">
        <w:rPr>
          <w:rStyle w:val="Rimandonotaapidipagina"/>
          <w:rFonts w:ascii="Times New Roman" w:hAnsi="Times New Roman" w:cs="Times New Roman"/>
          <w:color w:val="000000"/>
          <w:sz w:val="18"/>
          <w:szCs w:val="18"/>
        </w:rPr>
        <w:footnoteRef/>
      </w:r>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Ivi</w:t>
      </w:r>
      <w:proofErr w:type="spellEnd"/>
      <w:r w:rsidRPr="007B4FE2">
        <w:rPr>
          <w:rFonts w:ascii="Times New Roman" w:hAnsi="Times New Roman" w:cs="Times New Roman"/>
          <w:color w:val="000000"/>
          <w:sz w:val="18"/>
          <w:szCs w:val="18"/>
          <w:lang w:val="de-DE"/>
        </w:rPr>
        <w:t xml:space="preserve"> (art. 19 II GG) si </w:t>
      </w:r>
      <w:proofErr w:type="spellStart"/>
      <w:r w:rsidRPr="007B4FE2">
        <w:rPr>
          <w:rFonts w:ascii="Times New Roman" w:hAnsi="Times New Roman" w:cs="Times New Roman"/>
          <w:color w:val="000000"/>
          <w:sz w:val="18"/>
          <w:szCs w:val="18"/>
          <w:lang w:val="de-DE"/>
        </w:rPr>
        <w:t>legge</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che</w:t>
      </w:r>
      <w:proofErr w:type="spellEnd"/>
      <w:r w:rsidRPr="007B4FE2">
        <w:rPr>
          <w:rFonts w:ascii="Times New Roman" w:hAnsi="Times New Roman" w:cs="Times New Roman"/>
          <w:color w:val="000000"/>
          <w:sz w:val="18"/>
          <w:szCs w:val="18"/>
          <w:lang w:val="de-DE"/>
        </w:rPr>
        <w:t>: "</w:t>
      </w:r>
      <w:r w:rsidRPr="007B4FE2">
        <w:rPr>
          <w:rFonts w:ascii="Times New Roman" w:hAnsi="Times New Roman" w:cs="Times New Roman"/>
          <w:i/>
          <w:color w:val="000000"/>
          <w:sz w:val="18"/>
          <w:szCs w:val="18"/>
          <w:lang w:val="de-DE"/>
        </w:rPr>
        <w:t>In keinem Falle darf ein Grundrecht in seinem Wesensgehalt angetastet werden</w:t>
      </w:r>
      <w:r w:rsidRPr="007B4FE2">
        <w:rPr>
          <w:rFonts w:ascii="Times New Roman" w:hAnsi="Times New Roman" w:cs="Times New Roman"/>
          <w:color w:val="000000"/>
          <w:sz w:val="18"/>
          <w:szCs w:val="18"/>
          <w:lang w:val="de-DE"/>
        </w:rPr>
        <w:t>" (</w:t>
      </w:r>
      <w:proofErr w:type="spellStart"/>
      <w:r w:rsidRPr="007B4FE2">
        <w:rPr>
          <w:rFonts w:ascii="Times New Roman" w:hAnsi="Times New Roman" w:cs="Times New Roman"/>
          <w:color w:val="000000"/>
          <w:sz w:val="18"/>
          <w:szCs w:val="18"/>
          <w:lang w:val="de-DE"/>
        </w:rPr>
        <w:t>un</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diritto</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fondamentale</w:t>
      </w:r>
      <w:proofErr w:type="spellEnd"/>
      <w:r w:rsidRPr="007B4FE2">
        <w:rPr>
          <w:rFonts w:ascii="Times New Roman" w:hAnsi="Times New Roman" w:cs="Times New Roman"/>
          <w:color w:val="000000"/>
          <w:sz w:val="18"/>
          <w:szCs w:val="18"/>
          <w:lang w:val="de-DE"/>
        </w:rPr>
        <w:t xml:space="preserve"> non </w:t>
      </w:r>
      <w:proofErr w:type="spellStart"/>
      <w:r w:rsidRPr="007B4FE2">
        <w:rPr>
          <w:rFonts w:ascii="Times New Roman" w:hAnsi="Times New Roman" w:cs="Times New Roman"/>
          <w:color w:val="000000"/>
          <w:sz w:val="18"/>
          <w:szCs w:val="18"/>
          <w:lang w:val="de-DE"/>
        </w:rPr>
        <w:t>deve</w:t>
      </w:r>
      <w:proofErr w:type="spellEnd"/>
      <w:r w:rsidRPr="007B4FE2">
        <w:rPr>
          <w:rFonts w:ascii="Times New Roman" w:hAnsi="Times New Roman" w:cs="Times New Roman"/>
          <w:color w:val="000000"/>
          <w:sz w:val="18"/>
          <w:szCs w:val="18"/>
          <w:lang w:val="de-DE"/>
        </w:rPr>
        <w:t xml:space="preserve"> in </w:t>
      </w:r>
      <w:proofErr w:type="spellStart"/>
      <w:r w:rsidRPr="007B4FE2">
        <w:rPr>
          <w:rFonts w:ascii="Times New Roman" w:hAnsi="Times New Roman" w:cs="Times New Roman"/>
          <w:color w:val="000000"/>
          <w:sz w:val="18"/>
          <w:szCs w:val="18"/>
          <w:lang w:val="de-DE"/>
        </w:rPr>
        <w:t>nessun</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caso</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venire</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intaccato</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nella</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sua</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essenza</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Cfr</w:t>
      </w:r>
      <w:proofErr w:type="spellEnd"/>
      <w:r w:rsidRPr="007B4FE2">
        <w:rPr>
          <w:rFonts w:ascii="Times New Roman" w:hAnsi="Times New Roman" w:cs="Times New Roman"/>
          <w:color w:val="000000"/>
          <w:sz w:val="18"/>
          <w:szCs w:val="18"/>
          <w:lang w:val="de-DE"/>
        </w:rPr>
        <w:t xml:space="preserve">. in </w:t>
      </w:r>
      <w:proofErr w:type="spellStart"/>
      <w:r w:rsidRPr="007B4FE2">
        <w:rPr>
          <w:rFonts w:ascii="Times New Roman" w:hAnsi="Times New Roman" w:cs="Times New Roman"/>
          <w:color w:val="000000"/>
          <w:sz w:val="18"/>
          <w:szCs w:val="18"/>
          <w:lang w:val="de-DE"/>
        </w:rPr>
        <w:t>argomento</w:t>
      </w:r>
      <w:proofErr w:type="spellEnd"/>
      <w:r w:rsidRPr="007B4FE2">
        <w:rPr>
          <w:rFonts w:ascii="Times New Roman" w:hAnsi="Times New Roman" w:cs="Times New Roman"/>
          <w:color w:val="000000"/>
          <w:sz w:val="18"/>
          <w:szCs w:val="18"/>
          <w:lang w:val="de-DE"/>
        </w:rPr>
        <w:t xml:space="preserve"> F. E. </w:t>
      </w:r>
      <w:r w:rsidRPr="007B4FE2">
        <w:rPr>
          <w:rFonts w:ascii="Times New Roman" w:hAnsi="Times New Roman" w:cs="Times New Roman"/>
          <w:snapToGrid w:val="0"/>
          <w:color w:val="000000"/>
          <w:sz w:val="18"/>
          <w:szCs w:val="18"/>
          <w:lang w:val="de-DE"/>
        </w:rPr>
        <w:t xml:space="preserve">Schnapp, </w:t>
      </w:r>
      <w:r w:rsidRPr="007B4FE2">
        <w:rPr>
          <w:rFonts w:ascii="Times New Roman" w:hAnsi="Times New Roman" w:cs="Times New Roman"/>
          <w:i/>
          <w:snapToGrid w:val="0"/>
          <w:color w:val="000000"/>
          <w:sz w:val="18"/>
          <w:szCs w:val="18"/>
          <w:lang w:val="de-DE"/>
        </w:rPr>
        <w:t>Die Verhältnismäßigkeit</w:t>
      </w:r>
      <w:r w:rsidRPr="007B4FE2">
        <w:rPr>
          <w:rFonts w:ascii="Times New Roman" w:hAnsi="Times New Roman" w:cs="Times New Roman"/>
          <w:snapToGrid w:val="0"/>
          <w:color w:val="000000"/>
          <w:sz w:val="18"/>
          <w:szCs w:val="18"/>
          <w:lang w:val="de-DE"/>
        </w:rPr>
        <w:t xml:space="preserve">, </w:t>
      </w:r>
      <w:proofErr w:type="spellStart"/>
      <w:proofErr w:type="gramStart"/>
      <w:r w:rsidRPr="007B4FE2">
        <w:rPr>
          <w:rFonts w:ascii="Times New Roman" w:hAnsi="Times New Roman" w:cs="Times New Roman"/>
          <w:snapToGrid w:val="0"/>
          <w:color w:val="000000"/>
          <w:sz w:val="18"/>
          <w:szCs w:val="18"/>
          <w:lang w:val="de-DE"/>
        </w:rPr>
        <w:t>cit</w:t>
      </w:r>
      <w:proofErr w:type="spellEnd"/>
      <w:r w:rsidRPr="007B4FE2">
        <w:rPr>
          <w:rFonts w:ascii="Times New Roman" w:hAnsi="Times New Roman" w:cs="Times New Roman"/>
          <w:snapToGrid w:val="0"/>
          <w:color w:val="000000"/>
          <w:sz w:val="18"/>
          <w:szCs w:val="18"/>
          <w:lang w:val="de-DE"/>
        </w:rPr>
        <w:t>.,</w:t>
      </w:r>
      <w:proofErr w:type="gramEnd"/>
      <w:r w:rsidRPr="007B4FE2">
        <w:rPr>
          <w:rFonts w:ascii="Times New Roman" w:hAnsi="Times New Roman" w:cs="Times New Roman"/>
          <w:snapToGrid w:val="0"/>
          <w:color w:val="000000"/>
          <w:sz w:val="18"/>
          <w:szCs w:val="18"/>
          <w:lang w:val="de-DE"/>
        </w:rPr>
        <w:t xml:space="preserve"> p. </w:t>
      </w:r>
      <w:r w:rsidRPr="007B4FE2">
        <w:rPr>
          <w:rFonts w:ascii="Times New Roman" w:hAnsi="Times New Roman" w:cs="Times New Roman"/>
          <w:color w:val="000000"/>
          <w:sz w:val="18"/>
          <w:szCs w:val="18"/>
          <w:lang w:val="de-DE"/>
        </w:rPr>
        <w:t xml:space="preserve">851 </w:t>
      </w:r>
      <w:proofErr w:type="spellStart"/>
      <w:r w:rsidRPr="007B4FE2">
        <w:rPr>
          <w:rFonts w:ascii="Times New Roman" w:hAnsi="Times New Roman" w:cs="Times New Roman"/>
          <w:color w:val="000000"/>
          <w:sz w:val="18"/>
          <w:szCs w:val="18"/>
          <w:lang w:val="de-DE"/>
        </w:rPr>
        <w:t>ss</w:t>
      </w:r>
      <w:proofErr w:type="spellEnd"/>
      <w:r w:rsidRPr="007B4FE2">
        <w:rPr>
          <w:rFonts w:ascii="Times New Roman" w:hAnsi="Times New Roman" w:cs="Times New Roman"/>
          <w:color w:val="000000"/>
          <w:sz w:val="18"/>
          <w:szCs w:val="18"/>
          <w:lang w:val="de-DE"/>
        </w:rPr>
        <w:t>.</w:t>
      </w:r>
    </w:p>
  </w:footnote>
  <w:footnote w:id="19">
    <w:p w:rsidR="0097768D" w:rsidRPr="007B4FE2" w:rsidRDefault="0097768D" w:rsidP="007B4FE2">
      <w:pPr>
        <w:spacing w:after="0" w:line="240" w:lineRule="auto"/>
        <w:jc w:val="both"/>
        <w:rPr>
          <w:rFonts w:ascii="Times New Roman" w:hAnsi="Times New Roman" w:cs="Times New Roman"/>
          <w:color w:val="000000"/>
          <w:sz w:val="18"/>
          <w:szCs w:val="18"/>
        </w:rPr>
      </w:pPr>
      <w:r w:rsidRPr="007B4FE2">
        <w:rPr>
          <w:rStyle w:val="Rimandonotaapidipagina"/>
          <w:rFonts w:ascii="Times New Roman" w:hAnsi="Times New Roman" w:cs="Times New Roman"/>
          <w:color w:val="000000"/>
          <w:sz w:val="18"/>
          <w:szCs w:val="18"/>
        </w:rPr>
        <w:footnoteRef/>
      </w:r>
      <w:r w:rsidRPr="007B4FE2">
        <w:rPr>
          <w:rFonts w:ascii="Times New Roman" w:hAnsi="Times New Roman" w:cs="Times New Roman"/>
          <w:color w:val="000000"/>
          <w:sz w:val="18"/>
          <w:szCs w:val="18"/>
          <w:lang w:val="de-DE"/>
        </w:rPr>
        <w:t xml:space="preserve"> </w:t>
      </w:r>
      <w:proofErr w:type="gramStart"/>
      <w:r w:rsidRPr="007B4FE2">
        <w:rPr>
          <w:rFonts w:ascii="Times New Roman" w:hAnsi="Times New Roman" w:cs="Times New Roman"/>
          <w:color w:val="000000"/>
          <w:sz w:val="18"/>
          <w:szCs w:val="18"/>
          <w:lang w:val="de-DE"/>
        </w:rPr>
        <w:t>“</w:t>
      </w:r>
      <w:r w:rsidRPr="007B4FE2">
        <w:rPr>
          <w:rFonts w:ascii="Times New Roman" w:hAnsi="Times New Roman" w:cs="Times New Roman"/>
          <w:i/>
          <w:color w:val="000000"/>
          <w:sz w:val="18"/>
          <w:szCs w:val="18"/>
          <w:lang w:val="de-DE"/>
        </w:rPr>
        <w:t xml:space="preserve">Er ergibt sich aus dem Rechtsstaatsprinzip, im Grunde bereits aus dem Wesen der Grundrechte selbst, die als Ausdruck des allgemeinen Freiheitsanspruches des Bürgers gegenüber dem Staat von der öffentlichen Gewalt jeweils nur so weit beschränkt werden dürfen, als es zum Schutz öffentlicher Interessen </w:t>
      </w:r>
      <w:proofErr w:type="spellStart"/>
      <w:r w:rsidRPr="007B4FE2">
        <w:rPr>
          <w:rFonts w:ascii="Times New Roman" w:hAnsi="Times New Roman" w:cs="Times New Roman"/>
          <w:i/>
          <w:color w:val="000000"/>
          <w:sz w:val="18"/>
          <w:szCs w:val="18"/>
          <w:lang w:val="de-DE"/>
        </w:rPr>
        <w:t>unerläßlich</w:t>
      </w:r>
      <w:proofErr w:type="spellEnd"/>
      <w:r w:rsidRPr="007B4FE2">
        <w:rPr>
          <w:rFonts w:ascii="Times New Roman" w:hAnsi="Times New Roman" w:cs="Times New Roman"/>
          <w:i/>
          <w:color w:val="000000"/>
          <w:sz w:val="18"/>
          <w:szCs w:val="18"/>
          <w:lang w:val="de-DE"/>
        </w:rPr>
        <w:t xml:space="preserve"> ist</w:t>
      </w:r>
      <w:r w:rsidRPr="007B4FE2">
        <w:rPr>
          <w:rFonts w:ascii="Times New Roman" w:hAnsi="Times New Roman" w:cs="Times New Roman"/>
          <w:color w:val="000000"/>
          <w:sz w:val="18"/>
          <w:szCs w:val="18"/>
          <w:lang w:val="de-DE"/>
        </w:rPr>
        <w:t>” (</w:t>
      </w:r>
      <w:proofErr w:type="spellStart"/>
      <w:r w:rsidRPr="007B4FE2">
        <w:rPr>
          <w:rFonts w:ascii="Times New Roman" w:hAnsi="Times New Roman" w:cs="Times New Roman"/>
          <w:color w:val="000000"/>
          <w:sz w:val="18"/>
          <w:szCs w:val="18"/>
          <w:lang w:val="de-DE"/>
        </w:rPr>
        <w:t>esso</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deriva</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dal</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principio</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dello</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Stato</w:t>
      </w:r>
      <w:proofErr w:type="spellEnd"/>
      <w:r w:rsidRPr="007B4FE2">
        <w:rPr>
          <w:rFonts w:ascii="Times New Roman" w:hAnsi="Times New Roman" w:cs="Times New Roman"/>
          <w:color w:val="000000"/>
          <w:sz w:val="18"/>
          <w:szCs w:val="18"/>
          <w:lang w:val="de-DE"/>
        </w:rPr>
        <w:t xml:space="preserve"> di </w:t>
      </w:r>
      <w:proofErr w:type="spellStart"/>
      <w:r w:rsidRPr="007B4FE2">
        <w:rPr>
          <w:rFonts w:ascii="Times New Roman" w:hAnsi="Times New Roman" w:cs="Times New Roman"/>
          <w:color w:val="000000"/>
          <w:sz w:val="18"/>
          <w:szCs w:val="18"/>
          <w:lang w:val="de-DE"/>
        </w:rPr>
        <w:t>diritto</w:t>
      </w:r>
      <w:proofErr w:type="spellEnd"/>
      <w:r w:rsidRPr="007B4FE2">
        <w:rPr>
          <w:rFonts w:ascii="Times New Roman" w:hAnsi="Times New Roman" w:cs="Times New Roman"/>
          <w:color w:val="000000"/>
          <w:sz w:val="18"/>
          <w:szCs w:val="18"/>
          <w:lang w:val="de-DE"/>
        </w:rPr>
        <w:t xml:space="preserve">, in </w:t>
      </w:r>
      <w:proofErr w:type="spellStart"/>
      <w:r w:rsidRPr="007B4FE2">
        <w:rPr>
          <w:rFonts w:ascii="Times New Roman" w:hAnsi="Times New Roman" w:cs="Times New Roman"/>
          <w:color w:val="000000"/>
          <w:sz w:val="18"/>
          <w:szCs w:val="18"/>
          <w:lang w:val="de-DE"/>
        </w:rPr>
        <w:t>sostanza</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già</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dalla</w:t>
      </w:r>
      <w:proofErr w:type="spellEnd"/>
      <w:r w:rsidRPr="007B4FE2">
        <w:rPr>
          <w:rFonts w:ascii="Times New Roman" w:hAnsi="Times New Roman" w:cs="Times New Roman"/>
          <w:color w:val="000000"/>
          <w:sz w:val="18"/>
          <w:szCs w:val="18"/>
          <w:lang w:val="de-DE"/>
        </w:rPr>
        <w:t xml:space="preserve"> natura </w:t>
      </w:r>
      <w:proofErr w:type="spellStart"/>
      <w:r w:rsidRPr="007B4FE2">
        <w:rPr>
          <w:rFonts w:ascii="Times New Roman" w:hAnsi="Times New Roman" w:cs="Times New Roman"/>
          <w:color w:val="000000"/>
          <w:sz w:val="18"/>
          <w:szCs w:val="18"/>
          <w:lang w:val="de-DE"/>
        </w:rPr>
        <w:t>stessa</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dei</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diritti</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fondamentali</w:t>
      </w:r>
      <w:proofErr w:type="spellEnd"/>
      <w:r w:rsidRPr="007B4FE2">
        <w:rPr>
          <w:rFonts w:ascii="Times New Roman" w:hAnsi="Times New Roman" w:cs="Times New Roman"/>
          <w:color w:val="000000"/>
          <w:sz w:val="18"/>
          <w:szCs w:val="18"/>
          <w:lang w:val="de-DE"/>
        </w:rPr>
        <w:t xml:space="preserve">, i </w:t>
      </w:r>
      <w:proofErr w:type="spellStart"/>
      <w:r w:rsidRPr="007B4FE2">
        <w:rPr>
          <w:rFonts w:ascii="Times New Roman" w:hAnsi="Times New Roman" w:cs="Times New Roman"/>
          <w:color w:val="000000"/>
          <w:sz w:val="18"/>
          <w:szCs w:val="18"/>
          <w:lang w:val="de-DE"/>
        </w:rPr>
        <w:t>quali</w:t>
      </w:r>
      <w:proofErr w:type="spellEnd"/>
      <w:r w:rsidRPr="007B4FE2">
        <w:rPr>
          <w:rFonts w:ascii="Times New Roman" w:hAnsi="Times New Roman" w:cs="Times New Roman"/>
          <w:color w:val="000000"/>
          <w:sz w:val="18"/>
          <w:szCs w:val="18"/>
          <w:lang w:val="de-DE"/>
        </w:rPr>
        <w:t xml:space="preserve"> - </w:t>
      </w:r>
      <w:proofErr w:type="spellStart"/>
      <w:r w:rsidRPr="007B4FE2">
        <w:rPr>
          <w:rFonts w:ascii="Times New Roman" w:hAnsi="Times New Roman" w:cs="Times New Roman"/>
          <w:color w:val="000000"/>
          <w:sz w:val="18"/>
          <w:szCs w:val="18"/>
          <w:lang w:val="de-DE"/>
        </w:rPr>
        <w:t>come</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espressione</w:t>
      </w:r>
      <w:proofErr w:type="spellEnd"/>
      <w:r w:rsidRPr="007B4FE2">
        <w:rPr>
          <w:rFonts w:ascii="Times New Roman" w:hAnsi="Times New Roman" w:cs="Times New Roman"/>
          <w:color w:val="000000"/>
          <w:sz w:val="18"/>
          <w:szCs w:val="18"/>
          <w:lang w:val="de-DE"/>
        </w:rPr>
        <w:t xml:space="preserve"> del </w:t>
      </w:r>
      <w:proofErr w:type="spellStart"/>
      <w:r w:rsidRPr="007B4FE2">
        <w:rPr>
          <w:rFonts w:ascii="Times New Roman" w:hAnsi="Times New Roman" w:cs="Times New Roman"/>
          <w:color w:val="000000"/>
          <w:sz w:val="18"/>
          <w:szCs w:val="18"/>
          <w:lang w:val="de-DE"/>
        </w:rPr>
        <w:t>generale</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diritto</w:t>
      </w:r>
      <w:proofErr w:type="spellEnd"/>
      <w:r w:rsidRPr="007B4FE2">
        <w:rPr>
          <w:rFonts w:ascii="Times New Roman" w:hAnsi="Times New Roman" w:cs="Times New Roman"/>
          <w:color w:val="000000"/>
          <w:sz w:val="18"/>
          <w:szCs w:val="18"/>
          <w:lang w:val="de-DE"/>
        </w:rPr>
        <w:t xml:space="preserve"> di </w:t>
      </w:r>
      <w:proofErr w:type="spellStart"/>
      <w:r w:rsidRPr="007B4FE2">
        <w:rPr>
          <w:rFonts w:ascii="Times New Roman" w:hAnsi="Times New Roman" w:cs="Times New Roman"/>
          <w:color w:val="000000"/>
          <w:sz w:val="18"/>
          <w:szCs w:val="18"/>
          <w:lang w:val="de-DE"/>
        </w:rPr>
        <w:t>libertà</w:t>
      </w:r>
      <w:proofErr w:type="spellEnd"/>
      <w:r w:rsidRPr="007B4FE2">
        <w:rPr>
          <w:rFonts w:ascii="Times New Roman" w:hAnsi="Times New Roman" w:cs="Times New Roman"/>
          <w:color w:val="000000"/>
          <w:sz w:val="18"/>
          <w:szCs w:val="18"/>
          <w:lang w:val="de-DE"/>
        </w:rPr>
        <w:t xml:space="preserve"> del </w:t>
      </w:r>
      <w:proofErr w:type="spellStart"/>
      <w:r w:rsidRPr="007B4FE2">
        <w:rPr>
          <w:rFonts w:ascii="Times New Roman" w:hAnsi="Times New Roman" w:cs="Times New Roman"/>
          <w:color w:val="000000"/>
          <w:sz w:val="18"/>
          <w:szCs w:val="18"/>
          <w:lang w:val="de-DE"/>
        </w:rPr>
        <w:t>cittadino</w:t>
      </w:r>
      <w:proofErr w:type="spellEnd"/>
      <w:r w:rsidRPr="007B4FE2">
        <w:rPr>
          <w:rFonts w:ascii="Times New Roman" w:hAnsi="Times New Roman" w:cs="Times New Roman"/>
          <w:color w:val="000000"/>
          <w:sz w:val="18"/>
          <w:szCs w:val="18"/>
          <w:lang w:val="de-DE"/>
        </w:rPr>
        <w:t xml:space="preserve"> di fronte </w:t>
      </w:r>
      <w:proofErr w:type="spellStart"/>
      <w:r w:rsidRPr="007B4FE2">
        <w:rPr>
          <w:rFonts w:ascii="Times New Roman" w:hAnsi="Times New Roman" w:cs="Times New Roman"/>
          <w:color w:val="000000"/>
          <w:sz w:val="18"/>
          <w:szCs w:val="18"/>
          <w:lang w:val="de-DE"/>
        </w:rPr>
        <w:t>allo</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Stato</w:t>
      </w:r>
      <w:proofErr w:type="spellEnd"/>
      <w:r w:rsidRPr="007B4FE2">
        <w:rPr>
          <w:rFonts w:ascii="Times New Roman" w:hAnsi="Times New Roman" w:cs="Times New Roman"/>
          <w:color w:val="000000"/>
          <w:sz w:val="18"/>
          <w:szCs w:val="18"/>
          <w:lang w:val="de-DE"/>
        </w:rPr>
        <w:t xml:space="preserve"> - </w:t>
      </w:r>
      <w:proofErr w:type="spellStart"/>
      <w:r w:rsidRPr="007B4FE2">
        <w:rPr>
          <w:rFonts w:ascii="Times New Roman" w:hAnsi="Times New Roman" w:cs="Times New Roman"/>
          <w:color w:val="000000"/>
          <w:sz w:val="18"/>
          <w:szCs w:val="18"/>
          <w:lang w:val="de-DE"/>
        </w:rPr>
        <w:t>possono</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venire</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limitati</w:t>
      </w:r>
      <w:proofErr w:type="spellEnd"/>
      <w:r w:rsidRPr="007B4FE2">
        <w:rPr>
          <w:rFonts w:ascii="Times New Roman" w:hAnsi="Times New Roman" w:cs="Times New Roman"/>
          <w:color w:val="000000"/>
          <w:sz w:val="18"/>
          <w:szCs w:val="18"/>
          <w:lang w:val="de-DE"/>
        </w:rPr>
        <w:t xml:space="preserve"> da </w:t>
      </w:r>
      <w:proofErr w:type="spellStart"/>
      <w:r w:rsidRPr="007B4FE2">
        <w:rPr>
          <w:rFonts w:ascii="Times New Roman" w:hAnsi="Times New Roman" w:cs="Times New Roman"/>
          <w:color w:val="000000"/>
          <w:sz w:val="18"/>
          <w:szCs w:val="18"/>
          <w:lang w:val="de-DE"/>
        </w:rPr>
        <w:t>parte</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dei</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pubblici</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poteri</w:t>
      </w:r>
      <w:proofErr w:type="spellEnd"/>
      <w:r w:rsidRPr="007B4FE2">
        <w:rPr>
          <w:rFonts w:ascii="Times New Roman" w:hAnsi="Times New Roman" w:cs="Times New Roman"/>
          <w:color w:val="000000"/>
          <w:sz w:val="18"/>
          <w:szCs w:val="18"/>
          <w:lang w:val="de-DE"/>
        </w:rPr>
        <w:t xml:space="preserve"> solo </w:t>
      </w:r>
      <w:proofErr w:type="spellStart"/>
      <w:r w:rsidRPr="007B4FE2">
        <w:rPr>
          <w:rFonts w:ascii="Times New Roman" w:hAnsi="Times New Roman" w:cs="Times New Roman"/>
          <w:color w:val="000000"/>
          <w:sz w:val="18"/>
          <w:szCs w:val="18"/>
          <w:lang w:val="de-DE"/>
        </w:rPr>
        <w:t>nella</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misura</w:t>
      </w:r>
      <w:proofErr w:type="spellEnd"/>
      <w:r w:rsidRPr="007B4FE2">
        <w:rPr>
          <w:rFonts w:ascii="Times New Roman" w:hAnsi="Times New Roman" w:cs="Times New Roman"/>
          <w:color w:val="000000"/>
          <w:sz w:val="18"/>
          <w:szCs w:val="18"/>
          <w:lang w:val="de-DE"/>
        </w:rPr>
        <w:t xml:space="preserve"> in </w:t>
      </w:r>
      <w:proofErr w:type="spellStart"/>
      <w:r w:rsidRPr="007B4FE2">
        <w:rPr>
          <w:rFonts w:ascii="Times New Roman" w:hAnsi="Times New Roman" w:cs="Times New Roman"/>
          <w:color w:val="000000"/>
          <w:sz w:val="18"/>
          <w:szCs w:val="18"/>
          <w:lang w:val="de-DE"/>
        </w:rPr>
        <w:t>cui</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ciò</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sia</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necessario</w:t>
      </w:r>
      <w:proofErr w:type="spellEnd"/>
      <w:r w:rsidRPr="007B4FE2">
        <w:rPr>
          <w:rFonts w:ascii="Times New Roman" w:hAnsi="Times New Roman" w:cs="Times New Roman"/>
          <w:color w:val="000000"/>
          <w:sz w:val="18"/>
          <w:szCs w:val="18"/>
          <w:lang w:val="de-DE"/>
        </w:rPr>
        <w:t xml:space="preserve"> per la </w:t>
      </w:r>
      <w:proofErr w:type="spellStart"/>
      <w:r w:rsidRPr="007B4FE2">
        <w:rPr>
          <w:rFonts w:ascii="Times New Roman" w:hAnsi="Times New Roman" w:cs="Times New Roman"/>
          <w:color w:val="000000"/>
          <w:sz w:val="18"/>
          <w:szCs w:val="18"/>
          <w:lang w:val="de-DE"/>
        </w:rPr>
        <w:t>tutela</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dell’interesse</w:t>
      </w:r>
      <w:proofErr w:type="spellEnd"/>
      <w:r w:rsidRPr="007B4FE2">
        <w:rPr>
          <w:rFonts w:ascii="Times New Roman" w:hAnsi="Times New Roman" w:cs="Times New Roman"/>
          <w:color w:val="000000"/>
          <w:sz w:val="18"/>
          <w:szCs w:val="18"/>
          <w:lang w:val="de-DE"/>
        </w:rPr>
        <w:t xml:space="preserve"> </w:t>
      </w:r>
      <w:proofErr w:type="spellStart"/>
      <w:r w:rsidRPr="007B4FE2">
        <w:rPr>
          <w:rFonts w:ascii="Times New Roman" w:hAnsi="Times New Roman" w:cs="Times New Roman"/>
          <w:color w:val="000000"/>
          <w:sz w:val="18"/>
          <w:szCs w:val="18"/>
          <w:lang w:val="de-DE"/>
        </w:rPr>
        <w:t>pubblico</w:t>
      </w:r>
      <w:proofErr w:type="spellEnd"/>
      <w:r w:rsidRPr="007B4FE2">
        <w:rPr>
          <w:rFonts w:ascii="Times New Roman" w:hAnsi="Times New Roman" w:cs="Times New Roman"/>
          <w:color w:val="000000"/>
          <w:sz w:val="18"/>
          <w:szCs w:val="18"/>
          <w:lang w:val="de-DE"/>
        </w:rPr>
        <w:t>).</w:t>
      </w:r>
      <w:proofErr w:type="gramEnd"/>
      <w:r w:rsidRPr="007B4FE2">
        <w:rPr>
          <w:rFonts w:ascii="Times New Roman" w:hAnsi="Times New Roman" w:cs="Times New Roman"/>
          <w:color w:val="000000"/>
          <w:sz w:val="18"/>
          <w:szCs w:val="18"/>
          <w:lang w:val="de-DE"/>
        </w:rPr>
        <w:t xml:space="preserve"> </w:t>
      </w:r>
      <w:r w:rsidRPr="007B4FE2">
        <w:rPr>
          <w:rFonts w:ascii="Times New Roman" w:hAnsi="Times New Roman" w:cs="Times New Roman"/>
          <w:color w:val="000000"/>
          <w:sz w:val="18"/>
          <w:szCs w:val="18"/>
        </w:rPr>
        <w:t xml:space="preserve">Così </w:t>
      </w:r>
      <w:proofErr w:type="spellStart"/>
      <w:r w:rsidRPr="007B4FE2">
        <w:rPr>
          <w:rFonts w:ascii="Times New Roman" w:hAnsi="Times New Roman" w:cs="Times New Roman"/>
          <w:color w:val="000000"/>
          <w:sz w:val="18"/>
          <w:szCs w:val="18"/>
        </w:rPr>
        <w:t>BVerfG</w:t>
      </w:r>
      <w:proofErr w:type="spellEnd"/>
      <w:r w:rsidRPr="007B4FE2">
        <w:rPr>
          <w:rFonts w:ascii="Times New Roman" w:hAnsi="Times New Roman" w:cs="Times New Roman"/>
          <w:color w:val="000000"/>
          <w:sz w:val="18"/>
          <w:szCs w:val="18"/>
        </w:rPr>
        <w:t xml:space="preserve"> </w:t>
      </w:r>
      <w:proofErr w:type="spellStart"/>
      <w:r w:rsidRPr="007B4FE2">
        <w:rPr>
          <w:rFonts w:ascii="Times New Roman" w:hAnsi="Times New Roman" w:cs="Times New Roman"/>
          <w:color w:val="000000"/>
          <w:sz w:val="18"/>
          <w:szCs w:val="18"/>
        </w:rPr>
        <w:t>sent</w:t>
      </w:r>
      <w:proofErr w:type="spellEnd"/>
      <w:r w:rsidRPr="007B4FE2">
        <w:rPr>
          <w:rFonts w:ascii="Times New Roman" w:hAnsi="Times New Roman" w:cs="Times New Roman"/>
          <w:color w:val="000000"/>
          <w:sz w:val="18"/>
          <w:szCs w:val="18"/>
        </w:rPr>
        <w:t xml:space="preserve">. 14.12.1965, in </w:t>
      </w:r>
      <w:proofErr w:type="spellStart"/>
      <w:r w:rsidRPr="007B4FE2">
        <w:rPr>
          <w:rFonts w:ascii="Times New Roman" w:hAnsi="Times New Roman" w:cs="Times New Roman"/>
          <w:i/>
          <w:color w:val="000000"/>
          <w:sz w:val="18"/>
          <w:szCs w:val="18"/>
        </w:rPr>
        <w:t>BVerfGE</w:t>
      </w:r>
      <w:proofErr w:type="spellEnd"/>
      <w:r w:rsidRPr="007B4FE2">
        <w:rPr>
          <w:rFonts w:ascii="Times New Roman" w:hAnsi="Times New Roman" w:cs="Times New Roman"/>
          <w:color w:val="000000"/>
          <w:sz w:val="18"/>
          <w:szCs w:val="18"/>
        </w:rPr>
        <w:t xml:space="preserve"> 19, p. 342 ss. Ma si tratta di giurisprudenza costante. La traduzione è mia.</w:t>
      </w:r>
    </w:p>
  </w:footnote>
  <w:footnote w:id="20">
    <w:p w:rsidR="0097768D" w:rsidRPr="007B4FE2" w:rsidRDefault="0097768D" w:rsidP="007B4FE2">
      <w:pPr>
        <w:pStyle w:val="Testonotaapidipagina"/>
        <w:rPr>
          <w:color w:val="000000"/>
          <w:szCs w:val="18"/>
          <w:lang w:val="de-DE"/>
        </w:rPr>
      </w:pPr>
      <w:r w:rsidRPr="007B4FE2">
        <w:rPr>
          <w:rStyle w:val="Rimandonotaapidipagina"/>
          <w:color w:val="000000"/>
          <w:sz w:val="18"/>
          <w:szCs w:val="18"/>
        </w:rPr>
        <w:footnoteRef/>
      </w:r>
      <w:r w:rsidRPr="007B4FE2">
        <w:rPr>
          <w:color w:val="000000"/>
          <w:szCs w:val="18"/>
        </w:rPr>
        <w:t xml:space="preserve"> Sicché il principio riveste in ogni caso rango costituzionale. </w:t>
      </w:r>
      <w:proofErr w:type="spellStart"/>
      <w:r w:rsidRPr="007B4FE2">
        <w:rPr>
          <w:color w:val="000000"/>
          <w:szCs w:val="18"/>
          <w:lang w:val="de-DE"/>
        </w:rPr>
        <w:t>Cfr</w:t>
      </w:r>
      <w:proofErr w:type="spellEnd"/>
      <w:r w:rsidRPr="007B4FE2">
        <w:rPr>
          <w:color w:val="000000"/>
          <w:szCs w:val="18"/>
          <w:lang w:val="de-DE"/>
        </w:rPr>
        <w:t xml:space="preserve">. P. Wittig, </w:t>
      </w:r>
      <w:r w:rsidRPr="007B4FE2">
        <w:rPr>
          <w:i/>
          <w:color w:val="000000"/>
          <w:szCs w:val="18"/>
          <w:lang w:val="de-DE"/>
        </w:rPr>
        <w:t>Zum Standort der Verhältnismäßigkeit im System des Grundgesetzes</w:t>
      </w:r>
      <w:r w:rsidRPr="007B4FE2">
        <w:rPr>
          <w:color w:val="000000"/>
          <w:szCs w:val="18"/>
          <w:lang w:val="de-DE"/>
        </w:rPr>
        <w:t xml:space="preserve">, in </w:t>
      </w:r>
      <w:r w:rsidRPr="007B4FE2">
        <w:rPr>
          <w:i/>
          <w:color w:val="000000"/>
          <w:szCs w:val="18"/>
          <w:lang w:val="de-DE"/>
        </w:rPr>
        <w:t>Die öffentliche Verwaltung</w:t>
      </w:r>
      <w:r w:rsidRPr="007B4FE2">
        <w:rPr>
          <w:color w:val="000000"/>
          <w:szCs w:val="18"/>
          <w:lang w:val="de-DE"/>
        </w:rPr>
        <w:t xml:space="preserve">, 1968, p. 817 </w:t>
      </w:r>
      <w:proofErr w:type="spellStart"/>
      <w:r w:rsidRPr="007B4FE2">
        <w:rPr>
          <w:color w:val="000000"/>
          <w:szCs w:val="18"/>
          <w:lang w:val="de-DE"/>
        </w:rPr>
        <w:t>ss</w:t>
      </w:r>
      <w:proofErr w:type="spellEnd"/>
      <w:r w:rsidRPr="007B4FE2">
        <w:rPr>
          <w:color w:val="000000"/>
          <w:szCs w:val="18"/>
          <w:lang w:val="de-DE"/>
        </w:rPr>
        <w:t>.</w:t>
      </w:r>
    </w:p>
  </w:footnote>
  <w:footnote w:id="21">
    <w:p w:rsidR="0097768D" w:rsidRPr="007B4FE2" w:rsidRDefault="0097768D" w:rsidP="007B4FE2">
      <w:pPr>
        <w:spacing w:after="0" w:line="240" w:lineRule="auto"/>
        <w:jc w:val="both"/>
        <w:rPr>
          <w:rFonts w:ascii="Times New Roman" w:hAnsi="Times New Roman" w:cs="Times New Roman"/>
          <w:color w:val="000000"/>
          <w:sz w:val="18"/>
          <w:szCs w:val="18"/>
          <w:lang w:val="de-DE"/>
        </w:rPr>
      </w:pPr>
      <w:r w:rsidRPr="007B4FE2">
        <w:rPr>
          <w:rStyle w:val="Rimandonotaapidipagina"/>
          <w:rFonts w:ascii="Times New Roman" w:hAnsi="Times New Roman" w:cs="Times New Roman"/>
          <w:color w:val="000000"/>
          <w:sz w:val="18"/>
          <w:szCs w:val="18"/>
        </w:rPr>
        <w:footnoteRef/>
      </w:r>
      <w:r w:rsidRPr="007B4FE2">
        <w:rPr>
          <w:rFonts w:ascii="Times New Roman" w:hAnsi="Times New Roman" w:cs="Times New Roman"/>
          <w:color w:val="000000"/>
          <w:sz w:val="18"/>
          <w:szCs w:val="18"/>
          <w:lang w:val="de-DE"/>
        </w:rPr>
        <w:t xml:space="preserve"> BVerfG, </w:t>
      </w:r>
      <w:proofErr w:type="spellStart"/>
      <w:r w:rsidRPr="007B4FE2">
        <w:rPr>
          <w:rFonts w:ascii="Times New Roman" w:hAnsi="Times New Roman" w:cs="Times New Roman"/>
          <w:color w:val="000000"/>
          <w:sz w:val="18"/>
          <w:szCs w:val="18"/>
          <w:lang w:val="de-DE"/>
        </w:rPr>
        <w:t>sent</w:t>
      </w:r>
      <w:proofErr w:type="spellEnd"/>
      <w:r w:rsidRPr="007B4FE2">
        <w:rPr>
          <w:rFonts w:ascii="Times New Roman" w:hAnsi="Times New Roman" w:cs="Times New Roman"/>
          <w:color w:val="000000"/>
          <w:sz w:val="18"/>
          <w:szCs w:val="18"/>
          <w:lang w:val="de-DE"/>
        </w:rPr>
        <w:t xml:space="preserve">. 11.06.1958, in </w:t>
      </w:r>
      <w:r w:rsidRPr="007B4FE2">
        <w:rPr>
          <w:rFonts w:ascii="Times New Roman" w:hAnsi="Times New Roman" w:cs="Times New Roman"/>
          <w:i/>
          <w:color w:val="000000"/>
          <w:sz w:val="18"/>
          <w:szCs w:val="18"/>
          <w:lang w:val="de-DE"/>
        </w:rPr>
        <w:t>BVerfGE</w:t>
      </w:r>
      <w:r w:rsidRPr="007B4FE2">
        <w:rPr>
          <w:rFonts w:ascii="Times New Roman" w:hAnsi="Times New Roman" w:cs="Times New Roman"/>
          <w:color w:val="000000"/>
          <w:sz w:val="18"/>
          <w:szCs w:val="18"/>
          <w:lang w:val="de-DE"/>
        </w:rPr>
        <w:t xml:space="preserve"> 7, p. 377 </w:t>
      </w:r>
      <w:proofErr w:type="spellStart"/>
      <w:r w:rsidRPr="007B4FE2">
        <w:rPr>
          <w:rFonts w:ascii="Times New Roman" w:hAnsi="Times New Roman" w:cs="Times New Roman"/>
          <w:color w:val="000000"/>
          <w:sz w:val="18"/>
          <w:szCs w:val="18"/>
          <w:lang w:val="de-DE"/>
        </w:rPr>
        <w:t>ss</w:t>
      </w:r>
      <w:proofErr w:type="spellEnd"/>
      <w:r w:rsidRPr="007B4FE2">
        <w:rPr>
          <w:rFonts w:ascii="Times New Roman" w:hAnsi="Times New Roman" w:cs="Times New Roman"/>
          <w:color w:val="000000"/>
          <w:sz w:val="18"/>
          <w:szCs w:val="18"/>
          <w:lang w:val="de-DE"/>
        </w:rPr>
        <w:t xml:space="preserve">. </w:t>
      </w:r>
    </w:p>
  </w:footnote>
  <w:footnote w:id="22">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lang w:val="de-DE"/>
        </w:rPr>
        <w:t xml:space="preserve"> Per la </w:t>
      </w:r>
      <w:proofErr w:type="spellStart"/>
      <w:r w:rsidRPr="007B4FE2">
        <w:rPr>
          <w:szCs w:val="18"/>
          <w:lang w:val="de-DE"/>
        </w:rPr>
        <w:t>dottrina</w:t>
      </w:r>
      <w:proofErr w:type="spellEnd"/>
      <w:r w:rsidRPr="007B4FE2">
        <w:rPr>
          <w:szCs w:val="18"/>
          <w:lang w:val="de-DE"/>
        </w:rPr>
        <w:t xml:space="preserve"> in </w:t>
      </w:r>
      <w:proofErr w:type="spellStart"/>
      <w:r w:rsidRPr="007B4FE2">
        <w:rPr>
          <w:szCs w:val="18"/>
          <w:lang w:val="de-DE"/>
        </w:rPr>
        <w:t>argomento</w:t>
      </w:r>
      <w:proofErr w:type="spellEnd"/>
      <w:r w:rsidRPr="007B4FE2">
        <w:rPr>
          <w:szCs w:val="18"/>
          <w:lang w:val="de-DE"/>
        </w:rPr>
        <w:t xml:space="preserve"> v. </w:t>
      </w:r>
      <w:proofErr w:type="spellStart"/>
      <w:r w:rsidRPr="007B4FE2">
        <w:rPr>
          <w:szCs w:val="18"/>
          <w:lang w:val="de-DE"/>
        </w:rPr>
        <w:t>fra</w:t>
      </w:r>
      <w:proofErr w:type="spellEnd"/>
      <w:r w:rsidRPr="007B4FE2">
        <w:rPr>
          <w:szCs w:val="18"/>
          <w:lang w:val="de-DE"/>
        </w:rPr>
        <w:t xml:space="preserve"> i </w:t>
      </w:r>
      <w:proofErr w:type="spellStart"/>
      <w:r w:rsidRPr="007B4FE2">
        <w:rPr>
          <w:szCs w:val="18"/>
          <w:lang w:val="de-DE"/>
        </w:rPr>
        <w:t>tanti</w:t>
      </w:r>
      <w:proofErr w:type="spellEnd"/>
      <w:r w:rsidRPr="007B4FE2">
        <w:rPr>
          <w:szCs w:val="18"/>
          <w:lang w:val="de-DE"/>
        </w:rPr>
        <w:t xml:space="preserve"> R. von Krauss, </w:t>
      </w:r>
      <w:r w:rsidRPr="007B4FE2">
        <w:rPr>
          <w:i/>
          <w:szCs w:val="18"/>
          <w:lang w:val="de-DE"/>
        </w:rPr>
        <w:t>Der Grundsatz der Verhältnismäßigkeit in seiner Bedeutung für die Notwendigkeit des Mittels im Verwaltungsrecht</w:t>
      </w:r>
      <w:r w:rsidRPr="007B4FE2">
        <w:rPr>
          <w:szCs w:val="18"/>
          <w:lang w:val="de-DE"/>
        </w:rPr>
        <w:t>, Hamburg, 1955</w:t>
      </w:r>
      <w:r w:rsidRPr="007B4FE2">
        <w:rPr>
          <w:snapToGrid w:val="0"/>
          <w:szCs w:val="18"/>
          <w:lang w:val="de-DE"/>
        </w:rPr>
        <w:t xml:space="preserve">; L. Hirschberg, </w:t>
      </w:r>
      <w:r w:rsidRPr="007B4FE2">
        <w:rPr>
          <w:i/>
          <w:snapToGrid w:val="0"/>
          <w:szCs w:val="18"/>
          <w:lang w:val="de-DE"/>
        </w:rPr>
        <w:t>Der Grundsatz der Verhältnismäßigkeit</w:t>
      </w:r>
      <w:r w:rsidRPr="007B4FE2">
        <w:rPr>
          <w:snapToGrid w:val="0"/>
          <w:szCs w:val="18"/>
          <w:lang w:val="de-DE"/>
        </w:rPr>
        <w:t xml:space="preserve">, Göttingen, 1981; R. </w:t>
      </w:r>
      <w:proofErr w:type="spellStart"/>
      <w:r w:rsidRPr="007B4FE2">
        <w:rPr>
          <w:snapToGrid w:val="0"/>
          <w:color w:val="000000"/>
          <w:szCs w:val="18"/>
          <w:lang w:val="de-DE"/>
        </w:rPr>
        <w:t>Dechsling</w:t>
      </w:r>
      <w:proofErr w:type="spellEnd"/>
      <w:r w:rsidRPr="007B4FE2">
        <w:rPr>
          <w:snapToGrid w:val="0"/>
          <w:color w:val="000000"/>
          <w:szCs w:val="18"/>
          <w:lang w:val="de-DE"/>
        </w:rPr>
        <w:t xml:space="preserve">, </w:t>
      </w:r>
      <w:r w:rsidRPr="007B4FE2">
        <w:rPr>
          <w:i/>
          <w:snapToGrid w:val="0"/>
          <w:color w:val="000000"/>
          <w:szCs w:val="18"/>
          <w:lang w:val="de-DE"/>
        </w:rPr>
        <w:t xml:space="preserve">Das Verhältnismäßigkeitsgebot. </w:t>
      </w:r>
      <w:proofErr w:type="spellStart"/>
      <w:r w:rsidRPr="007B4FE2">
        <w:rPr>
          <w:i/>
          <w:snapToGrid w:val="0"/>
          <w:color w:val="000000"/>
          <w:szCs w:val="18"/>
        </w:rPr>
        <w:t>Eine</w:t>
      </w:r>
      <w:proofErr w:type="spellEnd"/>
      <w:r w:rsidRPr="007B4FE2">
        <w:rPr>
          <w:i/>
          <w:snapToGrid w:val="0"/>
          <w:color w:val="000000"/>
          <w:szCs w:val="18"/>
        </w:rPr>
        <w:t xml:space="preserve"> </w:t>
      </w:r>
      <w:proofErr w:type="spellStart"/>
      <w:r w:rsidRPr="007B4FE2">
        <w:rPr>
          <w:i/>
          <w:snapToGrid w:val="0"/>
          <w:color w:val="000000"/>
          <w:szCs w:val="18"/>
        </w:rPr>
        <w:t>Bestandsaufnahme</w:t>
      </w:r>
      <w:proofErr w:type="spellEnd"/>
      <w:r w:rsidRPr="007B4FE2">
        <w:rPr>
          <w:i/>
          <w:snapToGrid w:val="0"/>
          <w:color w:val="000000"/>
          <w:szCs w:val="18"/>
        </w:rPr>
        <w:t xml:space="preserve"> </w:t>
      </w:r>
      <w:proofErr w:type="spellStart"/>
      <w:r w:rsidRPr="007B4FE2">
        <w:rPr>
          <w:i/>
          <w:snapToGrid w:val="0"/>
          <w:color w:val="000000"/>
          <w:szCs w:val="18"/>
        </w:rPr>
        <w:t>der</w:t>
      </w:r>
      <w:proofErr w:type="spellEnd"/>
      <w:r w:rsidRPr="007B4FE2">
        <w:rPr>
          <w:i/>
          <w:snapToGrid w:val="0"/>
          <w:color w:val="000000"/>
          <w:szCs w:val="18"/>
        </w:rPr>
        <w:t xml:space="preserve"> </w:t>
      </w:r>
      <w:proofErr w:type="spellStart"/>
      <w:r w:rsidRPr="007B4FE2">
        <w:rPr>
          <w:i/>
          <w:snapToGrid w:val="0"/>
          <w:color w:val="000000"/>
          <w:szCs w:val="18"/>
        </w:rPr>
        <w:t>Literatur</w:t>
      </w:r>
      <w:proofErr w:type="spellEnd"/>
      <w:r w:rsidRPr="007B4FE2">
        <w:rPr>
          <w:i/>
          <w:snapToGrid w:val="0"/>
          <w:color w:val="000000"/>
          <w:szCs w:val="18"/>
        </w:rPr>
        <w:t xml:space="preserve"> </w:t>
      </w:r>
      <w:proofErr w:type="spellStart"/>
      <w:r w:rsidRPr="007B4FE2">
        <w:rPr>
          <w:i/>
          <w:snapToGrid w:val="0"/>
          <w:color w:val="000000"/>
          <w:szCs w:val="18"/>
        </w:rPr>
        <w:t>zur</w:t>
      </w:r>
      <w:proofErr w:type="spellEnd"/>
      <w:r w:rsidRPr="007B4FE2">
        <w:rPr>
          <w:i/>
          <w:snapToGrid w:val="0"/>
          <w:color w:val="000000"/>
          <w:szCs w:val="18"/>
        </w:rPr>
        <w:t xml:space="preserve"> </w:t>
      </w:r>
      <w:proofErr w:type="spellStart"/>
      <w:r w:rsidRPr="007B4FE2">
        <w:rPr>
          <w:i/>
          <w:snapToGrid w:val="0"/>
          <w:color w:val="000000"/>
          <w:szCs w:val="18"/>
        </w:rPr>
        <w:t>Verhältnismäßigkeit</w:t>
      </w:r>
      <w:proofErr w:type="spellEnd"/>
      <w:r w:rsidRPr="007B4FE2">
        <w:rPr>
          <w:i/>
          <w:snapToGrid w:val="0"/>
          <w:color w:val="000000"/>
          <w:szCs w:val="18"/>
        </w:rPr>
        <w:t xml:space="preserve"> </w:t>
      </w:r>
      <w:proofErr w:type="spellStart"/>
      <w:r w:rsidRPr="007B4FE2">
        <w:rPr>
          <w:i/>
          <w:snapToGrid w:val="0"/>
          <w:color w:val="000000"/>
          <w:szCs w:val="18"/>
        </w:rPr>
        <w:t>staatlichen</w:t>
      </w:r>
      <w:proofErr w:type="spellEnd"/>
      <w:r w:rsidRPr="007B4FE2">
        <w:rPr>
          <w:i/>
          <w:snapToGrid w:val="0"/>
          <w:color w:val="000000"/>
          <w:szCs w:val="18"/>
        </w:rPr>
        <w:t xml:space="preserve"> </w:t>
      </w:r>
      <w:proofErr w:type="spellStart"/>
      <w:r w:rsidRPr="007B4FE2">
        <w:rPr>
          <w:i/>
          <w:snapToGrid w:val="0"/>
          <w:color w:val="000000"/>
          <w:szCs w:val="18"/>
        </w:rPr>
        <w:t>Handelns</w:t>
      </w:r>
      <w:proofErr w:type="spellEnd"/>
      <w:r w:rsidRPr="007B4FE2">
        <w:rPr>
          <w:snapToGrid w:val="0"/>
          <w:color w:val="000000"/>
          <w:szCs w:val="18"/>
        </w:rPr>
        <w:t>, München, 1989.</w:t>
      </w:r>
    </w:p>
  </w:footnote>
  <w:footnote w:id="23">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Sul punto v. diffusamente nei miei precedenti scritti in argomento e spec</w:t>
      </w:r>
      <w:r w:rsidR="00A64F0E">
        <w:rPr>
          <w:szCs w:val="18"/>
        </w:rPr>
        <w:t>ialmente</w:t>
      </w:r>
      <w:r w:rsidRPr="007B4FE2">
        <w:rPr>
          <w:szCs w:val="18"/>
        </w:rPr>
        <w:t xml:space="preserve">: D.U. Galetta, </w:t>
      </w:r>
      <w:r w:rsidRPr="007B4FE2">
        <w:rPr>
          <w:i/>
          <w:szCs w:val="18"/>
        </w:rPr>
        <w:t>Principio di proporzionalità e sindacato giurisdizionale nel diritto amministrativo</w:t>
      </w:r>
      <w:r w:rsidRPr="007B4FE2">
        <w:rPr>
          <w:szCs w:val="18"/>
        </w:rPr>
        <w:t xml:space="preserve">, Milano, 1998; D.U. Galetta, </w:t>
      </w:r>
      <w:r w:rsidRPr="007B4FE2">
        <w:rPr>
          <w:i/>
          <w:szCs w:val="18"/>
        </w:rPr>
        <w:t>Il principio di proporzionalità</w:t>
      </w:r>
      <w:r w:rsidRPr="007B4FE2">
        <w:rPr>
          <w:szCs w:val="18"/>
        </w:rPr>
        <w:t xml:space="preserve">, in M. Renna, F. </w:t>
      </w:r>
      <w:proofErr w:type="spellStart"/>
      <w:r w:rsidRPr="007B4FE2">
        <w:rPr>
          <w:szCs w:val="18"/>
        </w:rPr>
        <w:t>Saitta</w:t>
      </w:r>
      <w:proofErr w:type="spellEnd"/>
      <w:r w:rsidRPr="007B4FE2">
        <w:rPr>
          <w:szCs w:val="18"/>
        </w:rPr>
        <w:t xml:space="preserve"> (a cura di), </w:t>
      </w:r>
      <w:r w:rsidRPr="007B4FE2">
        <w:rPr>
          <w:i/>
          <w:szCs w:val="18"/>
        </w:rPr>
        <w:t>Studi sui principi del diritto amministrativo</w:t>
      </w:r>
      <w:r w:rsidRPr="007B4FE2">
        <w:rPr>
          <w:szCs w:val="18"/>
        </w:rPr>
        <w:t xml:space="preserve">, Milano, 2012, p. 389 ss., nonché, da ultimo, D.U. Galetta, </w:t>
      </w:r>
      <w:r w:rsidRPr="007B4FE2">
        <w:rPr>
          <w:i/>
          <w:szCs w:val="18"/>
        </w:rPr>
        <w:t>Il principio di proporzionalità</w:t>
      </w:r>
      <w:r w:rsidR="00A64F0E">
        <w:rPr>
          <w:szCs w:val="18"/>
        </w:rPr>
        <w:t xml:space="preserve">, in </w:t>
      </w:r>
      <w:r w:rsidRPr="007B4FE2">
        <w:rPr>
          <w:szCs w:val="18"/>
        </w:rPr>
        <w:t xml:space="preserve">M.A. Sandulli (a cura di), </w:t>
      </w:r>
      <w:r w:rsidRPr="007B4FE2">
        <w:rPr>
          <w:i/>
          <w:szCs w:val="18"/>
        </w:rPr>
        <w:t>Codice dell’azione amministrativa</w:t>
      </w:r>
      <w:r w:rsidRPr="007B4FE2">
        <w:rPr>
          <w:szCs w:val="18"/>
        </w:rPr>
        <w:t xml:space="preserve">, Collana “Le Fonti del Diritto Italiano”, </w:t>
      </w:r>
      <w:proofErr w:type="spellStart"/>
      <w:r w:rsidRPr="007B4FE2">
        <w:rPr>
          <w:szCs w:val="18"/>
        </w:rPr>
        <w:t>Giuffrè</w:t>
      </w:r>
      <w:proofErr w:type="spellEnd"/>
      <w:r w:rsidRPr="007B4FE2">
        <w:rPr>
          <w:szCs w:val="18"/>
        </w:rPr>
        <w:t>, Milano, 2017 (2^ ed.), p. 149 ss.</w:t>
      </w:r>
    </w:p>
  </w:footnote>
  <w:footnote w:id="24">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de-DE"/>
        </w:rPr>
        <w:t xml:space="preserve"> “</w:t>
      </w:r>
      <w:r w:rsidRPr="007B4FE2">
        <w:rPr>
          <w:rFonts w:ascii="Times New Roman" w:hAnsi="Times New Roman" w:cs="Times New Roman"/>
          <w:i/>
          <w:sz w:val="18"/>
          <w:szCs w:val="18"/>
          <w:lang w:val="de-DE"/>
        </w:rPr>
        <w:t>Wenn mit seiner Hilfe der gewünschte Erfolg gefördert werden kann</w:t>
      </w:r>
      <w:r w:rsidRPr="007B4FE2">
        <w:rPr>
          <w:rFonts w:ascii="Times New Roman" w:hAnsi="Times New Roman" w:cs="Times New Roman"/>
          <w:sz w:val="18"/>
          <w:szCs w:val="18"/>
          <w:lang w:val="de-DE"/>
        </w:rPr>
        <w:t xml:space="preserve">”. </w:t>
      </w:r>
      <w:proofErr w:type="spellStart"/>
      <w:r w:rsidRPr="007B4FE2">
        <w:rPr>
          <w:rFonts w:ascii="Times New Roman" w:hAnsi="Times New Roman" w:cs="Times New Roman"/>
          <w:sz w:val="18"/>
          <w:szCs w:val="18"/>
        </w:rPr>
        <w:t>BVerfG</w:t>
      </w:r>
      <w:proofErr w:type="spellEnd"/>
      <w:r w:rsidRPr="007B4FE2">
        <w:rPr>
          <w:rFonts w:ascii="Times New Roman" w:hAnsi="Times New Roman" w:cs="Times New Roman"/>
          <w:sz w:val="18"/>
          <w:szCs w:val="18"/>
        </w:rPr>
        <w:t xml:space="preserve"> sentenza 16.03.1971, in </w:t>
      </w:r>
      <w:proofErr w:type="spellStart"/>
      <w:r w:rsidRPr="007B4FE2">
        <w:rPr>
          <w:rFonts w:ascii="Times New Roman" w:hAnsi="Times New Roman" w:cs="Times New Roman"/>
          <w:i/>
          <w:sz w:val="18"/>
          <w:szCs w:val="18"/>
        </w:rPr>
        <w:t>BVerfGE</w:t>
      </w:r>
      <w:proofErr w:type="spellEnd"/>
      <w:r w:rsidRPr="007B4FE2">
        <w:rPr>
          <w:rFonts w:ascii="Times New Roman" w:hAnsi="Times New Roman" w:cs="Times New Roman"/>
          <w:sz w:val="18"/>
          <w:szCs w:val="18"/>
        </w:rPr>
        <w:t xml:space="preserve"> 30, p. 292 ss., par. 70. La traduzione è mia. V. anche </w:t>
      </w:r>
      <w:proofErr w:type="spellStart"/>
      <w:r w:rsidRPr="007B4FE2">
        <w:rPr>
          <w:rFonts w:ascii="Times New Roman" w:hAnsi="Times New Roman" w:cs="Times New Roman"/>
          <w:sz w:val="18"/>
          <w:szCs w:val="18"/>
        </w:rPr>
        <w:t>BVerfG</w:t>
      </w:r>
      <w:proofErr w:type="spellEnd"/>
      <w:r w:rsidRPr="007B4FE2">
        <w:rPr>
          <w:rFonts w:ascii="Times New Roman" w:hAnsi="Times New Roman" w:cs="Times New Roman"/>
          <w:sz w:val="18"/>
          <w:szCs w:val="18"/>
        </w:rPr>
        <w:t xml:space="preserve"> sentenza 24.02.1971, </w:t>
      </w:r>
      <w:proofErr w:type="spellStart"/>
      <w:r w:rsidRPr="007B4FE2">
        <w:rPr>
          <w:rFonts w:ascii="Times New Roman" w:hAnsi="Times New Roman" w:cs="Times New Roman"/>
          <w:i/>
          <w:sz w:val="18"/>
          <w:szCs w:val="18"/>
        </w:rPr>
        <w:t>BVerfGE</w:t>
      </w:r>
      <w:proofErr w:type="spellEnd"/>
      <w:r w:rsidRPr="007B4FE2">
        <w:rPr>
          <w:rFonts w:ascii="Times New Roman" w:hAnsi="Times New Roman" w:cs="Times New Roman"/>
          <w:i/>
          <w:sz w:val="18"/>
          <w:szCs w:val="18"/>
        </w:rPr>
        <w:t xml:space="preserve"> </w:t>
      </w:r>
      <w:r w:rsidRPr="007B4FE2">
        <w:rPr>
          <w:rFonts w:ascii="Times New Roman" w:hAnsi="Times New Roman" w:cs="Times New Roman"/>
          <w:sz w:val="18"/>
          <w:szCs w:val="18"/>
        </w:rPr>
        <w:t xml:space="preserve">30, p. 173 ss.; </w:t>
      </w:r>
      <w:proofErr w:type="spellStart"/>
      <w:r w:rsidRPr="007B4FE2">
        <w:rPr>
          <w:rFonts w:ascii="Times New Roman" w:hAnsi="Times New Roman" w:cs="Times New Roman"/>
          <w:sz w:val="18"/>
          <w:szCs w:val="18"/>
        </w:rPr>
        <w:t>BVerfG</w:t>
      </w:r>
      <w:proofErr w:type="spellEnd"/>
      <w:r w:rsidRPr="007B4FE2">
        <w:rPr>
          <w:rFonts w:ascii="Times New Roman" w:hAnsi="Times New Roman" w:cs="Times New Roman"/>
          <w:sz w:val="18"/>
          <w:szCs w:val="18"/>
        </w:rPr>
        <w:t xml:space="preserve"> sentenza 02.10.1973, </w:t>
      </w:r>
      <w:proofErr w:type="spellStart"/>
      <w:r w:rsidRPr="007B4FE2">
        <w:rPr>
          <w:rFonts w:ascii="Times New Roman" w:hAnsi="Times New Roman" w:cs="Times New Roman"/>
          <w:i/>
          <w:sz w:val="18"/>
          <w:szCs w:val="18"/>
        </w:rPr>
        <w:t>BVerfGE</w:t>
      </w:r>
      <w:proofErr w:type="spellEnd"/>
      <w:r w:rsidRPr="007B4FE2">
        <w:rPr>
          <w:rFonts w:ascii="Times New Roman" w:hAnsi="Times New Roman" w:cs="Times New Roman"/>
          <w:i/>
          <w:sz w:val="18"/>
          <w:szCs w:val="18"/>
        </w:rPr>
        <w:t xml:space="preserve"> </w:t>
      </w:r>
      <w:r w:rsidRPr="007B4FE2">
        <w:rPr>
          <w:rFonts w:ascii="Times New Roman" w:hAnsi="Times New Roman" w:cs="Times New Roman"/>
          <w:sz w:val="18"/>
          <w:szCs w:val="18"/>
        </w:rPr>
        <w:t xml:space="preserve">36, p. 47 ss.; </w:t>
      </w:r>
      <w:proofErr w:type="spellStart"/>
      <w:r w:rsidRPr="007B4FE2">
        <w:rPr>
          <w:rFonts w:ascii="Times New Roman" w:hAnsi="Times New Roman" w:cs="Times New Roman"/>
          <w:sz w:val="18"/>
          <w:szCs w:val="18"/>
        </w:rPr>
        <w:t>BVerfG</w:t>
      </w:r>
      <w:proofErr w:type="spellEnd"/>
      <w:r w:rsidRPr="007B4FE2">
        <w:rPr>
          <w:rFonts w:ascii="Times New Roman" w:hAnsi="Times New Roman" w:cs="Times New Roman"/>
          <w:sz w:val="18"/>
          <w:szCs w:val="18"/>
        </w:rPr>
        <w:t xml:space="preserve"> sentenza 20.06.1984, </w:t>
      </w:r>
      <w:proofErr w:type="spellStart"/>
      <w:r w:rsidRPr="007B4FE2">
        <w:rPr>
          <w:rFonts w:ascii="Times New Roman" w:hAnsi="Times New Roman" w:cs="Times New Roman"/>
          <w:i/>
          <w:sz w:val="18"/>
          <w:szCs w:val="18"/>
        </w:rPr>
        <w:t>BVerfGE</w:t>
      </w:r>
      <w:proofErr w:type="spellEnd"/>
      <w:r w:rsidRPr="007B4FE2">
        <w:rPr>
          <w:rFonts w:ascii="Times New Roman" w:hAnsi="Times New Roman" w:cs="Times New Roman"/>
          <w:i/>
          <w:sz w:val="18"/>
          <w:szCs w:val="18"/>
        </w:rPr>
        <w:t xml:space="preserve"> </w:t>
      </w:r>
      <w:r w:rsidRPr="007B4FE2">
        <w:rPr>
          <w:rFonts w:ascii="Times New Roman" w:hAnsi="Times New Roman" w:cs="Times New Roman"/>
          <w:sz w:val="18"/>
          <w:szCs w:val="18"/>
        </w:rPr>
        <w:t xml:space="preserve">67, p. 157 ss. Fra le più recenti, v. ad es., </w:t>
      </w:r>
      <w:proofErr w:type="spellStart"/>
      <w:r w:rsidRPr="007B4FE2">
        <w:rPr>
          <w:rFonts w:ascii="Times New Roman" w:hAnsi="Times New Roman" w:cs="Times New Roman"/>
          <w:sz w:val="18"/>
          <w:szCs w:val="18"/>
        </w:rPr>
        <w:t>BVerfG</w:t>
      </w:r>
      <w:proofErr w:type="spellEnd"/>
      <w:r w:rsidRPr="007B4FE2">
        <w:rPr>
          <w:rFonts w:ascii="Times New Roman" w:hAnsi="Times New Roman" w:cs="Times New Roman"/>
          <w:sz w:val="18"/>
          <w:szCs w:val="18"/>
        </w:rPr>
        <w:t xml:space="preserve"> (VI </w:t>
      </w:r>
      <w:proofErr w:type="spellStart"/>
      <w:r w:rsidRPr="007B4FE2">
        <w:rPr>
          <w:rFonts w:ascii="Times New Roman" w:hAnsi="Times New Roman" w:cs="Times New Roman"/>
          <w:sz w:val="18"/>
          <w:szCs w:val="18"/>
        </w:rPr>
        <w:t>Senat</w:t>
      </w:r>
      <w:proofErr w:type="spellEnd"/>
      <w:r w:rsidRPr="007B4FE2">
        <w:rPr>
          <w:rFonts w:ascii="Times New Roman" w:hAnsi="Times New Roman" w:cs="Times New Roman"/>
          <w:sz w:val="18"/>
          <w:szCs w:val="18"/>
        </w:rPr>
        <w:t xml:space="preserve">) del 16.12.2016, in </w:t>
      </w:r>
      <w:proofErr w:type="spellStart"/>
      <w:r w:rsidRPr="007B4FE2">
        <w:rPr>
          <w:rFonts w:ascii="Times New Roman" w:hAnsi="Times New Roman" w:cs="Times New Roman"/>
          <w:i/>
          <w:sz w:val="18"/>
          <w:szCs w:val="18"/>
        </w:rPr>
        <w:t>BVerwG</w:t>
      </w:r>
      <w:proofErr w:type="spellEnd"/>
      <w:r w:rsidRPr="007B4FE2">
        <w:rPr>
          <w:rFonts w:ascii="Times New Roman" w:hAnsi="Times New Roman" w:cs="Times New Roman"/>
          <w:sz w:val="18"/>
          <w:szCs w:val="18"/>
        </w:rPr>
        <w:t xml:space="preserve"> 8 C 6.15, par. 43, che si può leggere anche in https://dejure.org. </w:t>
      </w:r>
    </w:p>
  </w:footnote>
  <w:footnote w:id="25">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Si veda, ad es., </w:t>
      </w:r>
      <w:proofErr w:type="spellStart"/>
      <w:r w:rsidRPr="007B4FE2">
        <w:rPr>
          <w:rFonts w:ascii="Times New Roman" w:hAnsi="Times New Roman" w:cs="Times New Roman"/>
          <w:sz w:val="18"/>
          <w:szCs w:val="18"/>
        </w:rPr>
        <w:t>BVerfG</w:t>
      </w:r>
      <w:proofErr w:type="spellEnd"/>
      <w:r w:rsidRPr="007B4FE2">
        <w:rPr>
          <w:rFonts w:ascii="Times New Roman" w:hAnsi="Times New Roman" w:cs="Times New Roman"/>
          <w:sz w:val="18"/>
          <w:szCs w:val="18"/>
        </w:rPr>
        <w:t xml:space="preserve"> sentenza 22.05.1963, in </w:t>
      </w:r>
      <w:proofErr w:type="spellStart"/>
      <w:r w:rsidRPr="007B4FE2">
        <w:rPr>
          <w:rFonts w:ascii="Times New Roman" w:hAnsi="Times New Roman" w:cs="Times New Roman"/>
          <w:i/>
          <w:sz w:val="18"/>
          <w:szCs w:val="18"/>
        </w:rPr>
        <w:t>BVerfGE</w:t>
      </w:r>
      <w:proofErr w:type="spellEnd"/>
      <w:r w:rsidRPr="007B4FE2">
        <w:rPr>
          <w:rFonts w:ascii="Times New Roman" w:hAnsi="Times New Roman" w:cs="Times New Roman"/>
          <w:sz w:val="18"/>
          <w:szCs w:val="18"/>
        </w:rPr>
        <w:t xml:space="preserve"> 16, p. 147 ss.</w:t>
      </w:r>
    </w:p>
  </w:footnote>
  <w:footnote w:id="26">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Giurisprudenza costante della Corte costituzionale federale. Cfr., tra le altre, </w:t>
      </w:r>
      <w:proofErr w:type="spellStart"/>
      <w:r w:rsidRPr="007B4FE2">
        <w:rPr>
          <w:rFonts w:ascii="Times New Roman" w:hAnsi="Times New Roman" w:cs="Times New Roman"/>
          <w:sz w:val="18"/>
          <w:szCs w:val="18"/>
        </w:rPr>
        <w:t>BVerfG</w:t>
      </w:r>
      <w:proofErr w:type="spellEnd"/>
      <w:r w:rsidRPr="007B4FE2">
        <w:rPr>
          <w:rFonts w:ascii="Times New Roman" w:hAnsi="Times New Roman" w:cs="Times New Roman"/>
          <w:sz w:val="18"/>
          <w:szCs w:val="18"/>
        </w:rPr>
        <w:t xml:space="preserve"> sentenza 09.03.1971, in </w:t>
      </w:r>
      <w:proofErr w:type="spellStart"/>
      <w:r w:rsidRPr="007B4FE2">
        <w:rPr>
          <w:rFonts w:ascii="Times New Roman" w:hAnsi="Times New Roman" w:cs="Times New Roman"/>
          <w:i/>
          <w:sz w:val="18"/>
          <w:szCs w:val="18"/>
        </w:rPr>
        <w:t>BVerfGE</w:t>
      </w:r>
      <w:proofErr w:type="spellEnd"/>
      <w:r w:rsidRPr="007B4FE2">
        <w:rPr>
          <w:rFonts w:ascii="Times New Roman" w:hAnsi="Times New Roman" w:cs="Times New Roman"/>
          <w:sz w:val="18"/>
          <w:szCs w:val="18"/>
        </w:rPr>
        <w:t xml:space="preserve"> 30, p. 250 ss.;</w:t>
      </w:r>
      <w:r w:rsidRPr="007B4FE2">
        <w:rPr>
          <w:rFonts w:ascii="Times New Roman" w:hAnsi="Times New Roman" w:cs="Times New Roman"/>
          <w:i/>
          <w:sz w:val="18"/>
          <w:szCs w:val="18"/>
        </w:rPr>
        <w:t xml:space="preserve"> </w:t>
      </w:r>
      <w:proofErr w:type="spellStart"/>
      <w:r w:rsidRPr="007B4FE2">
        <w:rPr>
          <w:rFonts w:ascii="Times New Roman" w:hAnsi="Times New Roman" w:cs="Times New Roman"/>
          <w:sz w:val="18"/>
          <w:szCs w:val="18"/>
        </w:rPr>
        <w:t>BVerfG</w:t>
      </w:r>
      <w:proofErr w:type="spellEnd"/>
      <w:r w:rsidRPr="007B4FE2">
        <w:rPr>
          <w:rFonts w:ascii="Times New Roman" w:hAnsi="Times New Roman" w:cs="Times New Roman"/>
          <w:sz w:val="18"/>
          <w:szCs w:val="18"/>
        </w:rPr>
        <w:t xml:space="preserve"> sentenza 18.12.1968, in </w:t>
      </w:r>
      <w:proofErr w:type="spellStart"/>
      <w:r w:rsidRPr="007B4FE2">
        <w:rPr>
          <w:rFonts w:ascii="Times New Roman" w:hAnsi="Times New Roman" w:cs="Times New Roman"/>
          <w:i/>
          <w:sz w:val="18"/>
          <w:szCs w:val="18"/>
        </w:rPr>
        <w:t>BVerfGE</w:t>
      </w:r>
      <w:proofErr w:type="spellEnd"/>
      <w:r w:rsidRPr="007B4FE2">
        <w:rPr>
          <w:rFonts w:ascii="Times New Roman" w:hAnsi="Times New Roman" w:cs="Times New Roman"/>
          <w:sz w:val="18"/>
          <w:szCs w:val="18"/>
        </w:rPr>
        <w:t xml:space="preserve"> 25, p. 1 ss.; </w:t>
      </w:r>
      <w:proofErr w:type="spellStart"/>
      <w:r w:rsidRPr="007B4FE2">
        <w:rPr>
          <w:rFonts w:ascii="Times New Roman" w:hAnsi="Times New Roman" w:cs="Times New Roman"/>
          <w:sz w:val="18"/>
          <w:szCs w:val="18"/>
        </w:rPr>
        <w:t>BVerfG</w:t>
      </w:r>
      <w:proofErr w:type="spellEnd"/>
      <w:r w:rsidRPr="007B4FE2">
        <w:rPr>
          <w:rFonts w:ascii="Times New Roman" w:hAnsi="Times New Roman" w:cs="Times New Roman"/>
          <w:sz w:val="18"/>
          <w:szCs w:val="18"/>
        </w:rPr>
        <w:t xml:space="preserve"> sentenza 10.05.1972, in </w:t>
      </w:r>
      <w:proofErr w:type="spellStart"/>
      <w:r w:rsidRPr="007B4FE2">
        <w:rPr>
          <w:rFonts w:ascii="Times New Roman" w:hAnsi="Times New Roman" w:cs="Times New Roman"/>
          <w:i/>
          <w:sz w:val="18"/>
          <w:szCs w:val="18"/>
        </w:rPr>
        <w:t>BVerfGE</w:t>
      </w:r>
      <w:proofErr w:type="spellEnd"/>
      <w:r w:rsidRPr="007B4FE2">
        <w:rPr>
          <w:rFonts w:ascii="Times New Roman" w:hAnsi="Times New Roman" w:cs="Times New Roman"/>
          <w:sz w:val="18"/>
          <w:szCs w:val="18"/>
        </w:rPr>
        <w:t xml:space="preserve"> 33, p. 171 ss. </w:t>
      </w:r>
    </w:p>
  </w:footnote>
  <w:footnote w:id="27">
    <w:p w:rsidR="0097768D" w:rsidRPr="007B4FE2" w:rsidRDefault="0097768D" w:rsidP="007B4FE2">
      <w:pPr>
        <w:pStyle w:val="Testonotaapidipagina"/>
        <w:rPr>
          <w:szCs w:val="18"/>
          <w:lang w:val="de-DE"/>
        </w:rPr>
      </w:pPr>
      <w:r w:rsidRPr="007B4FE2">
        <w:rPr>
          <w:rStyle w:val="Rimandonotaapidipagina"/>
          <w:sz w:val="18"/>
          <w:szCs w:val="18"/>
        </w:rPr>
        <w:footnoteRef/>
      </w:r>
      <w:r w:rsidRPr="007B4FE2">
        <w:rPr>
          <w:szCs w:val="18"/>
          <w:lang w:val="de-DE"/>
        </w:rPr>
        <w:t xml:space="preserve"> „</w:t>
      </w:r>
      <w:r w:rsidRPr="007B4FE2">
        <w:rPr>
          <w:i/>
          <w:szCs w:val="18"/>
          <w:lang w:val="de-DE"/>
        </w:rPr>
        <w:t>Gebot des mildesten Mittels</w:t>
      </w:r>
      <w:r w:rsidRPr="007B4FE2">
        <w:rPr>
          <w:szCs w:val="18"/>
          <w:lang w:val="de-DE"/>
        </w:rPr>
        <w:t xml:space="preserve">“. </w:t>
      </w:r>
      <w:proofErr w:type="spellStart"/>
      <w:r w:rsidRPr="007B4FE2">
        <w:rPr>
          <w:szCs w:val="18"/>
          <w:lang w:val="de-DE"/>
        </w:rPr>
        <w:t>Quali</w:t>
      </w:r>
      <w:proofErr w:type="spellEnd"/>
      <w:r w:rsidRPr="007B4FE2">
        <w:rPr>
          <w:szCs w:val="18"/>
          <w:lang w:val="de-DE"/>
        </w:rPr>
        <w:t xml:space="preserve"> </w:t>
      </w:r>
      <w:proofErr w:type="spellStart"/>
      <w:r w:rsidRPr="007B4FE2">
        <w:rPr>
          <w:szCs w:val="18"/>
          <w:lang w:val="de-DE"/>
        </w:rPr>
        <w:t>sinonimi</w:t>
      </w:r>
      <w:proofErr w:type="spellEnd"/>
      <w:r w:rsidRPr="007B4FE2">
        <w:rPr>
          <w:szCs w:val="18"/>
          <w:lang w:val="de-DE"/>
        </w:rPr>
        <w:t xml:space="preserve"> di </w:t>
      </w:r>
      <w:r w:rsidRPr="007B4FE2">
        <w:rPr>
          <w:i/>
          <w:szCs w:val="18"/>
          <w:lang w:val="de-DE"/>
        </w:rPr>
        <w:t xml:space="preserve">Erforderlichkeit </w:t>
      </w:r>
      <w:proofErr w:type="spellStart"/>
      <w:r w:rsidRPr="007B4FE2">
        <w:rPr>
          <w:szCs w:val="18"/>
          <w:lang w:val="de-DE"/>
        </w:rPr>
        <w:t>nella</w:t>
      </w:r>
      <w:proofErr w:type="spellEnd"/>
      <w:r w:rsidRPr="007B4FE2">
        <w:rPr>
          <w:szCs w:val="18"/>
          <w:lang w:val="de-DE"/>
        </w:rPr>
        <w:t xml:space="preserve"> </w:t>
      </w:r>
      <w:proofErr w:type="spellStart"/>
      <w:r w:rsidRPr="007B4FE2">
        <w:rPr>
          <w:szCs w:val="18"/>
          <w:lang w:val="de-DE"/>
        </w:rPr>
        <w:t>letteratura</w:t>
      </w:r>
      <w:proofErr w:type="spellEnd"/>
      <w:r w:rsidRPr="007B4FE2">
        <w:rPr>
          <w:szCs w:val="18"/>
          <w:lang w:val="de-DE"/>
        </w:rPr>
        <w:t xml:space="preserve"> </w:t>
      </w:r>
      <w:proofErr w:type="spellStart"/>
      <w:r w:rsidRPr="007B4FE2">
        <w:rPr>
          <w:szCs w:val="18"/>
          <w:lang w:val="de-DE"/>
        </w:rPr>
        <w:t>tedesca</w:t>
      </w:r>
      <w:proofErr w:type="spellEnd"/>
      <w:r w:rsidRPr="007B4FE2">
        <w:rPr>
          <w:szCs w:val="18"/>
          <w:lang w:val="de-DE"/>
        </w:rPr>
        <w:t xml:space="preserve"> si </w:t>
      </w:r>
      <w:proofErr w:type="spellStart"/>
      <w:r w:rsidRPr="007B4FE2">
        <w:rPr>
          <w:szCs w:val="18"/>
          <w:lang w:val="de-DE"/>
        </w:rPr>
        <w:t>trovano</w:t>
      </w:r>
      <w:proofErr w:type="spellEnd"/>
      <w:r w:rsidRPr="007B4FE2">
        <w:rPr>
          <w:szCs w:val="18"/>
          <w:lang w:val="de-DE"/>
        </w:rPr>
        <w:t xml:space="preserve"> </w:t>
      </w:r>
      <w:proofErr w:type="spellStart"/>
      <w:r w:rsidRPr="007B4FE2">
        <w:rPr>
          <w:szCs w:val="18"/>
          <w:lang w:val="de-DE"/>
        </w:rPr>
        <w:t>anche</w:t>
      </w:r>
      <w:proofErr w:type="spellEnd"/>
      <w:r w:rsidRPr="007B4FE2">
        <w:rPr>
          <w:szCs w:val="18"/>
          <w:lang w:val="de-DE"/>
        </w:rPr>
        <w:t xml:space="preserve">: </w:t>
      </w:r>
      <w:r w:rsidRPr="007B4FE2">
        <w:rPr>
          <w:i/>
          <w:szCs w:val="18"/>
          <w:lang w:val="de-DE"/>
        </w:rPr>
        <w:t>Notwendigkeit</w:t>
      </w:r>
      <w:r w:rsidRPr="007B4FE2">
        <w:rPr>
          <w:szCs w:val="18"/>
          <w:lang w:val="de-DE"/>
        </w:rPr>
        <w:t xml:space="preserve">; </w:t>
      </w:r>
      <w:r w:rsidRPr="007B4FE2">
        <w:rPr>
          <w:i/>
          <w:szCs w:val="18"/>
          <w:lang w:val="de-DE"/>
        </w:rPr>
        <w:t>Grundsatz des schonendsten Mittels</w:t>
      </w:r>
      <w:r w:rsidRPr="007B4FE2">
        <w:rPr>
          <w:szCs w:val="18"/>
          <w:lang w:val="de-DE"/>
        </w:rPr>
        <w:t xml:space="preserve">; </w:t>
      </w:r>
      <w:r w:rsidRPr="007B4FE2">
        <w:rPr>
          <w:i/>
          <w:szCs w:val="18"/>
          <w:lang w:val="de-DE"/>
        </w:rPr>
        <w:t>Grundsatz des geringstmöglichen Eingriffs</w:t>
      </w:r>
      <w:r w:rsidRPr="007B4FE2">
        <w:rPr>
          <w:szCs w:val="18"/>
          <w:lang w:val="de-DE"/>
        </w:rPr>
        <w:t xml:space="preserve">; </w:t>
      </w:r>
      <w:r w:rsidRPr="007B4FE2">
        <w:rPr>
          <w:i/>
          <w:szCs w:val="18"/>
          <w:lang w:val="de-DE"/>
        </w:rPr>
        <w:t>Grundsatz des geringsten Mittels</w:t>
      </w:r>
      <w:r w:rsidRPr="007B4FE2">
        <w:rPr>
          <w:szCs w:val="18"/>
          <w:lang w:val="de-DE"/>
        </w:rPr>
        <w:t xml:space="preserve">. </w:t>
      </w:r>
      <w:proofErr w:type="spellStart"/>
      <w:r w:rsidRPr="007B4FE2">
        <w:rPr>
          <w:szCs w:val="18"/>
          <w:lang w:val="de-DE"/>
        </w:rPr>
        <w:t>Cfr</w:t>
      </w:r>
      <w:proofErr w:type="spellEnd"/>
      <w:r w:rsidRPr="007B4FE2">
        <w:rPr>
          <w:szCs w:val="18"/>
          <w:lang w:val="de-DE"/>
        </w:rPr>
        <w:t xml:space="preserve">. sul </w:t>
      </w:r>
      <w:proofErr w:type="spellStart"/>
      <w:r w:rsidRPr="007B4FE2">
        <w:rPr>
          <w:szCs w:val="18"/>
          <w:lang w:val="de-DE"/>
        </w:rPr>
        <w:t>punto</w:t>
      </w:r>
      <w:proofErr w:type="spellEnd"/>
      <w:r w:rsidRPr="007B4FE2">
        <w:rPr>
          <w:szCs w:val="18"/>
          <w:lang w:val="de-DE"/>
        </w:rPr>
        <w:t xml:space="preserve"> M. </w:t>
      </w:r>
      <w:r w:rsidRPr="007B4FE2">
        <w:rPr>
          <w:snapToGrid w:val="0"/>
          <w:szCs w:val="18"/>
          <w:lang w:val="de-DE"/>
        </w:rPr>
        <w:t xml:space="preserve">Jakobs, </w:t>
      </w:r>
      <w:r w:rsidRPr="007B4FE2">
        <w:rPr>
          <w:i/>
          <w:snapToGrid w:val="0"/>
          <w:szCs w:val="18"/>
          <w:lang w:val="de-DE"/>
        </w:rPr>
        <w:t>Der Grundsatz der Verhältnismäßigkeit</w:t>
      </w:r>
      <w:r w:rsidRPr="007B4FE2">
        <w:rPr>
          <w:snapToGrid w:val="0"/>
          <w:szCs w:val="18"/>
          <w:lang w:val="de-DE"/>
        </w:rPr>
        <w:t xml:space="preserve">, Köln </w:t>
      </w:r>
      <w:proofErr w:type="spellStart"/>
      <w:proofErr w:type="gramStart"/>
      <w:r w:rsidRPr="007B4FE2">
        <w:rPr>
          <w:snapToGrid w:val="0"/>
          <w:szCs w:val="18"/>
          <w:lang w:val="de-DE"/>
        </w:rPr>
        <w:t>e.a</w:t>
      </w:r>
      <w:proofErr w:type="spellEnd"/>
      <w:r w:rsidRPr="007B4FE2">
        <w:rPr>
          <w:snapToGrid w:val="0"/>
          <w:szCs w:val="18"/>
          <w:lang w:val="de-DE"/>
        </w:rPr>
        <w:t>.,</w:t>
      </w:r>
      <w:proofErr w:type="gramEnd"/>
      <w:r w:rsidRPr="007B4FE2">
        <w:rPr>
          <w:snapToGrid w:val="0"/>
          <w:szCs w:val="18"/>
          <w:lang w:val="de-DE"/>
        </w:rPr>
        <w:t xml:space="preserve"> 1985, </w:t>
      </w:r>
      <w:r w:rsidRPr="007B4FE2">
        <w:rPr>
          <w:szCs w:val="18"/>
          <w:lang w:val="de-DE"/>
        </w:rPr>
        <w:t xml:space="preserve">in </w:t>
      </w:r>
      <w:proofErr w:type="spellStart"/>
      <w:r w:rsidRPr="007B4FE2">
        <w:rPr>
          <w:szCs w:val="18"/>
          <w:lang w:val="de-DE"/>
        </w:rPr>
        <w:t>particolare</w:t>
      </w:r>
      <w:proofErr w:type="spellEnd"/>
      <w:r w:rsidRPr="007B4FE2">
        <w:rPr>
          <w:szCs w:val="18"/>
          <w:lang w:val="de-DE"/>
        </w:rPr>
        <w:t xml:space="preserve"> p. 102 s. In </w:t>
      </w:r>
      <w:proofErr w:type="spellStart"/>
      <w:r w:rsidRPr="007B4FE2">
        <w:rPr>
          <w:szCs w:val="18"/>
          <w:lang w:val="de-DE"/>
        </w:rPr>
        <w:t>giurisprudenza</w:t>
      </w:r>
      <w:proofErr w:type="spellEnd"/>
      <w:r w:rsidRPr="007B4FE2">
        <w:rPr>
          <w:szCs w:val="18"/>
          <w:lang w:val="de-DE"/>
        </w:rPr>
        <w:t xml:space="preserve"> v. da ultimo BVerwG, </w:t>
      </w:r>
      <w:proofErr w:type="spellStart"/>
      <w:r w:rsidRPr="007B4FE2">
        <w:rPr>
          <w:szCs w:val="18"/>
          <w:lang w:val="de-DE"/>
        </w:rPr>
        <w:t>sentenza</w:t>
      </w:r>
      <w:proofErr w:type="spellEnd"/>
      <w:r w:rsidRPr="007B4FE2">
        <w:rPr>
          <w:szCs w:val="18"/>
          <w:lang w:val="de-DE"/>
        </w:rPr>
        <w:t xml:space="preserve"> 06.02.2019, ECLI:DE:BVerwG:2019:060219U1A3.18.0, par. 88.</w:t>
      </w:r>
    </w:p>
  </w:footnote>
  <w:footnote w:id="28">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Per chiarire il punto è sufficiente fare riferimento, a titolo di esempio, alla sentenza del VGH München (in </w:t>
      </w:r>
      <w:proofErr w:type="spellStart"/>
      <w:r w:rsidRPr="007B4FE2">
        <w:rPr>
          <w:i/>
          <w:szCs w:val="18"/>
        </w:rPr>
        <w:t>BayVBl</w:t>
      </w:r>
      <w:proofErr w:type="spellEnd"/>
      <w:r w:rsidRPr="007B4FE2">
        <w:rPr>
          <w:szCs w:val="18"/>
        </w:rPr>
        <w:t>, 1984, p. 432 ss.), in cui si afferma che la valutazione se la semplice imposizione di “condizioni di esercizio” possa essere considerata come mezzo alternativo egualmente idoneo rispetto al divieto di esercizio di un’attività (</w:t>
      </w:r>
      <w:proofErr w:type="spellStart"/>
      <w:r w:rsidRPr="007B4FE2">
        <w:rPr>
          <w:i/>
          <w:szCs w:val="18"/>
        </w:rPr>
        <w:t>Auflagen</w:t>
      </w:r>
      <w:proofErr w:type="spellEnd"/>
      <w:r w:rsidRPr="007B4FE2">
        <w:rPr>
          <w:i/>
          <w:szCs w:val="18"/>
        </w:rPr>
        <w:t xml:space="preserve"> </w:t>
      </w:r>
      <w:proofErr w:type="spellStart"/>
      <w:r w:rsidRPr="007B4FE2">
        <w:rPr>
          <w:i/>
          <w:szCs w:val="18"/>
        </w:rPr>
        <w:t>statt</w:t>
      </w:r>
      <w:proofErr w:type="spellEnd"/>
      <w:r w:rsidRPr="007B4FE2">
        <w:rPr>
          <w:i/>
          <w:szCs w:val="18"/>
        </w:rPr>
        <w:t xml:space="preserve"> </w:t>
      </w:r>
      <w:proofErr w:type="spellStart"/>
      <w:r w:rsidRPr="007B4FE2">
        <w:rPr>
          <w:i/>
          <w:szCs w:val="18"/>
        </w:rPr>
        <w:t>Verbot</w:t>
      </w:r>
      <w:proofErr w:type="spellEnd"/>
      <w:r w:rsidRPr="007B4FE2">
        <w:rPr>
          <w:szCs w:val="18"/>
        </w:rPr>
        <w:t>) è questione che non può essere risolta in astratto, ma che va invece valutata, di volta in volta, con riferimento al caso concreto in esame.</w:t>
      </w:r>
    </w:p>
  </w:footnote>
  <w:footnote w:id="29">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Si può, ad esempio, valutare soltanto in concreto - nell’operare la scelta fra due mezzi - se uno dei due, avente in astratto il medesimo impatto negativo per il privato nell'arrecargli pregiudizio, sortisca poi, però, anche ulteriori effetti di carattere negativo rispetto all’altro mezzo invece disponibile.</w:t>
      </w:r>
    </w:p>
  </w:footnote>
  <w:footnote w:id="30">
    <w:p w:rsidR="0097768D" w:rsidRPr="007B4FE2" w:rsidRDefault="0097768D" w:rsidP="007B4FE2">
      <w:pPr>
        <w:spacing w:after="0" w:line="240" w:lineRule="auto"/>
        <w:jc w:val="both"/>
        <w:rPr>
          <w:rFonts w:ascii="Times New Roman" w:hAnsi="Times New Roman" w:cs="Times New Roman"/>
          <w:sz w:val="18"/>
          <w:szCs w:val="18"/>
          <w:lang w:val="de-DE"/>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Nel diritto di polizia tedesco è pertanto consentito al destinatario, in linea di principio, di scegliere e proporre un altro mezzo, egualmente adatto, ma per lui meno incidente: cosiddetto "mezzo in sostituzione" (</w:t>
      </w:r>
      <w:proofErr w:type="spellStart"/>
      <w:r w:rsidRPr="007B4FE2">
        <w:rPr>
          <w:rFonts w:ascii="Times New Roman" w:hAnsi="Times New Roman" w:cs="Times New Roman"/>
          <w:i/>
          <w:sz w:val="18"/>
          <w:szCs w:val="18"/>
        </w:rPr>
        <w:t>Austauschmittel</w:t>
      </w:r>
      <w:proofErr w:type="spellEnd"/>
      <w:r w:rsidRPr="007B4FE2">
        <w:rPr>
          <w:rFonts w:ascii="Times New Roman" w:hAnsi="Times New Roman" w:cs="Times New Roman"/>
          <w:sz w:val="18"/>
          <w:szCs w:val="18"/>
        </w:rPr>
        <w:t xml:space="preserve">). </w:t>
      </w:r>
      <w:r w:rsidRPr="007B4FE2">
        <w:rPr>
          <w:rFonts w:ascii="Times New Roman" w:hAnsi="Times New Roman" w:cs="Times New Roman"/>
          <w:sz w:val="18"/>
          <w:szCs w:val="18"/>
          <w:lang w:val="de-DE"/>
        </w:rPr>
        <w:t xml:space="preserve">In </w:t>
      </w:r>
      <w:proofErr w:type="spellStart"/>
      <w:r w:rsidRPr="007B4FE2">
        <w:rPr>
          <w:rFonts w:ascii="Times New Roman" w:hAnsi="Times New Roman" w:cs="Times New Roman"/>
          <w:sz w:val="18"/>
          <w:szCs w:val="18"/>
          <w:lang w:val="de-DE"/>
        </w:rPr>
        <w:t>argomento</w:t>
      </w:r>
      <w:proofErr w:type="spellEnd"/>
      <w:r w:rsidRPr="007B4FE2">
        <w:rPr>
          <w:rFonts w:ascii="Times New Roman" w:hAnsi="Times New Roman" w:cs="Times New Roman"/>
          <w:sz w:val="18"/>
          <w:szCs w:val="18"/>
          <w:lang w:val="de-DE"/>
        </w:rPr>
        <w:t xml:space="preserve"> si </w:t>
      </w:r>
      <w:proofErr w:type="spellStart"/>
      <w:r w:rsidRPr="007B4FE2">
        <w:rPr>
          <w:rFonts w:ascii="Times New Roman" w:hAnsi="Times New Roman" w:cs="Times New Roman"/>
          <w:sz w:val="18"/>
          <w:szCs w:val="18"/>
          <w:lang w:val="de-DE"/>
        </w:rPr>
        <w:t>rinvia</w:t>
      </w:r>
      <w:proofErr w:type="spellEnd"/>
      <w:r w:rsidRPr="007B4FE2">
        <w:rPr>
          <w:rFonts w:ascii="Times New Roman" w:hAnsi="Times New Roman" w:cs="Times New Roman"/>
          <w:sz w:val="18"/>
          <w:szCs w:val="18"/>
          <w:lang w:val="de-DE"/>
        </w:rPr>
        <w:t xml:space="preserve"> da ultimo a J. </w:t>
      </w:r>
      <w:proofErr w:type="spellStart"/>
      <w:r w:rsidRPr="007B4FE2">
        <w:rPr>
          <w:rFonts w:ascii="Times New Roman" w:hAnsi="Times New Roman" w:cs="Times New Roman"/>
          <w:sz w:val="18"/>
          <w:szCs w:val="18"/>
          <w:lang w:val="de-DE"/>
        </w:rPr>
        <w:t>Brenz</w:t>
      </w:r>
      <w:proofErr w:type="spellEnd"/>
      <w:r w:rsidRPr="007B4FE2">
        <w:rPr>
          <w:rFonts w:ascii="Times New Roman" w:hAnsi="Times New Roman" w:cs="Times New Roman"/>
          <w:sz w:val="18"/>
          <w:szCs w:val="18"/>
          <w:lang w:val="de-DE"/>
        </w:rPr>
        <w:t xml:space="preserve">, </w:t>
      </w:r>
      <w:r w:rsidRPr="007B4FE2">
        <w:rPr>
          <w:rFonts w:ascii="Times New Roman" w:hAnsi="Times New Roman" w:cs="Times New Roman"/>
          <w:i/>
          <w:sz w:val="18"/>
          <w:szCs w:val="18"/>
          <w:lang w:val="de-DE"/>
        </w:rPr>
        <w:t>Das Polizeirecht als ein durch den Verhältnismäßigkeitsgrundsatz bestimmtes System von Abwägungsentscheidungen</w:t>
      </w:r>
      <w:r w:rsidRPr="007B4FE2">
        <w:rPr>
          <w:rFonts w:ascii="Times New Roman" w:hAnsi="Times New Roman" w:cs="Times New Roman"/>
          <w:sz w:val="18"/>
          <w:szCs w:val="18"/>
          <w:lang w:val="de-DE"/>
        </w:rPr>
        <w:t xml:space="preserve">, Berlin, 2018, </w:t>
      </w:r>
      <w:r w:rsidRPr="007B4FE2">
        <w:rPr>
          <w:rFonts w:ascii="Times New Roman" w:hAnsi="Times New Roman" w:cs="Times New Roman"/>
          <w:i/>
          <w:sz w:val="18"/>
          <w:szCs w:val="18"/>
          <w:lang w:val="de-DE"/>
        </w:rPr>
        <w:t>passim</w:t>
      </w:r>
      <w:r w:rsidRPr="007B4FE2">
        <w:rPr>
          <w:rFonts w:ascii="Times New Roman" w:hAnsi="Times New Roman" w:cs="Times New Roman"/>
          <w:sz w:val="18"/>
          <w:szCs w:val="18"/>
          <w:lang w:val="de-DE"/>
        </w:rPr>
        <w:t>.</w:t>
      </w:r>
    </w:p>
  </w:footnote>
  <w:footnote w:id="31">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de-DE"/>
        </w:rPr>
        <w:t xml:space="preserve"> V. sul </w:t>
      </w:r>
      <w:proofErr w:type="spellStart"/>
      <w:r w:rsidRPr="007B4FE2">
        <w:rPr>
          <w:rFonts w:ascii="Times New Roman" w:hAnsi="Times New Roman" w:cs="Times New Roman"/>
          <w:sz w:val="18"/>
          <w:szCs w:val="18"/>
          <w:lang w:val="de-DE"/>
        </w:rPr>
        <w:t>punto</w:t>
      </w:r>
      <w:proofErr w:type="spellEnd"/>
      <w:r w:rsidRPr="007B4FE2">
        <w:rPr>
          <w:rFonts w:ascii="Times New Roman" w:hAnsi="Times New Roman" w:cs="Times New Roman"/>
          <w:sz w:val="18"/>
          <w:szCs w:val="18"/>
          <w:lang w:val="de-DE"/>
        </w:rPr>
        <w:t xml:space="preserve"> E. Grabitz, </w:t>
      </w:r>
      <w:r w:rsidRPr="007B4FE2">
        <w:rPr>
          <w:rFonts w:ascii="Times New Roman" w:hAnsi="Times New Roman" w:cs="Times New Roman"/>
          <w:i/>
          <w:sz w:val="18"/>
          <w:szCs w:val="18"/>
          <w:lang w:val="de-DE"/>
        </w:rPr>
        <w:t>Der Grundsatz der Verhältnismäßigkeit in der Rechtsprechung des Bundesverfassungsgerichts</w:t>
      </w:r>
      <w:r w:rsidRPr="007B4FE2">
        <w:rPr>
          <w:rFonts w:ascii="Times New Roman" w:hAnsi="Times New Roman" w:cs="Times New Roman"/>
          <w:sz w:val="18"/>
          <w:szCs w:val="18"/>
          <w:lang w:val="de-DE"/>
        </w:rPr>
        <w:t xml:space="preserve">, in </w:t>
      </w:r>
      <w:r w:rsidRPr="007B4FE2">
        <w:rPr>
          <w:rFonts w:ascii="Times New Roman" w:hAnsi="Times New Roman" w:cs="Times New Roman"/>
          <w:i/>
          <w:sz w:val="18"/>
          <w:szCs w:val="18"/>
          <w:lang w:val="de-DE"/>
        </w:rPr>
        <w:t>Archiv des öffentlichen Rechts</w:t>
      </w:r>
      <w:r w:rsidRPr="007B4FE2">
        <w:rPr>
          <w:rFonts w:ascii="Times New Roman" w:hAnsi="Times New Roman" w:cs="Times New Roman"/>
          <w:sz w:val="18"/>
          <w:szCs w:val="18"/>
          <w:lang w:val="de-DE"/>
        </w:rPr>
        <w:t xml:space="preserve">, 1973, p. 568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w:t>
      </w:r>
      <w:r w:rsidRPr="007B4FE2">
        <w:rPr>
          <w:rFonts w:ascii="Times New Roman" w:hAnsi="Times New Roman" w:cs="Times New Roman"/>
          <w:sz w:val="18"/>
          <w:szCs w:val="18"/>
        </w:rPr>
        <w:t>(574 s.).</w:t>
      </w:r>
    </w:p>
  </w:footnote>
  <w:footnote w:id="32">
    <w:p w:rsidR="0097768D" w:rsidRPr="00AA5BCE" w:rsidRDefault="0097768D" w:rsidP="007B4FE2">
      <w:pPr>
        <w:pStyle w:val="Testonotaapidipagina"/>
        <w:rPr>
          <w:szCs w:val="18"/>
          <w:lang w:val="en-US"/>
        </w:rPr>
      </w:pPr>
      <w:r w:rsidRPr="007B4FE2">
        <w:rPr>
          <w:rStyle w:val="Rimandonotaapidipagina"/>
          <w:sz w:val="18"/>
          <w:szCs w:val="18"/>
        </w:rPr>
        <w:footnoteRef/>
      </w:r>
      <w:r w:rsidRPr="007B4FE2">
        <w:rPr>
          <w:szCs w:val="18"/>
        </w:rPr>
        <w:t xml:space="preserve"> Nella letteratura giuridica del dopoguerra compaiono - pur nella varietà linguistica delle espressioni utilizzate - numerosi richiami al principio di proporzionalità in senso stretto. </w:t>
      </w:r>
      <w:r w:rsidRPr="007B4FE2">
        <w:rPr>
          <w:szCs w:val="18"/>
          <w:lang w:val="de-DE"/>
        </w:rPr>
        <w:t xml:space="preserve">V. sul </w:t>
      </w:r>
      <w:proofErr w:type="spellStart"/>
      <w:r w:rsidRPr="007B4FE2">
        <w:rPr>
          <w:szCs w:val="18"/>
          <w:lang w:val="de-DE"/>
        </w:rPr>
        <w:t>punto</w:t>
      </w:r>
      <w:proofErr w:type="spellEnd"/>
      <w:r w:rsidRPr="007B4FE2">
        <w:rPr>
          <w:szCs w:val="18"/>
          <w:lang w:val="de-DE"/>
        </w:rPr>
        <w:t xml:space="preserve"> H. Coing, </w:t>
      </w:r>
      <w:r w:rsidRPr="007B4FE2">
        <w:rPr>
          <w:i/>
          <w:szCs w:val="18"/>
          <w:lang w:val="de-DE"/>
        </w:rPr>
        <w:t xml:space="preserve">Die obersten Grundsätze des Rechts. </w:t>
      </w:r>
      <w:r w:rsidRPr="00AA5BCE">
        <w:rPr>
          <w:i/>
          <w:szCs w:val="18"/>
          <w:lang w:val="en-US"/>
        </w:rPr>
        <w:t>Ein Versuch zur Neugründung des Naturrechts</w:t>
      </w:r>
      <w:r w:rsidRPr="00AA5BCE">
        <w:rPr>
          <w:szCs w:val="18"/>
          <w:lang w:val="en-US"/>
        </w:rPr>
        <w:t>, Keip, 1996, p. 65 ss.</w:t>
      </w:r>
    </w:p>
  </w:footnote>
  <w:footnote w:id="33">
    <w:p w:rsidR="0097768D" w:rsidRPr="007B4FE2" w:rsidRDefault="0097768D" w:rsidP="007B4FE2">
      <w:pPr>
        <w:pStyle w:val="Testonotaapidipagina"/>
        <w:rPr>
          <w:szCs w:val="18"/>
          <w:lang w:val="de-DE"/>
        </w:rPr>
      </w:pPr>
      <w:r w:rsidRPr="007B4FE2">
        <w:rPr>
          <w:rStyle w:val="Rimandonotaapidipagina"/>
          <w:sz w:val="18"/>
          <w:szCs w:val="18"/>
        </w:rPr>
        <w:footnoteRef/>
      </w:r>
      <w:r w:rsidRPr="007B4FE2">
        <w:rPr>
          <w:szCs w:val="18"/>
        </w:rPr>
        <w:t xml:space="preserve"> Anche se il diritto amministrativo tedesco non conosce la nostra figura dell’interesse legittimo, come contrapposto al diritto soggettivo, esistono infatti i c.d. </w:t>
      </w:r>
      <w:proofErr w:type="spellStart"/>
      <w:r w:rsidRPr="007B4FE2">
        <w:rPr>
          <w:i/>
          <w:szCs w:val="18"/>
        </w:rPr>
        <w:t>subjektiv-öffentliche</w:t>
      </w:r>
      <w:proofErr w:type="spellEnd"/>
      <w:r w:rsidRPr="007B4FE2">
        <w:rPr>
          <w:i/>
          <w:szCs w:val="18"/>
        </w:rPr>
        <w:t xml:space="preserve"> </w:t>
      </w:r>
      <w:proofErr w:type="spellStart"/>
      <w:r w:rsidRPr="007B4FE2">
        <w:rPr>
          <w:i/>
          <w:szCs w:val="18"/>
        </w:rPr>
        <w:t>Rechten</w:t>
      </w:r>
      <w:proofErr w:type="spellEnd"/>
      <w:r w:rsidRPr="007B4FE2">
        <w:rPr>
          <w:szCs w:val="18"/>
        </w:rPr>
        <w:t xml:space="preserve">, che in qualche maniera si avvicinano a quella figura. </w:t>
      </w:r>
      <w:r w:rsidRPr="007B4FE2">
        <w:rPr>
          <w:szCs w:val="18"/>
          <w:lang w:val="de-DE"/>
        </w:rPr>
        <w:t xml:space="preserve">Sul </w:t>
      </w:r>
      <w:proofErr w:type="spellStart"/>
      <w:r w:rsidRPr="007B4FE2">
        <w:rPr>
          <w:szCs w:val="18"/>
          <w:lang w:val="de-DE"/>
        </w:rPr>
        <w:t>punto</w:t>
      </w:r>
      <w:proofErr w:type="spellEnd"/>
      <w:r w:rsidRPr="007B4FE2">
        <w:rPr>
          <w:szCs w:val="18"/>
          <w:lang w:val="de-DE"/>
        </w:rPr>
        <w:t xml:space="preserve"> si </w:t>
      </w:r>
      <w:proofErr w:type="spellStart"/>
      <w:r w:rsidRPr="007B4FE2">
        <w:rPr>
          <w:szCs w:val="18"/>
          <w:lang w:val="de-DE"/>
        </w:rPr>
        <w:t>rinvia</w:t>
      </w:r>
      <w:proofErr w:type="spellEnd"/>
      <w:r w:rsidRPr="007B4FE2">
        <w:rPr>
          <w:szCs w:val="18"/>
          <w:lang w:val="de-DE"/>
        </w:rPr>
        <w:t xml:space="preserve"> per tutti a L. Richter, </w:t>
      </w:r>
      <w:r w:rsidRPr="007B4FE2">
        <w:rPr>
          <w:i/>
          <w:szCs w:val="18"/>
          <w:lang w:val="de-DE"/>
        </w:rPr>
        <w:t>Das subjektive öffentliche Recht</w:t>
      </w:r>
      <w:r w:rsidRPr="007B4FE2">
        <w:rPr>
          <w:szCs w:val="18"/>
          <w:lang w:val="de-DE"/>
        </w:rPr>
        <w:t xml:space="preserve">, in </w:t>
      </w:r>
      <w:r w:rsidRPr="007B4FE2">
        <w:rPr>
          <w:i/>
          <w:szCs w:val="18"/>
          <w:lang w:val="de-DE"/>
        </w:rPr>
        <w:t>Archiv des öffentlichen Rechts</w:t>
      </w:r>
      <w:r w:rsidRPr="007B4FE2">
        <w:rPr>
          <w:szCs w:val="18"/>
          <w:lang w:val="de-DE"/>
        </w:rPr>
        <w:t xml:space="preserve">, 1925/1-2, p. 1 </w:t>
      </w:r>
      <w:proofErr w:type="spellStart"/>
      <w:r w:rsidRPr="007B4FE2">
        <w:rPr>
          <w:szCs w:val="18"/>
          <w:lang w:val="de-DE"/>
        </w:rPr>
        <w:t>ss</w:t>
      </w:r>
      <w:proofErr w:type="spellEnd"/>
      <w:r w:rsidRPr="007B4FE2">
        <w:rPr>
          <w:szCs w:val="18"/>
          <w:lang w:val="de-DE"/>
        </w:rPr>
        <w:t>.</w:t>
      </w:r>
    </w:p>
  </w:footnote>
  <w:footnote w:id="34">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de-DE"/>
        </w:rPr>
        <w:t xml:space="preserve"> </w:t>
      </w:r>
      <w:proofErr w:type="spellStart"/>
      <w:proofErr w:type="gramStart"/>
      <w:r w:rsidRPr="007B4FE2">
        <w:rPr>
          <w:rFonts w:ascii="Times New Roman" w:hAnsi="Times New Roman" w:cs="Times New Roman"/>
          <w:sz w:val="18"/>
          <w:szCs w:val="18"/>
          <w:lang w:val="de-DE"/>
        </w:rPr>
        <w:t>Cfr</w:t>
      </w:r>
      <w:proofErr w:type="spellEnd"/>
      <w:r w:rsidRPr="007B4FE2">
        <w:rPr>
          <w:rFonts w:ascii="Times New Roman" w:hAnsi="Times New Roman" w:cs="Times New Roman"/>
          <w:sz w:val="18"/>
          <w:szCs w:val="18"/>
          <w:lang w:val="de-DE"/>
        </w:rPr>
        <w:t xml:space="preserve">., </w:t>
      </w:r>
      <w:proofErr w:type="spellStart"/>
      <w:r w:rsidRPr="007B4FE2">
        <w:rPr>
          <w:rFonts w:ascii="Times New Roman" w:hAnsi="Times New Roman" w:cs="Times New Roman"/>
          <w:sz w:val="18"/>
          <w:szCs w:val="18"/>
          <w:lang w:val="de-DE"/>
        </w:rPr>
        <w:t>tra</w:t>
      </w:r>
      <w:proofErr w:type="spellEnd"/>
      <w:r w:rsidRPr="007B4FE2">
        <w:rPr>
          <w:rFonts w:ascii="Times New Roman" w:hAnsi="Times New Roman" w:cs="Times New Roman"/>
          <w:sz w:val="18"/>
          <w:szCs w:val="18"/>
          <w:lang w:val="de-DE"/>
        </w:rPr>
        <w:t xml:space="preserve"> le </w:t>
      </w:r>
      <w:proofErr w:type="spellStart"/>
      <w:r w:rsidRPr="007B4FE2">
        <w:rPr>
          <w:rFonts w:ascii="Times New Roman" w:hAnsi="Times New Roman" w:cs="Times New Roman"/>
          <w:sz w:val="18"/>
          <w:szCs w:val="18"/>
          <w:lang w:val="de-DE"/>
        </w:rPr>
        <w:t>tante</w:t>
      </w:r>
      <w:proofErr w:type="spellEnd"/>
      <w:r w:rsidRPr="007B4FE2">
        <w:rPr>
          <w:rFonts w:ascii="Times New Roman" w:hAnsi="Times New Roman" w:cs="Times New Roman"/>
          <w:sz w:val="18"/>
          <w:szCs w:val="18"/>
          <w:lang w:val="de-DE"/>
        </w:rPr>
        <w:t xml:space="preserve">, </w:t>
      </w:r>
      <w:r w:rsidRPr="007B4FE2">
        <w:rPr>
          <w:rFonts w:ascii="Times New Roman" w:hAnsi="Times New Roman" w:cs="Times New Roman"/>
          <w:i/>
          <w:sz w:val="18"/>
          <w:szCs w:val="18"/>
          <w:lang w:val="de-DE"/>
        </w:rPr>
        <w:t>BVerfG</w:t>
      </w:r>
      <w:r w:rsidRPr="007B4FE2">
        <w:rPr>
          <w:rFonts w:ascii="Times New Roman" w:hAnsi="Times New Roman" w:cs="Times New Roman"/>
          <w:sz w:val="18"/>
          <w:szCs w:val="18"/>
          <w:lang w:val="de-DE"/>
        </w:rPr>
        <w:t xml:space="preserve">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11.06.1958,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7, p. 377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10.07.1958,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8, p. 71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16.06.1959,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9, p. 338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27.10.1959,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10, p. 141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23.03.1960,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11, p. 30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17.07.1961,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13, p. 97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29.11.1961,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13, p. 231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26.11.1961,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13, p. 237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19.12.1962,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15, p. 226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27.03.1963,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16, p. 286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16.02.1965,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18, p. 353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14.02.1967,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21, p. 150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15.03.1967,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21, p. 227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03.05.1967,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22, p. 1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29.11.1967,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22, p. 380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18.12.1968,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24, p. 367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15.01.1969,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25, p. 112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19.06.1969,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26, p. 215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14.10.1969,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27, p. 88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BVerfG </w:t>
      </w:r>
      <w:proofErr w:type="spellStart"/>
      <w:r w:rsidRPr="007B4FE2">
        <w:rPr>
          <w:rFonts w:ascii="Times New Roman" w:hAnsi="Times New Roman" w:cs="Times New Roman"/>
          <w:sz w:val="18"/>
          <w:szCs w:val="18"/>
          <w:lang w:val="de-DE"/>
        </w:rPr>
        <w:t>sentenza</w:t>
      </w:r>
      <w:proofErr w:type="spellEnd"/>
      <w:r w:rsidRPr="007B4FE2">
        <w:rPr>
          <w:rFonts w:ascii="Times New Roman" w:hAnsi="Times New Roman" w:cs="Times New Roman"/>
          <w:sz w:val="18"/>
          <w:szCs w:val="18"/>
          <w:lang w:val="de-DE"/>
        </w:rPr>
        <w:t xml:space="preserve"> 14.10.1970, in </w:t>
      </w:r>
      <w:r w:rsidRPr="007B4FE2">
        <w:rPr>
          <w:rFonts w:ascii="Times New Roman" w:hAnsi="Times New Roman" w:cs="Times New Roman"/>
          <w:i/>
          <w:sz w:val="18"/>
          <w:szCs w:val="18"/>
          <w:lang w:val="de-DE"/>
        </w:rPr>
        <w:t>BVerfGE</w:t>
      </w:r>
      <w:r w:rsidRPr="007B4FE2">
        <w:rPr>
          <w:rFonts w:ascii="Times New Roman" w:hAnsi="Times New Roman" w:cs="Times New Roman"/>
          <w:sz w:val="18"/>
          <w:szCs w:val="18"/>
          <w:lang w:val="de-DE"/>
        </w:rPr>
        <w:t xml:space="preserve"> 29, p. 221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w:t>
      </w:r>
      <w:proofErr w:type="gramEnd"/>
      <w:r w:rsidRPr="007B4FE2">
        <w:rPr>
          <w:rFonts w:ascii="Times New Roman" w:hAnsi="Times New Roman" w:cs="Times New Roman"/>
          <w:sz w:val="18"/>
          <w:szCs w:val="18"/>
          <w:lang w:val="de-DE"/>
        </w:rPr>
        <w:t xml:space="preserve"> </w:t>
      </w:r>
      <w:r w:rsidRPr="007B4FE2">
        <w:rPr>
          <w:rFonts w:ascii="Times New Roman" w:hAnsi="Times New Roman" w:cs="Times New Roman"/>
          <w:sz w:val="18"/>
          <w:szCs w:val="18"/>
        </w:rPr>
        <w:t xml:space="preserve">Si tratta peraltro di giurisprudenza costante, come dimostra ad es. la recente sentenza </w:t>
      </w:r>
      <w:proofErr w:type="spellStart"/>
      <w:r w:rsidRPr="007B4FE2">
        <w:rPr>
          <w:rFonts w:ascii="Times New Roman" w:hAnsi="Times New Roman" w:cs="Times New Roman"/>
          <w:sz w:val="18"/>
          <w:szCs w:val="18"/>
        </w:rPr>
        <w:t>BVerfG</w:t>
      </w:r>
      <w:proofErr w:type="spellEnd"/>
      <w:r w:rsidRPr="007B4FE2">
        <w:rPr>
          <w:rFonts w:ascii="Times New Roman" w:hAnsi="Times New Roman" w:cs="Times New Roman"/>
          <w:sz w:val="18"/>
          <w:szCs w:val="18"/>
        </w:rPr>
        <w:t xml:space="preserve"> del 21.03.2018, 1 </w:t>
      </w:r>
      <w:proofErr w:type="spellStart"/>
      <w:r w:rsidRPr="007B4FE2">
        <w:rPr>
          <w:rFonts w:ascii="Times New Roman" w:hAnsi="Times New Roman" w:cs="Times New Roman"/>
          <w:sz w:val="18"/>
          <w:szCs w:val="18"/>
        </w:rPr>
        <w:t>BvF</w:t>
      </w:r>
      <w:proofErr w:type="spellEnd"/>
      <w:r w:rsidRPr="007B4FE2">
        <w:rPr>
          <w:rFonts w:ascii="Times New Roman" w:hAnsi="Times New Roman" w:cs="Times New Roman"/>
          <w:sz w:val="18"/>
          <w:szCs w:val="18"/>
        </w:rPr>
        <w:t xml:space="preserve"> 1/13, che si può leggere in https://www.bundesverfassungsgericht.de.</w:t>
      </w:r>
    </w:p>
  </w:footnote>
  <w:footnote w:id="35">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Su cui si rinvia senz’altro a M. </w:t>
      </w:r>
      <w:proofErr w:type="spellStart"/>
      <w:r w:rsidRPr="007B4FE2">
        <w:rPr>
          <w:szCs w:val="18"/>
        </w:rPr>
        <w:t>Nigro</w:t>
      </w:r>
      <w:proofErr w:type="spellEnd"/>
      <w:r w:rsidRPr="007B4FE2">
        <w:rPr>
          <w:szCs w:val="18"/>
        </w:rPr>
        <w:t xml:space="preserve">, </w:t>
      </w:r>
      <w:r w:rsidRPr="007B4FE2">
        <w:rPr>
          <w:i/>
          <w:szCs w:val="18"/>
        </w:rPr>
        <w:t>Decisione amministrativa</w:t>
      </w:r>
      <w:r w:rsidRPr="007B4FE2">
        <w:rPr>
          <w:szCs w:val="18"/>
        </w:rPr>
        <w:t xml:space="preserve"> (1962), in M. </w:t>
      </w:r>
      <w:proofErr w:type="spellStart"/>
      <w:r w:rsidRPr="007B4FE2">
        <w:rPr>
          <w:szCs w:val="18"/>
        </w:rPr>
        <w:t>Nigro</w:t>
      </w:r>
      <w:proofErr w:type="spellEnd"/>
      <w:r w:rsidRPr="007B4FE2">
        <w:rPr>
          <w:szCs w:val="18"/>
        </w:rPr>
        <w:t xml:space="preserve"> (a cura di),</w:t>
      </w:r>
      <w:r w:rsidRPr="007B4FE2">
        <w:rPr>
          <w:i/>
          <w:szCs w:val="18"/>
        </w:rPr>
        <w:t xml:space="preserve"> Scritti giuridici</w:t>
      </w:r>
      <w:r w:rsidRPr="007B4FE2">
        <w:rPr>
          <w:szCs w:val="18"/>
        </w:rPr>
        <w:t xml:space="preserve">, Milano, 1996, I, p. 499 ss. V. però anche A. Travi, </w:t>
      </w:r>
      <w:r w:rsidRPr="007B4FE2">
        <w:rPr>
          <w:i/>
          <w:szCs w:val="18"/>
        </w:rPr>
        <w:t>Decisione amministrativa</w:t>
      </w:r>
      <w:r w:rsidRPr="007B4FE2">
        <w:rPr>
          <w:szCs w:val="18"/>
        </w:rPr>
        <w:t xml:space="preserve">, in </w:t>
      </w:r>
      <w:proofErr w:type="spellStart"/>
      <w:r w:rsidRPr="007B4FE2">
        <w:rPr>
          <w:i/>
          <w:szCs w:val="18"/>
        </w:rPr>
        <w:t>Dig</w:t>
      </w:r>
      <w:proofErr w:type="spellEnd"/>
      <w:r w:rsidRPr="007B4FE2">
        <w:rPr>
          <w:i/>
          <w:szCs w:val="18"/>
        </w:rPr>
        <w:t xml:space="preserve">. </w:t>
      </w:r>
      <w:proofErr w:type="gramStart"/>
      <w:r w:rsidRPr="007B4FE2">
        <w:rPr>
          <w:i/>
          <w:szCs w:val="18"/>
        </w:rPr>
        <w:t>disc</w:t>
      </w:r>
      <w:proofErr w:type="gramEnd"/>
      <w:r w:rsidRPr="007B4FE2">
        <w:rPr>
          <w:i/>
          <w:szCs w:val="18"/>
        </w:rPr>
        <w:t xml:space="preserve">. </w:t>
      </w:r>
      <w:proofErr w:type="spellStart"/>
      <w:proofErr w:type="gramStart"/>
      <w:r w:rsidRPr="007B4FE2">
        <w:rPr>
          <w:i/>
          <w:szCs w:val="18"/>
        </w:rPr>
        <w:t>pubbl</w:t>
      </w:r>
      <w:proofErr w:type="spellEnd"/>
      <w:r w:rsidRPr="007B4FE2">
        <w:rPr>
          <w:i/>
          <w:szCs w:val="18"/>
        </w:rPr>
        <w:t>.</w:t>
      </w:r>
      <w:r w:rsidRPr="007B4FE2">
        <w:rPr>
          <w:szCs w:val="18"/>
        </w:rPr>
        <w:t>,</w:t>
      </w:r>
      <w:proofErr w:type="gramEnd"/>
      <w:r w:rsidRPr="007B4FE2">
        <w:rPr>
          <w:szCs w:val="18"/>
        </w:rPr>
        <w:t xml:space="preserve"> vol. IV, Torino, 1989, p. 524 ss.</w:t>
      </w:r>
    </w:p>
  </w:footnote>
  <w:footnote w:id="36">
    <w:p w:rsidR="0097768D" w:rsidRPr="007B4FE2" w:rsidRDefault="0097768D" w:rsidP="007B4FE2">
      <w:pPr>
        <w:pStyle w:val="Testonotaapidipagina"/>
        <w:rPr>
          <w:szCs w:val="18"/>
          <w:lang w:val="en-GB"/>
        </w:rPr>
      </w:pPr>
      <w:r w:rsidRPr="007B4FE2">
        <w:rPr>
          <w:rStyle w:val="Rimandonotaapidipagina"/>
          <w:sz w:val="18"/>
          <w:szCs w:val="18"/>
        </w:rPr>
        <w:footnoteRef/>
      </w:r>
      <w:r w:rsidRPr="007B4FE2">
        <w:rPr>
          <w:szCs w:val="18"/>
        </w:rPr>
        <w:t xml:space="preserve"> Come dimostra, ad es., l’interessantissimo saggio di P. Caine, </w:t>
      </w:r>
      <w:proofErr w:type="spellStart"/>
      <w:r w:rsidRPr="007B4FE2">
        <w:rPr>
          <w:i/>
          <w:szCs w:val="18"/>
        </w:rPr>
        <w:t>Merits</w:t>
      </w:r>
      <w:proofErr w:type="spellEnd"/>
      <w:r w:rsidRPr="007B4FE2">
        <w:rPr>
          <w:i/>
          <w:szCs w:val="18"/>
        </w:rPr>
        <w:t xml:space="preserve"> </w:t>
      </w:r>
      <w:proofErr w:type="spellStart"/>
      <w:r w:rsidRPr="007B4FE2">
        <w:rPr>
          <w:i/>
          <w:szCs w:val="18"/>
        </w:rPr>
        <w:t>Review</w:t>
      </w:r>
      <w:proofErr w:type="spellEnd"/>
      <w:r w:rsidRPr="007B4FE2">
        <w:rPr>
          <w:i/>
          <w:szCs w:val="18"/>
        </w:rPr>
        <w:t xml:space="preserve"> and </w:t>
      </w:r>
      <w:proofErr w:type="spellStart"/>
      <w:r w:rsidRPr="007B4FE2">
        <w:rPr>
          <w:i/>
          <w:szCs w:val="18"/>
        </w:rPr>
        <w:t>Judicial</w:t>
      </w:r>
      <w:proofErr w:type="spellEnd"/>
      <w:r w:rsidRPr="007B4FE2">
        <w:rPr>
          <w:i/>
          <w:szCs w:val="18"/>
        </w:rPr>
        <w:t xml:space="preserve"> </w:t>
      </w:r>
      <w:proofErr w:type="spellStart"/>
      <w:r w:rsidRPr="007B4FE2">
        <w:rPr>
          <w:i/>
          <w:szCs w:val="18"/>
        </w:rPr>
        <w:t>Review</w:t>
      </w:r>
      <w:proofErr w:type="spellEnd"/>
      <w:r w:rsidRPr="007B4FE2">
        <w:rPr>
          <w:i/>
          <w:szCs w:val="18"/>
        </w:rPr>
        <w:t xml:space="preserve">. </w:t>
      </w:r>
      <w:r w:rsidRPr="007B4FE2">
        <w:rPr>
          <w:i/>
          <w:szCs w:val="18"/>
          <w:lang w:val="en-GB"/>
        </w:rPr>
        <w:t xml:space="preserve">The AAT as Trojan </w:t>
      </w:r>
      <w:proofErr w:type="gramStart"/>
      <w:r w:rsidRPr="007B4FE2">
        <w:rPr>
          <w:i/>
          <w:szCs w:val="18"/>
          <w:lang w:val="en-GB"/>
        </w:rPr>
        <w:t>Horse</w:t>
      </w:r>
      <w:proofErr w:type="gramEnd"/>
      <w:r w:rsidRPr="007B4FE2">
        <w:rPr>
          <w:szCs w:val="18"/>
          <w:lang w:val="en-GB"/>
        </w:rPr>
        <w:t xml:space="preserve">, in </w:t>
      </w:r>
      <w:r w:rsidRPr="007B4FE2">
        <w:rPr>
          <w:i/>
          <w:szCs w:val="18"/>
          <w:lang w:val="en-GB"/>
        </w:rPr>
        <w:t>Federal Law Review</w:t>
      </w:r>
      <w:r w:rsidRPr="007B4FE2">
        <w:rPr>
          <w:szCs w:val="18"/>
          <w:lang w:val="en-GB"/>
        </w:rPr>
        <w:t>, 2000, p. 213 ss.</w:t>
      </w:r>
    </w:p>
  </w:footnote>
  <w:footnote w:id="37">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A questo riguardo mi permetto di rinviare ai miei precedenti scritti sul tema, già cit. alle note precedenti.</w:t>
      </w:r>
    </w:p>
  </w:footnote>
  <w:footnote w:id="38">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Codificato ora nell’art. 5 TUE ai sensi del quale “</w:t>
      </w:r>
      <w:r w:rsidRPr="007B4FE2">
        <w:rPr>
          <w:i/>
          <w:szCs w:val="18"/>
        </w:rPr>
        <w:t>La delimitazione delle competenze dell’Unione si fonda sul principio di attribuzione</w:t>
      </w:r>
      <w:r w:rsidRPr="007B4FE2">
        <w:rPr>
          <w:szCs w:val="18"/>
        </w:rPr>
        <w:t xml:space="preserve">”. Il principio in questione implica che l'azione dell'Unione sia basata sia sulle competenze che risultano in modo specifico da disposizioni del Trattato, sia su quelle competenze che si possono desumere in modo implicito da queste disposizioni. V.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sentenza 26.03.1987, in causa 45/86, Commissione c. Consiglio, </w:t>
      </w:r>
      <w:r w:rsidRPr="007B4FE2">
        <w:rPr>
          <w:rStyle w:val="outputecliaff"/>
          <w:szCs w:val="18"/>
        </w:rPr>
        <w:t xml:space="preserve">ECLI:EU:C:1987:163. </w:t>
      </w:r>
    </w:p>
  </w:footnote>
  <w:footnote w:id="39">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Ai sensi dell'art. 12 c. 2 delle disposizioni preliminari al nostro Codice civile “</w:t>
      </w:r>
      <w:r w:rsidRPr="007B4FE2">
        <w:rPr>
          <w:i/>
          <w:szCs w:val="18"/>
        </w:rPr>
        <w:t>Se una controversia non può essere decisa con una precisa disposizione, si ha riguardo alle disposizioni che regolano casi simili o materie analoghe; se il caso rimane ancora dubbio, si decide secondo i princìpi generali dell'ordinamento giuridico dello Stato</w:t>
      </w:r>
      <w:r w:rsidRPr="007B4FE2">
        <w:rPr>
          <w:szCs w:val="18"/>
        </w:rPr>
        <w:t>”</w:t>
      </w:r>
    </w:p>
  </w:footnote>
  <w:footnote w:id="40">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Art. 263 c. 2 TFUE: “</w:t>
      </w:r>
      <w:r w:rsidRPr="007B4FE2">
        <w:rPr>
          <w:i/>
          <w:szCs w:val="18"/>
        </w:rPr>
        <w:t>la Corte è competente a pronunciarsi sui ricorsi per incompetenza, violazione delle forme sostanziali, violazione dei trattati o di qualsiasi regola di diritto relativa alla loro applicazione</w:t>
      </w:r>
      <w:r w:rsidRPr="007B4FE2">
        <w:rPr>
          <w:szCs w:val="18"/>
        </w:rPr>
        <w:t>”. La norma è rimasta invariata sin dal suo inserimento nell’originario Trattato CEE (Art. 173 CEE).</w:t>
      </w:r>
    </w:p>
  </w:footnote>
  <w:footnote w:id="41">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Il cui testo è parimenti rimasto, nella sostanza, invariato nella sua formulazione sin dal Trattato di Roma.</w:t>
      </w:r>
    </w:p>
  </w:footnote>
  <w:footnote w:id="42">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La Corte aveva infatti chiaramente statuito che, allo scopo di “</w:t>
      </w:r>
      <w:r w:rsidRPr="007B4FE2">
        <w:rPr>
          <w:i/>
          <w:szCs w:val="18"/>
        </w:rPr>
        <w:t>non denegare giustizia</w:t>
      </w:r>
      <w:r w:rsidRPr="007B4FE2">
        <w:rPr>
          <w:szCs w:val="18"/>
        </w:rPr>
        <w:t>” nell’ipotesi in cui non vi fosse “</w:t>
      </w:r>
      <w:r w:rsidRPr="007B4FE2">
        <w:rPr>
          <w:i/>
          <w:szCs w:val="18"/>
        </w:rPr>
        <w:t>alcuna norma giuridica</w:t>
      </w:r>
      <w:r w:rsidRPr="007B4FE2">
        <w:rPr>
          <w:szCs w:val="18"/>
        </w:rPr>
        <w:t>” di riferimento nei Trattati (o nel diritto derivato), essa sarebbe stata tenuta a “</w:t>
      </w:r>
      <w:r w:rsidRPr="007B4FE2">
        <w:rPr>
          <w:i/>
          <w:szCs w:val="18"/>
        </w:rPr>
        <w:t>risolvere tale problema informandosi alle leggi, alla dottrina ed alla giurisprudenza dei paesi membri</w:t>
      </w:r>
      <w:r w:rsidRPr="007B4FE2">
        <w:rPr>
          <w:szCs w:val="18"/>
        </w:rPr>
        <w:t xml:space="preserve">”. Così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sentenza 12.07.1957, in cause </w:t>
      </w:r>
      <w:proofErr w:type="spellStart"/>
      <w:r w:rsidRPr="007B4FE2">
        <w:rPr>
          <w:szCs w:val="18"/>
        </w:rPr>
        <w:t>riun</w:t>
      </w:r>
      <w:proofErr w:type="spellEnd"/>
      <w:r w:rsidRPr="007B4FE2">
        <w:rPr>
          <w:szCs w:val="18"/>
        </w:rPr>
        <w:t xml:space="preserve">. 7/56, 3/57-7/57, </w:t>
      </w:r>
      <w:r w:rsidRPr="007B4FE2">
        <w:rPr>
          <w:szCs w:val="18"/>
        </w:rPr>
        <w:br/>
      </w:r>
      <w:proofErr w:type="gramStart"/>
      <w:r w:rsidRPr="007B4FE2">
        <w:rPr>
          <w:rStyle w:val="outputecliaff"/>
          <w:szCs w:val="18"/>
        </w:rPr>
        <w:t>ECLI:EU</w:t>
      </w:r>
      <w:proofErr w:type="gramEnd"/>
      <w:r w:rsidRPr="007B4FE2">
        <w:rPr>
          <w:rStyle w:val="outputecliaff"/>
          <w:szCs w:val="18"/>
        </w:rPr>
        <w:t xml:space="preserve">:C:1957:7. V. poi anche le conclusioni dell’avv. gen. Maurice Lagrange, </w:t>
      </w:r>
      <w:proofErr w:type="gramStart"/>
      <w:r w:rsidRPr="007B4FE2">
        <w:rPr>
          <w:rStyle w:val="outputecliaff"/>
          <w:szCs w:val="18"/>
        </w:rPr>
        <w:t>ECLI:EU</w:t>
      </w:r>
      <w:proofErr w:type="gramEnd"/>
      <w:r w:rsidRPr="007B4FE2">
        <w:rPr>
          <w:rStyle w:val="outputecliaff"/>
          <w:szCs w:val="18"/>
        </w:rPr>
        <w:t xml:space="preserve">:C:1957:6, che rappresentano un mirabile esempio di comparazione giuridica applicata al caso concreto. </w:t>
      </w:r>
    </w:p>
  </w:footnote>
  <w:footnote w:id="43">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Per approfondimenti si rinvia a </w:t>
      </w:r>
      <w:proofErr w:type="spellStart"/>
      <w:r w:rsidRPr="007B4FE2">
        <w:rPr>
          <w:szCs w:val="18"/>
        </w:rPr>
        <w:t>a</w:t>
      </w:r>
      <w:proofErr w:type="spellEnd"/>
      <w:r w:rsidRPr="007B4FE2">
        <w:rPr>
          <w:szCs w:val="18"/>
        </w:rPr>
        <w:t xml:space="preserve"> D.U. </w:t>
      </w:r>
      <w:proofErr w:type="spellStart"/>
      <w:r w:rsidRPr="007B4FE2">
        <w:rPr>
          <w:szCs w:val="18"/>
        </w:rPr>
        <w:t>Galetta</w:t>
      </w:r>
      <w:proofErr w:type="spellEnd"/>
      <w:r w:rsidRPr="007B4FE2">
        <w:rPr>
          <w:szCs w:val="18"/>
        </w:rPr>
        <w:t xml:space="preserve">, </w:t>
      </w:r>
      <w:r w:rsidRPr="007B4FE2">
        <w:rPr>
          <w:i/>
          <w:szCs w:val="18"/>
        </w:rPr>
        <w:t>Le fonti (del diritto amministrativo europeo)</w:t>
      </w:r>
      <w:r w:rsidRPr="007B4FE2">
        <w:rPr>
          <w:szCs w:val="18"/>
        </w:rPr>
        <w:t xml:space="preserve">, in S. </w:t>
      </w:r>
      <w:proofErr w:type="spellStart"/>
      <w:r w:rsidRPr="007B4FE2">
        <w:rPr>
          <w:szCs w:val="18"/>
        </w:rPr>
        <w:t>Battini</w:t>
      </w:r>
      <w:proofErr w:type="spellEnd"/>
      <w:r w:rsidRPr="007B4FE2">
        <w:rPr>
          <w:szCs w:val="18"/>
        </w:rPr>
        <w:t xml:space="preserve">, E. Chiti, D.U. </w:t>
      </w:r>
      <w:proofErr w:type="spellStart"/>
      <w:r w:rsidRPr="007B4FE2">
        <w:rPr>
          <w:szCs w:val="18"/>
        </w:rPr>
        <w:t>Galetta</w:t>
      </w:r>
      <w:proofErr w:type="spellEnd"/>
      <w:r w:rsidRPr="007B4FE2">
        <w:rPr>
          <w:szCs w:val="18"/>
        </w:rPr>
        <w:t xml:space="preserve">, B.G. Mattarella, M. Macchia, C. Franchini, G. della Cananea, M. P. Chiti (a cura di M.P. Chiti), </w:t>
      </w:r>
      <w:r w:rsidRPr="007B4FE2">
        <w:rPr>
          <w:i/>
          <w:szCs w:val="18"/>
        </w:rPr>
        <w:t>Diritto amministrativo europeo</w:t>
      </w:r>
      <w:r w:rsidRPr="007B4FE2">
        <w:rPr>
          <w:szCs w:val="18"/>
        </w:rPr>
        <w:t xml:space="preserve">, Milano, 2^ </w:t>
      </w:r>
      <w:proofErr w:type="gramStart"/>
      <w:r w:rsidRPr="007B4FE2">
        <w:rPr>
          <w:szCs w:val="18"/>
        </w:rPr>
        <w:t>ed.,</w:t>
      </w:r>
      <w:proofErr w:type="gramEnd"/>
      <w:r w:rsidRPr="007B4FE2">
        <w:rPr>
          <w:szCs w:val="18"/>
        </w:rPr>
        <w:t xml:space="preserve"> 2018, p. 103 ss.</w:t>
      </w:r>
    </w:p>
  </w:footnote>
  <w:footnote w:id="44">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Molto semplicemente, è da considerarsi come un principio generale del diritto UE tutto ciò che - e solo ciò che - la Corte di giustizia qualifica come tale. Così J. Ziller, </w:t>
      </w:r>
      <w:r w:rsidRPr="007B4FE2">
        <w:rPr>
          <w:i/>
          <w:szCs w:val="18"/>
        </w:rPr>
        <w:t>Diritto delle politiche e delle istituzioni dell'Unione europea</w:t>
      </w:r>
      <w:r w:rsidRPr="007B4FE2">
        <w:rPr>
          <w:szCs w:val="18"/>
        </w:rPr>
        <w:t>, Bologna, Il Mulino, 2013, p. 543 ss., cui necessariamente si rinvia.</w:t>
      </w:r>
    </w:p>
  </w:footnote>
  <w:footnote w:id="45">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Ma sta al di sotto del diritto primario. Sicché i cd. “</w:t>
      </w:r>
      <w:proofErr w:type="gramStart"/>
      <w:r w:rsidRPr="007B4FE2">
        <w:rPr>
          <w:szCs w:val="18"/>
        </w:rPr>
        <w:t>signori</w:t>
      </w:r>
      <w:proofErr w:type="gramEnd"/>
      <w:r w:rsidRPr="007B4FE2">
        <w:rPr>
          <w:szCs w:val="18"/>
        </w:rPr>
        <w:t xml:space="preserve"> dei trattati” possono eventualmente intervenire sul punto, modificando eventualmente il diritto primario allo scopo di contrastare un orientamento emerso nella giurisprudenza della Corte e da essi non condiviso.</w:t>
      </w:r>
    </w:p>
  </w:footnote>
  <w:footnote w:id="46">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Si ricorda qui che, ai sensi dell’art. 19 c. 1 TUE “</w:t>
      </w:r>
      <w:r w:rsidRPr="007B4FE2">
        <w:rPr>
          <w:i/>
          <w:szCs w:val="18"/>
        </w:rPr>
        <w:t>La Corte di giustizia dell'Unione europea comprende la Corte di giustizia, il Tribunale e i tribunali specializzati</w:t>
      </w:r>
      <w:r w:rsidRPr="007B4FE2">
        <w:rPr>
          <w:szCs w:val="18"/>
        </w:rPr>
        <w:t>”.</w:t>
      </w:r>
    </w:p>
  </w:footnote>
  <w:footnote w:id="47">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lang w:val="fr-FR"/>
        </w:rPr>
        <w:t xml:space="preserve"> Corte </w:t>
      </w:r>
      <w:proofErr w:type="spellStart"/>
      <w:proofErr w:type="gramStart"/>
      <w:r w:rsidRPr="007B4FE2">
        <w:rPr>
          <w:szCs w:val="18"/>
          <w:lang w:val="fr-FR"/>
        </w:rPr>
        <w:t>giust</w:t>
      </w:r>
      <w:proofErr w:type="spellEnd"/>
      <w:r w:rsidRPr="007B4FE2">
        <w:rPr>
          <w:szCs w:val="18"/>
          <w:lang w:val="fr-FR"/>
        </w:rPr>
        <w:t>.,</w:t>
      </w:r>
      <w:proofErr w:type="gramEnd"/>
      <w:r w:rsidRPr="007B4FE2">
        <w:rPr>
          <w:szCs w:val="18"/>
          <w:lang w:val="fr-FR"/>
        </w:rPr>
        <w:t xml:space="preserve"> sent. 16.07.1956,</w:t>
      </w:r>
      <w:r w:rsidRPr="007B4FE2">
        <w:rPr>
          <w:color w:val="000000"/>
          <w:szCs w:val="18"/>
          <w:lang w:val="fr-FR"/>
        </w:rPr>
        <w:t xml:space="preserve"> in causa </w:t>
      </w:r>
      <w:r w:rsidRPr="007B4FE2">
        <w:rPr>
          <w:szCs w:val="18"/>
          <w:lang w:val="fr-FR"/>
        </w:rPr>
        <w:t xml:space="preserve">8/55, </w:t>
      </w:r>
      <w:r w:rsidRPr="007B4FE2">
        <w:rPr>
          <w:i/>
          <w:szCs w:val="18"/>
          <w:lang w:val="fr-FR"/>
        </w:rPr>
        <w:t>Fédération Charbonnière</w:t>
      </w:r>
      <w:r w:rsidRPr="007B4FE2">
        <w:rPr>
          <w:szCs w:val="18"/>
          <w:lang w:val="fr-FR"/>
        </w:rPr>
        <w:t xml:space="preserve">, </w:t>
      </w:r>
      <w:proofErr w:type="gramStart"/>
      <w:r w:rsidRPr="007B4FE2">
        <w:rPr>
          <w:rStyle w:val="outputecliaff"/>
          <w:szCs w:val="18"/>
          <w:lang w:val="fr-FR"/>
        </w:rPr>
        <w:t>ECLI:EU:C:1956:11</w:t>
      </w:r>
      <w:proofErr w:type="gramEnd"/>
      <w:r w:rsidRPr="007B4FE2">
        <w:rPr>
          <w:rStyle w:val="outputecliaff"/>
          <w:szCs w:val="18"/>
          <w:lang w:val="fr-FR"/>
        </w:rPr>
        <w:t xml:space="preserve">:; </w:t>
      </w:r>
      <w:r w:rsidRPr="007B4FE2">
        <w:rPr>
          <w:szCs w:val="18"/>
          <w:lang w:val="fr-FR"/>
        </w:rPr>
        <w:t xml:space="preserve">Corte </w:t>
      </w:r>
      <w:proofErr w:type="spellStart"/>
      <w:r w:rsidRPr="007B4FE2">
        <w:rPr>
          <w:szCs w:val="18"/>
          <w:lang w:val="fr-FR"/>
        </w:rPr>
        <w:t>giust</w:t>
      </w:r>
      <w:proofErr w:type="spellEnd"/>
      <w:r w:rsidRPr="007B4FE2">
        <w:rPr>
          <w:szCs w:val="18"/>
          <w:lang w:val="fr-FR"/>
        </w:rPr>
        <w:t xml:space="preserve">., sent. </w:t>
      </w:r>
      <w:r w:rsidRPr="007B4FE2">
        <w:rPr>
          <w:szCs w:val="18"/>
        </w:rPr>
        <w:t xml:space="preserve">14.12.1962, in cause </w:t>
      </w:r>
      <w:proofErr w:type="spellStart"/>
      <w:r w:rsidRPr="007B4FE2">
        <w:rPr>
          <w:szCs w:val="18"/>
        </w:rPr>
        <w:t>riun</w:t>
      </w:r>
      <w:proofErr w:type="spellEnd"/>
      <w:r w:rsidRPr="007B4FE2">
        <w:rPr>
          <w:szCs w:val="18"/>
        </w:rPr>
        <w:t xml:space="preserve">. 5-11, 13-15/62, </w:t>
      </w:r>
      <w:r w:rsidRPr="007B4FE2">
        <w:rPr>
          <w:i/>
          <w:szCs w:val="18"/>
        </w:rPr>
        <w:t>Società acciaierie San Michele</w:t>
      </w:r>
      <w:r w:rsidRPr="007B4FE2">
        <w:rPr>
          <w:szCs w:val="18"/>
        </w:rPr>
        <w:t xml:space="preserve">, </w:t>
      </w:r>
      <w:proofErr w:type="gramStart"/>
      <w:r w:rsidRPr="007B4FE2">
        <w:rPr>
          <w:rStyle w:val="outputecliaff"/>
          <w:szCs w:val="18"/>
        </w:rPr>
        <w:t>ECLI:EU</w:t>
      </w:r>
      <w:proofErr w:type="gramEnd"/>
      <w:r w:rsidRPr="007B4FE2">
        <w:rPr>
          <w:rStyle w:val="outputecliaff"/>
          <w:szCs w:val="18"/>
        </w:rPr>
        <w:t xml:space="preserve">:C:1962:46; </w:t>
      </w:r>
      <w:r w:rsidRPr="007B4FE2">
        <w:rPr>
          <w:szCs w:val="18"/>
        </w:rPr>
        <w:t xml:space="preserve">Corte </w:t>
      </w:r>
      <w:proofErr w:type="spellStart"/>
      <w:r w:rsidRPr="007B4FE2">
        <w:rPr>
          <w:szCs w:val="18"/>
        </w:rPr>
        <w:t>giust</w:t>
      </w:r>
      <w:proofErr w:type="spellEnd"/>
      <w:r w:rsidRPr="007B4FE2">
        <w:rPr>
          <w:szCs w:val="18"/>
        </w:rPr>
        <w:t xml:space="preserve">., </w:t>
      </w:r>
      <w:proofErr w:type="spellStart"/>
      <w:r w:rsidRPr="007B4FE2">
        <w:rPr>
          <w:szCs w:val="18"/>
        </w:rPr>
        <w:t>sent</w:t>
      </w:r>
      <w:proofErr w:type="spellEnd"/>
      <w:r w:rsidRPr="007B4FE2">
        <w:rPr>
          <w:szCs w:val="18"/>
        </w:rPr>
        <w:t xml:space="preserve">. 19.03.1964, in causa 18/63, </w:t>
      </w:r>
      <w:proofErr w:type="spellStart"/>
      <w:r w:rsidRPr="007B4FE2">
        <w:rPr>
          <w:i/>
          <w:szCs w:val="18"/>
        </w:rPr>
        <w:t>Schmitz</w:t>
      </w:r>
      <w:proofErr w:type="spellEnd"/>
      <w:r w:rsidRPr="007B4FE2">
        <w:rPr>
          <w:szCs w:val="18"/>
        </w:rPr>
        <w:t xml:space="preserve">, </w:t>
      </w:r>
      <w:proofErr w:type="gramStart"/>
      <w:r w:rsidRPr="007B4FE2">
        <w:rPr>
          <w:rStyle w:val="outputecliaff"/>
          <w:szCs w:val="18"/>
        </w:rPr>
        <w:t>ECLI:EU</w:t>
      </w:r>
      <w:proofErr w:type="gramEnd"/>
      <w:r w:rsidRPr="007B4FE2">
        <w:rPr>
          <w:rStyle w:val="outputecliaff"/>
          <w:szCs w:val="18"/>
        </w:rPr>
        <w:t xml:space="preserve">:C:1964:15. </w:t>
      </w:r>
    </w:p>
  </w:footnote>
  <w:footnote w:id="48">
    <w:p w:rsidR="0097768D" w:rsidRPr="007B4FE2" w:rsidRDefault="0097768D" w:rsidP="007B4FE2">
      <w:pPr>
        <w:pStyle w:val="Testonotaapidipagina"/>
        <w:rPr>
          <w:szCs w:val="18"/>
          <w:lang w:val="de-DE"/>
        </w:rPr>
      </w:pPr>
      <w:r w:rsidRPr="007B4FE2">
        <w:rPr>
          <w:rStyle w:val="Rimandonotaapidipagina"/>
          <w:sz w:val="18"/>
          <w:szCs w:val="18"/>
        </w:rPr>
        <w:footnoteRef/>
      </w:r>
      <w:r w:rsidRPr="007B4FE2">
        <w:rPr>
          <w:szCs w:val="18"/>
        </w:rPr>
        <w:t xml:space="preserve"> Fra le tante v. le due fondamentali pronunzie</w:t>
      </w:r>
      <w:r w:rsidRPr="007B4FE2">
        <w:rPr>
          <w:rFonts w:eastAsiaTheme="minorHAnsi"/>
          <w:szCs w:val="18"/>
          <w:lang w:eastAsia="en-US"/>
        </w:rPr>
        <w:t xml:space="preserve"> </w:t>
      </w:r>
      <w:r w:rsidRPr="007B4FE2">
        <w:rPr>
          <w:szCs w:val="18"/>
        </w:rPr>
        <w:t xml:space="preserve">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w:t>
      </w:r>
      <w:proofErr w:type="spellStart"/>
      <w:r w:rsidRPr="007B4FE2">
        <w:rPr>
          <w:szCs w:val="18"/>
        </w:rPr>
        <w:t>sent</w:t>
      </w:r>
      <w:proofErr w:type="spellEnd"/>
      <w:r w:rsidRPr="007B4FE2">
        <w:rPr>
          <w:szCs w:val="18"/>
        </w:rPr>
        <w:t xml:space="preserve">. </w:t>
      </w:r>
      <w:r w:rsidRPr="007B4FE2">
        <w:rPr>
          <w:szCs w:val="18"/>
          <w:lang w:val="de-DE"/>
        </w:rPr>
        <w:t xml:space="preserve">17.12.1970, in causa 11/70, </w:t>
      </w:r>
      <w:r w:rsidRPr="007B4FE2">
        <w:rPr>
          <w:i/>
          <w:szCs w:val="18"/>
          <w:lang w:val="de-DE"/>
        </w:rPr>
        <w:t>Internationale Handelsgesellschaft</w:t>
      </w:r>
      <w:r w:rsidRPr="007B4FE2">
        <w:rPr>
          <w:szCs w:val="18"/>
          <w:lang w:val="de-DE"/>
        </w:rPr>
        <w:t xml:space="preserve">, </w:t>
      </w:r>
      <w:r w:rsidRPr="007B4FE2">
        <w:rPr>
          <w:rStyle w:val="outputecliaff"/>
          <w:szCs w:val="18"/>
          <w:lang w:val="de-DE"/>
        </w:rPr>
        <w:t xml:space="preserve">ECLI:EU:C:1970:114 e </w:t>
      </w:r>
      <w:proofErr w:type="spellStart"/>
      <w:r w:rsidRPr="007B4FE2">
        <w:rPr>
          <w:szCs w:val="18"/>
          <w:lang w:val="de-DE"/>
        </w:rPr>
        <w:t>Corte</w:t>
      </w:r>
      <w:proofErr w:type="spellEnd"/>
      <w:r w:rsidRPr="007B4FE2">
        <w:rPr>
          <w:szCs w:val="18"/>
          <w:lang w:val="de-DE"/>
        </w:rPr>
        <w:t xml:space="preserve"> </w:t>
      </w:r>
      <w:proofErr w:type="spellStart"/>
      <w:proofErr w:type="gramStart"/>
      <w:r w:rsidRPr="007B4FE2">
        <w:rPr>
          <w:szCs w:val="18"/>
          <w:lang w:val="de-DE"/>
        </w:rPr>
        <w:t>giust</w:t>
      </w:r>
      <w:proofErr w:type="spellEnd"/>
      <w:r w:rsidRPr="007B4FE2">
        <w:rPr>
          <w:szCs w:val="18"/>
          <w:lang w:val="de-DE"/>
        </w:rPr>
        <w:t>.,</w:t>
      </w:r>
      <w:proofErr w:type="gramEnd"/>
      <w:r w:rsidRPr="007B4FE2">
        <w:rPr>
          <w:szCs w:val="18"/>
          <w:lang w:val="de-DE"/>
        </w:rPr>
        <w:t xml:space="preserve"> </w:t>
      </w:r>
      <w:proofErr w:type="spellStart"/>
      <w:r w:rsidRPr="007B4FE2">
        <w:rPr>
          <w:szCs w:val="18"/>
          <w:lang w:val="de-DE"/>
        </w:rPr>
        <w:t>sent</w:t>
      </w:r>
      <w:proofErr w:type="spellEnd"/>
      <w:r w:rsidRPr="007B4FE2">
        <w:rPr>
          <w:szCs w:val="18"/>
          <w:lang w:val="de-DE"/>
        </w:rPr>
        <w:t xml:space="preserve">. 24.10.1973, in causa 5/73, </w:t>
      </w:r>
      <w:r w:rsidRPr="007B4FE2">
        <w:rPr>
          <w:i/>
          <w:szCs w:val="18"/>
          <w:lang w:val="de-DE"/>
        </w:rPr>
        <w:t>Balkan-Import-Export</w:t>
      </w:r>
      <w:r w:rsidRPr="007B4FE2">
        <w:rPr>
          <w:szCs w:val="18"/>
          <w:lang w:val="de-DE"/>
        </w:rPr>
        <w:t xml:space="preserve">, </w:t>
      </w:r>
      <w:r w:rsidRPr="007B4FE2">
        <w:rPr>
          <w:rStyle w:val="outputecliaff"/>
          <w:szCs w:val="18"/>
          <w:lang w:val="de-DE"/>
        </w:rPr>
        <w:t>ECLI:EU:C:1973:109.</w:t>
      </w:r>
    </w:p>
  </w:footnote>
  <w:footnote w:id="49">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Per un ampliamento dell’esame si rinvia anche agli ampi richiami giurisprudenziali contenuti in D.U. Galetta, </w:t>
      </w:r>
      <w:r w:rsidRPr="007B4FE2">
        <w:rPr>
          <w:i/>
          <w:szCs w:val="18"/>
        </w:rPr>
        <w:t>Il principio di proporzionalità</w:t>
      </w:r>
      <w:r w:rsidRPr="007B4FE2">
        <w:rPr>
          <w:szCs w:val="18"/>
        </w:rPr>
        <w:t xml:space="preserve">, in M.A. Sandulli (a cura di), </w:t>
      </w:r>
      <w:r w:rsidRPr="007B4FE2">
        <w:rPr>
          <w:i/>
          <w:szCs w:val="18"/>
        </w:rPr>
        <w:t xml:space="preserve">Codice dell’azione amministrativa </w:t>
      </w:r>
      <w:r w:rsidRPr="007B4FE2">
        <w:rPr>
          <w:szCs w:val="18"/>
        </w:rPr>
        <w:t>cit., p. 149 ss. (spec. 156 ss.).</w:t>
      </w:r>
    </w:p>
  </w:footnote>
  <w:footnote w:id="50">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Si ricorda qui che, ai sensi dell’art. 19 c. 1 TUE “</w:t>
      </w:r>
      <w:r w:rsidRPr="007B4FE2">
        <w:rPr>
          <w:i/>
          <w:szCs w:val="18"/>
        </w:rPr>
        <w:t>La Corte di giustizia dell'Unione europea comprende la Corte di giustizia, il Tribunale e i tribunali specializzati</w:t>
      </w:r>
      <w:r w:rsidRPr="007B4FE2">
        <w:rPr>
          <w:szCs w:val="18"/>
        </w:rPr>
        <w:t>”.</w:t>
      </w:r>
    </w:p>
  </w:footnote>
  <w:footnote w:id="51">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w:t>
      </w:r>
      <w:r w:rsidRPr="007B4FE2">
        <w:rPr>
          <w:color w:val="000000"/>
          <w:szCs w:val="18"/>
        </w:rPr>
        <w:t xml:space="preserve">Corte </w:t>
      </w:r>
      <w:proofErr w:type="spellStart"/>
      <w:proofErr w:type="gramStart"/>
      <w:r w:rsidRPr="007B4FE2">
        <w:rPr>
          <w:color w:val="000000"/>
          <w:szCs w:val="18"/>
        </w:rPr>
        <w:t>giust</w:t>
      </w:r>
      <w:proofErr w:type="spellEnd"/>
      <w:r w:rsidRPr="007B4FE2">
        <w:rPr>
          <w:color w:val="000000"/>
          <w:szCs w:val="18"/>
        </w:rPr>
        <w:t>.,</w:t>
      </w:r>
      <w:proofErr w:type="gramEnd"/>
      <w:r w:rsidRPr="007B4FE2">
        <w:rPr>
          <w:color w:val="000000"/>
          <w:szCs w:val="18"/>
        </w:rPr>
        <w:t xml:space="preserve"> 21 giugno </w:t>
      </w:r>
      <w:smartTag w:uri="urn:schemas-microsoft-com:office:smarttags" w:element="metricconverter">
        <w:smartTagPr>
          <w:attr w:name="ProductID" w:val="1979, in"/>
        </w:smartTagPr>
        <w:r w:rsidRPr="007B4FE2">
          <w:rPr>
            <w:color w:val="000000"/>
            <w:szCs w:val="18"/>
          </w:rPr>
          <w:t>1979, in</w:t>
        </w:r>
      </w:smartTag>
      <w:r w:rsidRPr="007B4FE2">
        <w:rPr>
          <w:color w:val="000000"/>
          <w:szCs w:val="18"/>
        </w:rPr>
        <w:t xml:space="preserve"> causa </w:t>
      </w:r>
      <w:r w:rsidRPr="007B4FE2">
        <w:rPr>
          <w:szCs w:val="18"/>
        </w:rPr>
        <w:t xml:space="preserve">240/78, </w:t>
      </w:r>
      <w:r w:rsidRPr="007B4FE2">
        <w:rPr>
          <w:i/>
          <w:szCs w:val="18"/>
        </w:rPr>
        <w:t>Atlanta</w:t>
      </w:r>
      <w:r w:rsidRPr="007B4FE2">
        <w:rPr>
          <w:szCs w:val="18"/>
        </w:rPr>
        <w:t xml:space="preserve">, in </w:t>
      </w:r>
      <w:proofErr w:type="spellStart"/>
      <w:r w:rsidRPr="007B4FE2">
        <w:rPr>
          <w:i/>
          <w:szCs w:val="18"/>
        </w:rPr>
        <w:t>Racc</w:t>
      </w:r>
      <w:proofErr w:type="spellEnd"/>
      <w:r w:rsidRPr="007B4FE2">
        <w:rPr>
          <w:i/>
          <w:szCs w:val="18"/>
        </w:rPr>
        <w:t>.</w:t>
      </w:r>
      <w:r w:rsidRPr="007B4FE2">
        <w:rPr>
          <w:szCs w:val="18"/>
        </w:rPr>
        <w:t xml:space="preserve">, 1979, p. 2137 ss.; Corte </w:t>
      </w:r>
      <w:proofErr w:type="spellStart"/>
      <w:r w:rsidRPr="007B4FE2">
        <w:rPr>
          <w:szCs w:val="18"/>
        </w:rPr>
        <w:t>giust</w:t>
      </w:r>
      <w:proofErr w:type="spellEnd"/>
      <w:r w:rsidRPr="007B4FE2">
        <w:rPr>
          <w:szCs w:val="18"/>
        </w:rPr>
        <w:t xml:space="preserve">., 5 luglio 1977, 114/76, </w:t>
      </w:r>
      <w:r w:rsidRPr="007B4FE2">
        <w:rPr>
          <w:i/>
          <w:szCs w:val="18"/>
        </w:rPr>
        <w:t>Bela-</w:t>
      </w:r>
      <w:proofErr w:type="spellStart"/>
      <w:r w:rsidRPr="007B4FE2">
        <w:rPr>
          <w:i/>
          <w:szCs w:val="18"/>
        </w:rPr>
        <w:t>Mühle</w:t>
      </w:r>
      <w:proofErr w:type="spellEnd"/>
      <w:r w:rsidRPr="007B4FE2">
        <w:rPr>
          <w:szCs w:val="18"/>
        </w:rPr>
        <w:t xml:space="preserve">, in </w:t>
      </w:r>
      <w:proofErr w:type="spellStart"/>
      <w:r w:rsidRPr="007B4FE2">
        <w:rPr>
          <w:i/>
          <w:szCs w:val="18"/>
        </w:rPr>
        <w:t>Racc</w:t>
      </w:r>
      <w:proofErr w:type="spellEnd"/>
      <w:r w:rsidRPr="007B4FE2">
        <w:rPr>
          <w:i/>
          <w:szCs w:val="18"/>
        </w:rPr>
        <w:t>.</w:t>
      </w:r>
      <w:r w:rsidRPr="007B4FE2">
        <w:rPr>
          <w:szCs w:val="18"/>
        </w:rPr>
        <w:t xml:space="preserve">, 1977, p. 1211 ss.; Corte </w:t>
      </w:r>
      <w:proofErr w:type="spellStart"/>
      <w:r w:rsidRPr="007B4FE2">
        <w:rPr>
          <w:szCs w:val="18"/>
        </w:rPr>
        <w:t>giust</w:t>
      </w:r>
      <w:proofErr w:type="spellEnd"/>
      <w:r w:rsidRPr="007B4FE2">
        <w:rPr>
          <w:szCs w:val="18"/>
        </w:rPr>
        <w:t xml:space="preserve">., 13 novembre </w:t>
      </w:r>
      <w:smartTag w:uri="urn:schemas-microsoft-com:office:smarttags" w:element="metricconverter">
        <w:smartTagPr>
          <w:attr w:name="ProductID" w:val="1990, in"/>
        </w:smartTagPr>
        <w:r w:rsidRPr="007B4FE2">
          <w:rPr>
            <w:szCs w:val="18"/>
          </w:rPr>
          <w:t>1990, in</w:t>
        </w:r>
      </w:smartTag>
      <w:r w:rsidRPr="007B4FE2">
        <w:rPr>
          <w:szCs w:val="18"/>
        </w:rPr>
        <w:t xml:space="preserve"> causa C-331/88, </w:t>
      </w:r>
      <w:proofErr w:type="spellStart"/>
      <w:r w:rsidRPr="007B4FE2">
        <w:rPr>
          <w:i/>
          <w:szCs w:val="18"/>
        </w:rPr>
        <w:t>Fedesa</w:t>
      </w:r>
      <w:proofErr w:type="spellEnd"/>
      <w:r w:rsidRPr="007B4FE2">
        <w:rPr>
          <w:szCs w:val="18"/>
        </w:rPr>
        <w:t xml:space="preserve">, in </w:t>
      </w:r>
      <w:proofErr w:type="spellStart"/>
      <w:r w:rsidRPr="007B4FE2">
        <w:rPr>
          <w:i/>
          <w:szCs w:val="18"/>
        </w:rPr>
        <w:t>Racc</w:t>
      </w:r>
      <w:proofErr w:type="spellEnd"/>
      <w:r w:rsidRPr="007B4FE2">
        <w:rPr>
          <w:i/>
          <w:szCs w:val="18"/>
        </w:rPr>
        <w:t>.</w:t>
      </w:r>
      <w:r w:rsidRPr="007B4FE2">
        <w:rPr>
          <w:szCs w:val="18"/>
        </w:rPr>
        <w:t xml:space="preserve">, 1990, p. I-4023 ss., punto 13; Corte </w:t>
      </w:r>
      <w:proofErr w:type="spellStart"/>
      <w:r w:rsidRPr="007B4FE2">
        <w:rPr>
          <w:szCs w:val="18"/>
        </w:rPr>
        <w:t>giust</w:t>
      </w:r>
      <w:proofErr w:type="spellEnd"/>
      <w:r w:rsidRPr="007B4FE2">
        <w:rPr>
          <w:szCs w:val="18"/>
        </w:rPr>
        <w:t xml:space="preserve">., 5 maggio </w:t>
      </w:r>
      <w:smartTag w:uri="urn:schemas-microsoft-com:office:smarttags" w:element="metricconverter">
        <w:smartTagPr>
          <w:attr w:name="ProductID" w:val="1998, in"/>
        </w:smartTagPr>
        <w:r w:rsidRPr="007B4FE2">
          <w:rPr>
            <w:szCs w:val="18"/>
          </w:rPr>
          <w:t>1998, in</w:t>
        </w:r>
      </w:smartTag>
      <w:r w:rsidRPr="007B4FE2">
        <w:rPr>
          <w:szCs w:val="18"/>
        </w:rPr>
        <w:t xml:space="preserve"> causa C-180/96, </w:t>
      </w:r>
      <w:r w:rsidRPr="007B4FE2">
        <w:rPr>
          <w:i/>
          <w:szCs w:val="18"/>
        </w:rPr>
        <w:t>Regno Unito c. Commissione</w:t>
      </w:r>
      <w:r w:rsidRPr="007B4FE2">
        <w:rPr>
          <w:szCs w:val="18"/>
        </w:rPr>
        <w:t xml:space="preserve">, in </w:t>
      </w:r>
      <w:proofErr w:type="spellStart"/>
      <w:r w:rsidRPr="007B4FE2">
        <w:rPr>
          <w:i/>
          <w:szCs w:val="18"/>
        </w:rPr>
        <w:t>Racc</w:t>
      </w:r>
      <w:proofErr w:type="spellEnd"/>
      <w:r w:rsidRPr="007B4FE2">
        <w:rPr>
          <w:i/>
          <w:szCs w:val="18"/>
        </w:rPr>
        <w:t>.</w:t>
      </w:r>
      <w:r w:rsidRPr="007B4FE2">
        <w:rPr>
          <w:szCs w:val="18"/>
        </w:rPr>
        <w:t>, 1998, p. I-2265 ss., punto 96</w:t>
      </w:r>
    </w:p>
  </w:footnote>
  <w:footnote w:id="52">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In seguito, con il Trattato di Amsterdam del 1997, ai principi di sussidiarietà e proporzionalità è stato dedicato un apposito protocollo, la cui prima disposizione ricalca, sostanzialmente, quella di cui all’art. 3 B. Con l’aggiunta, però, della precisazione espressa che l’obbligo di rispetto del principio incombe a “ciascuna istituzione”. Il protocollo in questione (ora Protocollo n. 2) è stato ripreso, con alcune modifiche, anche dal Trattato di Lisbona che, entrato in vigore il 1° dicembre 2009, ha anche sostituito il vecchio art. 5 CE con l’art. 5 TUE.</w:t>
      </w:r>
    </w:p>
  </w:footnote>
  <w:footnote w:id="53">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w:t>
      </w:r>
      <w:r w:rsidRPr="007B4FE2">
        <w:rPr>
          <w:bCs/>
          <w:szCs w:val="18"/>
        </w:rPr>
        <w:t xml:space="preserve">V. in particolare le sentenze </w:t>
      </w:r>
      <w:proofErr w:type="spellStart"/>
      <w:r w:rsidRPr="007B4FE2">
        <w:rPr>
          <w:bCs/>
          <w:i/>
          <w:szCs w:val="18"/>
        </w:rPr>
        <w:t>Schecke</w:t>
      </w:r>
      <w:proofErr w:type="spellEnd"/>
      <w:r w:rsidRPr="007B4FE2">
        <w:rPr>
          <w:bCs/>
          <w:szCs w:val="18"/>
        </w:rPr>
        <w:t xml:space="preserve"> e </w:t>
      </w:r>
      <w:r w:rsidRPr="007B4FE2">
        <w:rPr>
          <w:bCs/>
          <w:i/>
          <w:szCs w:val="18"/>
        </w:rPr>
        <w:t xml:space="preserve">Digital </w:t>
      </w:r>
      <w:proofErr w:type="spellStart"/>
      <w:r w:rsidRPr="007B4FE2">
        <w:rPr>
          <w:bCs/>
          <w:i/>
          <w:szCs w:val="18"/>
        </w:rPr>
        <w:t>Rights</w:t>
      </w:r>
      <w:proofErr w:type="spellEnd"/>
      <w:r w:rsidRPr="007B4FE2">
        <w:rPr>
          <w:bCs/>
          <w:i/>
          <w:szCs w:val="18"/>
        </w:rPr>
        <w:t xml:space="preserve"> </w:t>
      </w:r>
      <w:proofErr w:type="spellStart"/>
      <w:r w:rsidRPr="007B4FE2">
        <w:rPr>
          <w:bCs/>
          <w:i/>
          <w:szCs w:val="18"/>
        </w:rPr>
        <w:t>Ireland</w:t>
      </w:r>
      <w:proofErr w:type="spellEnd"/>
      <w:r w:rsidRPr="007B4FE2">
        <w:rPr>
          <w:bCs/>
          <w:szCs w:val="18"/>
        </w:rPr>
        <w:t xml:space="preserve">, in cui la Corte di giustizia ha dichiarato il diritto dell'UE derivato (oggetto del rinvio pregiudiziale di validità) illegittimo perché in contrasto, rispettivamente, con il diritto fondamentale alla privacy sancito dall'articolo 7 della Carta dei diritti fondamentali e con il diritto fondamentale alla protezione dei dati personali di cui all'articolo 8 della Carta: Corte </w:t>
      </w:r>
      <w:proofErr w:type="spellStart"/>
      <w:proofErr w:type="gramStart"/>
      <w:r w:rsidRPr="007B4FE2">
        <w:rPr>
          <w:bCs/>
          <w:szCs w:val="18"/>
        </w:rPr>
        <w:t>giust</w:t>
      </w:r>
      <w:proofErr w:type="spellEnd"/>
      <w:r w:rsidRPr="007B4FE2">
        <w:rPr>
          <w:bCs/>
          <w:szCs w:val="18"/>
        </w:rPr>
        <w:t>.,</w:t>
      </w:r>
      <w:proofErr w:type="gramEnd"/>
      <w:r w:rsidRPr="007B4FE2">
        <w:rPr>
          <w:bCs/>
          <w:szCs w:val="18"/>
        </w:rPr>
        <w:t xml:space="preserve"> </w:t>
      </w:r>
      <w:proofErr w:type="spellStart"/>
      <w:r w:rsidRPr="007B4FE2">
        <w:rPr>
          <w:bCs/>
          <w:szCs w:val="18"/>
        </w:rPr>
        <w:t>sent</w:t>
      </w:r>
      <w:proofErr w:type="spellEnd"/>
      <w:r w:rsidRPr="007B4FE2">
        <w:rPr>
          <w:bCs/>
          <w:szCs w:val="18"/>
        </w:rPr>
        <w:t xml:space="preserve">. 09.11.2010, </w:t>
      </w:r>
      <w:proofErr w:type="spellStart"/>
      <w:r w:rsidRPr="007B4FE2">
        <w:rPr>
          <w:bCs/>
          <w:i/>
          <w:szCs w:val="18"/>
        </w:rPr>
        <w:t>Schecke</w:t>
      </w:r>
      <w:proofErr w:type="spellEnd"/>
      <w:r w:rsidRPr="007B4FE2">
        <w:rPr>
          <w:bCs/>
          <w:szCs w:val="18"/>
        </w:rPr>
        <w:t xml:space="preserve">, in cause </w:t>
      </w:r>
      <w:proofErr w:type="spellStart"/>
      <w:r w:rsidRPr="007B4FE2">
        <w:rPr>
          <w:bCs/>
          <w:szCs w:val="18"/>
        </w:rPr>
        <w:t>riun</w:t>
      </w:r>
      <w:proofErr w:type="spellEnd"/>
      <w:r w:rsidRPr="007B4FE2">
        <w:rPr>
          <w:bCs/>
          <w:szCs w:val="18"/>
        </w:rPr>
        <w:t xml:space="preserve">. C-92/09 e C- 93/09, ECLI: EU: C: 2010: 662 e Corte </w:t>
      </w:r>
      <w:proofErr w:type="spellStart"/>
      <w:proofErr w:type="gramStart"/>
      <w:r w:rsidRPr="007B4FE2">
        <w:rPr>
          <w:bCs/>
          <w:szCs w:val="18"/>
        </w:rPr>
        <w:t>giust</w:t>
      </w:r>
      <w:proofErr w:type="spellEnd"/>
      <w:r w:rsidRPr="007B4FE2">
        <w:rPr>
          <w:bCs/>
          <w:szCs w:val="18"/>
        </w:rPr>
        <w:t>.,</w:t>
      </w:r>
      <w:proofErr w:type="gramEnd"/>
      <w:r w:rsidRPr="007B4FE2">
        <w:rPr>
          <w:bCs/>
          <w:szCs w:val="18"/>
        </w:rPr>
        <w:t xml:space="preserve"> </w:t>
      </w:r>
      <w:proofErr w:type="spellStart"/>
      <w:r w:rsidRPr="007B4FE2">
        <w:rPr>
          <w:bCs/>
          <w:szCs w:val="18"/>
        </w:rPr>
        <w:t>sent</w:t>
      </w:r>
      <w:proofErr w:type="spellEnd"/>
      <w:r w:rsidRPr="007B4FE2">
        <w:rPr>
          <w:bCs/>
          <w:szCs w:val="18"/>
        </w:rPr>
        <w:t xml:space="preserve">. 08.04.2014, </w:t>
      </w:r>
      <w:r w:rsidRPr="007B4FE2">
        <w:rPr>
          <w:bCs/>
          <w:i/>
          <w:szCs w:val="18"/>
        </w:rPr>
        <w:t xml:space="preserve">Digital </w:t>
      </w:r>
      <w:proofErr w:type="spellStart"/>
      <w:r w:rsidRPr="007B4FE2">
        <w:rPr>
          <w:bCs/>
          <w:i/>
          <w:szCs w:val="18"/>
        </w:rPr>
        <w:t>Rights</w:t>
      </w:r>
      <w:proofErr w:type="spellEnd"/>
      <w:r w:rsidRPr="007B4FE2">
        <w:rPr>
          <w:bCs/>
          <w:i/>
          <w:szCs w:val="18"/>
        </w:rPr>
        <w:t xml:space="preserve"> </w:t>
      </w:r>
      <w:proofErr w:type="spellStart"/>
      <w:r w:rsidRPr="007B4FE2">
        <w:rPr>
          <w:bCs/>
          <w:i/>
          <w:szCs w:val="18"/>
        </w:rPr>
        <w:t>Ireland</w:t>
      </w:r>
      <w:proofErr w:type="spellEnd"/>
      <w:r w:rsidRPr="007B4FE2">
        <w:rPr>
          <w:bCs/>
          <w:szCs w:val="18"/>
        </w:rPr>
        <w:t xml:space="preserve">, in cause </w:t>
      </w:r>
      <w:proofErr w:type="spellStart"/>
      <w:r w:rsidRPr="007B4FE2">
        <w:rPr>
          <w:bCs/>
          <w:szCs w:val="18"/>
        </w:rPr>
        <w:t>riun</w:t>
      </w:r>
      <w:proofErr w:type="spellEnd"/>
      <w:r w:rsidRPr="007B4FE2">
        <w:rPr>
          <w:bCs/>
          <w:szCs w:val="18"/>
        </w:rPr>
        <w:t xml:space="preserve">. C-293/12 e C-594/12, ECLI: EU: C: 2014: 238. In quest’ultimo caso la vicenda ha fatto notevole clamore perché si è conclusa con una declaratoria di illegittimità addirittura della Direttiva 2006/24/CE del Parlamento europeo e del Consiglio, del 15 marzo 2006, riguardante la conservazione di dati generati o trattati nell’ambito della fornitura di servizi di comunicazione elettronica accessibili al pubblico o di reti pubbliche di comunicazione e che modifica la direttiva 2002/58/CE, in https://eur-lex.europa.eu. V. anche Corte </w:t>
      </w:r>
      <w:proofErr w:type="spellStart"/>
      <w:proofErr w:type="gramStart"/>
      <w:r w:rsidRPr="007B4FE2">
        <w:rPr>
          <w:bCs/>
          <w:szCs w:val="18"/>
        </w:rPr>
        <w:t>giust</w:t>
      </w:r>
      <w:proofErr w:type="spellEnd"/>
      <w:r w:rsidRPr="007B4FE2">
        <w:rPr>
          <w:bCs/>
          <w:szCs w:val="18"/>
        </w:rPr>
        <w:t>.,</w:t>
      </w:r>
      <w:proofErr w:type="gramEnd"/>
      <w:r w:rsidRPr="007B4FE2">
        <w:rPr>
          <w:bCs/>
          <w:szCs w:val="18"/>
        </w:rPr>
        <w:t xml:space="preserve"> </w:t>
      </w:r>
      <w:proofErr w:type="spellStart"/>
      <w:r w:rsidRPr="007B4FE2">
        <w:rPr>
          <w:bCs/>
          <w:szCs w:val="18"/>
        </w:rPr>
        <w:t>sent</w:t>
      </w:r>
      <w:proofErr w:type="spellEnd"/>
      <w:r w:rsidRPr="007B4FE2">
        <w:rPr>
          <w:bCs/>
          <w:szCs w:val="18"/>
        </w:rPr>
        <w:t xml:space="preserve">. 07.09.2006, in causa C-310/04, Regno di Spagna c. Consiglio, </w:t>
      </w:r>
      <w:proofErr w:type="gramStart"/>
      <w:r w:rsidRPr="007B4FE2">
        <w:rPr>
          <w:bCs/>
          <w:szCs w:val="18"/>
        </w:rPr>
        <w:t>ECLI:EU</w:t>
      </w:r>
      <w:proofErr w:type="gramEnd"/>
      <w:r w:rsidRPr="007B4FE2">
        <w:rPr>
          <w:bCs/>
          <w:szCs w:val="18"/>
        </w:rPr>
        <w:t xml:space="preserve">:C:2006:52, con cui è stato annullato il capitolo 10 bis del titolo IV del regolamento (CE) del Consiglio 29 settembre 2003, n. 1782, in materia di politica agricola comune per violazione del principio di proporzionalità (v. al punto 135). </w:t>
      </w:r>
    </w:p>
  </w:footnote>
  <w:footnote w:id="54">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A questo proposito la Corte UE ha statuito, con costanza e sin dagli esordi della sua giurisprudenza, che, anche ove sussista un’esigenza legittima di limitare libertà o diritti previsti dal Trattato o da norme di diritto derivato al fine di perseguire “scopi d'interesse generale”, queste limitazioni devono comunque superare il test di proporzionalità. La prima applicazione in questo contesto è nella famosa pronuncia sul caso </w:t>
      </w:r>
      <w:proofErr w:type="spellStart"/>
      <w:r w:rsidRPr="007B4FE2">
        <w:rPr>
          <w:i/>
          <w:szCs w:val="18"/>
        </w:rPr>
        <w:t>Cassis</w:t>
      </w:r>
      <w:proofErr w:type="spellEnd"/>
      <w:r w:rsidRPr="007B4FE2">
        <w:rPr>
          <w:i/>
          <w:szCs w:val="18"/>
        </w:rPr>
        <w:t xml:space="preserve"> de </w:t>
      </w:r>
      <w:proofErr w:type="spellStart"/>
      <w:r w:rsidRPr="007B4FE2">
        <w:rPr>
          <w:i/>
          <w:szCs w:val="18"/>
        </w:rPr>
        <w:t>Dijon</w:t>
      </w:r>
      <w:proofErr w:type="spellEnd"/>
      <w:r w:rsidRPr="007B4FE2">
        <w:rPr>
          <w:szCs w:val="18"/>
        </w:rPr>
        <w:t xml:space="preserve">.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sentenza 20.02.1979, in causa 120/78, ECLI:EU:C:1979:42, di cui </w:t>
      </w:r>
      <w:r w:rsidRPr="007B4FE2">
        <w:rPr>
          <w:i/>
          <w:szCs w:val="18"/>
        </w:rPr>
        <w:t xml:space="preserve">infra </w:t>
      </w:r>
      <w:r w:rsidRPr="007B4FE2">
        <w:rPr>
          <w:szCs w:val="18"/>
        </w:rPr>
        <w:t xml:space="preserve">nel prossimo par. 3.3. </w:t>
      </w:r>
      <w:r w:rsidRPr="007B4FE2">
        <w:rPr>
          <w:bCs/>
          <w:szCs w:val="18"/>
        </w:rPr>
        <w:t xml:space="preserve">V. poi anche, fra le tante, Corte </w:t>
      </w:r>
      <w:proofErr w:type="spellStart"/>
      <w:proofErr w:type="gramStart"/>
      <w:r w:rsidRPr="007B4FE2">
        <w:rPr>
          <w:bCs/>
          <w:szCs w:val="18"/>
        </w:rPr>
        <w:t>giust</w:t>
      </w:r>
      <w:proofErr w:type="spellEnd"/>
      <w:r w:rsidRPr="007B4FE2">
        <w:rPr>
          <w:bCs/>
          <w:szCs w:val="18"/>
        </w:rPr>
        <w:t>.,</w:t>
      </w:r>
      <w:proofErr w:type="gramEnd"/>
      <w:r w:rsidRPr="007B4FE2">
        <w:rPr>
          <w:bCs/>
          <w:szCs w:val="18"/>
        </w:rPr>
        <w:t xml:space="preserve"> </w:t>
      </w:r>
      <w:proofErr w:type="spellStart"/>
      <w:r w:rsidRPr="007B4FE2">
        <w:rPr>
          <w:bCs/>
          <w:szCs w:val="18"/>
        </w:rPr>
        <w:t>sent</w:t>
      </w:r>
      <w:proofErr w:type="spellEnd"/>
      <w:r w:rsidRPr="007B4FE2">
        <w:rPr>
          <w:bCs/>
          <w:szCs w:val="18"/>
        </w:rPr>
        <w:t xml:space="preserve">. 4 dicembre </w:t>
      </w:r>
      <w:smartTag w:uri="urn:schemas-microsoft-com:office:smarttags" w:element="metricconverter">
        <w:smartTagPr>
          <w:attr w:name="ProductID" w:val="2008, in"/>
        </w:smartTagPr>
        <w:r w:rsidRPr="007B4FE2">
          <w:rPr>
            <w:bCs/>
            <w:szCs w:val="18"/>
          </w:rPr>
          <w:t>2008, in</w:t>
        </w:r>
      </w:smartTag>
      <w:r w:rsidRPr="007B4FE2">
        <w:rPr>
          <w:bCs/>
          <w:szCs w:val="18"/>
        </w:rPr>
        <w:t xml:space="preserve"> causa C-221/07, </w:t>
      </w:r>
      <w:proofErr w:type="spellStart"/>
      <w:r w:rsidRPr="007B4FE2">
        <w:rPr>
          <w:bCs/>
          <w:i/>
          <w:szCs w:val="18"/>
        </w:rPr>
        <w:t>Zablocka-Weyhermüller</w:t>
      </w:r>
      <w:proofErr w:type="spellEnd"/>
      <w:r w:rsidRPr="007B4FE2">
        <w:rPr>
          <w:bCs/>
          <w:szCs w:val="18"/>
        </w:rPr>
        <w:t>,</w:t>
      </w:r>
      <w:r w:rsidRPr="007B4FE2">
        <w:rPr>
          <w:szCs w:val="18"/>
        </w:rPr>
        <w:t xml:space="preserve"> </w:t>
      </w:r>
      <w:proofErr w:type="gramStart"/>
      <w:r w:rsidRPr="007B4FE2">
        <w:rPr>
          <w:rStyle w:val="outputecliaff"/>
          <w:szCs w:val="18"/>
        </w:rPr>
        <w:t>ECLI:EU</w:t>
      </w:r>
      <w:proofErr w:type="gramEnd"/>
      <w:r w:rsidRPr="007B4FE2">
        <w:rPr>
          <w:rStyle w:val="outputecliaff"/>
          <w:szCs w:val="18"/>
        </w:rPr>
        <w:t>:C:2008:681</w:t>
      </w:r>
      <w:r w:rsidRPr="007B4FE2">
        <w:rPr>
          <w:bCs/>
          <w:szCs w:val="18"/>
        </w:rPr>
        <w:t xml:space="preserve">;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16 dicembre </w:t>
      </w:r>
      <w:smartTag w:uri="urn:schemas-microsoft-com:office:smarttags" w:element="metricconverter">
        <w:smartTagPr>
          <w:attr w:name="ProductID" w:val="2008, in"/>
        </w:smartTagPr>
        <w:r w:rsidRPr="007B4FE2">
          <w:rPr>
            <w:bCs/>
            <w:szCs w:val="18"/>
          </w:rPr>
          <w:t>2008, in</w:t>
        </w:r>
      </w:smartTag>
      <w:r w:rsidRPr="007B4FE2">
        <w:rPr>
          <w:bCs/>
          <w:szCs w:val="18"/>
        </w:rPr>
        <w:t xml:space="preserve"> causa C-205/07, </w:t>
      </w:r>
      <w:proofErr w:type="spellStart"/>
      <w:r w:rsidRPr="007B4FE2">
        <w:rPr>
          <w:bCs/>
          <w:i/>
          <w:szCs w:val="18"/>
        </w:rPr>
        <w:t>Lodewijk</w:t>
      </w:r>
      <w:proofErr w:type="spellEnd"/>
      <w:r w:rsidRPr="007B4FE2">
        <w:rPr>
          <w:bCs/>
          <w:i/>
          <w:szCs w:val="18"/>
        </w:rPr>
        <w:t xml:space="preserve"> </w:t>
      </w:r>
      <w:proofErr w:type="spellStart"/>
      <w:r w:rsidRPr="007B4FE2">
        <w:rPr>
          <w:bCs/>
          <w:i/>
          <w:szCs w:val="18"/>
        </w:rPr>
        <w:t>Gysbrechts</w:t>
      </w:r>
      <w:proofErr w:type="spellEnd"/>
      <w:r w:rsidRPr="007B4FE2">
        <w:rPr>
          <w:bCs/>
          <w:szCs w:val="18"/>
        </w:rPr>
        <w:t>,</w:t>
      </w:r>
      <w:r w:rsidRPr="007B4FE2">
        <w:rPr>
          <w:szCs w:val="18"/>
        </w:rPr>
        <w:t xml:space="preserve"> </w:t>
      </w:r>
      <w:proofErr w:type="gramStart"/>
      <w:r w:rsidRPr="007B4FE2">
        <w:rPr>
          <w:rStyle w:val="outputecliaff"/>
          <w:szCs w:val="18"/>
        </w:rPr>
        <w:t>ECLI:EU</w:t>
      </w:r>
      <w:proofErr w:type="gramEnd"/>
      <w:r w:rsidRPr="007B4FE2">
        <w:rPr>
          <w:rStyle w:val="outputecliaff"/>
          <w:szCs w:val="18"/>
        </w:rPr>
        <w:t>:C:2008:730</w:t>
      </w:r>
      <w:r w:rsidRPr="007B4FE2">
        <w:rPr>
          <w:bCs/>
          <w:szCs w:val="18"/>
        </w:rPr>
        <w:t xml:space="preserve">;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22 dicembre </w:t>
      </w:r>
      <w:smartTag w:uri="urn:schemas-microsoft-com:office:smarttags" w:element="metricconverter">
        <w:smartTagPr>
          <w:attr w:name="ProductID" w:val="2008, in"/>
        </w:smartTagPr>
        <w:r w:rsidRPr="007B4FE2">
          <w:rPr>
            <w:bCs/>
            <w:szCs w:val="18"/>
          </w:rPr>
          <w:t>2008, in</w:t>
        </w:r>
      </w:smartTag>
      <w:r w:rsidRPr="007B4FE2">
        <w:rPr>
          <w:bCs/>
          <w:szCs w:val="18"/>
        </w:rPr>
        <w:t xml:space="preserve"> causa C-336/07, </w:t>
      </w:r>
      <w:proofErr w:type="spellStart"/>
      <w:r w:rsidRPr="007B4FE2">
        <w:rPr>
          <w:bCs/>
          <w:i/>
          <w:szCs w:val="18"/>
        </w:rPr>
        <w:t>Kabel</w:t>
      </w:r>
      <w:proofErr w:type="spellEnd"/>
      <w:r w:rsidRPr="007B4FE2">
        <w:rPr>
          <w:bCs/>
          <w:i/>
          <w:szCs w:val="18"/>
        </w:rPr>
        <w:t xml:space="preserve"> </w:t>
      </w:r>
      <w:proofErr w:type="spellStart"/>
      <w:r w:rsidRPr="007B4FE2">
        <w:rPr>
          <w:bCs/>
          <w:i/>
          <w:szCs w:val="18"/>
        </w:rPr>
        <w:t>Deutschland</w:t>
      </w:r>
      <w:proofErr w:type="spellEnd"/>
      <w:r w:rsidRPr="007B4FE2">
        <w:rPr>
          <w:bCs/>
          <w:szCs w:val="18"/>
        </w:rPr>
        <w:t xml:space="preserve">, </w:t>
      </w:r>
      <w:proofErr w:type="gramStart"/>
      <w:r w:rsidRPr="007B4FE2">
        <w:rPr>
          <w:rStyle w:val="outputecliaff"/>
          <w:szCs w:val="18"/>
        </w:rPr>
        <w:t>ECLI:EU</w:t>
      </w:r>
      <w:proofErr w:type="gramEnd"/>
      <w:r w:rsidRPr="007B4FE2">
        <w:rPr>
          <w:rStyle w:val="outputecliaff"/>
          <w:szCs w:val="18"/>
        </w:rPr>
        <w:t>:C:2008:765</w:t>
      </w:r>
      <w:r w:rsidRPr="007B4FE2">
        <w:rPr>
          <w:bCs/>
          <w:szCs w:val="18"/>
        </w:rPr>
        <w:t xml:space="preserve">;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10 febbraio </w:t>
      </w:r>
      <w:smartTag w:uri="urn:schemas-microsoft-com:office:smarttags" w:element="metricconverter">
        <w:smartTagPr>
          <w:attr w:name="ProductID" w:val="2009, in"/>
        </w:smartTagPr>
        <w:r w:rsidRPr="007B4FE2">
          <w:rPr>
            <w:bCs/>
            <w:szCs w:val="18"/>
          </w:rPr>
          <w:t>2009, in</w:t>
        </w:r>
      </w:smartTag>
      <w:r w:rsidRPr="007B4FE2">
        <w:rPr>
          <w:bCs/>
          <w:szCs w:val="18"/>
        </w:rPr>
        <w:t xml:space="preserve"> causa C-110/05, Commissione c. Repubblica italiana,</w:t>
      </w:r>
      <w:r w:rsidRPr="007B4FE2">
        <w:rPr>
          <w:szCs w:val="18"/>
        </w:rPr>
        <w:t xml:space="preserve"> </w:t>
      </w:r>
      <w:proofErr w:type="gramStart"/>
      <w:r w:rsidRPr="007B4FE2">
        <w:rPr>
          <w:rStyle w:val="outputecliaff"/>
          <w:szCs w:val="18"/>
        </w:rPr>
        <w:t>ECLI:EU</w:t>
      </w:r>
      <w:proofErr w:type="gramEnd"/>
      <w:r w:rsidRPr="007B4FE2">
        <w:rPr>
          <w:rStyle w:val="outputecliaff"/>
          <w:szCs w:val="18"/>
        </w:rPr>
        <w:t>:C:2009:66</w:t>
      </w:r>
      <w:r w:rsidRPr="007B4FE2">
        <w:rPr>
          <w:bCs/>
          <w:szCs w:val="18"/>
        </w:rPr>
        <w:t xml:space="preserve">;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5 marzo </w:t>
      </w:r>
      <w:smartTag w:uri="urn:schemas-microsoft-com:office:smarttags" w:element="metricconverter">
        <w:smartTagPr>
          <w:attr w:name="ProductID" w:val="2009, in"/>
        </w:smartTagPr>
        <w:r w:rsidRPr="007B4FE2">
          <w:rPr>
            <w:bCs/>
            <w:szCs w:val="18"/>
          </w:rPr>
          <w:t>2009, in</w:t>
        </w:r>
      </w:smartTag>
      <w:r w:rsidRPr="007B4FE2">
        <w:rPr>
          <w:bCs/>
          <w:szCs w:val="18"/>
        </w:rPr>
        <w:t xml:space="preserve"> causa C-88/07, Commissione c. Regno di Spagna, </w:t>
      </w:r>
      <w:proofErr w:type="gramStart"/>
      <w:r w:rsidRPr="007B4FE2">
        <w:rPr>
          <w:rStyle w:val="outputecliaff"/>
          <w:szCs w:val="18"/>
        </w:rPr>
        <w:t>ECLI:EU</w:t>
      </w:r>
      <w:proofErr w:type="gramEnd"/>
      <w:r w:rsidRPr="007B4FE2">
        <w:rPr>
          <w:rStyle w:val="outputecliaff"/>
          <w:szCs w:val="18"/>
        </w:rPr>
        <w:t>:C:2009:123</w:t>
      </w:r>
      <w:r w:rsidRPr="007B4FE2">
        <w:rPr>
          <w:bCs/>
          <w:szCs w:val="18"/>
        </w:rPr>
        <w:t xml:space="preserve">;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28 aprile </w:t>
      </w:r>
      <w:smartTag w:uri="urn:schemas-microsoft-com:office:smarttags" w:element="metricconverter">
        <w:smartTagPr>
          <w:attr w:name="ProductID" w:val="2009, in"/>
        </w:smartTagPr>
        <w:r w:rsidRPr="007B4FE2">
          <w:rPr>
            <w:bCs/>
            <w:szCs w:val="18"/>
          </w:rPr>
          <w:t>2009, in</w:t>
        </w:r>
      </w:smartTag>
      <w:r w:rsidRPr="007B4FE2">
        <w:rPr>
          <w:bCs/>
          <w:szCs w:val="18"/>
        </w:rPr>
        <w:t xml:space="preserve"> causa C-518/06, Commissione c. Repubblica italiana,</w:t>
      </w:r>
      <w:r w:rsidRPr="007B4FE2">
        <w:rPr>
          <w:szCs w:val="18"/>
        </w:rPr>
        <w:t xml:space="preserve"> </w:t>
      </w:r>
      <w:proofErr w:type="gramStart"/>
      <w:r w:rsidRPr="007B4FE2">
        <w:rPr>
          <w:rStyle w:val="outputecliaff"/>
          <w:szCs w:val="18"/>
        </w:rPr>
        <w:t>ECLI:EU</w:t>
      </w:r>
      <w:proofErr w:type="gramEnd"/>
      <w:r w:rsidRPr="007B4FE2">
        <w:rPr>
          <w:rStyle w:val="outputecliaff"/>
          <w:szCs w:val="18"/>
        </w:rPr>
        <w:t>:C:2009:270</w:t>
      </w:r>
      <w:r w:rsidRPr="007B4FE2">
        <w:rPr>
          <w:bCs/>
          <w:szCs w:val="18"/>
        </w:rPr>
        <w:t xml:space="preserve">;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17 settembre </w:t>
      </w:r>
      <w:smartTag w:uri="urn:schemas-microsoft-com:office:smarttags" w:element="metricconverter">
        <w:smartTagPr>
          <w:attr w:name="ProductID" w:val="2009, in"/>
        </w:smartTagPr>
        <w:r w:rsidRPr="007B4FE2">
          <w:rPr>
            <w:bCs/>
            <w:szCs w:val="18"/>
          </w:rPr>
          <w:t>2009, in</w:t>
        </w:r>
      </w:smartTag>
      <w:r w:rsidRPr="007B4FE2">
        <w:rPr>
          <w:bCs/>
          <w:szCs w:val="18"/>
        </w:rPr>
        <w:t xml:space="preserve"> causa C-182/08, </w:t>
      </w:r>
      <w:proofErr w:type="spellStart"/>
      <w:r w:rsidRPr="007B4FE2">
        <w:rPr>
          <w:bCs/>
          <w:i/>
          <w:szCs w:val="18"/>
        </w:rPr>
        <w:t>Glaxo</w:t>
      </w:r>
      <w:proofErr w:type="spellEnd"/>
      <w:r w:rsidRPr="007B4FE2">
        <w:rPr>
          <w:bCs/>
          <w:i/>
          <w:szCs w:val="18"/>
        </w:rPr>
        <w:t xml:space="preserve"> Wellcome</w:t>
      </w:r>
      <w:r w:rsidRPr="007B4FE2">
        <w:rPr>
          <w:bCs/>
          <w:szCs w:val="18"/>
        </w:rPr>
        <w:t>,</w:t>
      </w:r>
      <w:r w:rsidRPr="007B4FE2">
        <w:rPr>
          <w:szCs w:val="18"/>
        </w:rPr>
        <w:t xml:space="preserve"> </w:t>
      </w:r>
      <w:proofErr w:type="gramStart"/>
      <w:r w:rsidRPr="007B4FE2">
        <w:rPr>
          <w:rStyle w:val="outputecliaff"/>
          <w:szCs w:val="18"/>
        </w:rPr>
        <w:t>ECLI:EU</w:t>
      </w:r>
      <w:proofErr w:type="gramEnd"/>
      <w:r w:rsidRPr="007B4FE2">
        <w:rPr>
          <w:rStyle w:val="outputecliaff"/>
          <w:szCs w:val="18"/>
        </w:rPr>
        <w:t>:C:2009:559</w:t>
      </w:r>
      <w:r w:rsidRPr="007B4FE2">
        <w:rPr>
          <w:bCs/>
          <w:szCs w:val="18"/>
        </w:rPr>
        <w:t xml:space="preserve">;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1 ottobre </w:t>
      </w:r>
      <w:smartTag w:uri="urn:schemas-microsoft-com:office:smarttags" w:element="metricconverter">
        <w:smartTagPr>
          <w:attr w:name="ProductID" w:val="2009, in"/>
        </w:smartTagPr>
        <w:r w:rsidRPr="007B4FE2">
          <w:rPr>
            <w:bCs/>
            <w:szCs w:val="18"/>
          </w:rPr>
          <w:t>2009, in</w:t>
        </w:r>
      </w:smartTag>
      <w:r w:rsidRPr="007B4FE2">
        <w:rPr>
          <w:bCs/>
          <w:szCs w:val="18"/>
        </w:rPr>
        <w:t xml:space="preserve"> causa C-103/08, </w:t>
      </w:r>
      <w:r w:rsidRPr="007B4FE2">
        <w:rPr>
          <w:bCs/>
          <w:i/>
          <w:szCs w:val="18"/>
        </w:rPr>
        <w:t xml:space="preserve">Arthur </w:t>
      </w:r>
      <w:proofErr w:type="spellStart"/>
      <w:r w:rsidRPr="007B4FE2">
        <w:rPr>
          <w:bCs/>
          <w:i/>
          <w:szCs w:val="18"/>
        </w:rPr>
        <w:t>Gottwald</w:t>
      </w:r>
      <w:proofErr w:type="spellEnd"/>
      <w:r w:rsidRPr="007B4FE2">
        <w:rPr>
          <w:bCs/>
          <w:szCs w:val="18"/>
        </w:rPr>
        <w:t>,</w:t>
      </w:r>
      <w:r w:rsidRPr="007B4FE2">
        <w:rPr>
          <w:szCs w:val="18"/>
        </w:rPr>
        <w:t xml:space="preserve"> </w:t>
      </w:r>
      <w:proofErr w:type="gramStart"/>
      <w:r w:rsidRPr="007B4FE2">
        <w:rPr>
          <w:rStyle w:val="outputecliaff"/>
          <w:szCs w:val="18"/>
        </w:rPr>
        <w:t>ECLI:EU</w:t>
      </w:r>
      <w:proofErr w:type="gramEnd"/>
      <w:r w:rsidRPr="007B4FE2">
        <w:rPr>
          <w:rStyle w:val="outputecliaff"/>
          <w:szCs w:val="18"/>
        </w:rPr>
        <w:t>:C:2009:597</w:t>
      </w:r>
      <w:r w:rsidRPr="007B4FE2">
        <w:rPr>
          <w:bCs/>
          <w:szCs w:val="18"/>
        </w:rPr>
        <w:t xml:space="preserve">;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12 gennaio </w:t>
      </w:r>
      <w:smartTag w:uri="urn:schemas-microsoft-com:office:smarttags" w:element="metricconverter">
        <w:smartTagPr>
          <w:attr w:name="ProductID" w:val="2010, in"/>
        </w:smartTagPr>
        <w:r w:rsidRPr="007B4FE2">
          <w:rPr>
            <w:bCs/>
            <w:szCs w:val="18"/>
          </w:rPr>
          <w:t>2010, in</w:t>
        </w:r>
      </w:smartTag>
      <w:r w:rsidRPr="007B4FE2">
        <w:rPr>
          <w:bCs/>
          <w:szCs w:val="18"/>
        </w:rPr>
        <w:t xml:space="preserve"> causa C-229/08, </w:t>
      </w:r>
      <w:r w:rsidRPr="007B4FE2">
        <w:rPr>
          <w:bCs/>
          <w:i/>
          <w:szCs w:val="18"/>
        </w:rPr>
        <w:t xml:space="preserve">Colin </w:t>
      </w:r>
      <w:proofErr w:type="spellStart"/>
      <w:r w:rsidRPr="007B4FE2">
        <w:rPr>
          <w:bCs/>
          <w:i/>
          <w:szCs w:val="18"/>
        </w:rPr>
        <w:t>Wolf</w:t>
      </w:r>
      <w:proofErr w:type="spellEnd"/>
      <w:r w:rsidRPr="007B4FE2">
        <w:rPr>
          <w:bCs/>
          <w:szCs w:val="18"/>
        </w:rPr>
        <w:t xml:space="preserve">, </w:t>
      </w:r>
      <w:proofErr w:type="gramStart"/>
      <w:r w:rsidRPr="007B4FE2">
        <w:rPr>
          <w:rStyle w:val="outputecliaff"/>
          <w:szCs w:val="18"/>
        </w:rPr>
        <w:t>ECLI:EU</w:t>
      </w:r>
      <w:proofErr w:type="gramEnd"/>
      <w:r w:rsidRPr="007B4FE2">
        <w:rPr>
          <w:rStyle w:val="outputecliaff"/>
          <w:szCs w:val="18"/>
        </w:rPr>
        <w:t>:C:2010:3.</w:t>
      </w:r>
      <w:r w:rsidRPr="007B4FE2">
        <w:rPr>
          <w:bCs/>
          <w:szCs w:val="18"/>
        </w:rPr>
        <w:t xml:space="preserve"> </w:t>
      </w:r>
    </w:p>
  </w:footnote>
  <w:footnote w:id="55">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Un esempio in tal senso è rappresentato da un’interessante pronuncia della Corte </w:t>
      </w:r>
      <w:proofErr w:type="spellStart"/>
      <w:r w:rsidRPr="007B4FE2">
        <w:rPr>
          <w:szCs w:val="18"/>
        </w:rPr>
        <w:t>giust</w:t>
      </w:r>
      <w:proofErr w:type="spellEnd"/>
      <w:r w:rsidRPr="007B4FE2">
        <w:rPr>
          <w:szCs w:val="18"/>
        </w:rPr>
        <w:t xml:space="preserve">. </w:t>
      </w:r>
      <w:proofErr w:type="gramStart"/>
      <w:r w:rsidRPr="007B4FE2">
        <w:rPr>
          <w:szCs w:val="18"/>
        </w:rPr>
        <w:t>a</w:t>
      </w:r>
      <w:proofErr w:type="gramEnd"/>
      <w:r w:rsidRPr="007B4FE2">
        <w:rPr>
          <w:szCs w:val="18"/>
        </w:rPr>
        <w:t xml:space="preserve"> proposito della legittimità delle deroghe introdotte dalla Repubblica di Malta autorizzando la caccia, rispetto agli obblighi imposti agli Stati membri dalla direttiva 79/409/CEE relativa alla protezione di talune specie di uccelli selvatici. </w:t>
      </w:r>
      <w:r w:rsidRPr="007B4FE2">
        <w:rPr>
          <w:bCs/>
          <w:szCs w:val="18"/>
        </w:rPr>
        <w:t xml:space="preserve">Deroghe che, seppur idonee e necessarie, sono state ritenute come non proporzionali in senso stretto: poiché gli obiettivi perseguiti dalla direttiva ne risultavano gravemente minacciati. </w:t>
      </w:r>
      <w:r w:rsidRPr="007B4FE2">
        <w:rPr>
          <w:szCs w:val="18"/>
        </w:rPr>
        <w:t xml:space="preserve">Così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10 settembre </w:t>
      </w:r>
      <w:smartTag w:uri="urn:schemas-microsoft-com:office:smarttags" w:element="metricconverter">
        <w:smartTagPr>
          <w:attr w:name="ProductID" w:val="2009, in"/>
        </w:smartTagPr>
        <w:r w:rsidRPr="007B4FE2">
          <w:rPr>
            <w:szCs w:val="18"/>
          </w:rPr>
          <w:t xml:space="preserve">2009, </w:t>
        </w:r>
        <w:r w:rsidRPr="007B4FE2">
          <w:rPr>
            <w:bCs/>
            <w:szCs w:val="18"/>
          </w:rPr>
          <w:t>in</w:t>
        </w:r>
      </w:smartTag>
      <w:r w:rsidRPr="007B4FE2">
        <w:rPr>
          <w:bCs/>
          <w:szCs w:val="18"/>
        </w:rPr>
        <w:t xml:space="preserve"> causa</w:t>
      </w:r>
      <w:r w:rsidRPr="007B4FE2">
        <w:rPr>
          <w:szCs w:val="18"/>
        </w:rPr>
        <w:t xml:space="preserve"> C-76/08, Commissione c. Repubblica di Malta, </w:t>
      </w:r>
      <w:r w:rsidRPr="007B4FE2">
        <w:rPr>
          <w:rStyle w:val="outputecliaff"/>
          <w:szCs w:val="18"/>
        </w:rPr>
        <w:t>ECLI:EU:C:2009:535</w:t>
      </w:r>
      <w:r w:rsidRPr="007B4FE2">
        <w:rPr>
          <w:bCs/>
          <w:szCs w:val="18"/>
        </w:rPr>
        <w:t>, punto 57 ss.</w:t>
      </w:r>
    </w:p>
  </w:footnote>
  <w:footnote w:id="56">
    <w:p w:rsidR="0097768D" w:rsidRPr="007B4FE2" w:rsidRDefault="0097768D" w:rsidP="007B4FE2">
      <w:pPr>
        <w:pStyle w:val="Testonotaapidipagina"/>
        <w:rPr>
          <w:szCs w:val="18"/>
          <w:lang w:val="de-DE"/>
        </w:rPr>
      </w:pPr>
      <w:r w:rsidRPr="007B4FE2">
        <w:rPr>
          <w:rStyle w:val="Rimandonotaapidipagina"/>
          <w:sz w:val="18"/>
          <w:szCs w:val="18"/>
        </w:rPr>
        <w:footnoteRef/>
      </w:r>
      <w:r w:rsidRPr="007B4FE2">
        <w:rPr>
          <w:szCs w:val="18"/>
        </w:rPr>
        <w:t xml:space="preserve"> In particolare, rilevano in questo contesto gli aiuti (sotto qualsiasi forma) accordati ad imprese nazionali (fra le tante,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w:t>
      </w:r>
      <w:proofErr w:type="spellStart"/>
      <w:r w:rsidRPr="007B4FE2">
        <w:rPr>
          <w:bCs/>
          <w:szCs w:val="18"/>
        </w:rPr>
        <w:t>sent</w:t>
      </w:r>
      <w:proofErr w:type="spellEnd"/>
      <w:r w:rsidRPr="007B4FE2">
        <w:rPr>
          <w:bCs/>
          <w:szCs w:val="18"/>
        </w:rPr>
        <w:t xml:space="preserve">. </w:t>
      </w:r>
      <w:r w:rsidRPr="007B4FE2">
        <w:rPr>
          <w:szCs w:val="18"/>
        </w:rPr>
        <w:t xml:space="preserve">17 settembre </w:t>
      </w:r>
      <w:smartTag w:uri="urn:schemas-microsoft-com:office:smarttags" w:element="metricconverter">
        <w:smartTagPr>
          <w:attr w:name="ProductID" w:val="1980, in"/>
        </w:smartTagPr>
        <w:r w:rsidRPr="007B4FE2">
          <w:rPr>
            <w:szCs w:val="18"/>
          </w:rPr>
          <w:t>1980, in</w:t>
        </w:r>
      </w:smartTag>
      <w:r w:rsidRPr="007B4FE2">
        <w:rPr>
          <w:szCs w:val="18"/>
        </w:rPr>
        <w:t xml:space="preserve"> causa 730/79, </w:t>
      </w:r>
      <w:r w:rsidRPr="007B4FE2">
        <w:rPr>
          <w:i/>
          <w:szCs w:val="18"/>
        </w:rPr>
        <w:t xml:space="preserve">Philip </w:t>
      </w:r>
      <w:proofErr w:type="spellStart"/>
      <w:r w:rsidRPr="007B4FE2">
        <w:rPr>
          <w:i/>
          <w:szCs w:val="18"/>
        </w:rPr>
        <w:t>Morris</w:t>
      </w:r>
      <w:proofErr w:type="spellEnd"/>
      <w:r w:rsidRPr="007B4FE2">
        <w:rPr>
          <w:szCs w:val="18"/>
        </w:rPr>
        <w:t xml:space="preserve">, </w:t>
      </w:r>
      <w:proofErr w:type="gramStart"/>
      <w:r w:rsidRPr="007B4FE2">
        <w:rPr>
          <w:rStyle w:val="outputecliaff"/>
          <w:szCs w:val="18"/>
        </w:rPr>
        <w:t>ECLI:EU</w:t>
      </w:r>
      <w:proofErr w:type="gramEnd"/>
      <w:r w:rsidRPr="007B4FE2">
        <w:rPr>
          <w:rStyle w:val="outputecliaff"/>
          <w:szCs w:val="18"/>
        </w:rPr>
        <w:t xml:space="preserve">:C:1980:209, </w:t>
      </w:r>
      <w:r w:rsidRPr="007B4FE2">
        <w:rPr>
          <w:szCs w:val="18"/>
        </w:rPr>
        <w:t xml:space="preserve">punto 17); le misure atte a favorire cartelli e associazioni fra imprese nazionali, nonché abusi di posizione dominante (fra le tante, </w:t>
      </w:r>
      <w:proofErr w:type="spellStart"/>
      <w:r w:rsidRPr="007B4FE2">
        <w:rPr>
          <w:bCs/>
          <w:szCs w:val="18"/>
        </w:rPr>
        <w:t>sent</w:t>
      </w:r>
      <w:proofErr w:type="spellEnd"/>
      <w:r w:rsidRPr="007B4FE2">
        <w:rPr>
          <w:bCs/>
          <w:szCs w:val="18"/>
        </w:rPr>
        <w:t xml:space="preserve">. </w:t>
      </w:r>
      <w:r w:rsidRPr="007B4FE2">
        <w:rPr>
          <w:szCs w:val="18"/>
        </w:rPr>
        <w:t xml:space="preserve">Corte </w:t>
      </w:r>
      <w:proofErr w:type="spellStart"/>
      <w:r w:rsidRPr="007B4FE2">
        <w:rPr>
          <w:szCs w:val="18"/>
        </w:rPr>
        <w:t>giust</w:t>
      </w:r>
      <w:proofErr w:type="spellEnd"/>
      <w:r w:rsidRPr="007B4FE2">
        <w:rPr>
          <w:szCs w:val="18"/>
        </w:rPr>
        <w:t xml:space="preserve">. </w:t>
      </w:r>
      <w:r w:rsidRPr="007B4FE2">
        <w:rPr>
          <w:bCs/>
          <w:szCs w:val="18"/>
        </w:rPr>
        <w:t xml:space="preserve">8 giugno </w:t>
      </w:r>
      <w:smartTag w:uri="urn:schemas-microsoft-com:office:smarttags" w:element="metricconverter">
        <w:smartTagPr>
          <w:attr w:name="ProductID" w:val="1982, in"/>
        </w:smartTagPr>
        <w:r w:rsidRPr="007B4FE2">
          <w:rPr>
            <w:bCs/>
            <w:szCs w:val="18"/>
          </w:rPr>
          <w:t xml:space="preserve">1982, </w:t>
        </w:r>
        <w:r w:rsidRPr="007B4FE2">
          <w:rPr>
            <w:szCs w:val="18"/>
          </w:rPr>
          <w:t>in</w:t>
        </w:r>
      </w:smartTag>
      <w:r w:rsidRPr="007B4FE2">
        <w:rPr>
          <w:szCs w:val="18"/>
        </w:rPr>
        <w:t xml:space="preserve"> causa</w:t>
      </w:r>
      <w:r w:rsidRPr="007B4FE2">
        <w:rPr>
          <w:bCs/>
          <w:szCs w:val="18"/>
        </w:rPr>
        <w:t xml:space="preserve"> 258/78, </w:t>
      </w:r>
      <w:proofErr w:type="spellStart"/>
      <w:r w:rsidRPr="007B4FE2">
        <w:rPr>
          <w:bCs/>
          <w:i/>
          <w:szCs w:val="18"/>
        </w:rPr>
        <w:t>Nungesser</w:t>
      </w:r>
      <w:proofErr w:type="spellEnd"/>
      <w:r w:rsidRPr="007B4FE2">
        <w:rPr>
          <w:bCs/>
          <w:szCs w:val="18"/>
        </w:rPr>
        <w:t xml:space="preserve">, </w:t>
      </w:r>
      <w:proofErr w:type="gramStart"/>
      <w:r w:rsidRPr="007B4FE2">
        <w:rPr>
          <w:rStyle w:val="outputecliaff"/>
          <w:szCs w:val="18"/>
        </w:rPr>
        <w:t>ECLI:EU</w:t>
      </w:r>
      <w:proofErr w:type="gramEnd"/>
      <w:r w:rsidRPr="007B4FE2">
        <w:rPr>
          <w:rStyle w:val="outputecliaff"/>
          <w:szCs w:val="18"/>
        </w:rPr>
        <w:t xml:space="preserve">:C:1982:211, </w:t>
      </w:r>
      <w:r w:rsidRPr="007B4FE2">
        <w:rPr>
          <w:bCs/>
          <w:szCs w:val="18"/>
        </w:rPr>
        <w:t xml:space="preserve">punto 77;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25 marzo </w:t>
      </w:r>
      <w:smartTag w:uri="urn:schemas-microsoft-com:office:smarttags" w:element="metricconverter">
        <w:smartTagPr>
          <w:attr w:name="ProductID" w:val="1981, in"/>
        </w:smartTagPr>
        <w:r w:rsidRPr="007B4FE2">
          <w:rPr>
            <w:bCs/>
            <w:szCs w:val="18"/>
          </w:rPr>
          <w:t xml:space="preserve">1981, </w:t>
        </w:r>
        <w:r w:rsidRPr="007B4FE2">
          <w:rPr>
            <w:szCs w:val="18"/>
          </w:rPr>
          <w:t>in</w:t>
        </w:r>
      </w:smartTag>
      <w:r w:rsidRPr="007B4FE2">
        <w:rPr>
          <w:szCs w:val="18"/>
        </w:rPr>
        <w:t xml:space="preserve"> causa</w:t>
      </w:r>
      <w:r w:rsidRPr="007B4FE2">
        <w:rPr>
          <w:bCs/>
          <w:szCs w:val="18"/>
        </w:rPr>
        <w:t xml:space="preserve"> 61/80, </w:t>
      </w:r>
      <w:proofErr w:type="spellStart"/>
      <w:r w:rsidRPr="007B4FE2">
        <w:rPr>
          <w:bCs/>
          <w:i/>
          <w:szCs w:val="18"/>
        </w:rPr>
        <w:t>Coöperatieve</w:t>
      </w:r>
      <w:proofErr w:type="spellEnd"/>
      <w:r w:rsidRPr="007B4FE2">
        <w:rPr>
          <w:bCs/>
          <w:i/>
          <w:szCs w:val="18"/>
        </w:rPr>
        <w:t xml:space="preserve"> </w:t>
      </w:r>
      <w:proofErr w:type="spellStart"/>
      <w:r w:rsidRPr="007B4FE2">
        <w:rPr>
          <w:bCs/>
          <w:i/>
          <w:szCs w:val="18"/>
        </w:rPr>
        <w:t>Stremsel</w:t>
      </w:r>
      <w:proofErr w:type="spellEnd"/>
      <w:r w:rsidRPr="007B4FE2">
        <w:rPr>
          <w:bCs/>
          <w:szCs w:val="18"/>
        </w:rPr>
        <w:t xml:space="preserve">, </w:t>
      </w:r>
      <w:proofErr w:type="gramStart"/>
      <w:r w:rsidRPr="007B4FE2">
        <w:rPr>
          <w:rStyle w:val="outputecliaff"/>
          <w:szCs w:val="18"/>
        </w:rPr>
        <w:t>ECLI:EU</w:t>
      </w:r>
      <w:proofErr w:type="gramEnd"/>
      <w:r w:rsidRPr="007B4FE2">
        <w:rPr>
          <w:rStyle w:val="outputecliaff"/>
          <w:szCs w:val="18"/>
        </w:rPr>
        <w:t xml:space="preserve">:C:1981:75, </w:t>
      </w:r>
      <w:r w:rsidRPr="007B4FE2">
        <w:rPr>
          <w:bCs/>
          <w:szCs w:val="18"/>
        </w:rPr>
        <w:t xml:space="preserve">p. 851 ss., punto 18); nonché tutte le misure che introducono di fatto limitazioni rispetto alla possibilità di partecipare a gare d’appalto in uno Stato membro (fra le tante,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16 dicembre </w:t>
      </w:r>
      <w:smartTag w:uri="urn:schemas-microsoft-com:office:smarttags" w:element="metricconverter">
        <w:smartTagPr>
          <w:attr w:name="ProductID" w:val="2008, in"/>
        </w:smartTagPr>
        <w:r w:rsidRPr="007B4FE2">
          <w:rPr>
            <w:bCs/>
            <w:szCs w:val="18"/>
          </w:rPr>
          <w:t>2008, in</w:t>
        </w:r>
      </w:smartTag>
      <w:r w:rsidRPr="007B4FE2">
        <w:rPr>
          <w:bCs/>
          <w:szCs w:val="18"/>
        </w:rPr>
        <w:t xml:space="preserve"> causa C-213/07, </w:t>
      </w:r>
      <w:proofErr w:type="spellStart"/>
      <w:r w:rsidRPr="007B4FE2">
        <w:rPr>
          <w:bCs/>
          <w:i/>
          <w:szCs w:val="18"/>
        </w:rPr>
        <w:t>Michaniki</w:t>
      </w:r>
      <w:proofErr w:type="spellEnd"/>
      <w:r w:rsidRPr="007B4FE2">
        <w:rPr>
          <w:bCs/>
          <w:szCs w:val="18"/>
        </w:rPr>
        <w:t>,</w:t>
      </w:r>
      <w:r w:rsidRPr="007B4FE2">
        <w:rPr>
          <w:szCs w:val="18"/>
        </w:rPr>
        <w:t xml:space="preserve"> </w:t>
      </w:r>
      <w:proofErr w:type="gramStart"/>
      <w:r w:rsidRPr="007B4FE2">
        <w:rPr>
          <w:rStyle w:val="outputecliaff"/>
          <w:szCs w:val="18"/>
        </w:rPr>
        <w:t>ECLI:EU</w:t>
      </w:r>
      <w:proofErr w:type="gramEnd"/>
      <w:r w:rsidRPr="007B4FE2">
        <w:rPr>
          <w:rStyle w:val="outputecliaff"/>
          <w:szCs w:val="18"/>
        </w:rPr>
        <w:t>:C:2008:731</w:t>
      </w:r>
      <w:r w:rsidRPr="007B4FE2">
        <w:rPr>
          <w:bCs/>
          <w:szCs w:val="18"/>
        </w:rPr>
        <w:t xml:space="preserve">;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w:t>
      </w:r>
      <w:r w:rsidRPr="007B4FE2">
        <w:rPr>
          <w:bCs/>
          <w:szCs w:val="18"/>
          <w:lang w:val="de-DE"/>
        </w:rPr>
        <w:t xml:space="preserve">23 </w:t>
      </w:r>
      <w:proofErr w:type="spellStart"/>
      <w:r w:rsidRPr="007B4FE2">
        <w:rPr>
          <w:bCs/>
          <w:szCs w:val="18"/>
          <w:lang w:val="de-DE"/>
        </w:rPr>
        <w:t>dicembre</w:t>
      </w:r>
      <w:proofErr w:type="spellEnd"/>
      <w:r w:rsidRPr="007B4FE2">
        <w:rPr>
          <w:bCs/>
          <w:szCs w:val="18"/>
          <w:lang w:val="de-DE"/>
        </w:rPr>
        <w:t xml:space="preserve"> </w:t>
      </w:r>
      <w:smartTag w:uri="urn:schemas-microsoft-com:office:smarttags" w:element="metricconverter">
        <w:smartTagPr>
          <w:attr w:name="ProductID" w:val="2009, in"/>
        </w:smartTagPr>
        <w:r w:rsidRPr="007B4FE2">
          <w:rPr>
            <w:bCs/>
            <w:szCs w:val="18"/>
            <w:lang w:val="de-DE"/>
          </w:rPr>
          <w:t>2009, in</w:t>
        </w:r>
      </w:smartTag>
      <w:r w:rsidRPr="007B4FE2">
        <w:rPr>
          <w:bCs/>
          <w:szCs w:val="18"/>
          <w:lang w:val="de-DE"/>
        </w:rPr>
        <w:t xml:space="preserve"> causa C-376/08, </w:t>
      </w:r>
      <w:proofErr w:type="spellStart"/>
      <w:r w:rsidRPr="007B4FE2">
        <w:rPr>
          <w:bCs/>
          <w:i/>
          <w:szCs w:val="18"/>
          <w:lang w:val="de-DE"/>
        </w:rPr>
        <w:t>Serrantoni</w:t>
      </w:r>
      <w:proofErr w:type="spellEnd"/>
      <w:r w:rsidRPr="007B4FE2">
        <w:rPr>
          <w:bCs/>
          <w:szCs w:val="18"/>
          <w:lang w:val="de-DE"/>
        </w:rPr>
        <w:t xml:space="preserve">, </w:t>
      </w:r>
      <w:r w:rsidRPr="007B4FE2">
        <w:rPr>
          <w:rStyle w:val="outputecliaff"/>
          <w:szCs w:val="18"/>
          <w:lang w:val="de-DE"/>
        </w:rPr>
        <w:t xml:space="preserve">ECLI:EU:C:2009:808). In </w:t>
      </w:r>
      <w:proofErr w:type="spellStart"/>
      <w:r w:rsidRPr="007B4FE2">
        <w:rPr>
          <w:rStyle w:val="outputecliaff"/>
          <w:szCs w:val="18"/>
          <w:lang w:val="de-DE"/>
        </w:rPr>
        <w:t>dottrina</w:t>
      </w:r>
      <w:proofErr w:type="spellEnd"/>
      <w:r w:rsidRPr="007B4FE2">
        <w:rPr>
          <w:rStyle w:val="outputecliaff"/>
          <w:szCs w:val="18"/>
          <w:lang w:val="de-DE"/>
        </w:rPr>
        <w:t xml:space="preserve"> </w:t>
      </w:r>
      <w:proofErr w:type="spellStart"/>
      <w:r w:rsidRPr="007B4FE2">
        <w:rPr>
          <w:rStyle w:val="outputecliaff"/>
          <w:szCs w:val="18"/>
          <w:lang w:val="de-DE"/>
        </w:rPr>
        <w:t>c</w:t>
      </w:r>
      <w:r w:rsidRPr="007B4FE2">
        <w:rPr>
          <w:szCs w:val="18"/>
          <w:lang w:val="de-DE"/>
        </w:rPr>
        <w:t>fr</w:t>
      </w:r>
      <w:proofErr w:type="spellEnd"/>
      <w:r w:rsidRPr="007B4FE2">
        <w:rPr>
          <w:szCs w:val="18"/>
          <w:lang w:val="de-DE"/>
        </w:rPr>
        <w:t xml:space="preserve">. in </w:t>
      </w:r>
      <w:proofErr w:type="spellStart"/>
      <w:r w:rsidRPr="007B4FE2">
        <w:rPr>
          <w:szCs w:val="18"/>
          <w:lang w:val="de-DE"/>
        </w:rPr>
        <w:t>particolare</w:t>
      </w:r>
      <w:proofErr w:type="spellEnd"/>
      <w:r w:rsidRPr="007B4FE2">
        <w:rPr>
          <w:szCs w:val="18"/>
          <w:lang w:val="de-DE"/>
        </w:rPr>
        <w:t xml:space="preserve"> </w:t>
      </w:r>
      <w:proofErr w:type="spellStart"/>
      <w:r w:rsidRPr="007B4FE2">
        <w:rPr>
          <w:szCs w:val="18"/>
          <w:lang w:val="de-DE"/>
        </w:rPr>
        <w:t>Th</w:t>
      </w:r>
      <w:proofErr w:type="spellEnd"/>
      <w:r w:rsidRPr="007B4FE2">
        <w:rPr>
          <w:szCs w:val="18"/>
          <w:lang w:val="de-DE"/>
        </w:rPr>
        <w:t xml:space="preserve">. </w:t>
      </w:r>
      <w:r w:rsidRPr="007B4FE2">
        <w:rPr>
          <w:color w:val="000000"/>
          <w:szCs w:val="18"/>
          <w:lang w:val="de-DE"/>
        </w:rPr>
        <w:t xml:space="preserve">von Danwitz, </w:t>
      </w:r>
      <w:r w:rsidRPr="007B4FE2">
        <w:rPr>
          <w:i/>
          <w:color w:val="000000"/>
          <w:szCs w:val="18"/>
          <w:lang w:val="de-DE"/>
        </w:rPr>
        <w:t>Europäisches Verwaltungsrecht</w:t>
      </w:r>
      <w:r w:rsidRPr="007B4FE2">
        <w:rPr>
          <w:color w:val="000000"/>
          <w:szCs w:val="18"/>
          <w:lang w:val="de-DE"/>
        </w:rPr>
        <w:t xml:space="preserve">, Berlin-Heidelberg, 2008, p. 571 </w:t>
      </w:r>
      <w:proofErr w:type="spellStart"/>
      <w:r w:rsidRPr="007B4FE2">
        <w:rPr>
          <w:color w:val="000000"/>
          <w:szCs w:val="18"/>
          <w:lang w:val="de-DE"/>
        </w:rPr>
        <w:t>ss</w:t>
      </w:r>
      <w:proofErr w:type="spellEnd"/>
      <w:r w:rsidRPr="007B4FE2">
        <w:rPr>
          <w:color w:val="000000"/>
          <w:szCs w:val="18"/>
          <w:lang w:val="de-DE"/>
        </w:rPr>
        <w:t xml:space="preserve">.; </w:t>
      </w:r>
      <w:r w:rsidRPr="007B4FE2">
        <w:rPr>
          <w:bCs/>
          <w:color w:val="000000"/>
          <w:szCs w:val="18"/>
          <w:lang w:val="de-DE"/>
        </w:rPr>
        <w:t xml:space="preserve">O. </w:t>
      </w:r>
      <w:r w:rsidRPr="007B4FE2">
        <w:rPr>
          <w:color w:val="000000"/>
          <w:szCs w:val="18"/>
          <w:lang w:val="de-DE"/>
        </w:rPr>
        <w:t xml:space="preserve">Koch, </w:t>
      </w:r>
      <w:r w:rsidRPr="007B4FE2">
        <w:rPr>
          <w:i/>
          <w:color w:val="000000"/>
          <w:szCs w:val="18"/>
          <w:lang w:val="de-DE"/>
        </w:rPr>
        <w:t>Der Grundsatz der Verhältnismäßigkeit in der Rechtsprechung des Gerichtshofs der Europäischen Gemeinschaften</w:t>
      </w:r>
      <w:r w:rsidRPr="007B4FE2">
        <w:rPr>
          <w:color w:val="000000"/>
          <w:szCs w:val="18"/>
          <w:lang w:val="de-DE"/>
        </w:rPr>
        <w:t xml:space="preserve">, Berlin, 2003, p. </w:t>
      </w:r>
      <w:r w:rsidRPr="007B4FE2">
        <w:rPr>
          <w:bCs/>
          <w:color w:val="000000"/>
          <w:szCs w:val="18"/>
          <w:lang w:val="de-DE"/>
        </w:rPr>
        <w:t>546.</w:t>
      </w:r>
    </w:p>
  </w:footnote>
  <w:footnote w:id="57">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w:t>
      </w:r>
      <w:r w:rsidRPr="007B4FE2">
        <w:rPr>
          <w:bCs/>
          <w:szCs w:val="18"/>
        </w:rPr>
        <w:t xml:space="preserve">Così </w:t>
      </w:r>
    </w:p>
  </w:footnote>
  <w:footnote w:id="58">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V. fra le tante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w:t>
      </w:r>
      <w:bookmarkStart w:id="1" w:name="content"/>
      <w:proofErr w:type="spellStart"/>
      <w:r w:rsidRPr="007B4FE2">
        <w:rPr>
          <w:szCs w:val="18"/>
        </w:rPr>
        <w:t>sent</w:t>
      </w:r>
      <w:proofErr w:type="spellEnd"/>
      <w:r w:rsidRPr="007B4FE2">
        <w:rPr>
          <w:szCs w:val="18"/>
        </w:rPr>
        <w:t xml:space="preserve">. </w:t>
      </w:r>
      <w:r w:rsidRPr="007B4FE2">
        <w:rPr>
          <w:bCs/>
          <w:szCs w:val="18"/>
        </w:rPr>
        <w:t xml:space="preserve">23 dicembre </w:t>
      </w:r>
      <w:smartTag w:uri="urn:schemas-microsoft-com:office:smarttags" w:element="metricconverter">
        <w:smartTagPr>
          <w:attr w:name="ProductID" w:val="2009, in"/>
        </w:smartTagPr>
        <w:r w:rsidRPr="007B4FE2">
          <w:rPr>
            <w:bCs/>
            <w:szCs w:val="18"/>
          </w:rPr>
          <w:t>2009</w:t>
        </w:r>
        <w:bookmarkEnd w:id="1"/>
        <w:r w:rsidRPr="007B4FE2">
          <w:rPr>
            <w:bCs/>
            <w:szCs w:val="18"/>
          </w:rPr>
          <w:t>, in</w:t>
        </w:r>
      </w:smartTag>
      <w:r w:rsidRPr="007B4FE2">
        <w:rPr>
          <w:bCs/>
          <w:szCs w:val="18"/>
        </w:rPr>
        <w:t xml:space="preserve"> causa C-45/08</w:t>
      </w:r>
      <w:r w:rsidRPr="007B4FE2">
        <w:rPr>
          <w:szCs w:val="18"/>
        </w:rPr>
        <w:t xml:space="preserve">, </w:t>
      </w:r>
      <w:proofErr w:type="spellStart"/>
      <w:r w:rsidRPr="007B4FE2">
        <w:rPr>
          <w:bCs/>
          <w:i/>
          <w:szCs w:val="18"/>
        </w:rPr>
        <w:t>Spector</w:t>
      </w:r>
      <w:proofErr w:type="spellEnd"/>
      <w:r w:rsidRPr="007B4FE2">
        <w:rPr>
          <w:bCs/>
          <w:i/>
          <w:szCs w:val="18"/>
        </w:rPr>
        <w:t xml:space="preserve"> Photo Group</w:t>
      </w:r>
      <w:r w:rsidRPr="007B4FE2">
        <w:rPr>
          <w:bCs/>
          <w:szCs w:val="18"/>
        </w:rPr>
        <w:t>,</w:t>
      </w:r>
      <w:r w:rsidRPr="007B4FE2">
        <w:rPr>
          <w:szCs w:val="18"/>
        </w:rPr>
        <w:t xml:space="preserve"> </w:t>
      </w:r>
      <w:proofErr w:type="gramStart"/>
      <w:r w:rsidRPr="007B4FE2">
        <w:rPr>
          <w:rStyle w:val="outputecliaff"/>
          <w:szCs w:val="18"/>
        </w:rPr>
        <w:t>ECLI:EU</w:t>
      </w:r>
      <w:proofErr w:type="gramEnd"/>
      <w:r w:rsidRPr="007B4FE2">
        <w:rPr>
          <w:rStyle w:val="outputecliaff"/>
          <w:szCs w:val="18"/>
        </w:rPr>
        <w:t>:C:2009:806</w:t>
      </w:r>
      <w:r w:rsidRPr="007B4FE2">
        <w:rPr>
          <w:bCs/>
          <w:szCs w:val="18"/>
        </w:rPr>
        <w:t xml:space="preserve">; Corte </w:t>
      </w:r>
      <w:proofErr w:type="spellStart"/>
      <w:r w:rsidRPr="007B4FE2">
        <w:rPr>
          <w:bCs/>
          <w:szCs w:val="18"/>
        </w:rPr>
        <w:t>giust</w:t>
      </w:r>
      <w:proofErr w:type="spellEnd"/>
      <w:r w:rsidRPr="007B4FE2">
        <w:rPr>
          <w:bCs/>
          <w:szCs w:val="18"/>
        </w:rPr>
        <w:t xml:space="preserve">., </w:t>
      </w:r>
      <w:proofErr w:type="spellStart"/>
      <w:r w:rsidRPr="007B4FE2">
        <w:rPr>
          <w:bCs/>
          <w:szCs w:val="18"/>
        </w:rPr>
        <w:t>sent</w:t>
      </w:r>
      <w:proofErr w:type="spellEnd"/>
      <w:r w:rsidRPr="007B4FE2">
        <w:rPr>
          <w:bCs/>
          <w:szCs w:val="18"/>
        </w:rPr>
        <w:t xml:space="preserve">. 11 giugno </w:t>
      </w:r>
      <w:smartTag w:uri="urn:schemas-microsoft-com:office:smarttags" w:element="metricconverter">
        <w:smartTagPr>
          <w:attr w:name="ProductID" w:val="2009, in"/>
        </w:smartTagPr>
        <w:r w:rsidRPr="007B4FE2">
          <w:rPr>
            <w:bCs/>
            <w:szCs w:val="18"/>
          </w:rPr>
          <w:t>2009, in</w:t>
        </w:r>
      </w:smartTag>
      <w:r w:rsidRPr="007B4FE2">
        <w:rPr>
          <w:bCs/>
          <w:szCs w:val="18"/>
        </w:rPr>
        <w:t xml:space="preserve"> causa C-170/08, </w:t>
      </w:r>
      <w:proofErr w:type="spellStart"/>
      <w:r w:rsidRPr="007B4FE2">
        <w:rPr>
          <w:bCs/>
          <w:i/>
          <w:szCs w:val="18"/>
        </w:rPr>
        <w:t>Nijemeisland</w:t>
      </w:r>
      <w:proofErr w:type="spellEnd"/>
      <w:r w:rsidRPr="007B4FE2">
        <w:rPr>
          <w:bCs/>
          <w:szCs w:val="18"/>
        </w:rPr>
        <w:t xml:space="preserve">, </w:t>
      </w:r>
      <w:proofErr w:type="gramStart"/>
      <w:r w:rsidRPr="007B4FE2">
        <w:rPr>
          <w:rStyle w:val="outputecliaff"/>
          <w:szCs w:val="18"/>
        </w:rPr>
        <w:t>ECLI:EU</w:t>
      </w:r>
      <w:proofErr w:type="gramEnd"/>
      <w:r w:rsidRPr="007B4FE2">
        <w:rPr>
          <w:rStyle w:val="outputecliaff"/>
          <w:szCs w:val="18"/>
        </w:rPr>
        <w:t>:C:2009:369.</w:t>
      </w:r>
    </w:p>
  </w:footnote>
  <w:footnote w:id="59">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Per approfondimenti v. op. e </w:t>
      </w:r>
      <w:proofErr w:type="spellStart"/>
      <w:r w:rsidRPr="007B4FE2">
        <w:rPr>
          <w:szCs w:val="18"/>
        </w:rPr>
        <w:t>loc</w:t>
      </w:r>
      <w:proofErr w:type="spellEnd"/>
      <w:r w:rsidRPr="007B4FE2">
        <w:rPr>
          <w:szCs w:val="18"/>
        </w:rPr>
        <w:t>. cit. alla nota precedente.</w:t>
      </w:r>
    </w:p>
  </w:footnote>
  <w:footnote w:id="60">
    <w:p w:rsidR="0097768D" w:rsidRPr="007B4FE2" w:rsidRDefault="0097768D" w:rsidP="007B4FE2">
      <w:pPr>
        <w:pStyle w:val="Testonotaapidipagina"/>
        <w:rPr>
          <w:szCs w:val="18"/>
          <w:lang w:val="es-ES"/>
        </w:rPr>
      </w:pPr>
      <w:r w:rsidRPr="007B4FE2">
        <w:rPr>
          <w:rStyle w:val="Rimandonotaapidipagina"/>
          <w:sz w:val="18"/>
          <w:szCs w:val="18"/>
        </w:rPr>
        <w:footnoteRef/>
      </w:r>
      <w:r w:rsidRPr="007B4FE2">
        <w:rPr>
          <w:szCs w:val="18"/>
          <w:lang w:val="es-ES"/>
        </w:rPr>
        <w:t xml:space="preserve"> V. al precedente par. 2.</w:t>
      </w:r>
    </w:p>
  </w:footnote>
  <w:footnote w:id="61">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lang w:val="es-ES"/>
        </w:rPr>
        <w:t xml:space="preserve"> L’Art. 51 c 1. </w:t>
      </w:r>
      <w:r w:rsidRPr="007B4FE2">
        <w:rPr>
          <w:szCs w:val="18"/>
        </w:rPr>
        <w:t>Della Carta dei Diritti UE dispone che “</w:t>
      </w:r>
      <w:r w:rsidRPr="007B4FE2">
        <w:rPr>
          <w:i/>
          <w:szCs w:val="18"/>
        </w:rPr>
        <w:t>Le disposizioni della presente Carta si applicano alle istituzioni, organi e organismi dell'Unione nel rispetto del principio di sussidiarietà, come pure agli Stati membri esclusivamente nell'attuazione del diritto dell'Unione. Pertanto, i suddetti soggetti rispettano i diritti, osservano i principi e ne promuovono l'applicazione secondo le rispettive competenze e nel rispetto dei limiti delle competenze conferite all'Unione nei trattati</w:t>
      </w:r>
      <w:r w:rsidRPr="007B4FE2">
        <w:rPr>
          <w:szCs w:val="18"/>
        </w:rPr>
        <w:t>”.</w:t>
      </w:r>
      <w:r w:rsidR="004815DF" w:rsidRPr="007B4FE2">
        <w:rPr>
          <w:szCs w:val="18"/>
        </w:rPr>
        <w:t xml:space="preserve"> In argomento si rinvia per tutti a J. Ziller, </w:t>
      </w:r>
      <w:r w:rsidR="004815DF" w:rsidRPr="007B4FE2">
        <w:rPr>
          <w:i/>
          <w:szCs w:val="18"/>
        </w:rPr>
        <w:t>Art. 51</w:t>
      </w:r>
      <w:r w:rsidR="004815DF" w:rsidRPr="007B4FE2">
        <w:rPr>
          <w:szCs w:val="18"/>
        </w:rPr>
        <w:t xml:space="preserve">, in R. Mastroianni, O. Pollicino, S. Allegrezza, F. Pappalardo, O. </w:t>
      </w:r>
      <w:proofErr w:type="spellStart"/>
      <w:r w:rsidR="004815DF" w:rsidRPr="007B4FE2">
        <w:rPr>
          <w:szCs w:val="18"/>
        </w:rPr>
        <w:t>Razzolini</w:t>
      </w:r>
      <w:proofErr w:type="spellEnd"/>
      <w:r w:rsidR="004815DF" w:rsidRPr="007B4FE2">
        <w:rPr>
          <w:szCs w:val="18"/>
        </w:rPr>
        <w:t xml:space="preserve"> (a cura di), </w:t>
      </w:r>
      <w:r w:rsidR="004815DF" w:rsidRPr="007B4FE2">
        <w:rPr>
          <w:i/>
          <w:szCs w:val="18"/>
        </w:rPr>
        <w:t>Carta dei Diritti fondamentali dell’Unione europea</w:t>
      </w:r>
      <w:r w:rsidR="004815DF" w:rsidRPr="007B4FE2">
        <w:rPr>
          <w:szCs w:val="18"/>
        </w:rPr>
        <w:t>, Milano, 2017, p. 1042 ss.</w:t>
      </w:r>
    </w:p>
  </w:footnote>
  <w:footnote w:id="62">
    <w:p w:rsidR="0097768D" w:rsidRPr="00EE65BD" w:rsidRDefault="0097768D" w:rsidP="007B4FE2">
      <w:pPr>
        <w:pStyle w:val="Testonotaapidipagina"/>
        <w:rPr>
          <w:szCs w:val="18"/>
        </w:rPr>
      </w:pPr>
      <w:r w:rsidRPr="007B4FE2">
        <w:rPr>
          <w:rStyle w:val="Rimandonotaapidipagina"/>
          <w:sz w:val="18"/>
          <w:szCs w:val="18"/>
        </w:rPr>
        <w:footnoteRef/>
      </w:r>
      <w:r w:rsidRPr="007B4FE2">
        <w:rPr>
          <w:szCs w:val="18"/>
        </w:rPr>
        <w:t xml:space="preserve"> V. d</w:t>
      </w:r>
      <w:r w:rsidRPr="00EE65BD">
        <w:rPr>
          <w:szCs w:val="18"/>
        </w:rPr>
        <w:t xml:space="preserve">a ultimo la recentissima sentenza del 12 dicembre 2019, in causa C-627/19 PPU, </w:t>
      </w:r>
      <w:r w:rsidRPr="00EE65BD">
        <w:rPr>
          <w:i/>
          <w:szCs w:val="18"/>
        </w:rPr>
        <w:t>ZB</w:t>
      </w:r>
      <w:r w:rsidRPr="00EE65BD">
        <w:rPr>
          <w:szCs w:val="18"/>
        </w:rPr>
        <w:t xml:space="preserve">, sul mandato di arresto europeo, </w:t>
      </w:r>
      <w:proofErr w:type="gramStart"/>
      <w:r w:rsidRPr="00EE65BD">
        <w:rPr>
          <w:rStyle w:val="outputecli"/>
          <w:szCs w:val="18"/>
        </w:rPr>
        <w:t>ECLI:EU</w:t>
      </w:r>
      <w:proofErr w:type="gramEnd"/>
      <w:r w:rsidRPr="00EE65BD">
        <w:rPr>
          <w:rStyle w:val="outputecli"/>
          <w:szCs w:val="18"/>
        </w:rPr>
        <w:t>:C:2019:1079.</w:t>
      </w:r>
    </w:p>
  </w:footnote>
  <w:footnote w:id="63">
    <w:p w:rsidR="0097768D" w:rsidRPr="007B4FE2" w:rsidRDefault="0097768D" w:rsidP="007B4FE2">
      <w:pPr>
        <w:pStyle w:val="Testonotaapidipagina"/>
        <w:rPr>
          <w:szCs w:val="18"/>
        </w:rPr>
      </w:pPr>
      <w:r w:rsidRPr="00EE65BD">
        <w:rPr>
          <w:rStyle w:val="Rimandonotaapidipagina"/>
          <w:sz w:val="18"/>
          <w:szCs w:val="18"/>
        </w:rPr>
        <w:footnoteRef/>
      </w:r>
      <w:r w:rsidRPr="00EE65BD">
        <w:rPr>
          <w:szCs w:val="18"/>
        </w:rPr>
        <w:t xml:space="preserve"> V. </w:t>
      </w:r>
      <w:r w:rsidRPr="00EE65BD">
        <w:rPr>
          <w:i/>
          <w:szCs w:val="18"/>
        </w:rPr>
        <w:t>infra</w:t>
      </w:r>
      <w:r w:rsidRPr="00EE65BD">
        <w:rPr>
          <w:szCs w:val="18"/>
        </w:rPr>
        <w:t>, par. 4.</w:t>
      </w:r>
    </w:p>
  </w:footnote>
  <w:footnote w:id="64">
    <w:p w:rsidR="0097768D" w:rsidRPr="00EE65BD" w:rsidRDefault="0097768D" w:rsidP="007B4FE2">
      <w:pPr>
        <w:pStyle w:val="Testonotaapidipagina"/>
        <w:rPr>
          <w:szCs w:val="18"/>
        </w:rPr>
      </w:pPr>
      <w:r w:rsidRPr="007B4FE2">
        <w:rPr>
          <w:rStyle w:val="Rimandonotaapidipagina"/>
          <w:sz w:val="18"/>
          <w:szCs w:val="18"/>
        </w:rPr>
        <w:footnoteRef/>
      </w:r>
      <w:r w:rsidRPr="007B4FE2">
        <w:rPr>
          <w:szCs w:val="18"/>
        </w:rPr>
        <w:t xml:space="preserve"> Secondo la giurisprudenza costante della Corte di Lussemburgo “</w:t>
      </w:r>
      <w:r w:rsidRPr="007B4FE2">
        <w:rPr>
          <w:i/>
          <w:szCs w:val="18"/>
        </w:rPr>
        <w:t xml:space="preserve">Con riferimento al controllo della proporzionalità, occorre ricordare che il principio di proporzionalità, che fa parte dei principi generali del diritto comunitario, richiede che gli atti delle istituzioni comunitarie non superino i limiti di quanto idoneo e necessario al conseguimento degli scopi legittimi perseguiti dalla normativa di cui trattasi, fermo restando che, qualora sia possibile una scelta fra più misure appropriate, si deve ricorrere alla meno restrittiva e </w:t>
      </w:r>
      <w:r w:rsidRPr="00EE65BD">
        <w:rPr>
          <w:i/>
          <w:szCs w:val="18"/>
        </w:rPr>
        <w:t>che gli inconvenienti causati non devono essere sproporzionati rispetto agli scopi perseguiti</w:t>
      </w:r>
      <w:r w:rsidRPr="00EE65BD">
        <w:rPr>
          <w:szCs w:val="18"/>
        </w:rPr>
        <w:t xml:space="preserve">”. Così Corte di giustizia, sentenza 07.09.2006, in causa C-310/04, Regno di Spagna c. Consiglio, </w:t>
      </w:r>
      <w:proofErr w:type="gramStart"/>
      <w:r w:rsidRPr="00EE65BD">
        <w:rPr>
          <w:szCs w:val="18"/>
        </w:rPr>
        <w:t>ECLI:EU</w:t>
      </w:r>
      <w:proofErr w:type="gramEnd"/>
      <w:r w:rsidRPr="00EE65BD">
        <w:rPr>
          <w:szCs w:val="18"/>
        </w:rPr>
        <w:t xml:space="preserve">:C:2006:52, punto 96. V. anche la precedente sentenza 12 luglio 2001, in causa C-189/01, </w:t>
      </w:r>
      <w:proofErr w:type="spellStart"/>
      <w:r w:rsidRPr="00EE65BD">
        <w:rPr>
          <w:i/>
          <w:szCs w:val="18"/>
        </w:rPr>
        <w:t>Jippes</w:t>
      </w:r>
      <w:proofErr w:type="spellEnd"/>
      <w:r w:rsidRPr="00EE65BD">
        <w:rPr>
          <w:szCs w:val="18"/>
        </w:rPr>
        <w:t xml:space="preserve">, </w:t>
      </w:r>
      <w:proofErr w:type="gramStart"/>
      <w:r w:rsidRPr="00EE65BD">
        <w:rPr>
          <w:rStyle w:val="outputecliaff"/>
          <w:szCs w:val="18"/>
        </w:rPr>
        <w:t>ECLI:EU</w:t>
      </w:r>
      <w:proofErr w:type="gramEnd"/>
      <w:r w:rsidRPr="00EE65BD">
        <w:rPr>
          <w:rStyle w:val="outputecliaff"/>
          <w:szCs w:val="18"/>
        </w:rPr>
        <w:t xml:space="preserve">:C:2001:420, </w:t>
      </w:r>
      <w:r w:rsidRPr="00EE65BD">
        <w:rPr>
          <w:szCs w:val="18"/>
        </w:rPr>
        <w:t>punto 80 e giurisprudenza ivi richiamata.</w:t>
      </w:r>
    </w:p>
  </w:footnote>
  <w:footnote w:id="65">
    <w:p w:rsidR="0097768D" w:rsidRPr="007B4FE2" w:rsidRDefault="0097768D" w:rsidP="007B4FE2">
      <w:pPr>
        <w:pStyle w:val="Testonotaapidipagina"/>
        <w:rPr>
          <w:szCs w:val="18"/>
        </w:rPr>
      </w:pPr>
      <w:r w:rsidRPr="00EE65BD">
        <w:rPr>
          <w:rStyle w:val="Rimandonotaapidipagina"/>
          <w:sz w:val="18"/>
          <w:szCs w:val="18"/>
        </w:rPr>
        <w:footnoteRef/>
      </w:r>
      <w:r w:rsidRPr="00EE65BD">
        <w:rPr>
          <w:szCs w:val="18"/>
        </w:rPr>
        <w:t xml:space="preserve"> Al successivo par. 5.2.</w:t>
      </w:r>
    </w:p>
  </w:footnote>
  <w:footnote w:id="66">
    <w:p w:rsidR="0097768D" w:rsidRPr="007B4FE2" w:rsidRDefault="0097768D" w:rsidP="007B4FE2">
      <w:pPr>
        <w:spacing w:after="0" w:line="240" w:lineRule="auto"/>
        <w:jc w:val="both"/>
        <w:rPr>
          <w:rFonts w:ascii="Times New Roman" w:hAnsi="Times New Roman" w:cs="Times New Roman"/>
          <w:sz w:val="18"/>
          <w:szCs w:val="18"/>
          <w:lang w:val="pt-BR"/>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Così ad es. Corte </w:t>
      </w:r>
      <w:proofErr w:type="spellStart"/>
      <w:proofErr w:type="gramStart"/>
      <w:r w:rsidRPr="007B4FE2">
        <w:rPr>
          <w:rFonts w:ascii="Times New Roman" w:hAnsi="Times New Roman" w:cs="Times New Roman"/>
          <w:sz w:val="18"/>
          <w:szCs w:val="18"/>
        </w:rPr>
        <w:t>giust</w:t>
      </w:r>
      <w:proofErr w:type="spellEnd"/>
      <w:r w:rsidRPr="007B4FE2">
        <w:rPr>
          <w:rFonts w:ascii="Times New Roman" w:hAnsi="Times New Roman" w:cs="Times New Roman"/>
          <w:sz w:val="18"/>
          <w:szCs w:val="18"/>
        </w:rPr>
        <w:t>.,</w:t>
      </w:r>
      <w:proofErr w:type="gramEnd"/>
      <w:r w:rsidRPr="007B4FE2">
        <w:rPr>
          <w:rFonts w:ascii="Times New Roman" w:hAnsi="Times New Roman" w:cs="Times New Roman"/>
          <w:sz w:val="18"/>
          <w:szCs w:val="18"/>
        </w:rPr>
        <w:t xml:space="preserve"> </w:t>
      </w:r>
      <w:proofErr w:type="spellStart"/>
      <w:r w:rsidRPr="007B4FE2">
        <w:rPr>
          <w:rFonts w:ascii="Times New Roman" w:hAnsi="Times New Roman" w:cs="Times New Roman"/>
          <w:sz w:val="18"/>
          <w:szCs w:val="18"/>
        </w:rPr>
        <w:t>sent</w:t>
      </w:r>
      <w:proofErr w:type="spellEnd"/>
      <w:r w:rsidRPr="007B4FE2">
        <w:rPr>
          <w:rFonts w:ascii="Times New Roman" w:hAnsi="Times New Roman" w:cs="Times New Roman"/>
          <w:sz w:val="18"/>
          <w:szCs w:val="18"/>
        </w:rPr>
        <w:t xml:space="preserve">. 11.03.1987, in cause </w:t>
      </w:r>
      <w:proofErr w:type="spellStart"/>
      <w:r w:rsidRPr="007B4FE2">
        <w:rPr>
          <w:rFonts w:ascii="Times New Roman" w:hAnsi="Times New Roman" w:cs="Times New Roman"/>
          <w:sz w:val="18"/>
          <w:szCs w:val="18"/>
        </w:rPr>
        <w:t>riun</w:t>
      </w:r>
      <w:proofErr w:type="spellEnd"/>
      <w:r w:rsidRPr="007B4FE2">
        <w:rPr>
          <w:rFonts w:ascii="Times New Roman" w:hAnsi="Times New Roman" w:cs="Times New Roman"/>
          <w:sz w:val="18"/>
          <w:szCs w:val="18"/>
        </w:rPr>
        <w:t xml:space="preserve">. </w:t>
      </w:r>
      <w:r w:rsidRPr="007B4FE2">
        <w:rPr>
          <w:rFonts w:ascii="Times New Roman" w:hAnsi="Times New Roman" w:cs="Times New Roman"/>
          <w:sz w:val="18"/>
          <w:szCs w:val="18"/>
          <w:lang w:val="pt-BR"/>
        </w:rPr>
        <w:t xml:space="preserve">279, 280, 285, 286/84, </w:t>
      </w:r>
      <w:r w:rsidRPr="007B4FE2">
        <w:rPr>
          <w:rFonts w:ascii="Times New Roman" w:hAnsi="Times New Roman" w:cs="Times New Roman"/>
          <w:i/>
          <w:sz w:val="18"/>
          <w:szCs w:val="18"/>
          <w:lang w:val="pt-BR"/>
        </w:rPr>
        <w:t>Rau</w:t>
      </w:r>
      <w:r w:rsidRPr="007B4FE2">
        <w:rPr>
          <w:rFonts w:ascii="Times New Roman" w:hAnsi="Times New Roman" w:cs="Times New Roman"/>
          <w:sz w:val="18"/>
          <w:szCs w:val="18"/>
          <w:lang w:val="pt-BR"/>
        </w:rPr>
        <w:t xml:space="preserve">, ECLI:EU:C:1987:119, punto 34. </w:t>
      </w:r>
    </w:p>
  </w:footnote>
  <w:footnote w:id="67">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Cfr., tra le più risalenti,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w:t>
      </w:r>
      <w:proofErr w:type="spellStart"/>
      <w:r w:rsidRPr="007B4FE2">
        <w:rPr>
          <w:szCs w:val="18"/>
        </w:rPr>
        <w:t>sent</w:t>
      </w:r>
      <w:proofErr w:type="spellEnd"/>
      <w:r w:rsidRPr="007B4FE2">
        <w:rPr>
          <w:szCs w:val="18"/>
        </w:rPr>
        <w:t xml:space="preserve">. 17.12.1970, in causa 25/70, </w:t>
      </w:r>
      <w:proofErr w:type="spellStart"/>
      <w:r w:rsidRPr="007B4FE2">
        <w:rPr>
          <w:i/>
          <w:szCs w:val="18"/>
        </w:rPr>
        <w:t>Köster</w:t>
      </w:r>
      <w:proofErr w:type="spellEnd"/>
      <w:r w:rsidRPr="007B4FE2">
        <w:rPr>
          <w:szCs w:val="18"/>
        </w:rPr>
        <w:t>,</w:t>
      </w:r>
      <w:r w:rsidR="009F6990" w:rsidRPr="007B4FE2">
        <w:rPr>
          <w:szCs w:val="18"/>
        </w:rPr>
        <w:t xml:space="preserve"> </w:t>
      </w:r>
      <w:proofErr w:type="gramStart"/>
      <w:r w:rsidR="009F6990" w:rsidRPr="007B4FE2">
        <w:rPr>
          <w:rStyle w:val="outputecliaff"/>
          <w:szCs w:val="18"/>
        </w:rPr>
        <w:t>ECLI:EU</w:t>
      </w:r>
      <w:proofErr w:type="gramEnd"/>
      <w:r w:rsidR="009F6990" w:rsidRPr="007B4FE2">
        <w:rPr>
          <w:rStyle w:val="outputecliaff"/>
          <w:szCs w:val="18"/>
        </w:rPr>
        <w:t>:C:1970:115</w:t>
      </w:r>
      <w:r w:rsidRPr="007B4FE2">
        <w:rPr>
          <w:szCs w:val="18"/>
        </w:rPr>
        <w:t xml:space="preserve">; Corte </w:t>
      </w:r>
      <w:proofErr w:type="spellStart"/>
      <w:r w:rsidRPr="007B4FE2">
        <w:rPr>
          <w:szCs w:val="18"/>
        </w:rPr>
        <w:t>giust</w:t>
      </w:r>
      <w:proofErr w:type="spellEnd"/>
      <w:r w:rsidRPr="007B4FE2">
        <w:rPr>
          <w:szCs w:val="18"/>
        </w:rPr>
        <w:t xml:space="preserve">., </w:t>
      </w:r>
      <w:proofErr w:type="spellStart"/>
      <w:r w:rsidRPr="007B4FE2">
        <w:rPr>
          <w:szCs w:val="18"/>
        </w:rPr>
        <w:t>sent</w:t>
      </w:r>
      <w:proofErr w:type="spellEnd"/>
      <w:r w:rsidRPr="007B4FE2">
        <w:rPr>
          <w:szCs w:val="18"/>
        </w:rPr>
        <w:t xml:space="preserve">. 26.06.1980, in causa 808/79, </w:t>
      </w:r>
      <w:proofErr w:type="spellStart"/>
      <w:r w:rsidRPr="007B4FE2">
        <w:rPr>
          <w:i/>
          <w:szCs w:val="18"/>
        </w:rPr>
        <w:t>Pardini</w:t>
      </w:r>
      <w:proofErr w:type="spellEnd"/>
      <w:r w:rsidRPr="007B4FE2">
        <w:rPr>
          <w:szCs w:val="18"/>
        </w:rPr>
        <w:t xml:space="preserve">, </w:t>
      </w:r>
      <w:proofErr w:type="gramStart"/>
      <w:r w:rsidR="009F6990" w:rsidRPr="007B4FE2">
        <w:rPr>
          <w:rStyle w:val="outputecliaff"/>
          <w:szCs w:val="18"/>
        </w:rPr>
        <w:t>ECLI:EU</w:t>
      </w:r>
      <w:proofErr w:type="gramEnd"/>
      <w:r w:rsidR="009F6990" w:rsidRPr="007B4FE2">
        <w:rPr>
          <w:rStyle w:val="outputecliaff"/>
          <w:szCs w:val="18"/>
        </w:rPr>
        <w:t>:C:1980:173</w:t>
      </w:r>
      <w:r w:rsidRPr="007B4FE2">
        <w:rPr>
          <w:szCs w:val="18"/>
        </w:rPr>
        <w:t>, p. 2103 ss.;</w:t>
      </w:r>
    </w:p>
  </w:footnote>
  <w:footnote w:id="68">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Corte </w:t>
      </w:r>
      <w:proofErr w:type="spellStart"/>
      <w:proofErr w:type="gramStart"/>
      <w:r w:rsidRPr="007B4FE2">
        <w:rPr>
          <w:rFonts w:ascii="Times New Roman" w:hAnsi="Times New Roman" w:cs="Times New Roman"/>
          <w:sz w:val="18"/>
          <w:szCs w:val="18"/>
        </w:rPr>
        <w:t>giust</w:t>
      </w:r>
      <w:proofErr w:type="spellEnd"/>
      <w:r w:rsidRPr="007B4FE2">
        <w:rPr>
          <w:rFonts w:ascii="Times New Roman" w:hAnsi="Times New Roman" w:cs="Times New Roman"/>
          <w:sz w:val="18"/>
          <w:szCs w:val="18"/>
        </w:rPr>
        <w:t>.,</w:t>
      </w:r>
      <w:proofErr w:type="gramEnd"/>
      <w:r w:rsidRPr="007B4FE2">
        <w:rPr>
          <w:rFonts w:ascii="Times New Roman" w:hAnsi="Times New Roman" w:cs="Times New Roman"/>
          <w:sz w:val="18"/>
          <w:szCs w:val="18"/>
        </w:rPr>
        <w:t xml:space="preserve"> sentenza 20.02.1979,</w:t>
      </w:r>
      <w:r w:rsidR="00397B14" w:rsidRPr="007B4FE2">
        <w:rPr>
          <w:rFonts w:ascii="Times New Roman" w:hAnsi="Times New Roman" w:cs="Times New Roman"/>
          <w:sz w:val="18"/>
          <w:szCs w:val="18"/>
        </w:rPr>
        <w:t xml:space="preserve"> </w:t>
      </w:r>
      <w:proofErr w:type="spellStart"/>
      <w:r w:rsidR="00397B14" w:rsidRPr="007B4FE2">
        <w:rPr>
          <w:rFonts w:ascii="Times New Roman" w:hAnsi="Times New Roman" w:cs="Times New Roman"/>
          <w:i/>
          <w:sz w:val="18"/>
          <w:szCs w:val="18"/>
        </w:rPr>
        <w:t>Rewe</w:t>
      </w:r>
      <w:proofErr w:type="spellEnd"/>
      <w:r w:rsidR="00397B14" w:rsidRPr="007B4FE2">
        <w:rPr>
          <w:rFonts w:ascii="Times New Roman" w:hAnsi="Times New Roman" w:cs="Times New Roman"/>
          <w:i/>
          <w:sz w:val="18"/>
          <w:szCs w:val="18"/>
        </w:rPr>
        <w:t xml:space="preserve"> </w:t>
      </w:r>
      <w:proofErr w:type="spellStart"/>
      <w:r w:rsidR="00397B14" w:rsidRPr="007B4FE2">
        <w:rPr>
          <w:rFonts w:ascii="Times New Roman" w:hAnsi="Times New Roman" w:cs="Times New Roman"/>
          <w:i/>
          <w:sz w:val="18"/>
          <w:szCs w:val="18"/>
        </w:rPr>
        <w:t>Zentrale</w:t>
      </w:r>
      <w:proofErr w:type="spellEnd"/>
      <w:r w:rsidR="00397B14" w:rsidRPr="007B4FE2">
        <w:rPr>
          <w:rFonts w:ascii="Times New Roman" w:hAnsi="Times New Roman" w:cs="Times New Roman"/>
          <w:sz w:val="18"/>
          <w:szCs w:val="18"/>
        </w:rPr>
        <w:t>,</w:t>
      </w:r>
      <w:r w:rsidR="00EE74BA">
        <w:rPr>
          <w:rFonts w:ascii="Times New Roman" w:hAnsi="Times New Roman" w:cs="Times New Roman"/>
          <w:sz w:val="18"/>
          <w:szCs w:val="18"/>
        </w:rPr>
        <w:t xml:space="preserve"> </w:t>
      </w:r>
      <w:r w:rsidRPr="007B4FE2">
        <w:rPr>
          <w:rFonts w:ascii="Times New Roman" w:hAnsi="Times New Roman" w:cs="Times New Roman"/>
          <w:sz w:val="18"/>
          <w:szCs w:val="18"/>
        </w:rPr>
        <w:t>in causa 120/78 cit.</w:t>
      </w:r>
    </w:p>
  </w:footnote>
  <w:footnote w:id="69">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L’importatore aveva impugnato il provvedimento di diniego dinnanzi al tribunale amministrativo di Darmstadt il quale, a sua volta, aveva rinviato la questione al </w:t>
      </w:r>
      <w:proofErr w:type="spellStart"/>
      <w:r w:rsidRPr="007B4FE2">
        <w:rPr>
          <w:i/>
          <w:szCs w:val="18"/>
        </w:rPr>
        <w:t>Finanzgericht</w:t>
      </w:r>
      <w:proofErr w:type="spellEnd"/>
      <w:r w:rsidRPr="007B4FE2">
        <w:rPr>
          <w:szCs w:val="18"/>
        </w:rPr>
        <w:t xml:space="preserve"> dell'Assia che, a sua volta, concluso per la necessità di operare un rinvio pregiudiziale alla Corte di giustizia UE.</w:t>
      </w:r>
    </w:p>
  </w:footnote>
  <w:footnote w:id="70">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Punto 10 della motivazione.</w:t>
      </w:r>
    </w:p>
  </w:footnote>
  <w:footnote w:id="71">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V. in particolare punto 11 della motivazione.</w:t>
      </w:r>
    </w:p>
  </w:footnote>
  <w:footnote w:id="72">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Fra le tante, v. Corte </w:t>
      </w:r>
      <w:proofErr w:type="spellStart"/>
      <w:proofErr w:type="gramStart"/>
      <w:r w:rsidRPr="007B4FE2">
        <w:rPr>
          <w:rFonts w:ascii="Times New Roman" w:hAnsi="Times New Roman" w:cs="Times New Roman"/>
          <w:sz w:val="18"/>
          <w:szCs w:val="18"/>
        </w:rPr>
        <w:t>giust</w:t>
      </w:r>
      <w:proofErr w:type="spellEnd"/>
      <w:r w:rsidRPr="007B4FE2">
        <w:rPr>
          <w:rFonts w:ascii="Times New Roman" w:hAnsi="Times New Roman" w:cs="Times New Roman"/>
          <w:sz w:val="18"/>
          <w:szCs w:val="18"/>
        </w:rPr>
        <w:t>.,</w:t>
      </w:r>
      <w:proofErr w:type="gramEnd"/>
      <w:r w:rsidRPr="007B4FE2">
        <w:rPr>
          <w:rFonts w:ascii="Times New Roman" w:hAnsi="Times New Roman" w:cs="Times New Roman"/>
          <w:sz w:val="18"/>
          <w:szCs w:val="18"/>
        </w:rPr>
        <w:t xml:space="preserve"> sentenza 16.10.1991, in causa C-24/90, </w:t>
      </w:r>
      <w:proofErr w:type="spellStart"/>
      <w:r w:rsidRPr="007B4FE2">
        <w:rPr>
          <w:rFonts w:ascii="Times New Roman" w:hAnsi="Times New Roman" w:cs="Times New Roman"/>
          <w:sz w:val="18"/>
          <w:szCs w:val="18"/>
        </w:rPr>
        <w:t>Hauptzollamt</w:t>
      </w:r>
      <w:proofErr w:type="spellEnd"/>
      <w:r w:rsidRPr="007B4FE2">
        <w:rPr>
          <w:rFonts w:ascii="Times New Roman" w:hAnsi="Times New Roman" w:cs="Times New Roman"/>
          <w:sz w:val="18"/>
          <w:szCs w:val="18"/>
        </w:rPr>
        <w:t xml:space="preserve"> Hamburg-Jonas c. </w:t>
      </w:r>
      <w:proofErr w:type="spellStart"/>
      <w:r w:rsidRPr="007B4FE2">
        <w:rPr>
          <w:rFonts w:ascii="Times New Roman" w:hAnsi="Times New Roman" w:cs="Times New Roman"/>
          <w:sz w:val="18"/>
          <w:szCs w:val="18"/>
        </w:rPr>
        <w:t>Werner</w:t>
      </w:r>
      <w:proofErr w:type="spellEnd"/>
      <w:r w:rsidRPr="007B4FE2">
        <w:rPr>
          <w:rFonts w:ascii="Times New Roman" w:hAnsi="Times New Roman" w:cs="Times New Roman"/>
          <w:sz w:val="18"/>
          <w:szCs w:val="18"/>
        </w:rPr>
        <w:t xml:space="preserve"> Faust </w:t>
      </w:r>
      <w:proofErr w:type="spellStart"/>
      <w:r w:rsidRPr="007B4FE2">
        <w:rPr>
          <w:rFonts w:ascii="Times New Roman" w:hAnsi="Times New Roman" w:cs="Times New Roman"/>
          <w:sz w:val="18"/>
          <w:szCs w:val="18"/>
        </w:rPr>
        <w:t>offene</w:t>
      </w:r>
      <w:proofErr w:type="spellEnd"/>
      <w:r w:rsidRPr="007B4FE2">
        <w:rPr>
          <w:rFonts w:ascii="Times New Roman" w:hAnsi="Times New Roman" w:cs="Times New Roman"/>
          <w:sz w:val="18"/>
          <w:szCs w:val="18"/>
        </w:rPr>
        <w:t xml:space="preserve"> </w:t>
      </w:r>
      <w:proofErr w:type="spellStart"/>
      <w:r w:rsidRPr="007B4FE2">
        <w:rPr>
          <w:rFonts w:ascii="Times New Roman" w:hAnsi="Times New Roman" w:cs="Times New Roman"/>
          <w:sz w:val="18"/>
          <w:szCs w:val="18"/>
        </w:rPr>
        <w:t>Handelsgesellschaft</w:t>
      </w:r>
      <w:proofErr w:type="spellEnd"/>
      <w:r w:rsidRPr="007B4FE2">
        <w:rPr>
          <w:rFonts w:ascii="Times New Roman" w:hAnsi="Times New Roman" w:cs="Times New Roman"/>
          <w:sz w:val="18"/>
          <w:szCs w:val="18"/>
        </w:rPr>
        <w:t xml:space="preserve"> Kg, ECLI:EU:C:1991:387, punto 12. In senso analogo si veda Corte </w:t>
      </w:r>
      <w:proofErr w:type="spellStart"/>
      <w:proofErr w:type="gramStart"/>
      <w:r w:rsidRPr="007B4FE2">
        <w:rPr>
          <w:rFonts w:ascii="Times New Roman" w:hAnsi="Times New Roman" w:cs="Times New Roman"/>
          <w:sz w:val="18"/>
          <w:szCs w:val="18"/>
        </w:rPr>
        <w:t>giust</w:t>
      </w:r>
      <w:proofErr w:type="spellEnd"/>
      <w:r w:rsidRPr="007B4FE2">
        <w:rPr>
          <w:rFonts w:ascii="Times New Roman" w:hAnsi="Times New Roman" w:cs="Times New Roman"/>
          <w:sz w:val="18"/>
          <w:szCs w:val="18"/>
        </w:rPr>
        <w:t>.,</w:t>
      </w:r>
      <w:proofErr w:type="gramEnd"/>
      <w:r w:rsidRPr="007B4FE2">
        <w:rPr>
          <w:rFonts w:ascii="Times New Roman" w:hAnsi="Times New Roman" w:cs="Times New Roman"/>
          <w:sz w:val="18"/>
          <w:szCs w:val="18"/>
        </w:rPr>
        <w:t xml:space="preserve"> sentenza 16.10.1991, in causa C-25/90, </w:t>
      </w:r>
      <w:proofErr w:type="spellStart"/>
      <w:r w:rsidRPr="007B4FE2">
        <w:rPr>
          <w:rFonts w:ascii="Times New Roman" w:hAnsi="Times New Roman" w:cs="Times New Roman"/>
          <w:i/>
          <w:sz w:val="18"/>
          <w:szCs w:val="18"/>
        </w:rPr>
        <w:t>Wünsche</w:t>
      </w:r>
      <w:proofErr w:type="spellEnd"/>
      <w:r w:rsidRPr="007B4FE2">
        <w:rPr>
          <w:rFonts w:ascii="Times New Roman" w:hAnsi="Times New Roman" w:cs="Times New Roman"/>
          <w:sz w:val="18"/>
          <w:szCs w:val="18"/>
        </w:rPr>
        <w:t xml:space="preserve">, ECLI:EU:C:1991:388. </w:t>
      </w:r>
    </w:p>
  </w:footnote>
  <w:footnote w:id="73">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Corte </w:t>
      </w:r>
      <w:proofErr w:type="spellStart"/>
      <w:proofErr w:type="gramStart"/>
      <w:r w:rsidRPr="007B4FE2">
        <w:rPr>
          <w:rFonts w:ascii="Times New Roman" w:hAnsi="Times New Roman" w:cs="Times New Roman"/>
          <w:sz w:val="18"/>
          <w:szCs w:val="18"/>
        </w:rPr>
        <w:t>giust</w:t>
      </w:r>
      <w:proofErr w:type="spellEnd"/>
      <w:r w:rsidRPr="007B4FE2">
        <w:rPr>
          <w:rFonts w:ascii="Times New Roman" w:hAnsi="Times New Roman" w:cs="Times New Roman"/>
          <w:sz w:val="18"/>
          <w:szCs w:val="18"/>
        </w:rPr>
        <w:t>.,</w:t>
      </w:r>
      <w:proofErr w:type="gramEnd"/>
      <w:r w:rsidRPr="007B4FE2">
        <w:rPr>
          <w:rFonts w:ascii="Times New Roman" w:hAnsi="Times New Roman" w:cs="Times New Roman"/>
          <w:sz w:val="18"/>
          <w:szCs w:val="18"/>
        </w:rPr>
        <w:t xml:space="preserve"> sentenza 02.02.1989, in causa 274/87, </w:t>
      </w:r>
      <w:r w:rsidR="00397B14" w:rsidRPr="007B4FE2">
        <w:rPr>
          <w:rFonts w:ascii="Times New Roman" w:hAnsi="Times New Roman" w:cs="Times New Roman"/>
          <w:sz w:val="18"/>
          <w:szCs w:val="18"/>
        </w:rPr>
        <w:t xml:space="preserve">Commissione c. Germania, </w:t>
      </w:r>
      <w:r w:rsidRPr="007B4FE2">
        <w:rPr>
          <w:rFonts w:ascii="Times New Roman" w:hAnsi="Times New Roman" w:cs="Times New Roman"/>
          <w:sz w:val="18"/>
          <w:szCs w:val="18"/>
        </w:rPr>
        <w:t xml:space="preserve">ECLI:EU:C:1989:51, punto 6 della motivazione. Nello stesso senso si veda Corte </w:t>
      </w:r>
      <w:proofErr w:type="spellStart"/>
      <w:proofErr w:type="gramStart"/>
      <w:r w:rsidRPr="007B4FE2">
        <w:rPr>
          <w:rFonts w:ascii="Times New Roman" w:hAnsi="Times New Roman" w:cs="Times New Roman"/>
          <w:sz w:val="18"/>
          <w:szCs w:val="18"/>
        </w:rPr>
        <w:t>giust</w:t>
      </w:r>
      <w:proofErr w:type="spellEnd"/>
      <w:r w:rsidRPr="007B4FE2">
        <w:rPr>
          <w:rFonts w:ascii="Times New Roman" w:hAnsi="Times New Roman" w:cs="Times New Roman"/>
          <w:sz w:val="18"/>
          <w:szCs w:val="18"/>
        </w:rPr>
        <w:t>.,</w:t>
      </w:r>
      <w:proofErr w:type="gramEnd"/>
      <w:r w:rsidRPr="007B4FE2">
        <w:rPr>
          <w:rFonts w:ascii="Times New Roman" w:hAnsi="Times New Roman" w:cs="Times New Roman"/>
          <w:sz w:val="18"/>
          <w:szCs w:val="18"/>
        </w:rPr>
        <w:t xml:space="preserve"> sentenza 02.02.1994, in causa C-315/92, </w:t>
      </w:r>
      <w:proofErr w:type="spellStart"/>
      <w:r w:rsidRPr="007B4FE2">
        <w:rPr>
          <w:rFonts w:ascii="Times New Roman" w:hAnsi="Times New Roman" w:cs="Times New Roman"/>
          <w:i/>
          <w:sz w:val="18"/>
          <w:szCs w:val="18"/>
        </w:rPr>
        <w:t>Clinique</w:t>
      </w:r>
      <w:proofErr w:type="spellEnd"/>
      <w:r w:rsidRPr="007B4FE2">
        <w:rPr>
          <w:rFonts w:ascii="Times New Roman" w:hAnsi="Times New Roman" w:cs="Times New Roman"/>
          <w:sz w:val="18"/>
          <w:szCs w:val="18"/>
        </w:rPr>
        <w:t xml:space="preserve">, ECLI:EU:C:1994:34, annotata da L. Quattrini, </w:t>
      </w:r>
      <w:r w:rsidRPr="007B4FE2">
        <w:rPr>
          <w:rFonts w:ascii="Times New Roman" w:hAnsi="Times New Roman" w:cs="Times New Roman"/>
          <w:i/>
          <w:sz w:val="18"/>
          <w:szCs w:val="18"/>
        </w:rPr>
        <w:t>Le restrizioni al commercio intracomunitario e il c.d. “principio di proporzionalità”</w:t>
      </w:r>
      <w:r w:rsidRPr="007B4FE2">
        <w:rPr>
          <w:rFonts w:ascii="Times New Roman" w:hAnsi="Times New Roman" w:cs="Times New Roman"/>
          <w:sz w:val="18"/>
          <w:szCs w:val="18"/>
        </w:rPr>
        <w:t xml:space="preserve">, in </w:t>
      </w:r>
      <w:r w:rsidRPr="007B4FE2">
        <w:rPr>
          <w:rFonts w:ascii="Times New Roman" w:hAnsi="Times New Roman" w:cs="Times New Roman"/>
          <w:i/>
          <w:sz w:val="18"/>
          <w:szCs w:val="18"/>
        </w:rPr>
        <w:t>Rivista di diritto industriale</w:t>
      </w:r>
      <w:r w:rsidRPr="007B4FE2">
        <w:rPr>
          <w:rFonts w:ascii="Times New Roman" w:hAnsi="Times New Roman" w:cs="Times New Roman"/>
          <w:sz w:val="18"/>
          <w:szCs w:val="18"/>
        </w:rPr>
        <w:t>, 1995/II, p. 342 ss.</w:t>
      </w:r>
    </w:p>
  </w:footnote>
  <w:footnote w:id="74">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Punto 14 della motivazione (12 ss.). </w:t>
      </w:r>
    </w:p>
  </w:footnote>
  <w:footnote w:id="75">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sentenza 28.11.1989, in causa 379/87, </w:t>
      </w:r>
      <w:proofErr w:type="spellStart"/>
      <w:r w:rsidRPr="007B4FE2">
        <w:rPr>
          <w:i/>
          <w:szCs w:val="18"/>
        </w:rPr>
        <w:t>Groener</w:t>
      </w:r>
      <w:proofErr w:type="spellEnd"/>
      <w:r w:rsidRPr="007B4FE2">
        <w:rPr>
          <w:szCs w:val="18"/>
        </w:rPr>
        <w:t xml:space="preserve">, </w:t>
      </w:r>
      <w:r w:rsidRPr="007B4FE2">
        <w:rPr>
          <w:rStyle w:val="outputecliaff"/>
          <w:szCs w:val="18"/>
        </w:rPr>
        <w:t xml:space="preserve">ECLI:EU:C:1989:599. </w:t>
      </w:r>
    </w:p>
  </w:footnote>
  <w:footnote w:id="76">
    <w:p w:rsidR="0097768D" w:rsidRPr="00EE65BD"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V. </w:t>
      </w:r>
      <w:r w:rsidRPr="00EE65BD">
        <w:rPr>
          <w:rFonts w:ascii="Times New Roman" w:hAnsi="Times New Roman" w:cs="Times New Roman"/>
          <w:sz w:val="18"/>
          <w:szCs w:val="18"/>
        </w:rPr>
        <w:t>in particolare i punti 19-21.</w:t>
      </w:r>
    </w:p>
  </w:footnote>
  <w:footnote w:id="77">
    <w:p w:rsidR="0097768D" w:rsidRPr="00EE65BD" w:rsidRDefault="0097768D" w:rsidP="007B4FE2">
      <w:pPr>
        <w:pStyle w:val="Testonotaapidipagina"/>
        <w:rPr>
          <w:szCs w:val="18"/>
        </w:rPr>
      </w:pPr>
      <w:r w:rsidRPr="00EE65BD">
        <w:rPr>
          <w:rStyle w:val="Rimandonotaapidipagina"/>
          <w:sz w:val="18"/>
          <w:szCs w:val="18"/>
        </w:rPr>
        <w:footnoteRef/>
      </w:r>
      <w:r w:rsidRPr="00EE65BD">
        <w:rPr>
          <w:szCs w:val="18"/>
        </w:rPr>
        <w:t xml:space="preserve"> Per approfondimenti al riguardo si rinvia a D.U. Galetta, </w:t>
      </w:r>
      <w:r w:rsidRPr="00EE65BD">
        <w:rPr>
          <w:i/>
          <w:szCs w:val="18"/>
        </w:rPr>
        <w:t>Le fonti (del diritto amministrativo europeo)</w:t>
      </w:r>
      <w:r w:rsidRPr="00EE65BD">
        <w:rPr>
          <w:szCs w:val="18"/>
        </w:rPr>
        <w:t>, p. 105 ss.</w:t>
      </w:r>
    </w:p>
  </w:footnote>
  <w:footnote w:id="78">
    <w:p w:rsidR="0097768D" w:rsidRPr="00EE65BD" w:rsidRDefault="0097768D" w:rsidP="007B4FE2">
      <w:pPr>
        <w:pStyle w:val="Testonotaapidipagina"/>
        <w:rPr>
          <w:szCs w:val="18"/>
        </w:rPr>
      </w:pPr>
      <w:r w:rsidRPr="00EE65BD">
        <w:rPr>
          <w:rStyle w:val="Rimandonotaapidipagina"/>
          <w:sz w:val="18"/>
          <w:szCs w:val="18"/>
        </w:rPr>
        <w:footnoteRef/>
      </w:r>
      <w:r w:rsidRPr="00EE65BD">
        <w:rPr>
          <w:szCs w:val="18"/>
        </w:rPr>
        <w:t xml:space="preserve"> V. al precedente par. 3.1.</w:t>
      </w:r>
    </w:p>
  </w:footnote>
  <w:footnote w:id="79">
    <w:p w:rsidR="0097768D" w:rsidRPr="007B4FE2" w:rsidRDefault="0097768D" w:rsidP="007B4FE2">
      <w:pPr>
        <w:pStyle w:val="Testonotaapidipagina"/>
        <w:rPr>
          <w:szCs w:val="18"/>
        </w:rPr>
      </w:pPr>
      <w:r w:rsidRPr="00EE65BD">
        <w:rPr>
          <w:rStyle w:val="Rimandonotaapidipagina"/>
          <w:sz w:val="18"/>
          <w:szCs w:val="18"/>
        </w:rPr>
        <w:footnoteRef/>
      </w:r>
      <w:r w:rsidRPr="00EE65BD">
        <w:rPr>
          <w:szCs w:val="18"/>
        </w:rPr>
        <w:t xml:space="preserve"> Corte di giustizia, sentenza 02.0</w:t>
      </w:r>
      <w:r w:rsidRPr="007B4FE2">
        <w:rPr>
          <w:szCs w:val="18"/>
        </w:rPr>
        <w:t xml:space="preserve">9.1979, in causa 230/78, </w:t>
      </w:r>
      <w:proofErr w:type="spellStart"/>
      <w:r w:rsidRPr="007B4FE2">
        <w:rPr>
          <w:i/>
          <w:szCs w:val="18"/>
        </w:rPr>
        <w:t>Eridania</w:t>
      </w:r>
      <w:proofErr w:type="spellEnd"/>
      <w:r w:rsidRPr="007B4FE2">
        <w:rPr>
          <w:szCs w:val="18"/>
        </w:rPr>
        <w:t xml:space="preserve">, </w:t>
      </w:r>
      <w:proofErr w:type="gramStart"/>
      <w:r w:rsidRPr="007B4FE2">
        <w:rPr>
          <w:rStyle w:val="outputecliaff"/>
          <w:szCs w:val="18"/>
        </w:rPr>
        <w:t>ECLI:EU</w:t>
      </w:r>
      <w:proofErr w:type="gramEnd"/>
      <w:r w:rsidRPr="007B4FE2">
        <w:rPr>
          <w:rStyle w:val="outputecliaff"/>
          <w:szCs w:val="18"/>
        </w:rPr>
        <w:t xml:space="preserve">:C:1979:216, in particolare punto 31. </w:t>
      </w:r>
    </w:p>
  </w:footnote>
  <w:footnote w:id="80">
    <w:p w:rsidR="0097768D" w:rsidRPr="007B4FE2" w:rsidRDefault="0097768D" w:rsidP="007B4FE2">
      <w:pPr>
        <w:pStyle w:val="Testonotaapidipagina"/>
        <w:rPr>
          <w:szCs w:val="18"/>
          <w:lang w:val="en-US"/>
        </w:rPr>
      </w:pPr>
      <w:r w:rsidRPr="007B4FE2">
        <w:rPr>
          <w:rStyle w:val="Rimandonotaapidipagina"/>
          <w:sz w:val="18"/>
          <w:szCs w:val="18"/>
        </w:rPr>
        <w:footnoteRef/>
      </w:r>
      <w:r w:rsidRPr="007B4FE2">
        <w:rPr>
          <w:szCs w:val="18"/>
        </w:rPr>
        <w:t xml:space="preserve"> Il dibattito a questo riguardo è stato particolarmente accesso nella dottrina britannica, come vedremo nel prossimo par. 4.2. Ma anche in altri Stati membri UE: v. ad es. </w:t>
      </w:r>
      <w:r w:rsidRPr="007B4FE2">
        <w:rPr>
          <w:szCs w:val="18"/>
          <w:lang w:val="en-US"/>
        </w:rPr>
        <w:t xml:space="preserve">H. </w:t>
      </w:r>
      <w:proofErr w:type="spellStart"/>
      <w:r w:rsidRPr="007B4FE2">
        <w:rPr>
          <w:szCs w:val="18"/>
          <w:lang w:val="en-US"/>
        </w:rPr>
        <w:t>Krunke</w:t>
      </w:r>
      <w:proofErr w:type="spellEnd"/>
      <w:r w:rsidRPr="007B4FE2">
        <w:rPr>
          <w:szCs w:val="18"/>
          <w:lang w:val="en-US"/>
        </w:rPr>
        <w:t xml:space="preserve">, </w:t>
      </w:r>
      <w:r w:rsidRPr="007B4FE2">
        <w:rPr>
          <w:i/>
          <w:szCs w:val="18"/>
          <w:lang w:val="en-US"/>
        </w:rPr>
        <w:t>The Application of Proportionality in Denmark in the Light of European Legal Integration</w:t>
      </w:r>
      <w:r w:rsidRPr="007B4FE2">
        <w:rPr>
          <w:szCs w:val="18"/>
          <w:lang w:val="en-US"/>
        </w:rPr>
        <w:t xml:space="preserve">, in </w:t>
      </w:r>
      <w:proofErr w:type="spellStart"/>
      <w:r w:rsidRPr="007B4FE2">
        <w:rPr>
          <w:szCs w:val="18"/>
          <w:lang w:val="en-US"/>
        </w:rPr>
        <w:t>Vogenauer</w:t>
      </w:r>
      <w:proofErr w:type="spellEnd"/>
      <w:r w:rsidRPr="007B4FE2">
        <w:rPr>
          <w:szCs w:val="18"/>
          <w:lang w:val="en-US"/>
        </w:rPr>
        <w:t>/</w:t>
      </w:r>
      <w:proofErr w:type="spellStart"/>
      <w:r w:rsidRPr="007B4FE2">
        <w:rPr>
          <w:szCs w:val="18"/>
          <w:lang w:val="en-US"/>
        </w:rPr>
        <w:t>Weatherill</w:t>
      </w:r>
      <w:proofErr w:type="spellEnd"/>
      <w:r w:rsidRPr="007B4FE2">
        <w:rPr>
          <w:szCs w:val="18"/>
          <w:lang w:val="en-US"/>
        </w:rPr>
        <w:t xml:space="preserve"> (</w:t>
      </w:r>
      <w:proofErr w:type="spellStart"/>
      <w:r w:rsidRPr="007B4FE2">
        <w:rPr>
          <w:szCs w:val="18"/>
          <w:lang w:val="en-US"/>
        </w:rPr>
        <w:t>Eds</w:t>
      </w:r>
      <w:proofErr w:type="spellEnd"/>
      <w:r w:rsidRPr="007B4FE2">
        <w:rPr>
          <w:szCs w:val="18"/>
          <w:lang w:val="en-US"/>
        </w:rPr>
        <w:t xml:space="preserve">), </w:t>
      </w:r>
      <w:r w:rsidRPr="007B4FE2">
        <w:rPr>
          <w:i/>
          <w:szCs w:val="18"/>
          <w:lang w:val="en-US"/>
        </w:rPr>
        <w:t>General Principles of Law: European and Comparative Perspectives</w:t>
      </w:r>
      <w:r w:rsidRPr="007B4FE2">
        <w:rPr>
          <w:szCs w:val="18"/>
          <w:lang w:val="en-US"/>
        </w:rPr>
        <w:t xml:space="preserve">, London, 2017, p. 243 ss.; Y. Sanchez, </w:t>
      </w:r>
      <w:r w:rsidRPr="007B4FE2">
        <w:rPr>
          <w:i/>
          <w:szCs w:val="18"/>
          <w:lang w:val="en-US"/>
        </w:rPr>
        <w:t>Origins and Presentation of the Proportionality Principle in French Case Law</w:t>
      </w:r>
      <w:r w:rsidRPr="007B4FE2">
        <w:rPr>
          <w:szCs w:val="18"/>
          <w:lang w:val="en-US"/>
        </w:rPr>
        <w:t xml:space="preserve">, </w:t>
      </w:r>
      <w:proofErr w:type="spellStart"/>
      <w:r w:rsidRPr="007B4FE2">
        <w:rPr>
          <w:i/>
          <w:szCs w:val="18"/>
          <w:lang w:val="en-US"/>
        </w:rPr>
        <w:t>ibidem</w:t>
      </w:r>
      <w:proofErr w:type="spellEnd"/>
      <w:r w:rsidRPr="007B4FE2">
        <w:rPr>
          <w:szCs w:val="18"/>
          <w:lang w:val="en-US"/>
        </w:rPr>
        <w:t>, p. 195 ss.</w:t>
      </w:r>
    </w:p>
  </w:footnote>
  <w:footnote w:id="81">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E in particolare in D.U. Galetta, </w:t>
      </w:r>
      <w:r w:rsidRPr="007B4FE2">
        <w:rPr>
          <w:i/>
          <w:szCs w:val="18"/>
        </w:rPr>
        <w:t>Il principio di proporzionalità comunitario e il suo effetto di “</w:t>
      </w:r>
      <w:proofErr w:type="spellStart"/>
      <w:r w:rsidRPr="007B4FE2">
        <w:rPr>
          <w:i/>
          <w:szCs w:val="18"/>
        </w:rPr>
        <w:t>spillover</w:t>
      </w:r>
      <w:proofErr w:type="spellEnd"/>
      <w:r w:rsidRPr="007B4FE2">
        <w:rPr>
          <w:i/>
          <w:szCs w:val="18"/>
        </w:rPr>
        <w:t>”</w:t>
      </w:r>
      <w:r w:rsidRPr="007B4FE2">
        <w:rPr>
          <w:szCs w:val="18"/>
        </w:rPr>
        <w:t xml:space="preserve"> </w:t>
      </w:r>
      <w:r w:rsidRPr="007B4FE2">
        <w:rPr>
          <w:i/>
          <w:iCs/>
          <w:szCs w:val="18"/>
        </w:rPr>
        <w:t>negli ordinamenti nazionali</w:t>
      </w:r>
      <w:r w:rsidRPr="007B4FE2">
        <w:rPr>
          <w:i/>
          <w:szCs w:val="18"/>
        </w:rPr>
        <w:t xml:space="preserve">, </w:t>
      </w:r>
      <w:r w:rsidRPr="007B4FE2">
        <w:rPr>
          <w:szCs w:val="18"/>
        </w:rPr>
        <w:t xml:space="preserve">in </w:t>
      </w:r>
      <w:r w:rsidRPr="007B4FE2">
        <w:rPr>
          <w:i/>
          <w:szCs w:val="18"/>
        </w:rPr>
        <w:t>Nuove Autonomie</w:t>
      </w:r>
      <w:r w:rsidRPr="007B4FE2">
        <w:rPr>
          <w:szCs w:val="18"/>
        </w:rPr>
        <w:t xml:space="preserve">, 2005, p. 541 ss. </w:t>
      </w:r>
    </w:p>
  </w:footnote>
  <w:footnote w:id="82">
    <w:p w:rsidR="0097768D" w:rsidRPr="007B4FE2"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A tale proposito si veda quanto osservava nel suo importante saggio dell’inizio degli anni Novanta </w:t>
      </w:r>
      <w:r w:rsidRPr="007B4FE2">
        <w:rPr>
          <w:rFonts w:ascii="Times New Roman" w:hAnsi="Times New Roman" w:cs="Times New Roman"/>
          <w:color w:val="363639"/>
          <w:sz w:val="18"/>
          <w:szCs w:val="18"/>
        </w:rPr>
        <w:t xml:space="preserve">G. Greco, </w:t>
      </w:r>
      <w:r w:rsidRPr="007B4FE2">
        <w:rPr>
          <w:rFonts w:ascii="Times New Roman" w:hAnsi="Times New Roman" w:cs="Times New Roman"/>
          <w:i/>
          <w:color w:val="363639"/>
          <w:sz w:val="18"/>
          <w:szCs w:val="18"/>
        </w:rPr>
        <w:t>Il diritto comunitario propulsore del diritto amministrativo europeo</w:t>
      </w:r>
      <w:r w:rsidRPr="007B4FE2">
        <w:rPr>
          <w:rFonts w:ascii="Times New Roman" w:hAnsi="Times New Roman" w:cs="Times New Roman"/>
          <w:color w:val="363639"/>
          <w:sz w:val="18"/>
          <w:szCs w:val="18"/>
        </w:rPr>
        <w:t xml:space="preserve">, in </w:t>
      </w:r>
      <w:r w:rsidRPr="007B4FE2">
        <w:rPr>
          <w:rFonts w:ascii="Times New Roman" w:hAnsi="Times New Roman" w:cs="Times New Roman"/>
          <w:i/>
          <w:color w:val="363639"/>
          <w:sz w:val="18"/>
          <w:szCs w:val="18"/>
        </w:rPr>
        <w:t>Rivista trimestrale di diritto pubblico</w:t>
      </w:r>
      <w:r w:rsidRPr="007B4FE2">
        <w:rPr>
          <w:rFonts w:ascii="Times New Roman" w:hAnsi="Times New Roman" w:cs="Times New Roman"/>
          <w:color w:val="363639"/>
          <w:sz w:val="18"/>
          <w:szCs w:val="18"/>
        </w:rPr>
        <w:t>, 1993, p. 85 ss. (88 s.), che parlava a tal proposito di "</w:t>
      </w:r>
      <w:r w:rsidRPr="007B4FE2">
        <w:rPr>
          <w:rFonts w:ascii="Times New Roman" w:hAnsi="Times New Roman" w:cs="Times New Roman"/>
          <w:i/>
          <w:color w:val="363639"/>
          <w:sz w:val="18"/>
          <w:szCs w:val="18"/>
        </w:rPr>
        <w:t>effetto giuridico indotto</w:t>
      </w:r>
      <w:r w:rsidRPr="007B4FE2">
        <w:rPr>
          <w:rFonts w:ascii="Times New Roman" w:hAnsi="Times New Roman" w:cs="Times New Roman"/>
          <w:color w:val="363639"/>
          <w:sz w:val="18"/>
          <w:szCs w:val="18"/>
        </w:rPr>
        <w:t>" della normativa comunitaria.</w:t>
      </w:r>
    </w:p>
  </w:footnote>
  <w:footnote w:id="83">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lang w:val="en-GB"/>
        </w:rPr>
        <w:t xml:space="preserve"> V. per </w:t>
      </w:r>
      <w:proofErr w:type="spellStart"/>
      <w:r w:rsidRPr="007B4FE2">
        <w:rPr>
          <w:szCs w:val="18"/>
          <w:lang w:val="en-GB"/>
        </w:rPr>
        <w:t>tutti</w:t>
      </w:r>
      <w:proofErr w:type="spellEnd"/>
      <w:r w:rsidRPr="007B4FE2">
        <w:rPr>
          <w:szCs w:val="18"/>
          <w:lang w:val="en-GB"/>
        </w:rPr>
        <w:t xml:space="preserve"> J. Temple Lang, </w:t>
      </w:r>
      <w:r w:rsidRPr="007B4FE2">
        <w:rPr>
          <w:i/>
          <w:szCs w:val="18"/>
          <w:lang w:val="en-GB"/>
        </w:rPr>
        <w:t xml:space="preserve">The Sphere in Which Member States Are Obliged to </w:t>
      </w:r>
      <w:proofErr w:type="gramStart"/>
      <w:r w:rsidRPr="007B4FE2">
        <w:rPr>
          <w:i/>
          <w:szCs w:val="18"/>
          <w:lang w:val="en-GB"/>
        </w:rPr>
        <w:t>Comply</w:t>
      </w:r>
      <w:proofErr w:type="gramEnd"/>
      <w:r w:rsidRPr="007B4FE2">
        <w:rPr>
          <w:i/>
          <w:szCs w:val="18"/>
          <w:lang w:val="en-GB"/>
        </w:rPr>
        <w:t xml:space="preserve"> with the General Principles of Law and Community Fundamental Rights Principles</w:t>
      </w:r>
      <w:r w:rsidRPr="007B4FE2">
        <w:rPr>
          <w:szCs w:val="18"/>
          <w:lang w:val="en-GB"/>
        </w:rPr>
        <w:t xml:space="preserve">, in </w:t>
      </w:r>
      <w:r w:rsidRPr="007B4FE2">
        <w:rPr>
          <w:i/>
          <w:szCs w:val="18"/>
          <w:lang w:val="en-GB"/>
        </w:rPr>
        <w:t>Legal Issues of European Integration</w:t>
      </w:r>
      <w:r w:rsidRPr="007B4FE2">
        <w:rPr>
          <w:szCs w:val="18"/>
          <w:lang w:val="en-GB"/>
        </w:rPr>
        <w:t xml:space="preserve">, 1991, p. 23 ss. </w:t>
      </w:r>
      <w:r w:rsidRPr="007B4FE2">
        <w:rPr>
          <w:szCs w:val="18"/>
        </w:rPr>
        <w:t>(31 s.).</w:t>
      </w:r>
    </w:p>
  </w:footnote>
  <w:footnote w:id="84">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In particolare si vedano le sentenze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26.10.1995, in causa C-36/94, </w:t>
      </w:r>
      <w:proofErr w:type="spellStart"/>
      <w:r w:rsidRPr="007B4FE2">
        <w:rPr>
          <w:i/>
          <w:szCs w:val="18"/>
        </w:rPr>
        <w:t>Siesse</w:t>
      </w:r>
      <w:proofErr w:type="spellEnd"/>
      <w:r w:rsidRPr="007B4FE2">
        <w:rPr>
          <w:szCs w:val="18"/>
        </w:rPr>
        <w:t xml:space="preserve">, </w:t>
      </w:r>
      <w:r w:rsidR="00C74BA9" w:rsidRPr="007B4FE2">
        <w:rPr>
          <w:rStyle w:val="outputecliaff"/>
          <w:szCs w:val="18"/>
        </w:rPr>
        <w:t>ECLI:EU:C:1995:351</w:t>
      </w:r>
      <w:r w:rsidR="00A50B28" w:rsidRPr="007B4FE2">
        <w:rPr>
          <w:szCs w:val="18"/>
        </w:rPr>
        <w:t xml:space="preserve">, </w:t>
      </w:r>
      <w:r w:rsidRPr="007B4FE2">
        <w:rPr>
          <w:szCs w:val="18"/>
        </w:rPr>
        <w:t xml:space="preserve">(in particolare punto 21 della motivazione); 12.09.1996, in cause </w:t>
      </w:r>
      <w:proofErr w:type="spellStart"/>
      <w:r w:rsidRPr="007B4FE2">
        <w:rPr>
          <w:szCs w:val="18"/>
        </w:rPr>
        <w:t>riun</w:t>
      </w:r>
      <w:proofErr w:type="spellEnd"/>
      <w:r w:rsidRPr="007B4FE2">
        <w:rPr>
          <w:szCs w:val="18"/>
        </w:rPr>
        <w:t>. C-58/95, C-75/95, C-112/95, C-119/95, C-123/95, C-135/95, C-140/95, C-141/95, C- 154/95 e C-157/95,</w:t>
      </w:r>
      <w:r w:rsidR="00A50B28" w:rsidRPr="007B4FE2">
        <w:rPr>
          <w:szCs w:val="18"/>
        </w:rPr>
        <w:t xml:space="preserve"> </w:t>
      </w:r>
      <w:r w:rsidR="00A50B28" w:rsidRPr="007B4FE2">
        <w:rPr>
          <w:i/>
          <w:szCs w:val="18"/>
        </w:rPr>
        <w:t xml:space="preserve">Gallotti </w:t>
      </w:r>
      <w:proofErr w:type="spellStart"/>
      <w:r w:rsidR="00A50B28" w:rsidRPr="007B4FE2">
        <w:rPr>
          <w:i/>
          <w:szCs w:val="18"/>
        </w:rPr>
        <w:t>e.a.</w:t>
      </w:r>
      <w:proofErr w:type="spellEnd"/>
      <w:r w:rsidR="00A50B28" w:rsidRPr="007B4FE2">
        <w:rPr>
          <w:szCs w:val="18"/>
        </w:rPr>
        <w:t>,</w:t>
      </w:r>
      <w:r w:rsidR="00EE74BA">
        <w:rPr>
          <w:szCs w:val="18"/>
        </w:rPr>
        <w:t xml:space="preserve"> </w:t>
      </w:r>
      <w:proofErr w:type="gramStart"/>
      <w:r w:rsidR="00A50B28" w:rsidRPr="007B4FE2">
        <w:rPr>
          <w:rStyle w:val="outputecliaff"/>
          <w:szCs w:val="18"/>
        </w:rPr>
        <w:t>ECLI:EU</w:t>
      </w:r>
      <w:proofErr w:type="gramEnd"/>
      <w:r w:rsidR="00A50B28" w:rsidRPr="007B4FE2">
        <w:rPr>
          <w:rStyle w:val="outputecliaff"/>
          <w:szCs w:val="18"/>
        </w:rPr>
        <w:t xml:space="preserve">:C:1996:323, </w:t>
      </w:r>
      <w:r w:rsidRPr="007B4FE2">
        <w:rPr>
          <w:szCs w:val="18"/>
        </w:rPr>
        <w:t xml:space="preserve">in </w:t>
      </w:r>
      <w:proofErr w:type="spellStart"/>
      <w:r w:rsidRPr="007B4FE2">
        <w:rPr>
          <w:szCs w:val="18"/>
        </w:rPr>
        <w:t>Riv</w:t>
      </w:r>
      <w:proofErr w:type="spellEnd"/>
      <w:r w:rsidRPr="007B4FE2">
        <w:rPr>
          <w:szCs w:val="18"/>
        </w:rPr>
        <w:t xml:space="preserve">. </w:t>
      </w:r>
      <w:proofErr w:type="spellStart"/>
      <w:proofErr w:type="gramStart"/>
      <w:r w:rsidRPr="007B4FE2">
        <w:rPr>
          <w:szCs w:val="18"/>
        </w:rPr>
        <w:t>it</w:t>
      </w:r>
      <w:proofErr w:type="spellEnd"/>
      <w:proofErr w:type="gramEnd"/>
      <w:r w:rsidRPr="007B4FE2">
        <w:rPr>
          <w:szCs w:val="18"/>
        </w:rPr>
        <w:t xml:space="preserve">. </w:t>
      </w:r>
      <w:proofErr w:type="gramStart"/>
      <w:r w:rsidRPr="007B4FE2">
        <w:rPr>
          <w:szCs w:val="18"/>
        </w:rPr>
        <w:t>dir</w:t>
      </w:r>
      <w:proofErr w:type="gramEnd"/>
      <w:r w:rsidRPr="007B4FE2">
        <w:rPr>
          <w:szCs w:val="18"/>
        </w:rPr>
        <w:t xml:space="preserve">. </w:t>
      </w:r>
      <w:proofErr w:type="spellStart"/>
      <w:proofErr w:type="gramStart"/>
      <w:r w:rsidRPr="007B4FE2">
        <w:rPr>
          <w:szCs w:val="18"/>
        </w:rPr>
        <w:t>pubb</w:t>
      </w:r>
      <w:proofErr w:type="spellEnd"/>
      <w:proofErr w:type="gramEnd"/>
      <w:r w:rsidRPr="007B4FE2">
        <w:rPr>
          <w:szCs w:val="18"/>
        </w:rPr>
        <w:t xml:space="preserve">. </w:t>
      </w:r>
      <w:proofErr w:type="spellStart"/>
      <w:proofErr w:type="gramStart"/>
      <w:r w:rsidRPr="007B4FE2">
        <w:rPr>
          <w:szCs w:val="18"/>
        </w:rPr>
        <w:t>com</w:t>
      </w:r>
      <w:proofErr w:type="spellEnd"/>
      <w:r w:rsidRPr="007B4FE2">
        <w:rPr>
          <w:szCs w:val="18"/>
        </w:rPr>
        <w:t>.,</w:t>
      </w:r>
      <w:proofErr w:type="gramEnd"/>
      <w:r w:rsidRPr="007B4FE2">
        <w:rPr>
          <w:szCs w:val="18"/>
        </w:rPr>
        <w:t xml:space="preserve"> 1997, 85 ss.; 16.12.1992, in causa C-210/91, Commissione c. Grecia, </w:t>
      </w:r>
      <w:r w:rsidR="00A50B28" w:rsidRPr="007B4FE2">
        <w:rPr>
          <w:rStyle w:val="outputecliaff"/>
          <w:szCs w:val="18"/>
        </w:rPr>
        <w:t>ECLI:EU:C:1992:525</w:t>
      </w:r>
      <w:r w:rsidR="00A50B28" w:rsidRPr="007B4FE2">
        <w:rPr>
          <w:szCs w:val="18"/>
        </w:rPr>
        <w:t xml:space="preserve"> </w:t>
      </w:r>
      <w:r w:rsidRPr="007B4FE2">
        <w:rPr>
          <w:szCs w:val="18"/>
        </w:rPr>
        <w:t>(in particolare punto 19 della motivazione).</w:t>
      </w:r>
    </w:p>
  </w:footnote>
  <w:footnote w:id="85">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Per il quale mi permetto di rinviare, in particolare, a D.U. Galetta, </w:t>
      </w:r>
      <w:r w:rsidRPr="007B4FE2">
        <w:rPr>
          <w:i/>
          <w:szCs w:val="18"/>
        </w:rPr>
        <w:t>Il principio di proporzionalità</w:t>
      </w:r>
      <w:r w:rsidRPr="007B4FE2">
        <w:rPr>
          <w:szCs w:val="18"/>
        </w:rPr>
        <w:t xml:space="preserve">, in </w:t>
      </w:r>
      <w:proofErr w:type="spellStart"/>
      <w:r w:rsidRPr="007B4FE2">
        <w:rPr>
          <w:szCs w:val="18"/>
        </w:rPr>
        <w:t>in</w:t>
      </w:r>
      <w:proofErr w:type="spellEnd"/>
      <w:r w:rsidRPr="007B4FE2">
        <w:rPr>
          <w:szCs w:val="18"/>
        </w:rPr>
        <w:t xml:space="preserve"> M.A. </w:t>
      </w:r>
      <w:proofErr w:type="spellStart"/>
      <w:r w:rsidRPr="007B4FE2">
        <w:rPr>
          <w:szCs w:val="18"/>
        </w:rPr>
        <w:t>Sandulli</w:t>
      </w:r>
      <w:proofErr w:type="spellEnd"/>
      <w:r w:rsidRPr="007B4FE2">
        <w:rPr>
          <w:szCs w:val="18"/>
        </w:rPr>
        <w:t xml:space="preserve"> (a cura di), </w:t>
      </w:r>
      <w:r w:rsidRPr="007B4FE2">
        <w:rPr>
          <w:i/>
          <w:szCs w:val="18"/>
        </w:rPr>
        <w:t xml:space="preserve">Codice dell’azione amministrativa </w:t>
      </w:r>
      <w:r w:rsidRPr="007B4FE2">
        <w:rPr>
          <w:szCs w:val="18"/>
        </w:rPr>
        <w:t>cit., p.165.</w:t>
      </w:r>
    </w:p>
  </w:footnote>
  <w:footnote w:id="86">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Corte </w:t>
      </w:r>
      <w:proofErr w:type="spellStart"/>
      <w:proofErr w:type="gramStart"/>
      <w:r w:rsidRPr="007B4FE2">
        <w:rPr>
          <w:szCs w:val="18"/>
        </w:rPr>
        <w:t>Cost</w:t>
      </w:r>
      <w:proofErr w:type="spellEnd"/>
      <w:r w:rsidRPr="007B4FE2">
        <w:rPr>
          <w:szCs w:val="18"/>
        </w:rPr>
        <w:t>.,</w:t>
      </w:r>
      <w:proofErr w:type="gramEnd"/>
      <w:r w:rsidRPr="007B4FE2">
        <w:rPr>
          <w:szCs w:val="18"/>
        </w:rPr>
        <w:t xml:space="preserve"> sentenza 23 gennaio 2019, n. 20, in https://www.cortecostituzionale.it.</w:t>
      </w:r>
    </w:p>
  </w:footnote>
  <w:footnote w:id="87">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lang w:val="en-GB"/>
        </w:rPr>
        <w:t xml:space="preserve"> V. la nota </w:t>
      </w:r>
      <w:proofErr w:type="spellStart"/>
      <w:r w:rsidRPr="007B4FE2">
        <w:rPr>
          <w:szCs w:val="18"/>
          <w:lang w:val="en-GB"/>
        </w:rPr>
        <w:t>pronunzia</w:t>
      </w:r>
      <w:proofErr w:type="spellEnd"/>
      <w:r w:rsidRPr="007B4FE2">
        <w:rPr>
          <w:szCs w:val="18"/>
          <w:lang w:val="en-GB"/>
        </w:rPr>
        <w:t xml:space="preserve"> </w:t>
      </w:r>
      <w:proofErr w:type="spellStart"/>
      <w:proofErr w:type="gramStart"/>
      <w:r w:rsidRPr="007B4FE2">
        <w:rPr>
          <w:szCs w:val="18"/>
          <w:lang w:val="en-GB"/>
        </w:rPr>
        <w:t>della</w:t>
      </w:r>
      <w:proofErr w:type="spellEnd"/>
      <w:proofErr w:type="gramEnd"/>
      <w:r w:rsidRPr="007B4FE2">
        <w:rPr>
          <w:szCs w:val="18"/>
          <w:lang w:val="en-GB"/>
        </w:rPr>
        <w:t xml:space="preserve"> House of Lords R. v. Goldsmith (1983), in </w:t>
      </w:r>
      <w:r w:rsidRPr="007B4FE2">
        <w:rPr>
          <w:i/>
          <w:szCs w:val="18"/>
          <w:lang w:val="en-GB"/>
        </w:rPr>
        <w:t>Weekly Law Reports</w:t>
      </w:r>
      <w:r w:rsidRPr="007B4FE2">
        <w:rPr>
          <w:szCs w:val="18"/>
          <w:lang w:val="en-GB"/>
        </w:rPr>
        <w:t xml:space="preserve">, p. 155. </w:t>
      </w:r>
      <w:r w:rsidRPr="007B4FE2">
        <w:rPr>
          <w:szCs w:val="18"/>
        </w:rPr>
        <w:t xml:space="preserve">Cui fa seguito la altrettanto nota pronunzia (sempre della House of </w:t>
      </w:r>
      <w:proofErr w:type="spellStart"/>
      <w:r w:rsidRPr="007B4FE2">
        <w:rPr>
          <w:szCs w:val="18"/>
        </w:rPr>
        <w:t>Lords</w:t>
      </w:r>
      <w:proofErr w:type="spellEnd"/>
      <w:r w:rsidRPr="007B4FE2">
        <w:rPr>
          <w:szCs w:val="18"/>
        </w:rPr>
        <w:t>) “</w:t>
      </w:r>
      <w:proofErr w:type="spellStart"/>
      <w:r w:rsidRPr="007B4FE2">
        <w:rPr>
          <w:szCs w:val="18"/>
        </w:rPr>
        <w:t>Council</w:t>
      </w:r>
      <w:proofErr w:type="spellEnd"/>
      <w:r w:rsidRPr="007B4FE2">
        <w:rPr>
          <w:szCs w:val="18"/>
        </w:rPr>
        <w:t xml:space="preserve"> of </w:t>
      </w:r>
      <w:proofErr w:type="spellStart"/>
      <w:r w:rsidRPr="007B4FE2">
        <w:rPr>
          <w:szCs w:val="18"/>
        </w:rPr>
        <w:t>Civil</w:t>
      </w:r>
      <w:proofErr w:type="spellEnd"/>
      <w:r w:rsidRPr="007B4FE2">
        <w:rPr>
          <w:szCs w:val="18"/>
        </w:rPr>
        <w:t xml:space="preserve"> Services </w:t>
      </w:r>
      <w:proofErr w:type="spellStart"/>
      <w:r w:rsidRPr="007B4FE2">
        <w:rPr>
          <w:szCs w:val="18"/>
        </w:rPr>
        <w:t>Unions</w:t>
      </w:r>
      <w:proofErr w:type="spellEnd"/>
      <w:r w:rsidRPr="007B4FE2">
        <w:rPr>
          <w:szCs w:val="18"/>
        </w:rPr>
        <w:t xml:space="preserve"> v. </w:t>
      </w:r>
      <w:proofErr w:type="spellStart"/>
      <w:r w:rsidRPr="007B4FE2">
        <w:rPr>
          <w:szCs w:val="18"/>
        </w:rPr>
        <w:t>Minister</w:t>
      </w:r>
      <w:proofErr w:type="spellEnd"/>
      <w:r w:rsidRPr="007B4FE2">
        <w:rPr>
          <w:szCs w:val="18"/>
        </w:rPr>
        <w:t xml:space="preserve"> for the </w:t>
      </w:r>
      <w:proofErr w:type="spellStart"/>
      <w:r w:rsidRPr="007B4FE2">
        <w:rPr>
          <w:szCs w:val="18"/>
        </w:rPr>
        <w:t>Civil</w:t>
      </w:r>
      <w:proofErr w:type="spellEnd"/>
      <w:r w:rsidRPr="007B4FE2">
        <w:rPr>
          <w:szCs w:val="18"/>
        </w:rPr>
        <w:t xml:space="preserve"> Service”, sovente citata come </w:t>
      </w:r>
      <w:r w:rsidRPr="007B4FE2">
        <w:rPr>
          <w:i/>
          <w:szCs w:val="18"/>
        </w:rPr>
        <w:t>GCHQ case</w:t>
      </w:r>
      <w:r w:rsidRPr="007B4FE2">
        <w:rPr>
          <w:szCs w:val="18"/>
        </w:rPr>
        <w:t xml:space="preserve"> ([1985] AC 374, [1985] ICR 14), a proposito del rapporto tra </w:t>
      </w:r>
      <w:proofErr w:type="spellStart"/>
      <w:r w:rsidRPr="007B4FE2">
        <w:rPr>
          <w:i/>
          <w:szCs w:val="18"/>
        </w:rPr>
        <w:t>Wednesbury</w:t>
      </w:r>
      <w:proofErr w:type="spellEnd"/>
      <w:r w:rsidRPr="007B4FE2">
        <w:rPr>
          <w:szCs w:val="18"/>
        </w:rPr>
        <w:t xml:space="preserve"> test e principio di proporzionalità.</w:t>
      </w:r>
    </w:p>
  </w:footnote>
  <w:footnote w:id="88">
    <w:p w:rsidR="0097768D" w:rsidRPr="007B4FE2" w:rsidRDefault="0097768D" w:rsidP="007B4FE2">
      <w:pPr>
        <w:pStyle w:val="Testonotaapidipagina"/>
        <w:rPr>
          <w:szCs w:val="18"/>
          <w:lang w:val="en-GB"/>
        </w:rPr>
      </w:pPr>
      <w:r w:rsidRPr="007B4FE2">
        <w:rPr>
          <w:rStyle w:val="Rimandonotaapidipagina"/>
          <w:sz w:val="18"/>
          <w:szCs w:val="18"/>
        </w:rPr>
        <w:footnoteRef/>
      </w:r>
      <w:r w:rsidRPr="007B4FE2">
        <w:rPr>
          <w:szCs w:val="18"/>
          <w:lang w:val="en-GB"/>
        </w:rPr>
        <w:t xml:space="preserve"> </w:t>
      </w:r>
      <w:proofErr w:type="spellStart"/>
      <w:r w:rsidRPr="007B4FE2">
        <w:rPr>
          <w:szCs w:val="18"/>
          <w:lang w:val="en-GB"/>
        </w:rPr>
        <w:t>Così</w:t>
      </w:r>
      <w:proofErr w:type="spellEnd"/>
      <w:r w:rsidRPr="007B4FE2">
        <w:rPr>
          <w:szCs w:val="18"/>
          <w:lang w:val="en-GB"/>
        </w:rPr>
        <w:t xml:space="preserve"> ad </w:t>
      </w:r>
      <w:proofErr w:type="spellStart"/>
      <w:r w:rsidRPr="007B4FE2">
        <w:rPr>
          <w:szCs w:val="18"/>
          <w:lang w:val="en-GB"/>
        </w:rPr>
        <w:t>es</w:t>
      </w:r>
      <w:proofErr w:type="spellEnd"/>
      <w:r w:rsidRPr="007B4FE2">
        <w:rPr>
          <w:szCs w:val="18"/>
          <w:lang w:val="en-GB"/>
        </w:rPr>
        <w:t xml:space="preserve">. </w:t>
      </w:r>
      <w:proofErr w:type="gramStart"/>
      <w:r w:rsidRPr="007B4FE2">
        <w:rPr>
          <w:i/>
          <w:szCs w:val="18"/>
          <w:lang w:val="en-GB"/>
        </w:rPr>
        <w:t>Lord Hoffmann</w:t>
      </w:r>
      <w:r w:rsidRPr="007B4FE2">
        <w:rPr>
          <w:szCs w:val="18"/>
          <w:lang w:val="en-GB"/>
        </w:rPr>
        <w:t xml:space="preserve"> (L. Hoffmann, </w:t>
      </w:r>
      <w:r w:rsidRPr="007B4FE2">
        <w:rPr>
          <w:i/>
          <w:szCs w:val="18"/>
          <w:lang w:val="en-GB"/>
        </w:rPr>
        <w:t>The Influence of the European Principle of Proportionality upon UK Law</w:t>
      </w:r>
      <w:r w:rsidRPr="007B4FE2">
        <w:rPr>
          <w:szCs w:val="18"/>
          <w:lang w:val="en-GB"/>
        </w:rPr>
        <w:t xml:space="preserve">, in E. Ellis (a </w:t>
      </w:r>
      <w:proofErr w:type="spellStart"/>
      <w:r w:rsidRPr="007B4FE2">
        <w:rPr>
          <w:szCs w:val="18"/>
          <w:lang w:val="en-GB"/>
        </w:rPr>
        <w:t>cura</w:t>
      </w:r>
      <w:proofErr w:type="spellEnd"/>
      <w:r w:rsidRPr="007B4FE2">
        <w:rPr>
          <w:szCs w:val="18"/>
          <w:lang w:val="en-GB"/>
        </w:rPr>
        <w:t xml:space="preserve"> di), </w:t>
      </w:r>
      <w:r w:rsidRPr="007B4FE2">
        <w:rPr>
          <w:i/>
          <w:szCs w:val="18"/>
          <w:lang w:val="en-GB"/>
        </w:rPr>
        <w:t>The principle of proportionality in the Laws of Europe</w:t>
      </w:r>
      <w:r w:rsidRPr="007B4FE2">
        <w:rPr>
          <w:szCs w:val="18"/>
          <w:lang w:val="en-GB"/>
        </w:rPr>
        <w:t xml:space="preserve">, Oxford, 1999, 107 ss.) </w:t>
      </w:r>
      <w:proofErr w:type="spellStart"/>
      <w:r w:rsidRPr="007B4FE2">
        <w:rPr>
          <w:szCs w:val="18"/>
          <w:lang w:val="en-GB"/>
        </w:rPr>
        <w:t>che</w:t>
      </w:r>
      <w:proofErr w:type="spellEnd"/>
      <w:r w:rsidRPr="007B4FE2">
        <w:rPr>
          <w:szCs w:val="18"/>
          <w:lang w:val="en-GB"/>
        </w:rPr>
        <w:t xml:space="preserve"> lo </w:t>
      </w:r>
      <w:proofErr w:type="spellStart"/>
      <w:r w:rsidRPr="007B4FE2">
        <w:rPr>
          <w:szCs w:val="18"/>
          <w:lang w:val="en-GB"/>
        </w:rPr>
        <w:t>aveva</w:t>
      </w:r>
      <w:proofErr w:type="spellEnd"/>
      <w:r w:rsidRPr="007B4FE2">
        <w:rPr>
          <w:szCs w:val="18"/>
          <w:lang w:val="en-GB"/>
        </w:rPr>
        <w:t xml:space="preserve"> </w:t>
      </w:r>
      <w:proofErr w:type="spellStart"/>
      <w:r w:rsidRPr="007B4FE2">
        <w:rPr>
          <w:szCs w:val="18"/>
          <w:lang w:val="en-GB"/>
        </w:rPr>
        <w:t>definito</w:t>
      </w:r>
      <w:proofErr w:type="spellEnd"/>
      <w:r w:rsidRPr="007B4FE2">
        <w:rPr>
          <w:szCs w:val="18"/>
          <w:lang w:val="en-GB"/>
        </w:rPr>
        <w:t xml:space="preserve"> come “</w:t>
      </w:r>
      <w:r w:rsidRPr="007B4FE2">
        <w:rPr>
          <w:i/>
          <w:szCs w:val="18"/>
          <w:lang w:val="en-GB"/>
        </w:rPr>
        <w:t>an analytical error</w:t>
      </w:r>
      <w:r w:rsidRPr="007B4FE2">
        <w:rPr>
          <w:szCs w:val="18"/>
          <w:lang w:val="en-GB"/>
        </w:rPr>
        <w:t xml:space="preserve">” (p. 109) e lo </w:t>
      </w:r>
      <w:proofErr w:type="spellStart"/>
      <w:r w:rsidRPr="007B4FE2">
        <w:rPr>
          <w:szCs w:val="18"/>
          <w:lang w:val="en-GB"/>
        </w:rPr>
        <w:t>aveva</w:t>
      </w:r>
      <w:proofErr w:type="spellEnd"/>
      <w:r w:rsidRPr="007B4FE2">
        <w:rPr>
          <w:szCs w:val="18"/>
          <w:lang w:val="en-GB"/>
        </w:rPr>
        <w:t xml:space="preserve"> </w:t>
      </w:r>
      <w:proofErr w:type="spellStart"/>
      <w:r w:rsidRPr="007B4FE2">
        <w:rPr>
          <w:szCs w:val="18"/>
          <w:lang w:val="en-GB"/>
        </w:rPr>
        <w:t>liquidato</w:t>
      </w:r>
      <w:proofErr w:type="spellEnd"/>
      <w:r w:rsidRPr="007B4FE2">
        <w:rPr>
          <w:szCs w:val="18"/>
          <w:lang w:val="en-GB"/>
        </w:rPr>
        <w:t xml:space="preserve"> con la </w:t>
      </w:r>
      <w:proofErr w:type="spellStart"/>
      <w:r w:rsidRPr="007B4FE2">
        <w:rPr>
          <w:szCs w:val="18"/>
          <w:lang w:val="en-GB"/>
        </w:rPr>
        <w:t>lapidaria</w:t>
      </w:r>
      <w:proofErr w:type="spellEnd"/>
      <w:r w:rsidRPr="007B4FE2">
        <w:rPr>
          <w:szCs w:val="18"/>
          <w:lang w:val="en-GB"/>
        </w:rPr>
        <w:t xml:space="preserve"> </w:t>
      </w:r>
      <w:proofErr w:type="spellStart"/>
      <w:r w:rsidRPr="007B4FE2">
        <w:rPr>
          <w:szCs w:val="18"/>
          <w:lang w:val="en-GB"/>
        </w:rPr>
        <w:t>affermazione</w:t>
      </w:r>
      <w:proofErr w:type="spellEnd"/>
      <w:r w:rsidRPr="007B4FE2">
        <w:rPr>
          <w:szCs w:val="18"/>
          <w:lang w:val="en-GB"/>
        </w:rPr>
        <w:t>: “</w:t>
      </w:r>
      <w:r w:rsidRPr="007B4FE2">
        <w:rPr>
          <w:i/>
          <w:szCs w:val="18"/>
          <w:lang w:val="en-GB"/>
        </w:rPr>
        <w:t>I see little future for proportionality in this country as a freestanding principle</w:t>
      </w:r>
      <w:r w:rsidRPr="007B4FE2">
        <w:rPr>
          <w:szCs w:val="18"/>
          <w:lang w:val="en-GB"/>
        </w:rPr>
        <w:t>” (p. 114).</w:t>
      </w:r>
      <w:proofErr w:type="gramEnd"/>
    </w:p>
  </w:footnote>
  <w:footnote w:id="89">
    <w:p w:rsidR="0097768D" w:rsidRPr="00AA5BCE" w:rsidRDefault="0097768D" w:rsidP="007B4FE2">
      <w:pPr>
        <w:pStyle w:val="Testonotaapidipagina"/>
        <w:rPr>
          <w:szCs w:val="18"/>
          <w:lang w:val="en-US"/>
        </w:rPr>
      </w:pPr>
      <w:r w:rsidRPr="007B4FE2">
        <w:rPr>
          <w:rStyle w:val="Rimandonotaapidipagina"/>
          <w:sz w:val="18"/>
          <w:szCs w:val="18"/>
        </w:rPr>
        <w:footnoteRef/>
      </w:r>
      <w:r w:rsidRPr="007B4FE2">
        <w:rPr>
          <w:szCs w:val="18"/>
        </w:rPr>
        <w:t xml:space="preserve">È di J. </w:t>
      </w:r>
      <w:proofErr w:type="spellStart"/>
      <w:r w:rsidRPr="007B4FE2">
        <w:rPr>
          <w:szCs w:val="18"/>
        </w:rPr>
        <w:t>Millet</w:t>
      </w:r>
      <w:proofErr w:type="spellEnd"/>
      <w:r w:rsidRPr="007B4FE2">
        <w:rPr>
          <w:szCs w:val="18"/>
        </w:rPr>
        <w:t xml:space="preserve"> l’affermazione che il principio di proporzionalità sarebbe una dottrina nuova e pericolosa, nel suo commento pubblicato sul Times alla sentenza </w:t>
      </w:r>
      <w:proofErr w:type="spellStart"/>
      <w:r w:rsidRPr="007B4FE2">
        <w:rPr>
          <w:szCs w:val="18"/>
        </w:rPr>
        <w:t>Allied</w:t>
      </w:r>
      <w:proofErr w:type="spellEnd"/>
      <w:r w:rsidRPr="007B4FE2">
        <w:rPr>
          <w:szCs w:val="18"/>
        </w:rPr>
        <w:t xml:space="preserve"> </w:t>
      </w:r>
      <w:proofErr w:type="spellStart"/>
      <w:r w:rsidRPr="007B4FE2">
        <w:rPr>
          <w:szCs w:val="18"/>
        </w:rPr>
        <w:t>Dunbar</w:t>
      </w:r>
      <w:proofErr w:type="spellEnd"/>
      <w:r w:rsidRPr="007B4FE2">
        <w:rPr>
          <w:szCs w:val="18"/>
        </w:rPr>
        <w:t xml:space="preserve">. </w:t>
      </w:r>
      <w:r w:rsidRPr="00AA5BCE">
        <w:rPr>
          <w:szCs w:val="18"/>
          <w:lang w:val="en-US"/>
        </w:rPr>
        <w:t xml:space="preserve">Allied Dunbar (Frank Weisinger) Ltd. v. Frank Weisinger, in </w:t>
      </w:r>
      <w:r w:rsidRPr="00AA5BCE">
        <w:rPr>
          <w:i/>
          <w:szCs w:val="18"/>
          <w:lang w:val="en-US"/>
        </w:rPr>
        <w:t>The Times</w:t>
      </w:r>
      <w:r w:rsidRPr="00AA5BCE">
        <w:rPr>
          <w:szCs w:val="18"/>
          <w:lang w:val="en-US"/>
        </w:rPr>
        <w:t xml:space="preserve"> del 17.11.1987, p. 44 ss. </w:t>
      </w:r>
      <w:r w:rsidRPr="00AA5BCE">
        <w:rPr>
          <w:i/>
          <w:szCs w:val="18"/>
          <w:lang w:val="en-US"/>
        </w:rPr>
        <w:t>Contra</w:t>
      </w:r>
      <w:r w:rsidRPr="00AA5BCE">
        <w:rPr>
          <w:szCs w:val="18"/>
          <w:lang w:val="en-US"/>
        </w:rPr>
        <w:t xml:space="preserve"> v. le osservazioni di J. Jowell, A. Lester, </w:t>
      </w:r>
      <w:r w:rsidRPr="00AA5BCE">
        <w:rPr>
          <w:i/>
          <w:szCs w:val="18"/>
          <w:lang w:val="en-US"/>
        </w:rPr>
        <w:t>Proportionality: Neither Novel Nor Dangerous</w:t>
      </w:r>
      <w:r w:rsidRPr="00AA5BCE">
        <w:rPr>
          <w:szCs w:val="18"/>
          <w:lang w:val="en-US"/>
        </w:rPr>
        <w:t xml:space="preserve">, in J. Jowell - D. Oliver (a cura di), </w:t>
      </w:r>
      <w:r w:rsidRPr="00AA5BCE">
        <w:rPr>
          <w:i/>
          <w:szCs w:val="18"/>
          <w:lang w:val="en-US"/>
        </w:rPr>
        <w:t>New Directions in Judicial Review</w:t>
      </w:r>
      <w:r w:rsidRPr="00AA5BCE">
        <w:rPr>
          <w:szCs w:val="18"/>
          <w:lang w:val="en-US"/>
        </w:rPr>
        <w:t xml:space="preserve">, London, 1988, p. 61 ss.; P. Craig, </w:t>
      </w:r>
      <w:r w:rsidRPr="00AA5BCE">
        <w:rPr>
          <w:i/>
          <w:szCs w:val="18"/>
          <w:lang w:val="en-US"/>
        </w:rPr>
        <w:t>Unreasonableness and Proportionality in UK Law</w:t>
      </w:r>
      <w:r w:rsidRPr="00AA5BCE">
        <w:rPr>
          <w:szCs w:val="18"/>
          <w:lang w:val="en-US"/>
        </w:rPr>
        <w:t xml:space="preserve">, in E. Ellis (a cura di), </w:t>
      </w:r>
      <w:r w:rsidRPr="00AA5BCE">
        <w:rPr>
          <w:i/>
          <w:szCs w:val="18"/>
          <w:lang w:val="en-US"/>
        </w:rPr>
        <w:t xml:space="preserve">The principle of proportionality in the Laws of Europe </w:t>
      </w:r>
      <w:r w:rsidRPr="00AA5BCE">
        <w:rPr>
          <w:szCs w:val="18"/>
          <w:lang w:val="en-US"/>
        </w:rPr>
        <w:t xml:space="preserve">cit., p. 85 ss., che propone un'interessante panoramica degli atteggiamenti assunti, a questo proposito, dai giudici britannici (p. 99 ss.). </w:t>
      </w:r>
    </w:p>
  </w:footnote>
  <w:footnote w:id="90">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Che si può leggere in http://www.legislation.gov.uk/ukpga/1998/42/contents (ultima consultazione 10.01.2020).</w:t>
      </w:r>
    </w:p>
  </w:footnote>
  <w:footnote w:id="91">
    <w:p w:rsidR="0097768D" w:rsidRPr="007B4FE2" w:rsidRDefault="0097768D" w:rsidP="007B4FE2">
      <w:pPr>
        <w:pStyle w:val="Testonotaapidipagina"/>
        <w:rPr>
          <w:bCs/>
          <w:szCs w:val="18"/>
        </w:rPr>
      </w:pPr>
      <w:r w:rsidRPr="007B4FE2">
        <w:rPr>
          <w:rStyle w:val="Rimandonotaapidipagina"/>
          <w:sz w:val="18"/>
          <w:szCs w:val="18"/>
        </w:rPr>
        <w:footnoteRef/>
      </w:r>
      <w:r w:rsidRPr="007B4FE2">
        <w:rPr>
          <w:szCs w:val="18"/>
        </w:rPr>
        <w:t xml:space="preserve"> Così nella sentenza della House of </w:t>
      </w:r>
      <w:proofErr w:type="spellStart"/>
      <w:r w:rsidRPr="007B4FE2">
        <w:rPr>
          <w:szCs w:val="18"/>
        </w:rPr>
        <w:t>Lords</w:t>
      </w:r>
      <w:proofErr w:type="spellEnd"/>
      <w:r w:rsidRPr="007B4FE2">
        <w:rPr>
          <w:szCs w:val="18"/>
        </w:rPr>
        <w:t xml:space="preserve"> del 21.03.2002, </w:t>
      </w:r>
      <w:r w:rsidRPr="007B4FE2">
        <w:rPr>
          <w:bCs/>
          <w:i/>
          <w:szCs w:val="18"/>
        </w:rPr>
        <w:t xml:space="preserve">Regina v </w:t>
      </w:r>
      <w:proofErr w:type="spellStart"/>
      <w:r w:rsidRPr="007B4FE2">
        <w:rPr>
          <w:bCs/>
          <w:i/>
          <w:szCs w:val="18"/>
        </w:rPr>
        <w:t>Shayler</w:t>
      </w:r>
      <w:proofErr w:type="spellEnd"/>
      <w:r w:rsidRPr="007B4FE2">
        <w:rPr>
          <w:bCs/>
          <w:szCs w:val="18"/>
        </w:rPr>
        <w:t xml:space="preserve">, punto </w:t>
      </w:r>
      <w:smartTag w:uri="urn:schemas-microsoft-com:office:smarttags" w:element="metricconverter">
        <w:smartTagPr>
          <w:attr w:name="ProductID" w:val="75, in"/>
        </w:smartTagPr>
        <w:r w:rsidRPr="007B4FE2">
          <w:rPr>
            <w:bCs/>
            <w:szCs w:val="18"/>
          </w:rPr>
          <w:t>75, in</w:t>
        </w:r>
      </w:smartTag>
      <w:r w:rsidRPr="007B4FE2">
        <w:rPr>
          <w:bCs/>
          <w:szCs w:val="18"/>
        </w:rPr>
        <w:t xml:space="preserve"> </w:t>
      </w:r>
      <w:r w:rsidRPr="00651CD1">
        <w:rPr>
          <w:bCs/>
          <w:szCs w:val="18"/>
        </w:rPr>
        <w:t>http://www.publications.parliament.uk</w:t>
      </w:r>
    </w:p>
  </w:footnote>
  <w:footnote w:id="92">
    <w:p w:rsidR="0097768D" w:rsidRPr="007B4FE2" w:rsidRDefault="0097768D" w:rsidP="007B4FE2">
      <w:pPr>
        <w:pStyle w:val="Testonotaapidipagina"/>
        <w:rPr>
          <w:szCs w:val="18"/>
          <w:lang w:val="en-GB"/>
        </w:rPr>
      </w:pPr>
      <w:r w:rsidRPr="007B4FE2">
        <w:rPr>
          <w:rStyle w:val="Rimandonotaapidipagina"/>
          <w:sz w:val="18"/>
          <w:szCs w:val="18"/>
          <w:lang w:val="fr-FR"/>
        </w:rPr>
        <w:footnoteRef/>
      </w:r>
      <w:r w:rsidRPr="007B4FE2">
        <w:rPr>
          <w:szCs w:val="18"/>
          <w:lang w:val="en-GB"/>
        </w:rPr>
        <w:t xml:space="preserve"> V. le </w:t>
      </w:r>
      <w:proofErr w:type="spellStart"/>
      <w:r w:rsidRPr="007B4FE2">
        <w:rPr>
          <w:szCs w:val="18"/>
          <w:lang w:val="en-GB"/>
        </w:rPr>
        <w:t>sentenze</w:t>
      </w:r>
      <w:proofErr w:type="spellEnd"/>
      <w:r w:rsidRPr="007B4FE2">
        <w:rPr>
          <w:szCs w:val="18"/>
          <w:lang w:val="en-GB"/>
        </w:rPr>
        <w:t xml:space="preserve"> </w:t>
      </w:r>
      <w:proofErr w:type="spellStart"/>
      <w:proofErr w:type="gramStart"/>
      <w:r w:rsidRPr="007B4FE2">
        <w:rPr>
          <w:szCs w:val="18"/>
          <w:lang w:val="en-GB"/>
        </w:rPr>
        <w:t>della</w:t>
      </w:r>
      <w:proofErr w:type="spellEnd"/>
      <w:proofErr w:type="gramEnd"/>
      <w:r w:rsidRPr="007B4FE2">
        <w:rPr>
          <w:szCs w:val="18"/>
          <w:lang w:val="en-GB"/>
        </w:rPr>
        <w:t xml:space="preserve"> House of Lords: </w:t>
      </w:r>
      <w:r w:rsidRPr="007B4FE2">
        <w:rPr>
          <w:i/>
          <w:iCs/>
          <w:szCs w:val="18"/>
          <w:lang w:val="en-GB"/>
        </w:rPr>
        <w:t>R (Daly) v Secretary of State for the Home Department</w:t>
      </w:r>
      <w:r w:rsidRPr="007B4FE2">
        <w:rPr>
          <w:szCs w:val="18"/>
          <w:lang w:val="en-GB"/>
        </w:rPr>
        <w:t xml:space="preserve">, in </w:t>
      </w:r>
      <w:r w:rsidRPr="007B4FE2">
        <w:rPr>
          <w:bCs/>
          <w:i/>
          <w:szCs w:val="18"/>
          <w:lang w:val="en-GB"/>
        </w:rPr>
        <w:t>Weekly Law Reports</w:t>
      </w:r>
      <w:r w:rsidRPr="007B4FE2">
        <w:rPr>
          <w:szCs w:val="18"/>
          <w:lang w:val="en-GB"/>
        </w:rPr>
        <w:t xml:space="preserve"> (WLR), 2001, p. 1622 ss.; </w:t>
      </w:r>
      <w:r w:rsidRPr="007B4FE2">
        <w:rPr>
          <w:i/>
          <w:iCs/>
          <w:szCs w:val="18"/>
          <w:lang w:val="en-GB"/>
        </w:rPr>
        <w:t>R (Pretty) v Director of Public Prosecutions</w:t>
      </w:r>
      <w:r w:rsidRPr="007B4FE2">
        <w:rPr>
          <w:iCs/>
          <w:szCs w:val="18"/>
          <w:lang w:val="en-GB"/>
        </w:rPr>
        <w:t xml:space="preserve">, in </w:t>
      </w:r>
      <w:r w:rsidRPr="007B4FE2">
        <w:rPr>
          <w:i/>
          <w:szCs w:val="18"/>
          <w:lang w:val="en-GB"/>
        </w:rPr>
        <w:t>WLR</w:t>
      </w:r>
      <w:r w:rsidRPr="007B4FE2">
        <w:rPr>
          <w:szCs w:val="18"/>
          <w:lang w:val="en-GB"/>
        </w:rPr>
        <w:t xml:space="preserve">, 2001, p. 1598 ss. (1637). V. </w:t>
      </w:r>
      <w:proofErr w:type="spellStart"/>
      <w:r w:rsidRPr="007B4FE2">
        <w:rPr>
          <w:szCs w:val="18"/>
          <w:lang w:val="en-GB"/>
        </w:rPr>
        <w:t>anche</w:t>
      </w:r>
      <w:proofErr w:type="spellEnd"/>
      <w:r w:rsidRPr="007B4FE2">
        <w:rPr>
          <w:szCs w:val="18"/>
          <w:lang w:val="en-GB"/>
        </w:rPr>
        <w:t xml:space="preserve"> le </w:t>
      </w:r>
      <w:proofErr w:type="spellStart"/>
      <w:r w:rsidRPr="007B4FE2">
        <w:rPr>
          <w:szCs w:val="18"/>
          <w:lang w:val="en-GB"/>
        </w:rPr>
        <w:t>sentenze</w:t>
      </w:r>
      <w:proofErr w:type="spellEnd"/>
      <w:r w:rsidRPr="007B4FE2">
        <w:rPr>
          <w:szCs w:val="18"/>
          <w:lang w:val="en-GB"/>
        </w:rPr>
        <w:t xml:space="preserve"> del 09.05.</w:t>
      </w:r>
      <w:r w:rsidRPr="007B4FE2">
        <w:rPr>
          <w:iCs/>
          <w:szCs w:val="18"/>
          <w:lang w:val="en-GB"/>
        </w:rPr>
        <w:t>2001,</w:t>
      </w:r>
      <w:r w:rsidRPr="007B4FE2">
        <w:rPr>
          <w:i/>
          <w:szCs w:val="18"/>
          <w:lang w:val="en-GB"/>
        </w:rPr>
        <w:t xml:space="preserve"> </w:t>
      </w:r>
      <w:proofErr w:type="spellStart"/>
      <w:r w:rsidRPr="007B4FE2">
        <w:rPr>
          <w:bCs/>
          <w:i/>
          <w:szCs w:val="18"/>
          <w:lang w:val="en-GB"/>
        </w:rPr>
        <w:t>Alconbury</w:t>
      </w:r>
      <w:proofErr w:type="spellEnd"/>
      <w:r w:rsidRPr="007B4FE2">
        <w:rPr>
          <w:szCs w:val="18"/>
          <w:lang w:val="en-GB"/>
        </w:rPr>
        <w:t xml:space="preserve">; del 22.05.2003, </w:t>
      </w:r>
      <w:r w:rsidRPr="007B4FE2">
        <w:rPr>
          <w:bCs/>
          <w:i/>
          <w:szCs w:val="18"/>
          <w:lang w:val="en-GB"/>
        </w:rPr>
        <w:t>Wrexham County Borough Council v. Berry</w:t>
      </w:r>
      <w:r w:rsidRPr="007B4FE2">
        <w:rPr>
          <w:i/>
          <w:szCs w:val="18"/>
          <w:lang w:val="en-GB"/>
        </w:rPr>
        <w:t xml:space="preserve"> and Others</w:t>
      </w:r>
      <w:r w:rsidRPr="007B4FE2">
        <w:rPr>
          <w:szCs w:val="18"/>
          <w:lang w:val="en-GB"/>
        </w:rPr>
        <w:t xml:space="preserve">; del 15.05.2003, </w:t>
      </w:r>
      <w:r w:rsidRPr="007B4FE2">
        <w:rPr>
          <w:bCs/>
          <w:i/>
          <w:szCs w:val="18"/>
          <w:lang w:val="en-GB"/>
        </w:rPr>
        <w:t>Regina v. British Broadcasting Corporation ex parte Prolife Alliance</w:t>
      </w:r>
      <w:r w:rsidRPr="007B4FE2">
        <w:rPr>
          <w:bCs/>
          <w:szCs w:val="18"/>
          <w:lang w:val="en-GB"/>
        </w:rPr>
        <w:t xml:space="preserve">, </w:t>
      </w:r>
      <w:proofErr w:type="spellStart"/>
      <w:r w:rsidRPr="007B4FE2">
        <w:rPr>
          <w:bCs/>
          <w:szCs w:val="18"/>
          <w:lang w:val="en-GB"/>
        </w:rPr>
        <w:t>tutte</w:t>
      </w:r>
      <w:proofErr w:type="spellEnd"/>
      <w:r w:rsidRPr="007B4FE2">
        <w:rPr>
          <w:bCs/>
          <w:szCs w:val="18"/>
          <w:lang w:val="en-GB"/>
        </w:rPr>
        <w:t xml:space="preserve"> in </w:t>
      </w:r>
      <w:r w:rsidRPr="00F33B13">
        <w:rPr>
          <w:bCs/>
          <w:szCs w:val="18"/>
          <w:lang w:val="en-GB"/>
        </w:rPr>
        <w:t>http://www.publications.parliament.uk</w:t>
      </w:r>
      <w:r w:rsidRPr="007B4FE2">
        <w:rPr>
          <w:bCs/>
          <w:szCs w:val="18"/>
          <w:lang w:val="en-GB"/>
        </w:rPr>
        <w:t>.</w:t>
      </w:r>
    </w:p>
  </w:footnote>
  <w:footnote w:id="93">
    <w:p w:rsidR="0097768D" w:rsidRPr="007B4FE2" w:rsidRDefault="0097768D" w:rsidP="007B4FE2">
      <w:pPr>
        <w:pStyle w:val="Testonotaapidipagina"/>
        <w:rPr>
          <w:szCs w:val="18"/>
          <w:lang w:val="en-GB"/>
        </w:rPr>
      </w:pPr>
      <w:r w:rsidRPr="007B4FE2">
        <w:rPr>
          <w:rStyle w:val="Rimandonotaapidipagina"/>
          <w:sz w:val="18"/>
          <w:szCs w:val="18"/>
        </w:rPr>
        <w:footnoteRef/>
      </w:r>
      <w:r w:rsidRPr="007B4FE2">
        <w:rPr>
          <w:szCs w:val="18"/>
          <w:lang w:val="en-GB"/>
        </w:rPr>
        <w:t xml:space="preserve"> V. </w:t>
      </w:r>
      <w:proofErr w:type="spellStart"/>
      <w:r w:rsidRPr="007B4FE2">
        <w:rPr>
          <w:szCs w:val="18"/>
          <w:lang w:val="en-GB"/>
        </w:rPr>
        <w:t>nella</w:t>
      </w:r>
      <w:proofErr w:type="spellEnd"/>
      <w:r w:rsidRPr="007B4FE2">
        <w:rPr>
          <w:szCs w:val="18"/>
          <w:lang w:val="en-GB"/>
        </w:rPr>
        <w:t xml:space="preserve"> </w:t>
      </w:r>
      <w:proofErr w:type="spellStart"/>
      <w:r w:rsidRPr="007B4FE2">
        <w:rPr>
          <w:szCs w:val="18"/>
          <w:lang w:val="en-GB"/>
        </w:rPr>
        <w:t>sentenza</w:t>
      </w:r>
      <w:proofErr w:type="spellEnd"/>
      <w:r w:rsidRPr="007B4FE2">
        <w:rPr>
          <w:szCs w:val="18"/>
          <w:lang w:val="en-GB"/>
        </w:rPr>
        <w:t xml:space="preserve"> </w:t>
      </w:r>
      <w:proofErr w:type="spellStart"/>
      <w:proofErr w:type="gramStart"/>
      <w:r w:rsidRPr="007B4FE2">
        <w:rPr>
          <w:szCs w:val="18"/>
          <w:lang w:val="en-GB"/>
        </w:rPr>
        <w:t>della</w:t>
      </w:r>
      <w:proofErr w:type="spellEnd"/>
      <w:proofErr w:type="gramEnd"/>
      <w:r w:rsidRPr="007B4FE2">
        <w:rPr>
          <w:szCs w:val="18"/>
          <w:lang w:val="en-GB"/>
        </w:rPr>
        <w:t xml:space="preserve"> House Lords </w:t>
      </w:r>
      <w:r w:rsidRPr="007B4FE2">
        <w:rPr>
          <w:i/>
          <w:iCs/>
          <w:szCs w:val="18"/>
          <w:lang w:val="en-GB"/>
        </w:rPr>
        <w:t>R (Daly) v Secretary of State for the Home Department</w:t>
      </w:r>
      <w:r w:rsidRPr="007B4FE2">
        <w:rPr>
          <w:szCs w:val="18"/>
          <w:lang w:val="en-GB"/>
        </w:rPr>
        <w:t xml:space="preserve"> cit., le </w:t>
      </w:r>
      <w:proofErr w:type="spellStart"/>
      <w:r w:rsidRPr="007B4FE2">
        <w:rPr>
          <w:szCs w:val="18"/>
          <w:lang w:val="en-GB"/>
        </w:rPr>
        <w:t>osservazioni</w:t>
      </w:r>
      <w:proofErr w:type="spellEnd"/>
      <w:r w:rsidRPr="007B4FE2">
        <w:rPr>
          <w:szCs w:val="18"/>
          <w:lang w:val="en-GB"/>
        </w:rPr>
        <w:t xml:space="preserve"> di Lord </w:t>
      </w:r>
      <w:r w:rsidRPr="007B4FE2">
        <w:rPr>
          <w:smallCaps/>
          <w:szCs w:val="18"/>
          <w:lang w:val="en-GB"/>
        </w:rPr>
        <w:t>Steyn</w:t>
      </w:r>
      <w:r w:rsidRPr="007B4FE2">
        <w:rPr>
          <w:szCs w:val="18"/>
          <w:lang w:val="en-GB"/>
        </w:rPr>
        <w:t xml:space="preserve">, </w:t>
      </w:r>
      <w:proofErr w:type="spellStart"/>
      <w:r w:rsidRPr="007B4FE2">
        <w:rPr>
          <w:szCs w:val="18"/>
          <w:lang w:val="en-GB"/>
        </w:rPr>
        <w:t>punto</w:t>
      </w:r>
      <w:proofErr w:type="spellEnd"/>
      <w:r w:rsidRPr="007B4FE2">
        <w:rPr>
          <w:szCs w:val="18"/>
          <w:lang w:val="en-GB"/>
        </w:rPr>
        <w:t xml:space="preserve"> 27 s. </w:t>
      </w:r>
    </w:p>
  </w:footnote>
  <w:footnote w:id="94">
    <w:p w:rsidR="0097768D" w:rsidRPr="007B4FE2" w:rsidRDefault="0097768D" w:rsidP="007B4FE2">
      <w:pPr>
        <w:autoSpaceDE w:val="0"/>
        <w:autoSpaceDN w:val="0"/>
        <w:adjustRightInd w:val="0"/>
        <w:spacing w:after="0" w:line="240" w:lineRule="auto"/>
        <w:jc w:val="both"/>
        <w:rPr>
          <w:rFonts w:ascii="Times New Roman" w:hAnsi="Times New Roman" w:cs="Times New Roman"/>
          <w:sz w:val="18"/>
          <w:szCs w:val="18"/>
          <w:lang w:val="en-GB"/>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en-GB"/>
        </w:rPr>
        <w:t xml:space="preserve"> </w:t>
      </w:r>
      <w:proofErr w:type="spellStart"/>
      <w:r w:rsidRPr="007B4FE2">
        <w:rPr>
          <w:rFonts w:ascii="Times New Roman" w:hAnsi="Times New Roman" w:cs="Times New Roman"/>
          <w:sz w:val="18"/>
          <w:szCs w:val="18"/>
          <w:lang w:val="en-GB"/>
        </w:rPr>
        <w:t>Cfr</w:t>
      </w:r>
      <w:proofErr w:type="spellEnd"/>
      <w:r w:rsidRPr="007B4FE2">
        <w:rPr>
          <w:rFonts w:ascii="Times New Roman" w:hAnsi="Times New Roman" w:cs="Times New Roman"/>
          <w:sz w:val="18"/>
          <w:szCs w:val="18"/>
          <w:lang w:val="en-GB"/>
        </w:rPr>
        <w:t>. M.</w:t>
      </w:r>
      <w:r w:rsidRPr="007B4FE2">
        <w:rPr>
          <w:rFonts w:ascii="Times New Roman" w:hAnsi="Times New Roman" w:cs="Times New Roman"/>
          <w:sz w:val="18"/>
          <w:szCs w:val="18"/>
          <w:lang w:val="en-US"/>
        </w:rPr>
        <w:t xml:space="preserve"> Cohn, </w:t>
      </w:r>
      <w:r w:rsidRPr="007B4FE2">
        <w:rPr>
          <w:rFonts w:ascii="Times New Roman" w:hAnsi="Times New Roman" w:cs="Times New Roman"/>
          <w:i/>
          <w:sz w:val="18"/>
          <w:szCs w:val="18"/>
          <w:lang w:val="en-US"/>
        </w:rPr>
        <w:t>Legal Transplant Chronicles: The Evolution of Unreasonableness and Proportionality Review of the Administration in the United Kingdom</w:t>
      </w:r>
      <w:r w:rsidRPr="007B4FE2">
        <w:rPr>
          <w:rFonts w:ascii="Times New Roman" w:hAnsi="Times New Roman" w:cs="Times New Roman"/>
          <w:sz w:val="18"/>
          <w:szCs w:val="18"/>
          <w:lang w:val="en-US"/>
        </w:rPr>
        <w:t xml:space="preserve">, in </w:t>
      </w:r>
      <w:r w:rsidRPr="007B4FE2">
        <w:rPr>
          <w:rFonts w:ascii="Times New Roman" w:hAnsi="Times New Roman" w:cs="Times New Roman"/>
          <w:i/>
          <w:sz w:val="18"/>
          <w:szCs w:val="18"/>
          <w:lang w:val="en-US"/>
        </w:rPr>
        <w:t>The American Journal of Comparative Law</w:t>
      </w:r>
      <w:r w:rsidRPr="007B4FE2">
        <w:rPr>
          <w:rFonts w:ascii="Times New Roman" w:hAnsi="Times New Roman" w:cs="Times New Roman"/>
          <w:sz w:val="18"/>
          <w:szCs w:val="18"/>
          <w:lang w:val="en-US"/>
        </w:rPr>
        <w:t>, vol. 58/3, 2010, p. 583 ss. (</w:t>
      </w:r>
      <w:r w:rsidRPr="007B4FE2">
        <w:rPr>
          <w:rFonts w:ascii="Times New Roman" w:hAnsi="Times New Roman" w:cs="Times New Roman"/>
          <w:sz w:val="18"/>
          <w:szCs w:val="18"/>
          <w:lang w:val="en-GB"/>
        </w:rPr>
        <w:t>p. 622. .)</w:t>
      </w:r>
      <w:r w:rsidRPr="007B4FE2">
        <w:rPr>
          <w:rFonts w:ascii="Times New Roman" w:hAnsi="Times New Roman" w:cs="Times New Roman"/>
          <w:sz w:val="18"/>
          <w:szCs w:val="18"/>
          <w:lang w:val="en-US"/>
        </w:rPr>
        <w:t>.</w:t>
      </w:r>
    </w:p>
  </w:footnote>
  <w:footnote w:id="95">
    <w:p w:rsidR="0097768D" w:rsidRPr="007B4FE2" w:rsidRDefault="0097768D" w:rsidP="007B4FE2">
      <w:pPr>
        <w:pStyle w:val="Testonotaapidipagina"/>
        <w:rPr>
          <w:szCs w:val="18"/>
          <w:lang w:val="en-US"/>
        </w:rPr>
      </w:pPr>
      <w:r w:rsidRPr="007B4FE2">
        <w:rPr>
          <w:rStyle w:val="Rimandonotaapidipagina"/>
          <w:sz w:val="18"/>
          <w:szCs w:val="18"/>
        </w:rPr>
        <w:footnoteRef/>
      </w:r>
      <w:r w:rsidRPr="007B4FE2">
        <w:rPr>
          <w:szCs w:val="18"/>
          <w:lang w:val="en-US"/>
        </w:rPr>
        <w:t xml:space="preserve"> </w:t>
      </w:r>
      <w:proofErr w:type="gramStart"/>
      <w:r w:rsidRPr="007B4FE2">
        <w:rPr>
          <w:szCs w:val="18"/>
          <w:lang w:val="en-US"/>
        </w:rPr>
        <w:t xml:space="preserve">V. P. Craig, </w:t>
      </w:r>
      <w:r w:rsidRPr="007B4FE2">
        <w:rPr>
          <w:i/>
          <w:szCs w:val="18"/>
          <w:lang w:val="en-US"/>
        </w:rPr>
        <w:t>Proportionality, Rationality and Review</w:t>
      </w:r>
      <w:r w:rsidRPr="007B4FE2">
        <w:rPr>
          <w:szCs w:val="18"/>
          <w:lang w:val="en-US"/>
        </w:rPr>
        <w:t xml:space="preserve">, in </w:t>
      </w:r>
      <w:r w:rsidRPr="007B4FE2">
        <w:rPr>
          <w:i/>
          <w:szCs w:val="18"/>
          <w:lang w:val="en-US"/>
        </w:rPr>
        <w:t>New Zealand Law Review</w:t>
      </w:r>
      <w:r w:rsidRPr="007B4FE2">
        <w:rPr>
          <w:szCs w:val="18"/>
          <w:lang w:val="en-US"/>
        </w:rPr>
        <w:t xml:space="preserve">, 2010/2, p. 265 ss.; T. Hickman, </w:t>
      </w:r>
      <w:r w:rsidRPr="007B4FE2">
        <w:rPr>
          <w:i/>
          <w:szCs w:val="18"/>
          <w:lang w:val="en-US"/>
        </w:rPr>
        <w:t>Problems for Proportionality</w:t>
      </w:r>
      <w:r w:rsidRPr="007B4FE2">
        <w:rPr>
          <w:szCs w:val="18"/>
          <w:lang w:val="en-US"/>
        </w:rPr>
        <w:t xml:space="preserve">, in </w:t>
      </w:r>
      <w:r w:rsidRPr="007B4FE2">
        <w:rPr>
          <w:i/>
          <w:szCs w:val="18"/>
          <w:lang w:val="en-US"/>
        </w:rPr>
        <w:t>New Zealand Law Review</w:t>
      </w:r>
      <w:r w:rsidRPr="007B4FE2">
        <w:rPr>
          <w:szCs w:val="18"/>
          <w:lang w:val="en-US"/>
        </w:rPr>
        <w:t xml:space="preserve">, 2010/2, p. 303 ss.; J. King, </w:t>
      </w:r>
      <w:r w:rsidRPr="007B4FE2">
        <w:rPr>
          <w:i/>
          <w:szCs w:val="18"/>
          <w:lang w:val="en-US"/>
        </w:rPr>
        <w:t>Proportionality: A Halfway House</w:t>
      </w:r>
      <w:r w:rsidRPr="007B4FE2">
        <w:rPr>
          <w:szCs w:val="18"/>
          <w:lang w:val="en-US"/>
        </w:rPr>
        <w:t xml:space="preserve">, in </w:t>
      </w:r>
      <w:r w:rsidRPr="007B4FE2">
        <w:rPr>
          <w:i/>
          <w:szCs w:val="18"/>
          <w:lang w:val="en-US"/>
        </w:rPr>
        <w:t>New Zealand Law Review</w:t>
      </w:r>
      <w:r w:rsidRPr="007B4FE2">
        <w:rPr>
          <w:szCs w:val="18"/>
          <w:lang w:val="en-US"/>
        </w:rPr>
        <w:t xml:space="preserve">, 2010/2, p. 327 ss.; P. Craig, </w:t>
      </w:r>
      <w:r w:rsidRPr="007B4FE2">
        <w:rPr>
          <w:i/>
          <w:szCs w:val="18"/>
          <w:lang w:val="en-GB"/>
        </w:rPr>
        <w:t>Proportionality and Judicial Review</w:t>
      </w:r>
      <w:r w:rsidRPr="007B4FE2">
        <w:rPr>
          <w:szCs w:val="18"/>
          <w:lang w:val="en-GB"/>
        </w:rPr>
        <w:t xml:space="preserve">, p. 145 et ss.; </w:t>
      </w:r>
      <w:r w:rsidRPr="007B4FE2">
        <w:rPr>
          <w:szCs w:val="18"/>
          <w:lang w:val="en-US"/>
        </w:rPr>
        <w:t xml:space="preserve">J. Jowell, </w:t>
      </w:r>
      <w:r w:rsidRPr="007B4FE2">
        <w:rPr>
          <w:i/>
          <w:szCs w:val="18"/>
          <w:lang w:val="en-US"/>
        </w:rPr>
        <w:t>Proportionality and Unreasonableness: Neither Merger nor Takeover</w:t>
      </w:r>
      <w:r w:rsidRPr="007B4FE2">
        <w:rPr>
          <w:szCs w:val="18"/>
          <w:lang w:val="en-US"/>
        </w:rPr>
        <w:t xml:space="preserve">, in H. </w:t>
      </w:r>
      <w:proofErr w:type="spellStart"/>
      <w:r w:rsidRPr="007B4FE2">
        <w:rPr>
          <w:szCs w:val="18"/>
          <w:lang w:val="en-US"/>
        </w:rPr>
        <w:t>Wilberg</w:t>
      </w:r>
      <w:proofErr w:type="spellEnd"/>
      <w:r w:rsidRPr="007B4FE2">
        <w:rPr>
          <w:szCs w:val="18"/>
          <w:lang w:val="en-US"/>
        </w:rPr>
        <w:t xml:space="preserve">, M. Elliott (a </w:t>
      </w:r>
      <w:proofErr w:type="spellStart"/>
      <w:r w:rsidRPr="007B4FE2">
        <w:rPr>
          <w:szCs w:val="18"/>
          <w:lang w:val="en-US"/>
        </w:rPr>
        <w:t>cura</w:t>
      </w:r>
      <w:proofErr w:type="spellEnd"/>
      <w:r w:rsidRPr="007B4FE2">
        <w:rPr>
          <w:szCs w:val="18"/>
          <w:lang w:val="en-US"/>
        </w:rPr>
        <w:t xml:space="preserve"> di), </w:t>
      </w:r>
      <w:r w:rsidRPr="007B4FE2">
        <w:rPr>
          <w:i/>
          <w:szCs w:val="18"/>
          <w:lang w:val="en-US"/>
        </w:rPr>
        <w:t>The Scope and Intensity of Substantive Review.</w:t>
      </w:r>
      <w:proofErr w:type="gramEnd"/>
      <w:r w:rsidRPr="007B4FE2">
        <w:rPr>
          <w:i/>
          <w:szCs w:val="18"/>
          <w:lang w:val="en-US"/>
        </w:rPr>
        <w:t xml:space="preserve"> </w:t>
      </w:r>
      <w:r w:rsidRPr="007B4FE2">
        <w:rPr>
          <w:i/>
          <w:szCs w:val="18"/>
          <w:lang w:val="en-GB"/>
        </w:rPr>
        <w:t>Traversing Taggart's Rainbow</w:t>
      </w:r>
      <w:r w:rsidRPr="007B4FE2">
        <w:rPr>
          <w:szCs w:val="18"/>
          <w:lang w:val="en-GB"/>
        </w:rPr>
        <w:t>, London, 2015, p. 41 ss.</w:t>
      </w:r>
      <w:r w:rsidRPr="007B4FE2">
        <w:rPr>
          <w:szCs w:val="18"/>
          <w:lang w:val="en-AU"/>
        </w:rPr>
        <w:t xml:space="preserve"> </w:t>
      </w:r>
      <w:r w:rsidRPr="007B4FE2">
        <w:rPr>
          <w:szCs w:val="18"/>
          <w:lang w:val="en-US"/>
        </w:rPr>
        <w:t xml:space="preserve">Sui </w:t>
      </w:r>
      <w:proofErr w:type="spellStart"/>
      <w:r w:rsidRPr="007B4FE2">
        <w:rPr>
          <w:szCs w:val="18"/>
          <w:lang w:val="en-US"/>
        </w:rPr>
        <w:t>concetti</w:t>
      </w:r>
      <w:proofErr w:type="spellEnd"/>
      <w:r w:rsidRPr="007B4FE2">
        <w:rPr>
          <w:szCs w:val="18"/>
          <w:lang w:val="en-US"/>
        </w:rPr>
        <w:t xml:space="preserve"> di </w:t>
      </w:r>
      <w:proofErr w:type="spellStart"/>
      <w:r w:rsidRPr="007B4FE2">
        <w:rPr>
          <w:szCs w:val="18"/>
          <w:lang w:val="en-US"/>
        </w:rPr>
        <w:t>ragionevolezza</w:t>
      </w:r>
      <w:proofErr w:type="spellEnd"/>
      <w:r w:rsidRPr="007B4FE2">
        <w:rPr>
          <w:szCs w:val="18"/>
          <w:lang w:val="en-US"/>
        </w:rPr>
        <w:t xml:space="preserve"> e </w:t>
      </w:r>
      <w:proofErr w:type="spellStart"/>
      <w:r w:rsidRPr="007B4FE2">
        <w:rPr>
          <w:szCs w:val="18"/>
          <w:lang w:val="en-US"/>
        </w:rPr>
        <w:t>proporzionalità</w:t>
      </w:r>
      <w:proofErr w:type="spellEnd"/>
      <w:r w:rsidRPr="007B4FE2">
        <w:rPr>
          <w:szCs w:val="18"/>
          <w:lang w:val="en-US"/>
        </w:rPr>
        <w:t xml:space="preserve"> v. </w:t>
      </w:r>
      <w:proofErr w:type="spellStart"/>
      <w:r w:rsidRPr="007B4FE2">
        <w:rPr>
          <w:szCs w:val="18"/>
          <w:lang w:val="en-US"/>
        </w:rPr>
        <w:t>anche</w:t>
      </w:r>
      <w:proofErr w:type="spellEnd"/>
      <w:r w:rsidRPr="007B4FE2">
        <w:rPr>
          <w:szCs w:val="18"/>
          <w:lang w:val="en-US"/>
        </w:rPr>
        <w:t xml:space="preserve">, </w:t>
      </w:r>
      <w:proofErr w:type="spellStart"/>
      <w:r w:rsidRPr="007B4FE2">
        <w:rPr>
          <w:szCs w:val="18"/>
          <w:lang w:val="en-US"/>
        </w:rPr>
        <w:t>più</w:t>
      </w:r>
      <w:proofErr w:type="spellEnd"/>
      <w:r w:rsidRPr="007B4FE2">
        <w:rPr>
          <w:szCs w:val="18"/>
          <w:lang w:val="en-US"/>
        </w:rPr>
        <w:t xml:space="preserve"> di </w:t>
      </w:r>
      <w:proofErr w:type="spellStart"/>
      <w:r w:rsidRPr="007B4FE2">
        <w:rPr>
          <w:szCs w:val="18"/>
          <w:lang w:val="en-US"/>
        </w:rPr>
        <w:t>recente</w:t>
      </w:r>
      <w:proofErr w:type="spellEnd"/>
      <w:r w:rsidRPr="007B4FE2">
        <w:rPr>
          <w:szCs w:val="18"/>
          <w:lang w:val="en-US"/>
        </w:rPr>
        <w:t xml:space="preserve">, </w:t>
      </w:r>
      <w:bookmarkStart w:id="2" w:name="_Hlk18572142"/>
      <w:r w:rsidRPr="007B4FE2">
        <w:rPr>
          <w:szCs w:val="18"/>
          <w:lang w:val="en-US"/>
        </w:rPr>
        <w:t xml:space="preserve">R. </w:t>
      </w:r>
      <w:proofErr w:type="spellStart"/>
      <w:r w:rsidRPr="007B4FE2">
        <w:rPr>
          <w:szCs w:val="18"/>
          <w:lang w:val="en-US"/>
        </w:rPr>
        <w:t>Alexy</w:t>
      </w:r>
      <w:proofErr w:type="spellEnd"/>
      <w:r w:rsidRPr="007B4FE2">
        <w:rPr>
          <w:szCs w:val="18"/>
          <w:lang w:val="en-US"/>
        </w:rPr>
        <w:t xml:space="preserve">, </w:t>
      </w:r>
      <w:r w:rsidRPr="007B4FE2">
        <w:rPr>
          <w:i/>
          <w:szCs w:val="18"/>
          <w:lang w:val="en-US"/>
        </w:rPr>
        <w:t>Proportionality and Rationality</w:t>
      </w:r>
      <w:r w:rsidRPr="007B4FE2">
        <w:rPr>
          <w:szCs w:val="18"/>
          <w:lang w:val="en-US"/>
        </w:rPr>
        <w:t xml:space="preserve">, in M. </w:t>
      </w:r>
      <w:proofErr w:type="spellStart"/>
      <w:r w:rsidRPr="007B4FE2">
        <w:rPr>
          <w:szCs w:val="18"/>
          <w:lang w:val="en-US"/>
        </w:rPr>
        <w:t>Tushnet</w:t>
      </w:r>
      <w:proofErr w:type="spellEnd"/>
      <w:r w:rsidRPr="007B4FE2">
        <w:rPr>
          <w:szCs w:val="18"/>
          <w:lang w:val="en-US"/>
        </w:rPr>
        <w:t xml:space="preserve">, V.C. Jackson (a </w:t>
      </w:r>
      <w:proofErr w:type="spellStart"/>
      <w:r w:rsidRPr="007B4FE2">
        <w:rPr>
          <w:szCs w:val="18"/>
          <w:lang w:val="en-US"/>
        </w:rPr>
        <w:t>cura</w:t>
      </w:r>
      <w:proofErr w:type="spellEnd"/>
      <w:r w:rsidRPr="007B4FE2">
        <w:rPr>
          <w:szCs w:val="18"/>
          <w:lang w:val="en-US"/>
        </w:rPr>
        <w:t xml:space="preserve"> di), </w:t>
      </w:r>
      <w:proofErr w:type="gramStart"/>
      <w:r w:rsidRPr="007B4FE2">
        <w:rPr>
          <w:i/>
          <w:szCs w:val="18"/>
          <w:lang w:val="en-US"/>
        </w:rPr>
        <w:t>Proportionality</w:t>
      </w:r>
      <w:proofErr w:type="gramEnd"/>
      <w:r w:rsidRPr="007B4FE2">
        <w:rPr>
          <w:i/>
          <w:szCs w:val="18"/>
          <w:lang w:val="en-US"/>
        </w:rPr>
        <w:t>: New Frontiers, New Challenges</w:t>
      </w:r>
      <w:r w:rsidRPr="007B4FE2">
        <w:rPr>
          <w:szCs w:val="18"/>
          <w:lang w:val="en-US"/>
        </w:rPr>
        <w:t xml:space="preserve">, Cambridge, 2017, p. </w:t>
      </w:r>
      <w:bookmarkEnd w:id="2"/>
      <w:r w:rsidRPr="007B4FE2">
        <w:rPr>
          <w:szCs w:val="18"/>
          <w:lang w:val="en-US"/>
        </w:rPr>
        <w:t xml:space="preserve">13 ss. </w:t>
      </w:r>
    </w:p>
  </w:footnote>
  <w:footnote w:id="96">
    <w:p w:rsidR="0097768D" w:rsidRPr="007B4FE2" w:rsidRDefault="0097768D" w:rsidP="007B4FE2">
      <w:pPr>
        <w:pStyle w:val="Testonotaapidipagina"/>
        <w:rPr>
          <w:szCs w:val="18"/>
          <w:lang w:val="en-GB"/>
        </w:rPr>
      </w:pPr>
      <w:r w:rsidRPr="007B4FE2">
        <w:rPr>
          <w:rStyle w:val="Rimandonotaapidipagina"/>
          <w:sz w:val="18"/>
          <w:szCs w:val="18"/>
        </w:rPr>
        <w:footnoteRef/>
      </w:r>
      <w:r w:rsidRPr="007B4FE2">
        <w:rPr>
          <w:szCs w:val="18"/>
          <w:lang w:val="en-GB"/>
        </w:rPr>
        <w:t xml:space="preserve"> V. </w:t>
      </w:r>
      <w:r w:rsidRPr="007B4FE2">
        <w:rPr>
          <w:color w:val="000000"/>
          <w:szCs w:val="18"/>
          <w:lang w:val="en-GB"/>
        </w:rPr>
        <w:t xml:space="preserve">T.F. Bathurst, </w:t>
      </w:r>
      <w:r w:rsidRPr="007B4FE2">
        <w:rPr>
          <w:i/>
          <w:color w:val="000000"/>
          <w:szCs w:val="18"/>
          <w:lang w:val="en-GB"/>
        </w:rPr>
        <w:t xml:space="preserve">On to Strasbourg or back to temple? </w:t>
      </w:r>
      <w:r w:rsidRPr="007B4FE2">
        <w:rPr>
          <w:i/>
          <w:color w:val="000000"/>
          <w:szCs w:val="18"/>
        </w:rPr>
        <w:t xml:space="preserve">The future of </w:t>
      </w:r>
      <w:proofErr w:type="spellStart"/>
      <w:r w:rsidRPr="007B4FE2">
        <w:rPr>
          <w:i/>
          <w:color w:val="000000"/>
          <w:szCs w:val="18"/>
        </w:rPr>
        <w:t>European</w:t>
      </w:r>
      <w:proofErr w:type="spellEnd"/>
      <w:r w:rsidRPr="007B4FE2">
        <w:rPr>
          <w:i/>
          <w:color w:val="000000"/>
          <w:szCs w:val="18"/>
        </w:rPr>
        <w:t xml:space="preserve"> law in Australia post-</w:t>
      </w:r>
      <w:proofErr w:type="spellStart"/>
      <w:r w:rsidRPr="007B4FE2">
        <w:rPr>
          <w:i/>
          <w:color w:val="000000"/>
          <w:szCs w:val="18"/>
        </w:rPr>
        <w:t>Brexit</w:t>
      </w:r>
      <w:proofErr w:type="spellEnd"/>
      <w:r w:rsidRPr="007B4FE2">
        <w:rPr>
          <w:color w:val="000000"/>
          <w:szCs w:val="18"/>
        </w:rPr>
        <w:t xml:space="preserve">, nella sua relazione presentata alla “Sydney </w:t>
      </w:r>
      <w:proofErr w:type="spellStart"/>
      <w:r w:rsidRPr="007B4FE2">
        <w:rPr>
          <w:color w:val="000000"/>
          <w:szCs w:val="18"/>
        </w:rPr>
        <w:t>Cpd</w:t>
      </w:r>
      <w:proofErr w:type="spellEnd"/>
      <w:r w:rsidRPr="007B4FE2">
        <w:rPr>
          <w:color w:val="000000"/>
          <w:szCs w:val="18"/>
        </w:rPr>
        <w:t xml:space="preserve"> Conference” del 25 marzo 2017 ed il cui testo si può leggere in http: //www.supremecourt.justice.nsw.gov.au, p. 1 ss.</w:t>
      </w:r>
      <w:r w:rsidRPr="007B4FE2">
        <w:rPr>
          <w:szCs w:val="18"/>
        </w:rPr>
        <w:t xml:space="preserve"> </w:t>
      </w:r>
      <w:proofErr w:type="spellStart"/>
      <w:r w:rsidRPr="007B4FE2">
        <w:rPr>
          <w:szCs w:val="18"/>
          <w:lang w:val="en-GB"/>
        </w:rPr>
        <w:t>Ive</w:t>
      </w:r>
      <w:proofErr w:type="spellEnd"/>
      <w:r w:rsidRPr="007B4FE2">
        <w:rPr>
          <w:szCs w:val="18"/>
          <w:lang w:val="en-GB"/>
        </w:rPr>
        <w:t xml:space="preserve"> </w:t>
      </w:r>
      <w:proofErr w:type="spellStart"/>
      <w:r w:rsidRPr="007B4FE2">
        <w:rPr>
          <w:szCs w:val="18"/>
          <w:lang w:val="en-GB"/>
        </w:rPr>
        <w:t>si</w:t>
      </w:r>
      <w:proofErr w:type="spellEnd"/>
      <w:r w:rsidRPr="007B4FE2">
        <w:rPr>
          <w:szCs w:val="18"/>
          <w:lang w:val="en-GB"/>
        </w:rPr>
        <w:t xml:space="preserve"> </w:t>
      </w:r>
      <w:proofErr w:type="spellStart"/>
      <w:r w:rsidRPr="007B4FE2">
        <w:rPr>
          <w:szCs w:val="18"/>
          <w:lang w:val="en-GB"/>
        </w:rPr>
        <w:t>legge</w:t>
      </w:r>
      <w:proofErr w:type="spellEnd"/>
      <w:r w:rsidRPr="007B4FE2">
        <w:rPr>
          <w:szCs w:val="18"/>
          <w:lang w:val="en-GB"/>
        </w:rPr>
        <w:t xml:space="preserve"> </w:t>
      </w:r>
      <w:proofErr w:type="spellStart"/>
      <w:r w:rsidRPr="007B4FE2">
        <w:rPr>
          <w:szCs w:val="18"/>
          <w:lang w:val="en-GB"/>
        </w:rPr>
        <w:t>che</w:t>
      </w:r>
      <w:proofErr w:type="spellEnd"/>
      <w:r w:rsidRPr="007B4FE2">
        <w:rPr>
          <w:szCs w:val="18"/>
          <w:lang w:val="en-GB"/>
        </w:rPr>
        <w:t xml:space="preserve"> “</w:t>
      </w:r>
      <w:r w:rsidRPr="007B4FE2">
        <w:rPr>
          <w:i/>
          <w:szCs w:val="18"/>
          <w:lang w:val="en-GB"/>
        </w:rPr>
        <w:t>Speaking in Sydney last year, Lord Goldsmith, former Attorney General of England and Wales, embraced the Brexit result as an opportunity to set about ‘the decontamination of English law’</w:t>
      </w:r>
      <w:r w:rsidRPr="007B4FE2">
        <w:rPr>
          <w:szCs w:val="18"/>
          <w:lang w:val="en-GB"/>
        </w:rPr>
        <w:t xml:space="preserve">” (p. 2). A </w:t>
      </w:r>
      <w:proofErr w:type="spellStart"/>
      <w:r w:rsidRPr="007B4FE2">
        <w:rPr>
          <w:szCs w:val="18"/>
          <w:lang w:val="en-GB"/>
        </w:rPr>
        <w:t>questo</w:t>
      </w:r>
      <w:proofErr w:type="spellEnd"/>
      <w:r w:rsidRPr="007B4FE2">
        <w:rPr>
          <w:szCs w:val="18"/>
          <w:lang w:val="en-GB"/>
        </w:rPr>
        <w:t xml:space="preserve"> </w:t>
      </w:r>
      <w:proofErr w:type="spellStart"/>
      <w:r w:rsidRPr="007B4FE2">
        <w:rPr>
          <w:szCs w:val="18"/>
          <w:lang w:val="en-GB"/>
        </w:rPr>
        <w:t>proposito</w:t>
      </w:r>
      <w:proofErr w:type="spellEnd"/>
      <w:r w:rsidRPr="007B4FE2">
        <w:rPr>
          <w:szCs w:val="18"/>
          <w:lang w:val="en-GB"/>
        </w:rPr>
        <w:t xml:space="preserve"> </w:t>
      </w:r>
      <w:proofErr w:type="spellStart"/>
      <w:r w:rsidRPr="007B4FE2">
        <w:rPr>
          <w:szCs w:val="18"/>
          <w:lang w:val="en-GB"/>
        </w:rPr>
        <w:t>si</w:t>
      </w:r>
      <w:proofErr w:type="spellEnd"/>
      <w:r w:rsidRPr="007B4FE2">
        <w:rPr>
          <w:szCs w:val="18"/>
          <w:lang w:val="en-GB"/>
        </w:rPr>
        <w:t xml:space="preserve"> </w:t>
      </w:r>
      <w:proofErr w:type="spellStart"/>
      <w:r w:rsidRPr="007B4FE2">
        <w:rPr>
          <w:szCs w:val="18"/>
          <w:lang w:val="en-GB"/>
        </w:rPr>
        <w:t>veda</w:t>
      </w:r>
      <w:proofErr w:type="spellEnd"/>
      <w:r w:rsidRPr="007B4FE2">
        <w:rPr>
          <w:szCs w:val="18"/>
          <w:lang w:val="en-GB"/>
        </w:rPr>
        <w:t xml:space="preserve"> </w:t>
      </w:r>
      <w:proofErr w:type="spellStart"/>
      <w:r w:rsidRPr="007B4FE2">
        <w:rPr>
          <w:szCs w:val="18"/>
          <w:lang w:val="en-GB"/>
        </w:rPr>
        <w:t>anche</w:t>
      </w:r>
      <w:proofErr w:type="spellEnd"/>
      <w:r w:rsidRPr="007B4FE2">
        <w:rPr>
          <w:szCs w:val="18"/>
          <w:lang w:val="en-GB"/>
        </w:rPr>
        <w:t xml:space="preserve"> </w:t>
      </w:r>
      <w:proofErr w:type="spellStart"/>
      <w:r w:rsidRPr="007B4FE2">
        <w:rPr>
          <w:szCs w:val="18"/>
          <w:lang w:val="en-GB"/>
        </w:rPr>
        <w:t>l’articolo</w:t>
      </w:r>
      <w:proofErr w:type="spellEnd"/>
      <w:r w:rsidRPr="007B4FE2">
        <w:rPr>
          <w:szCs w:val="18"/>
          <w:lang w:val="en-GB"/>
        </w:rPr>
        <w:t xml:space="preserve"> </w:t>
      </w:r>
      <w:proofErr w:type="spellStart"/>
      <w:r w:rsidRPr="007B4FE2">
        <w:rPr>
          <w:szCs w:val="18"/>
          <w:lang w:val="en-GB"/>
        </w:rPr>
        <w:t>pubblicato</w:t>
      </w:r>
      <w:proofErr w:type="spellEnd"/>
      <w:r w:rsidRPr="007B4FE2">
        <w:rPr>
          <w:szCs w:val="18"/>
          <w:lang w:val="en-GB"/>
        </w:rPr>
        <w:t xml:space="preserve"> da Lord Neuberger </w:t>
      </w:r>
      <w:proofErr w:type="spellStart"/>
      <w:r w:rsidRPr="007B4FE2">
        <w:rPr>
          <w:szCs w:val="18"/>
          <w:lang w:val="en-GB"/>
        </w:rPr>
        <w:t>il</w:t>
      </w:r>
      <w:proofErr w:type="spellEnd"/>
      <w:r w:rsidRPr="007B4FE2">
        <w:rPr>
          <w:szCs w:val="18"/>
          <w:lang w:val="en-GB"/>
        </w:rPr>
        <w:t xml:space="preserve"> 6 </w:t>
      </w:r>
      <w:proofErr w:type="spellStart"/>
      <w:r w:rsidRPr="007B4FE2">
        <w:rPr>
          <w:szCs w:val="18"/>
          <w:lang w:val="en-GB"/>
        </w:rPr>
        <w:t>ottobre</w:t>
      </w:r>
      <w:proofErr w:type="spellEnd"/>
      <w:r w:rsidRPr="007B4FE2">
        <w:rPr>
          <w:szCs w:val="18"/>
          <w:lang w:val="en-GB"/>
        </w:rPr>
        <w:t xml:space="preserve"> 2016 con </w:t>
      </w:r>
      <w:proofErr w:type="spellStart"/>
      <w:r w:rsidRPr="007B4FE2">
        <w:rPr>
          <w:szCs w:val="18"/>
          <w:lang w:val="en-GB"/>
        </w:rPr>
        <w:t>l’esplicito</w:t>
      </w:r>
      <w:proofErr w:type="spellEnd"/>
      <w:r w:rsidRPr="007B4FE2">
        <w:rPr>
          <w:szCs w:val="18"/>
          <w:lang w:val="en-GB"/>
        </w:rPr>
        <w:t xml:space="preserve"> </w:t>
      </w:r>
      <w:proofErr w:type="spellStart"/>
      <w:proofErr w:type="gramStart"/>
      <w:r w:rsidRPr="007B4FE2">
        <w:rPr>
          <w:szCs w:val="18"/>
          <w:lang w:val="en-GB"/>
        </w:rPr>
        <w:t>titolo</w:t>
      </w:r>
      <w:proofErr w:type="spellEnd"/>
      <w:r w:rsidRPr="007B4FE2">
        <w:rPr>
          <w:szCs w:val="18"/>
          <w:lang w:val="en-GB"/>
        </w:rPr>
        <w:t> :</w:t>
      </w:r>
      <w:proofErr w:type="gramEnd"/>
      <w:r w:rsidRPr="007B4FE2">
        <w:rPr>
          <w:szCs w:val="18"/>
          <w:lang w:val="en-GB"/>
        </w:rPr>
        <w:t xml:space="preserve"> </w:t>
      </w:r>
      <w:r w:rsidRPr="007B4FE2">
        <w:rPr>
          <w:i/>
          <w:szCs w:val="18"/>
          <w:lang w:val="en-GB"/>
        </w:rPr>
        <w:t>Has the Identity of the English Common Law been Eroded by EU Laws and the European Convention On Human Rights?</w:t>
      </w:r>
      <w:r w:rsidRPr="007B4FE2">
        <w:rPr>
          <w:szCs w:val="18"/>
          <w:lang w:val="en-GB"/>
        </w:rPr>
        <w:t xml:space="preserve">, in http://newjurist.com/has-the-english-common-law-been-eroded-by-eu-laws-and-the-european-convention-on-human-rights.html (ultima </w:t>
      </w:r>
      <w:proofErr w:type="spellStart"/>
      <w:r w:rsidRPr="007B4FE2">
        <w:rPr>
          <w:szCs w:val="18"/>
          <w:lang w:val="en-GB"/>
        </w:rPr>
        <w:t>consultazione</w:t>
      </w:r>
      <w:proofErr w:type="spellEnd"/>
      <w:r w:rsidRPr="007B4FE2">
        <w:rPr>
          <w:szCs w:val="18"/>
          <w:lang w:val="en-GB"/>
        </w:rPr>
        <w:t xml:space="preserve"> 01.01.2020).</w:t>
      </w:r>
    </w:p>
  </w:footnote>
  <w:footnote w:id="97">
    <w:p w:rsidR="0097768D" w:rsidRPr="007B4FE2" w:rsidRDefault="0097768D" w:rsidP="007B4FE2">
      <w:pPr>
        <w:pStyle w:val="Testonotaapidipagina"/>
        <w:rPr>
          <w:szCs w:val="18"/>
          <w:lang w:val="en-GB"/>
        </w:rPr>
      </w:pPr>
      <w:r w:rsidRPr="007B4FE2">
        <w:rPr>
          <w:rStyle w:val="Rimandonotaapidipagina"/>
          <w:sz w:val="18"/>
          <w:szCs w:val="18"/>
        </w:rPr>
        <w:footnoteRef/>
      </w:r>
      <w:r w:rsidRPr="007B4FE2">
        <w:rPr>
          <w:szCs w:val="18"/>
          <w:lang w:val="en-GB"/>
        </w:rPr>
        <w:t xml:space="preserve"> P. Craig, </w:t>
      </w:r>
      <w:r w:rsidRPr="007B4FE2">
        <w:rPr>
          <w:i/>
          <w:szCs w:val="18"/>
          <w:lang w:val="en-GB"/>
        </w:rPr>
        <w:t>Proportionality, Rationality and Review</w:t>
      </w:r>
      <w:r w:rsidRPr="007B4FE2">
        <w:rPr>
          <w:szCs w:val="18"/>
          <w:lang w:val="en-GB"/>
        </w:rPr>
        <w:t xml:space="preserve"> cit., p. 265 ss.</w:t>
      </w:r>
    </w:p>
  </w:footnote>
  <w:footnote w:id="98">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Nel corso del mio recente soggiorno di tre mesi (luglio-settembre 2019), come</w:t>
      </w:r>
      <w:r w:rsidRPr="00A86C9B">
        <w:rPr>
          <w:i/>
          <w:szCs w:val="18"/>
        </w:rPr>
        <w:t xml:space="preserve"> </w:t>
      </w:r>
      <w:proofErr w:type="spellStart"/>
      <w:r w:rsidRPr="00A86C9B">
        <w:rPr>
          <w:i/>
          <w:szCs w:val="18"/>
        </w:rPr>
        <w:t>Visiting</w:t>
      </w:r>
      <w:proofErr w:type="spellEnd"/>
      <w:r w:rsidRPr="00A86C9B">
        <w:rPr>
          <w:i/>
          <w:szCs w:val="18"/>
        </w:rPr>
        <w:t xml:space="preserve"> Professor</w:t>
      </w:r>
      <w:r w:rsidRPr="007B4FE2">
        <w:rPr>
          <w:szCs w:val="18"/>
        </w:rPr>
        <w:t xml:space="preserve">, presso </w:t>
      </w:r>
      <w:r w:rsidR="00A86C9B">
        <w:rPr>
          <w:szCs w:val="18"/>
        </w:rPr>
        <w:t xml:space="preserve">la </w:t>
      </w:r>
      <w:proofErr w:type="spellStart"/>
      <w:r w:rsidR="00A86C9B" w:rsidRPr="00A86C9B">
        <w:rPr>
          <w:i/>
          <w:szCs w:val="18"/>
        </w:rPr>
        <w:t>University</w:t>
      </w:r>
      <w:proofErr w:type="spellEnd"/>
      <w:r w:rsidR="00A86C9B" w:rsidRPr="00A86C9B">
        <w:rPr>
          <w:i/>
          <w:szCs w:val="18"/>
        </w:rPr>
        <w:t xml:space="preserve"> of </w:t>
      </w:r>
      <w:r w:rsidRPr="00A86C9B">
        <w:rPr>
          <w:i/>
          <w:szCs w:val="18"/>
        </w:rPr>
        <w:t>Sydney</w:t>
      </w:r>
      <w:r w:rsidRPr="007B4FE2">
        <w:rPr>
          <w:szCs w:val="18"/>
        </w:rPr>
        <w:t>,</w:t>
      </w:r>
      <w:r w:rsidR="00EE74BA">
        <w:rPr>
          <w:szCs w:val="18"/>
        </w:rPr>
        <w:t xml:space="preserve"> </w:t>
      </w:r>
      <w:r w:rsidR="00A86C9B">
        <w:rPr>
          <w:szCs w:val="18"/>
        </w:rPr>
        <w:t>di Sydney/</w:t>
      </w:r>
      <w:r w:rsidRPr="007B4FE2">
        <w:rPr>
          <w:szCs w:val="18"/>
        </w:rPr>
        <w:t xml:space="preserve">Australia. </w:t>
      </w:r>
    </w:p>
  </w:footnote>
  <w:footnote w:id="99">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w:t>
      </w:r>
      <w:r w:rsidRPr="007B4FE2">
        <w:rPr>
          <w:rStyle w:val="tlid-translation"/>
          <w:szCs w:val="18"/>
        </w:rPr>
        <w:t>Vedi in particolare gli articoli pubblicati nel numero speciale</w:t>
      </w:r>
      <w:r w:rsidRPr="007B4FE2">
        <w:rPr>
          <w:szCs w:val="18"/>
        </w:rPr>
        <w:t xml:space="preserve"> della </w:t>
      </w:r>
      <w:r w:rsidRPr="007B4FE2">
        <w:rPr>
          <w:i/>
          <w:szCs w:val="18"/>
        </w:rPr>
        <w:t xml:space="preserve">New Zealand Law </w:t>
      </w:r>
      <w:proofErr w:type="spellStart"/>
      <w:r w:rsidRPr="007B4FE2">
        <w:rPr>
          <w:i/>
          <w:szCs w:val="18"/>
        </w:rPr>
        <w:t>Review</w:t>
      </w:r>
      <w:proofErr w:type="spellEnd"/>
      <w:r w:rsidRPr="007B4FE2">
        <w:rPr>
          <w:i/>
          <w:szCs w:val="18"/>
        </w:rPr>
        <w:t xml:space="preserve"> </w:t>
      </w:r>
      <w:r w:rsidRPr="007B4FE2">
        <w:rPr>
          <w:szCs w:val="18"/>
        </w:rPr>
        <w:t>2010, no. 2 (2010), p. 229 ss.</w:t>
      </w:r>
    </w:p>
  </w:footnote>
  <w:footnote w:id="100">
    <w:p w:rsidR="0097768D" w:rsidRPr="00AA5BCE" w:rsidRDefault="0097768D"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en-GB"/>
        </w:rPr>
        <w:t xml:space="preserve"> V. in </w:t>
      </w:r>
      <w:proofErr w:type="spellStart"/>
      <w:r w:rsidRPr="007B4FE2">
        <w:rPr>
          <w:rFonts w:ascii="Times New Roman" w:hAnsi="Times New Roman" w:cs="Times New Roman"/>
          <w:sz w:val="18"/>
          <w:szCs w:val="18"/>
          <w:lang w:val="en-GB"/>
        </w:rPr>
        <w:t>particolare</w:t>
      </w:r>
      <w:proofErr w:type="spellEnd"/>
      <w:r w:rsidRPr="007B4FE2">
        <w:rPr>
          <w:rFonts w:ascii="Times New Roman" w:hAnsi="Times New Roman" w:cs="Times New Roman"/>
          <w:sz w:val="18"/>
          <w:szCs w:val="18"/>
          <w:lang w:val="en-GB"/>
        </w:rPr>
        <w:t xml:space="preserve"> J. </w:t>
      </w:r>
      <w:proofErr w:type="spellStart"/>
      <w:r w:rsidRPr="007B4FE2">
        <w:rPr>
          <w:rFonts w:ascii="Times New Roman" w:hAnsi="Times New Roman" w:cs="Times New Roman"/>
          <w:sz w:val="18"/>
          <w:szCs w:val="18"/>
          <w:lang w:val="en-GB"/>
        </w:rPr>
        <w:t>Boughey</w:t>
      </w:r>
      <w:proofErr w:type="spellEnd"/>
      <w:r w:rsidRPr="007B4FE2">
        <w:rPr>
          <w:rFonts w:ascii="Times New Roman" w:hAnsi="Times New Roman" w:cs="Times New Roman"/>
          <w:sz w:val="18"/>
          <w:szCs w:val="18"/>
          <w:lang w:val="en-GB"/>
        </w:rPr>
        <w:t xml:space="preserve">, </w:t>
      </w:r>
      <w:r w:rsidRPr="007B4FE2">
        <w:rPr>
          <w:rFonts w:ascii="Times New Roman" w:hAnsi="Times New Roman" w:cs="Times New Roman"/>
          <w:i/>
          <w:sz w:val="18"/>
          <w:szCs w:val="18"/>
          <w:lang w:val="en-GB"/>
        </w:rPr>
        <w:t>The Reasonableness of Proportionality in the Australian Administrative Law Context</w:t>
      </w:r>
      <w:r w:rsidRPr="007B4FE2">
        <w:rPr>
          <w:rFonts w:ascii="Times New Roman" w:hAnsi="Times New Roman" w:cs="Times New Roman"/>
          <w:sz w:val="18"/>
          <w:szCs w:val="18"/>
          <w:lang w:val="en-GB"/>
        </w:rPr>
        <w:t xml:space="preserve">, in </w:t>
      </w:r>
      <w:r w:rsidRPr="007B4FE2">
        <w:rPr>
          <w:rFonts w:ascii="Times New Roman" w:hAnsi="Times New Roman" w:cs="Times New Roman"/>
          <w:i/>
          <w:sz w:val="18"/>
          <w:szCs w:val="18"/>
          <w:lang w:val="en-GB"/>
        </w:rPr>
        <w:t>Federal Law Review</w:t>
      </w:r>
      <w:r w:rsidRPr="007B4FE2">
        <w:rPr>
          <w:rFonts w:ascii="Times New Roman" w:hAnsi="Times New Roman" w:cs="Times New Roman"/>
          <w:sz w:val="18"/>
          <w:szCs w:val="18"/>
          <w:lang w:val="en-GB"/>
        </w:rPr>
        <w:t xml:space="preserve">, vol. 43/1, 2015, p. 59 ss. </w:t>
      </w:r>
      <w:r w:rsidRPr="00AA5BCE">
        <w:rPr>
          <w:rFonts w:ascii="Times New Roman" w:hAnsi="Times New Roman" w:cs="Times New Roman"/>
          <w:sz w:val="18"/>
          <w:szCs w:val="18"/>
        </w:rPr>
        <w:t xml:space="preserve">Più in generale, Sul dibattito a livello internazionale si veda (in modo riassuntivo) M. Klatt, M. Meister, </w:t>
      </w:r>
      <w:r w:rsidRPr="00AA5BCE">
        <w:rPr>
          <w:rFonts w:ascii="Times New Roman" w:hAnsi="Times New Roman" w:cs="Times New Roman"/>
          <w:i/>
          <w:sz w:val="18"/>
          <w:szCs w:val="18"/>
        </w:rPr>
        <w:t>Verhältnismässigkeit als universelles Verfassungsprinzip</w:t>
      </w:r>
      <w:r w:rsidRPr="00AA5BCE">
        <w:rPr>
          <w:rFonts w:ascii="Times New Roman" w:hAnsi="Times New Roman" w:cs="Times New Roman"/>
          <w:sz w:val="18"/>
          <w:szCs w:val="18"/>
        </w:rPr>
        <w:t xml:space="preserve">, in </w:t>
      </w:r>
      <w:r w:rsidRPr="00AA5BCE">
        <w:rPr>
          <w:rFonts w:ascii="Times New Roman" w:hAnsi="Times New Roman" w:cs="Times New Roman"/>
          <w:i/>
          <w:sz w:val="18"/>
          <w:szCs w:val="18"/>
        </w:rPr>
        <w:t>Der Staat</w:t>
      </w:r>
      <w:r w:rsidRPr="00AA5BCE">
        <w:rPr>
          <w:rFonts w:ascii="Times New Roman" w:hAnsi="Times New Roman" w:cs="Times New Roman"/>
          <w:sz w:val="18"/>
          <w:szCs w:val="18"/>
        </w:rPr>
        <w:t>, 2012, p. 159 ss.</w:t>
      </w:r>
    </w:p>
  </w:footnote>
  <w:footnote w:id="101">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A questo riguardo si rinvia da ultimo a L. Baroni, </w:t>
      </w:r>
      <w:r w:rsidRPr="007B4FE2">
        <w:rPr>
          <w:i/>
          <w:szCs w:val="18"/>
        </w:rPr>
        <w:t>I modelli di amministrazione: diretta, indiretta e altre forme “intrecciate”</w:t>
      </w:r>
      <w:r w:rsidRPr="007B4FE2">
        <w:rPr>
          <w:szCs w:val="18"/>
        </w:rPr>
        <w:t xml:space="preserve">, in D.U </w:t>
      </w:r>
      <w:proofErr w:type="spellStart"/>
      <w:r w:rsidRPr="007B4FE2">
        <w:rPr>
          <w:szCs w:val="18"/>
        </w:rPr>
        <w:t>Galetta</w:t>
      </w:r>
      <w:proofErr w:type="spellEnd"/>
      <w:r w:rsidRPr="007B4FE2">
        <w:rPr>
          <w:szCs w:val="18"/>
        </w:rPr>
        <w:t xml:space="preserve"> (a cura di), </w:t>
      </w:r>
      <w:r w:rsidRPr="007B4FE2">
        <w:rPr>
          <w:i/>
          <w:szCs w:val="18"/>
        </w:rPr>
        <w:t>Il Diritto Amministrativo nell’Unione Europea. Argomenti (e materiali</w:t>
      </w:r>
      <w:r w:rsidRPr="007B4FE2">
        <w:rPr>
          <w:szCs w:val="18"/>
        </w:rPr>
        <w:t xml:space="preserve">), Torino, 2020, di prossima pubblicazione e dottrina ivi ampiamente richiamata. </w:t>
      </w:r>
    </w:p>
  </w:footnote>
  <w:footnote w:id="102">
    <w:p w:rsidR="0097768D" w:rsidRPr="007B4FE2" w:rsidRDefault="0097768D" w:rsidP="007B4FE2">
      <w:pPr>
        <w:autoSpaceDE w:val="0"/>
        <w:autoSpaceDN w:val="0"/>
        <w:adjustRightInd w:val="0"/>
        <w:spacing w:after="0" w:line="240" w:lineRule="auto"/>
        <w:jc w:val="both"/>
        <w:rPr>
          <w:rFonts w:ascii="Times New Roman" w:hAnsi="Times New Roman" w:cs="Times New Roman"/>
          <w:sz w:val="18"/>
          <w:szCs w:val="18"/>
          <w:lang w:val="de-DE"/>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fr-FR"/>
        </w:rPr>
        <w:t xml:space="preserve"> </w:t>
      </w:r>
      <w:proofErr w:type="spellStart"/>
      <w:r w:rsidRPr="007B4FE2">
        <w:rPr>
          <w:rFonts w:ascii="Times New Roman" w:hAnsi="Times New Roman" w:cs="Times New Roman"/>
          <w:sz w:val="18"/>
          <w:szCs w:val="18"/>
          <w:lang w:val="fr-FR"/>
        </w:rPr>
        <w:t>Così</w:t>
      </w:r>
      <w:proofErr w:type="spellEnd"/>
      <w:r w:rsidRPr="007B4FE2">
        <w:rPr>
          <w:rFonts w:ascii="Times New Roman" w:hAnsi="Times New Roman" w:cs="Times New Roman"/>
          <w:sz w:val="18"/>
          <w:szCs w:val="18"/>
          <w:lang w:val="fr-FR"/>
        </w:rPr>
        <w:t xml:space="preserve"> M. </w:t>
      </w:r>
      <w:proofErr w:type="spellStart"/>
      <w:r w:rsidRPr="007B4FE2">
        <w:rPr>
          <w:rFonts w:ascii="Times New Roman" w:hAnsi="Times New Roman" w:cs="Times New Roman"/>
          <w:sz w:val="18"/>
          <w:szCs w:val="18"/>
          <w:lang w:val="fr-FR"/>
        </w:rPr>
        <w:t>Fromont</w:t>
      </w:r>
      <w:proofErr w:type="spellEnd"/>
      <w:r w:rsidRPr="007B4FE2">
        <w:rPr>
          <w:rFonts w:ascii="Times New Roman" w:hAnsi="Times New Roman" w:cs="Times New Roman"/>
          <w:sz w:val="18"/>
          <w:szCs w:val="18"/>
          <w:lang w:val="fr-FR"/>
        </w:rPr>
        <w:t xml:space="preserve">, </w:t>
      </w:r>
      <w:r w:rsidRPr="007B4FE2">
        <w:rPr>
          <w:rFonts w:ascii="Times New Roman" w:hAnsi="Times New Roman" w:cs="Times New Roman"/>
          <w:i/>
          <w:iCs/>
          <w:sz w:val="18"/>
          <w:szCs w:val="18"/>
          <w:lang w:val="fr-FR"/>
        </w:rPr>
        <w:t>Le principe de proportionnalité</w:t>
      </w:r>
      <w:r w:rsidRPr="007B4FE2">
        <w:rPr>
          <w:rFonts w:ascii="Times New Roman" w:hAnsi="Times New Roman" w:cs="Times New Roman"/>
          <w:sz w:val="18"/>
          <w:szCs w:val="18"/>
          <w:lang w:val="fr-FR"/>
        </w:rPr>
        <w:t xml:space="preserve">, in </w:t>
      </w:r>
      <w:r w:rsidRPr="007B4FE2">
        <w:rPr>
          <w:rFonts w:ascii="Times New Roman" w:hAnsi="Times New Roman" w:cs="Times New Roman"/>
          <w:i/>
          <w:sz w:val="18"/>
          <w:szCs w:val="18"/>
          <w:lang w:val="fr-FR"/>
        </w:rPr>
        <w:t>Actualité juridique-droit administratif</w:t>
      </w:r>
      <w:r w:rsidRPr="007B4FE2">
        <w:rPr>
          <w:rFonts w:ascii="Times New Roman" w:hAnsi="Times New Roman" w:cs="Times New Roman"/>
          <w:sz w:val="18"/>
          <w:szCs w:val="18"/>
          <w:lang w:val="fr-FR"/>
        </w:rPr>
        <w:t xml:space="preserve">, 1995, n° spécial, p. 156 </w:t>
      </w:r>
      <w:proofErr w:type="spellStart"/>
      <w:r w:rsidRPr="007B4FE2">
        <w:rPr>
          <w:rFonts w:ascii="Times New Roman" w:hAnsi="Times New Roman" w:cs="Times New Roman"/>
          <w:sz w:val="18"/>
          <w:szCs w:val="18"/>
          <w:lang w:val="fr-FR"/>
        </w:rPr>
        <w:t>ss</w:t>
      </w:r>
      <w:proofErr w:type="spellEnd"/>
      <w:r w:rsidRPr="007B4FE2">
        <w:rPr>
          <w:rFonts w:ascii="Times New Roman" w:hAnsi="Times New Roman" w:cs="Times New Roman"/>
          <w:sz w:val="18"/>
          <w:szCs w:val="18"/>
          <w:lang w:val="fr-FR"/>
        </w:rPr>
        <w:t xml:space="preserve">. </w:t>
      </w:r>
      <w:r w:rsidRPr="007B4FE2">
        <w:rPr>
          <w:rFonts w:ascii="Times New Roman" w:hAnsi="Times New Roman" w:cs="Times New Roman"/>
          <w:sz w:val="18"/>
          <w:szCs w:val="18"/>
          <w:lang w:val="de-DE"/>
        </w:rPr>
        <w:t xml:space="preserve">Più di </w:t>
      </w:r>
      <w:proofErr w:type="spellStart"/>
      <w:r w:rsidRPr="007B4FE2">
        <w:rPr>
          <w:rFonts w:ascii="Times New Roman" w:hAnsi="Times New Roman" w:cs="Times New Roman"/>
          <w:sz w:val="18"/>
          <w:szCs w:val="18"/>
          <w:lang w:val="de-DE"/>
        </w:rPr>
        <w:t>recente</w:t>
      </w:r>
      <w:proofErr w:type="spellEnd"/>
      <w:r w:rsidRPr="007B4FE2">
        <w:rPr>
          <w:rFonts w:ascii="Times New Roman" w:hAnsi="Times New Roman" w:cs="Times New Roman"/>
          <w:sz w:val="18"/>
          <w:szCs w:val="18"/>
          <w:lang w:val="de-DE"/>
        </w:rPr>
        <w:t xml:space="preserve"> </w:t>
      </w:r>
      <w:proofErr w:type="spellStart"/>
      <w:r w:rsidRPr="007B4FE2">
        <w:rPr>
          <w:rFonts w:ascii="Times New Roman" w:hAnsi="Times New Roman" w:cs="Times New Roman"/>
          <w:sz w:val="18"/>
          <w:szCs w:val="18"/>
          <w:lang w:val="de-DE"/>
        </w:rPr>
        <w:t>anche</w:t>
      </w:r>
      <w:proofErr w:type="spellEnd"/>
      <w:r w:rsidRPr="007B4FE2">
        <w:rPr>
          <w:rFonts w:ascii="Times New Roman" w:hAnsi="Times New Roman" w:cs="Times New Roman"/>
          <w:sz w:val="18"/>
          <w:szCs w:val="18"/>
          <w:lang w:val="de-DE"/>
        </w:rPr>
        <w:t xml:space="preserve"> </w:t>
      </w:r>
      <w:r w:rsidRPr="007B4FE2">
        <w:rPr>
          <w:rFonts w:ascii="Times New Roman" w:hAnsi="Times New Roman" w:cs="Times New Roman"/>
          <w:bCs/>
          <w:sz w:val="18"/>
          <w:szCs w:val="18"/>
          <w:lang w:val="de-DE"/>
        </w:rPr>
        <w:t xml:space="preserve">O. </w:t>
      </w:r>
      <w:r w:rsidRPr="007B4FE2">
        <w:rPr>
          <w:rFonts w:ascii="Times New Roman" w:hAnsi="Times New Roman" w:cs="Times New Roman"/>
          <w:color w:val="000000"/>
          <w:sz w:val="18"/>
          <w:szCs w:val="18"/>
          <w:lang w:val="de-DE"/>
        </w:rPr>
        <w:t xml:space="preserve">Koch, </w:t>
      </w:r>
      <w:r w:rsidRPr="007B4FE2">
        <w:rPr>
          <w:rFonts w:ascii="Times New Roman" w:hAnsi="Times New Roman" w:cs="Times New Roman"/>
          <w:i/>
          <w:color w:val="000000"/>
          <w:sz w:val="18"/>
          <w:szCs w:val="18"/>
          <w:lang w:val="de-DE"/>
        </w:rPr>
        <w:t>Der Grundsatz der Verhältnismäßigkeit in der Rechtsprechung des Gerichtshofs der Europäischen Gemeinschaften</w:t>
      </w:r>
      <w:r w:rsidRPr="007B4FE2">
        <w:rPr>
          <w:rFonts w:ascii="Times New Roman" w:hAnsi="Times New Roman" w:cs="Times New Roman"/>
          <w:color w:val="000000"/>
          <w:sz w:val="18"/>
          <w:szCs w:val="18"/>
          <w:lang w:val="de-DE"/>
        </w:rPr>
        <w:t>, Berlin, 2003, p.</w:t>
      </w:r>
      <w:r w:rsidRPr="007B4FE2">
        <w:rPr>
          <w:rFonts w:ascii="Times New Roman" w:hAnsi="Times New Roman" w:cs="Times New Roman"/>
          <w:i/>
          <w:color w:val="000000"/>
          <w:sz w:val="18"/>
          <w:szCs w:val="18"/>
          <w:lang w:val="de-DE"/>
        </w:rPr>
        <w:t xml:space="preserve"> </w:t>
      </w:r>
      <w:r w:rsidRPr="007B4FE2">
        <w:rPr>
          <w:rFonts w:ascii="Times New Roman" w:hAnsi="Times New Roman" w:cs="Times New Roman"/>
          <w:color w:val="000000"/>
          <w:sz w:val="18"/>
          <w:szCs w:val="18"/>
          <w:lang w:val="de-DE"/>
        </w:rPr>
        <w:t>198 s.</w:t>
      </w:r>
    </w:p>
  </w:footnote>
  <w:footnote w:id="103">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Al riguardo rinvio ai miei vari scritti sul tema già cit. alle note precedenti. </w:t>
      </w:r>
    </w:p>
  </w:footnote>
  <w:footnote w:id="104">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Così ad es. Corte </w:t>
      </w:r>
      <w:proofErr w:type="spellStart"/>
      <w:r w:rsidRPr="007B4FE2">
        <w:rPr>
          <w:szCs w:val="18"/>
        </w:rPr>
        <w:t>giust</w:t>
      </w:r>
      <w:proofErr w:type="spellEnd"/>
      <w:r w:rsidRPr="007B4FE2">
        <w:rPr>
          <w:szCs w:val="18"/>
        </w:rPr>
        <w:t xml:space="preserve">. 18 maggio </w:t>
      </w:r>
      <w:smartTag w:uri="urn:schemas-microsoft-com:office:smarttags" w:element="metricconverter">
        <w:smartTagPr>
          <w:attr w:name="ProductID" w:val="1993, in"/>
        </w:smartTagPr>
        <w:r w:rsidRPr="007B4FE2">
          <w:rPr>
            <w:szCs w:val="18"/>
          </w:rPr>
          <w:t>1993, in</w:t>
        </w:r>
      </w:smartTag>
      <w:r w:rsidRPr="007B4FE2">
        <w:rPr>
          <w:szCs w:val="18"/>
        </w:rPr>
        <w:t xml:space="preserve"> causa C-126/91, </w:t>
      </w:r>
      <w:r w:rsidRPr="007B4FE2">
        <w:rPr>
          <w:i/>
          <w:szCs w:val="18"/>
        </w:rPr>
        <w:t xml:space="preserve">Yves </w:t>
      </w:r>
      <w:proofErr w:type="spellStart"/>
      <w:r w:rsidRPr="007B4FE2">
        <w:rPr>
          <w:i/>
          <w:szCs w:val="18"/>
        </w:rPr>
        <w:t>Rocher</w:t>
      </w:r>
      <w:proofErr w:type="spellEnd"/>
      <w:r w:rsidRPr="007B4FE2">
        <w:rPr>
          <w:szCs w:val="18"/>
        </w:rPr>
        <w:t xml:space="preserve">, </w:t>
      </w:r>
      <w:r w:rsidRPr="007B4FE2">
        <w:rPr>
          <w:szCs w:val="18"/>
        </w:rPr>
        <w:br/>
      </w:r>
      <w:proofErr w:type="gramStart"/>
      <w:r w:rsidRPr="007B4FE2">
        <w:rPr>
          <w:rStyle w:val="outputecliaff"/>
          <w:szCs w:val="18"/>
        </w:rPr>
        <w:t>ECLI:EU</w:t>
      </w:r>
      <w:proofErr w:type="gramEnd"/>
      <w:r w:rsidRPr="007B4FE2">
        <w:rPr>
          <w:rStyle w:val="outputecliaff"/>
          <w:szCs w:val="18"/>
        </w:rPr>
        <w:t xml:space="preserve">:C:1993:19, anche </w:t>
      </w:r>
      <w:r w:rsidRPr="007B4FE2">
        <w:rPr>
          <w:szCs w:val="18"/>
        </w:rPr>
        <w:t xml:space="preserve">in </w:t>
      </w:r>
      <w:r w:rsidRPr="007B4FE2">
        <w:rPr>
          <w:i/>
          <w:szCs w:val="18"/>
        </w:rPr>
        <w:t>RIDPC</w:t>
      </w:r>
      <w:r w:rsidRPr="007B4FE2">
        <w:rPr>
          <w:szCs w:val="18"/>
        </w:rPr>
        <w:t xml:space="preserve">, 1993, p. 833 ss., con nota di chi scrive, p. 836 ss. Più di recente v.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10 marzo </w:t>
      </w:r>
      <w:smartTag w:uri="urn:schemas-microsoft-com:office:smarttags" w:element="metricconverter">
        <w:smartTagPr>
          <w:attr w:name="ProductID" w:val="2005, in"/>
        </w:smartTagPr>
        <w:r w:rsidRPr="007B4FE2">
          <w:rPr>
            <w:szCs w:val="18"/>
          </w:rPr>
          <w:t>2005, in</w:t>
        </w:r>
      </w:smartTag>
      <w:r w:rsidRPr="007B4FE2">
        <w:rPr>
          <w:szCs w:val="18"/>
        </w:rPr>
        <w:t xml:space="preserve"> cause </w:t>
      </w:r>
      <w:proofErr w:type="spellStart"/>
      <w:r w:rsidRPr="007B4FE2">
        <w:rPr>
          <w:szCs w:val="18"/>
        </w:rPr>
        <w:t>riun</w:t>
      </w:r>
      <w:proofErr w:type="spellEnd"/>
      <w:r w:rsidRPr="007B4FE2">
        <w:rPr>
          <w:szCs w:val="18"/>
        </w:rPr>
        <w:t xml:space="preserve">. C-96 e 97/03, </w:t>
      </w:r>
      <w:proofErr w:type="spellStart"/>
      <w:r w:rsidRPr="007B4FE2">
        <w:rPr>
          <w:i/>
          <w:szCs w:val="18"/>
        </w:rPr>
        <w:t>Tempelman</w:t>
      </w:r>
      <w:proofErr w:type="spellEnd"/>
      <w:r w:rsidRPr="007B4FE2">
        <w:rPr>
          <w:szCs w:val="18"/>
        </w:rPr>
        <w:t xml:space="preserve">, </w:t>
      </w:r>
      <w:proofErr w:type="gramStart"/>
      <w:r w:rsidRPr="007B4FE2">
        <w:rPr>
          <w:rStyle w:val="outputecliaff"/>
          <w:szCs w:val="18"/>
        </w:rPr>
        <w:t>ECLI:EU</w:t>
      </w:r>
      <w:proofErr w:type="gramEnd"/>
      <w:r w:rsidRPr="007B4FE2">
        <w:rPr>
          <w:rStyle w:val="outputecliaff"/>
          <w:szCs w:val="18"/>
        </w:rPr>
        <w:t xml:space="preserve">:C:2005:145, </w:t>
      </w:r>
      <w:r w:rsidRPr="007B4FE2">
        <w:rPr>
          <w:szCs w:val="18"/>
        </w:rPr>
        <w:t>punto 47.</w:t>
      </w:r>
    </w:p>
  </w:footnote>
  <w:footnote w:id="105">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Così ad es.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2 maggio </w:t>
      </w:r>
      <w:smartTag w:uri="urn:schemas-microsoft-com:office:smarttags" w:element="metricconverter">
        <w:smartTagPr>
          <w:attr w:name="ProductID" w:val="1990, in"/>
        </w:smartTagPr>
        <w:r w:rsidRPr="007B4FE2">
          <w:rPr>
            <w:szCs w:val="18"/>
          </w:rPr>
          <w:t>1990, in</w:t>
        </w:r>
      </w:smartTag>
      <w:r w:rsidRPr="007B4FE2">
        <w:rPr>
          <w:szCs w:val="18"/>
        </w:rPr>
        <w:t xml:space="preserve"> causa C-357/88, </w:t>
      </w:r>
      <w:proofErr w:type="spellStart"/>
      <w:r w:rsidRPr="007B4FE2">
        <w:rPr>
          <w:i/>
          <w:szCs w:val="18"/>
        </w:rPr>
        <w:t>Hopermann</w:t>
      </w:r>
      <w:proofErr w:type="spellEnd"/>
      <w:r w:rsidRPr="007B4FE2">
        <w:rPr>
          <w:i/>
          <w:szCs w:val="18"/>
        </w:rPr>
        <w:t xml:space="preserve">, </w:t>
      </w:r>
      <w:r w:rsidRPr="007B4FE2">
        <w:rPr>
          <w:szCs w:val="18"/>
        </w:rPr>
        <w:t xml:space="preserve">in </w:t>
      </w:r>
      <w:proofErr w:type="spellStart"/>
      <w:r w:rsidRPr="007B4FE2">
        <w:rPr>
          <w:i/>
          <w:szCs w:val="18"/>
        </w:rPr>
        <w:t>Racc</w:t>
      </w:r>
      <w:proofErr w:type="spellEnd"/>
      <w:r w:rsidRPr="007B4FE2">
        <w:rPr>
          <w:i/>
          <w:szCs w:val="18"/>
        </w:rPr>
        <w:t>.,</w:t>
      </w:r>
      <w:r w:rsidRPr="007B4FE2">
        <w:rPr>
          <w:szCs w:val="18"/>
        </w:rPr>
        <w:t xml:space="preserve"> 1990, p. I-1669 ss.. </w:t>
      </w:r>
      <w:proofErr w:type="spellStart"/>
      <w:r w:rsidRPr="007B4FE2">
        <w:rPr>
          <w:szCs w:val="18"/>
          <w:lang w:val="de-DE"/>
        </w:rPr>
        <w:t>Cfr</w:t>
      </w:r>
      <w:proofErr w:type="spellEnd"/>
      <w:r w:rsidRPr="007B4FE2">
        <w:rPr>
          <w:szCs w:val="18"/>
          <w:lang w:val="de-DE"/>
        </w:rPr>
        <w:t xml:space="preserve">. sul </w:t>
      </w:r>
      <w:proofErr w:type="spellStart"/>
      <w:r w:rsidRPr="007B4FE2">
        <w:rPr>
          <w:szCs w:val="18"/>
          <w:lang w:val="de-DE"/>
        </w:rPr>
        <w:t>punto</w:t>
      </w:r>
      <w:proofErr w:type="spellEnd"/>
      <w:r w:rsidRPr="007B4FE2">
        <w:rPr>
          <w:szCs w:val="18"/>
          <w:lang w:val="de-DE"/>
        </w:rPr>
        <w:t xml:space="preserve"> </w:t>
      </w:r>
      <w:r w:rsidRPr="007B4FE2">
        <w:rPr>
          <w:snapToGrid w:val="0"/>
          <w:color w:val="000000"/>
          <w:szCs w:val="18"/>
          <w:lang w:val="de-DE"/>
        </w:rPr>
        <w:t xml:space="preserve">U. </w:t>
      </w:r>
      <w:proofErr w:type="spellStart"/>
      <w:r w:rsidRPr="007B4FE2">
        <w:rPr>
          <w:snapToGrid w:val="0"/>
          <w:color w:val="000000"/>
          <w:szCs w:val="18"/>
          <w:lang w:val="de-DE"/>
        </w:rPr>
        <w:t>Kischel</w:t>
      </w:r>
      <w:proofErr w:type="spellEnd"/>
      <w:r w:rsidRPr="007B4FE2">
        <w:rPr>
          <w:snapToGrid w:val="0"/>
          <w:color w:val="000000"/>
          <w:szCs w:val="18"/>
          <w:lang w:val="de-DE"/>
        </w:rPr>
        <w:t xml:space="preserve">, </w:t>
      </w:r>
      <w:r w:rsidRPr="007B4FE2">
        <w:rPr>
          <w:i/>
          <w:snapToGrid w:val="0"/>
          <w:color w:val="000000"/>
          <w:szCs w:val="18"/>
          <w:lang w:val="de-DE"/>
        </w:rPr>
        <w:t>Die Kontrolle der Verhältnismäßigkeit durch den Europäischen Gerichtshof</w:t>
      </w:r>
      <w:r w:rsidRPr="007B4FE2">
        <w:rPr>
          <w:snapToGrid w:val="0"/>
          <w:color w:val="000000"/>
          <w:szCs w:val="18"/>
          <w:lang w:val="de-DE"/>
        </w:rPr>
        <w:t xml:space="preserve">, in </w:t>
      </w:r>
      <w:r w:rsidRPr="007B4FE2">
        <w:rPr>
          <w:i/>
          <w:snapToGrid w:val="0"/>
          <w:color w:val="000000"/>
          <w:szCs w:val="18"/>
          <w:lang w:val="de-DE"/>
        </w:rPr>
        <w:t>Europarecht</w:t>
      </w:r>
      <w:r w:rsidRPr="007B4FE2">
        <w:rPr>
          <w:snapToGrid w:val="0"/>
          <w:color w:val="000000"/>
          <w:szCs w:val="18"/>
          <w:lang w:val="de-DE"/>
        </w:rPr>
        <w:t xml:space="preserve">, 2000, p. 380 </w:t>
      </w:r>
      <w:proofErr w:type="spellStart"/>
      <w:r w:rsidRPr="007B4FE2">
        <w:rPr>
          <w:snapToGrid w:val="0"/>
          <w:color w:val="000000"/>
          <w:szCs w:val="18"/>
          <w:lang w:val="de-DE"/>
        </w:rPr>
        <w:t>ss</w:t>
      </w:r>
      <w:proofErr w:type="spellEnd"/>
      <w:r w:rsidRPr="007B4FE2">
        <w:rPr>
          <w:snapToGrid w:val="0"/>
          <w:color w:val="000000"/>
          <w:szCs w:val="18"/>
          <w:lang w:val="de-DE"/>
        </w:rPr>
        <w:t xml:space="preserve">. </w:t>
      </w:r>
      <w:r w:rsidRPr="007B4FE2">
        <w:rPr>
          <w:snapToGrid w:val="0"/>
          <w:color w:val="000000"/>
          <w:szCs w:val="18"/>
        </w:rPr>
        <w:t>(391 ss.).</w:t>
      </w:r>
    </w:p>
  </w:footnote>
  <w:footnote w:id="106">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Ossia </w:t>
      </w:r>
      <w:r w:rsidRPr="007B4FE2">
        <w:rPr>
          <w:rStyle w:val="tlid-translation"/>
          <w:szCs w:val="18"/>
        </w:rPr>
        <w:t xml:space="preserve">che una formulazione breve e concisa possa essere alla fine più comprensibile di una lunga. </w:t>
      </w:r>
    </w:p>
  </w:footnote>
  <w:footnote w:id="107">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V. a questo riguardo le osservazioni di P. Craig, </w:t>
      </w:r>
      <w:r w:rsidRPr="007B4FE2">
        <w:rPr>
          <w:i/>
          <w:szCs w:val="18"/>
        </w:rPr>
        <w:t xml:space="preserve">EU </w:t>
      </w:r>
      <w:proofErr w:type="spellStart"/>
      <w:r w:rsidRPr="007B4FE2">
        <w:rPr>
          <w:i/>
          <w:szCs w:val="18"/>
        </w:rPr>
        <w:t>Administrative</w:t>
      </w:r>
      <w:proofErr w:type="spellEnd"/>
      <w:r w:rsidRPr="007B4FE2">
        <w:rPr>
          <w:i/>
          <w:szCs w:val="18"/>
        </w:rPr>
        <w:t xml:space="preserve"> Law</w:t>
      </w:r>
      <w:r w:rsidRPr="007B4FE2">
        <w:rPr>
          <w:szCs w:val="18"/>
        </w:rPr>
        <w:t xml:space="preserve">, Oxford, 2^ </w:t>
      </w:r>
      <w:proofErr w:type="gramStart"/>
      <w:r w:rsidRPr="007B4FE2">
        <w:rPr>
          <w:szCs w:val="18"/>
        </w:rPr>
        <w:t>ed.,</w:t>
      </w:r>
      <w:proofErr w:type="gramEnd"/>
      <w:r w:rsidRPr="007B4FE2">
        <w:rPr>
          <w:szCs w:val="18"/>
        </w:rPr>
        <w:t xml:space="preserve"> 2012, p. 264 ss.</w:t>
      </w:r>
    </w:p>
  </w:footnote>
  <w:footnote w:id="108">
    <w:p w:rsidR="0097768D" w:rsidRPr="00B968B7" w:rsidRDefault="0097768D" w:rsidP="007B4FE2">
      <w:pPr>
        <w:pStyle w:val="Testonotaapidipagina"/>
        <w:rPr>
          <w:szCs w:val="18"/>
        </w:rPr>
      </w:pPr>
      <w:r w:rsidRPr="007B4FE2">
        <w:rPr>
          <w:rStyle w:val="Rimandonotaapidipagina"/>
          <w:sz w:val="18"/>
          <w:szCs w:val="18"/>
        </w:rPr>
        <w:footnoteRef/>
      </w:r>
      <w:r w:rsidRPr="007B4FE2">
        <w:rPr>
          <w:szCs w:val="18"/>
          <w:lang w:val="de-DE"/>
        </w:rPr>
        <w:t xml:space="preserve"> W. Kahl, </w:t>
      </w:r>
      <w:r w:rsidRPr="007B4FE2">
        <w:rPr>
          <w:i/>
          <w:szCs w:val="18"/>
          <w:lang w:val="de-DE"/>
        </w:rPr>
        <w:t>Die Europäisierung des subjektiven öffentlichen Rechts</w:t>
      </w:r>
      <w:r w:rsidRPr="007B4FE2">
        <w:rPr>
          <w:szCs w:val="18"/>
          <w:lang w:val="de-DE"/>
        </w:rPr>
        <w:t xml:space="preserve">, in </w:t>
      </w:r>
      <w:r w:rsidRPr="007B4FE2">
        <w:rPr>
          <w:bCs/>
          <w:i/>
          <w:szCs w:val="18"/>
          <w:lang w:val="de-DE"/>
        </w:rPr>
        <w:t>Juristische Arbeitsblätter</w:t>
      </w:r>
      <w:r w:rsidRPr="007B4FE2">
        <w:rPr>
          <w:szCs w:val="18"/>
          <w:lang w:val="de-DE"/>
        </w:rPr>
        <w:t xml:space="preserve">, 2011/1, p. 41 </w:t>
      </w:r>
      <w:proofErr w:type="spellStart"/>
      <w:r w:rsidRPr="007B4FE2">
        <w:rPr>
          <w:szCs w:val="18"/>
          <w:lang w:val="de-DE"/>
        </w:rPr>
        <w:t>ss</w:t>
      </w:r>
      <w:proofErr w:type="spellEnd"/>
      <w:r w:rsidRPr="007B4FE2">
        <w:rPr>
          <w:szCs w:val="18"/>
          <w:lang w:val="de-DE"/>
        </w:rPr>
        <w:t xml:space="preserve">. </w:t>
      </w:r>
      <w:r w:rsidRPr="00B968B7">
        <w:rPr>
          <w:szCs w:val="18"/>
        </w:rPr>
        <w:t>(42).</w:t>
      </w:r>
    </w:p>
  </w:footnote>
  <w:footnote w:id="109">
    <w:p w:rsidR="00D43245" w:rsidRPr="007B4FE2" w:rsidRDefault="00D43245" w:rsidP="007B4FE2">
      <w:pPr>
        <w:pStyle w:val="Testonotaapidipagina"/>
        <w:rPr>
          <w:szCs w:val="18"/>
        </w:rPr>
      </w:pPr>
      <w:r w:rsidRPr="007B4FE2">
        <w:rPr>
          <w:rStyle w:val="Rimandonotaapidipagina"/>
          <w:sz w:val="18"/>
          <w:szCs w:val="18"/>
        </w:rPr>
        <w:footnoteRef/>
      </w:r>
      <w:r w:rsidRPr="007B4FE2">
        <w:rPr>
          <w:szCs w:val="18"/>
        </w:rPr>
        <w:t xml:space="preserve"> Che si può leggere in https://www.gesetze-im-internet.de/vwgo/ (ultima consultazione 20.01.2020).</w:t>
      </w:r>
    </w:p>
  </w:footnote>
  <w:footnote w:id="110">
    <w:p w:rsidR="0097768D" w:rsidRPr="007B4FE2" w:rsidRDefault="0097768D" w:rsidP="007B4FE2">
      <w:pPr>
        <w:pStyle w:val="Testonotaapidipagina"/>
        <w:rPr>
          <w:szCs w:val="18"/>
          <w:lang w:val="en-GB"/>
        </w:rPr>
      </w:pPr>
      <w:r w:rsidRPr="007B4FE2">
        <w:rPr>
          <w:rStyle w:val="Rimandonotaapidipagina"/>
          <w:sz w:val="18"/>
          <w:szCs w:val="18"/>
        </w:rPr>
        <w:footnoteRef/>
      </w:r>
      <w:r w:rsidRPr="007B4FE2">
        <w:rPr>
          <w:szCs w:val="18"/>
          <w:lang w:val="en-GB"/>
        </w:rPr>
        <w:t xml:space="preserve"> </w:t>
      </w:r>
      <w:proofErr w:type="spellStart"/>
      <w:r w:rsidRPr="007B4FE2">
        <w:rPr>
          <w:szCs w:val="18"/>
          <w:lang w:val="en-GB"/>
        </w:rPr>
        <w:t>Così</w:t>
      </w:r>
      <w:proofErr w:type="spellEnd"/>
      <w:r w:rsidRPr="007B4FE2">
        <w:rPr>
          <w:szCs w:val="18"/>
          <w:lang w:val="en-GB"/>
        </w:rPr>
        <w:t xml:space="preserve"> </w:t>
      </w:r>
      <w:proofErr w:type="spellStart"/>
      <w:r w:rsidRPr="007B4FE2">
        <w:rPr>
          <w:szCs w:val="18"/>
          <w:lang w:val="en-GB"/>
        </w:rPr>
        <w:t>già</w:t>
      </w:r>
      <w:proofErr w:type="spellEnd"/>
      <w:r w:rsidRPr="007B4FE2">
        <w:rPr>
          <w:szCs w:val="18"/>
          <w:lang w:val="en-GB"/>
        </w:rPr>
        <w:t xml:space="preserve"> N. </w:t>
      </w:r>
      <w:proofErr w:type="spellStart"/>
      <w:r w:rsidRPr="007B4FE2">
        <w:rPr>
          <w:snapToGrid w:val="0"/>
          <w:szCs w:val="18"/>
          <w:lang w:val="en-GB"/>
        </w:rPr>
        <w:t>Emiliou</w:t>
      </w:r>
      <w:proofErr w:type="spellEnd"/>
      <w:r w:rsidRPr="007B4FE2">
        <w:rPr>
          <w:snapToGrid w:val="0"/>
          <w:szCs w:val="18"/>
          <w:lang w:val="en-GB"/>
        </w:rPr>
        <w:t xml:space="preserve">, </w:t>
      </w:r>
      <w:r w:rsidRPr="007B4FE2">
        <w:rPr>
          <w:i/>
          <w:snapToGrid w:val="0"/>
          <w:szCs w:val="18"/>
          <w:lang w:val="en-GB"/>
        </w:rPr>
        <w:t>The principle of Proportionality in European Law</w:t>
      </w:r>
      <w:r w:rsidRPr="007B4FE2">
        <w:rPr>
          <w:snapToGrid w:val="0"/>
          <w:szCs w:val="18"/>
          <w:lang w:val="en-GB"/>
        </w:rPr>
        <w:t xml:space="preserve">, London, 1996, p. </w:t>
      </w:r>
      <w:r w:rsidRPr="007B4FE2">
        <w:rPr>
          <w:color w:val="000000"/>
          <w:szCs w:val="18"/>
          <w:lang w:val="en-GB"/>
        </w:rPr>
        <w:t>171 ss.</w:t>
      </w:r>
    </w:p>
  </w:footnote>
  <w:footnote w:id="111">
    <w:p w:rsidR="0097768D" w:rsidRPr="007B4FE2" w:rsidRDefault="0097768D" w:rsidP="007B4FE2">
      <w:pPr>
        <w:pStyle w:val="Testonotaapidipagina"/>
        <w:rPr>
          <w:szCs w:val="18"/>
          <w:lang w:val="fr-FR"/>
        </w:rPr>
      </w:pPr>
      <w:r w:rsidRPr="007B4FE2">
        <w:rPr>
          <w:rStyle w:val="Rimandonotaapidipagina"/>
          <w:sz w:val="18"/>
          <w:szCs w:val="18"/>
        </w:rPr>
        <w:footnoteRef/>
      </w:r>
      <w:r w:rsidRPr="007B4FE2">
        <w:rPr>
          <w:szCs w:val="18"/>
          <w:lang w:val="fr-FR"/>
        </w:rPr>
        <w:t xml:space="preserve"> V. per tutte la </w:t>
      </w:r>
      <w:proofErr w:type="spellStart"/>
      <w:r w:rsidRPr="007B4FE2">
        <w:rPr>
          <w:szCs w:val="18"/>
          <w:lang w:val="fr-FR"/>
        </w:rPr>
        <w:t>sentenza</w:t>
      </w:r>
      <w:proofErr w:type="spellEnd"/>
      <w:r w:rsidRPr="007B4FE2">
        <w:rPr>
          <w:szCs w:val="18"/>
          <w:lang w:val="fr-FR"/>
        </w:rPr>
        <w:t xml:space="preserve"> </w:t>
      </w:r>
      <w:proofErr w:type="spellStart"/>
      <w:r w:rsidRPr="007B4FE2">
        <w:rPr>
          <w:szCs w:val="18"/>
          <w:lang w:val="fr-FR"/>
        </w:rPr>
        <w:t>del</w:t>
      </w:r>
      <w:proofErr w:type="spellEnd"/>
      <w:r w:rsidRPr="007B4FE2">
        <w:rPr>
          <w:szCs w:val="18"/>
          <w:lang w:val="fr-FR"/>
        </w:rPr>
        <w:t xml:space="preserve"> </w:t>
      </w:r>
      <w:r w:rsidRPr="007B4FE2">
        <w:rPr>
          <w:i/>
          <w:szCs w:val="18"/>
          <w:lang w:val="fr-FR"/>
        </w:rPr>
        <w:t>Conseil d’Etat</w:t>
      </w:r>
      <w:r w:rsidRPr="007B4FE2">
        <w:rPr>
          <w:szCs w:val="18"/>
          <w:lang w:val="fr-FR"/>
        </w:rPr>
        <w:t xml:space="preserve"> </w:t>
      </w:r>
      <w:proofErr w:type="spellStart"/>
      <w:r w:rsidRPr="007B4FE2">
        <w:rPr>
          <w:szCs w:val="18"/>
          <w:lang w:val="fr-FR"/>
        </w:rPr>
        <w:t>del</w:t>
      </w:r>
      <w:proofErr w:type="spellEnd"/>
      <w:r w:rsidRPr="007B4FE2">
        <w:rPr>
          <w:szCs w:val="18"/>
          <w:lang w:val="fr-FR"/>
        </w:rPr>
        <w:t xml:space="preserve"> 2 </w:t>
      </w:r>
      <w:proofErr w:type="spellStart"/>
      <w:r w:rsidRPr="007B4FE2">
        <w:rPr>
          <w:szCs w:val="18"/>
          <w:lang w:val="fr-FR"/>
        </w:rPr>
        <w:t>ottobre</w:t>
      </w:r>
      <w:proofErr w:type="spellEnd"/>
      <w:r w:rsidRPr="007B4FE2">
        <w:rPr>
          <w:szCs w:val="18"/>
          <w:lang w:val="fr-FR"/>
        </w:rPr>
        <w:t xml:space="preserve"> 2006, </w:t>
      </w:r>
      <w:r w:rsidRPr="007B4FE2">
        <w:rPr>
          <w:i/>
          <w:szCs w:val="18"/>
          <w:lang w:val="fr-FR"/>
        </w:rPr>
        <w:t>SCI Les Fournels</w:t>
      </w:r>
      <w:r w:rsidRPr="007B4FE2">
        <w:rPr>
          <w:szCs w:val="18"/>
          <w:lang w:val="fr-FR"/>
        </w:rPr>
        <w:t xml:space="preserve">, n° 281506 </w:t>
      </w:r>
      <w:proofErr w:type="spellStart"/>
      <w:r w:rsidRPr="007B4FE2">
        <w:rPr>
          <w:szCs w:val="18"/>
          <w:lang w:val="fr-FR"/>
        </w:rPr>
        <w:t>dove</w:t>
      </w:r>
      <w:proofErr w:type="spellEnd"/>
      <w:r w:rsidRPr="007B4FE2">
        <w:rPr>
          <w:szCs w:val="18"/>
          <w:lang w:val="fr-FR"/>
        </w:rPr>
        <w:t xml:space="preserve"> si </w:t>
      </w:r>
      <w:proofErr w:type="spellStart"/>
      <w:r w:rsidRPr="007B4FE2">
        <w:rPr>
          <w:szCs w:val="18"/>
          <w:lang w:val="fr-FR"/>
        </w:rPr>
        <w:t>precisa</w:t>
      </w:r>
      <w:proofErr w:type="spellEnd"/>
      <w:r w:rsidRPr="007B4FE2">
        <w:rPr>
          <w:szCs w:val="18"/>
          <w:lang w:val="fr-FR"/>
        </w:rPr>
        <w:t xml:space="preserve"> </w:t>
      </w:r>
      <w:proofErr w:type="spellStart"/>
      <w:r w:rsidRPr="007B4FE2">
        <w:rPr>
          <w:szCs w:val="18"/>
          <w:lang w:val="fr-FR"/>
        </w:rPr>
        <w:t>espressamente</w:t>
      </w:r>
      <w:proofErr w:type="spellEnd"/>
      <w:r w:rsidRPr="007B4FE2">
        <w:rPr>
          <w:szCs w:val="18"/>
          <w:lang w:val="fr-FR"/>
        </w:rPr>
        <w:t xml:space="preserve"> </w:t>
      </w:r>
      <w:proofErr w:type="spellStart"/>
      <w:r w:rsidRPr="007B4FE2">
        <w:rPr>
          <w:szCs w:val="18"/>
          <w:lang w:val="fr-FR"/>
        </w:rPr>
        <w:t>che</w:t>
      </w:r>
      <w:proofErr w:type="spellEnd"/>
      <w:r w:rsidRPr="007B4FE2">
        <w:rPr>
          <w:szCs w:val="18"/>
          <w:lang w:val="fr-FR"/>
        </w:rPr>
        <w:t xml:space="preserve"> « </w:t>
      </w:r>
      <w:r w:rsidRPr="007B4FE2">
        <w:rPr>
          <w:i/>
          <w:szCs w:val="18"/>
          <w:lang w:val="fr-FR"/>
        </w:rPr>
        <w:t>une opération ne peut légalement être déclarée d’utilité publique que si les atteintes à la propriété privée, le coût financier et, éventuellement, les inconvénients d’ordre social ou l’atteinte à d’autres intérêts publics qu’elle comporte ne sont pas excessifs eu égard à l’intérêt qu’elle présente</w:t>
      </w:r>
      <w:r w:rsidRPr="007B4FE2">
        <w:rPr>
          <w:szCs w:val="18"/>
          <w:lang w:val="fr-FR"/>
        </w:rPr>
        <w:t xml:space="preserve"> ». </w:t>
      </w:r>
    </w:p>
  </w:footnote>
  <w:footnote w:id="112">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In questo senso v. chiaramente, fra le tante,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27 gennaio </w:t>
      </w:r>
      <w:smartTag w:uri="urn:schemas-microsoft-com:office:smarttags" w:element="metricconverter">
        <w:smartTagPr>
          <w:attr w:name="ProductID" w:val="1987, in"/>
        </w:smartTagPr>
        <w:r w:rsidRPr="007B4FE2">
          <w:rPr>
            <w:szCs w:val="18"/>
          </w:rPr>
          <w:t>1987, in</w:t>
        </w:r>
      </w:smartTag>
      <w:r w:rsidRPr="007B4FE2">
        <w:rPr>
          <w:szCs w:val="18"/>
        </w:rPr>
        <w:t xml:space="preserve"> causa 45/85, </w:t>
      </w:r>
      <w:proofErr w:type="spellStart"/>
      <w:r w:rsidRPr="007B4FE2">
        <w:rPr>
          <w:bCs/>
          <w:i/>
          <w:szCs w:val="18"/>
        </w:rPr>
        <w:t>Verband</w:t>
      </w:r>
      <w:proofErr w:type="spellEnd"/>
      <w:r w:rsidRPr="007B4FE2">
        <w:rPr>
          <w:bCs/>
          <w:i/>
          <w:szCs w:val="18"/>
        </w:rPr>
        <w:t xml:space="preserve"> </w:t>
      </w:r>
      <w:proofErr w:type="spellStart"/>
      <w:r w:rsidRPr="007B4FE2">
        <w:rPr>
          <w:bCs/>
          <w:i/>
          <w:szCs w:val="18"/>
        </w:rPr>
        <w:t>der</w:t>
      </w:r>
      <w:proofErr w:type="spellEnd"/>
      <w:r w:rsidRPr="007B4FE2">
        <w:rPr>
          <w:bCs/>
          <w:i/>
          <w:szCs w:val="18"/>
        </w:rPr>
        <w:t xml:space="preserve"> </w:t>
      </w:r>
      <w:proofErr w:type="spellStart"/>
      <w:r w:rsidRPr="007B4FE2">
        <w:rPr>
          <w:bCs/>
          <w:i/>
          <w:szCs w:val="18"/>
        </w:rPr>
        <w:t>Sachversicherer</w:t>
      </w:r>
      <w:proofErr w:type="spellEnd"/>
      <w:r w:rsidRPr="007B4FE2">
        <w:rPr>
          <w:bCs/>
          <w:szCs w:val="18"/>
        </w:rPr>
        <w:t xml:space="preserve">, </w:t>
      </w:r>
      <w:r w:rsidRPr="007B4FE2">
        <w:rPr>
          <w:rStyle w:val="outputecliaff"/>
          <w:szCs w:val="18"/>
        </w:rPr>
        <w:t xml:space="preserve">ECLI:EU:C:1987:34, </w:t>
      </w:r>
      <w:r w:rsidRPr="007B4FE2">
        <w:rPr>
          <w:bCs/>
          <w:szCs w:val="18"/>
        </w:rPr>
        <w:t xml:space="preserve">punto 61. V. anche le due più recenti pronunzie del </w:t>
      </w:r>
      <w:proofErr w:type="spellStart"/>
      <w:r w:rsidRPr="007B4FE2">
        <w:rPr>
          <w:bCs/>
          <w:szCs w:val="18"/>
        </w:rPr>
        <w:t>Trib</w:t>
      </w:r>
      <w:proofErr w:type="spellEnd"/>
      <w:r w:rsidRPr="007B4FE2">
        <w:rPr>
          <w:bCs/>
          <w:szCs w:val="18"/>
        </w:rPr>
        <w:t xml:space="preserve">. UE, 2 settembre </w:t>
      </w:r>
      <w:smartTag w:uri="urn:schemas-microsoft-com:office:smarttags" w:element="metricconverter">
        <w:smartTagPr>
          <w:attr w:name="ProductID" w:val="2009, in"/>
        </w:smartTagPr>
        <w:r w:rsidRPr="007B4FE2">
          <w:rPr>
            <w:bCs/>
            <w:szCs w:val="18"/>
          </w:rPr>
          <w:t>2009, in</w:t>
        </w:r>
      </w:smartTag>
      <w:r w:rsidRPr="007B4FE2">
        <w:rPr>
          <w:bCs/>
          <w:szCs w:val="18"/>
        </w:rPr>
        <w:t xml:space="preserve"> cause </w:t>
      </w:r>
      <w:proofErr w:type="spellStart"/>
      <w:r w:rsidRPr="007B4FE2">
        <w:rPr>
          <w:bCs/>
          <w:szCs w:val="18"/>
        </w:rPr>
        <w:t>riun</w:t>
      </w:r>
      <w:proofErr w:type="spellEnd"/>
      <w:r w:rsidRPr="007B4FE2">
        <w:rPr>
          <w:bCs/>
          <w:szCs w:val="18"/>
        </w:rPr>
        <w:t xml:space="preserve">. T-37/07 e T-323/07, </w:t>
      </w:r>
      <w:r w:rsidRPr="007B4FE2">
        <w:rPr>
          <w:bCs/>
          <w:i/>
          <w:szCs w:val="18"/>
        </w:rPr>
        <w:t xml:space="preserve">Mohamed </w:t>
      </w:r>
      <w:proofErr w:type="spellStart"/>
      <w:r w:rsidRPr="007B4FE2">
        <w:rPr>
          <w:bCs/>
          <w:i/>
          <w:szCs w:val="18"/>
        </w:rPr>
        <w:t>El</w:t>
      </w:r>
      <w:proofErr w:type="spellEnd"/>
      <w:r w:rsidRPr="007B4FE2">
        <w:rPr>
          <w:bCs/>
          <w:i/>
          <w:szCs w:val="18"/>
        </w:rPr>
        <w:t xml:space="preserve"> </w:t>
      </w:r>
      <w:proofErr w:type="spellStart"/>
      <w:r w:rsidRPr="007B4FE2">
        <w:rPr>
          <w:bCs/>
          <w:i/>
          <w:szCs w:val="18"/>
        </w:rPr>
        <w:t>Morabit</w:t>
      </w:r>
      <w:proofErr w:type="spellEnd"/>
      <w:r w:rsidRPr="007B4FE2">
        <w:rPr>
          <w:bCs/>
          <w:szCs w:val="18"/>
        </w:rPr>
        <w:t xml:space="preserve">, </w:t>
      </w:r>
      <w:proofErr w:type="gramStart"/>
      <w:r w:rsidRPr="007B4FE2">
        <w:rPr>
          <w:rStyle w:val="outputecliaff"/>
          <w:szCs w:val="18"/>
        </w:rPr>
        <w:t>ECLI:EU</w:t>
      </w:r>
      <w:proofErr w:type="gramEnd"/>
      <w:r w:rsidRPr="007B4FE2">
        <w:rPr>
          <w:rStyle w:val="outputecliaff"/>
          <w:szCs w:val="18"/>
        </w:rPr>
        <w:t xml:space="preserve">:T:2009:296, </w:t>
      </w:r>
      <w:r w:rsidRPr="007B4FE2">
        <w:rPr>
          <w:bCs/>
          <w:szCs w:val="18"/>
        </w:rPr>
        <w:t xml:space="preserve">e 14 ottobre </w:t>
      </w:r>
      <w:smartTag w:uri="urn:schemas-microsoft-com:office:smarttags" w:element="metricconverter">
        <w:smartTagPr>
          <w:attr w:name="ProductID" w:val="2009, in"/>
        </w:smartTagPr>
        <w:r w:rsidRPr="007B4FE2">
          <w:rPr>
            <w:bCs/>
            <w:szCs w:val="18"/>
          </w:rPr>
          <w:t>2009, in</w:t>
        </w:r>
      </w:smartTag>
      <w:r w:rsidRPr="007B4FE2">
        <w:rPr>
          <w:bCs/>
          <w:szCs w:val="18"/>
        </w:rPr>
        <w:t xml:space="preserve"> causa T-390/08, </w:t>
      </w:r>
      <w:proofErr w:type="spellStart"/>
      <w:r w:rsidRPr="007B4FE2">
        <w:rPr>
          <w:bCs/>
          <w:i/>
          <w:szCs w:val="18"/>
        </w:rPr>
        <w:t>Bank</w:t>
      </w:r>
      <w:proofErr w:type="spellEnd"/>
      <w:r w:rsidRPr="007B4FE2">
        <w:rPr>
          <w:bCs/>
          <w:i/>
          <w:szCs w:val="18"/>
        </w:rPr>
        <w:t xml:space="preserve"> Melli Iran</w:t>
      </w:r>
      <w:r w:rsidRPr="007B4FE2">
        <w:rPr>
          <w:bCs/>
          <w:szCs w:val="18"/>
        </w:rPr>
        <w:t xml:space="preserve">, </w:t>
      </w:r>
      <w:r w:rsidRPr="007B4FE2">
        <w:rPr>
          <w:rStyle w:val="outputecliaff"/>
          <w:szCs w:val="18"/>
        </w:rPr>
        <w:t>ECLI:EU:T:2009:401</w:t>
      </w:r>
      <w:r w:rsidRPr="007B4FE2">
        <w:rPr>
          <w:bCs/>
          <w:szCs w:val="18"/>
        </w:rPr>
        <w:t>.</w:t>
      </w:r>
    </w:p>
  </w:footnote>
  <w:footnote w:id="113">
    <w:p w:rsidR="00FB76AB" w:rsidRPr="007B4FE2" w:rsidRDefault="00FB76AB" w:rsidP="007B4FE2">
      <w:pPr>
        <w:pStyle w:val="Testonotaapidipagina"/>
        <w:rPr>
          <w:szCs w:val="18"/>
        </w:rPr>
      </w:pPr>
      <w:r w:rsidRPr="007B4FE2">
        <w:rPr>
          <w:rStyle w:val="Rimandonotaapidipagina"/>
          <w:sz w:val="18"/>
          <w:szCs w:val="18"/>
        </w:rPr>
        <w:footnoteRef/>
      </w:r>
      <w:r w:rsidRPr="007B4FE2">
        <w:rPr>
          <w:szCs w:val="18"/>
        </w:rPr>
        <w:t xml:space="preserve"> V. ad es., chiaramente in tal senso, Corte </w:t>
      </w:r>
      <w:proofErr w:type="spellStart"/>
      <w:proofErr w:type="gramStart"/>
      <w:r w:rsidRPr="007B4FE2">
        <w:rPr>
          <w:szCs w:val="18"/>
        </w:rPr>
        <w:t>giust</w:t>
      </w:r>
      <w:proofErr w:type="spellEnd"/>
      <w:r w:rsidRPr="007B4FE2">
        <w:rPr>
          <w:szCs w:val="18"/>
        </w:rPr>
        <w:t>.,</w:t>
      </w:r>
      <w:proofErr w:type="gramEnd"/>
      <w:r w:rsidRPr="007B4FE2">
        <w:rPr>
          <w:szCs w:val="18"/>
        </w:rPr>
        <w:t xml:space="preserve"> </w:t>
      </w:r>
      <w:r w:rsidRPr="007B4FE2">
        <w:rPr>
          <w:color w:val="000000"/>
          <w:szCs w:val="18"/>
        </w:rPr>
        <w:t xml:space="preserve">20.10.1977, in causa 29/77, </w:t>
      </w:r>
      <w:proofErr w:type="spellStart"/>
      <w:r w:rsidRPr="007B4FE2">
        <w:rPr>
          <w:i/>
          <w:color w:val="000000"/>
          <w:szCs w:val="18"/>
        </w:rPr>
        <w:t>Roquette</w:t>
      </w:r>
      <w:proofErr w:type="spellEnd"/>
      <w:r w:rsidRPr="007B4FE2">
        <w:rPr>
          <w:color w:val="000000"/>
          <w:szCs w:val="18"/>
        </w:rPr>
        <w:t xml:space="preserve">, </w:t>
      </w:r>
      <w:r w:rsidRPr="007B4FE2">
        <w:rPr>
          <w:rStyle w:val="outputecliaff"/>
          <w:szCs w:val="18"/>
        </w:rPr>
        <w:t xml:space="preserve">ECLI:EU:C:1977:164, </w:t>
      </w:r>
      <w:r w:rsidRPr="007B4FE2">
        <w:rPr>
          <w:color w:val="000000"/>
          <w:szCs w:val="18"/>
        </w:rPr>
        <w:t xml:space="preserve">punti 19 e 20; Corte </w:t>
      </w:r>
      <w:proofErr w:type="spellStart"/>
      <w:r w:rsidRPr="007B4FE2">
        <w:rPr>
          <w:color w:val="000000"/>
          <w:szCs w:val="18"/>
        </w:rPr>
        <w:t>giust</w:t>
      </w:r>
      <w:proofErr w:type="spellEnd"/>
      <w:r w:rsidRPr="007B4FE2">
        <w:rPr>
          <w:color w:val="000000"/>
          <w:szCs w:val="18"/>
        </w:rPr>
        <w:t xml:space="preserve">. 29 febbraio </w:t>
      </w:r>
      <w:smartTag w:uri="urn:schemas-microsoft-com:office:smarttags" w:element="metricconverter">
        <w:smartTagPr>
          <w:attr w:name="ProductID" w:val="1996, in"/>
        </w:smartTagPr>
        <w:r w:rsidRPr="007B4FE2">
          <w:rPr>
            <w:color w:val="000000"/>
            <w:szCs w:val="18"/>
          </w:rPr>
          <w:t>1996, in</w:t>
        </w:r>
      </w:smartTag>
      <w:r w:rsidRPr="007B4FE2">
        <w:rPr>
          <w:color w:val="000000"/>
          <w:szCs w:val="18"/>
        </w:rPr>
        <w:t xml:space="preserve"> cause </w:t>
      </w:r>
      <w:proofErr w:type="spellStart"/>
      <w:r w:rsidRPr="007B4FE2">
        <w:rPr>
          <w:color w:val="000000"/>
          <w:szCs w:val="18"/>
        </w:rPr>
        <w:t>riun</w:t>
      </w:r>
      <w:proofErr w:type="spellEnd"/>
      <w:r w:rsidRPr="007B4FE2">
        <w:rPr>
          <w:color w:val="000000"/>
          <w:szCs w:val="18"/>
        </w:rPr>
        <w:t>. C-296/93 e C-307/93, Repubblica francese e Irlanda c. Commissione, i</w:t>
      </w:r>
      <w:r w:rsidRPr="007B4FE2">
        <w:rPr>
          <w:szCs w:val="18"/>
        </w:rPr>
        <w:t xml:space="preserve"> </w:t>
      </w:r>
      <w:proofErr w:type="gramStart"/>
      <w:r w:rsidRPr="007B4FE2">
        <w:rPr>
          <w:rStyle w:val="outputecliaff"/>
          <w:szCs w:val="18"/>
        </w:rPr>
        <w:t>ECLI:EU</w:t>
      </w:r>
      <w:proofErr w:type="gramEnd"/>
      <w:r w:rsidRPr="007B4FE2">
        <w:rPr>
          <w:rStyle w:val="outputecliaff"/>
          <w:szCs w:val="18"/>
        </w:rPr>
        <w:t xml:space="preserve">:C:1996:65. </w:t>
      </w:r>
    </w:p>
  </w:footnote>
  <w:footnote w:id="114">
    <w:p w:rsidR="00FB76AB" w:rsidRPr="007B4FE2" w:rsidRDefault="00FB76AB" w:rsidP="007B4FE2">
      <w:pPr>
        <w:autoSpaceDE w:val="0"/>
        <w:autoSpaceDN w:val="0"/>
        <w:adjustRightInd w:val="0"/>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lang w:val="fr-FR"/>
        </w:rPr>
        <w:t xml:space="preserve"> </w:t>
      </w:r>
      <w:proofErr w:type="spellStart"/>
      <w:r w:rsidRPr="007B4FE2">
        <w:rPr>
          <w:rFonts w:ascii="Times New Roman" w:hAnsi="Times New Roman" w:cs="Times New Roman"/>
          <w:sz w:val="18"/>
          <w:szCs w:val="18"/>
          <w:lang w:val="fr-FR"/>
        </w:rPr>
        <w:t>Cfr</w:t>
      </w:r>
      <w:proofErr w:type="spellEnd"/>
      <w:r w:rsidRPr="007B4FE2">
        <w:rPr>
          <w:rFonts w:ascii="Times New Roman" w:hAnsi="Times New Roman" w:cs="Times New Roman"/>
          <w:sz w:val="18"/>
          <w:szCs w:val="18"/>
          <w:lang w:val="fr-FR"/>
        </w:rPr>
        <w:t xml:space="preserve">. Sul </w:t>
      </w:r>
      <w:proofErr w:type="spellStart"/>
      <w:r w:rsidRPr="007B4FE2">
        <w:rPr>
          <w:rFonts w:ascii="Times New Roman" w:hAnsi="Times New Roman" w:cs="Times New Roman"/>
          <w:sz w:val="18"/>
          <w:szCs w:val="18"/>
          <w:lang w:val="fr-FR"/>
        </w:rPr>
        <w:t>punto</w:t>
      </w:r>
      <w:proofErr w:type="spellEnd"/>
      <w:r w:rsidRPr="007B4FE2">
        <w:rPr>
          <w:rFonts w:ascii="Times New Roman" w:hAnsi="Times New Roman" w:cs="Times New Roman"/>
          <w:sz w:val="18"/>
          <w:szCs w:val="18"/>
          <w:lang w:val="fr-FR"/>
        </w:rPr>
        <w:t xml:space="preserve"> R.E. </w:t>
      </w:r>
      <w:proofErr w:type="spellStart"/>
      <w:r w:rsidRPr="007B4FE2">
        <w:rPr>
          <w:rFonts w:ascii="Times New Roman" w:hAnsi="Times New Roman" w:cs="Times New Roman"/>
          <w:sz w:val="18"/>
          <w:szCs w:val="18"/>
          <w:lang w:val="fr-FR"/>
        </w:rPr>
        <w:t>Papadopoulou</w:t>
      </w:r>
      <w:proofErr w:type="spellEnd"/>
      <w:r w:rsidRPr="007B4FE2">
        <w:rPr>
          <w:rFonts w:ascii="Times New Roman" w:hAnsi="Times New Roman" w:cs="Times New Roman"/>
          <w:sz w:val="18"/>
          <w:szCs w:val="18"/>
          <w:lang w:val="fr-FR"/>
        </w:rPr>
        <w:t xml:space="preserve">, </w:t>
      </w:r>
      <w:r w:rsidRPr="007B4FE2">
        <w:rPr>
          <w:rFonts w:ascii="Times New Roman" w:hAnsi="Times New Roman" w:cs="Times New Roman"/>
          <w:i/>
          <w:iCs/>
          <w:sz w:val="18"/>
          <w:szCs w:val="18"/>
          <w:lang w:val="fr-FR"/>
        </w:rPr>
        <w:t>Principes Généraux du Droit et Droit Communautaire</w:t>
      </w:r>
      <w:r w:rsidRPr="007B4FE2">
        <w:rPr>
          <w:rFonts w:ascii="Times New Roman" w:hAnsi="Times New Roman" w:cs="Times New Roman"/>
          <w:sz w:val="18"/>
          <w:szCs w:val="18"/>
          <w:lang w:val="fr-FR"/>
        </w:rPr>
        <w:t xml:space="preserve">, Bruxelles, 1996, p. </w:t>
      </w:r>
      <w:r w:rsidRPr="007B4FE2">
        <w:rPr>
          <w:rFonts w:ascii="Times New Roman" w:hAnsi="Times New Roman" w:cs="Times New Roman"/>
          <w:color w:val="000000"/>
          <w:sz w:val="18"/>
          <w:szCs w:val="18"/>
          <w:lang w:val="fr-FR"/>
        </w:rPr>
        <w:t xml:space="preserve">252 ; Th. </w:t>
      </w:r>
      <w:r w:rsidRPr="007B4FE2">
        <w:rPr>
          <w:rFonts w:ascii="Times New Roman" w:hAnsi="Times New Roman" w:cs="Times New Roman"/>
          <w:color w:val="000000"/>
          <w:sz w:val="18"/>
          <w:szCs w:val="18"/>
          <w:lang w:val="de-DE"/>
        </w:rPr>
        <w:t xml:space="preserve">Von Danwitz, </w:t>
      </w:r>
      <w:r w:rsidRPr="007B4FE2">
        <w:rPr>
          <w:rFonts w:ascii="Times New Roman" w:hAnsi="Times New Roman" w:cs="Times New Roman"/>
          <w:i/>
          <w:iCs/>
          <w:sz w:val="18"/>
          <w:szCs w:val="18"/>
          <w:lang w:val="de-DE"/>
        </w:rPr>
        <w:t>Der Grundsatz der Verhältnismäßigkeit im Gemeinschaftsrecht</w:t>
      </w:r>
      <w:r w:rsidRPr="007B4FE2">
        <w:rPr>
          <w:rFonts w:ascii="Times New Roman" w:hAnsi="Times New Roman" w:cs="Times New Roman"/>
          <w:sz w:val="18"/>
          <w:szCs w:val="18"/>
          <w:lang w:val="de-DE"/>
        </w:rPr>
        <w:t xml:space="preserve">, in </w:t>
      </w:r>
      <w:r w:rsidRPr="007B4FE2">
        <w:rPr>
          <w:rFonts w:ascii="Times New Roman" w:hAnsi="Times New Roman" w:cs="Times New Roman"/>
          <w:i/>
          <w:sz w:val="18"/>
          <w:szCs w:val="18"/>
          <w:lang w:val="de-DE"/>
        </w:rPr>
        <w:t>Europäisches Wirtschafts- &amp; Steuerrecht</w:t>
      </w:r>
      <w:r w:rsidRPr="007B4FE2">
        <w:rPr>
          <w:rFonts w:ascii="Times New Roman" w:hAnsi="Times New Roman" w:cs="Times New Roman"/>
          <w:sz w:val="18"/>
          <w:szCs w:val="18"/>
          <w:lang w:val="de-DE"/>
        </w:rPr>
        <w:t xml:space="preserve">, 2003, p. 393 </w:t>
      </w:r>
      <w:proofErr w:type="spellStart"/>
      <w:r w:rsidRPr="007B4FE2">
        <w:rPr>
          <w:rFonts w:ascii="Times New Roman" w:hAnsi="Times New Roman" w:cs="Times New Roman"/>
          <w:sz w:val="18"/>
          <w:szCs w:val="18"/>
          <w:lang w:val="de-DE"/>
        </w:rPr>
        <w:t>ss</w:t>
      </w:r>
      <w:proofErr w:type="spellEnd"/>
      <w:r w:rsidRPr="007B4FE2">
        <w:rPr>
          <w:rFonts w:ascii="Times New Roman" w:hAnsi="Times New Roman" w:cs="Times New Roman"/>
          <w:sz w:val="18"/>
          <w:szCs w:val="18"/>
          <w:lang w:val="de-DE"/>
        </w:rPr>
        <w:t xml:space="preserve">. </w:t>
      </w:r>
      <w:r w:rsidRPr="007B4FE2">
        <w:rPr>
          <w:rFonts w:ascii="Times New Roman" w:hAnsi="Times New Roman" w:cs="Times New Roman"/>
          <w:sz w:val="18"/>
          <w:szCs w:val="18"/>
        </w:rPr>
        <w:t>(400).</w:t>
      </w:r>
    </w:p>
  </w:footnote>
  <w:footnote w:id="115">
    <w:p w:rsidR="00FB76AB" w:rsidRPr="007B4FE2" w:rsidRDefault="00FB76AB" w:rsidP="007B4FE2">
      <w:pPr>
        <w:pStyle w:val="Testonotaapidipagina"/>
        <w:rPr>
          <w:szCs w:val="18"/>
        </w:rPr>
      </w:pPr>
      <w:r w:rsidRPr="007B4FE2">
        <w:rPr>
          <w:rStyle w:val="Rimandonotaapidipagina"/>
          <w:sz w:val="18"/>
          <w:szCs w:val="18"/>
        </w:rPr>
        <w:footnoteRef/>
      </w:r>
      <w:r w:rsidRPr="007B4FE2">
        <w:rPr>
          <w:szCs w:val="18"/>
        </w:rPr>
        <w:t xml:space="preserve"> Ai sensi dell’art. 258 TFUE (ex art. 226 TCE).</w:t>
      </w:r>
    </w:p>
  </w:footnote>
  <w:footnote w:id="116">
    <w:p w:rsidR="00FB76AB" w:rsidRPr="007B4FE2" w:rsidRDefault="00FB76AB" w:rsidP="007B4FE2">
      <w:pPr>
        <w:pStyle w:val="Testonotaapidipagina"/>
        <w:rPr>
          <w:szCs w:val="18"/>
        </w:rPr>
      </w:pPr>
      <w:r w:rsidRPr="007B4FE2">
        <w:rPr>
          <w:rStyle w:val="Rimandonotaapidipagina"/>
          <w:sz w:val="18"/>
          <w:szCs w:val="18"/>
        </w:rPr>
        <w:footnoteRef/>
      </w:r>
      <w:r w:rsidRPr="007B4FE2">
        <w:rPr>
          <w:szCs w:val="18"/>
        </w:rPr>
        <w:t xml:space="preserve"> Ai sensi dell’art. 267 TFUE (ex art. 234 TCE).</w:t>
      </w:r>
    </w:p>
  </w:footnote>
  <w:footnote w:id="117">
    <w:p w:rsidR="00FB76AB" w:rsidRPr="007B4FE2" w:rsidRDefault="00FB76AB" w:rsidP="007B4FE2">
      <w:pPr>
        <w:spacing w:after="0" w:line="240" w:lineRule="auto"/>
        <w:jc w:val="both"/>
        <w:rPr>
          <w:rFonts w:ascii="Times New Roman" w:hAnsi="Times New Roman" w:cs="Times New Roman"/>
          <w:sz w:val="18"/>
          <w:szCs w:val="18"/>
        </w:rPr>
      </w:pPr>
      <w:r w:rsidRPr="007B4FE2">
        <w:rPr>
          <w:rStyle w:val="Rimandonotaapidipagina"/>
          <w:rFonts w:ascii="Times New Roman" w:hAnsi="Times New Roman" w:cs="Times New Roman"/>
          <w:sz w:val="18"/>
          <w:szCs w:val="18"/>
        </w:rPr>
        <w:footnoteRef/>
      </w:r>
      <w:r w:rsidRPr="007B4FE2">
        <w:rPr>
          <w:rFonts w:ascii="Times New Roman" w:hAnsi="Times New Roman" w:cs="Times New Roman"/>
          <w:sz w:val="18"/>
          <w:szCs w:val="18"/>
        </w:rPr>
        <w:t xml:space="preserve"> Cfr., fra le tante, Corte </w:t>
      </w:r>
      <w:proofErr w:type="spellStart"/>
      <w:proofErr w:type="gramStart"/>
      <w:r w:rsidRPr="007B4FE2">
        <w:rPr>
          <w:rFonts w:ascii="Times New Roman" w:hAnsi="Times New Roman" w:cs="Times New Roman"/>
          <w:sz w:val="18"/>
          <w:szCs w:val="18"/>
        </w:rPr>
        <w:t>giust</w:t>
      </w:r>
      <w:proofErr w:type="spellEnd"/>
      <w:r w:rsidRPr="007B4FE2">
        <w:rPr>
          <w:rFonts w:ascii="Times New Roman" w:hAnsi="Times New Roman" w:cs="Times New Roman"/>
          <w:sz w:val="18"/>
          <w:szCs w:val="18"/>
        </w:rPr>
        <w:t>.,</w:t>
      </w:r>
      <w:proofErr w:type="gramEnd"/>
      <w:r w:rsidRPr="007B4FE2">
        <w:rPr>
          <w:rFonts w:ascii="Times New Roman" w:hAnsi="Times New Roman" w:cs="Times New Roman"/>
          <w:sz w:val="18"/>
          <w:szCs w:val="18"/>
        </w:rPr>
        <w:t xml:space="preserve"> 9 luglio </w:t>
      </w:r>
      <w:smartTag w:uri="urn:schemas-microsoft-com:office:smarttags" w:element="metricconverter">
        <w:smartTagPr>
          <w:attr w:name="ProductID" w:val="1997, in"/>
        </w:smartTagPr>
        <w:r w:rsidRPr="007B4FE2">
          <w:rPr>
            <w:rFonts w:ascii="Times New Roman" w:hAnsi="Times New Roman" w:cs="Times New Roman"/>
            <w:sz w:val="18"/>
            <w:szCs w:val="18"/>
          </w:rPr>
          <w:t>1997, in</w:t>
        </w:r>
      </w:smartTag>
      <w:r w:rsidRPr="007B4FE2">
        <w:rPr>
          <w:rFonts w:ascii="Times New Roman" w:hAnsi="Times New Roman" w:cs="Times New Roman"/>
          <w:sz w:val="18"/>
          <w:szCs w:val="18"/>
        </w:rPr>
        <w:t xml:space="preserve"> causa C-34-36/95, </w:t>
      </w:r>
      <w:r w:rsidRPr="007B4FE2">
        <w:rPr>
          <w:rFonts w:ascii="Times New Roman" w:hAnsi="Times New Roman" w:cs="Times New Roman"/>
          <w:i/>
          <w:sz w:val="18"/>
          <w:szCs w:val="18"/>
        </w:rPr>
        <w:t>De Agostini</w:t>
      </w:r>
      <w:r w:rsidRPr="007B4FE2">
        <w:rPr>
          <w:rFonts w:ascii="Times New Roman" w:hAnsi="Times New Roman" w:cs="Times New Roman"/>
          <w:sz w:val="18"/>
          <w:szCs w:val="18"/>
        </w:rPr>
        <w:t xml:space="preserve">, ECLI:EU:C:1997:344, punto 52; Corte </w:t>
      </w:r>
      <w:proofErr w:type="spellStart"/>
      <w:r w:rsidRPr="007B4FE2">
        <w:rPr>
          <w:rFonts w:ascii="Times New Roman" w:hAnsi="Times New Roman" w:cs="Times New Roman"/>
          <w:sz w:val="18"/>
          <w:szCs w:val="18"/>
        </w:rPr>
        <w:t>giust</w:t>
      </w:r>
      <w:proofErr w:type="spellEnd"/>
      <w:r w:rsidRPr="007B4FE2">
        <w:rPr>
          <w:rFonts w:ascii="Times New Roman" w:hAnsi="Times New Roman" w:cs="Times New Roman"/>
          <w:sz w:val="18"/>
          <w:szCs w:val="18"/>
        </w:rPr>
        <w:t xml:space="preserve">., 10 marzo 2005, </w:t>
      </w:r>
      <w:proofErr w:type="spellStart"/>
      <w:r w:rsidRPr="007B4FE2">
        <w:rPr>
          <w:rFonts w:ascii="Times New Roman" w:hAnsi="Times New Roman" w:cs="Times New Roman"/>
          <w:i/>
          <w:sz w:val="18"/>
          <w:szCs w:val="18"/>
        </w:rPr>
        <w:t>Tempelman</w:t>
      </w:r>
      <w:proofErr w:type="spellEnd"/>
      <w:r w:rsidRPr="007B4FE2">
        <w:rPr>
          <w:rFonts w:ascii="Times New Roman" w:hAnsi="Times New Roman" w:cs="Times New Roman"/>
          <w:sz w:val="18"/>
          <w:szCs w:val="18"/>
        </w:rPr>
        <w:t xml:space="preserve">, in cause </w:t>
      </w:r>
      <w:proofErr w:type="spellStart"/>
      <w:r w:rsidRPr="007B4FE2">
        <w:rPr>
          <w:rFonts w:ascii="Times New Roman" w:hAnsi="Times New Roman" w:cs="Times New Roman"/>
          <w:sz w:val="18"/>
          <w:szCs w:val="18"/>
        </w:rPr>
        <w:t>riun</w:t>
      </w:r>
      <w:proofErr w:type="spellEnd"/>
      <w:r w:rsidRPr="007B4FE2">
        <w:rPr>
          <w:rFonts w:ascii="Times New Roman" w:hAnsi="Times New Roman" w:cs="Times New Roman"/>
          <w:sz w:val="18"/>
          <w:szCs w:val="18"/>
        </w:rPr>
        <w:t xml:space="preserve">. C-96/03 et C-97/03, </w:t>
      </w:r>
      <w:proofErr w:type="gramStart"/>
      <w:r w:rsidRPr="007B4FE2">
        <w:rPr>
          <w:rFonts w:ascii="Times New Roman" w:hAnsi="Times New Roman" w:cs="Times New Roman"/>
          <w:sz w:val="18"/>
          <w:szCs w:val="18"/>
        </w:rPr>
        <w:t>ECLI:EU</w:t>
      </w:r>
      <w:proofErr w:type="gramEnd"/>
      <w:r w:rsidRPr="007B4FE2">
        <w:rPr>
          <w:rFonts w:ascii="Times New Roman" w:hAnsi="Times New Roman" w:cs="Times New Roman"/>
          <w:sz w:val="18"/>
          <w:szCs w:val="18"/>
        </w:rPr>
        <w:t xml:space="preserve">:C:2005:145, punto 49; da ultimo Corte </w:t>
      </w:r>
      <w:proofErr w:type="spellStart"/>
      <w:r w:rsidRPr="007B4FE2">
        <w:rPr>
          <w:rFonts w:ascii="Times New Roman" w:hAnsi="Times New Roman" w:cs="Times New Roman"/>
          <w:sz w:val="18"/>
          <w:szCs w:val="18"/>
        </w:rPr>
        <w:t>giust</w:t>
      </w:r>
      <w:proofErr w:type="spellEnd"/>
      <w:r w:rsidRPr="007B4FE2">
        <w:rPr>
          <w:rFonts w:ascii="Times New Roman" w:hAnsi="Times New Roman" w:cs="Times New Roman"/>
          <w:sz w:val="18"/>
          <w:szCs w:val="18"/>
        </w:rPr>
        <w:t xml:space="preserve">., 17 settembre </w:t>
      </w:r>
      <w:smartTag w:uri="urn:schemas-microsoft-com:office:smarttags" w:element="metricconverter">
        <w:smartTagPr>
          <w:attr w:name="ProductID" w:val="2009, in"/>
        </w:smartTagPr>
        <w:r w:rsidRPr="007B4FE2">
          <w:rPr>
            <w:rFonts w:ascii="Times New Roman" w:hAnsi="Times New Roman" w:cs="Times New Roman"/>
            <w:sz w:val="18"/>
            <w:szCs w:val="18"/>
          </w:rPr>
          <w:t>2009, in</w:t>
        </w:r>
      </w:smartTag>
      <w:r w:rsidRPr="007B4FE2">
        <w:rPr>
          <w:rFonts w:ascii="Times New Roman" w:hAnsi="Times New Roman" w:cs="Times New Roman"/>
          <w:sz w:val="18"/>
          <w:szCs w:val="18"/>
        </w:rPr>
        <w:t xml:space="preserve"> causa C-182/08, </w:t>
      </w:r>
      <w:proofErr w:type="spellStart"/>
      <w:r w:rsidRPr="007B4FE2">
        <w:rPr>
          <w:rFonts w:ascii="Times New Roman" w:hAnsi="Times New Roman" w:cs="Times New Roman"/>
          <w:i/>
          <w:sz w:val="18"/>
          <w:szCs w:val="18"/>
        </w:rPr>
        <w:t>Glaxo</w:t>
      </w:r>
      <w:proofErr w:type="spellEnd"/>
      <w:r w:rsidRPr="007B4FE2">
        <w:rPr>
          <w:rFonts w:ascii="Times New Roman" w:hAnsi="Times New Roman" w:cs="Times New Roman"/>
          <w:i/>
          <w:sz w:val="18"/>
          <w:szCs w:val="18"/>
        </w:rPr>
        <w:t xml:space="preserve"> Wellcome</w:t>
      </w:r>
      <w:r w:rsidRPr="007B4FE2">
        <w:rPr>
          <w:rFonts w:ascii="Times New Roman" w:hAnsi="Times New Roman" w:cs="Times New Roman"/>
          <w:sz w:val="18"/>
          <w:szCs w:val="18"/>
        </w:rPr>
        <w:t>, ECLI:EU:C:2009:559, punto 102.</w:t>
      </w:r>
    </w:p>
  </w:footnote>
  <w:footnote w:id="118">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S. Giacchetti, </w:t>
      </w:r>
      <w:r w:rsidRPr="007B4FE2">
        <w:rPr>
          <w:i/>
          <w:szCs w:val="18"/>
        </w:rPr>
        <w:t>Il possibile contributo del processo amministrativo alla lotta alla corruzione</w:t>
      </w:r>
      <w:r w:rsidRPr="007B4FE2">
        <w:rPr>
          <w:szCs w:val="18"/>
        </w:rPr>
        <w:t xml:space="preserve">, in </w:t>
      </w:r>
      <w:proofErr w:type="spellStart"/>
      <w:r w:rsidRPr="007B4FE2">
        <w:rPr>
          <w:i/>
          <w:szCs w:val="18"/>
        </w:rPr>
        <w:t>Lexitalia</w:t>
      </w:r>
      <w:proofErr w:type="spellEnd"/>
      <w:r w:rsidRPr="007B4FE2">
        <w:rPr>
          <w:szCs w:val="18"/>
        </w:rPr>
        <w:t xml:space="preserve"> del 19.12.2015, https://www.lexitalia.it.</w:t>
      </w:r>
    </w:p>
  </w:footnote>
  <w:footnote w:id="119">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F. Patroni Griffi, </w:t>
      </w:r>
      <w:r w:rsidRPr="007B4FE2">
        <w:rPr>
          <w:i/>
          <w:szCs w:val="18"/>
        </w:rPr>
        <w:t>La giustizia amministrativa tra presente e futuro</w:t>
      </w:r>
      <w:r w:rsidRPr="007B4FE2">
        <w:rPr>
          <w:szCs w:val="18"/>
        </w:rPr>
        <w:t xml:space="preserve">, in </w:t>
      </w:r>
      <w:r w:rsidRPr="007B4FE2">
        <w:rPr>
          <w:i/>
          <w:szCs w:val="18"/>
        </w:rPr>
        <w:t>Diritto e Società</w:t>
      </w:r>
      <w:r w:rsidRPr="007B4FE2">
        <w:rPr>
          <w:szCs w:val="18"/>
        </w:rPr>
        <w:t>, 2019, p. 587 ss. (605).</w:t>
      </w:r>
    </w:p>
  </w:footnote>
  <w:footnote w:id="120">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Pubblicato in questo stesso volum</w:t>
      </w:r>
      <w:r w:rsidRPr="00EE65BD">
        <w:rPr>
          <w:szCs w:val="18"/>
        </w:rPr>
        <w:t>e, a p. ????.</w:t>
      </w:r>
      <w:r w:rsidRPr="007B4FE2">
        <w:rPr>
          <w:szCs w:val="18"/>
        </w:rPr>
        <w:t xml:space="preserve"> </w:t>
      </w:r>
    </w:p>
  </w:footnote>
  <w:footnote w:id="121">
    <w:p w:rsidR="0097768D" w:rsidRPr="007B4FE2" w:rsidRDefault="0097768D" w:rsidP="007B4FE2">
      <w:pPr>
        <w:pStyle w:val="Testonotaapidipagina"/>
        <w:rPr>
          <w:szCs w:val="18"/>
        </w:rPr>
      </w:pPr>
      <w:r w:rsidRPr="007B4FE2">
        <w:rPr>
          <w:rStyle w:val="Rimandonotaapidipagina"/>
          <w:sz w:val="18"/>
          <w:szCs w:val="18"/>
        </w:rPr>
        <w:footnoteRef/>
      </w:r>
      <w:r w:rsidRPr="007B4FE2">
        <w:rPr>
          <w:szCs w:val="18"/>
        </w:rPr>
        <w:t xml:space="preserve"> Nel suo contributo dal titolo ????, pubblicato in questo stesso volume, a p.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CB09BF"/>
    <w:multiLevelType w:val="hybridMultilevel"/>
    <w:tmpl w:val="2A126E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D88"/>
    <w:rsid w:val="00002A95"/>
    <w:rsid w:val="00002B4F"/>
    <w:rsid w:val="0000391D"/>
    <w:rsid w:val="00013E60"/>
    <w:rsid w:val="00021299"/>
    <w:rsid w:val="00026FAD"/>
    <w:rsid w:val="0004516E"/>
    <w:rsid w:val="0004620C"/>
    <w:rsid w:val="00046ADB"/>
    <w:rsid w:val="000554FD"/>
    <w:rsid w:val="000640DE"/>
    <w:rsid w:val="000641DF"/>
    <w:rsid w:val="0006468D"/>
    <w:rsid w:val="000666C2"/>
    <w:rsid w:val="00077A93"/>
    <w:rsid w:val="000811E8"/>
    <w:rsid w:val="00082C20"/>
    <w:rsid w:val="00087C7E"/>
    <w:rsid w:val="00093820"/>
    <w:rsid w:val="000962CF"/>
    <w:rsid w:val="000973A5"/>
    <w:rsid w:val="00097C5D"/>
    <w:rsid w:val="000A0E24"/>
    <w:rsid w:val="000A0F82"/>
    <w:rsid w:val="000B6D4C"/>
    <w:rsid w:val="000B6D9C"/>
    <w:rsid w:val="000C0A48"/>
    <w:rsid w:val="000D0A11"/>
    <w:rsid w:val="000D593E"/>
    <w:rsid w:val="000D74C4"/>
    <w:rsid w:val="000E0BD8"/>
    <w:rsid w:val="000E0FFC"/>
    <w:rsid w:val="000E4B97"/>
    <w:rsid w:val="000F1DE9"/>
    <w:rsid w:val="00102131"/>
    <w:rsid w:val="00103DEB"/>
    <w:rsid w:val="00105D5E"/>
    <w:rsid w:val="001075B7"/>
    <w:rsid w:val="00111B9F"/>
    <w:rsid w:val="00112E31"/>
    <w:rsid w:val="00122F46"/>
    <w:rsid w:val="00123AC9"/>
    <w:rsid w:val="00125CC0"/>
    <w:rsid w:val="00132FBD"/>
    <w:rsid w:val="00146483"/>
    <w:rsid w:val="00150C5C"/>
    <w:rsid w:val="00160624"/>
    <w:rsid w:val="00161782"/>
    <w:rsid w:val="00166996"/>
    <w:rsid w:val="00167B87"/>
    <w:rsid w:val="001725E2"/>
    <w:rsid w:val="0017318E"/>
    <w:rsid w:val="00174AF5"/>
    <w:rsid w:val="00182CFB"/>
    <w:rsid w:val="00197645"/>
    <w:rsid w:val="001A3BDA"/>
    <w:rsid w:val="001B3A5E"/>
    <w:rsid w:val="001B7AC2"/>
    <w:rsid w:val="001C75B8"/>
    <w:rsid w:val="001D12B2"/>
    <w:rsid w:val="001D29C8"/>
    <w:rsid w:val="001E066D"/>
    <w:rsid w:val="001E7D26"/>
    <w:rsid w:val="001F3A6F"/>
    <w:rsid w:val="001F5092"/>
    <w:rsid w:val="001F723A"/>
    <w:rsid w:val="00200361"/>
    <w:rsid w:val="002010DF"/>
    <w:rsid w:val="00202A95"/>
    <w:rsid w:val="002030E4"/>
    <w:rsid w:val="00205B61"/>
    <w:rsid w:val="0021533E"/>
    <w:rsid w:val="00221DC5"/>
    <w:rsid w:val="0022203F"/>
    <w:rsid w:val="00222A66"/>
    <w:rsid w:val="00230008"/>
    <w:rsid w:val="002319BC"/>
    <w:rsid w:val="0023375B"/>
    <w:rsid w:val="00247919"/>
    <w:rsid w:val="00247CC4"/>
    <w:rsid w:val="00252994"/>
    <w:rsid w:val="0025435E"/>
    <w:rsid w:val="002559AB"/>
    <w:rsid w:val="0026372C"/>
    <w:rsid w:val="00271A36"/>
    <w:rsid w:val="00280121"/>
    <w:rsid w:val="00280307"/>
    <w:rsid w:val="002859B1"/>
    <w:rsid w:val="0029327A"/>
    <w:rsid w:val="00294C59"/>
    <w:rsid w:val="0029511C"/>
    <w:rsid w:val="00297BE7"/>
    <w:rsid w:val="002A4EDA"/>
    <w:rsid w:val="002A5260"/>
    <w:rsid w:val="002A6A64"/>
    <w:rsid w:val="002B17CF"/>
    <w:rsid w:val="002B251C"/>
    <w:rsid w:val="002B364F"/>
    <w:rsid w:val="002B5967"/>
    <w:rsid w:val="002B7733"/>
    <w:rsid w:val="002C2CEF"/>
    <w:rsid w:val="002C3F8A"/>
    <w:rsid w:val="002D0529"/>
    <w:rsid w:val="002D3075"/>
    <w:rsid w:val="002D66F7"/>
    <w:rsid w:val="002E0623"/>
    <w:rsid w:val="002E6B5D"/>
    <w:rsid w:val="002F1AE4"/>
    <w:rsid w:val="003040D1"/>
    <w:rsid w:val="00305FA8"/>
    <w:rsid w:val="0031022C"/>
    <w:rsid w:val="00315B29"/>
    <w:rsid w:val="003211B9"/>
    <w:rsid w:val="00321BE7"/>
    <w:rsid w:val="00332B81"/>
    <w:rsid w:val="00340072"/>
    <w:rsid w:val="00342168"/>
    <w:rsid w:val="00342245"/>
    <w:rsid w:val="00344241"/>
    <w:rsid w:val="00346CCE"/>
    <w:rsid w:val="00355DEA"/>
    <w:rsid w:val="003602FE"/>
    <w:rsid w:val="00360998"/>
    <w:rsid w:val="003617A4"/>
    <w:rsid w:val="00364A4F"/>
    <w:rsid w:val="00366126"/>
    <w:rsid w:val="00371B00"/>
    <w:rsid w:val="00376C4F"/>
    <w:rsid w:val="00390DFB"/>
    <w:rsid w:val="003950F6"/>
    <w:rsid w:val="0039782A"/>
    <w:rsid w:val="00397B14"/>
    <w:rsid w:val="003A2142"/>
    <w:rsid w:val="003B03B3"/>
    <w:rsid w:val="003B2585"/>
    <w:rsid w:val="003B52A4"/>
    <w:rsid w:val="003C0163"/>
    <w:rsid w:val="003C3565"/>
    <w:rsid w:val="003D1334"/>
    <w:rsid w:val="003D6129"/>
    <w:rsid w:val="003E00C3"/>
    <w:rsid w:val="003E038C"/>
    <w:rsid w:val="003E12E0"/>
    <w:rsid w:val="003E1475"/>
    <w:rsid w:val="003E3804"/>
    <w:rsid w:val="003E42F2"/>
    <w:rsid w:val="003E5A99"/>
    <w:rsid w:val="003F16B9"/>
    <w:rsid w:val="003F6CE0"/>
    <w:rsid w:val="003F79B5"/>
    <w:rsid w:val="00404871"/>
    <w:rsid w:val="00411C9B"/>
    <w:rsid w:val="00425309"/>
    <w:rsid w:val="00427D5A"/>
    <w:rsid w:val="00433317"/>
    <w:rsid w:val="00441627"/>
    <w:rsid w:val="00442D36"/>
    <w:rsid w:val="00447943"/>
    <w:rsid w:val="00447A1C"/>
    <w:rsid w:val="00450BFD"/>
    <w:rsid w:val="00456923"/>
    <w:rsid w:val="00462D95"/>
    <w:rsid w:val="00463A24"/>
    <w:rsid w:val="00464C3A"/>
    <w:rsid w:val="00466EAF"/>
    <w:rsid w:val="00473894"/>
    <w:rsid w:val="00474FBB"/>
    <w:rsid w:val="00477AC4"/>
    <w:rsid w:val="004815DF"/>
    <w:rsid w:val="00486CE3"/>
    <w:rsid w:val="0049073B"/>
    <w:rsid w:val="0049176F"/>
    <w:rsid w:val="004A1DF0"/>
    <w:rsid w:val="004A28AE"/>
    <w:rsid w:val="004A5A5A"/>
    <w:rsid w:val="004B1BD5"/>
    <w:rsid w:val="004B6D21"/>
    <w:rsid w:val="004B6F76"/>
    <w:rsid w:val="004B7B88"/>
    <w:rsid w:val="004C03BD"/>
    <w:rsid w:val="004D0214"/>
    <w:rsid w:val="004D03BF"/>
    <w:rsid w:val="004D03E3"/>
    <w:rsid w:val="004D53D7"/>
    <w:rsid w:val="004E076D"/>
    <w:rsid w:val="004F1E1A"/>
    <w:rsid w:val="004F3571"/>
    <w:rsid w:val="004F6685"/>
    <w:rsid w:val="00503F1B"/>
    <w:rsid w:val="00504819"/>
    <w:rsid w:val="0050673F"/>
    <w:rsid w:val="00514C66"/>
    <w:rsid w:val="005200C6"/>
    <w:rsid w:val="005200E2"/>
    <w:rsid w:val="00524D75"/>
    <w:rsid w:val="00526474"/>
    <w:rsid w:val="00530E3C"/>
    <w:rsid w:val="005312C7"/>
    <w:rsid w:val="005322A8"/>
    <w:rsid w:val="00535371"/>
    <w:rsid w:val="00542811"/>
    <w:rsid w:val="00543DA6"/>
    <w:rsid w:val="0054473C"/>
    <w:rsid w:val="0055142B"/>
    <w:rsid w:val="00573BF1"/>
    <w:rsid w:val="0058330B"/>
    <w:rsid w:val="005859EA"/>
    <w:rsid w:val="00585DDF"/>
    <w:rsid w:val="00587760"/>
    <w:rsid w:val="005A04CF"/>
    <w:rsid w:val="005A1038"/>
    <w:rsid w:val="005A3DDC"/>
    <w:rsid w:val="005A6D9F"/>
    <w:rsid w:val="005A7517"/>
    <w:rsid w:val="005B1650"/>
    <w:rsid w:val="005B272E"/>
    <w:rsid w:val="005C21E3"/>
    <w:rsid w:val="005D3618"/>
    <w:rsid w:val="005D628C"/>
    <w:rsid w:val="005E07FE"/>
    <w:rsid w:val="005E1CAB"/>
    <w:rsid w:val="005F2D18"/>
    <w:rsid w:val="005F5BFA"/>
    <w:rsid w:val="005F5D81"/>
    <w:rsid w:val="005F6085"/>
    <w:rsid w:val="006044FC"/>
    <w:rsid w:val="00604A89"/>
    <w:rsid w:val="00604D95"/>
    <w:rsid w:val="00604EE8"/>
    <w:rsid w:val="0060526C"/>
    <w:rsid w:val="006305F4"/>
    <w:rsid w:val="00630BCC"/>
    <w:rsid w:val="006339B1"/>
    <w:rsid w:val="00641616"/>
    <w:rsid w:val="00646FB2"/>
    <w:rsid w:val="00647E74"/>
    <w:rsid w:val="00647F20"/>
    <w:rsid w:val="00651CD1"/>
    <w:rsid w:val="00652EDF"/>
    <w:rsid w:val="0065317C"/>
    <w:rsid w:val="00654C54"/>
    <w:rsid w:val="00676088"/>
    <w:rsid w:val="00676104"/>
    <w:rsid w:val="006807E7"/>
    <w:rsid w:val="00682E20"/>
    <w:rsid w:val="00691902"/>
    <w:rsid w:val="00692AC6"/>
    <w:rsid w:val="006934DE"/>
    <w:rsid w:val="00693EB3"/>
    <w:rsid w:val="006A2A0F"/>
    <w:rsid w:val="006A6E9E"/>
    <w:rsid w:val="006B147A"/>
    <w:rsid w:val="006B3536"/>
    <w:rsid w:val="006B3969"/>
    <w:rsid w:val="006B46FA"/>
    <w:rsid w:val="006B48AA"/>
    <w:rsid w:val="006B6514"/>
    <w:rsid w:val="006C00B3"/>
    <w:rsid w:val="006C042C"/>
    <w:rsid w:val="006C198D"/>
    <w:rsid w:val="006C3553"/>
    <w:rsid w:val="006C4121"/>
    <w:rsid w:val="006D2870"/>
    <w:rsid w:val="006D342A"/>
    <w:rsid w:val="006D4BFD"/>
    <w:rsid w:val="006E3CFF"/>
    <w:rsid w:val="006E58B7"/>
    <w:rsid w:val="006E6AE8"/>
    <w:rsid w:val="006F21CA"/>
    <w:rsid w:val="00700FB9"/>
    <w:rsid w:val="00702073"/>
    <w:rsid w:val="00702ABD"/>
    <w:rsid w:val="0070529D"/>
    <w:rsid w:val="00706E2F"/>
    <w:rsid w:val="00714069"/>
    <w:rsid w:val="00714AEA"/>
    <w:rsid w:val="00715FF8"/>
    <w:rsid w:val="00720955"/>
    <w:rsid w:val="007335BE"/>
    <w:rsid w:val="00736B85"/>
    <w:rsid w:val="007446C5"/>
    <w:rsid w:val="00744E65"/>
    <w:rsid w:val="00753BB8"/>
    <w:rsid w:val="00754526"/>
    <w:rsid w:val="00755531"/>
    <w:rsid w:val="007561DC"/>
    <w:rsid w:val="007576E3"/>
    <w:rsid w:val="007700D4"/>
    <w:rsid w:val="00770B31"/>
    <w:rsid w:val="007759DD"/>
    <w:rsid w:val="0078469E"/>
    <w:rsid w:val="00787719"/>
    <w:rsid w:val="007902F0"/>
    <w:rsid w:val="00791B27"/>
    <w:rsid w:val="00796A9E"/>
    <w:rsid w:val="007B0773"/>
    <w:rsid w:val="007B4D81"/>
    <w:rsid w:val="007B4FE2"/>
    <w:rsid w:val="007B5DA8"/>
    <w:rsid w:val="007B7A2D"/>
    <w:rsid w:val="007C0BB7"/>
    <w:rsid w:val="007C2C70"/>
    <w:rsid w:val="007C5C7C"/>
    <w:rsid w:val="007D4946"/>
    <w:rsid w:val="007E0EA4"/>
    <w:rsid w:val="007E38AD"/>
    <w:rsid w:val="007F2EA1"/>
    <w:rsid w:val="007F375A"/>
    <w:rsid w:val="007F48E8"/>
    <w:rsid w:val="007F5B08"/>
    <w:rsid w:val="007F5F2C"/>
    <w:rsid w:val="00800DB2"/>
    <w:rsid w:val="00801A48"/>
    <w:rsid w:val="00801B3D"/>
    <w:rsid w:val="00802629"/>
    <w:rsid w:val="00810A71"/>
    <w:rsid w:val="00813B02"/>
    <w:rsid w:val="0082425D"/>
    <w:rsid w:val="0082622B"/>
    <w:rsid w:val="008266CE"/>
    <w:rsid w:val="00853E25"/>
    <w:rsid w:val="0085404D"/>
    <w:rsid w:val="00855AE8"/>
    <w:rsid w:val="00860E6A"/>
    <w:rsid w:val="00870F5F"/>
    <w:rsid w:val="0087263A"/>
    <w:rsid w:val="00872675"/>
    <w:rsid w:val="00884519"/>
    <w:rsid w:val="00884BFD"/>
    <w:rsid w:val="008864DC"/>
    <w:rsid w:val="008A2FDB"/>
    <w:rsid w:val="008B24D3"/>
    <w:rsid w:val="008B31A4"/>
    <w:rsid w:val="008B5123"/>
    <w:rsid w:val="008B64A0"/>
    <w:rsid w:val="008C176C"/>
    <w:rsid w:val="008C2E9C"/>
    <w:rsid w:val="008C5067"/>
    <w:rsid w:val="008C74C6"/>
    <w:rsid w:val="008C7661"/>
    <w:rsid w:val="008D319A"/>
    <w:rsid w:val="008D363A"/>
    <w:rsid w:val="008D4847"/>
    <w:rsid w:val="008D716B"/>
    <w:rsid w:val="008D7342"/>
    <w:rsid w:val="008E185B"/>
    <w:rsid w:val="008E2E79"/>
    <w:rsid w:val="008E5C3D"/>
    <w:rsid w:val="008E5DD8"/>
    <w:rsid w:val="008E692B"/>
    <w:rsid w:val="008F011F"/>
    <w:rsid w:val="00900DE1"/>
    <w:rsid w:val="00915849"/>
    <w:rsid w:val="00916F2C"/>
    <w:rsid w:val="00920E53"/>
    <w:rsid w:val="00925DCC"/>
    <w:rsid w:val="00935B91"/>
    <w:rsid w:val="00942022"/>
    <w:rsid w:val="00942B8D"/>
    <w:rsid w:val="00944E11"/>
    <w:rsid w:val="009453D5"/>
    <w:rsid w:val="009506F1"/>
    <w:rsid w:val="00951D5F"/>
    <w:rsid w:val="00963150"/>
    <w:rsid w:val="0096394A"/>
    <w:rsid w:val="00963CEC"/>
    <w:rsid w:val="00966F28"/>
    <w:rsid w:val="00966FE1"/>
    <w:rsid w:val="0097768D"/>
    <w:rsid w:val="00983828"/>
    <w:rsid w:val="009848F1"/>
    <w:rsid w:val="00987585"/>
    <w:rsid w:val="00994B8C"/>
    <w:rsid w:val="00996398"/>
    <w:rsid w:val="00997E0C"/>
    <w:rsid w:val="00997F38"/>
    <w:rsid w:val="009A1E0C"/>
    <w:rsid w:val="009A2613"/>
    <w:rsid w:val="009A2E47"/>
    <w:rsid w:val="009A4720"/>
    <w:rsid w:val="009A4BEC"/>
    <w:rsid w:val="009A618C"/>
    <w:rsid w:val="009B4DC1"/>
    <w:rsid w:val="009C3C5B"/>
    <w:rsid w:val="009E748F"/>
    <w:rsid w:val="009F421D"/>
    <w:rsid w:val="009F438E"/>
    <w:rsid w:val="009F6990"/>
    <w:rsid w:val="00A003E2"/>
    <w:rsid w:val="00A00C6A"/>
    <w:rsid w:val="00A00CEA"/>
    <w:rsid w:val="00A01B77"/>
    <w:rsid w:val="00A0486B"/>
    <w:rsid w:val="00A17ACC"/>
    <w:rsid w:val="00A263C5"/>
    <w:rsid w:val="00A426A0"/>
    <w:rsid w:val="00A50B28"/>
    <w:rsid w:val="00A5507F"/>
    <w:rsid w:val="00A64F0E"/>
    <w:rsid w:val="00A72BE6"/>
    <w:rsid w:val="00A765EF"/>
    <w:rsid w:val="00A86C9B"/>
    <w:rsid w:val="00A91639"/>
    <w:rsid w:val="00AA18FA"/>
    <w:rsid w:val="00AA5A1B"/>
    <w:rsid w:val="00AA5BCE"/>
    <w:rsid w:val="00AB105F"/>
    <w:rsid w:val="00AB5FA3"/>
    <w:rsid w:val="00AB73AC"/>
    <w:rsid w:val="00AC188A"/>
    <w:rsid w:val="00AC1E6B"/>
    <w:rsid w:val="00AC47C0"/>
    <w:rsid w:val="00AC5CC0"/>
    <w:rsid w:val="00AF04B9"/>
    <w:rsid w:val="00B066F7"/>
    <w:rsid w:val="00B07F5E"/>
    <w:rsid w:val="00B109E9"/>
    <w:rsid w:val="00B14D88"/>
    <w:rsid w:val="00B15F44"/>
    <w:rsid w:val="00B30FD3"/>
    <w:rsid w:val="00B34074"/>
    <w:rsid w:val="00B36778"/>
    <w:rsid w:val="00B65982"/>
    <w:rsid w:val="00B704BD"/>
    <w:rsid w:val="00B727EC"/>
    <w:rsid w:val="00B83EEF"/>
    <w:rsid w:val="00B84B12"/>
    <w:rsid w:val="00B854DF"/>
    <w:rsid w:val="00B85CE1"/>
    <w:rsid w:val="00B9172E"/>
    <w:rsid w:val="00B92C83"/>
    <w:rsid w:val="00B94FA0"/>
    <w:rsid w:val="00B968B7"/>
    <w:rsid w:val="00BA0A77"/>
    <w:rsid w:val="00BA2341"/>
    <w:rsid w:val="00BA2D6E"/>
    <w:rsid w:val="00BA7BC9"/>
    <w:rsid w:val="00BB43BD"/>
    <w:rsid w:val="00BD7FF9"/>
    <w:rsid w:val="00BE0AE9"/>
    <w:rsid w:val="00BE698A"/>
    <w:rsid w:val="00BF0EAD"/>
    <w:rsid w:val="00BF1226"/>
    <w:rsid w:val="00BF1AF7"/>
    <w:rsid w:val="00BF20E7"/>
    <w:rsid w:val="00BF2E6E"/>
    <w:rsid w:val="00BF3D8B"/>
    <w:rsid w:val="00BF74F8"/>
    <w:rsid w:val="00C007D9"/>
    <w:rsid w:val="00C163C6"/>
    <w:rsid w:val="00C267B1"/>
    <w:rsid w:val="00C270A5"/>
    <w:rsid w:val="00C27232"/>
    <w:rsid w:val="00C2786A"/>
    <w:rsid w:val="00C30943"/>
    <w:rsid w:val="00C31093"/>
    <w:rsid w:val="00C428CD"/>
    <w:rsid w:val="00C45723"/>
    <w:rsid w:val="00C47F85"/>
    <w:rsid w:val="00C50CDF"/>
    <w:rsid w:val="00C53D12"/>
    <w:rsid w:val="00C5402B"/>
    <w:rsid w:val="00C6095C"/>
    <w:rsid w:val="00C60DFA"/>
    <w:rsid w:val="00C61516"/>
    <w:rsid w:val="00C64EA4"/>
    <w:rsid w:val="00C705D9"/>
    <w:rsid w:val="00C74BA9"/>
    <w:rsid w:val="00C75C49"/>
    <w:rsid w:val="00C80258"/>
    <w:rsid w:val="00C85C44"/>
    <w:rsid w:val="00CA4177"/>
    <w:rsid w:val="00CA6DCD"/>
    <w:rsid w:val="00CB2D9A"/>
    <w:rsid w:val="00CC44F7"/>
    <w:rsid w:val="00CC53D2"/>
    <w:rsid w:val="00CC7495"/>
    <w:rsid w:val="00CD0B64"/>
    <w:rsid w:val="00CD5890"/>
    <w:rsid w:val="00CD79A5"/>
    <w:rsid w:val="00CE181A"/>
    <w:rsid w:val="00CE261E"/>
    <w:rsid w:val="00CE42BA"/>
    <w:rsid w:val="00CF6416"/>
    <w:rsid w:val="00D20EB1"/>
    <w:rsid w:val="00D21DBC"/>
    <w:rsid w:val="00D247B8"/>
    <w:rsid w:val="00D31A1A"/>
    <w:rsid w:val="00D3524B"/>
    <w:rsid w:val="00D35CD5"/>
    <w:rsid w:val="00D43245"/>
    <w:rsid w:val="00D4500B"/>
    <w:rsid w:val="00D45FBC"/>
    <w:rsid w:val="00D50F90"/>
    <w:rsid w:val="00D52187"/>
    <w:rsid w:val="00D5425A"/>
    <w:rsid w:val="00D60F13"/>
    <w:rsid w:val="00D61A88"/>
    <w:rsid w:val="00D677F0"/>
    <w:rsid w:val="00D7005B"/>
    <w:rsid w:val="00D70B94"/>
    <w:rsid w:val="00D710CE"/>
    <w:rsid w:val="00D71D46"/>
    <w:rsid w:val="00D74CF0"/>
    <w:rsid w:val="00D76053"/>
    <w:rsid w:val="00D778A9"/>
    <w:rsid w:val="00D77BCF"/>
    <w:rsid w:val="00D80FCE"/>
    <w:rsid w:val="00D81298"/>
    <w:rsid w:val="00D8203E"/>
    <w:rsid w:val="00D87438"/>
    <w:rsid w:val="00D91A6A"/>
    <w:rsid w:val="00D94D32"/>
    <w:rsid w:val="00DA2B26"/>
    <w:rsid w:val="00DC2EB8"/>
    <w:rsid w:val="00DC43A0"/>
    <w:rsid w:val="00DC5736"/>
    <w:rsid w:val="00DC617A"/>
    <w:rsid w:val="00DD00D7"/>
    <w:rsid w:val="00DD0D94"/>
    <w:rsid w:val="00DD3CA6"/>
    <w:rsid w:val="00DD5EB7"/>
    <w:rsid w:val="00DD6BB1"/>
    <w:rsid w:val="00DE2CFC"/>
    <w:rsid w:val="00DF277F"/>
    <w:rsid w:val="00DF2DA2"/>
    <w:rsid w:val="00DF70C3"/>
    <w:rsid w:val="00E00228"/>
    <w:rsid w:val="00E00E84"/>
    <w:rsid w:val="00E01B00"/>
    <w:rsid w:val="00E040E5"/>
    <w:rsid w:val="00E05513"/>
    <w:rsid w:val="00E0710E"/>
    <w:rsid w:val="00E100CD"/>
    <w:rsid w:val="00E11A24"/>
    <w:rsid w:val="00E120FA"/>
    <w:rsid w:val="00E206D1"/>
    <w:rsid w:val="00E208D1"/>
    <w:rsid w:val="00E2626B"/>
    <w:rsid w:val="00E35BCB"/>
    <w:rsid w:val="00E415F6"/>
    <w:rsid w:val="00E45979"/>
    <w:rsid w:val="00E4681A"/>
    <w:rsid w:val="00E553BE"/>
    <w:rsid w:val="00E567AE"/>
    <w:rsid w:val="00E60430"/>
    <w:rsid w:val="00E66A06"/>
    <w:rsid w:val="00E76F60"/>
    <w:rsid w:val="00E84FF6"/>
    <w:rsid w:val="00E91CC1"/>
    <w:rsid w:val="00EA39F8"/>
    <w:rsid w:val="00EB20F8"/>
    <w:rsid w:val="00EC07B8"/>
    <w:rsid w:val="00EC0E5B"/>
    <w:rsid w:val="00EC43B5"/>
    <w:rsid w:val="00EC4915"/>
    <w:rsid w:val="00EC70A7"/>
    <w:rsid w:val="00ED0712"/>
    <w:rsid w:val="00ED2587"/>
    <w:rsid w:val="00ED502C"/>
    <w:rsid w:val="00ED5175"/>
    <w:rsid w:val="00EE107B"/>
    <w:rsid w:val="00EE6426"/>
    <w:rsid w:val="00EE65BD"/>
    <w:rsid w:val="00EE74BA"/>
    <w:rsid w:val="00EE79F6"/>
    <w:rsid w:val="00EF0D19"/>
    <w:rsid w:val="00EF168C"/>
    <w:rsid w:val="00EF3545"/>
    <w:rsid w:val="00F02271"/>
    <w:rsid w:val="00F06B65"/>
    <w:rsid w:val="00F07BA9"/>
    <w:rsid w:val="00F105D6"/>
    <w:rsid w:val="00F10CDE"/>
    <w:rsid w:val="00F16BF8"/>
    <w:rsid w:val="00F17A45"/>
    <w:rsid w:val="00F17D0E"/>
    <w:rsid w:val="00F21262"/>
    <w:rsid w:val="00F263EF"/>
    <w:rsid w:val="00F33B13"/>
    <w:rsid w:val="00F35532"/>
    <w:rsid w:val="00F372BB"/>
    <w:rsid w:val="00F37D2D"/>
    <w:rsid w:val="00F4248C"/>
    <w:rsid w:val="00F45571"/>
    <w:rsid w:val="00F45C3D"/>
    <w:rsid w:val="00F47459"/>
    <w:rsid w:val="00F52896"/>
    <w:rsid w:val="00F56499"/>
    <w:rsid w:val="00F57A9E"/>
    <w:rsid w:val="00F71820"/>
    <w:rsid w:val="00F7344C"/>
    <w:rsid w:val="00F7624B"/>
    <w:rsid w:val="00F802BE"/>
    <w:rsid w:val="00F917F9"/>
    <w:rsid w:val="00FA0007"/>
    <w:rsid w:val="00FA7156"/>
    <w:rsid w:val="00FB3195"/>
    <w:rsid w:val="00FB5AAC"/>
    <w:rsid w:val="00FB76AB"/>
    <w:rsid w:val="00FC2497"/>
    <w:rsid w:val="00FC6C95"/>
    <w:rsid w:val="00FE6124"/>
    <w:rsid w:val="00FE66F5"/>
    <w:rsid w:val="00FF16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B14D88"/>
  </w:style>
  <w:style w:type="paragraph" w:customStyle="1" w:styleId="postilla">
    <w:name w:val="postilla"/>
    <w:rsid w:val="00B14D88"/>
    <w:pPr>
      <w:framePr w:w="1701" w:hSpace="284" w:wrap="auto" w:vAnchor="text" w:hAnchor="page" w:xAlign="outside"/>
      <w:spacing w:after="0"/>
      <w:ind w:left="284"/>
    </w:pPr>
    <w:rPr>
      <w:rFonts w:eastAsiaTheme="minorEastAsia" w:cs="Times New Roman"/>
      <w:lang w:eastAsia="it-IT"/>
    </w:rPr>
  </w:style>
  <w:style w:type="character" w:customStyle="1" w:styleId="generated">
    <w:name w:val="generated"/>
    <w:rsid w:val="00B14D88"/>
    <w:rPr>
      <w:shd w:val="diagStripe" w:color="FFFFFF" w:themeColor="background1" w:fill="auto"/>
    </w:rPr>
  </w:style>
  <w:style w:type="character" w:customStyle="1" w:styleId="xml">
    <w:name w:val="xml"/>
    <w:rsid w:val="00B14D88"/>
    <w:rPr>
      <w:vanish/>
      <w:shd w:val="diagStripe" w:color="F1D9C6" w:fill="auto"/>
    </w:rPr>
  </w:style>
  <w:style w:type="paragraph" w:customStyle="1" w:styleId="documento">
    <w:name w:val="documento"/>
    <w:rsid w:val="00B14D88"/>
    <w:pPr>
      <w:spacing w:after="0"/>
    </w:pPr>
    <w:rPr>
      <w:rFonts w:eastAsiaTheme="minorEastAsia" w:cs="Times New Roman"/>
      <w:color w:val="000000"/>
      <w:lang w:eastAsia="it-IT"/>
    </w:rPr>
  </w:style>
  <w:style w:type="paragraph" w:customStyle="1" w:styleId="capitolo">
    <w:name w:val="capitolo"/>
    <w:rsid w:val="00B14D88"/>
    <w:pPr>
      <w:spacing w:after="0" w:line="278" w:lineRule="exact"/>
      <w:jc w:val="center"/>
    </w:pPr>
    <w:rPr>
      <w:rFonts w:eastAsiaTheme="minorEastAsia" w:cs="Times New Roman"/>
      <w:lang w:eastAsia="it-IT"/>
    </w:rPr>
  </w:style>
  <w:style w:type="paragraph" w:customStyle="1" w:styleId="autore">
    <w:name w:val="autore"/>
    <w:rsid w:val="00B14D88"/>
    <w:pPr>
      <w:spacing w:before="85" w:after="0" w:line="278" w:lineRule="exact"/>
      <w:jc w:val="center"/>
    </w:pPr>
    <w:rPr>
      <w:rFonts w:eastAsiaTheme="minorEastAsia" w:cs="Times New Roman"/>
      <w:lang w:eastAsia="it-IT"/>
    </w:rPr>
  </w:style>
  <w:style w:type="paragraph" w:customStyle="1" w:styleId="para">
    <w:name w:val="para"/>
    <w:rsid w:val="00B14D88"/>
    <w:pPr>
      <w:spacing w:after="0"/>
      <w:jc w:val="both"/>
    </w:pPr>
    <w:rPr>
      <w:rFonts w:eastAsiaTheme="minorEastAsia" w:cs="Times New Roman"/>
      <w:lang w:eastAsia="it-IT"/>
    </w:rPr>
  </w:style>
  <w:style w:type="paragraph" w:customStyle="1" w:styleId="titolo">
    <w:name w:val="titolo"/>
    <w:rsid w:val="00B14D88"/>
    <w:pPr>
      <w:spacing w:after="0" w:line="278" w:lineRule="exact"/>
      <w:jc w:val="both"/>
    </w:pPr>
    <w:rPr>
      <w:rFonts w:eastAsiaTheme="minorEastAsia" w:cs="Times New Roman"/>
      <w:lang w:eastAsia="it-IT"/>
    </w:rPr>
  </w:style>
  <w:style w:type="paragraph" w:customStyle="1" w:styleId="biblio">
    <w:name w:val="biblio"/>
    <w:rsid w:val="00B14D88"/>
    <w:pPr>
      <w:spacing w:before="513" w:after="0" w:line="278" w:lineRule="exact"/>
      <w:jc w:val="both"/>
    </w:pPr>
    <w:rPr>
      <w:rFonts w:eastAsiaTheme="minorEastAsia" w:cs="Times New Roman"/>
      <w:lang w:eastAsia="it-IT"/>
    </w:rPr>
  </w:style>
  <w:style w:type="paragraph" w:customStyle="1" w:styleId="cors">
    <w:name w:val="cors"/>
    <w:rsid w:val="00B14D88"/>
    <w:pPr>
      <w:spacing w:before="256" w:after="0" w:line="278" w:lineRule="exact"/>
      <w:jc w:val="both"/>
    </w:pPr>
    <w:rPr>
      <w:rFonts w:eastAsiaTheme="minorEastAsia" w:cs="Times New Roman"/>
      <w:lang w:eastAsia="it-IT"/>
    </w:rPr>
  </w:style>
  <w:style w:type="paragraph" w:customStyle="1" w:styleId="sezione">
    <w:name w:val="sezione"/>
    <w:rsid w:val="00B14D88"/>
    <w:pPr>
      <w:spacing w:before="513" w:after="0" w:line="278" w:lineRule="exact"/>
      <w:jc w:val="center"/>
    </w:pPr>
    <w:rPr>
      <w:rFonts w:eastAsiaTheme="minorEastAsia" w:cs="Times New Roman"/>
      <w:lang w:eastAsia="it-IT"/>
    </w:rPr>
  </w:style>
  <w:style w:type="paragraph" w:styleId="Testofumetto">
    <w:name w:val="Balloon Text"/>
    <w:basedOn w:val="Normale"/>
    <w:link w:val="TestofumettoCarattere"/>
    <w:uiPriority w:val="99"/>
    <w:semiHidden/>
    <w:unhideWhenUsed/>
    <w:rsid w:val="0047389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3894"/>
    <w:rPr>
      <w:rFonts w:ascii="Segoe UI" w:hAnsi="Segoe UI" w:cs="Segoe UI"/>
      <w:sz w:val="18"/>
      <w:szCs w:val="18"/>
    </w:rPr>
  </w:style>
  <w:style w:type="character" w:styleId="Enfasigrassetto">
    <w:name w:val="Strong"/>
    <w:basedOn w:val="Carpredefinitoparagrafo"/>
    <w:uiPriority w:val="22"/>
    <w:qFormat/>
    <w:rsid w:val="00087C7E"/>
    <w:rPr>
      <w:b/>
      <w:bCs/>
    </w:rPr>
  </w:style>
  <w:style w:type="paragraph" w:styleId="Revisione">
    <w:name w:val="Revision"/>
    <w:hidden/>
    <w:uiPriority w:val="99"/>
    <w:semiHidden/>
    <w:rsid w:val="000B6D9C"/>
    <w:pPr>
      <w:spacing w:after="0" w:line="240" w:lineRule="auto"/>
    </w:pPr>
  </w:style>
  <w:style w:type="character" w:styleId="Rimandonotaapidipagina">
    <w:name w:val="footnote reference"/>
    <w:basedOn w:val="Carpredefinitoparagrafo"/>
    <w:semiHidden/>
    <w:rsid w:val="00916F2C"/>
    <w:rPr>
      <w:sz w:val="20"/>
      <w:vertAlign w:val="superscript"/>
    </w:rPr>
  </w:style>
  <w:style w:type="paragraph" w:styleId="Testonotaapidipagina">
    <w:name w:val="footnote text"/>
    <w:basedOn w:val="Normale"/>
    <w:link w:val="TestonotaapidipaginaCarattere"/>
    <w:rsid w:val="00916F2C"/>
    <w:pPr>
      <w:widowControl w:val="0"/>
      <w:spacing w:after="0" w:line="240" w:lineRule="auto"/>
      <w:jc w:val="both"/>
    </w:pPr>
    <w:rPr>
      <w:rFonts w:ascii="Times New Roman" w:eastAsia="Times New Roman" w:hAnsi="Times New Roman" w:cs="Times New Roman"/>
      <w:sz w:val="18"/>
      <w:szCs w:val="20"/>
      <w:lang w:eastAsia="it-IT"/>
    </w:rPr>
  </w:style>
  <w:style w:type="character" w:customStyle="1" w:styleId="TestonotaapidipaginaCarattere">
    <w:name w:val="Testo nota a piè di pagina Carattere"/>
    <w:basedOn w:val="Carpredefinitoparagrafo"/>
    <w:link w:val="Testonotaapidipagina"/>
    <w:rsid w:val="00916F2C"/>
    <w:rPr>
      <w:rFonts w:ascii="Times New Roman" w:eastAsia="Times New Roman" w:hAnsi="Times New Roman" w:cs="Times New Roman"/>
      <w:sz w:val="18"/>
      <w:szCs w:val="20"/>
      <w:lang w:eastAsia="it-IT"/>
    </w:rPr>
  </w:style>
  <w:style w:type="character" w:customStyle="1" w:styleId="hps">
    <w:name w:val="hps"/>
    <w:basedOn w:val="Carpredefinitoparagrafo"/>
    <w:rsid w:val="00202A95"/>
  </w:style>
  <w:style w:type="paragraph" w:styleId="Intestazione">
    <w:name w:val="header"/>
    <w:basedOn w:val="Normale"/>
    <w:link w:val="IntestazioneCarattere"/>
    <w:uiPriority w:val="99"/>
    <w:unhideWhenUsed/>
    <w:rsid w:val="00BF2E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2E6E"/>
  </w:style>
  <w:style w:type="paragraph" w:styleId="Pidipagina">
    <w:name w:val="footer"/>
    <w:basedOn w:val="Normale"/>
    <w:link w:val="PidipaginaCarattere"/>
    <w:uiPriority w:val="99"/>
    <w:unhideWhenUsed/>
    <w:rsid w:val="00BF2E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2E6E"/>
  </w:style>
  <w:style w:type="character" w:customStyle="1" w:styleId="st">
    <w:name w:val="st"/>
    <w:basedOn w:val="Carpredefinitoparagrafo"/>
    <w:rsid w:val="00B85CE1"/>
  </w:style>
  <w:style w:type="character" w:styleId="Enfasicorsivo">
    <w:name w:val="Emphasis"/>
    <w:basedOn w:val="Carpredefinitoparagrafo"/>
    <w:uiPriority w:val="20"/>
    <w:qFormat/>
    <w:rsid w:val="00B85CE1"/>
    <w:rPr>
      <w:i/>
      <w:iCs/>
    </w:rPr>
  </w:style>
  <w:style w:type="character" w:customStyle="1" w:styleId="tlid-translation">
    <w:name w:val="tlid-translation"/>
    <w:basedOn w:val="Carpredefinitoparagrafo"/>
    <w:rsid w:val="00F105D6"/>
  </w:style>
  <w:style w:type="character" w:styleId="Collegamentoipertestuale">
    <w:name w:val="Hyperlink"/>
    <w:basedOn w:val="Carpredefinitoparagrafo"/>
    <w:uiPriority w:val="99"/>
    <w:unhideWhenUsed/>
    <w:rsid w:val="004B6D21"/>
    <w:rPr>
      <w:color w:val="0000FF" w:themeColor="hyperlink"/>
      <w:u w:val="single"/>
    </w:rPr>
  </w:style>
  <w:style w:type="character" w:customStyle="1" w:styleId="outputecliaff">
    <w:name w:val="outputecliaff"/>
    <w:basedOn w:val="Carpredefinitoparagrafo"/>
    <w:rsid w:val="00ED5175"/>
  </w:style>
  <w:style w:type="paragraph" w:styleId="Corpotesto">
    <w:name w:val="Body Text"/>
    <w:basedOn w:val="Normale"/>
    <w:link w:val="CorpotestoCarattere"/>
    <w:uiPriority w:val="1"/>
    <w:qFormat/>
    <w:rsid w:val="00944E11"/>
    <w:pPr>
      <w:widowControl w:val="0"/>
      <w:spacing w:after="0" w:line="240" w:lineRule="auto"/>
      <w:ind w:left="113" w:firstLine="284"/>
    </w:pPr>
    <w:rPr>
      <w:rFonts w:ascii="Garamond" w:eastAsia="Garamond" w:hAnsi="Garamond"/>
      <w:lang w:val="en-US"/>
    </w:rPr>
  </w:style>
  <w:style w:type="character" w:customStyle="1" w:styleId="CorpotestoCarattere">
    <w:name w:val="Corpo testo Carattere"/>
    <w:basedOn w:val="Carpredefinitoparagrafo"/>
    <w:link w:val="Corpotesto"/>
    <w:uiPriority w:val="1"/>
    <w:rsid w:val="00944E11"/>
    <w:rPr>
      <w:rFonts w:ascii="Garamond" w:eastAsia="Garamond" w:hAnsi="Garamond"/>
      <w:lang w:val="en-US"/>
    </w:rPr>
  </w:style>
  <w:style w:type="paragraph" w:styleId="Testonotadichiusura">
    <w:name w:val="endnote text"/>
    <w:basedOn w:val="Normale"/>
    <w:link w:val="TestonotadichiusuraCarattere"/>
    <w:uiPriority w:val="99"/>
    <w:semiHidden/>
    <w:unhideWhenUsed/>
    <w:rsid w:val="00DF70C3"/>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rsid w:val="00DF70C3"/>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DF70C3"/>
    <w:rPr>
      <w:vertAlign w:val="superscript"/>
    </w:rPr>
  </w:style>
  <w:style w:type="paragraph" w:styleId="Rientrocorpodeltesto">
    <w:name w:val="Body Text Indent"/>
    <w:basedOn w:val="Normale"/>
    <w:link w:val="RientrocorpodeltestoCarattere"/>
    <w:uiPriority w:val="99"/>
    <w:semiHidden/>
    <w:unhideWhenUsed/>
    <w:rsid w:val="0098382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983828"/>
  </w:style>
  <w:style w:type="paragraph" w:styleId="Paragrafoelenco">
    <w:name w:val="List Paragraph"/>
    <w:basedOn w:val="Normale"/>
    <w:uiPriority w:val="34"/>
    <w:qFormat/>
    <w:rsid w:val="00530E3C"/>
    <w:pPr>
      <w:spacing w:after="0" w:line="240" w:lineRule="auto"/>
      <w:ind w:left="720"/>
      <w:contextualSpacing/>
    </w:pPr>
    <w:rPr>
      <w:rFonts w:ascii="Calibri" w:hAnsi="Calibri" w:cs="Times New Roman"/>
      <w:lang w:eastAsia="it-IT"/>
    </w:rPr>
  </w:style>
  <w:style w:type="character" w:customStyle="1" w:styleId="outputecli">
    <w:name w:val="outputecli"/>
    <w:basedOn w:val="Carpredefinitoparagrafo"/>
    <w:rsid w:val="00790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2379">
      <w:bodyDiv w:val="1"/>
      <w:marLeft w:val="0"/>
      <w:marRight w:val="0"/>
      <w:marTop w:val="0"/>
      <w:marBottom w:val="0"/>
      <w:divBdr>
        <w:top w:val="none" w:sz="0" w:space="0" w:color="auto"/>
        <w:left w:val="none" w:sz="0" w:space="0" w:color="auto"/>
        <w:bottom w:val="none" w:sz="0" w:space="0" w:color="auto"/>
        <w:right w:val="none" w:sz="0" w:space="0" w:color="auto"/>
      </w:divBdr>
    </w:div>
    <w:div w:id="614874583">
      <w:bodyDiv w:val="1"/>
      <w:marLeft w:val="0"/>
      <w:marRight w:val="0"/>
      <w:marTop w:val="0"/>
      <w:marBottom w:val="0"/>
      <w:divBdr>
        <w:top w:val="none" w:sz="0" w:space="0" w:color="auto"/>
        <w:left w:val="none" w:sz="0" w:space="0" w:color="auto"/>
        <w:bottom w:val="none" w:sz="0" w:space="0" w:color="auto"/>
        <w:right w:val="none" w:sz="0" w:space="0" w:color="auto"/>
      </w:divBdr>
    </w:div>
    <w:div w:id="799422930">
      <w:bodyDiv w:val="1"/>
      <w:marLeft w:val="0"/>
      <w:marRight w:val="0"/>
      <w:marTop w:val="0"/>
      <w:marBottom w:val="0"/>
      <w:divBdr>
        <w:top w:val="none" w:sz="0" w:space="0" w:color="auto"/>
        <w:left w:val="none" w:sz="0" w:space="0" w:color="auto"/>
        <w:bottom w:val="none" w:sz="0" w:space="0" w:color="auto"/>
        <w:right w:val="none" w:sz="0" w:space="0" w:color="auto"/>
      </w:divBdr>
      <w:divsChild>
        <w:div w:id="1021469078">
          <w:marLeft w:val="0"/>
          <w:marRight w:val="0"/>
          <w:marTop w:val="0"/>
          <w:marBottom w:val="0"/>
          <w:divBdr>
            <w:top w:val="none" w:sz="0" w:space="0" w:color="auto"/>
            <w:left w:val="none" w:sz="0" w:space="0" w:color="auto"/>
            <w:bottom w:val="none" w:sz="0" w:space="0" w:color="auto"/>
            <w:right w:val="none" w:sz="0" w:space="0" w:color="auto"/>
          </w:divBdr>
        </w:div>
        <w:div w:id="1794058046">
          <w:marLeft w:val="0"/>
          <w:marRight w:val="0"/>
          <w:marTop w:val="0"/>
          <w:marBottom w:val="0"/>
          <w:divBdr>
            <w:top w:val="none" w:sz="0" w:space="0" w:color="auto"/>
            <w:left w:val="none" w:sz="0" w:space="0" w:color="auto"/>
            <w:bottom w:val="none" w:sz="0" w:space="0" w:color="auto"/>
            <w:right w:val="none" w:sz="0" w:space="0" w:color="auto"/>
          </w:divBdr>
        </w:div>
        <w:div w:id="305165842">
          <w:marLeft w:val="0"/>
          <w:marRight w:val="0"/>
          <w:marTop w:val="0"/>
          <w:marBottom w:val="0"/>
          <w:divBdr>
            <w:top w:val="none" w:sz="0" w:space="0" w:color="auto"/>
            <w:left w:val="none" w:sz="0" w:space="0" w:color="auto"/>
            <w:bottom w:val="none" w:sz="0" w:space="0" w:color="auto"/>
            <w:right w:val="none" w:sz="0" w:space="0" w:color="auto"/>
          </w:divBdr>
        </w:div>
      </w:divsChild>
    </w:div>
    <w:div w:id="846672596">
      <w:bodyDiv w:val="1"/>
      <w:marLeft w:val="0"/>
      <w:marRight w:val="0"/>
      <w:marTop w:val="0"/>
      <w:marBottom w:val="0"/>
      <w:divBdr>
        <w:top w:val="none" w:sz="0" w:space="0" w:color="auto"/>
        <w:left w:val="none" w:sz="0" w:space="0" w:color="auto"/>
        <w:bottom w:val="none" w:sz="0" w:space="0" w:color="auto"/>
        <w:right w:val="none" w:sz="0" w:space="0" w:color="auto"/>
      </w:divBdr>
    </w:div>
    <w:div w:id="1560433228">
      <w:bodyDiv w:val="1"/>
      <w:marLeft w:val="0"/>
      <w:marRight w:val="0"/>
      <w:marTop w:val="0"/>
      <w:marBottom w:val="0"/>
      <w:divBdr>
        <w:top w:val="none" w:sz="0" w:space="0" w:color="auto"/>
        <w:left w:val="none" w:sz="0" w:space="0" w:color="auto"/>
        <w:bottom w:val="none" w:sz="0" w:space="0" w:color="auto"/>
        <w:right w:val="none" w:sz="0" w:space="0" w:color="auto"/>
      </w:divBdr>
    </w:div>
    <w:div w:id="21140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4296-D317-4474-8880-509B8867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7412</Words>
  <Characters>42253</Characters>
  <Application>Microsoft Office Word</Application>
  <DocSecurity>0</DocSecurity>
  <Lines>352</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2020-01-30T22:05:00Z</dcterms:created>
  <dcterms:modified xsi:type="dcterms:W3CDTF">2020-01-30T22:08:00Z</dcterms:modified>
</cp:coreProperties>
</file>