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B6E" w:rsidRDefault="008071B0" w:rsidP="00F31B0A">
      <w:pPr>
        <w:jc w:val="center"/>
        <w:rPr>
          <w:rFonts w:ascii="Times New Roman" w:hAnsi="Times New Roman" w:cs="Times New Roman"/>
          <w:b/>
          <w:i/>
          <w:sz w:val="36"/>
          <w:szCs w:val="36"/>
        </w:rPr>
      </w:pPr>
      <w:bookmarkStart w:id="0" w:name="_GoBack"/>
      <w:r w:rsidRPr="00885A13">
        <w:rPr>
          <w:rFonts w:ascii="Times New Roman" w:hAnsi="Times New Roman" w:cs="Times New Roman"/>
          <w:b/>
          <w:sz w:val="36"/>
          <w:szCs w:val="36"/>
        </w:rPr>
        <w:t>Gli ambiti dell’intervento pubblico nell’organizzazione e nel</w:t>
      </w:r>
      <w:r w:rsidR="00BC7EA1" w:rsidRPr="00885A13">
        <w:rPr>
          <w:rFonts w:ascii="Times New Roman" w:hAnsi="Times New Roman" w:cs="Times New Roman"/>
          <w:b/>
          <w:sz w:val="36"/>
          <w:szCs w:val="36"/>
        </w:rPr>
        <w:t>la gestione dei servizi alla collettività</w:t>
      </w:r>
      <w:r w:rsidR="0080237E" w:rsidRPr="00885A13">
        <w:rPr>
          <w:rFonts w:ascii="Times New Roman" w:hAnsi="Times New Roman" w:cs="Times New Roman"/>
          <w:b/>
          <w:sz w:val="36"/>
          <w:szCs w:val="36"/>
        </w:rPr>
        <w:t>: il conflitto irrisolto tra mercato e tutela sociale dei bisogni della collettività</w:t>
      </w:r>
      <w:bookmarkEnd w:id="0"/>
      <w:r w:rsidR="00C720B1" w:rsidRPr="009E27E8">
        <w:rPr>
          <w:rStyle w:val="Rimandonotaapidipagina"/>
          <w:rFonts w:ascii="Times New Roman" w:hAnsi="Times New Roman" w:cs="Times New Roman"/>
          <w:b/>
          <w:sz w:val="36"/>
          <w:szCs w:val="36"/>
        </w:rPr>
        <w:footnoteReference w:id="1"/>
      </w:r>
    </w:p>
    <w:p w:rsidR="00D01C8F" w:rsidRDefault="00995979" w:rsidP="001A07DE">
      <w:pPr>
        <w:ind w:left="360"/>
        <w:jc w:val="both"/>
        <w:rPr>
          <w:rFonts w:ascii="Times New Roman" w:hAnsi="Times New Roman" w:cs="Times New Roman"/>
          <w:b/>
          <w:sz w:val="28"/>
          <w:szCs w:val="28"/>
        </w:rPr>
      </w:pPr>
      <w:r>
        <w:rPr>
          <w:rFonts w:ascii="Times New Roman" w:hAnsi="Times New Roman" w:cs="Times New Roman"/>
          <w:sz w:val="28"/>
          <w:szCs w:val="28"/>
        </w:rPr>
        <w:t xml:space="preserve"> </w:t>
      </w:r>
    </w:p>
    <w:p w:rsidR="008071B0" w:rsidRDefault="00D01C8F" w:rsidP="001A07DE">
      <w:pPr>
        <w:ind w:left="360"/>
        <w:jc w:val="both"/>
        <w:rPr>
          <w:rFonts w:ascii="Times New Roman" w:hAnsi="Times New Roman" w:cs="Times New Roman"/>
          <w:b/>
          <w:sz w:val="28"/>
          <w:szCs w:val="28"/>
        </w:rPr>
      </w:pPr>
      <w:r>
        <w:rPr>
          <w:rFonts w:ascii="Times New Roman" w:hAnsi="Times New Roman" w:cs="Times New Roman"/>
          <w:b/>
          <w:sz w:val="28"/>
          <w:szCs w:val="28"/>
        </w:rPr>
        <w:t>1.</w:t>
      </w:r>
      <w:r w:rsidR="009E27E8">
        <w:rPr>
          <w:rFonts w:ascii="Times New Roman" w:hAnsi="Times New Roman" w:cs="Times New Roman"/>
          <w:b/>
          <w:sz w:val="28"/>
          <w:szCs w:val="28"/>
        </w:rPr>
        <w:t xml:space="preserve"> </w:t>
      </w:r>
      <w:r>
        <w:rPr>
          <w:rFonts w:ascii="Times New Roman" w:hAnsi="Times New Roman" w:cs="Times New Roman"/>
          <w:b/>
          <w:sz w:val="28"/>
          <w:szCs w:val="28"/>
        </w:rPr>
        <w:t>- Premessa</w:t>
      </w:r>
      <w:r w:rsidR="00F43416">
        <w:rPr>
          <w:rFonts w:ascii="Times New Roman" w:hAnsi="Times New Roman" w:cs="Times New Roman"/>
          <w:b/>
          <w:sz w:val="28"/>
          <w:szCs w:val="28"/>
        </w:rPr>
        <w:t xml:space="preserve"> metodologica</w:t>
      </w:r>
      <w:r>
        <w:rPr>
          <w:rFonts w:ascii="Times New Roman" w:hAnsi="Times New Roman" w:cs="Times New Roman"/>
          <w:b/>
          <w:sz w:val="28"/>
          <w:szCs w:val="28"/>
        </w:rPr>
        <w:t xml:space="preserve">; </w:t>
      </w:r>
      <w:r w:rsidR="00AC45BD">
        <w:rPr>
          <w:rFonts w:ascii="Times New Roman" w:hAnsi="Times New Roman" w:cs="Times New Roman"/>
          <w:b/>
          <w:sz w:val="28"/>
          <w:szCs w:val="28"/>
        </w:rPr>
        <w:t>2. -</w:t>
      </w:r>
      <w:r>
        <w:rPr>
          <w:rFonts w:ascii="Times New Roman" w:hAnsi="Times New Roman" w:cs="Times New Roman"/>
          <w:b/>
          <w:sz w:val="28"/>
          <w:szCs w:val="28"/>
        </w:rPr>
        <w:t xml:space="preserve"> </w:t>
      </w:r>
      <w:r w:rsidR="00161056">
        <w:rPr>
          <w:rFonts w:ascii="Times New Roman" w:hAnsi="Times New Roman" w:cs="Times New Roman"/>
          <w:b/>
          <w:sz w:val="28"/>
          <w:szCs w:val="28"/>
        </w:rPr>
        <w:t>L’equilibrato</w:t>
      </w:r>
      <w:r w:rsidR="00C45E14">
        <w:rPr>
          <w:rFonts w:ascii="Times New Roman" w:hAnsi="Times New Roman" w:cs="Times New Roman"/>
          <w:b/>
          <w:sz w:val="28"/>
          <w:szCs w:val="28"/>
        </w:rPr>
        <w:t xml:space="preserve"> regime dei servizi pubblici </w:t>
      </w:r>
      <w:r w:rsidR="00F43416">
        <w:rPr>
          <w:rFonts w:ascii="Times New Roman" w:hAnsi="Times New Roman" w:cs="Times New Roman"/>
          <w:b/>
          <w:sz w:val="28"/>
          <w:szCs w:val="28"/>
        </w:rPr>
        <w:t xml:space="preserve">di interesse generale </w:t>
      </w:r>
      <w:r w:rsidR="00C45E14">
        <w:rPr>
          <w:rFonts w:ascii="Times New Roman" w:hAnsi="Times New Roman" w:cs="Times New Roman"/>
          <w:b/>
          <w:sz w:val="28"/>
          <w:szCs w:val="28"/>
        </w:rPr>
        <w:t>ne</w:t>
      </w:r>
      <w:r>
        <w:rPr>
          <w:rFonts w:ascii="Times New Roman" w:hAnsi="Times New Roman" w:cs="Times New Roman"/>
          <w:b/>
          <w:sz w:val="28"/>
          <w:szCs w:val="28"/>
        </w:rPr>
        <w:t xml:space="preserve">l diritto europeo; </w:t>
      </w:r>
      <w:r w:rsidR="00AC45BD">
        <w:rPr>
          <w:rFonts w:ascii="Times New Roman" w:hAnsi="Times New Roman" w:cs="Times New Roman"/>
          <w:b/>
          <w:sz w:val="28"/>
          <w:szCs w:val="28"/>
        </w:rPr>
        <w:t>3. -</w:t>
      </w:r>
      <w:r>
        <w:rPr>
          <w:rFonts w:ascii="Times New Roman" w:hAnsi="Times New Roman" w:cs="Times New Roman"/>
          <w:b/>
          <w:sz w:val="28"/>
          <w:szCs w:val="28"/>
        </w:rPr>
        <w:t xml:space="preserve"> </w:t>
      </w:r>
      <w:r w:rsidR="00E102C5">
        <w:rPr>
          <w:rFonts w:ascii="Times New Roman" w:hAnsi="Times New Roman" w:cs="Times New Roman"/>
          <w:b/>
          <w:sz w:val="28"/>
          <w:szCs w:val="28"/>
        </w:rPr>
        <w:t xml:space="preserve">La </w:t>
      </w:r>
      <w:r w:rsidR="00CD3436">
        <w:rPr>
          <w:rFonts w:ascii="Times New Roman" w:hAnsi="Times New Roman" w:cs="Times New Roman"/>
          <w:b/>
          <w:sz w:val="28"/>
          <w:szCs w:val="28"/>
        </w:rPr>
        <w:t>configurazione</w:t>
      </w:r>
      <w:r w:rsidR="00161056">
        <w:rPr>
          <w:rFonts w:ascii="Times New Roman" w:hAnsi="Times New Roman" w:cs="Times New Roman"/>
          <w:b/>
          <w:sz w:val="28"/>
          <w:szCs w:val="28"/>
        </w:rPr>
        <w:t xml:space="preserve"> </w:t>
      </w:r>
      <w:r w:rsidR="00CD3436">
        <w:rPr>
          <w:rFonts w:ascii="Times New Roman" w:hAnsi="Times New Roman" w:cs="Times New Roman"/>
          <w:b/>
          <w:sz w:val="28"/>
          <w:szCs w:val="28"/>
        </w:rPr>
        <w:t>“</w:t>
      </w:r>
      <w:proofErr w:type="spellStart"/>
      <w:r w:rsidR="00161056">
        <w:rPr>
          <w:rFonts w:ascii="Times New Roman" w:hAnsi="Times New Roman" w:cs="Times New Roman"/>
          <w:b/>
          <w:sz w:val="28"/>
          <w:szCs w:val="28"/>
        </w:rPr>
        <w:t>mercatista</w:t>
      </w:r>
      <w:proofErr w:type="spellEnd"/>
      <w:r w:rsidR="00CD3436">
        <w:rPr>
          <w:rFonts w:ascii="Times New Roman" w:hAnsi="Times New Roman" w:cs="Times New Roman"/>
          <w:b/>
          <w:sz w:val="28"/>
          <w:szCs w:val="28"/>
        </w:rPr>
        <w:t>” d</w:t>
      </w:r>
      <w:r w:rsidR="00161056">
        <w:rPr>
          <w:rFonts w:ascii="Times New Roman" w:hAnsi="Times New Roman" w:cs="Times New Roman"/>
          <w:b/>
          <w:sz w:val="28"/>
          <w:szCs w:val="28"/>
        </w:rPr>
        <w:t>ell’ordinamento nazionale</w:t>
      </w:r>
      <w:r w:rsidR="00E726D1">
        <w:rPr>
          <w:rFonts w:ascii="Times New Roman" w:hAnsi="Times New Roman" w:cs="Times New Roman"/>
          <w:b/>
          <w:sz w:val="28"/>
          <w:szCs w:val="28"/>
        </w:rPr>
        <w:t xml:space="preserve">; </w:t>
      </w:r>
      <w:r w:rsidR="00AC45BD">
        <w:rPr>
          <w:rFonts w:ascii="Times New Roman" w:hAnsi="Times New Roman" w:cs="Times New Roman"/>
          <w:b/>
          <w:sz w:val="28"/>
          <w:szCs w:val="28"/>
        </w:rPr>
        <w:t>4. -</w:t>
      </w:r>
      <w:r w:rsidR="006F7F77">
        <w:rPr>
          <w:rFonts w:ascii="Times New Roman" w:hAnsi="Times New Roman" w:cs="Times New Roman"/>
          <w:b/>
          <w:sz w:val="28"/>
          <w:szCs w:val="28"/>
        </w:rPr>
        <w:t xml:space="preserve"> Considerazioni conclusive</w:t>
      </w:r>
      <w:r w:rsidR="00F43416">
        <w:rPr>
          <w:rFonts w:ascii="Times New Roman" w:hAnsi="Times New Roman" w:cs="Times New Roman"/>
          <w:b/>
          <w:sz w:val="28"/>
          <w:szCs w:val="28"/>
        </w:rPr>
        <w:t>: la necessità che la libertà di amministrazione resti il principio cardine</w:t>
      </w:r>
      <w:r w:rsidR="006F7F77">
        <w:rPr>
          <w:rFonts w:ascii="Times New Roman" w:hAnsi="Times New Roman" w:cs="Times New Roman"/>
          <w:b/>
          <w:sz w:val="28"/>
          <w:szCs w:val="28"/>
        </w:rPr>
        <w:t>.</w:t>
      </w:r>
    </w:p>
    <w:p w:rsidR="000A03C2" w:rsidRDefault="000A03C2" w:rsidP="001A07DE">
      <w:pPr>
        <w:ind w:left="360"/>
        <w:jc w:val="both"/>
        <w:rPr>
          <w:rFonts w:ascii="Times New Roman" w:hAnsi="Times New Roman" w:cs="Times New Roman"/>
          <w:b/>
          <w:sz w:val="28"/>
          <w:szCs w:val="28"/>
        </w:rPr>
      </w:pPr>
    </w:p>
    <w:p w:rsidR="001319FC" w:rsidRDefault="00D01C8F" w:rsidP="001A07DE">
      <w:pPr>
        <w:ind w:left="360"/>
        <w:jc w:val="both"/>
        <w:rPr>
          <w:rFonts w:ascii="Times New Roman" w:hAnsi="Times New Roman" w:cs="Times New Roman"/>
          <w:b/>
          <w:sz w:val="28"/>
          <w:szCs w:val="28"/>
        </w:rPr>
      </w:pPr>
      <w:r>
        <w:rPr>
          <w:rFonts w:ascii="Times New Roman" w:hAnsi="Times New Roman" w:cs="Times New Roman"/>
          <w:b/>
          <w:sz w:val="28"/>
          <w:szCs w:val="28"/>
        </w:rPr>
        <w:t xml:space="preserve">1. </w:t>
      </w:r>
      <w:r w:rsidR="00A8451F">
        <w:rPr>
          <w:rFonts w:ascii="Times New Roman" w:hAnsi="Times New Roman" w:cs="Times New Roman"/>
          <w:b/>
          <w:sz w:val="28"/>
          <w:szCs w:val="28"/>
        </w:rPr>
        <w:t>Premessa</w:t>
      </w:r>
      <w:r w:rsidR="00F43416">
        <w:rPr>
          <w:rFonts w:ascii="Times New Roman" w:hAnsi="Times New Roman" w:cs="Times New Roman"/>
          <w:b/>
          <w:sz w:val="28"/>
          <w:szCs w:val="28"/>
        </w:rPr>
        <w:t xml:space="preserve"> metodologica</w:t>
      </w:r>
    </w:p>
    <w:p w:rsidR="002664D5" w:rsidRDefault="00D44AE8" w:rsidP="001A07DE">
      <w:pPr>
        <w:ind w:left="360"/>
        <w:jc w:val="both"/>
        <w:rPr>
          <w:rFonts w:ascii="Times New Roman" w:hAnsi="Times New Roman" w:cs="Times New Roman"/>
          <w:sz w:val="28"/>
          <w:szCs w:val="28"/>
        </w:rPr>
      </w:pPr>
      <w:r>
        <w:rPr>
          <w:rFonts w:ascii="Times New Roman" w:hAnsi="Times New Roman" w:cs="Times New Roman"/>
          <w:sz w:val="28"/>
          <w:szCs w:val="28"/>
        </w:rPr>
        <w:t>Lo studio della classificazione, dei contenuti, delle finalità, dell’organizzazione e della gestione dei</w:t>
      </w:r>
      <w:r w:rsidR="002664D5">
        <w:rPr>
          <w:rFonts w:ascii="Times New Roman" w:hAnsi="Times New Roman" w:cs="Times New Roman"/>
          <w:sz w:val="28"/>
          <w:szCs w:val="28"/>
        </w:rPr>
        <w:t xml:space="preserve"> servizi pubblici</w:t>
      </w:r>
      <w:r>
        <w:rPr>
          <w:rFonts w:ascii="Times New Roman" w:hAnsi="Times New Roman" w:cs="Times New Roman"/>
          <w:sz w:val="28"/>
          <w:szCs w:val="28"/>
        </w:rPr>
        <w:t xml:space="preserve"> ha affaticato gli studiosi del diritto pubblico fin dall’avvento del Welfare State, che ha aggiunto ai compiti tradizionali dello Stato liberale anche le prestazioni finalizzate a soddisfare i bisogni della collettività dei cittadini.</w:t>
      </w:r>
    </w:p>
    <w:p w:rsidR="00D44AE8" w:rsidRDefault="00D44AE8" w:rsidP="001A07DE">
      <w:pPr>
        <w:ind w:left="360"/>
        <w:jc w:val="both"/>
        <w:rPr>
          <w:rFonts w:ascii="Times New Roman" w:hAnsi="Times New Roman" w:cs="Times New Roman"/>
          <w:sz w:val="28"/>
          <w:szCs w:val="28"/>
        </w:rPr>
      </w:pPr>
      <w:r>
        <w:rPr>
          <w:rFonts w:ascii="Times New Roman" w:hAnsi="Times New Roman" w:cs="Times New Roman"/>
          <w:sz w:val="28"/>
          <w:szCs w:val="28"/>
        </w:rPr>
        <w:t>Il tema intercetta, nelle sue grandi linee di pensiero, la complessa disamina del diritto pubblico dell’economia e, segnatamente, l’analisi delle dinamiche della relazione dialettica tra Stato e mercato.</w:t>
      </w:r>
    </w:p>
    <w:p w:rsidR="00447A6E" w:rsidRDefault="00447A6E" w:rsidP="001A07DE">
      <w:pPr>
        <w:ind w:left="360"/>
        <w:jc w:val="both"/>
        <w:rPr>
          <w:rFonts w:ascii="Times New Roman" w:hAnsi="Times New Roman" w:cs="Times New Roman"/>
          <w:sz w:val="28"/>
          <w:szCs w:val="28"/>
        </w:rPr>
      </w:pPr>
      <w:r>
        <w:rPr>
          <w:rFonts w:ascii="Times New Roman" w:hAnsi="Times New Roman" w:cs="Times New Roman"/>
          <w:sz w:val="28"/>
          <w:szCs w:val="28"/>
        </w:rPr>
        <w:t>Non solo, ma si estende fino a incrociare profili dell’ordinamento degli enti locali, del diritto della concorrenza, del regime giuridico delle società a partecipazione pubblica e della normativa dei contratti pubblici.</w:t>
      </w:r>
    </w:p>
    <w:p w:rsidR="00365858" w:rsidRDefault="00D44AE8"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Lungi dall’esaminare </w:t>
      </w:r>
      <w:proofErr w:type="spellStart"/>
      <w:r w:rsidRPr="00D01C8F">
        <w:rPr>
          <w:rFonts w:ascii="Times New Roman" w:hAnsi="Times New Roman" w:cs="Times New Roman"/>
          <w:i/>
          <w:sz w:val="28"/>
          <w:szCs w:val="28"/>
        </w:rPr>
        <w:t>funditus</w:t>
      </w:r>
      <w:proofErr w:type="spellEnd"/>
      <w:r>
        <w:rPr>
          <w:rFonts w:ascii="Times New Roman" w:hAnsi="Times New Roman" w:cs="Times New Roman"/>
          <w:sz w:val="28"/>
          <w:szCs w:val="28"/>
        </w:rPr>
        <w:t xml:space="preserve"> le questioni implicate da</w:t>
      </w:r>
      <w:r w:rsidR="00394801">
        <w:rPr>
          <w:rFonts w:ascii="Times New Roman" w:hAnsi="Times New Roman" w:cs="Times New Roman"/>
          <w:sz w:val="28"/>
          <w:szCs w:val="28"/>
        </w:rPr>
        <w:t>ll’argomento, l</w:t>
      </w:r>
      <w:r w:rsidR="00D76030">
        <w:rPr>
          <w:rFonts w:ascii="Times New Roman" w:hAnsi="Times New Roman" w:cs="Times New Roman"/>
          <w:sz w:val="28"/>
          <w:szCs w:val="28"/>
        </w:rPr>
        <w:t>’intervento resta</w:t>
      </w:r>
      <w:r w:rsidR="009033D9">
        <w:rPr>
          <w:rFonts w:ascii="Times New Roman" w:hAnsi="Times New Roman" w:cs="Times New Roman"/>
          <w:sz w:val="28"/>
          <w:szCs w:val="28"/>
        </w:rPr>
        <w:t xml:space="preserve"> circoscritto all’analisi del tema della disciplina dei servizi pubblici</w:t>
      </w:r>
      <w:r w:rsidR="00E727AB">
        <w:rPr>
          <w:rFonts w:ascii="Times New Roman" w:hAnsi="Times New Roman" w:cs="Times New Roman"/>
          <w:sz w:val="28"/>
          <w:szCs w:val="28"/>
        </w:rPr>
        <w:t xml:space="preserve"> </w:t>
      </w:r>
      <w:r w:rsidR="00365858">
        <w:rPr>
          <w:rFonts w:ascii="Times New Roman" w:hAnsi="Times New Roman" w:cs="Times New Roman"/>
          <w:sz w:val="28"/>
          <w:szCs w:val="28"/>
        </w:rPr>
        <w:t>c</w:t>
      </w:r>
      <w:r w:rsidR="009033D9">
        <w:rPr>
          <w:rFonts w:ascii="Times New Roman" w:hAnsi="Times New Roman" w:cs="Times New Roman"/>
          <w:sz w:val="28"/>
          <w:szCs w:val="28"/>
        </w:rPr>
        <w:t>on la lente del diritto europeo</w:t>
      </w:r>
      <w:r w:rsidR="00365858">
        <w:rPr>
          <w:rFonts w:ascii="Times New Roman" w:hAnsi="Times New Roman" w:cs="Times New Roman"/>
          <w:sz w:val="28"/>
          <w:szCs w:val="28"/>
        </w:rPr>
        <w:t>.</w:t>
      </w:r>
    </w:p>
    <w:p w:rsidR="00365858" w:rsidRDefault="00365858"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In particolare, </w:t>
      </w:r>
      <w:r w:rsidR="009033D9">
        <w:rPr>
          <w:rFonts w:ascii="Times New Roman" w:hAnsi="Times New Roman" w:cs="Times New Roman"/>
          <w:sz w:val="28"/>
          <w:szCs w:val="28"/>
        </w:rPr>
        <w:t>il presente contributo sarà concentrato</w:t>
      </w:r>
      <w:r>
        <w:rPr>
          <w:rFonts w:ascii="Times New Roman" w:hAnsi="Times New Roman" w:cs="Times New Roman"/>
          <w:sz w:val="28"/>
          <w:szCs w:val="28"/>
        </w:rPr>
        <w:t xml:space="preserve"> sulla identificazione del perimetro dell’intervento pubblico nell’organizzazione e nell’amministrazione dei </w:t>
      </w:r>
      <w:r>
        <w:rPr>
          <w:rFonts w:ascii="Times New Roman" w:hAnsi="Times New Roman" w:cs="Times New Roman"/>
          <w:sz w:val="28"/>
          <w:szCs w:val="28"/>
        </w:rPr>
        <w:lastRenderedPageBreak/>
        <w:t>servizi alla collettività</w:t>
      </w:r>
      <w:r w:rsidR="009033D9">
        <w:rPr>
          <w:rFonts w:ascii="Times New Roman" w:hAnsi="Times New Roman" w:cs="Times New Roman"/>
          <w:sz w:val="28"/>
          <w:szCs w:val="28"/>
        </w:rPr>
        <w:t>, per come tracciato d</w:t>
      </w:r>
      <w:r w:rsidR="00FC160B">
        <w:rPr>
          <w:rFonts w:ascii="Times New Roman" w:hAnsi="Times New Roman" w:cs="Times New Roman"/>
          <w:sz w:val="28"/>
          <w:szCs w:val="28"/>
        </w:rPr>
        <w:t>al diritto dell’Unione (senza trascurare, tuttavia,</w:t>
      </w:r>
      <w:r w:rsidR="009033D9">
        <w:rPr>
          <w:rFonts w:ascii="Times New Roman" w:hAnsi="Times New Roman" w:cs="Times New Roman"/>
          <w:sz w:val="28"/>
          <w:szCs w:val="28"/>
        </w:rPr>
        <w:t xml:space="preserve"> quello nazionale)</w:t>
      </w:r>
      <w:r>
        <w:rPr>
          <w:rFonts w:ascii="Times New Roman" w:hAnsi="Times New Roman" w:cs="Times New Roman"/>
          <w:sz w:val="28"/>
          <w:szCs w:val="28"/>
        </w:rPr>
        <w:t>.</w:t>
      </w:r>
    </w:p>
    <w:p w:rsidR="00447A6E" w:rsidRDefault="00782E5B"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Le riflessioni che seguono non trascureranno, peraltro, </w:t>
      </w:r>
      <w:r w:rsidR="00447A6E">
        <w:rPr>
          <w:rFonts w:ascii="Times New Roman" w:hAnsi="Times New Roman" w:cs="Times New Roman"/>
          <w:sz w:val="28"/>
          <w:szCs w:val="28"/>
        </w:rPr>
        <w:t xml:space="preserve">la peculiare questione delle relazioni (sovente confliggenti) tra le esigenze “sociali” </w:t>
      </w:r>
      <w:r>
        <w:rPr>
          <w:rFonts w:ascii="Times New Roman" w:hAnsi="Times New Roman" w:cs="Times New Roman"/>
          <w:sz w:val="28"/>
          <w:szCs w:val="28"/>
        </w:rPr>
        <w:t>connesse a</w:t>
      </w:r>
      <w:r w:rsidR="00447A6E">
        <w:rPr>
          <w:rFonts w:ascii="Times New Roman" w:hAnsi="Times New Roman" w:cs="Times New Roman"/>
          <w:sz w:val="28"/>
          <w:szCs w:val="28"/>
        </w:rPr>
        <w:t xml:space="preserve">lla gestione dei servizi pubblici e le istanze di tutela del mercato, per come regolate dal diritto positivo (europeo e domestico). </w:t>
      </w:r>
    </w:p>
    <w:p w:rsidR="006B512F" w:rsidRDefault="006B512F" w:rsidP="006B512F">
      <w:pPr>
        <w:ind w:left="360"/>
        <w:jc w:val="both"/>
        <w:rPr>
          <w:rFonts w:ascii="Times New Roman" w:hAnsi="Times New Roman" w:cs="Times New Roman"/>
          <w:sz w:val="28"/>
          <w:szCs w:val="28"/>
        </w:rPr>
      </w:pPr>
      <w:r>
        <w:rPr>
          <w:rFonts w:ascii="Times New Roman" w:hAnsi="Times New Roman" w:cs="Times New Roman"/>
          <w:sz w:val="28"/>
          <w:szCs w:val="28"/>
        </w:rPr>
        <w:t xml:space="preserve">La configurazione di un assetto regolativo equilibrato risulta, infatti, minata dalla costante (e, per certi versi, non risolvibile) tensione tra la necessità di assicurare i caratteri della universalità, della parità di accesso, della qualità delle prestazioni e della continuità nella loro erogazione e l’esigenza di proteggere, allo stesso tempo, un accesso libero e competitivo degli operatori al mercato della gestione dei servizi di rilevanza economica.  </w:t>
      </w:r>
    </w:p>
    <w:p w:rsidR="00365858" w:rsidRDefault="00184F22" w:rsidP="001A07DE">
      <w:pPr>
        <w:ind w:left="360"/>
        <w:jc w:val="both"/>
        <w:rPr>
          <w:rFonts w:ascii="Times New Roman" w:hAnsi="Times New Roman" w:cs="Times New Roman"/>
          <w:sz w:val="28"/>
          <w:szCs w:val="28"/>
        </w:rPr>
      </w:pPr>
      <w:r>
        <w:rPr>
          <w:rFonts w:ascii="Times New Roman" w:hAnsi="Times New Roman" w:cs="Times New Roman"/>
          <w:sz w:val="28"/>
          <w:szCs w:val="28"/>
        </w:rPr>
        <w:t>Non sfuggiranno, peraltro, la rilevanza e l’attualità della questione</w:t>
      </w:r>
      <w:r w:rsidR="00782E5B">
        <w:rPr>
          <w:rFonts w:ascii="Times New Roman" w:hAnsi="Times New Roman" w:cs="Times New Roman"/>
          <w:sz w:val="28"/>
          <w:szCs w:val="28"/>
        </w:rPr>
        <w:t xml:space="preserve"> trattata</w:t>
      </w:r>
      <w:r>
        <w:rPr>
          <w:rFonts w:ascii="Times New Roman" w:hAnsi="Times New Roman" w:cs="Times New Roman"/>
          <w:sz w:val="28"/>
          <w:szCs w:val="28"/>
        </w:rPr>
        <w:t>,</w:t>
      </w:r>
      <w:r w:rsidR="00365858">
        <w:rPr>
          <w:rFonts w:ascii="Times New Roman" w:hAnsi="Times New Roman" w:cs="Times New Roman"/>
          <w:sz w:val="28"/>
          <w:szCs w:val="28"/>
        </w:rPr>
        <w:t xml:space="preserve"> che merita</w:t>
      </w:r>
      <w:r>
        <w:rPr>
          <w:rFonts w:ascii="Times New Roman" w:hAnsi="Times New Roman" w:cs="Times New Roman"/>
          <w:sz w:val="28"/>
          <w:szCs w:val="28"/>
        </w:rPr>
        <w:t>, perciò</w:t>
      </w:r>
      <w:r w:rsidR="00365858">
        <w:rPr>
          <w:rFonts w:ascii="Times New Roman" w:hAnsi="Times New Roman" w:cs="Times New Roman"/>
          <w:sz w:val="28"/>
          <w:szCs w:val="28"/>
        </w:rPr>
        <w:t xml:space="preserve"> </w:t>
      </w:r>
      <w:r>
        <w:rPr>
          <w:rFonts w:ascii="Times New Roman" w:hAnsi="Times New Roman" w:cs="Times New Roman"/>
          <w:sz w:val="28"/>
          <w:szCs w:val="28"/>
        </w:rPr>
        <w:t>(anche per le sue implicazioni “politiche”), un’analisi laica</w:t>
      </w:r>
      <w:r w:rsidR="00365858">
        <w:rPr>
          <w:rFonts w:ascii="Times New Roman" w:hAnsi="Times New Roman" w:cs="Times New Roman"/>
          <w:sz w:val="28"/>
          <w:szCs w:val="28"/>
        </w:rPr>
        <w:t xml:space="preserve"> e scevra da pregiudizi.</w:t>
      </w:r>
    </w:p>
    <w:p w:rsidR="00346E43" w:rsidRDefault="00FC160B" w:rsidP="001A07DE">
      <w:pPr>
        <w:ind w:left="360"/>
        <w:jc w:val="both"/>
        <w:rPr>
          <w:rFonts w:ascii="Times New Roman" w:hAnsi="Times New Roman" w:cs="Times New Roman"/>
          <w:sz w:val="28"/>
          <w:szCs w:val="28"/>
        </w:rPr>
      </w:pPr>
      <w:r>
        <w:rPr>
          <w:rFonts w:ascii="Times New Roman" w:hAnsi="Times New Roman" w:cs="Times New Roman"/>
          <w:sz w:val="28"/>
          <w:szCs w:val="28"/>
        </w:rPr>
        <w:t>Quest’ultimo</w:t>
      </w:r>
      <w:r w:rsidR="009033D9">
        <w:rPr>
          <w:rFonts w:ascii="Times New Roman" w:hAnsi="Times New Roman" w:cs="Times New Roman"/>
          <w:sz w:val="28"/>
          <w:szCs w:val="28"/>
        </w:rPr>
        <w:t xml:space="preserve"> riferimento è indirizzato </w:t>
      </w:r>
      <w:r w:rsidR="00346E43">
        <w:rPr>
          <w:rFonts w:ascii="Times New Roman" w:hAnsi="Times New Roman" w:cs="Times New Roman"/>
          <w:sz w:val="28"/>
          <w:szCs w:val="28"/>
        </w:rPr>
        <w:t xml:space="preserve">a una certa corrente di pensiero che legge il diritto europeo con una chiave di preferenza </w:t>
      </w:r>
      <w:r w:rsidR="00184F22">
        <w:rPr>
          <w:rFonts w:ascii="Times New Roman" w:hAnsi="Times New Roman" w:cs="Times New Roman"/>
          <w:sz w:val="28"/>
          <w:szCs w:val="28"/>
        </w:rPr>
        <w:t xml:space="preserve">(assoluta) </w:t>
      </w:r>
      <w:r w:rsidR="00346E43">
        <w:rPr>
          <w:rFonts w:ascii="Times New Roman" w:hAnsi="Times New Roman" w:cs="Times New Roman"/>
          <w:sz w:val="28"/>
          <w:szCs w:val="28"/>
        </w:rPr>
        <w:t xml:space="preserve">per il mercato e per la concorrenza e </w:t>
      </w:r>
      <w:r w:rsidR="009033D9">
        <w:rPr>
          <w:rFonts w:ascii="Times New Roman" w:hAnsi="Times New Roman" w:cs="Times New Roman"/>
          <w:sz w:val="28"/>
          <w:szCs w:val="28"/>
        </w:rPr>
        <w:t xml:space="preserve">che </w:t>
      </w:r>
      <w:r w:rsidR="00346E43">
        <w:rPr>
          <w:rFonts w:ascii="Times New Roman" w:hAnsi="Times New Roman" w:cs="Times New Roman"/>
          <w:sz w:val="28"/>
          <w:szCs w:val="28"/>
        </w:rPr>
        <w:t>riduce</w:t>
      </w:r>
      <w:r w:rsidR="009033D9">
        <w:rPr>
          <w:rFonts w:ascii="Times New Roman" w:hAnsi="Times New Roman" w:cs="Times New Roman"/>
          <w:sz w:val="28"/>
          <w:szCs w:val="28"/>
        </w:rPr>
        <w:t xml:space="preserve">, di conseguenza, </w:t>
      </w:r>
      <w:r w:rsidR="00346E43">
        <w:rPr>
          <w:rFonts w:ascii="Times New Roman" w:hAnsi="Times New Roman" w:cs="Times New Roman"/>
          <w:sz w:val="28"/>
          <w:szCs w:val="28"/>
        </w:rPr>
        <w:t>l’opzione dell’intervento pubblico a una modalità secondaria, subordinata o, comunque, eccezionale.</w:t>
      </w:r>
    </w:p>
    <w:p w:rsidR="00346E43" w:rsidRDefault="00346E43" w:rsidP="001A07DE">
      <w:pPr>
        <w:ind w:left="360"/>
        <w:jc w:val="both"/>
        <w:rPr>
          <w:rFonts w:ascii="Times New Roman" w:hAnsi="Times New Roman" w:cs="Times New Roman"/>
          <w:sz w:val="28"/>
          <w:szCs w:val="28"/>
        </w:rPr>
      </w:pPr>
      <w:r>
        <w:rPr>
          <w:rFonts w:ascii="Times New Roman" w:hAnsi="Times New Roman" w:cs="Times New Roman"/>
          <w:sz w:val="28"/>
          <w:szCs w:val="28"/>
        </w:rPr>
        <w:t>Si tratta di una esegesi per molti versi ideologica e dogmatica, ma che</w:t>
      </w:r>
      <w:r w:rsidR="009033D9">
        <w:rPr>
          <w:rFonts w:ascii="Times New Roman" w:hAnsi="Times New Roman" w:cs="Times New Roman"/>
          <w:sz w:val="28"/>
          <w:szCs w:val="28"/>
        </w:rPr>
        <w:t>, in ogni caso,</w:t>
      </w:r>
      <w:r>
        <w:rPr>
          <w:rFonts w:ascii="Times New Roman" w:hAnsi="Times New Roman" w:cs="Times New Roman"/>
          <w:sz w:val="28"/>
          <w:szCs w:val="28"/>
        </w:rPr>
        <w:t xml:space="preserve"> non trova riscontro nel diritto positivo dell’Unione.</w:t>
      </w:r>
    </w:p>
    <w:p w:rsidR="00346E43" w:rsidRDefault="00346E43" w:rsidP="001A07DE">
      <w:pPr>
        <w:ind w:left="360"/>
        <w:jc w:val="both"/>
        <w:rPr>
          <w:rFonts w:ascii="Times New Roman" w:hAnsi="Times New Roman" w:cs="Times New Roman"/>
          <w:sz w:val="28"/>
          <w:szCs w:val="28"/>
        </w:rPr>
      </w:pPr>
      <w:r>
        <w:rPr>
          <w:rFonts w:ascii="Times New Roman" w:hAnsi="Times New Roman" w:cs="Times New Roman"/>
          <w:sz w:val="28"/>
          <w:szCs w:val="28"/>
        </w:rPr>
        <w:t>Una disamina oggettiva di quest’ultimo conduce, infatti, alla diversa conclusione che non esiste una preferenza assoluta per il mercato e per la concorrenza nella gestione dei servizi pubbli</w:t>
      </w:r>
      <w:r w:rsidR="00782E5B">
        <w:rPr>
          <w:rFonts w:ascii="Times New Roman" w:hAnsi="Times New Roman" w:cs="Times New Roman"/>
          <w:sz w:val="28"/>
          <w:szCs w:val="28"/>
        </w:rPr>
        <w:t>ci e che, anzi, l’intervento delle autorità pubbliche</w:t>
      </w:r>
      <w:r>
        <w:rPr>
          <w:rFonts w:ascii="Times New Roman" w:hAnsi="Times New Roman" w:cs="Times New Roman"/>
          <w:sz w:val="28"/>
          <w:szCs w:val="28"/>
        </w:rPr>
        <w:t xml:space="preserve"> nell’amministrazione dei servizi alla collettività è ammesso entro ambiti rilevanti e significativi, sicuramente più larghi da quelli che si è indotti a ritenere in esito a un esame superficiale o viziato da un preconcetto favore per il mercato.</w:t>
      </w:r>
    </w:p>
    <w:p w:rsidR="00A8451F" w:rsidRDefault="00346E43" w:rsidP="00955A49">
      <w:pPr>
        <w:ind w:left="360"/>
        <w:jc w:val="both"/>
        <w:rPr>
          <w:rFonts w:ascii="Times New Roman" w:hAnsi="Times New Roman" w:cs="Times New Roman"/>
          <w:sz w:val="28"/>
          <w:szCs w:val="28"/>
        </w:rPr>
      </w:pPr>
      <w:r>
        <w:rPr>
          <w:rFonts w:ascii="Times New Roman" w:hAnsi="Times New Roman" w:cs="Times New Roman"/>
          <w:sz w:val="28"/>
          <w:szCs w:val="28"/>
        </w:rPr>
        <w:t xml:space="preserve">Occorre, tuttavia, anche riconoscere, per altro verso, che sia le interpretazioni della Commissione Europea e, talvolta, della Corte di Giustizia, sia </w:t>
      </w:r>
      <w:r w:rsidR="009033D9">
        <w:rPr>
          <w:rFonts w:ascii="Times New Roman" w:hAnsi="Times New Roman" w:cs="Times New Roman"/>
          <w:sz w:val="28"/>
          <w:szCs w:val="28"/>
        </w:rPr>
        <w:t xml:space="preserve">(soprattutto) </w:t>
      </w:r>
      <w:r>
        <w:rPr>
          <w:rFonts w:ascii="Times New Roman" w:hAnsi="Times New Roman" w:cs="Times New Roman"/>
          <w:sz w:val="28"/>
          <w:szCs w:val="28"/>
        </w:rPr>
        <w:t>il recepimento del diritto europeo nell’ordin</w:t>
      </w:r>
      <w:r w:rsidR="00955A49">
        <w:rPr>
          <w:rFonts w:ascii="Times New Roman" w:hAnsi="Times New Roman" w:cs="Times New Roman"/>
          <w:sz w:val="28"/>
          <w:szCs w:val="28"/>
        </w:rPr>
        <w:t xml:space="preserve">amento nazionale </w:t>
      </w:r>
      <w:r w:rsidR="00FC160B">
        <w:rPr>
          <w:rFonts w:ascii="Times New Roman" w:hAnsi="Times New Roman" w:cs="Times New Roman"/>
          <w:sz w:val="28"/>
          <w:szCs w:val="28"/>
        </w:rPr>
        <w:t xml:space="preserve">(così come alcuni pronunciamenti della Corte Costituzionale) </w:t>
      </w:r>
      <w:r w:rsidR="00955A49">
        <w:rPr>
          <w:rFonts w:ascii="Times New Roman" w:hAnsi="Times New Roman" w:cs="Times New Roman"/>
          <w:sz w:val="28"/>
          <w:szCs w:val="28"/>
        </w:rPr>
        <w:t xml:space="preserve">scontano una visione </w:t>
      </w:r>
      <w:proofErr w:type="spellStart"/>
      <w:r w:rsidR="00955A49">
        <w:rPr>
          <w:rFonts w:ascii="Times New Roman" w:hAnsi="Times New Roman" w:cs="Times New Roman"/>
          <w:sz w:val="28"/>
          <w:szCs w:val="28"/>
        </w:rPr>
        <w:t>mercatista</w:t>
      </w:r>
      <w:proofErr w:type="spellEnd"/>
      <w:r w:rsidR="00955A49">
        <w:rPr>
          <w:rFonts w:ascii="Times New Roman" w:hAnsi="Times New Roman" w:cs="Times New Roman"/>
          <w:sz w:val="28"/>
          <w:szCs w:val="28"/>
        </w:rPr>
        <w:t xml:space="preserve"> e </w:t>
      </w:r>
      <w:proofErr w:type="spellStart"/>
      <w:r w:rsidR="00955A49">
        <w:rPr>
          <w:rFonts w:ascii="Times New Roman" w:hAnsi="Times New Roman" w:cs="Times New Roman"/>
          <w:sz w:val="28"/>
          <w:szCs w:val="28"/>
        </w:rPr>
        <w:t>proconcorrenziale</w:t>
      </w:r>
      <w:proofErr w:type="spellEnd"/>
      <w:r w:rsidR="00955A49">
        <w:rPr>
          <w:rFonts w:ascii="Times New Roman" w:hAnsi="Times New Roman" w:cs="Times New Roman"/>
          <w:sz w:val="28"/>
          <w:szCs w:val="28"/>
        </w:rPr>
        <w:t>, contribuendo, così, a restringere il perimetro dell’intervento pubblico, per come invece ammesso dal diritto positivo dell’Unione.</w:t>
      </w:r>
    </w:p>
    <w:p w:rsidR="00D76030" w:rsidRPr="00955A49" w:rsidRDefault="00D76030" w:rsidP="00955A49">
      <w:pPr>
        <w:ind w:left="360"/>
        <w:jc w:val="both"/>
        <w:rPr>
          <w:rFonts w:ascii="Times New Roman" w:hAnsi="Times New Roman" w:cs="Times New Roman"/>
          <w:sz w:val="28"/>
          <w:szCs w:val="28"/>
        </w:rPr>
      </w:pPr>
      <w:r>
        <w:rPr>
          <w:rFonts w:ascii="Times New Roman" w:hAnsi="Times New Roman" w:cs="Times New Roman"/>
          <w:sz w:val="28"/>
          <w:szCs w:val="28"/>
        </w:rPr>
        <w:lastRenderedPageBreak/>
        <w:t xml:space="preserve">Rimane, invece, estranea ai confini della presente analisi, una disamina compiuta della </w:t>
      </w:r>
      <w:r w:rsidR="00184F22">
        <w:rPr>
          <w:rFonts w:ascii="Times New Roman" w:hAnsi="Times New Roman" w:cs="Times New Roman"/>
          <w:sz w:val="28"/>
          <w:szCs w:val="28"/>
        </w:rPr>
        <w:t xml:space="preserve">(controversa e ancora incerta) </w:t>
      </w:r>
      <w:r>
        <w:rPr>
          <w:rFonts w:ascii="Times New Roman" w:hAnsi="Times New Roman" w:cs="Times New Roman"/>
          <w:sz w:val="28"/>
          <w:szCs w:val="28"/>
        </w:rPr>
        <w:t>nozione di servizio pubblico</w:t>
      </w:r>
      <w:r w:rsidR="00CD3436">
        <w:rPr>
          <w:rFonts w:ascii="Times New Roman" w:hAnsi="Times New Roman" w:cs="Times New Roman"/>
          <w:sz w:val="28"/>
          <w:szCs w:val="28"/>
        </w:rPr>
        <w:t xml:space="preserve"> (che patisce l’assenza di una definizione legislativa)</w:t>
      </w:r>
      <w:r>
        <w:rPr>
          <w:rFonts w:ascii="Times New Roman" w:hAnsi="Times New Roman" w:cs="Times New Roman"/>
          <w:sz w:val="28"/>
          <w:szCs w:val="28"/>
        </w:rPr>
        <w:t xml:space="preserve">, così come uno studio dettagliato </w:t>
      </w:r>
      <w:r w:rsidR="00184F22">
        <w:rPr>
          <w:rFonts w:ascii="Times New Roman" w:hAnsi="Times New Roman" w:cs="Times New Roman"/>
          <w:sz w:val="28"/>
          <w:szCs w:val="28"/>
        </w:rPr>
        <w:t xml:space="preserve">ed esauriente </w:t>
      </w:r>
      <w:r>
        <w:rPr>
          <w:rFonts w:ascii="Times New Roman" w:hAnsi="Times New Roman" w:cs="Times New Roman"/>
          <w:sz w:val="28"/>
          <w:szCs w:val="28"/>
        </w:rPr>
        <w:t>della sua disciplina normativa e delle sue implicazioni problematiche</w:t>
      </w:r>
      <w:r w:rsidR="003228A0">
        <w:rPr>
          <w:rStyle w:val="Rimandonotaapidipagina"/>
          <w:rFonts w:ascii="Times New Roman" w:hAnsi="Times New Roman" w:cs="Times New Roman"/>
          <w:sz w:val="28"/>
          <w:szCs w:val="28"/>
        </w:rPr>
        <w:footnoteReference w:id="2"/>
      </w:r>
      <w:r>
        <w:rPr>
          <w:rFonts w:ascii="Times New Roman" w:hAnsi="Times New Roman" w:cs="Times New Roman"/>
          <w:sz w:val="28"/>
          <w:szCs w:val="28"/>
        </w:rPr>
        <w:t xml:space="preserve">.  </w:t>
      </w:r>
    </w:p>
    <w:p w:rsidR="00FC160B" w:rsidRDefault="00FC160B" w:rsidP="009033D9">
      <w:pPr>
        <w:ind w:left="360"/>
        <w:jc w:val="both"/>
        <w:rPr>
          <w:rFonts w:ascii="Times New Roman" w:hAnsi="Times New Roman" w:cs="Times New Roman"/>
          <w:b/>
          <w:sz w:val="28"/>
          <w:szCs w:val="28"/>
        </w:rPr>
      </w:pPr>
    </w:p>
    <w:p w:rsidR="00955A49" w:rsidRDefault="00D01C8F" w:rsidP="009033D9">
      <w:pPr>
        <w:ind w:left="360"/>
        <w:jc w:val="both"/>
        <w:rPr>
          <w:rFonts w:ascii="Times New Roman" w:hAnsi="Times New Roman" w:cs="Times New Roman"/>
          <w:b/>
          <w:sz w:val="28"/>
          <w:szCs w:val="28"/>
        </w:rPr>
      </w:pPr>
      <w:r>
        <w:rPr>
          <w:rFonts w:ascii="Times New Roman" w:hAnsi="Times New Roman" w:cs="Times New Roman"/>
          <w:b/>
          <w:sz w:val="28"/>
          <w:szCs w:val="28"/>
        </w:rPr>
        <w:t xml:space="preserve">2. </w:t>
      </w:r>
      <w:r w:rsidR="00161056">
        <w:rPr>
          <w:rFonts w:ascii="Times New Roman" w:hAnsi="Times New Roman" w:cs="Times New Roman"/>
          <w:b/>
          <w:sz w:val="28"/>
          <w:szCs w:val="28"/>
        </w:rPr>
        <w:t xml:space="preserve">L’equilibrato regime dei servizi pubblici </w:t>
      </w:r>
      <w:r w:rsidR="00F43416">
        <w:rPr>
          <w:rFonts w:ascii="Times New Roman" w:hAnsi="Times New Roman" w:cs="Times New Roman"/>
          <w:b/>
          <w:sz w:val="28"/>
          <w:szCs w:val="28"/>
        </w:rPr>
        <w:t xml:space="preserve">di interesse generale </w:t>
      </w:r>
      <w:r w:rsidR="00161056">
        <w:rPr>
          <w:rFonts w:ascii="Times New Roman" w:hAnsi="Times New Roman" w:cs="Times New Roman"/>
          <w:b/>
          <w:sz w:val="28"/>
          <w:szCs w:val="28"/>
        </w:rPr>
        <w:t xml:space="preserve">nel diritto europeo </w:t>
      </w:r>
      <w:r w:rsidR="00955A49">
        <w:rPr>
          <w:rFonts w:ascii="Times New Roman" w:hAnsi="Times New Roman" w:cs="Times New Roman"/>
          <w:b/>
          <w:sz w:val="28"/>
          <w:szCs w:val="28"/>
        </w:rPr>
        <w:t xml:space="preserve"> </w:t>
      </w:r>
    </w:p>
    <w:p w:rsidR="00FC160B" w:rsidRDefault="00FC160B" w:rsidP="00955A49">
      <w:pPr>
        <w:ind w:left="360"/>
        <w:jc w:val="both"/>
        <w:rPr>
          <w:rFonts w:ascii="Times New Roman" w:hAnsi="Times New Roman" w:cs="Times New Roman"/>
          <w:sz w:val="28"/>
          <w:szCs w:val="28"/>
        </w:rPr>
      </w:pPr>
    </w:p>
    <w:p w:rsidR="00B62EC2" w:rsidRDefault="00B62EC2" w:rsidP="00955A49">
      <w:pPr>
        <w:ind w:left="360"/>
        <w:jc w:val="both"/>
        <w:rPr>
          <w:rFonts w:ascii="Times New Roman" w:hAnsi="Times New Roman" w:cs="Times New Roman"/>
          <w:sz w:val="28"/>
          <w:szCs w:val="28"/>
        </w:rPr>
      </w:pPr>
      <w:r w:rsidRPr="00B62EC2">
        <w:rPr>
          <w:rFonts w:ascii="Times New Roman" w:hAnsi="Times New Roman" w:cs="Times New Roman"/>
          <w:sz w:val="28"/>
          <w:szCs w:val="28"/>
        </w:rPr>
        <w:t>L’analis</w:t>
      </w:r>
      <w:r>
        <w:rPr>
          <w:rFonts w:ascii="Times New Roman" w:hAnsi="Times New Roman" w:cs="Times New Roman"/>
          <w:sz w:val="28"/>
          <w:szCs w:val="28"/>
        </w:rPr>
        <w:t>i del Trattato sul funzionament</w:t>
      </w:r>
      <w:r w:rsidRPr="00B62EC2">
        <w:rPr>
          <w:rFonts w:ascii="Times New Roman" w:hAnsi="Times New Roman" w:cs="Times New Roman"/>
          <w:sz w:val="28"/>
          <w:szCs w:val="28"/>
        </w:rPr>
        <w:t>o dell’UE</w:t>
      </w:r>
      <w:r>
        <w:rPr>
          <w:rFonts w:ascii="Times New Roman" w:hAnsi="Times New Roman" w:cs="Times New Roman"/>
          <w:sz w:val="28"/>
          <w:szCs w:val="28"/>
        </w:rPr>
        <w:t xml:space="preserve"> ci consegna un quadro </w:t>
      </w:r>
      <w:proofErr w:type="spellStart"/>
      <w:r>
        <w:rPr>
          <w:rFonts w:ascii="Times New Roman" w:hAnsi="Times New Roman" w:cs="Times New Roman"/>
          <w:sz w:val="28"/>
          <w:szCs w:val="28"/>
        </w:rPr>
        <w:t>regolatorio</w:t>
      </w:r>
      <w:proofErr w:type="spellEnd"/>
      <w:r>
        <w:rPr>
          <w:rFonts w:ascii="Times New Roman" w:hAnsi="Times New Roman" w:cs="Times New Roman"/>
          <w:sz w:val="28"/>
          <w:szCs w:val="28"/>
        </w:rPr>
        <w:t xml:space="preserve"> composito, ma chiaro</w:t>
      </w:r>
      <w:r w:rsidR="00816DAF">
        <w:rPr>
          <w:rStyle w:val="Rimandonotaapidipagina"/>
          <w:rFonts w:ascii="Times New Roman" w:hAnsi="Times New Roman" w:cs="Times New Roman"/>
          <w:sz w:val="28"/>
          <w:szCs w:val="28"/>
        </w:rPr>
        <w:footnoteReference w:id="3"/>
      </w:r>
      <w:r>
        <w:rPr>
          <w:rFonts w:ascii="Times New Roman" w:hAnsi="Times New Roman" w:cs="Times New Roman"/>
          <w:sz w:val="28"/>
          <w:szCs w:val="28"/>
        </w:rPr>
        <w:t>.</w:t>
      </w:r>
    </w:p>
    <w:p w:rsidR="008F6151" w:rsidRDefault="00B62EC2" w:rsidP="00955A49">
      <w:pPr>
        <w:ind w:left="360"/>
        <w:jc w:val="both"/>
        <w:rPr>
          <w:rFonts w:ascii="Times New Roman" w:hAnsi="Times New Roman" w:cs="Times New Roman"/>
          <w:sz w:val="28"/>
          <w:szCs w:val="28"/>
        </w:rPr>
      </w:pPr>
      <w:r>
        <w:rPr>
          <w:rFonts w:ascii="Times New Roman" w:hAnsi="Times New Roman" w:cs="Times New Roman"/>
          <w:sz w:val="28"/>
          <w:szCs w:val="28"/>
        </w:rPr>
        <w:t xml:space="preserve">Per un verso, infatti, l’art.119 enuncia, quale principio generale di politica economica al quale deve conformarsi l’azione degli Stati membri e dell’Unione, quello di “un’economia di mercato aperta e in libera concorrenza”; per un altro, tuttavia, gli artt.14 e 106 ammettono </w:t>
      </w:r>
      <w:r w:rsidR="008F6151">
        <w:rPr>
          <w:rFonts w:ascii="Times New Roman" w:hAnsi="Times New Roman" w:cs="Times New Roman"/>
          <w:sz w:val="28"/>
          <w:szCs w:val="28"/>
        </w:rPr>
        <w:t>un sistema speciale, più che derogatorio ed eccezionale, di sottrazione al mercato dei servizi economici di interesse generale</w:t>
      </w:r>
      <w:r w:rsidR="00AC45BD">
        <w:rPr>
          <w:rStyle w:val="Rimandonotaapidipagina"/>
          <w:rFonts w:ascii="Times New Roman" w:hAnsi="Times New Roman" w:cs="Times New Roman"/>
          <w:sz w:val="28"/>
          <w:szCs w:val="28"/>
        </w:rPr>
        <w:footnoteReference w:id="4"/>
      </w:r>
      <w:r w:rsidR="008F6151">
        <w:rPr>
          <w:rFonts w:ascii="Times New Roman" w:hAnsi="Times New Roman" w:cs="Times New Roman"/>
          <w:sz w:val="28"/>
          <w:szCs w:val="28"/>
        </w:rPr>
        <w:t>.</w:t>
      </w:r>
    </w:p>
    <w:p w:rsidR="008F6151" w:rsidRDefault="008F6151" w:rsidP="00955A49">
      <w:pPr>
        <w:ind w:left="360"/>
        <w:jc w:val="both"/>
        <w:rPr>
          <w:rFonts w:ascii="Times New Roman" w:hAnsi="Times New Roman" w:cs="Times New Roman"/>
          <w:sz w:val="28"/>
          <w:szCs w:val="28"/>
        </w:rPr>
      </w:pPr>
      <w:r>
        <w:rPr>
          <w:rFonts w:ascii="Times New Roman" w:hAnsi="Times New Roman" w:cs="Times New Roman"/>
          <w:sz w:val="28"/>
          <w:szCs w:val="28"/>
        </w:rPr>
        <w:t>Corollari, o</w:t>
      </w:r>
      <w:r w:rsidR="002664D5">
        <w:rPr>
          <w:rFonts w:ascii="Times New Roman" w:hAnsi="Times New Roman" w:cs="Times New Roman"/>
          <w:sz w:val="28"/>
          <w:szCs w:val="28"/>
        </w:rPr>
        <w:t>,</w:t>
      </w:r>
      <w:r>
        <w:rPr>
          <w:rFonts w:ascii="Times New Roman" w:hAnsi="Times New Roman" w:cs="Times New Roman"/>
          <w:sz w:val="28"/>
          <w:szCs w:val="28"/>
        </w:rPr>
        <w:t xml:space="preserve"> meglio</w:t>
      </w:r>
      <w:r w:rsidR="002664D5">
        <w:rPr>
          <w:rFonts w:ascii="Times New Roman" w:hAnsi="Times New Roman" w:cs="Times New Roman"/>
          <w:sz w:val="28"/>
          <w:szCs w:val="28"/>
        </w:rPr>
        <w:t>,</w:t>
      </w:r>
      <w:r>
        <w:rPr>
          <w:rFonts w:ascii="Times New Roman" w:hAnsi="Times New Roman" w:cs="Times New Roman"/>
          <w:sz w:val="28"/>
          <w:szCs w:val="28"/>
        </w:rPr>
        <w:t xml:space="preserve"> declinazioni, del primo principio sono le regole antitrust (art. 101 e 102 TFUE), la disciplina sugli aiuti di stato distorsivi della concorrenza </w:t>
      </w:r>
      <w:r w:rsidR="005A534C">
        <w:rPr>
          <w:rFonts w:ascii="Times New Roman" w:hAnsi="Times New Roman" w:cs="Times New Roman"/>
          <w:sz w:val="28"/>
          <w:szCs w:val="28"/>
        </w:rPr>
        <w:t xml:space="preserve">(art. 107) </w:t>
      </w:r>
      <w:r>
        <w:rPr>
          <w:rFonts w:ascii="Times New Roman" w:hAnsi="Times New Roman" w:cs="Times New Roman"/>
          <w:sz w:val="28"/>
          <w:szCs w:val="28"/>
        </w:rPr>
        <w:t>e le libertà stabilite a presidio del corretto funzionamento del mercato interno: libertà di stabilimento (art.49) e libera prestazione dei servizi (art.56).</w:t>
      </w:r>
    </w:p>
    <w:p w:rsidR="001F1B1A" w:rsidRDefault="008F6151" w:rsidP="00955A49">
      <w:pPr>
        <w:ind w:left="360"/>
        <w:jc w:val="both"/>
        <w:rPr>
          <w:rFonts w:ascii="Times New Roman" w:hAnsi="Times New Roman" w:cs="Times New Roman"/>
          <w:sz w:val="28"/>
          <w:szCs w:val="28"/>
        </w:rPr>
      </w:pPr>
      <w:r>
        <w:rPr>
          <w:rFonts w:ascii="Times New Roman" w:hAnsi="Times New Roman" w:cs="Times New Roman"/>
          <w:sz w:val="28"/>
          <w:szCs w:val="28"/>
        </w:rPr>
        <w:t>Si tratta di un sistema di regole e principi</w:t>
      </w:r>
      <w:r w:rsidR="00994717">
        <w:rPr>
          <w:rFonts w:ascii="Times New Roman" w:hAnsi="Times New Roman" w:cs="Times New Roman"/>
          <w:sz w:val="28"/>
          <w:szCs w:val="28"/>
        </w:rPr>
        <w:t xml:space="preserve"> finalizzati a garantire </w:t>
      </w:r>
      <w:r w:rsidR="001F1B1A">
        <w:rPr>
          <w:rFonts w:ascii="Times New Roman" w:hAnsi="Times New Roman" w:cs="Times New Roman"/>
          <w:sz w:val="28"/>
          <w:szCs w:val="28"/>
        </w:rPr>
        <w:t>un pieno, libero e paritario accesso al mercato.</w:t>
      </w:r>
    </w:p>
    <w:p w:rsidR="001F1B1A" w:rsidRDefault="001F1B1A" w:rsidP="00955A49">
      <w:pPr>
        <w:ind w:left="360"/>
        <w:jc w:val="both"/>
        <w:rPr>
          <w:rFonts w:ascii="Times New Roman" w:hAnsi="Times New Roman" w:cs="Times New Roman"/>
          <w:sz w:val="28"/>
          <w:szCs w:val="28"/>
        </w:rPr>
      </w:pPr>
      <w:r>
        <w:rPr>
          <w:rFonts w:ascii="Times New Roman" w:hAnsi="Times New Roman" w:cs="Times New Roman"/>
          <w:sz w:val="28"/>
          <w:szCs w:val="28"/>
        </w:rPr>
        <w:t>D’altra parte, tuttavia, per lo stesso Trattato, il mercato non è un dogma indiscutibile e un paradigma indefettibile.</w:t>
      </w:r>
    </w:p>
    <w:p w:rsidR="000717F5" w:rsidRDefault="004A30C9" w:rsidP="004A30C9">
      <w:pPr>
        <w:ind w:left="360"/>
        <w:jc w:val="both"/>
        <w:rPr>
          <w:rFonts w:ascii="Times New Roman" w:hAnsi="Times New Roman" w:cs="Times New Roman"/>
          <w:sz w:val="28"/>
          <w:szCs w:val="28"/>
        </w:rPr>
      </w:pPr>
      <w:r>
        <w:rPr>
          <w:rFonts w:ascii="Times New Roman" w:hAnsi="Times New Roman" w:cs="Times New Roman"/>
          <w:sz w:val="28"/>
          <w:szCs w:val="28"/>
        </w:rPr>
        <w:t>Il combinato disposto degli artt.14 e 106, paragrafo 2, in particolare, rico</w:t>
      </w:r>
      <w:r w:rsidR="000717F5">
        <w:rPr>
          <w:rFonts w:ascii="Times New Roman" w:hAnsi="Times New Roman" w:cs="Times New Roman"/>
          <w:sz w:val="28"/>
          <w:szCs w:val="28"/>
        </w:rPr>
        <w:t>nosce</w:t>
      </w:r>
      <w:r>
        <w:rPr>
          <w:rFonts w:ascii="Times New Roman" w:hAnsi="Times New Roman" w:cs="Times New Roman"/>
          <w:sz w:val="28"/>
          <w:szCs w:val="28"/>
        </w:rPr>
        <w:t xml:space="preserve"> </w:t>
      </w:r>
      <w:r w:rsidR="000717F5">
        <w:rPr>
          <w:rFonts w:ascii="Times New Roman" w:hAnsi="Times New Roman" w:cs="Times New Roman"/>
          <w:sz w:val="28"/>
          <w:szCs w:val="28"/>
        </w:rPr>
        <w:t>che la gestione dei servizi di interesse economico generale (d’ora innanzi SIEG), per l’importanza che rivestono per i</w:t>
      </w:r>
      <w:r w:rsidR="005A534C">
        <w:rPr>
          <w:rFonts w:ascii="Times New Roman" w:hAnsi="Times New Roman" w:cs="Times New Roman"/>
          <w:sz w:val="28"/>
          <w:szCs w:val="28"/>
        </w:rPr>
        <w:t xml:space="preserve"> valori comuni dell’Unione e in quanto finalizzati</w:t>
      </w:r>
      <w:r w:rsidR="000717F5">
        <w:rPr>
          <w:rFonts w:ascii="Times New Roman" w:hAnsi="Times New Roman" w:cs="Times New Roman"/>
          <w:sz w:val="28"/>
          <w:szCs w:val="28"/>
        </w:rPr>
        <w:t xml:space="preserve"> </w:t>
      </w:r>
      <w:r w:rsidR="005A534C">
        <w:rPr>
          <w:rFonts w:ascii="Times New Roman" w:hAnsi="Times New Roman" w:cs="Times New Roman"/>
          <w:sz w:val="28"/>
          <w:szCs w:val="28"/>
        </w:rPr>
        <w:t>al</w:t>
      </w:r>
      <w:r w:rsidR="000717F5">
        <w:rPr>
          <w:rFonts w:ascii="Times New Roman" w:hAnsi="Times New Roman" w:cs="Times New Roman"/>
          <w:sz w:val="28"/>
          <w:szCs w:val="28"/>
        </w:rPr>
        <w:t>la promozione della coesione sociale e territoriale</w:t>
      </w:r>
      <w:r w:rsidR="003228A0">
        <w:rPr>
          <w:rFonts w:ascii="Times New Roman" w:hAnsi="Times New Roman" w:cs="Times New Roman"/>
          <w:sz w:val="28"/>
          <w:szCs w:val="28"/>
        </w:rPr>
        <w:t xml:space="preserve"> (come precisato, peraltro, anche dall’art.36 della Carta di Nizza)</w:t>
      </w:r>
      <w:r w:rsidR="000717F5">
        <w:rPr>
          <w:rFonts w:ascii="Times New Roman" w:hAnsi="Times New Roman" w:cs="Times New Roman"/>
          <w:sz w:val="28"/>
          <w:szCs w:val="28"/>
        </w:rPr>
        <w:t>, può derogare alle regole della concorrenza.</w:t>
      </w:r>
    </w:p>
    <w:p w:rsidR="00955A49" w:rsidRDefault="000717F5" w:rsidP="004A30C9">
      <w:pPr>
        <w:ind w:left="360"/>
        <w:jc w:val="both"/>
        <w:rPr>
          <w:rFonts w:ascii="Times New Roman" w:hAnsi="Times New Roman" w:cs="Times New Roman"/>
          <w:sz w:val="28"/>
          <w:szCs w:val="28"/>
        </w:rPr>
      </w:pPr>
      <w:r>
        <w:rPr>
          <w:rFonts w:ascii="Times New Roman" w:hAnsi="Times New Roman" w:cs="Times New Roman"/>
          <w:sz w:val="28"/>
          <w:szCs w:val="28"/>
        </w:rPr>
        <w:t>Seppur costruita e formulata in modo contorto, la previsione del secondo paragrafo dell’art.106 autorizza l’affidamento a un’</w:t>
      </w:r>
      <w:r w:rsidR="005A534C">
        <w:rPr>
          <w:rFonts w:ascii="Times New Roman" w:hAnsi="Times New Roman" w:cs="Times New Roman"/>
          <w:sz w:val="28"/>
          <w:szCs w:val="28"/>
        </w:rPr>
        <w:t>impresa, senza il rispetto delle</w:t>
      </w:r>
      <w:r>
        <w:rPr>
          <w:rFonts w:ascii="Times New Roman" w:hAnsi="Times New Roman" w:cs="Times New Roman"/>
          <w:sz w:val="28"/>
          <w:szCs w:val="28"/>
        </w:rPr>
        <w:t xml:space="preserve"> regole sulla concorrenza, della gestione di un SIEG, </w:t>
      </w:r>
      <w:r w:rsidR="00AC45BD">
        <w:rPr>
          <w:rFonts w:ascii="Times New Roman" w:hAnsi="Times New Roman" w:cs="Times New Roman"/>
          <w:sz w:val="28"/>
          <w:szCs w:val="28"/>
        </w:rPr>
        <w:t>purché</w:t>
      </w:r>
      <w:r>
        <w:rPr>
          <w:rFonts w:ascii="Times New Roman" w:hAnsi="Times New Roman" w:cs="Times New Roman"/>
          <w:sz w:val="28"/>
          <w:szCs w:val="28"/>
        </w:rPr>
        <w:t xml:space="preserve"> l’incarico sia giustificato </w:t>
      </w:r>
      <w:r w:rsidR="00C80BBF">
        <w:rPr>
          <w:rFonts w:ascii="Times New Roman" w:hAnsi="Times New Roman" w:cs="Times New Roman"/>
          <w:sz w:val="28"/>
          <w:szCs w:val="28"/>
        </w:rPr>
        <w:t>dalla necessità di adempiere la relativa missione; o, più esattamente, nelle ipotesi in cui il rispetto delle regole del mercato impedirebbe di soddisfare i bisogni collettivi</w:t>
      </w:r>
      <w:r w:rsidR="00F81E2E">
        <w:rPr>
          <w:rFonts w:ascii="Times New Roman" w:hAnsi="Times New Roman" w:cs="Times New Roman"/>
          <w:sz w:val="28"/>
          <w:szCs w:val="28"/>
        </w:rPr>
        <w:t xml:space="preserve"> (di universalità e accessibilità al servizio)</w:t>
      </w:r>
      <w:r w:rsidR="00C80BBF">
        <w:rPr>
          <w:rFonts w:ascii="Times New Roman" w:hAnsi="Times New Roman" w:cs="Times New Roman"/>
          <w:sz w:val="28"/>
          <w:szCs w:val="28"/>
        </w:rPr>
        <w:t xml:space="preserve"> sottesi alla istituzione di un SIEG.</w:t>
      </w:r>
    </w:p>
    <w:p w:rsidR="00C80BBF" w:rsidRDefault="00E61864" w:rsidP="004A30C9">
      <w:pPr>
        <w:ind w:left="360"/>
        <w:jc w:val="both"/>
        <w:rPr>
          <w:rFonts w:ascii="Times New Roman" w:hAnsi="Times New Roman" w:cs="Times New Roman"/>
          <w:sz w:val="28"/>
          <w:szCs w:val="28"/>
        </w:rPr>
      </w:pPr>
      <w:r>
        <w:rPr>
          <w:rFonts w:ascii="Times New Roman" w:hAnsi="Times New Roman" w:cs="Times New Roman"/>
          <w:sz w:val="28"/>
          <w:szCs w:val="28"/>
        </w:rPr>
        <w:t>Il protocollo n.26 ha, peraltro, ulteriormente precisato gli spazi di operatività dell’</w:t>
      </w:r>
      <w:r w:rsidR="00E63F81">
        <w:rPr>
          <w:rFonts w:ascii="Times New Roman" w:hAnsi="Times New Roman" w:cs="Times New Roman"/>
          <w:sz w:val="28"/>
          <w:szCs w:val="28"/>
        </w:rPr>
        <w:t>istituto, riconosc</w:t>
      </w:r>
      <w:r w:rsidR="005A534C">
        <w:rPr>
          <w:rFonts w:ascii="Times New Roman" w:hAnsi="Times New Roman" w:cs="Times New Roman"/>
          <w:sz w:val="28"/>
          <w:szCs w:val="28"/>
        </w:rPr>
        <w:t>endo espressamente “il r</w:t>
      </w:r>
      <w:r>
        <w:rPr>
          <w:rFonts w:ascii="Times New Roman" w:hAnsi="Times New Roman" w:cs="Times New Roman"/>
          <w:sz w:val="28"/>
          <w:szCs w:val="28"/>
        </w:rPr>
        <w:t>uolo essenziale e l’ampio potere discrezio</w:t>
      </w:r>
      <w:r w:rsidR="00E63F81">
        <w:rPr>
          <w:rFonts w:ascii="Times New Roman" w:hAnsi="Times New Roman" w:cs="Times New Roman"/>
          <w:sz w:val="28"/>
          <w:szCs w:val="28"/>
        </w:rPr>
        <w:t>n</w:t>
      </w:r>
      <w:r>
        <w:rPr>
          <w:rFonts w:ascii="Times New Roman" w:hAnsi="Times New Roman" w:cs="Times New Roman"/>
          <w:sz w:val="28"/>
          <w:szCs w:val="28"/>
        </w:rPr>
        <w:t>ale de</w:t>
      </w:r>
      <w:r w:rsidR="00E63F81">
        <w:rPr>
          <w:rFonts w:ascii="Times New Roman" w:hAnsi="Times New Roman" w:cs="Times New Roman"/>
          <w:sz w:val="28"/>
          <w:szCs w:val="28"/>
        </w:rPr>
        <w:t>l</w:t>
      </w:r>
      <w:r>
        <w:rPr>
          <w:rFonts w:ascii="Times New Roman" w:hAnsi="Times New Roman" w:cs="Times New Roman"/>
          <w:sz w:val="28"/>
          <w:szCs w:val="28"/>
        </w:rPr>
        <w:t>le aut</w:t>
      </w:r>
      <w:r w:rsidR="00E63F81">
        <w:rPr>
          <w:rFonts w:ascii="Times New Roman" w:hAnsi="Times New Roman" w:cs="Times New Roman"/>
          <w:sz w:val="28"/>
          <w:szCs w:val="28"/>
        </w:rPr>
        <w:t>ori</w:t>
      </w:r>
      <w:r>
        <w:rPr>
          <w:rFonts w:ascii="Times New Roman" w:hAnsi="Times New Roman" w:cs="Times New Roman"/>
          <w:sz w:val="28"/>
          <w:szCs w:val="28"/>
        </w:rPr>
        <w:t>tà nazi</w:t>
      </w:r>
      <w:r w:rsidR="00E63F81">
        <w:rPr>
          <w:rFonts w:ascii="Times New Roman" w:hAnsi="Times New Roman" w:cs="Times New Roman"/>
          <w:sz w:val="28"/>
          <w:szCs w:val="28"/>
        </w:rPr>
        <w:t>o</w:t>
      </w:r>
      <w:r>
        <w:rPr>
          <w:rFonts w:ascii="Times New Roman" w:hAnsi="Times New Roman" w:cs="Times New Roman"/>
          <w:sz w:val="28"/>
          <w:szCs w:val="28"/>
        </w:rPr>
        <w:t xml:space="preserve">nali, regionali e locali </w:t>
      </w:r>
      <w:r w:rsidR="00E63F81">
        <w:rPr>
          <w:rFonts w:ascii="Times New Roman" w:hAnsi="Times New Roman" w:cs="Times New Roman"/>
          <w:sz w:val="28"/>
          <w:szCs w:val="28"/>
        </w:rPr>
        <w:t>di fornire, commissionare e org</w:t>
      </w:r>
      <w:r>
        <w:rPr>
          <w:rFonts w:ascii="Times New Roman" w:hAnsi="Times New Roman" w:cs="Times New Roman"/>
          <w:sz w:val="28"/>
          <w:szCs w:val="28"/>
        </w:rPr>
        <w:t>a</w:t>
      </w:r>
      <w:r w:rsidR="00E63F81">
        <w:rPr>
          <w:rFonts w:ascii="Times New Roman" w:hAnsi="Times New Roman" w:cs="Times New Roman"/>
          <w:sz w:val="28"/>
          <w:szCs w:val="28"/>
        </w:rPr>
        <w:t>n</w:t>
      </w:r>
      <w:r>
        <w:rPr>
          <w:rFonts w:ascii="Times New Roman" w:hAnsi="Times New Roman" w:cs="Times New Roman"/>
          <w:sz w:val="28"/>
          <w:szCs w:val="28"/>
        </w:rPr>
        <w:t>izzare SIEG il più vicini possibile alle esigenze degli utenti.”</w:t>
      </w:r>
    </w:p>
    <w:p w:rsidR="00E63F81" w:rsidRPr="003A6508" w:rsidRDefault="00860F1F" w:rsidP="004A30C9">
      <w:pPr>
        <w:ind w:left="360"/>
        <w:jc w:val="both"/>
        <w:rPr>
          <w:rFonts w:ascii="Times New Roman" w:hAnsi="Times New Roman" w:cs="Times New Roman"/>
          <w:sz w:val="28"/>
          <w:szCs w:val="28"/>
        </w:rPr>
      </w:pPr>
      <w:r>
        <w:rPr>
          <w:rFonts w:ascii="Times New Roman" w:hAnsi="Times New Roman" w:cs="Times New Roman"/>
          <w:sz w:val="28"/>
          <w:szCs w:val="28"/>
        </w:rPr>
        <w:t xml:space="preserve">Tale previsione conferma la </w:t>
      </w:r>
      <w:r w:rsidRPr="003A6508">
        <w:rPr>
          <w:rFonts w:ascii="Times New Roman" w:hAnsi="Times New Roman" w:cs="Times New Roman"/>
          <w:sz w:val="28"/>
          <w:szCs w:val="28"/>
        </w:rPr>
        <w:t>rilevanza che l’ordinamento dell’Unione riconosce ai SIEG</w:t>
      </w:r>
      <w:r w:rsidR="002664D5" w:rsidRPr="003A6508">
        <w:rPr>
          <w:rFonts w:ascii="Times New Roman" w:hAnsi="Times New Roman" w:cs="Times New Roman"/>
          <w:sz w:val="28"/>
          <w:szCs w:val="28"/>
        </w:rPr>
        <w:t xml:space="preserve">, in relazione alla loro funzione </w:t>
      </w:r>
      <w:r w:rsidR="00816DAF" w:rsidRPr="003A6508">
        <w:rPr>
          <w:rFonts w:ascii="Times New Roman" w:hAnsi="Times New Roman" w:cs="Times New Roman"/>
          <w:sz w:val="28"/>
          <w:szCs w:val="28"/>
        </w:rPr>
        <w:t>di coesione</w:t>
      </w:r>
      <w:r w:rsidR="002664D5" w:rsidRPr="003A6508">
        <w:rPr>
          <w:rFonts w:ascii="Times New Roman" w:hAnsi="Times New Roman" w:cs="Times New Roman"/>
          <w:sz w:val="28"/>
          <w:szCs w:val="28"/>
        </w:rPr>
        <w:t>,</w:t>
      </w:r>
      <w:r w:rsidRPr="003A6508">
        <w:rPr>
          <w:rFonts w:ascii="Times New Roman" w:hAnsi="Times New Roman" w:cs="Times New Roman"/>
          <w:sz w:val="28"/>
          <w:szCs w:val="28"/>
        </w:rPr>
        <w:t xml:space="preserve"> e la conseguente c</w:t>
      </w:r>
      <w:r w:rsidR="005A534C" w:rsidRPr="003A6508">
        <w:rPr>
          <w:rFonts w:ascii="Times New Roman" w:hAnsi="Times New Roman" w:cs="Times New Roman"/>
          <w:sz w:val="28"/>
          <w:szCs w:val="28"/>
        </w:rPr>
        <w:t>edevolezza</w:t>
      </w:r>
      <w:r w:rsidR="00816DAF" w:rsidRPr="003A6508">
        <w:rPr>
          <w:rFonts w:ascii="Times New Roman" w:hAnsi="Times New Roman" w:cs="Times New Roman"/>
          <w:sz w:val="28"/>
          <w:szCs w:val="28"/>
        </w:rPr>
        <w:t>, rispetto alle istanze di una loro efficiente gestione,</w:t>
      </w:r>
      <w:r w:rsidR="005A534C" w:rsidRPr="003A6508">
        <w:rPr>
          <w:rFonts w:ascii="Times New Roman" w:hAnsi="Times New Roman" w:cs="Times New Roman"/>
          <w:sz w:val="28"/>
          <w:szCs w:val="28"/>
        </w:rPr>
        <w:t xml:space="preserve"> de</w:t>
      </w:r>
      <w:r w:rsidRPr="003A6508">
        <w:rPr>
          <w:rFonts w:ascii="Times New Roman" w:hAnsi="Times New Roman" w:cs="Times New Roman"/>
          <w:sz w:val="28"/>
          <w:szCs w:val="28"/>
        </w:rPr>
        <w:t>lle regole del mercato</w:t>
      </w:r>
      <w:r w:rsidR="002664D5" w:rsidRPr="003A6508">
        <w:rPr>
          <w:rFonts w:ascii="Times New Roman" w:hAnsi="Times New Roman" w:cs="Times New Roman"/>
          <w:sz w:val="28"/>
          <w:szCs w:val="28"/>
        </w:rPr>
        <w:t>.</w:t>
      </w:r>
    </w:p>
    <w:p w:rsidR="00A8451F" w:rsidRDefault="00DD2FE6" w:rsidP="001A07DE">
      <w:pPr>
        <w:ind w:left="360"/>
        <w:jc w:val="both"/>
        <w:rPr>
          <w:rFonts w:ascii="Times New Roman" w:hAnsi="Times New Roman" w:cs="Times New Roman"/>
          <w:sz w:val="28"/>
          <w:szCs w:val="28"/>
        </w:rPr>
      </w:pPr>
      <w:r w:rsidRPr="003A6508">
        <w:rPr>
          <w:rFonts w:ascii="Times New Roman" w:hAnsi="Times New Roman" w:cs="Times New Roman"/>
          <w:sz w:val="28"/>
          <w:szCs w:val="28"/>
        </w:rPr>
        <w:t>In difetto di</w:t>
      </w:r>
      <w:r w:rsidR="00392CC1" w:rsidRPr="003A6508">
        <w:rPr>
          <w:rFonts w:ascii="Times New Roman" w:hAnsi="Times New Roman" w:cs="Times New Roman"/>
          <w:sz w:val="28"/>
          <w:szCs w:val="28"/>
        </w:rPr>
        <w:t xml:space="preserve"> una</w:t>
      </w:r>
      <w:r w:rsidRPr="003A6508">
        <w:rPr>
          <w:rFonts w:ascii="Times New Roman" w:hAnsi="Times New Roman" w:cs="Times New Roman"/>
          <w:sz w:val="28"/>
          <w:szCs w:val="28"/>
        </w:rPr>
        <w:t xml:space="preserve"> regolazione attuativa dell’art</w:t>
      </w:r>
      <w:r>
        <w:rPr>
          <w:rFonts w:ascii="Times New Roman" w:hAnsi="Times New Roman" w:cs="Times New Roman"/>
          <w:sz w:val="28"/>
          <w:szCs w:val="28"/>
        </w:rPr>
        <w:t xml:space="preserve">.14, la disciplina del SIEG si ricava, in via indiretta, dalla giurisprudenza della Corte di Giustizia </w:t>
      </w:r>
      <w:r w:rsidR="001E3C54">
        <w:rPr>
          <w:rFonts w:ascii="Times New Roman" w:hAnsi="Times New Roman" w:cs="Times New Roman"/>
          <w:sz w:val="28"/>
          <w:szCs w:val="28"/>
        </w:rPr>
        <w:t>sulla stessa rilevanza economica del servizio</w:t>
      </w:r>
      <w:r w:rsidR="001E3C54">
        <w:rPr>
          <w:rStyle w:val="Rimandonotaapidipagina"/>
          <w:rFonts w:ascii="Times New Roman" w:hAnsi="Times New Roman" w:cs="Times New Roman"/>
          <w:sz w:val="28"/>
          <w:szCs w:val="28"/>
        </w:rPr>
        <w:footnoteReference w:id="5"/>
      </w:r>
      <w:r w:rsidR="001E3C54">
        <w:rPr>
          <w:rFonts w:ascii="Times New Roman" w:hAnsi="Times New Roman" w:cs="Times New Roman"/>
          <w:sz w:val="28"/>
          <w:szCs w:val="28"/>
        </w:rPr>
        <w:t xml:space="preserve"> nonché </w:t>
      </w:r>
      <w:r>
        <w:rPr>
          <w:rFonts w:ascii="Times New Roman" w:hAnsi="Times New Roman" w:cs="Times New Roman"/>
          <w:sz w:val="28"/>
          <w:szCs w:val="28"/>
        </w:rPr>
        <w:t>sulla compatibilità con il regime degli aiuti di Stato della compensazione degli obblighi di servizio pubblico</w:t>
      </w:r>
      <w:r w:rsidR="000F0B4C">
        <w:rPr>
          <w:rFonts w:ascii="Times New Roman" w:hAnsi="Times New Roman" w:cs="Times New Roman"/>
          <w:sz w:val="28"/>
          <w:szCs w:val="28"/>
        </w:rPr>
        <w:t xml:space="preserve"> (OSP)</w:t>
      </w:r>
      <w:r>
        <w:rPr>
          <w:rFonts w:ascii="Times New Roman" w:hAnsi="Times New Roman" w:cs="Times New Roman"/>
          <w:sz w:val="28"/>
          <w:szCs w:val="28"/>
        </w:rPr>
        <w:t>.</w:t>
      </w:r>
    </w:p>
    <w:p w:rsidR="00DD2FE6" w:rsidRDefault="00DD2FE6"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In particolare, </w:t>
      </w:r>
      <w:r w:rsidR="006D7872">
        <w:rPr>
          <w:rFonts w:ascii="Times New Roman" w:hAnsi="Times New Roman" w:cs="Times New Roman"/>
          <w:sz w:val="28"/>
          <w:szCs w:val="28"/>
        </w:rPr>
        <w:t xml:space="preserve">con </w:t>
      </w:r>
      <w:r>
        <w:rPr>
          <w:rFonts w:ascii="Times New Roman" w:hAnsi="Times New Roman" w:cs="Times New Roman"/>
          <w:sz w:val="28"/>
          <w:szCs w:val="28"/>
        </w:rPr>
        <w:t xml:space="preserve">la sentenza </w:t>
      </w:r>
      <w:proofErr w:type="spellStart"/>
      <w:r>
        <w:rPr>
          <w:rFonts w:ascii="Times New Roman" w:hAnsi="Times New Roman" w:cs="Times New Roman"/>
          <w:sz w:val="28"/>
          <w:szCs w:val="28"/>
        </w:rPr>
        <w:t>Altmark</w:t>
      </w:r>
      <w:proofErr w:type="spellEnd"/>
      <w:r>
        <w:rPr>
          <w:rFonts w:ascii="Times New Roman" w:hAnsi="Times New Roman" w:cs="Times New Roman"/>
          <w:sz w:val="28"/>
          <w:szCs w:val="28"/>
        </w:rPr>
        <w:t xml:space="preserve"> (24 luglio 2003</w:t>
      </w:r>
      <w:r w:rsidR="000F0B4C">
        <w:rPr>
          <w:rFonts w:ascii="Times New Roman" w:hAnsi="Times New Roman" w:cs="Times New Roman"/>
          <w:sz w:val="28"/>
          <w:szCs w:val="28"/>
        </w:rPr>
        <w:t>, causa C-280/2000</w:t>
      </w:r>
      <w:r>
        <w:rPr>
          <w:rFonts w:ascii="Times New Roman" w:hAnsi="Times New Roman" w:cs="Times New Roman"/>
          <w:sz w:val="28"/>
          <w:szCs w:val="28"/>
        </w:rPr>
        <w:t xml:space="preserve">) </w:t>
      </w:r>
      <w:r w:rsidR="006D7872">
        <w:rPr>
          <w:rFonts w:ascii="Times New Roman" w:hAnsi="Times New Roman" w:cs="Times New Roman"/>
          <w:sz w:val="28"/>
          <w:szCs w:val="28"/>
        </w:rPr>
        <w:t>la Corte di Giustizia ha identificato quattro cri</w:t>
      </w:r>
      <w:r>
        <w:rPr>
          <w:rFonts w:ascii="Times New Roman" w:hAnsi="Times New Roman" w:cs="Times New Roman"/>
          <w:sz w:val="28"/>
          <w:szCs w:val="28"/>
        </w:rPr>
        <w:t>teri cumul</w:t>
      </w:r>
      <w:r w:rsidR="00392CC1">
        <w:rPr>
          <w:rFonts w:ascii="Times New Roman" w:hAnsi="Times New Roman" w:cs="Times New Roman"/>
          <w:sz w:val="28"/>
          <w:szCs w:val="28"/>
        </w:rPr>
        <w:t xml:space="preserve">ativi ai fini del riconoscimento della </w:t>
      </w:r>
      <w:r w:rsidR="006D7872">
        <w:rPr>
          <w:rFonts w:ascii="Times New Roman" w:hAnsi="Times New Roman" w:cs="Times New Roman"/>
          <w:sz w:val="28"/>
          <w:szCs w:val="28"/>
        </w:rPr>
        <w:t>co</w:t>
      </w:r>
      <w:r>
        <w:rPr>
          <w:rFonts w:ascii="Times New Roman" w:hAnsi="Times New Roman" w:cs="Times New Roman"/>
          <w:sz w:val="28"/>
          <w:szCs w:val="28"/>
        </w:rPr>
        <w:t>erenza degli oneri di compensazione con la disc</w:t>
      </w:r>
      <w:r w:rsidR="006D7872">
        <w:rPr>
          <w:rFonts w:ascii="Times New Roman" w:hAnsi="Times New Roman" w:cs="Times New Roman"/>
          <w:sz w:val="28"/>
          <w:szCs w:val="28"/>
        </w:rPr>
        <w:t>i</w:t>
      </w:r>
      <w:r>
        <w:rPr>
          <w:rFonts w:ascii="Times New Roman" w:hAnsi="Times New Roman" w:cs="Times New Roman"/>
          <w:sz w:val="28"/>
          <w:szCs w:val="28"/>
        </w:rPr>
        <w:t>plina degli aiuti di Stato</w:t>
      </w:r>
      <w:r w:rsidR="000F0B4C">
        <w:rPr>
          <w:rFonts w:ascii="Times New Roman" w:hAnsi="Times New Roman" w:cs="Times New Roman"/>
          <w:sz w:val="28"/>
          <w:szCs w:val="28"/>
        </w:rPr>
        <w:t xml:space="preserve"> (tutti preordinati ad assicurare che le compensazioni degli OSP non alterino la fisiologia del mercato)</w:t>
      </w:r>
      <w:r>
        <w:rPr>
          <w:rFonts w:ascii="Times New Roman" w:hAnsi="Times New Roman" w:cs="Times New Roman"/>
          <w:sz w:val="28"/>
          <w:szCs w:val="28"/>
        </w:rPr>
        <w:t>.</w:t>
      </w:r>
    </w:p>
    <w:p w:rsidR="00FF26CC" w:rsidRDefault="006D7872" w:rsidP="001A07DE">
      <w:pPr>
        <w:ind w:left="360"/>
        <w:jc w:val="both"/>
        <w:rPr>
          <w:rFonts w:ascii="Times New Roman" w:hAnsi="Times New Roman" w:cs="Times New Roman"/>
          <w:sz w:val="28"/>
          <w:szCs w:val="28"/>
        </w:rPr>
      </w:pPr>
      <w:r>
        <w:rPr>
          <w:rFonts w:ascii="Times New Roman" w:hAnsi="Times New Roman" w:cs="Times New Roman"/>
          <w:sz w:val="28"/>
          <w:szCs w:val="28"/>
        </w:rPr>
        <w:t>In esito a quella decisione, la Commissione ha approvato decisioni e comunicazioni finalizzate a chiari</w:t>
      </w:r>
      <w:r w:rsidR="00392CC1">
        <w:rPr>
          <w:rFonts w:ascii="Times New Roman" w:hAnsi="Times New Roman" w:cs="Times New Roman"/>
          <w:sz w:val="28"/>
          <w:szCs w:val="28"/>
        </w:rPr>
        <w:t xml:space="preserve">re le regole della </w:t>
      </w:r>
      <w:proofErr w:type="spellStart"/>
      <w:r w:rsidR="00392CC1" w:rsidRPr="00392CC1">
        <w:rPr>
          <w:rFonts w:ascii="Times New Roman" w:hAnsi="Times New Roman" w:cs="Times New Roman"/>
          <w:i/>
          <w:sz w:val="28"/>
          <w:szCs w:val="28"/>
        </w:rPr>
        <w:t>compliance</w:t>
      </w:r>
      <w:proofErr w:type="spellEnd"/>
      <w:r w:rsidR="00FF26CC">
        <w:rPr>
          <w:rFonts w:ascii="Times New Roman" w:hAnsi="Times New Roman" w:cs="Times New Roman"/>
          <w:sz w:val="28"/>
          <w:szCs w:val="28"/>
        </w:rPr>
        <w:t xml:space="preserve"> con il regime degli aiuti di Stato, stabilendo</w:t>
      </w:r>
      <w:r w:rsidR="00392CC1">
        <w:rPr>
          <w:rFonts w:ascii="Times New Roman" w:hAnsi="Times New Roman" w:cs="Times New Roman"/>
          <w:sz w:val="28"/>
          <w:szCs w:val="28"/>
        </w:rPr>
        <w:t>, in particolare, un regime di</w:t>
      </w:r>
      <w:r w:rsidR="00FF26CC">
        <w:rPr>
          <w:rFonts w:ascii="Times New Roman" w:hAnsi="Times New Roman" w:cs="Times New Roman"/>
          <w:sz w:val="28"/>
          <w:szCs w:val="28"/>
        </w:rPr>
        <w:t xml:space="preserve"> trasparenza delle relazioni finanziarie tra l’autorità pubblica che assegna l’incarico e l’impresa affidataria e, soprattutto, </w:t>
      </w:r>
      <w:r w:rsidR="002664D5">
        <w:rPr>
          <w:rFonts w:ascii="Times New Roman" w:hAnsi="Times New Roman" w:cs="Times New Roman"/>
          <w:sz w:val="28"/>
          <w:szCs w:val="28"/>
        </w:rPr>
        <w:t>parametri pre</w:t>
      </w:r>
      <w:r w:rsidR="00392CC1">
        <w:rPr>
          <w:rFonts w:ascii="Times New Roman" w:hAnsi="Times New Roman" w:cs="Times New Roman"/>
          <w:sz w:val="28"/>
          <w:szCs w:val="28"/>
        </w:rPr>
        <w:t>ordinati a evitare</w:t>
      </w:r>
      <w:r w:rsidR="00FF26CC">
        <w:rPr>
          <w:rFonts w:ascii="Times New Roman" w:hAnsi="Times New Roman" w:cs="Times New Roman"/>
          <w:sz w:val="28"/>
          <w:szCs w:val="28"/>
        </w:rPr>
        <w:t xml:space="preserve"> </w:t>
      </w:r>
      <w:proofErr w:type="spellStart"/>
      <w:r w:rsidR="00FF26CC">
        <w:rPr>
          <w:rFonts w:ascii="Times New Roman" w:hAnsi="Times New Roman" w:cs="Times New Roman"/>
          <w:sz w:val="28"/>
          <w:szCs w:val="28"/>
        </w:rPr>
        <w:t>sovracompensazioni</w:t>
      </w:r>
      <w:proofErr w:type="spellEnd"/>
      <w:r w:rsidR="00FF26CC">
        <w:rPr>
          <w:rFonts w:ascii="Times New Roman" w:hAnsi="Times New Roman" w:cs="Times New Roman"/>
          <w:sz w:val="28"/>
          <w:szCs w:val="28"/>
        </w:rPr>
        <w:t>, distorsive, come tali, della concorrenza.</w:t>
      </w:r>
    </w:p>
    <w:p w:rsidR="00B836D9" w:rsidRDefault="00FF26CC" w:rsidP="001A07DE">
      <w:pPr>
        <w:ind w:left="360"/>
        <w:jc w:val="both"/>
        <w:rPr>
          <w:rFonts w:ascii="Times New Roman" w:hAnsi="Times New Roman" w:cs="Times New Roman"/>
          <w:sz w:val="28"/>
          <w:szCs w:val="28"/>
        </w:rPr>
      </w:pPr>
      <w:r>
        <w:rPr>
          <w:rFonts w:ascii="Times New Roman" w:hAnsi="Times New Roman" w:cs="Times New Roman"/>
          <w:sz w:val="28"/>
          <w:szCs w:val="28"/>
        </w:rPr>
        <w:t>Ora, è vero che tutta la disciplina del SIEG si fonda su</w:t>
      </w:r>
      <w:r w:rsidR="00C868CF">
        <w:rPr>
          <w:rFonts w:ascii="Times New Roman" w:hAnsi="Times New Roman" w:cs="Times New Roman"/>
          <w:sz w:val="28"/>
          <w:szCs w:val="28"/>
        </w:rPr>
        <w:t>ll’esigenza di evitare che l’impresa incaricata dell</w:t>
      </w:r>
      <w:r w:rsidR="000F0B4C">
        <w:rPr>
          <w:rFonts w:ascii="Times New Roman" w:hAnsi="Times New Roman" w:cs="Times New Roman"/>
          <w:sz w:val="28"/>
          <w:szCs w:val="28"/>
        </w:rPr>
        <w:t>a gestione di un servizio</w:t>
      </w:r>
      <w:r w:rsidR="00177D08">
        <w:rPr>
          <w:rFonts w:ascii="Times New Roman" w:hAnsi="Times New Roman" w:cs="Times New Roman"/>
          <w:sz w:val="28"/>
          <w:szCs w:val="28"/>
        </w:rPr>
        <w:t>, e la cui</w:t>
      </w:r>
      <w:r w:rsidR="00C868CF">
        <w:rPr>
          <w:rFonts w:ascii="Times New Roman" w:hAnsi="Times New Roman" w:cs="Times New Roman"/>
          <w:sz w:val="28"/>
          <w:szCs w:val="28"/>
        </w:rPr>
        <w:t xml:space="preserve"> natura pubblica o pr</w:t>
      </w:r>
      <w:r w:rsidR="00177D08">
        <w:rPr>
          <w:rFonts w:ascii="Times New Roman" w:hAnsi="Times New Roman" w:cs="Times New Roman"/>
          <w:sz w:val="28"/>
          <w:szCs w:val="28"/>
        </w:rPr>
        <w:t>i</w:t>
      </w:r>
      <w:r w:rsidR="00C868CF">
        <w:rPr>
          <w:rFonts w:ascii="Times New Roman" w:hAnsi="Times New Roman" w:cs="Times New Roman"/>
          <w:sz w:val="28"/>
          <w:szCs w:val="28"/>
        </w:rPr>
        <w:t>vata res</w:t>
      </w:r>
      <w:r w:rsidR="00177D08">
        <w:rPr>
          <w:rFonts w:ascii="Times New Roman" w:hAnsi="Times New Roman" w:cs="Times New Roman"/>
          <w:sz w:val="28"/>
          <w:szCs w:val="28"/>
        </w:rPr>
        <w:t>ta in</w:t>
      </w:r>
      <w:r w:rsidR="00C868CF">
        <w:rPr>
          <w:rFonts w:ascii="Times New Roman" w:hAnsi="Times New Roman" w:cs="Times New Roman"/>
          <w:sz w:val="28"/>
          <w:szCs w:val="28"/>
        </w:rPr>
        <w:t>differente (art.</w:t>
      </w:r>
      <w:r w:rsidR="00392CC1">
        <w:rPr>
          <w:rFonts w:ascii="Times New Roman" w:hAnsi="Times New Roman" w:cs="Times New Roman"/>
          <w:sz w:val="28"/>
          <w:szCs w:val="28"/>
        </w:rPr>
        <w:t xml:space="preserve"> </w:t>
      </w:r>
      <w:r w:rsidR="00177D08">
        <w:rPr>
          <w:rFonts w:ascii="Times New Roman" w:hAnsi="Times New Roman" w:cs="Times New Roman"/>
          <w:sz w:val="28"/>
          <w:szCs w:val="28"/>
        </w:rPr>
        <w:t>345</w:t>
      </w:r>
      <w:r w:rsidR="00392CC1">
        <w:rPr>
          <w:rFonts w:ascii="Times New Roman" w:hAnsi="Times New Roman" w:cs="Times New Roman"/>
          <w:sz w:val="28"/>
          <w:szCs w:val="28"/>
        </w:rPr>
        <w:t xml:space="preserve"> TFUE</w:t>
      </w:r>
      <w:r w:rsidR="00177D08">
        <w:rPr>
          <w:rFonts w:ascii="Times New Roman" w:hAnsi="Times New Roman" w:cs="Times New Roman"/>
          <w:sz w:val="28"/>
          <w:szCs w:val="28"/>
        </w:rPr>
        <w:t>), ottenga un indebito vantaggio dall’affidamento</w:t>
      </w:r>
      <w:r w:rsidR="005A534C">
        <w:rPr>
          <w:rFonts w:ascii="Times New Roman" w:hAnsi="Times New Roman" w:cs="Times New Roman"/>
          <w:sz w:val="28"/>
          <w:szCs w:val="28"/>
        </w:rPr>
        <w:t xml:space="preserve"> e che, quindi, andrebbe applicata in senso restrittivo; </w:t>
      </w:r>
      <w:r w:rsidR="00177D08">
        <w:rPr>
          <w:rFonts w:ascii="Times New Roman" w:hAnsi="Times New Roman" w:cs="Times New Roman"/>
          <w:sz w:val="28"/>
          <w:szCs w:val="28"/>
        </w:rPr>
        <w:t>ma è anche vero che la scelta r</w:t>
      </w:r>
      <w:r w:rsidR="00B836D9">
        <w:rPr>
          <w:rFonts w:ascii="Times New Roman" w:hAnsi="Times New Roman" w:cs="Times New Roman"/>
          <w:sz w:val="28"/>
          <w:szCs w:val="28"/>
        </w:rPr>
        <w:t>e</w:t>
      </w:r>
      <w:r w:rsidR="00177D08">
        <w:rPr>
          <w:rFonts w:ascii="Times New Roman" w:hAnsi="Times New Roman" w:cs="Times New Roman"/>
          <w:sz w:val="28"/>
          <w:szCs w:val="28"/>
        </w:rPr>
        <w:t>lativa all’</w:t>
      </w:r>
      <w:r w:rsidR="00B836D9">
        <w:rPr>
          <w:rFonts w:ascii="Times New Roman" w:hAnsi="Times New Roman" w:cs="Times New Roman"/>
          <w:sz w:val="28"/>
          <w:szCs w:val="28"/>
        </w:rPr>
        <w:t>is</w:t>
      </w:r>
      <w:r w:rsidR="00177D08">
        <w:rPr>
          <w:rFonts w:ascii="Times New Roman" w:hAnsi="Times New Roman" w:cs="Times New Roman"/>
          <w:sz w:val="28"/>
          <w:szCs w:val="28"/>
        </w:rPr>
        <w:t>ti</w:t>
      </w:r>
      <w:r w:rsidR="00B836D9">
        <w:rPr>
          <w:rFonts w:ascii="Times New Roman" w:hAnsi="Times New Roman" w:cs="Times New Roman"/>
          <w:sz w:val="28"/>
          <w:szCs w:val="28"/>
        </w:rPr>
        <w:t>t</w:t>
      </w:r>
      <w:r w:rsidR="00177D08">
        <w:rPr>
          <w:rFonts w:ascii="Times New Roman" w:hAnsi="Times New Roman" w:cs="Times New Roman"/>
          <w:sz w:val="28"/>
          <w:szCs w:val="28"/>
        </w:rPr>
        <w:t>uzione di un SIEG viene espressamente rimessa all</w:t>
      </w:r>
      <w:r w:rsidR="00B836D9">
        <w:rPr>
          <w:rFonts w:ascii="Times New Roman" w:hAnsi="Times New Roman" w:cs="Times New Roman"/>
          <w:sz w:val="28"/>
          <w:szCs w:val="28"/>
        </w:rPr>
        <w:t>a scelta sovrana</w:t>
      </w:r>
      <w:r w:rsidR="00177D08">
        <w:rPr>
          <w:rFonts w:ascii="Times New Roman" w:hAnsi="Times New Roman" w:cs="Times New Roman"/>
          <w:sz w:val="28"/>
          <w:szCs w:val="28"/>
        </w:rPr>
        <w:t xml:space="preserve"> dello Stato membro</w:t>
      </w:r>
      <w:r w:rsidR="00B836D9">
        <w:rPr>
          <w:rFonts w:ascii="Times New Roman" w:hAnsi="Times New Roman" w:cs="Times New Roman"/>
          <w:sz w:val="28"/>
          <w:szCs w:val="28"/>
        </w:rPr>
        <w:t>, che tale decisione è sindacabile solo per “errore manifesto”, che la identificazione degli interessi ge</w:t>
      </w:r>
      <w:r w:rsidR="00392CC1">
        <w:rPr>
          <w:rFonts w:ascii="Times New Roman" w:hAnsi="Times New Roman" w:cs="Times New Roman"/>
          <w:sz w:val="28"/>
          <w:szCs w:val="28"/>
        </w:rPr>
        <w:t>nerali viene rimessa a una decisione</w:t>
      </w:r>
      <w:r w:rsidR="00B836D9">
        <w:rPr>
          <w:rFonts w:ascii="Times New Roman" w:hAnsi="Times New Roman" w:cs="Times New Roman"/>
          <w:sz w:val="28"/>
          <w:szCs w:val="28"/>
        </w:rPr>
        <w:t xml:space="preserve"> discrezionale dello Stato</w:t>
      </w:r>
      <w:r w:rsidR="00556753">
        <w:rPr>
          <w:rFonts w:ascii="Times New Roman" w:hAnsi="Times New Roman" w:cs="Times New Roman"/>
          <w:sz w:val="28"/>
          <w:szCs w:val="28"/>
        </w:rPr>
        <w:t>, che viene ammesso</w:t>
      </w:r>
      <w:r w:rsidR="00392CC1">
        <w:rPr>
          <w:rFonts w:ascii="Times New Roman" w:hAnsi="Times New Roman" w:cs="Times New Roman"/>
          <w:sz w:val="28"/>
          <w:szCs w:val="28"/>
        </w:rPr>
        <w:t>, comunque,</w:t>
      </w:r>
      <w:r w:rsidR="00556753">
        <w:rPr>
          <w:rFonts w:ascii="Times New Roman" w:hAnsi="Times New Roman" w:cs="Times New Roman"/>
          <w:sz w:val="28"/>
          <w:szCs w:val="28"/>
        </w:rPr>
        <w:t xml:space="preserve"> un margine di utile ragionevole e non sproporzionato</w:t>
      </w:r>
      <w:r w:rsidR="00B836D9">
        <w:rPr>
          <w:rFonts w:ascii="Times New Roman" w:hAnsi="Times New Roman" w:cs="Times New Roman"/>
          <w:sz w:val="28"/>
          <w:szCs w:val="28"/>
        </w:rPr>
        <w:t xml:space="preserve"> e che gli interessi dell’Unione vengono configurati come limiti </w:t>
      </w:r>
      <w:r w:rsidR="00392CC1">
        <w:rPr>
          <w:rFonts w:ascii="Times New Roman" w:hAnsi="Times New Roman" w:cs="Times New Roman"/>
          <w:sz w:val="28"/>
          <w:szCs w:val="28"/>
        </w:rPr>
        <w:t xml:space="preserve">(solo) </w:t>
      </w:r>
      <w:r w:rsidR="00B836D9">
        <w:rPr>
          <w:rFonts w:ascii="Times New Roman" w:hAnsi="Times New Roman" w:cs="Times New Roman"/>
          <w:sz w:val="28"/>
          <w:szCs w:val="28"/>
        </w:rPr>
        <w:t>esterni al potere degli Stati membri di istituire un SIEG</w:t>
      </w:r>
      <w:r w:rsidR="00BA37FD">
        <w:rPr>
          <w:rFonts w:ascii="Times New Roman" w:hAnsi="Times New Roman" w:cs="Times New Roman"/>
          <w:sz w:val="28"/>
          <w:szCs w:val="28"/>
        </w:rPr>
        <w:t xml:space="preserve"> (si veda, </w:t>
      </w:r>
      <w:r w:rsidR="00BA37FD" w:rsidRPr="009E27E8">
        <w:rPr>
          <w:rFonts w:ascii="Times New Roman" w:hAnsi="Times New Roman" w:cs="Times New Roman"/>
          <w:i/>
          <w:sz w:val="28"/>
          <w:szCs w:val="28"/>
        </w:rPr>
        <w:t xml:space="preserve">ex </w:t>
      </w:r>
      <w:proofErr w:type="spellStart"/>
      <w:r w:rsidR="00BA37FD" w:rsidRPr="009E27E8">
        <w:rPr>
          <w:rFonts w:ascii="Times New Roman" w:hAnsi="Times New Roman" w:cs="Times New Roman"/>
          <w:i/>
          <w:sz w:val="28"/>
          <w:szCs w:val="28"/>
        </w:rPr>
        <w:t>multis</w:t>
      </w:r>
      <w:proofErr w:type="spellEnd"/>
      <w:r w:rsidR="00BA37FD">
        <w:rPr>
          <w:rFonts w:ascii="Times New Roman" w:hAnsi="Times New Roman" w:cs="Times New Roman"/>
          <w:sz w:val="28"/>
          <w:szCs w:val="28"/>
        </w:rPr>
        <w:t>, Corte di Giustizia UE, sez. I, 8 marzo 2017, n.660)</w:t>
      </w:r>
      <w:r w:rsidR="00B836D9">
        <w:rPr>
          <w:rFonts w:ascii="Times New Roman" w:hAnsi="Times New Roman" w:cs="Times New Roman"/>
          <w:sz w:val="28"/>
          <w:szCs w:val="28"/>
        </w:rPr>
        <w:t>.</w:t>
      </w:r>
    </w:p>
    <w:p w:rsidR="006D7872" w:rsidRDefault="002664D5" w:rsidP="00BA37FD">
      <w:pPr>
        <w:ind w:left="360"/>
        <w:jc w:val="both"/>
        <w:rPr>
          <w:rFonts w:ascii="Times New Roman" w:hAnsi="Times New Roman" w:cs="Times New Roman"/>
          <w:sz w:val="28"/>
          <w:szCs w:val="28"/>
        </w:rPr>
      </w:pPr>
      <w:r>
        <w:rPr>
          <w:rFonts w:ascii="Times New Roman" w:hAnsi="Times New Roman" w:cs="Times New Roman"/>
          <w:sz w:val="28"/>
          <w:szCs w:val="28"/>
        </w:rPr>
        <w:t>Rimane</w:t>
      </w:r>
      <w:r w:rsidR="00556753">
        <w:rPr>
          <w:rFonts w:ascii="Times New Roman" w:hAnsi="Times New Roman" w:cs="Times New Roman"/>
          <w:sz w:val="28"/>
          <w:szCs w:val="28"/>
        </w:rPr>
        <w:t>, tuttavia, nella giurisprudenza de</w:t>
      </w:r>
      <w:r w:rsidR="001E739F">
        <w:rPr>
          <w:rFonts w:ascii="Times New Roman" w:hAnsi="Times New Roman" w:cs="Times New Roman"/>
          <w:sz w:val="28"/>
          <w:szCs w:val="28"/>
        </w:rPr>
        <w:t>lla Corte di Giustizia la regola</w:t>
      </w:r>
      <w:r w:rsidR="00556753">
        <w:rPr>
          <w:rFonts w:ascii="Times New Roman" w:hAnsi="Times New Roman" w:cs="Times New Roman"/>
          <w:sz w:val="28"/>
          <w:szCs w:val="28"/>
        </w:rPr>
        <w:t xml:space="preserve"> dell’imposizione allo Stato membro dell’onere della prova in ordine alla compatibilità dell’istituzione di un SIEG</w:t>
      </w:r>
      <w:r w:rsidR="00BA37FD">
        <w:rPr>
          <w:rFonts w:ascii="Times New Roman" w:hAnsi="Times New Roman" w:cs="Times New Roman"/>
          <w:sz w:val="28"/>
          <w:szCs w:val="28"/>
        </w:rPr>
        <w:t>, e, in particolare, del finanziamento pubblico dell’impresa titolare dell’affidamento,</w:t>
      </w:r>
      <w:r w:rsidR="00556753">
        <w:rPr>
          <w:rFonts w:ascii="Times New Roman" w:hAnsi="Times New Roman" w:cs="Times New Roman"/>
          <w:sz w:val="28"/>
          <w:szCs w:val="28"/>
        </w:rPr>
        <w:t xml:space="preserve"> con le regole del mercato e della concorrenza</w:t>
      </w:r>
      <w:r w:rsidR="00BA37FD">
        <w:rPr>
          <w:rFonts w:ascii="Times New Roman" w:hAnsi="Times New Roman" w:cs="Times New Roman"/>
          <w:sz w:val="28"/>
          <w:szCs w:val="28"/>
        </w:rPr>
        <w:t xml:space="preserve"> (si veda, </w:t>
      </w:r>
      <w:r w:rsidR="00BA37FD" w:rsidRPr="009E27E8">
        <w:rPr>
          <w:rFonts w:ascii="Times New Roman" w:hAnsi="Times New Roman" w:cs="Times New Roman"/>
          <w:i/>
          <w:sz w:val="28"/>
          <w:szCs w:val="28"/>
        </w:rPr>
        <w:t xml:space="preserve">ex </w:t>
      </w:r>
      <w:proofErr w:type="spellStart"/>
      <w:r w:rsidR="00BA37FD" w:rsidRPr="009E27E8">
        <w:rPr>
          <w:rFonts w:ascii="Times New Roman" w:hAnsi="Times New Roman" w:cs="Times New Roman"/>
          <w:i/>
          <w:sz w:val="28"/>
          <w:szCs w:val="28"/>
        </w:rPr>
        <w:t>multis</w:t>
      </w:r>
      <w:proofErr w:type="spellEnd"/>
      <w:r w:rsidR="00BA37FD">
        <w:rPr>
          <w:rFonts w:ascii="Times New Roman" w:hAnsi="Times New Roman" w:cs="Times New Roman"/>
          <w:sz w:val="28"/>
          <w:szCs w:val="28"/>
        </w:rPr>
        <w:t>, Corte di Giustizia UE, sez. I, 3 aprile 2014, n.559).</w:t>
      </w:r>
    </w:p>
    <w:p w:rsidR="001E739F" w:rsidRDefault="00D87BFC"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Va, nondimeno, segnalato che, </w:t>
      </w:r>
      <w:proofErr w:type="spellStart"/>
      <w:r>
        <w:rPr>
          <w:rFonts w:ascii="Times New Roman" w:hAnsi="Times New Roman" w:cs="Times New Roman"/>
          <w:sz w:val="28"/>
          <w:szCs w:val="28"/>
        </w:rPr>
        <w:t>ancorchè</w:t>
      </w:r>
      <w:proofErr w:type="spellEnd"/>
      <w:r>
        <w:rPr>
          <w:rFonts w:ascii="Times New Roman" w:hAnsi="Times New Roman" w:cs="Times New Roman"/>
          <w:sz w:val="28"/>
          <w:szCs w:val="28"/>
        </w:rPr>
        <w:t xml:space="preserve"> </w:t>
      </w:r>
      <w:r w:rsidR="00392CC1">
        <w:rPr>
          <w:rFonts w:ascii="Times New Roman" w:hAnsi="Times New Roman" w:cs="Times New Roman"/>
          <w:sz w:val="28"/>
          <w:szCs w:val="28"/>
        </w:rPr>
        <w:t>l’istituzione di un SIEG resti</w:t>
      </w:r>
      <w:r w:rsidR="001E739F">
        <w:rPr>
          <w:rFonts w:ascii="Times New Roman" w:hAnsi="Times New Roman" w:cs="Times New Roman"/>
          <w:sz w:val="28"/>
          <w:szCs w:val="28"/>
        </w:rPr>
        <w:t xml:space="preserve"> </w:t>
      </w:r>
      <w:r>
        <w:rPr>
          <w:rFonts w:ascii="Times New Roman" w:hAnsi="Times New Roman" w:cs="Times New Roman"/>
          <w:sz w:val="28"/>
          <w:szCs w:val="28"/>
        </w:rPr>
        <w:t>condizionata dal</w:t>
      </w:r>
      <w:r w:rsidR="001E739F">
        <w:rPr>
          <w:rFonts w:ascii="Times New Roman" w:hAnsi="Times New Roman" w:cs="Times New Roman"/>
          <w:sz w:val="28"/>
          <w:szCs w:val="28"/>
        </w:rPr>
        <w:t xml:space="preserve">l’inidoneità del mercato a soddisfare in maniera efficace ed efficiente i bisogni sottesi a quel servizio, </w:t>
      </w:r>
      <w:r>
        <w:rPr>
          <w:rFonts w:ascii="Times New Roman" w:hAnsi="Times New Roman" w:cs="Times New Roman"/>
          <w:sz w:val="28"/>
          <w:szCs w:val="28"/>
        </w:rPr>
        <w:t>l’art.4 della diretti</w:t>
      </w:r>
      <w:r w:rsidR="005A534C">
        <w:rPr>
          <w:rFonts w:ascii="Times New Roman" w:hAnsi="Times New Roman" w:cs="Times New Roman"/>
          <w:sz w:val="28"/>
          <w:szCs w:val="28"/>
        </w:rPr>
        <w:t>va 23/2</w:t>
      </w:r>
      <w:r>
        <w:rPr>
          <w:rFonts w:ascii="Times New Roman" w:hAnsi="Times New Roman" w:cs="Times New Roman"/>
          <w:sz w:val="28"/>
          <w:szCs w:val="28"/>
        </w:rPr>
        <w:t>014 sulle concessioni riserva esplicitamente agli Stati membri la “libertà” di individuare i SIEG.</w:t>
      </w:r>
    </w:p>
    <w:p w:rsidR="00930ABA" w:rsidRDefault="00930ABA"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L’istituzione di un SIEG rimane, in definitiva, rimessa alla scelta ampiamente discrezionale degli Stati membri, </w:t>
      </w:r>
      <w:proofErr w:type="spellStart"/>
      <w:r>
        <w:rPr>
          <w:rFonts w:ascii="Times New Roman" w:hAnsi="Times New Roman" w:cs="Times New Roman"/>
          <w:sz w:val="28"/>
          <w:szCs w:val="28"/>
        </w:rPr>
        <w:t>ancorchè</w:t>
      </w:r>
      <w:proofErr w:type="spellEnd"/>
      <w:r>
        <w:rPr>
          <w:rFonts w:ascii="Times New Roman" w:hAnsi="Times New Roman" w:cs="Times New Roman"/>
          <w:sz w:val="28"/>
          <w:szCs w:val="28"/>
        </w:rPr>
        <w:t xml:space="preserve"> necessiti della sua coerenza con il regime degli aiuti di Stato</w:t>
      </w:r>
      <w:r w:rsidR="00392CC1">
        <w:rPr>
          <w:rFonts w:ascii="Times New Roman" w:hAnsi="Times New Roman" w:cs="Times New Roman"/>
          <w:sz w:val="28"/>
          <w:szCs w:val="28"/>
        </w:rPr>
        <w:t xml:space="preserve"> (secondo i parametri precisati dalla Corte di Giustizia)</w:t>
      </w:r>
      <w:r>
        <w:rPr>
          <w:rFonts w:ascii="Times New Roman" w:hAnsi="Times New Roman" w:cs="Times New Roman"/>
          <w:sz w:val="28"/>
          <w:szCs w:val="28"/>
        </w:rPr>
        <w:t xml:space="preserve">, </w:t>
      </w:r>
      <w:r w:rsidR="00392CC1">
        <w:rPr>
          <w:rFonts w:ascii="Times New Roman" w:hAnsi="Times New Roman" w:cs="Times New Roman"/>
          <w:sz w:val="28"/>
          <w:szCs w:val="28"/>
        </w:rPr>
        <w:t xml:space="preserve">con la conseguenza che </w:t>
      </w:r>
      <w:r>
        <w:rPr>
          <w:rFonts w:ascii="Times New Roman" w:hAnsi="Times New Roman" w:cs="Times New Roman"/>
          <w:sz w:val="28"/>
          <w:szCs w:val="28"/>
        </w:rPr>
        <w:t>la relativa decisione dovrebbe restare limitatamente sindacabile dalla Commissione.</w:t>
      </w:r>
    </w:p>
    <w:p w:rsidR="001E3C54" w:rsidRDefault="001E3C54" w:rsidP="001A07DE">
      <w:pPr>
        <w:ind w:left="360"/>
        <w:jc w:val="both"/>
        <w:rPr>
          <w:rFonts w:ascii="Times New Roman" w:hAnsi="Times New Roman" w:cs="Times New Roman"/>
          <w:sz w:val="28"/>
          <w:szCs w:val="28"/>
        </w:rPr>
      </w:pPr>
      <w:r>
        <w:rPr>
          <w:rFonts w:ascii="Times New Roman" w:hAnsi="Times New Roman" w:cs="Times New Roman"/>
          <w:sz w:val="28"/>
          <w:szCs w:val="28"/>
        </w:rPr>
        <w:t>Solo per completezza espositiva, merita di essere ricordato che, al contrario dei SIEG, i servizi di interesse generale (SIG) sfuggono al perimetro della regolazione del mercato interno e della concorrenza, in quanto afferenti a prestazioni</w:t>
      </w:r>
      <w:r w:rsidR="00816DAF">
        <w:rPr>
          <w:rFonts w:ascii="Times New Roman" w:hAnsi="Times New Roman" w:cs="Times New Roman"/>
          <w:sz w:val="28"/>
          <w:szCs w:val="28"/>
        </w:rPr>
        <w:t xml:space="preserve"> -</w:t>
      </w:r>
      <w:r>
        <w:rPr>
          <w:rFonts w:ascii="Times New Roman" w:hAnsi="Times New Roman" w:cs="Times New Roman"/>
          <w:sz w:val="28"/>
          <w:szCs w:val="28"/>
        </w:rPr>
        <w:t xml:space="preserve"> tipicamente statuali </w:t>
      </w:r>
      <w:r w:rsidR="00816DAF">
        <w:rPr>
          <w:rFonts w:ascii="Times New Roman" w:hAnsi="Times New Roman" w:cs="Times New Roman"/>
          <w:sz w:val="28"/>
          <w:szCs w:val="28"/>
        </w:rPr>
        <w:t xml:space="preserve">- </w:t>
      </w:r>
      <w:r>
        <w:rPr>
          <w:rFonts w:ascii="Times New Roman" w:hAnsi="Times New Roman" w:cs="Times New Roman"/>
          <w:sz w:val="28"/>
          <w:szCs w:val="28"/>
        </w:rPr>
        <w:t>prive di rilevanza economica, quali le funzioni di polizia</w:t>
      </w:r>
      <w:r w:rsidR="002D3925">
        <w:rPr>
          <w:rFonts w:ascii="Times New Roman" w:hAnsi="Times New Roman" w:cs="Times New Roman"/>
          <w:sz w:val="28"/>
          <w:szCs w:val="28"/>
        </w:rPr>
        <w:t>, di istruzione</w:t>
      </w:r>
      <w:r>
        <w:rPr>
          <w:rFonts w:ascii="Times New Roman" w:hAnsi="Times New Roman" w:cs="Times New Roman"/>
          <w:sz w:val="28"/>
          <w:szCs w:val="28"/>
        </w:rPr>
        <w:t xml:space="preserve"> o di giustizia. </w:t>
      </w:r>
    </w:p>
    <w:p w:rsidR="00556753" w:rsidRDefault="001E3C54" w:rsidP="001A07DE">
      <w:pPr>
        <w:ind w:left="360"/>
        <w:jc w:val="both"/>
        <w:rPr>
          <w:rFonts w:ascii="Times New Roman" w:hAnsi="Times New Roman" w:cs="Times New Roman"/>
          <w:sz w:val="28"/>
          <w:szCs w:val="28"/>
        </w:rPr>
      </w:pPr>
      <w:r>
        <w:rPr>
          <w:rFonts w:ascii="Times New Roman" w:hAnsi="Times New Roman" w:cs="Times New Roman"/>
          <w:sz w:val="28"/>
          <w:szCs w:val="28"/>
        </w:rPr>
        <w:t>A</w:t>
      </w:r>
      <w:r w:rsidR="00556753">
        <w:rPr>
          <w:rFonts w:ascii="Times New Roman" w:hAnsi="Times New Roman" w:cs="Times New Roman"/>
          <w:sz w:val="28"/>
          <w:szCs w:val="28"/>
        </w:rPr>
        <w:t>ncora più significativ</w:t>
      </w:r>
      <w:r w:rsidR="00367CE1">
        <w:rPr>
          <w:rFonts w:ascii="Times New Roman" w:hAnsi="Times New Roman" w:cs="Times New Roman"/>
          <w:sz w:val="28"/>
          <w:szCs w:val="28"/>
        </w:rPr>
        <w:t>a, sotto il profilo esaminato, s</w:t>
      </w:r>
      <w:r w:rsidR="00556753">
        <w:rPr>
          <w:rFonts w:ascii="Times New Roman" w:hAnsi="Times New Roman" w:cs="Times New Roman"/>
          <w:sz w:val="28"/>
          <w:szCs w:val="28"/>
        </w:rPr>
        <w:t>i rivela la disciplina europea dei contratti di appalto e delle concessioni, che pure,</w:t>
      </w:r>
      <w:r w:rsidR="002664D5">
        <w:rPr>
          <w:rFonts w:ascii="Times New Roman" w:hAnsi="Times New Roman" w:cs="Times New Roman"/>
          <w:sz w:val="28"/>
          <w:szCs w:val="28"/>
        </w:rPr>
        <w:t xml:space="preserve"> in una certa misura, concerne</w:t>
      </w:r>
      <w:r w:rsidR="00556753">
        <w:rPr>
          <w:rFonts w:ascii="Times New Roman" w:hAnsi="Times New Roman" w:cs="Times New Roman"/>
          <w:sz w:val="28"/>
          <w:szCs w:val="28"/>
        </w:rPr>
        <w:t xml:space="preserve"> i servizi pubblici.</w:t>
      </w:r>
    </w:p>
    <w:p w:rsidR="00556753" w:rsidRDefault="00367CE1"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Le direttive del 2014, infatti, hanno cristallizzato la disciplina </w:t>
      </w:r>
      <w:proofErr w:type="spellStart"/>
      <w:r w:rsidRPr="00392CC1">
        <w:rPr>
          <w:rFonts w:ascii="Times New Roman" w:hAnsi="Times New Roman" w:cs="Times New Roman"/>
          <w:i/>
          <w:sz w:val="28"/>
          <w:szCs w:val="28"/>
        </w:rPr>
        <w:t>dell’in</w:t>
      </w:r>
      <w:proofErr w:type="spellEnd"/>
      <w:r w:rsidRPr="00392CC1">
        <w:rPr>
          <w:rFonts w:ascii="Times New Roman" w:hAnsi="Times New Roman" w:cs="Times New Roman"/>
          <w:i/>
          <w:sz w:val="28"/>
          <w:szCs w:val="28"/>
        </w:rPr>
        <w:t xml:space="preserve"> </w:t>
      </w:r>
      <w:proofErr w:type="spellStart"/>
      <w:r w:rsidRPr="00392CC1">
        <w:rPr>
          <w:rFonts w:ascii="Times New Roman" w:hAnsi="Times New Roman" w:cs="Times New Roman"/>
          <w:i/>
          <w:sz w:val="28"/>
          <w:szCs w:val="28"/>
        </w:rPr>
        <w:t>house</w:t>
      </w:r>
      <w:proofErr w:type="spellEnd"/>
      <w:r w:rsidRPr="00392CC1">
        <w:rPr>
          <w:rFonts w:ascii="Times New Roman" w:hAnsi="Times New Roman" w:cs="Times New Roman"/>
          <w:i/>
          <w:sz w:val="28"/>
          <w:szCs w:val="28"/>
        </w:rPr>
        <w:t xml:space="preserve"> </w:t>
      </w:r>
      <w:proofErr w:type="spellStart"/>
      <w:r w:rsidRPr="00392CC1">
        <w:rPr>
          <w:rFonts w:ascii="Times New Roman" w:hAnsi="Times New Roman" w:cs="Times New Roman"/>
          <w:i/>
          <w:sz w:val="28"/>
          <w:szCs w:val="28"/>
        </w:rPr>
        <w:t>providing</w:t>
      </w:r>
      <w:proofErr w:type="spellEnd"/>
      <w:r w:rsidR="00A47FC8" w:rsidRPr="009E27E8">
        <w:rPr>
          <w:rStyle w:val="Rimandonotaapidipagina"/>
          <w:rFonts w:ascii="Times New Roman" w:hAnsi="Times New Roman" w:cs="Times New Roman"/>
          <w:sz w:val="28"/>
          <w:szCs w:val="28"/>
        </w:rPr>
        <w:footnoteReference w:id="6"/>
      </w:r>
      <w:r w:rsidRPr="009E27E8">
        <w:rPr>
          <w:rFonts w:ascii="Times New Roman" w:hAnsi="Times New Roman" w:cs="Times New Roman"/>
          <w:sz w:val="28"/>
          <w:szCs w:val="28"/>
        </w:rPr>
        <w:t>,</w:t>
      </w:r>
      <w:r>
        <w:rPr>
          <w:rFonts w:ascii="Times New Roman" w:hAnsi="Times New Roman" w:cs="Times New Roman"/>
          <w:sz w:val="28"/>
          <w:szCs w:val="28"/>
        </w:rPr>
        <w:t xml:space="preserve"> codificando gli esiti di una lunga elaborazione giurisprudenziale della Corte di Giustizia e offrendo un quadro normativo di certezza a un modello di gestione che fino a quel momento era stato affidato propri</w:t>
      </w:r>
      <w:r w:rsidR="00392CC1">
        <w:rPr>
          <w:rFonts w:ascii="Times New Roman" w:hAnsi="Times New Roman" w:cs="Times New Roman"/>
          <w:sz w:val="28"/>
          <w:szCs w:val="28"/>
        </w:rPr>
        <w:t>o</w:t>
      </w:r>
      <w:r>
        <w:rPr>
          <w:rFonts w:ascii="Times New Roman" w:hAnsi="Times New Roman" w:cs="Times New Roman"/>
          <w:sz w:val="28"/>
          <w:szCs w:val="28"/>
        </w:rPr>
        <w:t xml:space="preserve"> alle elaborazioni dei giudici di Lussemburgo</w:t>
      </w:r>
      <w:r w:rsidR="00760110">
        <w:rPr>
          <w:rStyle w:val="Rimandonotaapidipagina"/>
          <w:rFonts w:ascii="Times New Roman" w:hAnsi="Times New Roman" w:cs="Times New Roman"/>
          <w:sz w:val="28"/>
          <w:szCs w:val="28"/>
        </w:rPr>
        <w:footnoteReference w:id="7"/>
      </w:r>
      <w:r>
        <w:rPr>
          <w:rFonts w:ascii="Times New Roman" w:hAnsi="Times New Roman" w:cs="Times New Roman"/>
          <w:sz w:val="28"/>
          <w:szCs w:val="28"/>
        </w:rPr>
        <w:t>.</w:t>
      </w:r>
    </w:p>
    <w:p w:rsidR="00367CE1" w:rsidRDefault="00367CE1"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Senza entrare nel dettaglio della disciplina, </w:t>
      </w:r>
      <w:r w:rsidR="008F3279">
        <w:rPr>
          <w:rFonts w:ascii="Times New Roman" w:hAnsi="Times New Roman" w:cs="Times New Roman"/>
          <w:sz w:val="28"/>
          <w:szCs w:val="28"/>
        </w:rPr>
        <w:t xml:space="preserve">ciò che più rileva segnalare è che, oltre ad aver precisato i due noti requisiti della sentenza </w:t>
      </w:r>
      <w:proofErr w:type="spellStart"/>
      <w:r w:rsidR="008F3279">
        <w:rPr>
          <w:rFonts w:ascii="Times New Roman" w:hAnsi="Times New Roman" w:cs="Times New Roman"/>
          <w:sz w:val="28"/>
          <w:szCs w:val="28"/>
        </w:rPr>
        <w:t>Teckal</w:t>
      </w:r>
      <w:proofErr w:type="spellEnd"/>
      <w:r w:rsidR="008F3279">
        <w:rPr>
          <w:rFonts w:ascii="Times New Roman" w:hAnsi="Times New Roman" w:cs="Times New Roman"/>
          <w:sz w:val="28"/>
          <w:szCs w:val="28"/>
        </w:rPr>
        <w:t xml:space="preserve"> (il controllo analogo e l</w:t>
      </w:r>
      <w:r w:rsidR="00F46C90">
        <w:rPr>
          <w:rFonts w:ascii="Times New Roman" w:hAnsi="Times New Roman" w:cs="Times New Roman"/>
          <w:sz w:val="28"/>
          <w:szCs w:val="28"/>
        </w:rPr>
        <w:t>’attività prevalente</w:t>
      </w:r>
      <w:r w:rsidR="008F3279">
        <w:rPr>
          <w:rFonts w:ascii="Times New Roman" w:hAnsi="Times New Roman" w:cs="Times New Roman"/>
          <w:sz w:val="28"/>
          <w:szCs w:val="28"/>
        </w:rPr>
        <w:t>), la disciplina del 2014 ha chiaramente equiparato il modello del ricorso al mercato a quello della autoproduzione del servizio.</w:t>
      </w:r>
    </w:p>
    <w:p w:rsidR="00F46C90" w:rsidRDefault="002D293D"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Lo si </w:t>
      </w:r>
      <w:r w:rsidR="00F46C90">
        <w:rPr>
          <w:rFonts w:ascii="Times New Roman" w:hAnsi="Times New Roman" w:cs="Times New Roman"/>
          <w:sz w:val="28"/>
          <w:szCs w:val="28"/>
        </w:rPr>
        <w:t>ricava, in particolare, dall’enunciazione del principio di libera amministrazione, all’art.2 della d</w:t>
      </w:r>
      <w:r w:rsidR="00ED288E">
        <w:rPr>
          <w:rFonts w:ascii="Times New Roman" w:hAnsi="Times New Roman" w:cs="Times New Roman"/>
          <w:sz w:val="28"/>
          <w:szCs w:val="28"/>
        </w:rPr>
        <w:t xml:space="preserve">irettiva </w:t>
      </w:r>
      <w:r w:rsidR="00F46C90">
        <w:rPr>
          <w:rFonts w:ascii="Times New Roman" w:hAnsi="Times New Roman" w:cs="Times New Roman"/>
          <w:sz w:val="28"/>
          <w:szCs w:val="28"/>
        </w:rPr>
        <w:t>2014</w:t>
      </w:r>
      <w:r w:rsidR="00ED288E">
        <w:rPr>
          <w:rFonts w:ascii="Times New Roman" w:hAnsi="Times New Roman" w:cs="Times New Roman"/>
          <w:sz w:val="28"/>
          <w:szCs w:val="28"/>
        </w:rPr>
        <w:t>/23</w:t>
      </w:r>
      <w:r w:rsidR="00F46C90">
        <w:rPr>
          <w:rFonts w:ascii="Times New Roman" w:hAnsi="Times New Roman" w:cs="Times New Roman"/>
          <w:sz w:val="28"/>
          <w:szCs w:val="28"/>
        </w:rPr>
        <w:t xml:space="preserve">, </w:t>
      </w:r>
      <w:r w:rsidR="007F6A05">
        <w:rPr>
          <w:rFonts w:ascii="Times New Roman" w:hAnsi="Times New Roman" w:cs="Times New Roman"/>
          <w:sz w:val="28"/>
          <w:szCs w:val="28"/>
        </w:rPr>
        <w:t xml:space="preserve">che espressamente sancisce la libertà delle amministrazioni di scegliere tra i modelli, </w:t>
      </w:r>
      <w:proofErr w:type="spellStart"/>
      <w:r w:rsidR="007F6A05">
        <w:rPr>
          <w:rFonts w:ascii="Times New Roman" w:hAnsi="Times New Roman" w:cs="Times New Roman"/>
          <w:sz w:val="28"/>
          <w:szCs w:val="28"/>
        </w:rPr>
        <w:t>equiordinati</w:t>
      </w:r>
      <w:proofErr w:type="spellEnd"/>
      <w:r w:rsidR="007F6A05">
        <w:rPr>
          <w:rFonts w:ascii="Times New Roman" w:hAnsi="Times New Roman" w:cs="Times New Roman"/>
          <w:sz w:val="28"/>
          <w:szCs w:val="28"/>
        </w:rPr>
        <w:t>, della esternalizzazione, della autoproduzione (</w:t>
      </w:r>
      <w:r w:rsidR="007F6A05" w:rsidRPr="00392CC1">
        <w:rPr>
          <w:rFonts w:ascii="Times New Roman" w:hAnsi="Times New Roman" w:cs="Times New Roman"/>
          <w:i/>
          <w:sz w:val="28"/>
          <w:szCs w:val="28"/>
        </w:rPr>
        <w:t xml:space="preserve">in </w:t>
      </w:r>
      <w:proofErr w:type="spellStart"/>
      <w:r w:rsidR="007F6A05" w:rsidRPr="00392CC1">
        <w:rPr>
          <w:rFonts w:ascii="Times New Roman" w:hAnsi="Times New Roman" w:cs="Times New Roman"/>
          <w:i/>
          <w:sz w:val="28"/>
          <w:szCs w:val="28"/>
        </w:rPr>
        <w:t>house</w:t>
      </w:r>
      <w:proofErr w:type="spellEnd"/>
      <w:r w:rsidR="007F6A05">
        <w:rPr>
          <w:rFonts w:ascii="Times New Roman" w:hAnsi="Times New Roman" w:cs="Times New Roman"/>
          <w:sz w:val="28"/>
          <w:szCs w:val="28"/>
        </w:rPr>
        <w:t>) o della cooperazione tra amministrazioni.</w:t>
      </w:r>
    </w:p>
    <w:p w:rsidR="007F6A05" w:rsidRDefault="007F6A05" w:rsidP="007F6A05">
      <w:pPr>
        <w:ind w:left="360"/>
        <w:jc w:val="both"/>
        <w:rPr>
          <w:rFonts w:ascii="Times New Roman" w:hAnsi="Times New Roman" w:cs="Times New Roman"/>
          <w:sz w:val="28"/>
          <w:szCs w:val="28"/>
        </w:rPr>
      </w:pPr>
      <w:r>
        <w:rPr>
          <w:rFonts w:ascii="Times New Roman" w:hAnsi="Times New Roman" w:cs="Times New Roman"/>
          <w:sz w:val="28"/>
          <w:szCs w:val="28"/>
        </w:rPr>
        <w:t xml:space="preserve">Il principio di libera amministrazione implica </w:t>
      </w:r>
      <w:r w:rsidR="009511ED">
        <w:rPr>
          <w:rFonts w:ascii="Times New Roman" w:hAnsi="Times New Roman" w:cs="Times New Roman"/>
          <w:sz w:val="28"/>
          <w:szCs w:val="28"/>
        </w:rPr>
        <w:t>(</w:t>
      </w:r>
      <w:proofErr w:type="spellStart"/>
      <w:r w:rsidR="009511ED" w:rsidRPr="009511ED">
        <w:rPr>
          <w:rFonts w:ascii="Times New Roman" w:hAnsi="Times New Roman" w:cs="Times New Roman"/>
          <w:i/>
          <w:sz w:val="28"/>
          <w:szCs w:val="28"/>
        </w:rPr>
        <w:t>rectius</w:t>
      </w:r>
      <w:proofErr w:type="spellEnd"/>
      <w:r w:rsidR="009511ED">
        <w:rPr>
          <w:rFonts w:ascii="Times New Roman" w:hAnsi="Times New Roman" w:cs="Times New Roman"/>
          <w:sz w:val="28"/>
          <w:szCs w:val="28"/>
        </w:rPr>
        <w:t xml:space="preserve">: dovrebbe implicare) </w:t>
      </w:r>
      <w:r>
        <w:rPr>
          <w:rFonts w:ascii="Times New Roman" w:hAnsi="Times New Roman" w:cs="Times New Roman"/>
          <w:sz w:val="28"/>
          <w:szCs w:val="28"/>
        </w:rPr>
        <w:t>alcuni corollari: a) non sussiste alcun obbligo per le amministrazioni di affidare a operatori economici terzi i servizi che ess</w:t>
      </w:r>
      <w:r w:rsidR="00FC160B">
        <w:rPr>
          <w:rFonts w:ascii="Times New Roman" w:hAnsi="Times New Roman" w:cs="Times New Roman"/>
          <w:sz w:val="28"/>
          <w:szCs w:val="28"/>
        </w:rPr>
        <w:t>e intendono prestare</w:t>
      </w:r>
      <w:r>
        <w:rPr>
          <w:rFonts w:ascii="Times New Roman" w:hAnsi="Times New Roman" w:cs="Times New Roman"/>
          <w:sz w:val="28"/>
          <w:szCs w:val="28"/>
        </w:rPr>
        <w:t xml:space="preserve"> in via diretta</w:t>
      </w:r>
      <w:r w:rsidR="00F6566F">
        <w:rPr>
          <w:rFonts w:ascii="Times New Roman" w:hAnsi="Times New Roman" w:cs="Times New Roman"/>
          <w:sz w:val="28"/>
          <w:szCs w:val="28"/>
        </w:rPr>
        <w:t xml:space="preserve">, </w:t>
      </w:r>
      <w:r w:rsidR="00AC45BD">
        <w:rPr>
          <w:rFonts w:ascii="Times New Roman" w:hAnsi="Times New Roman" w:cs="Times New Roman"/>
          <w:sz w:val="28"/>
          <w:szCs w:val="28"/>
        </w:rPr>
        <w:t>purché</w:t>
      </w:r>
      <w:r w:rsidR="00F6566F">
        <w:rPr>
          <w:rFonts w:ascii="Times New Roman" w:hAnsi="Times New Roman" w:cs="Times New Roman"/>
          <w:sz w:val="28"/>
          <w:szCs w:val="28"/>
        </w:rPr>
        <w:t>, ovviamente, ricorrano i presupposti per quest’ultimo modulo di gestione</w:t>
      </w:r>
      <w:r>
        <w:rPr>
          <w:rFonts w:ascii="Times New Roman" w:hAnsi="Times New Roman" w:cs="Times New Roman"/>
          <w:sz w:val="28"/>
          <w:szCs w:val="28"/>
        </w:rPr>
        <w:t xml:space="preserve"> (considerando 5 della direttiva 2014/24</w:t>
      </w:r>
      <w:r w:rsidR="00DB17BC">
        <w:rPr>
          <w:rFonts w:ascii="Times New Roman" w:hAnsi="Times New Roman" w:cs="Times New Roman"/>
          <w:sz w:val="28"/>
          <w:szCs w:val="28"/>
        </w:rPr>
        <w:t xml:space="preserve"> e Corte di Giustizia, sentenza in C-480/06</w:t>
      </w:r>
      <w:r>
        <w:rPr>
          <w:rFonts w:ascii="Times New Roman" w:hAnsi="Times New Roman" w:cs="Times New Roman"/>
          <w:sz w:val="28"/>
          <w:szCs w:val="28"/>
        </w:rPr>
        <w:t>); b)</w:t>
      </w:r>
      <w:r w:rsidR="00DB17BC">
        <w:rPr>
          <w:rFonts w:ascii="Times New Roman" w:hAnsi="Times New Roman" w:cs="Times New Roman"/>
          <w:sz w:val="28"/>
          <w:szCs w:val="28"/>
        </w:rPr>
        <w:t xml:space="preserve"> la scelta tra le diverse opzioni è rimessa a una decisione libera delle amministrazioni e non è sindacabile; c) </w:t>
      </w:r>
      <w:r w:rsidR="00F6566F">
        <w:rPr>
          <w:rFonts w:ascii="Times New Roman" w:hAnsi="Times New Roman" w:cs="Times New Roman"/>
          <w:sz w:val="28"/>
          <w:szCs w:val="28"/>
        </w:rPr>
        <w:t xml:space="preserve">sotto un profilo strettamente logico, la scelta del mercato è sussidiaria o, addirittura, come ritiene qualcuno, cedevole, rispetto a quella dell’autoproduzione, nel senso che l’indizione della gara è subordinata all’opzione negativa della gestione del servizio </w:t>
      </w:r>
      <w:r w:rsidR="00F6566F" w:rsidRPr="00392CC1">
        <w:rPr>
          <w:rFonts w:ascii="Times New Roman" w:hAnsi="Times New Roman" w:cs="Times New Roman"/>
          <w:i/>
          <w:sz w:val="28"/>
          <w:szCs w:val="28"/>
        </w:rPr>
        <w:t xml:space="preserve">in </w:t>
      </w:r>
      <w:proofErr w:type="spellStart"/>
      <w:r w:rsidR="00F6566F" w:rsidRPr="00392CC1">
        <w:rPr>
          <w:rFonts w:ascii="Times New Roman" w:hAnsi="Times New Roman" w:cs="Times New Roman"/>
          <w:i/>
          <w:sz w:val="28"/>
          <w:szCs w:val="28"/>
        </w:rPr>
        <w:t>house</w:t>
      </w:r>
      <w:proofErr w:type="spellEnd"/>
      <w:r w:rsidR="00F6566F">
        <w:rPr>
          <w:rFonts w:ascii="Times New Roman" w:hAnsi="Times New Roman" w:cs="Times New Roman"/>
          <w:sz w:val="28"/>
          <w:szCs w:val="28"/>
        </w:rPr>
        <w:t>; d) le regole della concorrenza operano solo se l’amministrazione ha scelto di esternalizzare il servizio;</w:t>
      </w:r>
      <w:r w:rsidR="00DB17BC">
        <w:rPr>
          <w:rFonts w:ascii="Times New Roman" w:hAnsi="Times New Roman" w:cs="Times New Roman"/>
          <w:sz w:val="28"/>
          <w:szCs w:val="28"/>
        </w:rPr>
        <w:t xml:space="preserve"> </w:t>
      </w:r>
      <w:r w:rsidR="00F6566F">
        <w:rPr>
          <w:rFonts w:ascii="Times New Roman" w:hAnsi="Times New Roman" w:cs="Times New Roman"/>
          <w:sz w:val="28"/>
          <w:szCs w:val="28"/>
        </w:rPr>
        <w:t>e) non esiste alcuna preferenza per la concorrenza e, quindi, l’opzione dell’autoproduzione del servizio non può essere considerata una eccezione alla regola del mercato, obbedendo, invece, alla diversa e concorrente regola dell’autoorganizzazione delle pubbliche amministrazioni.</w:t>
      </w:r>
    </w:p>
    <w:p w:rsidR="008F3279" w:rsidRDefault="00F46C90" w:rsidP="001A07DE">
      <w:pPr>
        <w:ind w:left="360"/>
        <w:jc w:val="both"/>
        <w:rPr>
          <w:rFonts w:ascii="Times New Roman" w:hAnsi="Times New Roman" w:cs="Times New Roman"/>
          <w:sz w:val="28"/>
          <w:szCs w:val="28"/>
        </w:rPr>
      </w:pPr>
      <w:r>
        <w:rPr>
          <w:rFonts w:ascii="Times New Roman" w:hAnsi="Times New Roman" w:cs="Times New Roman"/>
          <w:sz w:val="28"/>
          <w:szCs w:val="28"/>
        </w:rPr>
        <w:t>Merita, ancora</w:t>
      </w:r>
      <w:r w:rsidR="00392CC1">
        <w:rPr>
          <w:rFonts w:ascii="Times New Roman" w:hAnsi="Times New Roman" w:cs="Times New Roman"/>
          <w:sz w:val="28"/>
          <w:szCs w:val="28"/>
        </w:rPr>
        <w:t>, di essere segnalato</w:t>
      </w:r>
      <w:r>
        <w:rPr>
          <w:rFonts w:ascii="Times New Roman" w:hAnsi="Times New Roman" w:cs="Times New Roman"/>
          <w:sz w:val="28"/>
          <w:szCs w:val="28"/>
        </w:rPr>
        <w:t xml:space="preserve"> che, rispetto alla proposta della Commissione, il testo finale delle direttive</w:t>
      </w:r>
      <w:r w:rsidR="00392CC1">
        <w:rPr>
          <w:rFonts w:ascii="Times New Roman" w:hAnsi="Times New Roman" w:cs="Times New Roman"/>
          <w:sz w:val="28"/>
          <w:szCs w:val="28"/>
        </w:rPr>
        <w:t xml:space="preserve"> del 2014</w:t>
      </w:r>
      <w:r>
        <w:rPr>
          <w:rFonts w:ascii="Times New Roman" w:hAnsi="Times New Roman" w:cs="Times New Roman"/>
          <w:sz w:val="28"/>
          <w:szCs w:val="28"/>
        </w:rPr>
        <w:t>, dopo l</w:t>
      </w:r>
      <w:r w:rsidR="005A534C">
        <w:rPr>
          <w:rFonts w:ascii="Times New Roman" w:hAnsi="Times New Roman" w:cs="Times New Roman"/>
          <w:sz w:val="28"/>
          <w:szCs w:val="28"/>
        </w:rPr>
        <w:t>’</w:t>
      </w:r>
      <w:r>
        <w:rPr>
          <w:rFonts w:ascii="Times New Roman" w:hAnsi="Times New Roman" w:cs="Times New Roman"/>
          <w:sz w:val="28"/>
          <w:szCs w:val="28"/>
        </w:rPr>
        <w:t>esame da parte del Parlamento europeo e del Consiglio, ha ampliato le condizioni che legittimano il ricorso all’</w:t>
      </w:r>
      <w:r w:rsidR="008071B0">
        <w:rPr>
          <w:rFonts w:ascii="Times New Roman" w:hAnsi="Times New Roman" w:cs="Times New Roman"/>
          <w:sz w:val="28"/>
          <w:szCs w:val="28"/>
        </w:rPr>
        <w:t>auto</w:t>
      </w:r>
      <w:r>
        <w:rPr>
          <w:rFonts w:ascii="Times New Roman" w:hAnsi="Times New Roman" w:cs="Times New Roman"/>
          <w:sz w:val="28"/>
          <w:szCs w:val="28"/>
        </w:rPr>
        <w:t>p</w:t>
      </w:r>
      <w:r w:rsidR="008071B0">
        <w:rPr>
          <w:rFonts w:ascii="Times New Roman" w:hAnsi="Times New Roman" w:cs="Times New Roman"/>
          <w:sz w:val="28"/>
          <w:szCs w:val="28"/>
        </w:rPr>
        <w:t>r</w:t>
      </w:r>
      <w:r>
        <w:rPr>
          <w:rFonts w:ascii="Times New Roman" w:hAnsi="Times New Roman" w:cs="Times New Roman"/>
          <w:sz w:val="28"/>
          <w:szCs w:val="28"/>
        </w:rPr>
        <w:t xml:space="preserve">oduzione, con una chiara </w:t>
      </w:r>
      <w:r w:rsidR="008071B0">
        <w:rPr>
          <w:rFonts w:ascii="Times New Roman" w:hAnsi="Times New Roman" w:cs="Times New Roman"/>
          <w:sz w:val="28"/>
          <w:szCs w:val="28"/>
        </w:rPr>
        <w:t>manifestazione politica di favore per la gestione diretta dei servizi da parte delle amministrazioni</w:t>
      </w:r>
      <w:r w:rsidR="00392CC1">
        <w:rPr>
          <w:rFonts w:ascii="Times New Roman" w:hAnsi="Times New Roman" w:cs="Times New Roman"/>
          <w:sz w:val="28"/>
          <w:szCs w:val="28"/>
        </w:rPr>
        <w:t xml:space="preserve"> pubbliche</w:t>
      </w:r>
      <w:r w:rsidR="008071B0">
        <w:rPr>
          <w:rFonts w:ascii="Times New Roman" w:hAnsi="Times New Roman" w:cs="Times New Roman"/>
          <w:sz w:val="28"/>
          <w:szCs w:val="28"/>
        </w:rPr>
        <w:t>.</w:t>
      </w:r>
      <w:r>
        <w:rPr>
          <w:rFonts w:ascii="Times New Roman" w:hAnsi="Times New Roman" w:cs="Times New Roman"/>
          <w:sz w:val="28"/>
          <w:szCs w:val="28"/>
        </w:rPr>
        <w:t xml:space="preserve"> </w:t>
      </w:r>
    </w:p>
    <w:p w:rsidR="008F3279" w:rsidRDefault="008F3279"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Per completare il quadro del diritto europeo in ordine all’intervento pubblico nella gestione dei servizi alla collettività, resta da ricordare che le medesime direttive hanno ammesso, come modello organizzativo, quello della cooperazione </w:t>
      </w:r>
      <w:r w:rsidR="00930ABA">
        <w:rPr>
          <w:rFonts w:ascii="Times New Roman" w:hAnsi="Times New Roman" w:cs="Times New Roman"/>
          <w:sz w:val="28"/>
          <w:szCs w:val="28"/>
        </w:rPr>
        <w:t xml:space="preserve">orizzontale </w:t>
      </w:r>
      <w:r w:rsidR="002B3FD6">
        <w:rPr>
          <w:rFonts w:ascii="Times New Roman" w:hAnsi="Times New Roman" w:cs="Times New Roman"/>
          <w:sz w:val="28"/>
          <w:szCs w:val="28"/>
        </w:rPr>
        <w:t>tra amministrazioni, previsto dall’art.12, par.4, 2014/24.</w:t>
      </w:r>
    </w:p>
    <w:p w:rsidR="002B3FD6" w:rsidRDefault="002D7979" w:rsidP="001A07DE">
      <w:pPr>
        <w:ind w:left="360"/>
        <w:jc w:val="both"/>
        <w:rPr>
          <w:rFonts w:ascii="Times New Roman" w:hAnsi="Times New Roman" w:cs="Times New Roman"/>
          <w:sz w:val="28"/>
          <w:szCs w:val="28"/>
        </w:rPr>
      </w:pPr>
      <w:r>
        <w:rPr>
          <w:rFonts w:ascii="Times New Roman" w:hAnsi="Times New Roman" w:cs="Times New Roman"/>
          <w:sz w:val="28"/>
          <w:szCs w:val="28"/>
        </w:rPr>
        <w:t>Si tratta di una ulteriore opzione di gestione dei servizi</w:t>
      </w:r>
      <w:r w:rsidR="005A534C">
        <w:rPr>
          <w:rFonts w:ascii="Times New Roman" w:hAnsi="Times New Roman" w:cs="Times New Roman"/>
          <w:sz w:val="28"/>
          <w:szCs w:val="28"/>
        </w:rPr>
        <w:t xml:space="preserve">, alternativa ed equivalente rispetto al ricorso </w:t>
      </w:r>
      <w:r>
        <w:rPr>
          <w:rFonts w:ascii="Times New Roman" w:hAnsi="Times New Roman" w:cs="Times New Roman"/>
          <w:sz w:val="28"/>
          <w:szCs w:val="28"/>
        </w:rPr>
        <w:t>al mercato e all’affidame</w:t>
      </w:r>
      <w:r w:rsidR="005A534C">
        <w:rPr>
          <w:rFonts w:ascii="Times New Roman" w:hAnsi="Times New Roman" w:cs="Times New Roman"/>
          <w:sz w:val="28"/>
          <w:szCs w:val="28"/>
        </w:rPr>
        <w:t>nto ad operatori economici</w:t>
      </w:r>
      <w:r>
        <w:rPr>
          <w:rFonts w:ascii="Times New Roman" w:hAnsi="Times New Roman" w:cs="Times New Roman"/>
          <w:sz w:val="28"/>
          <w:szCs w:val="28"/>
        </w:rPr>
        <w:t xml:space="preserve"> privati.</w:t>
      </w:r>
    </w:p>
    <w:p w:rsidR="002D7979" w:rsidRDefault="002D7979" w:rsidP="001A07DE">
      <w:pPr>
        <w:ind w:left="360"/>
        <w:jc w:val="both"/>
        <w:rPr>
          <w:rFonts w:ascii="Times New Roman" w:hAnsi="Times New Roman" w:cs="Times New Roman"/>
          <w:sz w:val="28"/>
          <w:szCs w:val="28"/>
        </w:rPr>
      </w:pPr>
      <w:r>
        <w:rPr>
          <w:rFonts w:ascii="Times New Roman" w:hAnsi="Times New Roman" w:cs="Times New Roman"/>
          <w:sz w:val="28"/>
          <w:szCs w:val="28"/>
        </w:rPr>
        <w:t>Anche in questo caso, alle condizioni precisate nella direttiva, la scelta resta libera, con la conseguenza che, se viene scelto tale modulo cooperativo in ambito pubblico, la gestione del servizio resta estranea al perimetro dell’ambito applicativo della direttiva sugli appalti.</w:t>
      </w:r>
    </w:p>
    <w:p w:rsidR="00F46C90" w:rsidRDefault="00F46C90" w:rsidP="00F46C90">
      <w:pPr>
        <w:ind w:left="360"/>
        <w:jc w:val="both"/>
        <w:rPr>
          <w:rFonts w:ascii="Times New Roman" w:hAnsi="Times New Roman" w:cs="Times New Roman"/>
          <w:sz w:val="28"/>
          <w:szCs w:val="28"/>
        </w:rPr>
      </w:pPr>
      <w:r>
        <w:rPr>
          <w:rFonts w:ascii="Times New Roman" w:hAnsi="Times New Roman" w:cs="Times New Roman"/>
          <w:sz w:val="28"/>
          <w:szCs w:val="28"/>
        </w:rPr>
        <w:t>Come si vede, quindi, il diritto europeo riserva un rilevante ambito all’intervento pubblico nell’organizzazione e nella gestione dei servizi pubblici di interesse ge</w:t>
      </w:r>
      <w:r w:rsidR="00816DAF">
        <w:rPr>
          <w:rFonts w:ascii="Times New Roman" w:hAnsi="Times New Roman" w:cs="Times New Roman"/>
          <w:sz w:val="28"/>
          <w:szCs w:val="28"/>
        </w:rPr>
        <w:t>nerale che, alle condizioni prescritte</w:t>
      </w:r>
      <w:r>
        <w:rPr>
          <w:rFonts w:ascii="Times New Roman" w:hAnsi="Times New Roman" w:cs="Times New Roman"/>
          <w:sz w:val="28"/>
          <w:szCs w:val="28"/>
        </w:rPr>
        <w:t>, pres</w:t>
      </w:r>
      <w:r w:rsidR="00392CC1">
        <w:rPr>
          <w:rFonts w:ascii="Times New Roman" w:hAnsi="Times New Roman" w:cs="Times New Roman"/>
          <w:sz w:val="28"/>
          <w:szCs w:val="28"/>
        </w:rPr>
        <w:t>cinde dall’osservanza assoluta de</w:t>
      </w:r>
      <w:r>
        <w:rPr>
          <w:rFonts w:ascii="Times New Roman" w:hAnsi="Times New Roman" w:cs="Times New Roman"/>
          <w:sz w:val="28"/>
          <w:szCs w:val="28"/>
        </w:rPr>
        <w:t>i precetti del mercato interno e della concorrenza.</w:t>
      </w:r>
    </w:p>
    <w:p w:rsidR="00556753" w:rsidRDefault="002B3FD6" w:rsidP="002D7979">
      <w:pPr>
        <w:ind w:left="360"/>
        <w:jc w:val="both"/>
        <w:rPr>
          <w:rFonts w:ascii="Times New Roman" w:hAnsi="Times New Roman" w:cs="Times New Roman"/>
          <w:sz w:val="28"/>
          <w:szCs w:val="28"/>
        </w:rPr>
      </w:pPr>
      <w:r>
        <w:rPr>
          <w:rFonts w:ascii="Times New Roman" w:hAnsi="Times New Roman" w:cs="Times New Roman"/>
          <w:sz w:val="28"/>
          <w:szCs w:val="28"/>
        </w:rPr>
        <w:t>Sia con riferimento ai SIEG, sia con riguardo all’</w:t>
      </w:r>
      <w:r w:rsidRPr="00392CC1">
        <w:rPr>
          <w:rFonts w:ascii="Times New Roman" w:hAnsi="Times New Roman" w:cs="Times New Roman"/>
          <w:i/>
          <w:sz w:val="28"/>
          <w:szCs w:val="28"/>
        </w:rPr>
        <w:t xml:space="preserve">in </w:t>
      </w:r>
      <w:proofErr w:type="spellStart"/>
      <w:r w:rsidRPr="00392CC1">
        <w:rPr>
          <w:rFonts w:ascii="Times New Roman" w:hAnsi="Times New Roman" w:cs="Times New Roman"/>
          <w:i/>
          <w:sz w:val="28"/>
          <w:szCs w:val="28"/>
        </w:rPr>
        <w:t>house</w:t>
      </w:r>
      <w:proofErr w:type="spellEnd"/>
      <w:r w:rsidRPr="00392CC1">
        <w:rPr>
          <w:rFonts w:ascii="Times New Roman" w:hAnsi="Times New Roman" w:cs="Times New Roman"/>
          <w:i/>
          <w:sz w:val="28"/>
          <w:szCs w:val="28"/>
        </w:rPr>
        <w:t xml:space="preserve"> </w:t>
      </w:r>
      <w:proofErr w:type="spellStart"/>
      <w:r w:rsidRPr="00392CC1">
        <w:rPr>
          <w:rFonts w:ascii="Times New Roman" w:hAnsi="Times New Roman" w:cs="Times New Roman"/>
          <w:i/>
          <w:sz w:val="28"/>
          <w:szCs w:val="28"/>
        </w:rPr>
        <w:t>providing</w:t>
      </w:r>
      <w:proofErr w:type="spellEnd"/>
      <w:r>
        <w:rPr>
          <w:rFonts w:ascii="Times New Roman" w:hAnsi="Times New Roman" w:cs="Times New Roman"/>
          <w:sz w:val="28"/>
          <w:szCs w:val="28"/>
        </w:rPr>
        <w:t xml:space="preserve">, infatti, il diritto dell’Unione disegna un sistema di regole alternativo, </w:t>
      </w:r>
      <w:proofErr w:type="spellStart"/>
      <w:r>
        <w:rPr>
          <w:rFonts w:ascii="Times New Roman" w:hAnsi="Times New Roman" w:cs="Times New Roman"/>
          <w:sz w:val="28"/>
          <w:szCs w:val="28"/>
        </w:rPr>
        <w:t>equiordinato</w:t>
      </w:r>
      <w:proofErr w:type="spellEnd"/>
      <w:r>
        <w:rPr>
          <w:rFonts w:ascii="Times New Roman" w:hAnsi="Times New Roman" w:cs="Times New Roman"/>
          <w:sz w:val="28"/>
          <w:szCs w:val="28"/>
        </w:rPr>
        <w:t xml:space="preserve">, o, comunque, non subordinato, a quello del mercato interno e della libera circolazione, la cui attivazione viene rimessa, in buona </w:t>
      </w:r>
      <w:r w:rsidR="002D7979">
        <w:rPr>
          <w:rFonts w:ascii="Times New Roman" w:hAnsi="Times New Roman" w:cs="Times New Roman"/>
          <w:sz w:val="28"/>
          <w:szCs w:val="28"/>
        </w:rPr>
        <w:t>misura, alla lib</w:t>
      </w:r>
      <w:r>
        <w:rPr>
          <w:rFonts w:ascii="Times New Roman" w:hAnsi="Times New Roman" w:cs="Times New Roman"/>
          <w:sz w:val="28"/>
          <w:szCs w:val="28"/>
        </w:rPr>
        <w:t>era e sovrana decisione degli Stati membri.</w:t>
      </w:r>
    </w:p>
    <w:p w:rsidR="00444ADF" w:rsidRDefault="00444ADF" w:rsidP="002D7979">
      <w:pPr>
        <w:ind w:left="360"/>
        <w:jc w:val="both"/>
        <w:rPr>
          <w:rFonts w:ascii="Times New Roman" w:hAnsi="Times New Roman" w:cs="Times New Roman"/>
          <w:sz w:val="28"/>
          <w:szCs w:val="28"/>
        </w:rPr>
      </w:pPr>
      <w:r>
        <w:rPr>
          <w:rFonts w:ascii="Times New Roman" w:hAnsi="Times New Roman" w:cs="Times New Roman"/>
          <w:sz w:val="28"/>
          <w:szCs w:val="28"/>
        </w:rPr>
        <w:t>Peraltro, anche nei settori liberalizzati e regolamentati, come quello postale, la rilevanza dell’esigenza dell’indefettibile erogazione del servizio a tutti gli utenti ha indotto a prevedere</w:t>
      </w:r>
      <w:r w:rsidR="00816DAF">
        <w:rPr>
          <w:rFonts w:ascii="Times New Roman" w:hAnsi="Times New Roman" w:cs="Times New Roman"/>
          <w:sz w:val="28"/>
          <w:szCs w:val="28"/>
        </w:rPr>
        <w:t>, nelle ipotesi di “fallimento</w:t>
      </w:r>
      <w:r w:rsidR="00A47FC8">
        <w:rPr>
          <w:rFonts w:ascii="Times New Roman" w:hAnsi="Times New Roman" w:cs="Times New Roman"/>
          <w:sz w:val="28"/>
          <w:szCs w:val="28"/>
        </w:rPr>
        <w:t xml:space="preserve"> del mercato”,</w:t>
      </w:r>
      <w:r>
        <w:rPr>
          <w:rFonts w:ascii="Times New Roman" w:hAnsi="Times New Roman" w:cs="Times New Roman"/>
          <w:sz w:val="28"/>
          <w:szCs w:val="28"/>
        </w:rPr>
        <w:t xml:space="preserve"> ambiti di servizio universale, nei quali</w:t>
      </w:r>
      <w:r w:rsidR="00816DAF">
        <w:rPr>
          <w:rFonts w:ascii="Times New Roman" w:hAnsi="Times New Roman" w:cs="Times New Roman"/>
          <w:sz w:val="28"/>
          <w:szCs w:val="28"/>
        </w:rPr>
        <w:t xml:space="preserve"> la compensazione degli oneri del</w:t>
      </w:r>
      <w:r>
        <w:rPr>
          <w:rFonts w:ascii="Times New Roman" w:hAnsi="Times New Roman" w:cs="Times New Roman"/>
          <w:sz w:val="28"/>
          <w:szCs w:val="28"/>
        </w:rPr>
        <w:t xml:space="preserve"> servizio pubblico resta a carico dello Stato.</w:t>
      </w:r>
    </w:p>
    <w:p w:rsidR="005A534C" w:rsidRDefault="005A534C" w:rsidP="002D7979">
      <w:pPr>
        <w:ind w:left="360"/>
        <w:jc w:val="both"/>
        <w:rPr>
          <w:rFonts w:ascii="Times New Roman" w:hAnsi="Times New Roman" w:cs="Times New Roman"/>
          <w:sz w:val="28"/>
          <w:szCs w:val="28"/>
        </w:rPr>
      </w:pPr>
      <w:r>
        <w:rPr>
          <w:rFonts w:ascii="Times New Roman" w:hAnsi="Times New Roman" w:cs="Times New Roman"/>
          <w:sz w:val="28"/>
          <w:szCs w:val="28"/>
        </w:rPr>
        <w:t xml:space="preserve">Si tratta di situazioni in cui, per la loro peculiarità, il mercato non risulta capace di assicurare standard minimi di servizio agli utenti, </w:t>
      </w:r>
      <w:proofErr w:type="spellStart"/>
      <w:r>
        <w:rPr>
          <w:rFonts w:ascii="Times New Roman" w:hAnsi="Times New Roman" w:cs="Times New Roman"/>
          <w:sz w:val="28"/>
          <w:szCs w:val="28"/>
        </w:rPr>
        <w:t>sicchè</w:t>
      </w:r>
      <w:proofErr w:type="spellEnd"/>
      <w:r>
        <w:rPr>
          <w:rFonts w:ascii="Times New Roman" w:hAnsi="Times New Roman" w:cs="Times New Roman"/>
          <w:sz w:val="28"/>
          <w:szCs w:val="28"/>
        </w:rPr>
        <w:t xml:space="preserve">, anche nei settori aperti alla concorrenza, si prevede un intervento dello Stato per garantire prestazioni adeguate alla collettività. </w:t>
      </w:r>
    </w:p>
    <w:p w:rsidR="00F81E2E" w:rsidRPr="00C80BBF" w:rsidRDefault="00F81E2E" w:rsidP="002D7979">
      <w:pPr>
        <w:ind w:left="360"/>
        <w:jc w:val="both"/>
        <w:rPr>
          <w:rFonts w:ascii="Times New Roman" w:hAnsi="Times New Roman" w:cs="Times New Roman"/>
          <w:sz w:val="28"/>
          <w:szCs w:val="28"/>
        </w:rPr>
      </w:pPr>
      <w:r>
        <w:rPr>
          <w:rFonts w:ascii="Times New Roman" w:hAnsi="Times New Roman" w:cs="Times New Roman"/>
          <w:sz w:val="28"/>
          <w:szCs w:val="28"/>
        </w:rPr>
        <w:t>Come si vede, il diritto europeo è stato costruito su un assetto equilibrato, capace di coniugare le istanze di tutela del mercato interno e della concorrenza con quelle di protezione degli indefettibili principi di universalità e accessibilità che devono governare l’erogazione alla collettività d</w:t>
      </w:r>
      <w:r w:rsidR="00816DAF">
        <w:rPr>
          <w:rFonts w:ascii="Times New Roman" w:hAnsi="Times New Roman" w:cs="Times New Roman"/>
          <w:sz w:val="28"/>
          <w:szCs w:val="28"/>
        </w:rPr>
        <w:t>e</w:t>
      </w:r>
      <w:r>
        <w:rPr>
          <w:rFonts w:ascii="Times New Roman" w:hAnsi="Times New Roman" w:cs="Times New Roman"/>
          <w:sz w:val="28"/>
          <w:szCs w:val="28"/>
        </w:rPr>
        <w:t xml:space="preserve">i servizi essenziali.  </w:t>
      </w:r>
    </w:p>
    <w:p w:rsidR="00AF388A" w:rsidRDefault="00AF388A" w:rsidP="001A07DE">
      <w:pPr>
        <w:ind w:left="360"/>
        <w:jc w:val="both"/>
        <w:rPr>
          <w:rFonts w:ascii="Times New Roman" w:hAnsi="Times New Roman" w:cs="Times New Roman"/>
          <w:b/>
          <w:sz w:val="28"/>
          <w:szCs w:val="28"/>
        </w:rPr>
      </w:pPr>
    </w:p>
    <w:p w:rsidR="002D7979" w:rsidRDefault="00D01C8F" w:rsidP="001A07DE">
      <w:pPr>
        <w:ind w:left="360"/>
        <w:jc w:val="both"/>
        <w:rPr>
          <w:rFonts w:ascii="Times New Roman" w:hAnsi="Times New Roman" w:cs="Times New Roman"/>
          <w:b/>
          <w:sz w:val="28"/>
          <w:szCs w:val="28"/>
        </w:rPr>
      </w:pPr>
      <w:r>
        <w:rPr>
          <w:rFonts w:ascii="Times New Roman" w:hAnsi="Times New Roman" w:cs="Times New Roman"/>
          <w:b/>
          <w:sz w:val="28"/>
          <w:szCs w:val="28"/>
        </w:rPr>
        <w:t xml:space="preserve">3. </w:t>
      </w:r>
      <w:r w:rsidR="00F81E2E">
        <w:rPr>
          <w:rFonts w:ascii="Times New Roman" w:hAnsi="Times New Roman" w:cs="Times New Roman"/>
          <w:b/>
          <w:sz w:val="28"/>
          <w:szCs w:val="28"/>
        </w:rPr>
        <w:t>La configurazione “</w:t>
      </w:r>
      <w:proofErr w:type="spellStart"/>
      <w:r w:rsidR="00F81E2E">
        <w:rPr>
          <w:rFonts w:ascii="Times New Roman" w:hAnsi="Times New Roman" w:cs="Times New Roman"/>
          <w:b/>
          <w:sz w:val="28"/>
          <w:szCs w:val="28"/>
        </w:rPr>
        <w:t>mercatista</w:t>
      </w:r>
      <w:proofErr w:type="spellEnd"/>
      <w:r w:rsidR="00F81E2E">
        <w:rPr>
          <w:rFonts w:ascii="Times New Roman" w:hAnsi="Times New Roman" w:cs="Times New Roman"/>
          <w:b/>
          <w:sz w:val="28"/>
          <w:szCs w:val="28"/>
        </w:rPr>
        <w:t>” dell’ordinamento nazionale</w:t>
      </w:r>
    </w:p>
    <w:p w:rsidR="00AF388A" w:rsidRDefault="00AF388A" w:rsidP="001A07DE">
      <w:pPr>
        <w:ind w:left="360"/>
        <w:jc w:val="both"/>
        <w:rPr>
          <w:rFonts w:ascii="Times New Roman" w:hAnsi="Times New Roman" w:cs="Times New Roman"/>
          <w:sz w:val="28"/>
          <w:szCs w:val="28"/>
        </w:rPr>
      </w:pPr>
    </w:p>
    <w:p w:rsidR="002D7979" w:rsidRPr="002D7979" w:rsidRDefault="002D7979" w:rsidP="001A07DE">
      <w:pPr>
        <w:ind w:left="360"/>
        <w:jc w:val="both"/>
        <w:rPr>
          <w:rFonts w:ascii="Times New Roman" w:hAnsi="Times New Roman" w:cs="Times New Roman"/>
          <w:sz w:val="28"/>
          <w:szCs w:val="28"/>
        </w:rPr>
      </w:pPr>
      <w:r w:rsidRPr="002D7979">
        <w:rPr>
          <w:rFonts w:ascii="Times New Roman" w:hAnsi="Times New Roman" w:cs="Times New Roman"/>
          <w:sz w:val="28"/>
          <w:szCs w:val="28"/>
        </w:rPr>
        <w:t>Quanto al diritto nazionale, occorre distinguere il diritto della Costituzione dalla legislazione ordinaria</w:t>
      </w:r>
      <w:r w:rsidR="003228A0">
        <w:rPr>
          <w:rStyle w:val="Rimandonotaapidipagina"/>
          <w:rFonts w:ascii="Times New Roman" w:hAnsi="Times New Roman" w:cs="Times New Roman"/>
          <w:sz w:val="28"/>
          <w:szCs w:val="28"/>
        </w:rPr>
        <w:footnoteReference w:id="8"/>
      </w:r>
      <w:r w:rsidRPr="002D7979">
        <w:rPr>
          <w:rFonts w:ascii="Times New Roman" w:hAnsi="Times New Roman" w:cs="Times New Roman"/>
          <w:sz w:val="28"/>
          <w:szCs w:val="28"/>
        </w:rPr>
        <w:t>.</w:t>
      </w:r>
    </w:p>
    <w:p w:rsidR="002D7979" w:rsidRDefault="002D7979" w:rsidP="001A07DE">
      <w:pPr>
        <w:ind w:left="360"/>
        <w:jc w:val="both"/>
        <w:rPr>
          <w:rFonts w:ascii="Times New Roman" w:hAnsi="Times New Roman" w:cs="Times New Roman"/>
          <w:sz w:val="28"/>
          <w:szCs w:val="28"/>
        </w:rPr>
      </w:pPr>
      <w:r w:rsidRPr="002D7979">
        <w:rPr>
          <w:rFonts w:ascii="Times New Roman" w:hAnsi="Times New Roman" w:cs="Times New Roman"/>
          <w:sz w:val="28"/>
          <w:szCs w:val="28"/>
        </w:rPr>
        <w:t>Mentre, infatti,</w:t>
      </w:r>
      <w:r w:rsidR="008071B0">
        <w:rPr>
          <w:rFonts w:ascii="Times New Roman" w:hAnsi="Times New Roman" w:cs="Times New Roman"/>
          <w:sz w:val="28"/>
          <w:szCs w:val="28"/>
        </w:rPr>
        <w:t xml:space="preserve"> la Costituzione</w:t>
      </w:r>
      <w:r w:rsidR="00782E5B">
        <w:rPr>
          <w:rStyle w:val="Rimandonotaapidipagina"/>
          <w:rFonts w:ascii="Times New Roman" w:hAnsi="Times New Roman" w:cs="Times New Roman"/>
          <w:sz w:val="28"/>
          <w:szCs w:val="28"/>
        </w:rPr>
        <w:footnoteReference w:id="9"/>
      </w:r>
      <w:r w:rsidR="008071B0">
        <w:rPr>
          <w:rFonts w:ascii="Times New Roman" w:hAnsi="Times New Roman" w:cs="Times New Roman"/>
          <w:sz w:val="28"/>
          <w:szCs w:val="28"/>
        </w:rPr>
        <w:t>, all’art.</w:t>
      </w:r>
      <w:r w:rsidRPr="002D7979">
        <w:rPr>
          <w:rFonts w:ascii="Times New Roman" w:hAnsi="Times New Roman" w:cs="Times New Roman"/>
          <w:sz w:val="28"/>
          <w:szCs w:val="28"/>
        </w:rPr>
        <w:t xml:space="preserve"> 43,</w:t>
      </w:r>
      <w:r w:rsidR="00444ADF">
        <w:rPr>
          <w:rFonts w:ascii="Times New Roman" w:hAnsi="Times New Roman" w:cs="Times New Roman"/>
          <w:sz w:val="28"/>
          <w:szCs w:val="28"/>
        </w:rPr>
        <w:t xml:space="preserve"> contempla espressamente l’intervento pubblico </w:t>
      </w:r>
      <w:r w:rsidR="008071B0">
        <w:rPr>
          <w:rFonts w:ascii="Times New Roman" w:hAnsi="Times New Roman" w:cs="Times New Roman"/>
          <w:sz w:val="28"/>
          <w:szCs w:val="28"/>
        </w:rPr>
        <w:t>con riferimento a servizi pubblici essenziali, ammettendo anche la creazione di mo</w:t>
      </w:r>
      <w:r w:rsidR="00A47FC8">
        <w:rPr>
          <w:rFonts w:ascii="Times New Roman" w:hAnsi="Times New Roman" w:cs="Times New Roman"/>
          <w:sz w:val="28"/>
          <w:szCs w:val="28"/>
        </w:rPr>
        <w:t>nopoli quando servano a</w:t>
      </w:r>
      <w:r w:rsidR="008071B0">
        <w:rPr>
          <w:rFonts w:ascii="Times New Roman" w:hAnsi="Times New Roman" w:cs="Times New Roman"/>
          <w:sz w:val="28"/>
          <w:szCs w:val="28"/>
        </w:rPr>
        <w:t xml:space="preserve"> realizzare un preminente interesse generale, con un lessico che richiama </w:t>
      </w:r>
      <w:r w:rsidR="00C10E12">
        <w:rPr>
          <w:rFonts w:ascii="Times New Roman" w:hAnsi="Times New Roman" w:cs="Times New Roman"/>
          <w:sz w:val="28"/>
          <w:szCs w:val="28"/>
        </w:rPr>
        <w:t xml:space="preserve">(meglio: anticipa) </w:t>
      </w:r>
      <w:r w:rsidR="008071B0">
        <w:rPr>
          <w:rFonts w:ascii="Times New Roman" w:hAnsi="Times New Roman" w:cs="Times New Roman"/>
          <w:sz w:val="28"/>
          <w:szCs w:val="28"/>
        </w:rPr>
        <w:t>le previsioni europee sui SIEG, la legislazione ordinaria è concepita e strutturata sulla base di un paradigma di favore per il mercato e per la concorrenza, e con la corrispondente riduzione dell’intervento pubblico nella gestione dei servizi pubblici a un ruolo secondario ed eccezionale</w:t>
      </w:r>
      <w:r w:rsidR="006326EC">
        <w:rPr>
          <w:rStyle w:val="Rimandonotaapidipagina"/>
          <w:rFonts w:ascii="Times New Roman" w:hAnsi="Times New Roman" w:cs="Times New Roman"/>
          <w:sz w:val="28"/>
          <w:szCs w:val="28"/>
        </w:rPr>
        <w:footnoteReference w:id="10"/>
      </w:r>
      <w:r w:rsidR="008071B0">
        <w:rPr>
          <w:rFonts w:ascii="Times New Roman" w:hAnsi="Times New Roman" w:cs="Times New Roman"/>
          <w:sz w:val="28"/>
          <w:szCs w:val="28"/>
        </w:rPr>
        <w:t xml:space="preserve">. </w:t>
      </w:r>
    </w:p>
    <w:p w:rsidR="00F9189D" w:rsidRDefault="00F9189D"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Merita evidenziare, fin da ora, che la legislazione nazionale ha introdotto una serie di limitazioni, oneri, adempimenti, non prescritti dal diritto europeo, preordinati a </w:t>
      </w:r>
      <w:r w:rsidR="00B44194">
        <w:rPr>
          <w:rFonts w:ascii="Times New Roman" w:hAnsi="Times New Roman" w:cs="Times New Roman"/>
          <w:sz w:val="28"/>
          <w:szCs w:val="28"/>
        </w:rPr>
        <w:t>circoscrivere a ipotesi residuali, o, comunque, eccezionali e derogatorie, le opzioni di gestione diretta dei servizi alla collettività da parte delle amministrazioni.</w:t>
      </w:r>
    </w:p>
    <w:p w:rsidR="00961AAE" w:rsidRDefault="005F5AC7"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La disciplina delle società pubbliche </w:t>
      </w:r>
      <w:r w:rsidR="00550F08">
        <w:rPr>
          <w:rFonts w:ascii="Times New Roman" w:hAnsi="Times New Roman" w:cs="Times New Roman"/>
          <w:sz w:val="28"/>
          <w:szCs w:val="28"/>
        </w:rPr>
        <w:t xml:space="preserve">(d.lgs. </w:t>
      </w:r>
      <w:r w:rsidR="00F301F4">
        <w:rPr>
          <w:rFonts w:ascii="Times New Roman" w:hAnsi="Times New Roman" w:cs="Times New Roman"/>
          <w:sz w:val="28"/>
          <w:szCs w:val="28"/>
        </w:rPr>
        <w:t xml:space="preserve">n. </w:t>
      </w:r>
      <w:r w:rsidR="00550F08">
        <w:rPr>
          <w:rFonts w:ascii="Times New Roman" w:hAnsi="Times New Roman" w:cs="Times New Roman"/>
          <w:sz w:val="28"/>
          <w:szCs w:val="28"/>
        </w:rPr>
        <w:t xml:space="preserve">175 del 2016) </w:t>
      </w:r>
      <w:r>
        <w:rPr>
          <w:rFonts w:ascii="Times New Roman" w:hAnsi="Times New Roman" w:cs="Times New Roman"/>
          <w:sz w:val="28"/>
          <w:szCs w:val="28"/>
        </w:rPr>
        <w:t xml:space="preserve">ha introdotto uno specifico regime normativo per le società </w:t>
      </w:r>
      <w:r w:rsidRPr="002D3925">
        <w:rPr>
          <w:rFonts w:ascii="Times New Roman" w:hAnsi="Times New Roman" w:cs="Times New Roman"/>
          <w:i/>
          <w:sz w:val="28"/>
          <w:szCs w:val="28"/>
        </w:rPr>
        <w:t xml:space="preserve">in </w:t>
      </w:r>
      <w:proofErr w:type="spellStart"/>
      <w:r w:rsidRPr="002D3925">
        <w:rPr>
          <w:rFonts w:ascii="Times New Roman" w:hAnsi="Times New Roman" w:cs="Times New Roman"/>
          <w:i/>
          <w:sz w:val="28"/>
          <w:szCs w:val="28"/>
        </w:rPr>
        <w:t>house</w:t>
      </w:r>
      <w:proofErr w:type="spellEnd"/>
      <w:r>
        <w:rPr>
          <w:rFonts w:ascii="Times New Roman" w:hAnsi="Times New Roman" w:cs="Times New Roman"/>
          <w:sz w:val="28"/>
          <w:szCs w:val="28"/>
        </w:rPr>
        <w:t>, prevedendo</w:t>
      </w:r>
      <w:r w:rsidR="001719BE">
        <w:rPr>
          <w:rFonts w:ascii="Times New Roman" w:hAnsi="Times New Roman" w:cs="Times New Roman"/>
          <w:sz w:val="28"/>
          <w:szCs w:val="28"/>
        </w:rPr>
        <w:t xml:space="preserve">, in particolare agli artt.4 e 5, le finalità per cui possono essere costituite società pubbliche e imponendo un onere motivazionale stringente, da assolversi nell’atto deliberativo, in ordine alla necessità della costituzione della società per il perseguimento delle finalità istituzionali dell’ente </w:t>
      </w:r>
      <w:r w:rsidR="00D01C8F">
        <w:rPr>
          <w:rFonts w:ascii="Times New Roman" w:hAnsi="Times New Roman" w:cs="Times New Roman"/>
          <w:sz w:val="28"/>
          <w:szCs w:val="28"/>
        </w:rPr>
        <w:t>nonché</w:t>
      </w:r>
      <w:r w:rsidR="001719BE">
        <w:rPr>
          <w:rFonts w:ascii="Times New Roman" w:hAnsi="Times New Roman" w:cs="Times New Roman"/>
          <w:sz w:val="28"/>
          <w:szCs w:val="28"/>
        </w:rPr>
        <w:t xml:space="preserve"> in merito alla convenienza economica, all’efficienza e all’efficacia della scelta. </w:t>
      </w:r>
    </w:p>
    <w:p w:rsidR="005F5AC7" w:rsidRDefault="001719BE"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L’art.16 del testo unico detta, poi, alcune precise regole sull’assetto organizzativo delle società </w:t>
      </w:r>
      <w:r w:rsidRPr="00C10E12">
        <w:rPr>
          <w:rFonts w:ascii="Times New Roman" w:hAnsi="Times New Roman" w:cs="Times New Roman"/>
          <w:i/>
          <w:sz w:val="28"/>
          <w:szCs w:val="28"/>
        </w:rPr>
        <w:t xml:space="preserve">in </w:t>
      </w:r>
      <w:proofErr w:type="spellStart"/>
      <w:r w:rsidRPr="00C10E12">
        <w:rPr>
          <w:rFonts w:ascii="Times New Roman" w:hAnsi="Times New Roman" w:cs="Times New Roman"/>
          <w:i/>
          <w:sz w:val="28"/>
          <w:szCs w:val="28"/>
        </w:rPr>
        <w:t>house</w:t>
      </w:r>
      <w:proofErr w:type="spellEnd"/>
      <w:r>
        <w:rPr>
          <w:rFonts w:ascii="Times New Roman" w:hAnsi="Times New Roman" w:cs="Times New Roman"/>
          <w:sz w:val="28"/>
          <w:szCs w:val="28"/>
        </w:rPr>
        <w:t xml:space="preserve"> e introduce limiti alle attività ulteriori rispetto a quelle svolte, in misura superiore all’80%, in favore dell’ente pubblico o degli enti pubblici che la controllano. </w:t>
      </w:r>
    </w:p>
    <w:p w:rsidR="005F5AC7" w:rsidRDefault="00E01574" w:rsidP="001A07DE">
      <w:pPr>
        <w:ind w:left="360"/>
        <w:jc w:val="both"/>
        <w:rPr>
          <w:rFonts w:ascii="Times New Roman" w:hAnsi="Times New Roman" w:cs="Times New Roman"/>
          <w:sz w:val="28"/>
          <w:szCs w:val="28"/>
        </w:rPr>
      </w:pPr>
      <w:r>
        <w:rPr>
          <w:rFonts w:ascii="Times New Roman" w:hAnsi="Times New Roman" w:cs="Times New Roman"/>
          <w:sz w:val="28"/>
          <w:szCs w:val="28"/>
        </w:rPr>
        <w:t>Nel codice d</w:t>
      </w:r>
      <w:r w:rsidR="005F5AC7">
        <w:rPr>
          <w:rFonts w:ascii="Times New Roman" w:hAnsi="Times New Roman" w:cs="Times New Roman"/>
          <w:sz w:val="28"/>
          <w:szCs w:val="28"/>
        </w:rPr>
        <w:t>e</w:t>
      </w:r>
      <w:r>
        <w:rPr>
          <w:rFonts w:ascii="Times New Roman" w:hAnsi="Times New Roman" w:cs="Times New Roman"/>
          <w:sz w:val="28"/>
          <w:szCs w:val="28"/>
        </w:rPr>
        <w:t>i contratti pubblici, inoltr</w:t>
      </w:r>
      <w:r w:rsidR="00550F08">
        <w:rPr>
          <w:rFonts w:ascii="Times New Roman" w:hAnsi="Times New Roman" w:cs="Times New Roman"/>
          <w:sz w:val="28"/>
          <w:szCs w:val="28"/>
        </w:rPr>
        <w:t>e, sono stati previsti</w:t>
      </w:r>
      <w:r w:rsidR="00FA58DB">
        <w:rPr>
          <w:rFonts w:ascii="Times New Roman" w:hAnsi="Times New Roman" w:cs="Times New Roman"/>
          <w:sz w:val="28"/>
          <w:szCs w:val="28"/>
        </w:rPr>
        <w:t xml:space="preserve">, </w:t>
      </w:r>
      <w:r w:rsidR="00550F08">
        <w:rPr>
          <w:rFonts w:ascii="Times New Roman" w:hAnsi="Times New Roman" w:cs="Times New Roman"/>
          <w:sz w:val="28"/>
          <w:szCs w:val="28"/>
        </w:rPr>
        <w:t>all’</w:t>
      </w:r>
      <w:r w:rsidR="00FA58DB">
        <w:rPr>
          <w:rFonts w:ascii="Times New Roman" w:hAnsi="Times New Roman" w:cs="Times New Roman"/>
          <w:sz w:val="28"/>
          <w:szCs w:val="28"/>
        </w:rPr>
        <w:t>art. 5</w:t>
      </w:r>
      <w:r w:rsidR="00AF388A">
        <w:rPr>
          <w:rFonts w:ascii="Times New Roman" w:hAnsi="Times New Roman" w:cs="Times New Roman"/>
          <w:sz w:val="28"/>
          <w:szCs w:val="28"/>
        </w:rPr>
        <w:t>,</w:t>
      </w:r>
      <w:r w:rsidR="00FA58DB">
        <w:rPr>
          <w:rFonts w:ascii="Times New Roman" w:hAnsi="Times New Roman" w:cs="Times New Roman"/>
          <w:sz w:val="28"/>
          <w:szCs w:val="28"/>
        </w:rPr>
        <w:t xml:space="preserve"> </w:t>
      </w:r>
      <w:r w:rsidR="00550F08">
        <w:rPr>
          <w:rFonts w:ascii="Times New Roman" w:hAnsi="Times New Roman" w:cs="Times New Roman"/>
          <w:sz w:val="28"/>
          <w:szCs w:val="28"/>
        </w:rPr>
        <w:t>i presupposti</w:t>
      </w:r>
      <w:r w:rsidR="00E21AC4">
        <w:rPr>
          <w:rFonts w:ascii="Times New Roman" w:hAnsi="Times New Roman" w:cs="Times New Roman"/>
          <w:sz w:val="28"/>
          <w:szCs w:val="28"/>
        </w:rPr>
        <w:t xml:space="preserve"> che autorizzano l’autoproduzione del servizio, in coerenza con le direttive, </w:t>
      </w:r>
      <w:r w:rsidR="00FA58DB">
        <w:rPr>
          <w:rFonts w:ascii="Times New Roman" w:hAnsi="Times New Roman" w:cs="Times New Roman"/>
          <w:sz w:val="28"/>
          <w:szCs w:val="28"/>
        </w:rPr>
        <w:t>e</w:t>
      </w:r>
      <w:r w:rsidR="00E21AC4">
        <w:rPr>
          <w:rFonts w:ascii="Times New Roman" w:hAnsi="Times New Roman" w:cs="Times New Roman"/>
          <w:sz w:val="28"/>
          <w:szCs w:val="28"/>
        </w:rPr>
        <w:t>,</w:t>
      </w:r>
      <w:r w:rsidR="005F5AC7">
        <w:rPr>
          <w:rFonts w:ascii="Times New Roman" w:hAnsi="Times New Roman" w:cs="Times New Roman"/>
          <w:sz w:val="28"/>
          <w:szCs w:val="28"/>
        </w:rPr>
        <w:t xml:space="preserve"> all’art.192,</w:t>
      </w:r>
      <w:r w:rsidR="00E21AC4">
        <w:rPr>
          <w:rFonts w:ascii="Times New Roman" w:hAnsi="Times New Roman" w:cs="Times New Roman"/>
          <w:sz w:val="28"/>
          <w:szCs w:val="28"/>
        </w:rPr>
        <w:t xml:space="preserve"> un</w:t>
      </w:r>
      <w:r w:rsidR="00C10E12">
        <w:rPr>
          <w:rFonts w:ascii="Times New Roman" w:hAnsi="Times New Roman" w:cs="Times New Roman"/>
          <w:sz w:val="28"/>
          <w:szCs w:val="28"/>
        </w:rPr>
        <w:t xml:space="preserve"> registro, tenuto dall’ANAC, destinato a raccogliere</w:t>
      </w:r>
      <w:r w:rsidR="00E21AC4">
        <w:rPr>
          <w:rFonts w:ascii="Times New Roman" w:hAnsi="Times New Roman" w:cs="Times New Roman"/>
          <w:sz w:val="28"/>
          <w:szCs w:val="28"/>
        </w:rPr>
        <w:t xml:space="preserve"> l’iscrizione delle amministrazioni che decidono di gestire i servizi </w:t>
      </w:r>
      <w:r w:rsidR="00E21AC4" w:rsidRPr="00C10E12">
        <w:rPr>
          <w:rFonts w:ascii="Times New Roman" w:hAnsi="Times New Roman" w:cs="Times New Roman"/>
          <w:i/>
          <w:sz w:val="28"/>
          <w:szCs w:val="28"/>
        </w:rPr>
        <w:t xml:space="preserve">in </w:t>
      </w:r>
      <w:proofErr w:type="spellStart"/>
      <w:r w:rsidR="00E21AC4" w:rsidRPr="00C10E12">
        <w:rPr>
          <w:rFonts w:ascii="Times New Roman" w:hAnsi="Times New Roman" w:cs="Times New Roman"/>
          <w:i/>
          <w:sz w:val="28"/>
          <w:szCs w:val="28"/>
        </w:rPr>
        <w:t>house</w:t>
      </w:r>
      <w:proofErr w:type="spellEnd"/>
      <w:r w:rsidR="00E21AC4">
        <w:rPr>
          <w:rFonts w:ascii="Times New Roman" w:hAnsi="Times New Roman" w:cs="Times New Roman"/>
          <w:sz w:val="28"/>
          <w:szCs w:val="28"/>
        </w:rPr>
        <w:t xml:space="preserve"> e, soprattutto, a</w:t>
      </w:r>
      <w:r w:rsidR="00C10E12">
        <w:rPr>
          <w:rFonts w:ascii="Times New Roman" w:hAnsi="Times New Roman" w:cs="Times New Roman"/>
          <w:sz w:val="28"/>
          <w:szCs w:val="28"/>
        </w:rPr>
        <w:t xml:space="preserve">l comma due, l’onere di esplicitare </w:t>
      </w:r>
      <w:r w:rsidR="00E21AC4">
        <w:rPr>
          <w:rFonts w:ascii="Times New Roman" w:hAnsi="Times New Roman" w:cs="Times New Roman"/>
          <w:sz w:val="28"/>
          <w:szCs w:val="28"/>
        </w:rPr>
        <w:t>le ragioni del mancato ricorso al mercato</w:t>
      </w:r>
      <w:r w:rsidR="00550F08">
        <w:rPr>
          <w:rFonts w:ascii="Times New Roman" w:hAnsi="Times New Roman" w:cs="Times New Roman"/>
          <w:sz w:val="28"/>
          <w:szCs w:val="28"/>
        </w:rPr>
        <w:t xml:space="preserve"> </w:t>
      </w:r>
      <w:r w:rsidR="00E21AC4">
        <w:rPr>
          <w:rFonts w:ascii="Times New Roman" w:hAnsi="Times New Roman" w:cs="Times New Roman"/>
          <w:sz w:val="28"/>
          <w:szCs w:val="28"/>
        </w:rPr>
        <w:t xml:space="preserve">e dei benefici </w:t>
      </w:r>
      <w:r w:rsidR="00C10E12">
        <w:rPr>
          <w:rFonts w:ascii="Times New Roman" w:hAnsi="Times New Roman" w:cs="Times New Roman"/>
          <w:sz w:val="28"/>
          <w:szCs w:val="28"/>
        </w:rPr>
        <w:t>derivanti alla collettività da</w:t>
      </w:r>
      <w:r w:rsidR="00E21AC4">
        <w:rPr>
          <w:rFonts w:ascii="Times New Roman" w:hAnsi="Times New Roman" w:cs="Times New Roman"/>
          <w:sz w:val="28"/>
          <w:szCs w:val="28"/>
        </w:rPr>
        <w:t>lla gestione diretta</w:t>
      </w:r>
      <w:r w:rsidR="00550F08">
        <w:rPr>
          <w:rFonts w:ascii="Times New Roman" w:hAnsi="Times New Roman" w:cs="Times New Roman"/>
          <w:sz w:val="28"/>
          <w:szCs w:val="28"/>
        </w:rPr>
        <w:t xml:space="preserve">, e, quindi, </w:t>
      </w:r>
      <w:r w:rsidR="00C10E12">
        <w:rPr>
          <w:rFonts w:ascii="Times New Roman" w:hAnsi="Times New Roman" w:cs="Times New Roman"/>
          <w:sz w:val="28"/>
          <w:szCs w:val="28"/>
        </w:rPr>
        <w:t>una motivazione relativa</w:t>
      </w:r>
      <w:r w:rsidR="00550F08">
        <w:rPr>
          <w:rFonts w:ascii="Times New Roman" w:hAnsi="Times New Roman" w:cs="Times New Roman"/>
          <w:sz w:val="28"/>
          <w:szCs w:val="28"/>
        </w:rPr>
        <w:t xml:space="preserve"> a requisiti non previsti dalle direttive.</w:t>
      </w:r>
    </w:p>
    <w:p w:rsidR="00E01574" w:rsidRDefault="00E01574" w:rsidP="001A07DE">
      <w:pPr>
        <w:ind w:left="360"/>
        <w:jc w:val="both"/>
        <w:rPr>
          <w:rFonts w:ascii="Times New Roman" w:hAnsi="Times New Roman" w:cs="Times New Roman"/>
          <w:sz w:val="28"/>
          <w:szCs w:val="28"/>
        </w:rPr>
      </w:pPr>
      <w:r>
        <w:rPr>
          <w:rFonts w:ascii="Times New Roman" w:hAnsi="Times New Roman" w:cs="Times New Roman"/>
          <w:sz w:val="28"/>
          <w:szCs w:val="28"/>
        </w:rPr>
        <w:t>La disciplina dei servizi pubblici locali</w:t>
      </w:r>
      <w:r w:rsidR="00550F08">
        <w:rPr>
          <w:rFonts w:ascii="Times New Roman" w:hAnsi="Times New Roman" w:cs="Times New Roman"/>
          <w:sz w:val="28"/>
          <w:szCs w:val="28"/>
        </w:rPr>
        <w:t xml:space="preserve"> (art.34, comm</w:t>
      </w:r>
      <w:r w:rsidR="00F301F4">
        <w:rPr>
          <w:rFonts w:ascii="Times New Roman" w:hAnsi="Times New Roman" w:cs="Times New Roman"/>
          <w:sz w:val="28"/>
          <w:szCs w:val="28"/>
        </w:rPr>
        <w:t>i</w:t>
      </w:r>
      <w:r w:rsidR="00550F08">
        <w:rPr>
          <w:rFonts w:ascii="Times New Roman" w:hAnsi="Times New Roman" w:cs="Times New Roman"/>
          <w:sz w:val="28"/>
          <w:szCs w:val="28"/>
        </w:rPr>
        <w:t xml:space="preserve"> 20 e ss.</w:t>
      </w:r>
      <w:r w:rsidR="00C10E12">
        <w:rPr>
          <w:rFonts w:ascii="Times New Roman" w:hAnsi="Times New Roman" w:cs="Times New Roman"/>
          <w:sz w:val="28"/>
          <w:szCs w:val="28"/>
        </w:rPr>
        <w:t>,</w:t>
      </w:r>
      <w:r w:rsidR="00550F08">
        <w:rPr>
          <w:rFonts w:ascii="Times New Roman" w:hAnsi="Times New Roman" w:cs="Times New Roman"/>
          <w:sz w:val="28"/>
          <w:szCs w:val="28"/>
        </w:rPr>
        <w:t xml:space="preserve"> </w:t>
      </w:r>
      <w:proofErr w:type="spellStart"/>
      <w:r w:rsidR="00550F08">
        <w:rPr>
          <w:rFonts w:ascii="Times New Roman" w:hAnsi="Times New Roman" w:cs="Times New Roman"/>
          <w:sz w:val="28"/>
          <w:szCs w:val="28"/>
        </w:rPr>
        <w:t>d</w:t>
      </w:r>
      <w:r w:rsidR="00C10E12">
        <w:rPr>
          <w:rFonts w:ascii="Times New Roman" w:hAnsi="Times New Roman" w:cs="Times New Roman"/>
          <w:sz w:val="28"/>
          <w:szCs w:val="28"/>
        </w:rPr>
        <w:t>.</w:t>
      </w:r>
      <w:r w:rsidR="00550F08">
        <w:rPr>
          <w:rFonts w:ascii="Times New Roman" w:hAnsi="Times New Roman" w:cs="Times New Roman"/>
          <w:sz w:val="28"/>
          <w:szCs w:val="28"/>
        </w:rPr>
        <w:t>l</w:t>
      </w:r>
      <w:r w:rsidR="00C10E12">
        <w:rPr>
          <w:rFonts w:ascii="Times New Roman" w:hAnsi="Times New Roman" w:cs="Times New Roman"/>
          <w:sz w:val="28"/>
          <w:szCs w:val="28"/>
        </w:rPr>
        <w:t>.</w:t>
      </w:r>
      <w:proofErr w:type="spellEnd"/>
      <w:r w:rsidR="00550F08">
        <w:rPr>
          <w:rFonts w:ascii="Times New Roman" w:hAnsi="Times New Roman" w:cs="Times New Roman"/>
          <w:sz w:val="28"/>
          <w:szCs w:val="28"/>
        </w:rPr>
        <w:t xml:space="preserve"> n.179 del 2012)</w:t>
      </w:r>
      <w:r>
        <w:rPr>
          <w:rFonts w:ascii="Times New Roman" w:hAnsi="Times New Roman" w:cs="Times New Roman"/>
          <w:sz w:val="28"/>
          <w:szCs w:val="28"/>
        </w:rPr>
        <w:t>, infine, per come cristallizzata dopo un tormentatissimo percorso di stratificazione normativa</w:t>
      </w:r>
      <w:r w:rsidR="00ED288E">
        <w:rPr>
          <w:rStyle w:val="Rimandonotaapidipagina"/>
          <w:rFonts w:ascii="Times New Roman" w:hAnsi="Times New Roman" w:cs="Times New Roman"/>
          <w:sz w:val="28"/>
          <w:szCs w:val="28"/>
        </w:rPr>
        <w:footnoteReference w:id="11"/>
      </w:r>
      <w:r>
        <w:rPr>
          <w:rFonts w:ascii="Times New Roman" w:hAnsi="Times New Roman" w:cs="Times New Roman"/>
          <w:sz w:val="28"/>
          <w:szCs w:val="28"/>
        </w:rPr>
        <w:t>, che ha pure conosciuto un referendum abrogativo e diverse dichiarazioni di incostituzionalità</w:t>
      </w:r>
      <w:r w:rsidR="002D3925">
        <w:rPr>
          <w:rStyle w:val="Rimandonotaapidipagina"/>
          <w:rFonts w:ascii="Times New Roman" w:hAnsi="Times New Roman" w:cs="Times New Roman"/>
          <w:sz w:val="28"/>
          <w:szCs w:val="28"/>
        </w:rPr>
        <w:footnoteReference w:id="12"/>
      </w:r>
      <w:r>
        <w:rPr>
          <w:rFonts w:ascii="Times New Roman" w:hAnsi="Times New Roman" w:cs="Times New Roman"/>
          <w:sz w:val="28"/>
          <w:szCs w:val="28"/>
        </w:rPr>
        <w:t xml:space="preserve">, pur ammettendo la selezione libera tra le diverse opzioni </w:t>
      </w:r>
      <w:proofErr w:type="spellStart"/>
      <w:r>
        <w:rPr>
          <w:rFonts w:ascii="Times New Roman" w:hAnsi="Times New Roman" w:cs="Times New Roman"/>
          <w:sz w:val="28"/>
          <w:szCs w:val="28"/>
        </w:rPr>
        <w:t>gestorie</w:t>
      </w:r>
      <w:proofErr w:type="spellEnd"/>
      <w:r>
        <w:rPr>
          <w:rFonts w:ascii="Times New Roman" w:hAnsi="Times New Roman" w:cs="Times New Roman"/>
          <w:sz w:val="28"/>
          <w:szCs w:val="28"/>
        </w:rPr>
        <w:t xml:space="preserve">, </w:t>
      </w:r>
      <w:r w:rsidR="00D01C8F">
        <w:rPr>
          <w:rFonts w:ascii="Times New Roman" w:hAnsi="Times New Roman" w:cs="Times New Roman"/>
          <w:sz w:val="28"/>
          <w:szCs w:val="28"/>
        </w:rPr>
        <w:t>purché</w:t>
      </w:r>
      <w:r>
        <w:rPr>
          <w:rFonts w:ascii="Times New Roman" w:hAnsi="Times New Roman" w:cs="Times New Roman"/>
          <w:sz w:val="28"/>
          <w:szCs w:val="28"/>
        </w:rPr>
        <w:t xml:space="preserve"> rispettosa del diritto europeo, contempla anche una previsione di favore per l’affidamento del servizio in regime di concorrenza.</w:t>
      </w:r>
    </w:p>
    <w:p w:rsidR="00D47312" w:rsidRDefault="00E01574" w:rsidP="00C10E12">
      <w:pPr>
        <w:ind w:left="360"/>
        <w:jc w:val="both"/>
        <w:rPr>
          <w:rFonts w:ascii="Times New Roman" w:hAnsi="Times New Roman" w:cs="Times New Roman"/>
          <w:sz w:val="28"/>
          <w:szCs w:val="28"/>
        </w:rPr>
      </w:pPr>
      <w:r>
        <w:rPr>
          <w:rFonts w:ascii="Times New Roman" w:hAnsi="Times New Roman" w:cs="Times New Roman"/>
          <w:sz w:val="28"/>
          <w:szCs w:val="28"/>
        </w:rPr>
        <w:t>L’art.</w:t>
      </w:r>
      <w:r w:rsidR="00D47312">
        <w:rPr>
          <w:rFonts w:ascii="Times New Roman" w:hAnsi="Times New Roman" w:cs="Times New Roman"/>
          <w:sz w:val="28"/>
          <w:szCs w:val="28"/>
        </w:rPr>
        <w:t xml:space="preserve">3 bis, comma 3, </w:t>
      </w:r>
      <w:proofErr w:type="spellStart"/>
      <w:r w:rsidR="00D47312">
        <w:rPr>
          <w:rFonts w:ascii="Times New Roman" w:hAnsi="Times New Roman" w:cs="Times New Roman"/>
          <w:sz w:val="28"/>
          <w:szCs w:val="28"/>
        </w:rPr>
        <w:t>d</w:t>
      </w:r>
      <w:r w:rsidR="00C10E12">
        <w:rPr>
          <w:rFonts w:ascii="Times New Roman" w:hAnsi="Times New Roman" w:cs="Times New Roman"/>
          <w:sz w:val="28"/>
          <w:szCs w:val="28"/>
        </w:rPr>
        <w:t>.</w:t>
      </w:r>
      <w:r w:rsidR="00D47312">
        <w:rPr>
          <w:rFonts w:ascii="Times New Roman" w:hAnsi="Times New Roman" w:cs="Times New Roman"/>
          <w:sz w:val="28"/>
          <w:szCs w:val="28"/>
        </w:rPr>
        <w:t>l</w:t>
      </w:r>
      <w:r w:rsidR="00C10E12">
        <w:rPr>
          <w:rFonts w:ascii="Times New Roman" w:hAnsi="Times New Roman" w:cs="Times New Roman"/>
          <w:sz w:val="28"/>
          <w:szCs w:val="28"/>
        </w:rPr>
        <w:t>.</w:t>
      </w:r>
      <w:proofErr w:type="spellEnd"/>
      <w:r w:rsidR="00D47312">
        <w:rPr>
          <w:rFonts w:ascii="Times New Roman" w:hAnsi="Times New Roman" w:cs="Times New Roman"/>
          <w:sz w:val="28"/>
          <w:szCs w:val="28"/>
        </w:rPr>
        <w:t xml:space="preserve"> </w:t>
      </w:r>
      <w:r w:rsidR="00AF388A">
        <w:rPr>
          <w:rFonts w:ascii="Times New Roman" w:hAnsi="Times New Roman" w:cs="Times New Roman"/>
          <w:sz w:val="28"/>
          <w:szCs w:val="28"/>
        </w:rPr>
        <w:t>n.</w:t>
      </w:r>
      <w:r w:rsidR="00C10E12">
        <w:rPr>
          <w:rFonts w:ascii="Times New Roman" w:hAnsi="Times New Roman" w:cs="Times New Roman"/>
          <w:sz w:val="28"/>
          <w:szCs w:val="28"/>
        </w:rPr>
        <w:t xml:space="preserve"> </w:t>
      </w:r>
      <w:r w:rsidR="009F1373">
        <w:rPr>
          <w:rFonts w:ascii="Times New Roman" w:hAnsi="Times New Roman" w:cs="Times New Roman"/>
          <w:sz w:val="28"/>
          <w:szCs w:val="28"/>
        </w:rPr>
        <w:t>138</w:t>
      </w:r>
      <w:r w:rsidR="00D47312">
        <w:rPr>
          <w:rFonts w:ascii="Times New Roman" w:hAnsi="Times New Roman" w:cs="Times New Roman"/>
          <w:sz w:val="28"/>
          <w:szCs w:val="28"/>
        </w:rPr>
        <w:t xml:space="preserve"> del 2011</w:t>
      </w:r>
      <w:r>
        <w:rPr>
          <w:rFonts w:ascii="Times New Roman" w:hAnsi="Times New Roman" w:cs="Times New Roman"/>
          <w:sz w:val="28"/>
          <w:szCs w:val="28"/>
        </w:rPr>
        <w:t xml:space="preserve"> prevede, infatti, una regola di favore </w:t>
      </w:r>
      <w:r w:rsidR="00550F08">
        <w:rPr>
          <w:rFonts w:ascii="Times New Roman" w:hAnsi="Times New Roman" w:cs="Times New Roman"/>
          <w:sz w:val="28"/>
          <w:szCs w:val="28"/>
        </w:rPr>
        <w:t xml:space="preserve">finanziaria e </w:t>
      </w:r>
      <w:r>
        <w:rPr>
          <w:rFonts w:ascii="Times New Roman" w:hAnsi="Times New Roman" w:cs="Times New Roman"/>
          <w:sz w:val="28"/>
          <w:szCs w:val="28"/>
        </w:rPr>
        <w:t>contabil</w:t>
      </w:r>
      <w:r w:rsidR="0043685B">
        <w:rPr>
          <w:rFonts w:ascii="Times New Roman" w:hAnsi="Times New Roman" w:cs="Times New Roman"/>
          <w:sz w:val="28"/>
          <w:szCs w:val="28"/>
        </w:rPr>
        <w:t>e per gli</w:t>
      </w:r>
      <w:r>
        <w:rPr>
          <w:rFonts w:ascii="Times New Roman" w:hAnsi="Times New Roman" w:cs="Times New Roman"/>
          <w:sz w:val="28"/>
          <w:szCs w:val="28"/>
        </w:rPr>
        <w:t xml:space="preserve"> enti locali che decidono di esternalizzare i servizi</w:t>
      </w:r>
      <w:r w:rsidR="00C10E12">
        <w:rPr>
          <w:rFonts w:ascii="Times New Roman" w:hAnsi="Times New Roman" w:cs="Times New Roman"/>
          <w:sz w:val="28"/>
          <w:szCs w:val="28"/>
        </w:rPr>
        <w:t>,</w:t>
      </w:r>
      <w:r>
        <w:rPr>
          <w:rFonts w:ascii="Times New Roman" w:hAnsi="Times New Roman" w:cs="Times New Roman"/>
          <w:sz w:val="28"/>
          <w:szCs w:val="28"/>
        </w:rPr>
        <w:t xml:space="preserve"> sulla base del presupposto </w:t>
      </w:r>
      <w:r w:rsidR="00C10E12">
        <w:rPr>
          <w:rFonts w:ascii="Times New Roman" w:hAnsi="Times New Roman" w:cs="Times New Roman"/>
          <w:sz w:val="28"/>
          <w:szCs w:val="28"/>
        </w:rPr>
        <w:t xml:space="preserve">(chiaro, </w:t>
      </w:r>
      <w:proofErr w:type="spellStart"/>
      <w:r w:rsidR="00C10E12">
        <w:rPr>
          <w:rFonts w:ascii="Times New Roman" w:hAnsi="Times New Roman" w:cs="Times New Roman"/>
          <w:sz w:val="28"/>
          <w:szCs w:val="28"/>
        </w:rPr>
        <w:t>ancorchè</w:t>
      </w:r>
      <w:proofErr w:type="spellEnd"/>
      <w:r w:rsidR="00C10E12">
        <w:rPr>
          <w:rFonts w:ascii="Times New Roman" w:hAnsi="Times New Roman" w:cs="Times New Roman"/>
          <w:sz w:val="28"/>
          <w:szCs w:val="28"/>
        </w:rPr>
        <w:t xml:space="preserve"> implicito) </w:t>
      </w:r>
      <w:r>
        <w:rPr>
          <w:rFonts w:ascii="Times New Roman" w:hAnsi="Times New Roman" w:cs="Times New Roman"/>
          <w:sz w:val="28"/>
          <w:szCs w:val="28"/>
        </w:rPr>
        <w:t>che sia più economico, con ciò inducendo, seppur indirettamente, un regime di fa</w:t>
      </w:r>
      <w:r w:rsidR="00C10E12">
        <w:rPr>
          <w:rFonts w:ascii="Times New Roman" w:hAnsi="Times New Roman" w:cs="Times New Roman"/>
          <w:sz w:val="28"/>
          <w:szCs w:val="28"/>
        </w:rPr>
        <w:t>vore per l’affidamento a terzi; c</w:t>
      </w:r>
      <w:r w:rsidR="00D47312">
        <w:rPr>
          <w:rFonts w:ascii="Times New Roman" w:hAnsi="Times New Roman" w:cs="Times New Roman"/>
          <w:sz w:val="28"/>
          <w:szCs w:val="28"/>
        </w:rPr>
        <w:t>osì come il comma 4 della medesima disposizione riconosce carattere prioritario alla erogazione di finanziamenti statali in favore di gestori di servizi pubblici locali selezionati in esito a procedure di evidenza pubblica.</w:t>
      </w:r>
    </w:p>
    <w:p w:rsidR="00D47312" w:rsidRDefault="00D47312"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Entrambe tali disposizioni sottendono un chiaro disfavore per le gestioni </w:t>
      </w:r>
      <w:r w:rsidRPr="00C10E12">
        <w:rPr>
          <w:rFonts w:ascii="Times New Roman" w:hAnsi="Times New Roman" w:cs="Times New Roman"/>
          <w:i/>
          <w:sz w:val="28"/>
          <w:szCs w:val="28"/>
        </w:rPr>
        <w:t xml:space="preserve">in </w:t>
      </w:r>
      <w:proofErr w:type="spellStart"/>
      <w:r w:rsidRPr="00C10E12">
        <w:rPr>
          <w:rFonts w:ascii="Times New Roman" w:hAnsi="Times New Roman" w:cs="Times New Roman"/>
          <w:i/>
          <w:sz w:val="28"/>
          <w:szCs w:val="28"/>
        </w:rPr>
        <w:t>house</w:t>
      </w:r>
      <w:proofErr w:type="spellEnd"/>
      <w:r w:rsidR="00C10E12">
        <w:rPr>
          <w:rFonts w:ascii="Times New Roman" w:hAnsi="Times New Roman" w:cs="Times New Roman"/>
          <w:sz w:val="28"/>
          <w:szCs w:val="28"/>
        </w:rPr>
        <w:t xml:space="preserve">, nella misura in cui producono effetti giuridici e finanziari di vantaggio per gli enti locali che </w:t>
      </w:r>
      <w:r w:rsidR="00CD5DF1">
        <w:rPr>
          <w:rFonts w:ascii="Times New Roman" w:hAnsi="Times New Roman" w:cs="Times New Roman"/>
          <w:sz w:val="28"/>
          <w:szCs w:val="28"/>
        </w:rPr>
        <w:t xml:space="preserve">hanno deciso di affidare, tramite gara, i servizi pubblici a operatori economici terzi, </w:t>
      </w:r>
      <w:r w:rsidR="00D01C8F">
        <w:rPr>
          <w:rFonts w:ascii="Times New Roman" w:hAnsi="Times New Roman" w:cs="Times New Roman"/>
          <w:sz w:val="28"/>
          <w:szCs w:val="28"/>
        </w:rPr>
        <w:t>nonché</w:t>
      </w:r>
      <w:r w:rsidR="00CD5DF1">
        <w:rPr>
          <w:rFonts w:ascii="Times New Roman" w:hAnsi="Times New Roman" w:cs="Times New Roman"/>
          <w:sz w:val="28"/>
          <w:szCs w:val="28"/>
        </w:rPr>
        <w:t xml:space="preserve"> in favore di questi ultimi. </w:t>
      </w:r>
      <w:r w:rsidR="00C10E12">
        <w:rPr>
          <w:rFonts w:ascii="Times New Roman" w:hAnsi="Times New Roman" w:cs="Times New Roman"/>
          <w:sz w:val="28"/>
          <w:szCs w:val="28"/>
        </w:rPr>
        <w:t xml:space="preserve"> </w:t>
      </w:r>
    </w:p>
    <w:p w:rsidR="005A408D" w:rsidRDefault="005F5AC7"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Sono tutti casi di </w:t>
      </w:r>
      <w:proofErr w:type="spellStart"/>
      <w:r w:rsidRPr="00CD5DF1">
        <w:rPr>
          <w:rFonts w:ascii="Times New Roman" w:hAnsi="Times New Roman" w:cs="Times New Roman"/>
          <w:i/>
          <w:sz w:val="28"/>
          <w:szCs w:val="28"/>
        </w:rPr>
        <w:t>goldplating</w:t>
      </w:r>
      <w:proofErr w:type="spellEnd"/>
      <w:r>
        <w:rPr>
          <w:rFonts w:ascii="Times New Roman" w:hAnsi="Times New Roman" w:cs="Times New Roman"/>
          <w:sz w:val="28"/>
          <w:szCs w:val="28"/>
        </w:rPr>
        <w:t>, giustificati</w:t>
      </w:r>
      <w:r w:rsidR="005A408D">
        <w:rPr>
          <w:rFonts w:ascii="Times New Roman" w:hAnsi="Times New Roman" w:cs="Times New Roman"/>
          <w:sz w:val="28"/>
          <w:szCs w:val="28"/>
        </w:rPr>
        <w:t xml:space="preserve"> con l’esigenza (</w:t>
      </w:r>
      <w:proofErr w:type="spellStart"/>
      <w:r w:rsidR="005A408D">
        <w:rPr>
          <w:rFonts w:ascii="Times New Roman" w:hAnsi="Times New Roman" w:cs="Times New Roman"/>
          <w:sz w:val="28"/>
          <w:szCs w:val="28"/>
        </w:rPr>
        <w:t>ancorchè</w:t>
      </w:r>
      <w:proofErr w:type="spellEnd"/>
      <w:r w:rsidR="005A408D">
        <w:rPr>
          <w:rFonts w:ascii="Times New Roman" w:hAnsi="Times New Roman" w:cs="Times New Roman"/>
          <w:sz w:val="28"/>
          <w:szCs w:val="28"/>
        </w:rPr>
        <w:t xml:space="preserve"> non imposta dal diritto europeo) di garantire con strumenti più efficaci il mercato e la concorrenza.</w:t>
      </w:r>
    </w:p>
    <w:p w:rsidR="00B44194" w:rsidRDefault="00B44194" w:rsidP="001A07DE">
      <w:pPr>
        <w:ind w:left="360"/>
        <w:jc w:val="both"/>
        <w:rPr>
          <w:rFonts w:ascii="Times New Roman" w:hAnsi="Times New Roman" w:cs="Times New Roman"/>
          <w:sz w:val="28"/>
          <w:szCs w:val="28"/>
        </w:rPr>
      </w:pPr>
      <w:r>
        <w:rPr>
          <w:rFonts w:ascii="Times New Roman" w:hAnsi="Times New Roman" w:cs="Times New Roman"/>
          <w:sz w:val="28"/>
          <w:szCs w:val="28"/>
        </w:rPr>
        <w:t>Si tratta, come si vede, di un ribaltamento del principi</w:t>
      </w:r>
      <w:r w:rsidR="00CD5DF1">
        <w:rPr>
          <w:rFonts w:ascii="Times New Roman" w:hAnsi="Times New Roman" w:cs="Times New Roman"/>
          <w:sz w:val="28"/>
          <w:szCs w:val="28"/>
        </w:rPr>
        <w:t>o</w:t>
      </w:r>
      <w:r>
        <w:rPr>
          <w:rFonts w:ascii="Times New Roman" w:hAnsi="Times New Roman" w:cs="Times New Roman"/>
          <w:sz w:val="28"/>
          <w:szCs w:val="28"/>
        </w:rPr>
        <w:t xml:space="preserve"> di libertà di amministrazione enunciato dalle direttive e riconosciuto come </w:t>
      </w:r>
      <w:r w:rsidRPr="003A6508">
        <w:rPr>
          <w:rFonts w:ascii="Times New Roman" w:hAnsi="Times New Roman" w:cs="Times New Roman"/>
          <w:sz w:val="28"/>
          <w:szCs w:val="28"/>
        </w:rPr>
        <w:t xml:space="preserve">principio generale dalla stessa giurisprudenza della Corte di Giustizia, con una alterazione </w:t>
      </w:r>
      <w:r w:rsidR="003A6508" w:rsidRPr="003A6508">
        <w:rPr>
          <w:rFonts w:ascii="Times New Roman" w:hAnsi="Times New Roman" w:cs="Times New Roman"/>
          <w:sz w:val="28"/>
          <w:szCs w:val="28"/>
        </w:rPr>
        <w:t>del canone</w:t>
      </w:r>
      <w:r w:rsidRPr="003A6508">
        <w:rPr>
          <w:rFonts w:ascii="Times New Roman" w:hAnsi="Times New Roman" w:cs="Times New Roman"/>
          <w:sz w:val="28"/>
          <w:szCs w:val="28"/>
        </w:rPr>
        <w:t xml:space="preserve"> della </w:t>
      </w:r>
      <w:proofErr w:type="spellStart"/>
      <w:r w:rsidRPr="003A6508">
        <w:rPr>
          <w:rFonts w:ascii="Times New Roman" w:hAnsi="Times New Roman" w:cs="Times New Roman"/>
          <w:sz w:val="28"/>
          <w:szCs w:val="28"/>
        </w:rPr>
        <w:t>equiordinazione</w:t>
      </w:r>
      <w:proofErr w:type="spellEnd"/>
      <w:r w:rsidRPr="003A6508">
        <w:rPr>
          <w:rFonts w:ascii="Times New Roman" w:hAnsi="Times New Roman" w:cs="Times New Roman"/>
          <w:sz w:val="28"/>
          <w:szCs w:val="28"/>
        </w:rPr>
        <w:t xml:space="preserve"> delle regole della concorrenza e della autoproduzione, mediante l’introduzione di un diverso schema che assegna al mercat</w:t>
      </w:r>
      <w:r>
        <w:rPr>
          <w:rFonts w:ascii="Times New Roman" w:hAnsi="Times New Roman" w:cs="Times New Roman"/>
          <w:sz w:val="28"/>
          <w:szCs w:val="28"/>
        </w:rPr>
        <w:t>o valenza primaria e alla autorganizzazione dei servizi valore secondario o, comunque, eccezionale.</w:t>
      </w:r>
    </w:p>
    <w:p w:rsidR="00B44194" w:rsidRDefault="00B44194" w:rsidP="001A07DE">
      <w:pPr>
        <w:ind w:left="360"/>
        <w:jc w:val="both"/>
        <w:rPr>
          <w:rFonts w:ascii="Times New Roman" w:hAnsi="Times New Roman" w:cs="Times New Roman"/>
          <w:sz w:val="28"/>
          <w:szCs w:val="28"/>
        </w:rPr>
      </w:pPr>
      <w:r>
        <w:rPr>
          <w:rFonts w:ascii="Times New Roman" w:hAnsi="Times New Roman" w:cs="Times New Roman"/>
          <w:sz w:val="28"/>
          <w:szCs w:val="28"/>
        </w:rPr>
        <w:t>Se ne è avveduto il Consiglio di Stat</w:t>
      </w:r>
      <w:r w:rsidR="00E0001F">
        <w:rPr>
          <w:rFonts w:ascii="Times New Roman" w:hAnsi="Times New Roman" w:cs="Times New Roman"/>
          <w:sz w:val="28"/>
          <w:szCs w:val="28"/>
        </w:rPr>
        <w:t>o, che</w:t>
      </w:r>
      <w:r>
        <w:rPr>
          <w:rFonts w:ascii="Times New Roman" w:hAnsi="Times New Roman" w:cs="Times New Roman"/>
          <w:sz w:val="28"/>
          <w:szCs w:val="28"/>
        </w:rPr>
        <w:t xml:space="preserve"> ha rimesso alla Corte di Giustizia la questione pregiudiziale della compatibilità con i</w:t>
      </w:r>
      <w:r w:rsidR="00CD5DF1">
        <w:rPr>
          <w:rFonts w:ascii="Times New Roman" w:hAnsi="Times New Roman" w:cs="Times New Roman"/>
          <w:sz w:val="28"/>
          <w:szCs w:val="28"/>
        </w:rPr>
        <w:t>l principio europeo della libera</w:t>
      </w:r>
      <w:r>
        <w:rPr>
          <w:rFonts w:ascii="Times New Roman" w:hAnsi="Times New Roman" w:cs="Times New Roman"/>
          <w:sz w:val="28"/>
          <w:szCs w:val="28"/>
        </w:rPr>
        <w:t xml:space="preserve"> amministrazione e della equivalenza </w:t>
      </w:r>
      <w:r w:rsidR="00CF2FDE">
        <w:rPr>
          <w:rFonts w:ascii="Times New Roman" w:hAnsi="Times New Roman" w:cs="Times New Roman"/>
          <w:sz w:val="28"/>
          <w:szCs w:val="28"/>
        </w:rPr>
        <w:t>delle modalità di gestione dei servizi pubblici dell’art.192</w:t>
      </w:r>
      <w:r w:rsidR="007E33EF">
        <w:rPr>
          <w:rFonts w:ascii="Times New Roman" w:hAnsi="Times New Roman" w:cs="Times New Roman"/>
          <w:sz w:val="28"/>
          <w:szCs w:val="28"/>
        </w:rPr>
        <w:t>, comma 2,</w:t>
      </w:r>
      <w:r w:rsidR="00CF2FDE">
        <w:rPr>
          <w:rFonts w:ascii="Times New Roman" w:hAnsi="Times New Roman" w:cs="Times New Roman"/>
          <w:sz w:val="28"/>
          <w:szCs w:val="28"/>
        </w:rPr>
        <w:t xml:space="preserve"> del codice dei contratti </w:t>
      </w:r>
      <w:r w:rsidR="007E33EF">
        <w:rPr>
          <w:rFonts w:ascii="Times New Roman" w:hAnsi="Times New Roman" w:cs="Times New Roman"/>
          <w:sz w:val="28"/>
          <w:szCs w:val="28"/>
        </w:rPr>
        <w:t xml:space="preserve">pubblici </w:t>
      </w:r>
      <w:r w:rsidR="00CF2FDE">
        <w:rPr>
          <w:rFonts w:ascii="Times New Roman" w:hAnsi="Times New Roman" w:cs="Times New Roman"/>
          <w:sz w:val="28"/>
          <w:szCs w:val="28"/>
        </w:rPr>
        <w:t xml:space="preserve">nella misura in cui condiziona gli affidamenti </w:t>
      </w:r>
      <w:r w:rsidR="00CF2FDE" w:rsidRPr="00CD5DF1">
        <w:rPr>
          <w:rFonts w:ascii="Times New Roman" w:hAnsi="Times New Roman" w:cs="Times New Roman"/>
          <w:i/>
          <w:sz w:val="28"/>
          <w:szCs w:val="28"/>
        </w:rPr>
        <w:t xml:space="preserve">in </w:t>
      </w:r>
      <w:proofErr w:type="spellStart"/>
      <w:r w:rsidR="00CF2FDE" w:rsidRPr="00CD5DF1">
        <w:rPr>
          <w:rFonts w:ascii="Times New Roman" w:hAnsi="Times New Roman" w:cs="Times New Roman"/>
          <w:i/>
          <w:sz w:val="28"/>
          <w:szCs w:val="28"/>
        </w:rPr>
        <w:t>house</w:t>
      </w:r>
      <w:proofErr w:type="spellEnd"/>
      <w:r w:rsidR="00CF2FDE">
        <w:rPr>
          <w:rFonts w:ascii="Times New Roman" w:hAnsi="Times New Roman" w:cs="Times New Roman"/>
          <w:sz w:val="28"/>
          <w:szCs w:val="28"/>
        </w:rPr>
        <w:t xml:space="preserve"> alla dimostrazione del fallimento del mercato e alla esplicitazione delle ragioni di convenienza per la collettività di tale forma di affidamento</w:t>
      </w:r>
      <w:r w:rsidR="00E0001F">
        <w:rPr>
          <w:rStyle w:val="Rimandonotaapidipagina"/>
          <w:rFonts w:ascii="Times New Roman" w:hAnsi="Times New Roman" w:cs="Times New Roman"/>
          <w:sz w:val="28"/>
          <w:szCs w:val="28"/>
        </w:rPr>
        <w:footnoteReference w:id="13"/>
      </w:r>
      <w:r w:rsidR="00CF2FD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5A408D" w:rsidRDefault="00CF2FDE" w:rsidP="001A07DE">
      <w:pPr>
        <w:ind w:left="360"/>
        <w:jc w:val="both"/>
        <w:rPr>
          <w:rFonts w:ascii="Times New Roman" w:hAnsi="Times New Roman" w:cs="Times New Roman"/>
          <w:sz w:val="28"/>
          <w:szCs w:val="28"/>
        </w:rPr>
      </w:pPr>
      <w:r>
        <w:rPr>
          <w:rFonts w:ascii="Times New Roman" w:hAnsi="Times New Roman" w:cs="Times New Roman"/>
          <w:sz w:val="28"/>
          <w:szCs w:val="28"/>
        </w:rPr>
        <w:t>Ora, se è vero che la stessa Cort</w:t>
      </w:r>
      <w:r w:rsidR="005A408D">
        <w:rPr>
          <w:rFonts w:ascii="Times New Roman" w:hAnsi="Times New Roman" w:cs="Times New Roman"/>
          <w:sz w:val="28"/>
          <w:szCs w:val="28"/>
        </w:rPr>
        <w:t>e Costituzionale ha riconos</w:t>
      </w:r>
      <w:r w:rsidR="00550F08">
        <w:rPr>
          <w:rFonts w:ascii="Times New Roman" w:hAnsi="Times New Roman" w:cs="Times New Roman"/>
          <w:sz w:val="28"/>
          <w:szCs w:val="28"/>
        </w:rPr>
        <w:t xml:space="preserve">ciuto </w:t>
      </w:r>
      <w:r w:rsidR="005A408D">
        <w:rPr>
          <w:rFonts w:ascii="Times New Roman" w:hAnsi="Times New Roman" w:cs="Times New Roman"/>
          <w:sz w:val="28"/>
          <w:szCs w:val="28"/>
        </w:rPr>
        <w:t>l</w:t>
      </w:r>
      <w:r w:rsidR="00550F08">
        <w:rPr>
          <w:rFonts w:ascii="Times New Roman" w:hAnsi="Times New Roman" w:cs="Times New Roman"/>
          <w:sz w:val="28"/>
          <w:szCs w:val="28"/>
        </w:rPr>
        <w:t>a</w:t>
      </w:r>
      <w:r w:rsidR="005A408D">
        <w:rPr>
          <w:rFonts w:ascii="Times New Roman" w:hAnsi="Times New Roman" w:cs="Times New Roman"/>
          <w:sz w:val="28"/>
          <w:szCs w:val="28"/>
        </w:rPr>
        <w:t xml:space="preserve"> compatibilità costituzionale di un regime normativo che garantisce standard più elevati di tutela del mercato, posto che il diritto europeo prescrive livelli minimi di garanzia della concorrenza</w:t>
      </w:r>
      <w:r w:rsidR="00CD5DF1">
        <w:rPr>
          <w:rFonts w:ascii="Times New Roman" w:hAnsi="Times New Roman" w:cs="Times New Roman"/>
          <w:sz w:val="28"/>
          <w:szCs w:val="28"/>
        </w:rPr>
        <w:t>,</w:t>
      </w:r>
      <w:r w:rsidR="005A408D">
        <w:rPr>
          <w:rFonts w:ascii="Times New Roman" w:hAnsi="Times New Roman" w:cs="Times New Roman"/>
          <w:sz w:val="28"/>
          <w:szCs w:val="28"/>
        </w:rPr>
        <w:t xml:space="preserve"> ma non vieta l’introduzione di norme più avanzate di tutela di quel valore, è anche vero che il diritto europeo protegge anche, insieme alla concorrenza, il principio di libertà di amministrazione, che, con la regolazione nazionale </w:t>
      </w:r>
      <w:r w:rsidR="00550F08">
        <w:rPr>
          <w:rFonts w:ascii="Times New Roman" w:hAnsi="Times New Roman" w:cs="Times New Roman"/>
          <w:sz w:val="28"/>
          <w:szCs w:val="28"/>
        </w:rPr>
        <w:t xml:space="preserve">descritta, </w:t>
      </w:r>
      <w:r w:rsidR="005A408D">
        <w:rPr>
          <w:rFonts w:ascii="Times New Roman" w:hAnsi="Times New Roman" w:cs="Times New Roman"/>
          <w:sz w:val="28"/>
          <w:szCs w:val="28"/>
        </w:rPr>
        <w:t>pare inficiato e violato.</w:t>
      </w:r>
    </w:p>
    <w:p w:rsidR="005A408D" w:rsidRDefault="005A408D" w:rsidP="001A07DE">
      <w:pPr>
        <w:ind w:left="360"/>
        <w:jc w:val="both"/>
        <w:rPr>
          <w:rFonts w:ascii="Times New Roman" w:hAnsi="Times New Roman" w:cs="Times New Roman"/>
          <w:sz w:val="28"/>
          <w:szCs w:val="28"/>
        </w:rPr>
      </w:pPr>
      <w:r>
        <w:rPr>
          <w:rFonts w:ascii="Times New Roman" w:hAnsi="Times New Roman" w:cs="Times New Roman"/>
          <w:sz w:val="28"/>
          <w:szCs w:val="28"/>
        </w:rPr>
        <w:t>Nella misura in cui si onera l’amministrazione di una prova diabolica circa l’inidone</w:t>
      </w:r>
      <w:r w:rsidR="00CD5DF1">
        <w:rPr>
          <w:rFonts w:ascii="Times New Roman" w:hAnsi="Times New Roman" w:cs="Times New Roman"/>
          <w:sz w:val="28"/>
          <w:szCs w:val="28"/>
        </w:rPr>
        <w:t>ità del mercato a garantire un determinato</w:t>
      </w:r>
      <w:r>
        <w:rPr>
          <w:rFonts w:ascii="Times New Roman" w:hAnsi="Times New Roman" w:cs="Times New Roman"/>
          <w:sz w:val="28"/>
          <w:szCs w:val="28"/>
        </w:rPr>
        <w:t xml:space="preserve"> servizio, prima di procedere alla sua autoproduzione, si finisce, a ben vedere, per sminuire, se non per annullare, la libertà che il diritto europeo ha affidato all’amministrazione circa la scelta di organizzazione dei servizi che ad essa compete garantire alla collettività.</w:t>
      </w:r>
    </w:p>
    <w:p w:rsidR="00961AAE" w:rsidRDefault="00961AAE" w:rsidP="001A07DE">
      <w:pPr>
        <w:ind w:left="360"/>
        <w:jc w:val="both"/>
        <w:rPr>
          <w:rFonts w:ascii="Times New Roman" w:hAnsi="Times New Roman" w:cs="Times New Roman"/>
          <w:sz w:val="28"/>
          <w:szCs w:val="28"/>
        </w:rPr>
      </w:pPr>
      <w:r>
        <w:rPr>
          <w:rFonts w:ascii="Times New Roman" w:hAnsi="Times New Roman" w:cs="Times New Roman"/>
          <w:sz w:val="28"/>
          <w:szCs w:val="28"/>
        </w:rPr>
        <w:t>L</w:t>
      </w:r>
      <w:r w:rsidR="00265D7A">
        <w:rPr>
          <w:rFonts w:ascii="Times New Roman" w:hAnsi="Times New Roman" w:cs="Times New Roman"/>
          <w:sz w:val="28"/>
          <w:szCs w:val="28"/>
        </w:rPr>
        <w:t xml:space="preserve">a valutazione dei giudici di Lussemburgo, che </w:t>
      </w:r>
      <w:r>
        <w:rPr>
          <w:rFonts w:ascii="Times New Roman" w:hAnsi="Times New Roman" w:cs="Times New Roman"/>
          <w:sz w:val="28"/>
          <w:szCs w:val="28"/>
        </w:rPr>
        <w:t xml:space="preserve">si risolveva, a ben vedere, nel </w:t>
      </w:r>
      <w:r w:rsidR="00265D7A">
        <w:rPr>
          <w:rFonts w:ascii="Times New Roman" w:hAnsi="Times New Roman" w:cs="Times New Roman"/>
          <w:sz w:val="28"/>
          <w:szCs w:val="28"/>
        </w:rPr>
        <w:t>giudicare se il principio europeo di equivalenza delle forme di affidamento dei servizi pubblici resti o meno rispettato da una legislazione nazionale che stabilisce una gerarchia, non prevista dal diritto europeo, tra la esternalizzazione e l’autoproduzione del servizio</w:t>
      </w:r>
      <w:r w:rsidR="009511ED">
        <w:rPr>
          <w:rFonts w:ascii="Times New Roman" w:hAnsi="Times New Roman" w:cs="Times New Roman"/>
          <w:sz w:val="28"/>
          <w:szCs w:val="28"/>
        </w:rPr>
        <w:t>, è stata</w:t>
      </w:r>
      <w:r>
        <w:rPr>
          <w:rFonts w:ascii="Times New Roman" w:hAnsi="Times New Roman" w:cs="Times New Roman"/>
          <w:sz w:val="28"/>
          <w:szCs w:val="28"/>
        </w:rPr>
        <w:t xml:space="preserve"> cristallizzata nell’ordinanza 6 febbraio 2020 (nelle cause C-89/19, C-90/19, C-91/19 – </w:t>
      </w:r>
      <w:proofErr w:type="spellStart"/>
      <w:r>
        <w:rPr>
          <w:rFonts w:ascii="Times New Roman" w:hAnsi="Times New Roman" w:cs="Times New Roman"/>
          <w:sz w:val="28"/>
          <w:szCs w:val="28"/>
        </w:rPr>
        <w:t>Rieco</w:t>
      </w:r>
      <w:proofErr w:type="spellEnd"/>
      <w:r>
        <w:rPr>
          <w:rFonts w:ascii="Times New Roman" w:hAnsi="Times New Roman" w:cs="Times New Roman"/>
          <w:sz w:val="28"/>
          <w:szCs w:val="28"/>
        </w:rPr>
        <w:t xml:space="preserve"> S.p.A.)</w:t>
      </w:r>
      <w:r w:rsidR="00265D7A">
        <w:rPr>
          <w:rFonts w:ascii="Times New Roman" w:hAnsi="Times New Roman" w:cs="Times New Roman"/>
          <w:sz w:val="28"/>
          <w:szCs w:val="28"/>
        </w:rPr>
        <w:t>.</w:t>
      </w:r>
    </w:p>
    <w:p w:rsidR="00265D7A" w:rsidRDefault="00A17CE5" w:rsidP="00EB1BE5">
      <w:pPr>
        <w:ind w:left="360"/>
        <w:jc w:val="both"/>
        <w:rPr>
          <w:rFonts w:ascii="Times New Roman" w:hAnsi="Times New Roman" w:cs="Times New Roman"/>
          <w:sz w:val="28"/>
          <w:szCs w:val="28"/>
        </w:rPr>
      </w:pPr>
      <w:r>
        <w:rPr>
          <w:rFonts w:ascii="Times New Roman" w:hAnsi="Times New Roman" w:cs="Times New Roman"/>
          <w:sz w:val="28"/>
          <w:szCs w:val="28"/>
        </w:rPr>
        <w:t xml:space="preserve">La Corte europea ha, per quanto qui interessa, </w:t>
      </w:r>
      <w:r w:rsidR="008644BF">
        <w:rPr>
          <w:rFonts w:ascii="Times New Roman" w:hAnsi="Times New Roman" w:cs="Times New Roman"/>
          <w:sz w:val="28"/>
          <w:szCs w:val="28"/>
        </w:rPr>
        <w:t xml:space="preserve">ritenuto (richiamando i principi già enunciati nella sentenza </w:t>
      </w:r>
      <w:proofErr w:type="spellStart"/>
      <w:r w:rsidR="008644BF">
        <w:rPr>
          <w:rFonts w:ascii="Times New Roman" w:hAnsi="Times New Roman" w:cs="Times New Roman"/>
          <w:i/>
          <w:sz w:val="28"/>
          <w:szCs w:val="28"/>
        </w:rPr>
        <w:t>Irgita</w:t>
      </w:r>
      <w:proofErr w:type="spellEnd"/>
      <w:r w:rsidR="008644BF">
        <w:rPr>
          <w:rFonts w:ascii="Times New Roman" w:hAnsi="Times New Roman" w:cs="Times New Roman"/>
          <w:sz w:val="28"/>
          <w:szCs w:val="28"/>
        </w:rPr>
        <w:t>)</w:t>
      </w:r>
      <w:r w:rsidR="00265D7A">
        <w:rPr>
          <w:rFonts w:ascii="Times New Roman" w:hAnsi="Times New Roman" w:cs="Times New Roman"/>
          <w:sz w:val="28"/>
          <w:szCs w:val="28"/>
        </w:rPr>
        <w:t xml:space="preserve"> </w:t>
      </w:r>
      <w:r w:rsidR="008644BF">
        <w:rPr>
          <w:rFonts w:ascii="Times New Roman" w:hAnsi="Times New Roman" w:cs="Times New Roman"/>
          <w:sz w:val="28"/>
          <w:szCs w:val="28"/>
        </w:rPr>
        <w:t xml:space="preserve">che </w:t>
      </w:r>
      <w:r w:rsidR="00EA7E12">
        <w:rPr>
          <w:rFonts w:ascii="Times New Roman" w:hAnsi="Times New Roman" w:cs="Times New Roman"/>
          <w:sz w:val="28"/>
          <w:szCs w:val="28"/>
        </w:rPr>
        <w:t>la regola del</w:t>
      </w:r>
      <w:r w:rsidR="008644BF">
        <w:rPr>
          <w:rFonts w:ascii="Times New Roman" w:hAnsi="Times New Roman" w:cs="Times New Roman"/>
          <w:sz w:val="28"/>
          <w:szCs w:val="28"/>
        </w:rPr>
        <w:t>l</w:t>
      </w:r>
      <w:r w:rsidR="00EB1BE5">
        <w:rPr>
          <w:rFonts w:ascii="Times New Roman" w:hAnsi="Times New Roman" w:cs="Times New Roman"/>
          <w:sz w:val="28"/>
          <w:szCs w:val="28"/>
        </w:rPr>
        <w:t>a libertà di scelta delle modalità di prestazione dei servizi sanc</w:t>
      </w:r>
      <w:r w:rsidR="008644BF">
        <w:rPr>
          <w:rFonts w:ascii="Times New Roman" w:hAnsi="Times New Roman" w:cs="Times New Roman"/>
          <w:sz w:val="28"/>
          <w:szCs w:val="28"/>
        </w:rPr>
        <w:t xml:space="preserve">ita dal considerando n.5 </w:t>
      </w:r>
      <w:r w:rsidR="00EB1BE5">
        <w:rPr>
          <w:rFonts w:ascii="Times New Roman" w:hAnsi="Times New Roman" w:cs="Times New Roman"/>
          <w:sz w:val="28"/>
          <w:szCs w:val="28"/>
        </w:rPr>
        <w:t xml:space="preserve">della direttiva n.2014/24/UE </w:t>
      </w:r>
      <w:r w:rsidR="008644BF">
        <w:rPr>
          <w:rFonts w:ascii="Times New Roman" w:hAnsi="Times New Roman" w:cs="Times New Roman"/>
          <w:sz w:val="28"/>
          <w:szCs w:val="28"/>
        </w:rPr>
        <w:t>e dall’art.2, par. 1</w:t>
      </w:r>
      <w:r w:rsidR="00EB1BE5">
        <w:rPr>
          <w:rFonts w:ascii="Times New Roman" w:hAnsi="Times New Roman" w:cs="Times New Roman"/>
          <w:sz w:val="28"/>
          <w:szCs w:val="28"/>
        </w:rPr>
        <w:t>,</w:t>
      </w:r>
      <w:r w:rsidR="008644BF">
        <w:rPr>
          <w:rFonts w:ascii="Times New Roman" w:hAnsi="Times New Roman" w:cs="Times New Roman"/>
          <w:sz w:val="28"/>
          <w:szCs w:val="28"/>
        </w:rPr>
        <w:t xml:space="preserve"> </w:t>
      </w:r>
      <w:r w:rsidR="00EB1BE5">
        <w:rPr>
          <w:rFonts w:ascii="Times New Roman" w:hAnsi="Times New Roman" w:cs="Times New Roman"/>
          <w:sz w:val="28"/>
          <w:szCs w:val="28"/>
        </w:rPr>
        <w:t>d</w:t>
      </w:r>
      <w:r w:rsidR="008644BF">
        <w:rPr>
          <w:rFonts w:ascii="Times New Roman" w:hAnsi="Times New Roman" w:cs="Times New Roman"/>
          <w:sz w:val="28"/>
          <w:szCs w:val="28"/>
        </w:rPr>
        <w:t>ella direttiva</w:t>
      </w:r>
      <w:r w:rsidR="00EB1BE5">
        <w:rPr>
          <w:rFonts w:ascii="Times New Roman" w:hAnsi="Times New Roman" w:cs="Times New Roman"/>
          <w:sz w:val="28"/>
          <w:szCs w:val="28"/>
        </w:rPr>
        <w:t xml:space="preserve"> n.2014/23/UE</w:t>
      </w:r>
      <w:r w:rsidR="008644BF">
        <w:rPr>
          <w:rFonts w:ascii="Times New Roman" w:hAnsi="Times New Roman" w:cs="Times New Roman"/>
          <w:sz w:val="28"/>
          <w:szCs w:val="28"/>
        </w:rPr>
        <w:t xml:space="preserve"> </w:t>
      </w:r>
      <w:r w:rsidR="00EB1BE5">
        <w:rPr>
          <w:rFonts w:ascii="Times New Roman" w:hAnsi="Times New Roman" w:cs="Times New Roman"/>
          <w:sz w:val="28"/>
          <w:szCs w:val="28"/>
        </w:rPr>
        <w:t>dev’</w:t>
      </w:r>
      <w:r w:rsidR="00EA7E12">
        <w:rPr>
          <w:rFonts w:ascii="Times New Roman" w:hAnsi="Times New Roman" w:cs="Times New Roman"/>
          <w:sz w:val="28"/>
          <w:szCs w:val="28"/>
        </w:rPr>
        <w:t xml:space="preserve">essere intesa </w:t>
      </w:r>
      <w:r w:rsidR="009511ED">
        <w:rPr>
          <w:rFonts w:ascii="Times New Roman" w:hAnsi="Times New Roman" w:cs="Times New Roman"/>
          <w:sz w:val="28"/>
          <w:szCs w:val="28"/>
        </w:rPr>
        <w:t xml:space="preserve">(anche) come libertà degli Stati membri </w:t>
      </w:r>
      <w:r w:rsidR="00011AE2">
        <w:rPr>
          <w:rFonts w:ascii="Times New Roman" w:hAnsi="Times New Roman" w:cs="Times New Roman"/>
          <w:sz w:val="28"/>
          <w:szCs w:val="28"/>
        </w:rPr>
        <w:t xml:space="preserve">di </w:t>
      </w:r>
      <w:r w:rsidR="009511ED">
        <w:rPr>
          <w:rFonts w:ascii="Times New Roman" w:hAnsi="Times New Roman" w:cs="Times New Roman"/>
          <w:sz w:val="28"/>
          <w:szCs w:val="28"/>
        </w:rPr>
        <w:t xml:space="preserve">disciplinare discrezionalmente le modalità di organizzazione e di gestione dei servizi </w:t>
      </w:r>
      <w:r w:rsidR="00EA7E12">
        <w:rPr>
          <w:rFonts w:ascii="Times New Roman" w:hAnsi="Times New Roman" w:cs="Times New Roman"/>
          <w:sz w:val="28"/>
          <w:szCs w:val="28"/>
        </w:rPr>
        <w:t>ed applicata</w:t>
      </w:r>
      <w:r w:rsidR="00EB1BE5">
        <w:rPr>
          <w:rFonts w:ascii="Times New Roman" w:hAnsi="Times New Roman" w:cs="Times New Roman"/>
          <w:sz w:val="28"/>
          <w:szCs w:val="28"/>
        </w:rPr>
        <w:t xml:space="preserve"> in ossequio alle regole fondamentali del Trattato UE, oltre </w:t>
      </w:r>
      <w:proofErr w:type="spellStart"/>
      <w:r w:rsidR="00EB1BE5">
        <w:rPr>
          <w:rFonts w:ascii="Times New Roman" w:hAnsi="Times New Roman" w:cs="Times New Roman"/>
          <w:sz w:val="28"/>
          <w:szCs w:val="28"/>
        </w:rPr>
        <w:t>chè</w:t>
      </w:r>
      <w:proofErr w:type="spellEnd"/>
      <w:r w:rsidR="00EB1BE5">
        <w:rPr>
          <w:rFonts w:ascii="Times New Roman" w:hAnsi="Times New Roman" w:cs="Times New Roman"/>
          <w:sz w:val="28"/>
          <w:szCs w:val="28"/>
        </w:rPr>
        <w:t xml:space="preserve"> in coerenza con la disciplina </w:t>
      </w:r>
      <w:proofErr w:type="spellStart"/>
      <w:r w:rsidR="00EB1BE5">
        <w:rPr>
          <w:rFonts w:ascii="Times New Roman" w:hAnsi="Times New Roman" w:cs="Times New Roman"/>
          <w:sz w:val="28"/>
          <w:szCs w:val="28"/>
        </w:rPr>
        <w:t>dell’</w:t>
      </w:r>
      <w:r w:rsidR="00EB1BE5" w:rsidRPr="00EA7E12">
        <w:rPr>
          <w:rFonts w:ascii="Times New Roman" w:hAnsi="Times New Roman" w:cs="Times New Roman"/>
          <w:i/>
          <w:sz w:val="28"/>
          <w:szCs w:val="28"/>
        </w:rPr>
        <w:t>in</w:t>
      </w:r>
      <w:proofErr w:type="spellEnd"/>
      <w:r w:rsidR="00EB1BE5" w:rsidRPr="00EA7E12">
        <w:rPr>
          <w:rFonts w:ascii="Times New Roman" w:hAnsi="Times New Roman" w:cs="Times New Roman"/>
          <w:i/>
          <w:sz w:val="28"/>
          <w:szCs w:val="28"/>
        </w:rPr>
        <w:t xml:space="preserve"> </w:t>
      </w:r>
      <w:proofErr w:type="spellStart"/>
      <w:r w:rsidR="00EB1BE5" w:rsidRPr="00EA7E12">
        <w:rPr>
          <w:rFonts w:ascii="Times New Roman" w:hAnsi="Times New Roman" w:cs="Times New Roman"/>
          <w:i/>
          <w:sz w:val="28"/>
          <w:szCs w:val="28"/>
        </w:rPr>
        <w:t>house</w:t>
      </w:r>
      <w:proofErr w:type="spellEnd"/>
      <w:r w:rsidR="00EB1BE5" w:rsidRPr="00EA7E12">
        <w:rPr>
          <w:rFonts w:ascii="Times New Roman" w:hAnsi="Times New Roman" w:cs="Times New Roman"/>
          <w:i/>
          <w:sz w:val="28"/>
          <w:szCs w:val="28"/>
        </w:rPr>
        <w:t xml:space="preserve"> </w:t>
      </w:r>
      <w:proofErr w:type="spellStart"/>
      <w:r w:rsidR="00EB1BE5" w:rsidRPr="00EA7E12">
        <w:rPr>
          <w:rFonts w:ascii="Times New Roman" w:hAnsi="Times New Roman" w:cs="Times New Roman"/>
          <w:i/>
          <w:sz w:val="28"/>
          <w:szCs w:val="28"/>
        </w:rPr>
        <w:t>providing</w:t>
      </w:r>
      <w:proofErr w:type="spellEnd"/>
      <w:r w:rsidR="00EB1BE5">
        <w:rPr>
          <w:rFonts w:ascii="Times New Roman" w:hAnsi="Times New Roman" w:cs="Times New Roman"/>
          <w:sz w:val="28"/>
          <w:szCs w:val="28"/>
        </w:rPr>
        <w:t xml:space="preserve"> cristallizzata all’art.12, par. 1, della direttiva n.2014/24/UE, e, quindi, non osta a una dis</w:t>
      </w:r>
      <w:r w:rsidR="00F414A8">
        <w:rPr>
          <w:rFonts w:ascii="Times New Roman" w:hAnsi="Times New Roman" w:cs="Times New Roman"/>
          <w:sz w:val="28"/>
          <w:szCs w:val="28"/>
        </w:rPr>
        <w:t>cip</w:t>
      </w:r>
      <w:r w:rsidR="00EB1BE5">
        <w:rPr>
          <w:rFonts w:ascii="Times New Roman" w:hAnsi="Times New Roman" w:cs="Times New Roman"/>
          <w:sz w:val="28"/>
          <w:szCs w:val="28"/>
        </w:rPr>
        <w:t xml:space="preserve">lina nazionale, quale quella contenuta </w:t>
      </w:r>
      <w:r w:rsidR="00F414A8">
        <w:rPr>
          <w:rFonts w:ascii="Times New Roman" w:hAnsi="Times New Roman" w:cs="Times New Roman"/>
          <w:sz w:val="28"/>
          <w:szCs w:val="28"/>
        </w:rPr>
        <w:t>neg</w:t>
      </w:r>
      <w:r w:rsidR="00EB1BE5">
        <w:rPr>
          <w:rFonts w:ascii="Times New Roman" w:hAnsi="Times New Roman" w:cs="Times New Roman"/>
          <w:sz w:val="28"/>
          <w:szCs w:val="28"/>
        </w:rPr>
        <w:t xml:space="preserve">li artt.192, comma 2, </w:t>
      </w:r>
      <w:r w:rsidR="007E33EF">
        <w:rPr>
          <w:rFonts w:ascii="Times New Roman" w:hAnsi="Times New Roman" w:cs="Times New Roman"/>
          <w:sz w:val="28"/>
          <w:szCs w:val="28"/>
        </w:rPr>
        <w:t>d.lgs. n.50 del 2016 e 4, comma 1, d.lgs. n.175 del 2016</w:t>
      </w:r>
      <w:r w:rsidR="00F414A8">
        <w:rPr>
          <w:rFonts w:ascii="Times New Roman" w:hAnsi="Times New Roman" w:cs="Times New Roman"/>
          <w:sz w:val="28"/>
          <w:szCs w:val="28"/>
        </w:rPr>
        <w:t xml:space="preserve"> (che restano, quindi, immuni da vizi di contrasto con il diritto dell’Unione)</w:t>
      </w:r>
      <w:r w:rsidR="007E33EF">
        <w:rPr>
          <w:rFonts w:ascii="Times New Roman" w:hAnsi="Times New Roman" w:cs="Times New Roman"/>
          <w:sz w:val="28"/>
          <w:szCs w:val="28"/>
        </w:rPr>
        <w:t>.</w:t>
      </w:r>
    </w:p>
    <w:p w:rsidR="007E33EF" w:rsidRDefault="00F414A8" w:rsidP="00EB1BE5">
      <w:pPr>
        <w:ind w:left="360"/>
        <w:jc w:val="both"/>
        <w:rPr>
          <w:rFonts w:ascii="Times New Roman" w:hAnsi="Times New Roman" w:cs="Times New Roman"/>
          <w:sz w:val="28"/>
          <w:szCs w:val="28"/>
        </w:rPr>
      </w:pPr>
      <w:r>
        <w:rPr>
          <w:rFonts w:ascii="Times New Roman" w:hAnsi="Times New Roman" w:cs="Times New Roman"/>
          <w:sz w:val="28"/>
          <w:szCs w:val="28"/>
        </w:rPr>
        <w:t>Tali</w:t>
      </w:r>
      <w:r w:rsidR="007E33EF">
        <w:rPr>
          <w:rFonts w:ascii="Times New Roman" w:hAnsi="Times New Roman" w:cs="Times New Roman"/>
          <w:sz w:val="28"/>
          <w:szCs w:val="28"/>
        </w:rPr>
        <w:t xml:space="preserve"> disposizi</w:t>
      </w:r>
      <w:r>
        <w:rPr>
          <w:rFonts w:ascii="Times New Roman" w:hAnsi="Times New Roman" w:cs="Times New Roman"/>
          <w:sz w:val="28"/>
          <w:szCs w:val="28"/>
        </w:rPr>
        <w:t>oni</w:t>
      </w:r>
      <w:r w:rsidR="007E33EF">
        <w:rPr>
          <w:rFonts w:ascii="Times New Roman" w:hAnsi="Times New Roman" w:cs="Times New Roman"/>
          <w:sz w:val="28"/>
          <w:szCs w:val="28"/>
        </w:rPr>
        <w:t xml:space="preserve">, infatti, </w:t>
      </w:r>
      <w:r w:rsidR="00EA7E12">
        <w:rPr>
          <w:rFonts w:ascii="Times New Roman" w:hAnsi="Times New Roman" w:cs="Times New Roman"/>
          <w:sz w:val="28"/>
          <w:szCs w:val="28"/>
        </w:rPr>
        <w:t xml:space="preserve">secondo i giudici di Lussemburgo, </w:t>
      </w:r>
      <w:r w:rsidR="007E33EF">
        <w:rPr>
          <w:rFonts w:ascii="Times New Roman" w:hAnsi="Times New Roman" w:cs="Times New Roman"/>
          <w:sz w:val="28"/>
          <w:szCs w:val="28"/>
        </w:rPr>
        <w:t>introducendo un regime “aggravato” per il ricorso all’opzione di un’operazione interna (</w:t>
      </w:r>
      <w:r w:rsidR="007E33EF" w:rsidRPr="00EA7E12">
        <w:rPr>
          <w:rFonts w:ascii="Times New Roman" w:hAnsi="Times New Roman" w:cs="Times New Roman"/>
          <w:i/>
          <w:sz w:val="28"/>
          <w:szCs w:val="28"/>
        </w:rPr>
        <w:t xml:space="preserve">in </w:t>
      </w:r>
      <w:proofErr w:type="spellStart"/>
      <w:r w:rsidR="007E33EF" w:rsidRPr="00EA7E12">
        <w:rPr>
          <w:rFonts w:ascii="Times New Roman" w:hAnsi="Times New Roman" w:cs="Times New Roman"/>
          <w:i/>
          <w:sz w:val="28"/>
          <w:szCs w:val="28"/>
        </w:rPr>
        <w:t>house</w:t>
      </w:r>
      <w:proofErr w:type="spellEnd"/>
      <w:r w:rsidR="007E33EF">
        <w:rPr>
          <w:rFonts w:ascii="Times New Roman" w:hAnsi="Times New Roman" w:cs="Times New Roman"/>
          <w:sz w:val="28"/>
          <w:szCs w:val="28"/>
        </w:rPr>
        <w:t>)</w:t>
      </w:r>
      <w:r>
        <w:rPr>
          <w:rFonts w:ascii="Times New Roman" w:hAnsi="Times New Roman" w:cs="Times New Roman"/>
          <w:sz w:val="28"/>
          <w:szCs w:val="28"/>
        </w:rPr>
        <w:t>,</w:t>
      </w:r>
      <w:r w:rsidR="007E33EF">
        <w:rPr>
          <w:rFonts w:ascii="Times New Roman" w:hAnsi="Times New Roman" w:cs="Times New Roman"/>
          <w:sz w:val="28"/>
          <w:szCs w:val="28"/>
        </w:rPr>
        <w:t xml:space="preserve"> non possono intendersi confliggenti con il regime positivo delle direttive di riferimento che, </w:t>
      </w:r>
      <w:proofErr w:type="spellStart"/>
      <w:r w:rsidR="007E33EF">
        <w:rPr>
          <w:rFonts w:ascii="Times New Roman" w:hAnsi="Times New Roman" w:cs="Times New Roman"/>
          <w:sz w:val="28"/>
          <w:szCs w:val="28"/>
        </w:rPr>
        <w:t>ancorchè</w:t>
      </w:r>
      <w:proofErr w:type="spellEnd"/>
      <w:r w:rsidR="007E33EF">
        <w:rPr>
          <w:rFonts w:ascii="Times New Roman" w:hAnsi="Times New Roman" w:cs="Times New Roman"/>
          <w:sz w:val="28"/>
          <w:szCs w:val="28"/>
        </w:rPr>
        <w:t xml:space="preserve"> non prescrittive degli oneri ulteriori stabiliti dal legislatore nazionale italiano</w:t>
      </w:r>
      <w:r>
        <w:rPr>
          <w:rFonts w:ascii="Times New Roman" w:hAnsi="Times New Roman" w:cs="Times New Roman"/>
          <w:sz w:val="28"/>
          <w:szCs w:val="28"/>
        </w:rPr>
        <w:t xml:space="preserve"> per l’anzidetta modalità di gestione</w:t>
      </w:r>
      <w:r w:rsidR="007E33EF">
        <w:rPr>
          <w:rFonts w:ascii="Times New Roman" w:hAnsi="Times New Roman" w:cs="Times New Roman"/>
          <w:sz w:val="28"/>
          <w:szCs w:val="28"/>
        </w:rPr>
        <w:t>, ammettono una loro trasposizione che</w:t>
      </w:r>
      <w:r w:rsidR="009511ED">
        <w:rPr>
          <w:rFonts w:ascii="Times New Roman" w:hAnsi="Times New Roman" w:cs="Times New Roman"/>
          <w:sz w:val="28"/>
          <w:szCs w:val="28"/>
        </w:rPr>
        <w:t>, entro gli ampi spazi di libertà riconosciuti agli Stati membri,</w:t>
      </w:r>
      <w:r w:rsidR="007E33EF">
        <w:rPr>
          <w:rFonts w:ascii="Times New Roman" w:hAnsi="Times New Roman" w:cs="Times New Roman"/>
          <w:sz w:val="28"/>
          <w:szCs w:val="28"/>
        </w:rPr>
        <w:t xml:space="preserve"> risulti rispettosa dei principi generali di tutela del mercato interno </w:t>
      </w:r>
      <w:r w:rsidR="009511ED">
        <w:rPr>
          <w:rFonts w:ascii="Times New Roman" w:hAnsi="Times New Roman" w:cs="Times New Roman"/>
          <w:sz w:val="28"/>
          <w:szCs w:val="28"/>
        </w:rPr>
        <w:t xml:space="preserve">(e, in particolare, della libertà di stabilimento e della libera prestazione dei servizi) </w:t>
      </w:r>
      <w:r w:rsidR="007E33EF">
        <w:rPr>
          <w:rFonts w:ascii="Times New Roman" w:hAnsi="Times New Roman" w:cs="Times New Roman"/>
          <w:sz w:val="28"/>
          <w:szCs w:val="28"/>
        </w:rPr>
        <w:t>e della concorrenza.</w:t>
      </w:r>
    </w:p>
    <w:p w:rsidR="007E33EF" w:rsidRDefault="007E33EF" w:rsidP="00EB1BE5">
      <w:pPr>
        <w:ind w:left="360"/>
        <w:jc w:val="both"/>
        <w:rPr>
          <w:rFonts w:ascii="Times New Roman" w:hAnsi="Times New Roman" w:cs="Times New Roman"/>
          <w:sz w:val="28"/>
          <w:szCs w:val="28"/>
        </w:rPr>
      </w:pPr>
      <w:r>
        <w:rPr>
          <w:rFonts w:ascii="Times New Roman" w:hAnsi="Times New Roman" w:cs="Times New Roman"/>
          <w:sz w:val="28"/>
          <w:szCs w:val="28"/>
        </w:rPr>
        <w:t>Si deve, ancora una volta, r</w:t>
      </w:r>
      <w:r w:rsidR="00F414A8">
        <w:rPr>
          <w:rFonts w:ascii="Times New Roman" w:hAnsi="Times New Roman" w:cs="Times New Roman"/>
          <w:sz w:val="28"/>
          <w:szCs w:val="28"/>
        </w:rPr>
        <w:t>egistrare un approccio ermeneutico che predilige un’esegesi restrittiva del diritto positivo</w:t>
      </w:r>
      <w:r w:rsidR="00D346D5">
        <w:rPr>
          <w:rFonts w:ascii="Times New Roman" w:hAnsi="Times New Roman" w:cs="Times New Roman"/>
          <w:sz w:val="28"/>
          <w:szCs w:val="28"/>
        </w:rPr>
        <w:t xml:space="preserve">, </w:t>
      </w:r>
      <w:r w:rsidR="00EA7E12">
        <w:rPr>
          <w:rFonts w:ascii="Times New Roman" w:hAnsi="Times New Roman" w:cs="Times New Roman"/>
          <w:sz w:val="28"/>
          <w:szCs w:val="28"/>
        </w:rPr>
        <w:t xml:space="preserve">in favore di </w:t>
      </w:r>
      <w:r w:rsidR="00D346D5">
        <w:rPr>
          <w:rFonts w:ascii="Times New Roman" w:hAnsi="Times New Roman" w:cs="Times New Roman"/>
          <w:sz w:val="28"/>
          <w:szCs w:val="28"/>
        </w:rPr>
        <w:t>un’applicazione estensiva e generalizzata dei principi generali relativi a uno sviluppo concorrenziale del mercato interno</w:t>
      </w:r>
      <w:r w:rsidR="00AF704E">
        <w:rPr>
          <w:rStyle w:val="Rimandonotaapidipagina"/>
          <w:rFonts w:ascii="Times New Roman" w:hAnsi="Times New Roman" w:cs="Times New Roman"/>
          <w:sz w:val="28"/>
          <w:szCs w:val="28"/>
        </w:rPr>
        <w:footnoteReference w:id="14"/>
      </w:r>
      <w:r w:rsidR="00F414A8">
        <w:rPr>
          <w:rFonts w:ascii="Times New Roman" w:hAnsi="Times New Roman" w:cs="Times New Roman"/>
          <w:sz w:val="28"/>
          <w:szCs w:val="28"/>
        </w:rPr>
        <w:t>.</w:t>
      </w:r>
      <w:r>
        <w:rPr>
          <w:rFonts w:ascii="Times New Roman" w:hAnsi="Times New Roman" w:cs="Times New Roman"/>
          <w:sz w:val="28"/>
          <w:szCs w:val="28"/>
        </w:rPr>
        <w:t xml:space="preserve">   </w:t>
      </w:r>
    </w:p>
    <w:p w:rsidR="00F414A8" w:rsidRDefault="00F414A8" w:rsidP="00EB1BE5">
      <w:pPr>
        <w:ind w:left="360"/>
        <w:jc w:val="both"/>
        <w:rPr>
          <w:rFonts w:ascii="Times New Roman" w:hAnsi="Times New Roman" w:cs="Times New Roman"/>
          <w:sz w:val="28"/>
          <w:szCs w:val="28"/>
        </w:rPr>
      </w:pPr>
      <w:r>
        <w:rPr>
          <w:rFonts w:ascii="Times New Roman" w:hAnsi="Times New Roman" w:cs="Times New Roman"/>
          <w:sz w:val="28"/>
          <w:szCs w:val="28"/>
        </w:rPr>
        <w:t xml:space="preserve">Pur in difetto di una previsione europea che limiti il ricorso alla gestione diretta con condizioni ulteriori rispetto a quelle stabilite dalla giurisprudenza poi </w:t>
      </w:r>
      <w:proofErr w:type="spellStart"/>
      <w:r>
        <w:rPr>
          <w:rFonts w:ascii="Times New Roman" w:hAnsi="Times New Roman" w:cs="Times New Roman"/>
          <w:sz w:val="28"/>
          <w:szCs w:val="28"/>
        </w:rPr>
        <w:t>legificata</w:t>
      </w:r>
      <w:proofErr w:type="spellEnd"/>
      <w:r>
        <w:rPr>
          <w:rFonts w:ascii="Times New Roman" w:hAnsi="Times New Roman" w:cs="Times New Roman"/>
          <w:sz w:val="28"/>
          <w:szCs w:val="28"/>
        </w:rPr>
        <w:t xml:space="preserve"> nella direttiva sulle concessioni, la Corte di Lussemburgo ha, nondimeno, giudicato compatibile con il diritto dell’Unione una disciplina nazionale che introduca requisiti e adempimenti non pre</w:t>
      </w:r>
      <w:r w:rsidR="002B2BED">
        <w:rPr>
          <w:rFonts w:ascii="Times New Roman" w:hAnsi="Times New Roman" w:cs="Times New Roman"/>
          <w:sz w:val="28"/>
          <w:szCs w:val="28"/>
        </w:rPr>
        <w:t>visti dal diritto europeo per la gestione diretta</w:t>
      </w:r>
      <w:r>
        <w:rPr>
          <w:rFonts w:ascii="Times New Roman" w:hAnsi="Times New Roman" w:cs="Times New Roman"/>
          <w:sz w:val="28"/>
          <w:szCs w:val="28"/>
        </w:rPr>
        <w:t xml:space="preserve"> (</w:t>
      </w:r>
      <w:r w:rsidRPr="00D346D5">
        <w:rPr>
          <w:rFonts w:ascii="Times New Roman" w:hAnsi="Times New Roman" w:cs="Times New Roman"/>
          <w:i/>
          <w:sz w:val="28"/>
          <w:szCs w:val="28"/>
        </w:rPr>
        <w:t xml:space="preserve">in </w:t>
      </w:r>
      <w:proofErr w:type="spellStart"/>
      <w:r w:rsidRPr="00D346D5">
        <w:rPr>
          <w:rFonts w:ascii="Times New Roman" w:hAnsi="Times New Roman" w:cs="Times New Roman"/>
          <w:i/>
          <w:sz w:val="28"/>
          <w:szCs w:val="28"/>
        </w:rPr>
        <w:t>house</w:t>
      </w:r>
      <w:proofErr w:type="spellEnd"/>
      <w:r>
        <w:rPr>
          <w:rFonts w:ascii="Times New Roman" w:hAnsi="Times New Roman" w:cs="Times New Roman"/>
          <w:sz w:val="28"/>
          <w:szCs w:val="28"/>
        </w:rPr>
        <w:t>).</w:t>
      </w:r>
    </w:p>
    <w:p w:rsidR="00F414A8" w:rsidRDefault="00F414A8" w:rsidP="00EB1BE5">
      <w:pPr>
        <w:ind w:left="360"/>
        <w:jc w:val="both"/>
        <w:rPr>
          <w:rFonts w:ascii="Times New Roman" w:hAnsi="Times New Roman" w:cs="Times New Roman"/>
          <w:sz w:val="28"/>
          <w:szCs w:val="28"/>
        </w:rPr>
      </w:pPr>
      <w:r>
        <w:rPr>
          <w:rFonts w:ascii="Times New Roman" w:hAnsi="Times New Roman" w:cs="Times New Roman"/>
          <w:sz w:val="28"/>
          <w:szCs w:val="28"/>
        </w:rPr>
        <w:t>E lo fa attingendo a principi fondamentali del Trattato (e, segnatamente, alle libertà afferenti al funzionamento del mercato</w:t>
      </w:r>
      <w:r w:rsidR="00D346D5">
        <w:rPr>
          <w:rFonts w:ascii="Times New Roman" w:hAnsi="Times New Roman" w:cs="Times New Roman"/>
          <w:sz w:val="28"/>
          <w:szCs w:val="28"/>
        </w:rPr>
        <w:t xml:space="preserve"> interno), che dovrebbero essere</w:t>
      </w:r>
      <w:r w:rsidR="002B2BED">
        <w:rPr>
          <w:rFonts w:ascii="Times New Roman" w:hAnsi="Times New Roman" w:cs="Times New Roman"/>
          <w:sz w:val="28"/>
          <w:szCs w:val="28"/>
        </w:rPr>
        <w:t xml:space="preserve"> già assorbiti</w:t>
      </w:r>
      <w:r>
        <w:rPr>
          <w:rFonts w:ascii="Times New Roman" w:hAnsi="Times New Roman" w:cs="Times New Roman"/>
          <w:sz w:val="28"/>
          <w:szCs w:val="28"/>
        </w:rPr>
        <w:t xml:space="preserve"> dalla disciplina positiva consacrata nelle direttive di riferimento.</w:t>
      </w:r>
    </w:p>
    <w:p w:rsidR="00F414A8" w:rsidRDefault="00F414A8" w:rsidP="00EB1BE5">
      <w:pPr>
        <w:ind w:left="360"/>
        <w:jc w:val="both"/>
        <w:rPr>
          <w:rFonts w:ascii="Times New Roman" w:hAnsi="Times New Roman" w:cs="Times New Roman"/>
          <w:sz w:val="28"/>
          <w:szCs w:val="28"/>
        </w:rPr>
      </w:pPr>
      <w:r>
        <w:rPr>
          <w:rFonts w:ascii="Times New Roman" w:hAnsi="Times New Roman" w:cs="Times New Roman"/>
          <w:sz w:val="28"/>
          <w:szCs w:val="28"/>
        </w:rPr>
        <w:t>Resta, così, confermata l’impress</w:t>
      </w:r>
      <w:r w:rsidR="00E726D1">
        <w:rPr>
          <w:rFonts w:ascii="Times New Roman" w:hAnsi="Times New Roman" w:cs="Times New Roman"/>
          <w:sz w:val="28"/>
          <w:szCs w:val="28"/>
        </w:rPr>
        <w:t>i</w:t>
      </w:r>
      <w:r>
        <w:rPr>
          <w:rFonts w:ascii="Times New Roman" w:hAnsi="Times New Roman" w:cs="Times New Roman"/>
          <w:sz w:val="28"/>
          <w:szCs w:val="28"/>
        </w:rPr>
        <w:t xml:space="preserve">one che le interpretazioni delle alte Corti scontano (e obbediscono a) un paradigma </w:t>
      </w:r>
      <w:proofErr w:type="spellStart"/>
      <w:r>
        <w:rPr>
          <w:rFonts w:ascii="Times New Roman" w:hAnsi="Times New Roman" w:cs="Times New Roman"/>
          <w:sz w:val="28"/>
          <w:szCs w:val="28"/>
        </w:rPr>
        <w:t>proconcorrenziale</w:t>
      </w:r>
      <w:proofErr w:type="spellEnd"/>
      <w:r>
        <w:rPr>
          <w:rFonts w:ascii="Times New Roman" w:hAnsi="Times New Roman" w:cs="Times New Roman"/>
          <w:sz w:val="28"/>
          <w:szCs w:val="28"/>
        </w:rPr>
        <w:t xml:space="preserve">, anche quando estraneo alla disciplina positiva di riferimento o, comunque, già in essa considerato e compreso. </w:t>
      </w:r>
    </w:p>
    <w:p w:rsidR="00E726D1" w:rsidRDefault="00E726D1" w:rsidP="00EB1BE5">
      <w:pPr>
        <w:ind w:left="360"/>
        <w:jc w:val="both"/>
        <w:rPr>
          <w:rFonts w:ascii="Times New Roman" w:hAnsi="Times New Roman" w:cs="Times New Roman"/>
          <w:sz w:val="28"/>
          <w:szCs w:val="28"/>
        </w:rPr>
      </w:pPr>
      <w:r>
        <w:rPr>
          <w:rFonts w:ascii="Times New Roman" w:hAnsi="Times New Roman" w:cs="Times New Roman"/>
          <w:sz w:val="28"/>
          <w:szCs w:val="28"/>
        </w:rPr>
        <w:t xml:space="preserve">Al pronunciamento della Corte di Giustizia sopravvive, in ogni caso, integro il principio di libertà di amministrazione (e non avrebbe potuto essere altrimenti), </w:t>
      </w:r>
      <w:proofErr w:type="spellStart"/>
      <w:r>
        <w:rPr>
          <w:rFonts w:ascii="Times New Roman" w:hAnsi="Times New Roman" w:cs="Times New Roman"/>
          <w:sz w:val="28"/>
          <w:szCs w:val="28"/>
        </w:rPr>
        <w:t>sicchè</w:t>
      </w:r>
      <w:proofErr w:type="spellEnd"/>
      <w:r>
        <w:rPr>
          <w:rFonts w:ascii="Times New Roman" w:hAnsi="Times New Roman" w:cs="Times New Roman"/>
          <w:sz w:val="28"/>
          <w:szCs w:val="28"/>
        </w:rPr>
        <w:t xml:space="preserve">, non solo il regime aggravato </w:t>
      </w:r>
      <w:proofErr w:type="spellStart"/>
      <w:r>
        <w:rPr>
          <w:rFonts w:ascii="Times New Roman" w:hAnsi="Times New Roman" w:cs="Times New Roman"/>
          <w:sz w:val="28"/>
          <w:szCs w:val="28"/>
        </w:rPr>
        <w:t>dell’</w:t>
      </w:r>
      <w:r w:rsidRPr="008A3864">
        <w:rPr>
          <w:rFonts w:ascii="Times New Roman" w:hAnsi="Times New Roman" w:cs="Times New Roman"/>
          <w:i/>
          <w:sz w:val="28"/>
          <w:szCs w:val="28"/>
        </w:rPr>
        <w:t>in</w:t>
      </w:r>
      <w:proofErr w:type="spellEnd"/>
      <w:r w:rsidRPr="008A3864">
        <w:rPr>
          <w:rFonts w:ascii="Times New Roman" w:hAnsi="Times New Roman" w:cs="Times New Roman"/>
          <w:i/>
          <w:sz w:val="28"/>
          <w:szCs w:val="28"/>
        </w:rPr>
        <w:t xml:space="preserve"> </w:t>
      </w:r>
      <w:proofErr w:type="spellStart"/>
      <w:r w:rsidRPr="008A3864">
        <w:rPr>
          <w:rFonts w:ascii="Times New Roman" w:hAnsi="Times New Roman" w:cs="Times New Roman"/>
          <w:i/>
          <w:sz w:val="28"/>
          <w:szCs w:val="28"/>
        </w:rPr>
        <w:t>house</w:t>
      </w:r>
      <w:proofErr w:type="spellEnd"/>
      <w:r>
        <w:rPr>
          <w:rFonts w:ascii="Times New Roman" w:hAnsi="Times New Roman" w:cs="Times New Roman"/>
          <w:sz w:val="28"/>
          <w:szCs w:val="28"/>
        </w:rPr>
        <w:t xml:space="preserve"> intr</w:t>
      </w:r>
      <w:r w:rsidR="00E0001F">
        <w:rPr>
          <w:rFonts w:ascii="Times New Roman" w:hAnsi="Times New Roman" w:cs="Times New Roman"/>
          <w:sz w:val="28"/>
          <w:szCs w:val="28"/>
        </w:rPr>
        <w:t>odotto dal Legislatore italiano</w:t>
      </w:r>
      <w:r>
        <w:rPr>
          <w:rFonts w:ascii="Times New Roman" w:hAnsi="Times New Roman" w:cs="Times New Roman"/>
          <w:sz w:val="28"/>
          <w:szCs w:val="28"/>
        </w:rPr>
        <w:t xml:space="preserve"> non può intendersi imposto dal diritto europeo, ma quest’ultimo continua a fondarsi sulla libertà di scelta tra i diversi moduli di gestione offerti dalla direttiva all’opzione discrezionale delle autorità nazionali.</w:t>
      </w:r>
    </w:p>
    <w:p w:rsidR="00A8451F" w:rsidRDefault="00E726D1" w:rsidP="00E726D1">
      <w:pPr>
        <w:ind w:left="360"/>
        <w:jc w:val="both"/>
        <w:rPr>
          <w:rFonts w:ascii="Times New Roman" w:hAnsi="Times New Roman" w:cs="Times New Roman"/>
          <w:sz w:val="28"/>
          <w:szCs w:val="28"/>
        </w:rPr>
      </w:pPr>
      <w:r>
        <w:rPr>
          <w:rFonts w:ascii="Times New Roman" w:hAnsi="Times New Roman" w:cs="Times New Roman"/>
          <w:sz w:val="28"/>
          <w:szCs w:val="28"/>
        </w:rPr>
        <w:t>Tale principio dovrà, pertanto, continuare a presidiare la regolazione futura di gestione dei servizi pubblici, che potrà, sì, contemplare regimi più avanzati di tutela del mercato, ma con la consapevolezza che le relative scelte politiche non sono imposte dal diritto positivo dell’Unione</w:t>
      </w:r>
      <w:r w:rsidR="00D346D5">
        <w:rPr>
          <w:rFonts w:ascii="Times New Roman" w:hAnsi="Times New Roman" w:cs="Times New Roman"/>
          <w:sz w:val="28"/>
          <w:szCs w:val="28"/>
        </w:rPr>
        <w:t xml:space="preserve"> (e rischiano di entrare in frizione con esso)</w:t>
      </w:r>
      <w:r>
        <w:rPr>
          <w:rFonts w:ascii="Times New Roman" w:hAnsi="Times New Roman" w:cs="Times New Roman"/>
          <w:sz w:val="28"/>
          <w:szCs w:val="28"/>
        </w:rPr>
        <w:t xml:space="preserve">.   </w:t>
      </w:r>
    </w:p>
    <w:p w:rsidR="001E3B85" w:rsidRDefault="001E3B85" w:rsidP="001A07DE">
      <w:pPr>
        <w:ind w:left="360"/>
        <w:jc w:val="both"/>
        <w:rPr>
          <w:rFonts w:ascii="Times New Roman" w:hAnsi="Times New Roman" w:cs="Times New Roman"/>
          <w:b/>
          <w:sz w:val="28"/>
          <w:szCs w:val="28"/>
        </w:rPr>
      </w:pPr>
    </w:p>
    <w:p w:rsidR="00A8451F" w:rsidRDefault="00E726D1" w:rsidP="001A07DE">
      <w:pPr>
        <w:ind w:left="360"/>
        <w:jc w:val="both"/>
        <w:rPr>
          <w:rFonts w:ascii="Times New Roman" w:hAnsi="Times New Roman" w:cs="Times New Roman"/>
          <w:b/>
          <w:sz w:val="28"/>
          <w:szCs w:val="28"/>
        </w:rPr>
      </w:pPr>
      <w:r>
        <w:rPr>
          <w:rFonts w:ascii="Times New Roman" w:hAnsi="Times New Roman" w:cs="Times New Roman"/>
          <w:b/>
          <w:sz w:val="28"/>
          <w:szCs w:val="28"/>
        </w:rPr>
        <w:t>4</w:t>
      </w:r>
      <w:r w:rsidR="00D01C8F">
        <w:rPr>
          <w:rFonts w:ascii="Times New Roman" w:hAnsi="Times New Roman" w:cs="Times New Roman"/>
          <w:b/>
          <w:sz w:val="28"/>
          <w:szCs w:val="28"/>
        </w:rPr>
        <w:t>.</w:t>
      </w:r>
      <w:r w:rsidR="00F43416" w:rsidRPr="00F43416">
        <w:rPr>
          <w:rFonts w:ascii="Times New Roman" w:hAnsi="Times New Roman" w:cs="Times New Roman"/>
          <w:b/>
          <w:sz w:val="28"/>
          <w:szCs w:val="28"/>
        </w:rPr>
        <w:t xml:space="preserve"> </w:t>
      </w:r>
      <w:r w:rsidR="00F43416">
        <w:rPr>
          <w:rFonts w:ascii="Times New Roman" w:hAnsi="Times New Roman" w:cs="Times New Roman"/>
          <w:b/>
          <w:sz w:val="28"/>
          <w:szCs w:val="28"/>
        </w:rPr>
        <w:t>Considerazioni conclusive: la necessità che la libertà di amministrazione resti il principio cardine</w:t>
      </w:r>
    </w:p>
    <w:p w:rsidR="00ED288E" w:rsidRDefault="00ED288E" w:rsidP="001A07DE">
      <w:pPr>
        <w:ind w:left="360"/>
        <w:jc w:val="both"/>
        <w:rPr>
          <w:rFonts w:ascii="Times New Roman" w:hAnsi="Times New Roman" w:cs="Times New Roman"/>
          <w:sz w:val="28"/>
          <w:szCs w:val="28"/>
        </w:rPr>
      </w:pPr>
    </w:p>
    <w:p w:rsidR="0043685B" w:rsidRDefault="0043685B" w:rsidP="001A07DE">
      <w:pPr>
        <w:ind w:left="360"/>
        <w:jc w:val="both"/>
        <w:rPr>
          <w:rFonts w:ascii="Times New Roman" w:hAnsi="Times New Roman" w:cs="Times New Roman"/>
          <w:sz w:val="28"/>
          <w:szCs w:val="28"/>
        </w:rPr>
      </w:pPr>
      <w:r>
        <w:rPr>
          <w:rFonts w:ascii="Times New Roman" w:hAnsi="Times New Roman" w:cs="Times New Roman"/>
          <w:sz w:val="28"/>
          <w:szCs w:val="28"/>
        </w:rPr>
        <w:t>Si ricava, in conclusione, l’impressione di un regime schizofrenico, o, comunque, instabile</w:t>
      </w:r>
      <w:r w:rsidR="001E3B85">
        <w:rPr>
          <w:rFonts w:ascii="Times New Roman" w:hAnsi="Times New Roman" w:cs="Times New Roman"/>
          <w:sz w:val="28"/>
          <w:szCs w:val="28"/>
        </w:rPr>
        <w:t xml:space="preserve"> e incerto, che sconta</w:t>
      </w:r>
      <w:r w:rsidR="00E102C5">
        <w:rPr>
          <w:rFonts w:ascii="Times New Roman" w:hAnsi="Times New Roman" w:cs="Times New Roman"/>
          <w:sz w:val="28"/>
          <w:szCs w:val="28"/>
        </w:rPr>
        <w:t>, oltre a</w:t>
      </w:r>
      <w:r w:rsidR="00DA2377">
        <w:rPr>
          <w:rFonts w:ascii="Times New Roman" w:hAnsi="Times New Roman" w:cs="Times New Roman"/>
          <w:sz w:val="28"/>
          <w:szCs w:val="28"/>
        </w:rPr>
        <w:t xml:space="preserve"> divergenti approcci “politici</w:t>
      </w:r>
      <w:r w:rsidR="00E102C5">
        <w:rPr>
          <w:rFonts w:ascii="Times New Roman" w:hAnsi="Times New Roman" w:cs="Times New Roman"/>
          <w:sz w:val="28"/>
          <w:szCs w:val="28"/>
        </w:rPr>
        <w:t>”,</w:t>
      </w:r>
      <w:r w:rsidR="001E3B85">
        <w:rPr>
          <w:rFonts w:ascii="Times New Roman" w:hAnsi="Times New Roman" w:cs="Times New Roman"/>
          <w:sz w:val="28"/>
          <w:szCs w:val="28"/>
        </w:rPr>
        <w:t xml:space="preserve"> le difficoltà implicate da una materia che incrocia il regime dei contratti pubblici, la tutela dei bisogni fondamentali della collettività e delle persone che la compongono, l’organizzazione amministrativa dei servizi alla comunità e la protezione del mercato.</w:t>
      </w:r>
    </w:p>
    <w:p w:rsidR="0043685B" w:rsidRDefault="0043685B" w:rsidP="001A07DE">
      <w:pPr>
        <w:ind w:left="360"/>
        <w:jc w:val="both"/>
        <w:rPr>
          <w:rFonts w:ascii="Times New Roman" w:hAnsi="Times New Roman" w:cs="Times New Roman"/>
          <w:sz w:val="28"/>
          <w:szCs w:val="28"/>
        </w:rPr>
      </w:pPr>
      <w:r>
        <w:rPr>
          <w:rFonts w:ascii="Times New Roman" w:hAnsi="Times New Roman" w:cs="Times New Roman"/>
          <w:sz w:val="28"/>
          <w:szCs w:val="28"/>
        </w:rPr>
        <w:t>Per un ver</w:t>
      </w:r>
      <w:r w:rsidR="009D199A">
        <w:rPr>
          <w:rFonts w:ascii="Times New Roman" w:hAnsi="Times New Roman" w:cs="Times New Roman"/>
          <w:sz w:val="28"/>
          <w:szCs w:val="28"/>
        </w:rPr>
        <w:t>s</w:t>
      </w:r>
      <w:r>
        <w:rPr>
          <w:rFonts w:ascii="Times New Roman" w:hAnsi="Times New Roman" w:cs="Times New Roman"/>
          <w:sz w:val="28"/>
          <w:szCs w:val="28"/>
        </w:rPr>
        <w:t>o, infatti, il diritto positivo europeo, così come la Costituzione italiana, ammettono spazi rilevanti di intervento pubblico nella organizzazione e nella gestione dei servizi pubblici</w:t>
      </w:r>
      <w:r w:rsidR="001E3B85">
        <w:rPr>
          <w:rFonts w:ascii="Times New Roman" w:hAnsi="Times New Roman" w:cs="Times New Roman"/>
          <w:sz w:val="28"/>
          <w:szCs w:val="28"/>
        </w:rPr>
        <w:t xml:space="preserve"> (a tutela della coesione sociale e dei diritti fondamentali dei cittadini utenti)</w:t>
      </w:r>
      <w:r>
        <w:rPr>
          <w:rFonts w:ascii="Times New Roman" w:hAnsi="Times New Roman" w:cs="Times New Roman"/>
          <w:sz w:val="28"/>
          <w:szCs w:val="28"/>
        </w:rPr>
        <w:t>; per un altro verso, invece, la legislazione ordinaria nazionale riduce di molto quegli ambiti e, soprattutto, configura la gestione pubblica dei servizi alla collettività come un’opzione eccezionale e subordinata, rispetto alla selezione concorrenziale e di mercato</w:t>
      </w:r>
      <w:r w:rsidR="001E3B85">
        <w:rPr>
          <w:rFonts w:ascii="Times New Roman" w:hAnsi="Times New Roman" w:cs="Times New Roman"/>
          <w:sz w:val="28"/>
          <w:szCs w:val="28"/>
        </w:rPr>
        <w:t xml:space="preserve"> degli operatori incaricati dell’erogazione delle prestazioni</w:t>
      </w:r>
      <w:r>
        <w:rPr>
          <w:rFonts w:ascii="Times New Roman" w:hAnsi="Times New Roman" w:cs="Times New Roman"/>
          <w:sz w:val="28"/>
          <w:szCs w:val="28"/>
        </w:rPr>
        <w:t>.</w:t>
      </w:r>
    </w:p>
    <w:p w:rsidR="0043685B" w:rsidRDefault="0043685B" w:rsidP="001A07DE">
      <w:pPr>
        <w:ind w:left="360"/>
        <w:jc w:val="both"/>
        <w:rPr>
          <w:rFonts w:ascii="Times New Roman" w:hAnsi="Times New Roman" w:cs="Times New Roman"/>
          <w:sz w:val="28"/>
          <w:szCs w:val="28"/>
        </w:rPr>
      </w:pPr>
      <w:r>
        <w:rPr>
          <w:rFonts w:ascii="Times New Roman" w:hAnsi="Times New Roman" w:cs="Times New Roman"/>
          <w:sz w:val="28"/>
          <w:szCs w:val="28"/>
        </w:rPr>
        <w:t>Quest’ultimo approccio pare, inoltre, seguito anche dalle istituzioni nazionali ed europee chiamate a giudicare la compatibilità con il diritto europeo degli interventi pubblici nella gestione dei servizi essenziali.</w:t>
      </w:r>
    </w:p>
    <w:p w:rsidR="0043685B" w:rsidRDefault="0043685B" w:rsidP="001A07DE">
      <w:pPr>
        <w:ind w:left="360"/>
        <w:jc w:val="both"/>
        <w:rPr>
          <w:rFonts w:ascii="Times New Roman" w:hAnsi="Times New Roman" w:cs="Times New Roman"/>
          <w:sz w:val="28"/>
          <w:szCs w:val="28"/>
        </w:rPr>
      </w:pPr>
      <w:r>
        <w:rPr>
          <w:rFonts w:ascii="Times New Roman" w:hAnsi="Times New Roman" w:cs="Times New Roman"/>
          <w:sz w:val="28"/>
          <w:szCs w:val="28"/>
        </w:rPr>
        <w:t>Ci asteniamo dal giudicare, su un piano d</w:t>
      </w:r>
      <w:r w:rsidR="00CD5DF1">
        <w:rPr>
          <w:rFonts w:ascii="Times New Roman" w:hAnsi="Times New Roman" w:cs="Times New Roman"/>
          <w:sz w:val="28"/>
          <w:szCs w:val="28"/>
        </w:rPr>
        <w:t>i</w:t>
      </w:r>
      <w:r>
        <w:rPr>
          <w:rFonts w:ascii="Times New Roman" w:hAnsi="Times New Roman" w:cs="Times New Roman"/>
          <w:sz w:val="28"/>
          <w:szCs w:val="28"/>
        </w:rPr>
        <w:t xml:space="preserve"> politica industriale, se sia </w:t>
      </w:r>
      <w:r w:rsidR="00AF388A">
        <w:rPr>
          <w:rFonts w:ascii="Times New Roman" w:hAnsi="Times New Roman" w:cs="Times New Roman"/>
          <w:sz w:val="28"/>
          <w:szCs w:val="28"/>
        </w:rPr>
        <w:t xml:space="preserve">più </w:t>
      </w:r>
      <w:r>
        <w:rPr>
          <w:rFonts w:ascii="Times New Roman" w:hAnsi="Times New Roman" w:cs="Times New Roman"/>
          <w:sz w:val="28"/>
          <w:szCs w:val="28"/>
        </w:rPr>
        <w:t>o meno</w:t>
      </w:r>
      <w:r w:rsidR="00AF388A">
        <w:rPr>
          <w:rFonts w:ascii="Times New Roman" w:hAnsi="Times New Roman" w:cs="Times New Roman"/>
          <w:sz w:val="28"/>
          <w:szCs w:val="28"/>
        </w:rPr>
        <w:t xml:space="preserve"> </w:t>
      </w:r>
      <w:r>
        <w:rPr>
          <w:rFonts w:ascii="Times New Roman" w:hAnsi="Times New Roman" w:cs="Times New Roman"/>
          <w:sz w:val="28"/>
          <w:szCs w:val="28"/>
        </w:rPr>
        <w:t xml:space="preserve">conveniente, per gli interessi generali, il ricorso al mercato o la gestione </w:t>
      </w:r>
      <w:r w:rsidRPr="00CD5DF1">
        <w:rPr>
          <w:rFonts w:ascii="Times New Roman" w:hAnsi="Times New Roman" w:cs="Times New Roman"/>
          <w:i/>
          <w:sz w:val="28"/>
          <w:szCs w:val="28"/>
        </w:rPr>
        <w:t xml:space="preserve">in </w:t>
      </w:r>
      <w:proofErr w:type="spellStart"/>
      <w:r w:rsidRPr="00CD5DF1">
        <w:rPr>
          <w:rFonts w:ascii="Times New Roman" w:hAnsi="Times New Roman" w:cs="Times New Roman"/>
          <w:i/>
          <w:sz w:val="28"/>
          <w:szCs w:val="28"/>
        </w:rPr>
        <w:t>house</w:t>
      </w:r>
      <w:proofErr w:type="spellEnd"/>
      <w:r>
        <w:rPr>
          <w:rFonts w:ascii="Times New Roman" w:hAnsi="Times New Roman" w:cs="Times New Roman"/>
          <w:sz w:val="28"/>
          <w:szCs w:val="28"/>
        </w:rPr>
        <w:t xml:space="preserve"> dei servizi pubblici, ma non possiamo non registrare la discrasia tra l’ordinamento normativo europeo e la sua declinazione nazionale.</w:t>
      </w:r>
    </w:p>
    <w:p w:rsidR="009D199A" w:rsidRDefault="009D199A" w:rsidP="009D199A">
      <w:pPr>
        <w:ind w:left="360"/>
        <w:jc w:val="both"/>
        <w:rPr>
          <w:rFonts w:ascii="Times New Roman" w:hAnsi="Times New Roman" w:cs="Times New Roman"/>
          <w:sz w:val="28"/>
          <w:szCs w:val="28"/>
        </w:rPr>
      </w:pPr>
      <w:r>
        <w:rPr>
          <w:rFonts w:ascii="Times New Roman" w:hAnsi="Times New Roman" w:cs="Times New Roman"/>
          <w:sz w:val="28"/>
          <w:szCs w:val="28"/>
        </w:rPr>
        <w:t>La sintetica ricognizione che precede vale, inoltre, a ridimensionare il dogma, di presunta matrice europea, del mercato e della concorrenza, quale paradigma assoluto del diritto dei servizi pubblici, e a restituire alla questione del perimetro dell’intervento pubblico nella gestione dei servizi alla collettività i criteri di esame più appropriati (e veritieri).</w:t>
      </w:r>
    </w:p>
    <w:p w:rsidR="001E3B85" w:rsidRDefault="001E3B85" w:rsidP="009D199A">
      <w:pPr>
        <w:ind w:left="360"/>
        <w:jc w:val="both"/>
        <w:rPr>
          <w:rFonts w:ascii="Times New Roman" w:hAnsi="Times New Roman" w:cs="Times New Roman"/>
          <w:sz w:val="28"/>
          <w:szCs w:val="28"/>
        </w:rPr>
      </w:pPr>
      <w:r>
        <w:rPr>
          <w:rFonts w:ascii="Times New Roman" w:hAnsi="Times New Roman" w:cs="Times New Roman"/>
          <w:sz w:val="28"/>
          <w:szCs w:val="28"/>
        </w:rPr>
        <w:t xml:space="preserve">La crisi </w:t>
      </w:r>
      <w:r w:rsidR="003A7ACF">
        <w:rPr>
          <w:rFonts w:ascii="Times New Roman" w:hAnsi="Times New Roman" w:cs="Times New Roman"/>
          <w:sz w:val="28"/>
          <w:szCs w:val="28"/>
        </w:rPr>
        <w:t xml:space="preserve">economica </w:t>
      </w:r>
      <w:r>
        <w:rPr>
          <w:rFonts w:ascii="Times New Roman" w:hAnsi="Times New Roman" w:cs="Times New Roman"/>
          <w:sz w:val="28"/>
          <w:szCs w:val="28"/>
        </w:rPr>
        <w:t xml:space="preserve">indotta dalla pandemia in atto consiglia, peraltro, di rimeditare l’approccio di favore per il mercato e di considerare l’intervento pubblico come un’opzione più coerente con la garanzia dell’erogazione universale </w:t>
      </w:r>
      <w:r w:rsidR="00DA2377">
        <w:rPr>
          <w:rFonts w:ascii="Times New Roman" w:hAnsi="Times New Roman" w:cs="Times New Roman"/>
          <w:sz w:val="28"/>
          <w:szCs w:val="28"/>
        </w:rPr>
        <w:t xml:space="preserve">e necessitata </w:t>
      </w:r>
      <w:r>
        <w:rPr>
          <w:rFonts w:ascii="Times New Roman" w:hAnsi="Times New Roman" w:cs="Times New Roman"/>
          <w:sz w:val="28"/>
          <w:szCs w:val="28"/>
        </w:rPr>
        <w:t>di prestazioni connotate da standard minimi di qualità.</w:t>
      </w:r>
    </w:p>
    <w:p w:rsidR="0043685B" w:rsidRDefault="0043685B" w:rsidP="001A07DE">
      <w:pPr>
        <w:ind w:left="360"/>
        <w:jc w:val="both"/>
        <w:rPr>
          <w:rFonts w:ascii="Times New Roman" w:hAnsi="Times New Roman" w:cs="Times New Roman"/>
          <w:sz w:val="28"/>
          <w:szCs w:val="28"/>
        </w:rPr>
      </w:pPr>
      <w:r>
        <w:rPr>
          <w:rFonts w:ascii="Times New Roman" w:hAnsi="Times New Roman" w:cs="Times New Roman"/>
          <w:sz w:val="28"/>
          <w:szCs w:val="28"/>
        </w:rPr>
        <w:t xml:space="preserve">Resta, da ultimo, da osservare che non sempre il ricorso al mercato risulta più conveniente ed economico, rispetto alla gestione pubblica dei servizi alla collettività, </w:t>
      </w:r>
      <w:r w:rsidR="00AC45BD">
        <w:rPr>
          <w:rFonts w:ascii="Times New Roman" w:hAnsi="Times New Roman" w:cs="Times New Roman"/>
          <w:sz w:val="28"/>
          <w:szCs w:val="28"/>
        </w:rPr>
        <w:t>purché</w:t>
      </w:r>
      <w:r>
        <w:rPr>
          <w:rFonts w:ascii="Times New Roman" w:hAnsi="Times New Roman" w:cs="Times New Roman"/>
          <w:sz w:val="28"/>
          <w:szCs w:val="28"/>
        </w:rPr>
        <w:t xml:space="preserve">, ovviamente, quest’ultima obbedisca a criteri di buona amministrazione, </w:t>
      </w:r>
      <w:r w:rsidR="00DA2377">
        <w:rPr>
          <w:rFonts w:ascii="Times New Roman" w:hAnsi="Times New Roman" w:cs="Times New Roman"/>
          <w:sz w:val="28"/>
          <w:szCs w:val="28"/>
        </w:rPr>
        <w:t xml:space="preserve">di trasparenza finanziaria, </w:t>
      </w:r>
      <w:r>
        <w:rPr>
          <w:rFonts w:ascii="Times New Roman" w:hAnsi="Times New Roman" w:cs="Times New Roman"/>
          <w:sz w:val="28"/>
          <w:szCs w:val="28"/>
        </w:rPr>
        <w:t>di efficienza e di contenimento dei costi di funzio</w:t>
      </w:r>
      <w:r w:rsidR="00CD5DF1">
        <w:rPr>
          <w:rFonts w:ascii="Times New Roman" w:hAnsi="Times New Roman" w:cs="Times New Roman"/>
          <w:sz w:val="28"/>
          <w:szCs w:val="28"/>
        </w:rPr>
        <w:t>namento delle società pubbliche</w:t>
      </w:r>
      <w:r w:rsidR="00AF704E">
        <w:rPr>
          <w:rStyle w:val="Rimandonotaapidipagina"/>
          <w:rFonts w:ascii="Times New Roman" w:hAnsi="Times New Roman" w:cs="Times New Roman"/>
          <w:sz w:val="28"/>
          <w:szCs w:val="28"/>
        </w:rPr>
        <w:footnoteReference w:id="15"/>
      </w:r>
      <w:r w:rsidR="00AF388A">
        <w:rPr>
          <w:rFonts w:ascii="Times New Roman" w:hAnsi="Times New Roman" w:cs="Times New Roman"/>
          <w:sz w:val="28"/>
          <w:szCs w:val="28"/>
        </w:rPr>
        <w:t xml:space="preserve">, </w:t>
      </w:r>
      <w:r>
        <w:rPr>
          <w:rFonts w:ascii="Times New Roman" w:hAnsi="Times New Roman" w:cs="Times New Roman"/>
          <w:sz w:val="28"/>
          <w:szCs w:val="28"/>
        </w:rPr>
        <w:t xml:space="preserve">ciò che spesso, </w:t>
      </w:r>
      <w:r w:rsidR="00CD5DF1">
        <w:rPr>
          <w:rFonts w:ascii="Times New Roman" w:hAnsi="Times New Roman" w:cs="Times New Roman"/>
          <w:sz w:val="28"/>
          <w:szCs w:val="28"/>
        </w:rPr>
        <w:t xml:space="preserve">occorre ammetterlo, </w:t>
      </w:r>
      <w:r w:rsidR="009D199A">
        <w:rPr>
          <w:rFonts w:ascii="Times New Roman" w:hAnsi="Times New Roman" w:cs="Times New Roman"/>
          <w:sz w:val="28"/>
          <w:szCs w:val="28"/>
        </w:rPr>
        <w:t xml:space="preserve">non è avvenuto </w:t>
      </w:r>
      <w:r w:rsidR="00AF388A">
        <w:rPr>
          <w:rFonts w:ascii="Times New Roman" w:hAnsi="Times New Roman" w:cs="Times New Roman"/>
          <w:sz w:val="28"/>
          <w:szCs w:val="28"/>
        </w:rPr>
        <w:t>(</w:t>
      </w:r>
      <w:r w:rsidR="009D199A">
        <w:rPr>
          <w:rFonts w:ascii="Times New Roman" w:hAnsi="Times New Roman" w:cs="Times New Roman"/>
          <w:sz w:val="28"/>
          <w:szCs w:val="28"/>
        </w:rPr>
        <w:t>soprattutto in Italia</w:t>
      </w:r>
      <w:r>
        <w:rPr>
          <w:rFonts w:ascii="Times New Roman" w:hAnsi="Times New Roman" w:cs="Times New Roman"/>
          <w:sz w:val="28"/>
          <w:szCs w:val="28"/>
        </w:rPr>
        <w:t>).</w:t>
      </w:r>
    </w:p>
    <w:p w:rsidR="00DD2C7E" w:rsidRDefault="00DD2C7E" w:rsidP="001A07DE">
      <w:pPr>
        <w:ind w:left="360"/>
        <w:jc w:val="both"/>
        <w:rPr>
          <w:rFonts w:ascii="Times New Roman" w:hAnsi="Times New Roman" w:cs="Times New Roman"/>
          <w:sz w:val="28"/>
          <w:szCs w:val="28"/>
        </w:rPr>
      </w:pPr>
      <w:r>
        <w:rPr>
          <w:rFonts w:ascii="Times New Roman" w:hAnsi="Times New Roman" w:cs="Times New Roman"/>
          <w:sz w:val="28"/>
          <w:szCs w:val="28"/>
        </w:rPr>
        <w:t>In ogni caso, e per concludere, appare più coerente con i principi generali rimettere a</w:t>
      </w:r>
      <w:r w:rsidR="00645DD8">
        <w:rPr>
          <w:rFonts w:ascii="Times New Roman" w:hAnsi="Times New Roman" w:cs="Times New Roman"/>
          <w:sz w:val="28"/>
          <w:szCs w:val="28"/>
        </w:rPr>
        <w:t>ll’autonomia organizzativa delle pubbliche amministrazioni</w:t>
      </w:r>
      <w:r>
        <w:rPr>
          <w:rFonts w:ascii="Times New Roman" w:hAnsi="Times New Roman" w:cs="Times New Roman"/>
          <w:sz w:val="28"/>
          <w:szCs w:val="28"/>
        </w:rPr>
        <w:t xml:space="preserve"> la scelta </w:t>
      </w:r>
      <w:r w:rsidR="00546D43">
        <w:rPr>
          <w:rFonts w:ascii="Times New Roman" w:hAnsi="Times New Roman" w:cs="Times New Roman"/>
          <w:sz w:val="28"/>
          <w:szCs w:val="28"/>
        </w:rPr>
        <w:t>(che resta discrezionale, ma che non può, in ogni caso, ignorare, tra gli altri, il principio costituzionale della sussidiarietà orizzontale</w:t>
      </w:r>
      <w:r w:rsidR="00546D43">
        <w:rPr>
          <w:rStyle w:val="Rimandonotaapidipagina"/>
          <w:rFonts w:ascii="Times New Roman" w:hAnsi="Times New Roman" w:cs="Times New Roman"/>
          <w:sz w:val="28"/>
          <w:szCs w:val="28"/>
        </w:rPr>
        <w:footnoteReference w:id="16"/>
      </w:r>
      <w:r w:rsidR="00546D43">
        <w:rPr>
          <w:rFonts w:ascii="Times New Roman" w:hAnsi="Times New Roman" w:cs="Times New Roman"/>
          <w:sz w:val="28"/>
          <w:szCs w:val="28"/>
        </w:rPr>
        <w:t>)</w:t>
      </w:r>
      <w:r w:rsidR="00645DD8">
        <w:rPr>
          <w:rFonts w:ascii="Times New Roman" w:hAnsi="Times New Roman" w:cs="Times New Roman"/>
          <w:sz w:val="28"/>
          <w:szCs w:val="28"/>
        </w:rPr>
        <w:t xml:space="preserve"> </w:t>
      </w:r>
      <w:r w:rsidR="00E102C5">
        <w:rPr>
          <w:rFonts w:ascii="Times New Roman" w:hAnsi="Times New Roman" w:cs="Times New Roman"/>
          <w:sz w:val="28"/>
          <w:szCs w:val="28"/>
        </w:rPr>
        <w:t>delle modalità e de</w:t>
      </w:r>
      <w:r w:rsidR="00580FCC">
        <w:rPr>
          <w:rFonts w:ascii="Times New Roman" w:hAnsi="Times New Roman" w:cs="Times New Roman"/>
          <w:sz w:val="28"/>
          <w:szCs w:val="28"/>
        </w:rPr>
        <w:t>gli strumenti</w:t>
      </w:r>
      <w:r>
        <w:rPr>
          <w:rFonts w:ascii="Times New Roman" w:hAnsi="Times New Roman" w:cs="Times New Roman"/>
          <w:sz w:val="28"/>
          <w:szCs w:val="28"/>
        </w:rPr>
        <w:t xml:space="preserve"> di realizzazione dei suoi fini istituzionali, tra i quali </w:t>
      </w:r>
      <w:r w:rsidR="00CD5DF1">
        <w:rPr>
          <w:rFonts w:ascii="Times New Roman" w:hAnsi="Times New Roman" w:cs="Times New Roman"/>
          <w:sz w:val="28"/>
          <w:szCs w:val="28"/>
        </w:rPr>
        <w:t xml:space="preserve">dev’essere </w:t>
      </w:r>
      <w:r>
        <w:rPr>
          <w:rFonts w:ascii="Times New Roman" w:hAnsi="Times New Roman" w:cs="Times New Roman"/>
          <w:sz w:val="28"/>
          <w:szCs w:val="28"/>
        </w:rPr>
        <w:t xml:space="preserve">senz’altro </w:t>
      </w:r>
      <w:r w:rsidR="00CD5DF1">
        <w:rPr>
          <w:rFonts w:ascii="Times New Roman" w:hAnsi="Times New Roman" w:cs="Times New Roman"/>
          <w:sz w:val="28"/>
          <w:szCs w:val="28"/>
        </w:rPr>
        <w:t xml:space="preserve">annoverata </w:t>
      </w:r>
      <w:r>
        <w:rPr>
          <w:rFonts w:ascii="Times New Roman" w:hAnsi="Times New Roman" w:cs="Times New Roman"/>
          <w:sz w:val="28"/>
          <w:szCs w:val="28"/>
        </w:rPr>
        <w:t>anche la soddisfazione dei bisogni essenziali della collettività degli amministrati.</w:t>
      </w:r>
    </w:p>
    <w:p w:rsidR="002B399C" w:rsidRDefault="00DA2377" w:rsidP="001A07DE">
      <w:pPr>
        <w:ind w:left="360"/>
        <w:jc w:val="both"/>
        <w:rPr>
          <w:rFonts w:ascii="Times New Roman" w:hAnsi="Times New Roman" w:cs="Times New Roman"/>
          <w:sz w:val="28"/>
          <w:szCs w:val="28"/>
        </w:rPr>
      </w:pPr>
      <w:r>
        <w:rPr>
          <w:rFonts w:ascii="Times New Roman" w:hAnsi="Times New Roman" w:cs="Times New Roman"/>
          <w:sz w:val="28"/>
          <w:szCs w:val="28"/>
        </w:rPr>
        <w:t>La libertà sancita dal</w:t>
      </w:r>
      <w:r w:rsidR="003A7ACF">
        <w:rPr>
          <w:rFonts w:ascii="Times New Roman" w:hAnsi="Times New Roman" w:cs="Times New Roman"/>
          <w:sz w:val="28"/>
          <w:szCs w:val="28"/>
        </w:rPr>
        <w:t xml:space="preserve"> diritto </w:t>
      </w:r>
      <w:r>
        <w:rPr>
          <w:rFonts w:ascii="Times New Roman" w:hAnsi="Times New Roman" w:cs="Times New Roman"/>
          <w:sz w:val="28"/>
          <w:szCs w:val="28"/>
        </w:rPr>
        <w:t xml:space="preserve">europeo nella scelta del modello di gestione più appropriato obbedisce proprio all’esigenza di affidare all’autorità titolare della funzione la responsabilità (anche politica) di identificare, nella situazione concreta, la forma più utile </w:t>
      </w:r>
      <w:r w:rsidR="002B399C">
        <w:rPr>
          <w:rFonts w:ascii="Times New Roman" w:hAnsi="Times New Roman" w:cs="Times New Roman"/>
          <w:sz w:val="28"/>
          <w:szCs w:val="28"/>
        </w:rPr>
        <w:t>di erogazione del servizio.</w:t>
      </w:r>
    </w:p>
    <w:p w:rsidR="005D06F1" w:rsidRDefault="002B399C" w:rsidP="0048468F">
      <w:pPr>
        <w:ind w:left="360"/>
        <w:jc w:val="both"/>
        <w:rPr>
          <w:rFonts w:ascii="Times New Roman" w:hAnsi="Times New Roman" w:cs="Times New Roman"/>
          <w:sz w:val="28"/>
          <w:szCs w:val="28"/>
        </w:rPr>
      </w:pPr>
      <w:r>
        <w:rPr>
          <w:rFonts w:ascii="Times New Roman" w:hAnsi="Times New Roman" w:cs="Times New Roman"/>
          <w:sz w:val="28"/>
          <w:szCs w:val="28"/>
        </w:rPr>
        <w:t>Un’amministrazione avveduta dovrà valutare se gli interessi generali (tutti) implicati dall’erogazione del servizio vengano soddisfatti meglio dalla esternalizz</w:t>
      </w:r>
      <w:r w:rsidR="003A7ACF">
        <w:rPr>
          <w:rFonts w:ascii="Times New Roman" w:hAnsi="Times New Roman" w:cs="Times New Roman"/>
          <w:sz w:val="28"/>
          <w:szCs w:val="28"/>
        </w:rPr>
        <w:t>azione, dalla gestione diretta,</w:t>
      </w:r>
      <w:r>
        <w:rPr>
          <w:rFonts w:ascii="Times New Roman" w:hAnsi="Times New Roman" w:cs="Times New Roman"/>
          <w:sz w:val="28"/>
          <w:szCs w:val="28"/>
        </w:rPr>
        <w:t xml:space="preserve"> da forme di partenariato con il privato </w:t>
      </w:r>
      <w:r w:rsidR="003A7ACF">
        <w:rPr>
          <w:rFonts w:ascii="Times New Roman" w:hAnsi="Times New Roman" w:cs="Times New Roman"/>
          <w:sz w:val="28"/>
          <w:szCs w:val="28"/>
        </w:rPr>
        <w:t>o dalla</w:t>
      </w:r>
      <w:r>
        <w:rPr>
          <w:rFonts w:ascii="Times New Roman" w:hAnsi="Times New Roman" w:cs="Times New Roman"/>
          <w:sz w:val="28"/>
          <w:szCs w:val="28"/>
        </w:rPr>
        <w:t xml:space="preserve"> cooper</w:t>
      </w:r>
      <w:r w:rsidR="0048468F">
        <w:rPr>
          <w:rFonts w:ascii="Times New Roman" w:hAnsi="Times New Roman" w:cs="Times New Roman"/>
          <w:sz w:val="28"/>
          <w:szCs w:val="28"/>
        </w:rPr>
        <w:t>azione con altre amministrazioni</w:t>
      </w:r>
      <w:r>
        <w:rPr>
          <w:rFonts w:ascii="Times New Roman" w:hAnsi="Times New Roman" w:cs="Times New Roman"/>
          <w:sz w:val="28"/>
          <w:szCs w:val="28"/>
        </w:rPr>
        <w:t>, ma, all’interno di questo perimetro, deve restare libera.</w:t>
      </w:r>
      <w:r w:rsidR="00DA2377">
        <w:rPr>
          <w:rFonts w:ascii="Times New Roman" w:hAnsi="Times New Roman" w:cs="Times New Roman"/>
          <w:sz w:val="28"/>
          <w:szCs w:val="28"/>
        </w:rPr>
        <w:t xml:space="preserve">  </w:t>
      </w:r>
    </w:p>
    <w:p w:rsidR="00995979" w:rsidRPr="006F7F77" w:rsidRDefault="00995979" w:rsidP="00B6787F">
      <w:pPr>
        <w:jc w:val="right"/>
        <w:rPr>
          <w:rFonts w:ascii="Times New Roman" w:hAnsi="Times New Roman" w:cs="Times New Roman"/>
          <w:b/>
          <w:sz w:val="32"/>
          <w:szCs w:val="32"/>
        </w:rPr>
      </w:pPr>
      <w:r>
        <w:rPr>
          <w:rFonts w:ascii="Times New Roman" w:hAnsi="Times New Roman" w:cs="Times New Roman"/>
          <w:b/>
          <w:sz w:val="32"/>
          <w:szCs w:val="32"/>
        </w:rPr>
        <w:t>Carlo Deodato</w:t>
      </w:r>
    </w:p>
    <w:p w:rsidR="00995979" w:rsidRPr="00FF3308" w:rsidRDefault="00995979" w:rsidP="00B6787F">
      <w:pPr>
        <w:ind w:left="360"/>
        <w:jc w:val="right"/>
        <w:rPr>
          <w:rFonts w:ascii="Times New Roman" w:hAnsi="Times New Roman" w:cs="Times New Roman"/>
          <w:b/>
          <w:sz w:val="28"/>
          <w:szCs w:val="28"/>
        </w:rPr>
      </w:pPr>
      <w:r w:rsidRPr="00FF3308">
        <w:rPr>
          <w:rFonts w:ascii="Times New Roman" w:hAnsi="Times New Roman" w:cs="Times New Roman"/>
          <w:b/>
          <w:sz w:val="28"/>
          <w:szCs w:val="28"/>
        </w:rPr>
        <w:t>Presidente di Sezione del Consiglio di Stato</w:t>
      </w:r>
    </w:p>
    <w:p w:rsidR="00995979" w:rsidRDefault="00995979" w:rsidP="00B6787F">
      <w:pPr>
        <w:ind w:left="360"/>
        <w:jc w:val="right"/>
        <w:rPr>
          <w:rFonts w:ascii="Times New Roman" w:hAnsi="Times New Roman" w:cs="Times New Roman"/>
          <w:sz w:val="28"/>
          <w:szCs w:val="28"/>
        </w:rPr>
      </w:pPr>
      <w:r>
        <w:rPr>
          <w:rFonts w:ascii="Times New Roman" w:hAnsi="Times New Roman" w:cs="Times New Roman"/>
          <w:sz w:val="28"/>
          <w:szCs w:val="28"/>
        </w:rPr>
        <w:t xml:space="preserve">Pubblicato il 28 </w:t>
      </w:r>
      <w:r w:rsidR="00B6787F">
        <w:rPr>
          <w:rFonts w:ascii="Times New Roman" w:hAnsi="Times New Roman" w:cs="Times New Roman"/>
          <w:sz w:val="28"/>
          <w:szCs w:val="28"/>
        </w:rPr>
        <w:t>ottobre 2020</w:t>
      </w:r>
    </w:p>
    <w:sectPr w:rsidR="00995979">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C8F" w:rsidRDefault="00D01C8F" w:rsidP="00D01C8F">
      <w:pPr>
        <w:spacing w:after="0" w:line="240" w:lineRule="auto"/>
      </w:pPr>
      <w:r>
        <w:separator/>
      </w:r>
    </w:p>
  </w:endnote>
  <w:endnote w:type="continuationSeparator" w:id="0">
    <w:p w:rsidR="00D01C8F" w:rsidRDefault="00D01C8F" w:rsidP="00D01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4327029"/>
      <w:docPartObj>
        <w:docPartGallery w:val="Page Numbers (Bottom of Page)"/>
        <w:docPartUnique/>
      </w:docPartObj>
    </w:sdtPr>
    <w:sdtEndPr/>
    <w:sdtContent>
      <w:p w:rsidR="00D01C8F" w:rsidRDefault="00D01C8F">
        <w:pPr>
          <w:pStyle w:val="Pidipagina"/>
          <w:jc w:val="center"/>
        </w:pPr>
        <w:r>
          <w:fldChar w:fldCharType="begin"/>
        </w:r>
        <w:r>
          <w:instrText>PAGE   \* MERGEFORMAT</w:instrText>
        </w:r>
        <w:r>
          <w:fldChar w:fldCharType="separate"/>
        </w:r>
        <w:r w:rsidR="00885A13">
          <w:rPr>
            <w:noProof/>
          </w:rPr>
          <w:t>13</w:t>
        </w:r>
        <w:r>
          <w:fldChar w:fldCharType="end"/>
        </w:r>
      </w:p>
    </w:sdtContent>
  </w:sdt>
  <w:p w:rsidR="00D01C8F" w:rsidRDefault="00D01C8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C8F" w:rsidRDefault="00D01C8F" w:rsidP="00D01C8F">
      <w:pPr>
        <w:spacing w:after="0" w:line="240" w:lineRule="auto"/>
      </w:pPr>
      <w:r>
        <w:separator/>
      </w:r>
    </w:p>
  </w:footnote>
  <w:footnote w:type="continuationSeparator" w:id="0">
    <w:p w:rsidR="00D01C8F" w:rsidRDefault="00D01C8F" w:rsidP="00D01C8F">
      <w:pPr>
        <w:spacing w:after="0" w:line="240" w:lineRule="auto"/>
      </w:pPr>
      <w:r>
        <w:continuationSeparator/>
      </w:r>
    </w:p>
  </w:footnote>
  <w:footnote w:id="1">
    <w:p w:rsidR="00C720B1" w:rsidRDefault="00C720B1">
      <w:pPr>
        <w:pStyle w:val="Testonotaapidipagina"/>
      </w:pPr>
      <w:r>
        <w:rPr>
          <w:rStyle w:val="Rimandonotaapidipagina"/>
        </w:rPr>
        <w:footnoteRef/>
      </w:r>
      <w:r>
        <w:t xml:space="preserve"> Il presente studio è tratto dalla relazione tenuta al Convegno </w:t>
      </w:r>
      <w:r w:rsidR="00DA2377">
        <w:t xml:space="preserve">su </w:t>
      </w:r>
      <w:r w:rsidR="00DA2377" w:rsidRPr="00DA2377">
        <w:rPr>
          <w:i/>
        </w:rPr>
        <w:t>“Diritti sociali e servizi pubblici nel Mediterraneo”</w:t>
      </w:r>
      <w:r w:rsidR="00DA2377">
        <w:t>, Palazzo Spada, 2 aprile 2019.</w:t>
      </w:r>
    </w:p>
  </w:footnote>
  <w:footnote w:id="2">
    <w:p w:rsidR="003228A0" w:rsidRDefault="003228A0" w:rsidP="00ED288E">
      <w:pPr>
        <w:pStyle w:val="Testonotaapidipagina"/>
        <w:jc w:val="both"/>
      </w:pPr>
      <w:r>
        <w:rPr>
          <w:rStyle w:val="Rimandonotaapidipagina"/>
        </w:rPr>
        <w:footnoteRef/>
      </w:r>
      <w:r>
        <w:t xml:space="preserve"> Per una compiuta disamina del diritto dei servizi pubblici si veda S. Cattaneo, </w:t>
      </w:r>
      <w:r w:rsidRPr="003228A0">
        <w:rPr>
          <w:i/>
        </w:rPr>
        <w:t>Servizi pubblici</w:t>
      </w:r>
      <w:r>
        <w:t xml:space="preserve">, in </w:t>
      </w:r>
      <w:proofErr w:type="spellStart"/>
      <w:r>
        <w:t>Enc</w:t>
      </w:r>
      <w:proofErr w:type="spellEnd"/>
      <w:r>
        <w:t>.</w:t>
      </w:r>
      <w:r w:rsidR="00AC45BD">
        <w:t xml:space="preserve"> Dir., Milano, 1990; G. Napolitano, </w:t>
      </w:r>
      <w:r w:rsidR="00AC45BD" w:rsidRPr="00AC45BD">
        <w:rPr>
          <w:i/>
        </w:rPr>
        <w:t>Servizi pubblici e rapporti di utenza</w:t>
      </w:r>
      <w:r w:rsidR="00ED288E">
        <w:t xml:space="preserve">, Padova, 2001; E. Scotti, </w:t>
      </w:r>
      <w:r w:rsidR="00ED288E" w:rsidRPr="00ED288E">
        <w:rPr>
          <w:i/>
        </w:rPr>
        <w:t>Servizi pubblici locali</w:t>
      </w:r>
      <w:r w:rsidR="00ED288E">
        <w:t>, voce in Digesto delle discipline pubblicistiche, 2011.</w:t>
      </w:r>
    </w:p>
  </w:footnote>
  <w:footnote w:id="3">
    <w:p w:rsidR="00816DAF" w:rsidRDefault="00816DAF">
      <w:pPr>
        <w:pStyle w:val="Testonotaapidipagina"/>
      </w:pPr>
      <w:r>
        <w:rPr>
          <w:rStyle w:val="Rimandonotaapidipagina"/>
        </w:rPr>
        <w:footnoteRef/>
      </w:r>
      <w:r>
        <w:t xml:space="preserve"> F. </w:t>
      </w:r>
      <w:proofErr w:type="spellStart"/>
      <w:r>
        <w:t>Trimarchi</w:t>
      </w:r>
      <w:proofErr w:type="spellEnd"/>
      <w:r>
        <w:t xml:space="preserve"> Banfi, </w:t>
      </w:r>
      <w:r w:rsidRPr="00816DAF">
        <w:rPr>
          <w:i/>
        </w:rPr>
        <w:t>Lezioni di diritto pubblico dell’economia</w:t>
      </w:r>
      <w:r>
        <w:t xml:space="preserve">, 2019. </w:t>
      </w:r>
    </w:p>
  </w:footnote>
  <w:footnote w:id="4">
    <w:p w:rsidR="00AC45BD" w:rsidRDefault="00AC45BD" w:rsidP="00AC45BD">
      <w:pPr>
        <w:pStyle w:val="Testonotaapidipagina"/>
        <w:jc w:val="both"/>
      </w:pPr>
      <w:r>
        <w:rPr>
          <w:rStyle w:val="Rimandonotaapidipagina"/>
        </w:rPr>
        <w:footnoteRef/>
      </w:r>
      <w:r>
        <w:t xml:space="preserve"> M. </w:t>
      </w:r>
      <w:proofErr w:type="spellStart"/>
      <w:r>
        <w:t>Clarich</w:t>
      </w:r>
      <w:proofErr w:type="spellEnd"/>
      <w:r>
        <w:t xml:space="preserve">, </w:t>
      </w:r>
      <w:r w:rsidRPr="00AC45BD">
        <w:rPr>
          <w:i/>
        </w:rPr>
        <w:t>I servizi pubblici e diritto europeo della concorrenza: l’esperien</w:t>
      </w:r>
      <w:r>
        <w:rPr>
          <w:i/>
        </w:rPr>
        <w:t>za italiana e tedesca a confronto</w:t>
      </w:r>
      <w:r>
        <w:t xml:space="preserve">, in </w:t>
      </w:r>
      <w:proofErr w:type="spellStart"/>
      <w:r>
        <w:t>Riv</w:t>
      </w:r>
      <w:proofErr w:type="spellEnd"/>
      <w:r>
        <w:t xml:space="preserve">. trim. dir. </w:t>
      </w:r>
      <w:proofErr w:type="spellStart"/>
      <w:r>
        <w:t>pubb</w:t>
      </w:r>
      <w:proofErr w:type="spellEnd"/>
      <w:r>
        <w:t xml:space="preserve">., 2003; G. Caia, </w:t>
      </w:r>
      <w:r w:rsidRPr="00ED288E">
        <w:rPr>
          <w:i/>
        </w:rPr>
        <w:t>Servizi pubblic</w:t>
      </w:r>
      <w:r w:rsidR="00ED288E" w:rsidRPr="00ED288E">
        <w:rPr>
          <w:i/>
        </w:rPr>
        <w:t>i</w:t>
      </w:r>
      <w:r w:rsidRPr="00ED288E">
        <w:rPr>
          <w:i/>
        </w:rPr>
        <w:t xml:space="preserve"> locali</w:t>
      </w:r>
      <w:r>
        <w:t>, In Libro dell’anno de</w:t>
      </w:r>
      <w:r w:rsidR="00ED288E">
        <w:t>l diritto, Treccani</w:t>
      </w:r>
      <w:r>
        <w:t>, 2017.</w:t>
      </w:r>
    </w:p>
  </w:footnote>
  <w:footnote w:id="5">
    <w:p w:rsidR="001E3C54" w:rsidRDefault="001E3C54">
      <w:pPr>
        <w:pStyle w:val="Testonotaapidipagina"/>
      </w:pPr>
      <w:r>
        <w:rPr>
          <w:rStyle w:val="Rimandonotaapidipagina"/>
        </w:rPr>
        <w:footnoteRef/>
      </w:r>
      <w:r>
        <w:t xml:space="preserve"> Corte di Giustizia UE, cause riunite C-180/98 e C-184/98 – Pavel e altri, in data 12 settembre 2000).</w:t>
      </w:r>
    </w:p>
  </w:footnote>
  <w:footnote w:id="6">
    <w:p w:rsidR="00A47FC8" w:rsidRPr="00760110" w:rsidRDefault="00A47FC8" w:rsidP="00A47FC8">
      <w:pPr>
        <w:pStyle w:val="Testonotaapidipagina"/>
        <w:jc w:val="both"/>
      </w:pPr>
      <w:r>
        <w:rPr>
          <w:rStyle w:val="Rimandonotaapidipagina"/>
        </w:rPr>
        <w:footnoteRef/>
      </w:r>
      <w:r>
        <w:t xml:space="preserve"> </w:t>
      </w:r>
      <w:r w:rsidRPr="00760110">
        <w:t xml:space="preserve">Per una compita ricostruzione dell’istituto </w:t>
      </w:r>
      <w:proofErr w:type="spellStart"/>
      <w:r w:rsidRPr="00760110">
        <w:t>dell’</w:t>
      </w:r>
      <w:r w:rsidRPr="009E27E8">
        <w:rPr>
          <w:i/>
        </w:rPr>
        <w:t>in</w:t>
      </w:r>
      <w:proofErr w:type="spellEnd"/>
      <w:r w:rsidRPr="009E27E8">
        <w:rPr>
          <w:i/>
        </w:rPr>
        <w:t xml:space="preserve"> </w:t>
      </w:r>
      <w:proofErr w:type="spellStart"/>
      <w:r w:rsidRPr="009E27E8">
        <w:rPr>
          <w:i/>
        </w:rPr>
        <w:t>house</w:t>
      </w:r>
      <w:proofErr w:type="spellEnd"/>
      <w:r w:rsidRPr="009E27E8">
        <w:rPr>
          <w:i/>
        </w:rPr>
        <w:t xml:space="preserve"> </w:t>
      </w:r>
      <w:proofErr w:type="spellStart"/>
      <w:r w:rsidRPr="009E27E8">
        <w:rPr>
          <w:i/>
        </w:rPr>
        <w:t>providing</w:t>
      </w:r>
      <w:proofErr w:type="spellEnd"/>
      <w:r w:rsidRPr="00760110">
        <w:t xml:space="preserve">, si vedano R. De </w:t>
      </w:r>
      <w:proofErr w:type="spellStart"/>
      <w:r w:rsidRPr="00760110">
        <w:t>Nictolis</w:t>
      </w:r>
      <w:proofErr w:type="spellEnd"/>
      <w:r w:rsidRPr="00760110">
        <w:t xml:space="preserve">, </w:t>
      </w:r>
      <w:r w:rsidRPr="009E27E8">
        <w:rPr>
          <w:i/>
        </w:rPr>
        <w:t>Appalti pubblici e concessioni</w:t>
      </w:r>
      <w:r w:rsidRPr="00760110">
        <w:t xml:space="preserve">, Bologna 2020, 229 ss.; M. Pizzi, in </w:t>
      </w:r>
      <w:r w:rsidRPr="009E27E8">
        <w:rPr>
          <w:i/>
        </w:rPr>
        <w:t>Trattato sui contratti pubblici</w:t>
      </w:r>
      <w:r w:rsidR="009E27E8">
        <w:t>,</w:t>
      </w:r>
      <w:r w:rsidRPr="00760110">
        <w:t xml:space="preserve"> diretto da </w:t>
      </w:r>
      <w:proofErr w:type="spellStart"/>
      <w:r w:rsidRPr="00760110">
        <w:t>Sandulli</w:t>
      </w:r>
      <w:proofErr w:type="spellEnd"/>
      <w:r w:rsidRPr="009E27E8">
        <w:t>_</w:t>
      </w:r>
      <w:r w:rsidRPr="00760110">
        <w:t>-</w:t>
      </w:r>
      <w:r>
        <w:t xml:space="preserve">De </w:t>
      </w:r>
      <w:proofErr w:type="spellStart"/>
      <w:r>
        <w:t>Nictolis</w:t>
      </w:r>
      <w:proofErr w:type="spellEnd"/>
      <w:r>
        <w:t>, I, Fonti e prin</w:t>
      </w:r>
      <w:r w:rsidRPr="00760110">
        <w:t>c</w:t>
      </w:r>
      <w:r>
        <w:t>i</w:t>
      </w:r>
      <w:r w:rsidRPr="00760110">
        <w:t>pi, ambito, programmazione e progettazione, Milano, 2019, 855 ss.</w:t>
      </w:r>
    </w:p>
    <w:p w:rsidR="00A47FC8" w:rsidRDefault="00A47FC8">
      <w:pPr>
        <w:pStyle w:val="Testonotaapidipagina"/>
      </w:pPr>
    </w:p>
  </w:footnote>
  <w:footnote w:id="7">
    <w:p w:rsidR="00760110" w:rsidRPr="00760110" w:rsidRDefault="00760110" w:rsidP="00760110">
      <w:pPr>
        <w:pStyle w:val="Testonotaapidipagina"/>
        <w:jc w:val="both"/>
      </w:pPr>
      <w:r>
        <w:rPr>
          <w:rStyle w:val="Rimandonotaapidipagina"/>
        </w:rPr>
        <w:footnoteRef/>
      </w:r>
      <w:r>
        <w:t xml:space="preserve"> </w:t>
      </w:r>
      <w:r w:rsidR="00A47FC8">
        <w:t xml:space="preserve">Si vedano, in particolare, la sentenza </w:t>
      </w:r>
      <w:proofErr w:type="spellStart"/>
      <w:r w:rsidR="00A47FC8">
        <w:t>Teckal</w:t>
      </w:r>
      <w:proofErr w:type="spellEnd"/>
      <w:r w:rsidR="00A47FC8">
        <w:t xml:space="preserve"> (18 novembre 1999, in causa C- 107/98) e, da ultimo, la sentenza </w:t>
      </w:r>
      <w:proofErr w:type="spellStart"/>
      <w:r w:rsidR="00A47FC8">
        <w:t>Irgita</w:t>
      </w:r>
      <w:proofErr w:type="spellEnd"/>
      <w:r w:rsidR="00A47FC8">
        <w:t xml:space="preserve"> (3 ottobre 2019, in causa C- 285/18)</w:t>
      </w:r>
      <w:r w:rsidRPr="00760110">
        <w:t>.</w:t>
      </w:r>
    </w:p>
  </w:footnote>
  <w:footnote w:id="8">
    <w:p w:rsidR="003228A0" w:rsidRDefault="003228A0">
      <w:pPr>
        <w:pStyle w:val="Testonotaapidipagina"/>
      </w:pPr>
      <w:r>
        <w:rPr>
          <w:rStyle w:val="Rimandonotaapidipagina"/>
        </w:rPr>
        <w:footnoteRef/>
      </w:r>
      <w:r>
        <w:t xml:space="preserve"> Per una disamina generale delle relazioni tra mercato e gestione dei servizi pubblici, si veda F. </w:t>
      </w:r>
      <w:proofErr w:type="spellStart"/>
      <w:r>
        <w:t>Cintioli</w:t>
      </w:r>
      <w:proofErr w:type="spellEnd"/>
      <w:r>
        <w:t xml:space="preserve">, </w:t>
      </w:r>
      <w:r w:rsidRPr="003228A0">
        <w:rPr>
          <w:i/>
        </w:rPr>
        <w:t>Concorrenza, istituzioni e servizio pubblico</w:t>
      </w:r>
      <w:r>
        <w:t>, Milano 2010.</w:t>
      </w:r>
    </w:p>
  </w:footnote>
  <w:footnote w:id="9">
    <w:p w:rsidR="00782E5B" w:rsidRDefault="00782E5B">
      <w:pPr>
        <w:pStyle w:val="Testonotaapidipagina"/>
      </w:pPr>
      <w:r>
        <w:rPr>
          <w:rStyle w:val="Rimandonotaapidipagina"/>
        </w:rPr>
        <w:footnoteRef/>
      </w:r>
      <w:r>
        <w:t xml:space="preserve"> S. </w:t>
      </w:r>
      <w:proofErr w:type="spellStart"/>
      <w:r>
        <w:t>Cassese</w:t>
      </w:r>
      <w:proofErr w:type="spellEnd"/>
      <w:r>
        <w:t xml:space="preserve">, </w:t>
      </w:r>
      <w:r w:rsidRPr="00782E5B">
        <w:rPr>
          <w:i/>
        </w:rPr>
        <w:t>La nuova Costituzione economica</w:t>
      </w:r>
      <w:r>
        <w:t>, Bari, 2011.</w:t>
      </w:r>
    </w:p>
  </w:footnote>
  <w:footnote w:id="10">
    <w:p w:rsidR="006326EC" w:rsidRDefault="006326EC" w:rsidP="006326EC">
      <w:pPr>
        <w:pStyle w:val="Testonotaapidipagina"/>
        <w:jc w:val="both"/>
      </w:pPr>
      <w:r>
        <w:rPr>
          <w:rStyle w:val="Rimandonotaapidipagina"/>
        </w:rPr>
        <w:footnoteRef/>
      </w:r>
      <w:r>
        <w:t xml:space="preserve"> F. </w:t>
      </w:r>
      <w:proofErr w:type="spellStart"/>
      <w:r>
        <w:t>Trimarchi</w:t>
      </w:r>
      <w:proofErr w:type="spellEnd"/>
      <w:r>
        <w:t xml:space="preserve"> Banfi, </w:t>
      </w:r>
      <w:r w:rsidRPr="006326EC">
        <w:rPr>
          <w:i/>
        </w:rPr>
        <w:t>Procedure concorrenziali e regole di concorrenza nel diritto dell’Unione e nella Costituzione (all’indomani della dichiarazione di illegittimità delle norme sulla gestione dei servizi pubblici economici)</w:t>
      </w:r>
      <w:r>
        <w:t xml:space="preserve">, in </w:t>
      </w:r>
      <w:proofErr w:type="spellStart"/>
      <w:r>
        <w:t>Riv</w:t>
      </w:r>
      <w:proofErr w:type="spellEnd"/>
      <w:r>
        <w:t xml:space="preserve">. trim. dir. </w:t>
      </w:r>
      <w:proofErr w:type="spellStart"/>
      <w:r>
        <w:t>pubbl</w:t>
      </w:r>
      <w:proofErr w:type="spellEnd"/>
      <w:r>
        <w:t xml:space="preserve">. </w:t>
      </w:r>
      <w:proofErr w:type="spellStart"/>
      <w:r>
        <w:t>comunit</w:t>
      </w:r>
      <w:proofErr w:type="spellEnd"/>
      <w:r>
        <w:t>., 2012.</w:t>
      </w:r>
    </w:p>
  </w:footnote>
  <w:footnote w:id="11">
    <w:p w:rsidR="00ED288E" w:rsidRDefault="00ED288E">
      <w:pPr>
        <w:pStyle w:val="Testonotaapidipagina"/>
      </w:pPr>
      <w:r>
        <w:rPr>
          <w:rStyle w:val="Rimandonotaapidipagina"/>
        </w:rPr>
        <w:footnoteRef/>
      </w:r>
      <w:r>
        <w:t xml:space="preserve"> M. </w:t>
      </w:r>
      <w:proofErr w:type="spellStart"/>
      <w:r>
        <w:t>Dugato</w:t>
      </w:r>
      <w:proofErr w:type="spellEnd"/>
      <w:r>
        <w:t xml:space="preserve">, </w:t>
      </w:r>
      <w:r w:rsidRPr="00ED288E">
        <w:rPr>
          <w:i/>
        </w:rPr>
        <w:t>L’imperturbabile stabilità dei servizi pubblici e l’</w:t>
      </w:r>
      <w:r>
        <w:rPr>
          <w:i/>
        </w:rPr>
        <w:t>irresisti</w:t>
      </w:r>
      <w:r w:rsidRPr="00ED288E">
        <w:rPr>
          <w:i/>
        </w:rPr>
        <w:t>bile forza dell’ente pubblico</w:t>
      </w:r>
      <w:r>
        <w:t xml:space="preserve">, </w:t>
      </w:r>
      <w:proofErr w:type="spellStart"/>
      <w:r>
        <w:t>Munus</w:t>
      </w:r>
      <w:proofErr w:type="spellEnd"/>
      <w:r>
        <w:t>, 2012.</w:t>
      </w:r>
    </w:p>
  </w:footnote>
  <w:footnote w:id="12">
    <w:p w:rsidR="002D3925" w:rsidRDefault="002D3925" w:rsidP="00AF704E">
      <w:pPr>
        <w:pStyle w:val="Testonotaapidipagina"/>
        <w:jc w:val="both"/>
      </w:pPr>
      <w:r>
        <w:rPr>
          <w:rStyle w:val="Rimandonotaapidipagina"/>
        </w:rPr>
        <w:footnoteRef/>
      </w:r>
      <w:r>
        <w:t xml:space="preserve"> Si veda, in particolare, Corte </w:t>
      </w:r>
      <w:proofErr w:type="spellStart"/>
      <w:r>
        <w:t>Cost</w:t>
      </w:r>
      <w:proofErr w:type="spellEnd"/>
      <w:r>
        <w:t xml:space="preserve">., sentenza n.199 del 2012, con </w:t>
      </w:r>
      <w:r w:rsidR="00AF704E">
        <w:t>cui è stato dichiarato incostit</w:t>
      </w:r>
      <w:r>
        <w:t>u</w:t>
      </w:r>
      <w:r w:rsidR="00AF704E">
        <w:t>zio</w:t>
      </w:r>
      <w:r>
        <w:t xml:space="preserve">nale l’art.4 del </w:t>
      </w:r>
      <w:proofErr w:type="spellStart"/>
      <w:r>
        <w:t>d.l.</w:t>
      </w:r>
      <w:proofErr w:type="spellEnd"/>
      <w:r>
        <w:t xml:space="preserve"> n.138/2011, in quanto sostanzialmente riproduttivo </w:t>
      </w:r>
      <w:r w:rsidR="00AF704E">
        <w:t>dell’art.23-bisd.l. n.112/2008, abrogato in esito al referendum del 2011.</w:t>
      </w:r>
    </w:p>
  </w:footnote>
  <w:footnote w:id="13">
    <w:p w:rsidR="00E0001F" w:rsidRPr="00E0001F" w:rsidRDefault="00E0001F">
      <w:pPr>
        <w:pStyle w:val="Testonotaapidipagina"/>
        <w:rPr>
          <w:rFonts w:cstheme="minorHAnsi"/>
        </w:rPr>
      </w:pPr>
      <w:r>
        <w:rPr>
          <w:rStyle w:val="Rimandonotaapidipagina"/>
        </w:rPr>
        <w:footnoteRef/>
      </w:r>
      <w:r>
        <w:t xml:space="preserve"> </w:t>
      </w:r>
      <w:proofErr w:type="spellStart"/>
      <w:r w:rsidRPr="00E0001F">
        <w:rPr>
          <w:rFonts w:cstheme="minorHAnsi"/>
        </w:rPr>
        <w:t>Cons</w:t>
      </w:r>
      <w:proofErr w:type="spellEnd"/>
      <w:r w:rsidRPr="00E0001F">
        <w:rPr>
          <w:rFonts w:cstheme="minorHAnsi"/>
        </w:rPr>
        <w:t>. St., sez. V, ordinanza 14 gennaio 2019, n.293.</w:t>
      </w:r>
    </w:p>
  </w:footnote>
  <w:footnote w:id="14">
    <w:p w:rsidR="00AF704E" w:rsidRDefault="00AF704E" w:rsidP="003228A0">
      <w:pPr>
        <w:pStyle w:val="Testonotaapidipagina"/>
        <w:jc w:val="both"/>
      </w:pPr>
      <w:r>
        <w:rPr>
          <w:rStyle w:val="Rimandonotaapidipagina"/>
        </w:rPr>
        <w:footnoteRef/>
      </w:r>
      <w:r>
        <w:t xml:space="preserve"> La necessità di un’esegesi e di un’</w:t>
      </w:r>
      <w:r w:rsidR="003228A0">
        <w:t>applicazione restrittive</w:t>
      </w:r>
      <w:r>
        <w:t xml:space="preserve"> </w:t>
      </w:r>
      <w:r w:rsidR="003228A0">
        <w:t>della normativa relativa all’</w:t>
      </w:r>
      <w:r w:rsidR="003228A0" w:rsidRPr="008A3864">
        <w:rPr>
          <w:i/>
        </w:rPr>
        <w:t xml:space="preserve">in </w:t>
      </w:r>
      <w:proofErr w:type="spellStart"/>
      <w:r w:rsidR="003228A0" w:rsidRPr="008A3864">
        <w:rPr>
          <w:i/>
        </w:rPr>
        <w:t>house</w:t>
      </w:r>
      <w:proofErr w:type="spellEnd"/>
      <w:r w:rsidR="003228A0" w:rsidRPr="008A3864">
        <w:rPr>
          <w:i/>
        </w:rPr>
        <w:t xml:space="preserve"> </w:t>
      </w:r>
      <w:proofErr w:type="spellStart"/>
      <w:r w:rsidR="003228A0" w:rsidRPr="008A3864">
        <w:rPr>
          <w:i/>
        </w:rPr>
        <w:t>providing</w:t>
      </w:r>
      <w:proofErr w:type="spellEnd"/>
      <w:r w:rsidR="003228A0" w:rsidRPr="008A3864">
        <w:rPr>
          <w:i/>
        </w:rPr>
        <w:t xml:space="preserve"> </w:t>
      </w:r>
      <w:r w:rsidR="003228A0">
        <w:t xml:space="preserve">è avvertita e suggerita dal Consiglio di Stato nel parere n.1389 del 7 maggio 2019.  </w:t>
      </w:r>
    </w:p>
  </w:footnote>
  <w:footnote w:id="15">
    <w:p w:rsidR="00AF704E" w:rsidRDefault="00AF704E">
      <w:pPr>
        <w:pStyle w:val="Testonotaapidipagina"/>
      </w:pPr>
      <w:r>
        <w:rPr>
          <w:rStyle w:val="Rimandonotaapidipagina"/>
        </w:rPr>
        <w:footnoteRef/>
      </w:r>
      <w:r>
        <w:t xml:space="preserve"> M. </w:t>
      </w:r>
      <w:proofErr w:type="spellStart"/>
      <w:r>
        <w:t>Midiri</w:t>
      </w:r>
      <w:proofErr w:type="spellEnd"/>
      <w:r>
        <w:t xml:space="preserve">, </w:t>
      </w:r>
      <w:r w:rsidRPr="00AF704E">
        <w:rPr>
          <w:i/>
        </w:rPr>
        <w:t>Servizi pubblici locali e sviluppo economico: la cornice istituzionale</w:t>
      </w:r>
      <w:r>
        <w:t xml:space="preserve">, in </w:t>
      </w:r>
      <w:r w:rsidRPr="00AF704E">
        <w:rPr>
          <w:i/>
        </w:rPr>
        <w:t>Servizi pubblici locali e regolazione</w:t>
      </w:r>
      <w:r>
        <w:t xml:space="preserve">, a cura di M. </w:t>
      </w:r>
      <w:proofErr w:type="spellStart"/>
      <w:r>
        <w:t>Midiri</w:t>
      </w:r>
      <w:proofErr w:type="spellEnd"/>
      <w:r>
        <w:t xml:space="preserve"> e S. </w:t>
      </w:r>
      <w:proofErr w:type="spellStart"/>
      <w:r>
        <w:t>Antoniazzi</w:t>
      </w:r>
      <w:proofErr w:type="spellEnd"/>
      <w:r>
        <w:t>, Napoli, 2015.</w:t>
      </w:r>
    </w:p>
  </w:footnote>
  <w:footnote w:id="16">
    <w:p w:rsidR="00546D43" w:rsidRDefault="00546D43">
      <w:pPr>
        <w:pStyle w:val="Testonotaapidipagina"/>
      </w:pPr>
      <w:r>
        <w:rPr>
          <w:rStyle w:val="Rimandonotaapidipagina"/>
        </w:rPr>
        <w:footnoteRef/>
      </w:r>
      <w:r>
        <w:t xml:space="preserve"> A. D’Atena, </w:t>
      </w:r>
      <w:r w:rsidRPr="00546D43">
        <w:rPr>
          <w:i/>
        </w:rPr>
        <w:t xml:space="preserve">Sussidiarietà orizzontale e affidamento in </w:t>
      </w:r>
      <w:proofErr w:type="spellStart"/>
      <w:r w:rsidRPr="00546D43">
        <w:rPr>
          <w:i/>
        </w:rPr>
        <w:t>house</w:t>
      </w:r>
      <w:proofErr w:type="spellEnd"/>
      <w:r>
        <w:t xml:space="preserve">, nota a Corte Costituzionale n.438/2008, in Giur. </w:t>
      </w:r>
      <w:proofErr w:type="spellStart"/>
      <w:r>
        <w:t>Cost</w:t>
      </w:r>
      <w:proofErr w:type="spellEnd"/>
      <w:r>
        <w:t>., 2008, fascicolo 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6DC9C1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E6A29C1"/>
    <w:multiLevelType w:val="hybridMultilevel"/>
    <w:tmpl w:val="714E36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93B2945"/>
    <w:multiLevelType w:val="hybridMultilevel"/>
    <w:tmpl w:val="3F9835B2"/>
    <w:lvl w:ilvl="0" w:tplc="48207330">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7C104AA5"/>
    <w:multiLevelType w:val="hybridMultilevel"/>
    <w:tmpl w:val="F92EE27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0A"/>
    <w:rsid w:val="00000197"/>
    <w:rsid w:val="00010C0D"/>
    <w:rsid w:val="00011AE2"/>
    <w:rsid w:val="00036FB3"/>
    <w:rsid w:val="00063628"/>
    <w:rsid w:val="000717F5"/>
    <w:rsid w:val="00077FE4"/>
    <w:rsid w:val="000973DD"/>
    <w:rsid w:val="000A03C2"/>
    <w:rsid w:val="000A6B26"/>
    <w:rsid w:val="000F0B4C"/>
    <w:rsid w:val="00106D2E"/>
    <w:rsid w:val="001319FC"/>
    <w:rsid w:val="00161056"/>
    <w:rsid w:val="001719BE"/>
    <w:rsid w:val="00177D08"/>
    <w:rsid w:val="00184F22"/>
    <w:rsid w:val="001867FD"/>
    <w:rsid w:val="00192857"/>
    <w:rsid w:val="001A07DE"/>
    <w:rsid w:val="001C72E2"/>
    <w:rsid w:val="001D2B40"/>
    <w:rsid w:val="001E3B85"/>
    <w:rsid w:val="001E3C54"/>
    <w:rsid w:val="001E739F"/>
    <w:rsid w:val="001F1B1A"/>
    <w:rsid w:val="00222E3D"/>
    <w:rsid w:val="002242AC"/>
    <w:rsid w:val="0022513A"/>
    <w:rsid w:val="00240F9E"/>
    <w:rsid w:val="002620AF"/>
    <w:rsid w:val="00265BD9"/>
    <w:rsid w:val="00265D7A"/>
    <w:rsid w:val="002664D5"/>
    <w:rsid w:val="0028472E"/>
    <w:rsid w:val="002847C1"/>
    <w:rsid w:val="00287434"/>
    <w:rsid w:val="00287AB6"/>
    <w:rsid w:val="002A571F"/>
    <w:rsid w:val="002B2BED"/>
    <w:rsid w:val="002B399C"/>
    <w:rsid w:val="002B3FD6"/>
    <w:rsid w:val="002C16E1"/>
    <w:rsid w:val="002D293D"/>
    <w:rsid w:val="002D3925"/>
    <w:rsid w:val="002D7979"/>
    <w:rsid w:val="002F3381"/>
    <w:rsid w:val="002F3511"/>
    <w:rsid w:val="00305B4B"/>
    <w:rsid w:val="003218B3"/>
    <w:rsid w:val="003228A0"/>
    <w:rsid w:val="003315FB"/>
    <w:rsid w:val="00335E0C"/>
    <w:rsid w:val="00336C14"/>
    <w:rsid w:val="00346E43"/>
    <w:rsid w:val="00365858"/>
    <w:rsid w:val="00367CE1"/>
    <w:rsid w:val="003775D7"/>
    <w:rsid w:val="00392CC1"/>
    <w:rsid w:val="00394801"/>
    <w:rsid w:val="003960C4"/>
    <w:rsid w:val="003A6508"/>
    <w:rsid w:val="003A7ACF"/>
    <w:rsid w:val="003B60EB"/>
    <w:rsid w:val="003B7AC8"/>
    <w:rsid w:val="003D2B50"/>
    <w:rsid w:val="003D5140"/>
    <w:rsid w:val="003D5366"/>
    <w:rsid w:val="003F43E3"/>
    <w:rsid w:val="00421B63"/>
    <w:rsid w:val="0043685B"/>
    <w:rsid w:val="00444ADF"/>
    <w:rsid w:val="00447A6E"/>
    <w:rsid w:val="004753BD"/>
    <w:rsid w:val="00477E96"/>
    <w:rsid w:val="0048468F"/>
    <w:rsid w:val="004A30C9"/>
    <w:rsid w:val="004B211E"/>
    <w:rsid w:val="004B3B39"/>
    <w:rsid w:val="004D54B0"/>
    <w:rsid w:val="004E004E"/>
    <w:rsid w:val="004E709D"/>
    <w:rsid w:val="00526E4E"/>
    <w:rsid w:val="00546D43"/>
    <w:rsid w:val="00550F08"/>
    <w:rsid w:val="00556753"/>
    <w:rsid w:val="00560C7C"/>
    <w:rsid w:val="005639FB"/>
    <w:rsid w:val="00563E68"/>
    <w:rsid w:val="00580FCC"/>
    <w:rsid w:val="00586730"/>
    <w:rsid w:val="005A408D"/>
    <w:rsid w:val="005A534C"/>
    <w:rsid w:val="005C38A6"/>
    <w:rsid w:val="005C6ACF"/>
    <w:rsid w:val="005D06F1"/>
    <w:rsid w:val="005F5AC7"/>
    <w:rsid w:val="00605C5B"/>
    <w:rsid w:val="00623BC1"/>
    <w:rsid w:val="006326EC"/>
    <w:rsid w:val="00645DD8"/>
    <w:rsid w:val="00655270"/>
    <w:rsid w:val="006678CA"/>
    <w:rsid w:val="006A0E1A"/>
    <w:rsid w:val="006B512F"/>
    <w:rsid w:val="006D144F"/>
    <w:rsid w:val="006D7872"/>
    <w:rsid w:val="006E6E73"/>
    <w:rsid w:val="006F7F77"/>
    <w:rsid w:val="00716ABF"/>
    <w:rsid w:val="00747BC7"/>
    <w:rsid w:val="0075298B"/>
    <w:rsid w:val="00760110"/>
    <w:rsid w:val="0078221E"/>
    <w:rsid w:val="00782E5B"/>
    <w:rsid w:val="0079659D"/>
    <w:rsid w:val="007E33EF"/>
    <w:rsid w:val="007F20C1"/>
    <w:rsid w:val="007F6A05"/>
    <w:rsid w:val="0080237E"/>
    <w:rsid w:val="008071B0"/>
    <w:rsid w:val="00813B6E"/>
    <w:rsid w:val="0081581E"/>
    <w:rsid w:val="00816DAF"/>
    <w:rsid w:val="00851615"/>
    <w:rsid w:val="008556DF"/>
    <w:rsid w:val="00857698"/>
    <w:rsid w:val="00860F1F"/>
    <w:rsid w:val="008644BF"/>
    <w:rsid w:val="00865221"/>
    <w:rsid w:val="0087161C"/>
    <w:rsid w:val="00885A13"/>
    <w:rsid w:val="00887A4F"/>
    <w:rsid w:val="008A3864"/>
    <w:rsid w:val="008D76CE"/>
    <w:rsid w:val="008E52E3"/>
    <w:rsid w:val="008F3279"/>
    <w:rsid w:val="008F6151"/>
    <w:rsid w:val="008F6DFE"/>
    <w:rsid w:val="009033D9"/>
    <w:rsid w:val="00913E16"/>
    <w:rsid w:val="00926797"/>
    <w:rsid w:val="00930ABA"/>
    <w:rsid w:val="009430B8"/>
    <w:rsid w:val="009511ED"/>
    <w:rsid w:val="00955A49"/>
    <w:rsid w:val="00961AAE"/>
    <w:rsid w:val="00994717"/>
    <w:rsid w:val="00995979"/>
    <w:rsid w:val="009B309C"/>
    <w:rsid w:val="009B5C71"/>
    <w:rsid w:val="009B651D"/>
    <w:rsid w:val="009C04A5"/>
    <w:rsid w:val="009C38C3"/>
    <w:rsid w:val="009D199A"/>
    <w:rsid w:val="009E27E8"/>
    <w:rsid w:val="009E64B6"/>
    <w:rsid w:val="009F1373"/>
    <w:rsid w:val="009F3E45"/>
    <w:rsid w:val="00A17CE5"/>
    <w:rsid w:val="00A2749E"/>
    <w:rsid w:val="00A43E3E"/>
    <w:rsid w:val="00A47FC8"/>
    <w:rsid w:val="00A64FA7"/>
    <w:rsid w:val="00A74002"/>
    <w:rsid w:val="00A8451F"/>
    <w:rsid w:val="00A86926"/>
    <w:rsid w:val="00AA1399"/>
    <w:rsid w:val="00AA7705"/>
    <w:rsid w:val="00AB327C"/>
    <w:rsid w:val="00AC45BD"/>
    <w:rsid w:val="00AD5FA9"/>
    <w:rsid w:val="00AD693A"/>
    <w:rsid w:val="00AE09C5"/>
    <w:rsid w:val="00AF388A"/>
    <w:rsid w:val="00AF5E65"/>
    <w:rsid w:val="00AF704E"/>
    <w:rsid w:val="00B425E2"/>
    <w:rsid w:val="00B44194"/>
    <w:rsid w:val="00B62EC2"/>
    <w:rsid w:val="00B640F0"/>
    <w:rsid w:val="00B6787F"/>
    <w:rsid w:val="00B836D9"/>
    <w:rsid w:val="00BA37FD"/>
    <w:rsid w:val="00BC0076"/>
    <w:rsid w:val="00BC2681"/>
    <w:rsid w:val="00BC7EA1"/>
    <w:rsid w:val="00BF1208"/>
    <w:rsid w:val="00BF7B86"/>
    <w:rsid w:val="00C10E12"/>
    <w:rsid w:val="00C12E39"/>
    <w:rsid w:val="00C13D04"/>
    <w:rsid w:val="00C320B9"/>
    <w:rsid w:val="00C45E14"/>
    <w:rsid w:val="00C720B1"/>
    <w:rsid w:val="00C72211"/>
    <w:rsid w:val="00C80BBF"/>
    <w:rsid w:val="00C868CF"/>
    <w:rsid w:val="00CD3436"/>
    <w:rsid w:val="00CD5DF1"/>
    <w:rsid w:val="00CF0730"/>
    <w:rsid w:val="00CF2FA4"/>
    <w:rsid w:val="00CF2FDE"/>
    <w:rsid w:val="00CF4061"/>
    <w:rsid w:val="00D01C8F"/>
    <w:rsid w:val="00D346D5"/>
    <w:rsid w:val="00D44AE8"/>
    <w:rsid w:val="00D47312"/>
    <w:rsid w:val="00D53328"/>
    <w:rsid w:val="00D76030"/>
    <w:rsid w:val="00D87BFC"/>
    <w:rsid w:val="00DA2377"/>
    <w:rsid w:val="00DB1125"/>
    <w:rsid w:val="00DB17BC"/>
    <w:rsid w:val="00DD2C7E"/>
    <w:rsid w:val="00DD2FE6"/>
    <w:rsid w:val="00DE3A8C"/>
    <w:rsid w:val="00DF54FD"/>
    <w:rsid w:val="00E0001F"/>
    <w:rsid w:val="00E01574"/>
    <w:rsid w:val="00E102C5"/>
    <w:rsid w:val="00E21AC4"/>
    <w:rsid w:val="00E61864"/>
    <w:rsid w:val="00E63F81"/>
    <w:rsid w:val="00E66D47"/>
    <w:rsid w:val="00E726D1"/>
    <w:rsid w:val="00E727AB"/>
    <w:rsid w:val="00EA436E"/>
    <w:rsid w:val="00EA79F5"/>
    <w:rsid w:val="00EA7E12"/>
    <w:rsid w:val="00EB0B70"/>
    <w:rsid w:val="00EB1BE5"/>
    <w:rsid w:val="00ED288E"/>
    <w:rsid w:val="00ED403D"/>
    <w:rsid w:val="00F17EA7"/>
    <w:rsid w:val="00F27454"/>
    <w:rsid w:val="00F301F4"/>
    <w:rsid w:val="00F31B0A"/>
    <w:rsid w:val="00F414A8"/>
    <w:rsid w:val="00F43416"/>
    <w:rsid w:val="00F46C90"/>
    <w:rsid w:val="00F6566F"/>
    <w:rsid w:val="00F81E2E"/>
    <w:rsid w:val="00F9189D"/>
    <w:rsid w:val="00FA58DB"/>
    <w:rsid w:val="00FB1117"/>
    <w:rsid w:val="00FB14DC"/>
    <w:rsid w:val="00FB3B23"/>
    <w:rsid w:val="00FC160B"/>
    <w:rsid w:val="00FC4C26"/>
    <w:rsid w:val="00FD74CB"/>
    <w:rsid w:val="00FF26CC"/>
    <w:rsid w:val="00FF33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39836"/>
  <w15:docId w15:val="{E6442A80-B0C8-435D-BBF0-235C09E0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31B0A"/>
    <w:pPr>
      <w:ind w:left="720"/>
      <w:contextualSpacing/>
    </w:pPr>
  </w:style>
  <w:style w:type="character" w:styleId="Collegamentoipertestuale">
    <w:name w:val="Hyperlink"/>
    <w:basedOn w:val="Carpredefinitoparagrafo"/>
    <w:uiPriority w:val="99"/>
    <w:semiHidden/>
    <w:unhideWhenUsed/>
    <w:rsid w:val="002242AC"/>
    <w:rPr>
      <w:strike w:val="0"/>
      <w:dstrike w:val="0"/>
      <w:color w:val="67AF34"/>
      <w:u w:val="none"/>
      <w:effect w:val="none"/>
    </w:rPr>
  </w:style>
  <w:style w:type="character" w:customStyle="1" w:styleId="provvnumart">
    <w:name w:val="provv_numart"/>
    <w:basedOn w:val="Carpredefinitoparagrafo"/>
    <w:rsid w:val="002242AC"/>
    <w:rPr>
      <w:b/>
      <w:bCs/>
    </w:rPr>
  </w:style>
  <w:style w:type="paragraph" w:customStyle="1" w:styleId="provvr01">
    <w:name w:val="provv_r01"/>
    <w:basedOn w:val="Normale"/>
    <w:rsid w:val="002242AC"/>
    <w:pPr>
      <w:spacing w:before="100" w:beforeAutospacing="1" w:after="45" w:line="240" w:lineRule="auto"/>
      <w:jc w:val="both"/>
    </w:pPr>
    <w:rPr>
      <w:rFonts w:ascii="Times New Roman" w:eastAsia="Times New Roman" w:hAnsi="Times New Roman" w:cs="Times New Roman"/>
      <w:sz w:val="24"/>
      <w:szCs w:val="24"/>
      <w:lang w:eastAsia="it-IT"/>
    </w:rPr>
  </w:style>
  <w:style w:type="paragraph" w:styleId="Puntoelenco">
    <w:name w:val="List Bullet"/>
    <w:basedOn w:val="Normale"/>
    <w:uiPriority w:val="99"/>
    <w:unhideWhenUsed/>
    <w:rsid w:val="009B5C71"/>
    <w:pPr>
      <w:numPr>
        <w:numId w:val="2"/>
      </w:numPr>
      <w:contextualSpacing/>
    </w:pPr>
  </w:style>
  <w:style w:type="paragraph" w:styleId="Testofumetto">
    <w:name w:val="Balloon Text"/>
    <w:basedOn w:val="Normale"/>
    <w:link w:val="TestofumettoCarattere"/>
    <w:uiPriority w:val="99"/>
    <w:semiHidden/>
    <w:unhideWhenUsed/>
    <w:rsid w:val="009C38C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C38C3"/>
    <w:rPr>
      <w:rFonts w:ascii="Segoe UI" w:hAnsi="Segoe UI" w:cs="Segoe UI"/>
      <w:sz w:val="18"/>
      <w:szCs w:val="18"/>
    </w:rPr>
  </w:style>
  <w:style w:type="paragraph" w:styleId="Intestazione">
    <w:name w:val="header"/>
    <w:basedOn w:val="Normale"/>
    <w:link w:val="IntestazioneCarattere"/>
    <w:uiPriority w:val="99"/>
    <w:unhideWhenUsed/>
    <w:rsid w:val="00D01C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01C8F"/>
  </w:style>
  <w:style w:type="paragraph" w:styleId="Pidipagina">
    <w:name w:val="footer"/>
    <w:basedOn w:val="Normale"/>
    <w:link w:val="PidipaginaCarattere"/>
    <w:uiPriority w:val="99"/>
    <w:unhideWhenUsed/>
    <w:rsid w:val="00D01C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01C8F"/>
  </w:style>
  <w:style w:type="paragraph" w:styleId="Testonotaapidipagina">
    <w:name w:val="footnote text"/>
    <w:basedOn w:val="Normale"/>
    <w:link w:val="TestonotaapidipaginaCarattere"/>
    <w:uiPriority w:val="99"/>
    <w:semiHidden/>
    <w:unhideWhenUsed/>
    <w:rsid w:val="0076011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60110"/>
    <w:rPr>
      <w:sz w:val="20"/>
      <w:szCs w:val="20"/>
    </w:rPr>
  </w:style>
  <w:style w:type="character" w:styleId="Rimandonotaapidipagina">
    <w:name w:val="footnote reference"/>
    <w:basedOn w:val="Carpredefinitoparagrafo"/>
    <w:uiPriority w:val="99"/>
    <w:semiHidden/>
    <w:unhideWhenUsed/>
    <w:rsid w:val="007601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846189">
      <w:bodyDiv w:val="1"/>
      <w:marLeft w:val="0"/>
      <w:marRight w:val="0"/>
      <w:marTop w:val="150"/>
      <w:marBottom w:val="0"/>
      <w:divBdr>
        <w:top w:val="none" w:sz="0" w:space="0" w:color="auto"/>
        <w:left w:val="none" w:sz="0" w:space="0" w:color="auto"/>
        <w:bottom w:val="none" w:sz="0" w:space="0" w:color="auto"/>
        <w:right w:val="none" w:sz="0" w:space="0" w:color="auto"/>
      </w:divBdr>
      <w:divsChild>
        <w:div w:id="823204064">
          <w:marLeft w:val="0"/>
          <w:marRight w:val="0"/>
          <w:marTop w:val="0"/>
          <w:marBottom w:val="0"/>
          <w:divBdr>
            <w:top w:val="none" w:sz="0" w:space="0" w:color="auto"/>
            <w:left w:val="none" w:sz="0" w:space="0" w:color="auto"/>
            <w:bottom w:val="none" w:sz="0" w:space="0" w:color="auto"/>
            <w:right w:val="none" w:sz="0" w:space="0" w:color="auto"/>
          </w:divBdr>
          <w:divsChild>
            <w:div w:id="1551575057">
              <w:marLeft w:val="0"/>
              <w:marRight w:val="0"/>
              <w:marTop w:val="0"/>
              <w:marBottom w:val="0"/>
              <w:divBdr>
                <w:top w:val="none" w:sz="0" w:space="0" w:color="auto"/>
                <w:left w:val="none" w:sz="0" w:space="0" w:color="auto"/>
                <w:bottom w:val="none" w:sz="0" w:space="0" w:color="auto"/>
                <w:right w:val="none" w:sz="0" w:space="0" w:color="auto"/>
              </w:divBdr>
              <w:divsChild>
                <w:div w:id="442770991">
                  <w:marLeft w:val="0"/>
                  <w:marRight w:val="0"/>
                  <w:marTop w:val="0"/>
                  <w:marBottom w:val="0"/>
                  <w:divBdr>
                    <w:top w:val="none" w:sz="0" w:space="0" w:color="auto"/>
                    <w:left w:val="none" w:sz="0" w:space="0" w:color="auto"/>
                    <w:bottom w:val="none" w:sz="0" w:space="0" w:color="auto"/>
                    <w:right w:val="none" w:sz="0" w:space="0" w:color="auto"/>
                  </w:divBdr>
                  <w:divsChild>
                    <w:div w:id="2037534766">
                      <w:marLeft w:val="0"/>
                      <w:marRight w:val="0"/>
                      <w:marTop w:val="0"/>
                      <w:marBottom w:val="0"/>
                      <w:divBdr>
                        <w:top w:val="none" w:sz="0" w:space="0" w:color="auto"/>
                        <w:left w:val="none" w:sz="0" w:space="0" w:color="auto"/>
                        <w:bottom w:val="none" w:sz="0" w:space="0" w:color="auto"/>
                        <w:right w:val="none" w:sz="0" w:space="0" w:color="auto"/>
                      </w:divBdr>
                      <w:divsChild>
                        <w:div w:id="1390306371">
                          <w:marLeft w:val="375"/>
                          <w:marRight w:val="0"/>
                          <w:marTop w:val="0"/>
                          <w:marBottom w:val="0"/>
                          <w:divBdr>
                            <w:top w:val="none" w:sz="0" w:space="0" w:color="auto"/>
                            <w:left w:val="none" w:sz="0" w:space="0" w:color="auto"/>
                            <w:bottom w:val="none" w:sz="0" w:space="0" w:color="auto"/>
                            <w:right w:val="none" w:sz="0" w:space="0" w:color="auto"/>
                          </w:divBdr>
                          <w:divsChild>
                            <w:div w:id="1446535233">
                              <w:marLeft w:val="0"/>
                              <w:marRight w:val="0"/>
                              <w:marTop w:val="0"/>
                              <w:marBottom w:val="300"/>
                              <w:divBdr>
                                <w:top w:val="none" w:sz="0" w:space="0" w:color="auto"/>
                                <w:left w:val="single" w:sz="6" w:space="0" w:color="EDEDED"/>
                                <w:bottom w:val="single" w:sz="6" w:space="26" w:color="EDEDED"/>
                                <w:right w:val="single" w:sz="6" w:space="0" w:color="EDEDED"/>
                              </w:divBdr>
                              <w:divsChild>
                                <w:div w:id="154980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9BCDE-6251-4334-9133-296024908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13</Pages>
  <Words>4413</Words>
  <Characters>25155</Characters>
  <Application>Microsoft Office Word</Application>
  <DocSecurity>0</DocSecurity>
  <Lines>209</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DEODATO Carlo</dc:creator>
  <cp:lastModifiedBy>FERRARI Giulia</cp:lastModifiedBy>
  <cp:revision>6</cp:revision>
  <cp:lastPrinted>2020-10-24T09:14:00Z</cp:lastPrinted>
  <dcterms:created xsi:type="dcterms:W3CDTF">2020-10-28T12:38:00Z</dcterms:created>
  <dcterms:modified xsi:type="dcterms:W3CDTF">2020-10-28T15:18:00Z</dcterms:modified>
</cp:coreProperties>
</file>