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7E" w:rsidRDefault="00251A7E" w:rsidP="00251A7E">
      <w:pPr>
        <w:spacing w:after="0" w:line="240" w:lineRule="auto"/>
        <w:jc w:val="center"/>
        <w:rPr>
          <w:rFonts w:ascii="Arial" w:hAnsi="Arial" w:cs="Arial"/>
          <w:sz w:val="24"/>
          <w:szCs w:val="24"/>
        </w:rPr>
      </w:pPr>
      <w:bookmarkStart w:id="0" w:name="_GoBack"/>
      <w:r>
        <w:rPr>
          <w:rFonts w:ascii="Arial" w:hAnsi="Arial" w:cs="Arial"/>
          <w:sz w:val="24"/>
          <w:szCs w:val="24"/>
        </w:rPr>
        <w:t>Lo stato della giurisprudenza sulle sanzioni dell’Autorità</w:t>
      </w:r>
    </w:p>
    <w:p w:rsidR="00F52F3E" w:rsidRPr="0056261A" w:rsidRDefault="00251A7E" w:rsidP="00B97E9F">
      <w:pPr>
        <w:spacing w:after="0" w:line="240" w:lineRule="auto"/>
        <w:jc w:val="center"/>
        <w:rPr>
          <w:rFonts w:ascii="Arial" w:hAnsi="Arial" w:cs="Arial"/>
          <w:sz w:val="24"/>
          <w:szCs w:val="24"/>
        </w:rPr>
      </w:pPr>
      <w:r w:rsidRPr="0056261A">
        <w:rPr>
          <w:rFonts w:ascii="Arial" w:hAnsi="Arial" w:cs="Arial"/>
          <w:sz w:val="24"/>
          <w:szCs w:val="24"/>
        </w:rPr>
        <w:t xml:space="preserve">di Regolazione per Energia, Reti e Ambiente </w:t>
      </w:r>
      <w:r>
        <w:rPr>
          <w:rFonts w:ascii="Arial" w:hAnsi="Arial" w:cs="Arial"/>
          <w:sz w:val="24"/>
          <w:szCs w:val="24"/>
        </w:rPr>
        <w:t>(ARERA)</w:t>
      </w:r>
      <w:bookmarkEnd w:id="0"/>
      <w:r w:rsidR="0056261A">
        <w:rPr>
          <w:rFonts w:ascii="Arial" w:hAnsi="Arial" w:cs="Arial"/>
          <w:sz w:val="24"/>
          <w:szCs w:val="24"/>
        </w:rPr>
        <w:t>*</w:t>
      </w:r>
    </w:p>
    <w:p w:rsidR="00306C29" w:rsidRPr="0056261A" w:rsidRDefault="00306C29" w:rsidP="006A42D6">
      <w:pPr>
        <w:spacing w:after="0"/>
        <w:ind w:firstLine="284"/>
        <w:jc w:val="both"/>
        <w:rPr>
          <w:rFonts w:ascii="Arial" w:hAnsi="Arial" w:cs="Arial"/>
          <w:sz w:val="24"/>
          <w:szCs w:val="24"/>
        </w:rPr>
      </w:pPr>
    </w:p>
    <w:p w:rsidR="00306C29" w:rsidRPr="00251A7E" w:rsidRDefault="006063C8" w:rsidP="006063C8">
      <w:pPr>
        <w:spacing w:after="0"/>
        <w:jc w:val="both"/>
        <w:rPr>
          <w:rFonts w:ascii="Arial" w:hAnsi="Arial" w:cs="Arial"/>
          <w:sz w:val="20"/>
          <w:szCs w:val="20"/>
        </w:rPr>
      </w:pPr>
      <w:r w:rsidRPr="00251A7E">
        <w:rPr>
          <w:rFonts w:ascii="Arial" w:hAnsi="Arial" w:cs="Arial"/>
          <w:sz w:val="20"/>
          <w:szCs w:val="20"/>
        </w:rPr>
        <w:t xml:space="preserve">1. </w:t>
      </w:r>
      <w:r w:rsidR="00C07D86" w:rsidRPr="00251A7E">
        <w:rPr>
          <w:rFonts w:ascii="Arial" w:hAnsi="Arial" w:cs="Arial"/>
          <w:sz w:val="20"/>
          <w:szCs w:val="20"/>
        </w:rPr>
        <w:t>C</w:t>
      </w:r>
      <w:r w:rsidR="00F77A4A" w:rsidRPr="00251A7E">
        <w:rPr>
          <w:rFonts w:ascii="Arial" w:hAnsi="Arial" w:cs="Arial"/>
          <w:sz w:val="20"/>
          <w:szCs w:val="20"/>
        </w:rPr>
        <w:t xml:space="preserve">enni </w:t>
      </w:r>
      <w:r w:rsidR="00857A46" w:rsidRPr="00251A7E">
        <w:rPr>
          <w:rFonts w:ascii="Arial" w:hAnsi="Arial" w:cs="Arial"/>
          <w:sz w:val="20"/>
          <w:szCs w:val="20"/>
        </w:rPr>
        <w:t>in ordine a</w:t>
      </w:r>
      <w:r w:rsidR="00F77A4A" w:rsidRPr="00251A7E">
        <w:rPr>
          <w:rFonts w:ascii="Arial" w:hAnsi="Arial" w:cs="Arial"/>
          <w:sz w:val="20"/>
          <w:szCs w:val="20"/>
        </w:rPr>
        <w:t>l</w:t>
      </w:r>
      <w:r w:rsidR="00857A46" w:rsidRPr="00251A7E">
        <w:rPr>
          <w:rFonts w:ascii="Arial" w:hAnsi="Arial" w:cs="Arial"/>
          <w:sz w:val="20"/>
          <w:szCs w:val="20"/>
        </w:rPr>
        <w:t xml:space="preserve"> regime giuridico del</w:t>
      </w:r>
      <w:r w:rsidR="00F77A4A" w:rsidRPr="00251A7E">
        <w:rPr>
          <w:rFonts w:ascii="Arial" w:hAnsi="Arial" w:cs="Arial"/>
          <w:sz w:val="20"/>
          <w:szCs w:val="20"/>
        </w:rPr>
        <w:t>l</w:t>
      </w:r>
      <w:r w:rsidR="00306C29" w:rsidRPr="00251A7E">
        <w:rPr>
          <w:rFonts w:ascii="Arial" w:hAnsi="Arial" w:cs="Arial"/>
          <w:sz w:val="20"/>
          <w:szCs w:val="20"/>
        </w:rPr>
        <w:t>e sanzioni amministrative nell’ordinamento italiano</w:t>
      </w:r>
      <w:r w:rsidR="00BD7422" w:rsidRPr="00251A7E">
        <w:rPr>
          <w:rFonts w:ascii="Arial" w:hAnsi="Arial" w:cs="Arial"/>
          <w:sz w:val="20"/>
          <w:szCs w:val="20"/>
        </w:rPr>
        <w:t xml:space="preserve"> –</w:t>
      </w:r>
      <w:r w:rsidRPr="00251A7E">
        <w:rPr>
          <w:rFonts w:ascii="Arial" w:hAnsi="Arial" w:cs="Arial"/>
          <w:sz w:val="20"/>
          <w:szCs w:val="20"/>
        </w:rPr>
        <w:t xml:space="preserve"> 2. </w:t>
      </w:r>
      <w:r w:rsidR="0056261A" w:rsidRPr="00251A7E">
        <w:rPr>
          <w:rFonts w:ascii="Arial" w:hAnsi="Arial" w:cs="Arial"/>
          <w:sz w:val="20"/>
          <w:szCs w:val="20"/>
        </w:rPr>
        <w:t>La giurisprudenza della CEDU</w:t>
      </w:r>
      <w:r w:rsidR="00306C29" w:rsidRPr="00251A7E">
        <w:rPr>
          <w:rFonts w:ascii="Arial" w:hAnsi="Arial" w:cs="Arial"/>
          <w:sz w:val="20"/>
          <w:szCs w:val="20"/>
        </w:rPr>
        <w:t xml:space="preserve"> </w:t>
      </w:r>
      <w:r w:rsidR="006C3791" w:rsidRPr="00251A7E">
        <w:rPr>
          <w:rFonts w:ascii="Arial" w:hAnsi="Arial" w:cs="Arial"/>
          <w:sz w:val="20"/>
          <w:szCs w:val="20"/>
        </w:rPr>
        <w:t>e l</w:t>
      </w:r>
      <w:r w:rsidR="0056261A" w:rsidRPr="00251A7E">
        <w:rPr>
          <w:rFonts w:ascii="Arial" w:hAnsi="Arial" w:cs="Arial"/>
          <w:sz w:val="20"/>
          <w:szCs w:val="20"/>
        </w:rPr>
        <w:t>’applicabilità dei princì</w:t>
      </w:r>
      <w:r w:rsidR="006C3791" w:rsidRPr="00251A7E">
        <w:rPr>
          <w:rFonts w:ascii="Arial" w:hAnsi="Arial" w:cs="Arial"/>
          <w:sz w:val="20"/>
          <w:szCs w:val="20"/>
        </w:rPr>
        <w:t>pi penalistici alle sanzioni amministrative</w:t>
      </w:r>
      <w:r w:rsidR="00BD7422" w:rsidRPr="00251A7E">
        <w:rPr>
          <w:rFonts w:ascii="Arial" w:hAnsi="Arial" w:cs="Arial"/>
          <w:sz w:val="20"/>
          <w:szCs w:val="20"/>
        </w:rPr>
        <w:t xml:space="preserve"> –</w:t>
      </w:r>
      <w:r w:rsidRPr="00251A7E">
        <w:rPr>
          <w:rFonts w:ascii="Arial" w:hAnsi="Arial" w:cs="Arial"/>
          <w:sz w:val="20"/>
          <w:szCs w:val="20"/>
        </w:rPr>
        <w:t xml:space="preserve"> 3. </w:t>
      </w:r>
      <w:r w:rsidR="00306C29" w:rsidRPr="00251A7E">
        <w:rPr>
          <w:rFonts w:ascii="Arial" w:hAnsi="Arial" w:cs="Arial"/>
          <w:sz w:val="20"/>
          <w:szCs w:val="20"/>
        </w:rPr>
        <w:t>La giurisprudenza costituzionale relativa alle sanzioni ammin</w:t>
      </w:r>
      <w:r w:rsidR="00BD7422" w:rsidRPr="00251A7E">
        <w:rPr>
          <w:rFonts w:ascii="Arial" w:hAnsi="Arial" w:cs="Arial"/>
          <w:sz w:val="20"/>
          <w:szCs w:val="20"/>
        </w:rPr>
        <w:t xml:space="preserve">istrative – </w:t>
      </w:r>
      <w:r w:rsidRPr="00251A7E">
        <w:rPr>
          <w:rFonts w:ascii="Arial" w:hAnsi="Arial" w:cs="Arial"/>
          <w:sz w:val="20"/>
          <w:szCs w:val="20"/>
        </w:rPr>
        <w:t>4. L</w:t>
      </w:r>
      <w:r w:rsidR="00306C29" w:rsidRPr="00251A7E">
        <w:rPr>
          <w:rFonts w:ascii="Arial" w:hAnsi="Arial" w:cs="Arial"/>
          <w:sz w:val="20"/>
          <w:szCs w:val="20"/>
        </w:rPr>
        <w:t>a natura delle sanzioni dell’</w:t>
      </w:r>
      <w:r w:rsidR="00FA0C80" w:rsidRPr="00251A7E">
        <w:rPr>
          <w:rFonts w:ascii="Arial" w:hAnsi="Arial" w:cs="Arial"/>
          <w:sz w:val="20"/>
          <w:szCs w:val="20"/>
        </w:rPr>
        <w:t xml:space="preserve">Autorità </w:t>
      </w:r>
      <w:r w:rsidR="00D8672A" w:rsidRPr="00251A7E">
        <w:rPr>
          <w:rFonts w:ascii="Arial" w:hAnsi="Arial" w:cs="Arial"/>
          <w:sz w:val="20"/>
          <w:szCs w:val="20"/>
        </w:rPr>
        <w:t>di R</w:t>
      </w:r>
      <w:r w:rsidR="00FA0C80" w:rsidRPr="00251A7E">
        <w:rPr>
          <w:rFonts w:ascii="Arial" w:hAnsi="Arial" w:cs="Arial"/>
          <w:sz w:val="20"/>
          <w:szCs w:val="20"/>
        </w:rPr>
        <w:t>egolazione per</w:t>
      </w:r>
      <w:r w:rsidR="00D8672A" w:rsidRPr="00251A7E">
        <w:rPr>
          <w:rFonts w:ascii="Arial" w:hAnsi="Arial" w:cs="Arial"/>
          <w:sz w:val="20"/>
          <w:szCs w:val="20"/>
        </w:rPr>
        <w:t xml:space="preserve"> E</w:t>
      </w:r>
      <w:r w:rsidR="00FA0C80" w:rsidRPr="00251A7E">
        <w:rPr>
          <w:rFonts w:ascii="Arial" w:hAnsi="Arial" w:cs="Arial"/>
          <w:sz w:val="20"/>
          <w:szCs w:val="20"/>
        </w:rPr>
        <w:t xml:space="preserve">nergia, </w:t>
      </w:r>
      <w:r w:rsidR="00D8672A" w:rsidRPr="00251A7E">
        <w:rPr>
          <w:rFonts w:ascii="Arial" w:hAnsi="Arial" w:cs="Arial"/>
          <w:sz w:val="20"/>
          <w:szCs w:val="20"/>
        </w:rPr>
        <w:t>R</w:t>
      </w:r>
      <w:r w:rsidR="00FA0C80" w:rsidRPr="00251A7E">
        <w:rPr>
          <w:rFonts w:ascii="Arial" w:hAnsi="Arial" w:cs="Arial"/>
          <w:sz w:val="20"/>
          <w:szCs w:val="20"/>
        </w:rPr>
        <w:t xml:space="preserve">eti e </w:t>
      </w:r>
      <w:r w:rsidR="00D8672A" w:rsidRPr="00251A7E">
        <w:rPr>
          <w:rFonts w:ascii="Arial" w:hAnsi="Arial" w:cs="Arial"/>
          <w:sz w:val="20"/>
          <w:szCs w:val="20"/>
        </w:rPr>
        <w:t>A</w:t>
      </w:r>
      <w:r w:rsidR="00FA0C80" w:rsidRPr="00251A7E">
        <w:rPr>
          <w:rFonts w:ascii="Arial" w:hAnsi="Arial" w:cs="Arial"/>
          <w:sz w:val="20"/>
          <w:szCs w:val="20"/>
        </w:rPr>
        <w:t>mbiente (</w:t>
      </w:r>
      <w:r w:rsidR="0056261A" w:rsidRPr="00251A7E">
        <w:rPr>
          <w:rFonts w:ascii="Arial" w:hAnsi="Arial" w:cs="Arial"/>
          <w:sz w:val="20"/>
          <w:szCs w:val="20"/>
        </w:rPr>
        <w:t>AR</w:t>
      </w:r>
      <w:r w:rsidR="00306C29" w:rsidRPr="00251A7E">
        <w:rPr>
          <w:rFonts w:ascii="Arial" w:hAnsi="Arial" w:cs="Arial"/>
          <w:sz w:val="20"/>
          <w:szCs w:val="20"/>
        </w:rPr>
        <w:t>E</w:t>
      </w:r>
      <w:r w:rsidR="0056261A" w:rsidRPr="00251A7E">
        <w:rPr>
          <w:rFonts w:ascii="Arial" w:hAnsi="Arial" w:cs="Arial"/>
          <w:sz w:val="20"/>
          <w:szCs w:val="20"/>
        </w:rPr>
        <w:t>RA</w:t>
      </w:r>
      <w:r w:rsidR="00FA0C80" w:rsidRPr="00251A7E">
        <w:rPr>
          <w:rFonts w:ascii="Arial" w:hAnsi="Arial" w:cs="Arial"/>
          <w:sz w:val="20"/>
          <w:szCs w:val="20"/>
        </w:rPr>
        <w:t>)</w:t>
      </w:r>
      <w:r w:rsidR="00F77A4A" w:rsidRPr="00251A7E">
        <w:rPr>
          <w:rFonts w:ascii="Arial" w:hAnsi="Arial" w:cs="Arial"/>
          <w:sz w:val="20"/>
          <w:szCs w:val="20"/>
        </w:rPr>
        <w:t xml:space="preserve"> e lo stato della giurisprudenza</w:t>
      </w:r>
      <w:r w:rsidR="002171D5" w:rsidRPr="00251A7E">
        <w:rPr>
          <w:rFonts w:ascii="Arial" w:hAnsi="Arial" w:cs="Arial"/>
          <w:sz w:val="20"/>
          <w:szCs w:val="20"/>
        </w:rPr>
        <w:t xml:space="preserve"> amministrativa</w:t>
      </w:r>
      <w:r w:rsidR="00F77A4A" w:rsidRPr="00251A7E">
        <w:rPr>
          <w:rFonts w:ascii="Arial" w:hAnsi="Arial" w:cs="Arial"/>
          <w:sz w:val="20"/>
          <w:szCs w:val="20"/>
        </w:rPr>
        <w:t>.</w:t>
      </w:r>
    </w:p>
    <w:p w:rsidR="00306C29" w:rsidRPr="00251A7E" w:rsidRDefault="00306C29" w:rsidP="00306C29">
      <w:pPr>
        <w:spacing w:after="0"/>
        <w:jc w:val="both"/>
        <w:rPr>
          <w:rFonts w:ascii="Arial" w:hAnsi="Arial" w:cs="Arial"/>
          <w:sz w:val="20"/>
          <w:szCs w:val="20"/>
        </w:rPr>
      </w:pPr>
    </w:p>
    <w:p w:rsidR="00306C29" w:rsidRPr="00251A7E" w:rsidRDefault="0056261A" w:rsidP="0056261A">
      <w:pPr>
        <w:spacing w:after="0"/>
        <w:jc w:val="center"/>
        <w:rPr>
          <w:rFonts w:ascii="Arial" w:hAnsi="Arial" w:cs="Arial"/>
          <w:sz w:val="20"/>
          <w:szCs w:val="20"/>
        </w:rPr>
      </w:pPr>
      <w:r w:rsidRPr="00251A7E">
        <w:rPr>
          <w:rFonts w:ascii="Arial" w:hAnsi="Arial" w:cs="Arial"/>
          <w:sz w:val="20"/>
          <w:szCs w:val="20"/>
        </w:rPr>
        <w:t>ABSTRACT ITALIANO</w:t>
      </w:r>
    </w:p>
    <w:p w:rsidR="0056261A" w:rsidRPr="00251A7E" w:rsidRDefault="0056261A" w:rsidP="0056261A">
      <w:pPr>
        <w:spacing w:after="0"/>
        <w:jc w:val="center"/>
        <w:rPr>
          <w:rFonts w:ascii="Arial" w:hAnsi="Arial" w:cs="Arial"/>
          <w:sz w:val="20"/>
          <w:szCs w:val="20"/>
        </w:rPr>
      </w:pPr>
    </w:p>
    <w:p w:rsidR="0056261A" w:rsidRPr="00251A7E" w:rsidRDefault="00701955" w:rsidP="00701955">
      <w:pPr>
        <w:spacing w:after="0"/>
        <w:jc w:val="both"/>
        <w:rPr>
          <w:rFonts w:ascii="Arial" w:hAnsi="Arial" w:cs="Arial"/>
          <w:sz w:val="20"/>
          <w:szCs w:val="20"/>
        </w:rPr>
      </w:pPr>
      <w:r>
        <w:rPr>
          <w:rFonts w:ascii="Arial" w:hAnsi="Arial" w:cs="Arial"/>
          <w:sz w:val="20"/>
          <w:szCs w:val="20"/>
        </w:rPr>
        <w:t>L’ordinamento nazionale ha tradizionalmente operato una netta distinzione tra l’apparato sanzionatorio amministrativo e quello penale, in ragione del diverso fondamento giuridico dei due sistemi</w:t>
      </w:r>
      <w:r w:rsidR="00CE4C92">
        <w:rPr>
          <w:rFonts w:ascii="Arial" w:hAnsi="Arial" w:cs="Arial"/>
          <w:sz w:val="20"/>
          <w:szCs w:val="20"/>
        </w:rPr>
        <w:t xml:space="preserve">, derivante anche </w:t>
      </w:r>
      <w:r>
        <w:rPr>
          <w:rFonts w:ascii="Arial" w:hAnsi="Arial" w:cs="Arial"/>
          <w:sz w:val="20"/>
          <w:szCs w:val="20"/>
        </w:rPr>
        <w:t>d</w:t>
      </w:r>
      <w:r w:rsidR="00CE4C92">
        <w:rPr>
          <w:rFonts w:ascii="Arial" w:hAnsi="Arial" w:cs="Arial"/>
          <w:sz w:val="20"/>
          <w:szCs w:val="20"/>
        </w:rPr>
        <w:t>a</w:t>
      </w:r>
      <w:r>
        <w:rPr>
          <w:rFonts w:ascii="Arial" w:hAnsi="Arial" w:cs="Arial"/>
          <w:sz w:val="20"/>
          <w:szCs w:val="20"/>
        </w:rPr>
        <w:t xml:space="preserve">ll’assenza nel testo costituzionale di principi riferibili direttamente alla prima tipologia di sanzioni. Tuttavia la </w:t>
      </w:r>
      <w:r w:rsidR="00CE4C92">
        <w:rPr>
          <w:rFonts w:ascii="Arial" w:hAnsi="Arial" w:cs="Arial"/>
          <w:sz w:val="20"/>
          <w:szCs w:val="20"/>
        </w:rPr>
        <w:t>progressiva</w:t>
      </w:r>
      <w:r>
        <w:rPr>
          <w:rFonts w:ascii="Arial" w:hAnsi="Arial" w:cs="Arial"/>
          <w:sz w:val="20"/>
          <w:szCs w:val="20"/>
        </w:rPr>
        <w:t xml:space="preserve"> equiparazione </w:t>
      </w:r>
      <w:r w:rsidR="00294A31">
        <w:rPr>
          <w:rFonts w:ascii="Arial" w:hAnsi="Arial" w:cs="Arial"/>
          <w:sz w:val="20"/>
          <w:szCs w:val="20"/>
        </w:rPr>
        <w:t xml:space="preserve">tra i due sistemi, </w:t>
      </w:r>
      <w:r>
        <w:rPr>
          <w:rFonts w:ascii="Arial" w:hAnsi="Arial" w:cs="Arial"/>
          <w:sz w:val="20"/>
          <w:szCs w:val="20"/>
        </w:rPr>
        <w:t>operata dalla Corte E.D.U. a partire dall</w:t>
      </w:r>
      <w:r w:rsidR="00CE4C92">
        <w:rPr>
          <w:rFonts w:ascii="Arial" w:hAnsi="Arial" w:cs="Arial"/>
          <w:sz w:val="20"/>
          <w:szCs w:val="20"/>
        </w:rPr>
        <w:t>a</w:t>
      </w:r>
      <w:r>
        <w:rPr>
          <w:rFonts w:ascii="Arial" w:hAnsi="Arial" w:cs="Arial"/>
          <w:sz w:val="20"/>
          <w:szCs w:val="20"/>
        </w:rPr>
        <w:t xml:space="preserve"> “sentenza Engel”</w:t>
      </w:r>
      <w:r w:rsidR="00294A31">
        <w:rPr>
          <w:rFonts w:ascii="Arial" w:hAnsi="Arial" w:cs="Arial"/>
          <w:sz w:val="20"/>
          <w:szCs w:val="20"/>
        </w:rPr>
        <w:t xml:space="preserve"> e</w:t>
      </w:r>
      <w:r>
        <w:rPr>
          <w:rFonts w:ascii="Arial" w:hAnsi="Arial" w:cs="Arial"/>
          <w:sz w:val="20"/>
          <w:szCs w:val="20"/>
        </w:rPr>
        <w:t xml:space="preserve"> tesa a scongiurare il rischio che </w:t>
      </w:r>
      <w:r w:rsidR="00E878EC">
        <w:rPr>
          <w:rFonts w:ascii="Arial" w:hAnsi="Arial" w:cs="Arial"/>
          <w:sz w:val="20"/>
          <w:szCs w:val="20"/>
        </w:rPr>
        <w:t>le</w:t>
      </w:r>
      <w:r>
        <w:rPr>
          <w:rFonts w:ascii="Arial" w:hAnsi="Arial" w:cs="Arial"/>
          <w:sz w:val="20"/>
          <w:szCs w:val="20"/>
        </w:rPr>
        <w:t xml:space="preserve"> s</w:t>
      </w:r>
      <w:r w:rsidRPr="00701955">
        <w:rPr>
          <w:rFonts w:ascii="Arial" w:hAnsi="Arial" w:cs="Arial"/>
          <w:sz w:val="20"/>
          <w:szCs w:val="20"/>
        </w:rPr>
        <w:t>celte di politica legislativa</w:t>
      </w:r>
      <w:r w:rsidR="00E878EC">
        <w:rPr>
          <w:rFonts w:ascii="Arial" w:hAnsi="Arial" w:cs="Arial"/>
          <w:sz w:val="20"/>
          <w:szCs w:val="20"/>
        </w:rPr>
        <w:t xml:space="preserve"> dello Stato, attraverso processi di depenalizzazione, possano </w:t>
      </w:r>
      <w:r w:rsidRPr="00701955">
        <w:rPr>
          <w:rFonts w:ascii="Arial" w:hAnsi="Arial" w:cs="Arial"/>
          <w:sz w:val="20"/>
          <w:szCs w:val="20"/>
        </w:rPr>
        <w:t>depotenziare o eludere le garanzie convenzionali afferenti all’ambito penalistico</w:t>
      </w:r>
      <w:r w:rsidR="00E878EC">
        <w:rPr>
          <w:rFonts w:ascii="Arial" w:hAnsi="Arial" w:cs="Arial"/>
          <w:sz w:val="20"/>
          <w:szCs w:val="20"/>
        </w:rPr>
        <w:t xml:space="preserve">, ha indotto </w:t>
      </w:r>
      <w:r w:rsidR="00294A31">
        <w:rPr>
          <w:rFonts w:ascii="Arial" w:hAnsi="Arial" w:cs="Arial"/>
          <w:sz w:val="20"/>
          <w:szCs w:val="20"/>
        </w:rPr>
        <w:t>di recente l</w:t>
      </w:r>
      <w:r w:rsidR="00E878EC">
        <w:rPr>
          <w:rFonts w:ascii="Arial" w:hAnsi="Arial" w:cs="Arial"/>
          <w:sz w:val="20"/>
          <w:szCs w:val="20"/>
        </w:rPr>
        <w:t xml:space="preserve">a Corte costituzionale, sebbene con qualche incertezza, ad assimilare il regime giuridico delle </w:t>
      </w:r>
      <w:r w:rsidR="00294A31">
        <w:rPr>
          <w:rFonts w:ascii="Arial" w:hAnsi="Arial" w:cs="Arial"/>
          <w:sz w:val="20"/>
          <w:szCs w:val="20"/>
        </w:rPr>
        <w:t>du</w:t>
      </w:r>
      <w:r w:rsidR="00E878EC">
        <w:rPr>
          <w:rFonts w:ascii="Arial" w:hAnsi="Arial" w:cs="Arial"/>
          <w:sz w:val="20"/>
          <w:szCs w:val="20"/>
        </w:rPr>
        <w:t>e tipologie di sanzioni, evitando di attribuire esclusivo rilievo alla loro veste formale e concentrandosi piuttosto sui connotati sostanziali delle stesse</w:t>
      </w:r>
      <w:r>
        <w:rPr>
          <w:rFonts w:ascii="Arial" w:hAnsi="Arial" w:cs="Arial"/>
          <w:sz w:val="20"/>
          <w:szCs w:val="20"/>
        </w:rPr>
        <w:t>.</w:t>
      </w:r>
      <w:r w:rsidR="00B75A5C">
        <w:rPr>
          <w:rFonts w:ascii="Arial" w:hAnsi="Arial" w:cs="Arial"/>
          <w:sz w:val="20"/>
          <w:szCs w:val="20"/>
        </w:rPr>
        <w:t xml:space="preserve"> In tale scenario una peculiare posizione rivestono le sanzioni irrogate dalle Autorità indipendenti, e in particolare dall’ARERA, poiché </w:t>
      </w:r>
      <w:r w:rsidR="00302C44">
        <w:rPr>
          <w:rFonts w:ascii="Arial" w:hAnsi="Arial" w:cs="Arial"/>
          <w:sz w:val="20"/>
          <w:szCs w:val="20"/>
        </w:rPr>
        <w:t xml:space="preserve">accanto alla finalità, principale, di reintegrazione dei beni giuridici violati, necessariamente deve essere riconosciuta </w:t>
      </w:r>
      <w:r w:rsidR="00CE4C92">
        <w:rPr>
          <w:rFonts w:ascii="Arial" w:hAnsi="Arial" w:cs="Arial"/>
          <w:sz w:val="20"/>
          <w:szCs w:val="20"/>
        </w:rPr>
        <w:t xml:space="preserve">alle stesse </w:t>
      </w:r>
      <w:r w:rsidR="00302C44">
        <w:rPr>
          <w:rFonts w:ascii="Arial" w:hAnsi="Arial" w:cs="Arial"/>
          <w:sz w:val="20"/>
          <w:szCs w:val="20"/>
        </w:rPr>
        <w:t>anche una funzione afflittiv</w:t>
      </w:r>
      <w:r w:rsidR="00294A31">
        <w:rPr>
          <w:rFonts w:ascii="Arial" w:hAnsi="Arial" w:cs="Arial"/>
          <w:sz w:val="20"/>
          <w:szCs w:val="20"/>
        </w:rPr>
        <w:t>a</w:t>
      </w:r>
      <w:r w:rsidR="00302C44">
        <w:rPr>
          <w:rFonts w:ascii="Arial" w:hAnsi="Arial" w:cs="Arial"/>
          <w:sz w:val="20"/>
          <w:szCs w:val="20"/>
        </w:rPr>
        <w:t>, indispensabile per renderle efficaci, effettive e dissuasive</w:t>
      </w:r>
      <w:r w:rsidR="00294A31">
        <w:rPr>
          <w:rFonts w:ascii="Arial" w:hAnsi="Arial" w:cs="Arial"/>
          <w:sz w:val="20"/>
          <w:szCs w:val="20"/>
        </w:rPr>
        <w:t xml:space="preserve">, cui </w:t>
      </w:r>
      <w:r w:rsidR="00CE4C92">
        <w:rPr>
          <w:rFonts w:ascii="Arial" w:hAnsi="Arial" w:cs="Arial"/>
          <w:sz w:val="20"/>
          <w:szCs w:val="20"/>
        </w:rPr>
        <w:t xml:space="preserve">tuttavia </w:t>
      </w:r>
      <w:r w:rsidR="00294A31">
        <w:rPr>
          <w:rFonts w:ascii="Arial" w:hAnsi="Arial" w:cs="Arial"/>
          <w:sz w:val="20"/>
          <w:szCs w:val="20"/>
        </w:rPr>
        <w:t xml:space="preserve">conseguono </w:t>
      </w:r>
      <w:r w:rsidR="002C0982">
        <w:rPr>
          <w:rFonts w:ascii="Arial" w:hAnsi="Arial" w:cs="Arial"/>
          <w:sz w:val="20"/>
          <w:szCs w:val="20"/>
        </w:rPr>
        <w:t xml:space="preserve">rilevanti </w:t>
      </w:r>
      <w:r w:rsidR="00294A31">
        <w:rPr>
          <w:rFonts w:ascii="Arial" w:hAnsi="Arial" w:cs="Arial"/>
          <w:sz w:val="20"/>
          <w:szCs w:val="20"/>
        </w:rPr>
        <w:t>incertezze sul regime giuridico alle stesse applicabile</w:t>
      </w:r>
      <w:r w:rsidR="00302C44">
        <w:rPr>
          <w:rFonts w:ascii="Arial" w:hAnsi="Arial" w:cs="Arial"/>
          <w:sz w:val="20"/>
          <w:szCs w:val="20"/>
        </w:rPr>
        <w:t>.</w:t>
      </w:r>
    </w:p>
    <w:p w:rsidR="0056261A" w:rsidRPr="00251A7E" w:rsidRDefault="0056261A" w:rsidP="0056261A">
      <w:pPr>
        <w:spacing w:after="0"/>
        <w:jc w:val="center"/>
        <w:rPr>
          <w:rFonts w:ascii="Arial" w:hAnsi="Arial" w:cs="Arial"/>
          <w:sz w:val="20"/>
          <w:szCs w:val="20"/>
        </w:rPr>
      </w:pPr>
    </w:p>
    <w:p w:rsidR="0056261A" w:rsidRPr="00251A7E" w:rsidRDefault="0056261A" w:rsidP="0056261A">
      <w:pPr>
        <w:spacing w:after="0"/>
        <w:jc w:val="center"/>
        <w:rPr>
          <w:rFonts w:ascii="Arial" w:hAnsi="Arial" w:cs="Arial"/>
          <w:sz w:val="20"/>
          <w:szCs w:val="20"/>
        </w:rPr>
      </w:pPr>
      <w:r w:rsidRPr="00251A7E">
        <w:rPr>
          <w:rFonts w:ascii="Arial" w:hAnsi="Arial" w:cs="Arial"/>
          <w:sz w:val="20"/>
          <w:szCs w:val="20"/>
        </w:rPr>
        <w:t>ABSTRACT INGLESE</w:t>
      </w:r>
    </w:p>
    <w:p w:rsidR="0056261A" w:rsidRPr="00251A7E" w:rsidRDefault="0056261A" w:rsidP="00306C29">
      <w:pPr>
        <w:spacing w:after="0"/>
        <w:jc w:val="both"/>
        <w:rPr>
          <w:rFonts w:ascii="Arial" w:hAnsi="Arial" w:cs="Arial"/>
          <w:sz w:val="20"/>
          <w:szCs w:val="20"/>
        </w:rPr>
      </w:pPr>
    </w:p>
    <w:p w:rsidR="0056261A" w:rsidRPr="00DE7D2C" w:rsidRDefault="00DE7D2C" w:rsidP="00306C29">
      <w:pPr>
        <w:spacing w:after="0"/>
        <w:jc w:val="both"/>
        <w:rPr>
          <w:rFonts w:ascii="Arial" w:hAnsi="Arial" w:cs="Arial"/>
          <w:sz w:val="20"/>
          <w:szCs w:val="20"/>
          <w:lang w:val="en-US"/>
        </w:rPr>
      </w:pPr>
      <w:r w:rsidRPr="00DE7D2C">
        <w:rPr>
          <w:rFonts w:ascii="Arial" w:hAnsi="Arial" w:cs="Arial"/>
          <w:sz w:val="20"/>
          <w:szCs w:val="20"/>
          <w:lang w:val="en-US"/>
        </w:rPr>
        <w:t xml:space="preserve">The national legal system has traditionally made a clear distinction between the administrative and the criminal sanctioning regime, due to the different legal source of the two systems, also coming from the absence, in the constitutional text, of principles directly related to the first type of sanctions. </w:t>
      </w:r>
      <w:proofErr w:type="gramStart"/>
      <w:r w:rsidRPr="00DE7D2C">
        <w:rPr>
          <w:rFonts w:ascii="Arial" w:hAnsi="Arial" w:cs="Arial"/>
          <w:sz w:val="20"/>
          <w:szCs w:val="20"/>
          <w:lang w:val="en-US"/>
        </w:rPr>
        <w:t>However, the progressive equalization made between the two systems by the Court of E.D.U. starting from the "Engel judgment" and aimed at avoiding the risk that the legislative policy choices of the State, through decriminalization processes, could weaken or circumvent the conventional guarantees relating to the criminal law area, has recently led the Constitutional Court, albeit with some uncertainty, to assimilate the legal regime of the two types of sanctions, avoiding the attribution of exclusive importance to their formal role and concentrating rather on the substantial features of the same.</w:t>
      </w:r>
      <w:proofErr w:type="gramEnd"/>
      <w:r w:rsidRPr="00DE7D2C">
        <w:rPr>
          <w:rFonts w:ascii="Arial" w:hAnsi="Arial" w:cs="Arial"/>
          <w:sz w:val="20"/>
          <w:szCs w:val="20"/>
          <w:lang w:val="en-US"/>
        </w:rPr>
        <w:t xml:space="preserve"> </w:t>
      </w:r>
      <w:proofErr w:type="gramStart"/>
      <w:r w:rsidRPr="00DE7D2C">
        <w:rPr>
          <w:rFonts w:ascii="Arial" w:hAnsi="Arial" w:cs="Arial"/>
          <w:sz w:val="20"/>
          <w:szCs w:val="20"/>
          <w:lang w:val="en-US"/>
        </w:rPr>
        <w:t>In this scenario, the penalties imposed by the independent Authorities, and in particular by ARERA, have a special position, since alongside the main purpose of reinstating the infringing legal assets, an afflictive function must also be recognized to them, indispensable to make them effectual, effective and dissuasive, to which, however, there are significant uncertainties about the legal regime applicable to them</w:t>
      </w:r>
      <w:r>
        <w:rPr>
          <w:rFonts w:ascii="Arial" w:hAnsi="Arial" w:cs="Arial"/>
          <w:sz w:val="20"/>
          <w:szCs w:val="20"/>
          <w:lang w:val="en-US"/>
        </w:rPr>
        <w:t>.</w:t>
      </w:r>
      <w:proofErr w:type="gramEnd"/>
    </w:p>
    <w:p w:rsidR="0056261A" w:rsidRPr="00DE7D2C" w:rsidRDefault="0056261A" w:rsidP="00306C29">
      <w:pPr>
        <w:spacing w:after="0"/>
        <w:jc w:val="both"/>
        <w:rPr>
          <w:rFonts w:ascii="Arial" w:hAnsi="Arial" w:cs="Arial"/>
          <w:sz w:val="20"/>
          <w:szCs w:val="20"/>
          <w:lang w:val="en-US"/>
        </w:rPr>
      </w:pPr>
    </w:p>
    <w:p w:rsidR="0056261A" w:rsidRPr="00DE7D2C" w:rsidRDefault="0056261A" w:rsidP="00306C29">
      <w:pPr>
        <w:spacing w:after="0"/>
        <w:jc w:val="both"/>
        <w:rPr>
          <w:rFonts w:ascii="Arial" w:hAnsi="Arial" w:cs="Arial"/>
          <w:sz w:val="24"/>
          <w:szCs w:val="24"/>
          <w:lang w:val="en-US"/>
        </w:rPr>
      </w:pPr>
    </w:p>
    <w:p w:rsidR="00306C29" w:rsidRPr="0056261A" w:rsidRDefault="00C07D86" w:rsidP="0056261A">
      <w:pPr>
        <w:pStyle w:val="Paragrafoelenco"/>
        <w:numPr>
          <w:ilvl w:val="0"/>
          <w:numId w:val="2"/>
        </w:numPr>
        <w:spacing w:after="0"/>
        <w:ind w:left="426" w:hanging="426"/>
        <w:jc w:val="both"/>
        <w:rPr>
          <w:rFonts w:ascii="Arial" w:hAnsi="Arial" w:cs="Arial"/>
          <w:smallCaps/>
          <w:sz w:val="24"/>
          <w:szCs w:val="24"/>
        </w:rPr>
      </w:pPr>
      <w:r w:rsidRPr="0056261A">
        <w:rPr>
          <w:rFonts w:ascii="Arial" w:hAnsi="Arial" w:cs="Arial"/>
          <w:smallCaps/>
          <w:sz w:val="24"/>
          <w:szCs w:val="24"/>
        </w:rPr>
        <w:t>C</w:t>
      </w:r>
      <w:r w:rsidR="00857A46" w:rsidRPr="0056261A">
        <w:rPr>
          <w:rFonts w:ascii="Arial" w:hAnsi="Arial" w:cs="Arial"/>
          <w:smallCaps/>
          <w:sz w:val="24"/>
          <w:szCs w:val="24"/>
        </w:rPr>
        <w:t>enni in ordine al regime giuridico delle</w:t>
      </w:r>
      <w:r w:rsidR="00306C29" w:rsidRPr="0056261A">
        <w:rPr>
          <w:rFonts w:ascii="Arial" w:hAnsi="Arial" w:cs="Arial"/>
          <w:smallCaps/>
          <w:sz w:val="24"/>
          <w:szCs w:val="24"/>
        </w:rPr>
        <w:t xml:space="preserve"> sanzioni amministr</w:t>
      </w:r>
      <w:r w:rsidR="0056261A" w:rsidRPr="0056261A">
        <w:rPr>
          <w:rFonts w:ascii="Arial" w:hAnsi="Arial" w:cs="Arial"/>
          <w:smallCaps/>
          <w:sz w:val="24"/>
          <w:szCs w:val="24"/>
        </w:rPr>
        <w:t>ative nell’ordinamento italiano</w:t>
      </w:r>
    </w:p>
    <w:p w:rsidR="00306C29" w:rsidRPr="0056261A" w:rsidRDefault="00306C29" w:rsidP="00306C29">
      <w:pPr>
        <w:spacing w:after="0"/>
        <w:jc w:val="both"/>
        <w:rPr>
          <w:rFonts w:ascii="Arial" w:hAnsi="Arial" w:cs="Arial"/>
          <w:sz w:val="24"/>
          <w:szCs w:val="24"/>
        </w:rPr>
      </w:pPr>
    </w:p>
    <w:p w:rsidR="00306C29" w:rsidRPr="0056261A" w:rsidRDefault="003C29FC" w:rsidP="0056261A">
      <w:pPr>
        <w:spacing w:after="0"/>
        <w:jc w:val="both"/>
        <w:rPr>
          <w:rFonts w:ascii="Arial" w:hAnsi="Arial" w:cs="Arial"/>
          <w:sz w:val="24"/>
          <w:szCs w:val="24"/>
        </w:rPr>
      </w:pPr>
      <w:r w:rsidRPr="0056261A">
        <w:rPr>
          <w:rFonts w:ascii="Arial" w:hAnsi="Arial" w:cs="Arial"/>
          <w:sz w:val="24"/>
          <w:szCs w:val="24"/>
        </w:rPr>
        <w:t>Nell’ordinamento italiano è ri</w:t>
      </w:r>
      <w:r w:rsidR="00251A7E">
        <w:rPr>
          <w:rFonts w:ascii="Arial" w:hAnsi="Arial" w:cs="Arial"/>
          <w:sz w:val="24"/>
          <w:szCs w:val="24"/>
        </w:rPr>
        <w:t>conosciuto all’Amministrazione P</w:t>
      </w:r>
      <w:r w:rsidRPr="0056261A">
        <w:rPr>
          <w:rFonts w:ascii="Arial" w:hAnsi="Arial" w:cs="Arial"/>
          <w:sz w:val="24"/>
          <w:szCs w:val="24"/>
        </w:rPr>
        <w:t xml:space="preserve">ubblica un generale e ordinario potere </w:t>
      </w:r>
      <w:r w:rsidR="004F0765" w:rsidRPr="0056261A">
        <w:rPr>
          <w:rFonts w:ascii="Arial" w:hAnsi="Arial" w:cs="Arial"/>
          <w:sz w:val="24"/>
          <w:szCs w:val="24"/>
        </w:rPr>
        <w:t xml:space="preserve">di </w:t>
      </w:r>
      <w:r w:rsidRPr="0056261A">
        <w:rPr>
          <w:rFonts w:ascii="Arial" w:hAnsi="Arial" w:cs="Arial"/>
          <w:sz w:val="24"/>
          <w:szCs w:val="24"/>
        </w:rPr>
        <w:t>amministra</w:t>
      </w:r>
      <w:r w:rsidR="004F0765" w:rsidRPr="0056261A">
        <w:rPr>
          <w:rFonts w:ascii="Arial" w:hAnsi="Arial" w:cs="Arial"/>
          <w:sz w:val="24"/>
          <w:szCs w:val="24"/>
        </w:rPr>
        <w:t>zione attiva, specific</w:t>
      </w:r>
      <w:r w:rsidR="00F84CFF" w:rsidRPr="0056261A">
        <w:rPr>
          <w:rFonts w:ascii="Arial" w:hAnsi="Arial" w:cs="Arial"/>
          <w:sz w:val="24"/>
          <w:szCs w:val="24"/>
        </w:rPr>
        <w:t xml:space="preserve">amente </w:t>
      </w:r>
      <w:r w:rsidRPr="0056261A">
        <w:rPr>
          <w:rFonts w:ascii="Arial" w:hAnsi="Arial" w:cs="Arial"/>
          <w:sz w:val="24"/>
          <w:szCs w:val="24"/>
        </w:rPr>
        <w:t xml:space="preserve">finalizzato all’attuazione e al perseguimento dei fini previsti dalla </w:t>
      </w:r>
      <w:r w:rsidR="006F617E">
        <w:rPr>
          <w:rFonts w:ascii="Arial" w:hAnsi="Arial" w:cs="Arial"/>
          <w:sz w:val="24"/>
          <w:szCs w:val="24"/>
        </w:rPr>
        <w:t>Legge</w:t>
      </w:r>
      <w:r w:rsidRPr="0056261A">
        <w:rPr>
          <w:rFonts w:ascii="Arial" w:hAnsi="Arial" w:cs="Arial"/>
          <w:sz w:val="24"/>
          <w:szCs w:val="24"/>
        </w:rPr>
        <w:t xml:space="preserve">, come </w:t>
      </w:r>
      <w:r w:rsidR="00243C57" w:rsidRPr="0056261A">
        <w:rPr>
          <w:rFonts w:ascii="Arial" w:hAnsi="Arial" w:cs="Arial"/>
          <w:sz w:val="24"/>
          <w:szCs w:val="24"/>
        </w:rPr>
        <w:t>stabilito</w:t>
      </w:r>
      <w:r w:rsidRPr="0056261A">
        <w:rPr>
          <w:rFonts w:ascii="Arial" w:hAnsi="Arial" w:cs="Arial"/>
          <w:sz w:val="24"/>
          <w:szCs w:val="24"/>
        </w:rPr>
        <w:t xml:space="preserve"> dall’art. 97</w:t>
      </w:r>
      <w:r w:rsidR="00DE5F8C" w:rsidRPr="0056261A">
        <w:rPr>
          <w:rFonts w:ascii="Arial" w:hAnsi="Arial" w:cs="Arial"/>
          <w:sz w:val="24"/>
          <w:szCs w:val="24"/>
        </w:rPr>
        <w:t>, secondo e terzo comma,</w:t>
      </w:r>
      <w:r w:rsidRPr="0056261A">
        <w:rPr>
          <w:rFonts w:ascii="Arial" w:hAnsi="Arial" w:cs="Arial"/>
          <w:sz w:val="24"/>
          <w:szCs w:val="24"/>
        </w:rPr>
        <w:t xml:space="preserve"> della Costituzione</w:t>
      </w:r>
      <w:r w:rsidR="00251A7E">
        <w:rPr>
          <w:rFonts w:ascii="Arial" w:hAnsi="Arial" w:cs="Arial"/>
          <w:sz w:val="24"/>
          <w:szCs w:val="24"/>
        </w:rPr>
        <w:t>(</w:t>
      </w:r>
      <w:r w:rsidRPr="0056261A">
        <w:rPr>
          <w:rStyle w:val="Rimandonotaapidipagina"/>
          <w:rFonts w:ascii="Arial" w:hAnsi="Arial" w:cs="Arial"/>
          <w:sz w:val="24"/>
          <w:szCs w:val="24"/>
        </w:rPr>
        <w:footnoteReference w:id="1"/>
      </w:r>
      <w:r w:rsidR="00251A7E">
        <w:rPr>
          <w:rFonts w:ascii="Arial" w:hAnsi="Arial" w:cs="Arial"/>
          <w:sz w:val="24"/>
          <w:szCs w:val="24"/>
        </w:rPr>
        <w:t>)</w:t>
      </w:r>
      <w:r w:rsidR="00243C57" w:rsidRPr="0056261A">
        <w:rPr>
          <w:rFonts w:ascii="Arial" w:hAnsi="Arial" w:cs="Arial"/>
          <w:sz w:val="24"/>
          <w:szCs w:val="24"/>
        </w:rPr>
        <w:t>, cui di regola si accompagna una potestà di tipo sanzionatorio</w:t>
      </w:r>
      <w:r w:rsidRPr="0056261A">
        <w:rPr>
          <w:rFonts w:ascii="Arial" w:hAnsi="Arial" w:cs="Arial"/>
          <w:sz w:val="24"/>
          <w:szCs w:val="24"/>
        </w:rPr>
        <w:t xml:space="preserve">. </w:t>
      </w:r>
    </w:p>
    <w:p w:rsidR="00DE5F8C" w:rsidRPr="0056261A" w:rsidRDefault="00DE5F8C" w:rsidP="00251A7E">
      <w:pPr>
        <w:spacing w:after="0"/>
        <w:jc w:val="both"/>
        <w:rPr>
          <w:rFonts w:ascii="Arial" w:hAnsi="Arial" w:cs="Arial"/>
          <w:sz w:val="24"/>
          <w:szCs w:val="24"/>
        </w:rPr>
      </w:pPr>
      <w:r w:rsidRPr="0056261A">
        <w:rPr>
          <w:rFonts w:ascii="Arial" w:hAnsi="Arial" w:cs="Arial"/>
          <w:sz w:val="24"/>
          <w:szCs w:val="24"/>
        </w:rPr>
        <w:lastRenderedPageBreak/>
        <w:t xml:space="preserve">Il </w:t>
      </w:r>
      <w:r w:rsidR="00F84CFF" w:rsidRPr="0056261A">
        <w:rPr>
          <w:rFonts w:ascii="Arial" w:hAnsi="Arial" w:cs="Arial"/>
          <w:sz w:val="24"/>
          <w:szCs w:val="24"/>
        </w:rPr>
        <w:t xml:space="preserve">predetto </w:t>
      </w:r>
      <w:r w:rsidRPr="0056261A">
        <w:rPr>
          <w:rFonts w:ascii="Arial" w:hAnsi="Arial" w:cs="Arial"/>
          <w:sz w:val="24"/>
          <w:szCs w:val="24"/>
        </w:rPr>
        <w:t xml:space="preserve">potere sanzionatorio risulta strumentale e complementare rispetto all’attività di amministrazione attiva, poiché </w:t>
      </w:r>
      <w:r w:rsidR="00F84CFF" w:rsidRPr="0056261A">
        <w:rPr>
          <w:rFonts w:ascii="Arial" w:hAnsi="Arial" w:cs="Arial"/>
          <w:sz w:val="24"/>
          <w:szCs w:val="24"/>
        </w:rPr>
        <w:t xml:space="preserve">in tal modo si </w:t>
      </w:r>
      <w:r w:rsidR="00243C57" w:rsidRPr="0056261A">
        <w:rPr>
          <w:rFonts w:ascii="Arial" w:hAnsi="Arial" w:cs="Arial"/>
          <w:sz w:val="24"/>
          <w:szCs w:val="24"/>
        </w:rPr>
        <w:t>garantiscono</w:t>
      </w:r>
      <w:r w:rsidR="00F84CFF" w:rsidRPr="0056261A">
        <w:rPr>
          <w:rFonts w:ascii="Arial" w:hAnsi="Arial" w:cs="Arial"/>
          <w:sz w:val="24"/>
          <w:szCs w:val="24"/>
        </w:rPr>
        <w:t xml:space="preserve"> l’effettività e l’efficacia dell’azione </w:t>
      </w:r>
      <w:r w:rsidR="00B76330" w:rsidRPr="0056261A">
        <w:rPr>
          <w:rFonts w:ascii="Arial" w:hAnsi="Arial" w:cs="Arial"/>
          <w:sz w:val="24"/>
          <w:szCs w:val="24"/>
        </w:rPr>
        <w:t>dei pubblici poteri, fornendo loro uno strumento per imporre l’esecuzione</w:t>
      </w:r>
      <w:r w:rsidR="00E15DBE" w:rsidRPr="0056261A">
        <w:rPr>
          <w:rFonts w:ascii="Arial" w:hAnsi="Arial" w:cs="Arial"/>
          <w:sz w:val="24"/>
          <w:szCs w:val="24"/>
        </w:rPr>
        <w:t>, direttamente o indirettamente,</w:t>
      </w:r>
      <w:r w:rsidR="00B76330" w:rsidRPr="0056261A">
        <w:rPr>
          <w:rFonts w:ascii="Arial" w:hAnsi="Arial" w:cs="Arial"/>
          <w:sz w:val="24"/>
          <w:szCs w:val="24"/>
        </w:rPr>
        <w:t xml:space="preserve"> delle proprie decisioni</w:t>
      </w:r>
      <w:r w:rsidR="00251A7E">
        <w:rPr>
          <w:rFonts w:ascii="Arial" w:hAnsi="Arial" w:cs="Arial"/>
          <w:sz w:val="24"/>
          <w:szCs w:val="24"/>
        </w:rPr>
        <w:t>(</w:t>
      </w:r>
      <w:r w:rsidR="00B76330" w:rsidRPr="0056261A">
        <w:rPr>
          <w:rStyle w:val="Rimandonotaapidipagina"/>
          <w:rFonts w:ascii="Arial" w:hAnsi="Arial" w:cs="Arial"/>
          <w:sz w:val="24"/>
          <w:szCs w:val="24"/>
        </w:rPr>
        <w:footnoteReference w:id="2"/>
      </w:r>
      <w:r w:rsidR="00251A7E">
        <w:rPr>
          <w:rFonts w:ascii="Arial" w:hAnsi="Arial" w:cs="Arial"/>
          <w:sz w:val="24"/>
          <w:szCs w:val="24"/>
        </w:rPr>
        <w:t>)</w:t>
      </w:r>
      <w:r w:rsidR="00F84CFF" w:rsidRPr="0056261A">
        <w:rPr>
          <w:rFonts w:ascii="Arial" w:hAnsi="Arial" w:cs="Arial"/>
          <w:sz w:val="24"/>
          <w:szCs w:val="24"/>
        </w:rPr>
        <w:t>.</w:t>
      </w:r>
    </w:p>
    <w:p w:rsidR="00F84CFF" w:rsidRPr="0056261A" w:rsidRDefault="00F84CFF" w:rsidP="00251A7E">
      <w:pPr>
        <w:spacing w:after="0"/>
        <w:jc w:val="both"/>
        <w:rPr>
          <w:rFonts w:ascii="Arial" w:hAnsi="Arial" w:cs="Arial"/>
          <w:sz w:val="24"/>
          <w:szCs w:val="24"/>
        </w:rPr>
      </w:pPr>
      <w:r w:rsidRPr="0056261A">
        <w:rPr>
          <w:rFonts w:ascii="Arial" w:hAnsi="Arial" w:cs="Arial"/>
          <w:sz w:val="24"/>
          <w:szCs w:val="24"/>
        </w:rPr>
        <w:t>Le sanzioni amministrative, a differenza di quelle penali, non trovano un diretto ed esplicito riferimento in Costituzione</w:t>
      </w:r>
      <w:r w:rsidR="00251A7E">
        <w:rPr>
          <w:rFonts w:ascii="Arial" w:hAnsi="Arial" w:cs="Arial"/>
          <w:sz w:val="24"/>
          <w:szCs w:val="24"/>
        </w:rPr>
        <w:t>(</w:t>
      </w:r>
      <w:r w:rsidR="00D34238" w:rsidRPr="0056261A">
        <w:rPr>
          <w:rStyle w:val="Rimandonotaapidipagina"/>
          <w:rFonts w:ascii="Arial" w:hAnsi="Arial" w:cs="Arial"/>
          <w:sz w:val="24"/>
          <w:szCs w:val="24"/>
        </w:rPr>
        <w:footnoteReference w:id="3"/>
      </w:r>
      <w:r w:rsidR="00251A7E">
        <w:rPr>
          <w:rFonts w:ascii="Arial" w:hAnsi="Arial" w:cs="Arial"/>
          <w:sz w:val="24"/>
          <w:szCs w:val="24"/>
        </w:rPr>
        <w:t>)</w:t>
      </w:r>
      <w:r w:rsidRPr="0056261A">
        <w:rPr>
          <w:rFonts w:ascii="Arial" w:hAnsi="Arial" w:cs="Arial"/>
          <w:sz w:val="24"/>
          <w:szCs w:val="24"/>
        </w:rPr>
        <w:t xml:space="preserve">, con la conseguenza che il loro regime è – almeno per l’ordinamento interno – prevalentemente </w:t>
      </w:r>
      <w:r w:rsidR="002E0246" w:rsidRPr="0056261A">
        <w:rPr>
          <w:rFonts w:ascii="Arial" w:hAnsi="Arial" w:cs="Arial"/>
          <w:sz w:val="24"/>
          <w:szCs w:val="24"/>
        </w:rPr>
        <w:t xml:space="preserve">riconducibile </w:t>
      </w:r>
      <w:r w:rsidRPr="0056261A">
        <w:rPr>
          <w:rFonts w:ascii="Arial" w:hAnsi="Arial" w:cs="Arial"/>
          <w:sz w:val="24"/>
          <w:szCs w:val="24"/>
        </w:rPr>
        <w:t xml:space="preserve">alla regolamentazione </w:t>
      </w:r>
      <w:r w:rsidR="002E0246" w:rsidRPr="0056261A">
        <w:rPr>
          <w:rFonts w:ascii="Arial" w:hAnsi="Arial" w:cs="Arial"/>
          <w:sz w:val="24"/>
          <w:szCs w:val="24"/>
        </w:rPr>
        <w:t xml:space="preserve">stabilita in sede di </w:t>
      </w:r>
      <w:r w:rsidRPr="0056261A">
        <w:rPr>
          <w:rFonts w:ascii="Arial" w:hAnsi="Arial" w:cs="Arial"/>
          <w:sz w:val="24"/>
          <w:szCs w:val="24"/>
        </w:rPr>
        <w:t>legisla</w:t>
      </w:r>
      <w:r w:rsidR="002E0246" w:rsidRPr="0056261A">
        <w:rPr>
          <w:rFonts w:ascii="Arial" w:hAnsi="Arial" w:cs="Arial"/>
          <w:sz w:val="24"/>
          <w:szCs w:val="24"/>
        </w:rPr>
        <w:t>zion</w:t>
      </w:r>
      <w:r w:rsidRPr="0056261A">
        <w:rPr>
          <w:rFonts w:ascii="Arial" w:hAnsi="Arial" w:cs="Arial"/>
          <w:sz w:val="24"/>
          <w:szCs w:val="24"/>
        </w:rPr>
        <w:t>e ordinari</w:t>
      </w:r>
      <w:r w:rsidR="002E0246" w:rsidRPr="0056261A">
        <w:rPr>
          <w:rFonts w:ascii="Arial" w:hAnsi="Arial" w:cs="Arial"/>
          <w:sz w:val="24"/>
          <w:szCs w:val="24"/>
        </w:rPr>
        <w:t>a</w:t>
      </w:r>
      <w:r w:rsidR="00251A7E">
        <w:rPr>
          <w:rFonts w:ascii="Arial" w:hAnsi="Arial" w:cs="Arial"/>
          <w:sz w:val="24"/>
          <w:szCs w:val="24"/>
        </w:rPr>
        <w:t>. Difatti, fermi i princì</w:t>
      </w:r>
      <w:r w:rsidRPr="0056261A">
        <w:rPr>
          <w:rFonts w:ascii="Arial" w:hAnsi="Arial" w:cs="Arial"/>
          <w:sz w:val="24"/>
          <w:szCs w:val="24"/>
        </w:rPr>
        <w:t xml:space="preserve">pi contenuti nell’art. 23 della Costituzione, in ordine al rispetto del principio di legalità per l’imposizione </w:t>
      </w:r>
      <w:r w:rsidR="00E15DBE" w:rsidRPr="0056261A">
        <w:rPr>
          <w:rFonts w:ascii="Arial" w:hAnsi="Arial" w:cs="Arial"/>
          <w:sz w:val="24"/>
          <w:szCs w:val="24"/>
        </w:rPr>
        <w:t xml:space="preserve">nei confronti dei consociati </w:t>
      </w:r>
      <w:r w:rsidRPr="0056261A">
        <w:rPr>
          <w:rFonts w:ascii="Arial" w:hAnsi="Arial" w:cs="Arial"/>
          <w:sz w:val="24"/>
          <w:szCs w:val="24"/>
        </w:rPr>
        <w:t>di prestazioni di natu</w:t>
      </w:r>
      <w:r w:rsidR="00BC447B" w:rsidRPr="0056261A">
        <w:rPr>
          <w:rFonts w:ascii="Arial" w:hAnsi="Arial" w:cs="Arial"/>
          <w:sz w:val="24"/>
          <w:szCs w:val="24"/>
        </w:rPr>
        <w:t>ra personale o patrimoniale, e ne</w:t>
      </w:r>
      <w:r w:rsidRPr="0056261A">
        <w:rPr>
          <w:rFonts w:ascii="Arial" w:hAnsi="Arial" w:cs="Arial"/>
          <w:sz w:val="24"/>
          <w:szCs w:val="24"/>
        </w:rPr>
        <w:t>l successivo art. 97</w:t>
      </w:r>
      <w:r w:rsidR="00BE6E17" w:rsidRPr="0056261A">
        <w:rPr>
          <w:rFonts w:ascii="Arial" w:hAnsi="Arial" w:cs="Arial"/>
          <w:sz w:val="24"/>
          <w:szCs w:val="24"/>
        </w:rPr>
        <w:t>,</w:t>
      </w:r>
      <w:r w:rsidRPr="0056261A">
        <w:rPr>
          <w:rFonts w:ascii="Arial" w:hAnsi="Arial" w:cs="Arial"/>
          <w:sz w:val="24"/>
          <w:szCs w:val="24"/>
        </w:rPr>
        <w:t xml:space="preserve"> </w:t>
      </w:r>
      <w:r w:rsidR="00BC447B" w:rsidRPr="0056261A">
        <w:rPr>
          <w:rFonts w:ascii="Arial" w:hAnsi="Arial" w:cs="Arial"/>
          <w:sz w:val="24"/>
          <w:szCs w:val="24"/>
        </w:rPr>
        <w:t>in ordine al rispetto della</w:t>
      </w:r>
      <w:r w:rsidR="00BE6E17" w:rsidRPr="0056261A">
        <w:rPr>
          <w:rFonts w:ascii="Arial" w:hAnsi="Arial" w:cs="Arial"/>
          <w:sz w:val="24"/>
          <w:szCs w:val="24"/>
        </w:rPr>
        <w:t xml:space="preserve"> legalità </w:t>
      </w:r>
      <w:r w:rsidR="00EF4D1F" w:rsidRPr="0056261A">
        <w:rPr>
          <w:rFonts w:ascii="Arial" w:hAnsi="Arial" w:cs="Arial"/>
          <w:sz w:val="24"/>
          <w:szCs w:val="24"/>
        </w:rPr>
        <w:t xml:space="preserve">e imparzialità in </w:t>
      </w:r>
      <w:r w:rsidR="00BC447B" w:rsidRPr="0056261A">
        <w:rPr>
          <w:rFonts w:ascii="Arial" w:hAnsi="Arial" w:cs="Arial"/>
          <w:sz w:val="24"/>
          <w:szCs w:val="24"/>
        </w:rPr>
        <w:t xml:space="preserve">vista dello </w:t>
      </w:r>
      <w:r w:rsidR="00BE6E17" w:rsidRPr="0056261A">
        <w:rPr>
          <w:rFonts w:ascii="Arial" w:hAnsi="Arial" w:cs="Arial"/>
          <w:sz w:val="24"/>
          <w:szCs w:val="24"/>
        </w:rPr>
        <w:t>svolgimento dell’a</w:t>
      </w:r>
      <w:r w:rsidR="00EF4D1F" w:rsidRPr="0056261A">
        <w:rPr>
          <w:rFonts w:ascii="Arial" w:hAnsi="Arial" w:cs="Arial"/>
          <w:sz w:val="24"/>
          <w:szCs w:val="24"/>
        </w:rPr>
        <w:t>zione</w:t>
      </w:r>
      <w:r w:rsidR="00BE6E17" w:rsidRPr="0056261A">
        <w:rPr>
          <w:rFonts w:ascii="Arial" w:hAnsi="Arial" w:cs="Arial"/>
          <w:sz w:val="24"/>
          <w:szCs w:val="24"/>
        </w:rPr>
        <w:t xml:space="preserve"> amministrativa</w:t>
      </w:r>
      <w:r w:rsidR="002E0246" w:rsidRPr="0056261A">
        <w:rPr>
          <w:rStyle w:val="Rimandonotaapidipagina"/>
          <w:rFonts w:ascii="Arial" w:hAnsi="Arial" w:cs="Arial"/>
          <w:sz w:val="24"/>
          <w:szCs w:val="24"/>
        </w:rPr>
        <w:footnoteReference w:id="4"/>
      </w:r>
      <w:r w:rsidR="00BE6E17" w:rsidRPr="0056261A">
        <w:rPr>
          <w:rFonts w:ascii="Arial" w:hAnsi="Arial" w:cs="Arial"/>
          <w:sz w:val="24"/>
          <w:szCs w:val="24"/>
        </w:rPr>
        <w:t xml:space="preserve">, le disposizioni costituzionali in materia penale </w:t>
      </w:r>
      <w:r w:rsidR="00BC447B" w:rsidRPr="0056261A">
        <w:rPr>
          <w:rFonts w:ascii="Arial" w:hAnsi="Arial" w:cs="Arial"/>
          <w:sz w:val="24"/>
          <w:szCs w:val="24"/>
        </w:rPr>
        <w:t xml:space="preserve">non risultano </w:t>
      </w:r>
      <w:r w:rsidR="00BE6E17" w:rsidRPr="0056261A">
        <w:rPr>
          <w:rFonts w:ascii="Arial" w:hAnsi="Arial" w:cs="Arial"/>
          <w:sz w:val="24"/>
          <w:szCs w:val="24"/>
        </w:rPr>
        <w:t>applicabili alle sanzioni amministrative</w:t>
      </w:r>
      <w:r w:rsidR="00251A7E">
        <w:rPr>
          <w:rFonts w:ascii="Arial" w:hAnsi="Arial" w:cs="Arial"/>
          <w:sz w:val="24"/>
          <w:szCs w:val="24"/>
        </w:rPr>
        <w:t>(</w:t>
      </w:r>
      <w:r w:rsidR="00BE6E17" w:rsidRPr="0056261A">
        <w:rPr>
          <w:rStyle w:val="Rimandonotaapidipagina"/>
          <w:rFonts w:ascii="Arial" w:hAnsi="Arial" w:cs="Arial"/>
          <w:sz w:val="24"/>
          <w:szCs w:val="24"/>
        </w:rPr>
        <w:footnoteReference w:id="5"/>
      </w:r>
      <w:r w:rsidR="00251A7E">
        <w:rPr>
          <w:rFonts w:ascii="Arial" w:hAnsi="Arial" w:cs="Arial"/>
          <w:sz w:val="24"/>
          <w:szCs w:val="24"/>
        </w:rPr>
        <w:t>)</w:t>
      </w:r>
      <w:r w:rsidR="00BE6E17" w:rsidRPr="0056261A">
        <w:rPr>
          <w:rFonts w:ascii="Arial" w:hAnsi="Arial" w:cs="Arial"/>
          <w:sz w:val="24"/>
          <w:szCs w:val="24"/>
        </w:rPr>
        <w:t>.</w:t>
      </w:r>
    </w:p>
    <w:p w:rsidR="00E15DBE" w:rsidRPr="0056261A" w:rsidRDefault="00E15DBE" w:rsidP="00251A7E">
      <w:pPr>
        <w:spacing w:after="0"/>
        <w:jc w:val="both"/>
        <w:rPr>
          <w:rFonts w:ascii="Arial" w:hAnsi="Arial" w:cs="Arial"/>
          <w:sz w:val="24"/>
          <w:szCs w:val="24"/>
        </w:rPr>
      </w:pPr>
      <w:r w:rsidRPr="0056261A">
        <w:rPr>
          <w:rFonts w:ascii="Arial" w:hAnsi="Arial" w:cs="Arial"/>
          <w:sz w:val="24"/>
          <w:szCs w:val="24"/>
        </w:rPr>
        <w:t xml:space="preserve">La normativa generale in materia di sanzioni amministrative è </w:t>
      </w:r>
      <w:r w:rsidR="00231BFE" w:rsidRPr="0056261A">
        <w:rPr>
          <w:rFonts w:ascii="Arial" w:hAnsi="Arial" w:cs="Arial"/>
          <w:sz w:val="24"/>
          <w:szCs w:val="24"/>
        </w:rPr>
        <w:t>rappresentata da</w:t>
      </w:r>
      <w:r w:rsidRPr="0056261A">
        <w:rPr>
          <w:rFonts w:ascii="Arial" w:hAnsi="Arial" w:cs="Arial"/>
          <w:sz w:val="24"/>
          <w:szCs w:val="24"/>
        </w:rPr>
        <w:t xml:space="preserve">lla </w:t>
      </w:r>
      <w:r w:rsidR="006F617E">
        <w:rPr>
          <w:rFonts w:ascii="Arial" w:hAnsi="Arial" w:cs="Arial"/>
          <w:sz w:val="24"/>
          <w:szCs w:val="24"/>
        </w:rPr>
        <w:t>Legge</w:t>
      </w:r>
      <w:r w:rsidR="002D7D6C" w:rsidRPr="0056261A">
        <w:rPr>
          <w:rFonts w:ascii="Arial" w:hAnsi="Arial" w:cs="Arial"/>
          <w:sz w:val="24"/>
          <w:szCs w:val="24"/>
        </w:rPr>
        <w:t xml:space="preserve"> (ordinaria)</w:t>
      </w:r>
      <w:r w:rsidRPr="0056261A">
        <w:rPr>
          <w:rFonts w:ascii="Arial" w:hAnsi="Arial" w:cs="Arial"/>
          <w:sz w:val="24"/>
          <w:szCs w:val="24"/>
        </w:rPr>
        <w:t xml:space="preserve"> n. 689 del 1981, intitolata “</w:t>
      </w:r>
      <w:r w:rsidRPr="00251A7E">
        <w:rPr>
          <w:rFonts w:ascii="Arial" w:hAnsi="Arial" w:cs="Arial"/>
          <w:sz w:val="24"/>
          <w:szCs w:val="24"/>
        </w:rPr>
        <w:t>Modifiche del sistema penale”</w:t>
      </w:r>
      <w:r w:rsidR="002D7D6C" w:rsidRPr="00251A7E">
        <w:rPr>
          <w:rFonts w:ascii="Arial" w:hAnsi="Arial" w:cs="Arial"/>
          <w:sz w:val="24"/>
          <w:szCs w:val="24"/>
        </w:rPr>
        <w:t>,</w:t>
      </w:r>
      <w:r w:rsidR="002D7D6C" w:rsidRPr="0056261A">
        <w:rPr>
          <w:rFonts w:ascii="Arial" w:hAnsi="Arial" w:cs="Arial"/>
          <w:sz w:val="24"/>
          <w:szCs w:val="24"/>
        </w:rPr>
        <w:t xml:space="preserve"> nel</w:t>
      </w:r>
      <w:r w:rsidR="00251A7E">
        <w:rPr>
          <w:rFonts w:ascii="Arial" w:hAnsi="Arial" w:cs="Arial"/>
          <w:sz w:val="24"/>
          <w:szCs w:val="24"/>
        </w:rPr>
        <w:t>la quale sono contenuti i princì</w:t>
      </w:r>
      <w:r w:rsidR="002D7D6C" w:rsidRPr="0056261A">
        <w:rPr>
          <w:rFonts w:ascii="Arial" w:hAnsi="Arial" w:cs="Arial"/>
          <w:sz w:val="24"/>
          <w:szCs w:val="24"/>
        </w:rPr>
        <w:t>pi applicabili in via generale a tutte le sanzioni amministrative</w:t>
      </w:r>
      <w:r w:rsidR="00251A7E">
        <w:rPr>
          <w:rFonts w:ascii="Arial" w:hAnsi="Arial" w:cs="Arial"/>
          <w:sz w:val="24"/>
          <w:szCs w:val="24"/>
        </w:rPr>
        <w:t>(</w:t>
      </w:r>
      <w:r w:rsidR="00D35CC1" w:rsidRPr="0056261A">
        <w:rPr>
          <w:rStyle w:val="Rimandonotaapidipagina"/>
          <w:rFonts w:ascii="Arial" w:hAnsi="Arial" w:cs="Arial"/>
          <w:sz w:val="24"/>
          <w:szCs w:val="24"/>
        </w:rPr>
        <w:footnoteReference w:id="6"/>
      </w:r>
      <w:r w:rsidR="00251A7E">
        <w:rPr>
          <w:rFonts w:ascii="Arial" w:hAnsi="Arial" w:cs="Arial"/>
          <w:sz w:val="24"/>
          <w:szCs w:val="24"/>
        </w:rPr>
        <w:t>)</w:t>
      </w:r>
      <w:r w:rsidR="002D7D6C" w:rsidRPr="0056261A">
        <w:rPr>
          <w:rFonts w:ascii="Arial" w:hAnsi="Arial" w:cs="Arial"/>
          <w:sz w:val="24"/>
          <w:szCs w:val="24"/>
        </w:rPr>
        <w:t xml:space="preserve">, </w:t>
      </w:r>
      <w:r w:rsidR="0031478A" w:rsidRPr="0056261A">
        <w:rPr>
          <w:rFonts w:ascii="Arial" w:hAnsi="Arial" w:cs="Arial"/>
          <w:sz w:val="24"/>
          <w:szCs w:val="24"/>
        </w:rPr>
        <w:t>o</w:t>
      </w:r>
      <w:r w:rsidR="002D7D6C" w:rsidRPr="0056261A">
        <w:rPr>
          <w:rFonts w:ascii="Arial" w:hAnsi="Arial" w:cs="Arial"/>
          <w:sz w:val="24"/>
          <w:szCs w:val="24"/>
        </w:rPr>
        <w:t xml:space="preserve">ve non diversamente stabilito; trattandosi di una fonte di rango legislativo ordinario, può certamente essere oggetto di deroga da parte di una normativa </w:t>
      </w:r>
      <w:proofErr w:type="spellStart"/>
      <w:r w:rsidR="002D7D6C" w:rsidRPr="0056261A">
        <w:rPr>
          <w:rFonts w:ascii="Arial" w:hAnsi="Arial" w:cs="Arial"/>
          <w:sz w:val="24"/>
          <w:szCs w:val="24"/>
        </w:rPr>
        <w:t>par</w:t>
      </w:r>
      <w:r w:rsidR="00231BFE" w:rsidRPr="0056261A">
        <w:rPr>
          <w:rFonts w:ascii="Arial" w:hAnsi="Arial" w:cs="Arial"/>
          <w:sz w:val="24"/>
          <w:szCs w:val="24"/>
        </w:rPr>
        <w:t>iordinata</w:t>
      </w:r>
      <w:proofErr w:type="spellEnd"/>
      <w:r w:rsidR="00231BFE" w:rsidRPr="0056261A">
        <w:rPr>
          <w:rFonts w:ascii="Arial" w:hAnsi="Arial" w:cs="Arial"/>
          <w:sz w:val="24"/>
          <w:szCs w:val="24"/>
        </w:rPr>
        <w:t xml:space="preserve">, attraverso la quale potrebbero </w:t>
      </w:r>
      <w:r w:rsidR="00811EC8">
        <w:rPr>
          <w:rFonts w:ascii="Arial" w:hAnsi="Arial" w:cs="Arial"/>
          <w:sz w:val="24"/>
          <w:szCs w:val="24"/>
        </w:rPr>
        <w:t>essere introdotti princì</w:t>
      </w:r>
      <w:r w:rsidR="002D7D6C" w:rsidRPr="0056261A">
        <w:rPr>
          <w:rFonts w:ascii="Arial" w:hAnsi="Arial" w:cs="Arial"/>
          <w:sz w:val="24"/>
          <w:szCs w:val="24"/>
        </w:rPr>
        <w:t xml:space="preserve">pi e regole differenti per </w:t>
      </w:r>
      <w:r w:rsidR="00243C57" w:rsidRPr="0056261A">
        <w:rPr>
          <w:rFonts w:ascii="Arial" w:hAnsi="Arial" w:cs="Arial"/>
          <w:sz w:val="24"/>
          <w:szCs w:val="24"/>
        </w:rPr>
        <w:t>t</w:t>
      </w:r>
      <w:r w:rsidR="002D7D6C" w:rsidRPr="0056261A">
        <w:rPr>
          <w:rFonts w:ascii="Arial" w:hAnsi="Arial" w:cs="Arial"/>
          <w:sz w:val="24"/>
          <w:szCs w:val="24"/>
        </w:rPr>
        <w:t xml:space="preserve">alune specifiche tipologie di </w:t>
      </w:r>
      <w:r w:rsidR="002D7D6C" w:rsidRPr="0056261A">
        <w:rPr>
          <w:rFonts w:ascii="Arial" w:hAnsi="Arial" w:cs="Arial"/>
          <w:sz w:val="24"/>
          <w:szCs w:val="24"/>
        </w:rPr>
        <w:lastRenderedPageBreak/>
        <w:t>sanzioni amministrative.</w:t>
      </w:r>
      <w:r w:rsidR="00A700FA" w:rsidRPr="0056261A">
        <w:rPr>
          <w:rFonts w:ascii="Arial" w:hAnsi="Arial" w:cs="Arial"/>
          <w:sz w:val="24"/>
          <w:szCs w:val="24"/>
        </w:rPr>
        <w:t xml:space="preserve"> In tal caso, in assenza di limiti</w:t>
      </w:r>
      <w:r w:rsidR="00811EC8">
        <w:rPr>
          <w:rFonts w:ascii="Arial" w:hAnsi="Arial" w:cs="Arial"/>
          <w:sz w:val="24"/>
          <w:szCs w:val="24"/>
        </w:rPr>
        <w:t xml:space="preserve"> o princì</w:t>
      </w:r>
      <w:r w:rsidR="00231BFE" w:rsidRPr="0056261A">
        <w:rPr>
          <w:rFonts w:ascii="Arial" w:hAnsi="Arial" w:cs="Arial"/>
          <w:sz w:val="24"/>
          <w:szCs w:val="24"/>
        </w:rPr>
        <w:t>pi costituzionali puntuali</w:t>
      </w:r>
      <w:r w:rsidR="00A700FA" w:rsidRPr="0056261A">
        <w:rPr>
          <w:rFonts w:ascii="Arial" w:hAnsi="Arial" w:cs="Arial"/>
          <w:sz w:val="24"/>
          <w:szCs w:val="24"/>
        </w:rPr>
        <w:t xml:space="preserve">, </w:t>
      </w:r>
      <w:r w:rsidR="00F77A4A" w:rsidRPr="0056261A">
        <w:rPr>
          <w:rFonts w:ascii="Arial" w:hAnsi="Arial" w:cs="Arial"/>
          <w:sz w:val="24"/>
          <w:szCs w:val="24"/>
        </w:rPr>
        <w:t xml:space="preserve">e </w:t>
      </w:r>
      <w:r w:rsidR="00A700FA" w:rsidRPr="0056261A">
        <w:rPr>
          <w:rFonts w:ascii="Arial" w:hAnsi="Arial" w:cs="Arial"/>
          <w:sz w:val="24"/>
          <w:szCs w:val="24"/>
        </w:rPr>
        <w:t xml:space="preserve">con il solo </w:t>
      </w:r>
      <w:r w:rsidR="00243C57" w:rsidRPr="0056261A">
        <w:rPr>
          <w:rFonts w:ascii="Arial" w:hAnsi="Arial" w:cs="Arial"/>
          <w:sz w:val="24"/>
          <w:szCs w:val="24"/>
        </w:rPr>
        <w:t xml:space="preserve">obbligo </w:t>
      </w:r>
      <w:r w:rsidR="00731D6E" w:rsidRPr="0056261A">
        <w:rPr>
          <w:rFonts w:ascii="Arial" w:hAnsi="Arial" w:cs="Arial"/>
          <w:sz w:val="24"/>
          <w:szCs w:val="24"/>
        </w:rPr>
        <w:t>correlato a</w:t>
      </w:r>
      <w:r w:rsidR="00A700FA" w:rsidRPr="0056261A">
        <w:rPr>
          <w:rFonts w:ascii="Arial" w:hAnsi="Arial" w:cs="Arial"/>
          <w:sz w:val="24"/>
          <w:szCs w:val="24"/>
        </w:rPr>
        <w:t>l rispetto del principio di legalità sostanziale</w:t>
      </w:r>
      <w:r w:rsidR="00251A7E">
        <w:rPr>
          <w:rFonts w:ascii="Arial" w:hAnsi="Arial" w:cs="Arial"/>
          <w:sz w:val="24"/>
          <w:szCs w:val="24"/>
        </w:rPr>
        <w:t>(</w:t>
      </w:r>
      <w:r w:rsidR="00A700FA" w:rsidRPr="0056261A">
        <w:rPr>
          <w:rStyle w:val="Rimandonotaapidipagina"/>
          <w:rFonts w:ascii="Arial" w:hAnsi="Arial" w:cs="Arial"/>
          <w:sz w:val="24"/>
          <w:szCs w:val="24"/>
        </w:rPr>
        <w:footnoteReference w:id="7"/>
      </w:r>
      <w:r w:rsidR="00251A7E">
        <w:rPr>
          <w:rFonts w:ascii="Arial" w:hAnsi="Arial" w:cs="Arial"/>
          <w:sz w:val="24"/>
          <w:szCs w:val="24"/>
        </w:rPr>
        <w:t>)</w:t>
      </w:r>
      <w:r w:rsidR="00A700FA" w:rsidRPr="0056261A">
        <w:rPr>
          <w:rFonts w:ascii="Arial" w:hAnsi="Arial" w:cs="Arial"/>
          <w:sz w:val="24"/>
          <w:szCs w:val="24"/>
        </w:rPr>
        <w:t xml:space="preserve">, nessuna preclusione </w:t>
      </w:r>
      <w:r w:rsidR="00243C57" w:rsidRPr="0056261A">
        <w:rPr>
          <w:rFonts w:ascii="Arial" w:hAnsi="Arial" w:cs="Arial"/>
          <w:sz w:val="24"/>
          <w:szCs w:val="24"/>
        </w:rPr>
        <w:t>sussiste</w:t>
      </w:r>
      <w:r w:rsidR="00811EC8">
        <w:rPr>
          <w:rFonts w:ascii="Arial" w:hAnsi="Arial" w:cs="Arial"/>
          <w:sz w:val="24"/>
          <w:szCs w:val="24"/>
        </w:rPr>
        <w:t xml:space="preserve"> per il </w:t>
      </w:r>
      <w:r w:rsidR="005F632A">
        <w:rPr>
          <w:rFonts w:ascii="Arial" w:hAnsi="Arial" w:cs="Arial"/>
          <w:sz w:val="24"/>
          <w:szCs w:val="24"/>
        </w:rPr>
        <w:t>Legislatore</w:t>
      </w:r>
      <w:r w:rsidR="00A700FA" w:rsidRPr="0056261A">
        <w:rPr>
          <w:rFonts w:ascii="Arial" w:hAnsi="Arial" w:cs="Arial"/>
          <w:sz w:val="24"/>
          <w:szCs w:val="24"/>
        </w:rPr>
        <w:t xml:space="preserve"> ordinario</w:t>
      </w:r>
      <w:r w:rsidR="00231BFE" w:rsidRPr="0056261A">
        <w:rPr>
          <w:rFonts w:ascii="Arial" w:hAnsi="Arial" w:cs="Arial"/>
          <w:sz w:val="24"/>
          <w:szCs w:val="24"/>
        </w:rPr>
        <w:t xml:space="preserve">, laddove si </w:t>
      </w:r>
      <w:r w:rsidR="00A700FA" w:rsidRPr="0056261A">
        <w:rPr>
          <w:rFonts w:ascii="Arial" w:hAnsi="Arial" w:cs="Arial"/>
          <w:sz w:val="24"/>
          <w:szCs w:val="24"/>
        </w:rPr>
        <w:t>volesse</w:t>
      </w:r>
      <w:r w:rsidR="00231BFE" w:rsidRPr="0056261A">
        <w:rPr>
          <w:rFonts w:ascii="Arial" w:hAnsi="Arial" w:cs="Arial"/>
          <w:sz w:val="24"/>
          <w:szCs w:val="24"/>
        </w:rPr>
        <w:t>ro</w:t>
      </w:r>
      <w:r w:rsidR="00A700FA" w:rsidRPr="0056261A">
        <w:rPr>
          <w:rFonts w:ascii="Arial" w:hAnsi="Arial" w:cs="Arial"/>
          <w:sz w:val="24"/>
          <w:szCs w:val="24"/>
        </w:rPr>
        <w:t xml:space="preserve"> introdurre nuove figure di illecito amministrativo, oppure </w:t>
      </w:r>
      <w:r w:rsidR="0031478A" w:rsidRPr="0056261A">
        <w:rPr>
          <w:rFonts w:ascii="Arial" w:hAnsi="Arial" w:cs="Arial"/>
          <w:sz w:val="24"/>
          <w:szCs w:val="24"/>
        </w:rPr>
        <w:t xml:space="preserve">si intendesse </w:t>
      </w:r>
      <w:r w:rsidR="00A700FA" w:rsidRPr="0056261A">
        <w:rPr>
          <w:rFonts w:ascii="Arial" w:hAnsi="Arial" w:cs="Arial"/>
          <w:sz w:val="24"/>
          <w:szCs w:val="24"/>
        </w:rPr>
        <w:t xml:space="preserve">regolamentare in maniera del tutto peculiare </w:t>
      </w:r>
      <w:r w:rsidR="0031478A" w:rsidRPr="0056261A">
        <w:rPr>
          <w:rFonts w:ascii="Arial" w:hAnsi="Arial" w:cs="Arial"/>
          <w:sz w:val="24"/>
          <w:szCs w:val="24"/>
        </w:rPr>
        <w:t xml:space="preserve">specifiche </w:t>
      </w:r>
      <w:r w:rsidR="00A700FA" w:rsidRPr="0056261A">
        <w:rPr>
          <w:rFonts w:ascii="Arial" w:hAnsi="Arial" w:cs="Arial"/>
          <w:sz w:val="24"/>
          <w:szCs w:val="24"/>
        </w:rPr>
        <w:t>categorie</w:t>
      </w:r>
      <w:r w:rsidR="00731D6E" w:rsidRPr="0056261A">
        <w:rPr>
          <w:rFonts w:ascii="Arial" w:hAnsi="Arial" w:cs="Arial"/>
          <w:sz w:val="24"/>
          <w:szCs w:val="24"/>
        </w:rPr>
        <w:t xml:space="preserve"> di sanzioni</w:t>
      </w:r>
      <w:r w:rsidR="00251A7E">
        <w:rPr>
          <w:rFonts w:ascii="Arial" w:hAnsi="Arial" w:cs="Arial"/>
          <w:sz w:val="24"/>
          <w:szCs w:val="24"/>
        </w:rPr>
        <w:t>(</w:t>
      </w:r>
      <w:r w:rsidR="00FB2C8B" w:rsidRPr="0056261A">
        <w:rPr>
          <w:rStyle w:val="Rimandonotaapidipagina"/>
          <w:rFonts w:ascii="Arial" w:hAnsi="Arial" w:cs="Arial"/>
          <w:sz w:val="24"/>
          <w:szCs w:val="24"/>
        </w:rPr>
        <w:footnoteReference w:id="8"/>
      </w:r>
      <w:r w:rsidR="00251A7E">
        <w:rPr>
          <w:rFonts w:ascii="Arial" w:hAnsi="Arial" w:cs="Arial"/>
          <w:sz w:val="24"/>
          <w:szCs w:val="24"/>
        </w:rPr>
        <w:t>)</w:t>
      </w:r>
      <w:r w:rsidR="00A700FA" w:rsidRPr="0056261A">
        <w:rPr>
          <w:rFonts w:ascii="Arial" w:hAnsi="Arial" w:cs="Arial"/>
          <w:sz w:val="24"/>
          <w:szCs w:val="24"/>
        </w:rPr>
        <w:t xml:space="preserve">. </w:t>
      </w:r>
      <w:r w:rsidR="00F77A4A" w:rsidRPr="0056261A">
        <w:rPr>
          <w:rFonts w:ascii="Arial" w:hAnsi="Arial" w:cs="Arial"/>
          <w:sz w:val="24"/>
          <w:szCs w:val="24"/>
        </w:rPr>
        <w:t xml:space="preserve">Addirittura in alcuni ambiti – tra cui rientra </w:t>
      </w:r>
      <w:r w:rsidR="00251A7E">
        <w:rPr>
          <w:rFonts w:ascii="Arial" w:hAnsi="Arial" w:cs="Arial"/>
          <w:sz w:val="24"/>
          <w:szCs w:val="24"/>
        </w:rPr>
        <w:t>proprio quello in cui opera l’ARERA</w:t>
      </w:r>
      <w:r w:rsidR="00F77A4A" w:rsidRPr="0056261A">
        <w:rPr>
          <w:rFonts w:ascii="Arial" w:hAnsi="Arial" w:cs="Arial"/>
          <w:sz w:val="24"/>
          <w:szCs w:val="24"/>
        </w:rPr>
        <w:t xml:space="preserve"> – </w:t>
      </w:r>
      <w:r w:rsidR="009A67D4" w:rsidRPr="0056261A">
        <w:rPr>
          <w:rFonts w:ascii="Arial" w:hAnsi="Arial" w:cs="Arial"/>
          <w:sz w:val="24"/>
          <w:szCs w:val="24"/>
        </w:rPr>
        <w:t xml:space="preserve">l’attività sanzionatoria </w:t>
      </w:r>
      <w:r w:rsidR="00F77A4A" w:rsidRPr="0056261A">
        <w:rPr>
          <w:rFonts w:ascii="Arial" w:hAnsi="Arial" w:cs="Arial"/>
          <w:sz w:val="24"/>
          <w:szCs w:val="24"/>
        </w:rPr>
        <w:t>è stata disci</w:t>
      </w:r>
      <w:r w:rsidR="009A67D4" w:rsidRPr="0056261A">
        <w:rPr>
          <w:rFonts w:ascii="Arial" w:hAnsi="Arial" w:cs="Arial"/>
          <w:sz w:val="24"/>
          <w:szCs w:val="24"/>
        </w:rPr>
        <w:t>plinata attraverso uno</w:t>
      </w:r>
      <w:r w:rsidR="00F77A4A" w:rsidRPr="0056261A">
        <w:rPr>
          <w:rFonts w:ascii="Arial" w:hAnsi="Arial" w:cs="Arial"/>
          <w:sz w:val="24"/>
          <w:szCs w:val="24"/>
        </w:rPr>
        <w:t xml:space="preserve"> </w:t>
      </w:r>
      <w:r w:rsidR="00443CED" w:rsidRPr="0056261A">
        <w:rPr>
          <w:rFonts w:ascii="Arial" w:hAnsi="Arial" w:cs="Arial"/>
          <w:sz w:val="24"/>
          <w:szCs w:val="24"/>
        </w:rPr>
        <w:t xml:space="preserve">speciale </w:t>
      </w:r>
      <w:r w:rsidR="009A67D4" w:rsidRPr="0056261A">
        <w:rPr>
          <w:rFonts w:ascii="Arial" w:hAnsi="Arial" w:cs="Arial"/>
          <w:i/>
          <w:sz w:val="24"/>
          <w:szCs w:val="24"/>
        </w:rPr>
        <w:t xml:space="preserve">corpus </w:t>
      </w:r>
      <w:r w:rsidR="009A67D4" w:rsidRPr="0056261A">
        <w:rPr>
          <w:rFonts w:ascii="Arial" w:hAnsi="Arial" w:cs="Arial"/>
          <w:sz w:val="24"/>
          <w:szCs w:val="24"/>
        </w:rPr>
        <w:t>normativo</w:t>
      </w:r>
      <w:r w:rsidR="00F77A4A" w:rsidRPr="0056261A">
        <w:rPr>
          <w:rFonts w:ascii="Arial" w:hAnsi="Arial" w:cs="Arial"/>
          <w:sz w:val="24"/>
          <w:szCs w:val="24"/>
        </w:rPr>
        <w:t xml:space="preserve">, in ragione della necessità di </w:t>
      </w:r>
      <w:r w:rsidR="00731D6E" w:rsidRPr="0056261A">
        <w:rPr>
          <w:rFonts w:ascii="Arial" w:hAnsi="Arial" w:cs="Arial"/>
          <w:sz w:val="24"/>
          <w:szCs w:val="24"/>
        </w:rPr>
        <w:t xml:space="preserve">garantire, anche </w:t>
      </w:r>
      <w:r w:rsidR="00494013" w:rsidRPr="0056261A">
        <w:rPr>
          <w:rFonts w:ascii="Arial" w:hAnsi="Arial" w:cs="Arial"/>
          <w:sz w:val="24"/>
          <w:szCs w:val="24"/>
        </w:rPr>
        <w:t>n</w:t>
      </w:r>
      <w:r w:rsidR="00731D6E" w:rsidRPr="0056261A">
        <w:rPr>
          <w:rFonts w:ascii="Arial" w:hAnsi="Arial" w:cs="Arial"/>
          <w:sz w:val="24"/>
          <w:szCs w:val="24"/>
        </w:rPr>
        <w:t>ei predetti</w:t>
      </w:r>
      <w:r w:rsidR="0031478A" w:rsidRPr="0056261A">
        <w:rPr>
          <w:rFonts w:ascii="Arial" w:hAnsi="Arial" w:cs="Arial"/>
          <w:sz w:val="24"/>
          <w:szCs w:val="24"/>
        </w:rPr>
        <w:t xml:space="preserve"> </w:t>
      </w:r>
      <w:r w:rsidR="00731D6E" w:rsidRPr="0056261A">
        <w:rPr>
          <w:rFonts w:ascii="Arial" w:hAnsi="Arial" w:cs="Arial"/>
          <w:sz w:val="24"/>
          <w:szCs w:val="24"/>
        </w:rPr>
        <w:t>settori</w:t>
      </w:r>
      <w:r w:rsidR="00494013" w:rsidRPr="0056261A">
        <w:rPr>
          <w:rFonts w:ascii="Arial" w:hAnsi="Arial" w:cs="Arial"/>
          <w:sz w:val="24"/>
          <w:szCs w:val="24"/>
        </w:rPr>
        <w:t>, l’effettività della specializzazione de</w:t>
      </w:r>
      <w:r w:rsidR="00231BFE" w:rsidRPr="0056261A">
        <w:rPr>
          <w:rFonts w:ascii="Arial" w:hAnsi="Arial" w:cs="Arial"/>
          <w:sz w:val="24"/>
          <w:szCs w:val="24"/>
        </w:rPr>
        <w:t xml:space="preserve">i soggetti pubblici </w:t>
      </w:r>
      <w:r w:rsidR="009A67D4" w:rsidRPr="0056261A">
        <w:rPr>
          <w:rFonts w:ascii="Arial" w:hAnsi="Arial" w:cs="Arial"/>
          <w:sz w:val="24"/>
          <w:szCs w:val="24"/>
        </w:rPr>
        <w:t>coi</w:t>
      </w:r>
      <w:r w:rsidR="00231BFE" w:rsidRPr="0056261A">
        <w:rPr>
          <w:rFonts w:ascii="Arial" w:hAnsi="Arial" w:cs="Arial"/>
          <w:sz w:val="24"/>
          <w:szCs w:val="24"/>
        </w:rPr>
        <w:t>n</w:t>
      </w:r>
      <w:r w:rsidR="009A67D4" w:rsidRPr="0056261A">
        <w:rPr>
          <w:rFonts w:ascii="Arial" w:hAnsi="Arial" w:cs="Arial"/>
          <w:sz w:val="24"/>
          <w:szCs w:val="24"/>
        </w:rPr>
        <w:t>volt</w:t>
      </w:r>
      <w:r w:rsidR="00231BFE" w:rsidRPr="0056261A">
        <w:rPr>
          <w:rFonts w:ascii="Arial" w:hAnsi="Arial" w:cs="Arial"/>
          <w:sz w:val="24"/>
          <w:szCs w:val="24"/>
        </w:rPr>
        <w:t>i</w:t>
      </w:r>
      <w:r w:rsidR="00414650">
        <w:rPr>
          <w:rFonts w:ascii="Arial" w:hAnsi="Arial" w:cs="Arial"/>
          <w:sz w:val="24"/>
          <w:szCs w:val="24"/>
        </w:rPr>
        <w:t>(</w:t>
      </w:r>
      <w:r w:rsidR="00494013" w:rsidRPr="0056261A">
        <w:rPr>
          <w:rStyle w:val="Rimandonotaapidipagina"/>
          <w:rFonts w:ascii="Arial" w:hAnsi="Arial" w:cs="Arial"/>
          <w:sz w:val="24"/>
          <w:szCs w:val="24"/>
        </w:rPr>
        <w:footnoteReference w:id="9"/>
      </w:r>
      <w:r w:rsidR="00414650">
        <w:rPr>
          <w:rFonts w:ascii="Arial" w:hAnsi="Arial" w:cs="Arial"/>
          <w:sz w:val="24"/>
          <w:szCs w:val="24"/>
        </w:rPr>
        <w:t>)</w:t>
      </w:r>
      <w:r w:rsidR="00494013" w:rsidRPr="0056261A">
        <w:rPr>
          <w:rFonts w:ascii="Arial" w:hAnsi="Arial" w:cs="Arial"/>
          <w:sz w:val="24"/>
          <w:szCs w:val="24"/>
        </w:rPr>
        <w:t>.</w:t>
      </w:r>
    </w:p>
    <w:p w:rsidR="00231BFE" w:rsidRPr="0056261A" w:rsidRDefault="00414650" w:rsidP="00414650">
      <w:pPr>
        <w:spacing w:after="0"/>
        <w:jc w:val="both"/>
        <w:rPr>
          <w:rFonts w:ascii="Arial" w:hAnsi="Arial" w:cs="Arial"/>
          <w:sz w:val="24"/>
          <w:szCs w:val="24"/>
        </w:rPr>
      </w:pPr>
      <w:r>
        <w:rPr>
          <w:rFonts w:ascii="Arial" w:hAnsi="Arial" w:cs="Arial"/>
          <w:sz w:val="24"/>
          <w:szCs w:val="24"/>
        </w:rPr>
        <w:t>Tra i princì</w:t>
      </w:r>
      <w:r w:rsidR="00DE77F6" w:rsidRPr="0056261A">
        <w:rPr>
          <w:rFonts w:ascii="Arial" w:hAnsi="Arial" w:cs="Arial"/>
          <w:sz w:val="24"/>
          <w:szCs w:val="24"/>
        </w:rPr>
        <w:t xml:space="preserve">pi applicabili alla materia </w:t>
      </w:r>
      <w:r w:rsidR="00AD0B60" w:rsidRPr="0056261A">
        <w:rPr>
          <w:rFonts w:ascii="Arial" w:hAnsi="Arial" w:cs="Arial"/>
          <w:sz w:val="24"/>
          <w:szCs w:val="24"/>
        </w:rPr>
        <w:t>delle</w:t>
      </w:r>
      <w:r w:rsidR="00DE77F6" w:rsidRPr="0056261A">
        <w:rPr>
          <w:rFonts w:ascii="Arial" w:hAnsi="Arial" w:cs="Arial"/>
          <w:sz w:val="24"/>
          <w:szCs w:val="24"/>
        </w:rPr>
        <w:t xml:space="preserve"> sanzioni amministrative, vi </w:t>
      </w:r>
      <w:r w:rsidR="001F0B60" w:rsidRPr="0056261A">
        <w:rPr>
          <w:rFonts w:ascii="Arial" w:hAnsi="Arial" w:cs="Arial"/>
          <w:sz w:val="24"/>
          <w:szCs w:val="24"/>
        </w:rPr>
        <w:t>sono</w:t>
      </w:r>
      <w:r w:rsidR="00DE77F6" w:rsidRPr="0056261A">
        <w:rPr>
          <w:rFonts w:ascii="Arial" w:hAnsi="Arial" w:cs="Arial"/>
          <w:sz w:val="24"/>
          <w:szCs w:val="24"/>
        </w:rPr>
        <w:t xml:space="preserve"> quell</w:t>
      </w:r>
      <w:r w:rsidR="001F0B60" w:rsidRPr="0056261A">
        <w:rPr>
          <w:rFonts w:ascii="Arial" w:hAnsi="Arial" w:cs="Arial"/>
          <w:sz w:val="24"/>
          <w:szCs w:val="24"/>
        </w:rPr>
        <w:t>i</w:t>
      </w:r>
      <w:r w:rsidR="00DE77F6" w:rsidRPr="0056261A">
        <w:rPr>
          <w:rFonts w:ascii="Arial" w:hAnsi="Arial" w:cs="Arial"/>
          <w:sz w:val="24"/>
          <w:szCs w:val="24"/>
        </w:rPr>
        <w:t xml:space="preserve"> di </w:t>
      </w:r>
      <w:r w:rsidR="00FB2C8B" w:rsidRPr="0056261A">
        <w:rPr>
          <w:rFonts w:ascii="Arial" w:hAnsi="Arial" w:cs="Arial"/>
          <w:sz w:val="24"/>
          <w:szCs w:val="24"/>
        </w:rPr>
        <w:t xml:space="preserve">personalità della responsabilità, di </w:t>
      </w:r>
      <w:r w:rsidR="00DE77F6" w:rsidRPr="0056261A">
        <w:rPr>
          <w:rFonts w:ascii="Arial" w:hAnsi="Arial" w:cs="Arial"/>
          <w:sz w:val="24"/>
          <w:szCs w:val="24"/>
        </w:rPr>
        <w:t>stretta legalità</w:t>
      </w:r>
      <w:r w:rsidR="001F0B60" w:rsidRPr="0056261A">
        <w:rPr>
          <w:rFonts w:ascii="Arial" w:hAnsi="Arial" w:cs="Arial"/>
          <w:sz w:val="24"/>
          <w:szCs w:val="24"/>
        </w:rPr>
        <w:t xml:space="preserve"> –</w:t>
      </w:r>
      <w:r w:rsidR="00DE77F6" w:rsidRPr="0056261A">
        <w:rPr>
          <w:rFonts w:ascii="Arial" w:hAnsi="Arial" w:cs="Arial"/>
          <w:sz w:val="24"/>
          <w:szCs w:val="24"/>
        </w:rPr>
        <w:t xml:space="preserve"> </w:t>
      </w:r>
      <w:r w:rsidR="001F0B60" w:rsidRPr="0056261A">
        <w:rPr>
          <w:rFonts w:ascii="Arial" w:hAnsi="Arial" w:cs="Arial"/>
          <w:sz w:val="24"/>
          <w:szCs w:val="24"/>
        </w:rPr>
        <w:t xml:space="preserve">secondo </w:t>
      </w:r>
      <w:r w:rsidR="00DE77F6" w:rsidRPr="0056261A">
        <w:rPr>
          <w:rFonts w:ascii="Arial" w:hAnsi="Arial" w:cs="Arial"/>
          <w:sz w:val="24"/>
          <w:szCs w:val="24"/>
        </w:rPr>
        <w:t xml:space="preserve">il quale la violazione </w:t>
      </w:r>
      <w:r w:rsidR="00C460AE" w:rsidRPr="0056261A">
        <w:rPr>
          <w:rFonts w:ascii="Arial" w:hAnsi="Arial" w:cs="Arial"/>
          <w:sz w:val="24"/>
          <w:szCs w:val="24"/>
        </w:rPr>
        <w:t xml:space="preserve">deve essere </w:t>
      </w:r>
      <w:r w:rsidR="00DE77F6" w:rsidRPr="0056261A">
        <w:rPr>
          <w:rFonts w:ascii="Arial" w:hAnsi="Arial" w:cs="Arial"/>
          <w:sz w:val="24"/>
          <w:szCs w:val="24"/>
        </w:rPr>
        <w:t xml:space="preserve">assoggettata alla </w:t>
      </w:r>
      <w:r w:rsidR="006F617E">
        <w:rPr>
          <w:rFonts w:ascii="Arial" w:hAnsi="Arial" w:cs="Arial"/>
          <w:sz w:val="24"/>
          <w:szCs w:val="24"/>
        </w:rPr>
        <w:t>Legge</w:t>
      </w:r>
      <w:r w:rsidR="00AD0B60" w:rsidRPr="0056261A">
        <w:rPr>
          <w:rFonts w:ascii="Arial" w:hAnsi="Arial" w:cs="Arial"/>
          <w:sz w:val="24"/>
          <w:szCs w:val="24"/>
        </w:rPr>
        <w:t xml:space="preserve"> del tempo del suo verificarsi, risultando inapplicabile </w:t>
      </w:r>
      <w:r w:rsidR="001F0B60" w:rsidRPr="0056261A">
        <w:rPr>
          <w:rFonts w:ascii="Arial" w:hAnsi="Arial" w:cs="Arial"/>
          <w:sz w:val="24"/>
          <w:szCs w:val="24"/>
        </w:rPr>
        <w:t>sia una normativa avente carattere retroattivo</w:t>
      </w:r>
      <w:r w:rsidR="007C3966">
        <w:rPr>
          <w:rFonts w:ascii="Arial" w:hAnsi="Arial" w:cs="Arial"/>
          <w:sz w:val="24"/>
          <w:szCs w:val="24"/>
        </w:rPr>
        <w:t>(</w:t>
      </w:r>
      <w:r w:rsidR="00FB2C8B" w:rsidRPr="0056261A">
        <w:rPr>
          <w:rStyle w:val="Rimandonotaapidipagina"/>
          <w:rFonts w:ascii="Arial" w:hAnsi="Arial" w:cs="Arial"/>
          <w:sz w:val="24"/>
          <w:szCs w:val="24"/>
        </w:rPr>
        <w:footnoteReference w:id="10"/>
      </w:r>
      <w:r w:rsidR="007C3966">
        <w:rPr>
          <w:rFonts w:ascii="Arial" w:hAnsi="Arial" w:cs="Arial"/>
          <w:sz w:val="24"/>
          <w:szCs w:val="24"/>
        </w:rPr>
        <w:t>)</w:t>
      </w:r>
      <w:r w:rsidR="001F0B60" w:rsidRPr="0056261A">
        <w:rPr>
          <w:rFonts w:ascii="Arial" w:hAnsi="Arial" w:cs="Arial"/>
          <w:sz w:val="24"/>
          <w:szCs w:val="24"/>
        </w:rPr>
        <w:t xml:space="preserve"> sia </w:t>
      </w:r>
      <w:r w:rsidR="00AD0B60" w:rsidRPr="0056261A">
        <w:rPr>
          <w:rFonts w:ascii="Arial" w:hAnsi="Arial" w:cs="Arial"/>
          <w:sz w:val="24"/>
          <w:szCs w:val="24"/>
        </w:rPr>
        <w:t>un</w:t>
      </w:r>
      <w:r w:rsidR="00DE77F6" w:rsidRPr="0056261A">
        <w:rPr>
          <w:rFonts w:ascii="Arial" w:hAnsi="Arial" w:cs="Arial"/>
          <w:sz w:val="24"/>
          <w:szCs w:val="24"/>
        </w:rPr>
        <w:t>a eventuale disciplina posteriore più favorevole</w:t>
      </w:r>
      <w:r>
        <w:rPr>
          <w:rFonts w:ascii="Arial" w:hAnsi="Arial" w:cs="Arial"/>
          <w:sz w:val="24"/>
          <w:szCs w:val="24"/>
        </w:rPr>
        <w:t>(</w:t>
      </w:r>
      <w:r w:rsidR="00AD0B60" w:rsidRPr="0056261A">
        <w:rPr>
          <w:rStyle w:val="Rimandonotaapidipagina"/>
          <w:rFonts w:ascii="Arial" w:hAnsi="Arial" w:cs="Arial"/>
          <w:sz w:val="24"/>
          <w:szCs w:val="24"/>
        </w:rPr>
        <w:footnoteReference w:id="11"/>
      </w:r>
      <w:r>
        <w:rPr>
          <w:rFonts w:ascii="Arial" w:hAnsi="Arial" w:cs="Arial"/>
          <w:sz w:val="24"/>
          <w:szCs w:val="24"/>
        </w:rPr>
        <w:t>)</w:t>
      </w:r>
      <w:r w:rsidR="00FB2C8B" w:rsidRPr="0056261A">
        <w:rPr>
          <w:rFonts w:ascii="Arial" w:hAnsi="Arial" w:cs="Arial"/>
          <w:sz w:val="24"/>
          <w:szCs w:val="24"/>
        </w:rPr>
        <w:t xml:space="preserve"> –, di</w:t>
      </w:r>
      <w:r w:rsidR="00807A1E" w:rsidRPr="0056261A">
        <w:rPr>
          <w:rFonts w:ascii="Arial" w:hAnsi="Arial" w:cs="Arial"/>
          <w:sz w:val="24"/>
          <w:szCs w:val="24"/>
        </w:rPr>
        <w:t xml:space="preserve"> sussistenza della responsabilità</w:t>
      </w:r>
      <w:r w:rsidR="0031478A" w:rsidRPr="0056261A">
        <w:rPr>
          <w:rFonts w:ascii="Arial" w:hAnsi="Arial" w:cs="Arial"/>
          <w:sz w:val="24"/>
          <w:szCs w:val="24"/>
        </w:rPr>
        <w:t>,</w:t>
      </w:r>
      <w:r w:rsidR="00807A1E" w:rsidRPr="0056261A">
        <w:rPr>
          <w:rFonts w:ascii="Arial" w:hAnsi="Arial" w:cs="Arial"/>
          <w:sz w:val="24"/>
          <w:szCs w:val="24"/>
        </w:rPr>
        <w:t xml:space="preserve"> indifferentemente</w:t>
      </w:r>
      <w:r w:rsidR="0031478A" w:rsidRPr="0056261A">
        <w:rPr>
          <w:rFonts w:ascii="Arial" w:hAnsi="Arial" w:cs="Arial"/>
          <w:sz w:val="24"/>
          <w:szCs w:val="24"/>
        </w:rPr>
        <w:t>,</w:t>
      </w:r>
      <w:r w:rsidR="00807A1E" w:rsidRPr="0056261A">
        <w:rPr>
          <w:rFonts w:ascii="Arial" w:hAnsi="Arial" w:cs="Arial"/>
          <w:sz w:val="24"/>
          <w:szCs w:val="24"/>
        </w:rPr>
        <w:t xml:space="preserve"> a titolo di dolo e di colpa e </w:t>
      </w:r>
      <w:r w:rsidR="0031478A" w:rsidRPr="0056261A">
        <w:rPr>
          <w:rFonts w:ascii="Arial" w:hAnsi="Arial" w:cs="Arial"/>
          <w:sz w:val="24"/>
          <w:szCs w:val="24"/>
        </w:rPr>
        <w:t>della necessità che il soggetto responsabile abbia</w:t>
      </w:r>
      <w:r w:rsidR="00807A1E" w:rsidRPr="0056261A">
        <w:rPr>
          <w:rFonts w:ascii="Arial" w:hAnsi="Arial" w:cs="Arial"/>
          <w:sz w:val="24"/>
          <w:szCs w:val="24"/>
        </w:rPr>
        <w:t xml:space="preserve"> compiuto l’età di diciotto anni</w:t>
      </w:r>
      <w:r>
        <w:rPr>
          <w:rFonts w:ascii="Arial" w:hAnsi="Arial" w:cs="Arial"/>
          <w:sz w:val="24"/>
          <w:szCs w:val="24"/>
        </w:rPr>
        <w:t>(</w:t>
      </w:r>
      <w:r w:rsidR="00C70BB4" w:rsidRPr="0056261A">
        <w:rPr>
          <w:rStyle w:val="Rimandonotaapidipagina"/>
          <w:rFonts w:ascii="Arial" w:hAnsi="Arial" w:cs="Arial"/>
          <w:sz w:val="24"/>
          <w:szCs w:val="24"/>
        </w:rPr>
        <w:footnoteReference w:id="12"/>
      </w:r>
      <w:r>
        <w:rPr>
          <w:rFonts w:ascii="Arial" w:hAnsi="Arial" w:cs="Arial"/>
          <w:sz w:val="24"/>
          <w:szCs w:val="24"/>
        </w:rPr>
        <w:t>)</w:t>
      </w:r>
      <w:r w:rsidR="00AD0B60" w:rsidRPr="0056261A">
        <w:rPr>
          <w:rFonts w:ascii="Arial" w:hAnsi="Arial" w:cs="Arial"/>
          <w:sz w:val="24"/>
          <w:szCs w:val="24"/>
        </w:rPr>
        <w:t>.</w:t>
      </w:r>
    </w:p>
    <w:p w:rsidR="00857A46" w:rsidRPr="0056261A" w:rsidRDefault="00414650" w:rsidP="00414650">
      <w:pPr>
        <w:spacing w:after="0"/>
        <w:jc w:val="both"/>
        <w:rPr>
          <w:rFonts w:ascii="Arial" w:hAnsi="Arial" w:cs="Arial"/>
          <w:sz w:val="24"/>
          <w:szCs w:val="24"/>
        </w:rPr>
      </w:pPr>
      <w:r>
        <w:rPr>
          <w:rFonts w:ascii="Arial" w:hAnsi="Arial" w:cs="Arial"/>
          <w:sz w:val="24"/>
          <w:szCs w:val="24"/>
        </w:rPr>
        <w:t>Tuttavia si tratta di princì</w:t>
      </w:r>
      <w:r w:rsidR="00857A46" w:rsidRPr="0056261A">
        <w:rPr>
          <w:rFonts w:ascii="Arial" w:hAnsi="Arial" w:cs="Arial"/>
          <w:sz w:val="24"/>
          <w:szCs w:val="24"/>
        </w:rPr>
        <w:t xml:space="preserve">pi applicabili alla generalità delle sanzioni amministrative, soltanto laddove non sia previsto un diverso regime in seno alla specifica normativa che le introduce. Ciò a conferma della piena discrezionalità del </w:t>
      </w:r>
      <w:r w:rsidR="005F632A">
        <w:rPr>
          <w:rFonts w:ascii="Arial" w:hAnsi="Arial" w:cs="Arial"/>
          <w:sz w:val="24"/>
          <w:szCs w:val="24"/>
        </w:rPr>
        <w:t>Legislatore</w:t>
      </w:r>
      <w:r w:rsidR="00857A46" w:rsidRPr="0056261A">
        <w:rPr>
          <w:rFonts w:ascii="Arial" w:hAnsi="Arial" w:cs="Arial"/>
          <w:sz w:val="24"/>
          <w:szCs w:val="24"/>
        </w:rPr>
        <w:t xml:space="preserve"> in ordine alla conformazione del regime delle singole sanzioni amministrative</w:t>
      </w:r>
      <w:r w:rsidR="0031478A" w:rsidRPr="0056261A">
        <w:rPr>
          <w:rFonts w:ascii="Arial" w:hAnsi="Arial" w:cs="Arial"/>
          <w:sz w:val="24"/>
          <w:szCs w:val="24"/>
        </w:rPr>
        <w:t>, avuto riguardo a</w:t>
      </w:r>
      <w:r w:rsidR="00857A46" w:rsidRPr="0056261A">
        <w:rPr>
          <w:rFonts w:ascii="Arial" w:hAnsi="Arial" w:cs="Arial"/>
          <w:sz w:val="24"/>
          <w:szCs w:val="24"/>
        </w:rPr>
        <w:t>llo scopo volta per volta perseguito.</w:t>
      </w:r>
    </w:p>
    <w:p w:rsidR="00F77A4A" w:rsidRPr="0056261A" w:rsidRDefault="004C7EB3" w:rsidP="00414650">
      <w:pPr>
        <w:spacing w:after="0"/>
        <w:jc w:val="both"/>
        <w:rPr>
          <w:rFonts w:ascii="Arial" w:hAnsi="Arial" w:cs="Arial"/>
          <w:sz w:val="24"/>
          <w:szCs w:val="24"/>
        </w:rPr>
      </w:pPr>
      <w:r w:rsidRPr="0056261A">
        <w:rPr>
          <w:rFonts w:ascii="Arial" w:hAnsi="Arial" w:cs="Arial"/>
          <w:sz w:val="24"/>
          <w:szCs w:val="24"/>
        </w:rPr>
        <w:t>Le sanzioni amministrative oltre a distinguersi, per quanto in precedenza evidenziato, dalle sanzioni penali, si distinguono anche dalle sanzioni c.d. civili, poiché queste ultime sono svincolate dal rispetto del principio di legalità</w:t>
      </w:r>
      <w:r w:rsidR="00414650">
        <w:rPr>
          <w:rFonts w:ascii="Arial" w:hAnsi="Arial" w:cs="Arial"/>
          <w:sz w:val="24"/>
          <w:szCs w:val="24"/>
        </w:rPr>
        <w:t>(</w:t>
      </w:r>
      <w:r w:rsidR="00AB61BD" w:rsidRPr="0056261A">
        <w:rPr>
          <w:rStyle w:val="Rimandonotaapidipagina"/>
          <w:rFonts w:ascii="Arial" w:hAnsi="Arial" w:cs="Arial"/>
          <w:sz w:val="24"/>
          <w:szCs w:val="24"/>
        </w:rPr>
        <w:footnoteReference w:id="13"/>
      </w:r>
      <w:r w:rsidR="00414650">
        <w:rPr>
          <w:rFonts w:ascii="Arial" w:hAnsi="Arial" w:cs="Arial"/>
          <w:sz w:val="24"/>
          <w:szCs w:val="24"/>
        </w:rPr>
        <w:t>)</w:t>
      </w:r>
      <w:r w:rsidRPr="0056261A">
        <w:rPr>
          <w:rFonts w:ascii="Arial" w:hAnsi="Arial" w:cs="Arial"/>
          <w:sz w:val="24"/>
          <w:szCs w:val="24"/>
        </w:rPr>
        <w:t xml:space="preserve">, </w:t>
      </w:r>
      <w:r w:rsidR="005614FC" w:rsidRPr="0056261A">
        <w:rPr>
          <w:rFonts w:ascii="Arial" w:hAnsi="Arial" w:cs="Arial"/>
          <w:sz w:val="24"/>
          <w:szCs w:val="24"/>
        </w:rPr>
        <w:t xml:space="preserve">avendo come riferimento </w:t>
      </w:r>
      <w:r w:rsidRPr="0056261A">
        <w:rPr>
          <w:rFonts w:ascii="Arial" w:hAnsi="Arial" w:cs="Arial"/>
          <w:sz w:val="24"/>
          <w:szCs w:val="24"/>
        </w:rPr>
        <w:t xml:space="preserve">rapporti di natura privatistica </w:t>
      </w:r>
      <w:r w:rsidR="005614FC" w:rsidRPr="0056261A">
        <w:rPr>
          <w:rFonts w:ascii="Arial" w:hAnsi="Arial" w:cs="Arial"/>
          <w:sz w:val="24"/>
          <w:szCs w:val="24"/>
        </w:rPr>
        <w:t xml:space="preserve">nell’ambito dei quali le parti possono </w:t>
      </w:r>
      <w:r w:rsidRPr="0056261A">
        <w:rPr>
          <w:rFonts w:ascii="Arial" w:hAnsi="Arial" w:cs="Arial"/>
          <w:sz w:val="24"/>
          <w:szCs w:val="24"/>
        </w:rPr>
        <w:t>individuare convenzionalmente alcune tipologie di sanzioni e stabilirne il contenuto</w:t>
      </w:r>
      <w:r w:rsidR="00414650">
        <w:rPr>
          <w:rFonts w:ascii="Arial" w:hAnsi="Arial" w:cs="Arial"/>
          <w:sz w:val="24"/>
          <w:szCs w:val="24"/>
        </w:rPr>
        <w:t>(</w:t>
      </w:r>
      <w:r w:rsidRPr="0056261A">
        <w:rPr>
          <w:rStyle w:val="Rimandonotaapidipagina"/>
          <w:rFonts w:ascii="Arial" w:hAnsi="Arial" w:cs="Arial"/>
          <w:sz w:val="24"/>
          <w:szCs w:val="24"/>
        </w:rPr>
        <w:footnoteReference w:id="14"/>
      </w:r>
      <w:r w:rsidR="00414650">
        <w:rPr>
          <w:rFonts w:ascii="Arial" w:hAnsi="Arial" w:cs="Arial"/>
          <w:sz w:val="24"/>
          <w:szCs w:val="24"/>
        </w:rPr>
        <w:t>)</w:t>
      </w:r>
      <w:r w:rsidRPr="0056261A">
        <w:rPr>
          <w:rFonts w:ascii="Arial" w:hAnsi="Arial" w:cs="Arial"/>
          <w:sz w:val="24"/>
          <w:szCs w:val="24"/>
        </w:rPr>
        <w:t>.</w:t>
      </w:r>
    </w:p>
    <w:p w:rsidR="007B744B" w:rsidRPr="0056261A" w:rsidRDefault="005614FC" w:rsidP="00414650">
      <w:pPr>
        <w:spacing w:after="0"/>
        <w:jc w:val="both"/>
        <w:rPr>
          <w:rFonts w:ascii="Arial" w:hAnsi="Arial" w:cs="Arial"/>
          <w:sz w:val="24"/>
          <w:szCs w:val="24"/>
        </w:rPr>
      </w:pPr>
      <w:r w:rsidRPr="0056261A">
        <w:rPr>
          <w:rFonts w:ascii="Arial" w:hAnsi="Arial" w:cs="Arial"/>
          <w:sz w:val="24"/>
          <w:szCs w:val="24"/>
        </w:rPr>
        <w:t>Caratteristica peculiare dell</w:t>
      </w:r>
      <w:r w:rsidR="00FF2A5A" w:rsidRPr="0056261A">
        <w:rPr>
          <w:rFonts w:ascii="Arial" w:hAnsi="Arial" w:cs="Arial"/>
          <w:sz w:val="24"/>
          <w:szCs w:val="24"/>
        </w:rPr>
        <w:t>a</w:t>
      </w:r>
      <w:r w:rsidRPr="0056261A">
        <w:rPr>
          <w:rFonts w:ascii="Arial" w:hAnsi="Arial" w:cs="Arial"/>
          <w:sz w:val="24"/>
          <w:szCs w:val="24"/>
        </w:rPr>
        <w:t xml:space="preserve"> sanzion</w:t>
      </w:r>
      <w:r w:rsidR="00FF2A5A" w:rsidRPr="0056261A">
        <w:rPr>
          <w:rFonts w:ascii="Arial" w:hAnsi="Arial" w:cs="Arial"/>
          <w:sz w:val="24"/>
          <w:szCs w:val="24"/>
        </w:rPr>
        <w:t>e</w:t>
      </w:r>
      <w:r w:rsidRPr="0056261A">
        <w:rPr>
          <w:rFonts w:ascii="Arial" w:hAnsi="Arial" w:cs="Arial"/>
          <w:sz w:val="24"/>
          <w:szCs w:val="24"/>
        </w:rPr>
        <w:t xml:space="preserve"> amministrativ</w:t>
      </w:r>
      <w:r w:rsidR="00FF2A5A" w:rsidRPr="0056261A">
        <w:rPr>
          <w:rFonts w:ascii="Arial" w:hAnsi="Arial" w:cs="Arial"/>
          <w:sz w:val="24"/>
          <w:szCs w:val="24"/>
        </w:rPr>
        <w:t>a</w:t>
      </w:r>
      <w:r w:rsidRPr="0056261A">
        <w:rPr>
          <w:rFonts w:ascii="Arial" w:hAnsi="Arial" w:cs="Arial"/>
          <w:sz w:val="24"/>
          <w:szCs w:val="24"/>
        </w:rPr>
        <w:t xml:space="preserve"> – tale da distinguerl</w:t>
      </w:r>
      <w:r w:rsidR="00FF2A5A" w:rsidRPr="0056261A">
        <w:rPr>
          <w:rFonts w:ascii="Arial" w:hAnsi="Arial" w:cs="Arial"/>
          <w:sz w:val="24"/>
          <w:szCs w:val="24"/>
        </w:rPr>
        <w:t>a da quella</w:t>
      </w:r>
      <w:r w:rsidRPr="0056261A">
        <w:rPr>
          <w:rFonts w:ascii="Arial" w:hAnsi="Arial" w:cs="Arial"/>
          <w:sz w:val="24"/>
          <w:szCs w:val="24"/>
        </w:rPr>
        <w:t xml:space="preserve"> penal</w:t>
      </w:r>
      <w:r w:rsidR="00FF2A5A" w:rsidRPr="0056261A">
        <w:rPr>
          <w:rFonts w:ascii="Arial" w:hAnsi="Arial" w:cs="Arial"/>
          <w:sz w:val="24"/>
          <w:szCs w:val="24"/>
        </w:rPr>
        <w:t>e</w:t>
      </w:r>
      <w:r w:rsidRPr="0056261A">
        <w:rPr>
          <w:rFonts w:ascii="Arial" w:hAnsi="Arial" w:cs="Arial"/>
          <w:sz w:val="24"/>
          <w:szCs w:val="24"/>
        </w:rPr>
        <w:t xml:space="preserve"> e</w:t>
      </w:r>
      <w:r w:rsidR="00FF2A5A" w:rsidRPr="0056261A">
        <w:rPr>
          <w:rFonts w:ascii="Arial" w:hAnsi="Arial" w:cs="Arial"/>
          <w:sz w:val="24"/>
          <w:szCs w:val="24"/>
        </w:rPr>
        <w:t>, in parte, da quella</w:t>
      </w:r>
      <w:r w:rsidRPr="0056261A">
        <w:rPr>
          <w:rFonts w:ascii="Arial" w:hAnsi="Arial" w:cs="Arial"/>
          <w:sz w:val="24"/>
          <w:szCs w:val="24"/>
        </w:rPr>
        <w:t xml:space="preserve"> civil</w:t>
      </w:r>
      <w:r w:rsidR="00FF2A5A" w:rsidRPr="0056261A">
        <w:rPr>
          <w:rFonts w:ascii="Arial" w:hAnsi="Arial" w:cs="Arial"/>
          <w:sz w:val="24"/>
          <w:szCs w:val="24"/>
        </w:rPr>
        <w:t>e</w:t>
      </w:r>
      <w:r w:rsidRPr="0056261A">
        <w:rPr>
          <w:rFonts w:ascii="Arial" w:hAnsi="Arial" w:cs="Arial"/>
          <w:sz w:val="24"/>
          <w:szCs w:val="24"/>
        </w:rPr>
        <w:t xml:space="preserve"> – è rappresentata dalla circostanza che il procedimento di irrogazione non richiede indefettibilmente l’intervento di un giudice, che è soltanto eventuale</w:t>
      </w:r>
      <w:r w:rsidR="007C3966">
        <w:rPr>
          <w:rFonts w:ascii="Arial" w:hAnsi="Arial" w:cs="Arial"/>
          <w:sz w:val="24"/>
          <w:szCs w:val="24"/>
        </w:rPr>
        <w:t>(</w:t>
      </w:r>
      <w:r w:rsidR="005D2944" w:rsidRPr="0056261A">
        <w:rPr>
          <w:rStyle w:val="Rimandonotaapidipagina"/>
          <w:rFonts w:ascii="Arial" w:hAnsi="Arial" w:cs="Arial"/>
          <w:sz w:val="24"/>
          <w:szCs w:val="24"/>
        </w:rPr>
        <w:footnoteReference w:id="15"/>
      </w:r>
      <w:r w:rsidR="007C3966">
        <w:rPr>
          <w:rFonts w:ascii="Arial" w:hAnsi="Arial" w:cs="Arial"/>
          <w:sz w:val="24"/>
          <w:szCs w:val="24"/>
        </w:rPr>
        <w:t>)</w:t>
      </w:r>
      <w:r w:rsidRPr="0056261A">
        <w:rPr>
          <w:rFonts w:ascii="Arial" w:hAnsi="Arial" w:cs="Arial"/>
          <w:sz w:val="24"/>
          <w:szCs w:val="24"/>
        </w:rPr>
        <w:t xml:space="preserve">. </w:t>
      </w:r>
      <w:r w:rsidR="00BA13F7" w:rsidRPr="0056261A">
        <w:rPr>
          <w:rFonts w:ascii="Arial" w:hAnsi="Arial" w:cs="Arial"/>
          <w:sz w:val="24"/>
          <w:szCs w:val="24"/>
        </w:rPr>
        <w:t>Difatti, s</w:t>
      </w:r>
      <w:r w:rsidR="00FF2A5A" w:rsidRPr="0056261A">
        <w:rPr>
          <w:rFonts w:ascii="Arial" w:hAnsi="Arial" w:cs="Arial"/>
          <w:sz w:val="24"/>
          <w:szCs w:val="24"/>
        </w:rPr>
        <w:t xml:space="preserve">e la sanzione penale è </w:t>
      </w:r>
      <w:r w:rsidR="00414650">
        <w:rPr>
          <w:rFonts w:ascii="Arial" w:hAnsi="Arial" w:cs="Arial"/>
          <w:sz w:val="24"/>
          <w:szCs w:val="24"/>
        </w:rPr>
        <w:t>necessariamente inflitta da un G</w:t>
      </w:r>
      <w:r w:rsidR="00BA13F7" w:rsidRPr="0056261A">
        <w:rPr>
          <w:rFonts w:ascii="Arial" w:hAnsi="Arial" w:cs="Arial"/>
          <w:sz w:val="24"/>
          <w:szCs w:val="24"/>
        </w:rPr>
        <w:t>iudice, attraverso una pronuncia resa in sede giurisdizionale, la sanzione amministrativa viene irrogata direttamente dall’Autorità titolare del relativo potere, all’esito di un procedimento amministrativo che, salvo alcuni aspetti particolari, è assoggettato in via generale a</w:t>
      </w:r>
      <w:r w:rsidR="0031478A" w:rsidRPr="0056261A">
        <w:rPr>
          <w:rFonts w:ascii="Arial" w:hAnsi="Arial" w:cs="Arial"/>
          <w:sz w:val="24"/>
          <w:szCs w:val="24"/>
        </w:rPr>
        <w:t xml:space="preserve"> </w:t>
      </w:r>
      <w:r w:rsidR="00BA13F7" w:rsidRPr="0056261A">
        <w:rPr>
          <w:rFonts w:ascii="Arial" w:hAnsi="Arial" w:cs="Arial"/>
          <w:sz w:val="24"/>
          <w:szCs w:val="24"/>
        </w:rPr>
        <w:t xml:space="preserve">regole </w:t>
      </w:r>
      <w:r w:rsidR="0031478A" w:rsidRPr="0056261A">
        <w:rPr>
          <w:rFonts w:ascii="Arial" w:hAnsi="Arial" w:cs="Arial"/>
          <w:sz w:val="24"/>
          <w:szCs w:val="24"/>
        </w:rPr>
        <w:t>non aventi un carattere processuale</w:t>
      </w:r>
      <w:r w:rsidR="00063D67" w:rsidRPr="0056261A">
        <w:rPr>
          <w:rFonts w:ascii="Arial" w:hAnsi="Arial" w:cs="Arial"/>
          <w:sz w:val="24"/>
          <w:szCs w:val="24"/>
        </w:rPr>
        <w:t>, considerato che la sanzione amministrativa rientra a tutti gli effetti nella categoria del provvedimento amministrativo</w:t>
      </w:r>
      <w:r w:rsidR="00414650">
        <w:rPr>
          <w:rFonts w:ascii="Arial" w:hAnsi="Arial" w:cs="Arial"/>
          <w:sz w:val="24"/>
          <w:szCs w:val="24"/>
        </w:rPr>
        <w:t>(</w:t>
      </w:r>
      <w:r w:rsidR="00EF4D1F" w:rsidRPr="0056261A">
        <w:rPr>
          <w:rStyle w:val="Rimandonotaapidipagina"/>
          <w:rFonts w:ascii="Arial" w:hAnsi="Arial" w:cs="Arial"/>
          <w:sz w:val="24"/>
          <w:szCs w:val="24"/>
        </w:rPr>
        <w:footnoteReference w:id="16"/>
      </w:r>
      <w:r w:rsidR="00414650">
        <w:rPr>
          <w:rFonts w:ascii="Arial" w:hAnsi="Arial" w:cs="Arial"/>
          <w:sz w:val="24"/>
          <w:szCs w:val="24"/>
        </w:rPr>
        <w:t>)</w:t>
      </w:r>
      <w:r w:rsidR="00063D67" w:rsidRPr="0056261A">
        <w:rPr>
          <w:rFonts w:ascii="Arial" w:hAnsi="Arial" w:cs="Arial"/>
          <w:sz w:val="24"/>
          <w:szCs w:val="24"/>
        </w:rPr>
        <w:t>.</w:t>
      </w:r>
      <w:r w:rsidR="00BA13F7" w:rsidRPr="0056261A">
        <w:rPr>
          <w:rFonts w:ascii="Arial" w:hAnsi="Arial" w:cs="Arial"/>
          <w:sz w:val="24"/>
          <w:szCs w:val="24"/>
        </w:rPr>
        <w:t xml:space="preserve"> Siffatta differenziazione non incide soltanto sulla </w:t>
      </w:r>
      <w:r w:rsidR="00752359" w:rsidRPr="0056261A">
        <w:rPr>
          <w:rFonts w:ascii="Arial" w:hAnsi="Arial" w:cs="Arial"/>
          <w:sz w:val="24"/>
          <w:szCs w:val="24"/>
        </w:rPr>
        <w:t>procedura di irrogazione delle diverse tipologie di sanzioni – penali o amministrative –, ma rileva anche con riguardo alla comparabilità dei procedimenti giurisd</w:t>
      </w:r>
      <w:r w:rsidR="0031478A" w:rsidRPr="0056261A">
        <w:rPr>
          <w:rFonts w:ascii="Arial" w:hAnsi="Arial" w:cs="Arial"/>
          <w:sz w:val="24"/>
          <w:szCs w:val="24"/>
        </w:rPr>
        <w:t>izionali che si riferiscono alle une piuttosto che a</w:t>
      </w:r>
      <w:r w:rsidR="00752359" w:rsidRPr="0056261A">
        <w:rPr>
          <w:rFonts w:ascii="Arial" w:hAnsi="Arial" w:cs="Arial"/>
          <w:sz w:val="24"/>
          <w:szCs w:val="24"/>
        </w:rPr>
        <w:t>lle altre.</w:t>
      </w:r>
    </w:p>
    <w:p w:rsidR="007B744B" w:rsidRPr="0056261A" w:rsidRDefault="00752359" w:rsidP="00414650">
      <w:pPr>
        <w:spacing w:after="0"/>
        <w:jc w:val="both"/>
        <w:rPr>
          <w:rFonts w:ascii="Arial" w:hAnsi="Arial" w:cs="Arial"/>
          <w:sz w:val="24"/>
          <w:szCs w:val="24"/>
        </w:rPr>
      </w:pPr>
      <w:r w:rsidRPr="0056261A">
        <w:rPr>
          <w:rFonts w:ascii="Arial" w:hAnsi="Arial" w:cs="Arial"/>
          <w:sz w:val="24"/>
          <w:szCs w:val="24"/>
        </w:rPr>
        <w:t>Con riguardo all’applicazione delle sanzioni penali, l’avvio del procedimento (</w:t>
      </w:r>
      <w:proofErr w:type="spellStart"/>
      <w:r w:rsidRPr="0056261A">
        <w:rPr>
          <w:rFonts w:ascii="Arial" w:hAnsi="Arial" w:cs="Arial"/>
          <w:i/>
          <w:sz w:val="24"/>
          <w:szCs w:val="24"/>
        </w:rPr>
        <w:t>rectius</w:t>
      </w:r>
      <w:proofErr w:type="spellEnd"/>
      <w:r w:rsidRPr="0056261A">
        <w:rPr>
          <w:rFonts w:ascii="Arial" w:hAnsi="Arial" w:cs="Arial"/>
          <w:sz w:val="24"/>
          <w:szCs w:val="24"/>
        </w:rPr>
        <w:t xml:space="preserve">, del processo) è affidato obbligatoriamente ad un organo pubblico, il pubblico ministero, avente la veste di attore necessario, che </w:t>
      </w:r>
      <w:r w:rsidR="00EF4D1F" w:rsidRPr="0056261A">
        <w:rPr>
          <w:rFonts w:ascii="Arial" w:hAnsi="Arial" w:cs="Arial"/>
          <w:sz w:val="24"/>
          <w:szCs w:val="24"/>
        </w:rPr>
        <w:t>avvi</w:t>
      </w:r>
      <w:r w:rsidRPr="0056261A">
        <w:rPr>
          <w:rFonts w:ascii="Arial" w:hAnsi="Arial" w:cs="Arial"/>
          <w:sz w:val="24"/>
          <w:szCs w:val="24"/>
        </w:rPr>
        <w:t xml:space="preserve">a dapprima </w:t>
      </w:r>
      <w:r w:rsidR="00EF4D1F" w:rsidRPr="0056261A">
        <w:rPr>
          <w:rFonts w:ascii="Arial" w:hAnsi="Arial" w:cs="Arial"/>
          <w:sz w:val="24"/>
          <w:szCs w:val="24"/>
        </w:rPr>
        <w:t>la fase delle</w:t>
      </w:r>
      <w:r w:rsidRPr="0056261A">
        <w:rPr>
          <w:rFonts w:ascii="Arial" w:hAnsi="Arial" w:cs="Arial"/>
          <w:sz w:val="24"/>
          <w:szCs w:val="24"/>
        </w:rPr>
        <w:t xml:space="preserve"> indagin</w:t>
      </w:r>
      <w:r w:rsidR="00EF4D1F" w:rsidRPr="0056261A">
        <w:rPr>
          <w:rFonts w:ascii="Arial" w:hAnsi="Arial" w:cs="Arial"/>
          <w:sz w:val="24"/>
          <w:szCs w:val="24"/>
        </w:rPr>
        <w:t>i</w:t>
      </w:r>
      <w:r w:rsidRPr="0056261A">
        <w:rPr>
          <w:rFonts w:ascii="Arial" w:hAnsi="Arial" w:cs="Arial"/>
          <w:sz w:val="24"/>
          <w:szCs w:val="24"/>
        </w:rPr>
        <w:t xml:space="preserve"> e poi, </w:t>
      </w:r>
      <w:r w:rsidR="00EF4D1F" w:rsidRPr="0056261A">
        <w:rPr>
          <w:rFonts w:ascii="Arial" w:hAnsi="Arial" w:cs="Arial"/>
          <w:sz w:val="24"/>
          <w:szCs w:val="24"/>
        </w:rPr>
        <w:t>in presenza de</w:t>
      </w:r>
      <w:r w:rsidRPr="0056261A">
        <w:rPr>
          <w:rFonts w:ascii="Arial" w:hAnsi="Arial" w:cs="Arial"/>
          <w:sz w:val="24"/>
          <w:szCs w:val="24"/>
        </w:rPr>
        <w:t>gli elementi in grado di sostenere l’accusa, dà avvio al processo vero e proprio davanti a</w:t>
      </w:r>
      <w:r w:rsidR="005758C8" w:rsidRPr="0056261A">
        <w:rPr>
          <w:rFonts w:ascii="Arial" w:hAnsi="Arial" w:cs="Arial"/>
          <w:sz w:val="24"/>
          <w:szCs w:val="24"/>
        </w:rPr>
        <w:t>d un giudice terzo e imparziale</w:t>
      </w:r>
      <w:r w:rsidRPr="0056261A">
        <w:rPr>
          <w:rFonts w:ascii="Arial" w:hAnsi="Arial" w:cs="Arial"/>
          <w:sz w:val="24"/>
          <w:szCs w:val="24"/>
        </w:rPr>
        <w:t xml:space="preserve"> che</w:t>
      </w:r>
      <w:r w:rsidR="005758C8" w:rsidRPr="0056261A">
        <w:rPr>
          <w:rFonts w:ascii="Arial" w:hAnsi="Arial" w:cs="Arial"/>
          <w:sz w:val="24"/>
          <w:szCs w:val="24"/>
        </w:rPr>
        <w:t>,</w:t>
      </w:r>
      <w:r w:rsidRPr="0056261A">
        <w:rPr>
          <w:rFonts w:ascii="Arial" w:hAnsi="Arial" w:cs="Arial"/>
          <w:sz w:val="24"/>
          <w:szCs w:val="24"/>
        </w:rPr>
        <w:t xml:space="preserve"> nel contraddittorio delle parti e nel rispetto delle regole del processo penale</w:t>
      </w:r>
      <w:r w:rsidR="007B744B" w:rsidRPr="0056261A">
        <w:rPr>
          <w:rFonts w:ascii="Arial" w:hAnsi="Arial" w:cs="Arial"/>
          <w:sz w:val="24"/>
          <w:szCs w:val="24"/>
        </w:rPr>
        <w:t>, anche di matrice c</w:t>
      </w:r>
      <w:r w:rsidR="005758C8" w:rsidRPr="0056261A">
        <w:rPr>
          <w:rFonts w:ascii="Arial" w:hAnsi="Arial" w:cs="Arial"/>
          <w:sz w:val="24"/>
          <w:szCs w:val="24"/>
        </w:rPr>
        <w:t>ostituzionale, applica la pena all’esito dell’avvenut</w:t>
      </w:r>
      <w:r w:rsidR="0031478A" w:rsidRPr="0056261A">
        <w:rPr>
          <w:rFonts w:ascii="Arial" w:hAnsi="Arial" w:cs="Arial"/>
          <w:sz w:val="24"/>
          <w:szCs w:val="24"/>
        </w:rPr>
        <w:t>o accertamento</w:t>
      </w:r>
      <w:r w:rsidR="005758C8" w:rsidRPr="0056261A">
        <w:rPr>
          <w:rFonts w:ascii="Arial" w:hAnsi="Arial" w:cs="Arial"/>
          <w:sz w:val="24"/>
          <w:szCs w:val="24"/>
        </w:rPr>
        <w:t>,</w:t>
      </w:r>
      <w:r w:rsidR="007B744B" w:rsidRPr="0056261A">
        <w:rPr>
          <w:rFonts w:ascii="Arial" w:hAnsi="Arial" w:cs="Arial"/>
          <w:sz w:val="24"/>
          <w:szCs w:val="24"/>
        </w:rPr>
        <w:t xml:space="preserve"> </w:t>
      </w:r>
      <w:r w:rsidR="005758C8" w:rsidRPr="0056261A">
        <w:rPr>
          <w:rFonts w:ascii="Arial" w:hAnsi="Arial" w:cs="Arial"/>
          <w:sz w:val="24"/>
          <w:szCs w:val="24"/>
        </w:rPr>
        <w:t>in sede giudiziale, del</w:t>
      </w:r>
      <w:r w:rsidR="007B744B" w:rsidRPr="0056261A">
        <w:rPr>
          <w:rFonts w:ascii="Arial" w:hAnsi="Arial" w:cs="Arial"/>
          <w:sz w:val="24"/>
          <w:szCs w:val="24"/>
        </w:rPr>
        <w:t>la colpevolezza dell’imputato</w:t>
      </w:r>
      <w:r w:rsidR="00414650">
        <w:rPr>
          <w:rFonts w:ascii="Arial" w:hAnsi="Arial" w:cs="Arial"/>
          <w:sz w:val="24"/>
          <w:szCs w:val="24"/>
        </w:rPr>
        <w:t>(</w:t>
      </w:r>
      <w:r w:rsidR="00EF4D1F" w:rsidRPr="0056261A">
        <w:rPr>
          <w:rStyle w:val="Rimandonotaapidipagina"/>
          <w:rFonts w:ascii="Arial" w:hAnsi="Arial" w:cs="Arial"/>
          <w:sz w:val="24"/>
          <w:szCs w:val="24"/>
        </w:rPr>
        <w:footnoteReference w:id="17"/>
      </w:r>
      <w:r w:rsidR="00414650">
        <w:rPr>
          <w:rFonts w:ascii="Arial" w:hAnsi="Arial" w:cs="Arial"/>
          <w:sz w:val="24"/>
          <w:szCs w:val="24"/>
        </w:rPr>
        <w:t>)</w:t>
      </w:r>
      <w:r w:rsidR="007B744B" w:rsidRPr="0056261A">
        <w:rPr>
          <w:rFonts w:ascii="Arial" w:hAnsi="Arial" w:cs="Arial"/>
          <w:sz w:val="24"/>
          <w:szCs w:val="24"/>
        </w:rPr>
        <w:t>.</w:t>
      </w:r>
    </w:p>
    <w:p w:rsidR="00306C29" w:rsidRPr="0056261A" w:rsidRDefault="007B744B" w:rsidP="00414650">
      <w:pPr>
        <w:spacing w:after="0"/>
        <w:jc w:val="both"/>
        <w:rPr>
          <w:rFonts w:ascii="Arial" w:hAnsi="Arial" w:cs="Arial"/>
          <w:sz w:val="24"/>
          <w:szCs w:val="24"/>
        </w:rPr>
      </w:pPr>
      <w:r w:rsidRPr="0056261A">
        <w:rPr>
          <w:rFonts w:ascii="Arial" w:hAnsi="Arial" w:cs="Arial"/>
          <w:sz w:val="24"/>
          <w:szCs w:val="24"/>
        </w:rPr>
        <w:t xml:space="preserve">Anche </w:t>
      </w:r>
      <w:r w:rsidR="0031478A" w:rsidRPr="0056261A">
        <w:rPr>
          <w:rFonts w:ascii="Arial" w:hAnsi="Arial" w:cs="Arial"/>
          <w:sz w:val="24"/>
          <w:szCs w:val="24"/>
        </w:rPr>
        <w:t xml:space="preserve">nel caso in cui </w:t>
      </w:r>
      <w:r w:rsidRPr="0056261A">
        <w:rPr>
          <w:rFonts w:ascii="Arial" w:hAnsi="Arial" w:cs="Arial"/>
          <w:sz w:val="24"/>
          <w:szCs w:val="24"/>
        </w:rPr>
        <w:t xml:space="preserve">l’irrogazione della sanzione amministrativa da parte dell’Amministrazione </w:t>
      </w:r>
      <w:r w:rsidR="0020630C" w:rsidRPr="0056261A">
        <w:rPr>
          <w:rFonts w:ascii="Arial" w:hAnsi="Arial" w:cs="Arial"/>
          <w:sz w:val="24"/>
          <w:szCs w:val="24"/>
        </w:rPr>
        <w:t>venisse</w:t>
      </w:r>
      <w:r w:rsidR="0031478A" w:rsidRPr="0056261A">
        <w:rPr>
          <w:rFonts w:ascii="Arial" w:hAnsi="Arial" w:cs="Arial"/>
          <w:sz w:val="24"/>
          <w:szCs w:val="24"/>
        </w:rPr>
        <w:t xml:space="preserve"> seguita</w:t>
      </w:r>
      <w:r w:rsidR="0020630C" w:rsidRPr="0056261A">
        <w:rPr>
          <w:rFonts w:ascii="Arial" w:hAnsi="Arial" w:cs="Arial"/>
          <w:sz w:val="24"/>
          <w:szCs w:val="24"/>
        </w:rPr>
        <w:t>,</w:t>
      </w:r>
      <w:r w:rsidRPr="0056261A">
        <w:rPr>
          <w:rFonts w:ascii="Arial" w:hAnsi="Arial" w:cs="Arial"/>
          <w:sz w:val="24"/>
          <w:szCs w:val="24"/>
        </w:rPr>
        <w:t xml:space="preserve"> eventual</w:t>
      </w:r>
      <w:r w:rsidR="0031478A" w:rsidRPr="0056261A">
        <w:rPr>
          <w:rFonts w:ascii="Arial" w:hAnsi="Arial" w:cs="Arial"/>
          <w:sz w:val="24"/>
          <w:szCs w:val="24"/>
        </w:rPr>
        <w:t>ment</w:t>
      </w:r>
      <w:r w:rsidRPr="0056261A">
        <w:rPr>
          <w:rFonts w:ascii="Arial" w:hAnsi="Arial" w:cs="Arial"/>
          <w:sz w:val="24"/>
          <w:szCs w:val="24"/>
        </w:rPr>
        <w:t>e</w:t>
      </w:r>
      <w:r w:rsidR="0020630C" w:rsidRPr="0056261A">
        <w:rPr>
          <w:rFonts w:ascii="Arial" w:hAnsi="Arial" w:cs="Arial"/>
          <w:sz w:val="24"/>
          <w:szCs w:val="24"/>
        </w:rPr>
        <w:t>,</w:t>
      </w:r>
      <w:r w:rsidRPr="0056261A">
        <w:rPr>
          <w:rFonts w:ascii="Arial" w:hAnsi="Arial" w:cs="Arial"/>
          <w:sz w:val="24"/>
          <w:szCs w:val="24"/>
        </w:rPr>
        <w:t xml:space="preserve"> d</w:t>
      </w:r>
      <w:r w:rsidR="00C67431" w:rsidRPr="0056261A">
        <w:rPr>
          <w:rFonts w:ascii="Arial" w:hAnsi="Arial" w:cs="Arial"/>
          <w:sz w:val="24"/>
          <w:szCs w:val="24"/>
        </w:rPr>
        <w:t>a</w:t>
      </w:r>
      <w:r w:rsidRPr="0056261A">
        <w:rPr>
          <w:rFonts w:ascii="Arial" w:hAnsi="Arial" w:cs="Arial"/>
          <w:sz w:val="24"/>
          <w:szCs w:val="24"/>
        </w:rPr>
        <w:t xml:space="preserve">l vaglio </w:t>
      </w:r>
      <w:r w:rsidR="0031478A" w:rsidRPr="0056261A">
        <w:rPr>
          <w:rFonts w:ascii="Arial" w:hAnsi="Arial" w:cs="Arial"/>
          <w:sz w:val="24"/>
          <w:szCs w:val="24"/>
        </w:rPr>
        <w:t xml:space="preserve">in sede </w:t>
      </w:r>
      <w:r w:rsidRPr="0056261A">
        <w:rPr>
          <w:rFonts w:ascii="Arial" w:hAnsi="Arial" w:cs="Arial"/>
          <w:sz w:val="24"/>
          <w:szCs w:val="24"/>
        </w:rPr>
        <w:t xml:space="preserve">giurisdizionale, </w:t>
      </w:r>
      <w:r w:rsidR="0020630C" w:rsidRPr="0056261A">
        <w:rPr>
          <w:rFonts w:ascii="Arial" w:hAnsi="Arial" w:cs="Arial"/>
          <w:sz w:val="24"/>
          <w:szCs w:val="24"/>
        </w:rPr>
        <w:t>ne risultano differenze tali che non si può paragonare, se non a grandi linee, tale ultimo processo rispetto a quello svolto in sede penale</w:t>
      </w:r>
      <w:r w:rsidR="00414650">
        <w:rPr>
          <w:rFonts w:ascii="Arial" w:hAnsi="Arial" w:cs="Arial"/>
          <w:sz w:val="24"/>
          <w:szCs w:val="24"/>
        </w:rPr>
        <w:t>(</w:t>
      </w:r>
      <w:r w:rsidR="005758C8" w:rsidRPr="0056261A">
        <w:rPr>
          <w:rStyle w:val="Rimandonotaapidipagina"/>
          <w:rFonts w:ascii="Arial" w:hAnsi="Arial" w:cs="Arial"/>
          <w:sz w:val="24"/>
          <w:szCs w:val="24"/>
        </w:rPr>
        <w:footnoteReference w:id="18"/>
      </w:r>
      <w:r w:rsidR="00414650">
        <w:rPr>
          <w:rFonts w:ascii="Arial" w:hAnsi="Arial" w:cs="Arial"/>
          <w:sz w:val="24"/>
          <w:szCs w:val="24"/>
        </w:rPr>
        <w:t>)</w:t>
      </w:r>
      <w:r w:rsidR="0020630C" w:rsidRPr="0056261A">
        <w:rPr>
          <w:rFonts w:ascii="Arial" w:hAnsi="Arial" w:cs="Arial"/>
          <w:sz w:val="24"/>
          <w:szCs w:val="24"/>
        </w:rPr>
        <w:t xml:space="preserve">. Innanzitutto, </w:t>
      </w:r>
      <w:r w:rsidR="0079175B" w:rsidRPr="0056261A">
        <w:rPr>
          <w:rFonts w:ascii="Arial" w:hAnsi="Arial" w:cs="Arial"/>
          <w:sz w:val="24"/>
          <w:szCs w:val="24"/>
        </w:rPr>
        <w:t xml:space="preserve">in sede amministrativa, </w:t>
      </w:r>
      <w:r w:rsidR="0020630C" w:rsidRPr="0056261A">
        <w:rPr>
          <w:rFonts w:ascii="Arial" w:hAnsi="Arial" w:cs="Arial"/>
          <w:sz w:val="24"/>
          <w:szCs w:val="24"/>
        </w:rPr>
        <w:t xml:space="preserve">l’iniziativa è affidata alla parte privata destinataria della sanzione e non ad un organo pubblico, </w:t>
      </w:r>
      <w:r w:rsidR="00516759" w:rsidRPr="0056261A">
        <w:rPr>
          <w:rFonts w:ascii="Arial" w:hAnsi="Arial" w:cs="Arial"/>
          <w:sz w:val="24"/>
          <w:szCs w:val="24"/>
        </w:rPr>
        <w:t>lasciando</w:t>
      </w:r>
      <w:r w:rsidR="0020630C" w:rsidRPr="0056261A">
        <w:rPr>
          <w:rFonts w:ascii="Arial" w:hAnsi="Arial" w:cs="Arial"/>
          <w:sz w:val="24"/>
          <w:szCs w:val="24"/>
        </w:rPr>
        <w:t xml:space="preserve"> in tal modo alla valutazione soggettiva della parte </w:t>
      </w:r>
      <w:r w:rsidR="00516759" w:rsidRPr="0056261A">
        <w:rPr>
          <w:rFonts w:ascii="Arial" w:hAnsi="Arial" w:cs="Arial"/>
          <w:sz w:val="24"/>
          <w:szCs w:val="24"/>
        </w:rPr>
        <w:t>interessa</w:t>
      </w:r>
      <w:r w:rsidR="0020630C" w:rsidRPr="0056261A">
        <w:rPr>
          <w:rFonts w:ascii="Arial" w:hAnsi="Arial" w:cs="Arial"/>
          <w:sz w:val="24"/>
          <w:szCs w:val="24"/>
        </w:rPr>
        <w:t xml:space="preserve">ta la scelta </w:t>
      </w:r>
      <w:r w:rsidR="00731D6E" w:rsidRPr="0056261A">
        <w:rPr>
          <w:rFonts w:ascii="Arial" w:hAnsi="Arial" w:cs="Arial"/>
          <w:sz w:val="24"/>
          <w:szCs w:val="24"/>
        </w:rPr>
        <w:t>di ricorrere</w:t>
      </w:r>
      <w:r w:rsidR="0079175B" w:rsidRPr="0056261A">
        <w:rPr>
          <w:rFonts w:ascii="Arial" w:hAnsi="Arial" w:cs="Arial"/>
          <w:sz w:val="24"/>
          <w:szCs w:val="24"/>
        </w:rPr>
        <w:t xml:space="preserve"> </w:t>
      </w:r>
      <w:r w:rsidR="0020630C" w:rsidRPr="0056261A">
        <w:rPr>
          <w:rFonts w:ascii="Arial" w:hAnsi="Arial" w:cs="Arial"/>
          <w:sz w:val="24"/>
          <w:szCs w:val="24"/>
        </w:rPr>
        <w:t>alla sede giurisdizionale</w:t>
      </w:r>
      <w:r w:rsidR="00731D6E" w:rsidRPr="0056261A">
        <w:rPr>
          <w:rFonts w:ascii="Arial" w:hAnsi="Arial" w:cs="Arial"/>
          <w:sz w:val="24"/>
          <w:szCs w:val="24"/>
        </w:rPr>
        <w:t>,</w:t>
      </w:r>
      <w:r w:rsidR="0020630C" w:rsidRPr="0056261A">
        <w:rPr>
          <w:rFonts w:ascii="Arial" w:hAnsi="Arial" w:cs="Arial"/>
          <w:sz w:val="24"/>
          <w:szCs w:val="24"/>
        </w:rPr>
        <w:t xml:space="preserve"> </w:t>
      </w:r>
      <w:r w:rsidR="00731D6E" w:rsidRPr="0056261A">
        <w:rPr>
          <w:rFonts w:ascii="Arial" w:hAnsi="Arial" w:cs="Arial"/>
          <w:sz w:val="24"/>
          <w:szCs w:val="24"/>
        </w:rPr>
        <w:t xml:space="preserve">allo scopo di beneficiare </w:t>
      </w:r>
      <w:r w:rsidR="0020630C" w:rsidRPr="0056261A">
        <w:rPr>
          <w:rFonts w:ascii="Arial" w:hAnsi="Arial" w:cs="Arial"/>
          <w:sz w:val="24"/>
          <w:szCs w:val="24"/>
        </w:rPr>
        <w:t>delle connesse garanzie. Il giudice competente (</w:t>
      </w:r>
      <w:proofErr w:type="spellStart"/>
      <w:r w:rsidR="0020630C" w:rsidRPr="0056261A">
        <w:rPr>
          <w:rFonts w:ascii="Arial" w:hAnsi="Arial" w:cs="Arial"/>
          <w:i/>
          <w:sz w:val="24"/>
          <w:szCs w:val="24"/>
        </w:rPr>
        <w:t>rectius</w:t>
      </w:r>
      <w:proofErr w:type="spellEnd"/>
      <w:r w:rsidR="001165EB" w:rsidRPr="0056261A">
        <w:rPr>
          <w:rFonts w:ascii="Arial" w:hAnsi="Arial" w:cs="Arial"/>
          <w:sz w:val="24"/>
          <w:szCs w:val="24"/>
        </w:rPr>
        <w:t>,</w:t>
      </w:r>
      <w:r w:rsidR="0020630C" w:rsidRPr="0056261A">
        <w:rPr>
          <w:rFonts w:ascii="Arial" w:hAnsi="Arial" w:cs="Arial"/>
          <w:sz w:val="24"/>
          <w:szCs w:val="24"/>
        </w:rPr>
        <w:t xml:space="preserve"> munito di giurisdizione) è quello (ordin</w:t>
      </w:r>
      <w:r w:rsidR="0079175B" w:rsidRPr="0056261A">
        <w:rPr>
          <w:rFonts w:ascii="Arial" w:hAnsi="Arial" w:cs="Arial"/>
          <w:sz w:val="24"/>
          <w:szCs w:val="24"/>
        </w:rPr>
        <w:t>ario) civile o amministrativo (oppure</w:t>
      </w:r>
      <w:r w:rsidR="0020630C" w:rsidRPr="0056261A">
        <w:rPr>
          <w:rFonts w:ascii="Arial" w:hAnsi="Arial" w:cs="Arial"/>
          <w:sz w:val="24"/>
          <w:szCs w:val="24"/>
        </w:rPr>
        <w:t xml:space="preserve"> tributario) e non quello (ordinario) penale, con la conseguente applicabilità </w:t>
      </w:r>
      <w:r w:rsidR="00DF7A19" w:rsidRPr="0056261A">
        <w:rPr>
          <w:rFonts w:ascii="Arial" w:hAnsi="Arial" w:cs="Arial"/>
          <w:sz w:val="24"/>
          <w:szCs w:val="24"/>
        </w:rPr>
        <w:t>di</w:t>
      </w:r>
      <w:r w:rsidR="0020630C" w:rsidRPr="0056261A">
        <w:rPr>
          <w:rFonts w:ascii="Arial" w:hAnsi="Arial" w:cs="Arial"/>
          <w:sz w:val="24"/>
          <w:szCs w:val="24"/>
        </w:rPr>
        <w:t xml:space="preserve"> regole processuali diverse </w:t>
      </w:r>
      <w:r w:rsidR="00DF7A19" w:rsidRPr="0056261A">
        <w:rPr>
          <w:rFonts w:ascii="Arial" w:hAnsi="Arial" w:cs="Arial"/>
          <w:sz w:val="24"/>
          <w:szCs w:val="24"/>
        </w:rPr>
        <w:t xml:space="preserve">sia rispetto </w:t>
      </w:r>
      <w:r w:rsidR="0020630C" w:rsidRPr="0056261A">
        <w:rPr>
          <w:rFonts w:ascii="Arial" w:hAnsi="Arial" w:cs="Arial"/>
          <w:sz w:val="24"/>
          <w:szCs w:val="24"/>
        </w:rPr>
        <w:t>a quelle operanti ne</w:t>
      </w:r>
      <w:r w:rsidR="00DF7A19" w:rsidRPr="0056261A">
        <w:rPr>
          <w:rFonts w:ascii="Arial" w:hAnsi="Arial" w:cs="Arial"/>
          <w:sz w:val="24"/>
          <w:szCs w:val="24"/>
        </w:rPr>
        <w:t>l processo penale, sia con riferimento alla giurisdizione c</w:t>
      </w:r>
      <w:r w:rsidR="0079175B" w:rsidRPr="0056261A">
        <w:rPr>
          <w:rFonts w:ascii="Arial" w:hAnsi="Arial" w:cs="Arial"/>
          <w:sz w:val="24"/>
          <w:szCs w:val="24"/>
        </w:rPr>
        <w:t>ui spetta il compito di conoscere</w:t>
      </w:r>
      <w:r w:rsidR="00DF7A19" w:rsidRPr="0056261A">
        <w:rPr>
          <w:rFonts w:ascii="Arial" w:hAnsi="Arial" w:cs="Arial"/>
          <w:sz w:val="24"/>
          <w:szCs w:val="24"/>
        </w:rPr>
        <w:t xml:space="preserve"> </w:t>
      </w:r>
      <w:r w:rsidR="0079175B" w:rsidRPr="0056261A">
        <w:rPr>
          <w:rFonts w:ascii="Arial" w:hAnsi="Arial" w:cs="Arial"/>
          <w:sz w:val="24"/>
          <w:szCs w:val="24"/>
        </w:rPr>
        <w:t>del</w:t>
      </w:r>
      <w:r w:rsidR="00DF7A19" w:rsidRPr="0056261A">
        <w:rPr>
          <w:rFonts w:ascii="Arial" w:hAnsi="Arial" w:cs="Arial"/>
          <w:sz w:val="24"/>
          <w:szCs w:val="24"/>
        </w:rPr>
        <w:t>le specifiche sanzioni amministrative contestate. Sebbene tutte le giurisdizioni siano assoggettate agli stessi principi costituzionali</w:t>
      </w:r>
      <w:r w:rsidR="00414650">
        <w:rPr>
          <w:rFonts w:ascii="Arial" w:hAnsi="Arial" w:cs="Arial"/>
          <w:sz w:val="24"/>
          <w:szCs w:val="24"/>
        </w:rPr>
        <w:t>(</w:t>
      </w:r>
      <w:r w:rsidR="00C209B0" w:rsidRPr="0056261A">
        <w:rPr>
          <w:rStyle w:val="Rimandonotaapidipagina"/>
          <w:rFonts w:ascii="Arial" w:hAnsi="Arial" w:cs="Arial"/>
          <w:sz w:val="24"/>
          <w:szCs w:val="24"/>
        </w:rPr>
        <w:footnoteReference w:id="19"/>
      </w:r>
      <w:r w:rsidR="00414650">
        <w:rPr>
          <w:rFonts w:ascii="Arial" w:hAnsi="Arial" w:cs="Arial"/>
          <w:sz w:val="24"/>
          <w:szCs w:val="24"/>
        </w:rPr>
        <w:t>)</w:t>
      </w:r>
      <w:r w:rsidR="00DF7A19" w:rsidRPr="0056261A">
        <w:rPr>
          <w:rFonts w:ascii="Arial" w:hAnsi="Arial" w:cs="Arial"/>
          <w:sz w:val="24"/>
          <w:szCs w:val="24"/>
        </w:rPr>
        <w:t xml:space="preserve"> – terzietà del giudice, parità delle parti, principio del contraddittorio, ragionevole durata del processo – le regole processuali per i diversi plessi non sono aff</w:t>
      </w:r>
      <w:r w:rsidR="00516759" w:rsidRPr="0056261A">
        <w:rPr>
          <w:rFonts w:ascii="Arial" w:hAnsi="Arial" w:cs="Arial"/>
          <w:sz w:val="24"/>
          <w:szCs w:val="24"/>
        </w:rPr>
        <w:t xml:space="preserve">atto identiche e soprattutto, </w:t>
      </w:r>
      <w:r w:rsidR="00DF7A19" w:rsidRPr="0056261A">
        <w:rPr>
          <w:rFonts w:ascii="Arial" w:hAnsi="Arial" w:cs="Arial"/>
          <w:sz w:val="24"/>
          <w:szCs w:val="24"/>
        </w:rPr>
        <w:t>n</w:t>
      </w:r>
      <w:r w:rsidR="00516759" w:rsidRPr="0056261A">
        <w:rPr>
          <w:rFonts w:ascii="Arial" w:hAnsi="Arial" w:cs="Arial"/>
          <w:sz w:val="24"/>
          <w:szCs w:val="24"/>
        </w:rPr>
        <w:t>ell’</w:t>
      </w:r>
      <w:r w:rsidR="00DF7A19" w:rsidRPr="0056261A">
        <w:rPr>
          <w:rFonts w:ascii="Arial" w:hAnsi="Arial" w:cs="Arial"/>
          <w:sz w:val="24"/>
          <w:szCs w:val="24"/>
        </w:rPr>
        <w:t xml:space="preserve">ambito civile come in quello amministrativo, il processo è di natura soggettiva e </w:t>
      </w:r>
      <w:r w:rsidR="00C209B0" w:rsidRPr="0056261A">
        <w:rPr>
          <w:rFonts w:ascii="Arial" w:hAnsi="Arial" w:cs="Arial"/>
          <w:sz w:val="24"/>
          <w:szCs w:val="24"/>
        </w:rPr>
        <w:t xml:space="preserve">non </w:t>
      </w:r>
      <w:r w:rsidR="00516759" w:rsidRPr="0056261A">
        <w:rPr>
          <w:rFonts w:ascii="Arial" w:hAnsi="Arial" w:cs="Arial"/>
          <w:sz w:val="24"/>
          <w:szCs w:val="24"/>
        </w:rPr>
        <w:t xml:space="preserve">è finalizzato alla </w:t>
      </w:r>
      <w:r w:rsidR="00DF7A19" w:rsidRPr="0056261A">
        <w:rPr>
          <w:rFonts w:ascii="Arial" w:hAnsi="Arial" w:cs="Arial"/>
          <w:sz w:val="24"/>
          <w:szCs w:val="24"/>
        </w:rPr>
        <w:t xml:space="preserve">tutela di interessi oggettivi o </w:t>
      </w:r>
      <w:r w:rsidR="00C209B0" w:rsidRPr="0056261A">
        <w:rPr>
          <w:rFonts w:ascii="Arial" w:hAnsi="Arial" w:cs="Arial"/>
          <w:sz w:val="24"/>
          <w:szCs w:val="24"/>
        </w:rPr>
        <w:t xml:space="preserve">a garantire </w:t>
      </w:r>
      <w:r w:rsidR="00DF7A19" w:rsidRPr="0056261A">
        <w:rPr>
          <w:rFonts w:ascii="Arial" w:hAnsi="Arial" w:cs="Arial"/>
          <w:sz w:val="24"/>
          <w:szCs w:val="24"/>
        </w:rPr>
        <w:t>la legalità</w:t>
      </w:r>
      <w:r w:rsidR="00516759" w:rsidRPr="0056261A">
        <w:rPr>
          <w:rFonts w:ascii="Arial" w:hAnsi="Arial" w:cs="Arial"/>
          <w:sz w:val="24"/>
          <w:szCs w:val="24"/>
        </w:rPr>
        <w:t xml:space="preserve"> dell’azione amministrativa</w:t>
      </w:r>
      <w:r w:rsidR="00DF7A19" w:rsidRPr="0056261A">
        <w:rPr>
          <w:rFonts w:ascii="Arial" w:hAnsi="Arial" w:cs="Arial"/>
          <w:sz w:val="24"/>
          <w:szCs w:val="24"/>
        </w:rPr>
        <w:t xml:space="preserve"> in via generale.</w:t>
      </w:r>
      <w:r w:rsidR="00516759" w:rsidRPr="0056261A">
        <w:rPr>
          <w:rFonts w:ascii="Arial" w:hAnsi="Arial" w:cs="Arial"/>
          <w:sz w:val="24"/>
          <w:szCs w:val="24"/>
        </w:rPr>
        <w:t xml:space="preserve"> Da quanto evidenziato discende che la decisione del giudice sulla sanzione amministrativa è mediata dalla scelta della parte attrice che delimita il </w:t>
      </w:r>
      <w:proofErr w:type="spellStart"/>
      <w:r w:rsidR="00516759" w:rsidRPr="0056261A">
        <w:rPr>
          <w:rFonts w:ascii="Arial" w:hAnsi="Arial" w:cs="Arial"/>
          <w:i/>
          <w:sz w:val="24"/>
          <w:szCs w:val="24"/>
        </w:rPr>
        <w:t>thema</w:t>
      </w:r>
      <w:proofErr w:type="spellEnd"/>
      <w:r w:rsidR="00516759" w:rsidRPr="0056261A">
        <w:rPr>
          <w:rFonts w:ascii="Arial" w:hAnsi="Arial" w:cs="Arial"/>
          <w:i/>
          <w:sz w:val="24"/>
          <w:szCs w:val="24"/>
        </w:rPr>
        <w:t xml:space="preserve"> </w:t>
      </w:r>
      <w:proofErr w:type="spellStart"/>
      <w:r w:rsidR="00516759" w:rsidRPr="0056261A">
        <w:rPr>
          <w:rFonts w:ascii="Arial" w:hAnsi="Arial" w:cs="Arial"/>
          <w:i/>
          <w:sz w:val="24"/>
          <w:szCs w:val="24"/>
        </w:rPr>
        <w:t>decidendum</w:t>
      </w:r>
      <w:proofErr w:type="spellEnd"/>
      <w:r w:rsidR="00516759" w:rsidRPr="0056261A">
        <w:rPr>
          <w:rFonts w:ascii="Arial" w:hAnsi="Arial" w:cs="Arial"/>
          <w:sz w:val="24"/>
          <w:szCs w:val="24"/>
        </w:rPr>
        <w:t xml:space="preserve"> e dall’Amministrazione resistente che, entro alcuni ristretti limiti, può </w:t>
      </w:r>
      <w:r w:rsidR="005346C2" w:rsidRPr="0056261A">
        <w:rPr>
          <w:rFonts w:ascii="Arial" w:hAnsi="Arial" w:cs="Arial"/>
          <w:sz w:val="24"/>
          <w:szCs w:val="24"/>
        </w:rPr>
        <w:t>emenda</w:t>
      </w:r>
      <w:r w:rsidR="00516759" w:rsidRPr="0056261A">
        <w:rPr>
          <w:rFonts w:ascii="Arial" w:hAnsi="Arial" w:cs="Arial"/>
          <w:sz w:val="24"/>
          <w:szCs w:val="24"/>
        </w:rPr>
        <w:t>rlo</w:t>
      </w:r>
      <w:r w:rsidR="005346C2" w:rsidRPr="0056261A">
        <w:rPr>
          <w:rFonts w:ascii="Arial" w:hAnsi="Arial" w:cs="Arial"/>
          <w:sz w:val="24"/>
          <w:szCs w:val="24"/>
        </w:rPr>
        <w:t xml:space="preserve"> e ampliarlo</w:t>
      </w:r>
      <w:r w:rsidR="00516759" w:rsidRPr="0056261A">
        <w:rPr>
          <w:rFonts w:ascii="Arial" w:hAnsi="Arial" w:cs="Arial"/>
          <w:sz w:val="24"/>
          <w:szCs w:val="24"/>
        </w:rPr>
        <w:t>, senza che l</w:t>
      </w:r>
      <w:r w:rsidR="005346C2" w:rsidRPr="0056261A">
        <w:rPr>
          <w:rFonts w:ascii="Arial" w:hAnsi="Arial" w:cs="Arial"/>
          <w:sz w:val="24"/>
          <w:szCs w:val="24"/>
        </w:rPr>
        <w:t>’organo</w:t>
      </w:r>
      <w:r w:rsidR="00516759" w:rsidRPr="0056261A">
        <w:rPr>
          <w:rFonts w:ascii="Arial" w:hAnsi="Arial" w:cs="Arial"/>
          <w:sz w:val="24"/>
          <w:szCs w:val="24"/>
        </w:rPr>
        <w:t xml:space="preserve"> giudicante possa modificarlo</w:t>
      </w:r>
      <w:r w:rsidR="005346C2" w:rsidRPr="0056261A">
        <w:rPr>
          <w:rFonts w:ascii="Arial" w:hAnsi="Arial" w:cs="Arial"/>
          <w:sz w:val="24"/>
          <w:szCs w:val="24"/>
        </w:rPr>
        <w:t>,</w:t>
      </w:r>
      <w:r w:rsidR="00516759" w:rsidRPr="0056261A">
        <w:rPr>
          <w:rFonts w:ascii="Arial" w:hAnsi="Arial" w:cs="Arial"/>
          <w:sz w:val="24"/>
          <w:szCs w:val="24"/>
        </w:rPr>
        <w:t xml:space="preserve"> se non nei limiti dei poteri officiosi previsti dalla </w:t>
      </w:r>
      <w:r w:rsidR="006F617E">
        <w:rPr>
          <w:rFonts w:ascii="Arial" w:hAnsi="Arial" w:cs="Arial"/>
          <w:sz w:val="24"/>
          <w:szCs w:val="24"/>
        </w:rPr>
        <w:t>Legge</w:t>
      </w:r>
      <w:r w:rsidR="00516759" w:rsidRPr="0056261A">
        <w:rPr>
          <w:rFonts w:ascii="Arial" w:hAnsi="Arial" w:cs="Arial"/>
          <w:sz w:val="24"/>
          <w:szCs w:val="24"/>
        </w:rPr>
        <w:t xml:space="preserve"> processuale. </w:t>
      </w:r>
    </w:p>
    <w:p w:rsidR="005346C2" w:rsidRPr="0056261A" w:rsidRDefault="005346C2" w:rsidP="006F617E">
      <w:pPr>
        <w:spacing w:after="0"/>
        <w:jc w:val="both"/>
        <w:rPr>
          <w:rFonts w:ascii="Arial" w:hAnsi="Arial" w:cs="Arial"/>
          <w:sz w:val="24"/>
          <w:szCs w:val="24"/>
        </w:rPr>
      </w:pPr>
      <w:r w:rsidRPr="0056261A">
        <w:rPr>
          <w:rFonts w:ascii="Arial" w:hAnsi="Arial" w:cs="Arial"/>
          <w:sz w:val="24"/>
          <w:szCs w:val="24"/>
        </w:rPr>
        <w:t xml:space="preserve">La mediazione delle parti, meno </w:t>
      </w:r>
      <w:r w:rsidR="008441FE" w:rsidRPr="0056261A">
        <w:rPr>
          <w:rFonts w:ascii="Arial" w:hAnsi="Arial" w:cs="Arial"/>
          <w:sz w:val="24"/>
          <w:szCs w:val="24"/>
        </w:rPr>
        <w:t>apprezzabile</w:t>
      </w:r>
      <w:r w:rsidR="00063D67" w:rsidRPr="0056261A">
        <w:rPr>
          <w:rFonts w:ascii="Arial" w:hAnsi="Arial" w:cs="Arial"/>
          <w:sz w:val="24"/>
          <w:szCs w:val="24"/>
        </w:rPr>
        <w:t xml:space="preserve"> nel processo penale</w:t>
      </w:r>
      <w:r w:rsidRPr="0056261A">
        <w:rPr>
          <w:rFonts w:ascii="Arial" w:hAnsi="Arial" w:cs="Arial"/>
          <w:sz w:val="24"/>
          <w:szCs w:val="24"/>
        </w:rPr>
        <w:t xml:space="preserve">, imprime una </w:t>
      </w:r>
      <w:r w:rsidR="0079175B" w:rsidRPr="0056261A">
        <w:rPr>
          <w:rFonts w:ascii="Arial" w:hAnsi="Arial" w:cs="Arial"/>
          <w:sz w:val="24"/>
          <w:szCs w:val="24"/>
        </w:rPr>
        <w:t>peculiare</w:t>
      </w:r>
      <w:r w:rsidRPr="0056261A">
        <w:rPr>
          <w:rFonts w:ascii="Arial" w:hAnsi="Arial" w:cs="Arial"/>
          <w:sz w:val="24"/>
          <w:szCs w:val="24"/>
        </w:rPr>
        <w:t xml:space="preserve"> connotazione al processo in sede civile o amministrativa e non consente di equiparare </w:t>
      </w:r>
      <w:r w:rsidR="008441FE" w:rsidRPr="0056261A">
        <w:rPr>
          <w:rFonts w:ascii="Arial" w:hAnsi="Arial" w:cs="Arial"/>
          <w:sz w:val="24"/>
          <w:szCs w:val="24"/>
        </w:rPr>
        <w:t>i</w:t>
      </w:r>
      <w:r w:rsidRPr="0056261A">
        <w:rPr>
          <w:rFonts w:ascii="Arial" w:hAnsi="Arial" w:cs="Arial"/>
          <w:sz w:val="24"/>
          <w:szCs w:val="24"/>
        </w:rPr>
        <w:t xml:space="preserve"> process</w:t>
      </w:r>
      <w:r w:rsidR="008441FE" w:rsidRPr="0056261A">
        <w:rPr>
          <w:rFonts w:ascii="Arial" w:hAnsi="Arial" w:cs="Arial"/>
          <w:sz w:val="24"/>
          <w:szCs w:val="24"/>
        </w:rPr>
        <w:t>i</w:t>
      </w:r>
      <w:r w:rsidRPr="0056261A">
        <w:rPr>
          <w:rFonts w:ascii="Arial" w:hAnsi="Arial" w:cs="Arial"/>
          <w:sz w:val="24"/>
          <w:szCs w:val="24"/>
        </w:rPr>
        <w:t xml:space="preserve"> che afferiscono alle sanzioni penali e alle sanzioni amministrative, con </w:t>
      </w:r>
      <w:r w:rsidR="008441FE" w:rsidRPr="0056261A">
        <w:rPr>
          <w:rFonts w:ascii="Arial" w:hAnsi="Arial" w:cs="Arial"/>
          <w:sz w:val="24"/>
          <w:szCs w:val="24"/>
        </w:rPr>
        <w:t xml:space="preserve">la </w:t>
      </w:r>
      <w:r w:rsidRPr="0056261A">
        <w:rPr>
          <w:rFonts w:ascii="Arial" w:hAnsi="Arial" w:cs="Arial"/>
          <w:sz w:val="24"/>
          <w:szCs w:val="24"/>
        </w:rPr>
        <w:t>conseguente differenza</w:t>
      </w:r>
      <w:r w:rsidR="00731D6E" w:rsidRPr="0056261A">
        <w:rPr>
          <w:rFonts w:ascii="Arial" w:hAnsi="Arial" w:cs="Arial"/>
          <w:sz w:val="24"/>
          <w:szCs w:val="24"/>
        </w:rPr>
        <w:t>, anche qualitativa,</w:t>
      </w:r>
      <w:r w:rsidRPr="0056261A">
        <w:rPr>
          <w:rFonts w:ascii="Arial" w:hAnsi="Arial" w:cs="Arial"/>
          <w:sz w:val="24"/>
          <w:szCs w:val="24"/>
        </w:rPr>
        <w:t xml:space="preserve"> </w:t>
      </w:r>
      <w:r w:rsidR="008441FE" w:rsidRPr="0056261A">
        <w:rPr>
          <w:rFonts w:ascii="Arial" w:hAnsi="Arial" w:cs="Arial"/>
          <w:sz w:val="24"/>
          <w:szCs w:val="24"/>
        </w:rPr>
        <w:t>de</w:t>
      </w:r>
      <w:r w:rsidRPr="0056261A">
        <w:rPr>
          <w:rFonts w:ascii="Arial" w:hAnsi="Arial" w:cs="Arial"/>
          <w:sz w:val="24"/>
          <w:szCs w:val="24"/>
        </w:rPr>
        <w:t xml:space="preserve">lle </w:t>
      </w:r>
      <w:r w:rsidR="008441FE" w:rsidRPr="0056261A">
        <w:rPr>
          <w:rFonts w:ascii="Arial" w:hAnsi="Arial" w:cs="Arial"/>
          <w:sz w:val="24"/>
          <w:szCs w:val="24"/>
        </w:rPr>
        <w:t xml:space="preserve">rispettive </w:t>
      </w:r>
      <w:r w:rsidRPr="0056261A">
        <w:rPr>
          <w:rFonts w:ascii="Arial" w:hAnsi="Arial" w:cs="Arial"/>
          <w:sz w:val="24"/>
          <w:szCs w:val="24"/>
        </w:rPr>
        <w:t>decisioni finali. In senso contrario, non può ritenersi determinante la circostanza che in materia di sanzioni amministrative la giurisdizione non sia di pura legittimità, ma consenta al giudice di sindacare pienamente il merito della vicenda</w:t>
      </w:r>
      <w:r w:rsidR="006F617E">
        <w:rPr>
          <w:rFonts w:ascii="Arial" w:hAnsi="Arial" w:cs="Arial"/>
          <w:sz w:val="24"/>
          <w:szCs w:val="24"/>
        </w:rPr>
        <w:t>(</w:t>
      </w:r>
      <w:r w:rsidR="00303639" w:rsidRPr="0056261A">
        <w:rPr>
          <w:rStyle w:val="Rimandonotaapidipagina"/>
          <w:rFonts w:ascii="Arial" w:hAnsi="Arial" w:cs="Arial"/>
          <w:sz w:val="24"/>
          <w:szCs w:val="24"/>
        </w:rPr>
        <w:footnoteReference w:id="20"/>
      </w:r>
      <w:r w:rsidR="006F617E">
        <w:rPr>
          <w:rFonts w:ascii="Arial" w:hAnsi="Arial" w:cs="Arial"/>
          <w:sz w:val="24"/>
          <w:szCs w:val="24"/>
        </w:rPr>
        <w:t>)</w:t>
      </w:r>
      <w:r w:rsidRPr="0056261A">
        <w:rPr>
          <w:rFonts w:ascii="Arial" w:hAnsi="Arial" w:cs="Arial"/>
          <w:sz w:val="24"/>
          <w:szCs w:val="24"/>
        </w:rPr>
        <w:t>: in primo luogo, anche nella giurisdizione di merito il giudice è tenuto al rispetto del principio della domanda</w:t>
      </w:r>
      <w:r w:rsidR="008441FE" w:rsidRPr="0056261A">
        <w:rPr>
          <w:rFonts w:ascii="Arial" w:hAnsi="Arial" w:cs="Arial"/>
          <w:sz w:val="24"/>
          <w:szCs w:val="24"/>
        </w:rPr>
        <w:t xml:space="preserve">, non potendo d’ufficio ampliare il </w:t>
      </w:r>
      <w:proofErr w:type="spellStart"/>
      <w:r w:rsidR="008441FE" w:rsidRPr="0056261A">
        <w:rPr>
          <w:rFonts w:ascii="Arial" w:hAnsi="Arial" w:cs="Arial"/>
          <w:i/>
          <w:sz w:val="24"/>
          <w:szCs w:val="24"/>
        </w:rPr>
        <w:t>petitum</w:t>
      </w:r>
      <w:proofErr w:type="spellEnd"/>
      <w:r w:rsidR="008441FE" w:rsidRPr="0056261A">
        <w:rPr>
          <w:rFonts w:ascii="Arial" w:hAnsi="Arial" w:cs="Arial"/>
          <w:sz w:val="24"/>
          <w:szCs w:val="24"/>
        </w:rPr>
        <w:t xml:space="preserve"> o sopperire alle carenze probatorie delle parti</w:t>
      </w:r>
      <w:r w:rsidR="006F617E">
        <w:rPr>
          <w:rFonts w:ascii="Arial" w:hAnsi="Arial" w:cs="Arial"/>
          <w:sz w:val="24"/>
          <w:szCs w:val="24"/>
        </w:rPr>
        <w:t>(</w:t>
      </w:r>
      <w:r w:rsidR="008B0123" w:rsidRPr="0056261A">
        <w:rPr>
          <w:rStyle w:val="Rimandonotaapidipagina"/>
          <w:rFonts w:ascii="Arial" w:hAnsi="Arial" w:cs="Arial"/>
          <w:sz w:val="24"/>
          <w:szCs w:val="24"/>
        </w:rPr>
        <w:footnoteReference w:id="21"/>
      </w:r>
      <w:r w:rsidR="006F617E">
        <w:rPr>
          <w:rFonts w:ascii="Arial" w:hAnsi="Arial" w:cs="Arial"/>
          <w:sz w:val="24"/>
          <w:szCs w:val="24"/>
        </w:rPr>
        <w:t>)</w:t>
      </w:r>
      <w:r w:rsidR="008441FE" w:rsidRPr="0056261A">
        <w:rPr>
          <w:rFonts w:ascii="Arial" w:hAnsi="Arial" w:cs="Arial"/>
          <w:sz w:val="24"/>
          <w:szCs w:val="24"/>
        </w:rPr>
        <w:t xml:space="preserve">; inoltre, il vaglio giudiziale, non essendo originario, ma necessariamente successivo e dipendente da una pregressa determinazione dell’Amministrazione, si muove su un binario già tracciato </w:t>
      </w:r>
      <w:r w:rsidR="005E7C22" w:rsidRPr="0056261A">
        <w:rPr>
          <w:rFonts w:ascii="Arial" w:hAnsi="Arial" w:cs="Arial"/>
          <w:sz w:val="24"/>
          <w:szCs w:val="24"/>
        </w:rPr>
        <w:t>e dal quale non è possibile discostarsi più di tanto.</w:t>
      </w:r>
      <w:r w:rsidR="008441FE" w:rsidRPr="0056261A">
        <w:rPr>
          <w:rFonts w:ascii="Arial" w:hAnsi="Arial" w:cs="Arial"/>
          <w:sz w:val="24"/>
          <w:szCs w:val="24"/>
        </w:rPr>
        <w:t xml:space="preserve"> </w:t>
      </w:r>
    </w:p>
    <w:p w:rsidR="00063D67" w:rsidRPr="0056261A" w:rsidRDefault="00063D67" w:rsidP="006F617E">
      <w:pPr>
        <w:spacing w:after="0"/>
        <w:jc w:val="both"/>
        <w:rPr>
          <w:rFonts w:ascii="Arial" w:hAnsi="Arial" w:cs="Arial"/>
          <w:sz w:val="24"/>
          <w:szCs w:val="24"/>
        </w:rPr>
      </w:pPr>
      <w:r w:rsidRPr="0056261A">
        <w:rPr>
          <w:rFonts w:ascii="Arial" w:hAnsi="Arial" w:cs="Arial"/>
          <w:sz w:val="24"/>
          <w:szCs w:val="24"/>
        </w:rPr>
        <w:t>Tale limite connesso allo spettro di intervento del</w:t>
      </w:r>
      <w:r w:rsidR="00BF65EC" w:rsidRPr="0056261A">
        <w:rPr>
          <w:rFonts w:ascii="Arial" w:hAnsi="Arial" w:cs="Arial"/>
          <w:sz w:val="24"/>
          <w:szCs w:val="24"/>
        </w:rPr>
        <w:t xml:space="preserve">l’autorità </w:t>
      </w:r>
      <w:r w:rsidRPr="0056261A">
        <w:rPr>
          <w:rFonts w:ascii="Arial" w:hAnsi="Arial" w:cs="Arial"/>
          <w:sz w:val="24"/>
          <w:szCs w:val="24"/>
        </w:rPr>
        <w:t>giurisdizionale è, almeno in parte, connaturato alla natura provvedimentale della sanzione ammini</w:t>
      </w:r>
      <w:r w:rsidR="0079175B" w:rsidRPr="0056261A">
        <w:rPr>
          <w:rFonts w:ascii="Arial" w:hAnsi="Arial" w:cs="Arial"/>
          <w:sz w:val="24"/>
          <w:szCs w:val="24"/>
        </w:rPr>
        <w:t xml:space="preserve">strativa che, in quanto tale, può essere </w:t>
      </w:r>
      <w:r w:rsidRPr="0056261A">
        <w:rPr>
          <w:rFonts w:ascii="Arial" w:hAnsi="Arial" w:cs="Arial"/>
          <w:sz w:val="24"/>
          <w:szCs w:val="24"/>
        </w:rPr>
        <w:t>assoggetta</w:t>
      </w:r>
      <w:r w:rsidR="00BF65EC" w:rsidRPr="0056261A">
        <w:rPr>
          <w:rFonts w:ascii="Arial" w:hAnsi="Arial" w:cs="Arial"/>
          <w:sz w:val="24"/>
          <w:szCs w:val="24"/>
        </w:rPr>
        <w:t>ta, salvo eccezioni, alla disciplina</w:t>
      </w:r>
      <w:r w:rsidR="0079175B" w:rsidRPr="0056261A">
        <w:rPr>
          <w:rFonts w:ascii="Arial" w:hAnsi="Arial" w:cs="Arial"/>
          <w:sz w:val="24"/>
          <w:szCs w:val="24"/>
        </w:rPr>
        <w:t xml:space="preserve"> – o almeno ai princ</w:t>
      </w:r>
      <w:r w:rsidR="006F617E">
        <w:rPr>
          <w:rFonts w:ascii="Arial" w:hAnsi="Arial" w:cs="Arial"/>
          <w:sz w:val="24"/>
          <w:szCs w:val="24"/>
        </w:rPr>
        <w:t>ì</w:t>
      </w:r>
      <w:r w:rsidR="0079175B" w:rsidRPr="0056261A">
        <w:rPr>
          <w:rFonts w:ascii="Arial" w:hAnsi="Arial" w:cs="Arial"/>
          <w:sz w:val="24"/>
          <w:szCs w:val="24"/>
        </w:rPr>
        <w:t>pi –</w:t>
      </w:r>
      <w:r w:rsidR="00BF65EC" w:rsidRPr="0056261A">
        <w:rPr>
          <w:rFonts w:ascii="Arial" w:hAnsi="Arial" w:cs="Arial"/>
          <w:sz w:val="24"/>
          <w:szCs w:val="24"/>
        </w:rPr>
        <w:t xml:space="preserve"> </w:t>
      </w:r>
      <w:r w:rsidR="0079175B" w:rsidRPr="0056261A">
        <w:rPr>
          <w:rFonts w:ascii="Arial" w:hAnsi="Arial" w:cs="Arial"/>
          <w:sz w:val="24"/>
          <w:szCs w:val="24"/>
        </w:rPr>
        <w:t>di cui al</w:t>
      </w:r>
      <w:r w:rsidR="006F617E">
        <w:rPr>
          <w:rFonts w:ascii="Arial" w:hAnsi="Arial" w:cs="Arial"/>
          <w:sz w:val="24"/>
          <w:szCs w:val="24"/>
        </w:rPr>
        <w:t xml:space="preserve"> Capo IV-</w:t>
      </w:r>
      <w:r w:rsidR="00BF65EC" w:rsidRPr="006F617E">
        <w:rPr>
          <w:rFonts w:ascii="Arial" w:hAnsi="Arial" w:cs="Arial"/>
          <w:i/>
          <w:sz w:val="24"/>
          <w:szCs w:val="24"/>
        </w:rPr>
        <w:t>bis</w:t>
      </w:r>
      <w:r w:rsidR="006F617E">
        <w:rPr>
          <w:rFonts w:ascii="Arial" w:hAnsi="Arial" w:cs="Arial"/>
          <w:sz w:val="24"/>
          <w:szCs w:val="24"/>
        </w:rPr>
        <w:t xml:space="preserve"> della Legge</w:t>
      </w:r>
      <w:r w:rsidR="00BF65EC" w:rsidRPr="0056261A">
        <w:rPr>
          <w:rFonts w:ascii="Arial" w:hAnsi="Arial" w:cs="Arial"/>
          <w:sz w:val="24"/>
          <w:szCs w:val="24"/>
        </w:rPr>
        <w:t xml:space="preserve"> n. 241 del 1990</w:t>
      </w:r>
      <w:r w:rsidR="006F617E">
        <w:rPr>
          <w:rFonts w:ascii="Arial" w:hAnsi="Arial" w:cs="Arial"/>
          <w:sz w:val="24"/>
          <w:szCs w:val="24"/>
        </w:rPr>
        <w:t>(</w:t>
      </w:r>
      <w:r w:rsidR="00BF65EC" w:rsidRPr="0056261A">
        <w:rPr>
          <w:rStyle w:val="Rimandonotaapidipagina"/>
          <w:rFonts w:ascii="Arial" w:hAnsi="Arial" w:cs="Arial"/>
          <w:sz w:val="24"/>
          <w:szCs w:val="24"/>
        </w:rPr>
        <w:footnoteReference w:id="22"/>
      </w:r>
      <w:r w:rsidR="006F617E">
        <w:rPr>
          <w:rFonts w:ascii="Arial" w:hAnsi="Arial" w:cs="Arial"/>
          <w:sz w:val="24"/>
          <w:szCs w:val="24"/>
        </w:rPr>
        <w:t>)</w:t>
      </w:r>
      <w:r w:rsidR="00BF65EC" w:rsidRPr="0056261A">
        <w:rPr>
          <w:rFonts w:ascii="Arial" w:hAnsi="Arial" w:cs="Arial"/>
          <w:sz w:val="24"/>
          <w:szCs w:val="24"/>
        </w:rPr>
        <w:t>. Tra le altre possibilità per l’Amministrazione, vi è quella di intervenire in autotutela su un provvedimento sanzionatorio</w:t>
      </w:r>
      <w:r w:rsidR="00420DC2" w:rsidRPr="0056261A">
        <w:rPr>
          <w:rFonts w:ascii="Arial" w:hAnsi="Arial" w:cs="Arial"/>
          <w:sz w:val="24"/>
          <w:szCs w:val="24"/>
        </w:rPr>
        <w:t xml:space="preserve">, </w:t>
      </w:r>
      <w:r w:rsidR="00BF65EC" w:rsidRPr="0056261A">
        <w:rPr>
          <w:rFonts w:ascii="Arial" w:hAnsi="Arial" w:cs="Arial"/>
          <w:sz w:val="24"/>
          <w:szCs w:val="24"/>
        </w:rPr>
        <w:t xml:space="preserve">con la possibilità di vanificare, al limite, </w:t>
      </w:r>
      <w:r w:rsidR="00420DC2" w:rsidRPr="0056261A">
        <w:rPr>
          <w:rFonts w:ascii="Arial" w:hAnsi="Arial" w:cs="Arial"/>
          <w:sz w:val="24"/>
          <w:szCs w:val="24"/>
        </w:rPr>
        <w:t xml:space="preserve">anche una decisione </w:t>
      </w:r>
      <w:r w:rsidR="00BF65EC" w:rsidRPr="0056261A">
        <w:rPr>
          <w:rFonts w:ascii="Arial" w:hAnsi="Arial" w:cs="Arial"/>
          <w:sz w:val="24"/>
          <w:szCs w:val="24"/>
        </w:rPr>
        <w:t>giurisdizionale</w:t>
      </w:r>
      <w:r w:rsidR="007C3966">
        <w:rPr>
          <w:rFonts w:ascii="Arial" w:hAnsi="Arial" w:cs="Arial"/>
          <w:sz w:val="24"/>
          <w:szCs w:val="24"/>
        </w:rPr>
        <w:t>(</w:t>
      </w:r>
      <w:r w:rsidR="00BF65EC" w:rsidRPr="0056261A">
        <w:rPr>
          <w:rStyle w:val="Rimandonotaapidipagina"/>
          <w:rFonts w:ascii="Arial" w:hAnsi="Arial" w:cs="Arial"/>
          <w:sz w:val="24"/>
          <w:szCs w:val="24"/>
        </w:rPr>
        <w:footnoteReference w:id="23"/>
      </w:r>
      <w:r w:rsidR="007C3966">
        <w:rPr>
          <w:rFonts w:ascii="Arial" w:hAnsi="Arial" w:cs="Arial"/>
          <w:sz w:val="24"/>
          <w:szCs w:val="24"/>
        </w:rPr>
        <w:t>)</w:t>
      </w:r>
      <w:r w:rsidR="00BF65EC" w:rsidRPr="0056261A">
        <w:rPr>
          <w:rFonts w:ascii="Arial" w:hAnsi="Arial" w:cs="Arial"/>
          <w:sz w:val="24"/>
          <w:szCs w:val="24"/>
        </w:rPr>
        <w:t>.</w:t>
      </w:r>
    </w:p>
    <w:p w:rsidR="001165EB" w:rsidRPr="0056261A" w:rsidRDefault="001165EB" w:rsidP="00DF7A19">
      <w:pPr>
        <w:spacing w:after="0"/>
        <w:ind w:firstLine="644"/>
        <w:jc w:val="both"/>
        <w:rPr>
          <w:rFonts w:ascii="Arial" w:hAnsi="Arial" w:cs="Arial"/>
          <w:sz w:val="24"/>
          <w:szCs w:val="24"/>
        </w:rPr>
      </w:pPr>
    </w:p>
    <w:p w:rsidR="00306C29" w:rsidRPr="006F617E" w:rsidRDefault="006F617E" w:rsidP="006F617E">
      <w:pPr>
        <w:pStyle w:val="Paragrafoelenco"/>
        <w:numPr>
          <w:ilvl w:val="0"/>
          <w:numId w:val="2"/>
        </w:numPr>
        <w:spacing w:after="0"/>
        <w:ind w:left="284" w:hanging="284"/>
        <w:jc w:val="both"/>
        <w:rPr>
          <w:rFonts w:ascii="Arial" w:hAnsi="Arial" w:cs="Arial"/>
          <w:smallCaps/>
          <w:sz w:val="24"/>
          <w:szCs w:val="24"/>
        </w:rPr>
      </w:pPr>
      <w:r>
        <w:rPr>
          <w:rFonts w:ascii="Arial" w:hAnsi="Arial" w:cs="Arial"/>
          <w:smallCaps/>
          <w:sz w:val="24"/>
          <w:szCs w:val="24"/>
        </w:rPr>
        <w:t>La giurisprudenza della CEDU</w:t>
      </w:r>
      <w:r w:rsidR="00A14051" w:rsidRPr="006F617E">
        <w:rPr>
          <w:rFonts w:ascii="Arial" w:hAnsi="Arial" w:cs="Arial"/>
          <w:smallCaps/>
          <w:sz w:val="24"/>
          <w:szCs w:val="24"/>
        </w:rPr>
        <w:t xml:space="preserve"> </w:t>
      </w:r>
      <w:r w:rsidR="006C3791" w:rsidRPr="006F617E">
        <w:rPr>
          <w:rFonts w:ascii="Arial" w:hAnsi="Arial" w:cs="Arial"/>
          <w:smallCaps/>
          <w:sz w:val="24"/>
          <w:szCs w:val="24"/>
        </w:rPr>
        <w:t>e l</w:t>
      </w:r>
      <w:r>
        <w:rPr>
          <w:rFonts w:ascii="Arial" w:hAnsi="Arial" w:cs="Arial"/>
          <w:smallCaps/>
          <w:sz w:val="24"/>
          <w:szCs w:val="24"/>
        </w:rPr>
        <w:t>’applicabilità dei princì</w:t>
      </w:r>
      <w:r w:rsidR="006C3791" w:rsidRPr="006F617E">
        <w:rPr>
          <w:rFonts w:ascii="Arial" w:hAnsi="Arial" w:cs="Arial"/>
          <w:smallCaps/>
          <w:sz w:val="24"/>
          <w:szCs w:val="24"/>
        </w:rPr>
        <w:t>pi penalistici alle sanzioni amministrative</w:t>
      </w:r>
    </w:p>
    <w:p w:rsidR="00A14051" w:rsidRPr="0056261A" w:rsidRDefault="00A14051" w:rsidP="00A14051">
      <w:pPr>
        <w:spacing w:after="0"/>
        <w:jc w:val="both"/>
        <w:rPr>
          <w:rFonts w:ascii="Arial" w:hAnsi="Arial" w:cs="Arial"/>
          <w:sz w:val="24"/>
          <w:szCs w:val="24"/>
        </w:rPr>
      </w:pPr>
    </w:p>
    <w:p w:rsidR="00A14051" w:rsidRPr="0056261A" w:rsidRDefault="006C3791" w:rsidP="006F617E">
      <w:pPr>
        <w:spacing w:after="0"/>
        <w:jc w:val="both"/>
        <w:rPr>
          <w:rFonts w:ascii="Arial" w:hAnsi="Arial" w:cs="Arial"/>
          <w:sz w:val="24"/>
          <w:szCs w:val="24"/>
        </w:rPr>
      </w:pPr>
      <w:r w:rsidRPr="0056261A">
        <w:rPr>
          <w:rFonts w:ascii="Arial" w:hAnsi="Arial" w:cs="Arial"/>
          <w:sz w:val="24"/>
          <w:szCs w:val="24"/>
        </w:rPr>
        <w:t>I</w:t>
      </w:r>
      <w:r w:rsidR="00934EFB" w:rsidRPr="0056261A">
        <w:rPr>
          <w:rFonts w:ascii="Arial" w:hAnsi="Arial" w:cs="Arial"/>
          <w:sz w:val="24"/>
          <w:szCs w:val="24"/>
        </w:rPr>
        <w:t>llustrato sinteticamente</w:t>
      </w:r>
      <w:r w:rsidR="00A14051" w:rsidRPr="0056261A">
        <w:rPr>
          <w:rFonts w:ascii="Arial" w:hAnsi="Arial" w:cs="Arial"/>
          <w:sz w:val="24"/>
          <w:szCs w:val="24"/>
        </w:rPr>
        <w:t xml:space="preserve"> il regime giuridico interno </w:t>
      </w:r>
      <w:r w:rsidR="00934EFB" w:rsidRPr="0056261A">
        <w:rPr>
          <w:rFonts w:ascii="Arial" w:hAnsi="Arial" w:cs="Arial"/>
          <w:sz w:val="24"/>
          <w:szCs w:val="24"/>
        </w:rPr>
        <w:t>applicabile al</w:t>
      </w:r>
      <w:r w:rsidR="00A14051" w:rsidRPr="0056261A">
        <w:rPr>
          <w:rFonts w:ascii="Arial" w:hAnsi="Arial" w:cs="Arial"/>
          <w:sz w:val="24"/>
          <w:szCs w:val="24"/>
        </w:rPr>
        <w:t xml:space="preserve">le sanzioni amministrative, anche in relazione al differente trattamento rispetto a quelle penali, è necessario </w:t>
      </w:r>
      <w:r w:rsidRPr="0056261A">
        <w:rPr>
          <w:rFonts w:ascii="Arial" w:hAnsi="Arial" w:cs="Arial"/>
          <w:sz w:val="24"/>
          <w:szCs w:val="24"/>
        </w:rPr>
        <w:t xml:space="preserve">a questo punto indirizzare l’attenzione </w:t>
      </w:r>
      <w:r w:rsidR="00A14051" w:rsidRPr="0056261A">
        <w:rPr>
          <w:rFonts w:ascii="Arial" w:hAnsi="Arial" w:cs="Arial"/>
          <w:sz w:val="24"/>
          <w:szCs w:val="24"/>
        </w:rPr>
        <w:t>alla giurisprudenza delle Corti sovranazionali</w:t>
      </w:r>
      <w:r w:rsidR="00A14051" w:rsidRPr="0056261A">
        <w:rPr>
          <w:rStyle w:val="Rimandonotaapidipagina"/>
          <w:rFonts w:ascii="Arial" w:hAnsi="Arial" w:cs="Arial"/>
          <w:sz w:val="24"/>
          <w:szCs w:val="24"/>
        </w:rPr>
        <w:footnoteReference w:id="24"/>
      </w:r>
      <w:r w:rsidR="00A14051" w:rsidRPr="0056261A">
        <w:rPr>
          <w:rFonts w:ascii="Arial" w:hAnsi="Arial" w:cs="Arial"/>
          <w:sz w:val="24"/>
          <w:szCs w:val="24"/>
        </w:rPr>
        <w:t xml:space="preserve">, in particolare </w:t>
      </w:r>
      <w:r w:rsidR="00934EFB" w:rsidRPr="0056261A">
        <w:rPr>
          <w:rFonts w:ascii="Arial" w:hAnsi="Arial" w:cs="Arial"/>
          <w:sz w:val="24"/>
          <w:szCs w:val="24"/>
        </w:rPr>
        <w:t xml:space="preserve">quella </w:t>
      </w:r>
      <w:r w:rsidR="00A14051" w:rsidRPr="0056261A">
        <w:rPr>
          <w:rFonts w:ascii="Arial" w:hAnsi="Arial" w:cs="Arial"/>
          <w:sz w:val="24"/>
          <w:szCs w:val="24"/>
        </w:rPr>
        <w:t xml:space="preserve">della </w:t>
      </w:r>
      <w:r w:rsidR="00934EFB" w:rsidRPr="0056261A">
        <w:rPr>
          <w:rFonts w:ascii="Arial" w:hAnsi="Arial" w:cs="Arial"/>
          <w:sz w:val="24"/>
          <w:szCs w:val="24"/>
        </w:rPr>
        <w:t>Corte europea dei diritti dell’u</w:t>
      </w:r>
      <w:r w:rsidR="00A14051" w:rsidRPr="0056261A">
        <w:rPr>
          <w:rFonts w:ascii="Arial" w:hAnsi="Arial" w:cs="Arial"/>
          <w:sz w:val="24"/>
          <w:szCs w:val="24"/>
        </w:rPr>
        <w:t xml:space="preserve">omo, che ha affrontato </w:t>
      </w:r>
      <w:r w:rsidR="00934EFB" w:rsidRPr="0056261A">
        <w:rPr>
          <w:rFonts w:ascii="Arial" w:hAnsi="Arial" w:cs="Arial"/>
          <w:sz w:val="24"/>
          <w:szCs w:val="24"/>
        </w:rPr>
        <w:t xml:space="preserve">aspetti di rilievo in ordine </w:t>
      </w:r>
      <w:r w:rsidR="005912C9" w:rsidRPr="0056261A">
        <w:rPr>
          <w:rFonts w:ascii="Arial" w:hAnsi="Arial" w:cs="Arial"/>
          <w:sz w:val="24"/>
          <w:szCs w:val="24"/>
        </w:rPr>
        <w:t>ai principi da osservare nell’</w:t>
      </w:r>
      <w:r w:rsidR="00A14051" w:rsidRPr="0056261A">
        <w:rPr>
          <w:rFonts w:ascii="Arial" w:hAnsi="Arial" w:cs="Arial"/>
          <w:sz w:val="24"/>
          <w:szCs w:val="24"/>
        </w:rPr>
        <w:t>applica</w:t>
      </w:r>
      <w:r w:rsidR="005912C9" w:rsidRPr="0056261A">
        <w:rPr>
          <w:rFonts w:ascii="Arial" w:hAnsi="Arial" w:cs="Arial"/>
          <w:sz w:val="24"/>
          <w:szCs w:val="24"/>
        </w:rPr>
        <w:t>zione de</w:t>
      </w:r>
      <w:r w:rsidR="00A14051" w:rsidRPr="0056261A">
        <w:rPr>
          <w:rFonts w:ascii="Arial" w:hAnsi="Arial" w:cs="Arial"/>
          <w:sz w:val="24"/>
          <w:szCs w:val="24"/>
        </w:rPr>
        <w:t xml:space="preserve">lle predette sanzioni, mettendone in discussione la natura </w:t>
      </w:r>
      <w:r w:rsidR="00934EFB" w:rsidRPr="0056261A">
        <w:rPr>
          <w:rFonts w:ascii="Arial" w:hAnsi="Arial" w:cs="Arial"/>
          <w:sz w:val="24"/>
          <w:szCs w:val="24"/>
        </w:rPr>
        <w:t xml:space="preserve">e </w:t>
      </w:r>
      <w:r w:rsidRPr="0056261A">
        <w:rPr>
          <w:rFonts w:ascii="Arial" w:hAnsi="Arial" w:cs="Arial"/>
          <w:sz w:val="24"/>
          <w:szCs w:val="24"/>
        </w:rPr>
        <w:t>confermando</w:t>
      </w:r>
      <w:r w:rsidR="00345FB9" w:rsidRPr="0056261A">
        <w:rPr>
          <w:rFonts w:ascii="Arial" w:hAnsi="Arial" w:cs="Arial"/>
          <w:sz w:val="24"/>
          <w:szCs w:val="24"/>
        </w:rPr>
        <w:t>,</w:t>
      </w:r>
      <w:r w:rsidRPr="0056261A">
        <w:rPr>
          <w:rFonts w:ascii="Arial" w:hAnsi="Arial" w:cs="Arial"/>
          <w:sz w:val="24"/>
          <w:szCs w:val="24"/>
        </w:rPr>
        <w:t xml:space="preserve"> in misura ancora più evidente </w:t>
      </w:r>
      <w:r w:rsidR="00345FB9" w:rsidRPr="0056261A">
        <w:rPr>
          <w:rFonts w:ascii="Arial" w:hAnsi="Arial" w:cs="Arial"/>
          <w:sz w:val="24"/>
          <w:szCs w:val="24"/>
        </w:rPr>
        <w:t xml:space="preserve">di quanto non avvenga a livello nazionale, </w:t>
      </w:r>
      <w:r w:rsidR="00934EFB" w:rsidRPr="0056261A">
        <w:rPr>
          <w:rFonts w:ascii="Arial" w:hAnsi="Arial" w:cs="Arial"/>
          <w:sz w:val="24"/>
          <w:szCs w:val="24"/>
        </w:rPr>
        <w:t xml:space="preserve">la </w:t>
      </w:r>
      <w:r w:rsidRPr="0056261A">
        <w:rPr>
          <w:rFonts w:ascii="Arial" w:hAnsi="Arial" w:cs="Arial"/>
          <w:sz w:val="24"/>
          <w:szCs w:val="24"/>
        </w:rPr>
        <w:t xml:space="preserve">disomogeneità </w:t>
      </w:r>
      <w:r w:rsidR="00934EFB" w:rsidRPr="0056261A">
        <w:rPr>
          <w:rFonts w:ascii="Arial" w:hAnsi="Arial" w:cs="Arial"/>
          <w:sz w:val="24"/>
          <w:szCs w:val="24"/>
        </w:rPr>
        <w:t>della</w:t>
      </w:r>
      <w:r w:rsidRPr="0056261A">
        <w:rPr>
          <w:rFonts w:ascii="Arial" w:hAnsi="Arial" w:cs="Arial"/>
          <w:sz w:val="24"/>
          <w:szCs w:val="24"/>
        </w:rPr>
        <w:t xml:space="preserve"> categoria</w:t>
      </w:r>
      <w:r w:rsidR="00A14051" w:rsidRPr="0056261A">
        <w:rPr>
          <w:rFonts w:ascii="Arial" w:hAnsi="Arial" w:cs="Arial"/>
          <w:sz w:val="24"/>
          <w:szCs w:val="24"/>
        </w:rPr>
        <w:t>.</w:t>
      </w:r>
    </w:p>
    <w:p w:rsidR="004906B6" w:rsidRPr="0056261A" w:rsidRDefault="00345FB9" w:rsidP="005F632A">
      <w:pPr>
        <w:spacing w:after="0"/>
        <w:jc w:val="both"/>
        <w:rPr>
          <w:rFonts w:ascii="Arial" w:hAnsi="Arial" w:cs="Arial"/>
          <w:sz w:val="24"/>
          <w:szCs w:val="24"/>
        </w:rPr>
      </w:pPr>
      <w:r w:rsidRPr="0056261A">
        <w:rPr>
          <w:rFonts w:ascii="Arial" w:hAnsi="Arial" w:cs="Arial"/>
          <w:sz w:val="24"/>
          <w:szCs w:val="24"/>
        </w:rPr>
        <w:t>Il punto di partenza che ha indotto, a suo tempo, la Corte E.D.U. ad occuparsi delle sanzioni amministrative è rappresentato dalla necessità di rendere effettive le garanzie previs</w:t>
      </w:r>
      <w:r w:rsidR="00E63049" w:rsidRPr="0056261A">
        <w:rPr>
          <w:rFonts w:ascii="Arial" w:hAnsi="Arial" w:cs="Arial"/>
          <w:sz w:val="24"/>
          <w:szCs w:val="24"/>
        </w:rPr>
        <w:t>te nella Convenzione co</w:t>
      </w:r>
      <w:r w:rsidRPr="0056261A">
        <w:rPr>
          <w:rFonts w:ascii="Arial" w:hAnsi="Arial" w:cs="Arial"/>
          <w:sz w:val="24"/>
          <w:szCs w:val="24"/>
        </w:rPr>
        <w:t xml:space="preserve">n </w:t>
      </w:r>
      <w:r w:rsidR="00E63049" w:rsidRPr="0056261A">
        <w:rPr>
          <w:rFonts w:ascii="Arial" w:hAnsi="Arial" w:cs="Arial"/>
          <w:sz w:val="24"/>
          <w:szCs w:val="24"/>
        </w:rPr>
        <w:t xml:space="preserve">riguardo </w:t>
      </w:r>
      <w:r w:rsidRPr="0056261A">
        <w:rPr>
          <w:rFonts w:ascii="Arial" w:hAnsi="Arial" w:cs="Arial"/>
          <w:sz w:val="24"/>
          <w:szCs w:val="24"/>
        </w:rPr>
        <w:t>al rispetto dei principi del giusto processo</w:t>
      </w:r>
      <w:r w:rsidR="002E11B6" w:rsidRPr="0056261A">
        <w:rPr>
          <w:rFonts w:ascii="Arial" w:hAnsi="Arial" w:cs="Arial"/>
          <w:sz w:val="24"/>
          <w:szCs w:val="24"/>
        </w:rPr>
        <w:t xml:space="preserve"> penale</w:t>
      </w:r>
      <w:r w:rsidRPr="0056261A">
        <w:rPr>
          <w:rFonts w:ascii="Arial" w:hAnsi="Arial" w:cs="Arial"/>
          <w:sz w:val="24"/>
          <w:szCs w:val="24"/>
        </w:rPr>
        <w:t xml:space="preserve">, come declinati attraverso </w:t>
      </w:r>
      <w:r w:rsidR="002E11B6" w:rsidRPr="0056261A">
        <w:rPr>
          <w:rFonts w:ascii="Arial" w:hAnsi="Arial" w:cs="Arial"/>
          <w:sz w:val="24"/>
          <w:szCs w:val="24"/>
        </w:rPr>
        <w:t xml:space="preserve">gli </w:t>
      </w:r>
      <w:r w:rsidRPr="0056261A">
        <w:rPr>
          <w:rFonts w:ascii="Arial" w:hAnsi="Arial" w:cs="Arial"/>
          <w:sz w:val="24"/>
          <w:szCs w:val="24"/>
        </w:rPr>
        <w:t>art</w:t>
      </w:r>
      <w:r w:rsidR="002E11B6" w:rsidRPr="0056261A">
        <w:rPr>
          <w:rFonts w:ascii="Arial" w:hAnsi="Arial" w:cs="Arial"/>
          <w:sz w:val="24"/>
          <w:szCs w:val="24"/>
        </w:rPr>
        <w:t>t</w:t>
      </w:r>
      <w:r w:rsidRPr="0056261A">
        <w:rPr>
          <w:rFonts w:ascii="Arial" w:hAnsi="Arial" w:cs="Arial"/>
          <w:sz w:val="24"/>
          <w:szCs w:val="24"/>
        </w:rPr>
        <w:t xml:space="preserve">. </w:t>
      </w:r>
      <w:r w:rsidR="002E11B6" w:rsidRPr="0056261A">
        <w:rPr>
          <w:rFonts w:ascii="Arial" w:hAnsi="Arial" w:cs="Arial"/>
          <w:sz w:val="24"/>
          <w:szCs w:val="24"/>
        </w:rPr>
        <w:t xml:space="preserve">6 e </w:t>
      </w:r>
      <w:r w:rsidRPr="0056261A">
        <w:rPr>
          <w:rFonts w:ascii="Arial" w:hAnsi="Arial" w:cs="Arial"/>
          <w:sz w:val="24"/>
          <w:szCs w:val="24"/>
        </w:rPr>
        <w:t>7</w:t>
      </w:r>
      <w:r w:rsidR="005F632A">
        <w:rPr>
          <w:rFonts w:ascii="Arial" w:hAnsi="Arial" w:cs="Arial"/>
          <w:sz w:val="24"/>
          <w:szCs w:val="24"/>
        </w:rPr>
        <w:t>(</w:t>
      </w:r>
      <w:r w:rsidRPr="0056261A">
        <w:rPr>
          <w:rStyle w:val="Rimandonotaapidipagina"/>
          <w:rFonts w:ascii="Arial" w:hAnsi="Arial" w:cs="Arial"/>
          <w:sz w:val="24"/>
          <w:szCs w:val="24"/>
        </w:rPr>
        <w:footnoteReference w:id="25"/>
      </w:r>
      <w:r w:rsidR="005F632A">
        <w:rPr>
          <w:rFonts w:ascii="Arial" w:hAnsi="Arial" w:cs="Arial"/>
          <w:sz w:val="24"/>
          <w:szCs w:val="24"/>
        </w:rPr>
        <w:t>)</w:t>
      </w:r>
      <w:r w:rsidRPr="0056261A">
        <w:rPr>
          <w:rFonts w:ascii="Arial" w:hAnsi="Arial" w:cs="Arial"/>
          <w:sz w:val="24"/>
          <w:szCs w:val="24"/>
        </w:rPr>
        <w:t>.</w:t>
      </w:r>
      <w:r w:rsidR="002E11B6" w:rsidRPr="0056261A">
        <w:rPr>
          <w:rFonts w:ascii="Arial" w:hAnsi="Arial" w:cs="Arial"/>
          <w:sz w:val="24"/>
          <w:szCs w:val="24"/>
        </w:rPr>
        <w:t xml:space="preserve"> </w:t>
      </w:r>
      <w:r w:rsidR="0060521F" w:rsidRPr="0056261A">
        <w:rPr>
          <w:rFonts w:ascii="Arial" w:hAnsi="Arial" w:cs="Arial"/>
          <w:sz w:val="24"/>
          <w:szCs w:val="24"/>
        </w:rPr>
        <w:t xml:space="preserve">Tale esigenza è </w:t>
      </w:r>
      <w:r w:rsidR="00731D6E" w:rsidRPr="0056261A">
        <w:rPr>
          <w:rFonts w:ascii="Arial" w:hAnsi="Arial" w:cs="Arial"/>
          <w:sz w:val="24"/>
          <w:szCs w:val="24"/>
        </w:rPr>
        <w:t>di</w:t>
      </w:r>
      <w:r w:rsidR="0060521F" w:rsidRPr="0056261A">
        <w:rPr>
          <w:rFonts w:ascii="Arial" w:hAnsi="Arial" w:cs="Arial"/>
          <w:sz w:val="24"/>
          <w:szCs w:val="24"/>
        </w:rPr>
        <w:t xml:space="preserve">rettamente correlata alla circostanza che </w:t>
      </w:r>
      <w:r w:rsidR="004906B6" w:rsidRPr="0056261A">
        <w:rPr>
          <w:rFonts w:ascii="Arial" w:hAnsi="Arial" w:cs="Arial"/>
          <w:sz w:val="24"/>
          <w:szCs w:val="24"/>
        </w:rPr>
        <w:t>la scelta in ordine alla qualificazione degli illeciti e alla loro ascrizione o meno all’ambito penal</w:t>
      </w:r>
      <w:r w:rsidR="00731D6E" w:rsidRPr="0056261A">
        <w:rPr>
          <w:rFonts w:ascii="Arial" w:hAnsi="Arial" w:cs="Arial"/>
          <w:sz w:val="24"/>
          <w:szCs w:val="24"/>
        </w:rPr>
        <w:t>istico, con tutte le conseguenze</w:t>
      </w:r>
      <w:r w:rsidR="004906B6" w:rsidRPr="0056261A">
        <w:rPr>
          <w:rFonts w:ascii="Arial" w:hAnsi="Arial" w:cs="Arial"/>
          <w:sz w:val="24"/>
          <w:szCs w:val="24"/>
        </w:rPr>
        <w:t xml:space="preserve"> che ne derivano da un punto di vista del loro trattamento sanzionatorio</w:t>
      </w:r>
      <w:r w:rsidR="00731D6E" w:rsidRPr="0056261A">
        <w:rPr>
          <w:rFonts w:ascii="Arial" w:hAnsi="Arial" w:cs="Arial"/>
          <w:sz w:val="24"/>
          <w:szCs w:val="24"/>
        </w:rPr>
        <w:t>, appartiene in via esclusiva alla sovranità dello Stato aderente alla Convenzione</w:t>
      </w:r>
      <w:r w:rsidR="004906B6" w:rsidRPr="0056261A">
        <w:rPr>
          <w:rFonts w:ascii="Arial" w:hAnsi="Arial" w:cs="Arial"/>
          <w:sz w:val="24"/>
          <w:szCs w:val="24"/>
        </w:rPr>
        <w:t>.</w:t>
      </w:r>
      <w:r w:rsidR="00B634F3" w:rsidRPr="0056261A">
        <w:rPr>
          <w:rFonts w:ascii="Arial" w:hAnsi="Arial" w:cs="Arial"/>
          <w:sz w:val="24"/>
          <w:szCs w:val="24"/>
        </w:rPr>
        <w:t xml:space="preserve"> Di regola, gli illeciti extra penali offrono sostanziali vantaggi rispetto a quelli rientranti nell’ambito penale, quali ad esempio la minore gravità delle condanne irrogate, l’assenza di pubblicità delle stesse e più miti conseguenze, sebbene ciò non sia del tutto scontato; da un punto di vista processuale, però, le istanze penali sono generalmente assistite da maggiori garanzie di carattere processuale</w:t>
      </w:r>
      <w:r w:rsidR="005F632A">
        <w:rPr>
          <w:rFonts w:ascii="Arial" w:hAnsi="Arial" w:cs="Arial"/>
          <w:sz w:val="24"/>
          <w:szCs w:val="24"/>
        </w:rPr>
        <w:t>(</w:t>
      </w:r>
      <w:r w:rsidR="00B634F3" w:rsidRPr="0056261A">
        <w:rPr>
          <w:rStyle w:val="Rimandonotaapidipagina"/>
          <w:rFonts w:ascii="Arial" w:hAnsi="Arial" w:cs="Arial"/>
          <w:sz w:val="24"/>
          <w:szCs w:val="24"/>
        </w:rPr>
        <w:footnoteReference w:id="26"/>
      </w:r>
      <w:r w:rsidR="005F632A">
        <w:rPr>
          <w:rFonts w:ascii="Arial" w:hAnsi="Arial" w:cs="Arial"/>
          <w:sz w:val="24"/>
          <w:szCs w:val="24"/>
        </w:rPr>
        <w:t>)</w:t>
      </w:r>
      <w:r w:rsidR="00B634F3" w:rsidRPr="0056261A">
        <w:rPr>
          <w:rFonts w:ascii="Arial" w:hAnsi="Arial" w:cs="Arial"/>
          <w:sz w:val="24"/>
          <w:szCs w:val="24"/>
        </w:rPr>
        <w:t>.</w:t>
      </w:r>
    </w:p>
    <w:p w:rsidR="000E70CA" w:rsidRPr="0056261A" w:rsidRDefault="004906B6" w:rsidP="005F632A">
      <w:pPr>
        <w:spacing w:after="0"/>
        <w:jc w:val="both"/>
        <w:rPr>
          <w:rFonts w:ascii="Arial" w:hAnsi="Arial" w:cs="Arial"/>
          <w:sz w:val="24"/>
          <w:szCs w:val="24"/>
        </w:rPr>
      </w:pPr>
      <w:r w:rsidRPr="0056261A">
        <w:rPr>
          <w:rFonts w:ascii="Arial" w:hAnsi="Arial" w:cs="Arial"/>
          <w:sz w:val="24"/>
          <w:szCs w:val="24"/>
        </w:rPr>
        <w:t xml:space="preserve">Tuttavia, </w:t>
      </w:r>
      <w:r w:rsidR="00D46D83" w:rsidRPr="005F632A">
        <w:rPr>
          <w:rFonts w:ascii="Arial" w:hAnsi="Arial" w:cs="Arial"/>
          <w:sz w:val="24"/>
          <w:szCs w:val="24"/>
        </w:rPr>
        <w:t xml:space="preserve">“se gli Stati contraenti potessero, a loro piacimento, qualificare disciplinare </w:t>
      </w:r>
      <w:r w:rsidR="005F632A">
        <w:rPr>
          <w:rFonts w:ascii="Arial" w:hAnsi="Arial" w:cs="Arial"/>
          <w:sz w:val="24"/>
          <w:szCs w:val="24"/>
        </w:rPr>
        <w:t>(</w:t>
      </w:r>
      <w:r w:rsidR="00D46D83" w:rsidRPr="005F632A">
        <w:rPr>
          <w:rFonts w:ascii="Arial" w:hAnsi="Arial" w:cs="Arial"/>
          <w:sz w:val="24"/>
          <w:szCs w:val="24"/>
        </w:rPr>
        <w:t>o amministrativo</w:t>
      </w:r>
      <w:r w:rsidR="005F632A">
        <w:rPr>
          <w:rFonts w:ascii="Arial" w:hAnsi="Arial" w:cs="Arial"/>
          <w:sz w:val="24"/>
          <w:szCs w:val="24"/>
        </w:rPr>
        <w:t>)</w:t>
      </w:r>
      <w:r w:rsidR="00D46D83" w:rsidRPr="005F632A">
        <w:rPr>
          <w:rFonts w:ascii="Arial" w:hAnsi="Arial" w:cs="Arial"/>
          <w:sz w:val="24"/>
          <w:szCs w:val="24"/>
        </w:rPr>
        <w:t xml:space="preserve"> piuttosto che penale un illecito, o perseguire l’autore di un illecito «misto» sul piano disciplinare </w:t>
      </w:r>
      <w:r w:rsidR="005F632A">
        <w:rPr>
          <w:rFonts w:ascii="Arial" w:hAnsi="Arial" w:cs="Arial"/>
          <w:sz w:val="24"/>
          <w:szCs w:val="24"/>
        </w:rPr>
        <w:t>(</w:t>
      </w:r>
      <w:r w:rsidR="00D46D83" w:rsidRPr="005F632A">
        <w:rPr>
          <w:rFonts w:ascii="Arial" w:hAnsi="Arial" w:cs="Arial"/>
          <w:sz w:val="24"/>
          <w:szCs w:val="24"/>
        </w:rPr>
        <w:t>o amministrativo</w:t>
      </w:r>
      <w:r w:rsidR="005F632A">
        <w:rPr>
          <w:rFonts w:ascii="Arial" w:hAnsi="Arial" w:cs="Arial"/>
          <w:sz w:val="24"/>
          <w:szCs w:val="24"/>
        </w:rPr>
        <w:t>)</w:t>
      </w:r>
      <w:r w:rsidR="00D46D83" w:rsidRPr="005F632A">
        <w:rPr>
          <w:rFonts w:ascii="Arial" w:hAnsi="Arial" w:cs="Arial"/>
          <w:sz w:val="24"/>
          <w:szCs w:val="24"/>
        </w:rPr>
        <w:t xml:space="preserve"> invece che per via penale, l’effetto delle norme fondamentali degli artt. 6 e 7 sarebbe subordinato alla loro volontà sovrana. Una così ampia libertà rischierebbe di condurre a risultati incompatibili con l’oggetto e lo scopo della Convenzione. La Corte è, dunque, competente a controllare, sotto il profilo dell’art. 6 e al di fuori anche degli artt. 17 e 18, che la materia disciplinare </w:t>
      </w:r>
      <w:r w:rsidR="005F632A">
        <w:rPr>
          <w:rFonts w:ascii="Arial" w:hAnsi="Arial" w:cs="Arial"/>
          <w:sz w:val="24"/>
          <w:szCs w:val="24"/>
        </w:rPr>
        <w:t>(</w:t>
      </w:r>
      <w:r w:rsidR="00D46D83" w:rsidRPr="005F632A">
        <w:rPr>
          <w:rFonts w:ascii="Arial" w:hAnsi="Arial" w:cs="Arial"/>
          <w:sz w:val="24"/>
          <w:szCs w:val="24"/>
        </w:rPr>
        <w:t>o amministrativa</w:t>
      </w:r>
      <w:r w:rsidR="005F632A">
        <w:rPr>
          <w:rFonts w:ascii="Arial" w:hAnsi="Arial" w:cs="Arial"/>
          <w:sz w:val="24"/>
          <w:szCs w:val="24"/>
        </w:rPr>
        <w:t>)</w:t>
      </w:r>
      <w:r w:rsidR="00D46D83" w:rsidRPr="005F632A">
        <w:rPr>
          <w:rFonts w:ascii="Arial" w:hAnsi="Arial" w:cs="Arial"/>
          <w:sz w:val="24"/>
          <w:szCs w:val="24"/>
        </w:rPr>
        <w:t xml:space="preserve"> non invada indebitamente la materia penale”</w:t>
      </w:r>
      <w:r w:rsidR="005F632A">
        <w:rPr>
          <w:rFonts w:ascii="Arial" w:hAnsi="Arial" w:cs="Arial"/>
          <w:sz w:val="24"/>
          <w:szCs w:val="24"/>
        </w:rPr>
        <w:t>(</w:t>
      </w:r>
      <w:r w:rsidR="00D46D83" w:rsidRPr="005F632A">
        <w:rPr>
          <w:rStyle w:val="Rimandonotaapidipagina"/>
          <w:rFonts w:ascii="Arial" w:hAnsi="Arial" w:cs="Arial"/>
          <w:sz w:val="24"/>
          <w:szCs w:val="24"/>
        </w:rPr>
        <w:footnoteReference w:id="27"/>
      </w:r>
      <w:r w:rsidR="005F632A">
        <w:rPr>
          <w:rFonts w:ascii="Arial" w:hAnsi="Arial" w:cs="Arial"/>
          <w:sz w:val="24"/>
          <w:szCs w:val="24"/>
        </w:rPr>
        <w:t>)</w:t>
      </w:r>
      <w:r w:rsidR="00D46D83" w:rsidRPr="005F632A">
        <w:rPr>
          <w:rFonts w:ascii="Arial" w:hAnsi="Arial" w:cs="Arial"/>
          <w:sz w:val="24"/>
          <w:szCs w:val="24"/>
        </w:rPr>
        <w:t>.</w:t>
      </w:r>
      <w:r w:rsidRPr="005F632A">
        <w:rPr>
          <w:rFonts w:ascii="Arial" w:hAnsi="Arial" w:cs="Arial"/>
          <w:sz w:val="24"/>
          <w:szCs w:val="24"/>
        </w:rPr>
        <w:t xml:space="preserve"> </w:t>
      </w:r>
      <w:r w:rsidR="00B634F3" w:rsidRPr="0056261A">
        <w:rPr>
          <w:rFonts w:ascii="Arial" w:hAnsi="Arial" w:cs="Arial"/>
          <w:sz w:val="24"/>
          <w:szCs w:val="24"/>
        </w:rPr>
        <w:t>Pertanto lo scopo di impedire che il singolo Stato possa con le sue scelte di politica legislativa depotenziare o eludere le garanzie convenzionali afferenti all’ambito pen</w:t>
      </w:r>
      <w:r w:rsidR="005F632A">
        <w:rPr>
          <w:rFonts w:ascii="Arial" w:hAnsi="Arial" w:cs="Arial"/>
          <w:sz w:val="24"/>
          <w:szCs w:val="24"/>
        </w:rPr>
        <w:t>alistico, ha indotto la Corte EDU</w:t>
      </w:r>
      <w:r w:rsidR="00B634F3" w:rsidRPr="0056261A">
        <w:rPr>
          <w:rFonts w:ascii="Arial" w:hAnsi="Arial" w:cs="Arial"/>
          <w:sz w:val="24"/>
          <w:szCs w:val="24"/>
        </w:rPr>
        <w:t xml:space="preserve"> ad elaborare una propria nozione di materia penale</w:t>
      </w:r>
      <w:r w:rsidR="005F632A">
        <w:rPr>
          <w:rFonts w:ascii="Arial" w:hAnsi="Arial" w:cs="Arial"/>
          <w:sz w:val="24"/>
          <w:szCs w:val="24"/>
        </w:rPr>
        <w:t>(</w:t>
      </w:r>
      <w:r w:rsidR="00941D60" w:rsidRPr="005F632A">
        <w:rPr>
          <w:rStyle w:val="Rimandonotaapidipagina"/>
          <w:rFonts w:ascii="Arial" w:hAnsi="Arial" w:cs="Arial"/>
          <w:sz w:val="24"/>
          <w:szCs w:val="24"/>
        </w:rPr>
        <w:footnoteReference w:id="28"/>
      </w:r>
      <w:r w:rsidR="005F632A">
        <w:rPr>
          <w:rFonts w:ascii="Arial" w:hAnsi="Arial" w:cs="Arial"/>
          <w:sz w:val="24"/>
          <w:szCs w:val="24"/>
        </w:rPr>
        <w:t>)</w:t>
      </w:r>
      <w:r w:rsidR="00B634F3" w:rsidRPr="005F632A">
        <w:rPr>
          <w:rFonts w:ascii="Arial" w:hAnsi="Arial" w:cs="Arial"/>
          <w:sz w:val="24"/>
          <w:szCs w:val="24"/>
        </w:rPr>
        <w:t>,</w:t>
      </w:r>
      <w:r w:rsidR="00B634F3" w:rsidRPr="0056261A">
        <w:rPr>
          <w:rFonts w:ascii="Arial" w:hAnsi="Arial" w:cs="Arial"/>
          <w:sz w:val="24"/>
          <w:szCs w:val="24"/>
        </w:rPr>
        <w:t xml:space="preserve"> </w:t>
      </w:r>
      <w:r w:rsidR="000E70CA" w:rsidRPr="0056261A">
        <w:rPr>
          <w:rFonts w:ascii="Arial" w:hAnsi="Arial" w:cs="Arial"/>
          <w:sz w:val="24"/>
          <w:szCs w:val="24"/>
        </w:rPr>
        <w:t>in modo da poter</w:t>
      </w:r>
      <w:r w:rsidR="0060521F" w:rsidRPr="0056261A">
        <w:rPr>
          <w:rFonts w:ascii="Arial" w:hAnsi="Arial" w:cs="Arial"/>
          <w:sz w:val="24"/>
          <w:szCs w:val="24"/>
        </w:rPr>
        <w:t xml:space="preserve"> verificare secondo propri parametri i</w:t>
      </w:r>
      <w:r w:rsidR="00B634F3" w:rsidRPr="0056261A">
        <w:rPr>
          <w:rFonts w:ascii="Arial" w:hAnsi="Arial" w:cs="Arial"/>
          <w:sz w:val="24"/>
          <w:szCs w:val="24"/>
        </w:rPr>
        <w:t>l rispetto dei citati artt. 6 e 7 della Convenzione</w:t>
      </w:r>
      <w:r w:rsidR="005F632A">
        <w:rPr>
          <w:rFonts w:ascii="Arial" w:hAnsi="Arial" w:cs="Arial"/>
          <w:sz w:val="24"/>
          <w:szCs w:val="24"/>
        </w:rPr>
        <w:t>(</w:t>
      </w:r>
      <w:r w:rsidR="004C0241" w:rsidRPr="0056261A">
        <w:rPr>
          <w:rStyle w:val="Rimandonotaapidipagina"/>
          <w:rFonts w:ascii="Arial" w:hAnsi="Arial" w:cs="Arial"/>
          <w:sz w:val="24"/>
          <w:szCs w:val="24"/>
        </w:rPr>
        <w:footnoteReference w:id="29"/>
      </w:r>
      <w:r w:rsidR="005F632A">
        <w:rPr>
          <w:rFonts w:ascii="Arial" w:hAnsi="Arial" w:cs="Arial"/>
          <w:sz w:val="24"/>
          <w:szCs w:val="24"/>
        </w:rPr>
        <w:t>)</w:t>
      </w:r>
      <w:r w:rsidR="00B634F3" w:rsidRPr="0056261A">
        <w:rPr>
          <w:rFonts w:ascii="Arial" w:hAnsi="Arial" w:cs="Arial"/>
          <w:sz w:val="24"/>
          <w:szCs w:val="24"/>
        </w:rPr>
        <w:t xml:space="preserve">. </w:t>
      </w:r>
    </w:p>
    <w:p w:rsidR="00434FBD" w:rsidRPr="0056261A" w:rsidRDefault="000E70CA" w:rsidP="005F632A">
      <w:pPr>
        <w:spacing w:after="0"/>
        <w:jc w:val="both"/>
        <w:rPr>
          <w:rFonts w:ascii="Arial" w:hAnsi="Arial" w:cs="Arial"/>
          <w:sz w:val="24"/>
          <w:szCs w:val="24"/>
        </w:rPr>
      </w:pPr>
      <w:r w:rsidRPr="0056261A">
        <w:rPr>
          <w:rFonts w:ascii="Arial" w:hAnsi="Arial" w:cs="Arial"/>
          <w:sz w:val="24"/>
          <w:szCs w:val="24"/>
        </w:rPr>
        <w:t xml:space="preserve">Attraverso il </w:t>
      </w:r>
      <w:r w:rsidR="00F13E55" w:rsidRPr="0056261A">
        <w:rPr>
          <w:rFonts w:ascii="Arial" w:hAnsi="Arial" w:cs="Arial"/>
          <w:sz w:val="24"/>
          <w:szCs w:val="24"/>
        </w:rPr>
        <w:t>ridimensionament</w:t>
      </w:r>
      <w:r w:rsidR="00F52F3E" w:rsidRPr="0056261A">
        <w:rPr>
          <w:rFonts w:ascii="Arial" w:hAnsi="Arial" w:cs="Arial"/>
          <w:sz w:val="24"/>
          <w:szCs w:val="24"/>
        </w:rPr>
        <w:t xml:space="preserve">o </w:t>
      </w:r>
      <w:r w:rsidRPr="0056261A">
        <w:rPr>
          <w:rFonts w:ascii="Arial" w:hAnsi="Arial" w:cs="Arial"/>
          <w:sz w:val="24"/>
          <w:szCs w:val="24"/>
        </w:rPr>
        <w:t>del</w:t>
      </w:r>
      <w:r w:rsidR="00F52F3E" w:rsidRPr="0056261A">
        <w:rPr>
          <w:rFonts w:ascii="Arial" w:hAnsi="Arial" w:cs="Arial"/>
          <w:sz w:val="24"/>
          <w:szCs w:val="24"/>
        </w:rPr>
        <w:t>la qualif</w:t>
      </w:r>
      <w:r w:rsidR="005F632A">
        <w:rPr>
          <w:rFonts w:ascii="Arial" w:hAnsi="Arial" w:cs="Arial"/>
          <w:sz w:val="24"/>
          <w:szCs w:val="24"/>
        </w:rPr>
        <w:t>icazione formale stabilita dal Legislatore</w:t>
      </w:r>
      <w:r w:rsidR="007D02AD" w:rsidRPr="0056261A">
        <w:rPr>
          <w:rFonts w:ascii="Arial" w:hAnsi="Arial" w:cs="Arial"/>
          <w:sz w:val="24"/>
          <w:szCs w:val="24"/>
        </w:rPr>
        <w:t xml:space="preserve"> </w:t>
      </w:r>
      <w:r w:rsidR="00357F61" w:rsidRPr="0056261A">
        <w:rPr>
          <w:rFonts w:ascii="Arial" w:hAnsi="Arial" w:cs="Arial"/>
          <w:sz w:val="24"/>
          <w:szCs w:val="24"/>
        </w:rPr>
        <w:t>nazionale</w:t>
      </w:r>
      <w:r w:rsidRPr="0056261A">
        <w:rPr>
          <w:rFonts w:ascii="Arial" w:hAnsi="Arial" w:cs="Arial"/>
          <w:sz w:val="24"/>
          <w:szCs w:val="24"/>
        </w:rPr>
        <w:t xml:space="preserve">, </w:t>
      </w:r>
      <w:r w:rsidR="00F13E55" w:rsidRPr="0056261A">
        <w:rPr>
          <w:rFonts w:ascii="Arial" w:hAnsi="Arial" w:cs="Arial"/>
          <w:sz w:val="24"/>
          <w:szCs w:val="24"/>
        </w:rPr>
        <w:t>per cui non appare affatto</w:t>
      </w:r>
      <w:r w:rsidR="00357F61" w:rsidRPr="0056261A">
        <w:rPr>
          <w:rFonts w:ascii="Arial" w:hAnsi="Arial" w:cs="Arial"/>
          <w:sz w:val="24"/>
          <w:szCs w:val="24"/>
        </w:rPr>
        <w:t xml:space="preserve"> </w:t>
      </w:r>
      <w:r w:rsidR="007D02AD" w:rsidRPr="0056261A">
        <w:rPr>
          <w:rFonts w:ascii="Arial" w:hAnsi="Arial" w:cs="Arial"/>
          <w:sz w:val="24"/>
          <w:szCs w:val="24"/>
        </w:rPr>
        <w:t>de</w:t>
      </w:r>
      <w:r w:rsidR="00357F61" w:rsidRPr="0056261A">
        <w:rPr>
          <w:rFonts w:ascii="Arial" w:hAnsi="Arial" w:cs="Arial"/>
          <w:sz w:val="24"/>
          <w:szCs w:val="24"/>
        </w:rPr>
        <w:t>terminante</w:t>
      </w:r>
      <w:r w:rsidRPr="0056261A">
        <w:rPr>
          <w:rFonts w:ascii="Arial" w:hAnsi="Arial" w:cs="Arial"/>
          <w:sz w:val="24"/>
          <w:szCs w:val="24"/>
        </w:rPr>
        <w:t xml:space="preserve"> in assoluto </w:t>
      </w:r>
      <w:r w:rsidR="0060521F" w:rsidRPr="0056261A">
        <w:rPr>
          <w:rFonts w:ascii="Arial" w:hAnsi="Arial" w:cs="Arial"/>
          <w:sz w:val="24"/>
          <w:szCs w:val="24"/>
        </w:rPr>
        <w:t>siffatto</w:t>
      </w:r>
      <w:r w:rsidR="00F13E55" w:rsidRPr="0056261A">
        <w:rPr>
          <w:rFonts w:ascii="Arial" w:hAnsi="Arial" w:cs="Arial"/>
          <w:sz w:val="24"/>
          <w:szCs w:val="24"/>
        </w:rPr>
        <w:t xml:space="preserve"> criterio</w:t>
      </w:r>
      <w:r w:rsidRPr="0056261A">
        <w:rPr>
          <w:rFonts w:ascii="Arial" w:hAnsi="Arial" w:cs="Arial"/>
          <w:sz w:val="24"/>
          <w:szCs w:val="24"/>
        </w:rPr>
        <w:t xml:space="preserve"> – </w:t>
      </w:r>
      <w:r w:rsidR="0060521F" w:rsidRPr="0056261A">
        <w:rPr>
          <w:rFonts w:ascii="Arial" w:hAnsi="Arial" w:cs="Arial"/>
          <w:sz w:val="24"/>
          <w:szCs w:val="24"/>
        </w:rPr>
        <w:t xml:space="preserve">qualificazione </w:t>
      </w:r>
      <w:r w:rsidRPr="0056261A">
        <w:rPr>
          <w:rFonts w:ascii="Arial" w:hAnsi="Arial" w:cs="Arial"/>
          <w:sz w:val="24"/>
          <w:szCs w:val="24"/>
        </w:rPr>
        <w:t>penale</w:t>
      </w:r>
      <w:r w:rsidR="005F632A">
        <w:rPr>
          <w:rFonts w:ascii="Arial" w:hAnsi="Arial" w:cs="Arial"/>
          <w:sz w:val="24"/>
          <w:szCs w:val="24"/>
        </w:rPr>
        <w:t>(</w:t>
      </w:r>
      <w:r w:rsidRPr="0056261A">
        <w:rPr>
          <w:rStyle w:val="Rimandonotaapidipagina"/>
          <w:rFonts w:ascii="Arial" w:hAnsi="Arial" w:cs="Arial"/>
          <w:sz w:val="24"/>
          <w:szCs w:val="24"/>
        </w:rPr>
        <w:footnoteReference w:id="30"/>
      </w:r>
      <w:r w:rsidR="005F632A">
        <w:rPr>
          <w:rFonts w:ascii="Arial" w:hAnsi="Arial" w:cs="Arial"/>
          <w:sz w:val="24"/>
          <w:szCs w:val="24"/>
        </w:rPr>
        <w:t>)</w:t>
      </w:r>
      <w:r w:rsidRPr="0056261A">
        <w:rPr>
          <w:rFonts w:ascii="Arial" w:hAnsi="Arial" w:cs="Arial"/>
          <w:sz w:val="24"/>
          <w:szCs w:val="24"/>
        </w:rPr>
        <w:t xml:space="preserve"> o amministra</w:t>
      </w:r>
      <w:r w:rsidR="0060521F" w:rsidRPr="0056261A">
        <w:rPr>
          <w:rFonts w:ascii="Arial" w:hAnsi="Arial" w:cs="Arial"/>
          <w:sz w:val="24"/>
          <w:szCs w:val="24"/>
        </w:rPr>
        <w:t>tiva</w:t>
      </w:r>
      <w:r w:rsidR="00F13E55" w:rsidRPr="0056261A">
        <w:rPr>
          <w:rFonts w:ascii="Arial" w:hAnsi="Arial" w:cs="Arial"/>
          <w:sz w:val="24"/>
          <w:szCs w:val="24"/>
        </w:rPr>
        <w:t xml:space="preserve"> –, la Corte procede ad </w:t>
      </w:r>
      <w:r w:rsidR="00357F61" w:rsidRPr="0056261A">
        <w:rPr>
          <w:rFonts w:ascii="Arial" w:hAnsi="Arial" w:cs="Arial"/>
          <w:sz w:val="24"/>
          <w:szCs w:val="24"/>
        </w:rPr>
        <w:t>un’a</w:t>
      </w:r>
      <w:r w:rsidR="00F52F3E" w:rsidRPr="0056261A">
        <w:rPr>
          <w:rFonts w:ascii="Arial" w:hAnsi="Arial" w:cs="Arial"/>
          <w:sz w:val="24"/>
          <w:szCs w:val="24"/>
        </w:rPr>
        <w:t>nali</w:t>
      </w:r>
      <w:r w:rsidR="00357F61" w:rsidRPr="0056261A">
        <w:rPr>
          <w:rFonts w:ascii="Arial" w:hAnsi="Arial" w:cs="Arial"/>
          <w:sz w:val="24"/>
          <w:szCs w:val="24"/>
        </w:rPr>
        <w:t>si del</w:t>
      </w:r>
      <w:r w:rsidR="00F13E55" w:rsidRPr="0056261A">
        <w:rPr>
          <w:rFonts w:ascii="Arial" w:hAnsi="Arial" w:cs="Arial"/>
          <w:sz w:val="24"/>
          <w:szCs w:val="24"/>
        </w:rPr>
        <w:t>le singole fattispecie,</w:t>
      </w:r>
      <w:r w:rsidR="00F52F3E" w:rsidRPr="0056261A">
        <w:rPr>
          <w:rFonts w:ascii="Arial" w:hAnsi="Arial" w:cs="Arial"/>
          <w:sz w:val="24"/>
          <w:szCs w:val="24"/>
        </w:rPr>
        <w:t xml:space="preserve"> attraverso l’utilizzo</w:t>
      </w:r>
      <w:r w:rsidR="007D02AD" w:rsidRPr="0056261A">
        <w:rPr>
          <w:rFonts w:ascii="Arial" w:hAnsi="Arial" w:cs="Arial"/>
          <w:sz w:val="24"/>
          <w:szCs w:val="24"/>
        </w:rPr>
        <w:t>, disgiunto,</w:t>
      </w:r>
      <w:r w:rsidR="00F52F3E" w:rsidRPr="0056261A">
        <w:rPr>
          <w:rFonts w:ascii="Arial" w:hAnsi="Arial" w:cs="Arial"/>
          <w:sz w:val="24"/>
          <w:szCs w:val="24"/>
        </w:rPr>
        <w:t xml:space="preserve"> di tre criteri</w:t>
      </w:r>
      <w:r w:rsidR="00434FBD" w:rsidRPr="0056261A">
        <w:rPr>
          <w:rFonts w:ascii="Arial" w:hAnsi="Arial" w:cs="Arial"/>
          <w:sz w:val="24"/>
          <w:szCs w:val="24"/>
        </w:rPr>
        <w:t xml:space="preserve">, ossia </w:t>
      </w:r>
      <w:r w:rsidR="00234C70" w:rsidRPr="0056261A">
        <w:rPr>
          <w:rFonts w:ascii="Arial" w:hAnsi="Arial" w:cs="Arial"/>
          <w:sz w:val="24"/>
          <w:szCs w:val="24"/>
        </w:rPr>
        <w:t>(</w:t>
      </w:r>
      <w:r w:rsidR="0060521F" w:rsidRPr="0056261A">
        <w:rPr>
          <w:rFonts w:ascii="Arial" w:hAnsi="Arial" w:cs="Arial"/>
          <w:sz w:val="24"/>
          <w:szCs w:val="24"/>
        </w:rPr>
        <w:t>i</w:t>
      </w:r>
      <w:r w:rsidR="00234C70" w:rsidRPr="0056261A">
        <w:rPr>
          <w:rFonts w:ascii="Arial" w:hAnsi="Arial" w:cs="Arial"/>
          <w:sz w:val="24"/>
          <w:szCs w:val="24"/>
        </w:rPr>
        <w:t>)</w:t>
      </w:r>
      <w:r w:rsidR="00434FBD" w:rsidRPr="0056261A">
        <w:rPr>
          <w:rFonts w:ascii="Arial" w:hAnsi="Arial" w:cs="Arial"/>
          <w:sz w:val="24"/>
          <w:szCs w:val="24"/>
        </w:rPr>
        <w:t xml:space="preserve"> della</w:t>
      </w:r>
      <w:r w:rsidR="00234C70" w:rsidRPr="0056261A">
        <w:rPr>
          <w:rFonts w:ascii="Arial" w:hAnsi="Arial" w:cs="Arial"/>
          <w:sz w:val="24"/>
          <w:szCs w:val="24"/>
        </w:rPr>
        <w:t xml:space="preserve"> qualificazione giuridica dell’illecito nel diritto nazionale, (</w:t>
      </w:r>
      <w:r w:rsidR="0060521F" w:rsidRPr="0056261A">
        <w:rPr>
          <w:rFonts w:ascii="Arial" w:hAnsi="Arial" w:cs="Arial"/>
          <w:sz w:val="24"/>
          <w:szCs w:val="24"/>
        </w:rPr>
        <w:t>ii</w:t>
      </w:r>
      <w:r w:rsidR="00234C70" w:rsidRPr="0056261A">
        <w:rPr>
          <w:rFonts w:ascii="Arial" w:hAnsi="Arial" w:cs="Arial"/>
          <w:sz w:val="24"/>
          <w:szCs w:val="24"/>
        </w:rPr>
        <w:t xml:space="preserve">) </w:t>
      </w:r>
      <w:r w:rsidR="00434FBD" w:rsidRPr="0056261A">
        <w:rPr>
          <w:rFonts w:ascii="Arial" w:hAnsi="Arial" w:cs="Arial"/>
          <w:sz w:val="24"/>
          <w:szCs w:val="24"/>
        </w:rPr>
        <w:t xml:space="preserve">della </w:t>
      </w:r>
      <w:r w:rsidR="00234C70" w:rsidRPr="0056261A">
        <w:rPr>
          <w:rFonts w:ascii="Arial" w:hAnsi="Arial" w:cs="Arial"/>
          <w:sz w:val="24"/>
          <w:szCs w:val="24"/>
        </w:rPr>
        <w:t>natura dell’illecito e (</w:t>
      </w:r>
      <w:r w:rsidR="0060521F" w:rsidRPr="0056261A">
        <w:rPr>
          <w:rFonts w:ascii="Arial" w:hAnsi="Arial" w:cs="Arial"/>
          <w:sz w:val="24"/>
          <w:szCs w:val="24"/>
        </w:rPr>
        <w:t>iii</w:t>
      </w:r>
      <w:r w:rsidR="00234C70" w:rsidRPr="0056261A">
        <w:rPr>
          <w:rFonts w:ascii="Arial" w:hAnsi="Arial" w:cs="Arial"/>
          <w:sz w:val="24"/>
          <w:szCs w:val="24"/>
        </w:rPr>
        <w:t xml:space="preserve">) </w:t>
      </w:r>
      <w:r w:rsidR="00434FBD" w:rsidRPr="0056261A">
        <w:rPr>
          <w:rFonts w:ascii="Arial" w:hAnsi="Arial" w:cs="Arial"/>
          <w:sz w:val="24"/>
          <w:szCs w:val="24"/>
        </w:rPr>
        <w:t xml:space="preserve">del </w:t>
      </w:r>
      <w:r w:rsidR="00234C70" w:rsidRPr="0056261A">
        <w:rPr>
          <w:rFonts w:ascii="Arial" w:hAnsi="Arial" w:cs="Arial"/>
          <w:sz w:val="24"/>
          <w:szCs w:val="24"/>
        </w:rPr>
        <w:t>grado di severità della sanzione in cui l’interessato rischia di incorrere</w:t>
      </w:r>
      <w:r w:rsidR="00434FBD" w:rsidRPr="0056261A">
        <w:rPr>
          <w:rFonts w:ascii="Arial" w:hAnsi="Arial" w:cs="Arial"/>
          <w:sz w:val="24"/>
          <w:szCs w:val="24"/>
        </w:rPr>
        <w:t xml:space="preserve">, </w:t>
      </w:r>
      <w:r w:rsidR="00234C70" w:rsidRPr="0056261A">
        <w:rPr>
          <w:rFonts w:ascii="Arial" w:hAnsi="Arial" w:cs="Arial"/>
          <w:sz w:val="24"/>
          <w:szCs w:val="24"/>
        </w:rPr>
        <w:t>verifica</w:t>
      </w:r>
      <w:r w:rsidR="00434FBD" w:rsidRPr="0056261A">
        <w:rPr>
          <w:rFonts w:ascii="Arial" w:hAnsi="Arial" w:cs="Arial"/>
          <w:sz w:val="24"/>
          <w:szCs w:val="24"/>
        </w:rPr>
        <w:t xml:space="preserve">ndosi in </w:t>
      </w:r>
      <w:r w:rsidR="00866769" w:rsidRPr="0056261A">
        <w:rPr>
          <w:rFonts w:ascii="Arial" w:hAnsi="Arial" w:cs="Arial"/>
          <w:sz w:val="24"/>
          <w:szCs w:val="24"/>
        </w:rPr>
        <w:t>sintesi</w:t>
      </w:r>
      <w:r w:rsidR="00234C70" w:rsidRPr="0056261A">
        <w:rPr>
          <w:rFonts w:ascii="Arial" w:hAnsi="Arial" w:cs="Arial"/>
          <w:sz w:val="24"/>
          <w:szCs w:val="24"/>
        </w:rPr>
        <w:t xml:space="preserve"> il grado di </w:t>
      </w:r>
      <w:r w:rsidR="00F52F3E" w:rsidRPr="0056261A">
        <w:rPr>
          <w:rFonts w:ascii="Arial" w:hAnsi="Arial" w:cs="Arial"/>
          <w:sz w:val="24"/>
          <w:szCs w:val="24"/>
        </w:rPr>
        <w:t xml:space="preserve">incidenza </w:t>
      </w:r>
      <w:r w:rsidR="0060521F" w:rsidRPr="0056261A">
        <w:rPr>
          <w:rFonts w:ascii="Arial" w:hAnsi="Arial" w:cs="Arial"/>
          <w:sz w:val="24"/>
          <w:szCs w:val="24"/>
        </w:rPr>
        <w:t xml:space="preserve">della stessa </w:t>
      </w:r>
      <w:r w:rsidR="00234C70" w:rsidRPr="0056261A">
        <w:rPr>
          <w:rFonts w:ascii="Arial" w:hAnsi="Arial" w:cs="Arial"/>
          <w:sz w:val="24"/>
          <w:szCs w:val="24"/>
        </w:rPr>
        <w:t>s</w:t>
      </w:r>
      <w:r w:rsidR="00F52F3E" w:rsidRPr="0056261A">
        <w:rPr>
          <w:rFonts w:ascii="Arial" w:hAnsi="Arial" w:cs="Arial"/>
          <w:sz w:val="24"/>
          <w:szCs w:val="24"/>
        </w:rPr>
        <w:t xml:space="preserve">ulla sfera giuridica del destinatario, </w:t>
      </w:r>
      <w:r w:rsidR="00234C70" w:rsidRPr="0056261A">
        <w:rPr>
          <w:rFonts w:ascii="Arial" w:hAnsi="Arial" w:cs="Arial"/>
          <w:sz w:val="24"/>
          <w:szCs w:val="24"/>
        </w:rPr>
        <w:t>la sua gravità e l</w:t>
      </w:r>
      <w:r w:rsidR="007E1791" w:rsidRPr="0056261A">
        <w:rPr>
          <w:rFonts w:ascii="Arial" w:hAnsi="Arial" w:cs="Arial"/>
          <w:sz w:val="24"/>
          <w:szCs w:val="24"/>
        </w:rPr>
        <w:t>e</w:t>
      </w:r>
      <w:r w:rsidR="00234C70" w:rsidRPr="0056261A">
        <w:rPr>
          <w:rFonts w:ascii="Arial" w:hAnsi="Arial" w:cs="Arial"/>
          <w:sz w:val="24"/>
          <w:szCs w:val="24"/>
        </w:rPr>
        <w:t xml:space="preserve"> finalità perseguit</w:t>
      </w:r>
      <w:r w:rsidR="007E1791" w:rsidRPr="0056261A">
        <w:rPr>
          <w:rFonts w:ascii="Arial" w:hAnsi="Arial" w:cs="Arial"/>
          <w:sz w:val="24"/>
          <w:szCs w:val="24"/>
        </w:rPr>
        <w:t xml:space="preserve">e dal </w:t>
      </w:r>
      <w:r w:rsidR="005F632A">
        <w:rPr>
          <w:rFonts w:ascii="Arial" w:hAnsi="Arial" w:cs="Arial"/>
          <w:sz w:val="24"/>
          <w:szCs w:val="24"/>
        </w:rPr>
        <w:t>Legislatore</w:t>
      </w:r>
      <w:r w:rsidR="00234C70" w:rsidRPr="0056261A">
        <w:rPr>
          <w:rFonts w:ascii="Arial" w:hAnsi="Arial" w:cs="Arial"/>
          <w:sz w:val="24"/>
          <w:szCs w:val="24"/>
        </w:rPr>
        <w:t xml:space="preserve"> (repressiva e/o preventiva, oppure ripristinatoria)</w:t>
      </w:r>
      <w:r w:rsidR="005F632A">
        <w:rPr>
          <w:rFonts w:ascii="Arial" w:hAnsi="Arial" w:cs="Arial"/>
          <w:sz w:val="24"/>
          <w:szCs w:val="24"/>
        </w:rPr>
        <w:t>(</w:t>
      </w:r>
      <w:r w:rsidR="00724523" w:rsidRPr="0056261A">
        <w:rPr>
          <w:rStyle w:val="Rimandonotaapidipagina"/>
          <w:rFonts w:ascii="Arial" w:hAnsi="Arial" w:cs="Arial"/>
          <w:sz w:val="24"/>
          <w:szCs w:val="24"/>
        </w:rPr>
        <w:footnoteReference w:id="31"/>
      </w:r>
      <w:r w:rsidR="005F632A">
        <w:rPr>
          <w:rFonts w:ascii="Arial" w:hAnsi="Arial" w:cs="Arial"/>
          <w:sz w:val="24"/>
          <w:szCs w:val="24"/>
        </w:rPr>
        <w:t>)</w:t>
      </w:r>
      <w:r w:rsidR="00234C70" w:rsidRPr="0056261A">
        <w:rPr>
          <w:rFonts w:ascii="Arial" w:hAnsi="Arial" w:cs="Arial"/>
          <w:sz w:val="24"/>
          <w:szCs w:val="24"/>
        </w:rPr>
        <w:t>.</w:t>
      </w:r>
      <w:r w:rsidR="004855EE" w:rsidRPr="0056261A">
        <w:rPr>
          <w:rFonts w:ascii="Arial" w:hAnsi="Arial" w:cs="Arial"/>
          <w:sz w:val="24"/>
          <w:szCs w:val="24"/>
        </w:rPr>
        <w:t xml:space="preserve"> </w:t>
      </w:r>
    </w:p>
    <w:p w:rsidR="00434FBD" w:rsidRPr="0056261A" w:rsidRDefault="00724523" w:rsidP="005F632A">
      <w:pPr>
        <w:spacing w:after="0"/>
        <w:jc w:val="both"/>
        <w:rPr>
          <w:rFonts w:ascii="Arial" w:hAnsi="Arial" w:cs="Arial"/>
          <w:sz w:val="24"/>
          <w:szCs w:val="24"/>
        </w:rPr>
      </w:pPr>
      <w:r w:rsidRPr="0056261A">
        <w:rPr>
          <w:rFonts w:ascii="Arial" w:hAnsi="Arial" w:cs="Arial"/>
          <w:sz w:val="24"/>
          <w:szCs w:val="24"/>
        </w:rPr>
        <w:t xml:space="preserve">Esaminando nello specifico i tre criteri sopra illustrati, </w:t>
      </w:r>
      <w:r w:rsidR="00866769" w:rsidRPr="0056261A">
        <w:rPr>
          <w:rFonts w:ascii="Arial" w:hAnsi="Arial" w:cs="Arial"/>
          <w:sz w:val="24"/>
          <w:szCs w:val="24"/>
        </w:rPr>
        <w:t>da applicarsi, si ripete, in via disgiunta</w:t>
      </w:r>
      <w:r w:rsidR="005F632A">
        <w:rPr>
          <w:rFonts w:ascii="Arial" w:hAnsi="Arial" w:cs="Arial"/>
          <w:sz w:val="24"/>
          <w:szCs w:val="24"/>
        </w:rPr>
        <w:t>(</w:t>
      </w:r>
      <w:r w:rsidR="00814B50" w:rsidRPr="0056261A">
        <w:rPr>
          <w:rStyle w:val="Rimandonotaapidipagina"/>
          <w:rFonts w:ascii="Arial" w:hAnsi="Arial" w:cs="Arial"/>
          <w:sz w:val="24"/>
          <w:szCs w:val="24"/>
        </w:rPr>
        <w:footnoteReference w:id="32"/>
      </w:r>
      <w:r w:rsidR="005F632A">
        <w:rPr>
          <w:rFonts w:ascii="Arial" w:hAnsi="Arial" w:cs="Arial"/>
          <w:sz w:val="24"/>
          <w:szCs w:val="24"/>
        </w:rPr>
        <w:t>)</w:t>
      </w:r>
      <w:r w:rsidR="00866769" w:rsidRPr="0056261A">
        <w:rPr>
          <w:rFonts w:ascii="Arial" w:hAnsi="Arial" w:cs="Arial"/>
          <w:sz w:val="24"/>
          <w:szCs w:val="24"/>
        </w:rPr>
        <w:t xml:space="preserve">, </w:t>
      </w:r>
      <w:r w:rsidRPr="0056261A">
        <w:rPr>
          <w:rFonts w:ascii="Arial" w:hAnsi="Arial" w:cs="Arial"/>
          <w:sz w:val="24"/>
          <w:szCs w:val="24"/>
        </w:rPr>
        <w:t xml:space="preserve">va premesso che la qualificazione formale dell’illecito stabilita dal </w:t>
      </w:r>
      <w:r w:rsidR="005F632A">
        <w:rPr>
          <w:rFonts w:ascii="Arial" w:hAnsi="Arial" w:cs="Arial"/>
          <w:sz w:val="24"/>
          <w:szCs w:val="24"/>
        </w:rPr>
        <w:t>Legislatore</w:t>
      </w:r>
      <w:r w:rsidRPr="0056261A">
        <w:rPr>
          <w:rFonts w:ascii="Arial" w:hAnsi="Arial" w:cs="Arial"/>
          <w:sz w:val="24"/>
          <w:szCs w:val="24"/>
        </w:rPr>
        <w:t xml:space="preserve"> nazionale non viene considerata del tutto irrilevante o neutra ai fini dell’applicazione delle garanzie della Convenzione, poiché laddove l’illecito sia configurato formalmente come penale, </w:t>
      </w:r>
      <w:r w:rsidR="00866769" w:rsidRPr="0056261A">
        <w:rPr>
          <w:rFonts w:ascii="Arial" w:hAnsi="Arial" w:cs="Arial"/>
          <w:sz w:val="24"/>
          <w:szCs w:val="24"/>
        </w:rPr>
        <w:t>tale qualificazione sarà valida anche per la Corte</w:t>
      </w:r>
      <w:r w:rsidR="0060521F" w:rsidRPr="0056261A">
        <w:rPr>
          <w:rFonts w:ascii="Arial" w:hAnsi="Arial" w:cs="Arial"/>
          <w:sz w:val="24"/>
          <w:szCs w:val="24"/>
        </w:rPr>
        <w:t xml:space="preserve"> EDU</w:t>
      </w:r>
      <w:r w:rsidR="00866769" w:rsidRPr="0056261A">
        <w:rPr>
          <w:rFonts w:ascii="Arial" w:hAnsi="Arial" w:cs="Arial"/>
          <w:sz w:val="24"/>
          <w:szCs w:val="24"/>
        </w:rPr>
        <w:t>, senza la necessità di procedere ad ulteriori verifiche, essendo garantita certamente la piena applicabilità delle disposizioni della Convenzione</w:t>
      </w:r>
      <w:r w:rsidR="005F632A">
        <w:rPr>
          <w:rFonts w:ascii="Arial" w:hAnsi="Arial" w:cs="Arial"/>
          <w:sz w:val="24"/>
          <w:szCs w:val="24"/>
        </w:rPr>
        <w:t>(</w:t>
      </w:r>
      <w:r w:rsidR="00C70BB4" w:rsidRPr="0056261A">
        <w:rPr>
          <w:rStyle w:val="Rimandonotaapidipagina"/>
          <w:rFonts w:ascii="Arial" w:hAnsi="Arial" w:cs="Arial"/>
          <w:sz w:val="24"/>
          <w:szCs w:val="24"/>
        </w:rPr>
        <w:footnoteReference w:id="33"/>
      </w:r>
      <w:r w:rsidR="005F632A">
        <w:rPr>
          <w:rFonts w:ascii="Arial" w:hAnsi="Arial" w:cs="Arial"/>
          <w:sz w:val="24"/>
          <w:szCs w:val="24"/>
        </w:rPr>
        <w:t>)</w:t>
      </w:r>
      <w:r w:rsidR="00866769" w:rsidRPr="0056261A">
        <w:rPr>
          <w:rFonts w:ascii="Arial" w:hAnsi="Arial" w:cs="Arial"/>
          <w:sz w:val="24"/>
          <w:szCs w:val="24"/>
        </w:rPr>
        <w:t xml:space="preserve">. </w:t>
      </w:r>
    </w:p>
    <w:p w:rsidR="00814B50" w:rsidRPr="0056261A" w:rsidRDefault="00866769" w:rsidP="005F632A">
      <w:pPr>
        <w:spacing w:after="0"/>
        <w:jc w:val="both"/>
        <w:rPr>
          <w:rFonts w:ascii="Arial" w:hAnsi="Arial" w:cs="Arial"/>
          <w:sz w:val="24"/>
          <w:szCs w:val="24"/>
        </w:rPr>
      </w:pPr>
      <w:r w:rsidRPr="0056261A">
        <w:rPr>
          <w:rFonts w:ascii="Arial" w:hAnsi="Arial" w:cs="Arial"/>
          <w:sz w:val="24"/>
          <w:szCs w:val="24"/>
        </w:rPr>
        <w:t xml:space="preserve">Al cospetto di una sanzione </w:t>
      </w:r>
      <w:r w:rsidR="00554500" w:rsidRPr="0056261A">
        <w:rPr>
          <w:rFonts w:ascii="Arial" w:hAnsi="Arial" w:cs="Arial"/>
          <w:sz w:val="24"/>
          <w:szCs w:val="24"/>
        </w:rPr>
        <w:t xml:space="preserve">qualificata </w:t>
      </w:r>
      <w:r w:rsidRPr="0056261A">
        <w:rPr>
          <w:rFonts w:ascii="Arial" w:hAnsi="Arial" w:cs="Arial"/>
          <w:sz w:val="24"/>
          <w:szCs w:val="24"/>
        </w:rPr>
        <w:t>formalm</w:t>
      </w:r>
      <w:r w:rsidR="00554500" w:rsidRPr="0056261A">
        <w:rPr>
          <w:rFonts w:ascii="Arial" w:hAnsi="Arial" w:cs="Arial"/>
          <w:sz w:val="24"/>
          <w:szCs w:val="24"/>
        </w:rPr>
        <w:t>e</w:t>
      </w:r>
      <w:r w:rsidRPr="0056261A">
        <w:rPr>
          <w:rFonts w:ascii="Arial" w:hAnsi="Arial" w:cs="Arial"/>
          <w:sz w:val="24"/>
          <w:szCs w:val="24"/>
        </w:rPr>
        <w:t xml:space="preserve">nte </w:t>
      </w:r>
      <w:r w:rsidR="00554500" w:rsidRPr="0056261A">
        <w:rPr>
          <w:rFonts w:ascii="Arial" w:hAnsi="Arial" w:cs="Arial"/>
          <w:sz w:val="24"/>
          <w:szCs w:val="24"/>
        </w:rPr>
        <w:t xml:space="preserve">amministrativa – e comunque non penale – è necessario </w:t>
      </w:r>
      <w:r w:rsidR="0060521F" w:rsidRPr="0056261A">
        <w:rPr>
          <w:rFonts w:ascii="Arial" w:hAnsi="Arial" w:cs="Arial"/>
          <w:sz w:val="24"/>
          <w:szCs w:val="24"/>
        </w:rPr>
        <w:t xml:space="preserve">invece stabilire </w:t>
      </w:r>
      <w:r w:rsidR="00554500" w:rsidRPr="0056261A">
        <w:rPr>
          <w:rFonts w:ascii="Arial" w:hAnsi="Arial" w:cs="Arial"/>
          <w:sz w:val="24"/>
          <w:szCs w:val="24"/>
        </w:rPr>
        <w:t xml:space="preserve">la natura dell’illecito, ossia </w:t>
      </w:r>
      <w:r w:rsidR="009732AA" w:rsidRPr="0056261A">
        <w:rPr>
          <w:rFonts w:ascii="Arial" w:hAnsi="Arial" w:cs="Arial"/>
          <w:sz w:val="24"/>
          <w:szCs w:val="24"/>
        </w:rPr>
        <w:t>bisogna</w:t>
      </w:r>
      <w:r w:rsidR="00554500" w:rsidRPr="0056261A">
        <w:rPr>
          <w:rFonts w:ascii="Arial" w:hAnsi="Arial" w:cs="Arial"/>
          <w:sz w:val="24"/>
          <w:szCs w:val="24"/>
        </w:rPr>
        <w:t xml:space="preserve"> </w:t>
      </w:r>
      <w:r w:rsidR="00731D6E" w:rsidRPr="0056261A">
        <w:rPr>
          <w:rFonts w:ascii="Arial" w:hAnsi="Arial" w:cs="Arial"/>
          <w:sz w:val="24"/>
          <w:szCs w:val="24"/>
        </w:rPr>
        <w:t>accertare</w:t>
      </w:r>
      <w:r w:rsidR="00554500" w:rsidRPr="0056261A">
        <w:rPr>
          <w:rFonts w:ascii="Arial" w:hAnsi="Arial" w:cs="Arial"/>
          <w:sz w:val="24"/>
          <w:szCs w:val="24"/>
        </w:rPr>
        <w:t xml:space="preserve"> se con la previsione in oggetto si è inteso reprimere un comportamento assunto come lesivo dei valori condivisi dai consociati, </w:t>
      </w:r>
      <w:r w:rsidR="0060521F" w:rsidRPr="0056261A">
        <w:rPr>
          <w:rFonts w:ascii="Arial" w:hAnsi="Arial" w:cs="Arial"/>
          <w:sz w:val="24"/>
          <w:szCs w:val="24"/>
        </w:rPr>
        <w:t>pun</w:t>
      </w:r>
      <w:r w:rsidR="00814B50" w:rsidRPr="0056261A">
        <w:rPr>
          <w:rFonts w:ascii="Arial" w:hAnsi="Arial" w:cs="Arial"/>
          <w:sz w:val="24"/>
          <w:szCs w:val="24"/>
        </w:rPr>
        <w:t>e</w:t>
      </w:r>
      <w:r w:rsidR="0060521F" w:rsidRPr="0056261A">
        <w:rPr>
          <w:rFonts w:ascii="Arial" w:hAnsi="Arial" w:cs="Arial"/>
          <w:sz w:val="24"/>
          <w:szCs w:val="24"/>
        </w:rPr>
        <w:t>ndo</w:t>
      </w:r>
      <w:r w:rsidR="00814B50" w:rsidRPr="0056261A">
        <w:rPr>
          <w:rFonts w:ascii="Arial" w:hAnsi="Arial" w:cs="Arial"/>
          <w:sz w:val="24"/>
          <w:szCs w:val="24"/>
        </w:rPr>
        <w:t xml:space="preserve"> </w:t>
      </w:r>
      <w:r w:rsidR="00554500" w:rsidRPr="0056261A">
        <w:rPr>
          <w:rFonts w:ascii="Arial" w:hAnsi="Arial" w:cs="Arial"/>
          <w:sz w:val="24"/>
          <w:szCs w:val="24"/>
        </w:rPr>
        <w:t>una condotta riprovevole da un punto di vista giuridico</w:t>
      </w:r>
      <w:r w:rsidR="00C825F7" w:rsidRPr="0056261A">
        <w:rPr>
          <w:rFonts w:ascii="Arial" w:hAnsi="Arial" w:cs="Arial"/>
          <w:sz w:val="24"/>
          <w:szCs w:val="24"/>
        </w:rPr>
        <w:t xml:space="preserve"> in quanto </w:t>
      </w:r>
      <w:r w:rsidR="00554500" w:rsidRPr="0056261A">
        <w:rPr>
          <w:rFonts w:ascii="Arial" w:hAnsi="Arial" w:cs="Arial"/>
          <w:sz w:val="24"/>
          <w:szCs w:val="24"/>
        </w:rPr>
        <w:t xml:space="preserve">lesiva di beni giuridici tutelati, </w:t>
      </w:r>
      <w:r w:rsidR="009732AA" w:rsidRPr="0056261A">
        <w:rPr>
          <w:rFonts w:ascii="Arial" w:hAnsi="Arial" w:cs="Arial"/>
          <w:sz w:val="24"/>
          <w:szCs w:val="24"/>
        </w:rPr>
        <w:t xml:space="preserve">e se tale precetto si rivolge alla generalità dei </w:t>
      </w:r>
      <w:r w:rsidR="00C825F7" w:rsidRPr="0056261A">
        <w:rPr>
          <w:rFonts w:ascii="Arial" w:hAnsi="Arial" w:cs="Arial"/>
          <w:sz w:val="24"/>
          <w:szCs w:val="24"/>
        </w:rPr>
        <w:t>sogget</w:t>
      </w:r>
      <w:r w:rsidR="009732AA" w:rsidRPr="0056261A">
        <w:rPr>
          <w:rFonts w:ascii="Arial" w:hAnsi="Arial" w:cs="Arial"/>
          <w:sz w:val="24"/>
          <w:szCs w:val="24"/>
        </w:rPr>
        <w:t>ti.</w:t>
      </w:r>
      <w:r w:rsidR="00554500" w:rsidRPr="0056261A">
        <w:rPr>
          <w:rFonts w:ascii="Arial" w:hAnsi="Arial" w:cs="Arial"/>
          <w:sz w:val="24"/>
          <w:szCs w:val="24"/>
        </w:rPr>
        <w:t xml:space="preserve"> </w:t>
      </w:r>
      <w:r w:rsidR="00814B50" w:rsidRPr="0056261A">
        <w:rPr>
          <w:rFonts w:ascii="Arial" w:hAnsi="Arial" w:cs="Arial"/>
          <w:sz w:val="24"/>
          <w:szCs w:val="24"/>
        </w:rPr>
        <w:t>Accanto a tale aspetto va poi indagata la funzione della sanzione,</w:t>
      </w:r>
      <w:r w:rsidR="005F632A">
        <w:rPr>
          <w:rFonts w:ascii="Arial" w:hAnsi="Arial" w:cs="Arial"/>
          <w:sz w:val="24"/>
          <w:szCs w:val="24"/>
        </w:rPr>
        <w:t xml:space="preserve"> ossia lo scopo perseguito dal Legislatore</w:t>
      </w:r>
      <w:r w:rsidR="00814B50" w:rsidRPr="0056261A">
        <w:rPr>
          <w:rFonts w:ascii="Arial" w:hAnsi="Arial" w:cs="Arial"/>
          <w:sz w:val="24"/>
          <w:szCs w:val="24"/>
        </w:rPr>
        <w:t xml:space="preserve"> nel </w:t>
      </w:r>
      <w:r w:rsidR="00C612AC" w:rsidRPr="005F632A">
        <w:rPr>
          <w:rFonts w:ascii="Arial" w:hAnsi="Arial" w:cs="Arial"/>
          <w:sz w:val="24"/>
          <w:szCs w:val="24"/>
        </w:rPr>
        <w:t>reprimer</w:t>
      </w:r>
      <w:r w:rsidR="00814B50" w:rsidRPr="005F632A">
        <w:rPr>
          <w:rFonts w:ascii="Arial" w:hAnsi="Arial" w:cs="Arial"/>
          <w:sz w:val="24"/>
          <w:szCs w:val="24"/>
        </w:rPr>
        <w:t xml:space="preserve">e </w:t>
      </w:r>
      <w:r w:rsidR="00814B50" w:rsidRPr="0056261A">
        <w:rPr>
          <w:rFonts w:ascii="Arial" w:hAnsi="Arial" w:cs="Arial"/>
          <w:sz w:val="24"/>
          <w:szCs w:val="24"/>
        </w:rPr>
        <w:t xml:space="preserve">un determinato comportamento. Allorquando la sanzione sia connotata da una funzione preventiva e repressiva, </w:t>
      </w:r>
      <w:r w:rsidR="0060521F" w:rsidRPr="0056261A">
        <w:rPr>
          <w:rFonts w:ascii="Arial" w:hAnsi="Arial" w:cs="Arial"/>
          <w:sz w:val="24"/>
          <w:szCs w:val="24"/>
        </w:rPr>
        <w:t xml:space="preserve">cioè </w:t>
      </w:r>
      <w:r w:rsidR="00814B50" w:rsidRPr="0056261A">
        <w:rPr>
          <w:rFonts w:ascii="Arial" w:hAnsi="Arial" w:cs="Arial"/>
          <w:sz w:val="24"/>
          <w:szCs w:val="24"/>
        </w:rPr>
        <w:t>abbia un carattere marcatamente afflittivo, la stessa rivest</w:t>
      </w:r>
      <w:r w:rsidR="00C825F7" w:rsidRPr="0056261A">
        <w:rPr>
          <w:rFonts w:ascii="Arial" w:hAnsi="Arial" w:cs="Arial"/>
          <w:sz w:val="24"/>
          <w:szCs w:val="24"/>
        </w:rPr>
        <w:t>e</w:t>
      </w:r>
      <w:r w:rsidR="00814B50" w:rsidRPr="0056261A">
        <w:rPr>
          <w:rFonts w:ascii="Arial" w:hAnsi="Arial" w:cs="Arial"/>
          <w:sz w:val="24"/>
          <w:szCs w:val="24"/>
        </w:rPr>
        <w:t xml:space="preserve"> una natura sostan</w:t>
      </w:r>
      <w:r w:rsidR="001915C4" w:rsidRPr="0056261A">
        <w:rPr>
          <w:rFonts w:ascii="Arial" w:hAnsi="Arial" w:cs="Arial"/>
          <w:sz w:val="24"/>
          <w:szCs w:val="24"/>
        </w:rPr>
        <w:t>zialmente penale; soltanto le sanzioni di tipo eminentemente ripristinatorio o riparatorio dovrebbero sfuggire alla sopradetta classificazione, avendo l’obiettivo di reintegrare l’ordine giuridico violato senza alcuna stigmatizzazione della condotta del soggetto sanzionato</w:t>
      </w:r>
      <w:r w:rsidR="005F632A">
        <w:rPr>
          <w:rFonts w:ascii="Arial" w:hAnsi="Arial" w:cs="Arial"/>
          <w:sz w:val="24"/>
          <w:szCs w:val="24"/>
        </w:rPr>
        <w:t>(</w:t>
      </w:r>
      <w:r w:rsidR="0026280D" w:rsidRPr="0056261A">
        <w:rPr>
          <w:rStyle w:val="Rimandonotaapidipagina"/>
          <w:rFonts w:ascii="Arial" w:hAnsi="Arial" w:cs="Arial"/>
          <w:sz w:val="24"/>
          <w:szCs w:val="24"/>
        </w:rPr>
        <w:footnoteReference w:id="34"/>
      </w:r>
      <w:r w:rsidR="005F632A">
        <w:rPr>
          <w:rFonts w:ascii="Arial" w:hAnsi="Arial" w:cs="Arial"/>
          <w:sz w:val="24"/>
          <w:szCs w:val="24"/>
        </w:rPr>
        <w:t>)</w:t>
      </w:r>
      <w:r w:rsidR="001915C4" w:rsidRPr="0056261A">
        <w:rPr>
          <w:rFonts w:ascii="Arial" w:hAnsi="Arial" w:cs="Arial"/>
          <w:sz w:val="24"/>
          <w:szCs w:val="24"/>
        </w:rPr>
        <w:t xml:space="preserve">. </w:t>
      </w:r>
    </w:p>
    <w:p w:rsidR="00866769" w:rsidRPr="0056261A" w:rsidRDefault="001915C4" w:rsidP="005F632A">
      <w:pPr>
        <w:spacing w:after="0"/>
        <w:jc w:val="both"/>
        <w:rPr>
          <w:rFonts w:ascii="Arial" w:hAnsi="Arial" w:cs="Arial"/>
          <w:sz w:val="24"/>
          <w:szCs w:val="24"/>
        </w:rPr>
      </w:pPr>
      <w:r w:rsidRPr="0056261A">
        <w:rPr>
          <w:rFonts w:ascii="Arial" w:hAnsi="Arial" w:cs="Arial"/>
          <w:sz w:val="24"/>
          <w:szCs w:val="24"/>
        </w:rPr>
        <w:t>Al ricorrere di tali elementi</w:t>
      </w:r>
      <w:r w:rsidR="009732AA" w:rsidRPr="0056261A">
        <w:rPr>
          <w:rFonts w:ascii="Arial" w:hAnsi="Arial" w:cs="Arial"/>
          <w:sz w:val="24"/>
          <w:szCs w:val="24"/>
        </w:rPr>
        <w:t xml:space="preserve">, </w:t>
      </w:r>
      <w:r w:rsidRPr="0056261A">
        <w:rPr>
          <w:rFonts w:ascii="Arial" w:hAnsi="Arial" w:cs="Arial"/>
          <w:sz w:val="24"/>
          <w:szCs w:val="24"/>
        </w:rPr>
        <w:t xml:space="preserve">entrambi caratterizzanti la natura dell’illecito, </w:t>
      </w:r>
      <w:r w:rsidR="009732AA" w:rsidRPr="0056261A">
        <w:rPr>
          <w:rFonts w:ascii="Arial" w:hAnsi="Arial" w:cs="Arial"/>
          <w:sz w:val="24"/>
          <w:szCs w:val="24"/>
        </w:rPr>
        <w:t xml:space="preserve">si è al cospetto di una sanzione di matrice penale </w:t>
      </w:r>
      <w:r w:rsidR="00814B50" w:rsidRPr="0056261A">
        <w:rPr>
          <w:rFonts w:ascii="Arial" w:hAnsi="Arial" w:cs="Arial"/>
          <w:sz w:val="24"/>
          <w:szCs w:val="24"/>
        </w:rPr>
        <w:t xml:space="preserve">che, a prescindere dalla sua formale qualificazione </w:t>
      </w:r>
      <w:r w:rsidR="0060521F" w:rsidRPr="0056261A">
        <w:rPr>
          <w:rFonts w:ascii="Arial" w:hAnsi="Arial" w:cs="Arial"/>
          <w:sz w:val="24"/>
          <w:szCs w:val="24"/>
        </w:rPr>
        <w:t xml:space="preserve">per il diritto interno, </w:t>
      </w:r>
      <w:r w:rsidR="00814B50" w:rsidRPr="0056261A">
        <w:rPr>
          <w:rFonts w:ascii="Arial" w:hAnsi="Arial" w:cs="Arial"/>
          <w:sz w:val="24"/>
          <w:szCs w:val="24"/>
        </w:rPr>
        <w:t>è assoggettata alle garanzie di cui agli artt. 6 e 7 della Convenzione</w:t>
      </w:r>
      <w:r w:rsidR="005F632A">
        <w:rPr>
          <w:rFonts w:ascii="Arial" w:hAnsi="Arial" w:cs="Arial"/>
          <w:sz w:val="24"/>
          <w:szCs w:val="24"/>
        </w:rPr>
        <w:t>(</w:t>
      </w:r>
      <w:r w:rsidR="009732AA" w:rsidRPr="0056261A">
        <w:rPr>
          <w:rStyle w:val="Rimandonotaapidipagina"/>
          <w:rFonts w:ascii="Arial" w:hAnsi="Arial" w:cs="Arial"/>
          <w:sz w:val="24"/>
          <w:szCs w:val="24"/>
        </w:rPr>
        <w:footnoteReference w:id="35"/>
      </w:r>
      <w:r w:rsidR="005F632A">
        <w:rPr>
          <w:rFonts w:ascii="Arial" w:hAnsi="Arial" w:cs="Arial"/>
          <w:sz w:val="24"/>
          <w:szCs w:val="24"/>
        </w:rPr>
        <w:t>)</w:t>
      </w:r>
      <w:r w:rsidR="00814B50" w:rsidRPr="0056261A">
        <w:rPr>
          <w:rFonts w:ascii="Arial" w:hAnsi="Arial" w:cs="Arial"/>
          <w:sz w:val="24"/>
          <w:szCs w:val="24"/>
        </w:rPr>
        <w:t>.</w:t>
      </w:r>
    </w:p>
    <w:p w:rsidR="00F8329B" w:rsidRPr="0056261A" w:rsidRDefault="00DD7A25" w:rsidP="000E5B75">
      <w:pPr>
        <w:spacing w:after="0"/>
        <w:jc w:val="both"/>
        <w:rPr>
          <w:rFonts w:ascii="Arial" w:hAnsi="Arial" w:cs="Arial"/>
          <w:sz w:val="24"/>
          <w:szCs w:val="24"/>
        </w:rPr>
      </w:pPr>
      <w:r w:rsidRPr="0056261A">
        <w:rPr>
          <w:rFonts w:ascii="Arial" w:hAnsi="Arial" w:cs="Arial"/>
          <w:sz w:val="24"/>
          <w:szCs w:val="24"/>
        </w:rPr>
        <w:t xml:space="preserve">Infine, deve essere apprezzata la gravità della sanzione, ossia il suo grado di invasività e severità, a prescindere dal suo carattere ripristinatorio o afflittivo, giacché non soltanto la privazione della libertà personale, anche in via indiretta – non prevista nel sistema sanzionatorio amministrativo –, è in grado di </w:t>
      </w:r>
      <w:r w:rsidR="007877AC" w:rsidRPr="0056261A">
        <w:rPr>
          <w:rFonts w:ascii="Arial" w:hAnsi="Arial" w:cs="Arial"/>
          <w:sz w:val="24"/>
          <w:szCs w:val="24"/>
        </w:rPr>
        <w:t xml:space="preserve">gravare in misura rilevante sulla sfera giuridica del destinatario, </w:t>
      </w:r>
      <w:r w:rsidR="0060521F" w:rsidRPr="0056261A">
        <w:rPr>
          <w:rFonts w:ascii="Arial" w:hAnsi="Arial" w:cs="Arial"/>
          <w:sz w:val="24"/>
          <w:szCs w:val="24"/>
        </w:rPr>
        <w:t xml:space="preserve">considerato che </w:t>
      </w:r>
      <w:r w:rsidR="007877AC" w:rsidRPr="0056261A">
        <w:rPr>
          <w:rFonts w:ascii="Arial" w:hAnsi="Arial" w:cs="Arial"/>
          <w:sz w:val="24"/>
          <w:szCs w:val="24"/>
        </w:rPr>
        <w:t xml:space="preserve">in alcuni frangenti misure di tipo patrimoniale o reale possono essere altrettanto </w:t>
      </w:r>
      <w:r w:rsidR="005D2944" w:rsidRPr="0056261A">
        <w:rPr>
          <w:rFonts w:ascii="Arial" w:hAnsi="Arial" w:cs="Arial"/>
          <w:sz w:val="24"/>
          <w:szCs w:val="24"/>
        </w:rPr>
        <w:t xml:space="preserve">(o addirittura </w:t>
      </w:r>
      <w:r w:rsidR="007877AC" w:rsidRPr="0056261A">
        <w:rPr>
          <w:rFonts w:ascii="Arial" w:hAnsi="Arial" w:cs="Arial"/>
          <w:sz w:val="24"/>
          <w:szCs w:val="24"/>
        </w:rPr>
        <w:t>più</w:t>
      </w:r>
      <w:r w:rsidR="005D2944" w:rsidRPr="0056261A">
        <w:rPr>
          <w:rFonts w:ascii="Arial" w:hAnsi="Arial" w:cs="Arial"/>
          <w:sz w:val="24"/>
          <w:szCs w:val="24"/>
        </w:rPr>
        <w:t>)</w:t>
      </w:r>
      <w:r w:rsidR="007877AC" w:rsidRPr="0056261A">
        <w:rPr>
          <w:rFonts w:ascii="Arial" w:hAnsi="Arial" w:cs="Arial"/>
          <w:sz w:val="24"/>
          <w:szCs w:val="24"/>
        </w:rPr>
        <w:t xml:space="preserve"> gravose, soprattutto se connotate da effettività e pervasività</w:t>
      </w:r>
      <w:r w:rsidR="000E5B75">
        <w:rPr>
          <w:rFonts w:ascii="Arial" w:hAnsi="Arial" w:cs="Arial"/>
          <w:sz w:val="24"/>
          <w:szCs w:val="24"/>
        </w:rPr>
        <w:t>(</w:t>
      </w:r>
      <w:r w:rsidR="005D2944" w:rsidRPr="0056261A">
        <w:rPr>
          <w:rStyle w:val="Rimandonotaapidipagina"/>
          <w:rFonts w:ascii="Arial" w:hAnsi="Arial" w:cs="Arial"/>
          <w:sz w:val="24"/>
          <w:szCs w:val="24"/>
        </w:rPr>
        <w:footnoteReference w:id="36"/>
      </w:r>
      <w:r w:rsidR="000E5B75">
        <w:rPr>
          <w:rFonts w:ascii="Arial" w:hAnsi="Arial" w:cs="Arial"/>
          <w:sz w:val="24"/>
          <w:szCs w:val="24"/>
        </w:rPr>
        <w:t>)</w:t>
      </w:r>
      <w:r w:rsidR="007877AC" w:rsidRPr="0056261A">
        <w:rPr>
          <w:rFonts w:ascii="Arial" w:hAnsi="Arial" w:cs="Arial"/>
          <w:sz w:val="24"/>
          <w:szCs w:val="24"/>
        </w:rPr>
        <w:t xml:space="preserve">. La valutazione della gravità della sanzione deve essere compiuta considerando il massimo edittale della pena irrogabile e non quella concretamente applicata e tenendo in debito conto anche la situazione in cui versa il destinatario della sanzione. In tal modo si amplia il ventaglio delle garanzie del singolo, </w:t>
      </w:r>
      <w:r w:rsidR="0060521F" w:rsidRPr="0056261A">
        <w:rPr>
          <w:rFonts w:ascii="Arial" w:hAnsi="Arial" w:cs="Arial"/>
          <w:sz w:val="24"/>
          <w:szCs w:val="24"/>
        </w:rPr>
        <w:t>vis</w:t>
      </w:r>
      <w:r w:rsidR="007877AC" w:rsidRPr="0056261A">
        <w:rPr>
          <w:rFonts w:ascii="Arial" w:hAnsi="Arial" w:cs="Arial"/>
          <w:sz w:val="24"/>
          <w:szCs w:val="24"/>
        </w:rPr>
        <w:t xml:space="preserve">to che gli elementi rilevanti sono considerati nella misura più favorevole per questi nonostante ciò determini una incoerenza applicativa dei criteri sopra menzionati, ossia </w:t>
      </w:r>
      <w:r w:rsidR="000D5942" w:rsidRPr="0056261A">
        <w:rPr>
          <w:rFonts w:ascii="Arial" w:hAnsi="Arial" w:cs="Arial"/>
          <w:sz w:val="24"/>
          <w:szCs w:val="24"/>
        </w:rPr>
        <w:t xml:space="preserve">la pervasività della sanzione </w:t>
      </w:r>
      <w:r w:rsidR="00766045" w:rsidRPr="0056261A">
        <w:rPr>
          <w:rFonts w:ascii="Arial" w:hAnsi="Arial" w:cs="Arial"/>
          <w:sz w:val="24"/>
          <w:szCs w:val="24"/>
        </w:rPr>
        <w:t>viene valutata in astratto, mentre l</w:t>
      </w:r>
      <w:r w:rsidR="000D5942" w:rsidRPr="0056261A">
        <w:rPr>
          <w:rFonts w:ascii="Arial" w:hAnsi="Arial" w:cs="Arial"/>
          <w:sz w:val="24"/>
          <w:szCs w:val="24"/>
        </w:rPr>
        <w:t>a situazione del soggetto passivo</w:t>
      </w:r>
      <w:r w:rsidR="00766045" w:rsidRPr="0056261A">
        <w:rPr>
          <w:rFonts w:ascii="Arial" w:hAnsi="Arial" w:cs="Arial"/>
          <w:sz w:val="24"/>
          <w:szCs w:val="24"/>
        </w:rPr>
        <w:t xml:space="preserve"> </w:t>
      </w:r>
      <w:r w:rsidR="00C825F7" w:rsidRPr="0056261A">
        <w:rPr>
          <w:rFonts w:ascii="Arial" w:hAnsi="Arial" w:cs="Arial"/>
          <w:sz w:val="24"/>
          <w:szCs w:val="24"/>
        </w:rPr>
        <w:t xml:space="preserve">rileva da un punto di vista </w:t>
      </w:r>
      <w:r w:rsidR="00766045" w:rsidRPr="0056261A">
        <w:rPr>
          <w:rFonts w:ascii="Arial" w:hAnsi="Arial" w:cs="Arial"/>
          <w:sz w:val="24"/>
          <w:szCs w:val="24"/>
        </w:rPr>
        <w:t>concreto</w:t>
      </w:r>
      <w:r w:rsidR="000D5942" w:rsidRPr="0056261A">
        <w:rPr>
          <w:rFonts w:ascii="Arial" w:hAnsi="Arial" w:cs="Arial"/>
          <w:sz w:val="24"/>
          <w:szCs w:val="24"/>
        </w:rPr>
        <w:t>.</w:t>
      </w:r>
      <w:r w:rsidR="007877AC" w:rsidRPr="0056261A">
        <w:rPr>
          <w:rFonts w:ascii="Arial" w:hAnsi="Arial" w:cs="Arial"/>
          <w:sz w:val="24"/>
          <w:szCs w:val="24"/>
        </w:rPr>
        <w:t xml:space="preserve"> </w:t>
      </w:r>
    </w:p>
    <w:p w:rsidR="00F8329B" w:rsidRPr="0056261A" w:rsidRDefault="00F8329B" w:rsidP="000E5B75">
      <w:pPr>
        <w:spacing w:after="0"/>
        <w:jc w:val="both"/>
        <w:rPr>
          <w:rFonts w:ascii="Arial" w:hAnsi="Arial" w:cs="Arial"/>
          <w:sz w:val="24"/>
          <w:szCs w:val="24"/>
        </w:rPr>
      </w:pPr>
      <w:r w:rsidRPr="0056261A">
        <w:rPr>
          <w:rFonts w:ascii="Arial" w:hAnsi="Arial" w:cs="Arial"/>
          <w:sz w:val="24"/>
          <w:szCs w:val="24"/>
        </w:rPr>
        <w:t>Quanto evidenziato</w:t>
      </w:r>
      <w:r w:rsidR="00766045" w:rsidRPr="0056261A">
        <w:rPr>
          <w:rFonts w:ascii="Arial" w:hAnsi="Arial" w:cs="Arial"/>
          <w:sz w:val="24"/>
          <w:szCs w:val="24"/>
        </w:rPr>
        <w:t xml:space="preserve"> </w:t>
      </w:r>
      <w:r w:rsidRPr="0056261A">
        <w:rPr>
          <w:rFonts w:ascii="Arial" w:hAnsi="Arial" w:cs="Arial"/>
          <w:sz w:val="24"/>
          <w:szCs w:val="24"/>
        </w:rPr>
        <w:t>determina l’obbligatoria riconduzione all’ambito penalistico, con tutte le inevitabili conseguenze, della pressoché totalità delle sanzioni amministrative pecuniarie, stante la loro natura afflittiva e deterrente</w:t>
      </w:r>
      <w:r w:rsidR="002171D5" w:rsidRPr="0056261A">
        <w:rPr>
          <w:rFonts w:ascii="Arial" w:hAnsi="Arial" w:cs="Arial"/>
          <w:sz w:val="24"/>
          <w:szCs w:val="24"/>
        </w:rPr>
        <w:t>, salvo i rari casi in cui emerga con evidenza</w:t>
      </w:r>
      <w:r w:rsidRPr="0056261A">
        <w:rPr>
          <w:rFonts w:ascii="Arial" w:hAnsi="Arial" w:cs="Arial"/>
          <w:sz w:val="24"/>
          <w:szCs w:val="24"/>
        </w:rPr>
        <w:t xml:space="preserve"> una </w:t>
      </w:r>
      <w:r w:rsidR="002171D5" w:rsidRPr="0056261A">
        <w:rPr>
          <w:rFonts w:ascii="Arial" w:hAnsi="Arial" w:cs="Arial"/>
          <w:sz w:val="24"/>
          <w:szCs w:val="24"/>
        </w:rPr>
        <w:t xml:space="preserve">loro </w:t>
      </w:r>
      <w:r w:rsidRPr="0056261A">
        <w:rPr>
          <w:rFonts w:ascii="Arial" w:hAnsi="Arial" w:cs="Arial"/>
          <w:sz w:val="24"/>
          <w:szCs w:val="24"/>
        </w:rPr>
        <w:t>funzione risarcitoria o ripristinatoria</w:t>
      </w:r>
      <w:r w:rsidR="000E5B75">
        <w:rPr>
          <w:rFonts w:ascii="Arial" w:hAnsi="Arial" w:cs="Arial"/>
          <w:sz w:val="24"/>
          <w:szCs w:val="24"/>
        </w:rPr>
        <w:t>(</w:t>
      </w:r>
      <w:r w:rsidR="00AB38DE" w:rsidRPr="0056261A">
        <w:rPr>
          <w:rStyle w:val="Rimandonotaapidipagina"/>
          <w:rFonts w:ascii="Arial" w:hAnsi="Arial" w:cs="Arial"/>
          <w:sz w:val="24"/>
          <w:szCs w:val="24"/>
        </w:rPr>
        <w:footnoteReference w:id="37"/>
      </w:r>
      <w:r w:rsidR="000E5B75">
        <w:rPr>
          <w:rFonts w:ascii="Arial" w:hAnsi="Arial" w:cs="Arial"/>
          <w:sz w:val="24"/>
          <w:szCs w:val="24"/>
        </w:rPr>
        <w:t>)</w:t>
      </w:r>
      <w:r w:rsidRPr="0056261A">
        <w:rPr>
          <w:rFonts w:ascii="Arial" w:hAnsi="Arial" w:cs="Arial"/>
          <w:sz w:val="24"/>
          <w:szCs w:val="24"/>
        </w:rPr>
        <w:t>.</w:t>
      </w:r>
    </w:p>
    <w:p w:rsidR="00F8329B" w:rsidRPr="0056261A" w:rsidRDefault="00F8329B" w:rsidP="000E5B75">
      <w:pPr>
        <w:spacing w:after="0"/>
        <w:jc w:val="both"/>
        <w:rPr>
          <w:rFonts w:ascii="Arial" w:hAnsi="Arial" w:cs="Arial"/>
          <w:sz w:val="24"/>
          <w:szCs w:val="24"/>
        </w:rPr>
      </w:pPr>
      <w:r w:rsidRPr="0056261A">
        <w:rPr>
          <w:rFonts w:ascii="Arial" w:hAnsi="Arial" w:cs="Arial"/>
          <w:sz w:val="24"/>
          <w:szCs w:val="24"/>
        </w:rPr>
        <w:t xml:space="preserve">All’interno della più ampia categoria di sanzione “penale”, poi, la giurisprudenza della Corte EDU distingue tra un diritto penale in senso stretto </w:t>
      </w:r>
      <w:r w:rsidRPr="000E5B75">
        <w:rPr>
          <w:rFonts w:ascii="Arial" w:hAnsi="Arial" w:cs="Arial"/>
          <w:i/>
          <w:sz w:val="24"/>
          <w:szCs w:val="24"/>
        </w:rPr>
        <w:t>(“</w:t>
      </w:r>
      <w:r w:rsidRPr="0056261A">
        <w:rPr>
          <w:rFonts w:ascii="Arial" w:hAnsi="Arial" w:cs="Arial"/>
          <w:i/>
          <w:sz w:val="24"/>
          <w:szCs w:val="24"/>
        </w:rPr>
        <w:t xml:space="preserve">hard core of </w:t>
      </w:r>
      <w:proofErr w:type="spellStart"/>
      <w:r w:rsidRPr="0056261A">
        <w:rPr>
          <w:rFonts w:ascii="Arial" w:hAnsi="Arial" w:cs="Arial"/>
          <w:i/>
          <w:sz w:val="24"/>
          <w:szCs w:val="24"/>
        </w:rPr>
        <w:t>criminal</w:t>
      </w:r>
      <w:proofErr w:type="spellEnd"/>
      <w:r w:rsidRPr="0056261A">
        <w:rPr>
          <w:rFonts w:ascii="Arial" w:hAnsi="Arial" w:cs="Arial"/>
          <w:i/>
          <w:sz w:val="24"/>
          <w:szCs w:val="24"/>
        </w:rPr>
        <w:t xml:space="preserve"> law</w:t>
      </w:r>
      <w:r w:rsidRPr="000E5B75">
        <w:rPr>
          <w:rFonts w:ascii="Arial" w:hAnsi="Arial" w:cs="Arial"/>
          <w:i/>
          <w:sz w:val="24"/>
          <w:szCs w:val="24"/>
        </w:rPr>
        <w:t>”)</w:t>
      </w:r>
      <w:r w:rsidRPr="0056261A">
        <w:rPr>
          <w:rFonts w:ascii="Arial" w:hAnsi="Arial" w:cs="Arial"/>
          <w:sz w:val="24"/>
          <w:szCs w:val="24"/>
        </w:rPr>
        <w:t xml:space="preserve"> e casi </w:t>
      </w:r>
      <w:r w:rsidR="00BB65D2" w:rsidRPr="0056261A">
        <w:rPr>
          <w:rFonts w:ascii="Arial" w:hAnsi="Arial" w:cs="Arial"/>
          <w:sz w:val="24"/>
          <w:szCs w:val="24"/>
        </w:rPr>
        <w:t>di minore rilevanza</w:t>
      </w:r>
      <w:r w:rsidRPr="0056261A">
        <w:rPr>
          <w:rFonts w:ascii="Arial" w:hAnsi="Arial" w:cs="Arial"/>
          <w:sz w:val="24"/>
          <w:szCs w:val="24"/>
        </w:rPr>
        <w:t xml:space="preserve"> </w:t>
      </w:r>
      <w:r w:rsidRPr="000E5B75">
        <w:rPr>
          <w:rFonts w:ascii="Arial" w:hAnsi="Arial" w:cs="Arial"/>
          <w:i/>
          <w:sz w:val="24"/>
          <w:szCs w:val="24"/>
        </w:rPr>
        <w:t>(“</w:t>
      </w:r>
      <w:r w:rsidRPr="0056261A">
        <w:rPr>
          <w:rFonts w:ascii="Arial" w:hAnsi="Arial" w:cs="Arial"/>
          <w:i/>
          <w:sz w:val="24"/>
          <w:szCs w:val="24"/>
        </w:rPr>
        <w:t xml:space="preserve">minor </w:t>
      </w:r>
      <w:proofErr w:type="spellStart"/>
      <w:r w:rsidRPr="0056261A">
        <w:rPr>
          <w:rFonts w:ascii="Arial" w:hAnsi="Arial" w:cs="Arial"/>
          <w:i/>
          <w:sz w:val="24"/>
          <w:szCs w:val="24"/>
        </w:rPr>
        <w:t>offences</w:t>
      </w:r>
      <w:proofErr w:type="spellEnd"/>
      <w:r w:rsidRPr="000E5B75">
        <w:rPr>
          <w:rFonts w:ascii="Arial" w:hAnsi="Arial" w:cs="Arial"/>
          <w:i/>
          <w:sz w:val="24"/>
          <w:szCs w:val="24"/>
        </w:rPr>
        <w:t>”)</w:t>
      </w:r>
      <w:r w:rsidR="00BB65D2" w:rsidRPr="0056261A">
        <w:rPr>
          <w:rFonts w:ascii="Arial" w:hAnsi="Arial" w:cs="Arial"/>
          <w:sz w:val="24"/>
          <w:szCs w:val="24"/>
        </w:rPr>
        <w:t>, ovvero dai quali non discendono gravi conseguenze per i destinatari</w:t>
      </w:r>
      <w:r w:rsidRPr="0056261A">
        <w:rPr>
          <w:rFonts w:ascii="Arial" w:hAnsi="Arial" w:cs="Arial"/>
          <w:sz w:val="24"/>
          <w:szCs w:val="24"/>
        </w:rPr>
        <w:t>.</w:t>
      </w:r>
      <w:r w:rsidR="00BB65D2" w:rsidRPr="0056261A">
        <w:rPr>
          <w:rFonts w:ascii="Arial" w:hAnsi="Arial" w:cs="Arial"/>
          <w:sz w:val="24"/>
          <w:szCs w:val="24"/>
        </w:rPr>
        <w:t xml:space="preserve"> Da un punto di vista concreto, in ragione della eccessiva aleatorietà dei criteri distintivi</w:t>
      </w:r>
      <w:r w:rsidR="000E5B75">
        <w:rPr>
          <w:rFonts w:ascii="Arial" w:hAnsi="Arial" w:cs="Arial"/>
          <w:sz w:val="24"/>
          <w:szCs w:val="24"/>
        </w:rPr>
        <w:t>(</w:t>
      </w:r>
      <w:r w:rsidR="00C70BB4" w:rsidRPr="0056261A">
        <w:rPr>
          <w:rStyle w:val="Rimandonotaapidipagina"/>
          <w:rFonts w:ascii="Arial" w:hAnsi="Arial" w:cs="Arial"/>
          <w:sz w:val="24"/>
          <w:szCs w:val="24"/>
        </w:rPr>
        <w:footnoteReference w:id="38"/>
      </w:r>
      <w:r w:rsidR="000E5B75">
        <w:rPr>
          <w:rFonts w:ascii="Arial" w:hAnsi="Arial" w:cs="Arial"/>
          <w:sz w:val="24"/>
          <w:szCs w:val="24"/>
        </w:rPr>
        <w:t>)</w:t>
      </w:r>
      <w:r w:rsidR="00BB65D2" w:rsidRPr="0056261A">
        <w:rPr>
          <w:rFonts w:ascii="Arial" w:hAnsi="Arial" w:cs="Arial"/>
          <w:sz w:val="24"/>
          <w:szCs w:val="24"/>
        </w:rPr>
        <w:t xml:space="preserve">, risulta molto difficile individuare i casi appartenenti all’una o all’altra categoria e, prendendo a modello i </w:t>
      </w:r>
      <w:r w:rsidR="000E5B75">
        <w:rPr>
          <w:rFonts w:ascii="Arial" w:hAnsi="Arial" w:cs="Arial"/>
          <w:sz w:val="24"/>
          <w:szCs w:val="24"/>
        </w:rPr>
        <w:t>criteri applicati dalla Corte EDU</w:t>
      </w:r>
      <w:r w:rsidR="00BB65D2" w:rsidRPr="0056261A">
        <w:rPr>
          <w:rFonts w:ascii="Arial" w:hAnsi="Arial" w:cs="Arial"/>
          <w:sz w:val="24"/>
          <w:szCs w:val="24"/>
        </w:rPr>
        <w:t xml:space="preserve">, </w:t>
      </w:r>
      <w:r w:rsidR="00766045" w:rsidRPr="0056261A">
        <w:rPr>
          <w:rFonts w:ascii="Arial" w:hAnsi="Arial" w:cs="Arial"/>
          <w:sz w:val="24"/>
          <w:szCs w:val="24"/>
        </w:rPr>
        <w:t>appare</w:t>
      </w:r>
      <w:r w:rsidR="00BB65D2" w:rsidRPr="0056261A">
        <w:rPr>
          <w:rFonts w:ascii="Arial" w:hAnsi="Arial" w:cs="Arial"/>
          <w:sz w:val="24"/>
          <w:szCs w:val="24"/>
        </w:rPr>
        <w:t xml:space="preserve"> molto probabile che la gran parte degli illeciti </w:t>
      </w:r>
      <w:r w:rsidR="00766045" w:rsidRPr="0056261A">
        <w:rPr>
          <w:rFonts w:ascii="Arial" w:hAnsi="Arial" w:cs="Arial"/>
          <w:sz w:val="24"/>
          <w:szCs w:val="24"/>
        </w:rPr>
        <w:t>ver</w:t>
      </w:r>
      <w:r w:rsidR="00BB65D2" w:rsidRPr="0056261A">
        <w:rPr>
          <w:rFonts w:ascii="Arial" w:hAnsi="Arial" w:cs="Arial"/>
          <w:sz w:val="24"/>
          <w:szCs w:val="24"/>
        </w:rPr>
        <w:t>rà ascritta alla prima categoria, quella del diritto penale in senso stretto, confermandosi in tal modo il livello massimo delle garanzie convenzionali.</w:t>
      </w:r>
    </w:p>
    <w:p w:rsidR="00F8329B" w:rsidRPr="0056261A" w:rsidRDefault="00F31098" w:rsidP="000E5B75">
      <w:pPr>
        <w:spacing w:after="0"/>
        <w:jc w:val="both"/>
        <w:rPr>
          <w:rFonts w:ascii="Arial" w:hAnsi="Arial" w:cs="Arial"/>
          <w:sz w:val="24"/>
          <w:szCs w:val="24"/>
        </w:rPr>
      </w:pPr>
      <w:r w:rsidRPr="0056261A">
        <w:rPr>
          <w:rFonts w:ascii="Arial" w:hAnsi="Arial" w:cs="Arial"/>
          <w:sz w:val="24"/>
          <w:szCs w:val="24"/>
        </w:rPr>
        <w:t xml:space="preserve">La citata distinzione </w:t>
      </w:r>
      <w:r w:rsidR="00766045" w:rsidRPr="0056261A">
        <w:rPr>
          <w:rFonts w:ascii="Arial" w:hAnsi="Arial" w:cs="Arial"/>
          <w:sz w:val="24"/>
          <w:szCs w:val="24"/>
        </w:rPr>
        <w:t xml:space="preserve">assume grande </w:t>
      </w:r>
      <w:r w:rsidRPr="0056261A">
        <w:rPr>
          <w:rFonts w:ascii="Arial" w:hAnsi="Arial" w:cs="Arial"/>
          <w:sz w:val="24"/>
          <w:szCs w:val="24"/>
        </w:rPr>
        <w:t>rilevan</w:t>
      </w:r>
      <w:r w:rsidR="00766045" w:rsidRPr="0056261A">
        <w:rPr>
          <w:rFonts w:ascii="Arial" w:hAnsi="Arial" w:cs="Arial"/>
          <w:sz w:val="24"/>
          <w:szCs w:val="24"/>
        </w:rPr>
        <w:t>za co</w:t>
      </w:r>
      <w:r w:rsidR="00FC2500" w:rsidRPr="0056261A">
        <w:rPr>
          <w:rFonts w:ascii="Arial" w:hAnsi="Arial" w:cs="Arial"/>
          <w:sz w:val="24"/>
          <w:szCs w:val="24"/>
        </w:rPr>
        <w:t xml:space="preserve">n riferimento </w:t>
      </w:r>
      <w:r w:rsidRPr="0056261A">
        <w:rPr>
          <w:rFonts w:ascii="Arial" w:hAnsi="Arial" w:cs="Arial"/>
          <w:sz w:val="24"/>
          <w:szCs w:val="24"/>
        </w:rPr>
        <w:t>ai procedimenti amministrativo, prima, e giurisdizionale, poi, con i quali viene applicata la sanz</w:t>
      </w:r>
      <w:r w:rsidR="00F23F9A" w:rsidRPr="0056261A">
        <w:rPr>
          <w:rFonts w:ascii="Arial" w:hAnsi="Arial" w:cs="Arial"/>
          <w:sz w:val="24"/>
          <w:szCs w:val="24"/>
        </w:rPr>
        <w:t>ione: n</w:t>
      </w:r>
      <w:r w:rsidR="00F8329B" w:rsidRPr="0056261A">
        <w:rPr>
          <w:rFonts w:ascii="Arial" w:hAnsi="Arial" w:cs="Arial"/>
          <w:sz w:val="24"/>
          <w:szCs w:val="24"/>
        </w:rPr>
        <w:t xml:space="preserve">el c.d. </w:t>
      </w:r>
      <w:r w:rsidR="00F8329B" w:rsidRPr="0056261A">
        <w:rPr>
          <w:rFonts w:ascii="Arial" w:hAnsi="Arial" w:cs="Arial"/>
          <w:i/>
          <w:sz w:val="24"/>
          <w:szCs w:val="24"/>
        </w:rPr>
        <w:t>hard core</w:t>
      </w:r>
      <w:r w:rsidR="00F23F9A" w:rsidRPr="0056261A">
        <w:rPr>
          <w:rFonts w:ascii="Arial" w:hAnsi="Arial" w:cs="Arial"/>
          <w:i/>
          <w:sz w:val="24"/>
          <w:szCs w:val="24"/>
        </w:rPr>
        <w:t xml:space="preserve"> of </w:t>
      </w:r>
      <w:proofErr w:type="spellStart"/>
      <w:r w:rsidR="00F23F9A" w:rsidRPr="0056261A">
        <w:rPr>
          <w:rFonts w:ascii="Arial" w:hAnsi="Arial" w:cs="Arial"/>
          <w:i/>
          <w:sz w:val="24"/>
          <w:szCs w:val="24"/>
        </w:rPr>
        <w:t>criminal</w:t>
      </w:r>
      <w:proofErr w:type="spellEnd"/>
      <w:r w:rsidR="00F23F9A" w:rsidRPr="0056261A">
        <w:rPr>
          <w:rFonts w:ascii="Arial" w:hAnsi="Arial" w:cs="Arial"/>
          <w:i/>
          <w:sz w:val="24"/>
          <w:szCs w:val="24"/>
        </w:rPr>
        <w:t xml:space="preserve"> law</w:t>
      </w:r>
      <w:r w:rsidR="00F8329B" w:rsidRPr="0056261A">
        <w:rPr>
          <w:rFonts w:ascii="Arial" w:hAnsi="Arial" w:cs="Arial"/>
          <w:sz w:val="24"/>
          <w:szCs w:val="24"/>
        </w:rPr>
        <w:t xml:space="preserve">, le garanzie </w:t>
      </w:r>
      <w:r w:rsidR="00F23F9A" w:rsidRPr="0056261A">
        <w:rPr>
          <w:rFonts w:ascii="Arial" w:hAnsi="Arial" w:cs="Arial"/>
          <w:sz w:val="24"/>
          <w:szCs w:val="24"/>
        </w:rPr>
        <w:t>procedimentali, mutuate dal processo penale, devono essere completamente e integralmente applicate già in fase procedimentale amministrativa, non essendo sufficiente un loro – tardivo – recupero nella successiva (eventuale) fase giudiziale</w:t>
      </w:r>
      <w:r w:rsidR="000E5B75">
        <w:rPr>
          <w:rFonts w:ascii="Arial" w:hAnsi="Arial" w:cs="Arial"/>
          <w:sz w:val="24"/>
          <w:szCs w:val="24"/>
        </w:rPr>
        <w:t>(</w:t>
      </w:r>
      <w:r w:rsidR="002E2A3E" w:rsidRPr="0056261A">
        <w:rPr>
          <w:rStyle w:val="Rimandonotaapidipagina"/>
          <w:rFonts w:ascii="Arial" w:hAnsi="Arial" w:cs="Arial"/>
          <w:sz w:val="24"/>
          <w:szCs w:val="24"/>
        </w:rPr>
        <w:footnoteReference w:id="39"/>
      </w:r>
      <w:r w:rsidR="000E5B75">
        <w:rPr>
          <w:rFonts w:ascii="Arial" w:hAnsi="Arial" w:cs="Arial"/>
          <w:sz w:val="24"/>
          <w:szCs w:val="24"/>
        </w:rPr>
        <w:t>)</w:t>
      </w:r>
      <w:r w:rsidR="00F23F9A" w:rsidRPr="0056261A">
        <w:rPr>
          <w:rFonts w:ascii="Arial" w:hAnsi="Arial" w:cs="Arial"/>
          <w:sz w:val="24"/>
          <w:szCs w:val="24"/>
        </w:rPr>
        <w:t>; mentre</w:t>
      </w:r>
      <w:r w:rsidR="00766045" w:rsidRPr="0056261A">
        <w:rPr>
          <w:rFonts w:ascii="Arial" w:hAnsi="Arial" w:cs="Arial"/>
          <w:sz w:val="24"/>
          <w:szCs w:val="24"/>
        </w:rPr>
        <w:t>,</w:t>
      </w:r>
      <w:r w:rsidR="00F23F9A" w:rsidRPr="0056261A">
        <w:rPr>
          <w:rFonts w:ascii="Arial" w:hAnsi="Arial" w:cs="Arial"/>
          <w:sz w:val="24"/>
          <w:szCs w:val="24"/>
        </w:rPr>
        <w:t xml:space="preserve"> per le questioni di minore impatto</w:t>
      </w:r>
      <w:r w:rsidR="00766045" w:rsidRPr="0056261A">
        <w:rPr>
          <w:rFonts w:ascii="Arial" w:hAnsi="Arial" w:cs="Arial"/>
          <w:sz w:val="24"/>
          <w:szCs w:val="24"/>
        </w:rPr>
        <w:t>,</w:t>
      </w:r>
      <w:r w:rsidR="00F23F9A" w:rsidRPr="0056261A">
        <w:rPr>
          <w:rFonts w:ascii="Arial" w:hAnsi="Arial" w:cs="Arial"/>
          <w:sz w:val="24"/>
          <w:szCs w:val="24"/>
        </w:rPr>
        <w:t xml:space="preserve"> la caren</w:t>
      </w:r>
      <w:r w:rsidR="00766045" w:rsidRPr="0056261A">
        <w:rPr>
          <w:rFonts w:ascii="Arial" w:hAnsi="Arial" w:cs="Arial"/>
          <w:sz w:val="24"/>
          <w:szCs w:val="24"/>
        </w:rPr>
        <w:t xml:space="preserve">za </w:t>
      </w:r>
      <w:r w:rsidR="00F23F9A" w:rsidRPr="0056261A">
        <w:rPr>
          <w:rFonts w:ascii="Arial" w:hAnsi="Arial" w:cs="Arial"/>
          <w:sz w:val="24"/>
          <w:szCs w:val="24"/>
        </w:rPr>
        <w:t xml:space="preserve">delle garanzie in fase </w:t>
      </w:r>
      <w:r w:rsidR="00F23F9A" w:rsidRPr="000E5B75">
        <w:rPr>
          <w:rFonts w:ascii="Arial" w:hAnsi="Arial" w:cs="Arial"/>
          <w:sz w:val="24"/>
          <w:szCs w:val="24"/>
        </w:rPr>
        <w:t>a</w:t>
      </w:r>
      <w:r w:rsidR="00F8329B" w:rsidRPr="000E5B75">
        <w:rPr>
          <w:rFonts w:ascii="Arial" w:hAnsi="Arial" w:cs="Arial"/>
          <w:sz w:val="24"/>
          <w:szCs w:val="24"/>
        </w:rPr>
        <w:t xml:space="preserve">mministrativa </w:t>
      </w:r>
      <w:r w:rsidR="00F23F9A" w:rsidRPr="000E5B75">
        <w:rPr>
          <w:rFonts w:ascii="Arial" w:hAnsi="Arial" w:cs="Arial"/>
          <w:sz w:val="24"/>
          <w:szCs w:val="24"/>
        </w:rPr>
        <w:t>può</w:t>
      </w:r>
      <w:r w:rsidR="00F23F9A" w:rsidRPr="0056261A">
        <w:rPr>
          <w:rFonts w:ascii="Arial" w:hAnsi="Arial" w:cs="Arial"/>
          <w:sz w:val="24"/>
          <w:szCs w:val="24"/>
        </w:rPr>
        <w:t xml:space="preserve"> essere sanata in sede giurisdizionale, purché in tale sede </w:t>
      </w:r>
      <w:r w:rsidR="00F8329B" w:rsidRPr="0056261A">
        <w:rPr>
          <w:rFonts w:ascii="Arial" w:hAnsi="Arial" w:cs="Arial"/>
          <w:sz w:val="24"/>
          <w:szCs w:val="24"/>
        </w:rPr>
        <w:t>sia consentito al giudice di entrare nel merito della questione ed effettuare una valutazione piena della stessa</w:t>
      </w:r>
      <w:r w:rsidR="00FC2500" w:rsidRPr="0056261A">
        <w:rPr>
          <w:rFonts w:ascii="Arial" w:hAnsi="Arial" w:cs="Arial"/>
          <w:sz w:val="24"/>
          <w:szCs w:val="24"/>
        </w:rPr>
        <w:t>, sostituendosi pienamente all’Amministrazione procedente</w:t>
      </w:r>
      <w:r w:rsidR="000E5B75">
        <w:rPr>
          <w:rFonts w:ascii="Arial" w:hAnsi="Arial" w:cs="Arial"/>
          <w:sz w:val="24"/>
          <w:szCs w:val="24"/>
        </w:rPr>
        <w:t>(</w:t>
      </w:r>
      <w:r w:rsidR="00F23F9A" w:rsidRPr="0056261A">
        <w:rPr>
          <w:rStyle w:val="Rimandonotaapidipagina"/>
          <w:rFonts w:ascii="Arial" w:hAnsi="Arial" w:cs="Arial"/>
          <w:sz w:val="24"/>
          <w:szCs w:val="24"/>
        </w:rPr>
        <w:footnoteReference w:id="40"/>
      </w:r>
      <w:r w:rsidR="000E5B75">
        <w:rPr>
          <w:rFonts w:ascii="Arial" w:hAnsi="Arial" w:cs="Arial"/>
          <w:sz w:val="24"/>
          <w:szCs w:val="24"/>
        </w:rPr>
        <w:t>)</w:t>
      </w:r>
      <w:r w:rsidR="00F23F9A" w:rsidRPr="0056261A">
        <w:rPr>
          <w:rFonts w:ascii="Arial" w:hAnsi="Arial" w:cs="Arial"/>
          <w:sz w:val="24"/>
          <w:szCs w:val="24"/>
        </w:rPr>
        <w:t>.</w:t>
      </w:r>
      <w:r w:rsidR="00FC2500" w:rsidRPr="0056261A">
        <w:rPr>
          <w:rFonts w:ascii="Arial" w:hAnsi="Arial" w:cs="Arial"/>
          <w:sz w:val="24"/>
          <w:szCs w:val="24"/>
        </w:rPr>
        <w:t xml:space="preserve"> Con riguardo alla prima categoria, la conseguenza della mancata osservanza delle garanzie procedimentali </w:t>
      </w:r>
      <w:r w:rsidR="00D53606" w:rsidRPr="0056261A">
        <w:rPr>
          <w:rFonts w:ascii="Arial" w:hAnsi="Arial" w:cs="Arial"/>
          <w:sz w:val="24"/>
          <w:szCs w:val="24"/>
        </w:rPr>
        <w:t xml:space="preserve">in sede amministrativa </w:t>
      </w:r>
      <w:r w:rsidR="00FC2500" w:rsidRPr="0056261A">
        <w:rPr>
          <w:rFonts w:ascii="Arial" w:hAnsi="Arial" w:cs="Arial"/>
          <w:sz w:val="24"/>
          <w:szCs w:val="24"/>
        </w:rPr>
        <w:t xml:space="preserve">determina l’annullamento </w:t>
      </w:r>
      <w:r w:rsidR="00766045" w:rsidRPr="0056261A">
        <w:rPr>
          <w:rFonts w:ascii="Arial" w:hAnsi="Arial" w:cs="Arial"/>
          <w:i/>
          <w:sz w:val="24"/>
          <w:szCs w:val="24"/>
        </w:rPr>
        <w:t>sic et simpliciter</w:t>
      </w:r>
      <w:r w:rsidR="00766045" w:rsidRPr="0056261A">
        <w:rPr>
          <w:rFonts w:ascii="Arial" w:hAnsi="Arial" w:cs="Arial"/>
          <w:sz w:val="24"/>
          <w:szCs w:val="24"/>
        </w:rPr>
        <w:t xml:space="preserve"> </w:t>
      </w:r>
      <w:r w:rsidR="00FC2500" w:rsidRPr="0056261A">
        <w:rPr>
          <w:rFonts w:ascii="Arial" w:hAnsi="Arial" w:cs="Arial"/>
          <w:sz w:val="24"/>
          <w:szCs w:val="24"/>
        </w:rPr>
        <w:t xml:space="preserve">della sanzione irrogata </w:t>
      </w:r>
      <w:r w:rsidR="00D53606" w:rsidRPr="0056261A">
        <w:rPr>
          <w:rFonts w:ascii="Arial" w:hAnsi="Arial" w:cs="Arial"/>
          <w:sz w:val="24"/>
          <w:szCs w:val="24"/>
        </w:rPr>
        <w:t xml:space="preserve">da parte del giudice, senza la possibilità di procedere, in sede giurisdizionale, ad un esame controfattuale della vicenda e </w:t>
      </w:r>
      <w:r w:rsidR="003751EF" w:rsidRPr="0056261A">
        <w:rPr>
          <w:rFonts w:ascii="Arial" w:hAnsi="Arial" w:cs="Arial"/>
          <w:sz w:val="24"/>
          <w:szCs w:val="24"/>
        </w:rPr>
        <w:t xml:space="preserve">perciò </w:t>
      </w:r>
      <w:r w:rsidR="00C612AC" w:rsidRPr="000E5B75">
        <w:rPr>
          <w:rFonts w:ascii="Arial" w:hAnsi="Arial" w:cs="Arial"/>
          <w:sz w:val="24"/>
          <w:szCs w:val="24"/>
        </w:rPr>
        <w:t>potere</w:t>
      </w:r>
      <w:r w:rsidR="00C612AC" w:rsidRPr="0056261A">
        <w:rPr>
          <w:rFonts w:ascii="Arial" w:hAnsi="Arial" w:cs="Arial"/>
          <w:sz w:val="24"/>
          <w:szCs w:val="24"/>
        </w:rPr>
        <w:t xml:space="preserve"> </w:t>
      </w:r>
      <w:r w:rsidR="00D53606" w:rsidRPr="0056261A">
        <w:rPr>
          <w:rFonts w:ascii="Arial" w:hAnsi="Arial" w:cs="Arial"/>
          <w:sz w:val="24"/>
          <w:szCs w:val="24"/>
        </w:rPr>
        <w:t xml:space="preserve">confermare </w:t>
      </w:r>
      <w:r w:rsidR="00D53606" w:rsidRPr="0056261A">
        <w:rPr>
          <w:rFonts w:ascii="Arial" w:hAnsi="Arial" w:cs="Arial"/>
          <w:i/>
          <w:sz w:val="24"/>
          <w:szCs w:val="24"/>
        </w:rPr>
        <w:t>ex post</w:t>
      </w:r>
      <w:r w:rsidR="00D53606" w:rsidRPr="0056261A">
        <w:rPr>
          <w:rFonts w:ascii="Arial" w:hAnsi="Arial" w:cs="Arial"/>
          <w:sz w:val="24"/>
          <w:szCs w:val="24"/>
        </w:rPr>
        <w:t xml:space="preserve"> la legittimità sostanziale della pena inflitta.</w:t>
      </w:r>
      <w:r w:rsidR="002171D5" w:rsidRPr="0056261A">
        <w:rPr>
          <w:rFonts w:ascii="Arial" w:hAnsi="Arial" w:cs="Arial"/>
          <w:sz w:val="24"/>
          <w:szCs w:val="24"/>
        </w:rPr>
        <w:t xml:space="preserve"> Il predetto annullamento della sanzione non consente </w:t>
      </w:r>
      <w:r w:rsidR="003751EF" w:rsidRPr="0056261A">
        <w:rPr>
          <w:rFonts w:ascii="Arial" w:hAnsi="Arial" w:cs="Arial"/>
          <w:sz w:val="24"/>
          <w:szCs w:val="24"/>
        </w:rPr>
        <w:t>poi</w:t>
      </w:r>
      <w:r w:rsidR="002171D5" w:rsidRPr="0056261A">
        <w:rPr>
          <w:rFonts w:ascii="Arial" w:hAnsi="Arial" w:cs="Arial"/>
          <w:sz w:val="24"/>
          <w:szCs w:val="24"/>
        </w:rPr>
        <w:t xml:space="preserve"> di riavviare nuovamente il procedimento sanzionatorio, emendandolo dai vizi riscontrati, stante l’applicabilità in materia penale</w:t>
      </w:r>
      <w:r w:rsidR="00F65E88" w:rsidRPr="0056261A">
        <w:rPr>
          <w:rFonts w:ascii="Arial" w:hAnsi="Arial" w:cs="Arial"/>
          <w:sz w:val="24"/>
          <w:szCs w:val="24"/>
        </w:rPr>
        <w:t xml:space="preserve"> (e amministrativ</w:t>
      </w:r>
      <w:r w:rsidR="00766045" w:rsidRPr="0056261A">
        <w:rPr>
          <w:rFonts w:ascii="Arial" w:hAnsi="Arial" w:cs="Arial"/>
          <w:sz w:val="24"/>
          <w:szCs w:val="24"/>
        </w:rPr>
        <w:t>o</w:t>
      </w:r>
      <w:r w:rsidR="00F65E88" w:rsidRPr="0056261A">
        <w:rPr>
          <w:rFonts w:ascii="Arial" w:hAnsi="Arial" w:cs="Arial"/>
          <w:sz w:val="24"/>
          <w:szCs w:val="24"/>
        </w:rPr>
        <w:t>-penale)</w:t>
      </w:r>
      <w:r w:rsidR="002171D5" w:rsidRPr="0056261A">
        <w:rPr>
          <w:rFonts w:ascii="Arial" w:hAnsi="Arial" w:cs="Arial"/>
          <w:sz w:val="24"/>
          <w:szCs w:val="24"/>
        </w:rPr>
        <w:t xml:space="preserve"> del principio del </w:t>
      </w:r>
      <w:r w:rsidR="002171D5" w:rsidRPr="0056261A">
        <w:rPr>
          <w:rFonts w:ascii="Arial" w:hAnsi="Arial" w:cs="Arial"/>
          <w:i/>
          <w:sz w:val="24"/>
          <w:szCs w:val="24"/>
        </w:rPr>
        <w:t>ne bis in idem</w:t>
      </w:r>
      <w:r w:rsidR="000E5B75" w:rsidRPr="000E5B75">
        <w:rPr>
          <w:rFonts w:ascii="Arial" w:hAnsi="Arial" w:cs="Arial"/>
          <w:sz w:val="24"/>
          <w:szCs w:val="24"/>
        </w:rPr>
        <w:t>(</w:t>
      </w:r>
      <w:r w:rsidR="004E5B53" w:rsidRPr="000E5B75">
        <w:rPr>
          <w:rStyle w:val="Rimandonotaapidipagina"/>
          <w:rFonts w:ascii="Arial" w:hAnsi="Arial" w:cs="Arial"/>
          <w:sz w:val="24"/>
          <w:szCs w:val="24"/>
        </w:rPr>
        <w:footnoteReference w:id="41"/>
      </w:r>
      <w:r w:rsidR="000E5B75" w:rsidRPr="000E5B75">
        <w:rPr>
          <w:rFonts w:ascii="Arial" w:hAnsi="Arial" w:cs="Arial"/>
          <w:sz w:val="24"/>
          <w:szCs w:val="24"/>
        </w:rPr>
        <w:t>)</w:t>
      </w:r>
      <w:r w:rsidR="004E5B53" w:rsidRPr="0056261A">
        <w:rPr>
          <w:rFonts w:ascii="Arial" w:hAnsi="Arial" w:cs="Arial"/>
          <w:sz w:val="24"/>
          <w:szCs w:val="24"/>
        </w:rPr>
        <w:t xml:space="preserve"> che impedisce di punire</w:t>
      </w:r>
      <w:r w:rsidR="00F65E88" w:rsidRPr="0056261A">
        <w:rPr>
          <w:rFonts w:ascii="Arial" w:hAnsi="Arial" w:cs="Arial"/>
          <w:sz w:val="24"/>
          <w:szCs w:val="24"/>
        </w:rPr>
        <w:t xml:space="preserve"> due volte </w:t>
      </w:r>
      <w:r w:rsidR="004E5B53" w:rsidRPr="0056261A">
        <w:rPr>
          <w:rFonts w:ascii="Arial" w:hAnsi="Arial" w:cs="Arial"/>
          <w:sz w:val="24"/>
          <w:szCs w:val="24"/>
        </w:rPr>
        <w:t>la stessa violazione di tipo sostanziale</w:t>
      </w:r>
      <w:r w:rsidR="000E5B75">
        <w:rPr>
          <w:rFonts w:ascii="Arial" w:hAnsi="Arial" w:cs="Arial"/>
          <w:sz w:val="24"/>
          <w:szCs w:val="24"/>
        </w:rPr>
        <w:t>(</w:t>
      </w:r>
      <w:r w:rsidR="00B94604" w:rsidRPr="0056261A">
        <w:rPr>
          <w:rStyle w:val="Rimandonotaapidipagina"/>
          <w:rFonts w:ascii="Arial" w:hAnsi="Arial" w:cs="Arial"/>
          <w:sz w:val="24"/>
          <w:szCs w:val="24"/>
        </w:rPr>
        <w:footnoteReference w:id="42"/>
      </w:r>
      <w:r w:rsidR="000E5B75">
        <w:rPr>
          <w:rFonts w:ascii="Arial" w:hAnsi="Arial" w:cs="Arial"/>
          <w:sz w:val="24"/>
          <w:szCs w:val="24"/>
        </w:rPr>
        <w:t>)</w:t>
      </w:r>
      <w:r w:rsidR="004E5B53" w:rsidRPr="0056261A">
        <w:rPr>
          <w:rFonts w:ascii="Arial" w:hAnsi="Arial" w:cs="Arial"/>
          <w:sz w:val="24"/>
          <w:szCs w:val="24"/>
        </w:rPr>
        <w:t>.</w:t>
      </w:r>
      <w:r w:rsidR="002171D5" w:rsidRPr="0056261A">
        <w:rPr>
          <w:rFonts w:ascii="Arial" w:hAnsi="Arial" w:cs="Arial"/>
          <w:sz w:val="24"/>
          <w:szCs w:val="24"/>
        </w:rPr>
        <w:t xml:space="preserve"> </w:t>
      </w:r>
    </w:p>
    <w:p w:rsidR="00434FBD" w:rsidRPr="0056261A" w:rsidRDefault="00434FBD" w:rsidP="000E70CA">
      <w:pPr>
        <w:spacing w:after="0"/>
        <w:ind w:firstLine="644"/>
        <w:jc w:val="both"/>
        <w:rPr>
          <w:rFonts w:ascii="Arial" w:hAnsi="Arial" w:cs="Arial"/>
          <w:sz w:val="24"/>
          <w:szCs w:val="24"/>
        </w:rPr>
      </w:pPr>
    </w:p>
    <w:p w:rsidR="00F8329B" w:rsidRPr="000E5B75" w:rsidRDefault="00F65E88" w:rsidP="000E5B75">
      <w:pPr>
        <w:pStyle w:val="Paragrafoelenco"/>
        <w:numPr>
          <w:ilvl w:val="0"/>
          <w:numId w:val="2"/>
        </w:numPr>
        <w:spacing w:after="0"/>
        <w:ind w:left="426" w:hanging="426"/>
        <w:jc w:val="both"/>
        <w:rPr>
          <w:rFonts w:ascii="Arial" w:hAnsi="Arial" w:cs="Arial"/>
          <w:smallCaps/>
          <w:sz w:val="24"/>
          <w:szCs w:val="24"/>
        </w:rPr>
      </w:pPr>
      <w:r w:rsidRPr="000E5B75">
        <w:rPr>
          <w:rFonts w:ascii="Arial" w:hAnsi="Arial" w:cs="Arial"/>
          <w:smallCaps/>
          <w:sz w:val="24"/>
          <w:szCs w:val="24"/>
        </w:rPr>
        <w:t>La giurisprudenza costituzionale relativa alle sanzioni amministrative.</w:t>
      </w:r>
    </w:p>
    <w:p w:rsidR="00F8329B" w:rsidRPr="0056261A" w:rsidRDefault="00F8329B" w:rsidP="000E70CA">
      <w:pPr>
        <w:spacing w:after="0"/>
        <w:ind w:firstLine="644"/>
        <w:jc w:val="both"/>
        <w:rPr>
          <w:rFonts w:ascii="Arial" w:hAnsi="Arial" w:cs="Arial"/>
          <w:sz w:val="24"/>
          <w:szCs w:val="24"/>
        </w:rPr>
      </w:pPr>
    </w:p>
    <w:p w:rsidR="00F65E88" w:rsidRPr="0056261A" w:rsidRDefault="00862792" w:rsidP="000E5B75">
      <w:pPr>
        <w:spacing w:after="0"/>
        <w:jc w:val="both"/>
        <w:rPr>
          <w:rFonts w:ascii="Arial" w:hAnsi="Arial" w:cs="Arial"/>
          <w:sz w:val="24"/>
          <w:szCs w:val="24"/>
        </w:rPr>
      </w:pPr>
      <w:r>
        <w:rPr>
          <w:rFonts w:ascii="Arial" w:hAnsi="Arial" w:cs="Arial"/>
          <w:sz w:val="24"/>
          <w:szCs w:val="24"/>
        </w:rPr>
        <w:t>La Corte C</w:t>
      </w:r>
      <w:r w:rsidR="00F65E88" w:rsidRPr="0056261A">
        <w:rPr>
          <w:rFonts w:ascii="Arial" w:hAnsi="Arial" w:cs="Arial"/>
          <w:sz w:val="24"/>
          <w:szCs w:val="24"/>
        </w:rPr>
        <w:t xml:space="preserve">ostituzionale in plurime occasioni è stata chiamata ad occuparsi dello statuto costituzionale della sanzioni amministrative e negli ultimi anni anche della conformità del sistema sanzionatorio italiano ai principi introdotti dalla giurisprudenza della Corte EDU a partire dalla citata sentenza sul </w:t>
      </w:r>
      <w:r w:rsidR="00F65E88" w:rsidRPr="006D42CD">
        <w:rPr>
          <w:rFonts w:ascii="Arial" w:hAnsi="Arial" w:cs="Arial"/>
          <w:sz w:val="24"/>
          <w:szCs w:val="24"/>
        </w:rPr>
        <w:t>“caso Engel”.</w:t>
      </w:r>
    </w:p>
    <w:p w:rsidR="005351EC" w:rsidRPr="0056261A" w:rsidRDefault="00C550DE" w:rsidP="006D42CD">
      <w:pPr>
        <w:spacing w:after="0"/>
        <w:jc w:val="both"/>
        <w:rPr>
          <w:rFonts w:ascii="Arial" w:hAnsi="Arial" w:cs="Arial"/>
          <w:sz w:val="24"/>
          <w:szCs w:val="24"/>
        </w:rPr>
      </w:pPr>
      <w:r w:rsidRPr="0056261A">
        <w:rPr>
          <w:rFonts w:ascii="Arial" w:hAnsi="Arial" w:cs="Arial"/>
          <w:sz w:val="24"/>
          <w:szCs w:val="24"/>
        </w:rPr>
        <w:t xml:space="preserve">Appare utile chiarire già in premessa che la giurisprudenza costituzionale non ha ancora raggiunto un approdo definitivo e coerente in relazione alla </w:t>
      </w:r>
      <w:r w:rsidR="005351EC" w:rsidRPr="0056261A">
        <w:rPr>
          <w:rFonts w:ascii="Arial" w:hAnsi="Arial" w:cs="Arial"/>
          <w:sz w:val="24"/>
          <w:szCs w:val="24"/>
        </w:rPr>
        <w:t xml:space="preserve">esatta disciplina </w:t>
      </w:r>
      <w:r w:rsidRPr="0056261A">
        <w:rPr>
          <w:rFonts w:ascii="Arial" w:hAnsi="Arial" w:cs="Arial"/>
          <w:sz w:val="24"/>
          <w:szCs w:val="24"/>
        </w:rPr>
        <w:t>delle sanzioni amministrative e al loro rapporto con i principi costituzionali di matrice penalistica, sia sostanziale che processuale, oscillando tra l’adesione alle decisioni sovranazionali e la rivendicazione d</w:t>
      </w:r>
      <w:r w:rsidR="005351EC" w:rsidRPr="0056261A">
        <w:rPr>
          <w:rFonts w:ascii="Arial" w:hAnsi="Arial" w:cs="Arial"/>
          <w:sz w:val="24"/>
          <w:szCs w:val="24"/>
        </w:rPr>
        <w:t>ell’</w:t>
      </w:r>
      <w:r w:rsidRPr="0056261A">
        <w:rPr>
          <w:rFonts w:ascii="Arial" w:hAnsi="Arial" w:cs="Arial"/>
          <w:sz w:val="24"/>
          <w:szCs w:val="24"/>
        </w:rPr>
        <w:t xml:space="preserve">autonomia del sistema sanzionatorio (amministrativo) interno, evidenziando che </w:t>
      </w:r>
      <w:r w:rsidR="006D42CD">
        <w:rPr>
          <w:rFonts w:ascii="Arial" w:hAnsi="Arial" w:cs="Arial"/>
          <w:sz w:val="24"/>
          <w:szCs w:val="24"/>
        </w:rPr>
        <w:t>“</w:t>
      </w:r>
      <w:r w:rsidRPr="006D42CD">
        <w:rPr>
          <w:rFonts w:ascii="Arial" w:hAnsi="Arial" w:cs="Arial"/>
          <w:sz w:val="24"/>
          <w:szCs w:val="24"/>
        </w:rPr>
        <w:t>la giurisprudenza della Corte europea non ha mai avuto ad oggetto il sistema delle sanzioni amministrative complessivamente considerato, bensì singole e specifiche discipline sanzionatorie, ed in particolare quelle che, pur qualificandosi come amministrative ai sensi dell’ordinamento interno, siano idonee ad acquisire caratteristiche “punitive” alla luce dell’ordinamento convenzionale</w:t>
      </w:r>
      <w:r w:rsidR="006D42CD">
        <w:rPr>
          <w:rFonts w:ascii="Arial" w:hAnsi="Arial" w:cs="Arial"/>
          <w:sz w:val="24"/>
          <w:szCs w:val="24"/>
        </w:rPr>
        <w:t>”(</w:t>
      </w:r>
      <w:r w:rsidRPr="006D42CD">
        <w:rPr>
          <w:rStyle w:val="Rimandonotaapidipagina"/>
          <w:rFonts w:ascii="Arial" w:hAnsi="Arial" w:cs="Arial"/>
          <w:sz w:val="24"/>
          <w:szCs w:val="24"/>
        </w:rPr>
        <w:footnoteReference w:id="43"/>
      </w:r>
      <w:r w:rsidR="006D42CD">
        <w:rPr>
          <w:rFonts w:ascii="Arial" w:hAnsi="Arial" w:cs="Arial"/>
          <w:sz w:val="24"/>
          <w:szCs w:val="24"/>
        </w:rPr>
        <w:t>)</w:t>
      </w:r>
      <w:r w:rsidR="005351EC" w:rsidRPr="006D42CD">
        <w:rPr>
          <w:rFonts w:ascii="Arial" w:hAnsi="Arial" w:cs="Arial"/>
          <w:sz w:val="24"/>
          <w:szCs w:val="24"/>
        </w:rPr>
        <w:t>.</w:t>
      </w:r>
    </w:p>
    <w:p w:rsidR="00F65E88" w:rsidRPr="0056261A" w:rsidRDefault="005351EC" w:rsidP="006D42CD">
      <w:pPr>
        <w:spacing w:after="0"/>
        <w:jc w:val="both"/>
        <w:rPr>
          <w:rFonts w:ascii="Arial" w:hAnsi="Arial" w:cs="Arial"/>
          <w:sz w:val="24"/>
          <w:szCs w:val="24"/>
        </w:rPr>
      </w:pPr>
      <w:r w:rsidRPr="0056261A">
        <w:rPr>
          <w:rFonts w:ascii="Arial" w:hAnsi="Arial" w:cs="Arial"/>
          <w:sz w:val="24"/>
          <w:szCs w:val="24"/>
        </w:rPr>
        <w:t>Si può avviare l’indagine prendendo in esame la giurisprudenza costituzionale che ha sostenuto</w:t>
      </w:r>
      <w:r w:rsidR="002E2A3E" w:rsidRPr="0056261A">
        <w:rPr>
          <w:rFonts w:ascii="Arial" w:hAnsi="Arial" w:cs="Arial"/>
          <w:sz w:val="24"/>
          <w:szCs w:val="24"/>
        </w:rPr>
        <w:t>,</w:t>
      </w:r>
      <w:r w:rsidRPr="0056261A">
        <w:rPr>
          <w:rFonts w:ascii="Arial" w:hAnsi="Arial" w:cs="Arial"/>
          <w:sz w:val="24"/>
          <w:szCs w:val="24"/>
        </w:rPr>
        <w:t xml:space="preserve"> </w:t>
      </w:r>
      <w:r w:rsidR="00766045" w:rsidRPr="0056261A">
        <w:rPr>
          <w:rFonts w:ascii="Arial" w:hAnsi="Arial" w:cs="Arial"/>
          <w:sz w:val="24"/>
          <w:szCs w:val="24"/>
        </w:rPr>
        <w:t>in un primo tempo</w:t>
      </w:r>
      <w:r w:rsidR="002E2A3E" w:rsidRPr="0056261A">
        <w:rPr>
          <w:rFonts w:ascii="Arial" w:hAnsi="Arial" w:cs="Arial"/>
          <w:sz w:val="24"/>
          <w:szCs w:val="24"/>
        </w:rPr>
        <w:t>,</w:t>
      </w:r>
      <w:r w:rsidR="00766045" w:rsidRPr="0056261A">
        <w:rPr>
          <w:rFonts w:ascii="Arial" w:hAnsi="Arial" w:cs="Arial"/>
          <w:sz w:val="24"/>
          <w:szCs w:val="24"/>
        </w:rPr>
        <w:t xml:space="preserve"> </w:t>
      </w:r>
      <w:r w:rsidRPr="0056261A">
        <w:rPr>
          <w:rFonts w:ascii="Arial" w:hAnsi="Arial" w:cs="Arial"/>
          <w:sz w:val="24"/>
          <w:szCs w:val="24"/>
        </w:rPr>
        <w:t xml:space="preserve">la vigenza del principio di stretta legalità in materia </w:t>
      </w:r>
      <w:r w:rsidR="00C612AC" w:rsidRPr="006D42CD">
        <w:rPr>
          <w:rFonts w:ascii="Arial" w:hAnsi="Arial" w:cs="Arial"/>
          <w:sz w:val="24"/>
          <w:szCs w:val="24"/>
        </w:rPr>
        <w:t>di</w:t>
      </w:r>
      <w:r w:rsidR="00C612AC" w:rsidRPr="0056261A">
        <w:rPr>
          <w:rFonts w:ascii="Arial" w:hAnsi="Arial" w:cs="Arial"/>
          <w:sz w:val="24"/>
          <w:szCs w:val="24"/>
        </w:rPr>
        <w:t xml:space="preserve"> sanzioni</w:t>
      </w:r>
      <w:r w:rsidRPr="0056261A">
        <w:rPr>
          <w:rFonts w:ascii="Arial" w:hAnsi="Arial" w:cs="Arial"/>
          <w:sz w:val="24"/>
          <w:szCs w:val="24"/>
        </w:rPr>
        <w:t xml:space="preserve"> amministrativ</w:t>
      </w:r>
      <w:r w:rsidR="00C612AC" w:rsidRPr="0056261A">
        <w:rPr>
          <w:rFonts w:ascii="Arial" w:hAnsi="Arial" w:cs="Arial"/>
          <w:sz w:val="24"/>
          <w:szCs w:val="24"/>
        </w:rPr>
        <w:t>e</w:t>
      </w:r>
      <w:r w:rsidRPr="0056261A">
        <w:rPr>
          <w:rFonts w:ascii="Arial" w:hAnsi="Arial" w:cs="Arial"/>
          <w:sz w:val="24"/>
          <w:szCs w:val="24"/>
        </w:rPr>
        <w:t xml:space="preserve"> pecuniari</w:t>
      </w:r>
      <w:r w:rsidR="00C612AC" w:rsidRPr="0056261A">
        <w:rPr>
          <w:rFonts w:ascii="Arial" w:hAnsi="Arial" w:cs="Arial"/>
          <w:sz w:val="24"/>
          <w:szCs w:val="24"/>
        </w:rPr>
        <w:t>e</w:t>
      </w:r>
      <w:r w:rsidR="006D42CD">
        <w:rPr>
          <w:rFonts w:ascii="Arial" w:hAnsi="Arial" w:cs="Arial"/>
          <w:sz w:val="24"/>
          <w:szCs w:val="24"/>
        </w:rPr>
        <w:t>(</w:t>
      </w:r>
      <w:r w:rsidRPr="0056261A">
        <w:rPr>
          <w:rStyle w:val="Rimandonotaapidipagina"/>
          <w:rFonts w:ascii="Arial" w:hAnsi="Arial" w:cs="Arial"/>
          <w:sz w:val="24"/>
          <w:szCs w:val="24"/>
        </w:rPr>
        <w:footnoteReference w:id="44"/>
      </w:r>
      <w:r w:rsidR="006D42CD">
        <w:rPr>
          <w:rFonts w:ascii="Arial" w:hAnsi="Arial" w:cs="Arial"/>
          <w:sz w:val="24"/>
          <w:szCs w:val="24"/>
        </w:rPr>
        <w:t>)</w:t>
      </w:r>
      <w:r w:rsidRPr="0056261A">
        <w:rPr>
          <w:rFonts w:ascii="Arial" w:hAnsi="Arial" w:cs="Arial"/>
          <w:sz w:val="24"/>
          <w:szCs w:val="24"/>
        </w:rPr>
        <w:t xml:space="preserve">, ponendo a </w:t>
      </w:r>
      <w:r w:rsidR="00D82BBB" w:rsidRPr="0056261A">
        <w:rPr>
          <w:rFonts w:ascii="Arial" w:hAnsi="Arial" w:cs="Arial"/>
          <w:sz w:val="24"/>
          <w:szCs w:val="24"/>
        </w:rPr>
        <w:t>fondamento</w:t>
      </w:r>
      <w:r w:rsidRPr="0056261A">
        <w:rPr>
          <w:rFonts w:ascii="Arial" w:hAnsi="Arial" w:cs="Arial"/>
          <w:sz w:val="24"/>
          <w:szCs w:val="24"/>
        </w:rPr>
        <w:t xml:space="preserve"> delle proprie conclusioni </w:t>
      </w:r>
      <w:r w:rsidR="00D82BBB" w:rsidRPr="0056261A">
        <w:rPr>
          <w:rFonts w:ascii="Arial" w:hAnsi="Arial" w:cs="Arial"/>
          <w:sz w:val="24"/>
          <w:szCs w:val="24"/>
        </w:rPr>
        <w:t>l’</w:t>
      </w:r>
      <w:r w:rsidRPr="0056261A">
        <w:rPr>
          <w:rFonts w:ascii="Arial" w:hAnsi="Arial" w:cs="Arial"/>
          <w:sz w:val="24"/>
          <w:szCs w:val="24"/>
        </w:rPr>
        <w:t xml:space="preserve">art. 1, secondo comma, della </w:t>
      </w:r>
      <w:r w:rsidR="006F617E">
        <w:rPr>
          <w:rFonts w:ascii="Arial" w:hAnsi="Arial" w:cs="Arial"/>
          <w:sz w:val="24"/>
          <w:szCs w:val="24"/>
        </w:rPr>
        <w:t>Legge</w:t>
      </w:r>
      <w:r w:rsidRPr="0056261A">
        <w:rPr>
          <w:rFonts w:ascii="Arial" w:hAnsi="Arial" w:cs="Arial"/>
          <w:sz w:val="24"/>
          <w:szCs w:val="24"/>
        </w:rPr>
        <w:t xml:space="preserve"> n. 689 del 1981, che, in materia di sanzioni amministrative pecuniarie, </w:t>
      </w:r>
      <w:r w:rsidR="00D82BBB" w:rsidRPr="006D42CD">
        <w:rPr>
          <w:rFonts w:ascii="Arial" w:hAnsi="Arial" w:cs="Arial"/>
          <w:sz w:val="24"/>
          <w:szCs w:val="24"/>
        </w:rPr>
        <w:t>“</w:t>
      </w:r>
      <w:r w:rsidRPr="006D42CD">
        <w:rPr>
          <w:rFonts w:ascii="Arial" w:hAnsi="Arial" w:cs="Arial"/>
          <w:sz w:val="24"/>
          <w:szCs w:val="24"/>
        </w:rPr>
        <w:t xml:space="preserve">ha posto in via generale il principio di stretta legalità, con il conseguente assoggettamento della violazione alla </w:t>
      </w:r>
      <w:r w:rsidR="006F617E" w:rsidRPr="006D42CD">
        <w:rPr>
          <w:rFonts w:ascii="Arial" w:hAnsi="Arial" w:cs="Arial"/>
          <w:sz w:val="24"/>
          <w:szCs w:val="24"/>
        </w:rPr>
        <w:t>Legge</w:t>
      </w:r>
      <w:r w:rsidRPr="006D42CD">
        <w:rPr>
          <w:rFonts w:ascii="Arial" w:hAnsi="Arial" w:cs="Arial"/>
          <w:sz w:val="24"/>
          <w:szCs w:val="24"/>
        </w:rPr>
        <w:t xml:space="preserve"> del tempo del suo verificarsi e con la correlativa inapplicabilità della eventuale disciplina posteriore più favorevole</w:t>
      </w:r>
      <w:r w:rsidR="00D82BBB" w:rsidRPr="006D42CD">
        <w:rPr>
          <w:rFonts w:ascii="Arial" w:hAnsi="Arial" w:cs="Arial"/>
          <w:sz w:val="24"/>
          <w:szCs w:val="24"/>
        </w:rPr>
        <w:t>”</w:t>
      </w:r>
      <w:r w:rsidRPr="006D42CD">
        <w:rPr>
          <w:rFonts w:ascii="Arial" w:hAnsi="Arial" w:cs="Arial"/>
          <w:sz w:val="24"/>
          <w:szCs w:val="24"/>
        </w:rPr>
        <w:t>;</w:t>
      </w:r>
      <w:r w:rsidR="00D82BBB" w:rsidRPr="0056261A">
        <w:rPr>
          <w:rFonts w:ascii="Arial" w:hAnsi="Arial" w:cs="Arial"/>
          <w:sz w:val="24"/>
          <w:szCs w:val="24"/>
        </w:rPr>
        <w:t xml:space="preserve"> il principio contenuto nella </w:t>
      </w:r>
      <w:r w:rsidR="006F617E">
        <w:rPr>
          <w:rFonts w:ascii="Arial" w:hAnsi="Arial" w:cs="Arial"/>
          <w:sz w:val="24"/>
          <w:szCs w:val="24"/>
        </w:rPr>
        <w:t>Legge</w:t>
      </w:r>
      <w:r w:rsidR="00D82BBB" w:rsidRPr="0056261A">
        <w:rPr>
          <w:rFonts w:ascii="Arial" w:hAnsi="Arial" w:cs="Arial"/>
          <w:sz w:val="24"/>
          <w:szCs w:val="24"/>
        </w:rPr>
        <w:t xml:space="preserve"> n. 689, </w:t>
      </w:r>
      <w:r w:rsidRPr="0056261A">
        <w:rPr>
          <w:rFonts w:ascii="Arial" w:hAnsi="Arial" w:cs="Arial"/>
          <w:sz w:val="24"/>
          <w:szCs w:val="24"/>
        </w:rPr>
        <w:t xml:space="preserve">che </w:t>
      </w:r>
      <w:r w:rsidR="00D82BBB" w:rsidRPr="0056261A">
        <w:rPr>
          <w:rFonts w:ascii="Arial" w:hAnsi="Arial" w:cs="Arial"/>
          <w:sz w:val="24"/>
          <w:szCs w:val="24"/>
        </w:rPr>
        <w:t>rappresenta la</w:t>
      </w:r>
      <w:r w:rsidRPr="0056261A">
        <w:rPr>
          <w:rFonts w:ascii="Arial" w:hAnsi="Arial" w:cs="Arial"/>
          <w:sz w:val="24"/>
          <w:szCs w:val="24"/>
        </w:rPr>
        <w:t xml:space="preserve"> disciplina generale e di principio delle sanzioni amministrative pecuniarie</w:t>
      </w:r>
      <w:r w:rsidR="00D82BBB" w:rsidRPr="0056261A">
        <w:rPr>
          <w:rFonts w:ascii="Arial" w:hAnsi="Arial" w:cs="Arial"/>
          <w:sz w:val="24"/>
          <w:szCs w:val="24"/>
        </w:rPr>
        <w:t xml:space="preserve">, non trova alcun limite costituzionale implicito o esplicito, in assenza di indici contrari, e pertanto, </w:t>
      </w:r>
      <w:r w:rsidRPr="0056261A">
        <w:rPr>
          <w:rFonts w:ascii="Arial" w:hAnsi="Arial" w:cs="Arial"/>
          <w:sz w:val="24"/>
          <w:szCs w:val="24"/>
        </w:rPr>
        <w:t xml:space="preserve">in caso di successione di leggi nel tempo, </w:t>
      </w:r>
      <w:r w:rsidR="00D82BBB" w:rsidRPr="0056261A">
        <w:rPr>
          <w:rFonts w:ascii="Arial" w:hAnsi="Arial" w:cs="Arial"/>
          <w:sz w:val="24"/>
          <w:szCs w:val="24"/>
        </w:rPr>
        <w:t xml:space="preserve">non può ritenersi imposto alcun vincolo in capo al </w:t>
      </w:r>
      <w:r w:rsidR="005F632A">
        <w:rPr>
          <w:rFonts w:ascii="Arial" w:hAnsi="Arial" w:cs="Arial"/>
          <w:sz w:val="24"/>
          <w:szCs w:val="24"/>
        </w:rPr>
        <w:t>Legislatore</w:t>
      </w:r>
      <w:r w:rsidR="00D82BBB" w:rsidRPr="0056261A">
        <w:rPr>
          <w:rFonts w:ascii="Arial" w:hAnsi="Arial" w:cs="Arial"/>
          <w:sz w:val="24"/>
          <w:szCs w:val="24"/>
        </w:rPr>
        <w:t xml:space="preserve"> nel senso dell’</w:t>
      </w:r>
      <w:r w:rsidRPr="0056261A">
        <w:rPr>
          <w:rFonts w:ascii="Arial" w:hAnsi="Arial" w:cs="Arial"/>
          <w:sz w:val="24"/>
          <w:szCs w:val="24"/>
        </w:rPr>
        <w:t xml:space="preserve">applicazione della </w:t>
      </w:r>
      <w:r w:rsidR="006F617E">
        <w:rPr>
          <w:rFonts w:ascii="Arial" w:hAnsi="Arial" w:cs="Arial"/>
          <w:sz w:val="24"/>
          <w:szCs w:val="24"/>
        </w:rPr>
        <w:t>Legge</w:t>
      </w:r>
      <w:r w:rsidR="00D82BBB" w:rsidRPr="0056261A">
        <w:rPr>
          <w:rFonts w:ascii="Arial" w:hAnsi="Arial" w:cs="Arial"/>
          <w:sz w:val="24"/>
          <w:szCs w:val="24"/>
        </w:rPr>
        <w:t xml:space="preserve"> posteriore più favorevole, come avviene per la generalità delle discipline regolate</w:t>
      </w:r>
      <w:r w:rsidR="008464D4">
        <w:rPr>
          <w:rFonts w:ascii="Arial" w:hAnsi="Arial" w:cs="Arial"/>
          <w:sz w:val="24"/>
          <w:szCs w:val="24"/>
        </w:rPr>
        <w:t>(</w:t>
      </w:r>
      <w:r w:rsidR="00D82BBB" w:rsidRPr="0056261A">
        <w:rPr>
          <w:rStyle w:val="Rimandonotaapidipagina"/>
          <w:rFonts w:ascii="Arial" w:hAnsi="Arial" w:cs="Arial"/>
          <w:sz w:val="24"/>
          <w:szCs w:val="24"/>
        </w:rPr>
        <w:footnoteReference w:id="45"/>
      </w:r>
      <w:r w:rsidR="008464D4">
        <w:rPr>
          <w:rFonts w:ascii="Arial" w:hAnsi="Arial" w:cs="Arial"/>
          <w:sz w:val="24"/>
          <w:szCs w:val="24"/>
        </w:rPr>
        <w:t>)</w:t>
      </w:r>
      <w:r w:rsidR="00D82BBB" w:rsidRPr="0056261A">
        <w:rPr>
          <w:rFonts w:ascii="Arial" w:hAnsi="Arial" w:cs="Arial"/>
          <w:sz w:val="24"/>
          <w:szCs w:val="24"/>
        </w:rPr>
        <w:t>.</w:t>
      </w:r>
    </w:p>
    <w:p w:rsidR="00F65E88" w:rsidRPr="0056261A" w:rsidRDefault="008464D4" w:rsidP="008464D4">
      <w:pPr>
        <w:spacing w:after="0"/>
        <w:jc w:val="both"/>
        <w:rPr>
          <w:rFonts w:ascii="Arial" w:hAnsi="Arial" w:cs="Arial"/>
          <w:sz w:val="24"/>
          <w:szCs w:val="24"/>
        </w:rPr>
      </w:pPr>
      <w:r>
        <w:rPr>
          <w:rFonts w:ascii="Arial" w:hAnsi="Arial" w:cs="Arial"/>
          <w:sz w:val="24"/>
          <w:szCs w:val="24"/>
        </w:rPr>
        <w:t>Successivamente la Corte C</w:t>
      </w:r>
      <w:r w:rsidR="00D86C4A" w:rsidRPr="0056261A">
        <w:rPr>
          <w:rFonts w:ascii="Arial" w:hAnsi="Arial" w:cs="Arial"/>
          <w:sz w:val="24"/>
          <w:szCs w:val="24"/>
        </w:rPr>
        <w:t>ostituzionale ha invece ammesso che, avuto riguardo all’ampiezza della formulazione contenuta nell’art. 25, secondo comma, della Costituzione – dove si specifica che “</w:t>
      </w:r>
      <w:r w:rsidR="00D86C4A" w:rsidRPr="008464D4">
        <w:rPr>
          <w:rFonts w:ascii="Arial" w:hAnsi="Arial" w:cs="Arial"/>
          <w:sz w:val="24"/>
          <w:szCs w:val="24"/>
        </w:rPr>
        <w:t>nessuno può essere punito</w:t>
      </w:r>
      <w:r w:rsidR="00D86C4A" w:rsidRPr="0056261A">
        <w:rPr>
          <w:rFonts w:ascii="Arial" w:hAnsi="Arial" w:cs="Arial"/>
          <w:i/>
          <w:sz w:val="24"/>
          <w:szCs w:val="24"/>
        </w:rPr>
        <w:t xml:space="preserve"> </w:t>
      </w:r>
      <w:r w:rsidRPr="008464D4">
        <w:rPr>
          <w:rFonts w:ascii="Arial" w:hAnsi="Arial" w:cs="Arial"/>
          <w:sz w:val="24"/>
          <w:szCs w:val="24"/>
        </w:rPr>
        <w:t>(</w:t>
      </w:r>
      <w:r w:rsidR="00D86C4A" w:rsidRPr="008464D4">
        <w:rPr>
          <w:rFonts w:ascii="Arial" w:hAnsi="Arial" w:cs="Arial"/>
          <w:sz w:val="24"/>
          <w:szCs w:val="24"/>
        </w:rPr>
        <w:t>…</w:t>
      </w:r>
      <w:r w:rsidRPr="008464D4">
        <w:rPr>
          <w:rFonts w:ascii="Arial" w:hAnsi="Arial" w:cs="Arial"/>
          <w:sz w:val="24"/>
          <w:szCs w:val="24"/>
        </w:rPr>
        <w:t>)</w:t>
      </w:r>
      <w:r w:rsidR="00D86C4A" w:rsidRPr="008464D4">
        <w:rPr>
          <w:rFonts w:ascii="Arial" w:hAnsi="Arial" w:cs="Arial"/>
          <w:sz w:val="24"/>
          <w:szCs w:val="24"/>
        </w:rPr>
        <w:t>”</w:t>
      </w:r>
      <w:r w:rsidR="00D86C4A" w:rsidRPr="0056261A">
        <w:rPr>
          <w:rFonts w:ascii="Arial" w:hAnsi="Arial" w:cs="Arial"/>
          <w:sz w:val="24"/>
          <w:szCs w:val="24"/>
        </w:rPr>
        <w:t xml:space="preserve"> –</w:t>
      </w:r>
      <w:r w:rsidR="00F347A9" w:rsidRPr="0056261A">
        <w:rPr>
          <w:rFonts w:ascii="Arial" w:hAnsi="Arial" w:cs="Arial"/>
          <w:sz w:val="24"/>
          <w:szCs w:val="24"/>
        </w:rPr>
        <w:t>,</w:t>
      </w:r>
      <w:r w:rsidR="00D86C4A" w:rsidRPr="0056261A">
        <w:rPr>
          <w:rFonts w:ascii="Arial" w:hAnsi="Arial" w:cs="Arial"/>
          <w:sz w:val="24"/>
          <w:szCs w:val="24"/>
        </w:rPr>
        <w:t xml:space="preserve"> ogni intervento sanzionatorio, </w:t>
      </w:r>
      <w:r w:rsidR="00766045" w:rsidRPr="0056261A">
        <w:rPr>
          <w:rFonts w:ascii="Arial" w:hAnsi="Arial" w:cs="Arial"/>
          <w:sz w:val="24"/>
          <w:szCs w:val="24"/>
        </w:rPr>
        <w:t xml:space="preserve">pur </w:t>
      </w:r>
      <w:r w:rsidR="00D86C4A" w:rsidRPr="0056261A">
        <w:rPr>
          <w:rFonts w:ascii="Arial" w:hAnsi="Arial" w:cs="Arial"/>
          <w:sz w:val="24"/>
          <w:szCs w:val="24"/>
        </w:rPr>
        <w:t>non aven</w:t>
      </w:r>
      <w:r w:rsidR="00766045" w:rsidRPr="0056261A">
        <w:rPr>
          <w:rFonts w:ascii="Arial" w:hAnsi="Arial" w:cs="Arial"/>
          <w:sz w:val="24"/>
          <w:szCs w:val="24"/>
        </w:rPr>
        <w:t>do</w:t>
      </w:r>
      <w:r w:rsidR="00D86C4A" w:rsidRPr="0056261A">
        <w:rPr>
          <w:rFonts w:ascii="Arial" w:hAnsi="Arial" w:cs="Arial"/>
          <w:sz w:val="24"/>
          <w:szCs w:val="24"/>
        </w:rPr>
        <w:t xml:space="preserve"> una funzione di prevenzione criminale, </w:t>
      </w:r>
      <w:r w:rsidR="00F347A9" w:rsidRPr="0056261A">
        <w:rPr>
          <w:rFonts w:ascii="Arial" w:hAnsi="Arial" w:cs="Arial"/>
          <w:sz w:val="24"/>
          <w:szCs w:val="24"/>
        </w:rPr>
        <w:t>deve essere armonizzato</w:t>
      </w:r>
      <w:r w:rsidR="00D86C4A" w:rsidRPr="0056261A">
        <w:rPr>
          <w:rFonts w:ascii="Arial" w:hAnsi="Arial" w:cs="Arial"/>
          <w:sz w:val="24"/>
          <w:szCs w:val="24"/>
        </w:rPr>
        <w:t xml:space="preserve"> con la predetta disposizio</w:t>
      </w:r>
      <w:r w:rsidR="00F347A9" w:rsidRPr="0056261A">
        <w:rPr>
          <w:rFonts w:ascii="Arial" w:hAnsi="Arial" w:cs="Arial"/>
          <w:sz w:val="24"/>
          <w:szCs w:val="24"/>
        </w:rPr>
        <w:t xml:space="preserve">ne, </w:t>
      </w:r>
      <w:r w:rsidR="00D86C4A" w:rsidRPr="0056261A">
        <w:rPr>
          <w:rFonts w:ascii="Arial" w:hAnsi="Arial" w:cs="Arial"/>
          <w:sz w:val="24"/>
          <w:szCs w:val="24"/>
        </w:rPr>
        <w:t xml:space="preserve">non </w:t>
      </w:r>
      <w:r w:rsidR="00533359" w:rsidRPr="0056261A">
        <w:rPr>
          <w:rFonts w:ascii="Arial" w:hAnsi="Arial" w:cs="Arial"/>
          <w:sz w:val="24"/>
          <w:szCs w:val="24"/>
        </w:rPr>
        <w:t xml:space="preserve">essendo ammissibile </w:t>
      </w:r>
      <w:r w:rsidR="00D86C4A" w:rsidRPr="0056261A">
        <w:rPr>
          <w:rFonts w:ascii="Arial" w:hAnsi="Arial" w:cs="Arial"/>
          <w:sz w:val="24"/>
          <w:szCs w:val="24"/>
        </w:rPr>
        <w:t>una sua applicazione in via retroattiva</w:t>
      </w:r>
      <w:r>
        <w:rPr>
          <w:rFonts w:ascii="Arial" w:hAnsi="Arial" w:cs="Arial"/>
          <w:sz w:val="24"/>
          <w:szCs w:val="24"/>
        </w:rPr>
        <w:t>(</w:t>
      </w:r>
      <w:r w:rsidR="00D86C4A" w:rsidRPr="0056261A">
        <w:rPr>
          <w:rStyle w:val="Rimandonotaapidipagina"/>
          <w:rFonts w:ascii="Arial" w:hAnsi="Arial" w:cs="Arial"/>
          <w:sz w:val="24"/>
          <w:szCs w:val="24"/>
        </w:rPr>
        <w:footnoteReference w:id="46"/>
      </w:r>
      <w:r>
        <w:rPr>
          <w:rFonts w:ascii="Arial" w:hAnsi="Arial" w:cs="Arial"/>
          <w:sz w:val="24"/>
          <w:szCs w:val="24"/>
        </w:rPr>
        <w:t>)</w:t>
      </w:r>
      <w:r w:rsidR="00D86C4A" w:rsidRPr="0056261A">
        <w:rPr>
          <w:rFonts w:ascii="Arial" w:hAnsi="Arial" w:cs="Arial"/>
          <w:sz w:val="24"/>
          <w:szCs w:val="24"/>
        </w:rPr>
        <w:t>.</w:t>
      </w:r>
      <w:r w:rsidR="00533359" w:rsidRPr="0056261A">
        <w:rPr>
          <w:rFonts w:ascii="Arial" w:hAnsi="Arial" w:cs="Arial"/>
          <w:sz w:val="24"/>
          <w:szCs w:val="24"/>
        </w:rPr>
        <w:t xml:space="preserve"> </w:t>
      </w:r>
    </w:p>
    <w:p w:rsidR="00D86C4A" w:rsidRPr="0056261A" w:rsidRDefault="00F347A9" w:rsidP="008464D4">
      <w:pPr>
        <w:spacing w:after="0"/>
        <w:jc w:val="both"/>
        <w:rPr>
          <w:rFonts w:ascii="Arial" w:hAnsi="Arial" w:cs="Arial"/>
          <w:sz w:val="24"/>
          <w:szCs w:val="24"/>
        </w:rPr>
      </w:pPr>
      <w:r w:rsidRPr="0056261A">
        <w:rPr>
          <w:rFonts w:ascii="Arial" w:hAnsi="Arial" w:cs="Arial"/>
          <w:sz w:val="24"/>
          <w:szCs w:val="24"/>
        </w:rPr>
        <w:t>Una apertura, sebbene non priva di qualche elemento di contraddizione</w:t>
      </w:r>
      <w:r w:rsidR="008464D4">
        <w:rPr>
          <w:rFonts w:ascii="Arial" w:hAnsi="Arial" w:cs="Arial"/>
          <w:sz w:val="24"/>
          <w:szCs w:val="24"/>
        </w:rPr>
        <w:t>(</w:t>
      </w:r>
      <w:r w:rsidR="00732EBB" w:rsidRPr="0056261A">
        <w:rPr>
          <w:rStyle w:val="Rimandonotaapidipagina"/>
          <w:rFonts w:ascii="Arial" w:hAnsi="Arial" w:cs="Arial"/>
          <w:sz w:val="24"/>
          <w:szCs w:val="24"/>
        </w:rPr>
        <w:footnoteReference w:id="47"/>
      </w:r>
      <w:r w:rsidR="008464D4">
        <w:rPr>
          <w:rFonts w:ascii="Arial" w:hAnsi="Arial" w:cs="Arial"/>
          <w:sz w:val="24"/>
          <w:szCs w:val="24"/>
        </w:rPr>
        <w:t>)</w:t>
      </w:r>
      <w:r w:rsidRPr="0056261A">
        <w:rPr>
          <w:rFonts w:ascii="Arial" w:hAnsi="Arial" w:cs="Arial"/>
          <w:sz w:val="24"/>
          <w:szCs w:val="24"/>
        </w:rPr>
        <w:t xml:space="preserve">, è da rivenirsi in </w:t>
      </w:r>
      <w:r w:rsidR="00732EBB" w:rsidRPr="0056261A">
        <w:rPr>
          <w:rFonts w:ascii="Arial" w:hAnsi="Arial" w:cs="Arial"/>
          <w:sz w:val="24"/>
          <w:szCs w:val="24"/>
        </w:rPr>
        <w:t xml:space="preserve">una </w:t>
      </w:r>
      <w:r w:rsidRPr="0056261A">
        <w:rPr>
          <w:rFonts w:ascii="Arial" w:hAnsi="Arial" w:cs="Arial"/>
          <w:sz w:val="24"/>
          <w:szCs w:val="24"/>
        </w:rPr>
        <w:t>più recent</w:t>
      </w:r>
      <w:r w:rsidR="00732EBB" w:rsidRPr="0056261A">
        <w:rPr>
          <w:rFonts w:ascii="Arial" w:hAnsi="Arial" w:cs="Arial"/>
          <w:sz w:val="24"/>
          <w:szCs w:val="24"/>
        </w:rPr>
        <w:t>e</w:t>
      </w:r>
      <w:r w:rsidRPr="0056261A">
        <w:rPr>
          <w:rFonts w:ascii="Arial" w:hAnsi="Arial" w:cs="Arial"/>
          <w:sz w:val="24"/>
          <w:szCs w:val="24"/>
        </w:rPr>
        <w:t xml:space="preserve"> pron</w:t>
      </w:r>
      <w:r w:rsidR="00732EBB" w:rsidRPr="0056261A">
        <w:rPr>
          <w:rFonts w:ascii="Arial" w:hAnsi="Arial" w:cs="Arial"/>
          <w:sz w:val="24"/>
          <w:szCs w:val="24"/>
        </w:rPr>
        <w:t>uncia che ha</w:t>
      </w:r>
      <w:r w:rsidRPr="0056261A">
        <w:rPr>
          <w:rFonts w:ascii="Arial" w:hAnsi="Arial" w:cs="Arial"/>
          <w:sz w:val="24"/>
          <w:szCs w:val="24"/>
        </w:rPr>
        <w:t xml:space="preserve"> sancito come l’avvenuta depenalizzazione di una fattispecie in origine costituente reato</w:t>
      </w:r>
      <w:r w:rsidR="00766045" w:rsidRPr="0056261A">
        <w:rPr>
          <w:rFonts w:ascii="Arial" w:hAnsi="Arial" w:cs="Arial"/>
          <w:sz w:val="24"/>
          <w:szCs w:val="24"/>
        </w:rPr>
        <w:t xml:space="preserve"> –</w:t>
      </w:r>
      <w:r w:rsidR="00732EBB" w:rsidRPr="0056261A">
        <w:rPr>
          <w:rFonts w:ascii="Arial" w:hAnsi="Arial" w:cs="Arial"/>
          <w:sz w:val="24"/>
          <w:szCs w:val="24"/>
        </w:rPr>
        <w:t xml:space="preserve"> permanendo </w:t>
      </w:r>
      <w:r w:rsidR="00766045" w:rsidRPr="0056261A">
        <w:rPr>
          <w:rFonts w:ascii="Arial" w:hAnsi="Arial" w:cs="Arial"/>
          <w:sz w:val="24"/>
          <w:szCs w:val="24"/>
        </w:rPr>
        <w:t xml:space="preserve">però </w:t>
      </w:r>
      <w:r w:rsidRPr="0056261A">
        <w:rPr>
          <w:rFonts w:ascii="Arial" w:hAnsi="Arial" w:cs="Arial"/>
          <w:sz w:val="24"/>
          <w:szCs w:val="24"/>
        </w:rPr>
        <w:t>anche nella nuova versione la natura penale</w:t>
      </w:r>
      <w:r w:rsidR="00732EBB" w:rsidRPr="0056261A">
        <w:rPr>
          <w:rFonts w:ascii="Arial" w:hAnsi="Arial" w:cs="Arial"/>
          <w:sz w:val="24"/>
          <w:szCs w:val="24"/>
        </w:rPr>
        <w:t xml:space="preserve"> della stessa</w:t>
      </w:r>
      <w:r w:rsidR="00FF0E70" w:rsidRPr="0056261A">
        <w:rPr>
          <w:rFonts w:ascii="Arial" w:hAnsi="Arial" w:cs="Arial"/>
          <w:sz w:val="24"/>
          <w:szCs w:val="24"/>
        </w:rPr>
        <w:t>,</w:t>
      </w:r>
      <w:r w:rsidRPr="0056261A">
        <w:rPr>
          <w:rFonts w:ascii="Arial" w:hAnsi="Arial" w:cs="Arial"/>
          <w:sz w:val="24"/>
          <w:szCs w:val="24"/>
        </w:rPr>
        <w:t xml:space="preserve"> ai sensi dell’art. 7 della Convenzione</w:t>
      </w:r>
      <w:r w:rsidR="00766045" w:rsidRPr="0056261A">
        <w:rPr>
          <w:rFonts w:ascii="Arial" w:hAnsi="Arial" w:cs="Arial"/>
          <w:sz w:val="24"/>
          <w:szCs w:val="24"/>
        </w:rPr>
        <w:t xml:space="preserve"> –</w:t>
      </w:r>
      <w:r w:rsidRPr="0056261A">
        <w:rPr>
          <w:rFonts w:ascii="Arial" w:hAnsi="Arial" w:cs="Arial"/>
          <w:sz w:val="24"/>
          <w:szCs w:val="24"/>
        </w:rPr>
        <w:t xml:space="preserve"> </w:t>
      </w:r>
      <w:r w:rsidR="00766045" w:rsidRPr="0056261A">
        <w:rPr>
          <w:rFonts w:ascii="Arial" w:hAnsi="Arial" w:cs="Arial"/>
          <w:sz w:val="24"/>
          <w:szCs w:val="24"/>
        </w:rPr>
        <w:t xml:space="preserve">può </w:t>
      </w:r>
      <w:r w:rsidR="00FF0E70" w:rsidRPr="0056261A">
        <w:rPr>
          <w:rFonts w:ascii="Arial" w:hAnsi="Arial" w:cs="Arial"/>
          <w:sz w:val="24"/>
          <w:szCs w:val="24"/>
        </w:rPr>
        <w:t>essere assoggettata al principio dell</w:t>
      </w:r>
      <w:r w:rsidRPr="0056261A">
        <w:rPr>
          <w:rFonts w:ascii="Arial" w:hAnsi="Arial" w:cs="Arial"/>
          <w:sz w:val="24"/>
          <w:szCs w:val="24"/>
        </w:rPr>
        <w:t>’applicazione retroattiva del</w:t>
      </w:r>
      <w:r w:rsidR="00FF0E70" w:rsidRPr="0056261A">
        <w:rPr>
          <w:rFonts w:ascii="Arial" w:hAnsi="Arial" w:cs="Arial"/>
          <w:sz w:val="24"/>
          <w:szCs w:val="24"/>
        </w:rPr>
        <w:t xml:space="preserve">la </w:t>
      </w:r>
      <w:proofErr w:type="spellStart"/>
      <w:r w:rsidR="00FF0E70" w:rsidRPr="0056261A">
        <w:rPr>
          <w:rFonts w:ascii="Arial" w:hAnsi="Arial" w:cs="Arial"/>
          <w:i/>
          <w:sz w:val="24"/>
          <w:szCs w:val="24"/>
        </w:rPr>
        <w:t>lex</w:t>
      </w:r>
      <w:proofErr w:type="spellEnd"/>
      <w:r w:rsidR="00FF0E70" w:rsidRPr="0056261A">
        <w:rPr>
          <w:rFonts w:ascii="Arial" w:hAnsi="Arial" w:cs="Arial"/>
          <w:i/>
          <w:sz w:val="24"/>
          <w:szCs w:val="24"/>
        </w:rPr>
        <w:t xml:space="preserve"> </w:t>
      </w:r>
      <w:proofErr w:type="spellStart"/>
      <w:r w:rsidR="00FF0E70" w:rsidRPr="0056261A">
        <w:rPr>
          <w:rFonts w:ascii="Arial" w:hAnsi="Arial" w:cs="Arial"/>
          <w:i/>
          <w:sz w:val="24"/>
          <w:szCs w:val="24"/>
        </w:rPr>
        <w:t>mitior</w:t>
      </w:r>
      <w:proofErr w:type="spellEnd"/>
      <w:r w:rsidR="00FF0E70" w:rsidRPr="0056261A">
        <w:rPr>
          <w:rFonts w:ascii="Arial" w:hAnsi="Arial" w:cs="Arial"/>
          <w:sz w:val="24"/>
          <w:szCs w:val="24"/>
        </w:rPr>
        <w:t xml:space="preserve"> </w:t>
      </w:r>
      <w:r w:rsidRPr="0056261A">
        <w:rPr>
          <w:rFonts w:ascii="Arial" w:hAnsi="Arial" w:cs="Arial"/>
          <w:sz w:val="24"/>
          <w:szCs w:val="24"/>
        </w:rPr>
        <w:t xml:space="preserve">soltanto </w:t>
      </w:r>
      <w:r w:rsidR="00FF0E70" w:rsidRPr="0056261A">
        <w:rPr>
          <w:rFonts w:ascii="Arial" w:hAnsi="Arial" w:cs="Arial"/>
          <w:sz w:val="24"/>
          <w:szCs w:val="24"/>
        </w:rPr>
        <w:t xml:space="preserve">laddove il nuovo regime sanzionatorio sia effettivamente meno gravoso rispetto al </w:t>
      </w:r>
      <w:r w:rsidRPr="0056261A">
        <w:rPr>
          <w:rFonts w:ascii="Arial" w:hAnsi="Arial" w:cs="Arial"/>
          <w:sz w:val="24"/>
          <w:szCs w:val="24"/>
        </w:rPr>
        <w:t>precedente</w:t>
      </w:r>
      <w:r w:rsidR="00FF0E70" w:rsidRPr="0056261A">
        <w:rPr>
          <w:rFonts w:ascii="Arial" w:hAnsi="Arial" w:cs="Arial"/>
          <w:sz w:val="24"/>
          <w:szCs w:val="24"/>
        </w:rPr>
        <w:t xml:space="preserve">, considerato che il </w:t>
      </w:r>
      <w:r w:rsidR="00FF0E70" w:rsidRPr="008464D4">
        <w:rPr>
          <w:rFonts w:ascii="Arial" w:hAnsi="Arial" w:cs="Arial"/>
          <w:sz w:val="24"/>
          <w:szCs w:val="24"/>
        </w:rPr>
        <w:t xml:space="preserve">“giudizio di maggior favore non può certamente basarsi solo sulla qualificazione giuridica della sanzione come amministrativa e sull’astratta preferibilità di una risposta punitiva di tale natura rispetto a quella penale </w:t>
      </w:r>
      <w:r w:rsidR="008464D4">
        <w:rPr>
          <w:rFonts w:ascii="Arial" w:hAnsi="Arial" w:cs="Arial"/>
          <w:sz w:val="24"/>
          <w:szCs w:val="24"/>
        </w:rPr>
        <w:t>(</w:t>
      </w:r>
      <w:r w:rsidR="00FF0E70" w:rsidRPr="008464D4">
        <w:rPr>
          <w:rFonts w:ascii="Arial" w:hAnsi="Arial" w:cs="Arial"/>
          <w:sz w:val="24"/>
          <w:szCs w:val="24"/>
        </w:rPr>
        <w:t>dovendo</w:t>
      </w:r>
      <w:r w:rsidR="008464D4">
        <w:rPr>
          <w:rFonts w:ascii="Arial" w:hAnsi="Arial" w:cs="Arial"/>
          <w:sz w:val="24"/>
          <w:szCs w:val="24"/>
        </w:rPr>
        <w:t>)</w:t>
      </w:r>
      <w:r w:rsidR="00FF0E70" w:rsidRPr="008464D4">
        <w:rPr>
          <w:rFonts w:ascii="Arial" w:hAnsi="Arial" w:cs="Arial"/>
          <w:sz w:val="24"/>
          <w:szCs w:val="24"/>
        </w:rPr>
        <w:t xml:space="preserve"> al contrario, fondarsi sull’individuazione in concreto del regime complessivamente più favorevole per la persona, avuto riguardo a tutte le caratteristiche del caso specifico”</w:t>
      </w:r>
      <w:r w:rsidR="008464D4">
        <w:rPr>
          <w:rFonts w:ascii="Arial" w:hAnsi="Arial" w:cs="Arial"/>
          <w:sz w:val="24"/>
          <w:szCs w:val="24"/>
        </w:rPr>
        <w:t>(</w:t>
      </w:r>
      <w:r w:rsidR="00FF0E70" w:rsidRPr="008464D4">
        <w:rPr>
          <w:rStyle w:val="Rimandonotaapidipagina"/>
          <w:rFonts w:ascii="Arial" w:hAnsi="Arial" w:cs="Arial"/>
          <w:sz w:val="24"/>
          <w:szCs w:val="24"/>
        </w:rPr>
        <w:footnoteReference w:id="48"/>
      </w:r>
      <w:r w:rsidR="008464D4">
        <w:rPr>
          <w:rFonts w:ascii="Arial" w:hAnsi="Arial" w:cs="Arial"/>
          <w:sz w:val="24"/>
          <w:szCs w:val="24"/>
        </w:rPr>
        <w:t>)</w:t>
      </w:r>
      <w:r w:rsidR="00FF0E70" w:rsidRPr="008464D4">
        <w:rPr>
          <w:rFonts w:ascii="Arial" w:hAnsi="Arial" w:cs="Arial"/>
          <w:sz w:val="24"/>
          <w:szCs w:val="24"/>
        </w:rPr>
        <w:t>.</w:t>
      </w:r>
      <w:r w:rsidR="00533359" w:rsidRPr="008464D4">
        <w:rPr>
          <w:rFonts w:ascii="Arial" w:hAnsi="Arial" w:cs="Arial"/>
          <w:sz w:val="24"/>
          <w:szCs w:val="24"/>
        </w:rPr>
        <w:t xml:space="preserve"> Del resto, “il recepimento della CEDU nell’ordinamento giuridico si muove nel segno dell’incremento delle libertà individuali, e mai del loro detrimento (sentenza n. 317 del 2009)”</w:t>
      </w:r>
      <w:r w:rsidR="008464D4">
        <w:rPr>
          <w:rFonts w:ascii="Arial" w:hAnsi="Arial" w:cs="Arial"/>
          <w:sz w:val="24"/>
          <w:szCs w:val="24"/>
        </w:rPr>
        <w:t>(</w:t>
      </w:r>
      <w:r w:rsidR="00533359" w:rsidRPr="008464D4">
        <w:rPr>
          <w:rStyle w:val="Rimandonotaapidipagina"/>
          <w:rFonts w:ascii="Arial" w:hAnsi="Arial" w:cs="Arial"/>
          <w:sz w:val="24"/>
          <w:szCs w:val="24"/>
        </w:rPr>
        <w:footnoteReference w:id="49"/>
      </w:r>
      <w:r w:rsidR="008464D4">
        <w:rPr>
          <w:rFonts w:ascii="Arial" w:hAnsi="Arial" w:cs="Arial"/>
          <w:sz w:val="24"/>
          <w:szCs w:val="24"/>
        </w:rPr>
        <w:t>)</w:t>
      </w:r>
      <w:r w:rsidR="00533359" w:rsidRPr="008464D4">
        <w:rPr>
          <w:rFonts w:ascii="Arial" w:hAnsi="Arial" w:cs="Arial"/>
          <w:sz w:val="24"/>
          <w:szCs w:val="24"/>
        </w:rPr>
        <w:t>.</w:t>
      </w:r>
    </w:p>
    <w:p w:rsidR="001D529B" w:rsidRPr="0056261A" w:rsidRDefault="001D529B" w:rsidP="008464D4">
      <w:pPr>
        <w:spacing w:after="0"/>
        <w:jc w:val="both"/>
        <w:rPr>
          <w:rFonts w:ascii="Arial" w:hAnsi="Arial" w:cs="Arial"/>
          <w:sz w:val="24"/>
          <w:szCs w:val="24"/>
        </w:rPr>
      </w:pPr>
      <w:r w:rsidRPr="0056261A">
        <w:rPr>
          <w:rFonts w:ascii="Arial" w:hAnsi="Arial" w:cs="Arial"/>
          <w:sz w:val="24"/>
          <w:szCs w:val="24"/>
        </w:rPr>
        <w:t xml:space="preserve">La sentenza in precedenza citata, che aveva dichiarato inammissibili alcune questioni </w:t>
      </w:r>
      <w:r w:rsidR="00C67431" w:rsidRPr="0056261A">
        <w:rPr>
          <w:rFonts w:ascii="Arial" w:hAnsi="Arial" w:cs="Arial"/>
          <w:sz w:val="24"/>
          <w:szCs w:val="24"/>
        </w:rPr>
        <w:t xml:space="preserve">di </w:t>
      </w:r>
      <w:r w:rsidRPr="0056261A">
        <w:rPr>
          <w:rFonts w:ascii="Arial" w:hAnsi="Arial" w:cs="Arial"/>
          <w:sz w:val="24"/>
          <w:szCs w:val="24"/>
        </w:rPr>
        <w:t xml:space="preserve">legittimità costituzionale in ordine alla maggiore o minore gravosità del trattamento sanzionatorio discendente da depenalizzazione rispetto a quello precedente, è stata poi </w:t>
      </w:r>
      <w:r w:rsidRPr="008464D4">
        <w:rPr>
          <w:rFonts w:ascii="Arial" w:hAnsi="Arial" w:cs="Arial"/>
          <w:sz w:val="24"/>
          <w:szCs w:val="24"/>
        </w:rPr>
        <w:t>“completata”</w:t>
      </w:r>
      <w:r w:rsidRPr="0056261A">
        <w:rPr>
          <w:rFonts w:ascii="Arial" w:hAnsi="Arial" w:cs="Arial"/>
          <w:sz w:val="24"/>
          <w:szCs w:val="24"/>
        </w:rPr>
        <w:t xml:space="preserve"> da una successiva pronuncia che è scaturita dalla riproposizione delle stesse questioni, stavolta adeguatamente motivate</w:t>
      </w:r>
      <w:r w:rsidR="00766045" w:rsidRPr="0056261A">
        <w:rPr>
          <w:rFonts w:ascii="Arial" w:hAnsi="Arial" w:cs="Arial"/>
          <w:sz w:val="24"/>
          <w:szCs w:val="24"/>
        </w:rPr>
        <w:t xml:space="preserve"> dal giudice </w:t>
      </w:r>
      <w:r w:rsidR="00766045" w:rsidRPr="0056261A">
        <w:rPr>
          <w:rFonts w:ascii="Arial" w:hAnsi="Arial" w:cs="Arial"/>
          <w:i/>
          <w:sz w:val="24"/>
          <w:szCs w:val="24"/>
        </w:rPr>
        <w:t>a quo</w:t>
      </w:r>
      <w:r w:rsidRPr="0056261A">
        <w:rPr>
          <w:rFonts w:ascii="Arial" w:hAnsi="Arial" w:cs="Arial"/>
          <w:sz w:val="24"/>
          <w:szCs w:val="24"/>
        </w:rPr>
        <w:t>.</w:t>
      </w:r>
      <w:r w:rsidR="00766045" w:rsidRPr="0056261A">
        <w:rPr>
          <w:rFonts w:ascii="Arial" w:hAnsi="Arial" w:cs="Arial"/>
          <w:sz w:val="24"/>
          <w:szCs w:val="24"/>
        </w:rPr>
        <w:t xml:space="preserve"> T</w:t>
      </w:r>
      <w:r w:rsidR="00186935" w:rsidRPr="0056261A">
        <w:rPr>
          <w:rFonts w:ascii="Arial" w:hAnsi="Arial" w:cs="Arial"/>
          <w:sz w:val="24"/>
          <w:szCs w:val="24"/>
        </w:rPr>
        <w:t xml:space="preserve">ale </w:t>
      </w:r>
      <w:r w:rsidR="00766045" w:rsidRPr="0056261A">
        <w:rPr>
          <w:rFonts w:ascii="Arial" w:hAnsi="Arial" w:cs="Arial"/>
          <w:sz w:val="24"/>
          <w:szCs w:val="24"/>
        </w:rPr>
        <w:t xml:space="preserve">ultimo </w:t>
      </w:r>
      <w:r w:rsidR="00186935" w:rsidRPr="0056261A">
        <w:rPr>
          <w:rFonts w:ascii="Arial" w:hAnsi="Arial" w:cs="Arial"/>
          <w:sz w:val="24"/>
          <w:szCs w:val="24"/>
        </w:rPr>
        <w:t>arresto</w:t>
      </w:r>
      <w:r w:rsidR="00766045" w:rsidRPr="0056261A">
        <w:rPr>
          <w:rFonts w:ascii="Arial" w:hAnsi="Arial" w:cs="Arial"/>
          <w:sz w:val="24"/>
          <w:szCs w:val="24"/>
        </w:rPr>
        <w:t xml:space="preserve"> </w:t>
      </w:r>
      <w:r w:rsidR="00186935" w:rsidRPr="0056261A">
        <w:rPr>
          <w:rFonts w:ascii="Arial" w:hAnsi="Arial" w:cs="Arial"/>
          <w:sz w:val="24"/>
          <w:szCs w:val="24"/>
        </w:rPr>
        <w:t xml:space="preserve">chiarisce che dall’art. 25, secondo comma, della Costituzione discende il divieto di applicazione retroattiva della </w:t>
      </w:r>
      <w:r w:rsidR="006F617E">
        <w:rPr>
          <w:rFonts w:ascii="Arial" w:hAnsi="Arial" w:cs="Arial"/>
          <w:sz w:val="24"/>
          <w:szCs w:val="24"/>
        </w:rPr>
        <w:t>Legge</w:t>
      </w:r>
      <w:r w:rsidR="00186935" w:rsidRPr="0056261A">
        <w:rPr>
          <w:rFonts w:ascii="Arial" w:hAnsi="Arial" w:cs="Arial"/>
          <w:sz w:val="24"/>
          <w:szCs w:val="24"/>
        </w:rPr>
        <w:t xml:space="preserve"> più sfavorevole sia se la condotta in precedenza non era </w:t>
      </w:r>
      <w:r w:rsidR="00186935" w:rsidRPr="008464D4">
        <w:rPr>
          <w:rFonts w:ascii="Arial" w:hAnsi="Arial" w:cs="Arial"/>
          <w:sz w:val="24"/>
          <w:szCs w:val="24"/>
        </w:rPr>
        <w:t>punit</w:t>
      </w:r>
      <w:r w:rsidR="00C612AC" w:rsidRPr="008464D4">
        <w:rPr>
          <w:rFonts w:ascii="Arial" w:hAnsi="Arial" w:cs="Arial"/>
          <w:sz w:val="24"/>
          <w:szCs w:val="24"/>
        </w:rPr>
        <w:t>a</w:t>
      </w:r>
      <w:r w:rsidR="00186935" w:rsidRPr="0056261A">
        <w:rPr>
          <w:rFonts w:ascii="Arial" w:hAnsi="Arial" w:cs="Arial"/>
          <w:sz w:val="24"/>
          <w:szCs w:val="24"/>
        </w:rPr>
        <w:t xml:space="preserve"> affatto, sia se la nuova norma punisce più severamente un fatto già precedentemente incriminato, e tale regime va esteso </w:t>
      </w:r>
      <w:r w:rsidRPr="0056261A">
        <w:rPr>
          <w:rFonts w:ascii="Arial" w:hAnsi="Arial" w:cs="Arial"/>
          <w:sz w:val="24"/>
          <w:szCs w:val="24"/>
        </w:rPr>
        <w:t xml:space="preserve">anche </w:t>
      </w:r>
      <w:r w:rsidR="00186935" w:rsidRPr="0056261A">
        <w:rPr>
          <w:rFonts w:ascii="Arial" w:hAnsi="Arial" w:cs="Arial"/>
          <w:sz w:val="24"/>
          <w:szCs w:val="24"/>
        </w:rPr>
        <w:t>a</w:t>
      </w:r>
      <w:r w:rsidRPr="0056261A">
        <w:rPr>
          <w:rFonts w:ascii="Arial" w:hAnsi="Arial" w:cs="Arial"/>
          <w:sz w:val="24"/>
          <w:szCs w:val="24"/>
        </w:rPr>
        <w:t>l diritto sanzionatorio amministrativo, alla luce delle indicazioni derivanti dal diritto internazionale dei diritti umani, e in particolare dalla giurisprudenza della Corte europea dei diritti dell’uomo relativa all’art. 7 CEDU</w:t>
      </w:r>
      <w:r w:rsidR="00186935" w:rsidRPr="0056261A">
        <w:rPr>
          <w:rFonts w:ascii="Arial" w:hAnsi="Arial" w:cs="Arial"/>
          <w:sz w:val="24"/>
          <w:szCs w:val="24"/>
        </w:rPr>
        <w:t>, trattandosi di s</w:t>
      </w:r>
      <w:r w:rsidRPr="0056261A">
        <w:rPr>
          <w:rFonts w:ascii="Arial" w:hAnsi="Arial" w:cs="Arial"/>
          <w:sz w:val="24"/>
          <w:szCs w:val="24"/>
        </w:rPr>
        <w:t>anzioni a carattere punitivo</w:t>
      </w:r>
      <w:r w:rsidR="006E345C" w:rsidRPr="0056261A">
        <w:rPr>
          <w:rFonts w:ascii="Arial" w:hAnsi="Arial" w:cs="Arial"/>
          <w:sz w:val="24"/>
          <w:szCs w:val="24"/>
        </w:rPr>
        <w:t>, che risentono dell</w:t>
      </w:r>
      <w:r w:rsidR="00CB709D" w:rsidRPr="0056261A">
        <w:rPr>
          <w:rFonts w:ascii="Arial" w:hAnsi="Arial" w:cs="Arial"/>
          <w:sz w:val="24"/>
          <w:szCs w:val="24"/>
        </w:rPr>
        <w:t>’</w:t>
      </w:r>
      <w:r w:rsidR="006E345C" w:rsidRPr="0056261A">
        <w:rPr>
          <w:rFonts w:ascii="Arial" w:hAnsi="Arial" w:cs="Arial"/>
          <w:sz w:val="24"/>
          <w:szCs w:val="24"/>
        </w:rPr>
        <w:t xml:space="preserve">esigenza di </w:t>
      </w:r>
      <w:r w:rsidRPr="0056261A">
        <w:rPr>
          <w:rFonts w:ascii="Arial" w:hAnsi="Arial" w:cs="Arial"/>
          <w:sz w:val="24"/>
          <w:szCs w:val="24"/>
        </w:rPr>
        <w:t>non sorprendere la persona con una sanzione non prevedibile al momento della commissione del fatto</w:t>
      </w:r>
      <w:r w:rsidR="008464D4">
        <w:rPr>
          <w:rFonts w:ascii="Arial" w:hAnsi="Arial" w:cs="Arial"/>
          <w:sz w:val="24"/>
          <w:szCs w:val="24"/>
        </w:rPr>
        <w:t>(</w:t>
      </w:r>
      <w:r w:rsidR="006E345C" w:rsidRPr="0056261A">
        <w:rPr>
          <w:rStyle w:val="Rimandonotaapidipagina"/>
          <w:rFonts w:ascii="Arial" w:hAnsi="Arial" w:cs="Arial"/>
          <w:sz w:val="24"/>
          <w:szCs w:val="24"/>
        </w:rPr>
        <w:footnoteReference w:id="50"/>
      </w:r>
      <w:r w:rsidR="008464D4">
        <w:rPr>
          <w:rFonts w:ascii="Arial" w:hAnsi="Arial" w:cs="Arial"/>
          <w:sz w:val="24"/>
          <w:szCs w:val="24"/>
        </w:rPr>
        <w:t>)</w:t>
      </w:r>
      <w:r w:rsidRPr="0056261A">
        <w:rPr>
          <w:rFonts w:ascii="Arial" w:hAnsi="Arial" w:cs="Arial"/>
          <w:sz w:val="24"/>
          <w:szCs w:val="24"/>
        </w:rPr>
        <w:t>.</w:t>
      </w:r>
      <w:r w:rsidR="00AB38DE" w:rsidRPr="0056261A">
        <w:rPr>
          <w:rFonts w:ascii="Arial" w:hAnsi="Arial" w:cs="Arial"/>
          <w:sz w:val="24"/>
          <w:szCs w:val="24"/>
        </w:rPr>
        <w:t xml:space="preserve"> </w:t>
      </w:r>
      <w:r w:rsidR="00B94433" w:rsidRPr="0056261A">
        <w:rPr>
          <w:rFonts w:ascii="Arial" w:hAnsi="Arial" w:cs="Arial"/>
          <w:sz w:val="24"/>
          <w:szCs w:val="24"/>
        </w:rPr>
        <w:t>Perciò</w:t>
      </w:r>
      <w:r w:rsidR="002E2A3E" w:rsidRPr="0056261A">
        <w:rPr>
          <w:rFonts w:ascii="Arial" w:hAnsi="Arial" w:cs="Arial"/>
          <w:sz w:val="24"/>
          <w:szCs w:val="24"/>
        </w:rPr>
        <w:t xml:space="preserve"> </w:t>
      </w:r>
      <w:r w:rsidR="00AB38DE" w:rsidRPr="008464D4">
        <w:rPr>
          <w:rFonts w:ascii="Arial" w:hAnsi="Arial" w:cs="Arial"/>
          <w:sz w:val="24"/>
          <w:szCs w:val="24"/>
        </w:rPr>
        <w:t xml:space="preserve">“la presunzione di maggior favore del trattamento sanzionatorio amministrativo rispetto al previgente trattamento sanzionatorio penale nell’ipotesi di depenalizzazione di un fatto precedentemente costitutivo di reato non può che intendersi, oggi, come meramente relativa, dovendosi sempre lasciare spazio alla possibilità di dimostrare, caso per caso, che il nuovo trattamento sanzionatorio amministrativo previsto dalla </w:t>
      </w:r>
      <w:r w:rsidR="006F617E" w:rsidRPr="008464D4">
        <w:rPr>
          <w:rFonts w:ascii="Arial" w:hAnsi="Arial" w:cs="Arial"/>
          <w:sz w:val="24"/>
          <w:szCs w:val="24"/>
        </w:rPr>
        <w:t>Legge</w:t>
      </w:r>
      <w:r w:rsidR="00AB38DE" w:rsidRPr="008464D4">
        <w:rPr>
          <w:rFonts w:ascii="Arial" w:hAnsi="Arial" w:cs="Arial"/>
          <w:sz w:val="24"/>
          <w:szCs w:val="24"/>
        </w:rPr>
        <w:t xml:space="preserve"> di depenalizzazione risulti in concreto più gravoso di quello previgente. Con conseguente illegittimità costituzionale dell’eventuale disposizione transitoria che ne preveda l’indefettibile applicazione anche ai fatti pregressi, per violazione dell’art. 25, secondo comma, </w:t>
      </w:r>
      <w:proofErr w:type="spellStart"/>
      <w:r w:rsidR="00AB38DE" w:rsidRPr="008464D4">
        <w:rPr>
          <w:rFonts w:ascii="Arial" w:hAnsi="Arial" w:cs="Arial"/>
          <w:sz w:val="24"/>
          <w:szCs w:val="24"/>
        </w:rPr>
        <w:t>Cost</w:t>
      </w:r>
      <w:proofErr w:type="spellEnd"/>
      <w:r w:rsidR="00AB38DE" w:rsidRPr="008464D4">
        <w:rPr>
          <w:rFonts w:ascii="Arial" w:hAnsi="Arial" w:cs="Arial"/>
          <w:sz w:val="24"/>
          <w:szCs w:val="24"/>
        </w:rPr>
        <w:t>.”</w:t>
      </w:r>
      <w:r w:rsidR="008464D4">
        <w:rPr>
          <w:rFonts w:ascii="Arial" w:hAnsi="Arial" w:cs="Arial"/>
          <w:sz w:val="24"/>
          <w:szCs w:val="24"/>
        </w:rPr>
        <w:t>(</w:t>
      </w:r>
      <w:r w:rsidR="00AB38DE" w:rsidRPr="008464D4">
        <w:rPr>
          <w:rStyle w:val="Rimandonotaapidipagina"/>
          <w:rFonts w:ascii="Arial" w:hAnsi="Arial" w:cs="Arial"/>
          <w:sz w:val="24"/>
          <w:szCs w:val="24"/>
        </w:rPr>
        <w:footnoteReference w:id="51"/>
      </w:r>
      <w:r w:rsidR="008464D4">
        <w:rPr>
          <w:rFonts w:ascii="Arial" w:hAnsi="Arial" w:cs="Arial"/>
          <w:sz w:val="24"/>
          <w:szCs w:val="24"/>
        </w:rPr>
        <w:t>)</w:t>
      </w:r>
      <w:r w:rsidR="00AB38DE" w:rsidRPr="008464D4">
        <w:rPr>
          <w:rFonts w:ascii="Arial" w:hAnsi="Arial" w:cs="Arial"/>
          <w:sz w:val="24"/>
          <w:szCs w:val="24"/>
        </w:rPr>
        <w:t>.</w:t>
      </w:r>
      <w:r w:rsidR="00613144" w:rsidRPr="008464D4">
        <w:rPr>
          <w:rFonts w:ascii="Arial" w:hAnsi="Arial" w:cs="Arial"/>
          <w:sz w:val="24"/>
          <w:szCs w:val="24"/>
        </w:rPr>
        <w:t xml:space="preserve"> </w:t>
      </w:r>
      <w:r w:rsidR="00613144" w:rsidRPr="0056261A">
        <w:rPr>
          <w:rFonts w:ascii="Arial" w:hAnsi="Arial" w:cs="Arial"/>
          <w:sz w:val="24"/>
          <w:szCs w:val="24"/>
        </w:rPr>
        <w:t xml:space="preserve">In tal modo si è proceduto ad una applicazione </w:t>
      </w:r>
      <w:r w:rsidR="00710190" w:rsidRPr="0056261A">
        <w:rPr>
          <w:rFonts w:ascii="Arial" w:hAnsi="Arial" w:cs="Arial"/>
          <w:sz w:val="24"/>
          <w:szCs w:val="24"/>
        </w:rPr>
        <w:t>puntuale – mettendo in evidenza</w:t>
      </w:r>
      <w:r w:rsidR="002C12A1" w:rsidRPr="0056261A">
        <w:rPr>
          <w:rFonts w:ascii="Arial" w:hAnsi="Arial" w:cs="Arial"/>
          <w:sz w:val="24"/>
          <w:szCs w:val="24"/>
        </w:rPr>
        <w:t>, attraverso una valutazione effettuata in concreto,</w:t>
      </w:r>
      <w:r w:rsidR="00710190" w:rsidRPr="0056261A">
        <w:rPr>
          <w:rFonts w:ascii="Arial" w:hAnsi="Arial" w:cs="Arial"/>
          <w:sz w:val="24"/>
          <w:szCs w:val="24"/>
        </w:rPr>
        <w:t xml:space="preserve"> il carattere deteriore del nuovo trattamento scaturito dall’intervento di depenalizzazione – dei criteri dettati dal</w:t>
      </w:r>
      <w:r w:rsidR="008464D4">
        <w:rPr>
          <w:rFonts w:ascii="Arial" w:hAnsi="Arial" w:cs="Arial"/>
          <w:sz w:val="24"/>
          <w:szCs w:val="24"/>
        </w:rPr>
        <w:t>la giurisprudenza della Corte EDU</w:t>
      </w:r>
      <w:r w:rsidR="00710190" w:rsidRPr="0056261A">
        <w:rPr>
          <w:rFonts w:ascii="Arial" w:hAnsi="Arial" w:cs="Arial"/>
          <w:sz w:val="24"/>
          <w:szCs w:val="24"/>
        </w:rPr>
        <w:t>, dando continuità a</w:t>
      </w:r>
      <w:r w:rsidR="00B94433" w:rsidRPr="0056261A">
        <w:rPr>
          <w:rFonts w:ascii="Arial" w:hAnsi="Arial" w:cs="Arial"/>
          <w:sz w:val="24"/>
          <w:szCs w:val="24"/>
        </w:rPr>
        <w:t xml:space="preserve">gli </w:t>
      </w:r>
      <w:r w:rsidR="00710190" w:rsidRPr="0056261A">
        <w:rPr>
          <w:rFonts w:ascii="Arial" w:hAnsi="Arial" w:cs="Arial"/>
          <w:sz w:val="24"/>
          <w:szCs w:val="24"/>
        </w:rPr>
        <w:t>indirizz</w:t>
      </w:r>
      <w:r w:rsidR="00B94433" w:rsidRPr="0056261A">
        <w:rPr>
          <w:rFonts w:ascii="Arial" w:hAnsi="Arial" w:cs="Arial"/>
          <w:sz w:val="24"/>
          <w:szCs w:val="24"/>
        </w:rPr>
        <w:t>i</w:t>
      </w:r>
      <w:r w:rsidR="00710190" w:rsidRPr="0056261A">
        <w:rPr>
          <w:rFonts w:ascii="Arial" w:hAnsi="Arial" w:cs="Arial"/>
          <w:sz w:val="24"/>
          <w:szCs w:val="24"/>
        </w:rPr>
        <w:t xml:space="preserve"> elaborat</w:t>
      </w:r>
      <w:r w:rsidR="00B94433" w:rsidRPr="0056261A">
        <w:rPr>
          <w:rFonts w:ascii="Arial" w:hAnsi="Arial" w:cs="Arial"/>
          <w:sz w:val="24"/>
          <w:szCs w:val="24"/>
        </w:rPr>
        <w:t>i</w:t>
      </w:r>
      <w:r w:rsidR="00710190" w:rsidRPr="0056261A">
        <w:rPr>
          <w:rFonts w:ascii="Arial" w:hAnsi="Arial" w:cs="Arial"/>
          <w:sz w:val="24"/>
          <w:szCs w:val="24"/>
        </w:rPr>
        <w:t xml:space="preserve"> in sede sovranazionale.</w:t>
      </w:r>
    </w:p>
    <w:p w:rsidR="002C12A1" w:rsidRPr="0056261A" w:rsidRDefault="002C12A1" w:rsidP="008464D4">
      <w:pPr>
        <w:spacing w:after="0"/>
        <w:jc w:val="both"/>
        <w:rPr>
          <w:rFonts w:ascii="Arial" w:hAnsi="Arial" w:cs="Arial"/>
          <w:sz w:val="24"/>
          <w:szCs w:val="24"/>
        </w:rPr>
      </w:pPr>
      <w:r w:rsidRPr="0056261A">
        <w:rPr>
          <w:rFonts w:ascii="Arial" w:hAnsi="Arial" w:cs="Arial"/>
          <w:sz w:val="24"/>
          <w:szCs w:val="24"/>
        </w:rPr>
        <w:t>Di recente si è però precisato che</w:t>
      </w:r>
      <w:r w:rsidR="00B37E97" w:rsidRPr="0056261A">
        <w:rPr>
          <w:rFonts w:ascii="Arial" w:hAnsi="Arial" w:cs="Arial"/>
          <w:sz w:val="24"/>
          <w:szCs w:val="24"/>
        </w:rPr>
        <w:t xml:space="preserve">, sebbene la Corte abbia esteso alle sanzioni amministrative di carattere sostanzialmente </w:t>
      </w:r>
      <w:r w:rsidR="00B37E97" w:rsidRPr="008464D4">
        <w:rPr>
          <w:rFonts w:ascii="Arial" w:hAnsi="Arial" w:cs="Arial"/>
          <w:sz w:val="24"/>
          <w:szCs w:val="24"/>
        </w:rPr>
        <w:t xml:space="preserve">“punitivo” </w:t>
      </w:r>
      <w:r w:rsidR="00B37E97" w:rsidRPr="0056261A">
        <w:rPr>
          <w:rFonts w:ascii="Arial" w:hAnsi="Arial" w:cs="Arial"/>
          <w:sz w:val="24"/>
          <w:szCs w:val="24"/>
        </w:rPr>
        <w:t xml:space="preserve">talune garanzie riservate dalla Costituzione alla materia penale – in particolare, in relazione ad una serie di corollari del principio </w:t>
      </w:r>
      <w:proofErr w:type="spellStart"/>
      <w:r w:rsidR="00B37E97" w:rsidRPr="0056261A">
        <w:rPr>
          <w:rFonts w:ascii="Arial" w:hAnsi="Arial" w:cs="Arial"/>
          <w:i/>
          <w:sz w:val="24"/>
          <w:szCs w:val="24"/>
        </w:rPr>
        <w:t>nullum</w:t>
      </w:r>
      <w:proofErr w:type="spellEnd"/>
      <w:r w:rsidR="00B37E97" w:rsidRPr="0056261A">
        <w:rPr>
          <w:rFonts w:ascii="Arial" w:hAnsi="Arial" w:cs="Arial"/>
          <w:i/>
          <w:sz w:val="24"/>
          <w:szCs w:val="24"/>
        </w:rPr>
        <w:t xml:space="preserve"> </w:t>
      </w:r>
      <w:proofErr w:type="spellStart"/>
      <w:r w:rsidR="00B37E97" w:rsidRPr="0056261A">
        <w:rPr>
          <w:rFonts w:ascii="Arial" w:hAnsi="Arial" w:cs="Arial"/>
          <w:i/>
          <w:sz w:val="24"/>
          <w:szCs w:val="24"/>
        </w:rPr>
        <w:t>crimen</w:t>
      </w:r>
      <w:proofErr w:type="spellEnd"/>
      <w:r w:rsidR="00B37E97" w:rsidRPr="0056261A">
        <w:rPr>
          <w:rFonts w:ascii="Arial" w:hAnsi="Arial" w:cs="Arial"/>
          <w:i/>
          <w:sz w:val="24"/>
          <w:szCs w:val="24"/>
        </w:rPr>
        <w:t xml:space="preserve">, nulla </w:t>
      </w:r>
      <w:proofErr w:type="spellStart"/>
      <w:r w:rsidR="00B37E97" w:rsidRPr="0056261A">
        <w:rPr>
          <w:rFonts w:ascii="Arial" w:hAnsi="Arial" w:cs="Arial"/>
          <w:i/>
          <w:sz w:val="24"/>
          <w:szCs w:val="24"/>
        </w:rPr>
        <w:t>poena</w:t>
      </w:r>
      <w:proofErr w:type="spellEnd"/>
      <w:r w:rsidR="00B37E97" w:rsidRPr="0056261A">
        <w:rPr>
          <w:rFonts w:ascii="Arial" w:hAnsi="Arial" w:cs="Arial"/>
          <w:i/>
          <w:sz w:val="24"/>
          <w:szCs w:val="24"/>
        </w:rPr>
        <w:t xml:space="preserve"> sine </w:t>
      </w:r>
      <w:proofErr w:type="spellStart"/>
      <w:r w:rsidR="00B37E97" w:rsidRPr="0056261A">
        <w:rPr>
          <w:rFonts w:ascii="Arial" w:hAnsi="Arial" w:cs="Arial"/>
          <w:i/>
          <w:sz w:val="24"/>
          <w:szCs w:val="24"/>
        </w:rPr>
        <w:t>lege</w:t>
      </w:r>
      <w:proofErr w:type="spellEnd"/>
      <w:r w:rsidR="00B37E97" w:rsidRPr="0056261A">
        <w:rPr>
          <w:rFonts w:ascii="Arial" w:hAnsi="Arial" w:cs="Arial"/>
          <w:sz w:val="24"/>
          <w:szCs w:val="24"/>
        </w:rPr>
        <w:t xml:space="preserve"> enunciato dall’art. 25, secondo comma, </w:t>
      </w:r>
      <w:proofErr w:type="spellStart"/>
      <w:r w:rsidR="00B37E97" w:rsidRPr="0056261A">
        <w:rPr>
          <w:rFonts w:ascii="Arial" w:hAnsi="Arial" w:cs="Arial"/>
          <w:sz w:val="24"/>
          <w:szCs w:val="24"/>
        </w:rPr>
        <w:t>Cost</w:t>
      </w:r>
      <w:proofErr w:type="spellEnd"/>
      <w:r w:rsidR="00B37E97" w:rsidRPr="0056261A">
        <w:rPr>
          <w:rFonts w:ascii="Arial" w:hAnsi="Arial" w:cs="Arial"/>
          <w:sz w:val="24"/>
          <w:szCs w:val="24"/>
        </w:rPr>
        <w:t xml:space="preserve">., quali il divieto di retroattività delle modifiche sanzionatorie </w:t>
      </w:r>
      <w:r w:rsidR="00B37E97" w:rsidRPr="0056261A">
        <w:rPr>
          <w:rFonts w:ascii="Arial" w:hAnsi="Arial" w:cs="Arial"/>
          <w:i/>
          <w:sz w:val="24"/>
          <w:szCs w:val="24"/>
        </w:rPr>
        <w:t xml:space="preserve">in </w:t>
      </w:r>
      <w:proofErr w:type="spellStart"/>
      <w:r w:rsidR="00B37E97" w:rsidRPr="0056261A">
        <w:rPr>
          <w:rFonts w:ascii="Arial" w:hAnsi="Arial" w:cs="Arial"/>
          <w:i/>
          <w:sz w:val="24"/>
          <w:szCs w:val="24"/>
        </w:rPr>
        <w:t>peius</w:t>
      </w:r>
      <w:proofErr w:type="spellEnd"/>
      <w:r w:rsidR="00B94433" w:rsidRPr="0056261A">
        <w:rPr>
          <w:rFonts w:ascii="Arial" w:hAnsi="Arial" w:cs="Arial"/>
          <w:sz w:val="24"/>
          <w:szCs w:val="24"/>
        </w:rPr>
        <w:t xml:space="preserve">, </w:t>
      </w:r>
      <w:r w:rsidR="00B37E97" w:rsidRPr="0056261A">
        <w:rPr>
          <w:rFonts w:ascii="Arial" w:hAnsi="Arial" w:cs="Arial"/>
          <w:sz w:val="24"/>
          <w:szCs w:val="24"/>
        </w:rPr>
        <w:t xml:space="preserve">la sufficiente precisione del precetto sanzionato, nonché la retroattività delle modifiche sanzionatorie </w:t>
      </w:r>
      <w:r w:rsidR="00B37E97" w:rsidRPr="0056261A">
        <w:rPr>
          <w:rFonts w:ascii="Arial" w:hAnsi="Arial" w:cs="Arial"/>
          <w:i/>
          <w:sz w:val="24"/>
          <w:szCs w:val="24"/>
        </w:rPr>
        <w:t xml:space="preserve">in </w:t>
      </w:r>
      <w:proofErr w:type="spellStart"/>
      <w:r w:rsidR="00B37E97" w:rsidRPr="0056261A">
        <w:rPr>
          <w:rFonts w:ascii="Arial" w:hAnsi="Arial" w:cs="Arial"/>
          <w:i/>
          <w:sz w:val="24"/>
          <w:szCs w:val="24"/>
        </w:rPr>
        <w:t>mitius</w:t>
      </w:r>
      <w:proofErr w:type="spellEnd"/>
      <w:r w:rsidR="00B37E97" w:rsidRPr="0056261A">
        <w:rPr>
          <w:rFonts w:ascii="Arial" w:hAnsi="Arial" w:cs="Arial"/>
          <w:sz w:val="24"/>
          <w:szCs w:val="24"/>
        </w:rPr>
        <w:t xml:space="preserve"> –, ciò tuttavia non è avvenuto </w:t>
      </w:r>
      <w:r w:rsidR="00B37E97" w:rsidRPr="008464D4">
        <w:rPr>
          <w:rFonts w:ascii="Arial" w:hAnsi="Arial" w:cs="Arial"/>
          <w:sz w:val="24"/>
          <w:szCs w:val="24"/>
        </w:rPr>
        <w:t>“</w:t>
      </w:r>
      <w:r w:rsidR="008464D4" w:rsidRPr="008464D4">
        <w:rPr>
          <w:rFonts w:ascii="Arial" w:hAnsi="Arial" w:cs="Arial"/>
          <w:sz w:val="24"/>
          <w:szCs w:val="24"/>
        </w:rPr>
        <w:t>in relazione ai princì</w:t>
      </w:r>
      <w:r w:rsidR="00B37E97" w:rsidRPr="008464D4">
        <w:rPr>
          <w:rFonts w:ascii="Arial" w:hAnsi="Arial" w:cs="Arial"/>
          <w:sz w:val="24"/>
          <w:szCs w:val="24"/>
        </w:rPr>
        <w:t xml:space="preserve">pi in materia di responsabilità penale stabiliti dall’art. 27 </w:t>
      </w:r>
      <w:proofErr w:type="spellStart"/>
      <w:r w:rsidR="00B37E97" w:rsidRPr="008464D4">
        <w:rPr>
          <w:rFonts w:ascii="Arial" w:hAnsi="Arial" w:cs="Arial"/>
          <w:sz w:val="24"/>
          <w:szCs w:val="24"/>
        </w:rPr>
        <w:t>Cost</w:t>
      </w:r>
      <w:proofErr w:type="spellEnd"/>
      <w:r w:rsidR="00B37E97" w:rsidRPr="008464D4">
        <w:rPr>
          <w:rFonts w:ascii="Arial" w:hAnsi="Arial" w:cs="Arial"/>
          <w:sz w:val="24"/>
          <w:szCs w:val="24"/>
        </w:rPr>
        <w:t>. (sentenza n. 281 del 2013 e ordinanza n. 169 del 2013). Tali princ</w:t>
      </w:r>
      <w:r w:rsidR="008464D4">
        <w:rPr>
          <w:rFonts w:ascii="Arial" w:hAnsi="Arial" w:cs="Arial"/>
          <w:sz w:val="24"/>
          <w:szCs w:val="24"/>
        </w:rPr>
        <w:t>ì</w:t>
      </w:r>
      <w:r w:rsidR="00B37E97" w:rsidRPr="008464D4">
        <w:rPr>
          <w:rFonts w:ascii="Arial" w:hAnsi="Arial" w:cs="Arial"/>
          <w:sz w:val="24"/>
          <w:szCs w:val="24"/>
        </w:rPr>
        <w:t>pi – a cominciare dalla necessaria funzione rieducativa della pena – appaiono infatti strettamente connessi alla logica della pena privativa, o quanto meno limitativa, della libertà personale, attorno alla quale è tutt’oggi costruito il sistema sanzionatorio penale, e che resta sempre più o meno direttamente sullo sfondo anche nell’ipotesi in cui vengano irrogate pene di natura diversa, come rimedio di ultima istanza in caso di inadempimento degli obblighi da esse derivanti”</w:t>
      </w:r>
      <w:r w:rsidR="008464D4">
        <w:rPr>
          <w:rFonts w:ascii="Arial" w:hAnsi="Arial" w:cs="Arial"/>
          <w:sz w:val="24"/>
          <w:szCs w:val="24"/>
        </w:rPr>
        <w:t>(</w:t>
      </w:r>
      <w:r w:rsidRPr="008464D4">
        <w:rPr>
          <w:rStyle w:val="Rimandonotaapidipagina"/>
          <w:rFonts w:ascii="Arial" w:hAnsi="Arial" w:cs="Arial"/>
          <w:sz w:val="24"/>
          <w:szCs w:val="24"/>
        </w:rPr>
        <w:footnoteReference w:id="52"/>
      </w:r>
      <w:r w:rsidR="008464D4">
        <w:rPr>
          <w:rFonts w:ascii="Arial" w:hAnsi="Arial" w:cs="Arial"/>
          <w:sz w:val="24"/>
          <w:szCs w:val="24"/>
        </w:rPr>
        <w:t>)</w:t>
      </w:r>
      <w:r w:rsidR="00B37E97" w:rsidRPr="008464D4">
        <w:rPr>
          <w:rFonts w:ascii="Arial" w:hAnsi="Arial" w:cs="Arial"/>
          <w:sz w:val="24"/>
          <w:szCs w:val="24"/>
        </w:rPr>
        <w:t>. In ogni caso</w:t>
      </w:r>
      <w:r w:rsidR="00042DE9" w:rsidRPr="008464D4">
        <w:rPr>
          <w:rFonts w:ascii="Arial" w:hAnsi="Arial" w:cs="Arial"/>
          <w:sz w:val="24"/>
          <w:szCs w:val="24"/>
        </w:rPr>
        <w:t>, per il Giudice costituzionale</w:t>
      </w:r>
      <w:r w:rsidR="00B37E97" w:rsidRPr="008464D4">
        <w:rPr>
          <w:rFonts w:ascii="Arial" w:hAnsi="Arial" w:cs="Arial"/>
          <w:sz w:val="24"/>
          <w:szCs w:val="24"/>
        </w:rPr>
        <w:t xml:space="preserve"> non si può dubitare del fatto che comunque “il principio di proporzionalità della sanzione rispetto alla gravità dell’illecito sia applicabile anche alla generalità delle sanzioni amministrative”</w:t>
      </w:r>
      <w:r w:rsidR="007C3966">
        <w:rPr>
          <w:rFonts w:ascii="Arial" w:hAnsi="Arial" w:cs="Arial"/>
          <w:sz w:val="24"/>
          <w:szCs w:val="24"/>
        </w:rPr>
        <w:t>(</w:t>
      </w:r>
      <w:r w:rsidR="00B37E97" w:rsidRPr="008464D4">
        <w:rPr>
          <w:rStyle w:val="Rimandonotaapidipagina"/>
          <w:rFonts w:ascii="Arial" w:hAnsi="Arial" w:cs="Arial"/>
          <w:sz w:val="24"/>
          <w:szCs w:val="24"/>
        </w:rPr>
        <w:footnoteReference w:id="53"/>
      </w:r>
      <w:r w:rsidR="007C3966">
        <w:rPr>
          <w:rFonts w:ascii="Arial" w:hAnsi="Arial" w:cs="Arial"/>
          <w:sz w:val="24"/>
          <w:szCs w:val="24"/>
        </w:rPr>
        <w:t>)</w:t>
      </w:r>
      <w:r w:rsidR="00B37E97" w:rsidRPr="008464D4">
        <w:rPr>
          <w:rFonts w:ascii="Arial" w:hAnsi="Arial" w:cs="Arial"/>
          <w:sz w:val="24"/>
          <w:szCs w:val="24"/>
        </w:rPr>
        <w:t>.</w:t>
      </w:r>
    </w:p>
    <w:p w:rsidR="00756A37" w:rsidRPr="0056261A" w:rsidRDefault="00CA2BBA" w:rsidP="008464D4">
      <w:pPr>
        <w:spacing w:after="0"/>
        <w:jc w:val="both"/>
        <w:rPr>
          <w:rFonts w:ascii="Arial" w:hAnsi="Arial" w:cs="Arial"/>
          <w:sz w:val="24"/>
          <w:szCs w:val="24"/>
        </w:rPr>
      </w:pPr>
      <w:r w:rsidRPr="0056261A">
        <w:rPr>
          <w:rFonts w:ascii="Arial" w:hAnsi="Arial" w:cs="Arial"/>
          <w:sz w:val="24"/>
          <w:szCs w:val="24"/>
        </w:rPr>
        <w:t>Dall’esame della giurisprudenza costituzionale</w:t>
      </w:r>
      <w:r w:rsidR="00ED234E" w:rsidRPr="0056261A">
        <w:rPr>
          <w:rFonts w:ascii="Arial" w:hAnsi="Arial" w:cs="Arial"/>
          <w:sz w:val="24"/>
          <w:szCs w:val="24"/>
        </w:rPr>
        <w:t>, perciò,</w:t>
      </w:r>
      <w:r w:rsidRPr="0056261A">
        <w:rPr>
          <w:rFonts w:ascii="Arial" w:hAnsi="Arial" w:cs="Arial"/>
          <w:sz w:val="24"/>
          <w:szCs w:val="24"/>
        </w:rPr>
        <w:t xml:space="preserve"> si ricava un progressivo</w:t>
      </w:r>
      <w:r w:rsidR="00756A37" w:rsidRPr="0056261A">
        <w:rPr>
          <w:rFonts w:ascii="Arial" w:hAnsi="Arial" w:cs="Arial"/>
          <w:sz w:val="24"/>
          <w:szCs w:val="24"/>
        </w:rPr>
        <w:t>, se</w:t>
      </w:r>
      <w:r w:rsidR="001354E7" w:rsidRPr="0056261A">
        <w:rPr>
          <w:rFonts w:ascii="Arial" w:hAnsi="Arial" w:cs="Arial"/>
          <w:sz w:val="24"/>
          <w:szCs w:val="24"/>
        </w:rPr>
        <w:t>ppure</w:t>
      </w:r>
      <w:r w:rsidR="00756A37" w:rsidRPr="0056261A">
        <w:rPr>
          <w:rFonts w:ascii="Arial" w:hAnsi="Arial" w:cs="Arial"/>
          <w:sz w:val="24"/>
          <w:szCs w:val="24"/>
        </w:rPr>
        <w:t xml:space="preserve"> non univoco, </w:t>
      </w:r>
      <w:r w:rsidRPr="0056261A">
        <w:rPr>
          <w:rFonts w:ascii="Arial" w:hAnsi="Arial" w:cs="Arial"/>
          <w:sz w:val="24"/>
          <w:szCs w:val="24"/>
        </w:rPr>
        <w:t xml:space="preserve">avvicinamento alle posizioni assunte da </w:t>
      </w:r>
      <w:r w:rsidR="00756A37" w:rsidRPr="0056261A">
        <w:rPr>
          <w:rFonts w:ascii="Arial" w:hAnsi="Arial" w:cs="Arial"/>
          <w:sz w:val="24"/>
          <w:szCs w:val="24"/>
        </w:rPr>
        <w:t xml:space="preserve">tempo in sede sovranazionale, che tuttavia vengono recepite </w:t>
      </w:r>
      <w:r w:rsidR="00635D74" w:rsidRPr="0056261A">
        <w:rPr>
          <w:rFonts w:ascii="Arial" w:hAnsi="Arial" w:cs="Arial"/>
          <w:sz w:val="24"/>
          <w:szCs w:val="24"/>
        </w:rPr>
        <w:t>attraverso</w:t>
      </w:r>
      <w:r w:rsidR="00756A37" w:rsidRPr="0056261A">
        <w:rPr>
          <w:rFonts w:ascii="Arial" w:hAnsi="Arial" w:cs="Arial"/>
          <w:sz w:val="24"/>
          <w:szCs w:val="24"/>
        </w:rPr>
        <w:t xml:space="preserve"> un vaglio critico ed un esame caso per caso</w:t>
      </w:r>
      <w:r w:rsidR="008464D4">
        <w:rPr>
          <w:rFonts w:ascii="Arial" w:hAnsi="Arial" w:cs="Arial"/>
          <w:sz w:val="24"/>
          <w:szCs w:val="24"/>
        </w:rPr>
        <w:t>(</w:t>
      </w:r>
      <w:r w:rsidR="00B053F0" w:rsidRPr="0056261A">
        <w:rPr>
          <w:rStyle w:val="Rimandonotaapidipagina"/>
          <w:rFonts w:ascii="Arial" w:hAnsi="Arial" w:cs="Arial"/>
          <w:sz w:val="24"/>
          <w:szCs w:val="24"/>
        </w:rPr>
        <w:footnoteReference w:id="54"/>
      </w:r>
      <w:r w:rsidR="008464D4">
        <w:rPr>
          <w:rFonts w:ascii="Arial" w:hAnsi="Arial" w:cs="Arial"/>
          <w:sz w:val="24"/>
          <w:szCs w:val="24"/>
        </w:rPr>
        <w:t>)</w:t>
      </w:r>
      <w:r w:rsidR="00756A37" w:rsidRPr="0056261A">
        <w:rPr>
          <w:rFonts w:ascii="Arial" w:hAnsi="Arial" w:cs="Arial"/>
          <w:sz w:val="24"/>
          <w:szCs w:val="24"/>
        </w:rPr>
        <w:t xml:space="preserve">, come espressamente chiarito in più occasioni dal Giudice delle leggi: </w:t>
      </w:r>
      <w:r w:rsidR="00635D74" w:rsidRPr="0056261A">
        <w:rPr>
          <w:rFonts w:ascii="Arial" w:hAnsi="Arial" w:cs="Arial"/>
          <w:sz w:val="24"/>
          <w:szCs w:val="24"/>
        </w:rPr>
        <w:t xml:space="preserve">difatti, </w:t>
      </w:r>
      <w:r w:rsidR="00756A37" w:rsidRPr="0056261A">
        <w:rPr>
          <w:rFonts w:ascii="Arial" w:hAnsi="Arial" w:cs="Arial"/>
          <w:sz w:val="24"/>
          <w:szCs w:val="24"/>
        </w:rPr>
        <w:t xml:space="preserve">spetta </w:t>
      </w:r>
      <w:r w:rsidR="00635D74" w:rsidRPr="0056261A">
        <w:rPr>
          <w:rFonts w:ascii="Arial" w:hAnsi="Arial" w:cs="Arial"/>
          <w:sz w:val="24"/>
          <w:szCs w:val="24"/>
        </w:rPr>
        <w:t xml:space="preserve">alla </w:t>
      </w:r>
      <w:r w:rsidR="00756A37" w:rsidRPr="0056261A">
        <w:rPr>
          <w:rFonts w:ascii="Arial" w:hAnsi="Arial" w:cs="Arial"/>
          <w:sz w:val="24"/>
          <w:szCs w:val="24"/>
        </w:rPr>
        <w:t xml:space="preserve">Corte </w:t>
      </w:r>
      <w:r w:rsidR="00AD0F63" w:rsidRPr="008464D4">
        <w:rPr>
          <w:rFonts w:ascii="Arial" w:hAnsi="Arial" w:cs="Arial"/>
          <w:sz w:val="24"/>
          <w:szCs w:val="24"/>
        </w:rPr>
        <w:t>“</w:t>
      </w:r>
      <w:r w:rsidR="00756A37" w:rsidRPr="008464D4">
        <w:rPr>
          <w:rFonts w:ascii="Arial" w:hAnsi="Arial" w:cs="Arial"/>
          <w:sz w:val="24"/>
          <w:szCs w:val="24"/>
        </w:rPr>
        <w:t xml:space="preserve">«valutare come ed in qual misura il prodotto dell’interpretazione della Corte europea si inserisca nell’ordinamento costituzionale italiano. La norma CEDU, nel momento in cui va ad integrare il primo comma dell’art. 117 </w:t>
      </w:r>
      <w:proofErr w:type="spellStart"/>
      <w:r w:rsidR="00756A37" w:rsidRPr="008464D4">
        <w:rPr>
          <w:rFonts w:ascii="Arial" w:hAnsi="Arial" w:cs="Arial"/>
          <w:sz w:val="24"/>
          <w:szCs w:val="24"/>
        </w:rPr>
        <w:t>Cost</w:t>
      </w:r>
      <w:proofErr w:type="spellEnd"/>
      <w:r w:rsidR="00756A37" w:rsidRPr="008464D4">
        <w:rPr>
          <w:rFonts w:ascii="Arial" w:hAnsi="Arial" w:cs="Arial"/>
          <w:sz w:val="24"/>
          <w:szCs w:val="24"/>
        </w:rPr>
        <w:t>., da questo ripete il suo rango nel sistema delle fonti, con tutto ciò che segue, in termini di interpretazione e bilanciamento, che sono le ordinarie operazioni cui questa Corte è chiamata in tutti i giudizi di sua competenza» (…). In altri termini, spetta a essa di apprezzare la giurisprudenza europea formatasi sulla norma conferente, «in modo da rispettarne la sostanza, ma con un margine di apprezzamento e di adeguamento che le consenta di tener conto delle peculiarità dell’ordinamento giuridico in cui la norma convenzionale è destinata a inserirsi</w:t>
      </w:r>
      <w:r w:rsidR="00635D74" w:rsidRPr="008464D4">
        <w:rPr>
          <w:rFonts w:ascii="Arial" w:hAnsi="Arial" w:cs="Arial"/>
          <w:sz w:val="24"/>
          <w:szCs w:val="24"/>
        </w:rPr>
        <w:t>»</w:t>
      </w:r>
      <w:r w:rsidR="00756A37" w:rsidRPr="008464D4">
        <w:rPr>
          <w:rFonts w:ascii="Arial" w:hAnsi="Arial" w:cs="Arial"/>
          <w:sz w:val="24"/>
          <w:szCs w:val="24"/>
        </w:rPr>
        <w:t>”</w:t>
      </w:r>
      <w:r w:rsidR="008464D4">
        <w:rPr>
          <w:rFonts w:ascii="Arial" w:hAnsi="Arial" w:cs="Arial"/>
          <w:sz w:val="24"/>
          <w:szCs w:val="24"/>
        </w:rPr>
        <w:t>(</w:t>
      </w:r>
      <w:r w:rsidR="00756A37" w:rsidRPr="008464D4">
        <w:rPr>
          <w:rStyle w:val="Rimandonotaapidipagina"/>
          <w:rFonts w:ascii="Arial" w:hAnsi="Arial" w:cs="Arial"/>
          <w:sz w:val="24"/>
          <w:szCs w:val="24"/>
        </w:rPr>
        <w:footnoteReference w:id="55"/>
      </w:r>
      <w:r w:rsidR="008464D4">
        <w:rPr>
          <w:rFonts w:ascii="Arial" w:hAnsi="Arial" w:cs="Arial"/>
          <w:sz w:val="24"/>
          <w:szCs w:val="24"/>
        </w:rPr>
        <w:t>)</w:t>
      </w:r>
      <w:r w:rsidR="00756A37" w:rsidRPr="008464D4">
        <w:rPr>
          <w:rFonts w:ascii="Arial" w:hAnsi="Arial" w:cs="Arial"/>
          <w:sz w:val="24"/>
          <w:szCs w:val="24"/>
        </w:rPr>
        <w:t>.</w:t>
      </w:r>
    </w:p>
    <w:p w:rsidR="00B053F0" w:rsidRPr="0056261A" w:rsidRDefault="00B053F0" w:rsidP="008464D4">
      <w:pPr>
        <w:spacing w:after="0"/>
        <w:jc w:val="both"/>
        <w:rPr>
          <w:rFonts w:ascii="Arial" w:hAnsi="Arial" w:cs="Arial"/>
          <w:sz w:val="24"/>
          <w:szCs w:val="24"/>
        </w:rPr>
      </w:pPr>
      <w:r w:rsidRPr="0056261A">
        <w:rPr>
          <w:rFonts w:ascii="Arial" w:hAnsi="Arial" w:cs="Arial"/>
          <w:sz w:val="24"/>
          <w:szCs w:val="24"/>
        </w:rPr>
        <w:t xml:space="preserve">Inoltre, l’estensione del principio di retroattività della </w:t>
      </w:r>
      <w:proofErr w:type="spellStart"/>
      <w:r w:rsidRPr="0056261A">
        <w:rPr>
          <w:rFonts w:ascii="Arial" w:hAnsi="Arial" w:cs="Arial"/>
          <w:i/>
          <w:sz w:val="24"/>
          <w:szCs w:val="24"/>
        </w:rPr>
        <w:t>lex</w:t>
      </w:r>
      <w:proofErr w:type="spellEnd"/>
      <w:r w:rsidRPr="0056261A">
        <w:rPr>
          <w:rFonts w:ascii="Arial" w:hAnsi="Arial" w:cs="Arial"/>
          <w:i/>
          <w:sz w:val="24"/>
          <w:szCs w:val="24"/>
        </w:rPr>
        <w:t xml:space="preserve"> </w:t>
      </w:r>
      <w:proofErr w:type="spellStart"/>
      <w:r w:rsidRPr="0056261A">
        <w:rPr>
          <w:rFonts w:ascii="Arial" w:hAnsi="Arial" w:cs="Arial"/>
          <w:i/>
          <w:sz w:val="24"/>
          <w:szCs w:val="24"/>
        </w:rPr>
        <w:t>mitior</w:t>
      </w:r>
      <w:proofErr w:type="spellEnd"/>
      <w:r w:rsidRPr="0056261A">
        <w:rPr>
          <w:rFonts w:ascii="Arial" w:hAnsi="Arial" w:cs="Arial"/>
          <w:sz w:val="24"/>
          <w:szCs w:val="24"/>
        </w:rPr>
        <w:t xml:space="preserve"> </w:t>
      </w:r>
      <w:r w:rsidR="00D36CD3" w:rsidRPr="0056261A">
        <w:rPr>
          <w:rFonts w:ascii="Arial" w:hAnsi="Arial" w:cs="Arial"/>
          <w:sz w:val="24"/>
          <w:szCs w:val="24"/>
        </w:rPr>
        <w:t>anche alle</w:t>
      </w:r>
      <w:r w:rsidRPr="0056261A">
        <w:rPr>
          <w:rFonts w:ascii="Arial" w:hAnsi="Arial" w:cs="Arial"/>
          <w:sz w:val="24"/>
          <w:szCs w:val="24"/>
        </w:rPr>
        <w:t xml:space="preserve"> sanzioni amministrative aventi natura e funzione “</w:t>
      </w:r>
      <w:r w:rsidRPr="008464D4">
        <w:rPr>
          <w:rFonts w:ascii="Arial" w:hAnsi="Arial" w:cs="Arial"/>
          <w:sz w:val="24"/>
          <w:szCs w:val="24"/>
        </w:rPr>
        <w:t>punitiv</w:t>
      </w:r>
      <w:r w:rsidR="001354E7" w:rsidRPr="008464D4">
        <w:rPr>
          <w:rFonts w:ascii="Arial" w:hAnsi="Arial" w:cs="Arial"/>
          <w:sz w:val="24"/>
          <w:szCs w:val="24"/>
        </w:rPr>
        <w:t>e</w:t>
      </w:r>
      <w:r w:rsidRPr="008464D4">
        <w:rPr>
          <w:rFonts w:ascii="Arial" w:hAnsi="Arial" w:cs="Arial"/>
          <w:sz w:val="24"/>
          <w:szCs w:val="24"/>
        </w:rPr>
        <w:t>”</w:t>
      </w:r>
      <w:r w:rsidRPr="0056261A">
        <w:rPr>
          <w:rFonts w:ascii="Arial" w:hAnsi="Arial" w:cs="Arial"/>
          <w:sz w:val="24"/>
          <w:szCs w:val="24"/>
        </w:rPr>
        <w:t xml:space="preserve"> </w:t>
      </w:r>
      <w:r w:rsidR="00D36CD3" w:rsidRPr="0056261A">
        <w:rPr>
          <w:rFonts w:ascii="Arial" w:hAnsi="Arial" w:cs="Arial"/>
          <w:sz w:val="24"/>
          <w:szCs w:val="24"/>
        </w:rPr>
        <w:t>rinv</w:t>
      </w:r>
      <w:r w:rsidR="00596B3F" w:rsidRPr="0056261A">
        <w:rPr>
          <w:rFonts w:ascii="Arial" w:hAnsi="Arial" w:cs="Arial"/>
          <w:sz w:val="24"/>
          <w:szCs w:val="24"/>
        </w:rPr>
        <w:t>i</w:t>
      </w:r>
      <w:r w:rsidR="00D36CD3" w:rsidRPr="0056261A">
        <w:rPr>
          <w:rFonts w:ascii="Arial" w:hAnsi="Arial" w:cs="Arial"/>
          <w:sz w:val="24"/>
          <w:szCs w:val="24"/>
        </w:rPr>
        <w:t>e</w:t>
      </w:r>
      <w:r w:rsidR="00596B3F" w:rsidRPr="0056261A">
        <w:rPr>
          <w:rFonts w:ascii="Arial" w:hAnsi="Arial" w:cs="Arial"/>
          <w:sz w:val="24"/>
          <w:szCs w:val="24"/>
        </w:rPr>
        <w:t>ne</w:t>
      </w:r>
      <w:r w:rsidR="00D36CD3" w:rsidRPr="0056261A">
        <w:rPr>
          <w:rFonts w:ascii="Arial" w:hAnsi="Arial" w:cs="Arial"/>
          <w:sz w:val="24"/>
          <w:szCs w:val="24"/>
        </w:rPr>
        <w:t xml:space="preserve"> il proprio fondamento ne</w:t>
      </w:r>
      <w:r w:rsidRPr="0056261A">
        <w:rPr>
          <w:rFonts w:ascii="Arial" w:hAnsi="Arial" w:cs="Arial"/>
          <w:sz w:val="24"/>
          <w:szCs w:val="24"/>
        </w:rPr>
        <w:t xml:space="preserve">ll’art. 3 </w:t>
      </w:r>
      <w:proofErr w:type="spellStart"/>
      <w:r w:rsidRPr="0056261A">
        <w:rPr>
          <w:rFonts w:ascii="Arial" w:hAnsi="Arial" w:cs="Arial"/>
          <w:sz w:val="24"/>
          <w:szCs w:val="24"/>
        </w:rPr>
        <w:t>Cost</w:t>
      </w:r>
      <w:proofErr w:type="spellEnd"/>
      <w:r w:rsidRPr="0056261A">
        <w:rPr>
          <w:rFonts w:ascii="Arial" w:hAnsi="Arial" w:cs="Arial"/>
          <w:sz w:val="24"/>
          <w:szCs w:val="24"/>
        </w:rPr>
        <w:t>.</w:t>
      </w:r>
      <w:r w:rsidR="008464D4">
        <w:rPr>
          <w:rFonts w:ascii="Arial" w:hAnsi="Arial" w:cs="Arial"/>
          <w:sz w:val="24"/>
          <w:szCs w:val="24"/>
        </w:rPr>
        <w:t>(</w:t>
      </w:r>
      <w:r w:rsidR="003B4A71" w:rsidRPr="008464D4">
        <w:rPr>
          <w:rStyle w:val="Rimandonotaapidipagina"/>
          <w:rFonts w:ascii="Arial" w:hAnsi="Arial" w:cs="Arial"/>
          <w:sz w:val="24"/>
          <w:szCs w:val="24"/>
        </w:rPr>
        <w:footnoteReference w:id="56"/>
      </w:r>
      <w:r w:rsidR="008464D4">
        <w:rPr>
          <w:rFonts w:ascii="Arial" w:hAnsi="Arial" w:cs="Arial"/>
          <w:sz w:val="24"/>
          <w:szCs w:val="24"/>
        </w:rPr>
        <w:t>)</w:t>
      </w:r>
      <w:r w:rsidRPr="0056261A">
        <w:rPr>
          <w:rFonts w:ascii="Arial" w:hAnsi="Arial" w:cs="Arial"/>
          <w:sz w:val="24"/>
          <w:szCs w:val="24"/>
        </w:rPr>
        <w:t xml:space="preserve">, </w:t>
      </w:r>
      <w:r w:rsidR="00D36CD3" w:rsidRPr="0056261A">
        <w:rPr>
          <w:rFonts w:ascii="Arial" w:hAnsi="Arial" w:cs="Arial"/>
          <w:sz w:val="24"/>
          <w:szCs w:val="24"/>
        </w:rPr>
        <w:t xml:space="preserve">similmente a quanto avviene per </w:t>
      </w:r>
      <w:r w:rsidRPr="0056261A">
        <w:rPr>
          <w:rFonts w:ascii="Arial" w:hAnsi="Arial" w:cs="Arial"/>
          <w:sz w:val="24"/>
          <w:szCs w:val="24"/>
        </w:rPr>
        <w:t>le sanzioni penali</w:t>
      </w:r>
      <w:r w:rsidR="00D36CD3" w:rsidRPr="0056261A">
        <w:rPr>
          <w:rFonts w:ascii="Arial" w:hAnsi="Arial" w:cs="Arial"/>
          <w:sz w:val="24"/>
          <w:szCs w:val="24"/>
        </w:rPr>
        <w:t xml:space="preserve"> in senso stretto, </w:t>
      </w:r>
      <w:r w:rsidR="00596B3F" w:rsidRPr="0056261A">
        <w:rPr>
          <w:rFonts w:ascii="Arial" w:hAnsi="Arial" w:cs="Arial"/>
          <w:sz w:val="24"/>
          <w:szCs w:val="24"/>
        </w:rPr>
        <w:t xml:space="preserve">dovendo prendersi atto che, </w:t>
      </w:r>
      <w:r w:rsidRPr="0056261A">
        <w:rPr>
          <w:rFonts w:ascii="Arial" w:hAnsi="Arial" w:cs="Arial"/>
          <w:sz w:val="24"/>
          <w:szCs w:val="24"/>
        </w:rPr>
        <w:t>muta</w:t>
      </w:r>
      <w:r w:rsidR="00596B3F" w:rsidRPr="0056261A">
        <w:rPr>
          <w:rFonts w:ascii="Arial" w:hAnsi="Arial" w:cs="Arial"/>
          <w:sz w:val="24"/>
          <w:szCs w:val="24"/>
        </w:rPr>
        <w:t>nd</w:t>
      </w:r>
      <w:r w:rsidRPr="0056261A">
        <w:rPr>
          <w:rFonts w:ascii="Arial" w:hAnsi="Arial" w:cs="Arial"/>
          <w:sz w:val="24"/>
          <w:szCs w:val="24"/>
        </w:rPr>
        <w:t xml:space="preserve">o </w:t>
      </w:r>
      <w:r w:rsidR="00596B3F" w:rsidRPr="0056261A">
        <w:rPr>
          <w:rFonts w:ascii="Arial" w:hAnsi="Arial" w:cs="Arial"/>
          <w:sz w:val="24"/>
          <w:szCs w:val="24"/>
        </w:rPr>
        <w:t>l’</w:t>
      </w:r>
      <w:r w:rsidRPr="0056261A">
        <w:rPr>
          <w:rFonts w:ascii="Arial" w:hAnsi="Arial" w:cs="Arial"/>
          <w:sz w:val="24"/>
          <w:szCs w:val="24"/>
        </w:rPr>
        <w:t>apprezzamento della gravità dell’ill</w:t>
      </w:r>
      <w:r w:rsidR="00D36CD3" w:rsidRPr="0056261A">
        <w:rPr>
          <w:rFonts w:ascii="Arial" w:hAnsi="Arial" w:cs="Arial"/>
          <w:sz w:val="24"/>
          <w:szCs w:val="24"/>
        </w:rPr>
        <w:t>ecito da parte dell’ordinamento</w:t>
      </w:r>
      <w:r w:rsidR="00596B3F" w:rsidRPr="0056261A">
        <w:rPr>
          <w:rFonts w:ascii="Arial" w:hAnsi="Arial" w:cs="Arial"/>
          <w:sz w:val="24"/>
          <w:szCs w:val="24"/>
        </w:rPr>
        <w:t>, non può continuarsi a sanzionare quello stesso fatto, non più punito o punito più lievemente</w:t>
      </w:r>
      <w:r w:rsidR="00D36CD3" w:rsidRPr="0056261A">
        <w:rPr>
          <w:rFonts w:ascii="Arial" w:hAnsi="Arial" w:cs="Arial"/>
          <w:sz w:val="24"/>
          <w:szCs w:val="24"/>
        </w:rPr>
        <w:t xml:space="preserve">; tuttavia, </w:t>
      </w:r>
      <w:r w:rsidR="00596B3F" w:rsidRPr="0056261A">
        <w:rPr>
          <w:rFonts w:ascii="Arial" w:hAnsi="Arial" w:cs="Arial"/>
          <w:sz w:val="24"/>
          <w:szCs w:val="24"/>
        </w:rPr>
        <w:t>al cospetto di altri interessi</w:t>
      </w:r>
      <w:r w:rsidRPr="0056261A">
        <w:rPr>
          <w:rFonts w:ascii="Arial" w:hAnsi="Arial" w:cs="Arial"/>
          <w:sz w:val="24"/>
          <w:szCs w:val="24"/>
        </w:rPr>
        <w:t xml:space="preserve"> </w:t>
      </w:r>
      <w:r w:rsidR="00596B3F" w:rsidRPr="0056261A">
        <w:rPr>
          <w:rFonts w:ascii="Arial" w:hAnsi="Arial" w:cs="Arial"/>
          <w:sz w:val="24"/>
          <w:szCs w:val="24"/>
        </w:rPr>
        <w:t xml:space="preserve">contrapposti, </w:t>
      </w:r>
      <w:r w:rsidRPr="0056261A">
        <w:rPr>
          <w:rFonts w:ascii="Arial" w:hAnsi="Arial" w:cs="Arial"/>
          <w:sz w:val="24"/>
          <w:szCs w:val="24"/>
        </w:rPr>
        <w:t xml:space="preserve">di rango costituzionale, </w:t>
      </w:r>
      <w:r w:rsidR="00596B3F" w:rsidRPr="0056261A">
        <w:rPr>
          <w:rFonts w:ascii="Arial" w:hAnsi="Arial" w:cs="Arial"/>
          <w:sz w:val="24"/>
          <w:szCs w:val="24"/>
        </w:rPr>
        <w:t xml:space="preserve">è necessario verificare </w:t>
      </w:r>
      <w:r w:rsidR="00ED751C" w:rsidRPr="0056261A">
        <w:rPr>
          <w:rFonts w:ascii="Arial" w:hAnsi="Arial" w:cs="Arial"/>
          <w:sz w:val="24"/>
          <w:szCs w:val="24"/>
        </w:rPr>
        <w:t xml:space="preserve">la sussistenza di </w:t>
      </w:r>
      <w:r w:rsidRPr="0056261A">
        <w:rPr>
          <w:rFonts w:ascii="Arial" w:hAnsi="Arial" w:cs="Arial"/>
          <w:sz w:val="24"/>
          <w:szCs w:val="24"/>
        </w:rPr>
        <w:t xml:space="preserve">deroghe al </w:t>
      </w:r>
      <w:r w:rsidR="00ED751C" w:rsidRPr="0056261A">
        <w:rPr>
          <w:rFonts w:ascii="Arial" w:hAnsi="Arial" w:cs="Arial"/>
          <w:sz w:val="24"/>
          <w:szCs w:val="24"/>
        </w:rPr>
        <w:t xml:space="preserve">richiamato </w:t>
      </w:r>
      <w:r w:rsidRPr="0056261A">
        <w:rPr>
          <w:rFonts w:ascii="Arial" w:hAnsi="Arial" w:cs="Arial"/>
          <w:sz w:val="24"/>
          <w:szCs w:val="24"/>
        </w:rPr>
        <w:t xml:space="preserve">principio di retroattività </w:t>
      </w:r>
      <w:r w:rsidRPr="0056261A">
        <w:rPr>
          <w:rFonts w:ascii="Arial" w:hAnsi="Arial" w:cs="Arial"/>
          <w:i/>
          <w:sz w:val="24"/>
          <w:szCs w:val="24"/>
        </w:rPr>
        <w:t xml:space="preserve">in </w:t>
      </w:r>
      <w:proofErr w:type="spellStart"/>
      <w:r w:rsidRPr="0056261A">
        <w:rPr>
          <w:rFonts w:ascii="Arial" w:hAnsi="Arial" w:cs="Arial"/>
          <w:i/>
          <w:sz w:val="24"/>
          <w:szCs w:val="24"/>
        </w:rPr>
        <w:t>mitius</w:t>
      </w:r>
      <w:proofErr w:type="spellEnd"/>
      <w:r w:rsidR="001354E7" w:rsidRPr="0056261A">
        <w:rPr>
          <w:rFonts w:ascii="Arial" w:hAnsi="Arial" w:cs="Arial"/>
          <w:sz w:val="24"/>
          <w:szCs w:val="24"/>
        </w:rPr>
        <w:t xml:space="preserve"> mutuato da</w:t>
      </w:r>
      <w:r w:rsidRPr="0056261A">
        <w:rPr>
          <w:rFonts w:ascii="Arial" w:hAnsi="Arial" w:cs="Arial"/>
          <w:sz w:val="24"/>
          <w:szCs w:val="24"/>
        </w:rPr>
        <w:t>lla materia penale</w:t>
      </w:r>
      <w:r w:rsidR="008464D4">
        <w:rPr>
          <w:rFonts w:ascii="Arial" w:hAnsi="Arial" w:cs="Arial"/>
          <w:sz w:val="24"/>
          <w:szCs w:val="24"/>
        </w:rPr>
        <w:t>(</w:t>
      </w:r>
      <w:r w:rsidRPr="0056261A">
        <w:rPr>
          <w:rStyle w:val="Rimandonotaapidipagina"/>
          <w:rFonts w:ascii="Arial" w:hAnsi="Arial" w:cs="Arial"/>
          <w:sz w:val="24"/>
          <w:szCs w:val="24"/>
        </w:rPr>
        <w:footnoteReference w:id="57"/>
      </w:r>
      <w:r w:rsidR="008464D4">
        <w:rPr>
          <w:rFonts w:ascii="Arial" w:hAnsi="Arial" w:cs="Arial"/>
          <w:sz w:val="24"/>
          <w:szCs w:val="24"/>
        </w:rPr>
        <w:t>)</w:t>
      </w:r>
      <w:r w:rsidRPr="0056261A">
        <w:rPr>
          <w:rFonts w:ascii="Arial" w:hAnsi="Arial" w:cs="Arial"/>
          <w:sz w:val="24"/>
          <w:szCs w:val="24"/>
        </w:rPr>
        <w:t xml:space="preserve">. </w:t>
      </w:r>
    </w:p>
    <w:p w:rsidR="00635D74" w:rsidRPr="0056261A" w:rsidRDefault="00ED751C" w:rsidP="008464D4">
      <w:pPr>
        <w:spacing w:after="0"/>
        <w:jc w:val="both"/>
        <w:rPr>
          <w:rFonts w:ascii="Arial" w:hAnsi="Arial" w:cs="Arial"/>
          <w:sz w:val="24"/>
          <w:szCs w:val="24"/>
        </w:rPr>
      </w:pPr>
      <w:r w:rsidRPr="0056261A">
        <w:rPr>
          <w:rFonts w:ascii="Arial" w:hAnsi="Arial" w:cs="Arial"/>
          <w:sz w:val="24"/>
          <w:szCs w:val="24"/>
        </w:rPr>
        <w:t>Quanto emerso finora dà conto di un</w:t>
      </w:r>
      <w:r w:rsidR="00635D74" w:rsidRPr="0056261A">
        <w:rPr>
          <w:rFonts w:ascii="Arial" w:hAnsi="Arial" w:cs="Arial"/>
          <w:sz w:val="24"/>
          <w:szCs w:val="24"/>
        </w:rPr>
        <w:t xml:space="preserve"> approccio </w:t>
      </w:r>
      <w:r w:rsidR="001354E7" w:rsidRPr="0056261A">
        <w:rPr>
          <w:rFonts w:ascii="Arial" w:hAnsi="Arial" w:cs="Arial"/>
          <w:sz w:val="24"/>
          <w:szCs w:val="24"/>
        </w:rPr>
        <w:t xml:space="preserve">seguito dalla Corte costituzionale </w:t>
      </w:r>
      <w:r w:rsidRPr="0056261A">
        <w:rPr>
          <w:rFonts w:ascii="Arial" w:hAnsi="Arial" w:cs="Arial"/>
          <w:sz w:val="24"/>
          <w:szCs w:val="24"/>
        </w:rPr>
        <w:t xml:space="preserve">che </w:t>
      </w:r>
      <w:r w:rsidR="00635D74" w:rsidRPr="0056261A">
        <w:rPr>
          <w:rFonts w:ascii="Arial" w:hAnsi="Arial" w:cs="Arial"/>
          <w:sz w:val="24"/>
          <w:szCs w:val="24"/>
        </w:rPr>
        <w:t xml:space="preserve">influenza </w:t>
      </w:r>
      <w:r w:rsidRPr="0056261A">
        <w:rPr>
          <w:rFonts w:ascii="Arial" w:hAnsi="Arial" w:cs="Arial"/>
          <w:sz w:val="24"/>
          <w:szCs w:val="24"/>
        </w:rPr>
        <w:t>certamente i</w:t>
      </w:r>
      <w:r w:rsidR="00635D74" w:rsidRPr="0056261A">
        <w:rPr>
          <w:rFonts w:ascii="Arial" w:hAnsi="Arial" w:cs="Arial"/>
          <w:sz w:val="24"/>
          <w:szCs w:val="24"/>
        </w:rPr>
        <w:t>l giudice comune</w:t>
      </w:r>
      <w:r w:rsidR="000E739F" w:rsidRPr="0056261A">
        <w:rPr>
          <w:rFonts w:ascii="Arial" w:hAnsi="Arial" w:cs="Arial"/>
          <w:sz w:val="24"/>
          <w:szCs w:val="24"/>
        </w:rPr>
        <w:t xml:space="preserve">, </w:t>
      </w:r>
      <w:r w:rsidRPr="0056261A">
        <w:rPr>
          <w:rFonts w:ascii="Arial" w:hAnsi="Arial" w:cs="Arial"/>
          <w:sz w:val="24"/>
          <w:szCs w:val="24"/>
        </w:rPr>
        <w:t>tenuto con</w:t>
      </w:r>
      <w:r w:rsidR="000E739F" w:rsidRPr="0056261A">
        <w:rPr>
          <w:rFonts w:ascii="Arial" w:hAnsi="Arial" w:cs="Arial"/>
          <w:sz w:val="24"/>
          <w:szCs w:val="24"/>
        </w:rPr>
        <w:t xml:space="preserve">to </w:t>
      </w:r>
      <w:r w:rsidR="00635D74" w:rsidRPr="0056261A">
        <w:rPr>
          <w:rFonts w:ascii="Arial" w:hAnsi="Arial" w:cs="Arial"/>
          <w:sz w:val="24"/>
          <w:szCs w:val="24"/>
        </w:rPr>
        <w:t xml:space="preserve">che </w:t>
      </w:r>
      <w:r w:rsidR="000E739F" w:rsidRPr="0056261A">
        <w:rPr>
          <w:rFonts w:ascii="Arial" w:hAnsi="Arial" w:cs="Arial"/>
          <w:sz w:val="24"/>
          <w:szCs w:val="24"/>
        </w:rPr>
        <w:t xml:space="preserve">questi </w:t>
      </w:r>
      <w:r w:rsidR="00635D74" w:rsidRPr="0056261A">
        <w:rPr>
          <w:rFonts w:ascii="Arial" w:hAnsi="Arial" w:cs="Arial"/>
          <w:sz w:val="24"/>
          <w:szCs w:val="24"/>
        </w:rPr>
        <w:t>non può avere un dialogo diretto con la Corte EDU</w:t>
      </w:r>
      <w:r w:rsidR="008464D4">
        <w:rPr>
          <w:rFonts w:ascii="Arial" w:hAnsi="Arial" w:cs="Arial"/>
          <w:sz w:val="24"/>
          <w:szCs w:val="24"/>
        </w:rPr>
        <w:t>(</w:t>
      </w:r>
      <w:r w:rsidR="00635D74" w:rsidRPr="0056261A">
        <w:rPr>
          <w:rStyle w:val="Rimandonotaapidipagina"/>
          <w:rFonts w:ascii="Arial" w:hAnsi="Arial" w:cs="Arial"/>
          <w:sz w:val="24"/>
          <w:szCs w:val="24"/>
        </w:rPr>
        <w:footnoteReference w:id="58"/>
      </w:r>
      <w:r w:rsidR="008464D4">
        <w:rPr>
          <w:rFonts w:ascii="Arial" w:hAnsi="Arial" w:cs="Arial"/>
          <w:sz w:val="24"/>
          <w:szCs w:val="24"/>
        </w:rPr>
        <w:t>)</w:t>
      </w:r>
      <w:r w:rsidR="000E739F" w:rsidRPr="0056261A">
        <w:rPr>
          <w:rFonts w:ascii="Arial" w:hAnsi="Arial" w:cs="Arial"/>
          <w:sz w:val="24"/>
          <w:szCs w:val="24"/>
        </w:rPr>
        <w:t xml:space="preserve">, ma deve obbligatoriamente investire </w:t>
      </w:r>
      <w:r w:rsidR="001354E7" w:rsidRPr="0056261A">
        <w:rPr>
          <w:rFonts w:ascii="Arial" w:hAnsi="Arial" w:cs="Arial"/>
          <w:sz w:val="24"/>
          <w:szCs w:val="24"/>
        </w:rPr>
        <w:t>il p</w:t>
      </w:r>
      <w:r w:rsidR="007C5E30" w:rsidRPr="0056261A">
        <w:rPr>
          <w:rFonts w:ascii="Arial" w:hAnsi="Arial" w:cs="Arial"/>
          <w:sz w:val="24"/>
          <w:szCs w:val="24"/>
        </w:rPr>
        <w:t>r</w:t>
      </w:r>
      <w:r w:rsidR="001354E7" w:rsidRPr="0056261A">
        <w:rPr>
          <w:rFonts w:ascii="Arial" w:hAnsi="Arial" w:cs="Arial"/>
          <w:sz w:val="24"/>
          <w:szCs w:val="24"/>
        </w:rPr>
        <w:t>edetto Giudice delle leggi</w:t>
      </w:r>
      <w:r w:rsidR="000E739F" w:rsidRPr="0056261A">
        <w:rPr>
          <w:rFonts w:ascii="Arial" w:hAnsi="Arial" w:cs="Arial"/>
          <w:sz w:val="24"/>
          <w:szCs w:val="24"/>
        </w:rPr>
        <w:t xml:space="preserve"> della relativa questione di legittimità rispetto al parametro dell’art. 117, primo comma,</w:t>
      </w:r>
      <w:r w:rsidRPr="0056261A">
        <w:rPr>
          <w:rFonts w:ascii="Arial" w:hAnsi="Arial" w:cs="Arial"/>
          <w:sz w:val="24"/>
          <w:szCs w:val="24"/>
        </w:rPr>
        <w:t xml:space="preserve"> </w:t>
      </w:r>
      <w:proofErr w:type="spellStart"/>
      <w:r w:rsidRPr="0056261A">
        <w:rPr>
          <w:rFonts w:ascii="Arial" w:hAnsi="Arial" w:cs="Arial"/>
          <w:sz w:val="24"/>
          <w:szCs w:val="24"/>
        </w:rPr>
        <w:t>Cost</w:t>
      </w:r>
      <w:proofErr w:type="spellEnd"/>
      <w:r w:rsidRPr="0056261A">
        <w:rPr>
          <w:rFonts w:ascii="Arial" w:hAnsi="Arial" w:cs="Arial"/>
          <w:sz w:val="24"/>
          <w:szCs w:val="24"/>
        </w:rPr>
        <w:t>.</w:t>
      </w:r>
      <w:r w:rsidR="001354E7" w:rsidRPr="0056261A">
        <w:rPr>
          <w:rFonts w:ascii="Arial" w:hAnsi="Arial" w:cs="Arial"/>
          <w:sz w:val="24"/>
          <w:szCs w:val="24"/>
        </w:rPr>
        <w:t>,</w:t>
      </w:r>
      <w:r w:rsidR="000E739F" w:rsidRPr="0056261A">
        <w:rPr>
          <w:rFonts w:ascii="Arial" w:hAnsi="Arial" w:cs="Arial"/>
          <w:sz w:val="24"/>
          <w:szCs w:val="24"/>
        </w:rPr>
        <w:t xml:space="preserve"> </w:t>
      </w:r>
      <w:r w:rsidR="001354E7" w:rsidRPr="0056261A">
        <w:rPr>
          <w:rFonts w:ascii="Arial" w:hAnsi="Arial" w:cs="Arial"/>
          <w:sz w:val="24"/>
          <w:szCs w:val="24"/>
        </w:rPr>
        <w:t xml:space="preserve">nel caso </w:t>
      </w:r>
      <w:r w:rsidR="000E739F" w:rsidRPr="0056261A">
        <w:rPr>
          <w:rFonts w:ascii="Arial" w:hAnsi="Arial" w:cs="Arial"/>
          <w:sz w:val="24"/>
          <w:szCs w:val="24"/>
        </w:rPr>
        <w:t xml:space="preserve">non sia possibile procedere ad una interpretazione convenzionalmente orientata, oppure si dubiti della compatibilità della norma interna con la disposizione convenzionale </w:t>
      </w:r>
      <w:r w:rsidR="00E80F8D">
        <w:rPr>
          <w:rFonts w:ascii="Arial" w:hAnsi="Arial" w:cs="Arial"/>
          <w:sz w:val="24"/>
          <w:szCs w:val="24"/>
        </w:rPr>
        <w:t>“</w:t>
      </w:r>
      <w:r w:rsidR="000E739F" w:rsidRPr="0056261A">
        <w:rPr>
          <w:rFonts w:ascii="Arial" w:hAnsi="Arial" w:cs="Arial"/>
          <w:sz w:val="24"/>
          <w:szCs w:val="24"/>
        </w:rPr>
        <w:t>interposta</w:t>
      </w:r>
      <w:r w:rsidR="00E80F8D">
        <w:rPr>
          <w:rFonts w:ascii="Arial" w:hAnsi="Arial" w:cs="Arial"/>
          <w:sz w:val="24"/>
          <w:szCs w:val="24"/>
        </w:rPr>
        <w:t>”(</w:t>
      </w:r>
      <w:r w:rsidR="000E739F" w:rsidRPr="0056261A">
        <w:rPr>
          <w:rStyle w:val="Rimandonotaapidipagina"/>
          <w:rFonts w:ascii="Arial" w:hAnsi="Arial" w:cs="Arial"/>
          <w:sz w:val="24"/>
          <w:szCs w:val="24"/>
        </w:rPr>
        <w:footnoteReference w:id="59"/>
      </w:r>
      <w:r w:rsidR="00E80F8D">
        <w:rPr>
          <w:rFonts w:ascii="Arial" w:hAnsi="Arial" w:cs="Arial"/>
          <w:sz w:val="24"/>
          <w:szCs w:val="24"/>
        </w:rPr>
        <w:t>)</w:t>
      </w:r>
      <w:r w:rsidR="00FD56DD" w:rsidRPr="0056261A">
        <w:rPr>
          <w:rFonts w:ascii="Arial" w:hAnsi="Arial" w:cs="Arial"/>
          <w:sz w:val="24"/>
          <w:szCs w:val="24"/>
        </w:rPr>
        <w:t xml:space="preserve">. </w:t>
      </w:r>
      <w:r w:rsidR="00ED234E" w:rsidRPr="0056261A">
        <w:rPr>
          <w:rFonts w:ascii="Arial" w:hAnsi="Arial" w:cs="Arial"/>
          <w:sz w:val="24"/>
          <w:szCs w:val="24"/>
        </w:rPr>
        <w:t xml:space="preserve">Comunque, il previo passaggio attraverso il </w:t>
      </w:r>
      <w:r w:rsidRPr="0056261A">
        <w:rPr>
          <w:rFonts w:ascii="Arial" w:hAnsi="Arial" w:cs="Arial"/>
          <w:sz w:val="24"/>
          <w:szCs w:val="24"/>
        </w:rPr>
        <w:t xml:space="preserve">vaglio del </w:t>
      </w:r>
      <w:r w:rsidR="00ED234E" w:rsidRPr="0056261A">
        <w:rPr>
          <w:rFonts w:ascii="Arial" w:hAnsi="Arial" w:cs="Arial"/>
          <w:sz w:val="24"/>
          <w:szCs w:val="24"/>
        </w:rPr>
        <w:t xml:space="preserve">Giudice costituzionale si renderebbe </w:t>
      </w:r>
      <w:r w:rsidRPr="0056261A">
        <w:rPr>
          <w:rFonts w:ascii="Arial" w:hAnsi="Arial" w:cs="Arial"/>
          <w:sz w:val="24"/>
          <w:szCs w:val="24"/>
        </w:rPr>
        <w:t xml:space="preserve">sicuramente </w:t>
      </w:r>
      <w:r w:rsidR="00ED234E" w:rsidRPr="0056261A">
        <w:rPr>
          <w:rFonts w:ascii="Arial" w:hAnsi="Arial" w:cs="Arial"/>
          <w:sz w:val="24"/>
          <w:szCs w:val="24"/>
        </w:rPr>
        <w:t>necessario</w:t>
      </w:r>
      <w:r w:rsidR="00E80F8D">
        <w:rPr>
          <w:rFonts w:ascii="Arial" w:hAnsi="Arial" w:cs="Arial"/>
          <w:sz w:val="24"/>
          <w:szCs w:val="24"/>
        </w:rPr>
        <w:t>(</w:t>
      </w:r>
      <w:r w:rsidR="00ED234E" w:rsidRPr="0056261A">
        <w:rPr>
          <w:rStyle w:val="Rimandonotaapidipagina"/>
          <w:rFonts w:ascii="Arial" w:hAnsi="Arial" w:cs="Arial"/>
          <w:sz w:val="24"/>
          <w:szCs w:val="24"/>
        </w:rPr>
        <w:footnoteReference w:id="60"/>
      </w:r>
      <w:r w:rsidR="00E80F8D">
        <w:rPr>
          <w:rFonts w:ascii="Arial" w:hAnsi="Arial" w:cs="Arial"/>
          <w:sz w:val="24"/>
          <w:szCs w:val="24"/>
        </w:rPr>
        <w:t>)</w:t>
      </w:r>
      <w:r w:rsidRPr="0056261A">
        <w:rPr>
          <w:rFonts w:ascii="Arial" w:hAnsi="Arial" w:cs="Arial"/>
          <w:sz w:val="24"/>
          <w:szCs w:val="24"/>
        </w:rPr>
        <w:t xml:space="preserve"> nel caso</w:t>
      </w:r>
      <w:r w:rsidR="00ED234E" w:rsidRPr="0056261A">
        <w:rPr>
          <w:rFonts w:ascii="Arial" w:hAnsi="Arial" w:cs="Arial"/>
          <w:sz w:val="24"/>
          <w:szCs w:val="24"/>
        </w:rPr>
        <w:t xml:space="preserve"> emergesse </w:t>
      </w:r>
      <w:r w:rsidR="00FD56DD" w:rsidRPr="0056261A">
        <w:rPr>
          <w:rFonts w:ascii="Arial" w:hAnsi="Arial" w:cs="Arial"/>
          <w:sz w:val="24"/>
          <w:szCs w:val="24"/>
        </w:rPr>
        <w:t xml:space="preserve">il rischio di contrasti tra i principi affermati a </w:t>
      </w:r>
      <w:r w:rsidR="004E1F17">
        <w:rPr>
          <w:rFonts w:ascii="Arial" w:hAnsi="Arial" w:cs="Arial"/>
          <w:sz w:val="24"/>
          <w:szCs w:val="24"/>
        </w:rPr>
        <w:t>livello convenzionale e i princì</w:t>
      </w:r>
      <w:r w:rsidR="00FD56DD" w:rsidRPr="0056261A">
        <w:rPr>
          <w:rFonts w:ascii="Arial" w:hAnsi="Arial" w:cs="Arial"/>
          <w:sz w:val="24"/>
          <w:szCs w:val="24"/>
        </w:rPr>
        <w:t xml:space="preserve">pi supremi dell’ordine costituzionale dello Stato, </w:t>
      </w:r>
      <w:r w:rsidR="00ED234E" w:rsidRPr="0056261A">
        <w:rPr>
          <w:rFonts w:ascii="Arial" w:hAnsi="Arial" w:cs="Arial"/>
          <w:sz w:val="24"/>
          <w:szCs w:val="24"/>
        </w:rPr>
        <w:t xml:space="preserve">in modo da consentire </w:t>
      </w:r>
      <w:r w:rsidR="00FD56DD" w:rsidRPr="0056261A">
        <w:rPr>
          <w:rFonts w:ascii="Arial" w:hAnsi="Arial" w:cs="Arial"/>
          <w:sz w:val="24"/>
          <w:szCs w:val="24"/>
        </w:rPr>
        <w:t xml:space="preserve">l’elaborazione dei </w:t>
      </w:r>
      <w:r w:rsidR="00ED234E" w:rsidRPr="0056261A">
        <w:rPr>
          <w:rFonts w:ascii="Arial" w:hAnsi="Arial" w:cs="Arial"/>
          <w:sz w:val="24"/>
          <w:szCs w:val="24"/>
        </w:rPr>
        <w:t xml:space="preserve">c.d. </w:t>
      </w:r>
      <w:r w:rsidR="00FD56DD" w:rsidRPr="004E1F17">
        <w:rPr>
          <w:rFonts w:ascii="Arial" w:hAnsi="Arial" w:cs="Arial"/>
          <w:sz w:val="24"/>
          <w:szCs w:val="24"/>
        </w:rPr>
        <w:t>“</w:t>
      </w:r>
      <w:proofErr w:type="spellStart"/>
      <w:r w:rsidR="00FD56DD" w:rsidRPr="004E1F17">
        <w:rPr>
          <w:rFonts w:ascii="Arial" w:hAnsi="Arial" w:cs="Arial"/>
          <w:sz w:val="24"/>
          <w:szCs w:val="24"/>
        </w:rPr>
        <w:t>controlimiti</w:t>
      </w:r>
      <w:proofErr w:type="spellEnd"/>
      <w:r w:rsidR="00FD56DD" w:rsidRPr="0056261A">
        <w:rPr>
          <w:rFonts w:ascii="Arial" w:hAnsi="Arial" w:cs="Arial"/>
          <w:sz w:val="24"/>
          <w:szCs w:val="24"/>
        </w:rPr>
        <w:t>”</w:t>
      </w:r>
      <w:r w:rsidR="004E1F17">
        <w:rPr>
          <w:rFonts w:ascii="Arial" w:hAnsi="Arial" w:cs="Arial"/>
          <w:sz w:val="24"/>
          <w:szCs w:val="24"/>
        </w:rPr>
        <w:t>(</w:t>
      </w:r>
      <w:r w:rsidR="00941D60" w:rsidRPr="004E1F17">
        <w:rPr>
          <w:rStyle w:val="Rimandonotaapidipagina"/>
          <w:rFonts w:ascii="Arial" w:hAnsi="Arial" w:cs="Arial"/>
          <w:sz w:val="24"/>
          <w:szCs w:val="24"/>
        </w:rPr>
        <w:footnoteReference w:id="61"/>
      </w:r>
      <w:r w:rsidR="004E1F17">
        <w:rPr>
          <w:rFonts w:ascii="Arial" w:hAnsi="Arial" w:cs="Arial"/>
          <w:sz w:val="24"/>
          <w:szCs w:val="24"/>
        </w:rPr>
        <w:t>)</w:t>
      </w:r>
      <w:r w:rsidRPr="0056261A">
        <w:rPr>
          <w:rFonts w:ascii="Arial" w:hAnsi="Arial" w:cs="Arial"/>
          <w:sz w:val="24"/>
          <w:szCs w:val="24"/>
        </w:rPr>
        <w:t xml:space="preserve"> per poter </w:t>
      </w:r>
      <w:r w:rsidR="00ED234E" w:rsidRPr="0056261A">
        <w:rPr>
          <w:rFonts w:ascii="Arial" w:hAnsi="Arial" w:cs="Arial"/>
          <w:sz w:val="24"/>
          <w:szCs w:val="24"/>
        </w:rPr>
        <w:t xml:space="preserve">salvaguardare </w:t>
      </w:r>
      <w:r w:rsidR="00FD56DD" w:rsidRPr="0056261A">
        <w:rPr>
          <w:rFonts w:ascii="Arial" w:hAnsi="Arial" w:cs="Arial"/>
          <w:sz w:val="24"/>
          <w:szCs w:val="24"/>
        </w:rPr>
        <w:t>i fondamenti dell’ordine costituzionale interno</w:t>
      </w:r>
      <w:r w:rsidR="004E1F17">
        <w:rPr>
          <w:rFonts w:ascii="Arial" w:hAnsi="Arial" w:cs="Arial"/>
          <w:sz w:val="24"/>
          <w:szCs w:val="24"/>
        </w:rPr>
        <w:t>(</w:t>
      </w:r>
      <w:r w:rsidR="00FD56DD" w:rsidRPr="0056261A">
        <w:rPr>
          <w:rStyle w:val="Rimandonotaapidipagina"/>
          <w:rFonts w:ascii="Arial" w:hAnsi="Arial" w:cs="Arial"/>
          <w:sz w:val="24"/>
          <w:szCs w:val="24"/>
        </w:rPr>
        <w:footnoteReference w:id="62"/>
      </w:r>
      <w:r w:rsidR="004E1F17">
        <w:rPr>
          <w:rFonts w:ascii="Arial" w:hAnsi="Arial" w:cs="Arial"/>
          <w:sz w:val="24"/>
          <w:szCs w:val="24"/>
        </w:rPr>
        <w:t>)</w:t>
      </w:r>
      <w:r w:rsidR="00FD56DD" w:rsidRPr="0056261A">
        <w:rPr>
          <w:rFonts w:ascii="Arial" w:hAnsi="Arial" w:cs="Arial"/>
          <w:sz w:val="24"/>
          <w:szCs w:val="24"/>
        </w:rPr>
        <w:t xml:space="preserve">. </w:t>
      </w:r>
    </w:p>
    <w:p w:rsidR="001D529B" w:rsidRPr="0056261A" w:rsidRDefault="001D529B" w:rsidP="00D86C4A">
      <w:pPr>
        <w:spacing w:after="0"/>
        <w:ind w:firstLine="644"/>
        <w:jc w:val="both"/>
        <w:rPr>
          <w:rFonts w:ascii="Arial" w:hAnsi="Arial" w:cs="Arial"/>
          <w:sz w:val="24"/>
          <w:szCs w:val="24"/>
        </w:rPr>
      </w:pPr>
    </w:p>
    <w:p w:rsidR="00D86C4A" w:rsidRPr="004E1F17" w:rsidRDefault="004E1F17" w:rsidP="004E1F17">
      <w:pPr>
        <w:pStyle w:val="Paragrafoelenco"/>
        <w:numPr>
          <w:ilvl w:val="0"/>
          <w:numId w:val="2"/>
        </w:numPr>
        <w:spacing w:after="0"/>
        <w:ind w:left="284" w:hanging="284"/>
        <w:jc w:val="both"/>
        <w:rPr>
          <w:rFonts w:ascii="Arial" w:hAnsi="Arial" w:cs="Arial"/>
          <w:smallCaps/>
          <w:sz w:val="24"/>
          <w:szCs w:val="24"/>
        </w:rPr>
      </w:pPr>
      <w:r>
        <w:rPr>
          <w:rFonts w:ascii="Arial" w:hAnsi="Arial" w:cs="Arial"/>
          <w:smallCaps/>
          <w:sz w:val="24"/>
          <w:szCs w:val="24"/>
        </w:rPr>
        <w:t>La natura delle sanzioni dell’ARERA</w:t>
      </w:r>
      <w:r w:rsidR="00635D74" w:rsidRPr="004E1F17">
        <w:rPr>
          <w:rFonts w:ascii="Arial" w:hAnsi="Arial" w:cs="Arial"/>
          <w:smallCaps/>
          <w:sz w:val="24"/>
          <w:szCs w:val="24"/>
        </w:rPr>
        <w:t xml:space="preserve"> e lo stato dell</w:t>
      </w:r>
      <w:r w:rsidRPr="004E1F17">
        <w:rPr>
          <w:rFonts w:ascii="Arial" w:hAnsi="Arial" w:cs="Arial"/>
          <w:smallCaps/>
          <w:sz w:val="24"/>
          <w:szCs w:val="24"/>
        </w:rPr>
        <w:t>a giurisprudenza amministrativa</w:t>
      </w:r>
    </w:p>
    <w:p w:rsidR="00635D74" w:rsidRPr="0056261A" w:rsidRDefault="00635D74" w:rsidP="00D86C4A">
      <w:pPr>
        <w:spacing w:after="0"/>
        <w:ind w:firstLine="644"/>
        <w:jc w:val="both"/>
        <w:rPr>
          <w:rFonts w:ascii="Arial" w:hAnsi="Arial" w:cs="Arial"/>
          <w:sz w:val="24"/>
          <w:szCs w:val="24"/>
        </w:rPr>
      </w:pPr>
    </w:p>
    <w:p w:rsidR="00522C8B" w:rsidRPr="0056261A" w:rsidRDefault="00522C8B" w:rsidP="004E1F17">
      <w:pPr>
        <w:spacing w:after="0"/>
        <w:jc w:val="both"/>
        <w:rPr>
          <w:rFonts w:ascii="Arial" w:hAnsi="Arial" w:cs="Arial"/>
          <w:color w:val="000000"/>
          <w:sz w:val="24"/>
          <w:szCs w:val="24"/>
        </w:rPr>
      </w:pPr>
      <w:r w:rsidRPr="0056261A">
        <w:rPr>
          <w:rFonts w:ascii="Arial" w:hAnsi="Arial" w:cs="Arial"/>
          <w:color w:val="000000"/>
          <w:sz w:val="24"/>
          <w:szCs w:val="24"/>
        </w:rPr>
        <w:t xml:space="preserve">La giurisprudenza, anche </w:t>
      </w:r>
      <w:r w:rsidR="00042FF0" w:rsidRPr="0056261A">
        <w:rPr>
          <w:rFonts w:ascii="Arial" w:hAnsi="Arial" w:cs="Arial"/>
          <w:color w:val="000000"/>
          <w:sz w:val="24"/>
          <w:szCs w:val="24"/>
        </w:rPr>
        <w:t xml:space="preserve">delle Corti </w:t>
      </w:r>
      <w:r w:rsidRPr="0056261A">
        <w:rPr>
          <w:rFonts w:ascii="Arial" w:hAnsi="Arial" w:cs="Arial"/>
          <w:color w:val="000000"/>
          <w:sz w:val="24"/>
          <w:szCs w:val="24"/>
        </w:rPr>
        <w:t>sovranazional</w:t>
      </w:r>
      <w:r w:rsidR="00042FF0" w:rsidRPr="0056261A">
        <w:rPr>
          <w:rFonts w:ascii="Arial" w:hAnsi="Arial" w:cs="Arial"/>
          <w:color w:val="000000"/>
          <w:sz w:val="24"/>
          <w:szCs w:val="24"/>
        </w:rPr>
        <w:t>i</w:t>
      </w:r>
      <w:r w:rsidRPr="0056261A">
        <w:rPr>
          <w:rFonts w:ascii="Arial" w:hAnsi="Arial" w:cs="Arial"/>
          <w:color w:val="000000"/>
          <w:sz w:val="24"/>
          <w:szCs w:val="24"/>
        </w:rPr>
        <w:t>, in più occasioni si è pronunciata sulle sanzioni applicate dalle Autorità amministrative indipendenti</w:t>
      </w:r>
      <w:r w:rsidR="0031485F">
        <w:rPr>
          <w:rFonts w:ascii="Arial" w:hAnsi="Arial" w:cs="Arial"/>
          <w:color w:val="000000"/>
          <w:sz w:val="24"/>
          <w:szCs w:val="24"/>
        </w:rPr>
        <w:t>(</w:t>
      </w:r>
      <w:r w:rsidR="00042FF0" w:rsidRPr="0056261A">
        <w:rPr>
          <w:rStyle w:val="Rimandonotaapidipagina"/>
          <w:rFonts w:ascii="Arial" w:hAnsi="Arial" w:cs="Arial"/>
          <w:color w:val="000000"/>
          <w:sz w:val="24"/>
          <w:szCs w:val="24"/>
        </w:rPr>
        <w:footnoteReference w:id="63"/>
      </w:r>
      <w:r w:rsidR="0031485F">
        <w:rPr>
          <w:rFonts w:ascii="Arial" w:hAnsi="Arial" w:cs="Arial"/>
          <w:color w:val="000000"/>
          <w:sz w:val="24"/>
          <w:szCs w:val="24"/>
        </w:rPr>
        <w:t>)</w:t>
      </w:r>
      <w:r w:rsidRPr="0056261A">
        <w:rPr>
          <w:rFonts w:ascii="Arial" w:hAnsi="Arial" w:cs="Arial"/>
          <w:color w:val="000000"/>
          <w:sz w:val="24"/>
          <w:szCs w:val="24"/>
        </w:rPr>
        <w:t>.</w:t>
      </w:r>
    </w:p>
    <w:p w:rsidR="00ED751C" w:rsidRPr="0056261A" w:rsidRDefault="00D514B7" w:rsidP="0031485F">
      <w:pPr>
        <w:spacing w:after="0"/>
        <w:jc w:val="both"/>
        <w:rPr>
          <w:rFonts w:ascii="Arial" w:hAnsi="Arial" w:cs="Arial"/>
          <w:color w:val="000000"/>
          <w:sz w:val="24"/>
          <w:szCs w:val="24"/>
        </w:rPr>
      </w:pPr>
      <w:r w:rsidRPr="0056261A">
        <w:rPr>
          <w:rFonts w:ascii="Arial" w:hAnsi="Arial" w:cs="Arial"/>
          <w:color w:val="000000"/>
          <w:sz w:val="24"/>
          <w:szCs w:val="24"/>
        </w:rPr>
        <w:t>Con riguardo a</w:t>
      </w:r>
      <w:r w:rsidR="00FA0C80" w:rsidRPr="0056261A">
        <w:rPr>
          <w:rFonts w:ascii="Arial" w:hAnsi="Arial" w:cs="Arial"/>
          <w:color w:val="000000"/>
          <w:sz w:val="24"/>
          <w:szCs w:val="24"/>
        </w:rPr>
        <w:t>lle</w:t>
      </w:r>
      <w:r w:rsidR="0031485F">
        <w:rPr>
          <w:rFonts w:ascii="Arial" w:hAnsi="Arial" w:cs="Arial"/>
          <w:color w:val="000000"/>
          <w:sz w:val="24"/>
          <w:szCs w:val="24"/>
        </w:rPr>
        <w:t xml:space="preserve"> sanzioni irrogate da ARERA</w:t>
      </w:r>
      <w:r w:rsidR="00522C8B" w:rsidRPr="0056261A">
        <w:rPr>
          <w:rFonts w:ascii="Arial" w:hAnsi="Arial" w:cs="Arial"/>
          <w:color w:val="000000"/>
          <w:sz w:val="24"/>
          <w:szCs w:val="24"/>
        </w:rPr>
        <w:t xml:space="preserve"> (Autorità di Regolazione per Energia, Reti e Ambiente)</w:t>
      </w:r>
      <w:r w:rsidR="0031485F">
        <w:rPr>
          <w:rFonts w:ascii="Arial" w:hAnsi="Arial" w:cs="Arial"/>
          <w:color w:val="000000"/>
          <w:sz w:val="24"/>
          <w:szCs w:val="24"/>
        </w:rPr>
        <w:t>, già AEEGSI</w:t>
      </w:r>
      <w:r w:rsidR="00D8672A" w:rsidRPr="0056261A">
        <w:rPr>
          <w:rFonts w:ascii="Arial" w:hAnsi="Arial" w:cs="Arial"/>
          <w:color w:val="000000"/>
          <w:sz w:val="24"/>
          <w:szCs w:val="24"/>
        </w:rPr>
        <w:t xml:space="preserve"> (Autorità per l’Energia elettrica, il Gas e il Sistema idrico)</w:t>
      </w:r>
      <w:r w:rsidR="0031485F">
        <w:rPr>
          <w:rFonts w:ascii="Arial" w:hAnsi="Arial" w:cs="Arial"/>
          <w:color w:val="000000"/>
          <w:sz w:val="24"/>
          <w:szCs w:val="24"/>
        </w:rPr>
        <w:t>(</w:t>
      </w:r>
      <w:r w:rsidR="00D8672A" w:rsidRPr="0056261A">
        <w:rPr>
          <w:rStyle w:val="Rimandonotaapidipagina"/>
          <w:rFonts w:ascii="Arial" w:hAnsi="Arial" w:cs="Arial"/>
          <w:color w:val="000000"/>
          <w:sz w:val="24"/>
          <w:szCs w:val="24"/>
        </w:rPr>
        <w:footnoteReference w:id="64"/>
      </w:r>
      <w:r w:rsidR="0031485F">
        <w:rPr>
          <w:rFonts w:ascii="Arial" w:hAnsi="Arial" w:cs="Arial"/>
          <w:color w:val="000000"/>
          <w:sz w:val="24"/>
          <w:szCs w:val="24"/>
        </w:rPr>
        <w:t>)</w:t>
      </w:r>
      <w:r w:rsidR="00D8672A" w:rsidRPr="0056261A">
        <w:rPr>
          <w:rFonts w:ascii="Arial" w:hAnsi="Arial" w:cs="Arial"/>
          <w:color w:val="000000"/>
          <w:sz w:val="24"/>
          <w:szCs w:val="24"/>
        </w:rPr>
        <w:t>,</w:t>
      </w:r>
      <w:r w:rsidRPr="0056261A">
        <w:rPr>
          <w:rFonts w:ascii="Arial" w:hAnsi="Arial" w:cs="Arial"/>
          <w:color w:val="000000"/>
          <w:sz w:val="24"/>
          <w:szCs w:val="24"/>
        </w:rPr>
        <w:t xml:space="preserve"> si è </w:t>
      </w:r>
      <w:r w:rsidR="00ED751C" w:rsidRPr="0056261A">
        <w:rPr>
          <w:rFonts w:ascii="Arial" w:hAnsi="Arial" w:cs="Arial"/>
          <w:color w:val="000000"/>
          <w:sz w:val="24"/>
          <w:szCs w:val="24"/>
        </w:rPr>
        <w:t>posto il problema di individuarne il fondamento e la natura, in modo da poterne predicare</w:t>
      </w:r>
      <w:r w:rsidR="00625348" w:rsidRPr="0056261A">
        <w:rPr>
          <w:rFonts w:ascii="Arial" w:hAnsi="Arial" w:cs="Arial"/>
          <w:color w:val="000000"/>
          <w:sz w:val="24"/>
          <w:szCs w:val="24"/>
        </w:rPr>
        <w:t>,</w:t>
      </w:r>
      <w:r w:rsidR="00ED751C" w:rsidRPr="0056261A">
        <w:rPr>
          <w:rFonts w:ascii="Arial" w:hAnsi="Arial" w:cs="Arial"/>
          <w:color w:val="000000"/>
          <w:sz w:val="24"/>
          <w:szCs w:val="24"/>
        </w:rPr>
        <w:t xml:space="preserve"> </w:t>
      </w:r>
      <w:r w:rsidR="00BE077D" w:rsidRPr="0056261A">
        <w:rPr>
          <w:rFonts w:ascii="Arial" w:hAnsi="Arial" w:cs="Arial"/>
          <w:color w:val="000000"/>
          <w:sz w:val="24"/>
          <w:szCs w:val="24"/>
        </w:rPr>
        <w:t>alternativamente</w:t>
      </w:r>
      <w:r w:rsidR="00625348" w:rsidRPr="0056261A">
        <w:rPr>
          <w:rFonts w:ascii="Arial" w:hAnsi="Arial" w:cs="Arial"/>
          <w:color w:val="000000"/>
          <w:sz w:val="24"/>
          <w:szCs w:val="24"/>
        </w:rPr>
        <w:t>,</w:t>
      </w:r>
      <w:r w:rsidR="00BE077D" w:rsidRPr="0056261A">
        <w:rPr>
          <w:rFonts w:ascii="Arial" w:hAnsi="Arial" w:cs="Arial"/>
          <w:color w:val="000000"/>
          <w:sz w:val="24"/>
          <w:szCs w:val="24"/>
        </w:rPr>
        <w:t xml:space="preserve"> il carattere</w:t>
      </w:r>
      <w:r w:rsidR="00ED751C" w:rsidRPr="0056261A">
        <w:rPr>
          <w:rFonts w:ascii="Arial" w:hAnsi="Arial" w:cs="Arial"/>
          <w:color w:val="000000"/>
          <w:sz w:val="24"/>
          <w:szCs w:val="24"/>
        </w:rPr>
        <w:t xml:space="preserve"> sanzionatori</w:t>
      </w:r>
      <w:r w:rsidR="00BE077D" w:rsidRPr="0056261A">
        <w:rPr>
          <w:rFonts w:ascii="Arial" w:hAnsi="Arial" w:cs="Arial"/>
          <w:color w:val="000000"/>
          <w:sz w:val="24"/>
          <w:szCs w:val="24"/>
        </w:rPr>
        <w:t>o</w:t>
      </w:r>
      <w:r w:rsidR="00ED751C" w:rsidRPr="0056261A">
        <w:rPr>
          <w:rFonts w:ascii="Arial" w:hAnsi="Arial" w:cs="Arial"/>
          <w:color w:val="000000"/>
          <w:sz w:val="24"/>
          <w:szCs w:val="24"/>
        </w:rPr>
        <w:t xml:space="preserve"> in senso stretto, piuttosto che il carattere ripristinatorio </w:t>
      </w:r>
      <w:r w:rsidR="007C5E30" w:rsidRPr="0056261A">
        <w:rPr>
          <w:rFonts w:ascii="Arial" w:hAnsi="Arial" w:cs="Arial"/>
          <w:color w:val="000000"/>
          <w:sz w:val="24"/>
          <w:szCs w:val="24"/>
        </w:rPr>
        <w:t>con riferimento a</w:t>
      </w:r>
      <w:r w:rsidR="00ED751C" w:rsidRPr="0056261A">
        <w:rPr>
          <w:rFonts w:ascii="Arial" w:hAnsi="Arial" w:cs="Arial"/>
          <w:color w:val="000000"/>
          <w:sz w:val="24"/>
          <w:szCs w:val="24"/>
        </w:rPr>
        <w:t>d un bene giuridico violato</w:t>
      </w:r>
      <w:r w:rsidR="0031485F">
        <w:rPr>
          <w:rFonts w:ascii="Arial" w:hAnsi="Arial" w:cs="Arial"/>
          <w:color w:val="000000"/>
          <w:sz w:val="24"/>
          <w:szCs w:val="24"/>
        </w:rPr>
        <w:t>(</w:t>
      </w:r>
      <w:r w:rsidR="00EC1130" w:rsidRPr="0056261A">
        <w:rPr>
          <w:rStyle w:val="Rimandonotaapidipagina"/>
          <w:rFonts w:ascii="Arial" w:hAnsi="Arial" w:cs="Arial"/>
          <w:color w:val="000000"/>
          <w:sz w:val="24"/>
          <w:szCs w:val="24"/>
        </w:rPr>
        <w:footnoteReference w:id="65"/>
      </w:r>
      <w:r w:rsidR="0031485F">
        <w:rPr>
          <w:rFonts w:ascii="Arial" w:hAnsi="Arial" w:cs="Arial"/>
          <w:color w:val="000000"/>
          <w:sz w:val="24"/>
          <w:szCs w:val="24"/>
        </w:rPr>
        <w:t>)</w:t>
      </w:r>
      <w:r w:rsidR="00ED751C" w:rsidRPr="0056261A">
        <w:rPr>
          <w:rFonts w:ascii="Arial" w:hAnsi="Arial" w:cs="Arial"/>
          <w:color w:val="000000"/>
          <w:sz w:val="24"/>
          <w:szCs w:val="24"/>
        </w:rPr>
        <w:t xml:space="preserve">. </w:t>
      </w:r>
    </w:p>
    <w:p w:rsidR="00675365" w:rsidRPr="0056261A" w:rsidRDefault="0031485F" w:rsidP="0031485F">
      <w:pPr>
        <w:spacing w:after="0"/>
        <w:jc w:val="both"/>
        <w:rPr>
          <w:rFonts w:ascii="Arial" w:hAnsi="Arial" w:cs="Arial"/>
          <w:sz w:val="24"/>
          <w:szCs w:val="24"/>
        </w:rPr>
      </w:pPr>
      <w:r>
        <w:rPr>
          <w:rFonts w:ascii="Arial" w:hAnsi="Arial" w:cs="Arial"/>
          <w:sz w:val="24"/>
          <w:szCs w:val="24"/>
        </w:rPr>
        <w:t>Le sanzioni irrogate dalla Pubblica A</w:t>
      </w:r>
      <w:r w:rsidR="00675365" w:rsidRPr="0056261A">
        <w:rPr>
          <w:rFonts w:ascii="Arial" w:hAnsi="Arial" w:cs="Arial"/>
          <w:sz w:val="24"/>
          <w:szCs w:val="24"/>
        </w:rPr>
        <w:t xml:space="preserve">mministrazione, e in particolare dalle Autorità indipendenti nell’esercizio delle funzioni </w:t>
      </w:r>
      <w:r w:rsidR="00B94433" w:rsidRPr="0056261A">
        <w:rPr>
          <w:rFonts w:ascii="Arial" w:hAnsi="Arial" w:cs="Arial"/>
          <w:sz w:val="24"/>
          <w:szCs w:val="24"/>
        </w:rPr>
        <w:t>di vigilanza</w:t>
      </w:r>
      <w:r w:rsidR="00675365" w:rsidRPr="0056261A">
        <w:rPr>
          <w:rFonts w:ascii="Arial" w:hAnsi="Arial" w:cs="Arial"/>
          <w:sz w:val="24"/>
          <w:szCs w:val="24"/>
        </w:rPr>
        <w:t xml:space="preserve"> e di regolazione, rappresentano la reazione dell’ordinamento alla violazione di un precetto</w:t>
      </w:r>
      <w:r w:rsidR="00E957A1" w:rsidRPr="0056261A">
        <w:rPr>
          <w:rFonts w:ascii="Arial" w:hAnsi="Arial" w:cs="Arial"/>
          <w:sz w:val="24"/>
          <w:szCs w:val="24"/>
        </w:rPr>
        <w:t xml:space="preserve"> e si</w:t>
      </w:r>
      <w:r w:rsidR="00675365" w:rsidRPr="0056261A">
        <w:rPr>
          <w:rFonts w:ascii="Arial" w:hAnsi="Arial" w:cs="Arial"/>
          <w:sz w:val="24"/>
          <w:szCs w:val="24"/>
        </w:rPr>
        <w:t xml:space="preserve"> </w:t>
      </w:r>
      <w:r w:rsidR="00675365" w:rsidRPr="0031485F">
        <w:rPr>
          <w:rFonts w:ascii="Arial" w:hAnsi="Arial" w:cs="Arial"/>
          <w:sz w:val="24"/>
          <w:szCs w:val="24"/>
        </w:rPr>
        <w:t>distingu</w:t>
      </w:r>
      <w:r w:rsidR="00C612AC" w:rsidRPr="0031485F">
        <w:rPr>
          <w:rFonts w:ascii="Arial" w:hAnsi="Arial" w:cs="Arial"/>
          <w:sz w:val="24"/>
          <w:szCs w:val="24"/>
        </w:rPr>
        <w:t>o</w:t>
      </w:r>
      <w:r w:rsidR="00675365" w:rsidRPr="0031485F">
        <w:rPr>
          <w:rFonts w:ascii="Arial" w:hAnsi="Arial" w:cs="Arial"/>
          <w:sz w:val="24"/>
          <w:szCs w:val="24"/>
        </w:rPr>
        <w:t>no</w:t>
      </w:r>
      <w:r w:rsidR="00675365" w:rsidRPr="0056261A">
        <w:rPr>
          <w:rFonts w:ascii="Arial" w:hAnsi="Arial" w:cs="Arial"/>
          <w:sz w:val="24"/>
          <w:szCs w:val="24"/>
        </w:rPr>
        <w:t xml:space="preserve"> in sanzioni in senso lato e sanzioni in senso stretto: le prime hanno una finalità ripristinatoria, in forma specifica o per equivalente, dell’interesse pubblico leso dal comportamento antigiuridico, mentre le seconde hanno una finalità afflittiva, essendo indirizzate a punire il responsabile dell’illecito allo scopo di assicurare obiettivi di prevenzione generale e speciale. Oltre al differente scopo dei richiamati procedimenti, vanno altresì segnalati i diversi presupposti fondativi degli stessi, rappresentati da</w:t>
      </w:r>
      <w:r w:rsidR="007C5E30" w:rsidRPr="0056261A">
        <w:rPr>
          <w:rFonts w:ascii="Arial" w:hAnsi="Arial" w:cs="Arial"/>
          <w:sz w:val="24"/>
          <w:szCs w:val="24"/>
        </w:rPr>
        <w:t xml:space="preserve">lle varie </w:t>
      </w:r>
      <w:r w:rsidR="00675365" w:rsidRPr="0056261A">
        <w:rPr>
          <w:rFonts w:ascii="Arial" w:hAnsi="Arial" w:cs="Arial"/>
          <w:sz w:val="24"/>
          <w:szCs w:val="24"/>
        </w:rPr>
        <w:t xml:space="preserve">disposizioni di </w:t>
      </w:r>
      <w:r w:rsidR="006F617E">
        <w:rPr>
          <w:rFonts w:ascii="Arial" w:hAnsi="Arial" w:cs="Arial"/>
          <w:sz w:val="24"/>
          <w:szCs w:val="24"/>
        </w:rPr>
        <w:t>Legge</w:t>
      </w:r>
      <w:r w:rsidR="00D54F37">
        <w:rPr>
          <w:rFonts w:ascii="Arial" w:hAnsi="Arial" w:cs="Arial"/>
          <w:sz w:val="24"/>
          <w:szCs w:val="24"/>
        </w:rPr>
        <w:t>(</w:t>
      </w:r>
      <w:r w:rsidR="007C5E30" w:rsidRPr="0056261A">
        <w:rPr>
          <w:rStyle w:val="Rimandonotaapidipagina"/>
          <w:rFonts w:ascii="Arial" w:hAnsi="Arial" w:cs="Arial"/>
          <w:sz w:val="24"/>
          <w:szCs w:val="24"/>
        </w:rPr>
        <w:footnoteReference w:id="66"/>
      </w:r>
      <w:r w:rsidR="00D54F37">
        <w:rPr>
          <w:rFonts w:ascii="Arial" w:hAnsi="Arial" w:cs="Arial"/>
          <w:sz w:val="24"/>
          <w:szCs w:val="24"/>
        </w:rPr>
        <w:t>)</w:t>
      </w:r>
      <w:r w:rsidR="00675365" w:rsidRPr="0056261A">
        <w:rPr>
          <w:rFonts w:ascii="Arial" w:hAnsi="Arial" w:cs="Arial"/>
          <w:sz w:val="24"/>
          <w:szCs w:val="24"/>
        </w:rPr>
        <w:t>, come pure la differente natura dei provvedimenti che possono essere adottati alla conclusione del relativo procedimento</w:t>
      </w:r>
      <w:r w:rsidR="00D54F37">
        <w:rPr>
          <w:rFonts w:ascii="Arial" w:hAnsi="Arial" w:cs="Arial"/>
          <w:sz w:val="24"/>
          <w:szCs w:val="24"/>
        </w:rPr>
        <w:t>(</w:t>
      </w:r>
      <w:r w:rsidR="00675365" w:rsidRPr="0056261A">
        <w:rPr>
          <w:rStyle w:val="Rimandonotaapidipagina"/>
          <w:rFonts w:ascii="Arial" w:hAnsi="Arial" w:cs="Arial"/>
          <w:sz w:val="24"/>
          <w:szCs w:val="24"/>
        </w:rPr>
        <w:footnoteReference w:id="67"/>
      </w:r>
      <w:r w:rsidR="00D54F37">
        <w:rPr>
          <w:rFonts w:ascii="Arial" w:hAnsi="Arial" w:cs="Arial"/>
          <w:sz w:val="24"/>
          <w:szCs w:val="24"/>
        </w:rPr>
        <w:t>)</w:t>
      </w:r>
      <w:r w:rsidR="00675365" w:rsidRPr="0056261A">
        <w:rPr>
          <w:rFonts w:ascii="Arial" w:hAnsi="Arial" w:cs="Arial"/>
          <w:sz w:val="24"/>
          <w:szCs w:val="24"/>
        </w:rPr>
        <w:t>.</w:t>
      </w:r>
    </w:p>
    <w:p w:rsidR="00B94433" w:rsidRPr="0056261A" w:rsidRDefault="00545CB5" w:rsidP="00D54F37">
      <w:pPr>
        <w:spacing w:after="0"/>
        <w:jc w:val="both"/>
        <w:rPr>
          <w:rFonts w:ascii="Arial" w:hAnsi="Arial" w:cs="Arial"/>
          <w:color w:val="000000"/>
          <w:sz w:val="24"/>
          <w:szCs w:val="24"/>
        </w:rPr>
      </w:pPr>
      <w:r w:rsidRPr="0056261A">
        <w:rPr>
          <w:rFonts w:ascii="Arial" w:hAnsi="Arial" w:cs="Arial"/>
          <w:color w:val="000000"/>
          <w:sz w:val="24"/>
          <w:szCs w:val="24"/>
        </w:rPr>
        <w:t xml:space="preserve">Con specifico riguardo all’ARERA va premesso che il potere sanzionatorio, previsto in linea generale dall’art. </w:t>
      </w:r>
      <w:r w:rsidRPr="0056261A">
        <w:rPr>
          <w:rFonts w:ascii="Arial" w:hAnsi="Arial" w:cs="Arial"/>
          <w:sz w:val="24"/>
          <w:szCs w:val="24"/>
        </w:rPr>
        <w:t xml:space="preserve">2, comma 20, </w:t>
      </w:r>
      <w:proofErr w:type="spellStart"/>
      <w:r w:rsidRPr="0056261A">
        <w:rPr>
          <w:rFonts w:ascii="Arial" w:hAnsi="Arial" w:cs="Arial"/>
          <w:sz w:val="24"/>
          <w:szCs w:val="24"/>
        </w:rPr>
        <w:t>lett</w:t>
      </w:r>
      <w:proofErr w:type="spellEnd"/>
      <w:r w:rsidRPr="0056261A">
        <w:rPr>
          <w:rFonts w:ascii="Arial" w:hAnsi="Arial" w:cs="Arial"/>
          <w:sz w:val="24"/>
          <w:szCs w:val="24"/>
        </w:rPr>
        <w:t xml:space="preserve">. c, della </w:t>
      </w:r>
      <w:r w:rsidR="006F617E">
        <w:rPr>
          <w:rFonts w:ascii="Arial" w:hAnsi="Arial" w:cs="Arial"/>
          <w:sz w:val="24"/>
          <w:szCs w:val="24"/>
        </w:rPr>
        <w:t>Legge</w:t>
      </w:r>
      <w:r w:rsidRPr="0056261A">
        <w:rPr>
          <w:rFonts w:ascii="Arial" w:hAnsi="Arial" w:cs="Arial"/>
          <w:sz w:val="24"/>
          <w:szCs w:val="24"/>
        </w:rPr>
        <w:t xml:space="preserve"> n. 481 del 1995, è finalizzato a punire l’inosservanza dei provvedimenti dell’Autorità o la mancata ottemperanza, da parte dei soggetti esercenti il servizio, </w:t>
      </w:r>
      <w:r w:rsidRPr="00D54F37">
        <w:rPr>
          <w:rFonts w:ascii="Arial" w:hAnsi="Arial" w:cs="Arial"/>
          <w:sz w:val="24"/>
          <w:szCs w:val="24"/>
        </w:rPr>
        <w:t xml:space="preserve">“alle richieste di informazioni o a quelle connesse all’effettuazione dei controlli, ovvero nel caso in cui le informazioni e i documenti acquisiti non siano veritieri </w:t>
      </w:r>
      <w:r w:rsidR="00D54F37">
        <w:rPr>
          <w:rFonts w:ascii="Arial" w:hAnsi="Arial" w:cs="Arial"/>
          <w:sz w:val="24"/>
          <w:szCs w:val="24"/>
        </w:rPr>
        <w:t>(</w:t>
      </w:r>
      <w:r w:rsidRPr="00D54F37">
        <w:rPr>
          <w:rFonts w:ascii="Arial" w:hAnsi="Arial" w:cs="Arial"/>
          <w:sz w:val="24"/>
          <w:szCs w:val="24"/>
        </w:rPr>
        <w:t>…</w:t>
      </w:r>
      <w:r w:rsidR="00D54F37">
        <w:rPr>
          <w:rFonts w:ascii="Arial" w:hAnsi="Arial" w:cs="Arial"/>
          <w:sz w:val="24"/>
          <w:szCs w:val="24"/>
        </w:rPr>
        <w:t>)</w:t>
      </w:r>
      <w:r w:rsidRPr="00D54F37">
        <w:rPr>
          <w:rFonts w:ascii="Arial" w:hAnsi="Arial" w:cs="Arial"/>
          <w:sz w:val="24"/>
          <w:szCs w:val="24"/>
        </w:rPr>
        <w:t>”:</w:t>
      </w:r>
      <w:r w:rsidRPr="0056261A">
        <w:rPr>
          <w:rFonts w:ascii="Arial" w:hAnsi="Arial" w:cs="Arial"/>
          <w:sz w:val="24"/>
          <w:szCs w:val="24"/>
        </w:rPr>
        <w:t xml:space="preserve"> in tal modo la condotta che i soggetti “regolati” devono osservare è stabilita dalla stessa Autorità, attraverso il completamento della previsione legislativa, certamente molto ampia e di contenuto generico, </w:t>
      </w:r>
      <w:r w:rsidR="00C612AC" w:rsidRPr="00D54F37">
        <w:rPr>
          <w:rFonts w:ascii="Arial" w:hAnsi="Arial" w:cs="Arial"/>
          <w:sz w:val="24"/>
          <w:szCs w:val="24"/>
        </w:rPr>
        <w:t>ch</w:t>
      </w:r>
      <w:r w:rsidRPr="00D54F37">
        <w:rPr>
          <w:rFonts w:ascii="Arial" w:hAnsi="Arial" w:cs="Arial"/>
          <w:sz w:val="24"/>
          <w:szCs w:val="24"/>
        </w:rPr>
        <w:t>e</w:t>
      </w:r>
      <w:r w:rsidRPr="0056261A">
        <w:rPr>
          <w:rFonts w:ascii="Arial" w:hAnsi="Arial" w:cs="Arial"/>
          <w:sz w:val="24"/>
          <w:szCs w:val="24"/>
        </w:rPr>
        <w:t xml:space="preserve"> ne stabilisce il contenuto</w:t>
      </w:r>
      <w:r w:rsidR="00900E7E">
        <w:rPr>
          <w:rFonts w:ascii="Arial" w:hAnsi="Arial" w:cs="Arial"/>
          <w:sz w:val="24"/>
          <w:szCs w:val="24"/>
        </w:rPr>
        <w:t xml:space="preserve"> </w:t>
      </w:r>
      <w:r w:rsidR="00900E7E" w:rsidRPr="00234445">
        <w:rPr>
          <w:rFonts w:ascii="Arial" w:hAnsi="Arial" w:cs="Arial"/>
          <w:sz w:val="24"/>
          <w:szCs w:val="24"/>
        </w:rPr>
        <w:t>puntuale</w:t>
      </w:r>
      <w:r w:rsidR="00D54F37">
        <w:rPr>
          <w:rFonts w:ascii="Arial" w:hAnsi="Arial" w:cs="Arial"/>
          <w:sz w:val="24"/>
          <w:szCs w:val="24"/>
        </w:rPr>
        <w:t>(</w:t>
      </w:r>
      <w:r w:rsidR="00B16BF0" w:rsidRPr="0056261A">
        <w:rPr>
          <w:rStyle w:val="Rimandonotaapidipagina"/>
          <w:rFonts w:ascii="Arial" w:hAnsi="Arial" w:cs="Arial"/>
          <w:sz w:val="24"/>
          <w:szCs w:val="24"/>
        </w:rPr>
        <w:footnoteReference w:id="68"/>
      </w:r>
      <w:r w:rsidR="00D54F37">
        <w:rPr>
          <w:rFonts w:ascii="Arial" w:hAnsi="Arial" w:cs="Arial"/>
          <w:sz w:val="24"/>
          <w:szCs w:val="24"/>
        </w:rPr>
        <w:t>)</w:t>
      </w:r>
      <w:r w:rsidRPr="0056261A">
        <w:rPr>
          <w:rFonts w:ascii="Arial" w:hAnsi="Arial" w:cs="Arial"/>
          <w:sz w:val="24"/>
          <w:szCs w:val="24"/>
        </w:rPr>
        <w:t xml:space="preserve">. Tuttavia </w:t>
      </w:r>
      <w:r w:rsidR="00E957A1" w:rsidRPr="0056261A">
        <w:rPr>
          <w:rFonts w:ascii="Arial" w:hAnsi="Arial" w:cs="Arial"/>
          <w:sz w:val="24"/>
          <w:szCs w:val="24"/>
        </w:rPr>
        <w:t xml:space="preserve">essendo </w:t>
      </w:r>
      <w:r w:rsidRPr="0056261A">
        <w:rPr>
          <w:rFonts w:ascii="Arial" w:hAnsi="Arial" w:cs="Arial"/>
          <w:sz w:val="24"/>
          <w:szCs w:val="24"/>
        </w:rPr>
        <w:t>necess</w:t>
      </w:r>
      <w:r w:rsidR="00E957A1" w:rsidRPr="0056261A">
        <w:rPr>
          <w:rFonts w:ascii="Arial" w:hAnsi="Arial" w:cs="Arial"/>
          <w:sz w:val="24"/>
          <w:szCs w:val="24"/>
        </w:rPr>
        <w:t xml:space="preserve">ario </w:t>
      </w:r>
      <w:r w:rsidRPr="0056261A">
        <w:rPr>
          <w:rFonts w:ascii="Arial" w:hAnsi="Arial" w:cs="Arial"/>
          <w:sz w:val="24"/>
          <w:szCs w:val="24"/>
        </w:rPr>
        <w:t xml:space="preserve">che </w:t>
      </w:r>
      <w:r w:rsidR="00E957A1" w:rsidRPr="0056261A">
        <w:rPr>
          <w:rFonts w:ascii="Arial" w:hAnsi="Arial" w:cs="Arial"/>
          <w:sz w:val="24"/>
          <w:szCs w:val="24"/>
        </w:rPr>
        <w:t xml:space="preserve">l’attività dell’Autorità sia presidiata anche attraverso un efficace apparato sanzionatorio, direttamente correlato al perseguimento dei fini specifici che la </w:t>
      </w:r>
      <w:r w:rsidR="006F617E">
        <w:rPr>
          <w:rFonts w:ascii="Arial" w:hAnsi="Arial" w:cs="Arial"/>
          <w:sz w:val="24"/>
          <w:szCs w:val="24"/>
        </w:rPr>
        <w:t>Legge</w:t>
      </w:r>
      <w:r w:rsidR="00E957A1" w:rsidRPr="0056261A">
        <w:rPr>
          <w:rFonts w:ascii="Arial" w:hAnsi="Arial" w:cs="Arial"/>
          <w:sz w:val="24"/>
          <w:szCs w:val="24"/>
        </w:rPr>
        <w:t xml:space="preserve"> le </w:t>
      </w:r>
      <w:r w:rsidR="00315289" w:rsidRPr="0056261A">
        <w:rPr>
          <w:rFonts w:ascii="Arial" w:hAnsi="Arial" w:cs="Arial"/>
          <w:sz w:val="24"/>
          <w:szCs w:val="24"/>
        </w:rPr>
        <w:t>assegna</w:t>
      </w:r>
      <w:r w:rsidR="00E957A1" w:rsidRPr="0056261A">
        <w:rPr>
          <w:rFonts w:ascii="Arial" w:hAnsi="Arial" w:cs="Arial"/>
          <w:sz w:val="24"/>
          <w:szCs w:val="24"/>
        </w:rPr>
        <w:t xml:space="preserve">, non si può fare a meno di </w:t>
      </w:r>
      <w:r w:rsidR="00315289" w:rsidRPr="0056261A">
        <w:rPr>
          <w:rFonts w:ascii="Arial" w:hAnsi="Arial" w:cs="Arial"/>
          <w:sz w:val="24"/>
          <w:szCs w:val="24"/>
        </w:rPr>
        <w:t xml:space="preserve">affidare </w:t>
      </w:r>
      <w:r w:rsidR="00E957A1" w:rsidRPr="0056261A">
        <w:rPr>
          <w:rFonts w:ascii="Arial" w:hAnsi="Arial" w:cs="Arial"/>
          <w:sz w:val="24"/>
          <w:szCs w:val="24"/>
        </w:rPr>
        <w:t>alla stessa Autorità la determinazione concreta delle condotte che danno luogo all’applicazione della sanzione</w:t>
      </w:r>
      <w:r w:rsidR="00D54F37">
        <w:rPr>
          <w:rFonts w:ascii="Arial" w:hAnsi="Arial" w:cs="Arial"/>
          <w:sz w:val="24"/>
          <w:szCs w:val="24"/>
        </w:rPr>
        <w:t>(</w:t>
      </w:r>
      <w:r w:rsidR="00435929" w:rsidRPr="0056261A">
        <w:rPr>
          <w:rStyle w:val="Rimandonotaapidipagina"/>
          <w:rFonts w:ascii="Arial" w:hAnsi="Arial" w:cs="Arial"/>
          <w:sz w:val="24"/>
          <w:szCs w:val="24"/>
        </w:rPr>
        <w:footnoteReference w:id="69"/>
      </w:r>
      <w:r w:rsidR="00D54F37">
        <w:rPr>
          <w:rFonts w:ascii="Arial" w:hAnsi="Arial" w:cs="Arial"/>
          <w:sz w:val="24"/>
          <w:szCs w:val="24"/>
        </w:rPr>
        <w:t>)</w:t>
      </w:r>
      <w:r w:rsidR="00E957A1" w:rsidRPr="0056261A">
        <w:rPr>
          <w:rFonts w:ascii="Arial" w:hAnsi="Arial" w:cs="Arial"/>
          <w:sz w:val="24"/>
          <w:szCs w:val="24"/>
        </w:rPr>
        <w:t>.</w:t>
      </w:r>
    </w:p>
    <w:p w:rsidR="007D04C1" w:rsidRPr="0056261A" w:rsidRDefault="00625348" w:rsidP="00D54F37">
      <w:pPr>
        <w:spacing w:after="0"/>
        <w:jc w:val="both"/>
        <w:rPr>
          <w:rFonts w:ascii="Arial" w:hAnsi="Arial" w:cs="Arial"/>
          <w:color w:val="000000"/>
          <w:sz w:val="24"/>
          <w:szCs w:val="24"/>
        </w:rPr>
      </w:pPr>
      <w:r w:rsidRPr="0056261A">
        <w:rPr>
          <w:rFonts w:ascii="Arial" w:hAnsi="Arial" w:cs="Arial"/>
          <w:color w:val="000000"/>
          <w:sz w:val="24"/>
          <w:szCs w:val="24"/>
        </w:rPr>
        <w:t>Tra le tipologie di sanzioni irrogate dall’Autorità</w:t>
      </w:r>
      <w:r w:rsidR="007C5E30" w:rsidRPr="0056261A">
        <w:rPr>
          <w:rFonts w:ascii="Arial" w:hAnsi="Arial" w:cs="Arial"/>
          <w:color w:val="000000"/>
          <w:sz w:val="24"/>
          <w:szCs w:val="24"/>
        </w:rPr>
        <w:t>,</w:t>
      </w:r>
      <w:r w:rsidRPr="0056261A">
        <w:rPr>
          <w:rFonts w:ascii="Arial" w:hAnsi="Arial" w:cs="Arial"/>
          <w:color w:val="000000"/>
          <w:sz w:val="24"/>
          <w:szCs w:val="24"/>
        </w:rPr>
        <w:t xml:space="preserve"> certamente assumono un</w:t>
      </w:r>
      <w:r w:rsidR="007C5E30" w:rsidRPr="0056261A">
        <w:rPr>
          <w:rFonts w:ascii="Arial" w:hAnsi="Arial" w:cs="Arial"/>
          <w:color w:val="000000"/>
          <w:sz w:val="24"/>
          <w:szCs w:val="24"/>
        </w:rPr>
        <w:t xml:space="preserve"> peculiare </w:t>
      </w:r>
      <w:r w:rsidRPr="0056261A">
        <w:rPr>
          <w:rFonts w:ascii="Arial" w:hAnsi="Arial" w:cs="Arial"/>
          <w:color w:val="000000"/>
          <w:sz w:val="24"/>
          <w:szCs w:val="24"/>
        </w:rPr>
        <w:t xml:space="preserve">rilievo quelle </w:t>
      </w:r>
      <w:r w:rsidR="007C5E30" w:rsidRPr="0056261A">
        <w:rPr>
          <w:rFonts w:ascii="Arial" w:hAnsi="Arial" w:cs="Arial"/>
          <w:color w:val="000000"/>
          <w:sz w:val="24"/>
          <w:szCs w:val="24"/>
        </w:rPr>
        <w:t>irrogate per i</w:t>
      </w:r>
      <w:r w:rsidRPr="0056261A">
        <w:rPr>
          <w:rFonts w:ascii="Arial" w:hAnsi="Arial" w:cs="Arial"/>
          <w:color w:val="000000"/>
          <w:sz w:val="24"/>
          <w:szCs w:val="24"/>
        </w:rPr>
        <w:t>l mancato acquisto dei certificati verdi</w:t>
      </w:r>
      <w:r w:rsidR="00D54F37">
        <w:rPr>
          <w:rFonts w:ascii="Arial" w:hAnsi="Arial" w:cs="Arial"/>
          <w:color w:val="000000"/>
          <w:sz w:val="24"/>
          <w:szCs w:val="24"/>
        </w:rPr>
        <w:t>(</w:t>
      </w:r>
      <w:r w:rsidRPr="0056261A">
        <w:rPr>
          <w:rStyle w:val="Rimandonotaapidipagina"/>
          <w:rFonts w:ascii="Arial" w:hAnsi="Arial" w:cs="Arial"/>
          <w:color w:val="000000"/>
          <w:sz w:val="24"/>
          <w:szCs w:val="24"/>
        </w:rPr>
        <w:footnoteReference w:id="70"/>
      </w:r>
      <w:r w:rsidR="00D54F37">
        <w:rPr>
          <w:rFonts w:ascii="Arial" w:hAnsi="Arial" w:cs="Arial"/>
          <w:color w:val="000000"/>
          <w:sz w:val="24"/>
          <w:szCs w:val="24"/>
        </w:rPr>
        <w:t>)</w:t>
      </w:r>
      <w:r w:rsidRPr="0056261A">
        <w:rPr>
          <w:rFonts w:ascii="Arial" w:hAnsi="Arial" w:cs="Arial"/>
          <w:color w:val="000000"/>
          <w:sz w:val="24"/>
          <w:szCs w:val="24"/>
        </w:rPr>
        <w:t>.</w:t>
      </w:r>
      <w:r w:rsidR="007D04C1" w:rsidRPr="0056261A">
        <w:rPr>
          <w:rFonts w:ascii="Arial" w:hAnsi="Arial" w:cs="Arial"/>
          <w:color w:val="000000"/>
          <w:sz w:val="24"/>
          <w:szCs w:val="24"/>
        </w:rPr>
        <w:t xml:space="preserve"> In particolare è emers</w:t>
      </w:r>
      <w:r w:rsidR="007C5E30" w:rsidRPr="0056261A">
        <w:rPr>
          <w:rFonts w:ascii="Arial" w:hAnsi="Arial" w:cs="Arial"/>
          <w:color w:val="000000"/>
          <w:sz w:val="24"/>
          <w:szCs w:val="24"/>
        </w:rPr>
        <w:t>o il dubbio in relazione a</w:t>
      </w:r>
      <w:r w:rsidR="007D04C1" w:rsidRPr="0056261A">
        <w:rPr>
          <w:rFonts w:ascii="Arial" w:hAnsi="Arial" w:cs="Arial"/>
          <w:color w:val="000000"/>
          <w:sz w:val="24"/>
          <w:szCs w:val="24"/>
        </w:rPr>
        <w:t xml:space="preserve">lla natura penale o meno delle richiamate sanzioni, avuto riguardo ai rilevanti importi economici </w:t>
      </w:r>
      <w:r w:rsidR="0019361E" w:rsidRPr="0056261A">
        <w:rPr>
          <w:rFonts w:ascii="Arial" w:hAnsi="Arial" w:cs="Arial"/>
          <w:color w:val="000000"/>
          <w:sz w:val="24"/>
          <w:szCs w:val="24"/>
        </w:rPr>
        <w:t xml:space="preserve">che discendono dalla loro </w:t>
      </w:r>
      <w:r w:rsidR="007D04C1" w:rsidRPr="0056261A">
        <w:rPr>
          <w:rFonts w:ascii="Arial" w:hAnsi="Arial" w:cs="Arial"/>
          <w:color w:val="000000"/>
          <w:sz w:val="24"/>
          <w:szCs w:val="24"/>
        </w:rPr>
        <w:t>quantifi</w:t>
      </w:r>
      <w:r w:rsidR="0019361E" w:rsidRPr="0056261A">
        <w:rPr>
          <w:rFonts w:ascii="Arial" w:hAnsi="Arial" w:cs="Arial"/>
          <w:color w:val="000000"/>
          <w:sz w:val="24"/>
          <w:szCs w:val="24"/>
        </w:rPr>
        <w:t>cazion</w:t>
      </w:r>
      <w:r w:rsidR="007D04C1" w:rsidRPr="0056261A">
        <w:rPr>
          <w:rFonts w:ascii="Arial" w:hAnsi="Arial" w:cs="Arial"/>
          <w:color w:val="000000"/>
          <w:sz w:val="24"/>
          <w:szCs w:val="24"/>
        </w:rPr>
        <w:t>e. Tuttavia risulta pacifico che una parte dell’importo della sanzione, anzi la sua gran parte, è parametrato sul valore dei certificati non acquistati e</w:t>
      </w:r>
      <w:r w:rsidR="0019361E" w:rsidRPr="0056261A">
        <w:rPr>
          <w:rFonts w:ascii="Arial" w:hAnsi="Arial" w:cs="Arial"/>
          <w:color w:val="000000"/>
          <w:sz w:val="24"/>
          <w:szCs w:val="24"/>
        </w:rPr>
        <w:t xml:space="preserve"> a ciò consegue che l’importo della sanzione, all’esito del procedimento della sua determinazione,</w:t>
      </w:r>
      <w:r w:rsidR="007D04C1" w:rsidRPr="0056261A">
        <w:rPr>
          <w:rFonts w:ascii="Arial" w:hAnsi="Arial" w:cs="Arial"/>
          <w:color w:val="000000"/>
          <w:sz w:val="24"/>
          <w:szCs w:val="24"/>
        </w:rPr>
        <w:t xml:space="preserve"> è sost</w:t>
      </w:r>
      <w:r w:rsidR="002F4C8F" w:rsidRPr="0056261A">
        <w:rPr>
          <w:rFonts w:ascii="Arial" w:hAnsi="Arial" w:cs="Arial"/>
          <w:color w:val="000000"/>
          <w:sz w:val="24"/>
          <w:szCs w:val="24"/>
        </w:rPr>
        <w:t xml:space="preserve">anzialmente di poco superiore ai costi </w:t>
      </w:r>
      <w:r w:rsidR="007D04C1" w:rsidRPr="0056261A">
        <w:rPr>
          <w:rFonts w:ascii="Arial" w:hAnsi="Arial" w:cs="Arial"/>
          <w:color w:val="000000"/>
          <w:sz w:val="24"/>
          <w:szCs w:val="24"/>
        </w:rPr>
        <w:t xml:space="preserve">che l’operatore avrebbe dovuto </w:t>
      </w:r>
      <w:r w:rsidR="002F4C8F" w:rsidRPr="0056261A">
        <w:rPr>
          <w:rFonts w:ascii="Arial" w:hAnsi="Arial" w:cs="Arial"/>
          <w:color w:val="000000"/>
          <w:sz w:val="24"/>
          <w:szCs w:val="24"/>
        </w:rPr>
        <w:t>sopport</w:t>
      </w:r>
      <w:r w:rsidR="007D04C1" w:rsidRPr="0056261A">
        <w:rPr>
          <w:rFonts w:ascii="Arial" w:hAnsi="Arial" w:cs="Arial"/>
          <w:color w:val="000000"/>
          <w:sz w:val="24"/>
          <w:szCs w:val="24"/>
        </w:rPr>
        <w:t xml:space="preserve">are se avesse tempestivamente proceduto all’assolvimento dell’obbligo di acquisto. </w:t>
      </w:r>
      <w:r w:rsidR="0019361E" w:rsidRPr="0056261A">
        <w:rPr>
          <w:rFonts w:ascii="Arial" w:hAnsi="Arial" w:cs="Arial"/>
          <w:color w:val="000000"/>
          <w:sz w:val="24"/>
          <w:szCs w:val="24"/>
        </w:rPr>
        <w:t>Perciò</w:t>
      </w:r>
      <w:r w:rsidR="007D04C1" w:rsidRPr="0056261A">
        <w:rPr>
          <w:rFonts w:ascii="Arial" w:hAnsi="Arial" w:cs="Arial"/>
          <w:color w:val="000000"/>
          <w:sz w:val="24"/>
          <w:szCs w:val="24"/>
        </w:rPr>
        <w:t xml:space="preserve">, </w:t>
      </w:r>
      <w:r w:rsidR="0019361E" w:rsidRPr="0056261A">
        <w:rPr>
          <w:rFonts w:ascii="Arial" w:hAnsi="Arial" w:cs="Arial"/>
          <w:color w:val="000000"/>
          <w:sz w:val="24"/>
          <w:szCs w:val="24"/>
        </w:rPr>
        <w:t xml:space="preserve">secondo una parte della giurisprudenza, </w:t>
      </w:r>
      <w:r w:rsidR="007D04C1" w:rsidRPr="00D54F37">
        <w:rPr>
          <w:rFonts w:ascii="Arial" w:hAnsi="Arial" w:cs="Arial"/>
          <w:color w:val="000000"/>
          <w:sz w:val="24"/>
          <w:szCs w:val="24"/>
        </w:rPr>
        <w:t>“la natura patrimoniale e non personale della sanzione e la sua quantificazione, certamente</w:t>
      </w:r>
      <w:r w:rsidR="007D04C1" w:rsidRPr="0056261A">
        <w:rPr>
          <w:rFonts w:ascii="Arial" w:hAnsi="Arial" w:cs="Arial"/>
          <w:i/>
          <w:color w:val="000000"/>
          <w:sz w:val="24"/>
          <w:szCs w:val="24"/>
        </w:rPr>
        <w:t xml:space="preserve"> </w:t>
      </w:r>
      <w:r w:rsidR="007D04C1" w:rsidRPr="00C415F4">
        <w:rPr>
          <w:rFonts w:ascii="Arial" w:hAnsi="Arial" w:cs="Arial"/>
          <w:color w:val="000000"/>
          <w:sz w:val="24"/>
          <w:szCs w:val="24"/>
        </w:rPr>
        <w:t>proporzionata rispetto al valore dei certificati verdi non acquistati, la rendono non assimilabile ad una sanzione penale, con la conseguente inap</w:t>
      </w:r>
      <w:r w:rsidR="00C415F4">
        <w:rPr>
          <w:rFonts w:ascii="Arial" w:hAnsi="Arial" w:cs="Arial"/>
          <w:color w:val="000000"/>
          <w:sz w:val="24"/>
          <w:szCs w:val="24"/>
        </w:rPr>
        <w:t>plicabilità dei peculiari princì</w:t>
      </w:r>
      <w:r w:rsidR="007D04C1" w:rsidRPr="00C415F4">
        <w:rPr>
          <w:rFonts w:ascii="Arial" w:hAnsi="Arial" w:cs="Arial"/>
          <w:color w:val="000000"/>
          <w:sz w:val="24"/>
          <w:szCs w:val="24"/>
        </w:rPr>
        <w:t xml:space="preserve">pi in tema di </w:t>
      </w:r>
      <w:proofErr w:type="spellStart"/>
      <w:r w:rsidR="007D04C1" w:rsidRPr="00C415F4">
        <w:rPr>
          <w:rFonts w:ascii="Arial" w:hAnsi="Arial" w:cs="Arial"/>
          <w:i/>
          <w:color w:val="000000"/>
          <w:sz w:val="24"/>
          <w:szCs w:val="24"/>
        </w:rPr>
        <w:t>favor</w:t>
      </w:r>
      <w:proofErr w:type="spellEnd"/>
      <w:r w:rsidR="007D04C1" w:rsidRPr="00C415F4">
        <w:rPr>
          <w:rFonts w:ascii="Arial" w:hAnsi="Arial" w:cs="Arial"/>
          <w:i/>
          <w:color w:val="000000"/>
          <w:sz w:val="24"/>
          <w:szCs w:val="24"/>
        </w:rPr>
        <w:t xml:space="preserve"> rei</w:t>
      </w:r>
      <w:r w:rsidR="007D04C1" w:rsidRPr="00C415F4">
        <w:rPr>
          <w:rFonts w:ascii="Arial" w:hAnsi="Arial" w:cs="Arial"/>
          <w:color w:val="000000"/>
          <w:sz w:val="24"/>
          <w:szCs w:val="24"/>
        </w:rPr>
        <w:t>”</w:t>
      </w:r>
      <w:r w:rsidR="00C415F4">
        <w:rPr>
          <w:rFonts w:ascii="Arial" w:hAnsi="Arial" w:cs="Arial"/>
          <w:color w:val="000000"/>
          <w:sz w:val="24"/>
          <w:szCs w:val="24"/>
        </w:rPr>
        <w:t>(</w:t>
      </w:r>
      <w:r w:rsidR="007D04C1" w:rsidRPr="00C415F4">
        <w:rPr>
          <w:rStyle w:val="Rimandonotaapidipagina"/>
          <w:rFonts w:ascii="Arial" w:hAnsi="Arial" w:cs="Arial"/>
          <w:color w:val="000000"/>
          <w:sz w:val="24"/>
          <w:szCs w:val="24"/>
        </w:rPr>
        <w:footnoteReference w:id="71"/>
      </w:r>
      <w:r w:rsidR="00C415F4">
        <w:rPr>
          <w:rFonts w:ascii="Arial" w:hAnsi="Arial" w:cs="Arial"/>
          <w:color w:val="000000"/>
          <w:sz w:val="24"/>
          <w:szCs w:val="24"/>
        </w:rPr>
        <w:t>)</w:t>
      </w:r>
      <w:r w:rsidR="007D04C1" w:rsidRPr="00C415F4">
        <w:rPr>
          <w:rFonts w:ascii="Arial" w:hAnsi="Arial" w:cs="Arial"/>
          <w:color w:val="000000"/>
          <w:sz w:val="24"/>
          <w:szCs w:val="24"/>
        </w:rPr>
        <w:t>.</w:t>
      </w:r>
    </w:p>
    <w:p w:rsidR="0052542B" w:rsidRPr="0056261A" w:rsidRDefault="0019361E" w:rsidP="00C415F4">
      <w:pPr>
        <w:spacing w:after="0"/>
        <w:jc w:val="both"/>
        <w:rPr>
          <w:rFonts w:ascii="Arial" w:hAnsi="Arial" w:cs="Arial"/>
          <w:color w:val="000000"/>
          <w:sz w:val="24"/>
          <w:szCs w:val="24"/>
        </w:rPr>
      </w:pPr>
      <w:r w:rsidRPr="0056261A">
        <w:rPr>
          <w:rFonts w:ascii="Arial" w:hAnsi="Arial" w:cs="Arial"/>
          <w:color w:val="000000"/>
          <w:sz w:val="24"/>
          <w:szCs w:val="24"/>
        </w:rPr>
        <w:t>Tuttavia, se</w:t>
      </w:r>
      <w:r w:rsidR="007D04C1" w:rsidRPr="0056261A">
        <w:rPr>
          <w:rFonts w:ascii="Arial" w:hAnsi="Arial" w:cs="Arial"/>
          <w:color w:val="000000"/>
          <w:sz w:val="24"/>
          <w:szCs w:val="24"/>
        </w:rPr>
        <w:t xml:space="preserve"> le specifiche caratteristiche della sanzione </w:t>
      </w:r>
      <w:r w:rsidR="0052542B" w:rsidRPr="0056261A">
        <w:rPr>
          <w:rFonts w:ascii="Arial" w:hAnsi="Arial" w:cs="Arial"/>
          <w:color w:val="000000"/>
          <w:sz w:val="24"/>
          <w:szCs w:val="24"/>
        </w:rPr>
        <w:t xml:space="preserve">rispondono </w:t>
      </w:r>
      <w:r w:rsidRPr="0056261A">
        <w:rPr>
          <w:rFonts w:ascii="Arial" w:hAnsi="Arial" w:cs="Arial"/>
          <w:color w:val="000000"/>
          <w:sz w:val="24"/>
          <w:szCs w:val="24"/>
        </w:rPr>
        <w:t xml:space="preserve">primariamente </w:t>
      </w:r>
      <w:r w:rsidR="0052542B" w:rsidRPr="0056261A">
        <w:rPr>
          <w:rFonts w:ascii="Arial" w:hAnsi="Arial" w:cs="Arial"/>
          <w:color w:val="000000"/>
          <w:sz w:val="24"/>
          <w:szCs w:val="24"/>
        </w:rPr>
        <w:t xml:space="preserve">all’obiettivo del </w:t>
      </w:r>
      <w:r w:rsidR="007D04C1" w:rsidRPr="0056261A">
        <w:rPr>
          <w:rFonts w:ascii="Arial" w:hAnsi="Arial" w:cs="Arial"/>
          <w:color w:val="000000"/>
          <w:sz w:val="24"/>
          <w:szCs w:val="24"/>
        </w:rPr>
        <w:t>ripristin</w:t>
      </w:r>
      <w:r w:rsidR="0052542B" w:rsidRPr="0056261A">
        <w:rPr>
          <w:rFonts w:ascii="Arial" w:hAnsi="Arial" w:cs="Arial"/>
          <w:color w:val="000000"/>
          <w:sz w:val="24"/>
          <w:szCs w:val="24"/>
        </w:rPr>
        <w:t>o del</w:t>
      </w:r>
      <w:r w:rsidR="007D04C1" w:rsidRPr="0056261A">
        <w:rPr>
          <w:rFonts w:ascii="Arial" w:hAnsi="Arial" w:cs="Arial"/>
          <w:color w:val="000000"/>
          <w:sz w:val="24"/>
          <w:szCs w:val="24"/>
        </w:rPr>
        <w:t xml:space="preserve">la legalità violata, al fine di tutelare l’interesse pubblico alla promozione dell’energia prodotta da fonti rinnovabili, </w:t>
      </w:r>
      <w:r w:rsidRPr="0056261A">
        <w:rPr>
          <w:rFonts w:ascii="Arial" w:hAnsi="Arial" w:cs="Arial"/>
          <w:color w:val="000000"/>
          <w:sz w:val="24"/>
          <w:szCs w:val="24"/>
        </w:rPr>
        <w:t xml:space="preserve">non si può non sottolineare come </w:t>
      </w:r>
      <w:r w:rsidR="00315289" w:rsidRPr="0056261A">
        <w:rPr>
          <w:rFonts w:ascii="Arial" w:hAnsi="Arial" w:cs="Arial"/>
          <w:color w:val="000000"/>
          <w:sz w:val="24"/>
          <w:szCs w:val="24"/>
        </w:rPr>
        <w:t xml:space="preserve">la stessa abbia un carattere </w:t>
      </w:r>
      <w:r w:rsidRPr="0056261A">
        <w:rPr>
          <w:rFonts w:ascii="Arial" w:hAnsi="Arial" w:cs="Arial"/>
          <w:color w:val="000000"/>
          <w:sz w:val="24"/>
          <w:szCs w:val="24"/>
        </w:rPr>
        <w:t>afflittiv</w:t>
      </w:r>
      <w:r w:rsidR="00315289" w:rsidRPr="0056261A">
        <w:rPr>
          <w:rFonts w:ascii="Arial" w:hAnsi="Arial" w:cs="Arial"/>
          <w:color w:val="000000"/>
          <w:sz w:val="24"/>
          <w:szCs w:val="24"/>
        </w:rPr>
        <w:t>o connesso</w:t>
      </w:r>
      <w:r w:rsidRPr="0056261A">
        <w:rPr>
          <w:rFonts w:ascii="Arial" w:hAnsi="Arial" w:cs="Arial"/>
          <w:color w:val="000000"/>
          <w:sz w:val="24"/>
          <w:szCs w:val="24"/>
        </w:rPr>
        <w:t xml:space="preserve"> all’esigenza </w:t>
      </w:r>
      <w:r w:rsidR="00315289" w:rsidRPr="0056261A">
        <w:rPr>
          <w:rFonts w:ascii="Arial" w:hAnsi="Arial" w:cs="Arial"/>
          <w:color w:val="000000"/>
          <w:sz w:val="24"/>
          <w:szCs w:val="24"/>
        </w:rPr>
        <w:t>di dotare tale</w:t>
      </w:r>
      <w:r w:rsidR="0052542B" w:rsidRPr="0056261A">
        <w:rPr>
          <w:rFonts w:ascii="Arial" w:hAnsi="Arial" w:cs="Arial"/>
          <w:color w:val="000000"/>
          <w:sz w:val="24"/>
          <w:szCs w:val="24"/>
        </w:rPr>
        <w:t xml:space="preserve"> </w:t>
      </w:r>
      <w:r w:rsidRPr="0056261A">
        <w:rPr>
          <w:rFonts w:ascii="Arial" w:hAnsi="Arial" w:cs="Arial"/>
          <w:color w:val="000000"/>
          <w:sz w:val="24"/>
          <w:szCs w:val="24"/>
        </w:rPr>
        <w:t>penalità</w:t>
      </w:r>
      <w:r w:rsidR="0052542B" w:rsidRPr="0056261A">
        <w:rPr>
          <w:rFonts w:ascii="Arial" w:hAnsi="Arial" w:cs="Arial"/>
          <w:color w:val="000000"/>
          <w:sz w:val="24"/>
          <w:szCs w:val="24"/>
        </w:rPr>
        <w:t xml:space="preserve"> di</w:t>
      </w:r>
      <w:r w:rsidR="007D04C1" w:rsidRPr="0056261A">
        <w:rPr>
          <w:rFonts w:ascii="Arial" w:hAnsi="Arial" w:cs="Arial"/>
          <w:color w:val="000000"/>
          <w:sz w:val="24"/>
          <w:szCs w:val="24"/>
        </w:rPr>
        <w:t xml:space="preserve"> un livello minimo di efficacia deterrente, </w:t>
      </w:r>
      <w:r w:rsidR="00315289" w:rsidRPr="0056261A">
        <w:rPr>
          <w:rFonts w:ascii="Arial" w:hAnsi="Arial" w:cs="Arial"/>
          <w:color w:val="000000"/>
          <w:sz w:val="24"/>
          <w:szCs w:val="24"/>
        </w:rPr>
        <w:t xml:space="preserve">derivandone perciò l’impedimento a </w:t>
      </w:r>
      <w:r w:rsidR="007D04C1" w:rsidRPr="0056261A">
        <w:rPr>
          <w:rFonts w:ascii="Arial" w:hAnsi="Arial" w:cs="Arial"/>
          <w:color w:val="000000"/>
          <w:sz w:val="24"/>
          <w:szCs w:val="24"/>
        </w:rPr>
        <w:t>quantifica</w:t>
      </w:r>
      <w:r w:rsidR="0052542B" w:rsidRPr="0056261A">
        <w:rPr>
          <w:rFonts w:ascii="Arial" w:hAnsi="Arial" w:cs="Arial"/>
          <w:color w:val="000000"/>
          <w:sz w:val="24"/>
          <w:szCs w:val="24"/>
        </w:rPr>
        <w:t>rl</w:t>
      </w:r>
      <w:r w:rsidR="007D04C1" w:rsidRPr="0056261A">
        <w:rPr>
          <w:rFonts w:ascii="Arial" w:hAnsi="Arial" w:cs="Arial"/>
          <w:color w:val="000000"/>
          <w:sz w:val="24"/>
          <w:szCs w:val="24"/>
        </w:rPr>
        <w:t xml:space="preserve">a in misura </w:t>
      </w:r>
      <w:r w:rsidR="00315289" w:rsidRPr="0056261A">
        <w:rPr>
          <w:rFonts w:ascii="Arial" w:hAnsi="Arial" w:cs="Arial"/>
          <w:color w:val="000000"/>
          <w:sz w:val="24"/>
          <w:szCs w:val="24"/>
        </w:rPr>
        <w:t xml:space="preserve">esattamente </w:t>
      </w:r>
      <w:r w:rsidR="002F4C8F" w:rsidRPr="0056261A">
        <w:rPr>
          <w:rFonts w:ascii="Arial" w:hAnsi="Arial" w:cs="Arial"/>
          <w:color w:val="000000"/>
          <w:sz w:val="24"/>
          <w:szCs w:val="24"/>
        </w:rPr>
        <w:t xml:space="preserve">corrispondente </w:t>
      </w:r>
      <w:r w:rsidR="007D04C1" w:rsidRPr="0056261A">
        <w:rPr>
          <w:rFonts w:ascii="Arial" w:hAnsi="Arial" w:cs="Arial"/>
          <w:color w:val="000000"/>
          <w:sz w:val="24"/>
          <w:szCs w:val="24"/>
        </w:rPr>
        <w:t>al valore dei c</w:t>
      </w:r>
      <w:r w:rsidR="0052542B" w:rsidRPr="0056261A">
        <w:rPr>
          <w:rFonts w:ascii="Arial" w:hAnsi="Arial" w:cs="Arial"/>
          <w:color w:val="000000"/>
          <w:sz w:val="24"/>
          <w:szCs w:val="24"/>
        </w:rPr>
        <w:t>ertificati verdi non acquistati</w:t>
      </w:r>
      <w:r w:rsidR="00C415F4">
        <w:rPr>
          <w:rFonts w:ascii="Arial" w:hAnsi="Arial" w:cs="Arial"/>
          <w:color w:val="000000"/>
          <w:sz w:val="24"/>
          <w:szCs w:val="24"/>
        </w:rPr>
        <w:t>(</w:t>
      </w:r>
      <w:r w:rsidRPr="0056261A">
        <w:rPr>
          <w:rStyle w:val="Rimandonotaapidipagina"/>
          <w:rFonts w:ascii="Arial" w:hAnsi="Arial" w:cs="Arial"/>
          <w:color w:val="000000"/>
          <w:sz w:val="24"/>
          <w:szCs w:val="24"/>
        </w:rPr>
        <w:footnoteReference w:id="72"/>
      </w:r>
      <w:r w:rsidR="00C415F4">
        <w:rPr>
          <w:rFonts w:ascii="Arial" w:hAnsi="Arial" w:cs="Arial"/>
          <w:color w:val="000000"/>
          <w:sz w:val="24"/>
          <w:szCs w:val="24"/>
        </w:rPr>
        <w:t>)</w:t>
      </w:r>
      <w:r w:rsidR="0052542B" w:rsidRPr="0056261A">
        <w:rPr>
          <w:rFonts w:ascii="Arial" w:hAnsi="Arial" w:cs="Arial"/>
          <w:color w:val="000000"/>
          <w:sz w:val="24"/>
          <w:szCs w:val="24"/>
        </w:rPr>
        <w:t>.</w:t>
      </w:r>
    </w:p>
    <w:p w:rsidR="00FF3010" w:rsidRPr="0056261A" w:rsidRDefault="00FF3010" w:rsidP="00C415F4">
      <w:pPr>
        <w:spacing w:after="0"/>
        <w:jc w:val="both"/>
        <w:rPr>
          <w:rFonts w:ascii="Arial" w:hAnsi="Arial" w:cs="Arial"/>
          <w:color w:val="000000"/>
          <w:sz w:val="24"/>
          <w:szCs w:val="24"/>
        </w:rPr>
      </w:pPr>
      <w:r w:rsidRPr="0056261A">
        <w:rPr>
          <w:rFonts w:ascii="Arial" w:hAnsi="Arial" w:cs="Arial"/>
          <w:color w:val="000000"/>
          <w:sz w:val="24"/>
          <w:szCs w:val="24"/>
        </w:rPr>
        <w:t>Pertanto, avuto riguardo alla duplice natura della sanzione, in parte restitutoria e in parte afflittiva, l</w:t>
      </w:r>
      <w:r w:rsidR="002F4C8F" w:rsidRPr="0056261A">
        <w:rPr>
          <w:rFonts w:ascii="Arial" w:hAnsi="Arial" w:cs="Arial"/>
          <w:color w:val="000000"/>
          <w:sz w:val="24"/>
          <w:szCs w:val="24"/>
        </w:rPr>
        <w:t>a</w:t>
      </w:r>
      <w:r w:rsidRPr="0056261A">
        <w:rPr>
          <w:rFonts w:ascii="Arial" w:hAnsi="Arial" w:cs="Arial"/>
          <w:color w:val="000000"/>
          <w:sz w:val="24"/>
          <w:szCs w:val="24"/>
        </w:rPr>
        <w:t xml:space="preserve"> stess</w:t>
      </w:r>
      <w:r w:rsidR="002F4C8F" w:rsidRPr="0056261A">
        <w:rPr>
          <w:rFonts w:ascii="Arial" w:hAnsi="Arial" w:cs="Arial"/>
          <w:color w:val="000000"/>
          <w:sz w:val="24"/>
          <w:szCs w:val="24"/>
        </w:rPr>
        <w:t>a</w:t>
      </w:r>
      <w:r w:rsidRPr="0056261A">
        <w:rPr>
          <w:rFonts w:ascii="Arial" w:hAnsi="Arial" w:cs="Arial"/>
          <w:color w:val="000000"/>
          <w:sz w:val="24"/>
          <w:szCs w:val="24"/>
        </w:rPr>
        <w:t xml:space="preserve"> non sarebbe</w:t>
      </w:r>
      <w:r w:rsidR="002F4C8F" w:rsidRPr="0056261A">
        <w:rPr>
          <w:rFonts w:ascii="Arial" w:hAnsi="Arial" w:cs="Arial"/>
          <w:color w:val="000000"/>
          <w:sz w:val="24"/>
          <w:szCs w:val="24"/>
        </w:rPr>
        <w:t xml:space="preserve"> assoggettabile</w:t>
      </w:r>
      <w:r w:rsidR="00315289" w:rsidRPr="0056261A">
        <w:rPr>
          <w:rFonts w:ascii="Arial" w:hAnsi="Arial" w:cs="Arial"/>
          <w:color w:val="000000"/>
          <w:sz w:val="24"/>
          <w:szCs w:val="24"/>
        </w:rPr>
        <w:t>, se non parzialmente,</w:t>
      </w:r>
      <w:r w:rsidRPr="0056261A">
        <w:rPr>
          <w:rFonts w:ascii="Arial" w:hAnsi="Arial" w:cs="Arial"/>
          <w:color w:val="000000"/>
          <w:sz w:val="24"/>
          <w:szCs w:val="24"/>
        </w:rPr>
        <w:t xml:space="preserve"> allo statuto delle sanzioni penali</w:t>
      </w:r>
      <w:r w:rsidR="00315289" w:rsidRPr="0056261A">
        <w:rPr>
          <w:rFonts w:ascii="Arial" w:hAnsi="Arial" w:cs="Arial"/>
          <w:color w:val="000000"/>
          <w:sz w:val="24"/>
          <w:szCs w:val="24"/>
        </w:rPr>
        <w:t>; e ciò con riguardo a</w:t>
      </w:r>
      <w:r w:rsidRPr="0056261A">
        <w:rPr>
          <w:rFonts w:ascii="Arial" w:hAnsi="Arial" w:cs="Arial"/>
          <w:color w:val="000000"/>
          <w:sz w:val="24"/>
          <w:szCs w:val="24"/>
        </w:rPr>
        <w:t>lla parte ave</w:t>
      </w:r>
      <w:r w:rsidR="002F4C8F" w:rsidRPr="0056261A">
        <w:rPr>
          <w:rFonts w:ascii="Arial" w:hAnsi="Arial" w:cs="Arial"/>
          <w:color w:val="000000"/>
          <w:sz w:val="24"/>
          <w:szCs w:val="24"/>
        </w:rPr>
        <w:t>n</w:t>
      </w:r>
      <w:r w:rsidRPr="0056261A">
        <w:rPr>
          <w:rFonts w:ascii="Arial" w:hAnsi="Arial" w:cs="Arial"/>
          <w:color w:val="000000"/>
          <w:sz w:val="24"/>
          <w:szCs w:val="24"/>
        </w:rPr>
        <w:t>te carattere esclusivamente ripristinatorio</w:t>
      </w:r>
      <w:r w:rsidR="00C415F4">
        <w:rPr>
          <w:rFonts w:ascii="Arial" w:hAnsi="Arial" w:cs="Arial"/>
          <w:color w:val="000000"/>
          <w:sz w:val="24"/>
          <w:szCs w:val="24"/>
        </w:rPr>
        <w:t>(</w:t>
      </w:r>
      <w:r w:rsidRPr="0056261A">
        <w:rPr>
          <w:rStyle w:val="Rimandonotaapidipagina"/>
          <w:rFonts w:ascii="Arial" w:hAnsi="Arial" w:cs="Arial"/>
          <w:color w:val="000000"/>
          <w:sz w:val="24"/>
          <w:szCs w:val="24"/>
        </w:rPr>
        <w:footnoteReference w:id="73"/>
      </w:r>
      <w:r w:rsidR="00C415F4">
        <w:rPr>
          <w:rFonts w:ascii="Arial" w:hAnsi="Arial" w:cs="Arial"/>
          <w:color w:val="000000"/>
          <w:sz w:val="24"/>
          <w:szCs w:val="24"/>
        </w:rPr>
        <w:t>)</w:t>
      </w:r>
      <w:r w:rsidRPr="0056261A">
        <w:rPr>
          <w:rFonts w:ascii="Arial" w:hAnsi="Arial" w:cs="Arial"/>
          <w:color w:val="000000"/>
          <w:sz w:val="24"/>
          <w:szCs w:val="24"/>
        </w:rPr>
        <w:t>.</w:t>
      </w:r>
    </w:p>
    <w:p w:rsidR="00625348" w:rsidRPr="0056261A" w:rsidRDefault="002F4C8F" w:rsidP="00C415F4">
      <w:pPr>
        <w:spacing w:after="0"/>
        <w:jc w:val="both"/>
        <w:rPr>
          <w:rFonts w:ascii="Arial" w:hAnsi="Arial" w:cs="Arial"/>
          <w:color w:val="000000"/>
          <w:sz w:val="24"/>
          <w:szCs w:val="24"/>
        </w:rPr>
      </w:pPr>
      <w:r w:rsidRPr="0056261A">
        <w:rPr>
          <w:rFonts w:ascii="Arial" w:hAnsi="Arial" w:cs="Arial"/>
          <w:color w:val="000000"/>
          <w:sz w:val="24"/>
          <w:szCs w:val="24"/>
        </w:rPr>
        <w:t>Però</w:t>
      </w:r>
      <w:r w:rsidR="00FF3010" w:rsidRPr="0056261A">
        <w:rPr>
          <w:rFonts w:ascii="Arial" w:hAnsi="Arial" w:cs="Arial"/>
          <w:color w:val="000000"/>
          <w:sz w:val="24"/>
          <w:szCs w:val="24"/>
        </w:rPr>
        <w:t xml:space="preserve"> anche a voler seguire l’indirizzo sopra indicato, va evidenziato che </w:t>
      </w:r>
      <w:r w:rsidR="007D04C1" w:rsidRPr="0056261A">
        <w:rPr>
          <w:rFonts w:ascii="Arial" w:hAnsi="Arial" w:cs="Arial"/>
          <w:color w:val="000000"/>
          <w:sz w:val="24"/>
          <w:szCs w:val="24"/>
        </w:rPr>
        <w:t xml:space="preserve">la maggiorazione della sanzione, rispetto a quanto dovuto ai </w:t>
      </w:r>
      <w:r w:rsidR="0052542B" w:rsidRPr="0056261A">
        <w:rPr>
          <w:rFonts w:ascii="Arial" w:hAnsi="Arial" w:cs="Arial"/>
          <w:color w:val="000000"/>
          <w:sz w:val="24"/>
          <w:szCs w:val="24"/>
        </w:rPr>
        <w:t xml:space="preserve">fini puramente ripristinatori, </w:t>
      </w:r>
      <w:r w:rsidR="00FF3010" w:rsidRPr="0056261A">
        <w:rPr>
          <w:rFonts w:ascii="Arial" w:hAnsi="Arial" w:cs="Arial"/>
          <w:color w:val="000000"/>
          <w:sz w:val="24"/>
          <w:szCs w:val="24"/>
        </w:rPr>
        <w:t xml:space="preserve">oltre ad essere giustificata da ragioni afflittive, </w:t>
      </w:r>
      <w:r w:rsidRPr="0056261A">
        <w:rPr>
          <w:rFonts w:ascii="Arial" w:hAnsi="Arial" w:cs="Arial"/>
          <w:color w:val="000000"/>
          <w:sz w:val="24"/>
          <w:szCs w:val="24"/>
        </w:rPr>
        <w:t>risulta determi</w:t>
      </w:r>
      <w:r w:rsidR="007D04C1" w:rsidRPr="0056261A">
        <w:rPr>
          <w:rFonts w:ascii="Arial" w:hAnsi="Arial" w:cs="Arial"/>
          <w:color w:val="000000"/>
          <w:sz w:val="24"/>
          <w:szCs w:val="24"/>
        </w:rPr>
        <w:t>nata</w:t>
      </w:r>
      <w:r w:rsidR="00EA57DA" w:rsidRPr="0056261A">
        <w:rPr>
          <w:rFonts w:ascii="Arial" w:hAnsi="Arial" w:cs="Arial"/>
          <w:color w:val="000000"/>
          <w:sz w:val="24"/>
          <w:szCs w:val="24"/>
        </w:rPr>
        <w:t>, in parte,</w:t>
      </w:r>
      <w:r w:rsidR="007D04C1" w:rsidRPr="0056261A">
        <w:rPr>
          <w:rFonts w:ascii="Arial" w:hAnsi="Arial" w:cs="Arial"/>
          <w:color w:val="000000"/>
          <w:sz w:val="24"/>
          <w:szCs w:val="24"/>
        </w:rPr>
        <w:t xml:space="preserve"> anche </w:t>
      </w:r>
      <w:r w:rsidR="0019361E" w:rsidRPr="0056261A">
        <w:rPr>
          <w:rFonts w:ascii="Arial" w:hAnsi="Arial" w:cs="Arial"/>
          <w:color w:val="000000"/>
          <w:sz w:val="24"/>
          <w:szCs w:val="24"/>
        </w:rPr>
        <w:t>dall’esigenza</w:t>
      </w:r>
      <w:r w:rsidR="007D04C1" w:rsidRPr="0056261A">
        <w:rPr>
          <w:rFonts w:ascii="Arial" w:hAnsi="Arial" w:cs="Arial"/>
          <w:color w:val="000000"/>
          <w:sz w:val="24"/>
          <w:szCs w:val="24"/>
        </w:rPr>
        <w:t xml:space="preserve"> </w:t>
      </w:r>
      <w:r w:rsidR="0019361E" w:rsidRPr="0056261A">
        <w:rPr>
          <w:rFonts w:ascii="Arial" w:hAnsi="Arial" w:cs="Arial"/>
          <w:color w:val="000000"/>
          <w:sz w:val="24"/>
          <w:szCs w:val="24"/>
        </w:rPr>
        <w:t xml:space="preserve">di </w:t>
      </w:r>
      <w:r w:rsidR="0019361E" w:rsidRPr="00C415F4">
        <w:rPr>
          <w:rFonts w:ascii="Arial" w:hAnsi="Arial" w:cs="Arial"/>
          <w:color w:val="000000"/>
          <w:sz w:val="24"/>
          <w:szCs w:val="24"/>
        </w:rPr>
        <w:t>“</w:t>
      </w:r>
      <w:r w:rsidR="007D04C1" w:rsidRPr="00C415F4">
        <w:rPr>
          <w:rFonts w:ascii="Arial" w:hAnsi="Arial" w:cs="Arial"/>
          <w:color w:val="000000"/>
          <w:sz w:val="24"/>
          <w:szCs w:val="24"/>
        </w:rPr>
        <w:t>elidere tutte le esternalità negative conseguenti alla violazione dell’obbligo di acquisto dei certificati verdi, sia in termini di sostenibilità e di reintegrazione del sistema complessivo, sia al fine di ripristinare le condizioni di parità tra tutti gli operatori privati che dovrebbero operare in perfetto regime di concorrenza anche sul mercato elettrico</w:t>
      </w:r>
      <w:r w:rsidR="0052542B" w:rsidRPr="00C415F4">
        <w:rPr>
          <w:rFonts w:ascii="Arial" w:hAnsi="Arial" w:cs="Arial"/>
          <w:color w:val="000000"/>
          <w:sz w:val="24"/>
          <w:szCs w:val="24"/>
        </w:rPr>
        <w:t>”</w:t>
      </w:r>
      <w:r w:rsidR="00C415F4">
        <w:rPr>
          <w:rFonts w:ascii="Arial" w:hAnsi="Arial" w:cs="Arial"/>
          <w:color w:val="000000"/>
          <w:sz w:val="24"/>
          <w:szCs w:val="24"/>
        </w:rPr>
        <w:t>(</w:t>
      </w:r>
      <w:r w:rsidR="0052542B" w:rsidRPr="0056261A">
        <w:rPr>
          <w:rStyle w:val="Rimandonotaapidipagina"/>
          <w:rFonts w:ascii="Arial" w:hAnsi="Arial" w:cs="Arial"/>
          <w:color w:val="000000"/>
          <w:sz w:val="24"/>
          <w:szCs w:val="24"/>
        </w:rPr>
        <w:footnoteReference w:id="74"/>
      </w:r>
      <w:r w:rsidR="00C415F4">
        <w:rPr>
          <w:rFonts w:ascii="Arial" w:hAnsi="Arial" w:cs="Arial"/>
          <w:color w:val="000000"/>
          <w:sz w:val="24"/>
          <w:szCs w:val="24"/>
        </w:rPr>
        <w:t>)</w:t>
      </w:r>
      <w:r w:rsidR="0052542B" w:rsidRPr="0056261A">
        <w:rPr>
          <w:rFonts w:ascii="Arial" w:hAnsi="Arial" w:cs="Arial"/>
          <w:color w:val="000000"/>
          <w:sz w:val="24"/>
          <w:szCs w:val="24"/>
        </w:rPr>
        <w:t>.</w:t>
      </w:r>
      <w:r w:rsidR="00FF3010" w:rsidRPr="0056261A">
        <w:rPr>
          <w:rFonts w:ascii="Arial" w:hAnsi="Arial" w:cs="Arial"/>
          <w:color w:val="000000"/>
          <w:sz w:val="24"/>
          <w:szCs w:val="24"/>
        </w:rPr>
        <w:t xml:space="preserve"> Difatti, tra i costi da reintegrare non vi sono soltanto quel</w:t>
      </w:r>
      <w:r w:rsidR="00207D9A" w:rsidRPr="0056261A">
        <w:rPr>
          <w:rFonts w:ascii="Arial" w:hAnsi="Arial" w:cs="Arial"/>
          <w:color w:val="000000"/>
          <w:sz w:val="24"/>
          <w:szCs w:val="24"/>
        </w:rPr>
        <w:t>li legati al</w:t>
      </w:r>
      <w:r w:rsidR="00FF3010" w:rsidRPr="0056261A">
        <w:rPr>
          <w:rFonts w:ascii="Arial" w:hAnsi="Arial" w:cs="Arial"/>
          <w:color w:val="000000"/>
          <w:sz w:val="24"/>
          <w:szCs w:val="24"/>
        </w:rPr>
        <w:t xml:space="preserve"> mancato acquisto dei certificati</w:t>
      </w:r>
      <w:r w:rsidR="00207D9A" w:rsidRPr="0056261A">
        <w:rPr>
          <w:rFonts w:ascii="Arial" w:hAnsi="Arial" w:cs="Arial"/>
          <w:color w:val="000000"/>
          <w:sz w:val="24"/>
          <w:szCs w:val="24"/>
        </w:rPr>
        <w:t>, ma</w:t>
      </w:r>
      <w:r w:rsidRPr="0056261A">
        <w:rPr>
          <w:rFonts w:ascii="Arial" w:hAnsi="Arial" w:cs="Arial"/>
          <w:color w:val="000000"/>
          <w:sz w:val="24"/>
          <w:szCs w:val="24"/>
        </w:rPr>
        <w:t xml:space="preserve"> anche quelli</w:t>
      </w:r>
      <w:r w:rsidR="00207D9A" w:rsidRPr="0056261A">
        <w:rPr>
          <w:rFonts w:ascii="Arial" w:hAnsi="Arial" w:cs="Arial"/>
          <w:color w:val="000000"/>
          <w:sz w:val="24"/>
          <w:szCs w:val="24"/>
        </w:rPr>
        <w:t xml:space="preserve"> generali che il sistema ha dovuto sostenere; oltretutto non è chiaro se le finalità di deterrenza possano essere </w:t>
      </w:r>
      <w:r w:rsidR="00207D9A" w:rsidRPr="0056261A">
        <w:rPr>
          <w:rFonts w:ascii="Arial" w:hAnsi="Arial" w:cs="Arial"/>
          <w:i/>
          <w:color w:val="000000"/>
          <w:sz w:val="24"/>
          <w:szCs w:val="24"/>
        </w:rPr>
        <w:t>sic et simpliciter</w:t>
      </w:r>
      <w:r w:rsidR="00207D9A" w:rsidRPr="0056261A">
        <w:rPr>
          <w:rFonts w:ascii="Arial" w:hAnsi="Arial" w:cs="Arial"/>
          <w:color w:val="000000"/>
          <w:sz w:val="24"/>
          <w:szCs w:val="24"/>
        </w:rPr>
        <w:t xml:space="preserve"> identificate con l’afflizione o la punizione in senso stretto, visto che in determinati settori le norme hanno anche lo scopo di indurre gli operatori a comportamenti virtuosi per evitare problemi di sostenibilità e di efficienza del sistema complessivo</w:t>
      </w:r>
      <w:r w:rsidR="00C415F4">
        <w:rPr>
          <w:rFonts w:ascii="Arial" w:hAnsi="Arial" w:cs="Arial"/>
          <w:color w:val="000000"/>
          <w:sz w:val="24"/>
          <w:szCs w:val="24"/>
        </w:rPr>
        <w:t>(</w:t>
      </w:r>
      <w:r w:rsidR="00207D9A" w:rsidRPr="0056261A">
        <w:rPr>
          <w:rStyle w:val="Rimandonotaapidipagina"/>
          <w:rFonts w:ascii="Arial" w:hAnsi="Arial" w:cs="Arial"/>
          <w:color w:val="000000"/>
          <w:sz w:val="24"/>
          <w:szCs w:val="24"/>
        </w:rPr>
        <w:footnoteReference w:id="75"/>
      </w:r>
      <w:r w:rsidR="00C415F4">
        <w:rPr>
          <w:rFonts w:ascii="Arial" w:hAnsi="Arial" w:cs="Arial"/>
          <w:color w:val="000000"/>
          <w:sz w:val="24"/>
          <w:szCs w:val="24"/>
        </w:rPr>
        <w:t>)</w:t>
      </w:r>
      <w:r w:rsidR="00207D9A" w:rsidRPr="0056261A">
        <w:rPr>
          <w:rFonts w:ascii="Arial" w:hAnsi="Arial" w:cs="Arial"/>
          <w:color w:val="000000"/>
          <w:sz w:val="24"/>
          <w:szCs w:val="24"/>
        </w:rPr>
        <w:t>.</w:t>
      </w:r>
    </w:p>
    <w:p w:rsidR="00FF3010" w:rsidRPr="0056261A" w:rsidRDefault="00E27414" w:rsidP="00C415F4">
      <w:pPr>
        <w:spacing w:after="0"/>
        <w:jc w:val="both"/>
        <w:rPr>
          <w:rFonts w:ascii="Arial" w:hAnsi="Arial" w:cs="Arial"/>
          <w:color w:val="000000"/>
          <w:sz w:val="24"/>
          <w:szCs w:val="24"/>
        </w:rPr>
      </w:pPr>
      <w:r w:rsidRPr="0056261A">
        <w:rPr>
          <w:rFonts w:ascii="Arial" w:hAnsi="Arial" w:cs="Arial"/>
          <w:color w:val="000000"/>
          <w:sz w:val="24"/>
          <w:szCs w:val="24"/>
        </w:rPr>
        <w:t xml:space="preserve">In ogni caso, la scelta di </w:t>
      </w:r>
      <w:r w:rsidR="00315289" w:rsidRPr="0056261A">
        <w:rPr>
          <w:rFonts w:ascii="Arial" w:hAnsi="Arial" w:cs="Arial"/>
          <w:color w:val="000000"/>
          <w:sz w:val="24"/>
          <w:szCs w:val="24"/>
        </w:rPr>
        <w:t xml:space="preserve">frazionare </w:t>
      </w:r>
      <w:r w:rsidRPr="0056261A">
        <w:rPr>
          <w:rFonts w:ascii="Arial" w:hAnsi="Arial" w:cs="Arial"/>
          <w:color w:val="000000"/>
          <w:sz w:val="24"/>
          <w:szCs w:val="24"/>
        </w:rPr>
        <w:t xml:space="preserve">la sanzione in una pluralità di parti e verificare, rispetto alle stesse, singolarmente considerate, il rispetto dei criteri stabiliti in sede sovranazionale dalla Corte EDU, se da un lato appare più rispettosa della giurisprudenza di tale organo, dall’altra pone </w:t>
      </w:r>
      <w:r w:rsidR="002F4C8F" w:rsidRPr="0056261A">
        <w:rPr>
          <w:rFonts w:ascii="Arial" w:hAnsi="Arial" w:cs="Arial"/>
          <w:color w:val="000000"/>
          <w:sz w:val="24"/>
          <w:szCs w:val="24"/>
        </w:rPr>
        <w:t xml:space="preserve">non poche </w:t>
      </w:r>
      <w:r w:rsidRPr="0056261A">
        <w:rPr>
          <w:rFonts w:ascii="Arial" w:hAnsi="Arial" w:cs="Arial"/>
          <w:color w:val="000000"/>
          <w:sz w:val="24"/>
          <w:szCs w:val="24"/>
        </w:rPr>
        <w:t xml:space="preserve">problematiche in ordine alla scomposizione, necessariamente artificiosa e in alcuni casi operata </w:t>
      </w:r>
      <w:r w:rsidRPr="0056261A">
        <w:rPr>
          <w:rFonts w:ascii="Arial" w:hAnsi="Arial" w:cs="Arial"/>
          <w:i/>
          <w:color w:val="000000"/>
          <w:sz w:val="24"/>
          <w:szCs w:val="24"/>
        </w:rPr>
        <w:t>ex post</w:t>
      </w:r>
      <w:r w:rsidRPr="0056261A">
        <w:rPr>
          <w:rFonts w:ascii="Arial" w:hAnsi="Arial" w:cs="Arial"/>
          <w:color w:val="000000"/>
          <w:sz w:val="24"/>
          <w:szCs w:val="24"/>
        </w:rPr>
        <w:t>, ossia in sede giurisdizionale, di un fenomeno che nasce come unitario e rischia di essere travisato nella sua essenza e nella sua configurazione. A seguire un tale indirizzo</w:t>
      </w:r>
      <w:r w:rsidR="002F4C8F" w:rsidRPr="0056261A">
        <w:rPr>
          <w:rFonts w:ascii="Arial" w:hAnsi="Arial" w:cs="Arial"/>
          <w:color w:val="000000"/>
          <w:sz w:val="24"/>
          <w:szCs w:val="24"/>
        </w:rPr>
        <w:t>,</w:t>
      </w:r>
      <w:r w:rsidRPr="0056261A">
        <w:rPr>
          <w:rFonts w:ascii="Arial" w:hAnsi="Arial" w:cs="Arial"/>
          <w:color w:val="000000"/>
          <w:sz w:val="24"/>
          <w:szCs w:val="24"/>
        </w:rPr>
        <w:t xml:space="preserve"> </w:t>
      </w:r>
      <w:r w:rsidR="002F4C8F" w:rsidRPr="0056261A">
        <w:rPr>
          <w:rFonts w:ascii="Arial" w:hAnsi="Arial" w:cs="Arial"/>
          <w:color w:val="000000"/>
          <w:sz w:val="24"/>
          <w:szCs w:val="24"/>
        </w:rPr>
        <w:t xml:space="preserve">potrebbe rivelarsi </w:t>
      </w:r>
      <w:r w:rsidRPr="0056261A">
        <w:rPr>
          <w:rFonts w:ascii="Arial" w:hAnsi="Arial" w:cs="Arial"/>
          <w:color w:val="000000"/>
          <w:sz w:val="24"/>
          <w:szCs w:val="24"/>
        </w:rPr>
        <w:t xml:space="preserve">complicato trovare una soluzione </w:t>
      </w:r>
      <w:r w:rsidRPr="00C415F4">
        <w:rPr>
          <w:rFonts w:ascii="Arial" w:hAnsi="Arial" w:cs="Arial"/>
          <w:color w:val="000000"/>
          <w:sz w:val="24"/>
          <w:szCs w:val="24"/>
        </w:rPr>
        <w:t xml:space="preserve">“corretta” </w:t>
      </w:r>
      <w:r w:rsidRPr="0056261A">
        <w:rPr>
          <w:rFonts w:ascii="Arial" w:hAnsi="Arial" w:cs="Arial"/>
          <w:color w:val="000000"/>
          <w:sz w:val="24"/>
          <w:szCs w:val="24"/>
        </w:rPr>
        <w:t>da un punto di vista del sistema complessiv</w:t>
      </w:r>
      <w:r w:rsidR="002F4C8F" w:rsidRPr="0056261A">
        <w:rPr>
          <w:rFonts w:ascii="Arial" w:hAnsi="Arial" w:cs="Arial"/>
          <w:color w:val="000000"/>
          <w:sz w:val="24"/>
          <w:szCs w:val="24"/>
        </w:rPr>
        <w:t>amente inteso</w:t>
      </w:r>
      <w:r w:rsidRPr="0056261A">
        <w:rPr>
          <w:rFonts w:ascii="Arial" w:hAnsi="Arial" w:cs="Arial"/>
          <w:color w:val="000000"/>
          <w:sz w:val="24"/>
          <w:szCs w:val="24"/>
        </w:rPr>
        <w:t xml:space="preserve">, laddove, ad esempio, vi sia stata una abrogazione della sanzione amministrativa successivamente alla commissione del fatto illecito </w:t>
      </w:r>
      <w:r w:rsidR="002F4C8F" w:rsidRPr="0056261A">
        <w:rPr>
          <w:rFonts w:ascii="Arial" w:hAnsi="Arial" w:cs="Arial"/>
          <w:color w:val="000000"/>
          <w:sz w:val="24"/>
          <w:szCs w:val="24"/>
        </w:rPr>
        <w:t xml:space="preserve">a procedimento non </w:t>
      </w:r>
      <w:r w:rsidRPr="0056261A">
        <w:rPr>
          <w:rFonts w:ascii="Arial" w:hAnsi="Arial" w:cs="Arial"/>
          <w:color w:val="000000"/>
          <w:sz w:val="24"/>
          <w:szCs w:val="24"/>
        </w:rPr>
        <w:t>ancora concluso</w:t>
      </w:r>
      <w:r w:rsidR="00C415F4">
        <w:rPr>
          <w:rFonts w:ascii="Arial" w:hAnsi="Arial" w:cs="Arial"/>
          <w:color w:val="000000"/>
          <w:sz w:val="24"/>
          <w:szCs w:val="24"/>
        </w:rPr>
        <w:t>(</w:t>
      </w:r>
      <w:r w:rsidR="003141B0" w:rsidRPr="0056261A">
        <w:rPr>
          <w:rStyle w:val="Rimandonotaapidipagina"/>
          <w:rFonts w:ascii="Arial" w:hAnsi="Arial" w:cs="Arial"/>
          <w:color w:val="000000"/>
          <w:sz w:val="24"/>
          <w:szCs w:val="24"/>
        </w:rPr>
        <w:footnoteReference w:id="76"/>
      </w:r>
      <w:r w:rsidR="00C415F4">
        <w:rPr>
          <w:rFonts w:ascii="Arial" w:hAnsi="Arial" w:cs="Arial"/>
          <w:color w:val="000000"/>
          <w:sz w:val="24"/>
          <w:szCs w:val="24"/>
        </w:rPr>
        <w:t>)</w:t>
      </w:r>
      <w:r w:rsidRPr="0056261A">
        <w:rPr>
          <w:rFonts w:ascii="Arial" w:hAnsi="Arial" w:cs="Arial"/>
          <w:color w:val="000000"/>
          <w:sz w:val="24"/>
          <w:szCs w:val="24"/>
        </w:rPr>
        <w:t>.</w:t>
      </w:r>
    </w:p>
    <w:p w:rsidR="00E039D1" w:rsidRPr="0056261A" w:rsidRDefault="00675365" w:rsidP="00C415F4">
      <w:pPr>
        <w:spacing w:after="0"/>
        <w:jc w:val="both"/>
        <w:rPr>
          <w:rFonts w:ascii="Arial" w:hAnsi="Arial" w:cs="Arial"/>
          <w:color w:val="000000"/>
          <w:sz w:val="24"/>
          <w:szCs w:val="24"/>
        </w:rPr>
      </w:pPr>
      <w:r w:rsidRPr="0056261A">
        <w:rPr>
          <w:rFonts w:ascii="Arial" w:hAnsi="Arial" w:cs="Arial"/>
          <w:color w:val="000000"/>
          <w:sz w:val="24"/>
          <w:szCs w:val="24"/>
        </w:rPr>
        <w:t>Un altro ambito sanzionatorio di particolare rilievo è quello relativo al servizio di dispacciamento dell’energi</w:t>
      </w:r>
      <w:r w:rsidR="00677141" w:rsidRPr="0056261A">
        <w:rPr>
          <w:rFonts w:ascii="Arial" w:hAnsi="Arial" w:cs="Arial"/>
          <w:color w:val="000000"/>
          <w:sz w:val="24"/>
          <w:szCs w:val="24"/>
        </w:rPr>
        <w:t>a</w:t>
      </w:r>
      <w:r w:rsidRPr="0056261A">
        <w:rPr>
          <w:rFonts w:ascii="Arial" w:hAnsi="Arial" w:cs="Arial"/>
          <w:color w:val="000000"/>
          <w:sz w:val="24"/>
          <w:szCs w:val="24"/>
        </w:rPr>
        <w:t xml:space="preserve"> el</w:t>
      </w:r>
      <w:r w:rsidR="00677141" w:rsidRPr="0056261A">
        <w:rPr>
          <w:rFonts w:ascii="Arial" w:hAnsi="Arial" w:cs="Arial"/>
          <w:color w:val="000000"/>
          <w:sz w:val="24"/>
          <w:szCs w:val="24"/>
        </w:rPr>
        <w:t>et</w:t>
      </w:r>
      <w:r w:rsidRPr="0056261A">
        <w:rPr>
          <w:rFonts w:ascii="Arial" w:hAnsi="Arial" w:cs="Arial"/>
          <w:color w:val="000000"/>
          <w:sz w:val="24"/>
          <w:szCs w:val="24"/>
        </w:rPr>
        <w:t>trica</w:t>
      </w:r>
      <w:r w:rsidR="00290D77">
        <w:rPr>
          <w:rFonts w:ascii="Arial" w:hAnsi="Arial" w:cs="Arial"/>
          <w:color w:val="000000"/>
          <w:sz w:val="24"/>
          <w:szCs w:val="24"/>
        </w:rPr>
        <w:t>(</w:t>
      </w:r>
      <w:r w:rsidR="00677141" w:rsidRPr="0056261A">
        <w:rPr>
          <w:rStyle w:val="Rimandonotaapidipagina"/>
          <w:rFonts w:ascii="Arial" w:hAnsi="Arial" w:cs="Arial"/>
          <w:color w:val="000000"/>
          <w:sz w:val="24"/>
          <w:szCs w:val="24"/>
        </w:rPr>
        <w:footnoteReference w:id="77"/>
      </w:r>
      <w:r w:rsidR="00290D77">
        <w:rPr>
          <w:rFonts w:ascii="Arial" w:hAnsi="Arial" w:cs="Arial"/>
          <w:color w:val="000000"/>
          <w:sz w:val="24"/>
          <w:szCs w:val="24"/>
        </w:rPr>
        <w:t>)</w:t>
      </w:r>
      <w:r w:rsidR="00677141" w:rsidRPr="0056261A">
        <w:rPr>
          <w:rFonts w:ascii="Arial" w:hAnsi="Arial" w:cs="Arial"/>
          <w:color w:val="000000"/>
          <w:sz w:val="24"/>
          <w:szCs w:val="24"/>
        </w:rPr>
        <w:t>.</w:t>
      </w:r>
      <w:r w:rsidRPr="0056261A">
        <w:rPr>
          <w:rFonts w:ascii="Arial" w:hAnsi="Arial" w:cs="Arial"/>
          <w:color w:val="000000"/>
          <w:sz w:val="24"/>
          <w:szCs w:val="24"/>
        </w:rPr>
        <w:t xml:space="preserve"> </w:t>
      </w:r>
      <w:r w:rsidR="008717F5" w:rsidRPr="0056261A">
        <w:rPr>
          <w:rFonts w:ascii="Arial" w:hAnsi="Arial" w:cs="Arial"/>
          <w:color w:val="000000"/>
          <w:sz w:val="24"/>
          <w:szCs w:val="24"/>
        </w:rPr>
        <w:t>L’Autorità, a fronte di plurimi abusi nel mercato del dispacciamento, è intervenuta per detta</w:t>
      </w:r>
      <w:r w:rsidR="00C67431" w:rsidRPr="0056261A">
        <w:rPr>
          <w:rFonts w:ascii="Arial" w:hAnsi="Arial" w:cs="Arial"/>
          <w:color w:val="000000"/>
          <w:sz w:val="24"/>
          <w:szCs w:val="24"/>
        </w:rPr>
        <w:t>r</w:t>
      </w:r>
      <w:r w:rsidR="008717F5" w:rsidRPr="0056261A">
        <w:rPr>
          <w:rFonts w:ascii="Arial" w:hAnsi="Arial" w:cs="Arial"/>
          <w:color w:val="000000"/>
          <w:sz w:val="24"/>
          <w:szCs w:val="24"/>
        </w:rPr>
        <w:t xml:space="preserve">e misure di tipo ripristinatorio, attraverso provvedimenti prescrittivi, imponendo agli operatori che hanno </w:t>
      </w:r>
      <w:r w:rsidR="00315289" w:rsidRPr="0056261A">
        <w:rPr>
          <w:rFonts w:ascii="Arial" w:hAnsi="Arial" w:cs="Arial"/>
          <w:color w:val="000000"/>
          <w:sz w:val="24"/>
          <w:szCs w:val="24"/>
        </w:rPr>
        <w:t xml:space="preserve">provocato uno </w:t>
      </w:r>
      <w:r w:rsidR="008717F5" w:rsidRPr="0056261A">
        <w:rPr>
          <w:rFonts w:ascii="Arial" w:hAnsi="Arial" w:cs="Arial"/>
          <w:color w:val="000000"/>
          <w:sz w:val="24"/>
          <w:szCs w:val="24"/>
        </w:rPr>
        <w:t>sbilancia</w:t>
      </w:r>
      <w:r w:rsidR="00315289" w:rsidRPr="0056261A">
        <w:rPr>
          <w:rFonts w:ascii="Arial" w:hAnsi="Arial" w:cs="Arial"/>
          <w:color w:val="000000"/>
          <w:sz w:val="24"/>
          <w:szCs w:val="24"/>
        </w:rPr>
        <w:t>men</w:t>
      </w:r>
      <w:r w:rsidR="008717F5" w:rsidRPr="0056261A">
        <w:rPr>
          <w:rFonts w:ascii="Arial" w:hAnsi="Arial" w:cs="Arial"/>
          <w:color w:val="000000"/>
          <w:sz w:val="24"/>
          <w:szCs w:val="24"/>
        </w:rPr>
        <w:t xml:space="preserve">to la restituzione delle somme indebitamente percepite. Accanto all’adozione di atti prescrittivi e/o di misure di regolazione asimmetrica, in alcuni casi si è proceduto anche ad avviare un </w:t>
      </w:r>
      <w:r w:rsidR="002F4C8F" w:rsidRPr="0056261A">
        <w:rPr>
          <w:rFonts w:ascii="Arial" w:hAnsi="Arial" w:cs="Arial"/>
          <w:color w:val="000000"/>
          <w:sz w:val="24"/>
          <w:szCs w:val="24"/>
        </w:rPr>
        <w:t xml:space="preserve">parallelo </w:t>
      </w:r>
      <w:r w:rsidR="008717F5" w:rsidRPr="0056261A">
        <w:rPr>
          <w:rFonts w:ascii="Arial" w:hAnsi="Arial" w:cs="Arial"/>
          <w:color w:val="000000"/>
          <w:sz w:val="24"/>
          <w:szCs w:val="24"/>
        </w:rPr>
        <w:t xml:space="preserve">procedimento sanzionatorio, </w:t>
      </w:r>
      <w:r w:rsidR="00255535" w:rsidRPr="0056261A">
        <w:rPr>
          <w:rFonts w:ascii="Arial" w:hAnsi="Arial" w:cs="Arial"/>
          <w:color w:val="000000"/>
          <w:sz w:val="24"/>
          <w:szCs w:val="24"/>
        </w:rPr>
        <w:t>al c</w:t>
      </w:r>
      <w:r w:rsidR="008717F5" w:rsidRPr="0056261A">
        <w:rPr>
          <w:rFonts w:ascii="Arial" w:hAnsi="Arial" w:cs="Arial"/>
          <w:color w:val="000000"/>
          <w:sz w:val="24"/>
          <w:szCs w:val="24"/>
        </w:rPr>
        <w:t xml:space="preserve">ui </w:t>
      </w:r>
      <w:r w:rsidR="00255535" w:rsidRPr="0056261A">
        <w:rPr>
          <w:rFonts w:ascii="Arial" w:hAnsi="Arial" w:cs="Arial"/>
          <w:color w:val="000000"/>
          <w:sz w:val="24"/>
          <w:szCs w:val="24"/>
        </w:rPr>
        <w:t xml:space="preserve">esito </w:t>
      </w:r>
      <w:r w:rsidR="008717F5" w:rsidRPr="0056261A">
        <w:rPr>
          <w:rFonts w:ascii="Arial" w:hAnsi="Arial" w:cs="Arial"/>
          <w:color w:val="000000"/>
          <w:sz w:val="24"/>
          <w:szCs w:val="24"/>
        </w:rPr>
        <w:t>è stato ingiunto il pagamento di un’ulteriore somma di denaro rispetto a quanto già stabilito con il provvedimento assunto in sede prescrittiva.</w:t>
      </w:r>
    </w:p>
    <w:p w:rsidR="00255535" w:rsidRPr="0056261A" w:rsidRDefault="00255535" w:rsidP="00290D77">
      <w:pPr>
        <w:spacing w:after="0"/>
        <w:jc w:val="both"/>
        <w:rPr>
          <w:rFonts w:ascii="Arial" w:hAnsi="Arial" w:cs="Arial"/>
          <w:color w:val="000000"/>
          <w:sz w:val="24"/>
          <w:szCs w:val="24"/>
        </w:rPr>
      </w:pPr>
      <w:r w:rsidRPr="0056261A">
        <w:rPr>
          <w:rFonts w:ascii="Arial" w:hAnsi="Arial" w:cs="Arial"/>
          <w:color w:val="000000"/>
          <w:sz w:val="24"/>
          <w:szCs w:val="24"/>
        </w:rPr>
        <w:t>Sia in sede sanzionatoria vera e propria</w:t>
      </w:r>
      <w:r w:rsidR="002F4C8F" w:rsidRPr="0056261A">
        <w:rPr>
          <w:rFonts w:ascii="Arial" w:hAnsi="Arial" w:cs="Arial"/>
          <w:color w:val="000000"/>
          <w:sz w:val="24"/>
          <w:szCs w:val="24"/>
        </w:rPr>
        <w:t>,</w:t>
      </w:r>
      <w:r w:rsidRPr="0056261A">
        <w:rPr>
          <w:rFonts w:ascii="Arial" w:hAnsi="Arial" w:cs="Arial"/>
          <w:color w:val="000000"/>
          <w:sz w:val="24"/>
          <w:szCs w:val="24"/>
        </w:rPr>
        <w:t xml:space="preserve"> che in sede prescrittiva sono emersi al</w:t>
      </w:r>
      <w:r w:rsidR="002F4C8F" w:rsidRPr="0056261A">
        <w:rPr>
          <w:rFonts w:ascii="Arial" w:hAnsi="Arial" w:cs="Arial"/>
          <w:color w:val="000000"/>
          <w:sz w:val="24"/>
          <w:szCs w:val="24"/>
        </w:rPr>
        <w:t xml:space="preserve">cuni </w:t>
      </w:r>
      <w:r w:rsidRPr="0056261A">
        <w:rPr>
          <w:rFonts w:ascii="Arial" w:hAnsi="Arial" w:cs="Arial"/>
          <w:color w:val="000000"/>
          <w:sz w:val="24"/>
          <w:szCs w:val="24"/>
        </w:rPr>
        <w:t>aspetti che appaiono di sicuro rilievo per l’argomento trattato nella presente sede.</w:t>
      </w:r>
    </w:p>
    <w:p w:rsidR="00255535" w:rsidRPr="0056261A" w:rsidRDefault="00255535" w:rsidP="00290D77">
      <w:pPr>
        <w:spacing w:after="0"/>
        <w:jc w:val="both"/>
        <w:rPr>
          <w:rFonts w:ascii="Arial" w:hAnsi="Arial" w:cs="Arial"/>
          <w:color w:val="000000"/>
          <w:sz w:val="24"/>
          <w:szCs w:val="24"/>
        </w:rPr>
      </w:pPr>
      <w:r w:rsidRPr="0056261A">
        <w:rPr>
          <w:rFonts w:ascii="Arial" w:hAnsi="Arial" w:cs="Arial"/>
          <w:color w:val="000000"/>
          <w:sz w:val="24"/>
          <w:szCs w:val="24"/>
        </w:rPr>
        <w:t>Un primo elemento preso in considerazione dalla giurisprudenza è quello legato alla violazione dei principi di deter</w:t>
      </w:r>
      <w:r w:rsidR="002F4C8F" w:rsidRPr="0056261A">
        <w:rPr>
          <w:rFonts w:ascii="Arial" w:hAnsi="Arial" w:cs="Arial"/>
          <w:color w:val="000000"/>
          <w:sz w:val="24"/>
          <w:szCs w:val="24"/>
        </w:rPr>
        <w:t>minatezza e di tassatività delle</w:t>
      </w:r>
      <w:r w:rsidRPr="0056261A">
        <w:rPr>
          <w:rFonts w:ascii="Arial" w:hAnsi="Arial" w:cs="Arial"/>
          <w:color w:val="000000"/>
          <w:sz w:val="24"/>
          <w:szCs w:val="24"/>
        </w:rPr>
        <w:t xml:space="preserve"> prevision</w:t>
      </w:r>
      <w:r w:rsidR="002F4C8F" w:rsidRPr="0056261A">
        <w:rPr>
          <w:rFonts w:ascii="Arial" w:hAnsi="Arial" w:cs="Arial"/>
          <w:color w:val="000000"/>
          <w:sz w:val="24"/>
          <w:szCs w:val="24"/>
        </w:rPr>
        <w:t>i</w:t>
      </w:r>
      <w:r w:rsidRPr="0056261A">
        <w:rPr>
          <w:rFonts w:ascii="Arial" w:hAnsi="Arial" w:cs="Arial"/>
          <w:color w:val="000000"/>
          <w:sz w:val="24"/>
          <w:szCs w:val="24"/>
        </w:rPr>
        <w:t xml:space="preserve"> post</w:t>
      </w:r>
      <w:r w:rsidR="002F4C8F" w:rsidRPr="0056261A">
        <w:rPr>
          <w:rFonts w:ascii="Arial" w:hAnsi="Arial" w:cs="Arial"/>
          <w:color w:val="000000"/>
          <w:sz w:val="24"/>
          <w:szCs w:val="24"/>
        </w:rPr>
        <w:t>e</w:t>
      </w:r>
      <w:r w:rsidRPr="0056261A">
        <w:rPr>
          <w:rFonts w:ascii="Arial" w:hAnsi="Arial" w:cs="Arial"/>
          <w:color w:val="000000"/>
          <w:sz w:val="24"/>
          <w:szCs w:val="24"/>
        </w:rPr>
        <w:t xml:space="preserve"> alla base dei provvedimenti dell’Autorità</w:t>
      </w:r>
      <w:r w:rsidR="00290D77">
        <w:rPr>
          <w:rFonts w:ascii="Arial" w:hAnsi="Arial" w:cs="Arial"/>
          <w:color w:val="000000"/>
          <w:sz w:val="24"/>
          <w:szCs w:val="24"/>
        </w:rPr>
        <w:t>(</w:t>
      </w:r>
      <w:r w:rsidR="007B7257" w:rsidRPr="0056261A">
        <w:rPr>
          <w:rStyle w:val="Rimandonotaapidipagina"/>
          <w:rFonts w:ascii="Arial" w:hAnsi="Arial" w:cs="Arial"/>
          <w:color w:val="000000"/>
          <w:sz w:val="24"/>
          <w:szCs w:val="24"/>
        </w:rPr>
        <w:footnoteReference w:id="78"/>
      </w:r>
      <w:r w:rsidR="00290D77">
        <w:rPr>
          <w:rFonts w:ascii="Arial" w:hAnsi="Arial" w:cs="Arial"/>
          <w:color w:val="000000"/>
          <w:sz w:val="24"/>
          <w:szCs w:val="24"/>
        </w:rPr>
        <w:t>)</w:t>
      </w:r>
      <w:r w:rsidRPr="0056261A">
        <w:rPr>
          <w:rFonts w:ascii="Arial" w:hAnsi="Arial" w:cs="Arial"/>
          <w:color w:val="000000"/>
          <w:sz w:val="24"/>
          <w:szCs w:val="24"/>
        </w:rPr>
        <w:t>. In effetti, a f</w:t>
      </w:r>
      <w:r w:rsidR="00AD5101" w:rsidRPr="0056261A">
        <w:rPr>
          <w:rFonts w:ascii="Arial" w:hAnsi="Arial" w:cs="Arial"/>
          <w:color w:val="000000"/>
          <w:sz w:val="24"/>
          <w:szCs w:val="24"/>
        </w:rPr>
        <w:t>r</w:t>
      </w:r>
      <w:r w:rsidRPr="0056261A">
        <w:rPr>
          <w:rFonts w:ascii="Arial" w:hAnsi="Arial" w:cs="Arial"/>
          <w:color w:val="000000"/>
          <w:sz w:val="24"/>
          <w:szCs w:val="24"/>
        </w:rPr>
        <w:t>onte di una previsione generica, con cui si è stabilito il divieto di sbilanciamenti volontari, si è proceduto a “</w:t>
      </w:r>
      <w:r w:rsidRPr="00290D77">
        <w:rPr>
          <w:rFonts w:ascii="Arial" w:hAnsi="Arial" w:cs="Arial"/>
          <w:color w:val="000000"/>
          <w:sz w:val="24"/>
          <w:szCs w:val="24"/>
        </w:rPr>
        <w:t>sanzionare”</w:t>
      </w:r>
      <w:r w:rsidRPr="0056261A">
        <w:rPr>
          <w:rFonts w:ascii="Arial" w:hAnsi="Arial" w:cs="Arial"/>
          <w:color w:val="000000"/>
          <w:sz w:val="24"/>
          <w:szCs w:val="24"/>
        </w:rPr>
        <w:t xml:space="preserve"> gli operatori </w:t>
      </w:r>
      <w:r w:rsidR="002F4C8F" w:rsidRPr="0056261A">
        <w:rPr>
          <w:rFonts w:ascii="Arial" w:hAnsi="Arial" w:cs="Arial"/>
          <w:color w:val="000000"/>
          <w:sz w:val="24"/>
          <w:szCs w:val="24"/>
        </w:rPr>
        <w:t xml:space="preserve">considerati </w:t>
      </w:r>
      <w:r w:rsidRPr="0056261A">
        <w:rPr>
          <w:rFonts w:ascii="Arial" w:hAnsi="Arial" w:cs="Arial"/>
          <w:color w:val="000000"/>
          <w:sz w:val="24"/>
          <w:szCs w:val="24"/>
        </w:rPr>
        <w:t>poco diligenti</w:t>
      </w:r>
      <w:r w:rsidR="00290D77">
        <w:rPr>
          <w:rFonts w:ascii="Arial" w:hAnsi="Arial" w:cs="Arial"/>
          <w:color w:val="000000"/>
          <w:sz w:val="24"/>
          <w:szCs w:val="24"/>
        </w:rPr>
        <w:t>(</w:t>
      </w:r>
      <w:r w:rsidR="00AD5101" w:rsidRPr="0056261A">
        <w:rPr>
          <w:rStyle w:val="Rimandonotaapidipagina"/>
          <w:rFonts w:ascii="Arial" w:hAnsi="Arial" w:cs="Arial"/>
          <w:color w:val="000000"/>
          <w:sz w:val="24"/>
          <w:szCs w:val="24"/>
        </w:rPr>
        <w:footnoteReference w:id="79"/>
      </w:r>
      <w:r w:rsidR="00290D77">
        <w:rPr>
          <w:rFonts w:ascii="Arial" w:hAnsi="Arial" w:cs="Arial"/>
          <w:color w:val="000000"/>
          <w:sz w:val="24"/>
          <w:szCs w:val="24"/>
        </w:rPr>
        <w:t>)</w:t>
      </w:r>
      <w:r w:rsidRPr="0056261A">
        <w:rPr>
          <w:rFonts w:ascii="Arial" w:hAnsi="Arial" w:cs="Arial"/>
          <w:color w:val="000000"/>
          <w:sz w:val="24"/>
          <w:szCs w:val="24"/>
        </w:rPr>
        <w:t>.</w:t>
      </w:r>
    </w:p>
    <w:p w:rsidR="00255535" w:rsidRPr="0056261A" w:rsidRDefault="00AD5101" w:rsidP="00290D77">
      <w:pPr>
        <w:spacing w:after="0"/>
        <w:jc w:val="both"/>
        <w:rPr>
          <w:rFonts w:ascii="Arial" w:hAnsi="Arial" w:cs="Arial"/>
          <w:color w:val="000000"/>
          <w:sz w:val="24"/>
          <w:szCs w:val="24"/>
        </w:rPr>
      </w:pPr>
      <w:r w:rsidRPr="0056261A">
        <w:rPr>
          <w:rFonts w:ascii="Arial" w:hAnsi="Arial" w:cs="Arial"/>
          <w:color w:val="000000"/>
          <w:sz w:val="24"/>
          <w:szCs w:val="24"/>
        </w:rPr>
        <w:t xml:space="preserve">In realtà, </w:t>
      </w:r>
      <w:r w:rsidR="002F4C8F" w:rsidRPr="0056261A">
        <w:rPr>
          <w:rFonts w:ascii="Arial" w:hAnsi="Arial" w:cs="Arial"/>
          <w:color w:val="000000"/>
          <w:sz w:val="24"/>
          <w:szCs w:val="24"/>
        </w:rPr>
        <w:t>la giurisprudenza ha</w:t>
      </w:r>
      <w:r w:rsidRPr="0056261A">
        <w:rPr>
          <w:rFonts w:ascii="Arial" w:hAnsi="Arial" w:cs="Arial"/>
          <w:color w:val="000000"/>
          <w:sz w:val="24"/>
          <w:szCs w:val="24"/>
        </w:rPr>
        <w:t xml:space="preserve"> ritenut</w:t>
      </w:r>
      <w:r w:rsidR="002F4C8F" w:rsidRPr="0056261A">
        <w:rPr>
          <w:rFonts w:ascii="Arial" w:hAnsi="Arial" w:cs="Arial"/>
          <w:color w:val="000000"/>
          <w:sz w:val="24"/>
          <w:szCs w:val="24"/>
        </w:rPr>
        <w:t>o</w:t>
      </w:r>
      <w:r w:rsidRPr="0056261A">
        <w:rPr>
          <w:rFonts w:ascii="Arial" w:hAnsi="Arial" w:cs="Arial"/>
          <w:color w:val="000000"/>
          <w:sz w:val="24"/>
          <w:szCs w:val="24"/>
        </w:rPr>
        <w:t xml:space="preserve"> insussistente la violazione </w:t>
      </w:r>
      <w:r w:rsidR="00315289" w:rsidRPr="0056261A">
        <w:rPr>
          <w:rFonts w:ascii="Arial" w:hAnsi="Arial" w:cs="Arial"/>
          <w:color w:val="000000"/>
          <w:sz w:val="24"/>
          <w:szCs w:val="24"/>
        </w:rPr>
        <w:t>di tali princ</w:t>
      </w:r>
      <w:r w:rsidR="00290D77">
        <w:rPr>
          <w:rFonts w:ascii="Arial" w:hAnsi="Arial" w:cs="Arial"/>
          <w:color w:val="000000"/>
          <w:sz w:val="24"/>
          <w:szCs w:val="24"/>
        </w:rPr>
        <w:t>ì</w:t>
      </w:r>
      <w:r w:rsidR="00315289" w:rsidRPr="0056261A">
        <w:rPr>
          <w:rFonts w:ascii="Arial" w:hAnsi="Arial" w:cs="Arial"/>
          <w:color w:val="000000"/>
          <w:sz w:val="24"/>
          <w:szCs w:val="24"/>
        </w:rPr>
        <w:t xml:space="preserve">pi, poiché </w:t>
      </w:r>
      <w:r w:rsidRPr="0056261A">
        <w:rPr>
          <w:rFonts w:ascii="Arial" w:hAnsi="Arial" w:cs="Arial"/>
          <w:color w:val="000000"/>
          <w:sz w:val="24"/>
          <w:szCs w:val="24"/>
        </w:rPr>
        <w:t>in presenza di “</w:t>
      </w:r>
      <w:r w:rsidR="00255535" w:rsidRPr="00290D77">
        <w:rPr>
          <w:rFonts w:ascii="Arial" w:hAnsi="Arial" w:cs="Arial"/>
          <w:color w:val="000000"/>
          <w:sz w:val="24"/>
          <w:szCs w:val="24"/>
        </w:rPr>
        <w:t xml:space="preserve">comportamenti non riconducibili a parametri rigidamente prefissati e soprattutto non individuabili </w:t>
      </w:r>
      <w:r w:rsidR="00255535" w:rsidRPr="00290D77">
        <w:rPr>
          <w:rFonts w:ascii="Arial" w:hAnsi="Arial" w:cs="Arial"/>
          <w:i/>
          <w:color w:val="000000"/>
          <w:sz w:val="24"/>
          <w:szCs w:val="24"/>
        </w:rPr>
        <w:t>ex ante</w:t>
      </w:r>
      <w:r w:rsidR="00255535" w:rsidRPr="00290D77">
        <w:rPr>
          <w:rFonts w:ascii="Arial" w:hAnsi="Arial" w:cs="Arial"/>
          <w:color w:val="000000"/>
          <w:sz w:val="24"/>
          <w:szCs w:val="24"/>
        </w:rPr>
        <w:t xml:space="preserve"> in maniera puntuale, ma identificabili volta per volta esclusivamente sulla base delle effettive condizioni del mercato dell’energia e della concreta attività posta in essere da operatori qualificati, non può assumersi come affetta da indeterminatezza, e quindi carente del requisito della tassatività, l’applicazione di clausole generali al fine di configurare delle condotte sanzionabili</w:t>
      </w:r>
      <w:r w:rsidRPr="00290D77">
        <w:rPr>
          <w:rFonts w:ascii="Arial" w:hAnsi="Arial" w:cs="Arial"/>
          <w:color w:val="000000"/>
          <w:sz w:val="24"/>
          <w:szCs w:val="24"/>
        </w:rPr>
        <w:t>”</w:t>
      </w:r>
      <w:r w:rsidR="00255535" w:rsidRPr="00290D77">
        <w:rPr>
          <w:rFonts w:ascii="Arial" w:hAnsi="Arial" w:cs="Arial"/>
          <w:color w:val="000000"/>
          <w:sz w:val="24"/>
          <w:szCs w:val="24"/>
        </w:rPr>
        <w:t>.</w:t>
      </w:r>
      <w:r w:rsidRPr="0056261A">
        <w:rPr>
          <w:rFonts w:ascii="Arial" w:hAnsi="Arial" w:cs="Arial"/>
          <w:color w:val="000000"/>
          <w:sz w:val="24"/>
          <w:szCs w:val="24"/>
        </w:rPr>
        <w:t xml:space="preserve"> A tal fine si è ritenuta sufficiente la possibilità di ricavare dal sistema l’esistenza di un</w:t>
      </w:r>
      <w:r w:rsidR="00255535" w:rsidRPr="0056261A">
        <w:rPr>
          <w:rFonts w:ascii="Arial" w:hAnsi="Arial" w:cs="Arial"/>
          <w:color w:val="000000"/>
          <w:sz w:val="24"/>
          <w:szCs w:val="24"/>
        </w:rPr>
        <w:t xml:space="preserve"> divieto di sbilanciame</w:t>
      </w:r>
      <w:r w:rsidRPr="0056261A">
        <w:rPr>
          <w:rFonts w:ascii="Arial" w:hAnsi="Arial" w:cs="Arial"/>
          <w:color w:val="000000"/>
          <w:sz w:val="24"/>
          <w:szCs w:val="24"/>
        </w:rPr>
        <w:t>nto</w:t>
      </w:r>
      <w:r w:rsidR="00290D77">
        <w:rPr>
          <w:rFonts w:ascii="Arial" w:hAnsi="Arial" w:cs="Arial"/>
          <w:color w:val="000000"/>
          <w:sz w:val="24"/>
          <w:szCs w:val="24"/>
        </w:rPr>
        <w:t>(</w:t>
      </w:r>
      <w:r w:rsidRPr="0056261A">
        <w:rPr>
          <w:rStyle w:val="Rimandonotaapidipagina"/>
          <w:rFonts w:ascii="Arial" w:hAnsi="Arial" w:cs="Arial"/>
          <w:color w:val="000000"/>
          <w:sz w:val="24"/>
          <w:szCs w:val="24"/>
        </w:rPr>
        <w:footnoteReference w:id="80"/>
      </w:r>
      <w:r w:rsidR="00290D77">
        <w:rPr>
          <w:rFonts w:ascii="Arial" w:hAnsi="Arial" w:cs="Arial"/>
          <w:color w:val="000000"/>
          <w:sz w:val="24"/>
          <w:szCs w:val="24"/>
        </w:rPr>
        <w:t>)</w:t>
      </w:r>
      <w:r w:rsidR="00255535" w:rsidRPr="0056261A">
        <w:rPr>
          <w:rFonts w:ascii="Arial" w:hAnsi="Arial" w:cs="Arial"/>
          <w:color w:val="000000"/>
          <w:sz w:val="24"/>
          <w:szCs w:val="24"/>
        </w:rPr>
        <w:t>.</w:t>
      </w:r>
    </w:p>
    <w:p w:rsidR="00255535" w:rsidRPr="0056261A" w:rsidRDefault="00AD5101" w:rsidP="00290D77">
      <w:pPr>
        <w:spacing w:after="0"/>
        <w:jc w:val="both"/>
        <w:rPr>
          <w:rFonts w:ascii="Arial" w:hAnsi="Arial" w:cs="Arial"/>
          <w:color w:val="000000"/>
          <w:sz w:val="24"/>
          <w:szCs w:val="24"/>
        </w:rPr>
      </w:pPr>
      <w:r w:rsidRPr="0056261A">
        <w:rPr>
          <w:rFonts w:ascii="Arial" w:hAnsi="Arial" w:cs="Arial"/>
          <w:color w:val="000000"/>
          <w:sz w:val="24"/>
          <w:szCs w:val="24"/>
        </w:rPr>
        <w:t xml:space="preserve">Più nello specifico si è evidenziato come </w:t>
      </w:r>
      <w:r w:rsidR="009B3AB6" w:rsidRPr="0056261A">
        <w:rPr>
          <w:rFonts w:ascii="Arial" w:hAnsi="Arial" w:cs="Arial"/>
          <w:color w:val="000000"/>
          <w:sz w:val="24"/>
          <w:szCs w:val="24"/>
        </w:rPr>
        <w:t>non risulti</w:t>
      </w:r>
      <w:r w:rsidRPr="0056261A">
        <w:rPr>
          <w:rFonts w:ascii="Arial" w:hAnsi="Arial" w:cs="Arial"/>
          <w:color w:val="000000"/>
          <w:sz w:val="24"/>
          <w:szCs w:val="24"/>
        </w:rPr>
        <w:t xml:space="preserve"> “</w:t>
      </w:r>
      <w:r w:rsidR="00255535" w:rsidRPr="00290D77">
        <w:rPr>
          <w:rFonts w:ascii="Arial" w:hAnsi="Arial" w:cs="Arial"/>
          <w:color w:val="000000"/>
          <w:sz w:val="24"/>
          <w:szCs w:val="24"/>
        </w:rPr>
        <w:t>sussistente l’eccepita genericità della previsione – in ragione del riferimento ai princ</w:t>
      </w:r>
      <w:r w:rsidR="00290D77">
        <w:rPr>
          <w:rFonts w:ascii="Arial" w:hAnsi="Arial" w:cs="Arial"/>
          <w:color w:val="000000"/>
          <w:sz w:val="24"/>
          <w:szCs w:val="24"/>
        </w:rPr>
        <w:t>ì</w:t>
      </w:r>
      <w:r w:rsidR="00255535" w:rsidRPr="00290D77">
        <w:rPr>
          <w:rFonts w:ascii="Arial" w:hAnsi="Arial" w:cs="Arial"/>
          <w:color w:val="000000"/>
          <w:sz w:val="24"/>
          <w:szCs w:val="24"/>
        </w:rPr>
        <w:t xml:space="preserve">pi di diligenza, prudenza, perizia e previdenza – al fine di farne discendere una indeterminatezza della fattispecie tipica, atteso che le attività di acquisto e cessione di energia elettrica sui mercati regolamentati (mercato del giorno prima e mercato </w:t>
      </w:r>
      <w:proofErr w:type="spellStart"/>
      <w:r w:rsidR="00255535" w:rsidRPr="00290D77">
        <w:rPr>
          <w:rFonts w:ascii="Arial" w:hAnsi="Arial" w:cs="Arial"/>
          <w:color w:val="000000"/>
          <w:sz w:val="24"/>
          <w:szCs w:val="24"/>
        </w:rPr>
        <w:t>infragiornaliero</w:t>
      </w:r>
      <w:proofErr w:type="spellEnd"/>
      <w:r w:rsidR="00255535" w:rsidRPr="00290D77">
        <w:rPr>
          <w:rFonts w:ascii="Arial" w:hAnsi="Arial" w:cs="Arial"/>
          <w:color w:val="000000"/>
          <w:sz w:val="24"/>
          <w:szCs w:val="24"/>
        </w:rPr>
        <w:t>) non possono essere rigidamente predefinite nelle modalità di svolgimento e in relazione alle strategie di programmazione, essendo per loro natura presidiate da regole discendenti da clausole elastiche e da concetti giuridici indeterminati, che possono essere meglio dettagliati e concretamente enucleati unicamente</w:t>
      </w:r>
      <w:r w:rsidR="00255535" w:rsidRPr="0056261A">
        <w:rPr>
          <w:rFonts w:ascii="Arial" w:hAnsi="Arial" w:cs="Arial"/>
          <w:i/>
          <w:color w:val="000000"/>
          <w:sz w:val="24"/>
          <w:szCs w:val="24"/>
        </w:rPr>
        <w:t xml:space="preserve"> </w:t>
      </w:r>
      <w:r w:rsidR="00255535" w:rsidRPr="00D50B3C">
        <w:rPr>
          <w:rFonts w:ascii="Arial" w:hAnsi="Arial" w:cs="Arial"/>
          <w:color w:val="000000"/>
          <w:sz w:val="24"/>
          <w:szCs w:val="24"/>
        </w:rPr>
        <w:t>all’atto del compimento delle singole operazioni; risulta, dunque, evidente che soltanto esaminando e analizzando la specifica fattispecie si potrà stabilire se i principi di diligenza, prudenza, perizia e previdenza, necessariamente astratti e indeterminati, sono stati rispettati o meno. In tal senso si deve rilevare che se è vero che il concetto di diligenza assume necessariamente contorni generici, è altrettanto vero che esso non è altro che l’opposto del concetto di colpa e costituisce, dunque, lo strumento utilizzato in tutte le branche del diritto (compreso il diritto penale) per creare un legame fra l’azione che viola un precetto e l’autore dell’infrazione stessa, onde attribuire a quest’ultimo la relativa responsabilità. Per dare al concetto di diligenza un contenuto più concreto si devono quindi applicare i noti principi generali elaborati in materia di colpa: vi è diligenza (e, quindi, assenza di colpa) quando, nel concreto, l’operatore presta l’impegno che ci si può attendere da un operatore modello</w:t>
      </w:r>
      <w:r w:rsidRPr="00D50B3C">
        <w:rPr>
          <w:rFonts w:ascii="Arial" w:hAnsi="Arial" w:cs="Arial"/>
          <w:color w:val="000000"/>
          <w:sz w:val="24"/>
          <w:szCs w:val="24"/>
        </w:rPr>
        <w:t>”</w:t>
      </w:r>
      <w:r w:rsidR="00D50B3C">
        <w:rPr>
          <w:rFonts w:ascii="Arial" w:hAnsi="Arial" w:cs="Arial"/>
          <w:color w:val="000000"/>
          <w:sz w:val="24"/>
          <w:szCs w:val="24"/>
        </w:rPr>
        <w:t>(</w:t>
      </w:r>
      <w:r w:rsidRPr="00D50B3C">
        <w:rPr>
          <w:rStyle w:val="Rimandonotaapidipagina"/>
          <w:rFonts w:ascii="Arial" w:hAnsi="Arial" w:cs="Arial"/>
          <w:color w:val="000000"/>
          <w:sz w:val="24"/>
          <w:szCs w:val="24"/>
        </w:rPr>
        <w:footnoteReference w:id="81"/>
      </w:r>
      <w:r w:rsidR="00D50B3C">
        <w:rPr>
          <w:rFonts w:ascii="Arial" w:hAnsi="Arial" w:cs="Arial"/>
          <w:color w:val="000000"/>
          <w:sz w:val="24"/>
          <w:szCs w:val="24"/>
        </w:rPr>
        <w:t>)</w:t>
      </w:r>
      <w:r w:rsidR="00255535" w:rsidRPr="00D50B3C">
        <w:rPr>
          <w:rFonts w:ascii="Arial" w:hAnsi="Arial" w:cs="Arial"/>
          <w:color w:val="000000"/>
          <w:sz w:val="24"/>
          <w:szCs w:val="24"/>
        </w:rPr>
        <w:t>.</w:t>
      </w:r>
    </w:p>
    <w:p w:rsidR="009B3AB6" w:rsidRPr="0056261A" w:rsidRDefault="009B3AB6" w:rsidP="00D50B3C">
      <w:pPr>
        <w:spacing w:after="0"/>
        <w:jc w:val="both"/>
        <w:rPr>
          <w:rFonts w:ascii="Arial" w:hAnsi="Arial" w:cs="Arial"/>
          <w:color w:val="000000"/>
          <w:sz w:val="24"/>
          <w:szCs w:val="24"/>
        </w:rPr>
      </w:pPr>
      <w:r w:rsidRPr="0056261A">
        <w:rPr>
          <w:rFonts w:ascii="Arial" w:hAnsi="Arial" w:cs="Arial"/>
          <w:color w:val="000000"/>
          <w:sz w:val="24"/>
          <w:szCs w:val="24"/>
        </w:rPr>
        <w:t>Una tale soluzione</w:t>
      </w:r>
      <w:r w:rsidR="00C67431" w:rsidRPr="0056261A">
        <w:rPr>
          <w:rFonts w:ascii="Arial" w:hAnsi="Arial" w:cs="Arial"/>
          <w:color w:val="000000"/>
          <w:sz w:val="24"/>
          <w:szCs w:val="24"/>
        </w:rPr>
        <w:t>,</w:t>
      </w:r>
      <w:r w:rsidRPr="0056261A">
        <w:rPr>
          <w:rFonts w:ascii="Arial" w:hAnsi="Arial" w:cs="Arial"/>
          <w:color w:val="000000"/>
          <w:sz w:val="24"/>
          <w:szCs w:val="24"/>
        </w:rPr>
        <w:t xml:space="preserve"> se può giustificarsi con riguardo all’attività recuperatoria e ripristinatoria, poiché in sostanza l’</w:t>
      </w:r>
      <w:proofErr w:type="spellStart"/>
      <w:r w:rsidRPr="0056261A">
        <w:rPr>
          <w:rFonts w:ascii="Arial" w:hAnsi="Arial" w:cs="Arial"/>
          <w:color w:val="000000"/>
          <w:sz w:val="24"/>
          <w:szCs w:val="24"/>
        </w:rPr>
        <w:t>addebitabilità</w:t>
      </w:r>
      <w:proofErr w:type="spellEnd"/>
      <w:r w:rsidRPr="0056261A">
        <w:rPr>
          <w:rFonts w:ascii="Arial" w:hAnsi="Arial" w:cs="Arial"/>
          <w:color w:val="000000"/>
          <w:sz w:val="24"/>
          <w:szCs w:val="24"/>
        </w:rPr>
        <w:t xml:space="preserve"> al soggetto del comportamento </w:t>
      </w:r>
      <w:r w:rsidR="00083FAB" w:rsidRPr="0056261A">
        <w:rPr>
          <w:rFonts w:ascii="Arial" w:hAnsi="Arial" w:cs="Arial"/>
          <w:color w:val="000000"/>
          <w:sz w:val="24"/>
          <w:szCs w:val="24"/>
        </w:rPr>
        <w:t>appare idonea a fondare</w:t>
      </w:r>
      <w:r w:rsidRPr="0056261A">
        <w:rPr>
          <w:rFonts w:ascii="Arial" w:hAnsi="Arial" w:cs="Arial"/>
          <w:color w:val="000000"/>
          <w:sz w:val="24"/>
          <w:szCs w:val="24"/>
        </w:rPr>
        <w:t xml:space="preserve"> il presupposto per ripetere quanto dallo stesso indebitamente ottenuto, </w:t>
      </w:r>
      <w:r w:rsidR="003A2A64" w:rsidRPr="0056261A">
        <w:rPr>
          <w:rFonts w:ascii="Arial" w:hAnsi="Arial" w:cs="Arial"/>
          <w:color w:val="000000"/>
          <w:sz w:val="24"/>
          <w:szCs w:val="24"/>
        </w:rPr>
        <w:t xml:space="preserve">riallocando in tal modo correttamente le risorse sottratte, </w:t>
      </w:r>
      <w:r w:rsidRPr="0056261A">
        <w:rPr>
          <w:rFonts w:ascii="Arial" w:hAnsi="Arial" w:cs="Arial"/>
          <w:color w:val="000000"/>
          <w:sz w:val="24"/>
          <w:szCs w:val="24"/>
        </w:rPr>
        <w:t xml:space="preserve">non appare del tutto in linea con i precetti elaborati in sede di responsabilità sanzionatoria di tipo penale dalla </w:t>
      </w:r>
      <w:r w:rsidR="0086394C" w:rsidRPr="0056261A">
        <w:rPr>
          <w:rFonts w:ascii="Arial" w:hAnsi="Arial" w:cs="Arial"/>
          <w:color w:val="000000"/>
          <w:sz w:val="24"/>
          <w:szCs w:val="24"/>
        </w:rPr>
        <w:t>già citata</w:t>
      </w:r>
      <w:r w:rsidRPr="0056261A">
        <w:rPr>
          <w:rFonts w:ascii="Arial" w:hAnsi="Arial" w:cs="Arial"/>
          <w:color w:val="000000"/>
          <w:sz w:val="24"/>
          <w:szCs w:val="24"/>
        </w:rPr>
        <w:t xml:space="preserve"> giurisprudenza della Corte EDU. </w:t>
      </w:r>
      <w:r w:rsidR="0086394C" w:rsidRPr="0056261A">
        <w:rPr>
          <w:rFonts w:ascii="Arial" w:hAnsi="Arial" w:cs="Arial"/>
          <w:color w:val="000000"/>
          <w:sz w:val="24"/>
          <w:szCs w:val="24"/>
        </w:rPr>
        <w:t>L’individuazione di un parametro alquanto indeterminato – la diligenza – in un settore certamente specialistico potrebbe ritenersi non pienamente risp</w:t>
      </w:r>
      <w:r w:rsidR="003A2A64" w:rsidRPr="0056261A">
        <w:rPr>
          <w:rFonts w:ascii="Arial" w:hAnsi="Arial" w:cs="Arial"/>
          <w:color w:val="000000"/>
          <w:sz w:val="24"/>
          <w:szCs w:val="24"/>
        </w:rPr>
        <w:t>ettos</w:t>
      </w:r>
      <w:r w:rsidR="00083FAB" w:rsidRPr="0056261A">
        <w:rPr>
          <w:rFonts w:ascii="Arial" w:hAnsi="Arial" w:cs="Arial"/>
          <w:color w:val="000000"/>
          <w:sz w:val="24"/>
          <w:szCs w:val="24"/>
        </w:rPr>
        <w:t>a</w:t>
      </w:r>
      <w:r w:rsidR="0086394C" w:rsidRPr="0056261A">
        <w:rPr>
          <w:rFonts w:ascii="Arial" w:hAnsi="Arial" w:cs="Arial"/>
          <w:color w:val="000000"/>
          <w:sz w:val="24"/>
          <w:szCs w:val="24"/>
        </w:rPr>
        <w:t xml:space="preserve"> della posizione degli operatori</w:t>
      </w:r>
      <w:r w:rsidR="00083FAB" w:rsidRPr="0056261A">
        <w:rPr>
          <w:rFonts w:ascii="Arial" w:hAnsi="Arial" w:cs="Arial"/>
          <w:color w:val="000000"/>
          <w:sz w:val="24"/>
          <w:szCs w:val="24"/>
        </w:rPr>
        <w:t>,</w:t>
      </w:r>
      <w:r w:rsidR="0086394C" w:rsidRPr="0056261A">
        <w:rPr>
          <w:rFonts w:ascii="Arial" w:hAnsi="Arial" w:cs="Arial"/>
          <w:color w:val="000000"/>
          <w:sz w:val="24"/>
          <w:szCs w:val="24"/>
        </w:rPr>
        <w:t xml:space="preserve"> che sarebbero impossibilitati ad orientare il loro comportamento, </w:t>
      </w:r>
      <w:r w:rsidR="003A2A64" w:rsidRPr="0056261A">
        <w:rPr>
          <w:rFonts w:ascii="Arial" w:hAnsi="Arial" w:cs="Arial"/>
          <w:color w:val="000000"/>
          <w:sz w:val="24"/>
          <w:szCs w:val="24"/>
        </w:rPr>
        <w:t>al cospetto di un</w:t>
      </w:r>
      <w:r w:rsidR="0086394C" w:rsidRPr="0056261A">
        <w:rPr>
          <w:rFonts w:ascii="Arial" w:hAnsi="Arial" w:cs="Arial"/>
          <w:color w:val="000000"/>
          <w:sz w:val="24"/>
          <w:szCs w:val="24"/>
        </w:rPr>
        <w:t xml:space="preserve"> quadro </w:t>
      </w:r>
      <w:r w:rsidR="003A2A64" w:rsidRPr="0056261A">
        <w:rPr>
          <w:rFonts w:ascii="Arial" w:hAnsi="Arial" w:cs="Arial"/>
          <w:color w:val="000000"/>
          <w:sz w:val="24"/>
          <w:szCs w:val="24"/>
        </w:rPr>
        <w:t>normativo di riferimento eccessivamente aleatorio.</w:t>
      </w:r>
    </w:p>
    <w:p w:rsidR="003A2A64" w:rsidRPr="0056261A" w:rsidRDefault="003A2A64" w:rsidP="00D50B3C">
      <w:pPr>
        <w:spacing w:after="0"/>
        <w:jc w:val="both"/>
        <w:rPr>
          <w:rFonts w:ascii="Arial" w:hAnsi="Arial" w:cs="Arial"/>
          <w:color w:val="000000"/>
          <w:sz w:val="24"/>
          <w:szCs w:val="24"/>
        </w:rPr>
      </w:pPr>
      <w:r w:rsidRPr="0056261A">
        <w:rPr>
          <w:rFonts w:ascii="Arial" w:hAnsi="Arial" w:cs="Arial"/>
          <w:color w:val="000000"/>
          <w:sz w:val="24"/>
          <w:szCs w:val="24"/>
        </w:rPr>
        <w:t>Tuttavia, non va dimenticato che l’obiettivo perseguito dall’Autorità di settore è in primo luogo quello legato al funzionamento ottimale dell’ambito oggetto di regolazione, cui deve corrispondere un potere di intervento ampio ed efficace per garantir</w:t>
      </w:r>
      <w:r w:rsidR="005D6C96" w:rsidRPr="0056261A">
        <w:rPr>
          <w:rFonts w:ascii="Arial" w:hAnsi="Arial" w:cs="Arial"/>
          <w:color w:val="000000"/>
          <w:sz w:val="24"/>
          <w:szCs w:val="24"/>
        </w:rPr>
        <w:t>n</w:t>
      </w:r>
      <w:r w:rsidRPr="0056261A">
        <w:rPr>
          <w:rFonts w:ascii="Arial" w:hAnsi="Arial" w:cs="Arial"/>
          <w:color w:val="000000"/>
          <w:sz w:val="24"/>
          <w:szCs w:val="24"/>
        </w:rPr>
        <w:t xml:space="preserve">e </w:t>
      </w:r>
      <w:r w:rsidR="005D6C96" w:rsidRPr="0056261A">
        <w:rPr>
          <w:rFonts w:ascii="Arial" w:hAnsi="Arial" w:cs="Arial"/>
          <w:color w:val="000000"/>
          <w:sz w:val="24"/>
          <w:szCs w:val="24"/>
        </w:rPr>
        <w:t>il perseguimento</w:t>
      </w:r>
      <w:r w:rsidR="00D50B3C">
        <w:rPr>
          <w:rFonts w:ascii="Arial" w:hAnsi="Arial" w:cs="Arial"/>
          <w:color w:val="000000"/>
          <w:sz w:val="24"/>
          <w:szCs w:val="24"/>
        </w:rPr>
        <w:t>(</w:t>
      </w:r>
      <w:r w:rsidRPr="0056261A">
        <w:rPr>
          <w:rStyle w:val="Rimandonotaapidipagina"/>
          <w:rFonts w:ascii="Arial" w:hAnsi="Arial" w:cs="Arial"/>
          <w:color w:val="000000"/>
          <w:sz w:val="24"/>
          <w:szCs w:val="24"/>
        </w:rPr>
        <w:footnoteReference w:id="82"/>
      </w:r>
      <w:r w:rsidR="00D50B3C">
        <w:rPr>
          <w:rFonts w:ascii="Arial" w:hAnsi="Arial" w:cs="Arial"/>
          <w:color w:val="000000"/>
          <w:sz w:val="24"/>
          <w:szCs w:val="24"/>
        </w:rPr>
        <w:t>)</w:t>
      </w:r>
      <w:r w:rsidR="00C67431" w:rsidRPr="0056261A">
        <w:rPr>
          <w:rFonts w:ascii="Arial" w:hAnsi="Arial" w:cs="Arial"/>
          <w:color w:val="000000"/>
          <w:sz w:val="24"/>
          <w:szCs w:val="24"/>
        </w:rPr>
        <w:t xml:space="preserve">: </w:t>
      </w:r>
      <w:r w:rsidR="00AC68CA" w:rsidRPr="00932681">
        <w:rPr>
          <w:rFonts w:ascii="Arial" w:hAnsi="Arial" w:cs="Arial"/>
          <w:color w:val="000000"/>
          <w:sz w:val="24"/>
          <w:szCs w:val="24"/>
        </w:rPr>
        <w:t>“</w:t>
      </w:r>
      <w:r w:rsidRPr="00932681">
        <w:rPr>
          <w:rFonts w:ascii="Arial" w:hAnsi="Arial" w:cs="Arial"/>
          <w:color w:val="000000"/>
          <w:sz w:val="24"/>
          <w:szCs w:val="24"/>
        </w:rPr>
        <w:t>la funzione di costante controllo e verifica del mercato affidata all’Autorità impone del resto una lettura del dato normativo che conse</w:t>
      </w:r>
      <w:r w:rsidR="00AC68CA" w:rsidRPr="00932681">
        <w:rPr>
          <w:rFonts w:ascii="Arial" w:hAnsi="Arial" w:cs="Arial"/>
          <w:color w:val="000000"/>
          <w:sz w:val="24"/>
          <w:szCs w:val="24"/>
        </w:rPr>
        <w:t xml:space="preserve">nta il raggiungimento del c.d. </w:t>
      </w:r>
      <w:r w:rsidR="00AC68CA" w:rsidRPr="00932681">
        <w:rPr>
          <w:rFonts w:ascii="Arial" w:hAnsi="Arial" w:cs="Arial"/>
          <w:sz w:val="24"/>
          <w:szCs w:val="24"/>
        </w:rPr>
        <w:t>«</w:t>
      </w:r>
      <w:r w:rsidRPr="00932681">
        <w:rPr>
          <w:rFonts w:ascii="Arial" w:hAnsi="Arial" w:cs="Arial"/>
          <w:color w:val="000000"/>
          <w:sz w:val="24"/>
          <w:szCs w:val="24"/>
        </w:rPr>
        <w:t>effetto utile</w:t>
      </w:r>
      <w:r w:rsidR="00AC68CA" w:rsidRPr="00932681">
        <w:rPr>
          <w:rFonts w:ascii="Arial" w:hAnsi="Arial" w:cs="Arial"/>
          <w:sz w:val="24"/>
          <w:szCs w:val="24"/>
        </w:rPr>
        <w:t>»</w:t>
      </w:r>
      <w:r w:rsidRPr="00932681">
        <w:rPr>
          <w:rFonts w:ascii="Arial" w:hAnsi="Arial" w:cs="Arial"/>
          <w:color w:val="000000"/>
          <w:sz w:val="24"/>
          <w:szCs w:val="24"/>
        </w:rPr>
        <w:t xml:space="preserve"> delle direttive comunitarie, puntualmente disciplinato dall’art</w:t>
      </w:r>
      <w:r w:rsidR="00AC68CA" w:rsidRPr="00932681">
        <w:rPr>
          <w:rFonts w:ascii="Arial" w:hAnsi="Arial" w:cs="Arial"/>
          <w:color w:val="000000"/>
          <w:sz w:val="24"/>
          <w:szCs w:val="24"/>
        </w:rPr>
        <w:t>.</w:t>
      </w:r>
      <w:r w:rsidRPr="00932681">
        <w:rPr>
          <w:rFonts w:ascii="Arial" w:hAnsi="Arial" w:cs="Arial"/>
          <w:color w:val="000000"/>
          <w:sz w:val="24"/>
          <w:szCs w:val="24"/>
        </w:rPr>
        <w:t xml:space="preserve"> 4 del Trattato su</w:t>
      </w:r>
      <w:r w:rsidR="00AC68CA" w:rsidRPr="00932681">
        <w:rPr>
          <w:rFonts w:ascii="Arial" w:hAnsi="Arial" w:cs="Arial"/>
          <w:color w:val="000000"/>
          <w:sz w:val="24"/>
          <w:szCs w:val="24"/>
        </w:rPr>
        <w:t xml:space="preserve">ll’Unione europea, secondo cui </w:t>
      </w:r>
      <w:r w:rsidR="00AC68CA" w:rsidRPr="00932681">
        <w:rPr>
          <w:rFonts w:ascii="Arial" w:hAnsi="Arial" w:cs="Arial"/>
          <w:sz w:val="24"/>
          <w:szCs w:val="24"/>
        </w:rPr>
        <w:t>«</w:t>
      </w:r>
      <w:r w:rsidRPr="00932681">
        <w:rPr>
          <w:rFonts w:ascii="Arial" w:hAnsi="Arial" w:cs="Arial"/>
          <w:color w:val="000000"/>
          <w:sz w:val="24"/>
          <w:szCs w:val="24"/>
        </w:rPr>
        <w:t>gli Stati membri adottano ogni misura di carattere generale o particolare atta ad assicurare l’esecuzione degli obblighi derivanti dai trattati o conseguenti agli atti delle istituzioni dell’Unione</w:t>
      </w:r>
      <w:r w:rsidR="00AC68CA" w:rsidRPr="00932681">
        <w:rPr>
          <w:rFonts w:ascii="Arial" w:hAnsi="Arial" w:cs="Arial"/>
          <w:sz w:val="24"/>
          <w:szCs w:val="24"/>
        </w:rPr>
        <w:t>»</w:t>
      </w:r>
      <w:r w:rsidRPr="00932681">
        <w:rPr>
          <w:rFonts w:ascii="Arial" w:hAnsi="Arial" w:cs="Arial"/>
          <w:color w:val="000000"/>
          <w:sz w:val="24"/>
          <w:szCs w:val="24"/>
        </w:rPr>
        <w:t xml:space="preserve">. Pertanto, risulterebbe anche contraria al diritto dell’Unione un’interpretazione che elimini la possibilità di adottare misure prescrittive di un mercato per prevenire o far cessare le disfunzioni come quelle in esame. Difatti è stato evidenziato come «ai sensi dell’art. 2, comma 20, </w:t>
      </w:r>
      <w:proofErr w:type="spellStart"/>
      <w:r w:rsidRPr="00932681">
        <w:rPr>
          <w:rFonts w:ascii="Arial" w:hAnsi="Arial" w:cs="Arial"/>
          <w:color w:val="000000"/>
          <w:sz w:val="24"/>
          <w:szCs w:val="24"/>
        </w:rPr>
        <w:t>lett</w:t>
      </w:r>
      <w:proofErr w:type="spellEnd"/>
      <w:r w:rsidRPr="00932681">
        <w:rPr>
          <w:rFonts w:ascii="Arial" w:hAnsi="Arial" w:cs="Arial"/>
          <w:color w:val="000000"/>
          <w:sz w:val="24"/>
          <w:szCs w:val="24"/>
        </w:rPr>
        <w:t>. d), è attribuito all’Autorità il potere di ordinare all’esercente di un servizio economico di interesse generale, quale in effetti s</w:t>
      </w:r>
      <w:r w:rsidR="00AC68CA" w:rsidRPr="00932681">
        <w:rPr>
          <w:rFonts w:ascii="Arial" w:hAnsi="Arial" w:cs="Arial"/>
          <w:color w:val="000000"/>
          <w:sz w:val="24"/>
          <w:szCs w:val="24"/>
        </w:rPr>
        <w:t xml:space="preserve">i configura il dispacciamento, </w:t>
      </w:r>
      <w:r w:rsidR="00AC68CA" w:rsidRPr="00932681">
        <w:rPr>
          <w:rFonts w:ascii="Arial" w:hAnsi="Arial" w:cs="Arial"/>
          <w:sz w:val="24"/>
          <w:szCs w:val="24"/>
        </w:rPr>
        <w:t>«</w:t>
      </w:r>
      <w:r w:rsidRPr="00932681">
        <w:rPr>
          <w:rFonts w:ascii="Arial" w:hAnsi="Arial" w:cs="Arial"/>
          <w:color w:val="000000"/>
          <w:sz w:val="24"/>
          <w:szCs w:val="24"/>
        </w:rPr>
        <w:t>la cessazione di comportamenti lesivi dei diritti degli utenti</w:t>
      </w:r>
      <w:r w:rsidR="00AC68CA" w:rsidRPr="00932681">
        <w:rPr>
          <w:rFonts w:ascii="Arial" w:hAnsi="Arial" w:cs="Arial"/>
          <w:sz w:val="24"/>
          <w:szCs w:val="24"/>
        </w:rPr>
        <w:t>»</w:t>
      </w:r>
      <w:r w:rsidRPr="00932681">
        <w:rPr>
          <w:rFonts w:ascii="Arial" w:hAnsi="Arial" w:cs="Arial"/>
          <w:color w:val="000000"/>
          <w:sz w:val="24"/>
          <w:szCs w:val="24"/>
        </w:rPr>
        <w:t>: il che giustifica ampiamente la possibilità di legittimamente adottare provvedimenti di carattere prescrittivo come quello, infine, emesso mediant</w:t>
      </w:r>
      <w:r w:rsidR="00932681" w:rsidRPr="00932681">
        <w:rPr>
          <w:rFonts w:ascii="Arial" w:hAnsi="Arial" w:cs="Arial"/>
          <w:color w:val="000000"/>
          <w:sz w:val="24"/>
          <w:szCs w:val="24"/>
        </w:rPr>
        <w:t>e la deliberazione n. 835/2017 (</w:t>
      </w:r>
      <w:r w:rsidRPr="00932681">
        <w:rPr>
          <w:rFonts w:ascii="Arial" w:hAnsi="Arial" w:cs="Arial"/>
          <w:color w:val="000000"/>
          <w:sz w:val="24"/>
          <w:szCs w:val="24"/>
        </w:rPr>
        <w:t>si tratta di delibera omologa a quella oggetto del presente giudizio e oggetto di esame da parte della sentenza richiamata</w:t>
      </w:r>
      <w:r w:rsidR="00932681" w:rsidRPr="00932681">
        <w:rPr>
          <w:rFonts w:ascii="Arial" w:hAnsi="Arial" w:cs="Arial"/>
          <w:color w:val="000000"/>
          <w:sz w:val="24"/>
          <w:szCs w:val="24"/>
        </w:rPr>
        <w:t>)”(</w:t>
      </w:r>
      <w:r w:rsidRPr="00932681">
        <w:rPr>
          <w:rStyle w:val="Rimandonotaapidipagina"/>
          <w:rFonts w:ascii="Arial" w:hAnsi="Arial" w:cs="Arial"/>
          <w:color w:val="000000"/>
          <w:sz w:val="24"/>
          <w:szCs w:val="24"/>
        </w:rPr>
        <w:footnoteReference w:id="83"/>
      </w:r>
      <w:r w:rsidR="00932681" w:rsidRPr="00932681">
        <w:rPr>
          <w:rFonts w:ascii="Arial" w:hAnsi="Arial" w:cs="Arial"/>
          <w:color w:val="000000"/>
          <w:sz w:val="24"/>
          <w:szCs w:val="24"/>
        </w:rPr>
        <w:t>)</w:t>
      </w:r>
      <w:r w:rsidR="005D6C96" w:rsidRPr="00932681">
        <w:rPr>
          <w:rFonts w:ascii="Arial" w:hAnsi="Arial" w:cs="Arial"/>
          <w:color w:val="000000"/>
          <w:sz w:val="24"/>
          <w:szCs w:val="24"/>
        </w:rPr>
        <w:t>.</w:t>
      </w:r>
    </w:p>
    <w:p w:rsidR="00675365" w:rsidRPr="0056261A" w:rsidRDefault="003C56D2" w:rsidP="00932681">
      <w:pPr>
        <w:spacing w:after="0"/>
        <w:jc w:val="both"/>
        <w:rPr>
          <w:rFonts w:ascii="Arial" w:hAnsi="Arial" w:cs="Arial"/>
          <w:color w:val="000000"/>
          <w:sz w:val="24"/>
          <w:szCs w:val="24"/>
        </w:rPr>
      </w:pPr>
      <w:r w:rsidRPr="0056261A">
        <w:rPr>
          <w:rFonts w:ascii="Arial" w:hAnsi="Arial" w:cs="Arial"/>
          <w:color w:val="000000"/>
          <w:sz w:val="24"/>
          <w:szCs w:val="24"/>
        </w:rPr>
        <w:t xml:space="preserve">Inoltre, considerata la complessità del sistema e </w:t>
      </w:r>
      <w:r w:rsidR="00737A12" w:rsidRPr="0056261A">
        <w:rPr>
          <w:rFonts w:ascii="Arial" w:hAnsi="Arial" w:cs="Arial"/>
          <w:color w:val="000000"/>
          <w:sz w:val="24"/>
          <w:szCs w:val="24"/>
        </w:rPr>
        <w:t>i</w:t>
      </w:r>
      <w:r w:rsidRPr="0056261A">
        <w:rPr>
          <w:rFonts w:ascii="Arial" w:hAnsi="Arial" w:cs="Arial"/>
          <w:color w:val="000000"/>
          <w:sz w:val="24"/>
          <w:szCs w:val="24"/>
        </w:rPr>
        <w:t xml:space="preserve"> suo</w:t>
      </w:r>
      <w:r w:rsidR="00737A12" w:rsidRPr="0056261A">
        <w:rPr>
          <w:rFonts w:ascii="Arial" w:hAnsi="Arial" w:cs="Arial"/>
          <w:color w:val="000000"/>
          <w:sz w:val="24"/>
          <w:szCs w:val="24"/>
        </w:rPr>
        <w:t>i</w:t>
      </w:r>
      <w:r w:rsidR="00377F95" w:rsidRPr="0056261A">
        <w:rPr>
          <w:rFonts w:ascii="Arial" w:hAnsi="Arial" w:cs="Arial"/>
          <w:color w:val="000000"/>
          <w:sz w:val="24"/>
          <w:szCs w:val="24"/>
        </w:rPr>
        <w:t xml:space="preserve"> </w:t>
      </w:r>
      <w:r w:rsidR="00737A12" w:rsidRPr="0056261A">
        <w:rPr>
          <w:rFonts w:ascii="Arial" w:hAnsi="Arial" w:cs="Arial"/>
          <w:color w:val="000000"/>
          <w:sz w:val="24"/>
          <w:szCs w:val="24"/>
        </w:rPr>
        <w:t>te</w:t>
      </w:r>
      <w:r w:rsidR="00377F95" w:rsidRPr="0056261A">
        <w:rPr>
          <w:rFonts w:ascii="Arial" w:hAnsi="Arial" w:cs="Arial"/>
          <w:color w:val="000000"/>
          <w:sz w:val="24"/>
          <w:szCs w:val="24"/>
        </w:rPr>
        <w:t>c</w:t>
      </w:r>
      <w:r w:rsidR="00737A12" w:rsidRPr="0056261A">
        <w:rPr>
          <w:rFonts w:ascii="Arial" w:hAnsi="Arial" w:cs="Arial"/>
          <w:color w:val="000000"/>
          <w:sz w:val="24"/>
          <w:szCs w:val="24"/>
        </w:rPr>
        <w:t>nic</w:t>
      </w:r>
      <w:r w:rsidR="00377F95" w:rsidRPr="0056261A">
        <w:rPr>
          <w:rFonts w:ascii="Arial" w:hAnsi="Arial" w:cs="Arial"/>
          <w:color w:val="000000"/>
          <w:sz w:val="24"/>
          <w:szCs w:val="24"/>
        </w:rPr>
        <w:t>ism</w:t>
      </w:r>
      <w:r w:rsidR="00737A12" w:rsidRPr="0056261A">
        <w:rPr>
          <w:rFonts w:ascii="Arial" w:hAnsi="Arial" w:cs="Arial"/>
          <w:color w:val="000000"/>
          <w:sz w:val="24"/>
          <w:szCs w:val="24"/>
        </w:rPr>
        <w:t>i</w:t>
      </w:r>
      <w:r w:rsidRPr="0056261A">
        <w:rPr>
          <w:rFonts w:ascii="Arial" w:hAnsi="Arial" w:cs="Arial"/>
          <w:color w:val="000000"/>
          <w:sz w:val="24"/>
          <w:szCs w:val="24"/>
        </w:rPr>
        <w:t>,</w:t>
      </w:r>
      <w:r w:rsidR="00737A12" w:rsidRPr="0056261A">
        <w:rPr>
          <w:rFonts w:ascii="Arial" w:hAnsi="Arial" w:cs="Arial"/>
          <w:color w:val="000000"/>
          <w:sz w:val="24"/>
          <w:szCs w:val="24"/>
        </w:rPr>
        <w:t xml:space="preserve"> si potrebbe anche ipotizzare di modificare i meccanismi probatori </w:t>
      </w:r>
      <w:r w:rsidRPr="0056261A">
        <w:rPr>
          <w:rFonts w:ascii="Arial" w:hAnsi="Arial" w:cs="Arial"/>
          <w:color w:val="000000"/>
          <w:sz w:val="24"/>
          <w:szCs w:val="24"/>
        </w:rPr>
        <w:t xml:space="preserve">e di indagine, </w:t>
      </w:r>
      <w:r w:rsidR="00737A12" w:rsidRPr="0056261A">
        <w:rPr>
          <w:rFonts w:ascii="Arial" w:hAnsi="Arial" w:cs="Arial"/>
          <w:color w:val="000000"/>
          <w:sz w:val="24"/>
          <w:szCs w:val="24"/>
        </w:rPr>
        <w:t>ad esempio pone</w:t>
      </w:r>
      <w:r w:rsidR="00FA02B9" w:rsidRPr="0056261A">
        <w:rPr>
          <w:rFonts w:ascii="Arial" w:hAnsi="Arial" w:cs="Arial"/>
          <w:color w:val="000000"/>
          <w:sz w:val="24"/>
          <w:szCs w:val="24"/>
        </w:rPr>
        <w:t>nd</w:t>
      </w:r>
      <w:r w:rsidRPr="0056261A">
        <w:rPr>
          <w:rFonts w:ascii="Arial" w:hAnsi="Arial" w:cs="Arial"/>
          <w:color w:val="000000"/>
          <w:sz w:val="24"/>
          <w:szCs w:val="24"/>
        </w:rPr>
        <w:t>o l’onere della prova</w:t>
      </w:r>
      <w:r w:rsidR="00AA623B" w:rsidRPr="0056261A">
        <w:rPr>
          <w:rFonts w:ascii="Arial" w:hAnsi="Arial" w:cs="Arial"/>
          <w:color w:val="000000"/>
          <w:sz w:val="24"/>
          <w:szCs w:val="24"/>
        </w:rPr>
        <w:t>,</w:t>
      </w:r>
      <w:r w:rsidRPr="0056261A">
        <w:rPr>
          <w:rFonts w:ascii="Arial" w:hAnsi="Arial" w:cs="Arial"/>
          <w:color w:val="000000"/>
          <w:sz w:val="24"/>
          <w:szCs w:val="24"/>
        </w:rPr>
        <w:t xml:space="preserve"> in ordine alla correttezza del comportamento seguito</w:t>
      </w:r>
      <w:r w:rsidR="00AA623B" w:rsidRPr="0056261A">
        <w:rPr>
          <w:rFonts w:ascii="Arial" w:hAnsi="Arial" w:cs="Arial"/>
          <w:color w:val="000000"/>
          <w:sz w:val="24"/>
          <w:szCs w:val="24"/>
        </w:rPr>
        <w:t>,</w:t>
      </w:r>
      <w:r w:rsidR="00737A12" w:rsidRPr="0056261A">
        <w:rPr>
          <w:rFonts w:ascii="Arial" w:hAnsi="Arial" w:cs="Arial"/>
          <w:color w:val="000000"/>
          <w:sz w:val="24"/>
          <w:szCs w:val="24"/>
        </w:rPr>
        <w:t xml:space="preserve"> in capo agli operatori</w:t>
      </w:r>
      <w:r w:rsidRPr="0056261A">
        <w:rPr>
          <w:rFonts w:ascii="Arial" w:hAnsi="Arial" w:cs="Arial"/>
          <w:color w:val="000000"/>
          <w:sz w:val="24"/>
          <w:szCs w:val="24"/>
        </w:rPr>
        <w:t xml:space="preserve">, soprattutto </w:t>
      </w:r>
      <w:r w:rsidR="00FA02B9" w:rsidRPr="0056261A">
        <w:rPr>
          <w:rFonts w:ascii="Arial" w:hAnsi="Arial" w:cs="Arial"/>
          <w:color w:val="000000"/>
          <w:sz w:val="24"/>
          <w:szCs w:val="24"/>
        </w:rPr>
        <w:t xml:space="preserve">laddove </w:t>
      </w:r>
      <w:r w:rsidR="00737A12" w:rsidRPr="0056261A">
        <w:rPr>
          <w:rFonts w:ascii="Arial" w:hAnsi="Arial" w:cs="Arial"/>
          <w:color w:val="000000"/>
          <w:sz w:val="24"/>
          <w:szCs w:val="24"/>
        </w:rPr>
        <w:t xml:space="preserve">si </w:t>
      </w:r>
      <w:r w:rsidRPr="0056261A">
        <w:rPr>
          <w:rFonts w:ascii="Arial" w:hAnsi="Arial" w:cs="Arial"/>
          <w:color w:val="000000"/>
          <w:sz w:val="24"/>
          <w:szCs w:val="24"/>
        </w:rPr>
        <w:t>super</w:t>
      </w:r>
      <w:r w:rsidR="00FA02B9" w:rsidRPr="0056261A">
        <w:rPr>
          <w:rFonts w:ascii="Arial" w:hAnsi="Arial" w:cs="Arial"/>
          <w:color w:val="000000"/>
          <w:sz w:val="24"/>
          <w:szCs w:val="24"/>
        </w:rPr>
        <w:t>i</w:t>
      </w:r>
      <w:r w:rsidRPr="0056261A">
        <w:rPr>
          <w:rFonts w:ascii="Arial" w:hAnsi="Arial" w:cs="Arial"/>
          <w:color w:val="000000"/>
          <w:sz w:val="24"/>
          <w:szCs w:val="24"/>
        </w:rPr>
        <w:t xml:space="preserve"> una determinata soglia di rilevanza. In tal senso, l’intervento dell’Autorità nel mercato del dispacciamento </w:t>
      </w:r>
      <w:r w:rsidR="00737A12" w:rsidRPr="0056261A">
        <w:rPr>
          <w:rFonts w:ascii="Arial" w:hAnsi="Arial" w:cs="Arial"/>
          <w:color w:val="000000"/>
          <w:sz w:val="24"/>
          <w:szCs w:val="24"/>
        </w:rPr>
        <w:t>allo scopo di</w:t>
      </w:r>
      <w:r w:rsidRPr="0056261A">
        <w:rPr>
          <w:rFonts w:ascii="Arial" w:hAnsi="Arial" w:cs="Arial"/>
          <w:color w:val="000000"/>
          <w:sz w:val="24"/>
          <w:szCs w:val="24"/>
        </w:rPr>
        <w:t xml:space="preserve"> sanzionare gli sbilanciamenti volontari è</w:t>
      </w:r>
      <w:r w:rsidR="00737A12" w:rsidRPr="0056261A">
        <w:rPr>
          <w:rFonts w:ascii="Arial" w:hAnsi="Arial" w:cs="Arial"/>
          <w:color w:val="000000"/>
          <w:sz w:val="24"/>
          <w:szCs w:val="24"/>
        </w:rPr>
        <w:t xml:space="preserve"> stato</w:t>
      </w:r>
      <w:r w:rsidRPr="0056261A">
        <w:rPr>
          <w:rFonts w:ascii="Arial" w:hAnsi="Arial" w:cs="Arial"/>
          <w:color w:val="000000"/>
          <w:sz w:val="24"/>
          <w:szCs w:val="24"/>
        </w:rPr>
        <w:t xml:space="preserve"> connotat</w:t>
      </w:r>
      <w:r w:rsidR="00737A12" w:rsidRPr="0056261A">
        <w:rPr>
          <w:rFonts w:ascii="Arial" w:hAnsi="Arial" w:cs="Arial"/>
          <w:color w:val="000000"/>
          <w:sz w:val="24"/>
          <w:szCs w:val="24"/>
        </w:rPr>
        <w:t>o dall</w:t>
      </w:r>
      <w:r w:rsidRPr="0056261A">
        <w:rPr>
          <w:rFonts w:ascii="Arial" w:hAnsi="Arial" w:cs="Arial"/>
          <w:color w:val="000000"/>
          <w:sz w:val="24"/>
          <w:szCs w:val="24"/>
        </w:rPr>
        <w:t xml:space="preserve">a previa individuazione di una soglia minima di rilevanza di tali sbilanciamenti, che ha indotto a non </w:t>
      </w:r>
      <w:r w:rsidR="00737A12" w:rsidRPr="0056261A">
        <w:rPr>
          <w:rFonts w:ascii="Arial" w:hAnsi="Arial" w:cs="Arial"/>
          <w:color w:val="000000"/>
          <w:sz w:val="24"/>
          <w:szCs w:val="24"/>
        </w:rPr>
        <w:t>prendere in considerazione, in quanto non significativi,</w:t>
      </w:r>
      <w:r w:rsidRPr="0056261A">
        <w:rPr>
          <w:rFonts w:ascii="Arial" w:hAnsi="Arial" w:cs="Arial"/>
          <w:color w:val="000000"/>
          <w:sz w:val="24"/>
          <w:szCs w:val="24"/>
        </w:rPr>
        <w:t xml:space="preserve"> quelli inferiori ad una qu</w:t>
      </w:r>
      <w:r w:rsidR="00377F95" w:rsidRPr="0056261A">
        <w:rPr>
          <w:rFonts w:ascii="Arial" w:hAnsi="Arial" w:cs="Arial"/>
          <w:color w:val="000000"/>
          <w:sz w:val="24"/>
          <w:szCs w:val="24"/>
        </w:rPr>
        <w:t>o</w:t>
      </w:r>
      <w:r w:rsidRPr="0056261A">
        <w:rPr>
          <w:rFonts w:ascii="Arial" w:hAnsi="Arial" w:cs="Arial"/>
          <w:color w:val="000000"/>
          <w:sz w:val="24"/>
          <w:szCs w:val="24"/>
        </w:rPr>
        <w:t>ta minima</w:t>
      </w:r>
      <w:r w:rsidR="00377F95" w:rsidRPr="0056261A">
        <w:rPr>
          <w:rFonts w:ascii="Arial" w:hAnsi="Arial" w:cs="Arial"/>
          <w:color w:val="000000"/>
          <w:sz w:val="24"/>
          <w:szCs w:val="24"/>
        </w:rPr>
        <w:t xml:space="preserve"> prestabilita</w:t>
      </w:r>
      <w:r w:rsidR="00932681">
        <w:rPr>
          <w:rFonts w:ascii="Arial" w:hAnsi="Arial" w:cs="Arial"/>
          <w:color w:val="000000"/>
          <w:sz w:val="24"/>
          <w:szCs w:val="24"/>
        </w:rPr>
        <w:t>(</w:t>
      </w:r>
      <w:r w:rsidRPr="0056261A">
        <w:rPr>
          <w:rStyle w:val="Rimandonotaapidipagina"/>
          <w:rFonts w:ascii="Arial" w:hAnsi="Arial" w:cs="Arial"/>
          <w:color w:val="000000"/>
          <w:sz w:val="24"/>
          <w:szCs w:val="24"/>
        </w:rPr>
        <w:footnoteReference w:id="84"/>
      </w:r>
      <w:r w:rsidR="00932681">
        <w:rPr>
          <w:rFonts w:ascii="Arial" w:hAnsi="Arial" w:cs="Arial"/>
          <w:color w:val="000000"/>
          <w:sz w:val="24"/>
          <w:szCs w:val="24"/>
        </w:rPr>
        <w:t>)</w:t>
      </w:r>
      <w:r w:rsidRPr="0056261A">
        <w:rPr>
          <w:rFonts w:ascii="Arial" w:hAnsi="Arial" w:cs="Arial"/>
          <w:color w:val="000000"/>
          <w:sz w:val="24"/>
          <w:szCs w:val="24"/>
        </w:rPr>
        <w:t>.</w:t>
      </w:r>
      <w:r w:rsidR="00FA02B9" w:rsidRPr="0056261A">
        <w:rPr>
          <w:rFonts w:ascii="Arial" w:hAnsi="Arial" w:cs="Arial"/>
          <w:color w:val="000000"/>
          <w:sz w:val="24"/>
          <w:szCs w:val="24"/>
        </w:rPr>
        <w:t xml:space="preserve"> La particolare specializzazione e qualificazione degli operatori del mercato elettrico no</w:t>
      </w:r>
      <w:r w:rsidR="00737A12" w:rsidRPr="0056261A">
        <w:rPr>
          <w:rFonts w:ascii="Arial" w:hAnsi="Arial" w:cs="Arial"/>
          <w:color w:val="000000"/>
          <w:sz w:val="24"/>
          <w:szCs w:val="24"/>
        </w:rPr>
        <w:t xml:space="preserve">n dovrebbe determinare eccessivi squilibri e </w:t>
      </w:r>
      <w:r w:rsidR="00FA02B9" w:rsidRPr="0056261A">
        <w:rPr>
          <w:rFonts w:ascii="Arial" w:hAnsi="Arial" w:cs="Arial"/>
          <w:color w:val="000000"/>
          <w:sz w:val="24"/>
          <w:szCs w:val="24"/>
        </w:rPr>
        <w:t xml:space="preserve">asimmetrie </w:t>
      </w:r>
      <w:r w:rsidR="00737A12" w:rsidRPr="0056261A">
        <w:rPr>
          <w:rFonts w:ascii="Arial" w:hAnsi="Arial" w:cs="Arial"/>
          <w:color w:val="000000"/>
          <w:sz w:val="24"/>
          <w:szCs w:val="24"/>
        </w:rPr>
        <w:t xml:space="preserve">informative </w:t>
      </w:r>
      <w:r w:rsidR="00FA02B9" w:rsidRPr="0056261A">
        <w:rPr>
          <w:rFonts w:ascii="Arial" w:hAnsi="Arial" w:cs="Arial"/>
          <w:color w:val="000000"/>
          <w:sz w:val="24"/>
          <w:szCs w:val="24"/>
        </w:rPr>
        <w:t>rispetto al</w:t>
      </w:r>
      <w:r w:rsidR="00737A12" w:rsidRPr="0056261A">
        <w:rPr>
          <w:rFonts w:ascii="Arial" w:hAnsi="Arial" w:cs="Arial"/>
          <w:color w:val="000000"/>
          <w:sz w:val="24"/>
          <w:szCs w:val="24"/>
        </w:rPr>
        <w:t xml:space="preserve"> patrimonio di</w:t>
      </w:r>
      <w:r w:rsidR="00FA02B9" w:rsidRPr="0056261A">
        <w:rPr>
          <w:rFonts w:ascii="Arial" w:hAnsi="Arial" w:cs="Arial"/>
          <w:color w:val="000000"/>
          <w:sz w:val="24"/>
          <w:szCs w:val="24"/>
        </w:rPr>
        <w:t xml:space="preserve"> conoscenze dell’Autorità, tenuto altresì conto che siamo in presenza di un mercato liberalizzato in cui l’intervento </w:t>
      </w:r>
      <w:proofErr w:type="spellStart"/>
      <w:r w:rsidR="00FA02B9" w:rsidRPr="0056261A">
        <w:rPr>
          <w:rFonts w:ascii="Arial" w:hAnsi="Arial" w:cs="Arial"/>
          <w:color w:val="000000"/>
          <w:sz w:val="24"/>
          <w:szCs w:val="24"/>
        </w:rPr>
        <w:t>regolatorio</w:t>
      </w:r>
      <w:proofErr w:type="spellEnd"/>
      <w:r w:rsidR="00FA02B9" w:rsidRPr="0056261A">
        <w:rPr>
          <w:rFonts w:ascii="Arial" w:hAnsi="Arial" w:cs="Arial"/>
          <w:color w:val="000000"/>
          <w:sz w:val="24"/>
          <w:szCs w:val="24"/>
        </w:rPr>
        <w:t xml:space="preserve"> si pone alla stregua di un correttivo dello stesso e non di un </w:t>
      </w:r>
      <w:r w:rsidR="00737A12" w:rsidRPr="0056261A">
        <w:rPr>
          <w:rFonts w:ascii="Arial" w:hAnsi="Arial" w:cs="Arial"/>
          <w:color w:val="000000"/>
          <w:sz w:val="24"/>
          <w:szCs w:val="24"/>
        </w:rPr>
        <w:t xml:space="preserve">suo </w:t>
      </w:r>
      <w:r w:rsidR="00FA02B9" w:rsidRPr="0056261A">
        <w:rPr>
          <w:rFonts w:ascii="Arial" w:hAnsi="Arial" w:cs="Arial"/>
          <w:color w:val="000000"/>
          <w:sz w:val="24"/>
          <w:szCs w:val="24"/>
        </w:rPr>
        <w:t>elemento fonda</w:t>
      </w:r>
      <w:r w:rsidR="00737A12" w:rsidRPr="0056261A">
        <w:rPr>
          <w:rFonts w:ascii="Arial" w:hAnsi="Arial" w:cs="Arial"/>
          <w:color w:val="000000"/>
          <w:sz w:val="24"/>
          <w:szCs w:val="24"/>
        </w:rPr>
        <w:t>nte</w:t>
      </w:r>
      <w:r w:rsidR="00FA02B9" w:rsidRPr="0056261A">
        <w:rPr>
          <w:rFonts w:ascii="Arial" w:hAnsi="Arial" w:cs="Arial"/>
          <w:color w:val="000000"/>
          <w:sz w:val="24"/>
          <w:szCs w:val="24"/>
        </w:rPr>
        <w:t>.</w:t>
      </w:r>
    </w:p>
    <w:p w:rsidR="00675365" w:rsidRPr="0056261A" w:rsidRDefault="00737A12" w:rsidP="00932681">
      <w:pPr>
        <w:spacing w:after="0"/>
        <w:jc w:val="both"/>
        <w:rPr>
          <w:rFonts w:ascii="Arial" w:hAnsi="Arial" w:cs="Arial"/>
          <w:color w:val="000000"/>
          <w:sz w:val="24"/>
          <w:szCs w:val="24"/>
        </w:rPr>
      </w:pPr>
      <w:r w:rsidRPr="0056261A">
        <w:rPr>
          <w:rFonts w:ascii="Arial" w:hAnsi="Arial" w:cs="Arial"/>
          <w:color w:val="000000"/>
          <w:sz w:val="24"/>
          <w:szCs w:val="24"/>
        </w:rPr>
        <w:t>I</w:t>
      </w:r>
      <w:r w:rsidR="00FA02B9" w:rsidRPr="0056261A">
        <w:rPr>
          <w:rFonts w:ascii="Arial" w:hAnsi="Arial" w:cs="Arial"/>
          <w:color w:val="000000"/>
          <w:sz w:val="24"/>
          <w:szCs w:val="24"/>
        </w:rPr>
        <w:t xml:space="preserve">n tal modo sarebbe </w:t>
      </w:r>
      <w:r w:rsidRPr="0056261A">
        <w:rPr>
          <w:rFonts w:ascii="Arial" w:hAnsi="Arial" w:cs="Arial"/>
          <w:color w:val="000000"/>
          <w:sz w:val="24"/>
          <w:szCs w:val="24"/>
        </w:rPr>
        <w:t xml:space="preserve">quindi </w:t>
      </w:r>
      <w:r w:rsidR="00FA02B9" w:rsidRPr="0056261A">
        <w:rPr>
          <w:rFonts w:ascii="Arial" w:hAnsi="Arial" w:cs="Arial"/>
          <w:color w:val="000000"/>
          <w:sz w:val="24"/>
          <w:szCs w:val="24"/>
        </w:rPr>
        <w:t xml:space="preserve">garantito il diritto dei singoli </w:t>
      </w:r>
      <w:r w:rsidRPr="0056261A">
        <w:rPr>
          <w:rFonts w:ascii="Arial" w:hAnsi="Arial" w:cs="Arial"/>
          <w:color w:val="000000"/>
          <w:sz w:val="24"/>
          <w:szCs w:val="24"/>
        </w:rPr>
        <w:t xml:space="preserve">operatori anche in relazione ai contrapposti </w:t>
      </w:r>
      <w:r w:rsidR="00FA02B9" w:rsidRPr="0056261A">
        <w:rPr>
          <w:rFonts w:ascii="Arial" w:hAnsi="Arial" w:cs="Arial"/>
          <w:color w:val="000000"/>
          <w:sz w:val="24"/>
          <w:szCs w:val="24"/>
        </w:rPr>
        <w:t>interessi pubblici</w:t>
      </w:r>
      <w:r w:rsidRPr="0056261A">
        <w:rPr>
          <w:rFonts w:ascii="Arial" w:hAnsi="Arial" w:cs="Arial"/>
          <w:color w:val="000000"/>
          <w:sz w:val="24"/>
          <w:szCs w:val="24"/>
        </w:rPr>
        <w:t>,</w:t>
      </w:r>
      <w:r w:rsidR="00FA02B9" w:rsidRPr="0056261A">
        <w:rPr>
          <w:rFonts w:ascii="Arial" w:hAnsi="Arial" w:cs="Arial"/>
          <w:color w:val="000000"/>
          <w:sz w:val="24"/>
          <w:szCs w:val="24"/>
        </w:rPr>
        <w:t xml:space="preserve"> che comunque non possono considerarsi recessivi e debbono </w:t>
      </w:r>
      <w:r w:rsidRPr="0056261A">
        <w:rPr>
          <w:rFonts w:ascii="Arial" w:hAnsi="Arial" w:cs="Arial"/>
          <w:color w:val="000000"/>
          <w:sz w:val="24"/>
          <w:szCs w:val="24"/>
        </w:rPr>
        <w:t xml:space="preserve">essere efficacemente e concretamente </w:t>
      </w:r>
      <w:r w:rsidR="00FA02B9" w:rsidRPr="0056261A">
        <w:rPr>
          <w:rFonts w:ascii="Arial" w:hAnsi="Arial" w:cs="Arial"/>
          <w:color w:val="000000"/>
          <w:sz w:val="24"/>
          <w:szCs w:val="24"/>
        </w:rPr>
        <w:t>tutela</w:t>
      </w:r>
      <w:r w:rsidRPr="0056261A">
        <w:rPr>
          <w:rFonts w:ascii="Arial" w:hAnsi="Arial" w:cs="Arial"/>
          <w:color w:val="000000"/>
          <w:sz w:val="24"/>
          <w:szCs w:val="24"/>
        </w:rPr>
        <w:t>ti</w:t>
      </w:r>
      <w:r w:rsidR="00932681">
        <w:rPr>
          <w:rFonts w:ascii="Arial" w:hAnsi="Arial" w:cs="Arial"/>
          <w:color w:val="000000"/>
          <w:sz w:val="24"/>
          <w:szCs w:val="24"/>
        </w:rPr>
        <w:t>(</w:t>
      </w:r>
      <w:r w:rsidR="00390B04" w:rsidRPr="0056261A">
        <w:rPr>
          <w:rStyle w:val="Rimandonotaapidipagina"/>
          <w:rFonts w:ascii="Arial" w:hAnsi="Arial" w:cs="Arial"/>
          <w:color w:val="000000"/>
          <w:sz w:val="24"/>
          <w:szCs w:val="24"/>
        </w:rPr>
        <w:footnoteReference w:id="85"/>
      </w:r>
      <w:r w:rsidR="00932681">
        <w:rPr>
          <w:rFonts w:ascii="Arial" w:hAnsi="Arial" w:cs="Arial"/>
          <w:color w:val="000000"/>
          <w:sz w:val="24"/>
          <w:szCs w:val="24"/>
        </w:rPr>
        <w:t>)</w:t>
      </w:r>
      <w:r w:rsidR="00FA02B9" w:rsidRPr="0056261A">
        <w:rPr>
          <w:rFonts w:ascii="Arial" w:hAnsi="Arial" w:cs="Arial"/>
          <w:color w:val="000000"/>
          <w:sz w:val="24"/>
          <w:szCs w:val="24"/>
        </w:rPr>
        <w:t>.</w:t>
      </w:r>
    </w:p>
    <w:p w:rsidR="00FA02B9" w:rsidRPr="0056261A" w:rsidRDefault="00FA02B9" w:rsidP="00932681">
      <w:pPr>
        <w:spacing w:after="0"/>
        <w:jc w:val="both"/>
        <w:rPr>
          <w:rFonts w:ascii="Arial" w:hAnsi="Arial" w:cs="Arial"/>
          <w:color w:val="000000"/>
          <w:sz w:val="24"/>
          <w:szCs w:val="24"/>
        </w:rPr>
      </w:pPr>
      <w:r w:rsidRPr="0056261A">
        <w:rPr>
          <w:rFonts w:ascii="Arial" w:hAnsi="Arial" w:cs="Arial"/>
          <w:color w:val="000000"/>
          <w:sz w:val="24"/>
          <w:szCs w:val="24"/>
        </w:rPr>
        <w:t xml:space="preserve">L’altro aspetto di rilievo emerso nella giurisprudenza che si è occupata del dispacciamento è l’aspetto legato alla ipotizzata violazione del </w:t>
      </w:r>
      <w:r w:rsidRPr="0056261A">
        <w:rPr>
          <w:rFonts w:ascii="Arial" w:hAnsi="Arial" w:cs="Arial"/>
          <w:sz w:val="24"/>
          <w:szCs w:val="24"/>
        </w:rPr>
        <w:t xml:space="preserve">principio del </w:t>
      </w:r>
      <w:r w:rsidRPr="0056261A">
        <w:rPr>
          <w:rFonts w:ascii="Arial" w:hAnsi="Arial" w:cs="Arial"/>
          <w:i/>
          <w:sz w:val="24"/>
          <w:szCs w:val="24"/>
        </w:rPr>
        <w:t>ne bis in idem</w:t>
      </w:r>
      <w:r w:rsidRPr="0056261A">
        <w:rPr>
          <w:rFonts w:ascii="Arial" w:hAnsi="Arial" w:cs="Arial"/>
          <w:sz w:val="24"/>
          <w:szCs w:val="24"/>
        </w:rPr>
        <w:t>: si è posto il problema se sanzionando in via pecuniaria gli stessi comportamenti già oggetto di provvedimenti</w:t>
      </w:r>
      <w:r w:rsidR="00063275" w:rsidRPr="0056261A">
        <w:rPr>
          <w:rFonts w:ascii="Arial" w:hAnsi="Arial" w:cs="Arial"/>
          <w:sz w:val="24"/>
          <w:szCs w:val="24"/>
        </w:rPr>
        <w:t xml:space="preserve">, sempre di carattere pecuniario, </w:t>
      </w:r>
      <w:r w:rsidRPr="0056261A">
        <w:rPr>
          <w:rFonts w:ascii="Arial" w:hAnsi="Arial" w:cs="Arial"/>
          <w:sz w:val="24"/>
          <w:szCs w:val="24"/>
        </w:rPr>
        <w:t>di tipo prescrittivo, non fosse stato nella sostanza punito due volte lo stesso comportamento.</w:t>
      </w:r>
    </w:p>
    <w:p w:rsidR="00E039D1" w:rsidRPr="0056261A" w:rsidRDefault="00AA623B" w:rsidP="00932681">
      <w:pPr>
        <w:spacing w:after="0"/>
        <w:jc w:val="both"/>
        <w:rPr>
          <w:rFonts w:ascii="Arial" w:hAnsi="Arial" w:cs="Arial"/>
          <w:sz w:val="24"/>
          <w:szCs w:val="24"/>
        </w:rPr>
      </w:pPr>
      <w:r w:rsidRPr="0056261A">
        <w:rPr>
          <w:rFonts w:ascii="Arial" w:hAnsi="Arial" w:cs="Arial"/>
          <w:sz w:val="24"/>
          <w:szCs w:val="24"/>
        </w:rPr>
        <w:t xml:space="preserve">La giurisprudenza ha ritenuto </w:t>
      </w:r>
      <w:r w:rsidR="007F61E7" w:rsidRPr="0056261A">
        <w:rPr>
          <w:rFonts w:ascii="Arial" w:hAnsi="Arial" w:cs="Arial"/>
          <w:sz w:val="24"/>
          <w:szCs w:val="24"/>
        </w:rPr>
        <w:t>non emerge</w:t>
      </w:r>
      <w:r w:rsidRPr="0056261A">
        <w:rPr>
          <w:rFonts w:ascii="Arial" w:hAnsi="Arial" w:cs="Arial"/>
          <w:sz w:val="24"/>
          <w:szCs w:val="24"/>
        </w:rPr>
        <w:t>re</w:t>
      </w:r>
      <w:r w:rsidR="007F61E7" w:rsidRPr="0056261A">
        <w:rPr>
          <w:rFonts w:ascii="Arial" w:hAnsi="Arial" w:cs="Arial"/>
          <w:sz w:val="24"/>
          <w:szCs w:val="24"/>
        </w:rPr>
        <w:t xml:space="preserve"> alcuna </w:t>
      </w:r>
      <w:r w:rsidR="006A42D6" w:rsidRPr="0056261A">
        <w:rPr>
          <w:rFonts w:ascii="Arial" w:hAnsi="Arial" w:cs="Arial"/>
          <w:sz w:val="24"/>
          <w:szCs w:val="24"/>
        </w:rPr>
        <w:t xml:space="preserve">violazione del </w:t>
      </w:r>
      <w:r w:rsidR="007F61E7" w:rsidRPr="0056261A">
        <w:rPr>
          <w:rFonts w:ascii="Arial" w:hAnsi="Arial" w:cs="Arial"/>
          <w:sz w:val="24"/>
          <w:szCs w:val="24"/>
        </w:rPr>
        <w:t xml:space="preserve">citato </w:t>
      </w:r>
      <w:r w:rsidR="006A42D6" w:rsidRPr="0056261A">
        <w:rPr>
          <w:rFonts w:ascii="Arial" w:hAnsi="Arial" w:cs="Arial"/>
          <w:sz w:val="24"/>
          <w:szCs w:val="24"/>
        </w:rPr>
        <w:t>principio</w:t>
      </w:r>
      <w:r w:rsidR="00063275" w:rsidRPr="0056261A">
        <w:rPr>
          <w:rFonts w:ascii="Arial" w:hAnsi="Arial" w:cs="Arial"/>
          <w:sz w:val="24"/>
          <w:szCs w:val="24"/>
        </w:rPr>
        <w:t>,</w:t>
      </w:r>
      <w:r w:rsidR="006A42D6" w:rsidRPr="0056261A">
        <w:rPr>
          <w:rFonts w:ascii="Arial" w:hAnsi="Arial" w:cs="Arial"/>
          <w:sz w:val="24"/>
          <w:szCs w:val="24"/>
        </w:rPr>
        <w:t xml:space="preserve"> </w:t>
      </w:r>
      <w:r w:rsidR="007F61E7" w:rsidRPr="0056261A">
        <w:rPr>
          <w:rFonts w:ascii="Arial" w:hAnsi="Arial" w:cs="Arial"/>
          <w:sz w:val="24"/>
          <w:szCs w:val="24"/>
        </w:rPr>
        <w:t>i</w:t>
      </w:r>
      <w:r w:rsidR="00B32FBB" w:rsidRPr="0056261A">
        <w:rPr>
          <w:rFonts w:ascii="Arial" w:hAnsi="Arial" w:cs="Arial"/>
          <w:sz w:val="24"/>
          <w:szCs w:val="24"/>
        </w:rPr>
        <w:t xml:space="preserve">n ragione </w:t>
      </w:r>
      <w:r w:rsidR="00063275" w:rsidRPr="0056261A">
        <w:rPr>
          <w:rFonts w:ascii="Arial" w:hAnsi="Arial" w:cs="Arial"/>
          <w:sz w:val="24"/>
          <w:szCs w:val="24"/>
        </w:rPr>
        <w:t xml:space="preserve">della </w:t>
      </w:r>
      <w:r w:rsidR="00680461" w:rsidRPr="0056261A">
        <w:rPr>
          <w:rFonts w:ascii="Arial" w:hAnsi="Arial" w:cs="Arial"/>
          <w:sz w:val="24"/>
          <w:szCs w:val="24"/>
        </w:rPr>
        <w:t>non</w:t>
      </w:r>
      <w:r w:rsidR="00063275" w:rsidRPr="0056261A">
        <w:rPr>
          <w:rFonts w:ascii="Arial" w:hAnsi="Arial" w:cs="Arial"/>
          <w:sz w:val="24"/>
          <w:szCs w:val="24"/>
        </w:rPr>
        <w:t xml:space="preserve"> </w:t>
      </w:r>
      <w:r w:rsidR="006A42D6" w:rsidRPr="0056261A">
        <w:rPr>
          <w:rFonts w:ascii="Arial" w:hAnsi="Arial" w:cs="Arial"/>
          <w:sz w:val="24"/>
          <w:szCs w:val="24"/>
        </w:rPr>
        <w:t>sovrappo</w:t>
      </w:r>
      <w:r w:rsidR="00680461" w:rsidRPr="0056261A">
        <w:rPr>
          <w:rFonts w:ascii="Arial" w:hAnsi="Arial" w:cs="Arial"/>
          <w:sz w:val="24"/>
          <w:szCs w:val="24"/>
        </w:rPr>
        <w:t>nibilità</w:t>
      </w:r>
      <w:r w:rsidR="00063275" w:rsidRPr="0056261A">
        <w:rPr>
          <w:rFonts w:ascii="Arial" w:hAnsi="Arial" w:cs="Arial"/>
          <w:sz w:val="24"/>
          <w:szCs w:val="24"/>
        </w:rPr>
        <w:t xml:space="preserve"> d</w:t>
      </w:r>
      <w:r w:rsidR="00680461" w:rsidRPr="0056261A">
        <w:rPr>
          <w:rFonts w:ascii="Arial" w:hAnsi="Arial" w:cs="Arial"/>
          <w:sz w:val="24"/>
          <w:szCs w:val="24"/>
        </w:rPr>
        <w:t>elle</w:t>
      </w:r>
      <w:r w:rsidR="006A42D6" w:rsidRPr="0056261A">
        <w:rPr>
          <w:rFonts w:ascii="Arial" w:hAnsi="Arial" w:cs="Arial"/>
          <w:sz w:val="24"/>
          <w:szCs w:val="24"/>
        </w:rPr>
        <w:t xml:space="preserve"> misure </w:t>
      </w:r>
      <w:r w:rsidR="007F61E7" w:rsidRPr="0056261A">
        <w:rPr>
          <w:rFonts w:ascii="Arial" w:hAnsi="Arial" w:cs="Arial"/>
          <w:sz w:val="24"/>
          <w:szCs w:val="24"/>
        </w:rPr>
        <w:t>di carattere restitutorio</w:t>
      </w:r>
      <w:r w:rsidR="006A42D6" w:rsidRPr="0056261A">
        <w:rPr>
          <w:rFonts w:ascii="Arial" w:hAnsi="Arial" w:cs="Arial"/>
          <w:sz w:val="24"/>
          <w:szCs w:val="24"/>
        </w:rPr>
        <w:t xml:space="preserve"> imposte agli operatori del mercato dell’energia elettrica con le connesse, ma distinte, misure sanzionatorie, legate alla violazione degli obblighi di diligenza nell’ambito del servizio di dispacciamento </w:t>
      </w:r>
      <w:r w:rsidR="005045E4" w:rsidRPr="0056261A">
        <w:rPr>
          <w:rFonts w:ascii="Arial" w:hAnsi="Arial" w:cs="Arial"/>
          <w:sz w:val="24"/>
          <w:szCs w:val="24"/>
        </w:rPr>
        <w:t>attraverso la realizzazione di una sistematica a</w:t>
      </w:r>
      <w:r w:rsidR="007F61E7" w:rsidRPr="0056261A">
        <w:rPr>
          <w:rFonts w:ascii="Arial" w:hAnsi="Arial" w:cs="Arial"/>
          <w:sz w:val="24"/>
          <w:szCs w:val="24"/>
        </w:rPr>
        <w:t>ttività di sbilanciamento</w:t>
      </w:r>
      <w:r w:rsidR="00932681">
        <w:rPr>
          <w:rFonts w:ascii="Arial" w:hAnsi="Arial" w:cs="Arial"/>
          <w:sz w:val="24"/>
          <w:szCs w:val="24"/>
        </w:rPr>
        <w:t>(</w:t>
      </w:r>
      <w:r w:rsidR="007F61E7" w:rsidRPr="0056261A">
        <w:rPr>
          <w:rStyle w:val="Rimandonotaapidipagina"/>
          <w:rFonts w:ascii="Arial" w:hAnsi="Arial" w:cs="Arial"/>
          <w:sz w:val="24"/>
          <w:szCs w:val="24"/>
        </w:rPr>
        <w:footnoteReference w:id="86"/>
      </w:r>
      <w:r w:rsidR="00932681">
        <w:rPr>
          <w:rFonts w:ascii="Arial" w:hAnsi="Arial" w:cs="Arial"/>
          <w:sz w:val="24"/>
          <w:szCs w:val="24"/>
        </w:rPr>
        <w:t>)</w:t>
      </w:r>
      <w:r w:rsidR="007F61E7" w:rsidRPr="0056261A">
        <w:rPr>
          <w:rFonts w:ascii="Arial" w:hAnsi="Arial" w:cs="Arial"/>
          <w:sz w:val="24"/>
          <w:szCs w:val="24"/>
        </w:rPr>
        <w:t>.</w:t>
      </w:r>
    </w:p>
    <w:p w:rsidR="003B3551" w:rsidRPr="0056261A" w:rsidRDefault="00E039D1" w:rsidP="00932681">
      <w:pPr>
        <w:spacing w:after="0"/>
        <w:jc w:val="both"/>
        <w:rPr>
          <w:rFonts w:ascii="Arial" w:hAnsi="Arial" w:cs="Arial"/>
          <w:sz w:val="24"/>
          <w:szCs w:val="24"/>
        </w:rPr>
      </w:pPr>
      <w:r w:rsidRPr="0056261A">
        <w:rPr>
          <w:rFonts w:ascii="Arial" w:hAnsi="Arial" w:cs="Arial"/>
          <w:sz w:val="24"/>
          <w:szCs w:val="24"/>
        </w:rPr>
        <w:t xml:space="preserve">L’insussistenza di una indebita duplicazione emerge, quindi, dalla diversa natura dei provvedimenti. L’atto prescrittivo è, infatti, estraneo alla materia sanzionatoria, </w:t>
      </w:r>
      <w:r w:rsidR="00B32FBB" w:rsidRPr="0056261A">
        <w:rPr>
          <w:rFonts w:ascii="Arial" w:hAnsi="Arial" w:cs="Arial"/>
          <w:sz w:val="24"/>
          <w:szCs w:val="24"/>
        </w:rPr>
        <w:t>tenuto conto che</w:t>
      </w:r>
      <w:r w:rsidRPr="0056261A">
        <w:rPr>
          <w:rFonts w:ascii="Arial" w:hAnsi="Arial" w:cs="Arial"/>
          <w:sz w:val="24"/>
          <w:szCs w:val="24"/>
        </w:rPr>
        <w:t xml:space="preserve"> secondo la giurispruden</w:t>
      </w:r>
      <w:r w:rsidR="00932681">
        <w:rPr>
          <w:rFonts w:ascii="Arial" w:hAnsi="Arial" w:cs="Arial"/>
          <w:sz w:val="24"/>
          <w:szCs w:val="24"/>
        </w:rPr>
        <w:t>za della Corte EDU</w:t>
      </w:r>
      <w:r w:rsidR="00B32FBB" w:rsidRPr="0056261A">
        <w:rPr>
          <w:rFonts w:ascii="Arial" w:hAnsi="Arial" w:cs="Arial"/>
          <w:sz w:val="24"/>
          <w:szCs w:val="24"/>
        </w:rPr>
        <w:t>, non posso</w:t>
      </w:r>
      <w:r w:rsidRPr="0056261A">
        <w:rPr>
          <w:rFonts w:ascii="Arial" w:hAnsi="Arial" w:cs="Arial"/>
          <w:sz w:val="24"/>
          <w:szCs w:val="24"/>
        </w:rPr>
        <w:t xml:space="preserve">no essere ritenute di natura </w:t>
      </w:r>
      <w:r w:rsidRPr="00932681">
        <w:rPr>
          <w:rFonts w:ascii="Arial" w:hAnsi="Arial" w:cs="Arial"/>
          <w:sz w:val="24"/>
          <w:szCs w:val="24"/>
        </w:rPr>
        <w:t>“penale”</w:t>
      </w:r>
      <w:r w:rsidRPr="0056261A">
        <w:rPr>
          <w:rFonts w:ascii="Arial" w:hAnsi="Arial" w:cs="Arial"/>
          <w:sz w:val="24"/>
          <w:szCs w:val="24"/>
        </w:rPr>
        <w:t xml:space="preserve"> sanzioni aventi un carattere meramente risarcitorio o ripristinatorio</w:t>
      </w:r>
      <w:r w:rsidR="00932681">
        <w:rPr>
          <w:rFonts w:ascii="Arial" w:hAnsi="Arial" w:cs="Arial"/>
          <w:sz w:val="24"/>
          <w:szCs w:val="24"/>
        </w:rPr>
        <w:t>(</w:t>
      </w:r>
      <w:r w:rsidR="00842A62" w:rsidRPr="0056261A">
        <w:rPr>
          <w:rStyle w:val="Rimandonotaapidipagina"/>
          <w:rFonts w:ascii="Arial" w:hAnsi="Arial" w:cs="Arial"/>
          <w:sz w:val="24"/>
          <w:szCs w:val="24"/>
        </w:rPr>
        <w:footnoteReference w:id="87"/>
      </w:r>
      <w:r w:rsidR="00932681">
        <w:rPr>
          <w:rFonts w:ascii="Arial" w:hAnsi="Arial" w:cs="Arial"/>
          <w:sz w:val="24"/>
          <w:szCs w:val="24"/>
        </w:rPr>
        <w:t>)</w:t>
      </w:r>
      <w:r w:rsidRPr="0056261A">
        <w:rPr>
          <w:rFonts w:ascii="Arial" w:hAnsi="Arial" w:cs="Arial"/>
          <w:sz w:val="24"/>
          <w:szCs w:val="24"/>
        </w:rPr>
        <w:t>, come que</w:t>
      </w:r>
      <w:r w:rsidR="00932681">
        <w:rPr>
          <w:rFonts w:ascii="Arial" w:hAnsi="Arial" w:cs="Arial"/>
          <w:sz w:val="24"/>
          <w:szCs w:val="24"/>
        </w:rPr>
        <w:t>lla adottata da ARERA</w:t>
      </w:r>
      <w:r w:rsidRPr="0056261A">
        <w:rPr>
          <w:rFonts w:ascii="Arial" w:hAnsi="Arial" w:cs="Arial"/>
          <w:sz w:val="24"/>
          <w:szCs w:val="24"/>
        </w:rPr>
        <w:t>, che in tal modo mira esclusivamente al riequilibrio di una partita economica alterata dalla condotta dell</w:t>
      </w:r>
      <w:r w:rsidR="00B32FBB" w:rsidRPr="0056261A">
        <w:rPr>
          <w:rFonts w:ascii="Arial" w:hAnsi="Arial" w:cs="Arial"/>
          <w:sz w:val="24"/>
          <w:szCs w:val="24"/>
        </w:rPr>
        <w:t>’operatore</w:t>
      </w:r>
      <w:r w:rsidR="00932681">
        <w:rPr>
          <w:rFonts w:ascii="Arial" w:hAnsi="Arial" w:cs="Arial"/>
          <w:sz w:val="24"/>
          <w:szCs w:val="24"/>
        </w:rPr>
        <w:t>(</w:t>
      </w:r>
      <w:r w:rsidRPr="0056261A">
        <w:rPr>
          <w:rStyle w:val="Rimandonotaapidipagina"/>
          <w:rFonts w:ascii="Arial" w:hAnsi="Arial" w:cs="Arial"/>
          <w:sz w:val="24"/>
          <w:szCs w:val="24"/>
        </w:rPr>
        <w:footnoteReference w:id="88"/>
      </w:r>
      <w:r w:rsidR="00932681">
        <w:rPr>
          <w:rFonts w:ascii="Arial" w:hAnsi="Arial" w:cs="Arial"/>
          <w:sz w:val="24"/>
          <w:szCs w:val="24"/>
        </w:rPr>
        <w:t>)</w:t>
      </w:r>
      <w:r w:rsidRPr="0056261A">
        <w:rPr>
          <w:rFonts w:ascii="Arial" w:hAnsi="Arial" w:cs="Arial"/>
          <w:sz w:val="24"/>
          <w:szCs w:val="24"/>
        </w:rPr>
        <w:t>.</w:t>
      </w:r>
    </w:p>
    <w:p w:rsidR="00063275" w:rsidRPr="0056261A" w:rsidRDefault="0006553A" w:rsidP="00932681">
      <w:pPr>
        <w:spacing w:after="0"/>
        <w:jc w:val="both"/>
        <w:rPr>
          <w:rFonts w:ascii="Arial" w:hAnsi="Arial" w:cs="Arial"/>
          <w:sz w:val="24"/>
          <w:szCs w:val="24"/>
        </w:rPr>
      </w:pPr>
      <w:r w:rsidRPr="0056261A">
        <w:rPr>
          <w:rFonts w:ascii="Arial" w:hAnsi="Arial" w:cs="Arial"/>
          <w:sz w:val="24"/>
          <w:szCs w:val="24"/>
        </w:rPr>
        <w:t xml:space="preserve">In ogni caso, </w:t>
      </w:r>
      <w:r w:rsidR="00932681">
        <w:rPr>
          <w:rFonts w:ascii="Arial" w:hAnsi="Arial" w:cs="Arial"/>
          <w:sz w:val="24"/>
          <w:szCs w:val="24"/>
        </w:rPr>
        <w:t>la giurisprudenza della Corte EDU</w:t>
      </w:r>
      <w:r w:rsidRPr="0056261A">
        <w:rPr>
          <w:rFonts w:ascii="Arial" w:hAnsi="Arial" w:cs="Arial"/>
          <w:sz w:val="24"/>
          <w:szCs w:val="24"/>
        </w:rPr>
        <w:t xml:space="preserve"> ha chiarito che il principio del </w:t>
      </w:r>
      <w:r w:rsidRPr="0056261A">
        <w:rPr>
          <w:rFonts w:ascii="Arial" w:hAnsi="Arial" w:cs="Arial"/>
          <w:i/>
          <w:sz w:val="24"/>
          <w:szCs w:val="24"/>
        </w:rPr>
        <w:t>ne bis in idem</w:t>
      </w:r>
      <w:r w:rsidRPr="0056261A">
        <w:rPr>
          <w:rFonts w:ascii="Arial" w:hAnsi="Arial" w:cs="Arial"/>
          <w:sz w:val="24"/>
          <w:szCs w:val="24"/>
        </w:rPr>
        <w:t xml:space="preserve"> opera soltanto in presenza di </w:t>
      </w:r>
      <w:r w:rsidR="00680461" w:rsidRPr="0056261A">
        <w:rPr>
          <w:rFonts w:ascii="Arial" w:hAnsi="Arial" w:cs="Arial"/>
          <w:sz w:val="24"/>
          <w:szCs w:val="24"/>
        </w:rPr>
        <w:t>una pluralità di accuse penali che riguardano l’</w:t>
      </w:r>
      <w:r w:rsidRPr="0056261A">
        <w:rPr>
          <w:rFonts w:ascii="Arial" w:hAnsi="Arial" w:cs="Arial"/>
          <w:sz w:val="24"/>
          <w:szCs w:val="24"/>
        </w:rPr>
        <w:t>avvi</w:t>
      </w:r>
      <w:r w:rsidR="00680461" w:rsidRPr="0056261A">
        <w:rPr>
          <w:rFonts w:ascii="Arial" w:hAnsi="Arial" w:cs="Arial"/>
          <w:sz w:val="24"/>
          <w:szCs w:val="24"/>
        </w:rPr>
        <w:t>o di</w:t>
      </w:r>
      <w:r w:rsidRPr="0056261A">
        <w:rPr>
          <w:rFonts w:ascii="Arial" w:hAnsi="Arial" w:cs="Arial"/>
          <w:sz w:val="24"/>
          <w:szCs w:val="24"/>
        </w:rPr>
        <w:t xml:space="preserve"> un nuovo procedimento (o processo) a carico di un soggetto che è già stato giudicato con un provvedimento definitivo</w:t>
      </w:r>
      <w:r w:rsidR="00680461" w:rsidRPr="0056261A">
        <w:rPr>
          <w:rFonts w:ascii="Arial" w:hAnsi="Arial" w:cs="Arial"/>
          <w:sz w:val="24"/>
          <w:szCs w:val="24"/>
        </w:rPr>
        <w:t xml:space="preserve">; si è </w:t>
      </w:r>
      <w:r w:rsidRPr="0056261A">
        <w:rPr>
          <w:rFonts w:ascii="Arial" w:hAnsi="Arial" w:cs="Arial"/>
          <w:sz w:val="24"/>
          <w:szCs w:val="24"/>
        </w:rPr>
        <w:t>chiar</w:t>
      </w:r>
      <w:r w:rsidR="00680461" w:rsidRPr="0056261A">
        <w:rPr>
          <w:rFonts w:ascii="Arial" w:hAnsi="Arial" w:cs="Arial"/>
          <w:sz w:val="24"/>
          <w:szCs w:val="24"/>
        </w:rPr>
        <w:t xml:space="preserve">ito </w:t>
      </w:r>
      <w:r w:rsidRPr="0056261A">
        <w:rPr>
          <w:rFonts w:ascii="Arial" w:hAnsi="Arial" w:cs="Arial"/>
          <w:sz w:val="24"/>
          <w:szCs w:val="24"/>
        </w:rPr>
        <w:t>che uno Stato può imporre una doppia sanzione per gli stessi fatti solo a condizione che la prima sanzione non sia di natura penale</w:t>
      </w:r>
      <w:r w:rsidR="00680461" w:rsidRPr="0056261A">
        <w:rPr>
          <w:rFonts w:ascii="Arial" w:hAnsi="Arial" w:cs="Arial"/>
          <w:sz w:val="24"/>
          <w:szCs w:val="24"/>
        </w:rPr>
        <w:t xml:space="preserve">, pur </w:t>
      </w:r>
      <w:r w:rsidRPr="0056261A">
        <w:rPr>
          <w:rFonts w:ascii="Arial" w:hAnsi="Arial" w:cs="Arial"/>
          <w:sz w:val="24"/>
          <w:szCs w:val="24"/>
        </w:rPr>
        <w:t>non sussiste</w:t>
      </w:r>
      <w:r w:rsidR="00680461" w:rsidRPr="0056261A">
        <w:rPr>
          <w:rFonts w:ascii="Arial" w:hAnsi="Arial" w:cs="Arial"/>
          <w:sz w:val="24"/>
          <w:szCs w:val="24"/>
        </w:rPr>
        <w:t>ndo</w:t>
      </w:r>
      <w:r w:rsidRPr="0056261A">
        <w:rPr>
          <w:rFonts w:ascii="Arial" w:hAnsi="Arial" w:cs="Arial"/>
          <w:sz w:val="24"/>
          <w:szCs w:val="24"/>
        </w:rPr>
        <w:t xml:space="preserve"> il divieto di una seconda condanna o di una seconda assoluzione, ma solo quello </w:t>
      </w:r>
      <w:r w:rsidR="00680461" w:rsidRPr="0056261A">
        <w:rPr>
          <w:rFonts w:ascii="Arial" w:hAnsi="Arial" w:cs="Arial"/>
          <w:sz w:val="24"/>
          <w:szCs w:val="24"/>
        </w:rPr>
        <w:t xml:space="preserve">di avviare </w:t>
      </w:r>
      <w:r w:rsidRPr="0056261A">
        <w:rPr>
          <w:rFonts w:ascii="Arial" w:hAnsi="Arial" w:cs="Arial"/>
          <w:sz w:val="24"/>
          <w:szCs w:val="24"/>
        </w:rPr>
        <w:t>nuove a</w:t>
      </w:r>
      <w:r w:rsidR="00E474C4" w:rsidRPr="0056261A">
        <w:rPr>
          <w:rFonts w:ascii="Arial" w:hAnsi="Arial" w:cs="Arial"/>
          <w:sz w:val="24"/>
          <w:szCs w:val="24"/>
        </w:rPr>
        <w:t>zioni penali</w:t>
      </w:r>
      <w:r w:rsidR="00932681">
        <w:rPr>
          <w:rFonts w:ascii="Arial" w:hAnsi="Arial" w:cs="Arial"/>
          <w:sz w:val="24"/>
          <w:szCs w:val="24"/>
        </w:rPr>
        <w:t>(</w:t>
      </w:r>
      <w:r w:rsidR="00E474C4" w:rsidRPr="0056261A">
        <w:rPr>
          <w:rStyle w:val="Rimandonotaapidipagina"/>
          <w:rFonts w:ascii="Arial" w:hAnsi="Arial" w:cs="Arial"/>
          <w:sz w:val="24"/>
          <w:szCs w:val="24"/>
        </w:rPr>
        <w:footnoteReference w:id="89"/>
      </w:r>
      <w:r w:rsidR="00932681">
        <w:rPr>
          <w:rFonts w:ascii="Arial" w:hAnsi="Arial" w:cs="Arial"/>
          <w:sz w:val="24"/>
          <w:szCs w:val="24"/>
        </w:rPr>
        <w:t>)</w:t>
      </w:r>
      <w:r w:rsidR="00E474C4" w:rsidRPr="0056261A">
        <w:rPr>
          <w:rFonts w:ascii="Arial" w:hAnsi="Arial" w:cs="Arial"/>
          <w:sz w:val="24"/>
          <w:szCs w:val="24"/>
        </w:rPr>
        <w:t>.</w:t>
      </w:r>
    </w:p>
    <w:p w:rsidR="003E033A" w:rsidRDefault="00AA623B" w:rsidP="00932681">
      <w:pPr>
        <w:spacing w:after="0"/>
        <w:jc w:val="both"/>
        <w:rPr>
          <w:rFonts w:ascii="Arial" w:hAnsi="Arial" w:cs="Arial"/>
          <w:sz w:val="24"/>
          <w:szCs w:val="24"/>
        </w:rPr>
      </w:pPr>
      <w:r w:rsidRPr="0056261A">
        <w:rPr>
          <w:rFonts w:ascii="Arial" w:hAnsi="Arial" w:cs="Arial"/>
          <w:sz w:val="24"/>
          <w:szCs w:val="24"/>
        </w:rPr>
        <w:t xml:space="preserve">Un </w:t>
      </w:r>
      <w:r w:rsidR="003E033A" w:rsidRPr="0056261A">
        <w:rPr>
          <w:rFonts w:ascii="Arial" w:hAnsi="Arial" w:cs="Arial"/>
          <w:sz w:val="24"/>
          <w:szCs w:val="24"/>
        </w:rPr>
        <w:t>ult</w:t>
      </w:r>
      <w:r w:rsidRPr="0056261A">
        <w:rPr>
          <w:rFonts w:ascii="Arial" w:hAnsi="Arial" w:cs="Arial"/>
          <w:sz w:val="24"/>
          <w:szCs w:val="24"/>
        </w:rPr>
        <w:t>eriore ambito di interesse può essere riferito all</w:t>
      </w:r>
      <w:r w:rsidR="003E033A" w:rsidRPr="0056261A">
        <w:rPr>
          <w:rFonts w:ascii="Arial" w:hAnsi="Arial" w:cs="Arial"/>
          <w:sz w:val="24"/>
          <w:szCs w:val="24"/>
        </w:rPr>
        <w:t>’attività dell’Autorità in ordine alla determinazione della tariffa idrica</w:t>
      </w:r>
      <w:r w:rsidR="00932681">
        <w:rPr>
          <w:rFonts w:ascii="Arial" w:hAnsi="Arial" w:cs="Arial"/>
          <w:sz w:val="24"/>
          <w:szCs w:val="24"/>
        </w:rPr>
        <w:t>(</w:t>
      </w:r>
      <w:r w:rsidR="00E60705" w:rsidRPr="0056261A">
        <w:rPr>
          <w:rStyle w:val="Rimandonotaapidipagina"/>
          <w:rFonts w:ascii="Arial" w:hAnsi="Arial" w:cs="Arial"/>
          <w:sz w:val="24"/>
          <w:szCs w:val="24"/>
        </w:rPr>
        <w:footnoteReference w:id="90"/>
      </w:r>
      <w:r w:rsidR="00932681">
        <w:rPr>
          <w:rFonts w:ascii="Arial" w:hAnsi="Arial" w:cs="Arial"/>
          <w:sz w:val="24"/>
          <w:szCs w:val="24"/>
        </w:rPr>
        <w:t>)</w:t>
      </w:r>
      <w:r w:rsidR="003E033A" w:rsidRPr="0056261A">
        <w:rPr>
          <w:rFonts w:ascii="Arial" w:hAnsi="Arial" w:cs="Arial"/>
          <w:sz w:val="24"/>
          <w:szCs w:val="24"/>
        </w:rPr>
        <w:t xml:space="preserve">, che avviene d’ufficio attraverso una determinazione forfettaria con applicazione del fattore theta 0,9 – pari al </w:t>
      </w:r>
      <w:r w:rsidR="00932681">
        <w:rPr>
          <w:rFonts w:ascii="Arial" w:hAnsi="Arial" w:cs="Arial"/>
          <w:sz w:val="24"/>
          <w:szCs w:val="24"/>
        </w:rPr>
        <w:t>novanta per cento</w:t>
      </w:r>
      <w:r w:rsidR="003E033A" w:rsidRPr="0056261A">
        <w:rPr>
          <w:rFonts w:ascii="Arial" w:hAnsi="Arial" w:cs="Arial"/>
          <w:sz w:val="24"/>
          <w:szCs w:val="24"/>
        </w:rPr>
        <w:t xml:space="preserve"> della tariffa in vigore nel precedente</w:t>
      </w:r>
      <w:r w:rsidR="00B221C1" w:rsidRPr="0056261A">
        <w:rPr>
          <w:rFonts w:ascii="Arial" w:hAnsi="Arial" w:cs="Arial"/>
          <w:sz w:val="24"/>
          <w:szCs w:val="24"/>
        </w:rPr>
        <w:t xml:space="preserve"> periodo tariffario</w:t>
      </w:r>
      <w:r w:rsidR="003E033A" w:rsidRPr="0056261A">
        <w:rPr>
          <w:rFonts w:ascii="Arial" w:hAnsi="Arial" w:cs="Arial"/>
          <w:sz w:val="24"/>
          <w:szCs w:val="24"/>
        </w:rPr>
        <w:t xml:space="preserve"> – nel caso in cui non vengano trasmessi i dati necessari per procedere all’approvazione ordinaria. Anche in tale frangente, la giurisprudenza si è divisa sul corretto procedimento da seguire e sulle relative conseguenze. Da una parte si è sostenuto che in mancanza della trasmissione dei dati da parte dei gestori del servizio, non è data che </w:t>
      </w:r>
      <w:r w:rsidR="003E033A" w:rsidRPr="00932681">
        <w:rPr>
          <w:rFonts w:ascii="Arial" w:hAnsi="Arial" w:cs="Arial"/>
          <w:sz w:val="24"/>
          <w:szCs w:val="24"/>
        </w:rPr>
        <w:t>“un’alternativa secca: o i dati fornitile sono esaurienti, e allora l’Autorità è tenuta ad approvare la tariffa proposta; o i dati stessi esaurienti non sono, e allora l’Autorità procede a determinarla con i criteri ufficiosi fissati nei termini visti. Non si dà una terza possibilità intermedia, in cui l’Autorità non approva la tariffa, ma la determina essa stessa in base a criteri diversi da quello officioso in questione, quali che essi siano</w:t>
      </w:r>
      <w:r w:rsidR="003E033A" w:rsidRPr="0056261A">
        <w:rPr>
          <w:rFonts w:ascii="Arial" w:hAnsi="Arial" w:cs="Arial"/>
          <w:sz w:val="24"/>
          <w:szCs w:val="24"/>
        </w:rPr>
        <w:t>”</w:t>
      </w:r>
      <w:r w:rsidR="00932681">
        <w:rPr>
          <w:rFonts w:ascii="Arial" w:hAnsi="Arial" w:cs="Arial"/>
          <w:sz w:val="24"/>
          <w:szCs w:val="24"/>
        </w:rPr>
        <w:t>(</w:t>
      </w:r>
      <w:r w:rsidR="003E033A" w:rsidRPr="0056261A">
        <w:rPr>
          <w:rStyle w:val="Rimandonotaapidipagina"/>
          <w:rFonts w:ascii="Arial" w:hAnsi="Arial" w:cs="Arial"/>
          <w:sz w:val="24"/>
          <w:szCs w:val="24"/>
        </w:rPr>
        <w:footnoteReference w:id="91"/>
      </w:r>
      <w:r w:rsidR="00932681">
        <w:rPr>
          <w:rFonts w:ascii="Arial" w:hAnsi="Arial" w:cs="Arial"/>
          <w:sz w:val="24"/>
          <w:szCs w:val="24"/>
        </w:rPr>
        <w:t>)</w:t>
      </w:r>
      <w:r w:rsidR="00B221C1" w:rsidRPr="0056261A">
        <w:rPr>
          <w:rFonts w:ascii="Arial" w:hAnsi="Arial" w:cs="Arial"/>
          <w:sz w:val="24"/>
          <w:szCs w:val="24"/>
        </w:rPr>
        <w:t xml:space="preserve">; in senso opposto, si è evidenziato come </w:t>
      </w:r>
      <w:r w:rsidR="003550B6" w:rsidRPr="0056261A">
        <w:rPr>
          <w:rFonts w:ascii="Arial" w:hAnsi="Arial" w:cs="Arial"/>
          <w:sz w:val="24"/>
          <w:szCs w:val="24"/>
        </w:rPr>
        <w:t>la normativa di settore preveda che l</w:t>
      </w:r>
      <w:r w:rsidR="00B221C1" w:rsidRPr="0056261A">
        <w:rPr>
          <w:rFonts w:ascii="Arial" w:hAnsi="Arial" w:cs="Arial"/>
          <w:sz w:val="24"/>
          <w:szCs w:val="24"/>
        </w:rPr>
        <w:t>a determinazione d’ufficio delle tariffe</w:t>
      </w:r>
      <w:r w:rsidR="00932681">
        <w:rPr>
          <w:rFonts w:ascii="Arial" w:hAnsi="Arial" w:cs="Arial"/>
          <w:sz w:val="24"/>
          <w:szCs w:val="24"/>
        </w:rPr>
        <w:t>(</w:t>
      </w:r>
      <w:r w:rsidR="003550B6" w:rsidRPr="0056261A">
        <w:rPr>
          <w:rStyle w:val="Rimandonotaapidipagina"/>
          <w:rFonts w:ascii="Arial" w:hAnsi="Arial" w:cs="Arial"/>
          <w:sz w:val="24"/>
          <w:szCs w:val="24"/>
        </w:rPr>
        <w:footnoteReference w:id="92"/>
      </w:r>
      <w:r w:rsidR="00932681">
        <w:rPr>
          <w:rFonts w:ascii="Arial" w:hAnsi="Arial" w:cs="Arial"/>
          <w:sz w:val="24"/>
          <w:szCs w:val="24"/>
        </w:rPr>
        <w:t>)</w:t>
      </w:r>
      <w:r w:rsidR="00B221C1" w:rsidRPr="0056261A">
        <w:rPr>
          <w:rFonts w:ascii="Arial" w:hAnsi="Arial" w:cs="Arial"/>
          <w:sz w:val="24"/>
          <w:szCs w:val="24"/>
        </w:rPr>
        <w:t xml:space="preserve"> </w:t>
      </w:r>
      <w:r w:rsidR="00D36542" w:rsidRPr="0056261A">
        <w:rPr>
          <w:rFonts w:ascii="Arial" w:hAnsi="Arial" w:cs="Arial"/>
          <w:sz w:val="24"/>
          <w:szCs w:val="24"/>
        </w:rPr>
        <w:t xml:space="preserve">debba avvenire </w:t>
      </w:r>
      <w:r w:rsidR="00B221C1" w:rsidRPr="0056261A">
        <w:rPr>
          <w:rFonts w:ascii="Arial" w:hAnsi="Arial" w:cs="Arial"/>
          <w:sz w:val="24"/>
          <w:szCs w:val="24"/>
        </w:rPr>
        <w:t>“</w:t>
      </w:r>
      <w:r w:rsidR="00B221C1" w:rsidRPr="00932681">
        <w:rPr>
          <w:rFonts w:ascii="Arial" w:hAnsi="Arial" w:cs="Arial"/>
          <w:sz w:val="24"/>
          <w:szCs w:val="24"/>
        </w:rPr>
        <w:t xml:space="preserve">sulla base delle </w:t>
      </w:r>
      <w:r w:rsidR="00D36542" w:rsidRPr="00932681">
        <w:rPr>
          <w:rFonts w:ascii="Arial" w:hAnsi="Arial" w:cs="Arial"/>
          <w:sz w:val="24"/>
          <w:szCs w:val="24"/>
        </w:rPr>
        <w:t>informazioni disponibili”</w:t>
      </w:r>
      <w:r w:rsidR="00D36542" w:rsidRPr="0056261A">
        <w:rPr>
          <w:rFonts w:ascii="Arial" w:hAnsi="Arial" w:cs="Arial"/>
          <w:sz w:val="24"/>
          <w:szCs w:val="24"/>
        </w:rPr>
        <w:t xml:space="preserve"> e comunque si de</w:t>
      </w:r>
      <w:r w:rsidR="00137173" w:rsidRPr="0056261A">
        <w:rPr>
          <w:rFonts w:ascii="Arial" w:hAnsi="Arial" w:cs="Arial"/>
          <w:sz w:val="24"/>
          <w:szCs w:val="24"/>
        </w:rPr>
        <w:t>bba</w:t>
      </w:r>
      <w:r w:rsidR="00D36542" w:rsidRPr="0056261A">
        <w:rPr>
          <w:rFonts w:ascii="Arial" w:hAnsi="Arial" w:cs="Arial"/>
          <w:sz w:val="24"/>
          <w:szCs w:val="24"/>
        </w:rPr>
        <w:t xml:space="preserve"> </w:t>
      </w:r>
      <w:r w:rsidR="00B221C1" w:rsidRPr="0056261A">
        <w:rPr>
          <w:rFonts w:ascii="Arial" w:hAnsi="Arial" w:cs="Arial"/>
          <w:sz w:val="24"/>
          <w:szCs w:val="24"/>
        </w:rPr>
        <w:t>provvede</w:t>
      </w:r>
      <w:r w:rsidR="00D36542" w:rsidRPr="0056261A">
        <w:rPr>
          <w:rFonts w:ascii="Arial" w:hAnsi="Arial" w:cs="Arial"/>
          <w:sz w:val="24"/>
          <w:szCs w:val="24"/>
        </w:rPr>
        <w:t>re</w:t>
      </w:r>
      <w:r w:rsidR="00B221C1" w:rsidRPr="0056261A">
        <w:rPr>
          <w:rFonts w:ascii="Arial" w:hAnsi="Arial" w:cs="Arial"/>
          <w:sz w:val="24"/>
          <w:szCs w:val="24"/>
        </w:rPr>
        <w:t xml:space="preserve"> in</w:t>
      </w:r>
      <w:r w:rsidR="00D36542" w:rsidRPr="0056261A">
        <w:rPr>
          <w:rFonts w:ascii="Arial" w:hAnsi="Arial" w:cs="Arial"/>
          <w:sz w:val="24"/>
          <w:szCs w:val="24"/>
        </w:rPr>
        <w:t xml:space="preserve"> tal senso </w:t>
      </w:r>
      <w:r w:rsidR="00B221C1" w:rsidRPr="0056261A">
        <w:rPr>
          <w:rFonts w:ascii="Arial" w:hAnsi="Arial" w:cs="Arial"/>
          <w:sz w:val="24"/>
          <w:szCs w:val="24"/>
        </w:rPr>
        <w:t xml:space="preserve">sulla base delle informazioni disponibili, </w:t>
      </w:r>
      <w:r w:rsidR="00D36542" w:rsidRPr="0056261A">
        <w:rPr>
          <w:rFonts w:ascii="Arial" w:hAnsi="Arial" w:cs="Arial"/>
          <w:sz w:val="24"/>
          <w:szCs w:val="24"/>
        </w:rPr>
        <w:t xml:space="preserve">anche </w:t>
      </w:r>
      <w:r w:rsidR="00B221C1" w:rsidRPr="0056261A">
        <w:rPr>
          <w:rFonts w:ascii="Arial" w:hAnsi="Arial" w:cs="Arial"/>
          <w:sz w:val="24"/>
          <w:szCs w:val="24"/>
        </w:rPr>
        <w:t>in un’ottica di tutela degli utenti.</w:t>
      </w:r>
      <w:r w:rsidR="00D36542" w:rsidRPr="0056261A">
        <w:rPr>
          <w:rFonts w:ascii="Arial" w:hAnsi="Arial" w:cs="Arial"/>
          <w:sz w:val="24"/>
          <w:szCs w:val="24"/>
        </w:rPr>
        <w:t xml:space="preserve"> Del resto, i</w:t>
      </w:r>
      <w:r w:rsidR="00B221C1" w:rsidRPr="0056261A">
        <w:rPr>
          <w:rFonts w:ascii="Arial" w:hAnsi="Arial" w:cs="Arial"/>
          <w:sz w:val="24"/>
          <w:szCs w:val="24"/>
        </w:rPr>
        <w:t xml:space="preserve">l principio della integrale copertura dei costi – </w:t>
      </w:r>
      <w:r w:rsidR="00B221C1" w:rsidRPr="00932681">
        <w:rPr>
          <w:rFonts w:ascii="Arial" w:hAnsi="Arial" w:cs="Arial"/>
          <w:i/>
          <w:sz w:val="24"/>
          <w:szCs w:val="24"/>
        </w:rPr>
        <w:t>“</w:t>
      </w:r>
      <w:r w:rsidR="00B221C1" w:rsidRPr="0056261A">
        <w:rPr>
          <w:rFonts w:ascii="Arial" w:hAnsi="Arial" w:cs="Arial"/>
          <w:i/>
          <w:sz w:val="24"/>
          <w:szCs w:val="24"/>
        </w:rPr>
        <w:t xml:space="preserve">full </w:t>
      </w:r>
      <w:proofErr w:type="spellStart"/>
      <w:r w:rsidR="00B221C1" w:rsidRPr="0056261A">
        <w:rPr>
          <w:rFonts w:ascii="Arial" w:hAnsi="Arial" w:cs="Arial"/>
          <w:i/>
          <w:sz w:val="24"/>
          <w:szCs w:val="24"/>
        </w:rPr>
        <w:t>cost</w:t>
      </w:r>
      <w:proofErr w:type="spellEnd"/>
      <w:r w:rsidR="00B221C1" w:rsidRPr="0056261A">
        <w:rPr>
          <w:rFonts w:ascii="Arial" w:hAnsi="Arial" w:cs="Arial"/>
          <w:i/>
          <w:sz w:val="24"/>
          <w:szCs w:val="24"/>
        </w:rPr>
        <w:t xml:space="preserve"> </w:t>
      </w:r>
      <w:proofErr w:type="spellStart"/>
      <w:r w:rsidR="00B221C1" w:rsidRPr="0056261A">
        <w:rPr>
          <w:rFonts w:ascii="Arial" w:hAnsi="Arial" w:cs="Arial"/>
          <w:i/>
          <w:sz w:val="24"/>
          <w:szCs w:val="24"/>
        </w:rPr>
        <w:t>recovery</w:t>
      </w:r>
      <w:proofErr w:type="spellEnd"/>
      <w:r w:rsidR="00B221C1" w:rsidRPr="00932681">
        <w:rPr>
          <w:rFonts w:ascii="Arial" w:hAnsi="Arial" w:cs="Arial"/>
          <w:i/>
          <w:sz w:val="24"/>
          <w:szCs w:val="24"/>
        </w:rPr>
        <w:t>”</w:t>
      </w:r>
      <w:r w:rsidR="00932681">
        <w:rPr>
          <w:rStyle w:val="Rimandonotaapidipagina"/>
          <w:rFonts w:ascii="Arial" w:hAnsi="Arial" w:cs="Arial"/>
          <w:sz w:val="24"/>
          <w:szCs w:val="24"/>
        </w:rPr>
        <w:t>(</w:t>
      </w:r>
      <w:r w:rsidR="00D36542" w:rsidRPr="0056261A">
        <w:rPr>
          <w:rStyle w:val="Rimandonotaapidipagina"/>
          <w:rFonts w:ascii="Arial" w:hAnsi="Arial" w:cs="Arial"/>
          <w:sz w:val="24"/>
          <w:szCs w:val="24"/>
        </w:rPr>
        <w:footnoteReference w:id="93"/>
      </w:r>
      <w:r w:rsidR="00932681">
        <w:rPr>
          <w:rStyle w:val="Rimandonotaapidipagina"/>
          <w:rFonts w:ascii="Arial" w:hAnsi="Arial" w:cs="Arial"/>
          <w:sz w:val="24"/>
          <w:szCs w:val="24"/>
        </w:rPr>
        <w:t>)</w:t>
      </w:r>
      <w:r w:rsidR="00D36542" w:rsidRPr="0056261A">
        <w:rPr>
          <w:rFonts w:ascii="Arial" w:hAnsi="Arial" w:cs="Arial"/>
          <w:sz w:val="24"/>
          <w:szCs w:val="24"/>
        </w:rPr>
        <w:t xml:space="preserve"> – imporrebbe </w:t>
      </w:r>
      <w:r w:rsidR="006F73D5" w:rsidRPr="0056261A">
        <w:rPr>
          <w:rFonts w:ascii="Arial" w:hAnsi="Arial" w:cs="Arial"/>
          <w:sz w:val="24"/>
          <w:szCs w:val="24"/>
        </w:rPr>
        <w:t>una valutazione in concreto e il più</w:t>
      </w:r>
      <w:r w:rsidR="00B221C1" w:rsidRPr="0056261A">
        <w:rPr>
          <w:rFonts w:ascii="Arial" w:hAnsi="Arial" w:cs="Arial"/>
          <w:sz w:val="24"/>
          <w:szCs w:val="24"/>
        </w:rPr>
        <w:t xml:space="preserve"> possibile </w:t>
      </w:r>
      <w:r w:rsidR="006F73D5" w:rsidRPr="0056261A">
        <w:rPr>
          <w:rFonts w:ascii="Arial" w:hAnsi="Arial" w:cs="Arial"/>
          <w:sz w:val="24"/>
          <w:szCs w:val="24"/>
        </w:rPr>
        <w:t xml:space="preserve">legata ai dati disponibili. Tale misura poi non dovrebbe avere </w:t>
      </w:r>
      <w:r w:rsidR="00B221C1" w:rsidRPr="0056261A">
        <w:rPr>
          <w:rFonts w:ascii="Arial" w:hAnsi="Arial" w:cs="Arial"/>
          <w:sz w:val="24"/>
          <w:szCs w:val="24"/>
        </w:rPr>
        <w:t xml:space="preserve">un carattere sanzionatorio, </w:t>
      </w:r>
      <w:r w:rsidR="006F73D5" w:rsidRPr="0056261A">
        <w:rPr>
          <w:rFonts w:ascii="Arial" w:hAnsi="Arial" w:cs="Arial"/>
          <w:sz w:val="24"/>
          <w:szCs w:val="24"/>
        </w:rPr>
        <w:t>in quanto f</w:t>
      </w:r>
      <w:r w:rsidR="00B221C1" w:rsidRPr="0056261A">
        <w:rPr>
          <w:rFonts w:ascii="Arial" w:hAnsi="Arial" w:cs="Arial"/>
          <w:sz w:val="24"/>
          <w:szCs w:val="24"/>
        </w:rPr>
        <w:t>inalizzata all’individuazione della tariffa più aderente possibile ai costi reali</w:t>
      </w:r>
      <w:r w:rsidR="006F73D5" w:rsidRPr="0056261A">
        <w:rPr>
          <w:rFonts w:ascii="Arial" w:hAnsi="Arial" w:cs="Arial"/>
          <w:sz w:val="24"/>
          <w:szCs w:val="24"/>
        </w:rPr>
        <w:t>, come appare dimostrato dall’</w:t>
      </w:r>
      <w:r w:rsidR="00B221C1" w:rsidRPr="0056261A">
        <w:rPr>
          <w:rFonts w:ascii="Arial" w:hAnsi="Arial" w:cs="Arial"/>
          <w:sz w:val="24"/>
          <w:szCs w:val="24"/>
        </w:rPr>
        <w:t xml:space="preserve">art. 2.8 della delibera </w:t>
      </w:r>
      <w:r w:rsidR="006F73D5" w:rsidRPr="0056261A">
        <w:rPr>
          <w:rFonts w:ascii="Arial" w:hAnsi="Arial" w:cs="Arial"/>
          <w:sz w:val="24"/>
          <w:szCs w:val="24"/>
        </w:rPr>
        <w:t xml:space="preserve">dell’Autorità </w:t>
      </w:r>
      <w:r w:rsidR="00B221C1" w:rsidRPr="0056261A">
        <w:rPr>
          <w:rFonts w:ascii="Arial" w:hAnsi="Arial" w:cs="Arial"/>
          <w:sz w:val="24"/>
          <w:szCs w:val="24"/>
        </w:rPr>
        <w:t xml:space="preserve">n. 347 del 2012 che stabilisce la necessità di individuare </w:t>
      </w:r>
      <w:r w:rsidR="00B221C1" w:rsidRPr="00932681">
        <w:rPr>
          <w:rFonts w:ascii="Arial" w:hAnsi="Arial" w:cs="Arial"/>
          <w:sz w:val="24"/>
          <w:szCs w:val="24"/>
        </w:rPr>
        <w:t xml:space="preserve">“criteri per la determinazione d’ufficio delle tariffe </w:t>
      </w:r>
      <w:r w:rsidR="00932681">
        <w:rPr>
          <w:rFonts w:ascii="Arial" w:hAnsi="Arial" w:cs="Arial"/>
          <w:sz w:val="24"/>
          <w:szCs w:val="24"/>
        </w:rPr>
        <w:t>(</w:t>
      </w:r>
      <w:r w:rsidR="00B221C1" w:rsidRPr="00932681">
        <w:rPr>
          <w:rFonts w:ascii="Arial" w:hAnsi="Arial" w:cs="Arial"/>
          <w:sz w:val="24"/>
          <w:szCs w:val="24"/>
        </w:rPr>
        <w:t>…</w:t>
      </w:r>
      <w:r w:rsidR="00932681">
        <w:rPr>
          <w:rFonts w:ascii="Arial" w:hAnsi="Arial" w:cs="Arial"/>
          <w:sz w:val="24"/>
          <w:szCs w:val="24"/>
        </w:rPr>
        <w:t>)</w:t>
      </w:r>
      <w:r w:rsidR="00B221C1" w:rsidRPr="00932681">
        <w:rPr>
          <w:rFonts w:ascii="Arial" w:hAnsi="Arial" w:cs="Arial"/>
          <w:sz w:val="24"/>
          <w:szCs w:val="24"/>
        </w:rPr>
        <w:t xml:space="preserve"> tali da disincentivare comportamenti opportunistici da parte dei gestori”</w:t>
      </w:r>
      <w:r w:rsidR="006F73D5" w:rsidRPr="00932681">
        <w:rPr>
          <w:rFonts w:ascii="Arial" w:hAnsi="Arial" w:cs="Arial"/>
          <w:sz w:val="24"/>
          <w:szCs w:val="24"/>
        </w:rPr>
        <w:t>.</w:t>
      </w:r>
      <w:r w:rsidR="006F73D5" w:rsidRPr="0056261A">
        <w:rPr>
          <w:rFonts w:ascii="Arial" w:hAnsi="Arial" w:cs="Arial"/>
          <w:sz w:val="24"/>
          <w:szCs w:val="24"/>
        </w:rPr>
        <w:t xml:space="preserve"> La natura reale e non sanzionatoria della misura sembra avallata anche dalla circostanza </w:t>
      </w:r>
      <w:r w:rsidRPr="0056261A">
        <w:rPr>
          <w:rFonts w:ascii="Arial" w:hAnsi="Arial" w:cs="Arial"/>
          <w:sz w:val="24"/>
          <w:szCs w:val="24"/>
        </w:rPr>
        <w:t xml:space="preserve">che, per ragioni opportunistiche, </w:t>
      </w:r>
      <w:r w:rsidR="006F73D5" w:rsidRPr="0056261A">
        <w:rPr>
          <w:rFonts w:ascii="Arial" w:hAnsi="Arial" w:cs="Arial"/>
          <w:sz w:val="24"/>
          <w:szCs w:val="24"/>
        </w:rPr>
        <w:t xml:space="preserve">i soggetti gestori, soprattutto se enti esponenziale della collettività, come ad esempio i Comuni, potrebbero avere interesse a non vedere incrementata la tariffa per ragioni </w:t>
      </w:r>
      <w:r w:rsidRPr="0056261A">
        <w:rPr>
          <w:rFonts w:ascii="Arial" w:hAnsi="Arial" w:cs="Arial"/>
          <w:sz w:val="24"/>
          <w:szCs w:val="24"/>
        </w:rPr>
        <w:t>estranee al rispetto de</w:t>
      </w:r>
      <w:r w:rsidR="006F73D5" w:rsidRPr="0056261A">
        <w:rPr>
          <w:rFonts w:ascii="Arial" w:hAnsi="Arial" w:cs="Arial"/>
          <w:sz w:val="24"/>
          <w:szCs w:val="24"/>
        </w:rPr>
        <w:t xml:space="preserve">i costi del servizio, </w:t>
      </w:r>
      <w:r w:rsidR="00D23108" w:rsidRPr="0056261A">
        <w:rPr>
          <w:rFonts w:ascii="Arial" w:hAnsi="Arial" w:cs="Arial"/>
          <w:sz w:val="24"/>
          <w:szCs w:val="24"/>
        </w:rPr>
        <w:t>perseguendo finalità</w:t>
      </w:r>
      <w:r w:rsidR="006F73D5" w:rsidRPr="0056261A">
        <w:rPr>
          <w:rFonts w:ascii="Arial" w:hAnsi="Arial" w:cs="Arial"/>
          <w:sz w:val="24"/>
          <w:szCs w:val="24"/>
        </w:rPr>
        <w:t xml:space="preserve"> di altro genere, che potrebbero avere rilevanti ripercussioni sul sistema complessivo</w:t>
      </w:r>
      <w:r w:rsidR="00932681">
        <w:rPr>
          <w:rFonts w:ascii="Arial" w:hAnsi="Arial" w:cs="Arial"/>
          <w:sz w:val="24"/>
          <w:szCs w:val="24"/>
        </w:rPr>
        <w:t>(</w:t>
      </w:r>
      <w:r w:rsidR="00B221C1" w:rsidRPr="0056261A">
        <w:rPr>
          <w:rStyle w:val="Rimandonotaapidipagina"/>
          <w:rFonts w:ascii="Arial" w:hAnsi="Arial" w:cs="Arial"/>
          <w:sz w:val="24"/>
          <w:szCs w:val="24"/>
        </w:rPr>
        <w:footnoteReference w:id="94"/>
      </w:r>
      <w:r w:rsidR="00932681">
        <w:rPr>
          <w:rFonts w:ascii="Arial" w:hAnsi="Arial" w:cs="Arial"/>
          <w:sz w:val="24"/>
          <w:szCs w:val="24"/>
        </w:rPr>
        <w:t>)</w:t>
      </w:r>
      <w:r w:rsidR="00B221C1" w:rsidRPr="0056261A">
        <w:rPr>
          <w:rFonts w:ascii="Arial" w:hAnsi="Arial" w:cs="Arial"/>
          <w:sz w:val="24"/>
          <w:szCs w:val="24"/>
        </w:rPr>
        <w:t>.</w:t>
      </w:r>
      <w:r w:rsidR="006F73D5" w:rsidRPr="0056261A">
        <w:rPr>
          <w:rFonts w:ascii="Arial" w:hAnsi="Arial" w:cs="Arial"/>
          <w:sz w:val="24"/>
          <w:szCs w:val="24"/>
        </w:rPr>
        <w:t xml:space="preserve"> Appare evidente che la classificazione del potere dell’Autorità tra quelli sanzionatori in senso lato, oppure tra quelli di regolazione pura e semplice potrebbe avere conseguenze sulla conduzione </w:t>
      </w:r>
      <w:r w:rsidR="0087316B" w:rsidRPr="0056261A">
        <w:rPr>
          <w:rFonts w:ascii="Arial" w:hAnsi="Arial" w:cs="Arial"/>
          <w:sz w:val="24"/>
          <w:szCs w:val="24"/>
        </w:rPr>
        <w:t xml:space="preserve">(e qualificazione) </w:t>
      </w:r>
      <w:r w:rsidR="006F73D5" w:rsidRPr="0056261A">
        <w:rPr>
          <w:rFonts w:ascii="Arial" w:hAnsi="Arial" w:cs="Arial"/>
          <w:sz w:val="24"/>
          <w:szCs w:val="24"/>
        </w:rPr>
        <w:t xml:space="preserve">dei relativi procedimenti e sulle </w:t>
      </w:r>
      <w:r w:rsidRPr="0056261A">
        <w:rPr>
          <w:rFonts w:ascii="Arial" w:hAnsi="Arial" w:cs="Arial"/>
          <w:sz w:val="24"/>
          <w:szCs w:val="24"/>
        </w:rPr>
        <w:t>correlate</w:t>
      </w:r>
      <w:r w:rsidR="006F73D5" w:rsidRPr="0056261A">
        <w:rPr>
          <w:rFonts w:ascii="Arial" w:hAnsi="Arial" w:cs="Arial"/>
          <w:sz w:val="24"/>
          <w:szCs w:val="24"/>
        </w:rPr>
        <w:t xml:space="preserve"> d</w:t>
      </w:r>
      <w:r w:rsidR="00A2649C" w:rsidRPr="0056261A">
        <w:rPr>
          <w:rFonts w:ascii="Arial" w:hAnsi="Arial" w:cs="Arial"/>
          <w:sz w:val="24"/>
          <w:szCs w:val="24"/>
        </w:rPr>
        <w:t>e</w:t>
      </w:r>
      <w:r w:rsidR="006F73D5" w:rsidRPr="0056261A">
        <w:rPr>
          <w:rFonts w:ascii="Arial" w:hAnsi="Arial" w:cs="Arial"/>
          <w:sz w:val="24"/>
          <w:szCs w:val="24"/>
        </w:rPr>
        <w:t>terminazioni finali.</w:t>
      </w:r>
    </w:p>
    <w:p w:rsidR="00B97E9F" w:rsidRDefault="00B97E9F" w:rsidP="00932681">
      <w:pPr>
        <w:spacing w:after="0"/>
        <w:jc w:val="both"/>
        <w:rPr>
          <w:rFonts w:ascii="Arial" w:hAnsi="Arial" w:cs="Arial"/>
          <w:sz w:val="24"/>
          <w:szCs w:val="24"/>
        </w:rPr>
      </w:pPr>
    </w:p>
    <w:p w:rsidR="00B97E9F" w:rsidRPr="00B97E9F" w:rsidRDefault="00B97E9F" w:rsidP="00B97E9F">
      <w:pPr>
        <w:spacing w:after="0"/>
        <w:jc w:val="right"/>
        <w:rPr>
          <w:rFonts w:ascii="Arial" w:hAnsi="Arial" w:cs="Arial"/>
          <w:b/>
          <w:sz w:val="32"/>
          <w:szCs w:val="32"/>
        </w:rPr>
      </w:pPr>
      <w:r w:rsidRPr="00B97E9F">
        <w:rPr>
          <w:rFonts w:ascii="Arial" w:hAnsi="Arial" w:cs="Arial"/>
          <w:b/>
          <w:sz w:val="32"/>
          <w:szCs w:val="32"/>
        </w:rPr>
        <w:t>Antonio De Vita</w:t>
      </w:r>
    </w:p>
    <w:p w:rsidR="00B97E9F" w:rsidRDefault="00B97E9F" w:rsidP="00B97E9F">
      <w:pPr>
        <w:spacing w:after="0"/>
        <w:jc w:val="right"/>
        <w:rPr>
          <w:rFonts w:ascii="Arial" w:hAnsi="Arial" w:cs="Arial"/>
          <w:sz w:val="24"/>
          <w:szCs w:val="24"/>
        </w:rPr>
      </w:pPr>
      <w:r>
        <w:rPr>
          <w:rFonts w:ascii="Arial" w:hAnsi="Arial" w:cs="Arial"/>
          <w:sz w:val="24"/>
          <w:szCs w:val="24"/>
        </w:rPr>
        <w:t>Consigliere Tar</w:t>
      </w:r>
    </w:p>
    <w:p w:rsidR="00B97E9F" w:rsidRDefault="00B97E9F" w:rsidP="00B97E9F">
      <w:pPr>
        <w:spacing w:after="0"/>
        <w:jc w:val="right"/>
        <w:rPr>
          <w:rFonts w:ascii="Arial" w:hAnsi="Arial" w:cs="Arial"/>
          <w:sz w:val="24"/>
          <w:szCs w:val="24"/>
        </w:rPr>
      </w:pPr>
    </w:p>
    <w:p w:rsidR="00B97E9F" w:rsidRPr="0056261A" w:rsidRDefault="00B97E9F" w:rsidP="00B97E9F">
      <w:pPr>
        <w:spacing w:after="0"/>
        <w:jc w:val="right"/>
        <w:rPr>
          <w:rFonts w:ascii="Arial" w:hAnsi="Arial" w:cs="Arial"/>
          <w:sz w:val="24"/>
          <w:szCs w:val="24"/>
        </w:rPr>
      </w:pPr>
      <w:r>
        <w:rPr>
          <w:rFonts w:ascii="Arial" w:hAnsi="Arial" w:cs="Arial"/>
          <w:sz w:val="24"/>
          <w:szCs w:val="24"/>
        </w:rPr>
        <w:t>Pubblicato il 22 aprile 2020</w:t>
      </w:r>
    </w:p>
    <w:sectPr w:rsidR="00B97E9F" w:rsidRPr="0056261A" w:rsidSect="00251A7E">
      <w:footerReference w:type="default" r:id="rId8"/>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061" w:rsidRDefault="00ED3061" w:rsidP="003C29FC">
      <w:pPr>
        <w:spacing w:after="0" w:line="240" w:lineRule="auto"/>
      </w:pPr>
      <w:r>
        <w:separator/>
      </w:r>
    </w:p>
  </w:endnote>
  <w:endnote w:type="continuationSeparator" w:id="0">
    <w:p w:rsidR="00ED3061" w:rsidRDefault="00ED3061" w:rsidP="003C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646773"/>
      <w:docPartObj>
        <w:docPartGallery w:val="Page Numbers (Bottom of Page)"/>
        <w:docPartUnique/>
      </w:docPartObj>
    </w:sdtPr>
    <w:sdtEndPr/>
    <w:sdtContent>
      <w:p w:rsidR="00AC68CA" w:rsidRDefault="00AC68CA">
        <w:pPr>
          <w:pStyle w:val="Pidipagina"/>
          <w:jc w:val="center"/>
        </w:pPr>
        <w:r>
          <w:fldChar w:fldCharType="begin"/>
        </w:r>
        <w:r>
          <w:instrText>PAGE   \* MERGEFORMAT</w:instrText>
        </w:r>
        <w:r>
          <w:fldChar w:fldCharType="separate"/>
        </w:r>
        <w:r w:rsidR="00B97E9F">
          <w:rPr>
            <w:noProof/>
          </w:rPr>
          <w:t>20</w:t>
        </w:r>
        <w:r>
          <w:fldChar w:fldCharType="end"/>
        </w:r>
      </w:p>
    </w:sdtContent>
  </w:sdt>
  <w:p w:rsidR="00AC68CA" w:rsidRDefault="00AC68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061" w:rsidRDefault="00ED3061" w:rsidP="003C29FC">
      <w:pPr>
        <w:spacing w:after="0" w:line="240" w:lineRule="auto"/>
      </w:pPr>
      <w:r>
        <w:separator/>
      </w:r>
    </w:p>
  </w:footnote>
  <w:footnote w:type="continuationSeparator" w:id="0">
    <w:p w:rsidR="00ED3061" w:rsidRDefault="00ED3061" w:rsidP="003C29FC">
      <w:pPr>
        <w:spacing w:after="0" w:line="240" w:lineRule="auto"/>
      </w:pPr>
      <w:r>
        <w:continuationSeparator/>
      </w:r>
    </w:p>
  </w:footnote>
  <w:footnote w:id="1">
    <w:p w:rsidR="003E2B0A" w:rsidRPr="003E2B0A" w:rsidRDefault="003E2B0A" w:rsidP="003E2B0A">
      <w:pPr>
        <w:pStyle w:val="Testonotaapidipagina"/>
        <w:ind w:left="426"/>
        <w:jc w:val="both"/>
        <w:rPr>
          <w:rFonts w:ascii="Arial" w:hAnsi="Arial" w:cs="Arial"/>
          <w:b/>
          <w:u w:val="single"/>
        </w:rPr>
      </w:pPr>
      <w:r w:rsidRPr="003E2B0A">
        <w:rPr>
          <w:rFonts w:ascii="Arial" w:hAnsi="Arial" w:cs="Arial"/>
          <w:b/>
          <w:u w:val="single"/>
        </w:rPr>
        <w:t>Per concessione dell’editore viene pubblicato l’articolo “</w:t>
      </w:r>
      <w:r w:rsidRPr="003E2B0A">
        <w:rPr>
          <w:rFonts w:ascii="Arial" w:hAnsi="Arial" w:cs="Arial"/>
          <w:b/>
          <w:i/>
          <w:u w:val="single"/>
        </w:rPr>
        <w:t>Lo stato della giurisprudenza sulle sanzioni dell’Autorità di Regolazione per l’Energia Reti e Ambiente</w:t>
      </w:r>
      <w:r w:rsidRPr="003E2B0A">
        <w:rPr>
          <w:rFonts w:ascii="Arial" w:hAnsi="Arial" w:cs="Arial"/>
          <w:b/>
          <w:u w:val="single"/>
        </w:rPr>
        <w:t>” riportato nel numero 1/2020 della Rivista della Guardia di Finanza.</w:t>
      </w:r>
    </w:p>
    <w:p w:rsidR="00AC68CA" w:rsidRPr="0056261A" w:rsidRDefault="00AC68CA" w:rsidP="00251A7E">
      <w:pPr>
        <w:pStyle w:val="Testonotaapidipagina"/>
        <w:ind w:left="426" w:hanging="426"/>
        <w:jc w:val="both"/>
        <w:rPr>
          <w:rFonts w:ascii="Arial" w:hAnsi="Arial" w:cs="Arial"/>
        </w:rPr>
      </w:pPr>
      <w:r w:rsidRPr="0056261A">
        <w:rPr>
          <w:rFonts w:ascii="Arial" w:hAnsi="Arial" w:cs="Arial"/>
        </w:rPr>
        <w:t>* Magistrato</w:t>
      </w:r>
      <w:r>
        <w:rPr>
          <w:rFonts w:ascii="Arial" w:hAnsi="Arial" w:cs="Arial"/>
        </w:rPr>
        <w:t xml:space="preserve"> TAR Lombardia</w:t>
      </w:r>
      <w:r w:rsidRPr="0056261A">
        <w:rPr>
          <w:rFonts w:ascii="Arial" w:hAnsi="Arial" w:cs="Arial"/>
        </w:rPr>
        <w:t>.</w:t>
      </w:r>
    </w:p>
    <w:p w:rsidR="00AC68CA" w:rsidRPr="0056261A" w:rsidRDefault="00AC68CA" w:rsidP="00251A7E">
      <w:pPr>
        <w:pStyle w:val="Testonotaapidipagina"/>
        <w:ind w:left="426" w:hanging="426"/>
        <w:jc w:val="both"/>
        <w:rPr>
          <w:rFonts w:ascii="Arial" w:hAnsi="Arial" w:cs="Arial"/>
          <w:i/>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251A7E">
        <w:rPr>
          <w:rFonts w:ascii="Arial" w:hAnsi="Arial" w:cs="Arial"/>
        </w:rPr>
        <w:t>“I pubblici uffici sono organ</w:t>
      </w:r>
      <w:r>
        <w:rPr>
          <w:rFonts w:ascii="Arial" w:hAnsi="Arial" w:cs="Arial"/>
        </w:rPr>
        <w:t>izzati secondo disposizioni di Legge</w:t>
      </w:r>
      <w:r w:rsidRPr="00251A7E">
        <w:rPr>
          <w:rFonts w:ascii="Arial" w:hAnsi="Arial" w:cs="Arial"/>
        </w:rPr>
        <w:t>, in modo che siano assicurati il buon andamento e l’imparzialità dell’amministrazione.</w:t>
      </w:r>
      <w:r w:rsidRPr="0056261A">
        <w:rPr>
          <w:rFonts w:ascii="Arial" w:hAnsi="Arial" w:cs="Arial"/>
          <w:i/>
        </w:rPr>
        <w:t xml:space="preserve"> </w:t>
      </w:r>
    </w:p>
    <w:p w:rsidR="00AC68CA" w:rsidRPr="00251A7E" w:rsidRDefault="00AC68CA" w:rsidP="00251A7E">
      <w:pPr>
        <w:pStyle w:val="Testonotaapidipagina"/>
        <w:ind w:left="426"/>
        <w:jc w:val="both"/>
        <w:rPr>
          <w:rFonts w:ascii="Arial" w:hAnsi="Arial" w:cs="Arial"/>
        </w:rPr>
      </w:pPr>
      <w:r w:rsidRPr="00251A7E">
        <w:rPr>
          <w:rFonts w:ascii="Arial" w:hAnsi="Arial" w:cs="Arial"/>
        </w:rPr>
        <w:t>Nell’ordinamento degli uffici sono determinate le sfere di competenza, le attribuzioni e le responsabilità proprie dei funzionari”.</w:t>
      </w:r>
    </w:p>
    <w:p w:rsidR="00AC68CA" w:rsidRPr="0056261A" w:rsidRDefault="00AC68CA" w:rsidP="00251A7E">
      <w:pPr>
        <w:pStyle w:val="Testonotaapidipagina"/>
        <w:ind w:left="426"/>
        <w:jc w:val="both"/>
        <w:rPr>
          <w:rFonts w:ascii="Arial" w:hAnsi="Arial" w:cs="Arial"/>
        </w:rPr>
      </w:pPr>
      <w:r w:rsidRPr="0056261A">
        <w:rPr>
          <w:rFonts w:ascii="Arial" w:hAnsi="Arial" w:cs="Arial"/>
        </w:rPr>
        <w:t xml:space="preserve">Sul punto si veda anche l’art. 1, comma 1, della </w:t>
      </w:r>
      <w:r>
        <w:rPr>
          <w:rFonts w:ascii="Arial" w:hAnsi="Arial" w:cs="Arial"/>
        </w:rPr>
        <w:t>Legge</w:t>
      </w:r>
      <w:r w:rsidRPr="0056261A">
        <w:rPr>
          <w:rFonts w:ascii="Arial" w:hAnsi="Arial" w:cs="Arial"/>
        </w:rPr>
        <w:t xml:space="preserve"> n. 241 del 1990, a mente del quale </w:t>
      </w:r>
      <w:r w:rsidRPr="00251A7E">
        <w:rPr>
          <w:rFonts w:ascii="Arial" w:hAnsi="Arial" w:cs="Arial"/>
        </w:rPr>
        <w:t>“l’attività amministrativa per</w:t>
      </w:r>
      <w:r>
        <w:rPr>
          <w:rFonts w:ascii="Arial" w:hAnsi="Arial" w:cs="Arial"/>
        </w:rPr>
        <w:t>segue i fini determinati dalla Legge</w:t>
      </w:r>
      <w:r w:rsidRPr="00251A7E">
        <w:rPr>
          <w:rFonts w:ascii="Arial" w:hAnsi="Arial" w:cs="Arial"/>
        </w:rPr>
        <w:t xml:space="preserve"> ed è retta da criteri di economicità, di efficacia, di imparzialità, di pubblicità e di trasparenza, secondo le modalità previste dalla presente </w:t>
      </w:r>
      <w:r>
        <w:rPr>
          <w:rFonts w:ascii="Arial" w:hAnsi="Arial" w:cs="Arial"/>
        </w:rPr>
        <w:t>Legge</w:t>
      </w:r>
      <w:r w:rsidRPr="00251A7E">
        <w:rPr>
          <w:rFonts w:ascii="Arial" w:hAnsi="Arial" w:cs="Arial"/>
        </w:rPr>
        <w:t xml:space="preserve"> e dalle altre disposizioni che disciplinano singoli</w:t>
      </w:r>
      <w:r>
        <w:rPr>
          <w:rFonts w:ascii="Arial" w:hAnsi="Arial" w:cs="Arial"/>
        </w:rPr>
        <w:t xml:space="preserve"> procedimenti, nonché dai princì</w:t>
      </w:r>
      <w:r w:rsidRPr="00251A7E">
        <w:rPr>
          <w:rFonts w:ascii="Arial" w:hAnsi="Arial" w:cs="Arial"/>
        </w:rPr>
        <w:t>pi dell’ordinamento comunitario”;</w:t>
      </w:r>
      <w:r w:rsidRPr="0056261A">
        <w:rPr>
          <w:rFonts w:ascii="Arial" w:hAnsi="Arial" w:cs="Arial"/>
        </w:rPr>
        <w:t xml:space="preserve"> in dottrina, </w:t>
      </w:r>
      <w:r>
        <w:rPr>
          <w:rFonts w:ascii="Arial" w:hAnsi="Arial" w:cs="Arial"/>
          <w:smallCaps/>
        </w:rPr>
        <w:t>C.</w:t>
      </w:r>
      <w:r w:rsidRPr="0056261A">
        <w:rPr>
          <w:rFonts w:ascii="Arial" w:hAnsi="Arial" w:cs="Arial"/>
          <w:smallCaps/>
        </w:rPr>
        <w:t xml:space="preserve">E. </w:t>
      </w:r>
      <w:proofErr w:type="spellStart"/>
      <w:r w:rsidRPr="0056261A">
        <w:rPr>
          <w:rFonts w:ascii="Arial" w:hAnsi="Arial" w:cs="Arial"/>
          <w:smallCaps/>
        </w:rPr>
        <w:t>Paliero</w:t>
      </w:r>
      <w:proofErr w:type="spellEnd"/>
      <w:r w:rsidRPr="0056261A">
        <w:rPr>
          <w:rFonts w:ascii="Arial" w:hAnsi="Arial" w:cs="Arial"/>
          <w:smallCaps/>
        </w:rPr>
        <w:t xml:space="preserve"> </w:t>
      </w:r>
      <w:r>
        <w:rPr>
          <w:rFonts w:ascii="Arial" w:hAnsi="Arial" w:cs="Arial"/>
          <w:smallCaps/>
        </w:rPr>
        <w:t>–</w:t>
      </w:r>
      <w:r w:rsidRPr="0056261A">
        <w:rPr>
          <w:rFonts w:ascii="Arial" w:hAnsi="Arial" w:cs="Arial"/>
          <w:smallCaps/>
        </w:rPr>
        <w:t xml:space="preserve"> A. Travi</w:t>
      </w:r>
      <w:r w:rsidRPr="0056261A">
        <w:rPr>
          <w:rFonts w:ascii="Arial" w:hAnsi="Arial" w:cs="Arial"/>
        </w:rPr>
        <w:t xml:space="preserve">, </w:t>
      </w:r>
      <w:r w:rsidRPr="0056261A">
        <w:rPr>
          <w:rFonts w:ascii="Arial" w:hAnsi="Arial" w:cs="Arial"/>
          <w:i/>
        </w:rPr>
        <w:t>La sanzione amministrativa</w:t>
      </w:r>
      <w:r w:rsidRPr="0056261A">
        <w:rPr>
          <w:rFonts w:ascii="Arial" w:hAnsi="Arial" w:cs="Arial"/>
        </w:rPr>
        <w:t xml:space="preserve">, Milano, 1988, </w:t>
      </w:r>
      <w:r w:rsidRPr="0056261A">
        <w:rPr>
          <w:rFonts w:ascii="Arial" w:hAnsi="Arial" w:cs="Arial"/>
          <w:i/>
        </w:rPr>
        <w:t>passim</w:t>
      </w:r>
      <w:r w:rsidRPr="0056261A">
        <w:rPr>
          <w:rFonts w:ascii="Arial" w:hAnsi="Arial" w:cs="Arial"/>
        </w:rPr>
        <w:t>; M</w:t>
      </w:r>
      <w:r w:rsidRPr="0056261A">
        <w:rPr>
          <w:rFonts w:ascii="Arial" w:hAnsi="Arial" w:cs="Arial"/>
          <w:smallCaps/>
        </w:rPr>
        <w:t>. Allena</w:t>
      </w:r>
      <w:r w:rsidRPr="0056261A">
        <w:rPr>
          <w:rFonts w:ascii="Arial" w:hAnsi="Arial" w:cs="Arial"/>
        </w:rPr>
        <w:t xml:space="preserve">, </w:t>
      </w:r>
      <w:r w:rsidRPr="0056261A">
        <w:rPr>
          <w:rFonts w:ascii="Arial" w:hAnsi="Arial" w:cs="Arial"/>
          <w:i/>
        </w:rPr>
        <w:t>La sanzione amministrativa tra garan</w:t>
      </w:r>
      <w:r>
        <w:rPr>
          <w:rFonts w:ascii="Arial" w:hAnsi="Arial" w:cs="Arial"/>
          <w:i/>
        </w:rPr>
        <w:t>zie costituzionali e princì</w:t>
      </w:r>
      <w:r w:rsidRPr="0056261A">
        <w:rPr>
          <w:rFonts w:ascii="Arial" w:hAnsi="Arial" w:cs="Arial"/>
          <w:i/>
        </w:rPr>
        <w:t>pi CEDU: il problema della tassatività-determinatezza e la prevedibilità</w:t>
      </w:r>
      <w:r w:rsidRPr="0056261A">
        <w:rPr>
          <w:rFonts w:ascii="Arial" w:hAnsi="Arial" w:cs="Arial"/>
        </w:rPr>
        <w:t xml:space="preserve">, in </w:t>
      </w:r>
      <w:r w:rsidRPr="0056261A">
        <w:rPr>
          <w:rFonts w:ascii="Arial" w:hAnsi="Arial" w:cs="Arial"/>
          <w:i/>
        </w:rPr>
        <w:t>Federalismi</w:t>
      </w:r>
      <w:r w:rsidRPr="0056261A">
        <w:rPr>
          <w:rFonts w:ascii="Arial" w:hAnsi="Arial" w:cs="Arial"/>
        </w:rPr>
        <w:t>, 2017, n. 4, pp.</w:t>
      </w:r>
      <w:r w:rsidR="00BF1A81">
        <w:rPr>
          <w:rFonts w:ascii="Arial" w:hAnsi="Arial" w:cs="Arial"/>
        </w:rPr>
        <w:t xml:space="preserve"> </w:t>
      </w:r>
      <w:r w:rsidRPr="0056261A">
        <w:rPr>
          <w:rFonts w:ascii="Arial" w:hAnsi="Arial" w:cs="Arial"/>
        </w:rPr>
        <w:t>12-13.</w:t>
      </w:r>
    </w:p>
  </w:footnote>
  <w:footnote w:id="2">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smallCaps/>
        </w:rPr>
        <w:t>S.L. Vitale</w:t>
      </w:r>
      <w:r w:rsidRPr="0056261A">
        <w:rPr>
          <w:rFonts w:ascii="Arial" w:hAnsi="Arial" w:cs="Arial"/>
        </w:rPr>
        <w:t xml:space="preserve">, </w:t>
      </w:r>
      <w:r w:rsidRPr="0056261A">
        <w:rPr>
          <w:rFonts w:ascii="Arial" w:hAnsi="Arial" w:cs="Arial"/>
          <w:i/>
        </w:rPr>
        <w:t>Le sanzioni amministrative tra diritto nazionale e diritto europeo</w:t>
      </w:r>
      <w:r w:rsidRPr="0056261A">
        <w:rPr>
          <w:rFonts w:ascii="Arial" w:hAnsi="Arial" w:cs="Arial"/>
        </w:rPr>
        <w:t xml:space="preserve">, Torino, 2018, p. 35 ss.; sullo stretto rapporto tra l’attività di vigilanza (e </w:t>
      </w:r>
      <w:proofErr w:type="spellStart"/>
      <w:r w:rsidRPr="0056261A">
        <w:rPr>
          <w:rFonts w:ascii="Arial" w:hAnsi="Arial" w:cs="Arial"/>
        </w:rPr>
        <w:t>regolatoria</w:t>
      </w:r>
      <w:proofErr w:type="spellEnd"/>
      <w:r w:rsidRPr="0056261A">
        <w:rPr>
          <w:rFonts w:ascii="Arial" w:hAnsi="Arial" w:cs="Arial"/>
        </w:rPr>
        <w:t xml:space="preserve">) e quella sanzionatoria della </w:t>
      </w:r>
      <w:r>
        <w:rPr>
          <w:rFonts w:ascii="Arial" w:hAnsi="Arial" w:cs="Arial"/>
        </w:rPr>
        <w:t>CONSOB</w:t>
      </w:r>
      <w:r w:rsidRPr="0056261A">
        <w:rPr>
          <w:rFonts w:ascii="Arial" w:hAnsi="Arial" w:cs="Arial"/>
        </w:rPr>
        <w:t xml:space="preserve">, </w:t>
      </w:r>
      <w:r w:rsidRPr="0056261A">
        <w:rPr>
          <w:rFonts w:ascii="Arial" w:hAnsi="Arial" w:cs="Arial"/>
          <w:smallCaps/>
        </w:rPr>
        <w:t xml:space="preserve">W. </w:t>
      </w:r>
      <w:proofErr w:type="spellStart"/>
      <w:r w:rsidRPr="0056261A">
        <w:rPr>
          <w:rFonts w:ascii="Arial" w:hAnsi="Arial" w:cs="Arial"/>
          <w:smallCaps/>
        </w:rPr>
        <w:t>Troise</w:t>
      </w:r>
      <w:proofErr w:type="spellEnd"/>
      <w:r w:rsidRPr="0056261A">
        <w:rPr>
          <w:rFonts w:ascii="Arial" w:hAnsi="Arial" w:cs="Arial"/>
          <w:smallCaps/>
        </w:rPr>
        <w:t xml:space="preserve"> Mangoni</w:t>
      </w:r>
      <w:r w:rsidRPr="0056261A">
        <w:rPr>
          <w:rFonts w:ascii="Arial" w:hAnsi="Arial" w:cs="Arial"/>
        </w:rPr>
        <w:t xml:space="preserve">, </w:t>
      </w:r>
      <w:r w:rsidRPr="0056261A">
        <w:rPr>
          <w:rFonts w:ascii="Arial" w:hAnsi="Arial" w:cs="Arial"/>
          <w:i/>
        </w:rPr>
        <w:t xml:space="preserve">Le sanzioni irrogate dalla </w:t>
      </w:r>
      <w:r>
        <w:rPr>
          <w:rFonts w:ascii="Arial" w:hAnsi="Arial" w:cs="Arial"/>
          <w:i/>
        </w:rPr>
        <w:t>CONSOB</w:t>
      </w:r>
      <w:r w:rsidRPr="0056261A">
        <w:rPr>
          <w:rFonts w:ascii="Arial" w:hAnsi="Arial" w:cs="Arial"/>
          <w:i/>
        </w:rPr>
        <w:t xml:space="preserve"> e della Banca d’Italia: riflessi in tema di giurisdizione</w:t>
      </w:r>
      <w:r w:rsidRPr="0056261A">
        <w:rPr>
          <w:rFonts w:ascii="Arial" w:hAnsi="Arial" w:cs="Arial"/>
        </w:rPr>
        <w:t xml:space="preserve">, in </w:t>
      </w:r>
      <w:r w:rsidRPr="0056261A">
        <w:rPr>
          <w:rFonts w:ascii="Arial" w:hAnsi="Arial" w:cs="Arial"/>
          <w:i/>
        </w:rPr>
        <w:t xml:space="preserve">Dir. </w:t>
      </w:r>
      <w:proofErr w:type="spellStart"/>
      <w:r w:rsidRPr="0056261A">
        <w:rPr>
          <w:rFonts w:ascii="Arial" w:hAnsi="Arial" w:cs="Arial"/>
          <w:i/>
        </w:rPr>
        <w:t>amm</w:t>
      </w:r>
      <w:proofErr w:type="spellEnd"/>
      <w:r w:rsidRPr="0056261A">
        <w:rPr>
          <w:rFonts w:ascii="Arial" w:hAnsi="Arial" w:cs="Arial"/>
          <w:i/>
        </w:rPr>
        <w:t>.</w:t>
      </w:r>
      <w:r w:rsidRPr="0056261A">
        <w:rPr>
          <w:rFonts w:ascii="Arial" w:hAnsi="Arial" w:cs="Arial"/>
        </w:rPr>
        <w:t xml:space="preserve">, 2018, n. 1, pp. 39, 47; per una panoramica generale sulle sanzioni ripristinatorie, </w:t>
      </w:r>
      <w:r w:rsidRPr="0056261A">
        <w:rPr>
          <w:rFonts w:ascii="Arial" w:hAnsi="Arial" w:cs="Arial"/>
          <w:smallCaps/>
        </w:rPr>
        <w:t>A. Porporato</w:t>
      </w:r>
      <w:r w:rsidRPr="0056261A">
        <w:rPr>
          <w:rFonts w:ascii="Arial" w:hAnsi="Arial" w:cs="Arial"/>
        </w:rPr>
        <w:t xml:space="preserve">, </w:t>
      </w:r>
      <w:r w:rsidRPr="0056261A">
        <w:rPr>
          <w:rFonts w:ascii="Arial" w:hAnsi="Arial" w:cs="Arial"/>
          <w:i/>
        </w:rPr>
        <w:t>Misure ripristinatorie. Governo del territorio, Ambiente, Beni culturali e Paesaggio</w:t>
      </w:r>
      <w:r w:rsidRPr="0056261A">
        <w:rPr>
          <w:rFonts w:ascii="Arial" w:hAnsi="Arial" w:cs="Arial"/>
        </w:rPr>
        <w:t xml:space="preserve">, Torino, 2018, </w:t>
      </w:r>
      <w:r w:rsidRPr="0056261A">
        <w:rPr>
          <w:rFonts w:ascii="Arial" w:hAnsi="Arial" w:cs="Arial"/>
          <w:i/>
        </w:rPr>
        <w:t>passim</w:t>
      </w:r>
      <w:r w:rsidRPr="0056261A">
        <w:rPr>
          <w:rFonts w:ascii="Arial" w:hAnsi="Arial" w:cs="Arial"/>
        </w:rPr>
        <w:t xml:space="preserve">. </w:t>
      </w:r>
    </w:p>
  </w:footnote>
  <w:footnote w:id="3">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Fatte salve le sanzioni disciplinari menzionate dall’art. 28 della Costituzione, </w:t>
      </w:r>
      <w:r w:rsidRPr="0056261A">
        <w:rPr>
          <w:rFonts w:ascii="Arial" w:hAnsi="Arial" w:cs="Arial"/>
          <w:smallCaps/>
        </w:rPr>
        <w:t>S.L. Vitale</w:t>
      </w:r>
      <w:r w:rsidRPr="0056261A">
        <w:rPr>
          <w:rFonts w:ascii="Arial" w:hAnsi="Arial" w:cs="Arial"/>
        </w:rPr>
        <w:t xml:space="preserve">, </w:t>
      </w:r>
      <w:r w:rsidRPr="0056261A">
        <w:rPr>
          <w:rFonts w:ascii="Arial" w:hAnsi="Arial" w:cs="Arial"/>
          <w:i/>
        </w:rPr>
        <w:t>Le sanzioni amministrative tra diritto nazionale e diritto europeo</w:t>
      </w:r>
      <w:r w:rsidRPr="0056261A">
        <w:rPr>
          <w:rFonts w:ascii="Arial" w:hAnsi="Arial" w:cs="Arial"/>
        </w:rPr>
        <w:t xml:space="preserve">, </w:t>
      </w:r>
      <w:r w:rsidRPr="00811EC8">
        <w:rPr>
          <w:rFonts w:ascii="Arial" w:hAnsi="Arial" w:cs="Arial"/>
          <w:i/>
        </w:rPr>
        <w:t>op.cit</w:t>
      </w:r>
      <w:r w:rsidRPr="0056261A">
        <w:rPr>
          <w:rFonts w:ascii="Arial" w:hAnsi="Arial" w:cs="Arial"/>
        </w:rPr>
        <w:t>., p. 70.</w:t>
      </w:r>
    </w:p>
  </w:footnote>
  <w:footnote w:id="4">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w:t>
      </w:r>
      <w:r>
        <w:rPr>
          <w:rFonts w:ascii="Arial" w:hAnsi="Arial" w:cs="Arial"/>
        </w:rPr>
        <w:t>C</w:t>
      </w:r>
      <w:r w:rsidRPr="0056261A">
        <w:rPr>
          <w:rFonts w:ascii="Arial" w:hAnsi="Arial" w:cs="Arial"/>
        </w:rPr>
        <w:t xml:space="preserve">ostituzionale, sentenza 14 aprile 1988, n. 447, secondo la quale </w:t>
      </w:r>
      <w:r w:rsidRPr="00811EC8">
        <w:rPr>
          <w:rFonts w:ascii="Arial" w:hAnsi="Arial" w:cs="Arial"/>
        </w:rPr>
        <w:t xml:space="preserve">“non può peraltro disconoscersi che anche rispetto alle sanzioni amministrative ricorre l’esigenza della </w:t>
      </w:r>
      <w:proofErr w:type="spellStart"/>
      <w:r w:rsidRPr="00811EC8">
        <w:rPr>
          <w:rFonts w:ascii="Arial" w:hAnsi="Arial" w:cs="Arial"/>
        </w:rPr>
        <w:t>prefissione</w:t>
      </w:r>
      <w:proofErr w:type="spellEnd"/>
      <w:r w:rsidRPr="00811EC8">
        <w:rPr>
          <w:rFonts w:ascii="Arial" w:hAnsi="Arial" w:cs="Arial"/>
        </w:rPr>
        <w:t xml:space="preserve"> </w:t>
      </w:r>
      <w:r w:rsidRPr="00811EC8">
        <w:rPr>
          <w:rFonts w:ascii="Arial" w:hAnsi="Arial" w:cs="Arial"/>
          <w:i/>
        </w:rPr>
        <w:t xml:space="preserve">ex </w:t>
      </w:r>
      <w:proofErr w:type="spellStart"/>
      <w:r w:rsidRPr="00811EC8">
        <w:rPr>
          <w:rFonts w:ascii="Arial" w:hAnsi="Arial" w:cs="Arial"/>
          <w:i/>
        </w:rPr>
        <w:t>lege</w:t>
      </w:r>
      <w:proofErr w:type="spellEnd"/>
      <w:r w:rsidRPr="00811EC8">
        <w:rPr>
          <w:rFonts w:ascii="Arial" w:hAnsi="Arial" w:cs="Arial"/>
        </w:rPr>
        <w:t xml:space="preserve"> di rigorosi criteri di esercizio del potere relativo all’applicazione (o alla non applicazione) di esse, e ciò in riferimento sia al principio di imparzialità (art. 97 della Costituzione), espressamente invocato dal ricorrente, sia al principio di cui all’art. 23 </w:t>
      </w:r>
      <w:proofErr w:type="spellStart"/>
      <w:r w:rsidRPr="00811EC8">
        <w:rPr>
          <w:rFonts w:ascii="Arial" w:hAnsi="Arial" w:cs="Arial"/>
        </w:rPr>
        <w:t>Cost</w:t>
      </w:r>
      <w:proofErr w:type="spellEnd"/>
      <w:r w:rsidRPr="00811EC8">
        <w:rPr>
          <w:rFonts w:ascii="Arial" w:hAnsi="Arial" w:cs="Arial"/>
        </w:rPr>
        <w:t xml:space="preserve">., implicitamente invocato con il denunziare la mancata previsione, ad opera della </w:t>
      </w:r>
      <w:r>
        <w:rPr>
          <w:rFonts w:ascii="Arial" w:hAnsi="Arial" w:cs="Arial"/>
        </w:rPr>
        <w:t>Legge</w:t>
      </w:r>
      <w:r w:rsidRPr="00811EC8">
        <w:rPr>
          <w:rFonts w:ascii="Arial" w:hAnsi="Arial" w:cs="Arial"/>
        </w:rPr>
        <w:t xml:space="preserve"> regionale, di criteri siffatti”</w:t>
      </w:r>
      <w:r w:rsidRPr="0056261A">
        <w:rPr>
          <w:rFonts w:ascii="Arial" w:hAnsi="Arial" w:cs="Arial"/>
        </w:rPr>
        <w:t xml:space="preserve">; altresì, sentenza 6 aprile 2011, n. 115: cfr. </w:t>
      </w:r>
      <w:r w:rsidRPr="0056261A">
        <w:rPr>
          <w:rFonts w:ascii="Arial" w:hAnsi="Arial" w:cs="Arial"/>
          <w:smallCaps/>
        </w:rPr>
        <w:t>A. De Vita</w:t>
      </w:r>
      <w:r w:rsidRPr="0056261A">
        <w:rPr>
          <w:rFonts w:ascii="Arial" w:hAnsi="Arial" w:cs="Arial"/>
        </w:rPr>
        <w:t xml:space="preserve">, </w:t>
      </w:r>
      <w:r w:rsidRPr="0056261A">
        <w:rPr>
          <w:rFonts w:ascii="Arial" w:hAnsi="Arial" w:cs="Arial"/>
          <w:i/>
        </w:rPr>
        <w:t>Il potere di ordinanza sindacale alla luce della recente evoluzione normativa e giurisprudenziale</w:t>
      </w:r>
      <w:r w:rsidRPr="0056261A">
        <w:rPr>
          <w:rFonts w:ascii="Arial" w:hAnsi="Arial" w:cs="Arial"/>
        </w:rPr>
        <w:t xml:space="preserve">, in </w:t>
      </w:r>
      <w:r w:rsidRPr="00811EC8">
        <w:rPr>
          <w:rFonts w:ascii="Arial" w:hAnsi="Arial" w:cs="Arial"/>
          <w:i/>
        </w:rPr>
        <w:t>www.ilmerito.org</w:t>
      </w:r>
      <w:r w:rsidRPr="0056261A">
        <w:rPr>
          <w:rFonts w:ascii="Arial" w:hAnsi="Arial" w:cs="Arial"/>
        </w:rPr>
        <w:t>; M</w:t>
      </w:r>
      <w:r w:rsidRPr="0056261A">
        <w:rPr>
          <w:rFonts w:ascii="Arial" w:hAnsi="Arial" w:cs="Arial"/>
          <w:smallCaps/>
        </w:rPr>
        <w:t>. Allena</w:t>
      </w:r>
      <w:r w:rsidRPr="0056261A">
        <w:rPr>
          <w:rFonts w:ascii="Arial" w:hAnsi="Arial" w:cs="Arial"/>
        </w:rPr>
        <w:t xml:space="preserve">, </w:t>
      </w:r>
      <w:r w:rsidRPr="0056261A">
        <w:rPr>
          <w:rFonts w:ascii="Arial" w:hAnsi="Arial" w:cs="Arial"/>
          <w:i/>
        </w:rPr>
        <w:t xml:space="preserve">La sanzione amministrativa tra </w:t>
      </w:r>
      <w:r>
        <w:rPr>
          <w:rFonts w:ascii="Arial" w:hAnsi="Arial" w:cs="Arial"/>
          <w:i/>
        </w:rPr>
        <w:t>garanzie costituzionali e princì</w:t>
      </w:r>
      <w:r w:rsidRPr="0056261A">
        <w:rPr>
          <w:rFonts w:ascii="Arial" w:hAnsi="Arial" w:cs="Arial"/>
          <w:i/>
        </w:rPr>
        <w:t>pi CEDU: il problema della tassatività-determinatezza e la prevedibilità</w:t>
      </w:r>
      <w:r w:rsidRPr="0056261A">
        <w:rPr>
          <w:rFonts w:ascii="Arial" w:hAnsi="Arial" w:cs="Arial"/>
        </w:rPr>
        <w:t xml:space="preserve">, </w:t>
      </w:r>
      <w:r w:rsidRPr="00811EC8">
        <w:rPr>
          <w:rFonts w:ascii="Arial" w:hAnsi="Arial" w:cs="Arial"/>
          <w:i/>
        </w:rPr>
        <w:t>op.cit</w:t>
      </w:r>
      <w:r w:rsidRPr="0056261A">
        <w:rPr>
          <w:rFonts w:ascii="Arial" w:hAnsi="Arial" w:cs="Arial"/>
        </w:rPr>
        <w:t xml:space="preserve">., pp. 22-23; </w:t>
      </w:r>
      <w:r w:rsidRPr="0056261A">
        <w:rPr>
          <w:rFonts w:ascii="Arial" w:hAnsi="Arial" w:cs="Arial"/>
          <w:smallCaps/>
        </w:rPr>
        <w:t>S.L. Vitale</w:t>
      </w:r>
      <w:r w:rsidRPr="0056261A">
        <w:rPr>
          <w:rFonts w:ascii="Arial" w:hAnsi="Arial" w:cs="Arial"/>
        </w:rPr>
        <w:t xml:space="preserve">, </w:t>
      </w:r>
      <w:r w:rsidRPr="0056261A">
        <w:rPr>
          <w:rFonts w:ascii="Arial" w:hAnsi="Arial" w:cs="Arial"/>
          <w:i/>
        </w:rPr>
        <w:t>Le sanzioni amministrative tra diritto nazionale e diritto europeo</w:t>
      </w:r>
      <w:r w:rsidRPr="0056261A">
        <w:rPr>
          <w:rFonts w:ascii="Arial" w:hAnsi="Arial" w:cs="Arial"/>
        </w:rPr>
        <w:t xml:space="preserve">, </w:t>
      </w:r>
      <w:r w:rsidRPr="00811EC8">
        <w:rPr>
          <w:rFonts w:ascii="Arial" w:hAnsi="Arial" w:cs="Arial"/>
          <w:i/>
        </w:rPr>
        <w:t>op.cit</w:t>
      </w:r>
      <w:r w:rsidRPr="0056261A">
        <w:rPr>
          <w:rFonts w:ascii="Arial" w:hAnsi="Arial" w:cs="Arial"/>
        </w:rPr>
        <w:t>., p. 73.</w:t>
      </w:r>
    </w:p>
  </w:footnote>
  <w:footnote w:id="5">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costituzionale, sentenze 14 aprile 1988, n. 447, e 21 aprile 1994, n. 159; in dottrina, </w:t>
      </w:r>
      <w:r w:rsidRPr="0056261A">
        <w:rPr>
          <w:rFonts w:ascii="Arial" w:hAnsi="Arial" w:cs="Arial"/>
          <w:smallCaps/>
        </w:rPr>
        <w:t>P. Provenzano</w:t>
      </w:r>
      <w:r w:rsidRPr="0056261A">
        <w:rPr>
          <w:rFonts w:ascii="Arial" w:hAnsi="Arial" w:cs="Arial"/>
        </w:rPr>
        <w:t xml:space="preserve">, </w:t>
      </w:r>
      <w:r w:rsidRPr="0056261A">
        <w:rPr>
          <w:rFonts w:ascii="Arial" w:hAnsi="Arial" w:cs="Arial"/>
          <w:i/>
        </w:rPr>
        <w:t>Note minime in tema di sanzioni amministrative e “materia penale”</w:t>
      </w:r>
      <w:r w:rsidRPr="0056261A">
        <w:rPr>
          <w:rFonts w:ascii="Arial" w:hAnsi="Arial" w:cs="Arial"/>
        </w:rPr>
        <w:t xml:space="preserve">, in </w:t>
      </w:r>
      <w:proofErr w:type="spellStart"/>
      <w:r w:rsidRPr="0056261A">
        <w:rPr>
          <w:rFonts w:ascii="Arial" w:hAnsi="Arial" w:cs="Arial"/>
          <w:i/>
        </w:rPr>
        <w:t>Riv</w:t>
      </w:r>
      <w:proofErr w:type="spellEnd"/>
      <w:r w:rsidRPr="0056261A">
        <w:rPr>
          <w:rFonts w:ascii="Arial" w:hAnsi="Arial" w:cs="Arial"/>
          <w:i/>
        </w:rPr>
        <w:t xml:space="preserve">. </w:t>
      </w:r>
      <w:proofErr w:type="spellStart"/>
      <w:r w:rsidRPr="0056261A">
        <w:rPr>
          <w:rFonts w:ascii="Arial" w:hAnsi="Arial" w:cs="Arial"/>
          <w:i/>
        </w:rPr>
        <w:t>it</w:t>
      </w:r>
      <w:proofErr w:type="spellEnd"/>
      <w:r w:rsidRPr="0056261A">
        <w:rPr>
          <w:rFonts w:ascii="Arial" w:hAnsi="Arial" w:cs="Arial"/>
          <w:i/>
        </w:rPr>
        <w:t xml:space="preserve">. dir. </w:t>
      </w:r>
      <w:proofErr w:type="spellStart"/>
      <w:r w:rsidRPr="0056261A">
        <w:rPr>
          <w:rFonts w:ascii="Arial" w:hAnsi="Arial" w:cs="Arial"/>
          <w:i/>
        </w:rPr>
        <w:t>pubbl</w:t>
      </w:r>
      <w:proofErr w:type="spellEnd"/>
      <w:r w:rsidRPr="0056261A">
        <w:rPr>
          <w:rFonts w:ascii="Arial" w:hAnsi="Arial" w:cs="Arial"/>
          <w:i/>
        </w:rPr>
        <w:t xml:space="preserve">. </w:t>
      </w:r>
      <w:proofErr w:type="spellStart"/>
      <w:r w:rsidRPr="0056261A">
        <w:rPr>
          <w:rFonts w:ascii="Arial" w:hAnsi="Arial" w:cs="Arial"/>
          <w:i/>
        </w:rPr>
        <w:t>com</w:t>
      </w:r>
      <w:proofErr w:type="spellEnd"/>
      <w:r w:rsidRPr="0056261A">
        <w:rPr>
          <w:rFonts w:ascii="Arial" w:hAnsi="Arial" w:cs="Arial"/>
          <w:i/>
        </w:rPr>
        <w:t>.</w:t>
      </w:r>
      <w:r w:rsidRPr="0056261A">
        <w:rPr>
          <w:rFonts w:ascii="Arial" w:hAnsi="Arial" w:cs="Arial"/>
        </w:rPr>
        <w:t xml:space="preserve">, 2018, n. 6, p. 1073 ss.; </w:t>
      </w:r>
      <w:r w:rsidRPr="0056261A">
        <w:rPr>
          <w:rFonts w:ascii="Arial" w:hAnsi="Arial" w:cs="Arial"/>
          <w:smallCaps/>
        </w:rPr>
        <w:t>M. Allena</w:t>
      </w:r>
      <w:r w:rsidRPr="0056261A">
        <w:rPr>
          <w:rFonts w:ascii="Arial" w:hAnsi="Arial" w:cs="Arial"/>
        </w:rPr>
        <w:t xml:space="preserve">, </w:t>
      </w:r>
      <w:r w:rsidRPr="0056261A">
        <w:rPr>
          <w:rFonts w:ascii="Arial" w:hAnsi="Arial" w:cs="Arial"/>
          <w:i/>
        </w:rPr>
        <w:t xml:space="preserve">La sanzione amministrativa tra </w:t>
      </w:r>
      <w:r>
        <w:rPr>
          <w:rFonts w:ascii="Arial" w:hAnsi="Arial" w:cs="Arial"/>
          <w:i/>
        </w:rPr>
        <w:t>garanzie costituzionali e princì</w:t>
      </w:r>
      <w:r w:rsidRPr="0056261A">
        <w:rPr>
          <w:rFonts w:ascii="Arial" w:hAnsi="Arial" w:cs="Arial"/>
          <w:i/>
        </w:rPr>
        <w:t>pi CEDU: il problema della tassatività-determinatezza e la prevedibilità</w:t>
      </w:r>
      <w:r w:rsidRPr="0056261A">
        <w:rPr>
          <w:rFonts w:ascii="Arial" w:hAnsi="Arial" w:cs="Arial"/>
        </w:rPr>
        <w:t xml:space="preserve">, </w:t>
      </w:r>
      <w:r w:rsidRPr="00414650">
        <w:rPr>
          <w:rFonts w:ascii="Arial" w:hAnsi="Arial" w:cs="Arial"/>
          <w:i/>
        </w:rPr>
        <w:t>op.cit</w:t>
      </w:r>
      <w:r>
        <w:rPr>
          <w:rFonts w:ascii="Arial" w:hAnsi="Arial" w:cs="Arial"/>
        </w:rPr>
        <w:t>., p</w:t>
      </w:r>
      <w:r w:rsidRPr="0056261A">
        <w:rPr>
          <w:rFonts w:ascii="Arial" w:hAnsi="Arial" w:cs="Arial"/>
        </w:rPr>
        <w:t xml:space="preserve">. 12 ss.; </w:t>
      </w:r>
      <w:r w:rsidRPr="0056261A">
        <w:rPr>
          <w:rFonts w:ascii="Arial" w:hAnsi="Arial" w:cs="Arial"/>
          <w:smallCaps/>
        </w:rPr>
        <w:t xml:space="preserve">V. </w:t>
      </w:r>
      <w:proofErr w:type="spellStart"/>
      <w:r w:rsidRPr="0056261A">
        <w:rPr>
          <w:rFonts w:ascii="Arial" w:hAnsi="Arial" w:cs="Arial"/>
          <w:smallCaps/>
        </w:rPr>
        <w:t>Pampanin</w:t>
      </w:r>
      <w:proofErr w:type="spellEnd"/>
      <w:r w:rsidRPr="0056261A">
        <w:rPr>
          <w:rFonts w:ascii="Arial" w:hAnsi="Arial" w:cs="Arial"/>
        </w:rPr>
        <w:t xml:space="preserve">, </w:t>
      </w:r>
      <w:r w:rsidRPr="0056261A">
        <w:rPr>
          <w:rFonts w:ascii="Arial" w:hAnsi="Arial" w:cs="Arial"/>
          <w:i/>
        </w:rPr>
        <w:t>Retroattività delle sanzioni amministrative, successione di leggi nel tempo e tutela del destinatario</w:t>
      </w:r>
      <w:r w:rsidRPr="0056261A">
        <w:rPr>
          <w:rFonts w:ascii="Arial" w:hAnsi="Arial" w:cs="Arial"/>
        </w:rPr>
        <w:t xml:space="preserve">, in </w:t>
      </w:r>
      <w:r w:rsidRPr="0056261A">
        <w:rPr>
          <w:rFonts w:ascii="Arial" w:hAnsi="Arial" w:cs="Arial"/>
          <w:i/>
        </w:rPr>
        <w:t xml:space="preserve">Dir. </w:t>
      </w:r>
      <w:proofErr w:type="spellStart"/>
      <w:r w:rsidRPr="0056261A">
        <w:rPr>
          <w:rFonts w:ascii="Arial" w:hAnsi="Arial" w:cs="Arial"/>
          <w:i/>
        </w:rPr>
        <w:t>amm</w:t>
      </w:r>
      <w:proofErr w:type="spellEnd"/>
      <w:r w:rsidRPr="0056261A">
        <w:rPr>
          <w:rFonts w:ascii="Arial" w:hAnsi="Arial" w:cs="Arial"/>
          <w:i/>
        </w:rPr>
        <w:t>.</w:t>
      </w:r>
      <w:r w:rsidRPr="0056261A">
        <w:rPr>
          <w:rFonts w:ascii="Arial" w:hAnsi="Arial" w:cs="Arial"/>
        </w:rPr>
        <w:t>, 2018, n. 1, p. 143.</w:t>
      </w:r>
    </w:p>
  </w:footnote>
  <w:footnote w:id="6">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Cfr., ad esempio, l’art. 6 del </w:t>
      </w:r>
      <w:proofErr w:type="spellStart"/>
      <w:r w:rsidRPr="0056261A">
        <w:rPr>
          <w:rFonts w:ascii="Arial" w:hAnsi="Arial" w:cs="Arial"/>
        </w:rPr>
        <w:t>D.Lgs.</w:t>
      </w:r>
      <w:proofErr w:type="spellEnd"/>
      <w:r w:rsidRPr="0056261A">
        <w:rPr>
          <w:rFonts w:ascii="Arial" w:hAnsi="Arial" w:cs="Arial"/>
        </w:rPr>
        <w:t xml:space="preserve"> n. 8 del 2016 (“Disposizioni in materia di depenalizzazione, a norma dell’art</w:t>
      </w:r>
      <w:r>
        <w:rPr>
          <w:rFonts w:ascii="Arial" w:hAnsi="Arial" w:cs="Arial"/>
        </w:rPr>
        <w:t>.</w:t>
      </w:r>
      <w:r w:rsidRPr="0056261A">
        <w:rPr>
          <w:rFonts w:ascii="Arial" w:hAnsi="Arial" w:cs="Arial"/>
        </w:rPr>
        <w:t xml:space="preserve"> 2, comma 2, della </w:t>
      </w:r>
      <w:r>
        <w:rPr>
          <w:rFonts w:ascii="Arial" w:hAnsi="Arial" w:cs="Arial"/>
        </w:rPr>
        <w:t>Legge</w:t>
      </w:r>
      <w:r w:rsidRPr="0056261A">
        <w:rPr>
          <w:rFonts w:ascii="Arial" w:hAnsi="Arial" w:cs="Arial"/>
        </w:rPr>
        <w:t xml:space="preserve"> 28 aprile 2014, n. 67”): per un cenno a tale normativa, </w:t>
      </w:r>
      <w:r w:rsidRPr="0056261A">
        <w:rPr>
          <w:rFonts w:ascii="Arial" w:hAnsi="Arial" w:cs="Arial"/>
          <w:smallCaps/>
        </w:rPr>
        <w:t>P. Cerbo</w:t>
      </w:r>
      <w:r w:rsidRPr="0056261A">
        <w:rPr>
          <w:rFonts w:ascii="Arial" w:hAnsi="Arial" w:cs="Arial"/>
        </w:rPr>
        <w:t xml:space="preserve">, </w:t>
      </w:r>
      <w:r w:rsidRPr="0056261A">
        <w:rPr>
          <w:rFonts w:ascii="Arial" w:hAnsi="Arial" w:cs="Arial"/>
          <w:i/>
        </w:rPr>
        <w:t>La depenalizzazione fra giudice penale e amministrazione (e giudice dell’opposizione)</w:t>
      </w:r>
      <w:r w:rsidRPr="0056261A">
        <w:rPr>
          <w:rFonts w:ascii="Arial" w:hAnsi="Arial" w:cs="Arial"/>
        </w:rPr>
        <w:t xml:space="preserve">, in </w:t>
      </w:r>
      <w:r w:rsidRPr="0056261A">
        <w:rPr>
          <w:rFonts w:ascii="Arial" w:hAnsi="Arial" w:cs="Arial"/>
          <w:i/>
        </w:rPr>
        <w:t xml:space="preserve">Dir. </w:t>
      </w:r>
      <w:proofErr w:type="spellStart"/>
      <w:r w:rsidRPr="0056261A">
        <w:rPr>
          <w:rFonts w:ascii="Arial" w:hAnsi="Arial" w:cs="Arial"/>
          <w:i/>
        </w:rPr>
        <w:t>amm</w:t>
      </w:r>
      <w:proofErr w:type="spellEnd"/>
      <w:r w:rsidRPr="0056261A">
        <w:rPr>
          <w:rFonts w:ascii="Arial" w:hAnsi="Arial" w:cs="Arial"/>
          <w:i/>
        </w:rPr>
        <w:t>.</w:t>
      </w:r>
      <w:r w:rsidRPr="0056261A">
        <w:rPr>
          <w:rFonts w:ascii="Arial" w:hAnsi="Arial" w:cs="Arial"/>
        </w:rPr>
        <w:t>, 2018, n. 1, p. 66.</w:t>
      </w:r>
    </w:p>
  </w:footnote>
  <w:footnote w:id="7">
    <w:p w:rsidR="00AC68CA" w:rsidRPr="00414650"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Si tratta comunque di una riserva di </w:t>
      </w:r>
      <w:r>
        <w:rPr>
          <w:rFonts w:ascii="Arial" w:hAnsi="Arial" w:cs="Arial"/>
        </w:rPr>
        <w:t>Legge</w:t>
      </w:r>
      <w:r w:rsidRPr="0056261A">
        <w:rPr>
          <w:rFonts w:ascii="Arial" w:hAnsi="Arial" w:cs="Arial"/>
        </w:rPr>
        <w:t xml:space="preserve"> in senso relativo: si veda, </w:t>
      </w:r>
      <w:r w:rsidRPr="0056261A">
        <w:rPr>
          <w:rFonts w:ascii="Arial" w:hAnsi="Arial" w:cs="Arial"/>
          <w:i/>
        </w:rPr>
        <w:t xml:space="preserve">ex </w:t>
      </w:r>
      <w:proofErr w:type="spellStart"/>
      <w:r w:rsidRPr="0056261A">
        <w:rPr>
          <w:rFonts w:ascii="Arial" w:hAnsi="Arial" w:cs="Arial"/>
          <w:i/>
        </w:rPr>
        <w:t>aliis</w:t>
      </w:r>
      <w:proofErr w:type="spellEnd"/>
      <w:r w:rsidRPr="0056261A">
        <w:rPr>
          <w:rFonts w:ascii="Arial" w:hAnsi="Arial" w:cs="Arial"/>
        </w:rPr>
        <w:t xml:space="preserve">, Corte costituzionale, sentenza 10 giugno 1994, n. 236, secondo cui </w:t>
      </w:r>
      <w:r w:rsidRPr="00414650">
        <w:rPr>
          <w:rFonts w:ascii="Arial" w:hAnsi="Arial" w:cs="Arial"/>
        </w:rPr>
        <w:t xml:space="preserve">”il principio della riserva di </w:t>
      </w:r>
      <w:r>
        <w:rPr>
          <w:rFonts w:ascii="Arial" w:hAnsi="Arial" w:cs="Arial"/>
        </w:rPr>
        <w:t>Legge</w:t>
      </w:r>
      <w:r w:rsidRPr="00414650">
        <w:rPr>
          <w:rFonts w:ascii="Arial" w:hAnsi="Arial" w:cs="Arial"/>
        </w:rPr>
        <w:t xml:space="preserve"> previsto dall’art. 23 della Costituzione, è di carattere relativo, essendo richiesto che la prestazione sia imposta «in base alla </w:t>
      </w:r>
      <w:r>
        <w:rPr>
          <w:rFonts w:ascii="Arial" w:hAnsi="Arial" w:cs="Arial"/>
        </w:rPr>
        <w:t>Legge</w:t>
      </w:r>
      <w:r w:rsidRPr="00414650">
        <w:rPr>
          <w:rFonts w:ascii="Arial" w:hAnsi="Arial" w:cs="Arial"/>
        </w:rPr>
        <w:t>»: come tale, esso può dirsi rispettato anche in assenza di una espressa indicazione legislativa dei criteri, limiti e controlli sufficienti a delimitare l’ambito di discrezionalità d</w:t>
      </w:r>
      <w:r w:rsidR="00DF13CF">
        <w:rPr>
          <w:rFonts w:ascii="Arial" w:hAnsi="Arial" w:cs="Arial"/>
        </w:rPr>
        <w:t xml:space="preserve">ell'amministrazione, </w:t>
      </w:r>
      <w:r w:rsidR="00DF13CF" w:rsidRPr="00234445">
        <w:rPr>
          <w:rFonts w:ascii="Arial" w:hAnsi="Arial" w:cs="Arial"/>
        </w:rPr>
        <w:t>purché</w:t>
      </w:r>
      <w:r w:rsidRPr="00414650">
        <w:rPr>
          <w:rFonts w:ascii="Arial" w:hAnsi="Arial" w:cs="Arial"/>
        </w:rPr>
        <w:t xml:space="preserve"> gli stessi siano in qualche modo desumibili (dalla composizione o funzionamento dell’autorità competente, dalla destinazione della prestazione, dal sistema procedimentale che prevede la collaborazione di più organi) al fine di evitare arbitrii dell’amministrazione</w:t>
      </w:r>
      <w:r>
        <w:rPr>
          <w:rFonts w:ascii="Arial" w:hAnsi="Arial" w:cs="Arial"/>
        </w:rPr>
        <w:t>”</w:t>
      </w:r>
      <w:r w:rsidRPr="00414650">
        <w:rPr>
          <w:rFonts w:ascii="Arial" w:hAnsi="Arial" w:cs="Arial"/>
        </w:rPr>
        <w:t>.</w:t>
      </w:r>
    </w:p>
  </w:footnote>
  <w:footnote w:id="8">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M</w:t>
      </w:r>
      <w:r w:rsidRPr="0056261A">
        <w:rPr>
          <w:rFonts w:ascii="Arial" w:hAnsi="Arial" w:cs="Arial"/>
          <w:smallCaps/>
        </w:rPr>
        <w:t>. Allena</w:t>
      </w:r>
      <w:r w:rsidRPr="0056261A">
        <w:rPr>
          <w:rFonts w:ascii="Arial" w:hAnsi="Arial" w:cs="Arial"/>
        </w:rPr>
        <w:t xml:space="preserve">, </w:t>
      </w:r>
      <w:r w:rsidRPr="0056261A">
        <w:rPr>
          <w:rFonts w:ascii="Arial" w:hAnsi="Arial" w:cs="Arial"/>
          <w:i/>
        </w:rPr>
        <w:t>La sanzione amministrativa tra garanzie costituzionali e princ</w:t>
      </w:r>
      <w:r>
        <w:rPr>
          <w:rFonts w:ascii="Arial" w:hAnsi="Arial" w:cs="Arial"/>
          <w:i/>
        </w:rPr>
        <w:t>ì</w:t>
      </w:r>
      <w:r w:rsidRPr="0056261A">
        <w:rPr>
          <w:rFonts w:ascii="Arial" w:hAnsi="Arial" w:cs="Arial"/>
          <w:i/>
        </w:rPr>
        <w:t>pi CEDU: il problema della tassatività-determinatezza e la prevedibilità</w:t>
      </w:r>
      <w:r w:rsidRPr="0056261A">
        <w:rPr>
          <w:rFonts w:ascii="Arial" w:hAnsi="Arial" w:cs="Arial"/>
        </w:rPr>
        <w:t xml:space="preserve">, </w:t>
      </w:r>
      <w:r w:rsidRPr="00414650">
        <w:rPr>
          <w:rFonts w:ascii="Arial" w:hAnsi="Arial" w:cs="Arial"/>
          <w:i/>
        </w:rPr>
        <w:t>op.cit</w:t>
      </w:r>
      <w:r w:rsidRPr="0056261A">
        <w:rPr>
          <w:rFonts w:ascii="Arial" w:hAnsi="Arial" w:cs="Arial"/>
        </w:rPr>
        <w:t xml:space="preserve">., </w:t>
      </w:r>
      <w:r>
        <w:rPr>
          <w:rFonts w:ascii="Arial" w:hAnsi="Arial" w:cs="Arial"/>
        </w:rPr>
        <w:t xml:space="preserve">p. </w:t>
      </w:r>
      <w:r w:rsidRPr="0056261A">
        <w:rPr>
          <w:rFonts w:ascii="Arial" w:hAnsi="Arial" w:cs="Arial"/>
        </w:rPr>
        <w:t>14.</w:t>
      </w:r>
    </w:p>
  </w:footnote>
  <w:footnote w:id="9">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Si veda</w:t>
      </w:r>
      <w:r>
        <w:rPr>
          <w:rFonts w:ascii="Arial" w:hAnsi="Arial" w:cs="Arial"/>
        </w:rPr>
        <w:t xml:space="preserve"> il </w:t>
      </w:r>
      <w:proofErr w:type="spellStart"/>
      <w:r>
        <w:rPr>
          <w:rFonts w:ascii="Arial" w:hAnsi="Arial" w:cs="Arial"/>
        </w:rPr>
        <w:t>D.</w:t>
      </w:r>
      <w:r w:rsidRPr="0056261A">
        <w:rPr>
          <w:rFonts w:ascii="Arial" w:hAnsi="Arial" w:cs="Arial"/>
        </w:rPr>
        <w:t>Lgs.</w:t>
      </w:r>
      <w:proofErr w:type="spellEnd"/>
      <w:r w:rsidRPr="0056261A">
        <w:rPr>
          <w:rFonts w:ascii="Arial" w:hAnsi="Arial" w:cs="Arial"/>
        </w:rPr>
        <w:t xml:space="preserve"> n. 93 del 2011, art. 45, in particolare il comma 4; altresì, il D.P.R. n. 244 del 2001 e la Deliberazione dell’Autorità per l’energia elettrica e il gas del 14 giugno 2012, n. 243/2012/E/COM, recante </w:t>
      </w:r>
      <w:r w:rsidRPr="00414650">
        <w:rPr>
          <w:rFonts w:ascii="Arial" w:hAnsi="Arial" w:cs="Arial"/>
        </w:rPr>
        <w:t>“Adozione del nuovo Regolamento per la disciplina dei procedimenti sanzionatori e delle modalità procedurali per la valutazione degli impegni”:</w:t>
      </w:r>
      <w:r>
        <w:rPr>
          <w:rFonts w:ascii="Arial" w:hAnsi="Arial" w:cs="Arial"/>
        </w:rPr>
        <w:t xml:space="preserve"> in giurisprudenza, TAR</w:t>
      </w:r>
      <w:r w:rsidRPr="0056261A">
        <w:rPr>
          <w:rFonts w:ascii="Arial" w:hAnsi="Arial" w:cs="Arial"/>
        </w:rPr>
        <w:t xml:space="preserve"> Lombardia, Milano, II, 25 febbraio 2019, n. 389.</w:t>
      </w:r>
    </w:p>
  </w:footnote>
  <w:footnote w:id="10">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Non vale il divieto di applicazione retroattiva per le sanzioni di tipo ripristinatorio e </w:t>
      </w:r>
      <w:proofErr w:type="spellStart"/>
      <w:r w:rsidRPr="0056261A">
        <w:rPr>
          <w:rFonts w:ascii="Arial" w:hAnsi="Arial" w:cs="Arial"/>
        </w:rPr>
        <w:t>interdittivo</w:t>
      </w:r>
      <w:proofErr w:type="spellEnd"/>
      <w:r w:rsidRPr="0056261A">
        <w:rPr>
          <w:rFonts w:ascii="Arial" w:hAnsi="Arial" w:cs="Arial"/>
        </w:rPr>
        <w:t xml:space="preserve"> (sanzioni in senso lato), ma solo per quelle pecuniarie (sanzioni in senso proprio), </w:t>
      </w:r>
      <w:r w:rsidRPr="0056261A">
        <w:rPr>
          <w:rFonts w:ascii="Arial" w:hAnsi="Arial" w:cs="Arial"/>
          <w:smallCaps/>
        </w:rPr>
        <w:t xml:space="preserve">V. </w:t>
      </w:r>
      <w:proofErr w:type="spellStart"/>
      <w:r w:rsidRPr="0056261A">
        <w:rPr>
          <w:rFonts w:ascii="Arial" w:hAnsi="Arial" w:cs="Arial"/>
          <w:smallCaps/>
        </w:rPr>
        <w:t>Pampanin</w:t>
      </w:r>
      <w:proofErr w:type="spellEnd"/>
      <w:r w:rsidRPr="0056261A">
        <w:rPr>
          <w:rFonts w:ascii="Arial" w:hAnsi="Arial" w:cs="Arial"/>
        </w:rPr>
        <w:t xml:space="preserve">, </w:t>
      </w:r>
      <w:r w:rsidRPr="0056261A">
        <w:rPr>
          <w:rFonts w:ascii="Arial" w:hAnsi="Arial" w:cs="Arial"/>
          <w:i/>
        </w:rPr>
        <w:t>Retroattività delle sanzioni amministrative, successione di leggi nel tempo e tutela del destinatario</w:t>
      </w:r>
      <w:r w:rsidRPr="0056261A">
        <w:rPr>
          <w:rFonts w:ascii="Arial" w:hAnsi="Arial" w:cs="Arial"/>
        </w:rPr>
        <w:t xml:space="preserve">, </w:t>
      </w:r>
      <w:r w:rsidRPr="00414650">
        <w:rPr>
          <w:rFonts w:ascii="Arial" w:hAnsi="Arial" w:cs="Arial"/>
          <w:i/>
        </w:rPr>
        <w:t>op.cit</w:t>
      </w:r>
      <w:r w:rsidRPr="0056261A">
        <w:rPr>
          <w:rFonts w:ascii="Arial" w:hAnsi="Arial" w:cs="Arial"/>
        </w:rPr>
        <w:t>., p. 145.</w:t>
      </w:r>
    </w:p>
  </w:footnote>
  <w:footnote w:id="11">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Cfr.</w:t>
      </w:r>
      <w:r w:rsidRPr="0056261A">
        <w:rPr>
          <w:rFonts w:ascii="Arial" w:hAnsi="Arial" w:cs="Arial"/>
          <w:smallCaps/>
        </w:rPr>
        <w:t xml:space="preserve"> </w:t>
      </w:r>
      <w:r w:rsidRPr="00414650">
        <w:rPr>
          <w:rFonts w:ascii="Arial" w:hAnsi="Arial" w:cs="Arial"/>
          <w:smallCaps/>
        </w:rPr>
        <w:t xml:space="preserve">E. Bindi – A. </w:t>
      </w:r>
      <w:proofErr w:type="spellStart"/>
      <w:r w:rsidRPr="00414650">
        <w:rPr>
          <w:rFonts w:ascii="Arial" w:hAnsi="Arial" w:cs="Arial"/>
          <w:smallCaps/>
        </w:rPr>
        <w:t>Pisaneschi</w:t>
      </w:r>
      <w:proofErr w:type="spellEnd"/>
      <w:r w:rsidRPr="00414650">
        <w:rPr>
          <w:rFonts w:ascii="Arial" w:hAnsi="Arial" w:cs="Arial"/>
        </w:rPr>
        <w:t xml:space="preserve">, </w:t>
      </w:r>
      <w:r w:rsidRPr="00414650">
        <w:rPr>
          <w:rFonts w:ascii="Arial" w:hAnsi="Arial" w:cs="Arial"/>
          <w:i/>
        </w:rPr>
        <w:t xml:space="preserve">La retroattività in </w:t>
      </w:r>
      <w:proofErr w:type="spellStart"/>
      <w:r w:rsidRPr="00414650">
        <w:rPr>
          <w:rFonts w:ascii="Arial" w:hAnsi="Arial" w:cs="Arial"/>
          <w:i/>
        </w:rPr>
        <w:t>mitius</w:t>
      </w:r>
      <w:proofErr w:type="spellEnd"/>
      <w:r w:rsidRPr="00414650">
        <w:rPr>
          <w:rFonts w:ascii="Arial" w:hAnsi="Arial" w:cs="Arial"/>
          <w:i/>
        </w:rPr>
        <w:t xml:space="preserve"> delle sanzioni amministrative sostanzialmente afflittive tra Corte EDU, Corte di Giustizia e Corte costituzionale</w:t>
      </w:r>
      <w:r w:rsidRPr="00414650">
        <w:rPr>
          <w:rFonts w:ascii="Arial" w:hAnsi="Arial" w:cs="Arial"/>
        </w:rPr>
        <w:t xml:space="preserve">, in </w:t>
      </w:r>
      <w:r w:rsidRPr="00414650">
        <w:rPr>
          <w:rFonts w:ascii="Arial" w:hAnsi="Arial" w:cs="Arial"/>
          <w:i/>
        </w:rPr>
        <w:t>Federalismi</w:t>
      </w:r>
      <w:r w:rsidRPr="00414650">
        <w:rPr>
          <w:rFonts w:ascii="Arial" w:hAnsi="Arial" w:cs="Arial"/>
        </w:rPr>
        <w:t>, 2019, n. 22, pp. 14-15;</w:t>
      </w:r>
      <w:r w:rsidRPr="0056261A">
        <w:rPr>
          <w:rFonts w:ascii="Arial" w:hAnsi="Arial" w:cs="Arial"/>
        </w:rPr>
        <w:t xml:space="preserve"> </w:t>
      </w:r>
      <w:r w:rsidRPr="0056261A">
        <w:rPr>
          <w:rFonts w:ascii="Arial" w:hAnsi="Arial" w:cs="Arial"/>
          <w:smallCaps/>
        </w:rPr>
        <w:t xml:space="preserve">V. </w:t>
      </w:r>
      <w:proofErr w:type="spellStart"/>
      <w:r w:rsidRPr="0056261A">
        <w:rPr>
          <w:rFonts w:ascii="Arial" w:hAnsi="Arial" w:cs="Arial"/>
          <w:smallCaps/>
        </w:rPr>
        <w:t>Pampanin</w:t>
      </w:r>
      <w:proofErr w:type="spellEnd"/>
      <w:r w:rsidRPr="0056261A">
        <w:rPr>
          <w:rFonts w:ascii="Arial" w:hAnsi="Arial" w:cs="Arial"/>
        </w:rPr>
        <w:t xml:space="preserve">, </w:t>
      </w:r>
      <w:r w:rsidRPr="0056261A">
        <w:rPr>
          <w:rFonts w:ascii="Arial" w:hAnsi="Arial" w:cs="Arial"/>
          <w:i/>
        </w:rPr>
        <w:t>Retroattività delle sanzioni amministrative, successione di leggi nel tempo e tutela del destinatario</w:t>
      </w:r>
      <w:r w:rsidRPr="0056261A">
        <w:rPr>
          <w:rFonts w:ascii="Arial" w:hAnsi="Arial" w:cs="Arial"/>
        </w:rPr>
        <w:t xml:space="preserve">, </w:t>
      </w:r>
      <w:r w:rsidRPr="00414650">
        <w:rPr>
          <w:rFonts w:ascii="Arial" w:hAnsi="Arial" w:cs="Arial"/>
          <w:i/>
        </w:rPr>
        <w:t>op.cit</w:t>
      </w:r>
      <w:r w:rsidRPr="0056261A">
        <w:rPr>
          <w:rFonts w:ascii="Arial" w:hAnsi="Arial" w:cs="Arial"/>
        </w:rPr>
        <w:t>., p. 150 ss.</w:t>
      </w:r>
    </w:p>
  </w:footnote>
  <w:footnote w:id="12">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Sul punto si vedano, </w:t>
      </w:r>
      <w:r w:rsidRPr="0056261A">
        <w:rPr>
          <w:rFonts w:ascii="Arial" w:hAnsi="Arial" w:cs="Arial"/>
          <w:smallCaps/>
        </w:rPr>
        <w:t>P. Provenzano</w:t>
      </w:r>
      <w:r w:rsidRPr="0056261A">
        <w:rPr>
          <w:rFonts w:ascii="Arial" w:hAnsi="Arial" w:cs="Arial"/>
        </w:rPr>
        <w:t xml:space="preserve">, </w:t>
      </w:r>
      <w:r w:rsidRPr="0056261A">
        <w:rPr>
          <w:rFonts w:ascii="Arial" w:hAnsi="Arial" w:cs="Arial"/>
          <w:i/>
        </w:rPr>
        <w:t>Note minime in tema di sanzioni amministrative e “materia penale”</w:t>
      </w:r>
      <w:r w:rsidRPr="0056261A">
        <w:rPr>
          <w:rFonts w:ascii="Arial" w:hAnsi="Arial" w:cs="Arial"/>
        </w:rPr>
        <w:t xml:space="preserve">, </w:t>
      </w:r>
      <w:r w:rsidRPr="00414650">
        <w:rPr>
          <w:rFonts w:ascii="Arial" w:hAnsi="Arial" w:cs="Arial"/>
          <w:i/>
        </w:rPr>
        <w:t>op.cit</w:t>
      </w:r>
      <w:r w:rsidRPr="0056261A">
        <w:rPr>
          <w:rFonts w:ascii="Arial" w:hAnsi="Arial" w:cs="Arial"/>
        </w:rPr>
        <w:t xml:space="preserve">., pp. 1080-1081; </w:t>
      </w:r>
      <w:r w:rsidRPr="0056261A">
        <w:rPr>
          <w:rFonts w:ascii="Arial" w:hAnsi="Arial" w:cs="Arial"/>
          <w:smallCaps/>
        </w:rPr>
        <w:t>P. Cerbo</w:t>
      </w:r>
      <w:r w:rsidRPr="0056261A">
        <w:rPr>
          <w:rFonts w:ascii="Arial" w:hAnsi="Arial" w:cs="Arial"/>
        </w:rPr>
        <w:t xml:space="preserve">, </w:t>
      </w:r>
      <w:r w:rsidRPr="0056261A">
        <w:rPr>
          <w:rFonts w:ascii="Arial" w:hAnsi="Arial" w:cs="Arial"/>
          <w:i/>
        </w:rPr>
        <w:t>La depenalizzazione fra giudice penale e amministrazione (e giudice dell’opposizione)</w:t>
      </w:r>
      <w:r w:rsidRPr="0056261A">
        <w:rPr>
          <w:rFonts w:ascii="Arial" w:hAnsi="Arial" w:cs="Arial"/>
        </w:rPr>
        <w:t xml:space="preserve">, </w:t>
      </w:r>
      <w:r w:rsidRPr="00414650">
        <w:rPr>
          <w:rFonts w:ascii="Arial" w:hAnsi="Arial" w:cs="Arial"/>
          <w:i/>
        </w:rPr>
        <w:t>op.cit</w:t>
      </w:r>
      <w:r w:rsidRPr="0056261A">
        <w:rPr>
          <w:rFonts w:ascii="Arial" w:hAnsi="Arial" w:cs="Arial"/>
        </w:rPr>
        <w:t>., pp. 58-59.</w:t>
      </w:r>
    </w:p>
  </w:footnote>
  <w:footnote w:id="13">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t xml:space="preserve">Si veda il </w:t>
      </w:r>
      <w:proofErr w:type="spellStart"/>
      <w:r>
        <w:rPr>
          <w:rFonts w:ascii="Arial" w:hAnsi="Arial" w:cs="Arial"/>
        </w:rPr>
        <w:t>D.</w:t>
      </w:r>
      <w:r w:rsidRPr="0056261A">
        <w:rPr>
          <w:rFonts w:ascii="Arial" w:hAnsi="Arial" w:cs="Arial"/>
        </w:rPr>
        <w:t>Lgs.</w:t>
      </w:r>
      <w:proofErr w:type="spellEnd"/>
      <w:r w:rsidRPr="0056261A">
        <w:rPr>
          <w:rFonts w:ascii="Arial" w:hAnsi="Arial" w:cs="Arial"/>
        </w:rPr>
        <w:t xml:space="preserve"> n. 7 del 2016 </w:t>
      </w:r>
      <w:r w:rsidRPr="00414650">
        <w:rPr>
          <w:rFonts w:ascii="Arial" w:hAnsi="Arial" w:cs="Arial"/>
        </w:rPr>
        <w:t>(“Disposizioni in materia di abrogazione di reati e introduzione di illeciti con sanzioni pecuniarie civili, a norma dell’art</w:t>
      </w:r>
      <w:r>
        <w:rPr>
          <w:rFonts w:ascii="Arial" w:hAnsi="Arial" w:cs="Arial"/>
        </w:rPr>
        <w:t>.</w:t>
      </w:r>
      <w:r w:rsidRPr="00414650">
        <w:rPr>
          <w:rFonts w:ascii="Arial" w:hAnsi="Arial" w:cs="Arial"/>
        </w:rPr>
        <w:t xml:space="preserve"> 2, comma 3, della </w:t>
      </w:r>
      <w:r>
        <w:rPr>
          <w:rFonts w:ascii="Arial" w:hAnsi="Arial" w:cs="Arial"/>
        </w:rPr>
        <w:t>Legge</w:t>
      </w:r>
      <w:r w:rsidRPr="00414650">
        <w:rPr>
          <w:rFonts w:ascii="Arial" w:hAnsi="Arial" w:cs="Arial"/>
        </w:rPr>
        <w:t xml:space="preserve"> 28 aprile 2014, n. 67”)</w:t>
      </w:r>
      <w:r w:rsidRPr="0056261A">
        <w:rPr>
          <w:rFonts w:ascii="Arial" w:hAnsi="Arial" w:cs="Arial"/>
        </w:rPr>
        <w:t xml:space="preserve"> che ha introdotto e disciplinato, in via generale, i danni punitivi nell’ordinamento italiano (in particolare artt. 3 ss.); per riferimenti, </w:t>
      </w:r>
      <w:r w:rsidRPr="0056261A">
        <w:rPr>
          <w:rFonts w:ascii="Arial" w:hAnsi="Arial" w:cs="Arial"/>
          <w:smallCaps/>
        </w:rPr>
        <w:t>V. Giannelli</w:t>
      </w:r>
      <w:r w:rsidRPr="0056261A">
        <w:rPr>
          <w:rFonts w:ascii="Arial" w:hAnsi="Arial" w:cs="Arial"/>
        </w:rPr>
        <w:t xml:space="preserve">, </w:t>
      </w:r>
      <w:r w:rsidRPr="0056261A">
        <w:rPr>
          <w:rFonts w:ascii="Arial" w:hAnsi="Arial" w:cs="Arial"/>
          <w:i/>
        </w:rPr>
        <w:t xml:space="preserve">Sanzioni amministrative, res iudicata e incostituzionalità della </w:t>
      </w:r>
      <w:r>
        <w:rPr>
          <w:rFonts w:ascii="Arial" w:hAnsi="Arial" w:cs="Arial"/>
          <w:i/>
        </w:rPr>
        <w:t>Legge</w:t>
      </w:r>
      <w:r w:rsidRPr="0056261A">
        <w:rPr>
          <w:rFonts w:ascii="Arial" w:hAnsi="Arial" w:cs="Arial"/>
          <w:i/>
        </w:rPr>
        <w:t xml:space="preserve"> applicata dal giudice</w:t>
      </w:r>
      <w:r w:rsidRPr="0056261A">
        <w:rPr>
          <w:rFonts w:ascii="Arial" w:hAnsi="Arial" w:cs="Arial"/>
        </w:rPr>
        <w:t xml:space="preserve">, in </w:t>
      </w:r>
      <w:r w:rsidRPr="0056261A">
        <w:rPr>
          <w:rFonts w:ascii="Arial" w:hAnsi="Arial" w:cs="Arial"/>
          <w:i/>
        </w:rPr>
        <w:t>Rivista AIC</w:t>
      </w:r>
      <w:r w:rsidRPr="0056261A">
        <w:rPr>
          <w:rFonts w:ascii="Arial" w:hAnsi="Arial" w:cs="Arial"/>
        </w:rPr>
        <w:t>, 2018, n. 3, p. 8, nota 25.</w:t>
      </w:r>
    </w:p>
  </w:footnote>
  <w:footnote w:id="14">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Cfr. art. 1382 c.c. sulla clausola penale: </w:t>
      </w:r>
      <w:r>
        <w:rPr>
          <w:rFonts w:ascii="Arial" w:hAnsi="Arial" w:cs="Arial"/>
        </w:rPr>
        <w:t xml:space="preserve">Corte </w:t>
      </w:r>
      <w:proofErr w:type="spellStart"/>
      <w:r w:rsidRPr="0056261A">
        <w:rPr>
          <w:rFonts w:ascii="Arial" w:hAnsi="Arial" w:cs="Arial"/>
        </w:rPr>
        <w:t>Cass</w:t>
      </w:r>
      <w:proofErr w:type="spellEnd"/>
      <w:r w:rsidRPr="0056261A">
        <w:rPr>
          <w:rFonts w:ascii="Arial" w:hAnsi="Arial" w:cs="Arial"/>
        </w:rPr>
        <w:t xml:space="preserve">. </w:t>
      </w:r>
      <w:proofErr w:type="spellStart"/>
      <w:r w:rsidRPr="0056261A">
        <w:rPr>
          <w:rFonts w:ascii="Arial" w:hAnsi="Arial" w:cs="Arial"/>
        </w:rPr>
        <w:t>Civ</w:t>
      </w:r>
      <w:proofErr w:type="spellEnd"/>
      <w:r w:rsidRPr="0056261A">
        <w:rPr>
          <w:rFonts w:ascii="Arial" w:hAnsi="Arial" w:cs="Arial"/>
        </w:rPr>
        <w:t xml:space="preserve">., </w:t>
      </w:r>
      <w:r>
        <w:rPr>
          <w:rFonts w:ascii="Arial" w:hAnsi="Arial" w:cs="Arial"/>
        </w:rPr>
        <w:t xml:space="preserve">sez. </w:t>
      </w:r>
      <w:r w:rsidRPr="0056261A">
        <w:rPr>
          <w:rFonts w:ascii="Arial" w:hAnsi="Arial" w:cs="Arial"/>
        </w:rPr>
        <w:t xml:space="preserve">III, </w:t>
      </w:r>
      <w:proofErr w:type="spellStart"/>
      <w:r>
        <w:rPr>
          <w:rFonts w:ascii="Arial" w:hAnsi="Arial" w:cs="Arial"/>
        </w:rPr>
        <w:t>sent</w:t>
      </w:r>
      <w:proofErr w:type="spellEnd"/>
      <w:r>
        <w:rPr>
          <w:rFonts w:ascii="Arial" w:hAnsi="Arial" w:cs="Arial"/>
        </w:rPr>
        <w:t xml:space="preserve">. </w:t>
      </w:r>
      <w:r w:rsidRPr="0056261A">
        <w:rPr>
          <w:rFonts w:ascii="Arial" w:hAnsi="Arial" w:cs="Arial"/>
        </w:rPr>
        <w:t xml:space="preserve">26 giugno 2002, n. 9295; </w:t>
      </w:r>
      <w:r w:rsidRPr="0056261A">
        <w:rPr>
          <w:rFonts w:ascii="Arial" w:hAnsi="Arial" w:cs="Arial"/>
          <w:smallCaps/>
        </w:rPr>
        <w:t>A. Zoppini</w:t>
      </w:r>
      <w:r w:rsidRPr="0056261A">
        <w:rPr>
          <w:rFonts w:ascii="Arial" w:hAnsi="Arial" w:cs="Arial"/>
        </w:rPr>
        <w:t xml:space="preserve">, </w:t>
      </w:r>
      <w:r w:rsidRPr="0056261A">
        <w:rPr>
          <w:rFonts w:ascii="Arial" w:hAnsi="Arial" w:cs="Arial"/>
          <w:i/>
        </w:rPr>
        <w:t>La pena contrattuale</w:t>
      </w:r>
      <w:r w:rsidRPr="0056261A">
        <w:rPr>
          <w:rFonts w:ascii="Arial" w:hAnsi="Arial" w:cs="Arial"/>
        </w:rPr>
        <w:t>, Milano, 1991, p. 99 ss.</w:t>
      </w:r>
    </w:p>
  </w:footnote>
  <w:footnote w:id="15">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Per alcune riflessioni su tale aspetto, </w:t>
      </w:r>
      <w:r w:rsidRPr="0056261A">
        <w:rPr>
          <w:rFonts w:ascii="Arial" w:hAnsi="Arial" w:cs="Arial"/>
          <w:smallCaps/>
        </w:rPr>
        <w:t>P. Cerbo</w:t>
      </w:r>
      <w:r w:rsidRPr="0056261A">
        <w:rPr>
          <w:rFonts w:ascii="Arial" w:hAnsi="Arial" w:cs="Arial"/>
        </w:rPr>
        <w:t xml:space="preserve">, </w:t>
      </w:r>
      <w:r w:rsidRPr="0056261A">
        <w:rPr>
          <w:rFonts w:ascii="Arial" w:hAnsi="Arial" w:cs="Arial"/>
          <w:i/>
        </w:rPr>
        <w:t>La depenalizzazione fra giudice penale e amministrazione (e giudice dell’opposizione)</w:t>
      </w:r>
      <w:r w:rsidRPr="0056261A">
        <w:rPr>
          <w:rFonts w:ascii="Arial" w:hAnsi="Arial" w:cs="Arial"/>
        </w:rPr>
        <w:t>,</w:t>
      </w:r>
      <w:r w:rsidRPr="00414650">
        <w:rPr>
          <w:rFonts w:ascii="Arial" w:hAnsi="Arial" w:cs="Arial"/>
          <w:i/>
        </w:rPr>
        <w:t>op.cit</w:t>
      </w:r>
      <w:r>
        <w:rPr>
          <w:rFonts w:ascii="Arial" w:hAnsi="Arial" w:cs="Arial"/>
        </w:rPr>
        <w:t>., p</w:t>
      </w:r>
      <w:r w:rsidRPr="0056261A">
        <w:rPr>
          <w:rFonts w:ascii="Arial" w:hAnsi="Arial" w:cs="Arial"/>
        </w:rPr>
        <w:t>. 66 ss</w:t>
      </w:r>
      <w:r w:rsidRPr="00234445">
        <w:rPr>
          <w:rFonts w:ascii="Arial" w:hAnsi="Arial" w:cs="Arial"/>
        </w:rPr>
        <w:t>.</w:t>
      </w:r>
      <w:r w:rsidR="00BF1A81" w:rsidRPr="00234445">
        <w:rPr>
          <w:rFonts w:ascii="Arial" w:hAnsi="Arial" w:cs="Arial"/>
        </w:rPr>
        <w:t>; sul procedimento sanzionatorio CONSOB</w:t>
      </w:r>
      <w:r w:rsidR="00B858F8" w:rsidRPr="00234445">
        <w:rPr>
          <w:rFonts w:ascii="Arial" w:hAnsi="Arial" w:cs="Arial"/>
        </w:rPr>
        <w:t xml:space="preserve"> in materia di abusi di mercato</w:t>
      </w:r>
      <w:r w:rsidR="00BF1A81" w:rsidRPr="00234445">
        <w:rPr>
          <w:rFonts w:ascii="Arial" w:hAnsi="Arial" w:cs="Arial"/>
        </w:rPr>
        <w:t xml:space="preserve">, cfr. </w:t>
      </w:r>
      <w:r w:rsidR="00BF1A81" w:rsidRPr="00234445">
        <w:rPr>
          <w:rFonts w:ascii="Arial" w:hAnsi="Arial" w:cs="Arial"/>
          <w:smallCaps/>
        </w:rPr>
        <w:t>C. Deodato</w:t>
      </w:r>
      <w:r w:rsidR="00BF1A81" w:rsidRPr="00234445">
        <w:rPr>
          <w:rFonts w:ascii="Arial" w:hAnsi="Arial" w:cs="Arial"/>
        </w:rPr>
        <w:t xml:space="preserve">, </w:t>
      </w:r>
      <w:r w:rsidR="00BF1A81" w:rsidRPr="00234445">
        <w:rPr>
          <w:rFonts w:ascii="Arial" w:hAnsi="Arial" w:cs="Arial"/>
          <w:i/>
        </w:rPr>
        <w:t xml:space="preserve">Sanzioni formalmente amministrative e sostanzialmente penali: i problemi procedurali connessi all’applicazione delle sanzioni Consob in materia di market </w:t>
      </w:r>
      <w:proofErr w:type="spellStart"/>
      <w:r w:rsidR="00BF1A81" w:rsidRPr="00234445">
        <w:rPr>
          <w:rFonts w:ascii="Arial" w:hAnsi="Arial" w:cs="Arial"/>
          <w:i/>
        </w:rPr>
        <w:t>abuse</w:t>
      </w:r>
      <w:proofErr w:type="spellEnd"/>
      <w:r w:rsidR="00BF1A81" w:rsidRPr="00234445">
        <w:rPr>
          <w:rFonts w:ascii="Arial" w:hAnsi="Arial" w:cs="Arial"/>
          <w:i/>
        </w:rPr>
        <w:t xml:space="preserve"> (e alcune soluzioni)</w:t>
      </w:r>
      <w:r w:rsidR="00BF1A81" w:rsidRPr="00234445">
        <w:rPr>
          <w:rFonts w:ascii="Arial" w:hAnsi="Arial" w:cs="Arial"/>
        </w:rPr>
        <w:t xml:space="preserve">, in </w:t>
      </w:r>
      <w:r w:rsidR="00BF1A81" w:rsidRPr="00234445">
        <w:rPr>
          <w:rFonts w:ascii="Arial" w:hAnsi="Arial" w:cs="Arial"/>
          <w:i/>
        </w:rPr>
        <w:t>Federalismi</w:t>
      </w:r>
      <w:r w:rsidR="00BF1A81" w:rsidRPr="00234445">
        <w:rPr>
          <w:rFonts w:ascii="Arial" w:hAnsi="Arial" w:cs="Arial"/>
        </w:rPr>
        <w:t>, 2019, n. 23, p. 9 ss.</w:t>
      </w:r>
    </w:p>
  </w:footnote>
  <w:footnote w:id="16">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Si veda, </w:t>
      </w:r>
      <w:r w:rsidRPr="0056261A">
        <w:rPr>
          <w:rFonts w:ascii="Arial" w:hAnsi="Arial" w:cs="Arial"/>
          <w:smallCaps/>
        </w:rPr>
        <w:t>A. Travi</w:t>
      </w:r>
      <w:r w:rsidRPr="0056261A">
        <w:rPr>
          <w:rFonts w:ascii="Arial" w:hAnsi="Arial" w:cs="Arial"/>
        </w:rPr>
        <w:t xml:space="preserve">, </w:t>
      </w:r>
      <w:r w:rsidRPr="0056261A">
        <w:rPr>
          <w:rFonts w:ascii="Arial" w:hAnsi="Arial" w:cs="Arial"/>
          <w:i/>
        </w:rPr>
        <w:t>Incertezza delle regole e sanzioni amministrative</w:t>
      </w:r>
      <w:r w:rsidRPr="0056261A">
        <w:rPr>
          <w:rFonts w:ascii="Arial" w:hAnsi="Arial" w:cs="Arial"/>
        </w:rPr>
        <w:t xml:space="preserve">, in </w:t>
      </w:r>
      <w:r w:rsidRPr="0056261A">
        <w:rPr>
          <w:rFonts w:ascii="Arial" w:hAnsi="Arial" w:cs="Arial"/>
          <w:i/>
        </w:rPr>
        <w:t xml:space="preserve">Dir. </w:t>
      </w:r>
      <w:proofErr w:type="spellStart"/>
      <w:r w:rsidRPr="0056261A">
        <w:rPr>
          <w:rFonts w:ascii="Arial" w:hAnsi="Arial" w:cs="Arial"/>
          <w:i/>
        </w:rPr>
        <w:t>Amm</w:t>
      </w:r>
      <w:proofErr w:type="spellEnd"/>
      <w:r w:rsidRPr="0056261A">
        <w:rPr>
          <w:rFonts w:ascii="Arial" w:hAnsi="Arial" w:cs="Arial"/>
          <w:i/>
        </w:rPr>
        <w:t>.</w:t>
      </w:r>
      <w:r w:rsidRPr="0056261A">
        <w:rPr>
          <w:rFonts w:ascii="Arial" w:hAnsi="Arial" w:cs="Arial"/>
        </w:rPr>
        <w:t xml:space="preserve">, 2014, n. 4, pp. 634-635; anche, </w:t>
      </w:r>
      <w:r w:rsidRPr="0056261A">
        <w:rPr>
          <w:rFonts w:ascii="Arial" w:hAnsi="Arial" w:cs="Arial"/>
          <w:smallCaps/>
        </w:rPr>
        <w:t>M. Allena</w:t>
      </w:r>
      <w:r w:rsidRPr="0056261A">
        <w:rPr>
          <w:rFonts w:ascii="Arial" w:hAnsi="Arial" w:cs="Arial"/>
        </w:rPr>
        <w:t xml:space="preserve">, </w:t>
      </w:r>
      <w:r w:rsidRPr="0056261A">
        <w:rPr>
          <w:rFonts w:ascii="Arial" w:hAnsi="Arial" w:cs="Arial"/>
          <w:i/>
        </w:rPr>
        <w:t>La sanzione amministrativa tra garanzie costituzionali e princ</w:t>
      </w:r>
      <w:r>
        <w:rPr>
          <w:rFonts w:ascii="Arial" w:hAnsi="Arial" w:cs="Arial"/>
          <w:i/>
        </w:rPr>
        <w:t>ì</w:t>
      </w:r>
      <w:r w:rsidRPr="0056261A">
        <w:rPr>
          <w:rFonts w:ascii="Arial" w:hAnsi="Arial" w:cs="Arial"/>
          <w:i/>
        </w:rPr>
        <w:t>pi CEDU: il problema della tassatività-determinatezza e la prevedibilità</w:t>
      </w:r>
      <w:r w:rsidRPr="0056261A">
        <w:rPr>
          <w:rFonts w:ascii="Arial" w:hAnsi="Arial" w:cs="Arial"/>
        </w:rPr>
        <w:t xml:space="preserve">, </w:t>
      </w:r>
      <w:r w:rsidRPr="00414650">
        <w:rPr>
          <w:rFonts w:ascii="Arial" w:hAnsi="Arial" w:cs="Arial"/>
          <w:i/>
        </w:rPr>
        <w:t>op.cit</w:t>
      </w:r>
      <w:r w:rsidRPr="0056261A">
        <w:rPr>
          <w:rFonts w:ascii="Arial" w:hAnsi="Arial" w:cs="Arial"/>
        </w:rPr>
        <w:t>., p. 22.</w:t>
      </w:r>
    </w:p>
  </w:footnote>
  <w:footnote w:id="17">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Secondo </w:t>
      </w:r>
      <w:r w:rsidRPr="0056261A">
        <w:rPr>
          <w:rFonts w:ascii="Arial" w:hAnsi="Arial" w:cs="Arial"/>
          <w:smallCaps/>
        </w:rPr>
        <w:t xml:space="preserve">M.A. </w:t>
      </w:r>
      <w:proofErr w:type="spellStart"/>
      <w:r w:rsidRPr="0056261A">
        <w:rPr>
          <w:rFonts w:ascii="Arial" w:hAnsi="Arial" w:cs="Arial"/>
          <w:smallCaps/>
        </w:rPr>
        <w:t>Sandulli</w:t>
      </w:r>
      <w:proofErr w:type="spellEnd"/>
      <w:r w:rsidRPr="0056261A">
        <w:rPr>
          <w:rFonts w:ascii="Arial" w:hAnsi="Arial" w:cs="Arial"/>
        </w:rPr>
        <w:t xml:space="preserve">, voce </w:t>
      </w:r>
      <w:r w:rsidRPr="0056261A">
        <w:rPr>
          <w:rFonts w:ascii="Arial" w:hAnsi="Arial" w:cs="Arial"/>
          <w:i/>
        </w:rPr>
        <w:t>Sanzione – IV Sanzioni amministrative</w:t>
      </w:r>
      <w:r w:rsidRPr="0056261A">
        <w:rPr>
          <w:rFonts w:ascii="Arial" w:hAnsi="Arial" w:cs="Arial"/>
        </w:rPr>
        <w:t xml:space="preserve">, in </w:t>
      </w:r>
      <w:proofErr w:type="spellStart"/>
      <w:r w:rsidRPr="0056261A">
        <w:rPr>
          <w:rFonts w:ascii="Arial" w:hAnsi="Arial" w:cs="Arial"/>
          <w:i/>
        </w:rPr>
        <w:t>Enc</w:t>
      </w:r>
      <w:proofErr w:type="spellEnd"/>
      <w:r w:rsidRPr="0056261A">
        <w:rPr>
          <w:rFonts w:ascii="Arial" w:hAnsi="Arial" w:cs="Arial"/>
          <w:i/>
        </w:rPr>
        <w:t>. giur.</w:t>
      </w:r>
      <w:r w:rsidRPr="0056261A">
        <w:rPr>
          <w:rFonts w:ascii="Arial" w:hAnsi="Arial" w:cs="Arial"/>
        </w:rPr>
        <w:t xml:space="preserve">, vol. XXVIII, 1992, p. 15, la disposizione di cui all’art. 112 </w:t>
      </w:r>
      <w:proofErr w:type="spellStart"/>
      <w:r w:rsidRPr="0056261A">
        <w:rPr>
          <w:rFonts w:ascii="Arial" w:hAnsi="Arial" w:cs="Arial"/>
        </w:rPr>
        <w:t>Cost</w:t>
      </w:r>
      <w:proofErr w:type="spellEnd"/>
      <w:r w:rsidRPr="0056261A">
        <w:rPr>
          <w:rFonts w:ascii="Arial" w:hAnsi="Arial" w:cs="Arial"/>
        </w:rPr>
        <w:t xml:space="preserve">., che impone al Pubblico Ministero l’esercizio dell’azione penale, </w:t>
      </w:r>
      <w:r w:rsidRPr="006F617E">
        <w:rPr>
          <w:rFonts w:ascii="Arial" w:hAnsi="Arial" w:cs="Arial"/>
        </w:rPr>
        <w:t>“è dettata dall’esigenza di impedire ogni possibile valutazione sull’opportunità della punizione di un comportamento che si considera lesivo degli interessi della società civile. Una simile esigenza però non appare indefettibile per le sanzioni amministrative, stante la singolarissima coincidenza, in queste, tra il soggetto passivo dell’illecito e l’autorità competente ad infliggere la pena”.</w:t>
      </w:r>
    </w:p>
  </w:footnote>
  <w:footnote w:id="18">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smallCaps/>
        </w:rPr>
        <w:t xml:space="preserve">F. </w:t>
      </w:r>
      <w:proofErr w:type="spellStart"/>
      <w:r w:rsidRPr="0056261A">
        <w:rPr>
          <w:rFonts w:ascii="Arial" w:hAnsi="Arial" w:cs="Arial"/>
          <w:smallCaps/>
        </w:rPr>
        <w:t>Goisis</w:t>
      </w:r>
      <w:proofErr w:type="spellEnd"/>
      <w:r w:rsidRPr="0056261A">
        <w:rPr>
          <w:rFonts w:ascii="Arial" w:hAnsi="Arial" w:cs="Arial"/>
        </w:rPr>
        <w:t xml:space="preserve">, </w:t>
      </w:r>
      <w:r w:rsidRPr="0056261A">
        <w:rPr>
          <w:rFonts w:ascii="Arial" w:hAnsi="Arial" w:cs="Arial"/>
          <w:i/>
        </w:rPr>
        <w:t xml:space="preserve">La full </w:t>
      </w:r>
      <w:proofErr w:type="spellStart"/>
      <w:r w:rsidRPr="0056261A">
        <w:rPr>
          <w:rFonts w:ascii="Arial" w:hAnsi="Arial" w:cs="Arial"/>
          <w:i/>
        </w:rPr>
        <w:t>jurisdiction</w:t>
      </w:r>
      <w:proofErr w:type="spellEnd"/>
      <w:r w:rsidRPr="0056261A">
        <w:rPr>
          <w:rFonts w:ascii="Arial" w:hAnsi="Arial" w:cs="Arial"/>
          <w:i/>
        </w:rPr>
        <w:t xml:space="preserve"> sulle sanzioni amministrative: continuità della funzione sanzionatoria v. separazione dei poteri</w:t>
      </w:r>
      <w:r w:rsidRPr="0056261A">
        <w:rPr>
          <w:rFonts w:ascii="Arial" w:hAnsi="Arial" w:cs="Arial"/>
        </w:rPr>
        <w:t xml:space="preserve">, in </w:t>
      </w:r>
      <w:r w:rsidRPr="0056261A">
        <w:rPr>
          <w:rFonts w:ascii="Arial" w:hAnsi="Arial" w:cs="Arial"/>
          <w:i/>
        </w:rPr>
        <w:t xml:space="preserve">Dir. </w:t>
      </w:r>
      <w:proofErr w:type="spellStart"/>
      <w:r w:rsidRPr="0056261A">
        <w:rPr>
          <w:rFonts w:ascii="Arial" w:hAnsi="Arial" w:cs="Arial"/>
          <w:i/>
        </w:rPr>
        <w:t>amm</w:t>
      </w:r>
      <w:proofErr w:type="spellEnd"/>
      <w:r w:rsidRPr="0056261A">
        <w:rPr>
          <w:rFonts w:ascii="Arial" w:hAnsi="Arial" w:cs="Arial"/>
          <w:i/>
        </w:rPr>
        <w:t>.</w:t>
      </w:r>
      <w:r w:rsidRPr="0056261A">
        <w:rPr>
          <w:rFonts w:ascii="Arial" w:hAnsi="Arial" w:cs="Arial"/>
        </w:rPr>
        <w:t xml:space="preserve">, 2018, n. 1, pp. 10-11, 29 ss.; sottolinea la distinzione tra funzioni istruttorie e funzioni decisorie, </w:t>
      </w:r>
      <w:r w:rsidRPr="0056261A">
        <w:rPr>
          <w:rFonts w:ascii="Arial" w:hAnsi="Arial" w:cs="Arial"/>
          <w:smallCaps/>
        </w:rPr>
        <w:t>M. Allena</w:t>
      </w:r>
      <w:r w:rsidRPr="0056261A">
        <w:rPr>
          <w:rFonts w:ascii="Arial" w:hAnsi="Arial" w:cs="Arial"/>
        </w:rPr>
        <w:t xml:space="preserve">, </w:t>
      </w:r>
      <w:r w:rsidRPr="0056261A">
        <w:rPr>
          <w:rFonts w:ascii="Arial" w:hAnsi="Arial" w:cs="Arial"/>
          <w:i/>
        </w:rPr>
        <w:t>La potestà sanzionatoria delle Autorità indipendenti come luogo di emersione di nuove sistemazioni concettuali e di più elevati canoni di tutela dettati dal diritto sovranazionale europeo</w:t>
      </w:r>
      <w:r w:rsidRPr="0056261A">
        <w:rPr>
          <w:rFonts w:ascii="Arial" w:hAnsi="Arial" w:cs="Arial"/>
        </w:rPr>
        <w:t xml:space="preserve">, in (a cura di) </w:t>
      </w:r>
      <w:r w:rsidRPr="0056261A">
        <w:rPr>
          <w:rFonts w:ascii="Arial" w:hAnsi="Arial" w:cs="Arial"/>
          <w:smallCaps/>
        </w:rPr>
        <w:t>M. Allena – S. Cimini</w:t>
      </w:r>
      <w:r w:rsidRPr="0056261A">
        <w:rPr>
          <w:rFonts w:ascii="Arial" w:hAnsi="Arial" w:cs="Arial"/>
        </w:rPr>
        <w:t xml:space="preserve">, </w:t>
      </w:r>
      <w:r w:rsidRPr="0056261A">
        <w:rPr>
          <w:rFonts w:ascii="Arial" w:hAnsi="Arial" w:cs="Arial"/>
          <w:i/>
        </w:rPr>
        <w:t>Il potere sanzionatorio delle Autorità amministrative indipendenti</w:t>
      </w:r>
      <w:r w:rsidRPr="0056261A">
        <w:rPr>
          <w:rFonts w:ascii="Arial" w:hAnsi="Arial" w:cs="Arial"/>
        </w:rPr>
        <w:t xml:space="preserve">, in </w:t>
      </w:r>
      <w:r w:rsidRPr="0056261A">
        <w:rPr>
          <w:rFonts w:ascii="Arial" w:hAnsi="Arial" w:cs="Arial"/>
          <w:i/>
        </w:rPr>
        <w:t>Approfondimenti</w:t>
      </w:r>
      <w:r w:rsidRPr="0056261A">
        <w:rPr>
          <w:rFonts w:ascii="Arial" w:hAnsi="Arial" w:cs="Arial"/>
        </w:rPr>
        <w:t xml:space="preserve"> de </w:t>
      </w:r>
      <w:r w:rsidRPr="0056261A">
        <w:rPr>
          <w:rFonts w:ascii="Arial" w:hAnsi="Arial" w:cs="Arial"/>
          <w:i/>
        </w:rPr>
        <w:t>Il diritto dell’economia</w:t>
      </w:r>
      <w:r w:rsidRPr="0056261A">
        <w:rPr>
          <w:rFonts w:ascii="Arial" w:hAnsi="Arial" w:cs="Arial"/>
        </w:rPr>
        <w:t>, vol. 26, n. 82, 2013, pp. 17-18.</w:t>
      </w:r>
    </w:p>
  </w:footnote>
  <w:footnote w:id="19">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Sulla unità funzionale, ma non strutturale o organica, della giurisdizione, Corte costituzionale, sentenza 18 gennaio 2018, n. 6, che richiama le precedenti sentenze, 12 marzo 2007, n. 77, e 6 luglio 2004, n. 204; sul punto sia consentito il rinvio a </w:t>
      </w:r>
      <w:proofErr w:type="spellStart"/>
      <w:r w:rsidRPr="0056261A">
        <w:rPr>
          <w:rFonts w:ascii="Arial" w:hAnsi="Arial" w:cs="Arial"/>
          <w:smallCaps/>
        </w:rPr>
        <w:t>A</w:t>
      </w:r>
      <w:proofErr w:type="spellEnd"/>
      <w:r w:rsidRPr="0056261A">
        <w:rPr>
          <w:rFonts w:ascii="Arial" w:hAnsi="Arial" w:cs="Arial"/>
          <w:smallCaps/>
        </w:rPr>
        <w:t>. De Vita</w:t>
      </w:r>
      <w:r w:rsidRPr="0056261A">
        <w:rPr>
          <w:rFonts w:ascii="Arial" w:hAnsi="Arial" w:cs="Arial"/>
        </w:rPr>
        <w:t xml:space="preserve">, </w:t>
      </w:r>
      <w:r w:rsidRPr="0056261A">
        <w:rPr>
          <w:rFonts w:ascii="Arial" w:hAnsi="Arial" w:cs="Arial"/>
          <w:i/>
        </w:rPr>
        <w:t>I principi del processo</w:t>
      </w:r>
      <w:r w:rsidRPr="0056261A">
        <w:rPr>
          <w:rFonts w:ascii="Arial" w:hAnsi="Arial" w:cs="Arial"/>
        </w:rPr>
        <w:t xml:space="preserve">, in </w:t>
      </w:r>
      <w:r w:rsidRPr="0056261A">
        <w:rPr>
          <w:rFonts w:ascii="Arial" w:hAnsi="Arial" w:cs="Arial"/>
          <w:smallCaps/>
        </w:rPr>
        <w:t>F.S. Marini – A. Storto</w:t>
      </w:r>
      <w:r w:rsidRPr="0056261A">
        <w:rPr>
          <w:rFonts w:ascii="Arial" w:hAnsi="Arial" w:cs="Arial"/>
        </w:rPr>
        <w:t xml:space="preserve"> (a cura di), </w:t>
      </w:r>
      <w:r w:rsidRPr="0056261A">
        <w:rPr>
          <w:rFonts w:ascii="Arial" w:hAnsi="Arial" w:cs="Arial"/>
          <w:i/>
        </w:rPr>
        <w:t>Diritto processuale amministrativo</w:t>
      </w:r>
      <w:r w:rsidRPr="0056261A">
        <w:rPr>
          <w:rFonts w:ascii="Arial" w:hAnsi="Arial" w:cs="Arial"/>
        </w:rPr>
        <w:t>, Piacenza, 2018, pp. 52-53.</w:t>
      </w:r>
    </w:p>
  </w:footnote>
  <w:footnote w:id="20">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Cfr. art. 134 cod. </w:t>
      </w:r>
      <w:proofErr w:type="spellStart"/>
      <w:r w:rsidRPr="0056261A">
        <w:rPr>
          <w:rFonts w:ascii="Arial" w:hAnsi="Arial" w:cs="Arial"/>
        </w:rPr>
        <w:t>proc</w:t>
      </w:r>
      <w:proofErr w:type="spellEnd"/>
      <w:r w:rsidRPr="0056261A">
        <w:rPr>
          <w:rFonts w:ascii="Arial" w:hAnsi="Arial" w:cs="Arial"/>
        </w:rPr>
        <w:t xml:space="preserve">. </w:t>
      </w:r>
      <w:proofErr w:type="spellStart"/>
      <w:r w:rsidRPr="0056261A">
        <w:rPr>
          <w:rFonts w:ascii="Arial" w:hAnsi="Arial" w:cs="Arial"/>
        </w:rPr>
        <w:t>amm</w:t>
      </w:r>
      <w:proofErr w:type="spellEnd"/>
      <w:r w:rsidRPr="0056261A">
        <w:rPr>
          <w:rFonts w:ascii="Arial" w:hAnsi="Arial" w:cs="Arial"/>
        </w:rPr>
        <w:t xml:space="preserve">.; in argomento, </w:t>
      </w:r>
      <w:r w:rsidRPr="0056261A">
        <w:rPr>
          <w:rFonts w:ascii="Arial" w:hAnsi="Arial" w:cs="Arial"/>
          <w:smallCaps/>
        </w:rPr>
        <w:t xml:space="preserve">F. </w:t>
      </w:r>
      <w:proofErr w:type="spellStart"/>
      <w:r w:rsidRPr="0056261A">
        <w:rPr>
          <w:rFonts w:ascii="Arial" w:hAnsi="Arial" w:cs="Arial"/>
          <w:smallCaps/>
        </w:rPr>
        <w:t>Goisis</w:t>
      </w:r>
      <w:proofErr w:type="spellEnd"/>
      <w:r w:rsidRPr="0056261A">
        <w:rPr>
          <w:rFonts w:ascii="Arial" w:hAnsi="Arial" w:cs="Arial"/>
        </w:rPr>
        <w:t xml:space="preserve">, </w:t>
      </w:r>
      <w:r w:rsidRPr="0056261A">
        <w:rPr>
          <w:rFonts w:ascii="Arial" w:hAnsi="Arial" w:cs="Arial"/>
          <w:i/>
        </w:rPr>
        <w:t xml:space="preserve">La full </w:t>
      </w:r>
      <w:proofErr w:type="spellStart"/>
      <w:r w:rsidRPr="0056261A">
        <w:rPr>
          <w:rFonts w:ascii="Arial" w:hAnsi="Arial" w:cs="Arial"/>
          <w:i/>
        </w:rPr>
        <w:t>jurisdiction</w:t>
      </w:r>
      <w:proofErr w:type="spellEnd"/>
      <w:r w:rsidRPr="0056261A">
        <w:rPr>
          <w:rFonts w:ascii="Arial" w:hAnsi="Arial" w:cs="Arial"/>
          <w:i/>
        </w:rPr>
        <w:t xml:space="preserve"> sulle sanzioni amministrative: continuità della funzione sanzionatoria v. separazione dei poteri</w:t>
      </w:r>
      <w:r w:rsidRPr="0056261A">
        <w:rPr>
          <w:rFonts w:ascii="Arial" w:hAnsi="Arial" w:cs="Arial"/>
        </w:rPr>
        <w:t xml:space="preserve">, </w:t>
      </w:r>
      <w:r w:rsidRPr="00820134">
        <w:rPr>
          <w:rFonts w:ascii="Arial" w:hAnsi="Arial" w:cs="Arial"/>
          <w:i/>
        </w:rPr>
        <w:t>op.cit</w:t>
      </w:r>
      <w:r>
        <w:rPr>
          <w:rFonts w:ascii="Arial" w:hAnsi="Arial" w:cs="Arial"/>
        </w:rPr>
        <w:t>., p</w:t>
      </w:r>
      <w:r w:rsidRPr="0056261A">
        <w:rPr>
          <w:rFonts w:ascii="Arial" w:hAnsi="Arial" w:cs="Arial"/>
        </w:rPr>
        <w:t>. 4 ss.</w:t>
      </w:r>
    </w:p>
  </w:footnote>
  <w:footnote w:id="21">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Con riguardo al principio della domanda in sede di giurisdizione di merito (in particolare nel giudizio di ottemperanza), si veda </w:t>
      </w:r>
      <w:r w:rsidRPr="0056261A">
        <w:rPr>
          <w:rFonts w:ascii="Arial" w:hAnsi="Arial" w:cs="Arial"/>
          <w:smallCaps/>
        </w:rPr>
        <w:t xml:space="preserve">A. De Vita, </w:t>
      </w:r>
      <w:r w:rsidRPr="0056261A">
        <w:rPr>
          <w:rFonts w:ascii="Arial" w:hAnsi="Arial" w:cs="Arial"/>
          <w:i/>
          <w:iCs/>
        </w:rPr>
        <w:t>Il giudizio di ottemperanza</w:t>
      </w:r>
      <w:r w:rsidRPr="0056261A">
        <w:rPr>
          <w:rFonts w:ascii="Arial" w:hAnsi="Arial" w:cs="Arial"/>
          <w:iCs/>
        </w:rPr>
        <w:t xml:space="preserve">, in </w:t>
      </w:r>
      <w:r w:rsidRPr="0056261A">
        <w:rPr>
          <w:rFonts w:ascii="Arial" w:hAnsi="Arial" w:cs="Arial"/>
          <w:iCs/>
          <w:smallCaps/>
        </w:rPr>
        <w:t>P. Cerbo</w:t>
      </w:r>
      <w:r w:rsidRPr="0056261A">
        <w:rPr>
          <w:rFonts w:ascii="Arial" w:hAnsi="Arial" w:cs="Arial"/>
          <w:iCs/>
        </w:rPr>
        <w:t xml:space="preserve"> (a cura di), </w:t>
      </w:r>
      <w:r w:rsidRPr="0056261A">
        <w:rPr>
          <w:rFonts w:ascii="Arial" w:hAnsi="Arial" w:cs="Arial"/>
          <w:i/>
          <w:iCs/>
        </w:rPr>
        <w:t>Il processo amministrativo a (quasi) dieci anni dal codice</w:t>
      </w:r>
      <w:r w:rsidRPr="0056261A">
        <w:rPr>
          <w:rFonts w:ascii="Arial" w:hAnsi="Arial" w:cs="Arial"/>
          <w:iCs/>
        </w:rPr>
        <w:t xml:space="preserve">, Lecce, 2019, p. 86; </w:t>
      </w:r>
      <w:r w:rsidRPr="0056261A">
        <w:rPr>
          <w:rFonts w:ascii="Arial" w:hAnsi="Arial" w:cs="Arial"/>
          <w:smallCaps/>
        </w:rPr>
        <w:t xml:space="preserve">F. </w:t>
      </w:r>
      <w:proofErr w:type="spellStart"/>
      <w:r w:rsidRPr="0056261A">
        <w:rPr>
          <w:rFonts w:ascii="Arial" w:hAnsi="Arial" w:cs="Arial"/>
          <w:smallCaps/>
        </w:rPr>
        <w:t>Goisis</w:t>
      </w:r>
      <w:proofErr w:type="spellEnd"/>
      <w:r w:rsidRPr="0056261A">
        <w:rPr>
          <w:rFonts w:ascii="Arial" w:hAnsi="Arial" w:cs="Arial"/>
        </w:rPr>
        <w:t xml:space="preserve">, </w:t>
      </w:r>
      <w:r w:rsidRPr="0056261A">
        <w:rPr>
          <w:rFonts w:ascii="Arial" w:hAnsi="Arial" w:cs="Arial"/>
          <w:i/>
        </w:rPr>
        <w:t xml:space="preserve">La full </w:t>
      </w:r>
      <w:proofErr w:type="spellStart"/>
      <w:r w:rsidRPr="0056261A">
        <w:rPr>
          <w:rFonts w:ascii="Arial" w:hAnsi="Arial" w:cs="Arial"/>
          <w:i/>
        </w:rPr>
        <w:t>jurisdiction</w:t>
      </w:r>
      <w:proofErr w:type="spellEnd"/>
      <w:r w:rsidRPr="0056261A">
        <w:rPr>
          <w:rFonts w:ascii="Arial" w:hAnsi="Arial" w:cs="Arial"/>
          <w:i/>
        </w:rPr>
        <w:t xml:space="preserve"> sulle sanzioni amministrative: continuità della funzione sanzionatoria v. separazione dei poteri</w:t>
      </w:r>
      <w:r w:rsidRPr="0056261A">
        <w:rPr>
          <w:rFonts w:ascii="Arial" w:hAnsi="Arial" w:cs="Arial"/>
        </w:rPr>
        <w:t xml:space="preserve">, </w:t>
      </w:r>
      <w:r w:rsidRPr="00820134">
        <w:rPr>
          <w:rFonts w:ascii="Arial" w:hAnsi="Arial" w:cs="Arial"/>
          <w:i/>
        </w:rPr>
        <w:t>op.cit</w:t>
      </w:r>
      <w:r>
        <w:rPr>
          <w:rFonts w:ascii="Arial" w:hAnsi="Arial" w:cs="Arial"/>
        </w:rPr>
        <w:t>., pp</w:t>
      </w:r>
      <w:r w:rsidRPr="0056261A">
        <w:rPr>
          <w:rFonts w:ascii="Arial" w:hAnsi="Arial" w:cs="Arial"/>
        </w:rPr>
        <w:t>. 19, 24.</w:t>
      </w:r>
    </w:p>
  </w:footnote>
  <w:footnote w:id="22">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t>Artt. 21-</w:t>
      </w:r>
      <w:r w:rsidRPr="0056261A">
        <w:rPr>
          <w:rFonts w:ascii="Arial" w:hAnsi="Arial" w:cs="Arial"/>
          <w:i/>
        </w:rPr>
        <w:t>bis</w:t>
      </w:r>
      <w:r>
        <w:rPr>
          <w:rFonts w:ascii="Arial" w:hAnsi="Arial" w:cs="Arial"/>
        </w:rPr>
        <w:t xml:space="preserve"> – 21-</w:t>
      </w:r>
      <w:r w:rsidRPr="0056261A">
        <w:rPr>
          <w:rFonts w:ascii="Arial" w:hAnsi="Arial" w:cs="Arial"/>
          <w:i/>
        </w:rPr>
        <w:t>nonies</w:t>
      </w:r>
      <w:r w:rsidRPr="0056261A">
        <w:rPr>
          <w:rFonts w:ascii="Arial" w:hAnsi="Arial" w:cs="Arial"/>
        </w:rPr>
        <w:t xml:space="preserve"> della </w:t>
      </w:r>
      <w:r>
        <w:rPr>
          <w:rFonts w:ascii="Arial" w:hAnsi="Arial" w:cs="Arial"/>
        </w:rPr>
        <w:t>Legge</w:t>
      </w:r>
      <w:r w:rsidRPr="0056261A">
        <w:rPr>
          <w:rFonts w:ascii="Arial" w:hAnsi="Arial" w:cs="Arial"/>
        </w:rPr>
        <w:t xml:space="preserve"> n. 241 del 1990; cfr. </w:t>
      </w:r>
      <w:r w:rsidRPr="0056261A">
        <w:rPr>
          <w:rFonts w:ascii="Arial" w:hAnsi="Arial" w:cs="Arial"/>
          <w:smallCaps/>
        </w:rPr>
        <w:t>A. Travi</w:t>
      </w:r>
      <w:r w:rsidRPr="0056261A">
        <w:rPr>
          <w:rFonts w:ascii="Arial" w:hAnsi="Arial" w:cs="Arial"/>
        </w:rPr>
        <w:t xml:space="preserve">, </w:t>
      </w:r>
      <w:r w:rsidRPr="0056261A">
        <w:rPr>
          <w:rFonts w:ascii="Arial" w:hAnsi="Arial" w:cs="Arial"/>
          <w:i/>
        </w:rPr>
        <w:t>Incertezza delle regole e sanzioni amministrative</w:t>
      </w:r>
      <w:r w:rsidRPr="0056261A">
        <w:rPr>
          <w:rFonts w:ascii="Arial" w:hAnsi="Arial" w:cs="Arial"/>
        </w:rPr>
        <w:t xml:space="preserve">, </w:t>
      </w:r>
      <w:r w:rsidRPr="00820134">
        <w:rPr>
          <w:rFonts w:ascii="Arial" w:hAnsi="Arial" w:cs="Arial"/>
          <w:i/>
        </w:rPr>
        <w:t>op.cit</w:t>
      </w:r>
      <w:r>
        <w:rPr>
          <w:rFonts w:ascii="Arial" w:hAnsi="Arial" w:cs="Arial"/>
        </w:rPr>
        <w:t>., p</w:t>
      </w:r>
      <w:r w:rsidRPr="0056261A">
        <w:rPr>
          <w:rFonts w:ascii="Arial" w:hAnsi="Arial" w:cs="Arial"/>
        </w:rPr>
        <w:t xml:space="preserve">. 640 ss.; secondo </w:t>
      </w:r>
      <w:r>
        <w:rPr>
          <w:rFonts w:ascii="Arial" w:hAnsi="Arial" w:cs="Arial"/>
        </w:rPr>
        <w:t xml:space="preserve">Corte </w:t>
      </w:r>
      <w:proofErr w:type="spellStart"/>
      <w:r w:rsidRPr="0056261A">
        <w:rPr>
          <w:rFonts w:ascii="Arial" w:hAnsi="Arial" w:cs="Arial"/>
        </w:rPr>
        <w:t>Cass</w:t>
      </w:r>
      <w:proofErr w:type="spellEnd"/>
      <w:r w:rsidRPr="0056261A">
        <w:rPr>
          <w:rFonts w:ascii="Arial" w:hAnsi="Arial" w:cs="Arial"/>
        </w:rPr>
        <w:t xml:space="preserve">., </w:t>
      </w:r>
      <w:r>
        <w:rPr>
          <w:rFonts w:ascii="Arial" w:hAnsi="Arial" w:cs="Arial"/>
        </w:rPr>
        <w:t>sez. un.</w:t>
      </w:r>
      <w:r w:rsidRPr="0056261A">
        <w:rPr>
          <w:rFonts w:ascii="Arial" w:hAnsi="Arial" w:cs="Arial"/>
        </w:rPr>
        <w:t xml:space="preserve">, 27 aprile 2006, n. 9591, la </w:t>
      </w:r>
      <w:r>
        <w:rPr>
          <w:rFonts w:ascii="Arial" w:hAnsi="Arial" w:cs="Arial"/>
        </w:rPr>
        <w:t>Legge</w:t>
      </w:r>
      <w:r w:rsidRPr="0056261A">
        <w:rPr>
          <w:rFonts w:ascii="Arial" w:hAnsi="Arial" w:cs="Arial"/>
        </w:rPr>
        <w:t xml:space="preserve"> n. 241 del 1990 non è applicabile alle sanzioni amministrative, poiché la materia è specificamente – ed esaurientemente – disciplinata dalla </w:t>
      </w:r>
      <w:r>
        <w:rPr>
          <w:rFonts w:ascii="Arial" w:hAnsi="Arial" w:cs="Arial"/>
        </w:rPr>
        <w:t>Legge</w:t>
      </w:r>
      <w:r w:rsidRPr="0056261A">
        <w:rPr>
          <w:rFonts w:ascii="Arial" w:hAnsi="Arial" w:cs="Arial"/>
        </w:rPr>
        <w:t xml:space="preserve"> n. 689 del 1981; alle sanzioni amministrative “</w:t>
      </w:r>
      <w:r w:rsidRPr="00820134">
        <w:rPr>
          <w:rFonts w:ascii="Arial" w:hAnsi="Arial" w:cs="Arial"/>
        </w:rPr>
        <w:t>in senso lato”</w:t>
      </w:r>
      <w:r w:rsidRPr="0056261A">
        <w:rPr>
          <w:rFonts w:ascii="Arial" w:hAnsi="Arial" w:cs="Arial"/>
        </w:rPr>
        <w:t xml:space="preserve"> </w:t>
      </w:r>
      <w:r>
        <w:rPr>
          <w:rFonts w:ascii="Arial" w:hAnsi="Arial" w:cs="Arial"/>
        </w:rPr>
        <w:t>si applicano i princì</w:t>
      </w:r>
      <w:r w:rsidRPr="0056261A">
        <w:rPr>
          <w:rFonts w:ascii="Arial" w:hAnsi="Arial" w:cs="Arial"/>
        </w:rPr>
        <w:t xml:space="preserve">pi dell’attività amministrativa tradizionale (dettate dalla </w:t>
      </w:r>
      <w:r>
        <w:rPr>
          <w:rFonts w:ascii="Arial" w:hAnsi="Arial" w:cs="Arial"/>
        </w:rPr>
        <w:t>Legge</w:t>
      </w:r>
      <w:r w:rsidRPr="0056261A">
        <w:rPr>
          <w:rFonts w:ascii="Arial" w:hAnsi="Arial" w:cs="Arial"/>
        </w:rPr>
        <w:t xml:space="preserve"> generale sul procedimento amministrativo), pure quando esse abbiamo carattere marcatamente punitivo per Consiglio di Stato, VI, 9 novembre 2018, n. 6330; sembra ammettere l’applicazione della </w:t>
      </w:r>
      <w:r>
        <w:rPr>
          <w:rFonts w:ascii="Arial" w:hAnsi="Arial" w:cs="Arial"/>
        </w:rPr>
        <w:t>Legge</w:t>
      </w:r>
      <w:r w:rsidRPr="0056261A">
        <w:rPr>
          <w:rFonts w:ascii="Arial" w:hAnsi="Arial" w:cs="Arial"/>
        </w:rPr>
        <w:t xml:space="preserve"> sul procedimento, anche Consiglio di Stato, IV, 15 maggio 2017, n. 2558; </w:t>
      </w:r>
      <w:r>
        <w:rPr>
          <w:rFonts w:ascii="Arial" w:hAnsi="Arial" w:cs="Arial"/>
        </w:rPr>
        <w:t>sull’applicabilità dell’art. 21-</w:t>
      </w:r>
      <w:r w:rsidRPr="0056261A">
        <w:rPr>
          <w:rFonts w:ascii="Arial" w:hAnsi="Arial" w:cs="Arial"/>
          <w:i/>
        </w:rPr>
        <w:t>octies</w:t>
      </w:r>
      <w:r w:rsidRPr="0056261A">
        <w:rPr>
          <w:rFonts w:ascii="Arial" w:hAnsi="Arial" w:cs="Arial"/>
        </w:rPr>
        <w:t xml:space="preserve"> ai procedimenti sanzionatori, </w:t>
      </w:r>
      <w:r>
        <w:rPr>
          <w:rFonts w:ascii="Arial" w:hAnsi="Arial" w:cs="Arial"/>
        </w:rPr>
        <w:t>TAR</w:t>
      </w:r>
      <w:r w:rsidRPr="00820134">
        <w:rPr>
          <w:rFonts w:ascii="Arial" w:hAnsi="Arial" w:cs="Arial"/>
        </w:rPr>
        <w:t xml:space="preserve"> Lombardia, Milano, I, 16 settembre 2019, n. 1985; anche</w:t>
      </w:r>
      <w:r w:rsidRPr="0056261A">
        <w:rPr>
          <w:rFonts w:ascii="Arial" w:hAnsi="Arial" w:cs="Arial"/>
        </w:rPr>
        <w:t xml:space="preserve"> </w:t>
      </w:r>
      <w:r w:rsidRPr="0056261A">
        <w:rPr>
          <w:rFonts w:ascii="Arial" w:hAnsi="Arial" w:cs="Arial"/>
          <w:smallCaps/>
        </w:rPr>
        <w:t>S. L. Vitale</w:t>
      </w:r>
      <w:r w:rsidRPr="0056261A">
        <w:rPr>
          <w:rFonts w:ascii="Arial" w:hAnsi="Arial" w:cs="Arial"/>
        </w:rPr>
        <w:t xml:space="preserve">, </w:t>
      </w:r>
      <w:r w:rsidRPr="0056261A">
        <w:rPr>
          <w:rFonts w:ascii="Arial" w:hAnsi="Arial" w:cs="Arial"/>
          <w:i/>
        </w:rPr>
        <w:t>Le sanzioni amministrative tra diritto nazionale e diritto europeo</w:t>
      </w:r>
      <w:r w:rsidRPr="0056261A">
        <w:rPr>
          <w:rFonts w:ascii="Arial" w:hAnsi="Arial" w:cs="Arial"/>
        </w:rPr>
        <w:t xml:space="preserve">, </w:t>
      </w:r>
      <w:r w:rsidRPr="00820134">
        <w:rPr>
          <w:rFonts w:ascii="Arial" w:hAnsi="Arial" w:cs="Arial"/>
          <w:i/>
        </w:rPr>
        <w:t>op.cit</w:t>
      </w:r>
      <w:r w:rsidRPr="0056261A">
        <w:rPr>
          <w:rFonts w:ascii="Arial" w:hAnsi="Arial" w:cs="Arial"/>
        </w:rPr>
        <w:t xml:space="preserve">., p. 293 ss. </w:t>
      </w:r>
    </w:p>
  </w:footnote>
  <w:footnote w:id="23">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Ad esempio, rimodulando una sanzione parzialmente annullata in sede giurisdizionale, oppure riadottando, sulla base di una rinnovata valutazione, attraverso un atto non meramente confermativo, una sanzione annullata dal giudice: si veda la questione, alquanto complessa e di cui si dirà in seguito, riguardante il servizio di dispacciamento dell’energia elettrica e della connessa problematica degli sbilanciamenti, come disciplinata successivamente alla sentenza di annullamento della disciplina </w:t>
      </w:r>
      <w:proofErr w:type="spellStart"/>
      <w:r w:rsidRPr="0056261A">
        <w:rPr>
          <w:rFonts w:ascii="Arial" w:hAnsi="Arial" w:cs="Arial"/>
        </w:rPr>
        <w:t>regolatoria</w:t>
      </w:r>
      <w:proofErr w:type="spellEnd"/>
      <w:r w:rsidRPr="0056261A">
        <w:rPr>
          <w:rFonts w:ascii="Arial" w:hAnsi="Arial" w:cs="Arial"/>
        </w:rPr>
        <w:t xml:space="preserve"> da parte del </w:t>
      </w:r>
      <w:r>
        <w:rPr>
          <w:rFonts w:ascii="Arial" w:hAnsi="Arial" w:cs="Arial"/>
        </w:rPr>
        <w:t>TAR</w:t>
      </w:r>
      <w:r w:rsidRPr="0056261A">
        <w:rPr>
          <w:rFonts w:ascii="Arial" w:hAnsi="Arial" w:cs="Arial"/>
        </w:rPr>
        <w:t xml:space="preserve"> Lombardia, Milano, III, 24 giugno 2014, n. 1648, confermata da Consiglio di Stato, VI, 20 marzo 2015, n. 1532 (e dalla successiva sentenza di ottemperanza del Consiglio di Stato, VI, 9 giugno 2016, n. 2457); in tale frangente si è ritenuta non retroattiva la disciplina: </w:t>
      </w:r>
      <w:r>
        <w:rPr>
          <w:rFonts w:ascii="Arial" w:hAnsi="Arial" w:cs="Arial"/>
        </w:rPr>
        <w:t>TAR</w:t>
      </w:r>
      <w:r w:rsidRPr="0056261A">
        <w:rPr>
          <w:rFonts w:ascii="Arial" w:hAnsi="Arial" w:cs="Arial"/>
        </w:rPr>
        <w:t xml:space="preserve"> Lombardia, Milano, III, 4 aprile 2018, n. 895. </w:t>
      </w:r>
    </w:p>
  </w:footnote>
  <w:footnote w:id="24">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Anche della Corte d</w:t>
      </w:r>
      <w:r>
        <w:rPr>
          <w:rFonts w:ascii="Arial" w:hAnsi="Arial" w:cs="Arial"/>
        </w:rPr>
        <w:t>i G</w:t>
      </w:r>
      <w:r w:rsidRPr="0056261A">
        <w:rPr>
          <w:rFonts w:ascii="Arial" w:hAnsi="Arial" w:cs="Arial"/>
        </w:rPr>
        <w:t xml:space="preserve">iustizia dell’Unione europea: cfr., ad esempio, Corte di Giustizia dell’Unione europea, </w:t>
      </w:r>
      <w:r>
        <w:rPr>
          <w:rFonts w:ascii="Arial" w:hAnsi="Arial" w:cs="Arial"/>
        </w:rPr>
        <w:t>g</w:t>
      </w:r>
      <w:r w:rsidRPr="0056261A">
        <w:rPr>
          <w:rFonts w:ascii="Arial" w:hAnsi="Arial" w:cs="Arial"/>
        </w:rPr>
        <w:t xml:space="preserve">rande </w:t>
      </w:r>
      <w:r>
        <w:rPr>
          <w:rFonts w:ascii="Arial" w:hAnsi="Arial" w:cs="Arial"/>
        </w:rPr>
        <w:t>s</w:t>
      </w:r>
      <w:r w:rsidRPr="0056261A">
        <w:rPr>
          <w:rFonts w:ascii="Arial" w:hAnsi="Arial" w:cs="Arial"/>
        </w:rPr>
        <w:t>ezione, sentenza 20 marzo 2018, causa C-537/16</w:t>
      </w:r>
      <w:r w:rsidRPr="005F632A">
        <w:rPr>
          <w:rFonts w:ascii="Arial" w:hAnsi="Arial" w:cs="Arial"/>
        </w:rPr>
        <w:t xml:space="preserve">; sul punto, </w:t>
      </w:r>
      <w:r w:rsidRPr="005F632A">
        <w:rPr>
          <w:rFonts w:ascii="Arial" w:hAnsi="Arial" w:cs="Arial"/>
          <w:smallCaps/>
        </w:rPr>
        <w:t xml:space="preserve">E. Bindi – A. </w:t>
      </w:r>
      <w:proofErr w:type="spellStart"/>
      <w:r w:rsidRPr="005F632A">
        <w:rPr>
          <w:rFonts w:ascii="Arial" w:hAnsi="Arial" w:cs="Arial"/>
          <w:smallCaps/>
        </w:rPr>
        <w:t>Pisaneschi</w:t>
      </w:r>
      <w:proofErr w:type="spellEnd"/>
      <w:r w:rsidRPr="005F632A">
        <w:rPr>
          <w:rFonts w:ascii="Arial" w:hAnsi="Arial" w:cs="Arial"/>
        </w:rPr>
        <w:t xml:space="preserve">, </w:t>
      </w:r>
      <w:r w:rsidRPr="005F632A">
        <w:rPr>
          <w:rFonts w:ascii="Arial" w:hAnsi="Arial" w:cs="Arial"/>
          <w:i/>
        </w:rPr>
        <w:t xml:space="preserve">La retroattività in </w:t>
      </w:r>
      <w:proofErr w:type="spellStart"/>
      <w:r w:rsidRPr="005F632A">
        <w:rPr>
          <w:rFonts w:ascii="Arial" w:hAnsi="Arial" w:cs="Arial"/>
          <w:i/>
        </w:rPr>
        <w:t>mitius</w:t>
      </w:r>
      <w:proofErr w:type="spellEnd"/>
      <w:r w:rsidRPr="005F632A">
        <w:rPr>
          <w:rFonts w:ascii="Arial" w:hAnsi="Arial" w:cs="Arial"/>
          <w:i/>
        </w:rPr>
        <w:t xml:space="preserve"> delle sanzioni amministrative sostanzialmente afflittive tra Corte EDU, Corte di Giustizia e Corte costituzionale</w:t>
      </w:r>
      <w:r w:rsidRPr="005F632A">
        <w:rPr>
          <w:rFonts w:ascii="Arial" w:hAnsi="Arial" w:cs="Arial"/>
        </w:rPr>
        <w:t xml:space="preserve">, </w:t>
      </w:r>
      <w:r w:rsidRPr="005F632A">
        <w:rPr>
          <w:rFonts w:ascii="Arial" w:hAnsi="Arial" w:cs="Arial"/>
          <w:i/>
        </w:rPr>
        <w:t>op.cit</w:t>
      </w:r>
      <w:r w:rsidRPr="005F632A">
        <w:rPr>
          <w:rFonts w:ascii="Arial" w:hAnsi="Arial" w:cs="Arial"/>
        </w:rPr>
        <w:t>., pp. 17-18.</w:t>
      </w:r>
    </w:p>
  </w:footnote>
  <w:footnote w:id="25">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Art. 6 </w:t>
      </w:r>
      <w:r w:rsidRPr="005F632A">
        <w:rPr>
          <w:rFonts w:ascii="Arial" w:hAnsi="Arial" w:cs="Arial"/>
          <w:i/>
        </w:rPr>
        <w:t>(“</w:t>
      </w:r>
      <w:r w:rsidRPr="0056261A">
        <w:rPr>
          <w:rFonts w:ascii="Arial" w:hAnsi="Arial" w:cs="Arial"/>
          <w:i/>
        </w:rPr>
        <w:t>Diritto a un equo processo</w:t>
      </w:r>
      <w:r w:rsidRPr="005F632A">
        <w:rPr>
          <w:rFonts w:ascii="Arial" w:hAnsi="Arial" w:cs="Arial"/>
          <w:i/>
        </w:rPr>
        <w:t>”)</w:t>
      </w:r>
      <w:r w:rsidRPr="0056261A">
        <w:rPr>
          <w:rFonts w:ascii="Arial" w:hAnsi="Arial" w:cs="Arial"/>
        </w:rPr>
        <w:t xml:space="preserve"> e art. 7 </w:t>
      </w:r>
      <w:r w:rsidRPr="005F632A">
        <w:rPr>
          <w:rFonts w:ascii="Arial" w:hAnsi="Arial" w:cs="Arial"/>
          <w:i/>
        </w:rPr>
        <w:t>(“</w:t>
      </w:r>
      <w:r w:rsidRPr="0056261A">
        <w:rPr>
          <w:rFonts w:ascii="Arial" w:hAnsi="Arial" w:cs="Arial"/>
          <w:i/>
        </w:rPr>
        <w:t xml:space="preserve">Nulla </w:t>
      </w:r>
      <w:proofErr w:type="spellStart"/>
      <w:r w:rsidRPr="0056261A">
        <w:rPr>
          <w:rFonts w:ascii="Arial" w:hAnsi="Arial" w:cs="Arial"/>
          <w:i/>
        </w:rPr>
        <w:t>poena</w:t>
      </w:r>
      <w:proofErr w:type="spellEnd"/>
      <w:r w:rsidRPr="0056261A">
        <w:rPr>
          <w:rFonts w:ascii="Arial" w:hAnsi="Arial" w:cs="Arial"/>
          <w:i/>
        </w:rPr>
        <w:t xml:space="preserve"> sine </w:t>
      </w:r>
      <w:proofErr w:type="spellStart"/>
      <w:r w:rsidRPr="0056261A">
        <w:rPr>
          <w:rFonts w:ascii="Arial" w:hAnsi="Arial" w:cs="Arial"/>
          <w:i/>
        </w:rPr>
        <w:t>lege</w:t>
      </w:r>
      <w:proofErr w:type="spellEnd"/>
      <w:r w:rsidRPr="005F632A">
        <w:rPr>
          <w:rFonts w:ascii="Arial" w:hAnsi="Arial" w:cs="Arial"/>
          <w:i/>
        </w:rPr>
        <w:t>”)</w:t>
      </w:r>
      <w:r w:rsidRPr="0056261A">
        <w:rPr>
          <w:rFonts w:ascii="Arial" w:hAnsi="Arial" w:cs="Arial"/>
        </w:rPr>
        <w:t>.</w:t>
      </w:r>
    </w:p>
  </w:footnote>
  <w:footnote w:id="26">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Cfr. Corte europea dei diritti dell’uomo, </w:t>
      </w:r>
      <w:r>
        <w:rPr>
          <w:rFonts w:ascii="Arial" w:hAnsi="Arial" w:cs="Arial"/>
        </w:rPr>
        <w:t>g</w:t>
      </w:r>
      <w:r w:rsidRPr="0056261A">
        <w:rPr>
          <w:rFonts w:ascii="Arial" w:hAnsi="Arial" w:cs="Arial"/>
        </w:rPr>
        <w:t xml:space="preserve">rande </w:t>
      </w:r>
      <w:r>
        <w:rPr>
          <w:rFonts w:ascii="Arial" w:hAnsi="Arial" w:cs="Arial"/>
        </w:rPr>
        <w:t>c</w:t>
      </w:r>
      <w:r w:rsidRPr="0056261A">
        <w:rPr>
          <w:rFonts w:ascii="Arial" w:hAnsi="Arial" w:cs="Arial"/>
        </w:rPr>
        <w:t xml:space="preserve">amera, sentenza 8 giugno 1976, </w:t>
      </w:r>
      <w:proofErr w:type="spellStart"/>
      <w:r w:rsidRPr="0056261A">
        <w:rPr>
          <w:rFonts w:ascii="Arial" w:hAnsi="Arial" w:cs="Arial"/>
        </w:rPr>
        <w:t>ricc</w:t>
      </w:r>
      <w:proofErr w:type="spellEnd"/>
      <w:r w:rsidRPr="0056261A">
        <w:rPr>
          <w:rFonts w:ascii="Arial" w:hAnsi="Arial" w:cs="Arial"/>
        </w:rPr>
        <w:t xml:space="preserve">. n. 5100/71, n. 5101/71, n. 5102/71, n. 5354/72 e n. 5370/72, causa </w:t>
      </w:r>
      <w:r w:rsidRPr="0056261A">
        <w:rPr>
          <w:rFonts w:ascii="Arial" w:hAnsi="Arial" w:cs="Arial"/>
          <w:i/>
        </w:rPr>
        <w:t>Engel e altri contro Paesi Bassi</w:t>
      </w:r>
      <w:r w:rsidRPr="0056261A">
        <w:rPr>
          <w:rFonts w:ascii="Arial" w:hAnsi="Arial" w:cs="Arial"/>
        </w:rPr>
        <w:t>, par. 80.</w:t>
      </w:r>
    </w:p>
  </w:footnote>
  <w:footnote w:id="27">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europea dei diritti dell’uomo, Grande Camera, sentenza 8 giugno 1976, </w:t>
      </w:r>
      <w:proofErr w:type="spellStart"/>
      <w:r w:rsidRPr="0056261A">
        <w:rPr>
          <w:rFonts w:ascii="Arial" w:hAnsi="Arial" w:cs="Arial"/>
        </w:rPr>
        <w:t>ricc</w:t>
      </w:r>
      <w:proofErr w:type="spellEnd"/>
      <w:r w:rsidRPr="0056261A">
        <w:rPr>
          <w:rFonts w:ascii="Arial" w:hAnsi="Arial" w:cs="Arial"/>
        </w:rPr>
        <w:t xml:space="preserve">. n. 5100/71, n. 5101/71, n. 5102/71, n. 5354/72 e n. 5370/72, causa </w:t>
      </w:r>
      <w:r w:rsidRPr="0056261A">
        <w:rPr>
          <w:rFonts w:ascii="Arial" w:hAnsi="Arial" w:cs="Arial"/>
          <w:i/>
        </w:rPr>
        <w:t>Engel e altri contro Paesi Bassi</w:t>
      </w:r>
      <w:r w:rsidRPr="0056261A">
        <w:rPr>
          <w:rFonts w:ascii="Arial" w:hAnsi="Arial" w:cs="Arial"/>
        </w:rPr>
        <w:t>, par. 81.</w:t>
      </w:r>
    </w:p>
  </w:footnote>
  <w:footnote w:id="28">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t>La Corte EDU</w:t>
      </w:r>
      <w:r w:rsidRPr="005F632A">
        <w:rPr>
          <w:rFonts w:ascii="Arial" w:hAnsi="Arial" w:cs="Arial"/>
        </w:rPr>
        <w:t xml:space="preserve"> ha elaborato anche una propria nozione di Tribunale: Così, </w:t>
      </w:r>
      <w:r w:rsidRPr="005F632A">
        <w:rPr>
          <w:rFonts w:ascii="Arial" w:hAnsi="Arial" w:cs="Arial"/>
          <w:smallCaps/>
        </w:rPr>
        <w:t xml:space="preserve">E. Bindi – A. </w:t>
      </w:r>
      <w:proofErr w:type="spellStart"/>
      <w:r w:rsidRPr="005F632A">
        <w:rPr>
          <w:rFonts w:ascii="Arial" w:hAnsi="Arial" w:cs="Arial"/>
          <w:smallCaps/>
        </w:rPr>
        <w:t>Pisaneschi</w:t>
      </w:r>
      <w:proofErr w:type="spellEnd"/>
      <w:r w:rsidRPr="005F632A">
        <w:rPr>
          <w:rFonts w:ascii="Arial" w:hAnsi="Arial" w:cs="Arial"/>
        </w:rPr>
        <w:t xml:space="preserve">, </w:t>
      </w:r>
      <w:r w:rsidRPr="005F632A">
        <w:rPr>
          <w:rFonts w:ascii="Arial" w:hAnsi="Arial" w:cs="Arial"/>
          <w:i/>
        </w:rPr>
        <w:t xml:space="preserve">La retroattività in </w:t>
      </w:r>
      <w:proofErr w:type="spellStart"/>
      <w:r w:rsidRPr="005F632A">
        <w:rPr>
          <w:rFonts w:ascii="Arial" w:hAnsi="Arial" w:cs="Arial"/>
          <w:i/>
        </w:rPr>
        <w:t>mitius</w:t>
      </w:r>
      <w:proofErr w:type="spellEnd"/>
      <w:r w:rsidRPr="005F632A">
        <w:rPr>
          <w:rFonts w:ascii="Arial" w:hAnsi="Arial" w:cs="Arial"/>
          <w:i/>
        </w:rPr>
        <w:t xml:space="preserve"> delle sanzioni amministrative sostanzialmente afflittive tra Corte EDU, Corte di Giustizia e Corte costituzionale</w:t>
      </w:r>
      <w:r w:rsidRPr="005F632A">
        <w:rPr>
          <w:rFonts w:ascii="Arial" w:hAnsi="Arial" w:cs="Arial"/>
        </w:rPr>
        <w:t xml:space="preserve">, </w:t>
      </w:r>
      <w:r w:rsidRPr="005F632A">
        <w:rPr>
          <w:rFonts w:ascii="Arial" w:hAnsi="Arial" w:cs="Arial"/>
          <w:i/>
        </w:rPr>
        <w:t>op.cit</w:t>
      </w:r>
      <w:r w:rsidRPr="005F632A">
        <w:rPr>
          <w:rFonts w:ascii="Arial" w:hAnsi="Arial" w:cs="Arial"/>
        </w:rPr>
        <w:t>., p. 16.</w:t>
      </w:r>
    </w:p>
  </w:footnote>
  <w:footnote w:id="29">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europea dei diritti dell’uomo, </w:t>
      </w:r>
      <w:r>
        <w:rPr>
          <w:rFonts w:ascii="Arial" w:hAnsi="Arial" w:cs="Arial"/>
        </w:rPr>
        <w:t>grande c</w:t>
      </w:r>
      <w:r w:rsidRPr="0056261A">
        <w:rPr>
          <w:rFonts w:ascii="Arial" w:hAnsi="Arial" w:cs="Arial"/>
        </w:rPr>
        <w:t xml:space="preserve">amera, sentenza 21 febbraio 1984, ric. n. 8544/79, causa </w:t>
      </w:r>
      <w:proofErr w:type="spellStart"/>
      <w:r w:rsidRPr="0056261A">
        <w:rPr>
          <w:rFonts w:ascii="Arial" w:hAnsi="Arial" w:cs="Arial"/>
          <w:i/>
        </w:rPr>
        <w:t>Öztürk</w:t>
      </w:r>
      <w:proofErr w:type="spellEnd"/>
      <w:r w:rsidRPr="0056261A">
        <w:rPr>
          <w:rFonts w:ascii="Arial" w:hAnsi="Arial" w:cs="Arial"/>
          <w:i/>
        </w:rPr>
        <w:t xml:space="preserve"> contro Germania</w:t>
      </w:r>
      <w:r w:rsidRPr="0056261A">
        <w:rPr>
          <w:rFonts w:ascii="Arial" w:hAnsi="Arial" w:cs="Arial"/>
        </w:rPr>
        <w:t>, par. 49</w:t>
      </w:r>
      <w:r>
        <w:rPr>
          <w:rFonts w:ascii="Arial" w:hAnsi="Arial" w:cs="Arial"/>
        </w:rPr>
        <w:t>; Corte C</w:t>
      </w:r>
      <w:r w:rsidRPr="0056261A">
        <w:rPr>
          <w:rFonts w:ascii="Arial" w:hAnsi="Arial" w:cs="Arial"/>
        </w:rPr>
        <w:t xml:space="preserve">ostituzionale, sentenza 24 febbraio 2017, n. 43, annotata da </w:t>
      </w:r>
      <w:r w:rsidRPr="0056261A">
        <w:rPr>
          <w:rFonts w:ascii="Arial" w:hAnsi="Arial" w:cs="Arial"/>
          <w:smallCaps/>
        </w:rPr>
        <w:t xml:space="preserve">M. C. </w:t>
      </w:r>
      <w:proofErr w:type="spellStart"/>
      <w:r w:rsidRPr="0056261A">
        <w:rPr>
          <w:rFonts w:ascii="Arial" w:hAnsi="Arial" w:cs="Arial"/>
          <w:smallCaps/>
        </w:rPr>
        <w:t>Ubiali</w:t>
      </w:r>
      <w:proofErr w:type="spellEnd"/>
      <w:r w:rsidRPr="0056261A">
        <w:rPr>
          <w:rFonts w:ascii="Arial" w:hAnsi="Arial" w:cs="Arial"/>
        </w:rPr>
        <w:t xml:space="preserve">, </w:t>
      </w:r>
      <w:r w:rsidRPr="0056261A">
        <w:rPr>
          <w:rFonts w:ascii="Arial" w:hAnsi="Arial" w:cs="Arial"/>
          <w:i/>
        </w:rPr>
        <w:t>Illegittimità sopravvenuta della sanzione amministrativa “sostanzialmente penale”: per la Corte costituzionale resta fermo il giudicato</w:t>
      </w:r>
      <w:r w:rsidRPr="0056261A">
        <w:rPr>
          <w:rFonts w:ascii="Arial" w:hAnsi="Arial" w:cs="Arial"/>
        </w:rPr>
        <w:t xml:space="preserve">, in </w:t>
      </w:r>
      <w:r w:rsidRPr="0056261A">
        <w:rPr>
          <w:rFonts w:ascii="Arial" w:hAnsi="Arial" w:cs="Arial"/>
          <w:i/>
        </w:rPr>
        <w:t xml:space="preserve">Dir. </w:t>
      </w:r>
      <w:proofErr w:type="spellStart"/>
      <w:r w:rsidRPr="0056261A">
        <w:rPr>
          <w:rFonts w:ascii="Arial" w:hAnsi="Arial" w:cs="Arial"/>
          <w:i/>
        </w:rPr>
        <w:t>pen</w:t>
      </w:r>
      <w:proofErr w:type="spellEnd"/>
      <w:r w:rsidRPr="0056261A">
        <w:rPr>
          <w:rFonts w:ascii="Arial" w:hAnsi="Arial" w:cs="Arial"/>
          <w:i/>
        </w:rPr>
        <w:t>. contemporaneo</w:t>
      </w:r>
      <w:r w:rsidRPr="0056261A">
        <w:rPr>
          <w:rFonts w:ascii="Arial" w:hAnsi="Arial" w:cs="Arial"/>
        </w:rPr>
        <w:t xml:space="preserve">, 2017, n. 3, p. 293 ss.; </w:t>
      </w:r>
      <w:r w:rsidRPr="0056261A">
        <w:rPr>
          <w:rFonts w:ascii="Arial" w:hAnsi="Arial" w:cs="Arial"/>
          <w:smallCaps/>
        </w:rPr>
        <w:t>V. Giannelli</w:t>
      </w:r>
      <w:r w:rsidRPr="0056261A">
        <w:rPr>
          <w:rFonts w:ascii="Arial" w:hAnsi="Arial" w:cs="Arial"/>
        </w:rPr>
        <w:t xml:space="preserve">, </w:t>
      </w:r>
      <w:r w:rsidRPr="0056261A">
        <w:rPr>
          <w:rFonts w:ascii="Arial" w:hAnsi="Arial" w:cs="Arial"/>
          <w:i/>
        </w:rPr>
        <w:t xml:space="preserve">Sanzioni amministrative, res iudicata </w:t>
      </w:r>
      <w:proofErr w:type="gramStart"/>
      <w:r w:rsidRPr="0056261A">
        <w:rPr>
          <w:rFonts w:ascii="Arial" w:hAnsi="Arial" w:cs="Arial"/>
          <w:i/>
        </w:rPr>
        <w:t>e</w:t>
      </w:r>
      <w:proofErr w:type="gramEnd"/>
      <w:r w:rsidRPr="0056261A">
        <w:rPr>
          <w:rFonts w:ascii="Arial" w:hAnsi="Arial" w:cs="Arial"/>
          <w:i/>
        </w:rPr>
        <w:t xml:space="preserve"> incostituzionalità della </w:t>
      </w:r>
      <w:r>
        <w:rPr>
          <w:rFonts w:ascii="Arial" w:hAnsi="Arial" w:cs="Arial"/>
          <w:i/>
        </w:rPr>
        <w:t>Legge</w:t>
      </w:r>
      <w:r w:rsidRPr="0056261A">
        <w:rPr>
          <w:rFonts w:ascii="Arial" w:hAnsi="Arial" w:cs="Arial"/>
          <w:i/>
        </w:rPr>
        <w:t xml:space="preserve"> applicata dal giudice</w:t>
      </w:r>
      <w:r w:rsidRPr="0056261A">
        <w:rPr>
          <w:rFonts w:ascii="Arial" w:hAnsi="Arial" w:cs="Arial"/>
        </w:rPr>
        <w:t xml:space="preserve">, in </w:t>
      </w:r>
      <w:r w:rsidRPr="0056261A">
        <w:rPr>
          <w:rFonts w:ascii="Arial" w:hAnsi="Arial" w:cs="Arial"/>
          <w:i/>
        </w:rPr>
        <w:t>Rivista AIC</w:t>
      </w:r>
      <w:r w:rsidRPr="0056261A">
        <w:rPr>
          <w:rFonts w:ascii="Arial" w:hAnsi="Arial" w:cs="Arial"/>
        </w:rPr>
        <w:t xml:space="preserve">, 2018, n. 3; </w:t>
      </w:r>
      <w:r w:rsidRPr="0056261A">
        <w:rPr>
          <w:rFonts w:ascii="Arial" w:hAnsi="Arial" w:cs="Arial"/>
          <w:smallCaps/>
        </w:rPr>
        <w:t>P. Provenzano</w:t>
      </w:r>
      <w:r w:rsidRPr="0056261A">
        <w:rPr>
          <w:rFonts w:ascii="Arial" w:hAnsi="Arial" w:cs="Arial"/>
        </w:rPr>
        <w:t xml:space="preserve">, </w:t>
      </w:r>
      <w:r w:rsidRPr="0056261A">
        <w:rPr>
          <w:rFonts w:ascii="Arial" w:hAnsi="Arial" w:cs="Arial"/>
          <w:i/>
        </w:rPr>
        <w:t>Note minime in tema di sanzioni amministrative e “materia penale”</w:t>
      </w:r>
      <w:r w:rsidRPr="0056261A">
        <w:rPr>
          <w:rFonts w:ascii="Arial" w:hAnsi="Arial" w:cs="Arial"/>
        </w:rPr>
        <w:t xml:space="preserve">, </w:t>
      </w:r>
      <w:r w:rsidRPr="005F632A">
        <w:rPr>
          <w:rFonts w:ascii="Arial" w:hAnsi="Arial" w:cs="Arial"/>
          <w:i/>
        </w:rPr>
        <w:t>op.cit</w:t>
      </w:r>
      <w:r w:rsidRPr="0056261A">
        <w:rPr>
          <w:rFonts w:ascii="Arial" w:hAnsi="Arial" w:cs="Arial"/>
        </w:rPr>
        <w:t>., p. 1086.</w:t>
      </w:r>
    </w:p>
  </w:footnote>
  <w:footnote w:id="30">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Cui solo può correlarsi la previsione della limitazione della libertà personale. </w:t>
      </w:r>
      <w:r w:rsidRPr="0056261A">
        <w:rPr>
          <w:rFonts w:ascii="Arial" w:hAnsi="Arial" w:cs="Arial"/>
          <w:smallCaps/>
        </w:rPr>
        <w:t>P. Provenzano</w:t>
      </w:r>
      <w:r w:rsidRPr="0056261A">
        <w:rPr>
          <w:rFonts w:ascii="Arial" w:hAnsi="Arial" w:cs="Arial"/>
        </w:rPr>
        <w:t xml:space="preserve">, </w:t>
      </w:r>
      <w:r w:rsidRPr="0056261A">
        <w:rPr>
          <w:rFonts w:ascii="Arial" w:hAnsi="Arial" w:cs="Arial"/>
          <w:i/>
        </w:rPr>
        <w:t>Note minime in tema di sanzioni amministrative e “materia penale”</w:t>
      </w:r>
      <w:r w:rsidRPr="0056261A">
        <w:rPr>
          <w:rFonts w:ascii="Arial" w:hAnsi="Arial" w:cs="Arial"/>
        </w:rPr>
        <w:t xml:space="preserve">, </w:t>
      </w:r>
      <w:r w:rsidRPr="005F632A">
        <w:rPr>
          <w:rFonts w:ascii="Arial" w:hAnsi="Arial" w:cs="Arial"/>
          <w:i/>
        </w:rPr>
        <w:t>op.cit</w:t>
      </w:r>
      <w:r w:rsidRPr="0056261A">
        <w:rPr>
          <w:rFonts w:ascii="Arial" w:hAnsi="Arial" w:cs="Arial"/>
        </w:rPr>
        <w:t>., p. 1089.</w:t>
      </w:r>
    </w:p>
  </w:footnote>
  <w:footnote w:id="31">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europea dei diritti dell’uomo, Grande Camera, sentenza 8 giugno 1976, </w:t>
      </w:r>
      <w:proofErr w:type="spellStart"/>
      <w:r w:rsidRPr="0056261A">
        <w:rPr>
          <w:rFonts w:ascii="Arial" w:hAnsi="Arial" w:cs="Arial"/>
        </w:rPr>
        <w:t>ricc</w:t>
      </w:r>
      <w:proofErr w:type="spellEnd"/>
      <w:r w:rsidRPr="0056261A">
        <w:rPr>
          <w:rFonts w:ascii="Arial" w:hAnsi="Arial" w:cs="Arial"/>
        </w:rPr>
        <w:t xml:space="preserve">. n. 5100/71, n. 5101/71, n. 5102/71, n. 5354/72 e n. 5370/72, causa </w:t>
      </w:r>
      <w:r w:rsidRPr="0056261A">
        <w:rPr>
          <w:rFonts w:ascii="Arial" w:hAnsi="Arial" w:cs="Arial"/>
          <w:i/>
        </w:rPr>
        <w:t>Engel e altri contro Paesi Bassi</w:t>
      </w:r>
      <w:r w:rsidRPr="0056261A">
        <w:rPr>
          <w:rFonts w:ascii="Arial" w:hAnsi="Arial" w:cs="Arial"/>
        </w:rPr>
        <w:t xml:space="preserve">, par. 82; Corte europea dei diritti dell’uomo, </w:t>
      </w:r>
      <w:r>
        <w:rPr>
          <w:rFonts w:ascii="Arial" w:hAnsi="Arial" w:cs="Arial"/>
        </w:rPr>
        <w:t>grande c</w:t>
      </w:r>
      <w:r w:rsidRPr="0056261A">
        <w:rPr>
          <w:rFonts w:ascii="Arial" w:hAnsi="Arial" w:cs="Arial"/>
        </w:rPr>
        <w:t xml:space="preserve">amera, sentenza 23 novembre 2006, ric. n. 73053/01, causa </w:t>
      </w:r>
      <w:proofErr w:type="spellStart"/>
      <w:r w:rsidRPr="0056261A">
        <w:rPr>
          <w:rFonts w:ascii="Arial" w:hAnsi="Arial" w:cs="Arial"/>
          <w:i/>
        </w:rPr>
        <w:t>Jussila</w:t>
      </w:r>
      <w:proofErr w:type="spellEnd"/>
      <w:r w:rsidRPr="0056261A">
        <w:rPr>
          <w:rFonts w:ascii="Arial" w:hAnsi="Arial" w:cs="Arial"/>
          <w:i/>
        </w:rPr>
        <w:t xml:space="preserve"> contro Finlandia</w:t>
      </w:r>
      <w:r w:rsidRPr="0056261A">
        <w:rPr>
          <w:rFonts w:ascii="Arial" w:hAnsi="Arial" w:cs="Arial"/>
        </w:rPr>
        <w:t xml:space="preserve">, </w:t>
      </w:r>
      <w:proofErr w:type="spellStart"/>
      <w:r w:rsidRPr="0056261A">
        <w:rPr>
          <w:rFonts w:ascii="Arial" w:hAnsi="Arial" w:cs="Arial"/>
        </w:rPr>
        <w:t>parr</w:t>
      </w:r>
      <w:proofErr w:type="spellEnd"/>
      <w:r w:rsidRPr="0056261A">
        <w:rPr>
          <w:rFonts w:ascii="Arial" w:hAnsi="Arial" w:cs="Arial"/>
        </w:rPr>
        <w:t xml:space="preserve">. 30-34; Corte europea dei diritti dell’uomo, II, sentenza 27 settembre 2011, ric. n. 43509/08, causa </w:t>
      </w:r>
      <w:r w:rsidRPr="0056261A">
        <w:rPr>
          <w:rFonts w:ascii="Arial" w:hAnsi="Arial" w:cs="Arial"/>
          <w:i/>
        </w:rPr>
        <w:t xml:space="preserve">A. Menarini </w:t>
      </w:r>
      <w:proofErr w:type="spellStart"/>
      <w:r w:rsidRPr="0056261A">
        <w:rPr>
          <w:rFonts w:ascii="Arial" w:hAnsi="Arial" w:cs="Arial"/>
          <w:i/>
        </w:rPr>
        <w:t>Diagnostics</w:t>
      </w:r>
      <w:proofErr w:type="spellEnd"/>
      <w:r w:rsidRPr="0056261A">
        <w:rPr>
          <w:rFonts w:ascii="Arial" w:hAnsi="Arial" w:cs="Arial"/>
          <w:i/>
        </w:rPr>
        <w:t xml:space="preserve"> s.r.l. contro Italia</w:t>
      </w:r>
      <w:r w:rsidRPr="0056261A">
        <w:rPr>
          <w:rFonts w:ascii="Arial" w:hAnsi="Arial" w:cs="Arial"/>
        </w:rPr>
        <w:t xml:space="preserve">, par. 38; Corte costituzionale, sentenza 16 dicembre 2016, n. 276; </w:t>
      </w:r>
      <w:r w:rsidRPr="0056261A">
        <w:rPr>
          <w:rFonts w:ascii="Arial" w:hAnsi="Arial" w:cs="Arial"/>
          <w:smallCaps/>
        </w:rPr>
        <w:t>P. Provenzano</w:t>
      </w:r>
      <w:r w:rsidRPr="0056261A">
        <w:rPr>
          <w:rFonts w:ascii="Arial" w:hAnsi="Arial" w:cs="Arial"/>
        </w:rPr>
        <w:t xml:space="preserve">, </w:t>
      </w:r>
      <w:r w:rsidRPr="0056261A">
        <w:rPr>
          <w:rFonts w:ascii="Arial" w:hAnsi="Arial" w:cs="Arial"/>
          <w:i/>
        </w:rPr>
        <w:t>Note minime in tema di sanzioni amministrative e “materia penale”</w:t>
      </w:r>
      <w:r w:rsidRPr="0056261A">
        <w:rPr>
          <w:rFonts w:ascii="Arial" w:hAnsi="Arial" w:cs="Arial"/>
        </w:rPr>
        <w:t xml:space="preserve">, </w:t>
      </w:r>
      <w:r w:rsidRPr="000E5B75">
        <w:rPr>
          <w:rFonts w:ascii="Arial" w:hAnsi="Arial" w:cs="Arial"/>
          <w:i/>
        </w:rPr>
        <w:t>op.cit</w:t>
      </w:r>
      <w:r w:rsidRPr="0056261A">
        <w:rPr>
          <w:rFonts w:ascii="Arial" w:hAnsi="Arial" w:cs="Arial"/>
        </w:rPr>
        <w:t>., p. 1087 ss.</w:t>
      </w:r>
    </w:p>
  </w:footnote>
  <w:footnote w:id="32">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europea dei diritti dell’uomo, II, sentenza 4 marzo 2014, </w:t>
      </w:r>
      <w:proofErr w:type="spellStart"/>
      <w:r w:rsidRPr="0056261A">
        <w:rPr>
          <w:rFonts w:ascii="Arial" w:hAnsi="Arial" w:cs="Arial"/>
        </w:rPr>
        <w:t>ricc</w:t>
      </w:r>
      <w:proofErr w:type="spellEnd"/>
      <w:r w:rsidRPr="0056261A">
        <w:rPr>
          <w:rFonts w:ascii="Arial" w:hAnsi="Arial" w:cs="Arial"/>
        </w:rPr>
        <w:t xml:space="preserve">. </w:t>
      </w:r>
      <w:proofErr w:type="spellStart"/>
      <w:r w:rsidRPr="0056261A">
        <w:rPr>
          <w:rFonts w:ascii="Arial" w:hAnsi="Arial" w:cs="Arial"/>
        </w:rPr>
        <w:t>nn</w:t>
      </w:r>
      <w:proofErr w:type="spellEnd"/>
      <w:r w:rsidRPr="0056261A">
        <w:rPr>
          <w:rFonts w:ascii="Arial" w:hAnsi="Arial" w:cs="Arial"/>
        </w:rPr>
        <w:t xml:space="preserve">. 18640/10, 18647/10, 18663/10, 18668/10 e 18698/10, causa </w:t>
      </w:r>
      <w:r w:rsidRPr="0056261A">
        <w:rPr>
          <w:rFonts w:ascii="Arial" w:hAnsi="Arial" w:cs="Arial"/>
          <w:i/>
        </w:rPr>
        <w:t>Grande Stevens e altri contro Italia</w:t>
      </w:r>
      <w:r w:rsidRPr="0056261A">
        <w:rPr>
          <w:rFonts w:ascii="Arial" w:hAnsi="Arial" w:cs="Arial"/>
        </w:rPr>
        <w:t xml:space="preserve">; Corte costituzionale, sentenza 16 dicembre 2016, n. 276; altresì, sentenza 24 febbraio 2017, n. 43; non è del tutto </w:t>
      </w:r>
      <w:r w:rsidRPr="0056261A">
        <w:rPr>
          <w:rFonts w:ascii="Arial" w:hAnsi="Arial" w:cs="Arial"/>
          <w:color w:val="000000"/>
          <w:shd w:val="clear" w:color="auto" w:fill="FFFFFF"/>
        </w:rPr>
        <w:t>preclusa l’adozione di un approccio cumulativo se l’analisi separata di ciascun criterio non porta ad una conclusione chiara sull’esist</w:t>
      </w:r>
      <w:r>
        <w:rPr>
          <w:rFonts w:ascii="Arial" w:hAnsi="Arial" w:cs="Arial"/>
          <w:color w:val="000000"/>
          <w:shd w:val="clear" w:color="auto" w:fill="FFFFFF"/>
        </w:rPr>
        <w:t>enza di un’”</w:t>
      </w:r>
      <w:r w:rsidRPr="0056261A">
        <w:rPr>
          <w:rFonts w:ascii="Arial" w:hAnsi="Arial" w:cs="Arial"/>
          <w:color w:val="000000"/>
          <w:shd w:val="clear" w:color="auto" w:fill="FFFFFF"/>
        </w:rPr>
        <w:t>accusa penale</w:t>
      </w:r>
      <w:r>
        <w:rPr>
          <w:rFonts w:ascii="Arial" w:hAnsi="Arial" w:cs="Arial"/>
          <w:color w:val="000000"/>
          <w:shd w:val="clear" w:color="auto" w:fill="FFFFFF"/>
        </w:rPr>
        <w:t>”</w:t>
      </w:r>
      <w:r w:rsidRPr="0056261A">
        <w:rPr>
          <w:rFonts w:ascii="Arial" w:hAnsi="Arial" w:cs="Arial"/>
          <w:color w:val="000000"/>
          <w:shd w:val="clear" w:color="auto" w:fill="FFFFFF"/>
        </w:rPr>
        <w:t xml:space="preserve">, per </w:t>
      </w:r>
      <w:r w:rsidRPr="0056261A">
        <w:rPr>
          <w:rFonts w:ascii="Arial" w:hAnsi="Arial" w:cs="Arial"/>
        </w:rPr>
        <w:t xml:space="preserve">Corte europea dei diritti dell’uomo, II, sentenza 27 settembre 2011, ric. n. 43509/08, causa </w:t>
      </w:r>
      <w:r w:rsidRPr="0056261A">
        <w:rPr>
          <w:rFonts w:ascii="Arial" w:hAnsi="Arial" w:cs="Arial"/>
          <w:i/>
        </w:rPr>
        <w:t xml:space="preserve">A. Menarini </w:t>
      </w:r>
      <w:proofErr w:type="spellStart"/>
      <w:r w:rsidRPr="0056261A">
        <w:rPr>
          <w:rFonts w:ascii="Arial" w:hAnsi="Arial" w:cs="Arial"/>
          <w:i/>
        </w:rPr>
        <w:t>Diagnostics</w:t>
      </w:r>
      <w:proofErr w:type="spellEnd"/>
      <w:r w:rsidRPr="0056261A">
        <w:rPr>
          <w:rFonts w:ascii="Arial" w:hAnsi="Arial" w:cs="Arial"/>
          <w:i/>
        </w:rPr>
        <w:t xml:space="preserve"> s.r.l. contro Italia</w:t>
      </w:r>
      <w:r w:rsidRPr="0056261A">
        <w:rPr>
          <w:rFonts w:ascii="Arial" w:hAnsi="Arial" w:cs="Arial"/>
        </w:rPr>
        <w:t xml:space="preserve">, par. 38; anche Corte </w:t>
      </w:r>
      <w:r>
        <w:rPr>
          <w:rFonts w:ascii="Arial" w:hAnsi="Arial" w:cs="Arial"/>
        </w:rPr>
        <w:t>europea dei diritti dell’uomo, g</w:t>
      </w:r>
      <w:r w:rsidRPr="0056261A">
        <w:rPr>
          <w:rFonts w:ascii="Arial" w:hAnsi="Arial" w:cs="Arial"/>
        </w:rPr>
        <w:t xml:space="preserve">rande </w:t>
      </w:r>
      <w:r>
        <w:rPr>
          <w:rFonts w:ascii="Arial" w:hAnsi="Arial" w:cs="Arial"/>
        </w:rPr>
        <w:t>c</w:t>
      </w:r>
      <w:r w:rsidRPr="0056261A">
        <w:rPr>
          <w:rFonts w:ascii="Arial" w:hAnsi="Arial" w:cs="Arial"/>
        </w:rPr>
        <w:t xml:space="preserve">amera, sentenza 23 novembre 2006, ric. n. 73053/01, causa </w:t>
      </w:r>
      <w:proofErr w:type="spellStart"/>
      <w:r w:rsidRPr="0056261A">
        <w:rPr>
          <w:rFonts w:ascii="Arial" w:hAnsi="Arial" w:cs="Arial"/>
          <w:i/>
        </w:rPr>
        <w:t>Jussila</w:t>
      </w:r>
      <w:proofErr w:type="spellEnd"/>
      <w:r w:rsidRPr="0056261A">
        <w:rPr>
          <w:rFonts w:ascii="Arial" w:hAnsi="Arial" w:cs="Arial"/>
          <w:i/>
        </w:rPr>
        <w:t xml:space="preserve"> contro Finlandia</w:t>
      </w:r>
      <w:r w:rsidRPr="0056261A">
        <w:rPr>
          <w:rFonts w:ascii="Arial" w:hAnsi="Arial" w:cs="Arial"/>
        </w:rPr>
        <w:t xml:space="preserve">, par. 31; Corte europea dei diritti dell’uomo, III, sentenza 31 luglio 2007, ric. n. 65022/01, causa </w:t>
      </w:r>
      <w:proofErr w:type="spellStart"/>
      <w:r w:rsidRPr="0056261A">
        <w:rPr>
          <w:rFonts w:ascii="Arial" w:hAnsi="Arial" w:cs="Arial"/>
          <w:i/>
        </w:rPr>
        <w:t>Zaicevs</w:t>
      </w:r>
      <w:proofErr w:type="spellEnd"/>
      <w:r w:rsidRPr="0056261A">
        <w:rPr>
          <w:rFonts w:ascii="Arial" w:hAnsi="Arial" w:cs="Arial"/>
          <w:i/>
        </w:rPr>
        <w:t xml:space="preserve"> contro Lettonia</w:t>
      </w:r>
      <w:r w:rsidRPr="0056261A">
        <w:rPr>
          <w:rFonts w:ascii="Arial" w:hAnsi="Arial" w:cs="Arial"/>
        </w:rPr>
        <w:t>, par. 31.</w:t>
      </w:r>
    </w:p>
  </w:footnote>
  <w:footnote w:id="33">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Così, </w:t>
      </w:r>
      <w:r w:rsidRPr="0056261A">
        <w:rPr>
          <w:rFonts w:ascii="Arial" w:hAnsi="Arial" w:cs="Arial"/>
          <w:smallCaps/>
        </w:rPr>
        <w:t>P. Provenzano</w:t>
      </w:r>
      <w:r w:rsidRPr="0056261A">
        <w:rPr>
          <w:rFonts w:ascii="Arial" w:hAnsi="Arial" w:cs="Arial"/>
        </w:rPr>
        <w:t xml:space="preserve">, </w:t>
      </w:r>
      <w:r w:rsidRPr="0056261A">
        <w:rPr>
          <w:rFonts w:ascii="Arial" w:hAnsi="Arial" w:cs="Arial"/>
          <w:i/>
        </w:rPr>
        <w:t>Note minime in tema di sanzioni amministrative e “materia penale”</w:t>
      </w:r>
      <w:r w:rsidRPr="0056261A">
        <w:rPr>
          <w:rFonts w:ascii="Arial" w:hAnsi="Arial" w:cs="Arial"/>
        </w:rPr>
        <w:t xml:space="preserve">, </w:t>
      </w:r>
      <w:r w:rsidRPr="000E5B75">
        <w:rPr>
          <w:rFonts w:ascii="Arial" w:hAnsi="Arial" w:cs="Arial"/>
          <w:i/>
        </w:rPr>
        <w:t>op.cit</w:t>
      </w:r>
      <w:r w:rsidRPr="0056261A">
        <w:rPr>
          <w:rFonts w:ascii="Arial" w:hAnsi="Arial" w:cs="Arial"/>
        </w:rPr>
        <w:t>., p. 1087</w:t>
      </w:r>
      <w:r w:rsidRPr="000E5B75">
        <w:rPr>
          <w:rFonts w:ascii="Arial" w:hAnsi="Arial" w:cs="Arial"/>
        </w:rPr>
        <w:t xml:space="preserve">; anche, </w:t>
      </w:r>
      <w:r w:rsidRPr="000E5B75">
        <w:rPr>
          <w:rFonts w:ascii="Arial" w:hAnsi="Arial" w:cs="Arial"/>
          <w:smallCaps/>
        </w:rPr>
        <w:t xml:space="preserve">E. Bindi – A. </w:t>
      </w:r>
      <w:proofErr w:type="spellStart"/>
      <w:r w:rsidRPr="000E5B75">
        <w:rPr>
          <w:rFonts w:ascii="Arial" w:hAnsi="Arial" w:cs="Arial"/>
          <w:smallCaps/>
        </w:rPr>
        <w:t>Pisaneschi</w:t>
      </w:r>
      <w:proofErr w:type="spellEnd"/>
      <w:r w:rsidRPr="000E5B75">
        <w:rPr>
          <w:rFonts w:ascii="Arial" w:hAnsi="Arial" w:cs="Arial"/>
        </w:rPr>
        <w:t xml:space="preserve">, </w:t>
      </w:r>
      <w:r w:rsidRPr="000E5B75">
        <w:rPr>
          <w:rFonts w:ascii="Arial" w:hAnsi="Arial" w:cs="Arial"/>
          <w:i/>
        </w:rPr>
        <w:t xml:space="preserve">La retroattività in </w:t>
      </w:r>
      <w:proofErr w:type="spellStart"/>
      <w:r w:rsidRPr="000E5B75">
        <w:rPr>
          <w:rFonts w:ascii="Arial" w:hAnsi="Arial" w:cs="Arial"/>
          <w:i/>
        </w:rPr>
        <w:t>mitius</w:t>
      </w:r>
      <w:proofErr w:type="spellEnd"/>
      <w:r w:rsidRPr="000E5B75">
        <w:rPr>
          <w:rFonts w:ascii="Arial" w:hAnsi="Arial" w:cs="Arial"/>
          <w:i/>
        </w:rPr>
        <w:t xml:space="preserve"> delle sanzioni amministrative sostanzialmente afflittive tra Corte EDU, Corte di Giustizia e Corte costituzionale</w:t>
      </w:r>
      <w:r w:rsidRPr="000E5B75">
        <w:rPr>
          <w:rFonts w:ascii="Arial" w:hAnsi="Arial" w:cs="Arial"/>
        </w:rPr>
        <w:t xml:space="preserve">, </w:t>
      </w:r>
      <w:r w:rsidRPr="000E5B75">
        <w:rPr>
          <w:rFonts w:ascii="Arial" w:hAnsi="Arial" w:cs="Arial"/>
          <w:i/>
        </w:rPr>
        <w:t>op.cit</w:t>
      </w:r>
      <w:r w:rsidRPr="000E5B75">
        <w:rPr>
          <w:rFonts w:ascii="Arial" w:hAnsi="Arial" w:cs="Arial"/>
        </w:rPr>
        <w:t>., pp. 16-17.</w:t>
      </w:r>
    </w:p>
  </w:footnote>
  <w:footnote w:id="34">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Nel caso di una sanzione pecuniaria di importo elevato (</w:t>
      </w:r>
      <w:r>
        <w:rPr>
          <w:rFonts w:ascii="Arial" w:hAnsi="Arial" w:cs="Arial"/>
        </w:rPr>
        <w:t>sei</w:t>
      </w:r>
      <w:r w:rsidRPr="0056261A">
        <w:rPr>
          <w:rFonts w:ascii="Arial" w:hAnsi="Arial" w:cs="Arial"/>
        </w:rPr>
        <w:t xml:space="preserve"> milioni di euro), avente carattere repressivo e preventivo, la stessa possiede natura penale, per Corte europea dei diritti dell’uomo, II, sentenza 27 settembre 2011, ric. n. 43509/08, causa </w:t>
      </w:r>
      <w:r w:rsidRPr="0056261A">
        <w:rPr>
          <w:rFonts w:ascii="Arial" w:hAnsi="Arial" w:cs="Arial"/>
          <w:i/>
        </w:rPr>
        <w:t xml:space="preserve">A. Menarini </w:t>
      </w:r>
      <w:proofErr w:type="spellStart"/>
      <w:r w:rsidRPr="0056261A">
        <w:rPr>
          <w:rFonts w:ascii="Arial" w:hAnsi="Arial" w:cs="Arial"/>
          <w:i/>
        </w:rPr>
        <w:t>Diagnostics</w:t>
      </w:r>
      <w:proofErr w:type="spellEnd"/>
      <w:r w:rsidRPr="0056261A">
        <w:rPr>
          <w:rFonts w:ascii="Arial" w:hAnsi="Arial" w:cs="Arial"/>
          <w:i/>
        </w:rPr>
        <w:t xml:space="preserve"> s.r.l. contro Italia</w:t>
      </w:r>
      <w:r w:rsidRPr="0056261A">
        <w:rPr>
          <w:rFonts w:ascii="Arial" w:hAnsi="Arial" w:cs="Arial"/>
        </w:rPr>
        <w:t xml:space="preserve">, </w:t>
      </w:r>
      <w:proofErr w:type="spellStart"/>
      <w:r w:rsidRPr="0056261A">
        <w:rPr>
          <w:rFonts w:ascii="Arial" w:hAnsi="Arial" w:cs="Arial"/>
        </w:rPr>
        <w:t>parr</w:t>
      </w:r>
      <w:proofErr w:type="spellEnd"/>
      <w:r w:rsidRPr="0056261A">
        <w:rPr>
          <w:rFonts w:ascii="Arial" w:hAnsi="Arial" w:cs="Arial"/>
        </w:rPr>
        <w:t>. 41-42; se si tratta di sanzioni molto gravose, anche a livello economico – tipo l’</w:t>
      </w:r>
      <w:proofErr w:type="spellStart"/>
      <w:r w:rsidRPr="0056261A">
        <w:rPr>
          <w:rFonts w:ascii="Arial" w:hAnsi="Arial" w:cs="Arial"/>
        </w:rPr>
        <w:t>interdittiva</w:t>
      </w:r>
      <w:proofErr w:type="spellEnd"/>
      <w:r w:rsidRPr="0056261A">
        <w:rPr>
          <w:rFonts w:ascii="Arial" w:hAnsi="Arial" w:cs="Arial"/>
        </w:rPr>
        <w:t xml:space="preserve"> antimafia e i provvedimenti di commissariamento delle imprese –, le stesse vanno comunque ricondotte al novero di quelle penali per </w:t>
      </w:r>
      <w:r w:rsidRPr="0056261A">
        <w:rPr>
          <w:rFonts w:ascii="Arial" w:hAnsi="Arial" w:cs="Arial"/>
          <w:smallCaps/>
        </w:rPr>
        <w:t>P. Provenzano</w:t>
      </w:r>
      <w:r w:rsidRPr="0056261A">
        <w:rPr>
          <w:rFonts w:ascii="Arial" w:hAnsi="Arial" w:cs="Arial"/>
        </w:rPr>
        <w:t xml:space="preserve">, </w:t>
      </w:r>
      <w:r w:rsidRPr="0056261A">
        <w:rPr>
          <w:rFonts w:ascii="Arial" w:hAnsi="Arial" w:cs="Arial"/>
          <w:i/>
        </w:rPr>
        <w:t>Note minime in tema di sanzioni amministrative e “materia penale”</w:t>
      </w:r>
      <w:r w:rsidRPr="0056261A">
        <w:rPr>
          <w:rFonts w:ascii="Arial" w:hAnsi="Arial" w:cs="Arial"/>
        </w:rPr>
        <w:t xml:space="preserve">, </w:t>
      </w:r>
      <w:r w:rsidRPr="000E5B75">
        <w:rPr>
          <w:rFonts w:ascii="Arial" w:hAnsi="Arial" w:cs="Arial"/>
          <w:i/>
        </w:rPr>
        <w:t>op.cit</w:t>
      </w:r>
      <w:r w:rsidRPr="0056261A">
        <w:rPr>
          <w:rFonts w:ascii="Arial" w:hAnsi="Arial" w:cs="Arial"/>
        </w:rPr>
        <w:t>., p. 1099.</w:t>
      </w:r>
    </w:p>
  </w:footnote>
  <w:footnote w:id="35">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Sull’applicazione retroattiva di una norma </w:t>
      </w:r>
      <w:r w:rsidRPr="000E5B75">
        <w:rPr>
          <w:rFonts w:ascii="Arial" w:hAnsi="Arial" w:cs="Arial"/>
          <w:i/>
        </w:rPr>
        <w:t>“</w:t>
      </w:r>
      <w:r w:rsidRPr="0056261A">
        <w:rPr>
          <w:rFonts w:ascii="Arial" w:hAnsi="Arial" w:cs="Arial"/>
          <w:i/>
        </w:rPr>
        <w:t>penale</w:t>
      </w:r>
      <w:r w:rsidRPr="000E5B75">
        <w:rPr>
          <w:rFonts w:ascii="Arial" w:hAnsi="Arial" w:cs="Arial"/>
          <w:i/>
        </w:rPr>
        <w:t>”</w:t>
      </w:r>
      <w:r w:rsidRPr="0056261A">
        <w:rPr>
          <w:rFonts w:ascii="Arial" w:hAnsi="Arial" w:cs="Arial"/>
        </w:rPr>
        <w:t xml:space="preserve"> in violazione dell’art. 7 della Convenzione, Corte </w:t>
      </w:r>
      <w:r>
        <w:rPr>
          <w:rFonts w:ascii="Arial" w:hAnsi="Arial" w:cs="Arial"/>
        </w:rPr>
        <w:t>europea dei diritti dell’uomo, grande c</w:t>
      </w:r>
      <w:r w:rsidRPr="0056261A">
        <w:rPr>
          <w:rFonts w:ascii="Arial" w:hAnsi="Arial" w:cs="Arial"/>
        </w:rPr>
        <w:t xml:space="preserve">amera, sentenza 9 febbraio 1995, ric. n. 17440/90, causa </w:t>
      </w:r>
      <w:r w:rsidRPr="0056261A">
        <w:rPr>
          <w:rFonts w:ascii="Arial" w:hAnsi="Arial" w:cs="Arial"/>
          <w:i/>
        </w:rPr>
        <w:t>Welch contro Regno Unito</w:t>
      </w:r>
      <w:r w:rsidRPr="0056261A">
        <w:rPr>
          <w:rFonts w:ascii="Arial" w:hAnsi="Arial" w:cs="Arial"/>
        </w:rPr>
        <w:t xml:space="preserve">, </w:t>
      </w:r>
      <w:proofErr w:type="spellStart"/>
      <w:r w:rsidRPr="0056261A">
        <w:rPr>
          <w:rFonts w:ascii="Arial" w:hAnsi="Arial" w:cs="Arial"/>
        </w:rPr>
        <w:t>parr</w:t>
      </w:r>
      <w:proofErr w:type="spellEnd"/>
      <w:r w:rsidRPr="0056261A">
        <w:rPr>
          <w:rFonts w:ascii="Arial" w:hAnsi="Arial" w:cs="Arial"/>
        </w:rPr>
        <w:t xml:space="preserve">. 26-35; in dottrina, </w:t>
      </w:r>
      <w:r>
        <w:rPr>
          <w:rFonts w:ascii="Arial" w:hAnsi="Arial" w:cs="Arial"/>
          <w:smallCaps/>
        </w:rPr>
        <w:t>S.</w:t>
      </w:r>
      <w:r w:rsidRPr="0056261A">
        <w:rPr>
          <w:rFonts w:ascii="Arial" w:hAnsi="Arial" w:cs="Arial"/>
          <w:smallCaps/>
        </w:rPr>
        <w:t>L. Vitale</w:t>
      </w:r>
      <w:r w:rsidRPr="0056261A">
        <w:rPr>
          <w:rFonts w:ascii="Arial" w:hAnsi="Arial" w:cs="Arial"/>
        </w:rPr>
        <w:t xml:space="preserve">, </w:t>
      </w:r>
      <w:r w:rsidRPr="0056261A">
        <w:rPr>
          <w:rFonts w:ascii="Arial" w:hAnsi="Arial" w:cs="Arial"/>
          <w:i/>
        </w:rPr>
        <w:t>Le sanzioni amministrative tra diritto nazionale e diritto europeo</w:t>
      </w:r>
      <w:r w:rsidRPr="0056261A">
        <w:rPr>
          <w:rFonts w:ascii="Arial" w:hAnsi="Arial" w:cs="Arial"/>
        </w:rPr>
        <w:t xml:space="preserve">, </w:t>
      </w:r>
      <w:r w:rsidRPr="000E5B75">
        <w:rPr>
          <w:rFonts w:ascii="Arial" w:hAnsi="Arial" w:cs="Arial"/>
          <w:i/>
        </w:rPr>
        <w:t>op.cit</w:t>
      </w:r>
      <w:r>
        <w:rPr>
          <w:rFonts w:ascii="Arial" w:hAnsi="Arial" w:cs="Arial"/>
        </w:rPr>
        <w:t>., p. 96</w:t>
      </w:r>
      <w:r w:rsidRPr="0056261A">
        <w:rPr>
          <w:rFonts w:ascii="Arial" w:hAnsi="Arial" w:cs="Arial"/>
        </w:rPr>
        <w:t xml:space="preserve"> ss.; A. M. </w:t>
      </w:r>
      <w:r w:rsidRPr="0056261A">
        <w:rPr>
          <w:rFonts w:ascii="Arial" w:hAnsi="Arial" w:cs="Arial"/>
          <w:smallCaps/>
        </w:rPr>
        <w:t>Maugeri</w:t>
      </w:r>
      <w:r w:rsidRPr="0056261A">
        <w:rPr>
          <w:rFonts w:ascii="Arial" w:hAnsi="Arial" w:cs="Arial"/>
        </w:rPr>
        <w:t xml:space="preserve">, </w:t>
      </w:r>
      <w:r w:rsidRPr="0056261A">
        <w:rPr>
          <w:rFonts w:ascii="Arial" w:hAnsi="Arial" w:cs="Arial"/>
          <w:i/>
        </w:rPr>
        <w:t>La</w:t>
      </w:r>
      <w:r>
        <w:rPr>
          <w:rFonts w:ascii="Arial" w:hAnsi="Arial" w:cs="Arial"/>
          <w:i/>
        </w:rPr>
        <w:t xml:space="preserve"> tutela della proprietà nella CEDU</w:t>
      </w:r>
      <w:r w:rsidRPr="0056261A">
        <w:rPr>
          <w:rFonts w:ascii="Arial" w:hAnsi="Arial" w:cs="Arial"/>
          <w:i/>
        </w:rPr>
        <w:t xml:space="preserve"> e la giurisprudenza della Corte europea in tema di confisca</w:t>
      </w:r>
      <w:r w:rsidRPr="0056261A">
        <w:rPr>
          <w:rFonts w:ascii="Arial" w:hAnsi="Arial" w:cs="Arial"/>
        </w:rPr>
        <w:t xml:space="preserve">, in M. </w:t>
      </w:r>
      <w:r w:rsidRPr="0056261A">
        <w:rPr>
          <w:rFonts w:ascii="Arial" w:hAnsi="Arial" w:cs="Arial"/>
          <w:smallCaps/>
        </w:rPr>
        <w:t>Montagna</w:t>
      </w:r>
      <w:r w:rsidRPr="0056261A">
        <w:rPr>
          <w:rFonts w:ascii="Arial" w:hAnsi="Arial" w:cs="Arial"/>
        </w:rPr>
        <w:t xml:space="preserve"> (a cura di), </w:t>
      </w:r>
      <w:r w:rsidRPr="0056261A">
        <w:rPr>
          <w:rFonts w:ascii="Arial" w:hAnsi="Arial" w:cs="Arial"/>
          <w:i/>
        </w:rPr>
        <w:t>Sequestro e confisca</w:t>
      </w:r>
      <w:r w:rsidRPr="0056261A">
        <w:rPr>
          <w:rFonts w:ascii="Arial" w:hAnsi="Arial" w:cs="Arial"/>
        </w:rPr>
        <w:t>, Torino, 2017, p</w:t>
      </w:r>
      <w:r>
        <w:rPr>
          <w:rFonts w:ascii="Arial" w:hAnsi="Arial" w:cs="Arial"/>
        </w:rPr>
        <w:t>p</w:t>
      </w:r>
      <w:r w:rsidRPr="0056261A">
        <w:rPr>
          <w:rFonts w:ascii="Arial" w:hAnsi="Arial" w:cs="Arial"/>
        </w:rPr>
        <w:t>. 8-13.</w:t>
      </w:r>
    </w:p>
  </w:footnote>
  <w:footnote w:id="36">
    <w:p w:rsidR="00AC68CA" w:rsidRPr="0056261A" w:rsidRDefault="00AC68CA" w:rsidP="0098150B">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Sottolinea tale aspetto, </w:t>
      </w:r>
      <w:r w:rsidRPr="0056261A">
        <w:rPr>
          <w:rFonts w:ascii="Arial" w:hAnsi="Arial" w:cs="Arial"/>
          <w:smallCaps/>
        </w:rPr>
        <w:t>P. Cerbo</w:t>
      </w:r>
      <w:r w:rsidRPr="0056261A">
        <w:rPr>
          <w:rFonts w:ascii="Arial" w:hAnsi="Arial" w:cs="Arial"/>
        </w:rPr>
        <w:t xml:space="preserve">, </w:t>
      </w:r>
      <w:r w:rsidRPr="0056261A">
        <w:rPr>
          <w:rFonts w:ascii="Arial" w:hAnsi="Arial" w:cs="Arial"/>
          <w:i/>
        </w:rPr>
        <w:t>La depenalizzazione fra giudice penale e amministrazione (e giudice dell’opposizione)</w:t>
      </w:r>
      <w:r w:rsidRPr="0056261A">
        <w:rPr>
          <w:rFonts w:ascii="Arial" w:hAnsi="Arial" w:cs="Arial"/>
        </w:rPr>
        <w:t xml:space="preserve">, </w:t>
      </w:r>
      <w:r w:rsidRPr="000E5B75">
        <w:rPr>
          <w:rFonts w:ascii="Arial" w:hAnsi="Arial" w:cs="Arial"/>
          <w:i/>
        </w:rPr>
        <w:t>op.cit</w:t>
      </w:r>
      <w:r w:rsidRPr="0056261A">
        <w:rPr>
          <w:rFonts w:ascii="Arial" w:hAnsi="Arial" w:cs="Arial"/>
        </w:rPr>
        <w:t>., p. 64 ss</w:t>
      </w:r>
      <w:r w:rsidRPr="00234445">
        <w:rPr>
          <w:rFonts w:ascii="Arial" w:hAnsi="Arial" w:cs="Arial"/>
        </w:rPr>
        <w:t>.</w:t>
      </w:r>
      <w:r w:rsidR="00745EC7" w:rsidRPr="00234445">
        <w:rPr>
          <w:rFonts w:ascii="Arial" w:hAnsi="Arial" w:cs="Arial"/>
        </w:rPr>
        <w:t xml:space="preserve">; secondo </w:t>
      </w:r>
      <w:r w:rsidR="0098150B" w:rsidRPr="00234445">
        <w:rPr>
          <w:rFonts w:ascii="Arial" w:hAnsi="Arial" w:cs="Arial"/>
        </w:rPr>
        <w:t xml:space="preserve">Consiglio di Stato, VI, </w:t>
      </w:r>
      <w:proofErr w:type="spellStart"/>
      <w:r w:rsidR="0098150B" w:rsidRPr="00234445">
        <w:rPr>
          <w:rFonts w:ascii="Arial" w:hAnsi="Arial" w:cs="Arial"/>
        </w:rPr>
        <w:t>ord</w:t>
      </w:r>
      <w:proofErr w:type="spellEnd"/>
      <w:r w:rsidR="0098150B" w:rsidRPr="00234445">
        <w:rPr>
          <w:rFonts w:ascii="Arial" w:hAnsi="Arial" w:cs="Arial"/>
        </w:rPr>
        <w:t xml:space="preserve">. 14 maggio 2019, n. 3134, è irrilevante la circostanza che le sanzioni siano applicabili a imprese costituite in forma di persone giuridiche, poiché il pregiudizio al patrimonio della società viene comunque sopportato dai soci e </w:t>
      </w:r>
      <w:r w:rsidR="007D2499" w:rsidRPr="00234445">
        <w:rPr>
          <w:rFonts w:ascii="Arial" w:hAnsi="Arial" w:cs="Arial"/>
        </w:rPr>
        <w:t xml:space="preserve">in ogni caso </w:t>
      </w:r>
      <w:r w:rsidR="0098150B" w:rsidRPr="00234445">
        <w:rPr>
          <w:rFonts w:ascii="Arial" w:hAnsi="Arial" w:cs="Arial"/>
        </w:rPr>
        <w:t>le persone giuridiche sono pienamente responsabili anche sotto il profilo penale</w:t>
      </w:r>
      <w:r w:rsidR="0098150B">
        <w:rPr>
          <w:rFonts w:ascii="Arial" w:hAnsi="Arial" w:cs="Arial"/>
        </w:rPr>
        <w:t>.</w:t>
      </w:r>
    </w:p>
  </w:footnote>
  <w:footnote w:id="37">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Per un caso in cui la misura contestata – ossia, la sospensione dalle cariche elettive – è stata considerata di caratt</w:t>
      </w:r>
      <w:r>
        <w:rPr>
          <w:rFonts w:ascii="Arial" w:hAnsi="Arial" w:cs="Arial"/>
        </w:rPr>
        <w:t>ere non afflittivo, cfr. Corte C</w:t>
      </w:r>
      <w:r w:rsidRPr="0056261A">
        <w:rPr>
          <w:rFonts w:ascii="Arial" w:hAnsi="Arial" w:cs="Arial"/>
        </w:rPr>
        <w:t>ostituzionale, sentenza 16 dicembre 2016, n. 276; in argomento</w:t>
      </w:r>
      <w:r w:rsidRPr="0056261A">
        <w:rPr>
          <w:rFonts w:ascii="Arial" w:hAnsi="Arial" w:cs="Arial"/>
          <w:smallCaps/>
        </w:rPr>
        <w:t>, A. Travi</w:t>
      </w:r>
      <w:r w:rsidRPr="0056261A">
        <w:rPr>
          <w:rFonts w:ascii="Arial" w:hAnsi="Arial" w:cs="Arial"/>
        </w:rPr>
        <w:t xml:space="preserve">, </w:t>
      </w:r>
      <w:r w:rsidRPr="0056261A">
        <w:rPr>
          <w:rFonts w:ascii="Arial" w:hAnsi="Arial" w:cs="Arial"/>
          <w:i/>
        </w:rPr>
        <w:t>Incertezza delle regole e sanzioni amministrative</w:t>
      </w:r>
      <w:r w:rsidRPr="0056261A">
        <w:rPr>
          <w:rFonts w:ascii="Arial" w:hAnsi="Arial" w:cs="Arial"/>
        </w:rPr>
        <w:t xml:space="preserve">, </w:t>
      </w:r>
      <w:r w:rsidRPr="000E5B75">
        <w:rPr>
          <w:rFonts w:ascii="Arial" w:hAnsi="Arial" w:cs="Arial"/>
          <w:i/>
        </w:rPr>
        <w:t>op.cit</w:t>
      </w:r>
      <w:r w:rsidRPr="0056261A">
        <w:rPr>
          <w:rFonts w:ascii="Arial" w:hAnsi="Arial" w:cs="Arial"/>
        </w:rPr>
        <w:t>., p. 644 ss.</w:t>
      </w:r>
    </w:p>
  </w:footnote>
  <w:footnote w:id="38">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Sui criteri di distinzione tra le due tipologie, </w:t>
      </w:r>
      <w:r w:rsidRPr="0056261A">
        <w:rPr>
          <w:rFonts w:ascii="Arial" w:hAnsi="Arial" w:cs="Arial"/>
          <w:smallCaps/>
        </w:rPr>
        <w:t>P. Provenzano</w:t>
      </w:r>
      <w:r w:rsidRPr="0056261A">
        <w:rPr>
          <w:rFonts w:ascii="Arial" w:hAnsi="Arial" w:cs="Arial"/>
        </w:rPr>
        <w:t xml:space="preserve">, </w:t>
      </w:r>
      <w:r w:rsidRPr="0056261A">
        <w:rPr>
          <w:rFonts w:ascii="Arial" w:hAnsi="Arial" w:cs="Arial"/>
          <w:i/>
        </w:rPr>
        <w:t>Note minime in tema di sanzioni amministrative e “materia penale”</w:t>
      </w:r>
      <w:r w:rsidRPr="0056261A">
        <w:rPr>
          <w:rFonts w:ascii="Arial" w:hAnsi="Arial" w:cs="Arial"/>
        </w:rPr>
        <w:t xml:space="preserve">, </w:t>
      </w:r>
      <w:r w:rsidRPr="000E5B75">
        <w:rPr>
          <w:rFonts w:ascii="Arial" w:hAnsi="Arial" w:cs="Arial"/>
          <w:i/>
        </w:rPr>
        <w:t>op.cit</w:t>
      </w:r>
      <w:r w:rsidRPr="0056261A">
        <w:rPr>
          <w:rFonts w:ascii="Arial" w:hAnsi="Arial" w:cs="Arial"/>
        </w:rPr>
        <w:t>., p. 1094 ss.</w:t>
      </w:r>
    </w:p>
  </w:footnote>
  <w:footnote w:id="39">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Per un esame approfondito della compensabilità </w:t>
      </w:r>
      <w:r w:rsidRPr="0056261A">
        <w:rPr>
          <w:rFonts w:ascii="Arial" w:hAnsi="Arial" w:cs="Arial"/>
          <w:i/>
        </w:rPr>
        <w:t>ex post</w:t>
      </w:r>
      <w:r w:rsidRPr="0056261A">
        <w:rPr>
          <w:rFonts w:ascii="Arial" w:hAnsi="Arial" w:cs="Arial"/>
        </w:rPr>
        <w:t xml:space="preserve"> delle eventuali carenze di garanzie in fase di procedimento amministrativo, cfr. </w:t>
      </w:r>
      <w:r w:rsidRPr="0056261A">
        <w:rPr>
          <w:rFonts w:ascii="Arial" w:hAnsi="Arial" w:cs="Arial"/>
          <w:smallCaps/>
        </w:rPr>
        <w:t>M. Allena</w:t>
      </w:r>
      <w:r w:rsidRPr="0056261A">
        <w:rPr>
          <w:rFonts w:ascii="Arial" w:hAnsi="Arial" w:cs="Arial"/>
        </w:rPr>
        <w:t xml:space="preserve">, </w:t>
      </w:r>
      <w:r w:rsidRPr="0056261A">
        <w:rPr>
          <w:rFonts w:ascii="Arial" w:hAnsi="Arial" w:cs="Arial"/>
          <w:i/>
        </w:rPr>
        <w:t>L’art. 6 CEDU e la continuità tra procedimento e processo</w:t>
      </w:r>
      <w:r w:rsidRPr="0056261A">
        <w:rPr>
          <w:rFonts w:ascii="Arial" w:hAnsi="Arial" w:cs="Arial"/>
        </w:rPr>
        <w:t xml:space="preserve">, in </w:t>
      </w:r>
      <w:r w:rsidRPr="0056261A">
        <w:rPr>
          <w:rFonts w:ascii="Arial" w:hAnsi="Arial" w:cs="Arial"/>
          <w:i/>
        </w:rPr>
        <w:t>P.A. Persona e Amministrazione</w:t>
      </w:r>
      <w:r w:rsidRPr="0056261A">
        <w:rPr>
          <w:rFonts w:ascii="Arial" w:hAnsi="Arial" w:cs="Arial"/>
        </w:rPr>
        <w:t>, 2018, n. 2, p. 25 ss.</w:t>
      </w:r>
    </w:p>
  </w:footnote>
  <w:footnote w:id="40">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Art. 134 cod. </w:t>
      </w:r>
      <w:proofErr w:type="spellStart"/>
      <w:r w:rsidRPr="0056261A">
        <w:rPr>
          <w:rFonts w:ascii="Arial" w:hAnsi="Arial" w:cs="Arial"/>
        </w:rPr>
        <w:t>proc</w:t>
      </w:r>
      <w:proofErr w:type="spellEnd"/>
      <w:r w:rsidRPr="0056261A">
        <w:rPr>
          <w:rFonts w:ascii="Arial" w:hAnsi="Arial" w:cs="Arial"/>
        </w:rPr>
        <w:t xml:space="preserve">. </w:t>
      </w:r>
      <w:proofErr w:type="spellStart"/>
      <w:r w:rsidRPr="0056261A">
        <w:rPr>
          <w:rFonts w:ascii="Arial" w:hAnsi="Arial" w:cs="Arial"/>
        </w:rPr>
        <w:t>amm</w:t>
      </w:r>
      <w:proofErr w:type="spellEnd"/>
      <w:r w:rsidRPr="0056261A">
        <w:rPr>
          <w:rFonts w:ascii="Arial" w:hAnsi="Arial" w:cs="Arial"/>
        </w:rPr>
        <w:t xml:space="preserve">.; Corte europea dei diritti dell’uomo, II, sentenza 27 settembre 2011, ric. n. 43509/08, causa </w:t>
      </w:r>
      <w:r w:rsidRPr="0056261A">
        <w:rPr>
          <w:rFonts w:ascii="Arial" w:hAnsi="Arial" w:cs="Arial"/>
          <w:i/>
        </w:rPr>
        <w:t xml:space="preserve">A. Menarini </w:t>
      </w:r>
      <w:proofErr w:type="spellStart"/>
      <w:r w:rsidRPr="0056261A">
        <w:rPr>
          <w:rFonts w:ascii="Arial" w:hAnsi="Arial" w:cs="Arial"/>
          <w:i/>
        </w:rPr>
        <w:t>Diagnostics</w:t>
      </w:r>
      <w:proofErr w:type="spellEnd"/>
      <w:r w:rsidRPr="0056261A">
        <w:rPr>
          <w:rFonts w:ascii="Arial" w:hAnsi="Arial" w:cs="Arial"/>
          <w:i/>
        </w:rPr>
        <w:t xml:space="preserve"> s.r.l. contro Italia</w:t>
      </w:r>
      <w:r w:rsidRPr="0056261A">
        <w:rPr>
          <w:rFonts w:ascii="Arial" w:hAnsi="Arial" w:cs="Arial"/>
        </w:rPr>
        <w:t xml:space="preserve">, </w:t>
      </w:r>
      <w:proofErr w:type="spellStart"/>
      <w:r w:rsidRPr="0056261A">
        <w:rPr>
          <w:rFonts w:ascii="Arial" w:hAnsi="Arial" w:cs="Arial"/>
        </w:rPr>
        <w:t>parr</w:t>
      </w:r>
      <w:proofErr w:type="spellEnd"/>
      <w:r w:rsidRPr="0056261A">
        <w:rPr>
          <w:rFonts w:ascii="Arial" w:hAnsi="Arial" w:cs="Arial"/>
        </w:rPr>
        <w:t xml:space="preserve">. 58-67; T.A.R. Lombardia, Milano, II, 31 ottobre 2018, n. 2456; sulla </w:t>
      </w:r>
      <w:r w:rsidRPr="0056261A">
        <w:rPr>
          <w:rFonts w:ascii="Arial" w:hAnsi="Arial" w:cs="Arial"/>
          <w:i/>
        </w:rPr>
        <w:t xml:space="preserve">full </w:t>
      </w:r>
      <w:proofErr w:type="spellStart"/>
      <w:r w:rsidRPr="0056261A">
        <w:rPr>
          <w:rFonts w:ascii="Arial" w:hAnsi="Arial" w:cs="Arial"/>
          <w:i/>
        </w:rPr>
        <w:t>jurisdiction</w:t>
      </w:r>
      <w:proofErr w:type="spellEnd"/>
      <w:r w:rsidRPr="0056261A">
        <w:rPr>
          <w:rFonts w:ascii="Arial" w:hAnsi="Arial" w:cs="Arial"/>
        </w:rPr>
        <w:t xml:space="preserve">, </w:t>
      </w:r>
      <w:r w:rsidRPr="0056261A">
        <w:rPr>
          <w:rFonts w:ascii="Arial" w:hAnsi="Arial" w:cs="Arial"/>
          <w:smallCaps/>
        </w:rPr>
        <w:t xml:space="preserve">F. </w:t>
      </w:r>
      <w:proofErr w:type="spellStart"/>
      <w:r w:rsidRPr="0056261A">
        <w:rPr>
          <w:rFonts w:ascii="Arial" w:hAnsi="Arial" w:cs="Arial"/>
          <w:smallCaps/>
        </w:rPr>
        <w:t>Goisis</w:t>
      </w:r>
      <w:proofErr w:type="spellEnd"/>
      <w:r w:rsidRPr="0056261A">
        <w:rPr>
          <w:rFonts w:ascii="Arial" w:hAnsi="Arial" w:cs="Arial"/>
        </w:rPr>
        <w:t xml:space="preserve">, </w:t>
      </w:r>
      <w:r w:rsidRPr="0056261A">
        <w:rPr>
          <w:rFonts w:ascii="Arial" w:hAnsi="Arial" w:cs="Arial"/>
          <w:i/>
        </w:rPr>
        <w:t xml:space="preserve">La full </w:t>
      </w:r>
      <w:proofErr w:type="spellStart"/>
      <w:r w:rsidRPr="0056261A">
        <w:rPr>
          <w:rFonts w:ascii="Arial" w:hAnsi="Arial" w:cs="Arial"/>
          <w:i/>
        </w:rPr>
        <w:t>jurisdiction</w:t>
      </w:r>
      <w:proofErr w:type="spellEnd"/>
      <w:r w:rsidRPr="0056261A">
        <w:rPr>
          <w:rFonts w:ascii="Arial" w:hAnsi="Arial" w:cs="Arial"/>
          <w:i/>
        </w:rPr>
        <w:t xml:space="preserve"> sulle sanzioni amministrative: continuità della funzione sanzionatoria v. separazione dei poteri</w:t>
      </w:r>
      <w:r w:rsidRPr="0056261A">
        <w:rPr>
          <w:rFonts w:ascii="Arial" w:hAnsi="Arial" w:cs="Arial"/>
        </w:rPr>
        <w:t xml:space="preserve">, </w:t>
      </w:r>
      <w:r w:rsidRPr="000E5B75">
        <w:rPr>
          <w:rFonts w:ascii="Arial" w:hAnsi="Arial" w:cs="Arial"/>
          <w:i/>
        </w:rPr>
        <w:t>op.cit</w:t>
      </w:r>
      <w:r>
        <w:rPr>
          <w:rFonts w:ascii="Arial" w:hAnsi="Arial" w:cs="Arial"/>
        </w:rPr>
        <w:t>., p</w:t>
      </w:r>
      <w:r w:rsidRPr="0056261A">
        <w:rPr>
          <w:rFonts w:ascii="Arial" w:hAnsi="Arial" w:cs="Arial"/>
        </w:rPr>
        <w:t>. 5 ss.</w:t>
      </w:r>
    </w:p>
  </w:footnote>
  <w:footnote w:id="41">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europea dei diritti dell’uomo, II, sentenza 4 marzo 2014, </w:t>
      </w:r>
      <w:proofErr w:type="spellStart"/>
      <w:r w:rsidRPr="0056261A">
        <w:rPr>
          <w:rFonts w:ascii="Arial" w:hAnsi="Arial" w:cs="Arial"/>
        </w:rPr>
        <w:t>ricc</w:t>
      </w:r>
      <w:proofErr w:type="spellEnd"/>
      <w:r w:rsidRPr="0056261A">
        <w:rPr>
          <w:rFonts w:ascii="Arial" w:hAnsi="Arial" w:cs="Arial"/>
        </w:rPr>
        <w:t xml:space="preserve">. </w:t>
      </w:r>
      <w:proofErr w:type="spellStart"/>
      <w:r w:rsidRPr="0056261A">
        <w:rPr>
          <w:rFonts w:ascii="Arial" w:hAnsi="Arial" w:cs="Arial"/>
        </w:rPr>
        <w:t>nn</w:t>
      </w:r>
      <w:proofErr w:type="spellEnd"/>
      <w:r w:rsidRPr="0056261A">
        <w:rPr>
          <w:rFonts w:ascii="Arial" w:hAnsi="Arial" w:cs="Arial"/>
        </w:rPr>
        <w:t xml:space="preserve">. 18640/10, 18647/10, 18663/10, 18668/10 e 18698/10, causa </w:t>
      </w:r>
      <w:r w:rsidRPr="0056261A">
        <w:rPr>
          <w:rFonts w:ascii="Arial" w:hAnsi="Arial" w:cs="Arial"/>
          <w:i/>
        </w:rPr>
        <w:t>Grande Stevens e altri contro Italia</w:t>
      </w:r>
      <w:r w:rsidRPr="0056261A">
        <w:rPr>
          <w:rFonts w:ascii="Arial" w:hAnsi="Arial" w:cs="Arial"/>
        </w:rPr>
        <w:t xml:space="preserve">; </w:t>
      </w:r>
      <w:r w:rsidRPr="0056261A">
        <w:rPr>
          <w:rFonts w:ascii="Arial" w:hAnsi="Arial" w:cs="Arial"/>
          <w:smallCaps/>
        </w:rPr>
        <w:t>G. De Amicis</w:t>
      </w:r>
      <w:r w:rsidRPr="0056261A">
        <w:rPr>
          <w:rFonts w:ascii="Arial" w:hAnsi="Arial" w:cs="Arial"/>
        </w:rPr>
        <w:t xml:space="preserve">, </w:t>
      </w:r>
      <w:r w:rsidRPr="006D42CD">
        <w:rPr>
          <w:rFonts w:ascii="Arial" w:hAnsi="Arial" w:cs="Arial"/>
          <w:i/>
        </w:rPr>
        <w:t>Ne bis in idem e</w:t>
      </w:r>
      <w:r>
        <w:rPr>
          <w:rFonts w:ascii="Arial" w:hAnsi="Arial" w:cs="Arial"/>
          <w:i/>
        </w:rPr>
        <w:t xml:space="preserve"> “doppio binario”</w:t>
      </w:r>
      <w:r w:rsidRPr="0056261A">
        <w:rPr>
          <w:rFonts w:ascii="Arial" w:hAnsi="Arial" w:cs="Arial"/>
          <w:i/>
        </w:rPr>
        <w:t xml:space="preserve"> sanzionatorio: prime riflession</w:t>
      </w:r>
      <w:r>
        <w:rPr>
          <w:rFonts w:ascii="Arial" w:hAnsi="Arial" w:cs="Arial"/>
          <w:i/>
        </w:rPr>
        <w:t>i sugli effetti della sentenza “</w:t>
      </w:r>
      <w:r w:rsidRPr="0056261A">
        <w:rPr>
          <w:rFonts w:ascii="Arial" w:hAnsi="Arial" w:cs="Arial"/>
          <w:i/>
        </w:rPr>
        <w:t>Grande Stevens</w:t>
      </w:r>
      <w:r>
        <w:rPr>
          <w:rFonts w:ascii="Arial" w:hAnsi="Arial" w:cs="Arial"/>
          <w:i/>
        </w:rPr>
        <w:t>”</w:t>
      </w:r>
      <w:r w:rsidRPr="0056261A">
        <w:rPr>
          <w:rFonts w:ascii="Arial" w:hAnsi="Arial" w:cs="Arial"/>
          <w:i/>
        </w:rPr>
        <w:t xml:space="preserve"> nell’ordinamento italiano</w:t>
      </w:r>
      <w:r w:rsidRPr="0056261A">
        <w:rPr>
          <w:rFonts w:ascii="Arial" w:hAnsi="Arial" w:cs="Arial"/>
        </w:rPr>
        <w:t xml:space="preserve">, e </w:t>
      </w:r>
      <w:r w:rsidRPr="0056261A">
        <w:rPr>
          <w:rFonts w:ascii="Arial" w:hAnsi="Arial" w:cs="Arial"/>
          <w:smallCaps/>
        </w:rPr>
        <w:t>F. Viganò</w:t>
      </w:r>
      <w:r w:rsidRPr="0056261A">
        <w:rPr>
          <w:rFonts w:ascii="Arial" w:hAnsi="Arial" w:cs="Arial"/>
        </w:rPr>
        <w:t xml:space="preserve">, </w:t>
      </w:r>
      <w:r w:rsidRPr="0056261A">
        <w:rPr>
          <w:rFonts w:ascii="Arial" w:hAnsi="Arial" w:cs="Arial"/>
          <w:i/>
        </w:rPr>
        <w:t xml:space="preserve">Doppio binario sanzionatorio e </w:t>
      </w:r>
      <w:r w:rsidRPr="006D42CD">
        <w:rPr>
          <w:rFonts w:ascii="Arial" w:hAnsi="Arial" w:cs="Arial"/>
          <w:i/>
        </w:rPr>
        <w:t>ne bis idem</w:t>
      </w:r>
      <w:r w:rsidRPr="0056261A">
        <w:rPr>
          <w:rFonts w:ascii="Arial" w:hAnsi="Arial" w:cs="Arial"/>
          <w:i/>
        </w:rPr>
        <w:t xml:space="preserve">: verso una diretta applicazione dell’art. 50 della </w:t>
      </w:r>
      <w:proofErr w:type="gramStart"/>
      <w:r w:rsidRPr="0056261A">
        <w:rPr>
          <w:rFonts w:ascii="Arial" w:hAnsi="Arial" w:cs="Arial"/>
          <w:i/>
        </w:rPr>
        <w:t>Carta?</w:t>
      </w:r>
      <w:r w:rsidRPr="0056261A">
        <w:rPr>
          <w:rFonts w:ascii="Arial" w:hAnsi="Arial" w:cs="Arial"/>
        </w:rPr>
        <w:t>,</w:t>
      </w:r>
      <w:proofErr w:type="gramEnd"/>
      <w:r w:rsidRPr="0056261A">
        <w:rPr>
          <w:rFonts w:ascii="Arial" w:hAnsi="Arial" w:cs="Arial"/>
        </w:rPr>
        <w:t xml:space="preserve"> in </w:t>
      </w:r>
      <w:r w:rsidRPr="0056261A">
        <w:rPr>
          <w:rFonts w:ascii="Arial" w:hAnsi="Arial" w:cs="Arial"/>
          <w:i/>
        </w:rPr>
        <w:t xml:space="preserve">Dir. </w:t>
      </w:r>
      <w:proofErr w:type="spellStart"/>
      <w:r w:rsidRPr="0056261A">
        <w:rPr>
          <w:rFonts w:ascii="Arial" w:hAnsi="Arial" w:cs="Arial"/>
          <w:i/>
        </w:rPr>
        <w:t>pen</w:t>
      </w:r>
      <w:proofErr w:type="spellEnd"/>
      <w:r w:rsidRPr="0056261A">
        <w:rPr>
          <w:rFonts w:ascii="Arial" w:hAnsi="Arial" w:cs="Arial"/>
          <w:i/>
        </w:rPr>
        <w:t>. contemporaneo</w:t>
      </w:r>
      <w:r w:rsidRPr="0056261A">
        <w:rPr>
          <w:rFonts w:ascii="Arial" w:hAnsi="Arial" w:cs="Arial"/>
        </w:rPr>
        <w:t>, 2014, 3-4, pp. 201 ss</w:t>
      </w:r>
      <w:r w:rsidRPr="00234445">
        <w:rPr>
          <w:rFonts w:ascii="Arial" w:hAnsi="Arial" w:cs="Arial"/>
        </w:rPr>
        <w:t>.</w:t>
      </w:r>
      <w:r w:rsidR="00B858F8" w:rsidRPr="00234445">
        <w:rPr>
          <w:rFonts w:ascii="Arial" w:hAnsi="Arial" w:cs="Arial"/>
        </w:rPr>
        <w:t xml:space="preserve">; anche </w:t>
      </w:r>
      <w:r w:rsidR="00B858F8" w:rsidRPr="00234445">
        <w:rPr>
          <w:rFonts w:ascii="Arial" w:hAnsi="Arial" w:cs="Arial"/>
          <w:smallCaps/>
        </w:rPr>
        <w:t>C. Deodato</w:t>
      </w:r>
      <w:r w:rsidR="00B858F8" w:rsidRPr="00234445">
        <w:rPr>
          <w:rFonts w:ascii="Arial" w:hAnsi="Arial" w:cs="Arial"/>
        </w:rPr>
        <w:t xml:space="preserve">, </w:t>
      </w:r>
      <w:r w:rsidR="00B858F8" w:rsidRPr="00234445">
        <w:rPr>
          <w:rFonts w:ascii="Arial" w:hAnsi="Arial" w:cs="Arial"/>
          <w:i/>
        </w:rPr>
        <w:t xml:space="preserve">Sanzioni formalmente amministrative e sostanzialmente penali: i problemi procedurali connessi all’applicazione delle sanzioni Consob in materia di market </w:t>
      </w:r>
      <w:proofErr w:type="spellStart"/>
      <w:r w:rsidR="00B858F8" w:rsidRPr="00234445">
        <w:rPr>
          <w:rFonts w:ascii="Arial" w:hAnsi="Arial" w:cs="Arial"/>
          <w:i/>
        </w:rPr>
        <w:t>abuse</w:t>
      </w:r>
      <w:proofErr w:type="spellEnd"/>
      <w:r w:rsidR="00B858F8" w:rsidRPr="00234445">
        <w:rPr>
          <w:rFonts w:ascii="Arial" w:hAnsi="Arial" w:cs="Arial"/>
          <w:i/>
        </w:rPr>
        <w:t xml:space="preserve"> (e alcune soluzioni)</w:t>
      </w:r>
      <w:r w:rsidR="00B858F8" w:rsidRPr="00234445">
        <w:rPr>
          <w:rFonts w:ascii="Arial" w:hAnsi="Arial" w:cs="Arial"/>
        </w:rPr>
        <w:t xml:space="preserve">, </w:t>
      </w:r>
      <w:r w:rsidR="00B858F8" w:rsidRPr="00234445">
        <w:rPr>
          <w:rFonts w:ascii="Arial" w:hAnsi="Arial" w:cs="Arial"/>
          <w:i/>
        </w:rPr>
        <w:t>op. cit.</w:t>
      </w:r>
      <w:r w:rsidR="00B858F8" w:rsidRPr="00234445">
        <w:rPr>
          <w:rFonts w:ascii="Arial" w:hAnsi="Arial" w:cs="Arial"/>
        </w:rPr>
        <w:t>, p. 16 ss.</w:t>
      </w:r>
    </w:p>
  </w:footnote>
  <w:footnote w:id="42">
    <w:p w:rsidR="00AC68CA" w:rsidRPr="006D42CD"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Secondo la Corte europea dei diritti dell’uomo, Grande Camera, sentenza 15 novembre 2016, cause </w:t>
      </w:r>
      <w:r w:rsidRPr="0056261A">
        <w:rPr>
          <w:rFonts w:ascii="Arial" w:hAnsi="Arial" w:cs="Arial"/>
          <w:i/>
        </w:rPr>
        <w:t>A e B contro Norvegia</w:t>
      </w:r>
      <w:r w:rsidRPr="0056261A">
        <w:rPr>
          <w:rFonts w:ascii="Arial" w:hAnsi="Arial" w:cs="Arial"/>
        </w:rPr>
        <w:t xml:space="preserve">, </w:t>
      </w:r>
      <w:proofErr w:type="spellStart"/>
      <w:r w:rsidRPr="0056261A">
        <w:rPr>
          <w:rFonts w:ascii="Arial" w:hAnsi="Arial" w:cs="Arial"/>
        </w:rPr>
        <w:t>ricc</w:t>
      </w:r>
      <w:proofErr w:type="spellEnd"/>
      <w:r w:rsidRPr="0056261A">
        <w:rPr>
          <w:rFonts w:ascii="Arial" w:hAnsi="Arial" w:cs="Arial"/>
        </w:rPr>
        <w:t xml:space="preserve">. n. 24130/11 e n. 29758/11, spetta </w:t>
      </w:r>
      <w:r>
        <w:rPr>
          <w:rFonts w:ascii="Arial" w:hAnsi="Arial" w:cs="Arial"/>
        </w:rPr>
        <w:t>“</w:t>
      </w:r>
      <w:r w:rsidRPr="006D42CD">
        <w:rPr>
          <w:rFonts w:ascii="Arial" w:hAnsi="Arial" w:cs="Arial"/>
        </w:rPr>
        <w:t xml:space="preserve">al </w:t>
      </w:r>
      <w:r>
        <w:rPr>
          <w:rFonts w:ascii="Arial" w:hAnsi="Arial" w:cs="Arial"/>
        </w:rPr>
        <w:t>G</w:t>
      </w:r>
      <w:r w:rsidRPr="006D42CD">
        <w:rPr>
          <w:rFonts w:ascii="Arial" w:hAnsi="Arial" w:cs="Arial"/>
        </w:rPr>
        <w:t xml:space="preserve">iudice nazionale il compito di stabilire se ci si trovi, o meno, in presenza di </w:t>
      </w:r>
      <w:r w:rsidRPr="006D42CD">
        <w:rPr>
          <w:rFonts w:ascii="Arial" w:hAnsi="Arial" w:cs="Arial"/>
          <w:i/>
        </w:rPr>
        <w:t>un bis in idem</w:t>
      </w:r>
      <w:r w:rsidRPr="006D42CD">
        <w:rPr>
          <w:rFonts w:ascii="Arial" w:hAnsi="Arial" w:cs="Arial"/>
        </w:rPr>
        <w:t>, valutando se i procedimenti in questione presentino, avendo riguardo alle peculiarità dei casi di specie, l’ulteriore requisito di un nesso materiale e temporale su</w:t>
      </w:r>
      <w:r>
        <w:rPr>
          <w:rFonts w:ascii="Arial" w:hAnsi="Arial" w:cs="Arial"/>
        </w:rPr>
        <w:t xml:space="preserve">fficientemente stretto, </w:t>
      </w:r>
      <w:r w:rsidRPr="006D42CD">
        <w:rPr>
          <w:rFonts w:ascii="Arial" w:hAnsi="Arial" w:cs="Arial"/>
          <w:i/>
        </w:rPr>
        <w:t>«</w:t>
      </w:r>
      <w:proofErr w:type="spellStart"/>
      <w:r w:rsidRPr="006D42CD">
        <w:rPr>
          <w:rFonts w:ascii="Arial" w:hAnsi="Arial" w:cs="Arial"/>
          <w:i/>
        </w:rPr>
        <w:t>sufficiently</w:t>
      </w:r>
      <w:proofErr w:type="spellEnd"/>
      <w:r w:rsidRPr="006D42CD">
        <w:rPr>
          <w:rFonts w:ascii="Arial" w:hAnsi="Arial" w:cs="Arial"/>
          <w:i/>
        </w:rPr>
        <w:t xml:space="preserve"> </w:t>
      </w:r>
      <w:proofErr w:type="spellStart"/>
      <w:r w:rsidRPr="006D42CD">
        <w:rPr>
          <w:rFonts w:ascii="Arial" w:hAnsi="Arial" w:cs="Arial"/>
          <w:i/>
        </w:rPr>
        <w:t>close</w:t>
      </w:r>
      <w:proofErr w:type="spellEnd"/>
      <w:r w:rsidRPr="006D42CD">
        <w:rPr>
          <w:rFonts w:ascii="Arial" w:hAnsi="Arial" w:cs="Arial"/>
          <w:i/>
        </w:rPr>
        <w:t xml:space="preserve"> connection in </w:t>
      </w:r>
      <w:proofErr w:type="spellStart"/>
      <w:r w:rsidRPr="006D42CD">
        <w:rPr>
          <w:rFonts w:ascii="Arial" w:hAnsi="Arial" w:cs="Arial"/>
          <w:i/>
        </w:rPr>
        <w:t>substance</w:t>
      </w:r>
      <w:proofErr w:type="spellEnd"/>
      <w:r w:rsidRPr="006D42CD">
        <w:rPr>
          <w:rFonts w:ascii="Arial" w:hAnsi="Arial" w:cs="Arial"/>
          <w:i/>
        </w:rPr>
        <w:t xml:space="preserve"> and time»”;</w:t>
      </w:r>
      <w:r w:rsidRPr="0056261A">
        <w:rPr>
          <w:rFonts w:ascii="Arial" w:hAnsi="Arial" w:cs="Arial"/>
        </w:rPr>
        <w:t xml:space="preserve"> per la Corte di </w:t>
      </w:r>
      <w:r>
        <w:rPr>
          <w:rFonts w:ascii="Arial" w:hAnsi="Arial" w:cs="Arial"/>
        </w:rPr>
        <w:t>Giustizia dell’Unione europea, g</w:t>
      </w:r>
      <w:r w:rsidRPr="0056261A">
        <w:rPr>
          <w:rFonts w:ascii="Arial" w:hAnsi="Arial" w:cs="Arial"/>
        </w:rPr>
        <w:t xml:space="preserve">rande </w:t>
      </w:r>
      <w:r>
        <w:rPr>
          <w:rFonts w:ascii="Arial" w:hAnsi="Arial" w:cs="Arial"/>
        </w:rPr>
        <w:t>s</w:t>
      </w:r>
      <w:r w:rsidRPr="0056261A">
        <w:rPr>
          <w:rFonts w:ascii="Arial" w:hAnsi="Arial" w:cs="Arial"/>
        </w:rPr>
        <w:t xml:space="preserve">ezione, sentenze del 20 marzo 2018, causa C-537/16, </w:t>
      </w:r>
      <w:proofErr w:type="spellStart"/>
      <w:r w:rsidRPr="0056261A">
        <w:rPr>
          <w:rFonts w:ascii="Arial" w:hAnsi="Arial" w:cs="Arial"/>
          <w:i/>
        </w:rPr>
        <w:t>Garlsson</w:t>
      </w:r>
      <w:proofErr w:type="spellEnd"/>
      <w:r w:rsidRPr="0056261A">
        <w:rPr>
          <w:rFonts w:ascii="Arial" w:hAnsi="Arial" w:cs="Arial"/>
          <w:i/>
        </w:rPr>
        <w:t xml:space="preserve"> Real Estate SA, in liquidazione, Stefano </w:t>
      </w:r>
      <w:proofErr w:type="spellStart"/>
      <w:r w:rsidRPr="0056261A">
        <w:rPr>
          <w:rFonts w:ascii="Arial" w:hAnsi="Arial" w:cs="Arial"/>
          <w:i/>
        </w:rPr>
        <w:t>Ricucci</w:t>
      </w:r>
      <w:proofErr w:type="spellEnd"/>
      <w:r w:rsidRPr="0056261A">
        <w:rPr>
          <w:rFonts w:ascii="Arial" w:hAnsi="Arial" w:cs="Arial"/>
          <w:i/>
        </w:rPr>
        <w:t xml:space="preserve">, </w:t>
      </w:r>
      <w:proofErr w:type="spellStart"/>
      <w:r w:rsidRPr="0056261A">
        <w:rPr>
          <w:rFonts w:ascii="Arial" w:hAnsi="Arial" w:cs="Arial"/>
          <w:i/>
        </w:rPr>
        <w:t>Magiste</w:t>
      </w:r>
      <w:proofErr w:type="spellEnd"/>
      <w:r w:rsidRPr="0056261A">
        <w:rPr>
          <w:rFonts w:ascii="Arial" w:hAnsi="Arial" w:cs="Arial"/>
          <w:i/>
        </w:rPr>
        <w:t xml:space="preserve"> In</w:t>
      </w:r>
      <w:r>
        <w:rPr>
          <w:rFonts w:ascii="Arial" w:hAnsi="Arial" w:cs="Arial"/>
          <w:i/>
        </w:rPr>
        <w:t>ternational SA/</w:t>
      </w:r>
      <w:r w:rsidRPr="0056261A">
        <w:rPr>
          <w:rFonts w:ascii="Arial" w:hAnsi="Arial" w:cs="Arial"/>
          <w:i/>
        </w:rPr>
        <w:t>Commissione Nazionale per le Società e la Borsa (</w:t>
      </w:r>
      <w:r>
        <w:rPr>
          <w:rFonts w:ascii="Arial" w:hAnsi="Arial" w:cs="Arial"/>
          <w:i/>
        </w:rPr>
        <w:t>CONSOB</w:t>
      </w:r>
      <w:r w:rsidRPr="0056261A">
        <w:rPr>
          <w:rFonts w:ascii="Arial" w:hAnsi="Arial" w:cs="Arial"/>
          <w:i/>
        </w:rPr>
        <w:t>)</w:t>
      </w:r>
      <w:r w:rsidRPr="0056261A">
        <w:rPr>
          <w:rFonts w:ascii="Arial" w:hAnsi="Arial" w:cs="Arial"/>
        </w:rPr>
        <w:t xml:space="preserve"> e causa C-596/16 e C-597/16, </w:t>
      </w:r>
      <w:r>
        <w:rPr>
          <w:rFonts w:ascii="Arial" w:hAnsi="Arial" w:cs="Arial"/>
          <w:i/>
        </w:rPr>
        <w:t>Enzo Di Puma/</w:t>
      </w:r>
      <w:r w:rsidRPr="0056261A">
        <w:rPr>
          <w:rFonts w:ascii="Arial" w:hAnsi="Arial" w:cs="Arial"/>
          <w:i/>
        </w:rPr>
        <w:t>Commissione Nazionale per l</w:t>
      </w:r>
      <w:r>
        <w:rPr>
          <w:rFonts w:ascii="Arial" w:hAnsi="Arial" w:cs="Arial"/>
          <w:i/>
        </w:rPr>
        <w:t>e Società e la Borsa (CONSOB)/</w:t>
      </w:r>
      <w:r w:rsidRPr="0056261A">
        <w:rPr>
          <w:rFonts w:ascii="Arial" w:hAnsi="Arial" w:cs="Arial"/>
          <w:i/>
        </w:rPr>
        <w:t>Commissione Nazionale per</w:t>
      </w:r>
      <w:r>
        <w:rPr>
          <w:rFonts w:ascii="Arial" w:hAnsi="Arial" w:cs="Arial"/>
          <w:i/>
        </w:rPr>
        <w:t xml:space="preserve"> le Società e la Borsa (CONSOB)/</w:t>
      </w:r>
      <w:r w:rsidRPr="0056261A">
        <w:rPr>
          <w:rFonts w:ascii="Arial" w:hAnsi="Arial" w:cs="Arial"/>
          <w:i/>
        </w:rPr>
        <w:t>Antonio Zecca</w:t>
      </w:r>
      <w:r w:rsidRPr="0056261A">
        <w:rPr>
          <w:rFonts w:ascii="Arial" w:hAnsi="Arial" w:cs="Arial"/>
        </w:rPr>
        <w:t xml:space="preserve">, </w:t>
      </w:r>
      <w:r w:rsidRPr="006D42CD">
        <w:rPr>
          <w:rFonts w:ascii="Arial" w:hAnsi="Arial" w:cs="Arial"/>
        </w:rPr>
        <w:t>“un cumulo fra «procedimenti/sanzioni penali» e «procedimenti/sanzioni amministrativi di natura penale» potrebbe sussistere a carico della medesima persona per i medesimi fatti. Un tale cumulo di procedimenti e di sanzioni costituirebbe una limitazione al principio del ne bis in idem. La Corte dichiara che limitazioni del genere devono avere una giustificazione dotata dei requisiti derivanti dal diritto dell’Unione. A tale proposito, la Corte precisa che una normativa nazionale che autorizza un cumulo di procedimenti e di sanzioni con natura penale deve:</w:t>
      </w:r>
    </w:p>
    <w:p w:rsidR="00AC68CA" w:rsidRPr="006D42CD" w:rsidRDefault="00AC68CA" w:rsidP="006D42CD">
      <w:pPr>
        <w:pStyle w:val="Testonotaapidipagina"/>
        <w:ind w:left="709" w:hanging="283"/>
        <w:jc w:val="both"/>
        <w:rPr>
          <w:rFonts w:ascii="Arial" w:hAnsi="Arial" w:cs="Arial"/>
        </w:rPr>
      </w:pPr>
      <w:r w:rsidRPr="006D42CD">
        <w:rPr>
          <w:rFonts w:ascii="Arial" w:hAnsi="Arial" w:cs="Arial"/>
        </w:rPr>
        <w:t>-</w:t>
      </w:r>
      <w:r w:rsidRPr="006D42CD">
        <w:rPr>
          <w:rFonts w:ascii="Arial" w:hAnsi="Arial" w:cs="Arial"/>
        </w:rPr>
        <w:tab/>
        <w:t>essere finalizzata ad un obiettivo di interesse generale tale da giustificare un simile cumulo di procedimenti e di sanzioni, fermo restando che detti procedimenti e dette sanzioni devono avere scopi complementari;</w:t>
      </w:r>
    </w:p>
    <w:p w:rsidR="00AC68CA" w:rsidRPr="006D42CD" w:rsidRDefault="00AC68CA" w:rsidP="006D42CD">
      <w:pPr>
        <w:pStyle w:val="Testonotaapidipagina"/>
        <w:ind w:left="709" w:hanging="283"/>
        <w:jc w:val="both"/>
        <w:rPr>
          <w:rFonts w:ascii="Arial" w:hAnsi="Arial" w:cs="Arial"/>
        </w:rPr>
      </w:pPr>
      <w:r w:rsidRPr="006D42CD">
        <w:rPr>
          <w:rFonts w:ascii="Arial" w:hAnsi="Arial" w:cs="Arial"/>
        </w:rPr>
        <w:t>-</w:t>
      </w:r>
      <w:r w:rsidRPr="006D42CD">
        <w:rPr>
          <w:rFonts w:ascii="Arial" w:hAnsi="Arial" w:cs="Arial"/>
        </w:rPr>
        <w:tab/>
        <w:t>prevedere regole chiare e precise che consentano al soggetto accusato di prevedere quali atti e omissioni possano costituire oggetto di un siffatto cumulo di procedimenti e di sanzioni;</w:t>
      </w:r>
    </w:p>
    <w:p w:rsidR="00AC68CA" w:rsidRPr="006D42CD" w:rsidRDefault="00AC68CA" w:rsidP="006D42CD">
      <w:pPr>
        <w:pStyle w:val="Testonotaapidipagina"/>
        <w:ind w:left="709" w:hanging="283"/>
        <w:jc w:val="both"/>
        <w:rPr>
          <w:rFonts w:ascii="Arial" w:hAnsi="Arial" w:cs="Arial"/>
        </w:rPr>
      </w:pPr>
      <w:r w:rsidRPr="006D42CD">
        <w:rPr>
          <w:rFonts w:ascii="Arial" w:hAnsi="Arial" w:cs="Arial"/>
        </w:rPr>
        <w:t>-</w:t>
      </w:r>
      <w:r w:rsidRPr="006D42CD">
        <w:rPr>
          <w:rFonts w:ascii="Arial" w:hAnsi="Arial" w:cs="Arial"/>
        </w:rPr>
        <w:tab/>
        <w:t>garantire che i procedimenti siano coordinati fra loro per limitare a quanto strettamente necessario l’onere supplementare che un cumulo di procedimenti comporta per gli interessati, e</w:t>
      </w:r>
    </w:p>
    <w:p w:rsidR="00AC68CA" w:rsidRPr="0056261A" w:rsidRDefault="00AC68CA" w:rsidP="006D42CD">
      <w:pPr>
        <w:pStyle w:val="Testonotaapidipagina"/>
        <w:ind w:left="709" w:hanging="283"/>
        <w:jc w:val="both"/>
        <w:rPr>
          <w:rFonts w:ascii="Arial" w:hAnsi="Arial" w:cs="Arial"/>
        </w:rPr>
      </w:pPr>
      <w:r w:rsidRPr="006D42CD">
        <w:rPr>
          <w:rFonts w:ascii="Arial" w:hAnsi="Arial" w:cs="Arial"/>
        </w:rPr>
        <w:t>-</w:t>
      </w:r>
      <w:r w:rsidRPr="006D42CD">
        <w:rPr>
          <w:rFonts w:ascii="Arial" w:hAnsi="Arial" w:cs="Arial"/>
        </w:rPr>
        <w:tab/>
        <w:t>garantire che la severità del complesso delle sanzioni imposte sia limitata a quanto è strettamente necessario rispetto alla gravità dell’illecito in questione”</w:t>
      </w:r>
      <w:r w:rsidRPr="0056261A">
        <w:rPr>
          <w:rFonts w:ascii="Arial" w:hAnsi="Arial" w:cs="Arial"/>
        </w:rPr>
        <w:t xml:space="preserve"> (</w:t>
      </w:r>
      <w:r>
        <w:rPr>
          <w:rFonts w:ascii="Arial" w:hAnsi="Arial" w:cs="Arial"/>
        </w:rPr>
        <w:t>Comunicato Stampa della Corte Ue</w:t>
      </w:r>
      <w:r w:rsidRPr="0056261A">
        <w:rPr>
          <w:rFonts w:ascii="Arial" w:hAnsi="Arial" w:cs="Arial"/>
        </w:rPr>
        <w:t xml:space="preserve"> n. 34/18 del 20 marzo 2018).</w:t>
      </w:r>
    </w:p>
  </w:footnote>
  <w:footnote w:id="43">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costituzionale, sentenza 20 luglio 2016, n. 193, con commento di </w:t>
      </w:r>
      <w:r w:rsidRPr="0056261A">
        <w:rPr>
          <w:rFonts w:ascii="Arial" w:hAnsi="Arial" w:cs="Arial"/>
          <w:smallCaps/>
        </w:rPr>
        <w:t xml:space="preserve">M. </w:t>
      </w:r>
      <w:proofErr w:type="spellStart"/>
      <w:r w:rsidRPr="0056261A">
        <w:rPr>
          <w:rFonts w:ascii="Arial" w:hAnsi="Arial" w:cs="Arial"/>
          <w:smallCaps/>
        </w:rPr>
        <w:t>Galdi</w:t>
      </w:r>
      <w:proofErr w:type="spellEnd"/>
      <w:r w:rsidRPr="0056261A">
        <w:rPr>
          <w:rFonts w:ascii="Arial" w:hAnsi="Arial" w:cs="Arial"/>
        </w:rPr>
        <w:t xml:space="preserve">, </w:t>
      </w:r>
      <w:r w:rsidRPr="0056261A">
        <w:rPr>
          <w:rFonts w:ascii="Arial" w:hAnsi="Arial" w:cs="Arial"/>
          <w:i/>
        </w:rPr>
        <w:t>La Corte esclude ancora l’estensione generalizzata alle sanzioni amministrative dell’applicazione retroattiva del trattamento più favorevole, ma apre la porta a valutazioni caso per caso</w:t>
      </w:r>
      <w:r w:rsidRPr="0056261A">
        <w:rPr>
          <w:rFonts w:ascii="Arial" w:hAnsi="Arial" w:cs="Arial"/>
        </w:rPr>
        <w:t xml:space="preserve">, in </w:t>
      </w:r>
      <w:r w:rsidRPr="0056261A">
        <w:rPr>
          <w:rFonts w:ascii="Arial" w:hAnsi="Arial" w:cs="Arial"/>
          <w:i/>
        </w:rPr>
        <w:t>Osservatorio AIC</w:t>
      </w:r>
      <w:r w:rsidRPr="0056261A">
        <w:rPr>
          <w:rFonts w:ascii="Arial" w:hAnsi="Arial" w:cs="Arial"/>
        </w:rPr>
        <w:t xml:space="preserve">, 2016, n. 3; critico rispetto a tale impostazione, </w:t>
      </w:r>
      <w:r w:rsidRPr="0056261A">
        <w:rPr>
          <w:rFonts w:ascii="Arial" w:hAnsi="Arial" w:cs="Arial"/>
          <w:smallCaps/>
        </w:rPr>
        <w:t xml:space="preserve">F. </w:t>
      </w:r>
      <w:proofErr w:type="spellStart"/>
      <w:r w:rsidRPr="0056261A">
        <w:rPr>
          <w:rFonts w:ascii="Arial" w:hAnsi="Arial" w:cs="Arial"/>
          <w:smallCaps/>
        </w:rPr>
        <w:t>Goisis</w:t>
      </w:r>
      <w:proofErr w:type="spellEnd"/>
      <w:r w:rsidRPr="0056261A">
        <w:rPr>
          <w:rFonts w:ascii="Arial" w:hAnsi="Arial" w:cs="Arial"/>
        </w:rPr>
        <w:t xml:space="preserve">, </w:t>
      </w:r>
      <w:r w:rsidRPr="0056261A">
        <w:rPr>
          <w:rFonts w:ascii="Arial" w:hAnsi="Arial" w:cs="Arial"/>
          <w:i/>
        </w:rPr>
        <w:t xml:space="preserve">La full </w:t>
      </w:r>
      <w:proofErr w:type="spellStart"/>
      <w:r w:rsidRPr="0056261A">
        <w:rPr>
          <w:rFonts w:ascii="Arial" w:hAnsi="Arial" w:cs="Arial"/>
          <w:i/>
        </w:rPr>
        <w:t>jurisdiction</w:t>
      </w:r>
      <w:proofErr w:type="spellEnd"/>
      <w:r w:rsidRPr="0056261A">
        <w:rPr>
          <w:rFonts w:ascii="Arial" w:hAnsi="Arial" w:cs="Arial"/>
          <w:i/>
        </w:rPr>
        <w:t xml:space="preserve"> sulle sanzioni amministrative: continuità della funzione sanzionatoria v. separazione dei poteri</w:t>
      </w:r>
      <w:r w:rsidRPr="0056261A">
        <w:rPr>
          <w:rFonts w:ascii="Arial" w:hAnsi="Arial" w:cs="Arial"/>
        </w:rPr>
        <w:t xml:space="preserve">, </w:t>
      </w:r>
      <w:r w:rsidRPr="008464D4">
        <w:rPr>
          <w:rFonts w:ascii="Arial" w:hAnsi="Arial" w:cs="Arial"/>
          <w:i/>
        </w:rPr>
        <w:t>op.cit</w:t>
      </w:r>
      <w:r>
        <w:rPr>
          <w:rFonts w:ascii="Arial" w:hAnsi="Arial" w:cs="Arial"/>
        </w:rPr>
        <w:t>., p</w:t>
      </w:r>
      <w:r w:rsidRPr="0056261A">
        <w:rPr>
          <w:rFonts w:ascii="Arial" w:hAnsi="Arial" w:cs="Arial"/>
        </w:rPr>
        <w:t>. 3.</w:t>
      </w:r>
    </w:p>
  </w:footnote>
  <w:footnote w:id="44">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w:t>
      </w:r>
      <w:r>
        <w:rPr>
          <w:rFonts w:ascii="Arial" w:hAnsi="Arial" w:cs="Arial"/>
        </w:rPr>
        <w:t>C</w:t>
      </w:r>
      <w:r w:rsidRPr="0056261A">
        <w:rPr>
          <w:rFonts w:ascii="Arial" w:hAnsi="Arial" w:cs="Arial"/>
        </w:rPr>
        <w:t>ostituzionale, ordinanza 24 aprile 2002, n. 140; altresì, ordinanza 28 novembre 2002, n. 501.</w:t>
      </w:r>
    </w:p>
  </w:footnote>
  <w:footnote w:id="45">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t>Corte C</w:t>
      </w:r>
      <w:r w:rsidRPr="0056261A">
        <w:rPr>
          <w:rFonts w:ascii="Arial" w:hAnsi="Arial" w:cs="Arial"/>
        </w:rPr>
        <w:t>ostituzionale, ordinanza 24 aprile 2002, n. 140; altresì, ordinanza 28 novembre 2002, n. 501.</w:t>
      </w:r>
    </w:p>
  </w:footnote>
  <w:footnote w:id="46">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w:t>
      </w:r>
      <w:r>
        <w:rPr>
          <w:rFonts w:ascii="Arial" w:hAnsi="Arial" w:cs="Arial"/>
        </w:rPr>
        <w:t>C</w:t>
      </w:r>
      <w:r w:rsidRPr="0056261A">
        <w:rPr>
          <w:rFonts w:ascii="Arial" w:hAnsi="Arial" w:cs="Arial"/>
        </w:rPr>
        <w:t xml:space="preserve">ostituzionale, sentenza 4 giugno 2010, n. 196; altresì, sentenze 16 dicembre 2016, n. 276, e 18 aprile 2014, n. 104; </w:t>
      </w:r>
      <w:r w:rsidRPr="0056261A">
        <w:rPr>
          <w:rFonts w:ascii="Arial" w:hAnsi="Arial" w:cs="Arial"/>
          <w:smallCaps/>
        </w:rPr>
        <w:t xml:space="preserve">V. </w:t>
      </w:r>
      <w:proofErr w:type="spellStart"/>
      <w:r w:rsidRPr="0056261A">
        <w:rPr>
          <w:rFonts w:ascii="Arial" w:hAnsi="Arial" w:cs="Arial"/>
          <w:smallCaps/>
        </w:rPr>
        <w:t>Pampanin</w:t>
      </w:r>
      <w:proofErr w:type="spellEnd"/>
      <w:r w:rsidRPr="0056261A">
        <w:rPr>
          <w:rFonts w:ascii="Arial" w:hAnsi="Arial" w:cs="Arial"/>
        </w:rPr>
        <w:t xml:space="preserve">, </w:t>
      </w:r>
      <w:r w:rsidRPr="0056261A">
        <w:rPr>
          <w:rFonts w:ascii="Arial" w:hAnsi="Arial" w:cs="Arial"/>
          <w:i/>
        </w:rPr>
        <w:t>Retroattività delle sanzioni amministrative, successione di leggi nel tempo e tutela del destinatario</w:t>
      </w:r>
      <w:r w:rsidRPr="0056261A">
        <w:rPr>
          <w:rFonts w:ascii="Arial" w:hAnsi="Arial" w:cs="Arial"/>
        </w:rPr>
        <w:t xml:space="preserve">, </w:t>
      </w:r>
      <w:r w:rsidRPr="008464D4">
        <w:rPr>
          <w:rFonts w:ascii="Arial" w:hAnsi="Arial" w:cs="Arial"/>
          <w:i/>
        </w:rPr>
        <w:t>op.cit</w:t>
      </w:r>
      <w:r w:rsidRPr="0056261A">
        <w:rPr>
          <w:rFonts w:ascii="Arial" w:hAnsi="Arial" w:cs="Arial"/>
        </w:rPr>
        <w:t>., p. 147 ss.</w:t>
      </w:r>
    </w:p>
  </w:footnote>
  <w:footnote w:id="47">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Così, </w:t>
      </w:r>
      <w:r w:rsidRPr="0056261A">
        <w:rPr>
          <w:rFonts w:ascii="Arial" w:hAnsi="Arial" w:cs="Arial"/>
          <w:smallCaps/>
        </w:rPr>
        <w:t>P. Provenzano</w:t>
      </w:r>
      <w:r w:rsidRPr="0056261A">
        <w:rPr>
          <w:rFonts w:ascii="Arial" w:hAnsi="Arial" w:cs="Arial"/>
        </w:rPr>
        <w:t xml:space="preserve">, </w:t>
      </w:r>
      <w:r w:rsidRPr="0056261A">
        <w:rPr>
          <w:rFonts w:ascii="Arial" w:hAnsi="Arial" w:cs="Arial"/>
          <w:i/>
        </w:rPr>
        <w:t>Note minime in tema di sanzioni amministrative e “materia penale”</w:t>
      </w:r>
      <w:r w:rsidRPr="0056261A">
        <w:rPr>
          <w:rFonts w:ascii="Arial" w:hAnsi="Arial" w:cs="Arial"/>
        </w:rPr>
        <w:t xml:space="preserve">, </w:t>
      </w:r>
      <w:r w:rsidRPr="008464D4">
        <w:rPr>
          <w:rFonts w:ascii="Arial" w:hAnsi="Arial" w:cs="Arial"/>
          <w:i/>
        </w:rPr>
        <w:t>op.cit</w:t>
      </w:r>
      <w:r w:rsidRPr="0056261A">
        <w:rPr>
          <w:rFonts w:ascii="Arial" w:hAnsi="Arial" w:cs="Arial"/>
        </w:rPr>
        <w:t>., p. 1102.</w:t>
      </w:r>
    </w:p>
  </w:footnote>
  <w:footnote w:id="48">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t>Corte C</w:t>
      </w:r>
      <w:r w:rsidRPr="0056261A">
        <w:rPr>
          <w:rFonts w:ascii="Arial" w:hAnsi="Arial" w:cs="Arial"/>
        </w:rPr>
        <w:t xml:space="preserve">ostituzionale, sentenza 7 aprile 2017, n. 68, con commento critico di </w:t>
      </w:r>
      <w:r w:rsidRPr="0056261A">
        <w:rPr>
          <w:rFonts w:ascii="Arial" w:hAnsi="Arial" w:cs="Arial"/>
          <w:smallCaps/>
        </w:rPr>
        <w:t>F. Viganò</w:t>
      </w:r>
      <w:r w:rsidRPr="0056261A">
        <w:rPr>
          <w:rFonts w:ascii="Arial" w:hAnsi="Arial" w:cs="Arial"/>
        </w:rPr>
        <w:t xml:space="preserve">, </w:t>
      </w:r>
      <w:r w:rsidRPr="0056261A">
        <w:rPr>
          <w:rFonts w:ascii="Arial" w:hAnsi="Arial" w:cs="Arial"/>
          <w:i/>
        </w:rPr>
        <w:t>Un’altra deludente pronuncia della Corte costituzionale in materia di legalità e sanzioni amministrative ‘punitive’</w:t>
      </w:r>
      <w:r w:rsidRPr="0056261A">
        <w:rPr>
          <w:rFonts w:ascii="Arial" w:hAnsi="Arial" w:cs="Arial"/>
        </w:rPr>
        <w:t xml:space="preserve">, in </w:t>
      </w:r>
      <w:r w:rsidRPr="0056261A">
        <w:rPr>
          <w:rFonts w:ascii="Arial" w:hAnsi="Arial" w:cs="Arial"/>
          <w:i/>
        </w:rPr>
        <w:t xml:space="preserve">Dir. </w:t>
      </w:r>
      <w:proofErr w:type="spellStart"/>
      <w:r w:rsidRPr="0056261A">
        <w:rPr>
          <w:rFonts w:ascii="Arial" w:hAnsi="Arial" w:cs="Arial"/>
          <w:i/>
        </w:rPr>
        <w:t>pen</w:t>
      </w:r>
      <w:proofErr w:type="spellEnd"/>
      <w:r w:rsidRPr="0056261A">
        <w:rPr>
          <w:rFonts w:ascii="Arial" w:hAnsi="Arial" w:cs="Arial"/>
          <w:i/>
        </w:rPr>
        <w:t>. contemporaneo</w:t>
      </w:r>
      <w:r w:rsidRPr="0056261A">
        <w:rPr>
          <w:rFonts w:ascii="Arial" w:hAnsi="Arial" w:cs="Arial"/>
        </w:rPr>
        <w:t xml:space="preserve">, 2017, n. 4, p. 269 ss.; si veda anche Corte </w:t>
      </w:r>
      <w:r>
        <w:rPr>
          <w:rFonts w:ascii="Arial" w:hAnsi="Arial" w:cs="Arial"/>
        </w:rPr>
        <w:t>europea dei diritti dell’uomo, grande c</w:t>
      </w:r>
      <w:r w:rsidRPr="0056261A">
        <w:rPr>
          <w:rFonts w:ascii="Arial" w:hAnsi="Arial" w:cs="Arial"/>
        </w:rPr>
        <w:t xml:space="preserve">amera, sentenza 17 settembre 2009, ric. n. 10249/03, causa </w:t>
      </w:r>
      <w:r w:rsidRPr="0056261A">
        <w:rPr>
          <w:rFonts w:ascii="Arial" w:hAnsi="Arial" w:cs="Arial"/>
          <w:i/>
        </w:rPr>
        <w:t>Scoppola contro Italia</w:t>
      </w:r>
      <w:r w:rsidRPr="0056261A">
        <w:rPr>
          <w:rFonts w:ascii="Arial" w:hAnsi="Arial" w:cs="Arial"/>
        </w:rPr>
        <w:t xml:space="preserve">, </w:t>
      </w:r>
      <w:proofErr w:type="spellStart"/>
      <w:r w:rsidRPr="0056261A">
        <w:rPr>
          <w:rFonts w:ascii="Arial" w:hAnsi="Arial" w:cs="Arial"/>
        </w:rPr>
        <w:t>parr</w:t>
      </w:r>
      <w:proofErr w:type="spellEnd"/>
      <w:r w:rsidRPr="0056261A">
        <w:rPr>
          <w:rFonts w:ascii="Arial" w:hAnsi="Arial" w:cs="Arial"/>
        </w:rPr>
        <w:t>. 108-109.</w:t>
      </w:r>
    </w:p>
  </w:footnote>
  <w:footnote w:id="49">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w:t>
      </w:r>
      <w:r>
        <w:rPr>
          <w:rFonts w:ascii="Arial" w:hAnsi="Arial" w:cs="Arial"/>
        </w:rPr>
        <w:t>C</w:t>
      </w:r>
      <w:r w:rsidRPr="0056261A">
        <w:rPr>
          <w:rFonts w:ascii="Arial" w:hAnsi="Arial" w:cs="Arial"/>
        </w:rPr>
        <w:t>ostituzionale, sentenza 7 aprile 2017, n. 68.</w:t>
      </w:r>
    </w:p>
  </w:footnote>
  <w:footnote w:id="50">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w:t>
      </w:r>
      <w:r>
        <w:rPr>
          <w:rFonts w:ascii="Arial" w:hAnsi="Arial" w:cs="Arial"/>
        </w:rPr>
        <w:t>C</w:t>
      </w:r>
      <w:r w:rsidRPr="0056261A">
        <w:rPr>
          <w:rFonts w:ascii="Arial" w:hAnsi="Arial" w:cs="Arial"/>
        </w:rPr>
        <w:t>ostituzionale, sentenza 5 dicembre 2018, n. 223.</w:t>
      </w:r>
    </w:p>
  </w:footnote>
  <w:footnote w:id="51">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w:t>
      </w:r>
      <w:r>
        <w:rPr>
          <w:rFonts w:ascii="Arial" w:hAnsi="Arial" w:cs="Arial"/>
        </w:rPr>
        <w:t>C</w:t>
      </w:r>
      <w:r w:rsidRPr="0056261A">
        <w:rPr>
          <w:rFonts w:ascii="Arial" w:hAnsi="Arial" w:cs="Arial"/>
        </w:rPr>
        <w:t>ostituzionale, sentenza 5 dicembre 2018, n. 223.</w:t>
      </w:r>
    </w:p>
  </w:footnote>
  <w:footnote w:id="52">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t>Corte C</w:t>
      </w:r>
      <w:r w:rsidRPr="0056261A">
        <w:rPr>
          <w:rFonts w:ascii="Arial" w:hAnsi="Arial" w:cs="Arial"/>
        </w:rPr>
        <w:t xml:space="preserve">ostituzionale, sentenza 10 maggio 2019, n. 112, con commento di </w:t>
      </w:r>
      <w:r w:rsidRPr="0056261A">
        <w:rPr>
          <w:rFonts w:ascii="Arial" w:hAnsi="Arial" w:cs="Arial"/>
          <w:smallCaps/>
        </w:rPr>
        <w:t xml:space="preserve">A. </w:t>
      </w:r>
      <w:proofErr w:type="spellStart"/>
      <w:r w:rsidRPr="0056261A">
        <w:rPr>
          <w:rFonts w:ascii="Arial" w:hAnsi="Arial" w:cs="Arial"/>
          <w:smallCaps/>
        </w:rPr>
        <w:t>Anzon</w:t>
      </w:r>
      <w:proofErr w:type="spellEnd"/>
      <w:r w:rsidRPr="0056261A">
        <w:rPr>
          <w:rFonts w:ascii="Arial" w:hAnsi="Arial" w:cs="Arial"/>
          <w:smallCaps/>
        </w:rPr>
        <w:t xml:space="preserve"> </w:t>
      </w:r>
      <w:proofErr w:type="spellStart"/>
      <w:r w:rsidRPr="0056261A">
        <w:rPr>
          <w:rFonts w:ascii="Arial" w:hAnsi="Arial" w:cs="Arial"/>
          <w:smallCaps/>
        </w:rPr>
        <w:t>Demmig</w:t>
      </w:r>
      <w:proofErr w:type="spellEnd"/>
      <w:r w:rsidRPr="0056261A">
        <w:rPr>
          <w:rFonts w:ascii="Arial" w:hAnsi="Arial" w:cs="Arial"/>
        </w:rPr>
        <w:t xml:space="preserve">, </w:t>
      </w:r>
      <w:r w:rsidRPr="0056261A">
        <w:rPr>
          <w:rFonts w:ascii="Arial" w:hAnsi="Arial" w:cs="Arial"/>
          <w:i/>
        </w:rPr>
        <w:t xml:space="preserve">Applicazioni virtuose della nuova “dottrina” sulla “doppia pregiudizialità” in tema di diritti fondamentali (in margine alle decisioni </w:t>
      </w:r>
      <w:proofErr w:type="spellStart"/>
      <w:r w:rsidRPr="0056261A">
        <w:rPr>
          <w:rFonts w:ascii="Arial" w:hAnsi="Arial" w:cs="Arial"/>
          <w:i/>
        </w:rPr>
        <w:t>nn</w:t>
      </w:r>
      <w:proofErr w:type="spellEnd"/>
      <w:r w:rsidRPr="0056261A">
        <w:rPr>
          <w:rFonts w:ascii="Arial" w:hAnsi="Arial" w:cs="Arial"/>
          <w:i/>
        </w:rPr>
        <w:t>. 112 e 117/2019)</w:t>
      </w:r>
      <w:r w:rsidRPr="0056261A">
        <w:rPr>
          <w:rFonts w:ascii="Arial" w:hAnsi="Arial" w:cs="Arial"/>
        </w:rPr>
        <w:t xml:space="preserve">, in </w:t>
      </w:r>
      <w:r w:rsidRPr="0056261A">
        <w:rPr>
          <w:rFonts w:ascii="Arial" w:hAnsi="Arial" w:cs="Arial"/>
          <w:i/>
        </w:rPr>
        <w:t>Osservatorio AIC</w:t>
      </w:r>
      <w:r w:rsidRPr="0056261A">
        <w:rPr>
          <w:rFonts w:ascii="Arial" w:hAnsi="Arial" w:cs="Arial"/>
        </w:rPr>
        <w:t>, 2019, n. 6.</w:t>
      </w:r>
    </w:p>
  </w:footnote>
  <w:footnote w:id="53">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t>Corte C</w:t>
      </w:r>
      <w:r w:rsidRPr="0056261A">
        <w:rPr>
          <w:rFonts w:ascii="Arial" w:hAnsi="Arial" w:cs="Arial"/>
        </w:rPr>
        <w:t xml:space="preserve">ostituzionale, sentenza 10 maggio 2019, n. 112; pure </w:t>
      </w:r>
      <w:r w:rsidRPr="0056261A">
        <w:rPr>
          <w:rFonts w:ascii="Arial" w:hAnsi="Arial" w:cs="Arial"/>
          <w:smallCaps/>
        </w:rPr>
        <w:t>M. Allena</w:t>
      </w:r>
      <w:r w:rsidRPr="0056261A">
        <w:rPr>
          <w:rFonts w:ascii="Arial" w:hAnsi="Arial" w:cs="Arial"/>
        </w:rPr>
        <w:t xml:space="preserve">, </w:t>
      </w:r>
      <w:r w:rsidRPr="0056261A">
        <w:rPr>
          <w:rFonts w:ascii="Arial" w:hAnsi="Arial" w:cs="Arial"/>
          <w:i/>
        </w:rPr>
        <w:t>La sanzione amministrativa tra garanzie costituzionali e principi CEDU: il problema della tassatività-determinatezza e la prevedibilità</w:t>
      </w:r>
      <w:r w:rsidRPr="0056261A">
        <w:rPr>
          <w:rFonts w:ascii="Arial" w:hAnsi="Arial" w:cs="Arial"/>
        </w:rPr>
        <w:t xml:space="preserve">, </w:t>
      </w:r>
      <w:r w:rsidRPr="008464D4">
        <w:rPr>
          <w:rFonts w:ascii="Arial" w:hAnsi="Arial" w:cs="Arial"/>
          <w:i/>
        </w:rPr>
        <w:t>op.cit</w:t>
      </w:r>
      <w:r w:rsidRPr="0056261A">
        <w:rPr>
          <w:rFonts w:ascii="Arial" w:hAnsi="Arial" w:cs="Arial"/>
        </w:rPr>
        <w:t>., pp. 27-28.</w:t>
      </w:r>
    </w:p>
  </w:footnote>
  <w:footnote w:id="54">
    <w:p w:rsidR="00AC68CA" w:rsidRPr="0056261A" w:rsidRDefault="00AC68CA" w:rsidP="00241098">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t>Sull’applicabilità della CED</w:t>
      </w:r>
      <w:r w:rsidRPr="0056261A">
        <w:rPr>
          <w:rFonts w:ascii="Arial" w:hAnsi="Arial" w:cs="Arial"/>
        </w:rPr>
        <w:t>U anche a casi non oggetto di esame in sede di giurisprudenziale da p</w:t>
      </w:r>
      <w:r>
        <w:rPr>
          <w:rFonts w:ascii="Arial" w:hAnsi="Arial" w:cs="Arial"/>
        </w:rPr>
        <w:t>arte della Corte E.D.U., Corte C</w:t>
      </w:r>
      <w:r w:rsidRPr="0056261A">
        <w:rPr>
          <w:rFonts w:ascii="Arial" w:hAnsi="Arial" w:cs="Arial"/>
        </w:rPr>
        <w:t xml:space="preserve">ostituzionale, sentenza 21 marzo 2019, n. 63, con nota di </w:t>
      </w:r>
      <w:r w:rsidRPr="0056261A">
        <w:rPr>
          <w:rFonts w:ascii="Arial" w:hAnsi="Arial" w:cs="Arial"/>
          <w:smallCaps/>
        </w:rPr>
        <w:t>G. Vitale</w:t>
      </w:r>
      <w:r w:rsidRPr="0056261A">
        <w:rPr>
          <w:rFonts w:ascii="Arial" w:hAnsi="Arial" w:cs="Arial"/>
        </w:rPr>
        <w:t xml:space="preserve">, </w:t>
      </w:r>
      <w:r w:rsidRPr="0056261A">
        <w:rPr>
          <w:rFonts w:ascii="Arial" w:hAnsi="Arial" w:cs="Arial"/>
          <w:i/>
        </w:rPr>
        <w:t xml:space="preserve">I recenti approdi della Consulta sui rapporti tra Carte e Corti. Brevi considerazioni sulle sentenze </w:t>
      </w:r>
      <w:proofErr w:type="spellStart"/>
      <w:r w:rsidRPr="0056261A">
        <w:rPr>
          <w:rFonts w:ascii="Arial" w:hAnsi="Arial" w:cs="Arial"/>
          <w:i/>
        </w:rPr>
        <w:t>nn</w:t>
      </w:r>
      <w:proofErr w:type="spellEnd"/>
      <w:r w:rsidRPr="0056261A">
        <w:rPr>
          <w:rFonts w:ascii="Arial" w:hAnsi="Arial" w:cs="Arial"/>
          <w:i/>
        </w:rPr>
        <w:t xml:space="preserve">. 20 e 63 del 2019 della Corte </w:t>
      </w:r>
      <w:r>
        <w:rPr>
          <w:rFonts w:ascii="Arial" w:hAnsi="Arial" w:cs="Arial"/>
          <w:i/>
        </w:rPr>
        <w:t>C</w:t>
      </w:r>
      <w:r w:rsidRPr="0056261A">
        <w:rPr>
          <w:rFonts w:ascii="Arial" w:hAnsi="Arial" w:cs="Arial"/>
          <w:i/>
        </w:rPr>
        <w:t>ostituzionale</w:t>
      </w:r>
      <w:r w:rsidRPr="0056261A">
        <w:rPr>
          <w:rFonts w:ascii="Arial" w:hAnsi="Arial" w:cs="Arial"/>
        </w:rPr>
        <w:t xml:space="preserve">, in </w:t>
      </w:r>
      <w:r w:rsidRPr="0056261A">
        <w:rPr>
          <w:rFonts w:ascii="Arial" w:hAnsi="Arial" w:cs="Arial"/>
          <w:i/>
        </w:rPr>
        <w:t>Federalismi</w:t>
      </w:r>
      <w:r w:rsidRPr="0056261A">
        <w:rPr>
          <w:rFonts w:ascii="Arial" w:hAnsi="Arial" w:cs="Arial"/>
        </w:rPr>
        <w:t>, 2019, n. 10</w:t>
      </w:r>
      <w:r w:rsidR="00241098">
        <w:rPr>
          <w:rFonts w:ascii="Arial" w:hAnsi="Arial" w:cs="Arial"/>
        </w:rPr>
        <w:t xml:space="preserve">; </w:t>
      </w:r>
      <w:r w:rsidR="00241098" w:rsidRPr="00234445">
        <w:rPr>
          <w:rFonts w:ascii="Arial" w:hAnsi="Arial" w:cs="Arial"/>
        </w:rPr>
        <w:t xml:space="preserve">altresì, </w:t>
      </w:r>
      <w:r w:rsidR="00241098" w:rsidRPr="00234445">
        <w:rPr>
          <w:rFonts w:ascii="Arial" w:hAnsi="Arial" w:cs="Arial"/>
          <w:smallCaps/>
        </w:rPr>
        <w:t xml:space="preserve">C. </w:t>
      </w:r>
      <w:proofErr w:type="spellStart"/>
      <w:r w:rsidR="00241098" w:rsidRPr="00234445">
        <w:rPr>
          <w:rFonts w:ascii="Arial" w:hAnsi="Arial" w:cs="Arial"/>
          <w:smallCaps/>
        </w:rPr>
        <w:t>Paonessa</w:t>
      </w:r>
      <w:proofErr w:type="spellEnd"/>
      <w:r w:rsidR="00241098" w:rsidRPr="00234445">
        <w:rPr>
          <w:rFonts w:ascii="Arial" w:hAnsi="Arial" w:cs="Arial"/>
        </w:rPr>
        <w:t xml:space="preserve">, </w:t>
      </w:r>
      <w:r w:rsidR="00241098" w:rsidRPr="00234445">
        <w:rPr>
          <w:rFonts w:ascii="Arial" w:hAnsi="Arial" w:cs="Arial"/>
          <w:i/>
        </w:rPr>
        <w:t>Il fine Giustifica i mezzi? Brevi osservazioni a margine della possibile retroattività favorevole delle sanzioni amministrative c.d. "punitive"</w:t>
      </w:r>
      <w:r w:rsidR="00241098" w:rsidRPr="00234445">
        <w:rPr>
          <w:rFonts w:ascii="Arial" w:hAnsi="Arial" w:cs="Arial"/>
        </w:rPr>
        <w:t xml:space="preserve">, in </w:t>
      </w:r>
      <w:r w:rsidR="00241098" w:rsidRPr="00234445">
        <w:rPr>
          <w:rFonts w:ascii="Arial" w:hAnsi="Arial" w:cs="Arial"/>
          <w:i/>
        </w:rPr>
        <w:t xml:space="preserve">Giur. </w:t>
      </w:r>
      <w:proofErr w:type="spellStart"/>
      <w:r w:rsidR="00241098" w:rsidRPr="00234445">
        <w:rPr>
          <w:rFonts w:ascii="Arial" w:hAnsi="Arial" w:cs="Arial"/>
          <w:i/>
        </w:rPr>
        <w:t>cost</w:t>
      </w:r>
      <w:proofErr w:type="spellEnd"/>
      <w:r w:rsidR="00241098" w:rsidRPr="00234445">
        <w:rPr>
          <w:rFonts w:ascii="Arial" w:hAnsi="Arial" w:cs="Arial"/>
          <w:i/>
        </w:rPr>
        <w:t>.</w:t>
      </w:r>
      <w:r w:rsidR="00241098" w:rsidRPr="00234445">
        <w:rPr>
          <w:rFonts w:ascii="Arial" w:hAnsi="Arial" w:cs="Arial"/>
        </w:rPr>
        <w:t>, 2019, n. 2, p. 851 ss.</w:t>
      </w:r>
      <w:r w:rsidRPr="00234445">
        <w:rPr>
          <w:rFonts w:ascii="Arial" w:hAnsi="Arial" w:cs="Arial"/>
        </w:rPr>
        <w:t>;</w:t>
      </w:r>
      <w:r w:rsidRPr="0056261A">
        <w:rPr>
          <w:rFonts w:ascii="Arial" w:hAnsi="Arial" w:cs="Arial"/>
        </w:rPr>
        <w:t xml:space="preserve"> in senso</w:t>
      </w:r>
      <w:r>
        <w:rPr>
          <w:rFonts w:ascii="Arial" w:hAnsi="Arial" w:cs="Arial"/>
        </w:rPr>
        <w:t xml:space="preserve"> parzialmente contrario, Corte C</w:t>
      </w:r>
      <w:r w:rsidRPr="0056261A">
        <w:rPr>
          <w:rFonts w:ascii="Arial" w:hAnsi="Arial" w:cs="Arial"/>
        </w:rPr>
        <w:t xml:space="preserve">ostituzionale, sentenza 26 marzo 2015, n. 49, poiché solo in presenza di </w:t>
      </w:r>
      <w:r w:rsidRPr="0056261A">
        <w:rPr>
          <w:rFonts w:ascii="Arial" w:hAnsi="Arial" w:cs="Arial"/>
          <w:i/>
        </w:rPr>
        <w:t>“</w:t>
      </w:r>
      <w:r w:rsidRPr="008464D4">
        <w:rPr>
          <w:rFonts w:ascii="Arial" w:hAnsi="Arial" w:cs="Arial"/>
        </w:rPr>
        <w:t>un «diritto consolidato», generato dalla giurisprudenza europea, che il giudice interno è tenuto a porre a fondamento del proprio</w:t>
      </w:r>
      <w:r w:rsidRPr="0056261A">
        <w:rPr>
          <w:rFonts w:ascii="Arial" w:hAnsi="Arial" w:cs="Arial"/>
          <w:i/>
        </w:rPr>
        <w:t xml:space="preserve"> </w:t>
      </w:r>
      <w:r w:rsidRPr="008464D4">
        <w:rPr>
          <w:rFonts w:ascii="Arial" w:hAnsi="Arial" w:cs="Arial"/>
        </w:rPr>
        <w:t>processo interpretativo, mentre nessun obbligo esiste in tal senso, a fronte di pronunce che non siano espressive di un orientamento oramai divenuto definitivo”.</w:t>
      </w:r>
    </w:p>
  </w:footnote>
  <w:footnote w:id="55">
    <w:p w:rsidR="00AC68CA" w:rsidRPr="00E80F8D"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t>Corte C</w:t>
      </w:r>
      <w:r w:rsidRPr="0056261A">
        <w:rPr>
          <w:rFonts w:ascii="Arial" w:hAnsi="Arial" w:cs="Arial"/>
        </w:rPr>
        <w:t xml:space="preserve">ostituzionale, sentenza 16 dicembre 2016, n. 276; altresì, sentenza 20 luglio 2016, n. 193; </w:t>
      </w:r>
      <w:r w:rsidRPr="00E80F8D">
        <w:rPr>
          <w:rFonts w:ascii="Arial" w:hAnsi="Arial" w:cs="Arial"/>
          <w:smallCaps/>
        </w:rPr>
        <w:t xml:space="preserve">E. Bindi – A. </w:t>
      </w:r>
      <w:proofErr w:type="spellStart"/>
      <w:r w:rsidRPr="00E80F8D">
        <w:rPr>
          <w:rFonts w:ascii="Arial" w:hAnsi="Arial" w:cs="Arial"/>
          <w:smallCaps/>
        </w:rPr>
        <w:t>Pisaneschi</w:t>
      </w:r>
      <w:proofErr w:type="spellEnd"/>
      <w:r w:rsidRPr="00E80F8D">
        <w:rPr>
          <w:rFonts w:ascii="Arial" w:hAnsi="Arial" w:cs="Arial"/>
        </w:rPr>
        <w:t xml:space="preserve">, </w:t>
      </w:r>
      <w:r w:rsidRPr="00E80F8D">
        <w:rPr>
          <w:rFonts w:ascii="Arial" w:hAnsi="Arial" w:cs="Arial"/>
          <w:i/>
        </w:rPr>
        <w:t xml:space="preserve">La retroattività in </w:t>
      </w:r>
      <w:proofErr w:type="spellStart"/>
      <w:r w:rsidRPr="00E80F8D">
        <w:rPr>
          <w:rFonts w:ascii="Arial" w:hAnsi="Arial" w:cs="Arial"/>
          <w:i/>
        </w:rPr>
        <w:t>mitius</w:t>
      </w:r>
      <w:proofErr w:type="spellEnd"/>
      <w:r w:rsidRPr="00E80F8D">
        <w:rPr>
          <w:rFonts w:ascii="Arial" w:hAnsi="Arial" w:cs="Arial"/>
          <w:i/>
        </w:rPr>
        <w:t xml:space="preserve"> delle sanzioni amministrative sostanzialmente afflittive tra Corte EDU, Corte di Giustizia e Corte costituzionale</w:t>
      </w:r>
      <w:r w:rsidRPr="00E80F8D">
        <w:rPr>
          <w:rFonts w:ascii="Arial" w:hAnsi="Arial" w:cs="Arial"/>
        </w:rPr>
        <w:t xml:space="preserve">, </w:t>
      </w:r>
      <w:r w:rsidRPr="00E80F8D">
        <w:rPr>
          <w:rFonts w:ascii="Arial" w:hAnsi="Arial" w:cs="Arial"/>
          <w:i/>
        </w:rPr>
        <w:t>op.cit</w:t>
      </w:r>
      <w:r w:rsidRPr="00E80F8D">
        <w:rPr>
          <w:rFonts w:ascii="Arial" w:hAnsi="Arial" w:cs="Arial"/>
        </w:rPr>
        <w:t>., pp. 18-19.</w:t>
      </w:r>
    </w:p>
  </w:footnote>
  <w:footnote w:id="56">
    <w:p w:rsidR="00AC68CA" w:rsidRPr="00E80F8D" w:rsidRDefault="00AC68CA" w:rsidP="00251A7E">
      <w:pPr>
        <w:pStyle w:val="Testonotaapidipagina"/>
        <w:ind w:left="426" w:hanging="426"/>
        <w:jc w:val="both"/>
        <w:rPr>
          <w:rFonts w:ascii="Arial" w:hAnsi="Arial" w:cs="Arial"/>
        </w:rPr>
      </w:pPr>
      <w:r w:rsidRPr="00E80F8D">
        <w:rPr>
          <w:rFonts w:ascii="Arial" w:hAnsi="Arial" w:cs="Arial"/>
        </w:rPr>
        <w:t>(</w:t>
      </w:r>
      <w:r w:rsidRPr="00E80F8D">
        <w:rPr>
          <w:rStyle w:val="Rimandonotaapidipagina"/>
          <w:rFonts w:ascii="Arial" w:hAnsi="Arial" w:cs="Arial"/>
        </w:rPr>
        <w:footnoteRef/>
      </w:r>
      <w:r w:rsidRPr="00E80F8D">
        <w:rPr>
          <w:rFonts w:ascii="Arial" w:hAnsi="Arial" w:cs="Arial"/>
        </w:rPr>
        <w:t>)</w:t>
      </w:r>
      <w:r w:rsidRPr="00E80F8D">
        <w:rPr>
          <w:rFonts w:ascii="Arial" w:hAnsi="Arial" w:cs="Arial"/>
        </w:rPr>
        <w:tab/>
        <w:t xml:space="preserve">Così, </w:t>
      </w:r>
      <w:r w:rsidRPr="00E80F8D">
        <w:rPr>
          <w:rFonts w:ascii="Arial" w:hAnsi="Arial" w:cs="Arial"/>
          <w:smallCaps/>
        </w:rPr>
        <w:t xml:space="preserve">E. Bindi – A. </w:t>
      </w:r>
      <w:proofErr w:type="spellStart"/>
      <w:r w:rsidRPr="00E80F8D">
        <w:rPr>
          <w:rFonts w:ascii="Arial" w:hAnsi="Arial" w:cs="Arial"/>
          <w:smallCaps/>
        </w:rPr>
        <w:t>Pisaneschi</w:t>
      </w:r>
      <w:proofErr w:type="spellEnd"/>
      <w:r w:rsidRPr="00E80F8D">
        <w:rPr>
          <w:rFonts w:ascii="Arial" w:hAnsi="Arial" w:cs="Arial"/>
        </w:rPr>
        <w:t xml:space="preserve">, </w:t>
      </w:r>
      <w:r w:rsidRPr="00E80F8D">
        <w:rPr>
          <w:rFonts w:ascii="Arial" w:hAnsi="Arial" w:cs="Arial"/>
          <w:i/>
        </w:rPr>
        <w:t xml:space="preserve">La retroattività in </w:t>
      </w:r>
      <w:proofErr w:type="spellStart"/>
      <w:r w:rsidRPr="00E80F8D">
        <w:rPr>
          <w:rFonts w:ascii="Arial" w:hAnsi="Arial" w:cs="Arial"/>
          <w:i/>
        </w:rPr>
        <w:t>mitius</w:t>
      </w:r>
      <w:proofErr w:type="spellEnd"/>
      <w:r w:rsidRPr="00E80F8D">
        <w:rPr>
          <w:rFonts w:ascii="Arial" w:hAnsi="Arial" w:cs="Arial"/>
          <w:i/>
        </w:rPr>
        <w:t xml:space="preserve"> delle sanzioni amministrative sostanzialmente afflittive tra Corte EDU, Corte di Giustizia e Corte costituzionale</w:t>
      </w:r>
      <w:r w:rsidRPr="00E80F8D">
        <w:rPr>
          <w:rFonts w:ascii="Arial" w:hAnsi="Arial" w:cs="Arial"/>
        </w:rPr>
        <w:t xml:space="preserve">, </w:t>
      </w:r>
      <w:r w:rsidRPr="00E80F8D">
        <w:rPr>
          <w:rFonts w:ascii="Arial" w:hAnsi="Arial" w:cs="Arial"/>
          <w:i/>
        </w:rPr>
        <w:t>op.cit</w:t>
      </w:r>
      <w:r w:rsidRPr="00E80F8D">
        <w:rPr>
          <w:rFonts w:ascii="Arial" w:hAnsi="Arial" w:cs="Arial"/>
        </w:rPr>
        <w:t>., p. 5 ss</w:t>
      </w:r>
      <w:r w:rsidRPr="00234445">
        <w:rPr>
          <w:rFonts w:ascii="Arial" w:hAnsi="Arial" w:cs="Arial"/>
        </w:rPr>
        <w:t>.</w:t>
      </w:r>
      <w:r w:rsidR="007D2499" w:rsidRPr="00234445">
        <w:rPr>
          <w:rFonts w:ascii="Arial" w:hAnsi="Arial" w:cs="Arial"/>
        </w:rPr>
        <w:t>; anche</w:t>
      </w:r>
      <w:r w:rsidR="0036624E" w:rsidRPr="00234445">
        <w:rPr>
          <w:rFonts w:ascii="Arial" w:hAnsi="Arial" w:cs="Arial"/>
        </w:rPr>
        <w:t>,</w:t>
      </w:r>
      <w:r w:rsidR="007D2499" w:rsidRPr="00234445">
        <w:rPr>
          <w:rFonts w:ascii="Arial" w:hAnsi="Arial" w:cs="Arial"/>
        </w:rPr>
        <w:t xml:space="preserve"> </w:t>
      </w:r>
      <w:r w:rsidR="007D2499" w:rsidRPr="00234445">
        <w:rPr>
          <w:rFonts w:ascii="Arial" w:hAnsi="Arial" w:cs="Arial"/>
          <w:smallCaps/>
        </w:rPr>
        <w:t xml:space="preserve">C. </w:t>
      </w:r>
      <w:proofErr w:type="spellStart"/>
      <w:r w:rsidR="007D2499" w:rsidRPr="00234445">
        <w:rPr>
          <w:rFonts w:ascii="Arial" w:hAnsi="Arial" w:cs="Arial"/>
          <w:smallCaps/>
        </w:rPr>
        <w:t>Paonessa</w:t>
      </w:r>
      <w:proofErr w:type="spellEnd"/>
      <w:r w:rsidR="007D2499" w:rsidRPr="00234445">
        <w:rPr>
          <w:rFonts w:ascii="Arial" w:hAnsi="Arial" w:cs="Arial"/>
        </w:rPr>
        <w:t xml:space="preserve">, </w:t>
      </w:r>
      <w:r w:rsidR="007D2499" w:rsidRPr="00234445">
        <w:rPr>
          <w:rFonts w:ascii="Arial" w:hAnsi="Arial" w:cs="Arial"/>
          <w:i/>
        </w:rPr>
        <w:t>Il fine Giustifica i mezzi? Brevi osservazioni a margine della possibile retroattività favorevole delle sanzioni amministrative c.d. "punitive"</w:t>
      </w:r>
      <w:r w:rsidR="007D2499" w:rsidRPr="00234445">
        <w:rPr>
          <w:rFonts w:ascii="Arial" w:hAnsi="Arial" w:cs="Arial"/>
        </w:rPr>
        <w:t xml:space="preserve">, </w:t>
      </w:r>
      <w:r w:rsidR="007D2499" w:rsidRPr="00234445">
        <w:rPr>
          <w:rFonts w:ascii="Arial" w:hAnsi="Arial" w:cs="Arial"/>
          <w:i/>
        </w:rPr>
        <w:t>op.cit.</w:t>
      </w:r>
      <w:r w:rsidR="007D2499" w:rsidRPr="00234445">
        <w:rPr>
          <w:rFonts w:ascii="Arial" w:hAnsi="Arial" w:cs="Arial"/>
        </w:rPr>
        <w:t>, pp. 852-853.</w:t>
      </w:r>
    </w:p>
  </w:footnote>
  <w:footnote w:id="57">
    <w:p w:rsidR="00AC68CA" w:rsidRPr="0056261A" w:rsidRDefault="00AC68CA" w:rsidP="00251A7E">
      <w:pPr>
        <w:pStyle w:val="Testonotaapidipagina"/>
        <w:ind w:left="426" w:hanging="426"/>
        <w:jc w:val="both"/>
        <w:rPr>
          <w:rFonts w:ascii="Arial" w:hAnsi="Arial" w:cs="Arial"/>
        </w:rPr>
      </w:pPr>
      <w:r w:rsidRPr="00E80F8D">
        <w:rPr>
          <w:rFonts w:ascii="Arial" w:hAnsi="Arial" w:cs="Arial"/>
        </w:rPr>
        <w:t>(</w:t>
      </w:r>
      <w:r w:rsidRPr="00E80F8D">
        <w:rPr>
          <w:rStyle w:val="Rimandonotaapidipagina"/>
          <w:rFonts w:ascii="Arial" w:hAnsi="Arial" w:cs="Arial"/>
        </w:rPr>
        <w:footnoteRef/>
      </w:r>
      <w:r w:rsidRPr="00E80F8D">
        <w:rPr>
          <w:rFonts w:ascii="Arial" w:hAnsi="Arial" w:cs="Arial"/>
        </w:rPr>
        <w:t>)</w:t>
      </w:r>
      <w:r w:rsidRPr="00E80F8D">
        <w:rPr>
          <w:rFonts w:ascii="Arial" w:hAnsi="Arial" w:cs="Arial"/>
        </w:rPr>
        <w:tab/>
        <w:t xml:space="preserve">Corte Costituzionale, sentenza 21 marzo 2019, n. 63; cfr. </w:t>
      </w:r>
      <w:r w:rsidRPr="00E80F8D">
        <w:rPr>
          <w:rFonts w:ascii="Arial" w:hAnsi="Arial" w:cs="Arial"/>
          <w:smallCaps/>
        </w:rPr>
        <w:t xml:space="preserve">E. Bindi – A. </w:t>
      </w:r>
      <w:proofErr w:type="spellStart"/>
      <w:r w:rsidRPr="00E80F8D">
        <w:rPr>
          <w:rFonts w:ascii="Arial" w:hAnsi="Arial" w:cs="Arial"/>
          <w:smallCaps/>
        </w:rPr>
        <w:t>Pisaneschi</w:t>
      </w:r>
      <w:proofErr w:type="spellEnd"/>
      <w:r w:rsidRPr="00E80F8D">
        <w:rPr>
          <w:rFonts w:ascii="Arial" w:hAnsi="Arial" w:cs="Arial"/>
        </w:rPr>
        <w:t xml:space="preserve">, </w:t>
      </w:r>
      <w:r w:rsidRPr="00E80F8D">
        <w:rPr>
          <w:rFonts w:ascii="Arial" w:hAnsi="Arial" w:cs="Arial"/>
          <w:i/>
        </w:rPr>
        <w:t xml:space="preserve">La retroattività </w:t>
      </w:r>
      <w:r w:rsidRPr="00E80F8D">
        <w:rPr>
          <w:rFonts w:ascii="Arial" w:hAnsi="Arial" w:cs="Arial"/>
        </w:rPr>
        <w:t xml:space="preserve">in </w:t>
      </w:r>
      <w:proofErr w:type="spellStart"/>
      <w:r w:rsidRPr="00E80F8D">
        <w:rPr>
          <w:rFonts w:ascii="Arial" w:hAnsi="Arial" w:cs="Arial"/>
        </w:rPr>
        <w:t>mitius</w:t>
      </w:r>
      <w:proofErr w:type="spellEnd"/>
      <w:r w:rsidRPr="00E80F8D">
        <w:rPr>
          <w:rFonts w:ascii="Arial" w:hAnsi="Arial" w:cs="Arial"/>
          <w:i/>
        </w:rPr>
        <w:t xml:space="preserve"> delle sanzioni amministrative sostanzialmente afflittive tra Corte EDU, Corte di Giustizia e Corte costituzionale</w:t>
      </w:r>
      <w:r w:rsidRPr="00E80F8D">
        <w:rPr>
          <w:rFonts w:ascii="Arial" w:hAnsi="Arial" w:cs="Arial"/>
        </w:rPr>
        <w:t xml:space="preserve">, </w:t>
      </w:r>
      <w:r w:rsidRPr="00E80F8D">
        <w:rPr>
          <w:rFonts w:ascii="Arial" w:hAnsi="Arial" w:cs="Arial"/>
          <w:i/>
        </w:rPr>
        <w:t>op.cit</w:t>
      </w:r>
      <w:r w:rsidRPr="00E80F8D">
        <w:rPr>
          <w:rFonts w:ascii="Arial" w:hAnsi="Arial" w:cs="Arial"/>
        </w:rPr>
        <w:t>., p. 21 ss.</w:t>
      </w:r>
    </w:p>
  </w:footnote>
  <w:footnote w:id="58">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Con il Protocollo n. 16, recante emendamento alla Convenzione Europea dei Diritti dell’Uomo, si è prevista la possibilità di effettuare un rinvio pregiud</w:t>
      </w:r>
      <w:r>
        <w:rPr>
          <w:rFonts w:ascii="Arial" w:hAnsi="Arial" w:cs="Arial"/>
        </w:rPr>
        <w:t>iziale facoltativo alla Corte EDU</w:t>
      </w:r>
      <w:r w:rsidRPr="0056261A">
        <w:rPr>
          <w:rFonts w:ascii="Arial" w:hAnsi="Arial" w:cs="Arial"/>
        </w:rPr>
        <w:t xml:space="preserve"> da parte dei giudici comuni, sebbene allo stato tale meccanismo non risulta ancora recepito in Italia: sull’argomento, </w:t>
      </w:r>
      <w:r w:rsidRPr="0056261A">
        <w:rPr>
          <w:rFonts w:ascii="Arial" w:hAnsi="Arial" w:cs="Arial"/>
          <w:smallCaps/>
        </w:rPr>
        <w:t>M. Lipari</w:t>
      </w:r>
      <w:r w:rsidRPr="0056261A">
        <w:rPr>
          <w:rFonts w:ascii="Arial" w:hAnsi="Arial" w:cs="Arial"/>
        </w:rPr>
        <w:t xml:space="preserve">, </w:t>
      </w:r>
      <w:r w:rsidRPr="0056261A">
        <w:rPr>
          <w:rFonts w:ascii="Arial" w:hAnsi="Arial" w:cs="Arial"/>
          <w:i/>
        </w:rPr>
        <w:t>Il rinvio pregiudiziale previsto dal Protocollo n. 16 annesso alla Convenzione Europea dei Diritti dell’Uomo (CEDU): il dialogo concreto tra le Corti e la nuova tutela dei diritti fondamentali davanti al giudice amministrativo</w:t>
      </w:r>
      <w:r w:rsidRPr="0056261A">
        <w:rPr>
          <w:rFonts w:ascii="Arial" w:hAnsi="Arial" w:cs="Arial"/>
        </w:rPr>
        <w:t xml:space="preserve">, in </w:t>
      </w:r>
      <w:r w:rsidRPr="0056261A">
        <w:rPr>
          <w:rFonts w:ascii="Arial" w:hAnsi="Arial" w:cs="Arial"/>
          <w:i/>
        </w:rPr>
        <w:t>Federalismi</w:t>
      </w:r>
      <w:r w:rsidRPr="0056261A">
        <w:rPr>
          <w:rFonts w:ascii="Arial" w:hAnsi="Arial" w:cs="Arial"/>
        </w:rPr>
        <w:t xml:space="preserve">, 2019, n. 3; anche, </w:t>
      </w:r>
      <w:r w:rsidRPr="0056261A">
        <w:rPr>
          <w:rFonts w:ascii="Arial" w:hAnsi="Arial" w:cs="Arial"/>
          <w:smallCaps/>
        </w:rPr>
        <w:t>M. Giacomini</w:t>
      </w:r>
      <w:r w:rsidRPr="0056261A">
        <w:rPr>
          <w:rFonts w:ascii="Arial" w:hAnsi="Arial" w:cs="Arial"/>
        </w:rPr>
        <w:t xml:space="preserve">, </w:t>
      </w:r>
      <w:r w:rsidRPr="0056261A">
        <w:rPr>
          <w:rFonts w:ascii="Arial" w:hAnsi="Arial" w:cs="Arial"/>
          <w:i/>
        </w:rPr>
        <w:t xml:space="preserve">Il caso </w:t>
      </w:r>
      <w:proofErr w:type="spellStart"/>
      <w:r w:rsidRPr="0056261A">
        <w:rPr>
          <w:rFonts w:ascii="Arial" w:hAnsi="Arial" w:cs="Arial"/>
          <w:i/>
        </w:rPr>
        <w:t>Mennesson</w:t>
      </w:r>
      <w:proofErr w:type="spellEnd"/>
      <w:r w:rsidRPr="0056261A">
        <w:rPr>
          <w:rFonts w:ascii="Arial" w:hAnsi="Arial" w:cs="Arial"/>
          <w:i/>
        </w:rPr>
        <w:t>. La Corte di Strasburgo si (</w:t>
      </w:r>
      <w:proofErr w:type="spellStart"/>
      <w:r w:rsidRPr="0056261A">
        <w:rPr>
          <w:rFonts w:ascii="Arial" w:hAnsi="Arial" w:cs="Arial"/>
          <w:i/>
        </w:rPr>
        <w:t>ri</w:t>
      </w:r>
      <w:proofErr w:type="spellEnd"/>
      <w:r w:rsidRPr="0056261A">
        <w:rPr>
          <w:rFonts w:ascii="Arial" w:hAnsi="Arial" w:cs="Arial"/>
          <w:i/>
        </w:rPr>
        <w:t>)pronuncia con il suo primo parere preventivo</w:t>
      </w:r>
      <w:r w:rsidRPr="0056261A">
        <w:rPr>
          <w:rFonts w:ascii="Arial" w:hAnsi="Arial" w:cs="Arial"/>
        </w:rPr>
        <w:t xml:space="preserve">, in </w:t>
      </w:r>
      <w:r w:rsidRPr="0056261A">
        <w:rPr>
          <w:rFonts w:ascii="Arial" w:hAnsi="Arial" w:cs="Arial"/>
          <w:i/>
        </w:rPr>
        <w:t>Osservatorio AIC</w:t>
      </w:r>
      <w:r w:rsidRPr="0056261A">
        <w:rPr>
          <w:rFonts w:ascii="Arial" w:hAnsi="Arial" w:cs="Arial"/>
        </w:rPr>
        <w:t>, 2019, n. 5, pp. 169-171.</w:t>
      </w:r>
    </w:p>
  </w:footnote>
  <w:footnote w:id="59">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Corte </w:t>
      </w:r>
      <w:r>
        <w:rPr>
          <w:rFonts w:ascii="Arial" w:hAnsi="Arial" w:cs="Arial"/>
        </w:rPr>
        <w:t>C</w:t>
      </w:r>
      <w:r w:rsidRPr="0056261A">
        <w:rPr>
          <w:rFonts w:ascii="Arial" w:hAnsi="Arial" w:cs="Arial"/>
        </w:rPr>
        <w:t>ostituzionale, sentenza 24 febbraio 2</w:t>
      </w:r>
      <w:r>
        <w:rPr>
          <w:rFonts w:ascii="Arial" w:hAnsi="Arial" w:cs="Arial"/>
        </w:rPr>
        <w:t>017, n. 43, che richiama Corte C</w:t>
      </w:r>
      <w:r w:rsidRPr="0056261A">
        <w:rPr>
          <w:rFonts w:ascii="Arial" w:hAnsi="Arial" w:cs="Arial"/>
        </w:rPr>
        <w:t>ostituzionale, sentenza 24 ottobre 2007, n. 349.</w:t>
      </w:r>
    </w:p>
  </w:footnote>
  <w:footnote w:id="60">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Allo stato la questione è puramente teorica, visto che le decisioni della Corte EDU si rivolgono allo Stato e non hanno un impatto diretto sull’ordinamento interno.</w:t>
      </w:r>
    </w:p>
  </w:footnote>
  <w:footnote w:id="61">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31485F">
        <w:rPr>
          <w:rStyle w:val="Rimandonotaapidipagina"/>
          <w:rFonts w:ascii="Arial" w:hAnsi="Arial" w:cs="Arial"/>
        </w:rPr>
        <w:footnoteRef/>
      </w:r>
      <w:r>
        <w:rPr>
          <w:rFonts w:ascii="Arial" w:hAnsi="Arial" w:cs="Arial"/>
        </w:rPr>
        <w:t>)</w:t>
      </w:r>
      <w:r>
        <w:rPr>
          <w:rFonts w:ascii="Arial" w:hAnsi="Arial" w:cs="Arial"/>
        </w:rPr>
        <w:tab/>
      </w:r>
      <w:r w:rsidRPr="0031485F">
        <w:rPr>
          <w:rFonts w:ascii="Arial" w:hAnsi="Arial" w:cs="Arial"/>
        </w:rPr>
        <w:t xml:space="preserve">Si vedano, </w:t>
      </w:r>
      <w:r w:rsidRPr="0031485F">
        <w:rPr>
          <w:rFonts w:ascii="Arial" w:hAnsi="Arial" w:cs="Arial"/>
          <w:smallCaps/>
        </w:rPr>
        <w:t xml:space="preserve">E. Bindi – A. </w:t>
      </w:r>
      <w:proofErr w:type="spellStart"/>
      <w:r w:rsidRPr="0031485F">
        <w:rPr>
          <w:rFonts w:ascii="Arial" w:hAnsi="Arial" w:cs="Arial"/>
          <w:smallCaps/>
        </w:rPr>
        <w:t>Pisaneschi</w:t>
      </w:r>
      <w:proofErr w:type="spellEnd"/>
      <w:r w:rsidRPr="0031485F">
        <w:rPr>
          <w:rFonts w:ascii="Arial" w:hAnsi="Arial" w:cs="Arial"/>
        </w:rPr>
        <w:t xml:space="preserve">, </w:t>
      </w:r>
      <w:r w:rsidRPr="0031485F">
        <w:rPr>
          <w:rFonts w:ascii="Arial" w:hAnsi="Arial" w:cs="Arial"/>
          <w:i/>
        </w:rPr>
        <w:t xml:space="preserve">La retroattività </w:t>
      </w:r>
      <w:r w:rsidRPr="0031485F">
        <w:rPr>
          <w:rFonts w:ascii="Arial" w:hAnsi="Arial" w:cs="Arial"/>
        </w:rPr>
        <w:t xml:space="preserve">in </w:t>
      </w:r>
      <w:proofErr w:type="spellStart"/>
      <w:r w:rsidRPr="0031485F">
        <w:rPr>
          <w:rFonts w:ascii="Arial" w:hAnsi="Arial" w:cs="Arial"/>
        </w:rPr>
        <w:t>mitius</w:t>
      </w:r>
      <w:proofErr w:type="spellEnd"/>
      <w:r w:rsidRPr="0031485F">
        <w:rPr>
          <w:rFonts w:ascii="Arial" w:hAnsi="Arial" w:cs="Arial"/>
          <w:i/>
        </w:rPr>
        <w:t xml:space="preserve"> delle sanzioni amministrative sostanzialmente afflittive tra Corte EDU, Corte di Giustizia e Corte costituzionale</w:t>
      </w:r>
      <w:r w:rsidRPr="0031485F">
        <w:rPr>
          <w:rFonts w:ascii="Arial" w:hAnsi="Arial" w:cs="Arial"/>
        </w:rPr>
        <w:t xml:space="preserve">, </w:t>
      </w:r>
      <w:r w:rsidRPr="0031485F">
        <w:rPr>
          <w:rFonts w:ascii="Arial" w:hAnsi="Arial" w:cs="Arial"/>
          <w:i/>
        </w:rPr>
        <w:t>op.cit</w:t>
      </w:r>
      <w:r w:rsidRPr="0031485F">
        <w:rPr>
          <w:rFonts w:ascii="Arial" w:hAnsi="Arial" w:cs="Arial"/>
        </w:rPr>
        <w:t>., in particolare p. 13, nota 44.</w:t>
      </w:r>
    </w:p>
  </w:footnote>
  <w:footnote w:id="62">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t>Corte C</w:t>
      </w:r>
      <w:r w:rsidRPr="0056261A">
        <w:rPr>
          <w:rFonts w:ascii="Arial" w:hAnsi="Arial" w:cs="Arial"/>
        </w:rPr>
        <w:t xml:space="preserve">ostituzionale, ordinanza 26 gennaio 2017, n. 24, seguita dalla sentenza 31 maggio 2018, n. 115, che ha dichiarato fondata la questione di legittimità costituzionale sollevata nel giudizio </w:t>
      </w:r>
      <w:r w:rsidRPr="0056261A">
        <w:rPr>
          <w:rFonts w:ascii="Arial" w:hAnsi="Arial" w:cs="Arial"/>
          <w:i/>
        </w:rPr>
        <w:t>a quo</w:t>
      </w:r>
      <w:r w:rsidRPr="0056261A">
        <w:rPr>
          <w:rFonts w:ascii="Arial" w:hAnsi="Arial" w:cs="Arial"/>
        </w:rPr>
        <w:t>.</w:t>
      </w:r>
    </w:p>
  </w:footnote>
  <w:footnote w:id="63">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Ad esempio, Corte costituzionale, sentenze 27 giugno 2012, n. 162, e 15 aprile 2014, n. 94, rispettivamente aventi ad oggetto le sanzioni irrogate dalla </w:t>
      </w:r>
      <w:r>
        <w:rPr>
          <w:rFonts w:ascii="Arial" w:hAnsi="Arial" w:cs="Arial"/>
        </w:rPr>
        <w:t>CONSOB</w:t>
      </w:r>
      <w:r w:rsidRPr="0056261A">
        <w:rPr>
          <w:rFonts w:ascii="Arial" w:hAnsi="Arial" w:cs="Arial"/>
        </w:rPr>
        <w:t xml:space="preserve"> e dalla Banca d’Italia; in dottrina, </w:t>
      </w:r>
      <w:r w:rsidRPr="0056261A">
        <w:rPr>
          <w:rFonts w:ascii="Arial" w:hAnsi="Arial" w:cs="Arial"/>
          <w:smallCaps/>
        </w:rPr>
        <w:t xml:space="preserve">W. </w:t>
      </w:r>
      <w:proofErr w:type="spellStart"/>
      <w:r w:rsidRPr="0056261A">
        <w:rPr>
          <w:rFonts w:ascii="Arial" w:hAnsi="Arial" w:cs="Arial"/>
          <w:smallCaps/>
        </w:rPr>
        <w:t>Troise</w:t>
      </w:r>
      <w:proofErr w:type="spellEnd"/>
      <w:r w:rsidRPr="0056261A">
        <w:rPr>
          <w:rFonts w:ascii="Arial" w:hAnsi="Arial" w:cs="Arial"/>
          <w:smallCaps/>
        </w:rPr>
        <w:t xml:space="preserve"> Mangoni</w:t>
      </w:r>
      <w:r w:rsidRPr="0056261A">
        <w:rPr>
          <w:rFonts w:ascii="Arial" w:hAnsi="Arial" w:cs="Arial"/>
        </w:rPr>
        <w:t xml:space="preserve">, </w:t>
      </w:r>
      <w:r w:rsidRPr="0056261A">
        <w:rPr>
          <w:rFonts w:ascii="Arial" w:hAnsi="Arial" w:cs="Arial"/>
          <w:i/>
        </w:rPr>
        <w:t xml:space="preserve">Le sanzioni irrogate dalla </w:t>
      </w:r>
      <w:r>
        <w:rPr>
          <w:rFonts w:ascii="Arial" w:hAnsi="Arial" w:cs="Arial"/>
          <w:i/>
        </w:rPr>
        <w:t>CONSOB</w:t>
      </w:r>
      <w:r w:rsidRPr="0056261A">
        <w:rPr>
          <w:rFonts w:ascii="Arial" w:hAnsi="Arial" w:cs="Arial"/>
          <w:i/>
        </w:rPr>
        <w:t xml:space="preserve"> e della Banca d’Italia: riflessi in tema di giurisdizione</w:t>
      </w:r>
      <w:r w:rsidRPr="0056261A">
        <w:rPr>
          <w:rFonts w:ascii="Arial" w:hAnsi="Arial" w:cs="Arial"/>
        </w:rPr>
        <w:t xml:space="preserve">, cit., pp. 33 ss.; Corte Europea dei Diritti dell’Uomo, II, sentenza 4 marzo 2014, </w:t>
      </w:r>
      <w:proofErr w:type="spellStart"/>
      <w:r w:rsidRPr="0056261A">
        <w:rPr>
          <w:rFonts w:ascii="Arial" w:hAnsi="Arial" w:cs="Arial"/>
        </w:rPr>
        <w:t>ricc</w:t>
      </w:r>
      <w:proofErr w:type="spellEnd"/>
      <w:r w:rsidRPr="0056261A">
        <w:rPr>
          <w:rFonts w:ascii="Arial" w:hAnsi="Arial" w:cs="Arial"/>
        </w:rPr>
        <w:t xml:space="preserve">. </w:t>
      </w:r>
      <w:proofErr w:type="spellStart"/>
      <w:r w:rsidRPr="0056261A">
        <w:rPr>
          <w:rFonts w:ascii="Arial" w:hAnsi="Arial" w:cs="Arial"/>
        </w:rPr>
        <w:t>nn</w:t>
      </w:r>
      <w:proofErr w:type="spellEnd"/>
      <w:r w:rsidRPr="0056261A">
        <w:rPr>
          <w:rFonts w:ascii="Arial" w:hAnsi="Arial" w:cs="Arial"/>
        </w:rPr>
        <w:t xml:space="preserve">. 18640/10, 18647/10, 18663/10, 18668/10 e 18698/10, causa </w:t>
      </w:r>
      <w:r w:rsidRPr="0056261A">
        <w:rPr>
          <w:rFonts w:ascii="Arial" w:hAnsi="Arial" w:cs="Arial"/>
          <w:i/>
        </w:rPr>
        <w:t>Grande Stevens e altri contro Italia</w:t>
      </w:r>
      <w:r w:rsidRPr="0056261A">
        <w:rPr>
          <w:rFonts w:ascii="Arial" w:hAnsi="Arial" w:cs="Arial"/>
        </w:rPr>
        <w:t xml:space="preserve">; Corte europea dei diritti dell’uomo, II, sentenza 27 settembre 2011, ric. n. 43509/08, causa </w:t>
      </w:r>
      <w:r w:rsidRPr="0056261A">
        <w:rPr>
          <w:rFonts w:ascii="Arial" w:hAnsi="Arial" w:cs="Arial"/>
          <w:i/>
        </w:rPr>
        <w:t xml:space="preserve">A. Menarini </w:t>
      </w:r>
      <w:proofErr w:type="spellStart"/>
      <w:r w:rsidRPr="0056261A">
        <w:rPr>
          <w:rFonts w:ascii="Arial" w:hAnsi="Arial" w:cs="Arial"/>
          <w:i/>
        </w:rPr>
        <w:t>Diagnostics</w:t>
      </w:r>
      <w:proofErr w:type="spellEnd"/>
      <w:r w:rsidRPr="0056261A">
        <w:rPr>
          <w:rFonts w:ascii="Arial" w:hAnsi="Arial" w:cs="Arial"/>
          <w:i/>
        </w:rPr>
        <w:t xml:space="preserve"> s.r.l. contro Italia</w:t>
      </w:r>
      <w:r w:rsidRPr="0056261A">
        <w:rPr>
          <w:rFonts w:ascii="Arial" w:hAnsi="Arial" w:cs="Arial"/>
        </w:rPr>
        <w:t xml:space="preserve">; Corte di Giustizia dell’Unione europea, Grande Sezione, sentenza del 20 marzo 2018, causa C-537/16, </w:t>
      </w:r>
      <w:proofErr w:type="spellStart"/>
      <w:r w:rsidRPr="0056261A">
        <w:rPr>
          <w:rFonts w:ascii="Arial" w:hAnsi="Arial" w:cs="Arial"/>
          <w:i/>
        </w:rPr>
        <w:t>Garlsson</w:t>
      </w:r>
      <w:proofErr w:type="spellEnd"/>
      <w:r w:rsidRPr="0056261A">
        <w:rPr>
          <w:rFonts w:ascii="Arial" w:hAnsi="Arial" w:cs="Arial"/>
          <w:i/>
        </w:rPr>
        <w:t xml:space="preserve"> Real Estate SA, in liquidazione, Stefano </w:t>
      </w:r>
      <w:proofErr w:type="spellStart"/>
      <w:r w:rsidRPr="0056261A">
        <w:rPr>
          <w:rFonts w:ascii="Arial" w:hAnsi="Arial" w:cs="Arial"/>
          <w:i/>
        </w:rPr>
        <w:t>Ricu</w:t>
      </w:r>
      <w:r>
        <w:rPr>
          <w:rFonts w:ascii="Arial" w:hAnsi="Arial" w:cs="Arial"/>
          <w:i/>
        </w:rPr>
        <w:t>cci</w:t>
      </w:r>
      <w:proofErr w:type="spellEnd"/>
      <w:r>
        <w:rPr>
          <w:rFonts w:ascii="Arial" w:hAnsi="Arial" w:cs="Arial"/>
          <w:i/>
        </w:rPr>
        <w:t xml:space="preserve">, </w:t>
      </w:r>
      <w:proofErr w:type="spellStart"/>
      <w:r>
        <w:rPr>
          <w:rFonts w:ascii="Arial" w:hAnsi="Arial" w:cs="Arial"/>
          <w:i/>
        </w:rPr>
        <w:t>Magiste</w:t>
      </w:r>
      <w:proofErr w:type="spellEnd"/>
      <w:r>
        <w:rPr>
          <w:rFonts w:ascii="Arial" w:hAnsi="Arial" w:cs="Arial"/>
          <w:i/>
        </w:rPr>
        <w:t xml:space="preserve"> International SA/</w:t>
      </w:r>
      <w:r w:rsidRPr="0056261A">
        <w:rPr>
          <w:rFonts w:ascii="Arial" w:hAnsi="Arial" w:cs="Arial"/>
          <w:i/>
        </w:rPr>
        <w:t>Commissione Nazionale per le Società e la Borsa (</w:t>
      </w:r>
      <w:r>
        <w:rPr>
          <w:rFonts w:ascii="Arial" w:hAnsi="Arial" w:cs="Arial"/>
          <w:i/>
        </w:rPr>
        <w:t>CONSOB</w:t>
      </w:r>
      <w:r w:rsidRPr="0056261A">
        <w:rPr>
          <w:rFonts w:ascii="Arial" w:hAnsi="Arial" w:cs="Arial"/>
          <w:i/>
        </w:rPr>
        <w:t>)</w:t>
      </w:r>
      <w:r w:rsidRPr="0056261A">
        <w:rPr>
          <w:rFonts w:ascii="Arial" w:hAnsi="Arial" w:cs="Arial"/>
        </w:rPr>
        <w:t xml:space="preserve">; Corte di </w:t>
      </w:r>
      <w:r>
        <w:rPr>
          <w:rFonts w:ascii="Arial" w:hAnsi="Arial" w:cs="Arial"/>
        </w:rPr>
        <w:t>Giustizia dell’Unione europea, g</w:t>
      </w:r>
      <w:r w:rsidRPr="0056261A">
        <w:rPr>
          <w:rFonts w:ascii="Arial" w:hAnsi="Arial" w:cs="Arial"/>
        </w:rPr>
        <w:t xml:space="preserve">rande </w:t>
      </w:r>
      <w:r>
        <w:rPr>
          <w:rFonts w:ascii="Arial" w:hAnsi="Arial" w:cs="Arial"/>
        </w:rPr>
        <w:t>s</w:t>
      </w:r>
      <w:r w:rsidRPr="0056261A">
        <w:rPr>
          <w:rFonts w:ascii="Arial" w:hAnsi="Arial" w:cs="Arial"/>
        </w:rPr>
        <w:t xml:space="preserve">ezione, sentenza del 20 marzo 2018, causa C-596/16 e C-597/16, </w:t>
      </w:r>
      <w:r>
        <w:rPr>
          <w:rFonts w:ascii="Arial" w:hAnsi="Arial" w:cs="Arial"/>
          <w:i/>
        </w:rPr>
        <w:t>Enzo Di Puma/</w:t>
      </w:r>
      <w:r w:rsidRPr="0056261A">
        <w:rPr>
          <w:rFonts w:ascii="Arial" w:hAnsi="Arial" w:cs="Arial"/>
          <w:i/>
        </w:rPr>
        <w:t>Commissione Nazionale per le Società e la Borsa (</w:t>
      </w:r>
      <w:r>
        <w:rPr>
          <w:rFonts w:ascii="Arial" w:hAnsi="Arial" w:cs="Arial"/>
          <w:i/>
        </w:rPr>
        <w:t>CONSOB)/</w:t>
      </w:r>
      <w:r w:rsidRPr="0056261A">
        <w:rPr>
          <w:rFonts w:ascii="Arial" w:hAnsi="Arial" w:cs="Arial"/>
          <w:i/>
        </w:rPr>
        <w:t>Commissione Nazionale per le Società e la Borsa (</w:t>
      </w:r>
      <w:r>
        <w:rPr>
          <w:rFonts w:ascii="Arial" w:hAnsi="Arial" w:cs="Arial"/>
          <w:i/>
        </w:rPr>
        <w:t>CONSOB</w:t>
      </w:r>
      <w:r w:rsidRPr="0056261A">
        <w:rPr>
          <w:rFonts w:ascii="Arial" w:hAnsi="Arial" w:cs="Arial"/>
          <w:i/>
        </w:rPr>
        <w:t>)/Antonio Zecca</w:t>
      </w:r>
      <w:r w:rsidRPr="0056261A">
        <w:rPr>
          <w:rFonts w:ascii="Arial" w:hAnsi="Arial" w:cs="Arial"/>
        </w:rPr>
        <w:t>; di recente, Corte costituzionale, ordinanza 10 maggio 2019, n. 117, che ha disposto il rinvio pregiudiziale alla Corte di Giustizia dell’Unione europea al fine di verifica</w:t>
      </w:r>
      <w:r>
        <w:rPr>
          <w:rFonts w:ascii="Arial" w:hAnsi="Arial" w:cs="Arial"/>
        </w:rPr>
        <w:t>re se l’art. 14, par. 3, della Direttiva</w:t>
      </w:r>
      <w:r w:rsidRPr="0056261A">
        <w:rPr>
          <w:rFonts w:ascii="Arial" w:hAnsi="Arial" w:cs="Arial"/>
        </w:rPr>
        <w:t xml:space="preserve"> n. 2003/6/CE consenta, oppure imponga, agli Stati membri di non sanzionare chi si rifiuti di rispondere a domande dell’Autorità competente (</w:t>
      </w:r>
      <w:r>
        <w:rPr>
          <w:rFonts w:ascii="Arial" w:hAnsi="Arial" w:cs="Arial"/>
        </w:rPr>
        <w:t>CONSOB</w:t>
      </w:r>
      <w:r w:rsidRPr="0056261A">
        <w:rPr>
          <w:rFonts w:ascii="Arial" w:hAnsi="Arial" w:cs="Arial"/>
        </w:rPr>
        <w:t xml:space="preserve">) dalle quali possa emergere la propria responsabilità per un illecito punito con sanzioni amministrative di natura “punitiva”, con commento di </w:t>
      </w:r>
      <w:r w:rsidRPr="0056261A">
        <w:rPr>
          <w:rFonts w:ascii="Arial" w:hAnsi="Arial" w:cs="Arial"/>
          <w:smallCaps/>
        </w:rPr>
        <w:t>G. Scaccia</w:t>
      </w:r>
      <w:r w:rsidRPr="0056261A">
        <w:rPr>
          <w:rFonts w:ascii="Arial" w:hAnsi="Arial" w:cs="Arial"/>
        </w:rPr>
        <w:t xml:space="preserve">, </w:t>
      </w:r>
      <w:r w:rsidRPr="0056261A">
        <w:rPr>
          <w:rFonts w:ascii="Arial" w:hAnsi="Arial" w:cs="Arial"/>
          <w:i/>
        </w:rPr>
        <w:t>Alla ricerca del difficile equilibrio fra applicazione diretta della Carta dei diritti fondamentali dell’Unione europea e sindacato accentrato di legittimità costituzionale. In margine all’ordinanza della Corte costituzionale n. 117 del 2019</w:t>
      </w:r>
      <w:r w:rsidRPr="0056261A">
        <w:rPr>
          <w:rFonts w:ascii="Arial" w:hAnsi="Arial" w:cs="Arial"/>
        </w:rPr>
        <w:t xml:space="preserve">, in </w:t>
      </w:r>
      <w:r w:rsidRPr="0056261A">
        <w:rPr>
          <w:rFonts w:ascii="Arial" w:hAnsi="Arial" w:cs="Arial"/>
          <w:i/>
        </w:rPr>
        <w:t>Osservatorio AIC</w:t>
      </w:r>
      <w:r w:rsidRPr="0056261A">
        <w:rPr>
          <w:rFonts w:ascii="Arial" w:hAnsi="Arial" w:cs="Arial"/>
        </w:rPr>
        <w:t>, 2019, n. 6; cfr. anche la coeva sentenza 10 maggio 2019, n. 112.</w:t>
      </w:r>
    </w:p>
  </w:footnote>
  <w:footnote w:id="64">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L’Autorità è stata istituita con la </w:t>
      </w:r>
      <w:r>
        <w:rPr>
          <w:rFonts w:ascii="Arial" w:hAnsi="Arial" w:cs="Arial"/>
        </w:rPr>
        <w:t>Legge</w:t>
      </w:r>
      <w:r w:rsidRPr="0056261A">
        <w:rPr>
          <w:rFonts w:ascii="Arial" w:hAnsi="Arial" w:cs="Arial"/>
        </w:rPr>
        <w:t xml:space="preserve"> 14 novembre 1995, n. 481; la denominazione dell’Autorità è stata da ultimo modificata con l’art. 1, comma 528, della </w:t>
      </w:r>
      <w:r>
        <w:rPr>
          <w:rFonts w:ascii="Arial" w:hAnsi="Arial" w:cs="Arial"/>
        </w:rPr>
        <w:t>Legge</w:t>
      </w:r>
      <w:r w:rsidRPr="0056261A">
        <w:rPr>
          <w:rFonts w:ascii="Arial" w:hAnsi="Arial" w:cs="Arial"/>
        </w:rPr>
        <w:t xml:space="preserve"> 27 dicembre 2017, n. 205. </w:t>
      </w:r>
    </w:p>
  </w:footnote>
  <w:footnote w:id="65">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Sull’applicabilità della </w:t>
      </w:r>
      <w:r>
        <w:rPr>
          <w:rFonts w:ascii="Arial" w:hAnsi="Arial" w:cs="Arial"/>
        </w:rPr>
        <w:t>Legge</w:t>
      </w:r>
      <w:r w:rsidRPr="0056261A">
        <w:rPr>
          <w:rFonts w:ascii="Arial" w:hAnsi="Arial" w:cs="Arial"/>
        </w:rPr>
        <w:t xml:space="preserve"> n. 689 del 1981 anche </w:t>
      </w:r>
      <w:r w:rsidRPr="0056261A">
        <w:rPr>
          <w:rFonts w:ascii="Arial" w:hAnsi="Arial" w:cs="Arial"/>
          <w:color w:val="000000"/>
        </w:rPr>
        <w:t>ai procedimenti sanzionatori posti in essere dalle Autorità di regolazione, cfr. Consiglio di Stato, VI, 26 luglio 2018, n. 4577; 7 giugno 2018, n. 3447; T</w:t>
      </w:r>
      <w:r w:rsidRPr="0056261A">
        <w:rPr>
          <w:rFonts w:ascii="Arial" w:hAnsi="Arial" w:cs="Arial"/>
        </w:rPr>
        <w:t xml:space="preserve">.A.R. Lombardia, Milano, II, 20 agosto 2019, n. 1905; in dottrina, </w:t>
      </w:r>
      <w:r w:rsidRPr="0056261A">
        <w:rPr>
          <w:rFonts w:ascii="Arial" w:hAnsi="Arial" w:cs="Arial"/>
          <w:smallCaps/>
        </w:rPr>
        <w:t>S. L. Vitale</w:t>
      </w:r>
      <w:r w:rsidRPr="0056261A">
        <w:rPr>
          <w:rFonts w:ascii="Arial" w:hAnsi="Arial" w:cs="Arial"/>
        </w:rPr>
        <w:t xml:space="preserve">, </w:t>
      </w:r>
      <w:r w:rsidRPr="0056261A">
        <w:rPr>
          <w:rFonts w:ascii="Arial" w:hAnsi="Arial" w:cs="Arial"/>
          <w:i/>
        </w:rPr>
        <w:t>Le sanzioni amministrative tra diritto nazionale e diritto europeo</w:t>
      </w:r>
      <w:r w:rsidRPr="0056261A">
        <w:rPr>
          <w:rFonts w:ascii="Arial" w:hAnsi="Arial" w:cs="Arial"/>
        </w:rPr>
        <w:t xml:space="preserve">, </w:t>
      </w:r>
      <w:r w:rsidRPr="00D54F37">
        <w:rPr>
          <w:rFonts w:ascii="Arial" w:hAnsi="Arial" w:cs="Arial"/>
          <w:i/>
        </w:rPr>
        <w:t>op.cit</w:t>
      </w:r>
      <w:r>
        <w:rPr>
          <w:rFonts w:ascii="Arial" w:hAnsi="Arial" w:cs="Arial"/>
        </w:rPr>
        <w:t>., p</w:t>
      </w:r>
      <w:r w:rsidRPr="0056261A">
        <w:rPr>
          <w:rFonts w:ascii="Arial" w:hAnsi="Arial" w:cs="Arial"/>
        </w:rPr>
        <w:t xml:space="preserve">. 79 ss.; </w:t>
      </w:r>
      <w:r w:rsidRPr="0056261A">
        <w:rPr>
          <w:rFonts w:ascii="Arial" w:hAnsi="Arial" w:cs="Arial"/>
          <w:smallCaps/>
        </w:rPr>
        <w:t xml:space="preserve">W. </w:t>
      </w:r>
      <w:proofErr w:type="spellStart"/>
      <w:r w:rsidRPr="0056261A">
        <w:rPr>
          <w:rFonts w:ascii="Arial" w:hAnsi="Arial" w:cs="Arial"/>
          <w:smallCaps/>
        </w:rPr>
        <w:t>Troise</w:t>
      </w:r>
      <w:proofErr w:type="spellEnd"/>
      <w:r w:rsidRPr="0056261A">
        <w:rPr>
          <w:rFonts w:ascii="Arial" w:hAnsi="Arial" w:cs="Arial"/>
          <w:smallCaps/>
        </w:rPr>
        <w:t xml:space="preserve"> Mangoni</w:t>
      </w:r>
      <w:r w:rsidRPr="0056261A">
        <w:rPr>
          <w:rFonts w:ascii="Arial" w:hAnsi="Arial" w:cs="Arial"/>
        </w:rPr>
        <w:t xml:space="preserve">, </w:t>
      </w:r>
      <w:r w:rsidRPr="0056261A">
        <w:rPr>
          <w:rFonts w:ascii="Arial" w:hAnsi="Arial" w:cs="Arial"/>
          <w:i/>
        </w:rPr>
        <w:t xml:space="preserve">Le sanzioni irrogate dalla </w:t>
      </w:r>
      <w:r>
        <w:rPr>
          <w:rFonts w:ascii="Arial" w:hAnsi="Arial" w:cs="Arial"/>
          <w:i/>
        </w:rPr>
        <w:t>CONSOB</w:t>
      </w:r>
      <w:r w:rsidRPr="0056261A">
        <w:rPr>
          <w:rFonts w:ascii="Arial" w:hAnsi="Arial" w:cs="Arial"/>
          <w:i/>
        </w:rPr>
        <w:t xml:space="preserve"> e della Banca d’Italia: riflessi in tema di giurisdizione</w:t>
      </w:r>
      <w:r w:rsidRPr="0056261A">
        <w:rPr>
          <w:rFonts w:ascii="Arial" w:hAnsi="Arial" w:cs="Arial"/>
        </w:rPr>
        <w:t xml:space="preserve">, </w:t>
      </w:r>
      <w:r w:rsidRPr="00D54F37">
        <w:rPr>
          <w:rFonts w:ascii="Arial" w:hAnsi="Arial" w:cs="Arial"/>
          <w:i/>
        </w:rPr>
        <w:t>op.cit</w:t>
      </w:r>
      <w:r>
        <w:rPr>
          <w:rFonts w:ascii="Arial" w:hAnsi="Arial" w:cs="Arial"/>
        </w:rPr>
        <w:t xml:space="preserve">., </w:t>
      </w:r>
      <w:r w:rsidRPr="0056261A">
        <w:rPr>
          <w:rFonts w:ascii="Arial" w:hAnsi="Arial" w:cs="Arial"/>
        </w:rPr>
        <w:t xml:space="preserve">p. 47 ss.; </w:t>
      </w:r>
      <w:r w:rsidRPr="0056261A">
        <w:rPr>
          <w:rFonts w:ascii="Arial" w:hAnsi="Arial" w:cs="Arial"/>
          <w:smallCaps/>
        </w:rPr>
        <w:t>E. Traversa</w:t>
      </w:r>
      <w:r w:rsidRPr="0056261A">
        <w:rPr>
          <w:rFonts w:ascii="Arial" w:hAnsi="Arial" w:cs="Arial"/>
        </w:rPr>
        <w:t xml:space="preserve">, </w:t>
      </w:r>
      <w:r w:rsidRPr="0056261A">
        <w:rPr>
          <w:rFonts w:ascii="Arial" w:hAnsi="Arial" w:cs="Arial"/>
          <w:i/>
        </w:rPr>
        <w:t>Il potere sanzionatorio dell’ANAC alla prova del principio di legalità</w:t>
      </w:r>
      <w:r w:rsidRPr="0056261A">
        <w:rPr>
          <w:rFonts w:ascii="Arial" w:hAnsi="Arial" w:cs="Arial"/>
        </w:rPr>
        <w:t xml:space="preserve">, in </w:t>
      </w:r>
      <w:r w:rsidRPr="0056261A">
        <w:rPr>
          <w:rFonts w:ascii="Arial" w:hAnsi="Arial" w:cs="Arial"/>
          <w:i/>
        </w:rPr>
        <w:t xml:space="preserve">Giur. </w:t>
      </w:r>
      <w:proofErr w:type="spellStart"/>
      <w:r w:rsidRPr="0056261A">
        <w:rPr>
          <w:rFonts w:ascii="Arial" w:hAnsi="Arial" w:cs="Arial"/>
          <w:i/>
        </w:rPr>
        <w:t>it</w:t>
      </w:r>
      <w:proofErr w:type="spellEnd"/>
      <w:r w:rsidRPr="0056261A">
        <w:rPr>
          <w:rFonts w:ascii="Arial" w:hAnsi="Arial" w:cs="Arial"/>
          <w:i/>
        </w:rPr>
        <w:t>.</w:t>
      </w:r>
      <w:r>
        <w:rPr>
          <w:rFonts w:ascii="Arial" w:hAnsi="Arial" w:cs="Arial"/>
        </w:rPr>
        <w:t>, 2019, n. 3, p</w:t>
      </w:r>
      <w:r w:rsidRPr="0056261A">
        <w:rPr>
          <w:rFonts w:ascii="Arial" w:hAnsi="Arial" w:cs="Arial"/>
        </w:rPr>
        <w:t xml:space="preserve">. 645 ss. </w:t>
      </w:r>
    </w:p>
  </w:footnote>
  <w:footnote w:id="66">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Con riguardo ad ARERA si veda l’art. 2, comma 20, </w:t>
      </w:r>
      <w:proofErr w:type="spellStart"/>
      <w:r w:rsidRPr="0056261A">
        <w:rPr>
          <w:rFonts w:ascii="Arial" w:hAnsi="Arial" w:cs="Arial"/>
        </w:rPr>
        <w:t>lett</w:t>
      </w:r>
      <w:proofErr w:type="spellEnd"/>
      <w:r w:rsidRPr="0056261A">
        <w:rPr>
          <w:rFonts w:ascii="Arial" w:hAnsi="Arial" w:cs="Arial"/>
        </w:rPr>
        <w:t xml:space="preserve">. d, della </w:t>
      </w:r>
      <w:r>
        <w:rPr>
          <w:rFonts w:ascii="Arial" w:hAnsi="Arial" w:cs="Arial"/>
        </w:rPr>
        <w:t>Legge</w:t>
      </w:r>
      <w:r w:rsidRPr="0056261A">
        <w:rPr>
          <w:rFonts w:ascii="Arial" w:hAnsi="Arial" w:cs="Arial"/>
        </w:rPr>
        <w:t xml:space="preserve"> n. 481 del 1995 per l’adozione di provvedimenti prescrittivi, e l’art. 2, comma 20, </w:t>
      </w:r>
      <w:proofErr w:type="spellStart"/>
      <w:r w:rsidRPr="0056261A">
        <w:rPr>
          <w:rFonts w:ascii="Arial" w:hAnsi="Arial" w:cs="Arial"/>
        </w:rPr>
        <w:t>lett</w:t>
      </w:r>
      <w:proofErr w:type="spellEnd"/>
      <w:r w:rsidRPr="0056261A">
        <w:rPr>
          <w:rFonts w:ascii="Arial" w:hAnsi="Arial" w:cs="Arial"/>
        </w:rPr>
        <w:t xml:space="preserve">. c, della citata </w:t>
      </w:r>
      <w:r>
        <w:rPr>
          <w:rFonts w:ascii="Arial" w:hAnsi="Arial" w:cs="Arial"/>
        </w:rPr>
        <w:t>Legge</w:t>
      </w:r>
      <w:r w:rsidRPr="0056261A">
        <w:rPr>
          <w:rFonts w:ascii="Arial" w:hAnsi="Arial" w:cs="Arial"/>
        </w:rPr>
        <w:t xml:space="preserve"> per l’adozione di provvedimenti sanzionatori.</w:t>
      </w:r>
    </w:p>
  </w:footnote>
  <w:footnote w:id="67">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Consiglio di Stato, VI, 1</w:t>
      </w:r>
      <w:r>
        <w:rPr>
          <w:rFonts w:ascii="Arial" w:hAnsi="Arial" w:cs="Arial"/>
        </w:rPr>
        <w:t>° dicembre 2015, n. 5421; TAR</w:t>
      </w:r>
      <w:r w:rsidRPr="0056261A">
        <w:rPr>
          <w:rFonts w:ascii="Arial" w:hAnsi="Arial" w:cs="Arial"/>
        </w:rPr>
        <w:t xml:space="preserve"> Lombardia, Milano, II, 25 febbraio 2019, n. 389.</w:t>
      </w:r>
    </w:p>
  </w:footnote>
  <w:footnote w:id="68">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In argomento, </w:t>
      </w:r>
      <w:r w:rsidRPr="0056261A">
        <w:rPr>
          <w:rFonts w:ascii="Arial" w:hAnsi="Arial" w:cs="Arial"/>
          <w:smallCaps/>
        </w:rPr>
        <w:t xml:space="preserve">M. </w:t>
      </w:r>
      <w:proofErr w:type="spellStart"/>
      <w:r w:rsidRPr="0056261A">
        <w:rPr>
          <w:rFonts w:ascii="Arial" w:hAnsi="Arial" w:cs="Arial"/>
          <w:smallCaps/>
        </w:rPr>
        <w:t>Passaro</w:t>
      </w:r>
      <w:proofErr w:type="spellEnd"/>
      <w:r w:rsidRPr="0056261A">
        <w:rPr>
          <w:rFonts w:ascii="Arial" w:hAnsi="Arial" w:cs="Arial"/>
        </w:rPr>
        <w:t xml:space="preserve">, </w:t>
      </w:r>
      <w:r w:rsidRPr="0056261A">
        <w:rPr>
          <w:rFonts w:ascii="Arial" w:hAnsi="Arial" w:cs="Arial"/>
          <w:i/>
        </w:rPr>
        <w:t>Le sanzioni dell’Autorità per l’energia elettrica e il gas (AEEG)</w:t>
      </w:r>
      <w:r w:rsidRPr="0056261A">
        <w:rPr>
          <w:rFonts w:ascii="Arial" w:hAnsi="Arial" w:cs="Arial"/>
        </w:rPr>
        <w:t xml:space="preserve">, in (a cura di) </w:t>
      </w:r>
      <w:r w:rsidRPr="0056261A">
        <w:rPr>
          <w:rFonts w:ascii="Arial" w:hAnsi="Arial" w:cs="Arial"/>
          <w:smallCaps/>
        </w:rPr>
        <w:t>M. Fratini</w:t>
      </w:r>
      <w:r w:rsidRPr="0056261A">
        <w:rPr>
          <w:rFonts w:ascii="Arial" w:hAnsi="Arial" w:cs="Arial"/>
        </w:rPr>
        <w:t xml:space="preserve">, </w:t>
      </w:r>
      <w:r w:rsidRPr="0056261A">
        <w:rPr>
          <w:rFonts w:ascii="Arial" w:hAnsi="Arial" w:cs="Arial"/>
          <w:i/>
        </w:rPr>
        <w:t>Le sanzioni delle autorità amministrative indipendenti</w:t>
      </w:r>
      <w:r w:rsidRPr="0056261A">
        <w:rPr>
          <w:rFonts w:ascii="Arial" w:hAnsi="Arial" w:cs="Arial"/>
        </w:rPr>
        <w:t xml:space="preserve">, Padova, 2011, pp. 967-968; </w:t>
      </w:r>
      <w:r w:rsidRPr="0056261A">
        <w:rPr>
          <w:rFonts w:ascii="Arial" w:hAnsi="Arial" w:cs="Arial"/>
          <w:smallCaps/>
        </w:rPr>
        <w:t>E. Peroni</w:t>
      </w:r>
      <w:r w:rsidRPr="0056261A">
        <w:rPr>
          <w:rFonts w:ascii="Arial" w:hAnsi="Arial" w:cs="Arial"/>
        </w:rPr>
        <w:t xml:space="preserve">, </w:t>
      </w:r>
      <w:r w:rsidRPr="0056261A">
        <w:rPr>
          <w:rFonts w:ascii="Arial" w:hAnsi="Arial" w:cs="Arial"/>
          <w:i/>
        </w:rPr>
        <w:t>Il procedimento sanzionatorio dell’Autorità per l’energia elettrica, il gas ed il sistema idrico (</w:t>
      </w:r>
      <w:proofErr w:type="spellStart"/>
      <w:r w:rsidRPr="0056261A">
        <w:rPr>
          <w:rFonts w:ascii="Arial" w:hAnsi="Arial" w:cs="Arial"/>
          <w:i/>
        </w:rPr>
        <w:t>Aeegsi</w:t>
      </w:r>
      <w:proofErr w:type="spellEnd"/>
      <w:r w:rsidRPr="0056261A">
        <w:rPr>
          <w:rFonts w:ascii="Arial" w:hAnsi="Arial" w:cs="Arial"/>
          <w:i/>
        </w:rPr>
        <w:t>)</w:t>
      </w:r>
      <w:r w:rsidRPr="0056261A">
        <w:rPr>
          <w:rFonts w:ascii="Arial" w:hAnsi="Arial" w:cs="Arial"/>
        </w:rPr>
        <w:t xml:space="preserve">, in (a cura di) </w:t>
      </w:r>
      <w:r w:rsidRPr="0056261A">
        <w:rPr>
          <w:rFonts w:ascii="Arial" w:hAnsi="Arial" w:cs="Arial"/>
          <w:smallCaps/>
        </w:rPr>
        <w:t>M. Allena – S. Cimini</w:t>
      </w:r>
      <w:r w:rsidRPr="0056261A">
        <w:rPr>
          <w:rFonts w:ascii="Arial" w:hAnsi="Arial" w:cs="Arial"/>
        </w:rPr>
        <w:t xml:space="preserve">, </w:t>
      </w:r>
      <w:r w:rsidRPr="0056261A">
        <w:rPr>
          <w:rFonts w:ascii="Arial" w:hAnsi="Arial" w:cs="Arial"/>
          <w:i/>
        </w:rPr>
        <w:t>Il potere sanzionatorio delle Autorità amministrative indipendenti</w:t>
      </w:r>
      <w:r w:rsidRPr="0056261A">
        <w:rPr>
          <w:rFonts w:ascii="Arial" w:hAnsi="Arial" w:cs="Arial"/>
        </w:rPr>
        <w:t xml:space="preserve">, </w:t>
      </w:r>
      <w:r w:rsidRPr="00D54F37">
        <w:rPr>
          <w:rFonts w:ascii="Arial" w:hAnsi="Arial" w:cs="Arial"/>
          <w:i/>
        </w:rPr>
        <w:t>op.cit</w:t>
      </w:r>
      <w:r w:rsidRPr="0056261A">
        <w:rPr>
          <w:rFonts w:ascii="Arial" w:hAnsi="Arial" w:cs="Arial"/>
        </w:rPr>
        <w:t>., pp. 307-308.</w:t>
      </w:r>
    </w:p>
  </w:footnote>
  <w:footnote w:id="69">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Cfr. Consiglio di Stato, VI, 3 dicembre 2018, n. 6844; TAR Lombardia, Milano, II, 20 agosto 2019, n. 1905; in dottrina, </w:t>
      </w:r>
      <w:r w:rsidRPr="0056261A">
        <w:rPr>
          <w:rFonts w:ascii="Arial" w:hAnsi="Arial" w:cs="Arial"/>
          <w:smallCaps/>
        </w:rPr>
        <w:t xml:space="preserve">W. </w:t>
      </w:r>
      <w:proofErr w:type="spellStart"/>
      <w:r w:rsidRPr="0056261A">
        <w:rPr>
          <w:rFonts w:ascii="Arial" w:hAnsi="Arial" w:cs="Arial"/>
          <w:smallCaps/>
        </w:rPr>
        <w:t>Troise</w:t>
      </w:r>
      <w:proofErr w:type="spellEnd"/>
      <w:r w:rsidRPr="0056261A">
        <w:rPr>
          <w:rFonts w:ascii="Arial" w:hAnsi="Arial" w:cs="Arial"/>
          <w:smallCaps/>
        </w:rPr>
        <w:t xml:space="preserve"> Mangoni</w:t>
      </w:r>
      <w:r w:rsidRPr="0056261A">
        <w:rPr>
          <w:rFonts w:ascii="Arial" w:hAnsi="Arial" w:cs="Arial"/>
        </w:rPr>
        <w:t xml:space="preserve">, </w:t>
      </w:r>
      <w:r w:rsidRPr="0056261A">
        <w:rPr>
          <w:rFonts w:ascii="Arial" w:hAnsi="Arial" w:cs="Arial"/>
          <w:i/>
        </w:rPr>
        <w:t xml:space="preserve">Le sanzioni irrogate dalla </w:t>
      </w:r>
      <w:r>
        <w:rPr>
          <w:rFonts w:ascii="Arial" w:hAnsi="Arial" w:cs="Arial"/>
          <w:i/>
        </w:rPr>
        <w:t>CONSOB</w:t>
      </w:r>
      <w:r w:rsidRPr="0056261A">
        <w:rPr>
          <w:rFonts w:ascii="Arial" w:hAnsi="Arial" w:cs="Arial"/>
          <w:i/>
        </w:rPr>
        <w:t xml:space="preserve"> e della Banca d’Italia: riflessi in tema di giurisdizione</w:t>
      </w:r>
      <w:r w:rsidRPr="0056261A">
        <w:rPr>
          <w:rFonts w:ascii="Arial" w:hAnsi="Arial" w:cs="Arial"/>
        </w:rPr>
        <w:t xml:space="preserve">, </w:t>
      </w:r>
      <w:r w:rsidRPr="00D54F37">
        <w:rPr>
          <w:rFonts w:ascii="Arial" w:hAnsi="Arial" w:cs="Arial"/>
          <w:i/>
        </w:rPr>
        <w:t>op.cit</w:t>
      </w:r>
      <w:r w:rsidRPr="0056261A">
        <w:rPr>
          <w:rFonts w:ascii="Arial" w:hAnsi="Arial" w:cs="Arial"/>
        </w:rPr>
        <w:t xml:space="preserve">., p. 47; </w:t>
      </w:r>
      <w:r w:rsidRPr="0056261A">
        <w:rPr>
          <w:rFonts w:ascii="Arial" w:hAnsi="Arial" w:cs="Arial"/>
          <w:smallCaps/>
        </w:rPr>
        <w:t xml:space="preserve">M. </w:t>
      </w:r>
      <w:proofErr w:type="spellStart"/>
      <w:r w:rsidRPr="0056261A">
        <w:rPr>
          <w:rFonts w:ascii="Arial" w:hAnsi="Arial" w:cs="Arial"/>
          <w:smallCaps/>
        </w:rPr>
        <w:t>Trimarchi</w:t>
      </w:r>
      <w:proofErr w:type="spellEnd"/>
      <w:r w:rsidRPr="0056261A">
        <w:rPr>
          <w:rFonts w:ascii="Arial" w:hAnsi="Arial" w:cs="Arial"/>
        </w:rPr>
        <w:t xml:space="preserve">, </w:t>
      </w:r>
      <w:r w:rsidRPr="0056261A">
        <w:rPr>
          <w:rFonts w:ascii="Arial" w:hAnsi="Arial" w:cs="Arial"/>
          <w:i/>
        </w:rPr>
        <w:t>Funzione di regolazione e potere sanzionatorio delle Autorità indipendenti</w:t>
      </w:r>
      <w:r w:rsidRPr="0056261A">
        <w:rPr>
          <w:rFonts w:ascii="Arial" w:hAnsi="Arial" w:cs="Arial"/>
        </w:rPr>
        <w:t xml:space="preserve">, in (a cura di) </w:t>
      </w:r>
      <w:r w:rsidRPr="0056261A">
        <w:rPr>
          <w:rFonts w:ascii="Arial" w:hAnsi="Arial" w:cs="Arial"/>
          <w:smallCaps/>
        </w:rPr>
        <w:t>M. Allena – S. Cimini</w:t>
      </w:r>
      <w:r w:rsidRPr="0056261A">
        <w:rPr>
          <w:rFonts w:ascii="Arial" w:hAnsi="Arial" w:cs="Arial"/>
        </w:rPr>
        <w:t xml:space="preserve">, </w:t>
      </w:r>
      <w:r w:rsidRPr="0056261A">
        <w:rPr>
          <w:rFonts w:ascii="Arial" w:hAnsi="Arial" w:cs="Arial"/>
          <w:i/>
        </w:rPr>
        <w:t>Il potere sanzionatorio delle Autorità amministrative indipendenti</w:t>
      </w:r>
      <w:r w:rsidRPr="0056261A">
        <w:rPr>
          <w:rFonts w:ascii="Arial" w:hAnsi="Arial" w:cs="Arial"/>
        </w:rPr>
        <w:t xml:space="preserve">, </w:t>
      </w:r>
      <w:r w:rsidRPr="00D54F37">
        <w:rPr>
          <w:rFonts w:ascii="Arial" w:hAnsi="Arial" w:cs="Arial"/>
          <w:i/>
        </w:rPr>
        <w:t>op.cit</w:t>
      </w:r>
      <w:r>
        <w:rPr>
          <w:rFonts w:ascii="Arial" w:hAnsi="Arial" w:cs="Arial"/>
        </w:rPr>
        <w:t xml:space="preserve">., </w:t>
      </w:r>
      <w:r w:rsidRPr="0056261A">
        <w:rPr>
          <w:rFonts w:ascii="Arial" w:hAnsi="Arial" w:cs="Arial"/>
        </w:rPr>
        <w:t xml:space="preserve">p. 85 ss.; altresì, </w:t>
      </w:r>
      <w:r w:rsidRPr="0056261A">
        <w:rPr>
          <w:rFonts w:ascii="Arial" w:hAnsi="Arial" w:cs="Arial"/>
          <w:smallCaps/>
        </w:rPr>
        <w:t>P. Pantalone</w:t>
      </w:r>
      <w:r w:rsidRPr="0056261A">
        <w:rPr>
          <w:rFonts w:ascii="Arial" w:hAnsi="Arial" w:cs="Arial"/>
        </w:rPr>
        <w:t xml:space="preserve">, </w:t>
      </w:r>
      <w:r w:rsidRPr="0056261A">
        <w:rPr>
          <w:rFonts w:ascii="Arial" w:hAnsi="Arial" w:cs="Arial"/>
          <w:i/>
        </w:rPr>
        <w:t xml:space="preserve">Principio di legalità e </w:t>
      </w:r>
      <w:proofErr w:type="spellStart"/>
      <w:r w:rsidRPr="00D54F37">
        <w:rPr>
          <w:rFonts w:ascii="Arial" w:hAnsi="Arial" w:cs="Arial"/>
          <w:i/>
        </w:rPr>
        <w:t>favor</w:t>
      </w:r>
      <w:proofErr w:type="spellEnd"/>
      <w:r w:rsidRPr="00D54F37">
        <w:rPr>
          <w:rFonts w:ascii="Arial" w:hAnsi="Arial" w:cs="Arial"/>
          <w:i/>
        </w:rPr>
        <w:t xml:space="preserve"> rei</w:t>
      </w:r>
      <w:r w:rsidRPr="0056261A">
        <w:rPr>
          <w:rFonts w:ascii="Arial" w:hAnsi="Arial" w:cs="Arial"/>
          <w:i/>
        </w:rPr>
        <w:t xml:space="preserve"> nelle sanzioni amministrative</w:t>
      </w:r>
      <w:r w:rsidRPr="0056261A">
        <w:rPr>
          <w:rFonts w:ascii="Arial" w:hAnsi="Arial" w:cs="Arial"/>
        </w:rPr>
        <w:t xml:space="preserve">, </w:t>
      </w:r>
      <w:r w:rsidRPr="0056261A">
        <w:rPr>
          <w:rFonts w:ascii="Arial" w:hAnsi="Arial" w:cs="Arial"/>
          <w:i/>
        </w:rPr>
        <w:t>ivi</w:t>
      </w:r>
      <w:r w:rsidRPr="0056261A">
        <w:rPr>
          <w:rFonts w:ascii="Arial" w:hAnsi="Arial" w:cs="Arial"/>
        </w:rPr>
        <w:t>, pp. 35-36.</w:t>
      </w:r>
    </w:p>
  </w:footnote>
  <w:footnote w:id="70">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Nello specifico, va evidenziato che il D. </w:t>
      </w:r>
      <w:proofErr w:type="spellStart"/>
      <w:r w:rsidRPr="0056261A">
        <w:rPr>
          <w:rFonts w:ascii="Arial" w:hAnsi="Arial" w:cs="Arial"/>
        </w:rPr>
        <w:t>Lgs</w:t>
      </w:r>
      <w:proofErr w:type="spellEnd"/>
      <w:r w:rsidRPr="0056261A">
        <w:rPr>
          <w:rFonts w:ascii="Arial" w:hAnsi="Arial" w:cs="Arial"/>
        </w:rPr>
        <w:t xml:space="preserve">. 16 marzo 1999, n. 79, ha introdotto – al fine di incrementare l’utilizzo delle fonti rinnovabili per la produzione dell’energia elettrica, quale modalità attraverso la quale perseguire obiettivi di tutela dell’ambiente – incentivi per la realizzazione di misure eco-compatibili, con lo scopo di rendere in prospettiva il sistema produttivo nazionale meno dipendente da combustibili fossili i cui costi sono in continuo aumento, assicurando altresì minori emissioni inquinanti. L’art. 11 del citato Decreto, recependo i criteri direttivi dettati dal </w:t>
      </w:r>
      <w:r>
        <w:rPr>
          <w:rFonts w:ascii="Arial" w:hAnsi="Arial" w:cs="Arial"/>
        </w:rPr>
        <w:t>Legislatore</w:t>
      </w:r>
      <w:r w:rsidRPr="0056261A">
        <w:rPr>
          <w:rFonts w:ascii="Arial" w:hAnsi="Arial" w:cs="Arial"/>
        </w:rPr>
        <w:t xml:space="preserve"> delegante, ha sancito l’obbligo, in capo ai produttori e importatori da fonti non rinnovabili, di immettere nel sistema una quantità di energia prodotta da nuovi impianti alimentati da fonti rinnovabili, in misura pari al </w:t>
      </w:r>
      <w:r>
        <w:rPr>
          <w:rFonts w:ascii="Arial" w:hAnsi="Arial" w:cs="Arial"/>
        </w:rPr>
        <w:t>due per cento</w:t>
      </w:r>
      <w:r w:rsidRPr="0056261A">
        <w:rPr>
          <w:rFonts w:ascii="Arial" w:hAnsi="Arial" w:cs="Arial"/>
        </w:rPr>
        <w:t xml:space="preserve"> dell’energia elettrica prodotta ed importata da fonti non rinnovabili nell’anno solare precedente. L’obbligo può essere rispettato sia in via diretta, immettendo nel sistema una certa quota di energia prodotta da nuovi impianti alimentati da fonti rinnovabili, sia in via indiretta, acquistando in tutto o in parte l’equivalente quota o i relativi diritti da altri produttori (ad esempio, attraverso i c.d. certificati verdi), purché immettano energia da fonti rinnovabili: T</w:t>
      </w:r>
      <w:r>
        <w:rPr>
          <w:rFonts w:ascii="Arial" w:hAnsi="Arial" w:cs="Arial"/>
          <w:color w:val="000000"/>
        </w:rPr>
        <w:t>AR</w:t>
      </w:r>
      <w:r w:rsidRPr="0056261A">
        <w:rPr>
          <w:rFonts w:ascii="Arial" w:hAnsi="Arial" w:cs="Arial"/>
          <w:color w:val="000000"/>
        </w:rPr>
        <w:t xml:space="preserve"> Lombardia, Milano, II, 6 agosto 2018, n. 1951</w:t>
      </w:r>
      <w:r w:rsidRPr="0056261A">
        <w:rPr>
          <w:rFonts w:ascii="Arial" w:hAnsi="Arial" w:cs="Arial"/>
        </w:rPr>
        <w:t>; con riguardo alle consimili sanzioni irrogate dal Ge</w:t>
      </w:r>
      <w:r>
        <w:rPr>
          <w:rFonts w:ascii="Arial" w:hAnsi="Arial" w:cs="Arial"/>
        </w:rPr>
        <w:t>store dei servizi energetici (GSE</w:t>
      </w:r>
      <w:r w:rsidRPr="0056261A">
        <w:rPr>
          <w:rFonts w:ascii="Arial" w:hAnsi="Arial" w:cs="Arial"/>
        </w:rPr>
        <w:t xml:space="preserve">), in materia di incentivi per le fonti da energia rinnovabile, cfr. </w:t>
      </w:r>
      <w:r w:rsidRPr="0056261A">
        <w:rPr>
          <w:rFonts w:ascii="Arial" w:hAnsi="Arial" w:cs="Arial"/>
          <w:smallCaps/>
        </w:rPr>
        <w:t>F. Scalia</w:t>
      </w:r>
      <w:r w:rsidRPr="0056261A">
        <w:rPr>
          <w:rFonts w:ascii="Arial" w:hAnsi="Arial" w:cs="Arial"/>
        </w:rPr>
        <w:t xml:space="preserve">, </w:t>
      </w:r>
      <w:r w:rsidRPr="0056261A">
        <w:rPr>
          <w:rFonts w:ascii="Arial" w:hAnsi="Arial" w:cs="Arial"/>
          <w:i/>
        </w:rPr>
        <w:t>Controlli e sanzioni in materia di incentivi alle fonti energetiche rinnovabili</w:t>
      </w:r>
      <w:r w:rsidRPr="0056261A">
        <w:rPr>
          <w:rFonts w:ascii="Arial" w:hAnsi="Arial" w:cs="Arial"/>
        </w:rPr>
        <w:t xml:space="preserve">, in </w:t>
      </w:r>
      <w:r w:rsidRPr="0056261A">
        <w:rPr>
          <w:rFonts w:ascii="Arial" w:hAnsi="Arial" w:cs="Arial"/>
          <w:i/>
        </w:rPr>
        <w:t>Federalismi</w:t>
      </w:r>
      <w:r w:rsidRPr="0056261A">
        <w:rPr>
          <w:rFonts w:ascii="Arial" w:hAnsi="Arial" w:cs="Arial"/>
        </w:rPr>
        <w:t>, 2018, n. 19.</w:t>
      </w:r>
    </w:p>
  </w:footnote>
  <w:footnote w:id="71">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T</w:t>
      </w:r>
      <w:r w:rsidRPr="0056261A">
        <w:rPr>
          <w:rFonts w:ascii="Arial" w:hAnsi="Arial" w:cs="Arial"/>
          <w:color w:val="000000"/>
        </w:rPr>
        <w:t>AR Lombardia, Milano, II, 6 agosto 2018, n. 1951.</w:t>
      </w:r>
    </w:p>
  </w:footnote>
  <w:footnote w:id="72">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Secondo Consiglio di Stato, VI, 1° dicembre 2015, n. 5421, la sanzione ha una finalità ripristinatoria, nella parte in cui viene determinata prendendo quale indice di riferimento il valore dei certificati verdi non acquistati, mentre presenta una valenza afflittiva nella parte residua, ossia in quella che supera il valore dei certificati.</w:t>
      </w:r>
    </w:p>
  </w:footnote>
  <w:footnote w:id="73">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Consiglio di Stato, VI, 1° dicembre 2015, n. 5421; in senso parzialmente contrario, T</w:t>
      </w:r>
      <w:r>
        <w:rPr>
          <w:rFonts w:ascii="Arial" w:hAnsi="Arial" w:cs="Arial"/>
          <w:color w:val="000000"/>
        </w:rPr>
        <w:t>AR</w:t>
      </w:r>
      <w:r w:rsidRPr="0056261A">
        <w:rPr>
          <w:rFonts w:ascii="Arial" w:hAnsi="Arial" w:cs="Arial"/>
          <w:color w:val="000000"/>
        </w:rPr>
        <w:t xml:space="preserve"> Lombardia, Milano, II, 6 agosto 2018, n. 1951.</w:t>
      </w:r>
    </w:p>
  </w:footnote>
  <w:footnote w:id="74">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T</w:t>
      </w:r>
      <w:r w:rsidRPr="0056261A">
        <w:rPr>
          <w:rFonts w:ascii="Arial" w:hAnsi="Arial" w:cs="Arial"/>
          <w:color w:val="000000"/>
        </w:rPr>
        <w:t>AR Lombardia, Milano, II, 6 agosto 2018, n. 1951.</w:t>
      </w:r>
    </w:p>
  </w:footnote>
  <w:footnote w:id="75">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Si pensi alla necessità di mantenere in equilibrio il settore elettrico per evitare </w:t>
      </w:r>
      <w:proofErr w:type="spellStart"/>
      <w:r w:rsidRPr="0056261A">
        <w:rPr>
          <w:rFonts w:ascii="Arial" w:hAnsi="Arial" w:cs="Arial"/>
          <w:i/>
        </w:rPr>
        <w:t>black</w:t>
      </w:r>
      <w:proofErr w:type="spellEnd"/>
      <w:r w:rsidRPr="0056261A">
        <w:rPr>
          <w:rFonts w:ascii="Arial" w:hAnsi="Arial" w:cs="Arial"/>
          <w:i/>
        </w:rPr>
        <w:t xml:space="preserve"> out</w:t>
      </w:r>
      <w:r w:rsidRPr="0056261A">
        <w:rPr>
          <w:rFonts w:ascii="Arial" w:hAnsi="Arial" w:cs="Arial"/>
        </w:rPr>
        <w:t>.</w:t>
      </w:r>
    </w:p>
  </w:footnote>
  <w:footnote w:id="76">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T</w:t>
      </w:r>
      <w:r w:rsidRPr="0056261A">
        <w:rPr>
          <w:rFonts w:ascii="Arial" w:hAnsi="Arial" w:cs="Arial"/>
          <w:color w:val="000000"/>
        </w:rPr>
        <w:t xml:space="preserve">AR Lombardia, Milano, II, 6 agosto 2018, n. 1951, ha </w:t>
      </w:r>
      <w:r w:rsidRPr="0056261A">
        <w:rPr>
          <w:rFonts w:ascii="Arial" w:hAnsi="Arial" w:cs="Arial"/>
        </w:rPr>
        <w:t>ritenuto legittima l’applicazione della disciplina vigente al momento della commissione del fatto e non quella in vigore alla data di conclusione del procedimento, che aveva abrogato la previsione sanzionatoria.</w:t>
      </w:r>
    </w:p>
  </w:footnote>
  <w:footnote w:id="77">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Il servizio di dispacciamento rinviene la sua ragion d’essere nel dato fisico per cui l’energia elettrica non può essere, in linea di principio, immagazzinata al pari di altri beni di valore economico, ma deve essere necessariamente prodotta e consumata nel momento in cui l’utente finale la richiede. L’attività di dispacciamento </w:t>
      </w:r>
      <w:r>
        <w:rPr>
          <w:rFonts w:ascii="Arial" w:hAnsi="Arial" w:cs="Arial"/>
        </w:rPr>
        <w:t>–</w:t>
      </w:r>
      <w:r w:rsidRPr="0056261A">
        <w:rPr>
          <w:rFonts w:ascii="Arial" w:hAnsi="Arial" w:cs="Arial"/>
        </w:rPr>
        <w:t xml:space="preserve"> esercitata su tutto il territorio nazionale in regime di concessione dal gestore della rete di trasmissione nazionale (Terna spa) </w:t>
      </w:r>
      <w:r>
        <w:rPr>
          <w:rFonts w:ascii="Arial" w:hAnsi="Arial" w:cs="Arial"/>
        </w:rPr>
        <w:t>–</w:t>
      </w:r>
      <w:r w:rsidRPr="0056261A">
        <w:rPr>
          <w:rFonts w:ascii="Arial" w:hAnsi="Arial" w:cs="Arial"/>
        </w:rPr>
        <w:t xml:space="preserve"> ha quindi la funzione di assicurare, in ogni momento, l’equilibrio fra produzione e consumo di energia elettrica, garantendo la sicurezza e continuità di fornitura di elettricità, ovvero evitando gli sprechi, che conseguirebbero ad una superproduzione rispetto al consumo, e i distacchi, ovvero i </w:t>
      </w:r>
      <w:r w:rsidRPr="00290D77">
        <w:rPr>
          <w:rFonts w:ascii="Arial" w:hAnsi="Arial" w:cs="Arial"/>
          <w:i/>
        </w:rPr>
        <w:t>blackout</w:t>
      </w:r>
      <w:r w:rsidRPr="0056261A">
        <w:rPr>
          <w:rFonts w:ascii="Arial" w:hAnsi="Arial" w:cs="Arial"/>
        </w:rPr>
        <w:t xml:space="preserve"> che conseguirebbero ad un sovra-consumo rispetto alla produzione. Se gli operatori del mercato, ossia le singole imprese elettriche, non programmano correttamente gli acquisti provocano uno sbilanciamento sul mercato, che garantisce alle stesse un indebito vantaggio economico e provoca costi e rischi di danni al sistema complessivo: </w:t>
      </w:r>
      <w:r w:rsidRPr="0056261A">
        <w:rPr>
          <w:rFonts w:ascii="Arial" w:hAnsi="Arial" w:cs="Arial"/>
          <w:i/>
        </w:rPr>
        <w:t xml:space="preserve">ex </w:t>
      </w:r>
      <w:proofErr w:type="spellStart"/>
      <w:r w:rsidRPr="0056261A">
        <w:rPr>
          <w:rFonts w:ascii="Arial" w:hAnsi="Arial" w:cs="Arial"/>
          <w:i/>
        </w:rPr>
        <w:t>multis</w:t>
      </w:r>
      <w:proofErr w:type="spellEnd"/>
      <w:r w:rsidRPr="0056261A">
        <w:rPr>
          <w:rFonts w:ascii="Arial" w:hAnsi="Arial" w:cs="Arial"/>
        </w:rPr>
        <w:t xml:space="preserve">, Consiglio di Stato, VI, 27 giugno 2019, n. 4422; cfr. sullo sbilanciamento, anche </w:t>
      </w:r>
      <w:r w:rsidRPr="0056261A">
        <w:rPr>
          <w:rFonts w:ascii="Arial" w:hAnsi="Arial" w:cs="Arial"/>
          <w:smallCaps/>
        </w:rPr>
        <w:t>A. Marra</w:t>
      </w:r>
      <w:r w:rsidRPr="0056261A">
        <w:rPr>
          <w:rFonts w:ascii="Arial" w:hAnsi="Arial" w:cs="Arial"/>
        </w:rPr>
        <w:t xml:space="preserve">, </w:t>
      </w:r>
      <w:r w:rsidRPr="0056261A">
        <w:rPr>
          <w:rFonts w:ascii="Arial" w:hAnsi="Arial" w:cs="Arial"/>
          <w:i/>
        </w:rPr>
        <w:t>Brevi note sugli effetti dell’annullamento di una delibera dell’</w:t>
      </w:r>
      <w:proofErr w:type="spellStart"/>
      <w:r w:rsidRPr="0056261A">
        <w:rPr>
          <w:rFonts w:ascii="Arial" w:hAnsi="Arial" w:cs="Arial"/>
          <w:i/>
        </w:rPr>
        <w:t>Arera</w:t>
      </w:r>
      <w:proofErr w:type="spellEnd"/>
      <w:r w:rsidRPr="0056261A">
        <w:rPr>
          <w:rFonts w:ascii="Arial" w:hAnsi="Arial" w:cs="Arial"/>
          <w:i/>
        </w:rPr>
        <w:t xml:space="preserve"> in tema di costi di sbilanciamento e sul legittimo affidamento delle imprese</w:t>
      </w:r>
      <w:r w:rsidRPr="0056261A">
        <w:rPr>
          <w:rFonts w:ascii="Arial" w:hAnsi="Arial" w:cs="Arial"/>
        </w:rPr>
        <w:t xml:space="preserve">, in </w:t>
      </w:r>
      <w:proofErr w:type="spellStart"/>
      <w:r w:rsidRPr="0056261A">
        <w:rPr>
          <w:rFonts w:ascii="Arial" w:hAnsi="Arial" w:cs="Arial"/>
          <w:i/>
        </w:rPr>
        <w:t>Riv</w:t>
      </w:r>
      <w:proofErr w:type="spellEnd"/>
      <w:r w:rsidRPr="0056261A">
        <w:rPr>
          <w:rFonts w:ascii="Arial" w:hAnsi="Arial" w:cs="Arial"/>
          <w:i/>
        </w:rPr>
        <w:t>. reg. mercati</w:t>
      </w:r>
      <w:r w:rsidRPr="0056261A">
        <w:rPr>
          <w:rFonts w:ascii="Arial" w:hAnsi="Arial" w:cs="Arial"/>
        </w:rPr>
        <w:t>, 2018, n. 2, p. 2.</w:t>
      </w:r>
    </w:p>
  </w:footnote>
  <w:footnote w:id="78">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 xml:space="preserve">Invoca la necessità di regole certe da porre a fondamento del potere amministrativo, </w:t>
      </w:r>
      <w:r w:rsidRPr="0056261A">
        <w:rPr>
          <w:rFonts w:ascii="Arial" w:hAnsi="Arial" w:cs="Arial"/>
          <w:smallCaps/>
        </w:rPr>
        <w:t>A. Travi</w:t>
      </w:r>
      <w:r w:rsidRPr="0056261A">
        <w:rPr>
          <w:rFonts w:ascii="Arial" w:hAnsi="Arial" w:cs="Arial"/>
        </w:rPr>
        <w:t xml:space="preserve">, </w:t>
      </w:r>
      <w:r w:rsidRPr="0056261A">
        <w:rPr>
          <w:rFonts w:ascii="Arial" w:hAnsi="Arial" w:cs="Arial"/>
          <w:i/>
        </w:rPr>
        <w:t>Incertezza delle regole e sanzioni amministrative</w:t>
      </w:r>
      <w:r w:rsidRPr="0056261A">
        <w:rPr>
          <w:rFonts w:ascii="Arial" w:hAnsi="Arial" w:cs="Arial"/>
        </w:rPr>
        <w:t xml:space="preserve">, </w:t>
      </w:r>
      <w:r w:rsidRPr="00290D77">
        <w:rPr>
          <w:rFonts w:ascii="Arial" w:hAnsi="Arial" w:cs="Arial"/>
          <w:i/>
        </w:rPr>
        <w:t>op.cit</w:t>
      </w:r>
      <w:r>
        <w:rPr>
          <w:rFonts w:ascii="Arial" w:hAnsi="Arial" w:cs="Arial"/>
        </w:rPr>
        <w:t>., p</w:t>
      </w:r>
      <w:r w:rsidRPr="0056261A">
        <w:rPr>
          <w:rFonts w:ascii="Arial" w:hAnsi="Arial" w:cs="Arial"/>
        </w:rPr>
        <w:t xml:space="preserve">. 636 ss.; </w:t>
      </w:r>
      <w:r w:rsidRPr="0056261A">
        <w:rPr>
          <w:rFonts w:ascii="Arial" w:hAnsi="Arial" w:cs="Arial"/>
          <w:smallCaps/>
        </w:rPr>
        <w:t>M. Allena</w:t>
      </w:r>
      <w:r w:rsidRPr="0056261A">
        <w:rPr>
          <w:rFonts w:ascii="Arial" w:hAnsi="Arial" w:cs="Arial"/>
        </w:rPr>
        <w:t xml:space="preserve">, </w:t>
      </w:r>
      <w:r w:rsidRPr="0056261A">
        <w:rPr>
          <w:rFonts w:ascii="Arial" w:hAnsi="Arial" w:cs="Arial"/>
          <w:i/>
        </w:rPr>
        <w:t>La sanzione amministrativa tra garanzie costituzionali e princ</w:t>
      </w:r>
      <w:r>
        <w:rPr>
          <w:rFonts w:ascii="Arial" w:hAnsi="Arial" w:cs="Arial"/>
          <w:i/>
        </w:rPr>
        <w:t>ì</w:t>
      </w:r>
      <w:r w:rsidRPr="0056261A">
        <w:rPr>
          <w:rFonts w:ascii="Arial" w:hAnsi="Arial" w:cs="Arial"/>
          <w:i/>
        </w:rPr>
        <w:t>pi CEDU: il problema della tassatività-determinatezza e la prevedibilità</w:t>
      </w:r>
      <w:r w:rsidRPr="0056261A">
        <w:rPr>
          <w:rFonts w:ascii="Arial" w:hAnsi="Arial" w:cs="Arial"/>
        </w:rPr>
        <w:t xml:space="preserve">, </w:t>
      </w:r>
      <w:r w:rsidRPr="00290D77">
        <w:rPr>
          <w:rFonts w:ascii="Arial" w:hAnsi="Arial" w:cs="Arial"/>
          <w:i/>
        </w:rPr>
        <w:t>op.cit</w:t>
      </w:r>
      <w:r w:rsidRPr="0056261A">
        <w:rPr>
          <w:rFonts w:ascii="Arial" w:hAnsi="Arial" w:cs="Arial"/>
        </w:rPr>
        <w:t xml:space="preserve">., </w:t>
      </w:r>
      <w:r w:rsidRPr="0056261A">
        <w:rPr>
          <w:rFonts w:ascii="Arial" w:hAnsi="Arial" w:cs="Arial"/>
          <w:i/>
        </w:rPr>
        <w:t>passim</w:t>
      </w:r>
      <w:r w:rsidRPr="0056261A">
        <w:rPr>
          <w:rFonts w:ascii="Arial" w:hAnsi="Arial" w:cs="Arial"/>
        </w:rPr>
        <w:t>.</w:t>
      </w:r>
    </w:p>
  </w:footnote>
  <w:footnote w:id="79">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Cfr. art. 14.6 dell’Allegato A alla Delibera n. 111/06 dell’Autorità per l’energia elettrica e il gas.</w:t>
      </w:r>
    </w:p>
  </w:footnote>
  <w:footnote w:id="80">
    <w:p w:rsidR="00AC68CA" w:rsidRPr="0056261A" w:rsidRDefault="00AC68CA" w:rsidP="00251A7E">
      <w:pPr>
        <w:pStyle w:val="Testonotaapidipagina"/>
        <w:ind w:left="426" w:hanging="426"/>
        <w:jc w:val="both"/>
        <w:rPr>
          <w:rFonts w:ascii="Arial" w:hAnsi="Arial" w:cs="Arial"/>
        </w:rPr>
      </w:pPr>
      <w:r>
        <w:rPr>
          <w:rFonts w:ascii="Arial" w:hAnsi="Arial" w:cs="Arial"/>
        </w:rPr>
        <w:t>(</w:t>
      </w:r>
      <w:r w:rsidRPr="0056261A">
        <w:rPr>
          <w:rStyle w:val="Rimandonotaapidipagina"/>
          <w:rFonts w:ascii="Arial" w:hAnsi="Arial" w:cs="Arial"/>
        </w:rPr>
        <w:footnoteRef/>
      </w:r>
      <w:r>
        <w:rPr>
          <w:rFonts w:ascii="Arial" w:hAnsi="Arial" w:cs="Arial"/>
        </w:rPr>
        <w:t>)</w:t>
      </w:r>
      <w:r>
        <w:rPr>
          <w:rFonts w:ascii="Arial" w:hAnsi="Arial" w:cs="Arial"/>
        </w:rPr>
        <w:tab/>
      </w:r>
      <w:r w:rsidRPr="0056261A">
        <w:rPr>
          <w:rFonts w:ascii="Arial" w:hAnsi="Arial" w:cs="Arial"/>
        </w:rPr>
        <w:t>TAR Lombardia, Milano, II, 21 settembre 2017, n. 1839.</w:t>
      </w:r>
    </w:p>
  </w:footnote>
  <w:footnote w:id="81">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TAR Lombardia, Milano, II, 25 febbraio 2019, n. 389.</w:t>
      </w:r>
    </w:p>
  </w:footnote>
  <w:footnote w:id="82">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 xml:space="preserve">Cfr. </w:t>
      </w:r>
      <w:r w:rsidR="00AC68CA" w:rsidRPr="0056261A">
        <w:rPr>
          <w:rFonts w:ascii="Arial" w:hAnsi="Arial" w:cs="Arial"/>
          <w:smallCaps/>
        </w:rPr>
        <w:t xml:space="preserve">W. </w:t>
      </w:r>
      <w:proofErr w:type="spellStart"/>
      <w:r w:rsidR="00AC68CA" w:rsidRPr="0056261A">
        <w:rPr>
          <w:rFonts w:ascii="Arial" w:hAnsi="Arial" w:cs="Arial"/>
          <w:smallCaps/>
        </w:rPr>
        <w:t>Troise</w:t>
      </w:r>
      <w:proofErr w:type="spellEnd"/>
      <w:r w:rsidR="00AC68CA" w:rsidRPr="0056261A">
        <w:rPr>
          <w:rFonts w:ascii="Arial" w:hAnsi="Arial" w:cs="Arial"/>
          <w:smallCaps/>
        </w:rPr>
        <w:t xml:space="preserve"> Mangoni</w:t>
      </w:r>
      <w:r w:rsidR="00AC68CA" w:rsidRPr="0056261A">
        <w:rPr>
          <w:rFonts w:ascii="Arial" w:hAnsi="Arial" w:cs="Arial"/>
        </w:rPr>
        <w:t xml:space="preserve">, </w:t>
      </w:r>
      <w:r w:rsidR="00AC68CA" w:rsidRPr="0056261A">
        <w:rPr>
          <w:rFonts w:ascii="Arial" w:hAnsi="Arial" w:cs="Arial"/>
          <w:i/>
        </w:rPr>
        <w:t xml:space="preserve">Le sanzioni irrogate dalla </w:t>
      </w:r>
      <w:r w:rsidR="00AC68CA">
        <w:rPr>
          <w:rFonts w:ascii="Arial" w:hAnsi="Arial" w:cs="Arial"/>
          <w:i/>
        </w:rPr>
        <w:t>CONSOB</w:t>
      </w:r>
      <w:r w:rsidR="00AC68CA" w:rsidRPr="0056261A">
        <w:rPr>
          <w:rFonts w:ascii="Arial" w:hAnsi="Arial" w:cs="Arial"/>
          <w:i/>
        </w:rPr>
        <w:t xml:space="preserve"> e della Banca d’Italia: riflessi in tema di giurisdizione</w:t>
      </w:r>
      <w:r w:rsidR="00AC68CA" w:rsidRPr="0056261A">
        <w:rPr>
          <w:rFonts w:ascii="Arial" w:hAnsi="Arial" w:cs="Arial"/>
        </w:rPr>
        <w:t>,</w:t>
      </w:r>
      <w:r w:rsidR="00B75A5C" w:rsidRPr="00B75A5C">
        <w:rPr>
          <w:rFonts w:ascii="Arial" w:hAnsi="Arial" w:cs="Arial"/>
          <w:i/>
        </w:rPr>
        <w:t xml:space="preserve"> </w:t>
      </w:r>
      <w:r w:rsidR="00B75A5C" w:rsidRPr="00234445">
        <w:rPr>
          <w:rFonts w:ascii="Arial" w:hAnsi="Arial" w:cs="Arial"/>
          <w:i/>
        </w:rPr>
        <w:t>op.cit</w:t>
      </w:r>
      <w:r w:rsidR="00B75A5C" w:rsidRPr="00234445">
        <w:rPr>
          <w:rFonts w:ascii="Arial" w:hAnsi="Arial" w:cs="Arial"/>
        </w:rPr>
        <w:t>.,</w:t>
      </w:r>
      <w:r w:rsidR="00AC68CA" w:rsidRPr="0056261A">
        <w:rPr>
          <w:rFonts w:ascii="Arial" w:hAnsi="Arial" w:cs="Arial"/>
        </w:rPr>
        <w:t xml:space="preserve"> 47.</w:t>
      </w:r>
    </w:p>
  </w:footnote>
  <w:footnote w:id="83">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TAR Lombardia, Milano, II, 25 ottobre 2019, n. 2264.</w:t>
      </w:r>
    </w:p>
  </w:footnote>
  <w:footnote w:id="84">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 xml:space="preserve">È stata individuata una soglia di tolleranza alquanto elevata (pari al </w:t>
      </w:r>
      <w:r>
        <w:rPr>
          <w:rFonts w:ascii="Arial" w:hAnsi="Arial" w:cs="Arial"/>
        </w:rPr>
        <w:t>trenta per cento</w:t>
      </w:r>
      <w:r w:rsidR="00AC68CA" w:rsidRPr="0056261A">
        <w:rPr>
          <w:rFonts w:ascii="Arial" w:hAnsi="Arial" w:cs="Arial"/>
        </w:rPr>
        <w:t xml:space="preserve">), al di sotto della quale l’operatore non può essere chiamato a rispondere della sua condotta, visto che la maggioranza degli utenti del dispacciamento ha sbilanciato </w:t>
      </w:r>
      <w:r>
        <w:rPr>
          <w:rFonts w:ascii="Arial" w:hAnsi="Arial" w:cs="Arial"/>
        </w:rPr>
        <w:t>in misura di molto inferiore: TAR</w:t>
      </w:r>
      <w:r w:rsidR="00AC68CA" w:rsidRPr="0056261A">
        <w:rPr>
          <w:rFonts w:ascii="Arial" w:hAnsi="Arial" w:cs="Arial"/>
        </w:rPr>
        <w:t xml:space="preserve"> Lombardia, Milano, II, 25 febbraio 2019, n. 389.</w:t>
      </w:r>
    </w:p>
  </w:footnote>
  <w:footnote w:id="85">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 xml:space="preserve">Sul punto, Corte europea dei diritti dell’uomo, II, sentenza 4 marzo 2014, </w:t>
      </w:r>
      <w:proofErr w:type="spellStart"/>
      <w:r w:rsidR="00AC68CA" w:rsidRPr="0056261A">
        <w:rPr>
          <w:rFonts w:ascii="Arial" w:hAnsi="Arial" w:cs="Arial"/>
        </w:rPr>
        <w:t>ricc</w:t>
      </w:r>
      <w:proofErr w:type="spellEnd"/>
      <w:r w:rsidR="00AC68CA" w:rsidRPr="0056261A">
        <w:rPr>
          <w:rFonts w:ascii="Arial" w:hAnsi="Arial" w:cs="Arial"/>
        </w:rPr>
        <w:t xml:space="preserve">. </w:t>
      </w:r>
      <w:proofErr w:type="spellStart"/>
      <w:r w:rsidR="00AC68CA" w:rsidRPr="0056261A">
        <w:rPr>
          <w:rFonts w:ascii="Arial" w:hAnsi="Arial" w:cs="Arial"/>
        </w:rPr>
        <w:t>nn</w:t>
      </w:r>
      <w:proofErr w:type="spellEnd"/>
      <w:r w:rsidR="00AC68CA" w:rsidRPr="0056261A">
        <w:rPr>
          <w:rFonts w:ascii="Arial" w:hAnsi="Arial" w:cs="Arial"/>
        </w:rPr>
        <w:t xml:space="preserve">. 18640/10, 18647/10, 18663/10, 18668/10 e 18698/10, causa </w:t>
      </w:r>
      <w:r w:rsidR="00AC68CA" w:rsidRPr="0056261A">
        <w:rPr>
          <w:rFonts w:ascii="Arial" w:hAnsi="Arial" w:cs="Arial"/>
          <w:i/>
        </w:rPr>
        <w:t>Grande Stevens e altri contro Italia</w:t>
      </w:r>
      <w:r w:rsidR="00AC68CA" w:rsidRPr="0056261A">
        <w:rPr>
          <w:rFonts w:ascii="Arial" w:hAnsi="Arial" w:cs="Arial"/>
        </w:rPr>
        <w:t>, secondo la quale deve stabilirsi “</w:t>
      </w:r>
      <w:r w:rsidR="00AC68CA" w:rsidRPr="00932681">
        <w:rPr>
          <w:rFonts w:ascii="Arial" w:hAnsi="Arial" w:cs="Arial"/>
        </w:rPr>
        <w:t>un rapporto ragionevole di proporzionalità tra i mezzi impiegati e lo scopo perseguito, e dunque un «giusto equilibrio» tra le esigenze dell’interesse generale della collettività e quelle della tutela dei diritti fondamentali dell’individuo”.</w:t>
      </w:r>
    </w:p>
  </w:footnote>
  <w:footnote w:id="86">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TAR Lombardia, Milano, II, 25 febbraio 2019, n. 389.</w:t>
      </w:r>
    </w:p>
  </w:footnote>
  <w:footnote w:id="87">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 xml:space="preserve">Corte europea dei diritti dell’uomo, 1° febbraio 2005, causa </w:t>
      </w:r>
      <w:proofErr w:type="spellStart"/>
      <w:r w:rsidR="00AC68CA" w:rsidRPr="0056261A">
        <w:rPr>
          <w:rFonts w:ascii="Arial" w:hAnsi="Arial" w:cs="Arial"/>
          <w:i/>
        </w:rPr>
        <w:t>Ziliberberg</w:t>
      </w:r>
      <w:proofErr w:type="spellEnd"/>
      <w:r w:rsidR="00AC68CA" w:rsidRPr="0056261A">
        <w:rPr>
          <w:rFonts w:ascii="Arial" w:hAnsi="Arial" w:cs="Arial"/>
          <w:i/>
        </w:rPr>
        <w:t xml:space="preserve"> contro Moldova</w:t>
      </w:r>
      <w:r w:rsidR="00AC68CA" w:rsidRPr="0056261A">
        <w:rPr>
          <w:rFonts w:ascii="Arial" w:hAnsi="Arial" w:cs="Arial"/>
        </w:rPr>
        <w:t>, § 32.</w:t>
      </w:r>
    </w:p>
  </w:footnote>
  <w:footnote w:id="88">
    <w:p w:rsidR="00AC68CA" w:rsidRPr="00932681"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 xml:space="preserve">T.A.R. Lombardia, Milano, II, 20 agosto 2019, n. 1905; 16 luglio 2015, n. 1660; cfr. Corte costituzionale, sentenza 12 maggio 2016, n. 102, che afferma come risulti </w:t>
      </w:r>
      <w:r w:rsidR="00AC68CA" w:rsidRPr="00932681">
        <w:rPr>
          <w:rFonts w:ascii="Arial" w:hAnsi="Arial" w:cs="Arial"/>
        </w:rPr>
        <w:t>“pacifico, in base alla consolidata giurisprudenza europea, che il divieto di bis in idem ha carattere processuale, e non sostanziale. Esso, in altre parole, permette agli Stati aderenti di punire il medesimo fatto a più titoli, e con diverse sanzioni, ma richiede che ciò avvenga in un unico procedimento o attraverso procedimenti fra loro coordinati, nel rispetto della condizione che non si proceda per uno di essi quando è divenuta definitiva la pronuncia relativa all’altro”.</w:t>
      </w:r>
    </w:p>
  </w:footnote>
  <w:footnote w:id="89">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Corte europ</w:t>
      </w:r>
      <w:r>
        <w:rPr>
          <w:rFonts w:ascii="Arial" w:hAnsi="Arial" w:cs="Arial"/>
        </w:rPr>
        <w:t>ea dei diritti dell’uomo, g</w:t>
      </w:r>
      <w:r w:rsidR="00AC68CA" w:rsidRPr="0056261A">
        <w:rPr>
          <w:rFonts w:ascii="Arial" w:hAnsi="Arial" w:cs="Arial"/>
        </w:rPr>
        <w:t xml:space="preserve">rande </w:t>
      </w:r>
      <w:r>
        <w:rPr>
          <w:rFonts w:ascii="Arial" w:hAnsi="Arial" w:cs="Arial"/>
        </w:rPr>
        <w:t>c</w:t>
      </w:r>
      <w:r w:rsidR="00AC68CA" w:rsidRPr="0056261A">
        <w:rPr>
          <w:rFonts w:ascii="Arial" w:hAnsi="Arial" w:cs="Arial"/>
        </w:rPr>
        <w:t xml:space="preserve">amera, sentenza 10 febbraio 2009, ric. n. 14939/03, causa </w:t>
      </w:r>
      <w:proofErr w:type="spellStart"/>
      <w:r w:rsidR="00AC68CA" w:rsidRPr="0056261A">
        <w:rPr>
          <w:rFonts w:ascii="Arial" w:hAnsi="Arial" w:cs="Arial"/>
          <w:i/>
        </w:rPr>
        <w:t>Sergueï</w:t>
      </w:r>
      <w:proofErr w:type="spellEnd"/>
      <w:r w:rsidR="00AC68CA" w:rsidRPr="0056261A">
        <w:rPr>
          <w:rFonts w:ascii="Arial" w:hAnsi="Arial" w:cs="Arial"/>
          <w:i/>
        </w:rPr>
        <w:t xml:space="preserve"> </w:t>
      </w:r>
      <w:proofErr w:type="spellStart"/>
      <w:r w:rsidR="00AC68CA" w:rsidRPr="0056261A">
        <w:rPr>
          <w:rFonts w:ascii="Arial" w:hAnsi="Arial" w:cs="Arial"/>
          <w:i/>
        </w:rPr>
        <w:t>Zolotoukhine</w:t>
      </w:r>
      <w:proofErr w:type="spellEnd"/>
      <w:r w:rsidR="00AC68CA" w:rsidRPr="0056261A">
        <w:rPr>
          <w:rFonts w:ascii="Arial" w:hAnsi="Arial" w:cs="Arial"/>
          <w:i/>
        </w:rPr>
        <w:t xml:space="preserve"> c. Russia</w:t>
      </w:r>
      <w:r w:rsidR="00AC68CA" w:rsidRPr="0056261A">
        <w:rPr>
          <w:rFonts w:ascii="Arial" w:hAnsi="Arial" w:cs="Arial"/>
        </w:rPr>
        <w:t>.</w:t>
      </w:r>
    </w:p>
  </w:footnote>
  <w:footnote w:id="90">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 xml:space="preserve">In generale, </w:t>
      </w:r>
      <w:r w:rsidR="00AC68CA" w:rsidRPr="0056261A">
        <w:rPr>
          <w:rFonts w:ascii="Arial" w:hAnsi="Arial" w:cs="Arial"/>
          <w:smallCaps/>
        </w:rPr>
        <w:t>A. Travi</w:t>
      </w:r>
      <w:r w:rsidR="00AC68CA" w:rsidRPr="0056261A">
        <w:rPr>
          <w:rFonts w:ascii="Arial" w:hAnsi="Arial" w:cs="Arial"/>
        </w:rPr>
        <w:t xml:space="preserve">, </w:t>
      </w:r>
      <w:r w:rsidR="00AC68CA" w:rsidRPr="0056261A">
        <w:rPr>
          <w:rFonts w:ascii="Arial" w:hAnsi="Arial" w:cs="Arial"/>
          <w:i/>
        </w:rPr>
        <w:t>La disciplina tariffaria nel servizio idrico integrato</w:t>
      </w:r>
      <w:r w:rsidR="00AC68CA" w:rsidRPr="0056261A">
        <w:rPr>
          <w:rFonts w:ascii="Arial" w:hAnsi="Arial" w:cs="Arial"/>
        </w:rPr>
        <w:t xml:space="preserve">, in </w:t>
      </w:r>
      <w:proofErr w:type="spellStart"/>
      <w:r w:rsidR="00AC68CA" w:rsidRPr="0056261A">
        <w:rPr>
          <w:rFonts w:ascii="Arial" w:hAnsi="Arial" w:cs="Arial"/>
          <w:i/>
        </w:rPr>
        <w:t>Riv</w:t>
      </w:r>
      <w:proofErr w:type="spellEnd"/>
      <w:r w:rsidR="00AC68CA" w:rsidRPr="0056261A">
        <w:rPr>
          <w:rFonts w:ascii="Arial" w:hAnsi="Arial" w:cs="Arial"/>
          <w:i/>
        </w:rPr>
        <w:t>. reg. mercati</w:t>
      </w:r>
      <w:r w:rsidR="00AC68CA" w:rsidRPr="0056261A">
        <w:rPr>
          <w:rFonts w:ascii="Arial" w:hAnsi="Arial" w:cs="Arial"/>
        </w:rPr>
        <w:t>, 2014, n. 1.</w:t>
      </w:r>
    </w:p>
  </w:footnote>
  <w:footnote w:id="91">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Consiglio di Stato, VI, 27 novembre 2017, n. 5531.</w:t>
      </w:r>
    </w:p>
  </w:footnote>
  <w:footnote w:id="92">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 xml:space="preserve">Art. 3, primo comma, </w:t>
      </w:r>
      <w:proofErr w:type="spellStart"/>
      <w:r w:rsidR="00AC68CA" w:rsidRPr="0056261A">
        <w:rPr>
          <w:rFonts w:ascii="Arial" w:hAnsi="Arial" w:cs="Arial"/>
        </w:rPr>
        <w:t>lett</w:t>
      </w:r>
      <w:proofErr w:type="spellEnd"/>
      <w:r w:rsidR="00AC68CA" w:rsidRPr="0056261A">
        <w:rPr>
          <w:rFonts w:ascii="Arial" w:hAnsi="Arial" w:cs="Arial"/>
        </w:rPr>
        <w:t>. f, del D.P.C.M. 20 luglio 2012 e art. 4.5 della delibera dell’Autorità n. 88 del 2013.</w:t>
      </w:r>
    </w:p>
  </w:footnote>
  <w:footnote w:id="93">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 xml:space="preserve">Cfr. art. 9 della </w:t>
      </w:r>
      <w:r w:rsidR="00AC68CA">
        <w:rPr>
          <w:rFonts w:ascii="Arial" w:hAnsi="Arial" w:cs="Arial"/>
        </w:rPr>
        <w:t>Direttiva</w:t>
      </w:r>
      <w:r w:rsidR="00AC68CA" w:rsidRPr="0056261A">
        <w:rPr>
          <w:rFonts w:ascii="Arial" w:hAnsi="Arial" w:cs="Arial"/>
        </w:rPr>
        <w:t xml:space="preserve"> 2000/60/CE; altresì Comunicazione del 26 luglio 2000 della Commissione Europea COM(2000)477, recepiti nell’ordinamento interno attraverso l’art. 154, comma 1, del D. </w:t>
      </w:r>
      <w:proofErr w:type="spellStart"/>
      <w:r w:rsidR="00AC68CA" w:rsidRPr="0056261A">
        <w:rPr>
          <w:rFonts w:ascii="Arial" w:hAnsi="Arial" w:cs="Arial"/>
        </w:rPr>
        <w:t>Lgs</w:t>
      </w:r>
      <w:proofErr w:type="spellEnd"/>
      <w:r w:rsidR="00AC68CA" w:rsidRPr="0056261A">
        <w:rPr>
          <w:rFonts w:ascii="Arial" w:hAnsi="Arial" w:cs="Arial"/>
        </w:rPr>
        <w:t xml:space="preserve">. n. </w:t>
      </w:r>
      <w:r>
        <w:rPr>
          <w:rFonts w:ascii="Arial" w:hAnsi="Arial" w:cs="Arial"/>
        </w:rPr>
        <w:t>152 del 2006: cfr. anche Corte C</w:t>
      </w:r>
      <w:r w:rsidR="00AC68CA" w:rsidRPr="0056261A">
        <w:rPr>
          <w:rFonts w:ascii="Arial" w:hAnsi="Arial" w:cs="Arial"/>
        </w:rPr>
        <w:t>ostituzionale, sentenza n. 26 del 26 gennaio 2011.</w:t>
      </w:r>
    </w:p>
  </w:footnote>
  <w:footnote w:id="94">
    <w:p w:rsidR="00AC68CA" w:rsidRPr="0056261A" w:rsidRDefault="00932681" w:rsidP="00251A7E">
      <w:pPr>
        <w:pStyle w:val="Testonotaapidipagina"/>
        <w:ind w:left="426" w:hanging="426"/>
        <w:jc w:val="both"/>
        <w:rPr>
          <w:rFonts w:ascii="Arial" w:hAnsi="Arial" w:cs="Arial"/>
        </w:rPr>
      </w:pPr>
      <w:r>
        <w:rPr>
          <w:rFonts w:ascii="Arial" w:hAnsi="Arial" w:cs="Arial"/>
        </w:rPr>
        <w:t>(</w:t>
      </w:r>
      <w:r w:rsidR="00AC68CA" w:rsidRPr="0056261A">
        <w:rPr>
          <w:rStyle w:val="Rimandonotaapidipagina"/>
          <w:rFonts w:ascii="Arial" w:hAnsi="Arial" w:cs="Arial"/>
        </w:rPr>
        <w:footnoteRef/>
      </w:r>
      <w:r>
        <w:rPr>
          <w:rFonts w:ascii="Arial" w:hAnsi="Arial" w:cs="Arial"/>
        </w:rPr>
        <w:t>)</w:t>
      </w:r>
      <w:r>
        <w:rPr>
          <w:rFonts w:ascii="Arial" w:hAnsi="Arial" w:cs="Arial"/>
        </w:rPr>
        <w:tab/>
      </w:r>
      <w:r w:rsidR="00AC68CA" w:rsidRPr="0056261A">
        <w:rPr>
          <w:rFonts w:ascii="Arial" w:hAnsi="Arial" w:cs="Arial"/>
        </w:rPr>
        <w:t>TAR Lombardia, Milano, II, 6 febbraio 2018, n. 345.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265"/>
    <w:multiLevelType w:val="hybridMultilevel"/>
    <w:tmpl w:val="428435EC"/>
    <w:lvl w:ilvl="0" w:tplc="EFDEC04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9D157A8"/>
    <w:multiLevelType w:val="hybridMultilevel"/>
    <w:tmpl w:val="B5D663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D226722"/>
    <w:multiLevelType w:val="hybridMultilevel"/>
    <w:tmpl w:val="8F621384"/>
    <w:lvl w:ilvl="0" w:tplc="D176514E">
      <w:start w:val="1"/>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675F6A40"/>
    <w:multiLevelType w:val="hybridMultilevel"/>
    <w:tmpl w:val="C060A898"/>
    <w:lvl w:ilvl="0" w:tplc="497A6158">
      <w:start w:val="1"/>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3E"/>
    <w:rsid w:val="000055A0"/>
    <w:rsid w:val="00032522"/>
    <w:rsid w:val="00042DE9"/>
    <w:rsid w:val="00042FF0"/>
    <w:rsid w:val="00063275"/>
    <w:rsid w:val="00063D67"/>
    <w:rsid w:val="0006553A"/>
    <w:rsid w:val="00081163"/>
    <w:rsid w:val="00083FAB"/>
    <w:rsid w:val="00087D39"/>
    <w:rsid w:val="000B53CF"/>
    <w:rsid w:val="000D086C"/>
    <w:rsid w:val="000D5942"/>
    <w:rsid w:val="000E5B75"/>
    <w:rsid w:val="000E70CA"/>
    <w:rsid w:val="000E739F"/>
    <w:rsid w:val="00113267"/>
    <w:rsid w:val="001165EB"/>
    <w:rsid w:val="00132A01"/>
    <w:rsid w:val="00133C2C"/>
    <w:rsid w:val="001354E7"/>
    <w:rsid w:val="00137173"/>
    <w:rsid w:val="001438D9"/>
    <w:rsid w:val="00180E0E"/>
    <w:rsid w:val="00186935"/>
    <w:rsid w:val="001915C4"/>
    <w:rsid w:val="0019361E"/>
    <w:rsid w:val="001A3F3D"/>
    <w:rsid w:val="001D529B"/>
    <w:rsid w:val="001E20BF"/>
    <w:rsid w:val="001F0B60"/>
    <w:rsid w:val="00203FD3"/>
    <w:rsid w:val="0020630C"/>
    <w:rsid w:val="00207D9A"/>
    <w:rsid w:val="002171D5"/>
    <w:rsid w:val="00231BFE"/>
    <w:rsid w:val="00234445"/>
    <w:rsid w:val="002349DB"/>
    <w:rsid w:val="00234BFD"/>
    <w:rsid w:val="00234C70"/>
    <w:rsid w:val="00237CFC"/>
    <w:rsid w:val="00237E30"/>
    <w:rsid w:val="00241098"/>
    <w:rsid w:val="00243C57"/>
    <w:rsid w:val="00245FA9"/>
    <w:rsid w:val="00251A7E"/>
    <w:rsid w:val="00255535"/>
    <w:rsid w:val="0026280D"/>
    <w:rsid w:val="00270A50"/>
    <w:rsid w:val="00284561"/>
    <w:rsid w:val="00284D77"/>
    <w:rsid w:val="00290D77"/>
    <w:rsid w:val="00294A31"/>
    <w:rsid w:val="00296415"/>
    <w:rsid w:val="002A7C68"/>
    <w:rsid w:val="002B0656"/>
    <w:rsid w:val="002C0982"/>
    <w:rsid w:val="002C12A1"/>
    <w:rsid w:val="002C6A60"/>
    <w:rsid w:val="002C7F5F"/>
    <w:rsid w:val="002D17E5"/>
    <w:rsid w:val="002D7D6C"/>
    <w:rsid w:val="002E0246"/>
    <w:rsid w:val="002E041C"/>
    <w:rsid w:val="002E11B6"/>
    <w:rsid w:val="002E2A3E"/>
    <w:rsid w:val="002F4C8F"/>
    <w:rsid w:val="00302C44"/>
    <w:rsid w:val="00303639"/>
    <w:rsid w:val="00306C29"/>
    <w:rsid w:val="00312738"/>
    <w:rsid w:val="003141B0"/>
    <w:rsid w:val="0031478A"/>
    <w:rsid w:val="0031485F"/>
    <w:rsid w:val="00315289"/>
    <w:rsid w:val="00334E1D"/>
    <w:rsid w:val="003360A2"/>
    <w:rsid w:val="00345FB9"/>
    <w:rsid w:val="003550B6"/>
    <w:rsid w:val="00355879"/>
    <w:rsid w:val="00357F61"/>
    <w:rsid w:val="003630A1"/>
    <w:rsid w:val="0036624E"/>
    <w:rsid w:val="003751EF"/>
    <w:rsid w:val="0037524A"/>
    <w:rsid w:val="00377F95"/>
    <w:rsid w:val="0038135B"/>
    <w:rsid w:val="00390B04"/>
    <w:rsid w:val="003A2A64"/>
    <w:rsid w:val="003A5B8B"/>
    <w:rsid w:val="003A79CF"/>
    <w:rsid w:val="003B3551"/>
    <w:rsid w:val="003B4A71"/>
    <w:rsid w:val="003C29FC"/>
    <w:rsid w:val="003C56D2"/>
    <w:rsid w:val="003E033A"/>
    <w:rsid w:val="003E2B0A"/>
    <w:rsid w:val="003F150E"/>
    <w:rsid w:val="004134ED"/>
    <w:rsid w:val="00414650"/>
    <w:rsid w:val="00420DC2"/>
    <w:rsid w:val="00434FBD"/>
    <w:rsid w:val="00435929"/>
    <w:rsid w:val="00443CED"/>
    <w:rsid w:val="00460C84"/>
    <w:rsid w:val="00467471"/>
    <w:rsid w:val="004855EE"/>
    <w:rsid w:val="004906B6"/>
    <w:rsid w:val="00494013"/>
    <w:rsid w:val="004C0241"/>
    <w:rsid w:val="004C7EB3"/>
    <w:rsid w:val="004D65D8"/>
    <w:rsid w:val="004E1F17"/>
    <w:rsid w:val="004E5B53"/>
    <w:rsid w:val="004F0765"/>
    <w:rsid w:val="00504295"/>
    <w:rsid w:val="005045E4"/>
    <w:rsid w:val="00516759"/>
    <w:rsid w:val="00522C8B"/>
    <w:rsid w:val="0052542B"/>
    <w:rsid w:val="00533359"/>
    <w:rsid w:val="005346C2"/>
    <w:rsid w:val="005351EC"/>
    <w:rsid w:val="00545CB5"/>
    <w:rsid w:val="00554500"/>
    <w:rsid w:val="005614FC"/>
    <w:rsid w:val="0056261A"/>
    <w:rsid w:val="00571DAD"/>
    <w:rsid w:val="005758C8"/>
    <w:rsid w:val="005827A7"/>
    <w:rsid w:val="005912C9"/>
    <w:rsid w:val="00596B3F"/>
    <w:rsid w:val="005B4184"/>
    <w:rsid w:val="005B7544"/>
    <w:rsid w:val="005D23BC"/>
    <w:rsid w:val="005D2944"/>
    <w:rsid w:val="005D6C96"/>
    <w:rsid w:val="005E7C22"/>
    <w:rsid w:val="005E7E9A"/>
    <w:rsid w:val="005F4C78"/>
    <w:rsid w:val="005F632A"/>
    <w:rsid w:val="005F6CF2"/>
    <w:rsid w:val="0060275E"/>
    <w:rsid w:val="0060521F"/>
    <w:rsid w:val="006063C8"/>
    <w:rsid w:val="00613144"/>
    <w:rsid w:val="00625348"/>
    <w:rsid w:val="00630ED8"/>
    <w:rsid w:val="00635D74"/>
    <w:rsid w:val="00675365"/>
    <w:rsid w:val="00676812"/>
    <w:rsid w:val="00677141"/>
    <w:rsid w:val="00680461"/>
    <w:rsid w:val="00685D73"/>
    <w:rsid w:val="006934A6"/>
    <w:rsid w:val="006A42D6"/>
    <w:rsid w:val="006C3791"/>
    <w:rsid w:val="006D42CD"/>
    <w:rsid w:val="006D58DD"/>
    <w:rsid w:val="006E345C"/>
    <w:rsid w:val="006E3CB4"/>
    <w:rsid w:val="006F492D"/>
    <w:rsid w:val="006F617E"/>
    <w:rsid w:val="006F6BC4"/>
    <w:rsid w:val="006F73D5"/>
    <w:rsid w:val="00701955"/>
    <w:rsid w:val="00703521"/>
    <w:rsid w:val="00710190"/>
    <w:rsid w:val="00724523"/>
    <w:rsid w:val="00731D6E"/>
    <w:rsid w:val="00732EBB"/>
    <w:rsid w:val="00737A12"/>
    <w:rsid w:val="00745EC7"/>
    <w:rsid w:val="00751868"/>
    <w:rsid w:val="00752359"/>
    <w:rsid w:val="00756A37"/>
    <w:rsid w:val="00766045"/>
    <w:rsid w:val="00770A9A"/>
    <w:rsid w:val="007833DC"/>
    <w:rsid w:val="007877AC"/>
    <w:rsid w:val="0079175B"/>
    <w:rsid w:val="007B7257"/>
    <w:rsid w:val="007B744B"/>
    <w:rsid w:val="007B796F"/>
    <w:rsid w:val="007C3966"/>
    <w:rsid w:val="007C5E30"/>
    <w:rsid w:val="007D02AD"/>
    <w:rsid w:val="007D04C1"/>
    <w:rsid w:val="007D2499"/>
    <w:rsid w:val="007E1791"/>
    <w:rsid w:val="007E4930"/>
    <w:rsid w:val="007F5115"/>
    <w:rsid w:val="007F61E7"/>
    <w:rsid w:val="007F7476"/>
    <w:rsid w:val="00804E79"/>
    <w:rsid w:val="00807A1E"/>
    <w:rsid w:val="00811EC8"/>
    <w:rsid w:val="00814B50"/>
    <w:rsid w:val="00820134"/>
    <w:rsid w:val="00835781"/>
    <w:rsid w:val="00842A62"/>
    <w:rsid w:val="008441FE"/>
    <w:rsid w:val="008464D4"/>
    <w:rsid w:val="00855555"/>
    <w:rsid w:val="00857A46"/>
    <w:rsid w:val="00862792"/>
    <w:rsid w:val="0086394C"/>
    <w:rsid w:val="00866769"/>
    <w:rsid w:val="008717F5"/>
    <w:rsid w:val="0087316B"/>
    <w:rsid w:val="008B0123"/>
    <w:rsid w:val="008B2229"/>
    <w:rsid w:val="008C40B4"/>
    <w:rsid w:val="008C5A48"/>
    <w:rsid w:val="008E10D2"/>
    <w:rsid w:val="00900E7E"/>
    <w:rsid w:val="00932681"/>
    <w:rsid w:val="00934EFB"/>
    <w:rsid w:val="00941D60"/>
    <w:rsid w:val="00942F9F"/>
    <w:rsid w:val="00943F72"/>
    <w:rsid w:val="009465E0"/>
    <w:rsid w:val="009640D5"/>
    <w:rsid w:val="009666EC"/>
    <w:rsid w:val="00967470"/>
    <w:rsid w:val="009708AA"/>
    <w:rsid w:val="009732AA"/>
    <w:rsid w:val="0098150B"/>
    <w:rsid w:val="009A1252"/>
    <w:rsid w:val="009A66DE"/>
    <w:rsid w:val="009A67D4"/>
    <w:rsid w:val="009B2469"/>
    <w:rsid w:val="009B3AB6"/>
    <w:rsid w:val="009D248C"/>
    <w:rsid w:val="00A1115C"/>
    <w:rsid w:val="00A14051"/>
    <w:rsid w:val="00A2649C"/>
    <w:rsid w:val="00A5432F"/>
    <w:rsid w:val="00A623D4"/>
    <w:rsid w:val="00A700FA"/>
    <w:rsid w:val="00A70164"/>
    <w:rsid w:val="00A70A77"/>
    <w:rsid w:val="00AA623B"/>
    <w:rsid w:val="00AA63CA"/>
    <w:rsid w:val="00AB31A7"/>
    <w:rsid w:val="00AB38DE"/>
    <w:rsid w:val="00AB52AB"/>
    <w:rsid w:val="00AB544E"/>
    <w:rsid w:val="00AB61BD"/>
    <w:rsid w:val="00AC68CA"/>
    <w:rsid w:val="00AD0B60"/>
    <w:rsid w:val="00AD0F63"/>
    <w:rsid w:val="00AD5101"/>
    <w:rsid w:val="00AE4417"/>
    <w:rsid w:val="00B053F0"/>
    <w:rsid w:val="00B16BF0"/>
    <w:rsid w:val="00B20AC0"/>
    <w:rsid w:val="00B221C1"/>
    <w:rsid w:val="00B32FBB"/>
    <w:rsid w:val="00B33905"/>
    <w:rsid w:val="00B37E97"/>
    <w:rsid w:val="00B444CA"/>
    <w:rsid w:val="00B617BA"/>
    <w:rsid w:val="00B634F3"/>
    <w:rsid w:val="00B6768E"/>
    <w:rsid w:val="00B75A5C"/>
    <w:rsid w:val="00B76330"/>
    <w:rsid w:val="00B858F8"/>
    <w:rsid w:val="00B94433"/>
    <w:rsid w:val="00B94604"/>
    <w:rsid w:val="00B97E9F"/>
    <w:rsid w:val="00BA017E"/>
    <w:rsid w:val="00BA13F7"/>
    <w:rsid w:val="00BB65D2"/>
    <w:rsid w:val="00BC447B"/>
    <w:rsid w:val="00BD7422"/>
    <w:rsid w:val="00BE077D"/>
    <w:rsid w:val="00BE6E17"/>
    <w:rsid w:val="00BF1A81"/>
    <w:rsid w:val="00BF4B87"/>
    <w:rsid w:val="00BF65EC"/>
    <w:rsid w:val="00C064C4"/>
    <w:rsid w:val="00C07D86"/>
    <w:rsid w:val="00C12489"/>
    <w:rsid w:val="00C16A4B"/>
    <w:rsid w:val="00C209B0"/>
    <w:rsid w:val="00C415F4"/>
    <w:rsid w:val="00C460AE"/>
    <w:rsid w:val="00C550DE"/>
    <w:rsid w:val="00C55EC8"/>
    <w:rsid w:val="00C612AC"/>
    <w:rsid w:val="00C67431"/>
    <w:rsid w:val="00C70BB4"/>
    <w:rsid w:val="00C825F7"/>
    <w:rsid w:val="00C86E50"/>
    <w:rsid w:val="00C87EE3"/>
    <w:rsid w:val="00C96626"/>
    <w:rsid w:val="00CA2BBA"/>
    <w:rsid w:val="00CA47C5"/>
    <w:rsid w:val="00CB41AE"/>
    <w:rsid w:val="00CB6D44"/>
    <w:rsid w:val="00CB709D"/>
    <w:rsid w:val="00CC45AC"/>
    <w:rsid w:val="00CC506F"/>
    <w:rsid w:val="00CD0233"/>
    <w:rsid w:val="00CE4C92"/>
    <w:rsid w:val="00CF7DDB"/>
    <w:rsid w:val="00D23108"/>
    <w:rsid w:val="00D23CA8"/>
    <w:rsid w:val="00D26CEE"/>
    <w:rsid w:val="00D34238"/>
    <w:rsid w:val="00D35CC1"/>
    <w:rsid w:val="00D36542"/>
    <w:rsid w:val="00D36CD3"/>
    <w:rsid w:val="00D46D83"/>
    <w:rsid w:val="00D50B3C"/>
    <w:rsid w:val="00D514B7"/>
    <w:rsid w:val="00D53606"/>
    <w:rsid w:val="00D54F37"/>
    <w:rsid w:val="00D74732"/>
    <w:rsid w:val="00D76FE0"/>
    <w:rsid w:val="00D82BBB"/>
    <w:rsid w:val="00D8672A"/>
    <w:rsid w:val="00D86C4A"/>
    <w:rsid w:val="00D90B8C"/>
    <w:rsid w:val="00D95926"/>
    <w:rsid w:val="00DC329D"/>
    <w:rsid w:val="00DD7654"/>
    <w:rsid w:val="00DD7A25"/>
    <w:rsid w:val="00DE28C7"/>
    <w:rsid w:val="00DE5F8C"/>
    <w:rsid w:val="00DE77F6"/>
    <w:rsid w:val="00DE7D2C"/>
    <w:rsid w:val="00DF05BF"/>
    <w:rsid w:val="00DF13CF"/>
    <w:rsid w:val="00DF2637"/>
    <w:rsid w:val="00DF7A19"/>
    <w:rsid w:val="00E039D1"/>
    <w:rsid w:val="00E15DBE"/>
    <w:rsid w:val="00E25072"/>
    <w:rsid w:val="00E27414"/>
    <w:rsid w:val="00E36B3D"/>
    <w:rsid w:val="00E42939"/>
    <w:rsid w:val="00E474C4"/>
    <w:rsid w:val="00E60705"/>
    <w:rsid w:val="00E63049"/>
    <w:rsid w:val="00E80F8D"/>
    <w:rsid w:val="00E84CB4"/>
    <w:rsid w:val="00E878EC"/>
    <w:rsid w:val="00E957A1"/>
    <w:rsid w:val="00E97FA5"/>
    <w:rsid w:val="00EA57DA"/>
    <w:rsid w:val="00EB007C"/>
    <w:rsid w:val="00EB3D70"/>
    <w:rsid w:val="00EC1130"/>
    <w:rsid w:val="00EC17CD"/>
    <w:rsid w:val="00EC7A14"/>
    <w:rsid w:val="00ED20BA"/>
    <w:rsid w:val="00ED234E"/>
    <w:rsid w:val="00ED3061"/>
    <w:rsid w:val="00ED751C"/>
    <w:rsid w:val="00EE0144"/>
    <w:rsid w:val="00EE5881"/>
    <w:rsid w:val="00EF4D1F"/>
    <w:rsid w:val="00F13E55"/>
    <w:rsid w:val="00F20799"/>
    <w:rsid w:val="00F23F9A"/>
    <w:rsid w:val="00F31098"/>
    <w:rsid w:val="00F347A9"/>
    <w:rsid w:val="00F52F3E"/>
    <w:rsid w:val="00F65E88"/>
    <w:rsid w:val="00F77A4A"/>
    <w:rsid w:val="00F8329B"/>
    <w:rsid w:val="00F835FE"/>
    <w:rsid w:val="00F84CFF"/>
    <w:rsid w:val="00F8503C"/>
    <w:rsid w:val="00F9333F"/>
    <w:rsid w:val="00FA02B9"/>
    <w:rsid w:val="00FA0C80"/>
    <w:rsid w:val="00FA585E"/>
    <w:rsid w:val="00FB2C8B"/>
    <w:rsid w:val="00FC2500"/>
    <w:rsid w:val="00FD56DD"/>
    <w:rsid w:val="00FF0935"/>
    <w:rsid w:val="00FF0E70"/>
    <w:rsid w:val="00FF2A5A"/>
    <w:rsid w:val="00FF3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DC37F"/>
  <w15:chartTrackingRefBased/>
  <w15:docId w15:val="{30E10F14-E8E2-4B1C-A073-BD5883AC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6C29"/>
    <w:pPr>
      <w:ind w:left="720"/>
      <w:contextualSpacing/>
    </w:pPr>
  </w:style>
  <w:style w:type="paragraph" w:styleId="Testonotaapidipagina">
    <w:name w:val="footnote text"/>
    <w:basedOn w:val="Normale"/>
    <w:link w:val="TestonotaapidipaginaCarattere"/>
    <w:uiPriority w:val="99"/>
    <w:semiHidden/>
    <w:unhideWhenUsed/>
    <w:rsid w:val="003C29F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29FC"/>
    <w:rPr>
      <w:sz w:val="20"/>
      <w:szCs w:val="20"/>
    </w:rPr>
  </w:style>
  <w:style w:type="character" w:styleId="Rimandonotaapidipagina">
    <w:name w:val="footnote reference"/>
    <w:basedOn w:val="Carpredefinitoparagrafo"/>
    <w:uiPriority w:val="99"/>
    <w:semiHidden/>
    <w:unhideWhenUsed/>
    <w:rsid w:val="003C29FC"/>
    <w:rPr>
      <w:vertAlign w:val="superscript"/>
    </w:rPr>
  </w:style>
  <w:style w:type="paragraph" w:styleId="Intestazione">
    <w:name w:val="header"/>
    <w:basedOn w:val="Normale"/>
    <w:link w:val="IntestazioneCarattere"/>
    <w:uiPriority w:val="99"/>
    <w:unhideWhenUsed/>
    <w:rsid w:val="00CF7D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7DDB"/>
  </w:style>
  <w:style w:type="paragraph" w:styleId="Pidipagina">
    <w:name w:val="footer"/>
    <w:basedOn w:val="Normale"/>
    <w:link w:val="PidipaginaCarattere"/>
    <w:uiPriority w:val="99"/>
    <w:unhideWhenUsed/>
    <w:rsid w:val="00CF7D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7DDB"/>
  </w:style>
  <w:style w:type="paragraph" w:styleId="Testofumetto">
    <w:name w:val="Balloon Text"/>
    <w:basedOn w:val="Normale"/>
    <w:link w:val="TestofumettoCarattere"/>
    <w:uiPriority w:val="99"/>
    <w:semiHidden/>
    <w:unhideWhenUsed/>
    <w:rsid w:val="003F150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1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9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35A42-6362-4E22-8259-66736A5F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7159</Words>
  <Characters>44141</Characters>
  <Application>Microsoft Office Word</Application>
  <DocSecurity>0</DocSecurity>
  <Lines>367</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VITA Antonio</dc:creator>
  <cp:keywords/>
  <dc:description/>
  <cp:lastModifiedBy>FERRARI Giulia</cp:lastModifiedBy>
  <cp:revision>2</cp:revision>
  <cp:lastPrinted>2019-11-11T19:00:00Z</cp:lastPrinted>
  <dcterms:created xsi:type="dcterms:W3CDTF">2020-04-22T04:53:00Z</dcterms:created>
  <dcterms:modified xsi:type="dcterms:W3CDTF">2020-04-22T04:53:00Z</dcterms:modified>
</cp:coreProperties>
</file>