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E1" w:rsidRDefault="000C35E1" w:rsidP="00B71AC3">
      <w:pPr>
        <w:spacing w:after="0" w:line="288" w:lineRule="auto"/>
        <w:ind w:left="284" w:right="282" w:firstLine="42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1F90" w:rsidRPr="001A6108" w:rsidRDefault="00823189" w:rsidP="00B71AC3">
      <w:pPr>
        <w:spacing w:after="0" w:line="288" w:lineRule="auto"/>
        <w:ind w:left="284" w:right="282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108">
        <w:rPr>
          <w:rFonts w:ascii="Times New Roman" w:hAnsi="Times New Roman" w:cs="Times New Roman"/>
          <w:b/>
          <w:sz w:val="32"/>
          <w:szCs w:val="32"/>
        </w:rPr>
        <w:t xml:space="preserve">L’attualità del riparto di giurisdizione </w:t>
      </w:r>
    </w:p>
    <w:p w:rsidR="00823189" w:rsidRPr="001A6108" w:rsidRDefault="00823189" w:rsidP="00B71AC3">
      <w:pPr>
        <w:spacing w:after="0" w:line="288" w:lineRule="auto"/>
        <w:ind w:left="284" w:right="282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108">
        <w:rPr>
          <w:rFonts w:ascii="Times New Roman" w:hAnsi="Times New Roman" w:cs="Times New Roman"/>
          <w:b/>
          <w:sz w:val="32"/>
          <w:szCs w:val="32"/>
        </w:rPr>
        <w:t xml:space="preserve">a dieci anni dall’entrata in vigore </w:t>
      </w:r>
    </w:p>
    <w:p w:rsidR="00823189" w:rsidRPr="001A6108" w:rsidRDefault="00823189" w:rsidP="00B71AC3">
      <w:pPr>
        <w:spacing w:after="0" w:line="288" w:lineRule="auto"/>
        <w:ind w:left="284" w:right="282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108">
        <w:rPr>
          <w:rFonts w:ascii="Times New Roman" w:hAnsi="Times New Roman" w:cs="Times New Roman"/>
          <w:b/>
          <w:sz w:val="32"/>
          <w:szCs w:val="32"/>
        </w:rPr>
        <w:t xml:space="preserve">del </w:t>
      </w:r>
      <w:r w:rsidR="006B7950" w:rsidRPr="001A6108">
        <w:rPr>
          <w:rFonts w:ascii="Times New Roman" w:hAnsi="Times New Roman" w:cs="Times New Roman"/>
          <w:b/>
          <w:sz w:val="32"/>
          <w:szCs w:val="32"/>
        </w:rPr>
        <w:t>Codice</w:t>
      </w:r>
      <w:r w:rsidR="00B10C46" w:rsidRPr="001A6108">
        <w:rPr>
          <w:rFonts w:ascii="Times New Roman" w:hAnsi="Times New Roman" w:cs="Times New Roman"/>
          <w:b/>
          <w:sz w:val="32"/>
          <w:szCs w:val="32"/>
        </w:rPr>
        <w:t xml:space="preserve"> del processo amministrativo</w:t>
      </w:r>
      <w:r w:rsidR="001A6108">
        <w:rPr>
          <w:rStyle w:val="Rimandonotaapidipagina"/>
          <w:rFonts w:ascii="Times New Roman" w:hAnsi="Times New Roman" w:cs="Times New Roman"/>
          <w:b/>
          <w:sz w:val="32"/>
          <w:szCs w:val="32"/>
        </w:rPr>
        <w:footnoteReference w:id="1"/>
      </w:r>
    </w:p>
    <w:p w:rsidR="00823189" w:rsidRPr="00051F90" w:rsidRDefault="00823189" w:rsidP="00B71AC3">
      <w:pPr>
        <w:spacing w:after="0" w:line="288" w:lineRule="auto"/>
        <w:ind w:left="284" w:right="282" w:firstLine="425"/>
        <w:jc w:val="center"/>
        <w:rPr>
          <w:rFonts w:ascii="Times New Roman" w:hAnsi="Times New Roman" w:cs="Times New Roman"/>
          <w:sz w:val="30"/>
          <w:szCs w:val="30"/>
        </w:rPr>
      </w:pPr>
    </w:p>
    <w:p w:rsidR="00051F90" w:rsidRDefault="00051F90" w:rsidP="00B71AC3">
      <w:pPr>
        <w:spacing w:after="0" w:line="288" w:lineRule="auto"/>
        <w:ind w:left="284" w:right="282" w:firstLine="425"/>
        <w:jc w:val="center"/>
        <w:rPr>
          <w:rFonts w:ascii="Times New Roman" w:hAnsi="Times New Roman" w:cs="Times New Roman"/>
          <w:sz w:val="30"/>
          <w:szCs w:val="30"/>
        </w:rPr>
      </w:pPr>
    </w:p>
    <w:p w:rsidR="00823189" w:rsidRPr="00051F90" w:rsidRDefault="00823189" w:rsidP="00B71AC3">
      <w:pPr>
        <w:spacing w:after="0" w:line="288" w:lineRule="auto"/>
        <w:ind w:left="284" w:right="282" w:firstLine="425"/>
        <w:jc w:val="center"/>
        <w:rPr>
          <w:rFonts w:ascii="Times New Roman" w:hAnsi="Times New Roman" w:cs="Times New Roman"/>
          <w:sz w:val="30"/>
          <w:szCs w:val="30"/>
        </w:rPr>
      </w:pPr>
      <w:r w:rsidRPr="00051F90">
        <w:rPr>
          <w:rFonts w:ascii="Times New Roman" w:hAnsi="Times New Roman" w:cs="Times New Roman"/>
          <w:sz w:val="30"/>
          <w:szCs w:val="30"/>
        </w:rPr>
        <w:t>* * *</w:t>
      </w:r>
    </w:p>
    <w:p w:rsidR="006B7950" w:rsidRPr="00051F90" w:rsidRDefault="006B7950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558A" w:rsidRPr="00051F90" w:rsidRDefault="0097558A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/>
          <w:bCs/>
          <w:sz w:val="48"/>
          <w:szCs w:val="48"/>
        </w:rPr>
        <w:t>M</w:t>
      </w:r>
      <w:r w:rsidR="005577E2" w:rsidRPr="00051F90">
        <w:rPr>
          <w:rFonts w:ascii="Times New Roman" w:hAnsi="Times New Roman" w:cs="Times New Roman"/>
          <w:bCs/>
          <w:sz w:val="26"/>
          <w:szCs w:val="26"/>
        </w:rPr>
        <w:t xml:space="preserve">i è stato chiesto di svolgere </w:t>
      </w:r>
      <w:r w:rsidRPr="00051F90">
        <w:rPr>
          <w:rFonts w:ascii="Times New Roman" w:hAnsi="Times New Roman" w:cs="Times New Roman"/>
          <w:bCs/>
          <w:sz w:val="26"/>
          <w:szCs w:val="26"/>
        </w:rPr>
        <w:t>alcune riflessioni sul</w:t>
      </w:r>
      <w:r w:rsidR="00022520" w:rsidRPr="00051F90">
        <w:rPr>
          <w:rFonts w:ascii="Times New Roman" w:hAnsi="Times New Roman" w:cs="Times New Roman"/>
          <w:bCs/>
          <w:sz w:val="26"/>
          <w:szCs w:val="26"/>
        </w:rPr>
        <w:t xml:space="preserve"> tema del</w:t>
      </w:r>
      <w:r w:rsidRPr="00051F90">
        <w:rPr>
          <w:rFonts w:ascii="Times New Roman" w:hAnsi="Times New Roman" w:cs="Times New Roman"/>
          <w:bCs/>
          <w:sz w:val="26"/>
          <w:szCs w:val="26"/>
        </w:rPr>
        <w:t>l’«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attualità del riparto di giurisdizione</w:t>
      </w:r>
      <w:r w:rsidR="005577E2" w:rsidRPr="00051F90">
        <w:rPr>
          <w:rFonts w:ascii="Times New Roman" w:hAnsi="Times New Roman" w:cs="Times New Roman"/>
          <w:bCs/>
          <w:sz w:val="26"/>
          <w:szCs w:val="26"/>
        </w:rPr>
        <w:t>» a dieci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anni dall’entra</w:t>
      </w:r>
      <w:r w:rsidR="005577E2" w:rsidRPr="00051F90">
        <w:rPr>
          <w:rFonts w:ascii="Times New Roman" w:hAnsi="Times New Roman" w:cs="Times New Roman"/>
          <w:bCs/>
          <w:sz w:val="26"/>
          <w:szCs w:val="26"/>
        </w:rPr>
        <w:t xml:space="preserve">ta in vigore del </w:t>
      </w:r>
      <w:r w:rsidR="006B7950" w:rsidRPr="00051F90">
        <w:rPr>
          <w:rFonts w:ascii="Times New Roman" w:hAnsi="Times New Roman" w:cs="Times New Roman"/>
          <w:bCs/>
          <w:sz w:val="26"/>
          <w:szCs w:val="26"/>
        </w:rPr>
        <w:t>Codice</w:t>
      </w:r>
      <w:r w:rsidR="005577E2" w:rsidRPr="00051F90">
        <w:rPr>
          <w:rFonts w:ascii="Times New Roman" w:hAnsi="Times New Roman" w:cs="Times New Roman"/>
          <w:bCs/>
          <w:sz w:val="26"/>
          <w:szCs w:val="26"/>
        </w:rPr>
        <w:t xml:space="preserve"> del processo amministrativo.</w:t>
      </w:r>
    </w:p>
    <w:p w:rsidR="006B7950" w:rsidRPr="00051F90" w:rsidRDefault="0097558A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Ma io </w:t>
      </w:r>
      <w:r w:rsidR="005577E2" w:rsidRPr="00051F90">
        <w:rPr>
          <w:rFonts w:ascii="Times New Roman" w:hAnsi="Times New Roman" w:cs="Times New Roman"/>
          <w:bCs/>
          <w:sz w:val="26"/>
          <w:szCs w:val="26"/>
        </w:rPr>
        <w:t>penso di poter prendere l’avvio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delle mie riflessioni con </w:t>
      </w:r>
      <w:r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una considerazione di carattere </w:t>
      </w:r>
      <w:r w:rsidR="00022520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più </w:t>
      </w:r>
      <w:r w:rsidRPr="00051F90">
        <w:rPr>
          <w:rFonts w:ascii="Times New Roman" w:hAnsi="Times New Roman" w:cs="Times New Roman"/>
          <w:bCs/>
          <w:iCs/>
          <w:sz w:val="26"/>
          <w:szCs w:val="26"/>
        </w:rPr>
        <w:t>generale</w:t>
      </w:r>
      <w:r w:rsidR="00562B09" w:rsidRPr="00051F90">
        <w:rPr>
          <w:rFonts w:ascii="Times New Roman" w:hAnsi="Times New Roman" w:cs="Times New Roman"/>
          <w:bCs/>
          <w:sz w:val="26"/>
          <w:szCs w:val="26"/>
        </w:rPr>
        <w:t xml:space="preserve"> circa la perdurante attualità del tema della giurisdizione e del suo riparto</w:t>
      </w:r>
      <w:r w:rsidR="00022520" w:rsidRPr="00051F90">
        <w:rPr>
          <w:rFonts w:ascii="Times New Roman" w:hAnsi="Times New Roman" w:cs="Times New Roman"/>
          <w:bCs/>
          <w:sz w:val="26"/>
          <w:szCs w:val="26"/>
        </w:rPr>
        <w:t xml:space="preserve"> nell’ambito del dibattito pubblicistico nazionale</w:t>
      </w:r>
      <w:r w:rsidR="000C35E1">
        <w:rPr>
          <w:rFonts w:ascii="Times New Roman" w:hAnsi="Times New Roman" w:cs="Times New Roman"/>
          <w:bCs/>
          <w:sz w:val="26"/>
          <w:szCs w:val="26"/>
        </w:rPr>
        <w:t>. S</w:t>
      </w:r>
      <w:r w:rsidR="00562B09" w:rsidRPr="00051F90">
        <w:rPr>
          <w:rFonts w:ascii="Times New Roman" w:hAnsi="Times New Roman" w:cs="Times New Roman"/>
          <w:bCs/>
          <w:sz w:val="26"/>
          <w:szCs w:val="26"/>
        </w:rPr>
        <w:t xml:space="preserve">i tratta di un tema che </w:t>
      </w:r>
      <w:r w:rsidR="005577E2" w:rsidRPr="00051F90">
        <w:rPr>
          <w:rFonts w:ascii="Times New Roman" w:hAnsi="Times New Roman" w:cs="Times New Roman"/>
          <w:bCs/>
          <w:sz w:val="26"/>
          <w:szCs w:val="26"/>
        </w:rPr>
        <w:t>era attuale</w:t>
      </w:r>
      <w:r w:rsidR="006B7950" w:rsidRPr="00051F90">
        <w:rPr>
          <w:rFonts w:ascii="Times New Roman" w:hAnsi="Times New Roman" w:cs="Times New Roman"/>
          <w:bCs/>
          <w:sz w:val="26"/>
          <w:szCs w:val="26"/>
        </w:rPr>
        <w:t xml:space="preserve"> all’indomani della legge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51F90">
        <w:rPr>
          <w:rFonts w:ascii="Times New Roman" w:hAnsi="Times New Roman" w:cs="Times New Roman"/>
          <w:bCs/>
          <w:sz w:val="26"/>
          <w:szCs w:val="26"/>
        </w:rPr>
        <w:t>Crispi</w:t>
      </w:r>
      <w:proofErr w:type="spellEnd"/>
      <w:r w:rsidRPr="00051F90">
        <w:rPr>
          <w:rFonts w:ascii="Times New Roman" w:hAnsi="Times New Roman" w:cs="Times New Roman"/>
          <w:bCs/>
          <w:sz w:val="26"/>
          <w:szCs w:val="26"/>
        </w:rPr>
        <w:t xml:space="preserve"> del 1889</w:t>
      </w:r>
      <w:r w:rsidR="006B7950" w:rsidRPr="00051F9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6B7950" w:rsidRPr="00051F90">
        <w:rPr>
          <w:rFonts w:ascii="Times New Roman" w:hAnsi="Times New Roman" w:cs="Times New Roman"/>
          <w:bCs/>
          <w:i/>
          <w:sz w:val="26"/>
          <w:szCs w:val="26"/>
        </w:rPr>
        <w:t>i.e</w:t>
      </w:r>
      <w:r w:rsidR="006B7950" w:rsidRPr="00051F90">
        <w:rPr>
          <w:rFonts w:ascii="Times New Roman" w:hAnsi="Times New Roman" w:cs="Times New Roman"/>
          <w:bCs/>
          <w:sz w:val="26"/>
          <w:szCs w:val="26"/>
        </w:rPr>
        <w:t xml:space="preserve">.: della legge alla quale solitamente si riconnette la nascita del sistema nazionale di giustizia amministrativa) </w:t>
      </w:r>
      <w:r w:rsidR="00562B09" w:rsidRPr="00051F90">
        <w:rPr>
          <w:rFonts w:ascii="Times New Roman" w:hAnsi="Times New Roman" w:cs="Times New Roman"/>
          <w:bCs/>
          <w:sz w:val="26"/>
          <w:szCs w:val="26"/>
        </w:rPr>
        <w:t>e lo fu per i decenni successivi</w:t>
      </w:r>
      <w:r w:rsidR="00D74A0A" w:rsidRPr="00051F90">
        <w:rPr>
          <w:rStyle w:val="Rimandonotaapidipagina"/>
          <w:rFonts w:ascii="Times New Roman" w:hAnsi="Times New Roman" w:cs="Times New Roman"/>
          <w:bCs/>
          <w:sz w:val="26"/>
          <w:szCs w:val="26"/>
        </w:rPr>
        <w:footnoteReference w:id="2"/>
      </w:r>
      <w:r w:rsidR="00562B09" w:rsidRPr="00051F90">
        <w:rPr>
          <w:rFonts w:ascii="Times New Roman" w:hAnsi="Times New Roman" w:cs="Times New Roman"/>
          <w:bCs/>
          <w:sz w:val="26"/>
          <w:szCs w:val="26"/>
        </w:rPr>
        <w:t>, sino al c.d.</w:t>
      </w:r>
      <w:r w:rsidR="00562B09" w:rsidRPr="00051F90">
        <w:rPr>
          <w:rFonts w:ascii="Times New Roman" w:hAnsi="Times New Roman" w:cs="Times New Roman"/>
          <w:bCs/>
          <w:i/>
          <w:sz w:val="26"/>
          <w:szCs w:val="26"/>
        </w:rPr>
        <w:t xml:space="preserve"> concordato giurisprudenziale</w:t>
      </w:r>
      <w:r w:rsidR="00562B09" w:rsidRPr="00051F90">
        <w:rPr>
          <w:rFonts w:ascii="Times New Roman" w:hAnsi="Times New Roman" w:cs="Times New Roman"/>
          <w:bCs/>
          <w:sz w:val="26"/>
          <w:szCs w:val="26"/>
        </w:rPr>
        <w:t xml:space="preserve"> del 1929-1930, </w:t>
      </w:r>
      <w:r w:rsidR="006B7950" w:rsidRPr="00051F90">
        <w:rPr>
          <w:rFonts w:ascii="Times New Roman" w:hAnsi="Times New Roman" w:cs="Times New Roman"/>
          <w:bCs/>
          <w:sz w:val="26"/>
          <w:szCs w:val="26"/>
        </w:rPr>
        <w:t xml:space="preserve">così come </w:t>
      </w:r>
      <w:r w:rsidR="005577E2" w:rsidRPr="00051F90">
        <w:rPr>
          <w:rFonts w:ascii="Times New Roman" w:hAnsi="Times New Roman" w:cs="Times New Roman"/>
          <w:bCs/>
          <w:sz w:val="26"/>
          <w:szCs w:val="26"/>
        </w:rPr>
        <w:t xml:space="preserve">era </w:t>
      </w:r>
      <w:r w:rsidR="00562B09" w:rsidRPr="00051F90">
        <w:rPr>
          <w:rFonts w:ascii="Times New Roman" w:hAnsi="Times New Roman" w:cs="Times New Roman"/>
          <w:bCs/>
          <w:sz w:val="26"/>
          <w:szCs w:val="26"/>
        </w:rPr>
        <w:t xml:space="preserve">ancora </w:t>
      </w:r>
      <w:r w:rsidR="005577E2" w:rsidRPr="00051F90">
        <w:rPr>
          <w:rFonts w:ascii="Times New Roman" w:hAnsi="Times New Roman" w:cs="Times New Roman"/>
          <w:bCs/>
          <w:sz w:val="26"/>
          <w:szCs w:val="26"/>
        </w:rPr>
        <w:t>attuale</w:t>
      </w:r>
      <w:r w:rsidR="00562B09" w:rsidRPr="00051F90">
        <w:rPr>
          <w:rFonts w:ascii="Times New Roman" w:hAnsi="Times New Roman" w:cs="Times New Roman"/>
          <w:bCs/>
          <w:sz w:val="26"/>
          <w:szCs w:val="26"/>
        </w:rPr>
        <w:t xml:space="preserve"> alla vigilia e nel corso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del dibattito che </w:t>
      </w:r>
      <w:r w:rsidR="005577E2" w:rsidRPr="00051F90">
        <w:rPr>
          <w:rFonts w:ascii="Times New Roman" w:hAnsi="Times New Roman" w:cs="Times New Roman"/>
          <w:bCs/>
          <w:sz w:val="26"/>
          <w:szCs w:val="26"/>
        </w:rPr>
        <w:t>portò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all’ad</w:t>
      </w:r>
      <w:r w:rsidR="006B7950" w:rsidRPr="00051F90">
        <w:rPr>
          <w:rFonts w:ascii="Times New Roman" w:hAnsi="Times New Roman" w:cs="Times New Roman"/>
          <w:bCs/>
          <w:sz w:val="26"/>
          <w:szCs w:val="26"/>
        </w:rPr>
        <w:t>ozione del testo costituzionale</w:t>
      </w:r>
      <w:r w:rsidR="00D74A0A" w:rsidRPr="00051F90">
        <w:rPr>
          <w:rStyle w:val="Rimandonotaapidipagina"/>
          <w:rFonts w:ascii="Times New Roman" w:hAnsi="Times New Roman" w:cs="Times New Roman"/>
          <w:bCs/>
          <w:sz w:val="26"/>
          <w:szCs w:val="26"/>
        </w:rPr>
        <w:footnoteReference w:id="3"/>
      </w:r>
      <w:r w:rsidR="006B7950" w:rsidRPr="00051F90">
        <w:rPr>
          <w:rFonts w:ascii="Times New Roman" w:hAnsi="Times New Roman" w:cs="Times New Roman"/>
          <w:bCs/>
          <w:sz w:val="26"/>
          <w:szCs w:val="26"/>
        </w:rPr>
        <w:t>.</w:t>
      </w:r>
    </w:p>
    <w:p w:rsidR="0097558A" w:rsidRPr="00051F90" w:rsidRDefault="006B7950" w:rsidP="00562B09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Ma quel tema risultava certamente </w:t>
      </w:r>
      <w:r w:rsidR="005577E2" w:rsidRPr="00051F90">
        <w:rPr>
          <w:rFonts w:ascii="Times New Roman" w:hAnsi="Times New Roman" w:cs="Times New Roman"/>
          <w:bCs/>
          <w:sz w:val="26"/>
          <w:szCs w:val="26"/>
        </w:rPr>
        <w:t>attuale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anche </w:t>
      </w:r>
      <w:r w:rsidR="00562B09" w:rsidRPr="00051F90">
        <w:rPr>
          <w:rFonts w:ascii="Times New Roman" w:hAnsi="Times New Roman" w:cs="Times New Roman"/>
          <w:bCs/>
          <w:sz w:val="26"/>
          <w:szCs w:val="26"/>
        </w:rPr>
        <w:t xml:space="preserve">alla vigilia e nel corso dei lavori che condussero alla stesura del </w:t>
      </w:r>
      <w:r w:rsidRPr="00051F90">
        <w:rPr>
          <w:rFonts w:ascii="Times New Roman" w:hAnsi="Times New Roman" w:cs="Times New Roman"/>
          <w:bCs/>
          <w:sz w:val="26"/>
          <w:szCs w:val="26"/>
        </w:rPr>
        <w:t>Codice</w:t>
      </w:r>
      <w:r w:rsidR="00562B09" w:rsidRPr="00051F90">
        <w:rPr>
          <w:rFonts w:ascii="Times New Roman" w:hAnsi="Times New Roman" w:cs="Times New Roman"/>
          <w:bCs/>
          <w:sz w:val="26"/>
          <w:szCs w:val="26"/>
        </w:rPr>
        <w:t xml:space="preserve"> del processo amministrativo</w:t>
      </w:r>
      <w:r w:rsidR="00022520" w:rsidRPr="00051F90">
        <w:rPr>
          <w:rFonts w:ascii="Times New Roman" w:hAnsi="Times New Roman" w:cs="Times New Roman"/>
          <w:bCs/>
          <w:sz w:val="26"/>
          <w:szCs w:val="26"/>
        </w:rPr>
        <w:t xml:space="preserve"> del 2010</w:t>
      </w:r>
      <w:r w:rsidR="00575057" w:rsidRPr="00051F90">
        <w:rPr>
          <w:rFonts w:ascii="Times New Roman" w:hAnsi="Times New Roman" w:cs="Times New Roman"/>
          <w:bCs/>
          <w:sz w:val="26"/>
          <w:szCs w:val="26"/>
        </w:rPr>
        <w:t>, così come lo è ancora oggi</w:t>
      </w:r>
      <w:r w:rsidR="00562B09" w:rsidRPr="00051F90">
        <w:rPr>
          <w:rFonts w:ascii="Times New Roman" w:hAnsi="Times New Roman" w:cs="Times New Roman"/>
          <w:bCs/>
          <w:sz w:val="26"/>
          <w:szCs w:val="26"/>
        </w:rPr>
        <w:t xml:space="preserve">, a dieci </w:t>
      </w:r>
      <w:r w:rsidR="00022520" w:rsidRPr="00051F90">
        <w:rPr>
          <w:rFonts w:ascii="Times New Roman" w:hAnsi="Times New Roman" w:cs="Times New Roman"/>
          <w:bCs/>
          <w:sz w:val="26"/>
          <w:szCs w:val="26"/>
        </w:rPr>
        <w:t xml:space="preserve">anni </w:t>
      </w:r>
      <w:r w:rsidR="00562B09" w:rsidRPr="00051F90">
        <w:rPr>
          <w:rFonts w:ascii="Times New Roman" w:hAnsi="Times New Roman" w:cs="Times New Roman"/>
          <w:bCs/>
          <w:sz w:val="26"/>
          <w:szCs w:val="26"/>
        </w:rPr>
        <w:t>dalla sua entrata in vigore</w:t>
      </w:r>
      <w:r w:rsidR="00575057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5057" w:rsidRPr="00051F90">
        <w:rPr>
          <w:rFonts w:ascii="Times New Roman" w:hAnsi="Times New Roman" w:cs="Times New Roman"/>
          <w:bCs/>
          <w:iCs/>
          <w:sz w:val="26"/>
          <w:szCs w:val="26"/>
        </w:rPr>
        <w:t>(e lo sarà ancora – come è facile prevedere – negli anni a venire)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.</w:t>
      </w:r>
    </w:p>
    <w:p w:rsidR="00A64C47" w:rsidRPr="00051F90" w:rsidRDefault="005D6536" w:rsidP="00575057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lastRenderedPageBreak/>
        <w:t>E le ragioni</w:t>
      </w:r>
      <w:r w:rsidR="00562B09" w:rsidRPr="00051F90">
        <w:rPr>
          <w:rFonts w:ascii="Times New Roman" w:hAnsi="Times New Roman" w:cs="Times New Roman"/>
          <w:bCs/>
          <w:sz w:val="26"/>
          <w:szCs w:val="26"/>
        </w:rPr>
        <w:t xml:space="preserve"> della perdurante attualità del tema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sono evidenti e ben note</w:t>
      </w:r>
      <w:r w:rsidR="00575057" w:rsidRPr="00051F90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l’intera storia del diritto amministrativo nazionale </w:t>
      </w:r>
      <w:r w:rsidR="004E1A67" w:rsidRPr="00051F90">
        <w:rPr>
          <w:rFonts w:ascii="Times New Roman" w:hAnsi="Times New Roman" w:cs="Times New Roman"/>
          <w:bCs/>
          <w:sz w:val="26"/>
          <w:szCs w:val="26"/>
        </w:rPr>
        <w:t xml:space="preserve">tende a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>coincide</w:t>
      </w:r>
      <w:r w:rsidR="004E1A67" w:rsidRPr="00051F90">
        <w:rPr>
          <w:rFonts w:ascii="Times New Roman" w:hAnsi="Times New Roman" w:cs="Times New Roman"/>
          <w:bCs/>
          <w:sz w:val="26"/>
          <w:szCs w:val="26"/>
        </w:rPr>
        <w:t>re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35E1">
        <w:rPr>
          <w:rFonts w:ascii="Times New Roman" w:hAnsi="Times New Roman" w:cs="Times New Roman"/>
          <w:bCs/>
          <w:sz w:val="26"/>
          <w:szCs w:val="26"/>
        </w:rPr>
        <w:t xml:space="preserve">per una sua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>parte</w:t>
      </w:r>
      <w:r w:rsidR="000C35E1">
        <w:rPr>
          <w:rFonts w:ascii="Times New Roman" w:hAnsi="Times New Roman" w:cs="Times New Roman"/>
          <w:bCs/>
          <w:sz w:val="26"/>
          <w:szCs w:val="26"/>
        </w:rPr>
        <w:t xml:space="preserve"> importante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con qu</w:t>
      </w:r>
      <w:r w:rsidR="00575057" w:rsidRPr="00051F90">
        <w:rPr>
          <w:rFonts w:ascii="Times New Roman" w:hAnsi="Times New Roman" w:cs="Times New Roman"/>
          <w:bCs/>
          <w:sz w:val="26"/>
          <w:szCs w:val="26"/>
        </w:rPr>
        <w:t>e</w:t>
      </w:r>
      <w:r w:rsidR="004E1A67" w:rsidRPr="00051F90">
        <w:rPr>
          <w:rFonts w:ascii="Times New Roman" w:hAnsi="Times New Roman" w:cs="Times New Roman"/>
          <w:bCs/>
          <w:sz w:val="26"/>
          <w:szCs w:val="26"/>
        </w:rPr>
        <w:t>lla del Giudice amministrativo, così come</w:t>
      </w:r>
      <w:r w:rsidR="00575057" w:rsidRPr="00051F90">
        <w:rPr>
          <w:rFonts w:ascii="Times New Roman" w:hAnsi="Times New Roman" w:cs="Times New Roman"/>
          <w:bCs/>
          <w:sz w:val="26"/>
          <w:szCs w:val="26"/>
        </w:rPr>
        <w:t xml:space="preserve"> l’intera storia della giustizia amministrativa (e del suo Giudice)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è costellata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di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vere e proprie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505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azioni di regolazione dei confini</w:t>
      </w:r>
      <w:r w:rsidR="00575057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che trovano il proprio campo di elezione sul terreno della giurisdizione </w:t>
      </w:r>
      <w:r w:rsidR="00575057" w:rsidRPr="00051F90">
        <w:rPr>
          <w:rFonts w:ascii="Times New Roman" w:hAnsi="Times New Roman" w:cs="Times New Roman"/>
          <w:bCs/>
          <w:sz w:val="26"/>
          <w:szCs w:val="26"/>
        </w:rPr>
        <w:t xml:space="preserve">(il che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probabilmente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deriva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>dalle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caratteristiche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proprie di un sistem</w:t>
      </w:r>
      <w:r w:rsidR="00575057" w:rsidRPr="00051F90">
        <w:rPr>
          <w:rFonts w:ascii="Times New Roman" w:hAnsi="Times New Roman" w:cs="Times New Roman"/>
          <w:bCs/>
          <w:sz w:val="26"/>
          <w:szCs w:val="26"/>
        </w:rPr>
        <w:t xml:space="preserve">a fondato sulla </w:t>
      </w:r>
      <w:r w:rsidR="00D876F2" w:rsidRPr="00051F90">
        <w:rPr>
          <w:rFonts w:ascii="Times New Roman" w:hAnsi="Times New Roman" w:cs="Times New Roman"/>
          <w:bCs/>
          <w:iCs/>
          <w:sz w:val="26"/>
          <w:szCs w:val="26"/>
        </w:rPr>
        <w:t>pluralità delle giurisdizioni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>, in assenza di un Tribunale dei conflitti a composizione paritaria</w:t>
      </w:r>
      <w:r w:rsidR="00575057" w:rsidRPr="00051F90">
        <w:rPr>
          <w:rFonts w:ascii="Times New Roman" w:hAnsi="Times New Roman" w:cs="Times New Roman"/>
          <w:bCs/>
          <w:sz w:val="26"/>
          <w:szCs w:val="26"/>
        </w:rPr>
        <w:t>, quale quello esistente nell’Ordinamento francese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>)</w:t>
      </w:r>
      <w:r w:rsidR="004E1A67" w:rsidRPr="00051F90">
        <w:rPr>
          <w:rFonts w:ascii="Times New Roman" w:hAnsi="Times New Roman" w:cs="Times New Roman"/>
          <w:bCs/>
          <w:sz w:val="26"/>
          <w:szCs w:val="26"/>
        </w:rPr>
        <w:t>.</w:t>
      </w:r>
    </w:p>
    <w:p w:rsidR="00A64C47" w:rsidRPr="00051F90" w:rsidRDefault="00814A0B" w:rsidP="00575057">
      <w:pPr>
        <w:spacing w:after="0" w:line="288" w:lineRule="auto"/>
        <w:ind w:left="284"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Non è quindi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536" w:rsidRPr="00051F90">
        <w:rPr>
          <w:rFonts w:ascii="Times New Roman" w:hAnsi="Times New Roman" w:cs="Times New Roman"/>
          <w:bCs/>
          <w:sz w:val="26"/>
          <w:szCs w:val="26"/>
        </w:rPr>
        <w:t>azzarda</w:t>
      </w:r>
      <w:r w:rsidRPr="00051F90">
        <w:rPr>
          <w:rFonts w:ascii="Times New Roman" w:hAnsi="Times New Roman" w:cs="Times New Roman"/>
          <w:bCs/>
          <w:sz w:val="26"/>
          <w:szCs w:val="26"/>
        </w:rPr>
        <w:t>to affermare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che, nell’esperienza nazionale, la storia stessa del sistema di giustizia amministrativa </w:t>
      </w:r>
      <w:r w:rsidRPr="00051F90">
        <w:rPr>
          <w:rFonts w:ascii="Times New Roman" w:hAnsi="Times New Roman" w:cs="Times New Roman"/>
          <w:bCs/>
          <w:sz w:val="26"/>
          <w:szCs w:val="26"/>
        </w:rPr>
        <w:t>tende a coincidere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(almeno, per una parte importante) </w:t>
      </w:r>
      <w:r w:rsidRPr="00051F90">
        <w:rPr>
          <w:rFonts w:ascii="Times New Roman" w:hAnsi="Times New Roman" w:cs="Times New Roman"/>
          <w:bCs/>
          <w:sz w:val="26"/>
          <w:szCs w:val="26"/>
        </w:rPr>
        <w:t>con quella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del riparto di giurisdizione</w:t>
      </w:r>
      <w:r w:rsidR="00022520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5AA2" w:rsidRPr="00051F90">
        <w:rPr>
          <w:rFonts w:ascii="Times New Roman" w:hAnsi="Times New Roman" w:cs="Times New Roman"/>
          <w:bCs/>
          <w:sz w:val="26"/>
          <w:szCs w:val="26"/>
        </w:rPr>
        <w:t>nonché, più in generale, con la storia delle ques</w:t>
      </w:r>
      <w:r w:rsidR="00022520" w:rsidRPr="00051F90">
        <w:rPr>
          <w:rFonts w:ascii="Times New Roman" w:hAnsi="Times New Roman" w:cs="Times New Roman"/>
          <w:bCs/>
          <w:sz w:val="26"/>
          <w:szCs w:val="26"/>
        </w:rPr>
        <w:t>tioni inerenti la giurisdizione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>.</w:t>
      </w:r>
    </w:p>
    <w:p w:rsidR="0097558A" w:rsidRPr="00051F90" w:rsidRDefault="0097558A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Ora, </w:t>
      </w:r>
      <w:r w:rsidR="00C75AA2" w:rsidRPr="00051F90">
        <w:rPr>
          <w:rFonts w:ascii="Times New Roman" w:hAnsi="Times New Roman" w:cs="Times New Roman"/>
          <w:bCs/>
          <w:sz w:val="26"/>
          <w:szCs w:val="26"/>
        </w:rPr>
        <w:t>è ben noto che il Legislatore della delega n. 69 del 2009 assunse una posizione piuttosto peculiare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in punto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di giurisdizione (e </w:t>
      </w:r>
      <w:r w:rsidR="00C75AA2" w:rsidRPr="00051F90">
        <w:rPr>
          <w:rFonts w:ascii="Times New Roman" w:hAnsi="Times New Roman" w:cs="Times New Roman"/>
          <w:bCs/>
          <w:sz w:val="26"/>
          <w:szCs w:val="26"/>
        </w:rPr>
        <w:t xml:space="preserve">che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- in qualche misura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>– ‘</w:t>
      </w:r>
      <w:r w:rsidR="00814A0B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decise di non decidere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>’</w:t>
      </w:r>
      <w:r w:rsidR="00022520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35E1">
        <w:rPr>
          <w:rFonts w:ascii="Times New Roman" w:hAnsi="Times New Roman" w:cs="Times New Roman"/>
          <w:bCs/>
          <w:sz w:val="26"/>
          <w:szCs w:val="26"/>
        </w:rPr>
        <w:t>su tale</w:t>
      </w:r>
      <w:r w:rsidR="0082338F" w:rsidRPr="00051F90">
        <w:rPr>
          <w:rFonts w:ascii="Times New Roman" w:hAnsi="Times New Roman" w:cs="Times New Roman"/>
          <w:bCs/>
          <w:sz w:val="26"/>
          <w:szCs w:val="26"/>
        </w:rPr>
        <w:t xml:space="preserve"> delicato tema</w:t>
      </w:r>
      <w:r w:rsidRPr="00051F90">
        <w:rPr>
          <w:rFonts w:ascii="Times New Roman" w:hAnsi="Times New Roman" w:cs="Times New Roman"/>
          <w:bCs/>
          <w:sz w:val="26"/>
          <w:szCs w:val="26"/>
        </w:rPr>
        <w:t>).</w:t>
      </w:r>
    </w:p>
    <w:p w:rsidR="00A64C47" w:rsidRPr="00051F90" w:rsidRDefault="0033392E" w:rsidP="0033392E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In particolare, la legge del 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2009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>fissò</w:t>
      </w:r>
      <w:r w:rsidR="0082338F" w:rsidRPr="00051F90">
        <w:rPr>
          <w:rFonts w:ascii="Times New Roman" w:hAnsi="Times New Roman" w:cs="Times New Roman"/>
          <w:bCs/>
          <w:sz w:val="26"/>
          <w:szCs w:val="26"/>
        </w:rPr>
        <w:t xml:space="preserve"> una delega 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a ma</w:t>
      </w:r>
      <w:r w:rsidR="00814A0B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g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lie molto strette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(anche) per quanto rigua</w:t>
      </w:r>
      <w:r w:rsidR="00BA3BD9" w:rsidRPr="00051F90">
        <w:rPr>
          <w:rFonts w:ascii="Times New Roman" w:hAnsi="Times New Roman" w:cs="Times New Roman"/>
          <w:bCs/>
          <w:sz w:val="26"/>
          <w:szCs w:val="26"/>
        </w:rPr>
        <w:t>rda i profili di giurisdizione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e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stabilì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>il limite del ‘</w:t>
      </w:r>
      <w:r w:rsidR="00814A0B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riassetto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’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>e del ‘</w:t>
      </w:r>
      <w:r w:rsidR="00814A0B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riordino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’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della normativa vigente (e della sua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conformazione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>alla giurisprudenza della Corte costituzionale e delle Corti superiori).</w:t>
      </w:r>
    </w:p>
    <w:p w:rsidR="00A07EF4" w:rsidRPr="00051F90" w:rsidRDefault="0082338F" w:rsidP="0033392E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In tal modo non fu</w:t>
      </w:r>
      <w:r w:rsidR="0033392E" w:rsidRPr="00051F90">
        <w:rPr>
          <w:rFonts w:ascii="Times New Roman" w:hAnsi="Times New Roman" w:cs="Times New Roman"/>
          <w:bCs/>
          <w:sz w:val="26"/>
          <w:szCs w:val="26"/>
        </w:rPr>
        <w:t xml:space="preserve"> consentito al Governo, in sede di stesura del Codice, di modificare sotto alcun profilo l’assetto che</w:t>
      </w:r>
      <w:r w:rsidR="00022520" w:rsidRPr="00051F90">
        <w:rPr>
          <w:rFonts w:ascii="Times New Roman" w:hAnsi="Times New Roman" w:cs="Times New Roman"/>
          <w:bCs/>
          <w:sz w:val="26"/>
          <w:szCs w:val="26"/>
        </w:rPr>
        <w:t>,</w:t>
      </w:r>
      <w:r w:rsidR="0033392E" w:rsidRPr="00051F90">
        <w:rPr>
          <w:rFonts w:ascii="Times New Roman" w:hAnsi="Times New Roman" w:cs="Times New Roman"/>
          <w:bCs/>
          <w:sz w:val="26"/>
          <w:szCs w:val="26"/>
        </w:rPr>
        <w:t xml:space="preserve"> in tema di giurisdizione e di riparto</w:t>
      </w:r>
      <w:r w:rsidR="00022520" w:rsidRPr="00051F90">
        <w:rPr>
          <w:rFonts w:ascii="Times New Roman" w:hAnsi="Times New Roman" w:cs="Times New Roman"/>
          <w:bCs/>
          <w:sz w:val="26"/>
          <w:szCs w:val="26"/>
        </w:rPr>
        <w:t>,</w:t>
      </w:r>
      <w:r w:rsidR="0033392E" w:rsidRPr="00051F90">
        <w:rPr>
          <w:rFonts w:ascii="Times New Roman" w:hAnsi="Times New Roman" w:cs="Times New Roman"/>
          <w:bCs/>
          <w:sz w:val="26"/>
          <w:szCs w:val="26"/>
        </w:rPr>
        <w:t xml:space="preserve"> si era andato delineando – e talvolta in modo non del tutto coerente – nei decenni precedenti.</w:t>
      </w:r>
      <w:r w:rsidR="00022520" w:rsidRPr="00051F90">
        <w:rPr>
          <w:rFonts w:ascii="Times New Roman" w:hAnsi="Times New Roman" w:cs="Times New Roman"/>
          <w:bCs/>
          <w:sz w:val="26"/>
          <w:szCs w:val="26"/>
        </w:rPr>
        <w:t xml:space="preserve"> E di tanto si è avuta una conferma assai concreta con le decisioni della Corte costituzionale</w:t>
      </w:r>
      <w:r w:rsidR="00A07EF4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07EF4" w:rsidRPr="00051F90">
        <w:rPr>
          <w:rFonts w:ascii="Times New Roman" w:hAnsi="Times New Roman" w:cs="Times New Roman"/>
          <w:bCs/>
          <w:sz w:val="26"/>
          <w:szCs w:val="26"/>
        </w:rPr>
        <w:t>numm</w:t>
      </w:r>
      <w:proofErr w:type="spellEnd"/>
      <w:r w:rsidR="00A07EF4" w:rsidRPr="00051F90">
        <w:rPr>
          <w:rFonts w:ascii="Times New Roman" w:hAnsi="Times New Roman" w:cs="Times New Roman"/>
          <w:bCs/>
          <w:sz w:val="26"/>
          <w:szCs w:val="26"/>
        </w:rPr>
        <w:t>. 162 del 2012</w:t>
      </w:r>
      <w:r w:rsidRPr="00051F90">
        <w:rPr>
          <w:rStyle w:val="Rimandonotaapidipagina"/>
          <w:rFonts w:ascii="Times New Roman" w:hAnsi="Times New Roman" w:cs="Times New Roman"/>
          <w:bCs/>
          <w:sz w:val="26"/>
          <w:szCs w:val="26"/>
        </w:rPr>
        <w:footnoteReference w:id="4"/>
      </w:r>
      <w:r w:rsidR="00A07EF4" w:rsidRPr="00051F90">
        <w:rPr>
          <w:rFonts w:ascii="Times New Roman" w:hAnsi="Times New Roman" w:cs="Times New Roman"/>
          <w:bCs/>
          <w:sz w:val="26"/>
          <w:szCs w:val="26"/>
        </w:rPr>
        <w:t xml:space="preserve"> e 94 del 2014</w:t>
      </w:r>
      <w:r w:rsidR="00903024" w:rsidRPr="00051F90">
        <w:rPr>
          <w:rStyle w:val="Rimandonotaapidipagina"/>
          <w:rFonts w:ascii="Times New Roman" w:hAnsi="Times New Roman" w:cs="Times New Roman"/>
          <w:bCs/>
          <w:sz w:val="26"/>
          <w:szCs w:val="26"/>
        </w:rPr>
        <w:footnoteReference w:id="5"/>
      </w:r>
      <w:r w:rsidR="00A07EF4" w:rsidRPr="00051F90">
        <w:rPr>
          <w:rFonts w:ascii="Times New Roman" w:hAnsi="Times New Roman" w:cs="Times New Roman"/>
          <w:bCs/>
          <w:sz w:val="26"/>
          <w:szCs w:val="26"/>
        </w:rPr>
        <w:t xml:space="preserve"> le quali hanno affermato che la devoluzione alla giurisdizione esclusiva del Giudice amministrativo di alcune controversie sanzionatorie </w:t>
      </w:r>
      <w:r w:rsidR="0028672A" w:rsidRPr="00051F90">
        <w:rPr>
          <w:rFonts w:ascii="Times New Roman" w:hAnsi="Times New Roman" w:cs="Times New Roman"/>
          <w:bCs/>
          <w:sz w:val="26"/>
          <w:szCs w:val="26"/>
        </w:rPr>
        <w:t xml:space="preserve">operata dal ‘Codice’ </w:t>
      </w:r>
      <w:r w:rsidR="00A07EF4" w:rsidRPr="00051F90">
        <w:rPr>
          <w:rFonts w:ascii="Times New Roman" w:hAnsi="Times New Roman" w:cs="Times New Roman"/>
          <w:bCs/>
          <w:sz w:val="26"/>
          <w:szCs w:val="26"/>
        </w:rPr>
        <w:t xml:space="preserve">si ponesse in contrasto con la </w:t>
      </w:r>
      <w:r w:rsidR="00A07EF4" w:rsidRPr="00051F90">
        <w:rPr>
          <w:rFonts w:ascii="Times New Roman" w:hAnsi="Times New Roman" w:cs="Times New Roman"/>
          <w:sz w:val="26"/>
          <w:szCs w:val="26"/>
        </w:rPr>
        <w:t>finalità di mera ricomposizione sistematica perseguita con l’operazione di riordino o riassetto</w:t>
      </w:r>
      <w:r w:rsidR="0028672A" w:rsidRPr="00051F90">
        <w:rPr>
          <w:rFonts w:ascii="Times New Roman" w:hAnsi="Times New Roman" w:cs="Times New Roman"/>
          <w:sz w:val="26"/>
          <w:szCs w:val="26"/>
        </w:rPr>
        <w:t xml:space="preserve"> delineata con la legge delega del 2009</w:t>
      </w:r>
      <w:r w:rsidR="0028672A" w:rsidRPr="00051F90"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6"/>
      </w:r>
      <w:r w:rsidR="0028672A" w:rsidRPr="00051F90">
        <w:rPr>
          <w:rFonts w:ascii="Times New Roman" w:hAnsi="Times New Roman" w:cs="Times New Roman"/>
          <w:sz w:val="26"/>
          <w:szCs w:val="26"/>
        </w:rPr>
        <w:t>.</w:t>
      </w:r>
    </w:p>
    <w:p w:rsidR="0097558A" w:rsidRPr="00051F90" w:rsidRDefault="00022520" w:rsidP="00092EA7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="0033392E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5AA2" w:rsidRPr="00051F90">
        <w:rPr>
          <w:rFonts w:ascii="Times New Roman" w:hAnsi="Times New Roman" w:cs="Times New Roman"/>
          <w:bCs/>
          <w:sz w:val="26"/>
          <w:szCs w:val="26"/>
        </w:rPr>
        <w:t xml:space="preserve">In definitiva, la scelta di politica legislativa trasfusa nel testo della delega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fu nel senso di non alterare in alcun modo il </w:t>
      </w:r>
      <w:r w:rsidR="00814A0B" w:rsidRPr="00051F90">
        <w:rPr>
          <w:rFonts w:ascii="Times New Roman" w:hAnsi="Times New Roman" w:cs="Times New Roman"/>
          <w:bCs/>
          <w:iCs/>
          <w:sz w:val="26"/>
          <w:szCs w:val="26"/>
        </w:rPr>
        <w:t>delicato</w:t>
      </w:r>
      <w:r w:rsidR="00AA66FD" w:rsidRPr="00051F90">
        <w:rPr>
          <w:rFonts w:ascii="Times New Roman" w:hAnsi="Times New Roman" w:cs="Times New Roman"/>
          <w:bCs/>
          <w:sz w:val="26"/>
          <w:szCs w:val="26"/>
        </w:rPr>
        <w:t xml:space="preserve"> – e, sotto molt</w:t>
      </w:r>
      <w:r w:rsidR="00092EA7" w:rsidRPr="00051F90">
        <w:rPr>
          <w:rFonts w:ascii="Times New Roman" w:hAnsi="Times New Roman" w:cs="Times New Roman"/>
          <w:bCs/>
          <w:sz w:val="26"/>
          <w:szCs w:val="26"/>
        </w:rPr>
        <w:t xml:space="preserve">i aspetti, </w:t>
      </w:r>
      <w:r w:rsidR="00AA66FD" w:rsidRPr="00051F90">
        <w:rPr>
          <w:rFonts w:ascii="Times New Roman" w:hAnsi="Times New Roman" w:cs="Times New Roman"/>
          <w:bCs/>
          <w:iCs/>
          <w:sz w:val="26"/>
          <w:szCs w:val="26"/>
        </w:rPr>
        <w:t>instabile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 xml:space="preserve"> - assetto che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si era formato 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sul tema della g</w:t>
      </w:r>
      <w:r w:rsidR="00092EA7" w:rsidRPr="00051F90">
        <w:rPr>
          <w:rFonts w:ascii="Times New Roman" w:hAnsi="Times New Roman" w:cs="Times New Roman"/>
          <w:bCs/>
          <w:sz w:val="26"/>
          <w:szCs w:val="26"/>
        </w:rPr>
        <w:t>iurisdizione e del riparto nel torno temporale precedente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.</w:t>
      </w:r>
    </w:p>
    <w:p w:rsidR="00A64C47" w:rsidRPr="00051F90" w:rsidRDefault="0097558A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Ciò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non significa che l’assetto in punto di giurisdizione che fu </w:t>
      </w:r>
      <w:r w:rsidR="007F0857" w:rsidRPr="00051F90">
        <w:rPr>
          <w:rFonts w:ascii="Times New Roman" w:hAnsi="Times New Roman" w:cs="Times New Roman"/>
          <w:bCs/>
          <w:sz w:val="26"/>
          <w:szCs w:val="26"/>
        </w:rPr>
        <w:t>di fatto cristallizzato</w:t>
      </w:r>
      <w:r w:rsidR="00092EA7" w:rsidRPr="00051F90">
        <w:rPr>
          <w:rFonts w:ascii="Times New Roman" w:hAnsi="Times New Roman" w:cs="Times New Roman"/>
          <w:bCs/>
          <w:sz w:val="26"/>
          <w:szCs w:val="26"/>
        </w:rPr>
        <w:t xml:space="preserve"> nel testo de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>l ‘</w:t>
      </w:r>
      <w:r w:rsidR="006B7950" w:rsidRPr="00051F90">
        <w:rPr>
          <w:rFonts w:ascii="Times New Roman" w:hAnsi="Times New Roman" w:cs="Times New Roman"/>
          <w:bCs/>
          <w:sz w:val="26"/>
          <w:szCs w:val="26"/>
        </w:rPr>
        <w:t>Codice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’ </w:t>
      </w:r>
      <w:r w:rsidR="00C75AA2" w:rsidRPr="00051F90">
        <w:rPr>
          <w:rFonts w:ascii="Times New Roman" w:hAnsi="Times New Roman" w:cs="Times New Roman"/>
          <w:bCs/>
          <w:sz w:val="26"/>
          <w:szCs w:val="26"/>
        </w:rPr>
        <w:t xml:space="preserve">del 2010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>fosse pacifico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o scevro da aree di critici</w:t>
      </w:r>
      <w:r w:rsidR="00C75AA2" w:rsidRPr="00051F90">
        <w:rPr>
          <w:rFonts w:ascii="Times New Roman" w:hAnsi="Times New Roman" w:cs="Times New Roman"/>
          <w:bCs/>
          <w:sz w:val="26"/>
          <w:szCs w:val="26"/>
        </w:rPr>
        <w:t xml:space="preserve">tà,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>ma significa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, più semplicemente, che il Legislatore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>evitò di affrontare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le numerose (e spinose) questioni che ancora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>restavano aperte in punto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di giurisdizione e di riparto.</w:t>
      </w:r>
    </w:p>
    <w:p w:rsidR="00092EA7" w:rsidRPr="00051F90" w:rsidRDefault="00092EA7" w:rsidP="00A17D2D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La scelta in questione, se non giustificabile in termini sistematici, risulta comunque agevolmente comprensibi</w:t>
      </w:r>
      <w:r w:rsidR="007F0857" w:rsidRPr="00051F90">
        <w:rPr>
          <w:rFonts w:ascii="Times New Roman" w:hAnsi="Times New Roman" w:cs="Times New Roman"/>
          <w:bCs/>
          <w:sz w:val="26"/>
          <w:szCs w:val="26"/>
        </w:rPr>
        <w:t xml:space="preserve">le nelle sue ragioni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di fondo: laddove si fosse inteso </w:t>
      </w:r>
      <w:r w:rsidR="00505E73" w:rsidRPr="00051F90">
        <w:rPr>
          <w:rFonts w:ascii="Times New Roman" w:hAnsi="Times New Roman" w:cs="Times New Roman"/>
          <w:bCs/>
          <w:sz w:val="26"/>
          <w:szCs w:val="26"/>
        </w:rPr>
        <w:t>–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5E73" w:rsidRPr="00051F90">
        <w:rPr>
          <w:rFonts w:ascii="Times New Roman" w:hAnsi="Times New Roman" w:cs="Times New Roman"/>
          <w:bCs/>
          <w:sz w:val="26"/>
          <w:szCs w:val="26"/>
        </w:rPr>
        <w:t xml:space="preserve">con approccio genuinamente </w:t>
      </w:r>
      <w:r w:rsidR="00D1118A" w:rsidRPr="00051F90">
        <w:rPr>
          <w:rFonts w:ascii="Times New Roman" w:hAnsi="Times New Roman" w:cs="Times New Roman"/>
          <w:bCs/>
          <w:sz w:val="26"/>
          <w:szCs w:val="26"/>
        </w:rPr>
        <w:t xml:space="preserve">riformatore e rifuggendo dalla logica della mera consolidazione – ricondurre i temi della giurisdizione e del riparto a un nuovo assetto organico, si sarebbero verosimilmente agitate – in molti ambiti del dibattito giuridico nazionale </w:t>
      </w:r>
      <w:r w:rsidR="00A17D2D" w:rsidRPr="00051F90">
        <w:rPr>
          <w:rFonts w:ascii="Times New Roman" w:hAnsi="Times New Roman" w:cs="Times New Roman"/>
          <w:bCs/>
          <w:sz w:val="26"/>
          <w:szCs w:val="26"/>
        </w:rPr>
        <w:t xml:space="preserve">e nella stessa dialettica fra le giurisdizioni </w:t>
      </w:r>
      <w:r w:rsidR="00D1118A" w:rsidRPr="00051F90">
        <w:rPr>
          <w:rFonts w:ascii="Times New Roman" w:hAnsi="Times New Roman" w:cs="Times New Roman"/>
          <w:bCs/>
          <w:sz w:val="26"/>
          <w:szCs w:val="26"/>
        </w:rPr>
        <w:t xml:space="preserve">- forme di resistenza </w:t>
      </w:r>
      <w:r w:rsidR="00A17D2D" w:rsidRPr="00051F90">
        <w:rPr>
          <w:rFonts w:ascii="Times New Roman" w:hAnsi="Times New Roman" w:cs="Times New Roman"/>
          <w:bCs/>
          <w:sz w:val="26"/>
          <w:szCs w:val="26"/>
        </w:rPr>
        <w:t xml:space="preserve">e rinnovate rivendicazioni </w:t>
      </w:r>
      <w:r w:rsidR="00D1118A" w:rsidRPr="00051F90">
        <w:rPr>
          <w:rFonts w:ascii="Times New Roman" w:hAnsi="Times New Roman" w:cs="Times New Roman"/>
          <w:bCs/>
          <w:sz w:val="26"/>
          <w:szCs w:val="26"/>
        </w:rPr>
        <w:t xml:space="preserve">che avrebbero potuto persino impedire la stessa emanazione di un Codice del processo amministrativo </w:t>
      </w:r>
    </w:p>
    <w:p w:rsidR="0097558A" w:rsidRPr="00051F90" w:rsidRDefault="00404D7C" w:rsidP="00A17D2D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1F90">
        <w:rPr>
          <w:rFonts w:ascii="Times New Roman" w:hAnsi="Times New Roman" w:cs="Times New Roman"/>
          <w:bCs/>
          <w:sz w:val="26"/>
          <w:szCs w:val="26"/>
        </w:rPr>
        <w:t>E’</w:t>
      </w:r>
      <w:proofErr w:type="gramEnd"/>
      <w:r w:rsidRPr="00051F90">
        <w:rPr>
          <w:rFonts w:ascii="Times New Roman" w:hAnsi="Times New Roman" w:cs="Times New Roman"/>
          <w:bCs/>
          <w:sz w:val="26"/>
          <w:szCs w:val="26"/>
        </w:rPr>
        <w:t xml:space="preserve"> quindi possibile afferma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re 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che la scelta opera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>ta in punto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 xml:space="preserve"> di giurisdizione e di riparto dal legislatore del 2009 </w:t>
      </w:r>
      <w:r w:rsidRPr="00051F90">
        <w:rPr>
          <w:rFonts w:ascii="Times New Roman" w:hAnsi="Times New Roman" w:cs="Times New Roman"/>
          <w:bCs/>
          <w:sz w:val="26"/>
          <w:szCs w:val="26"/>
        </w:rPr>
        <w:t>fosse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fondata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 xml:space="preserve"> su una sorta di ‘</w:t>
      </w:r>
      <w:r w:rsidR="0097558A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patto di non belligeranza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’.</w:t>
      </w:r>
    </w:p>
    <w:p w:rsidR="0097558A" w:rsidRPr="00051F90" w:rsidRDefault="00404D7C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Ma occorre anche ricordare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che, negli anni immediatamente precedenti all’emanazione del </w:t>
      </w:r>
      <w:r w:rsidR="006B7950" w:rsidRPr="00051F90">
        <w:rPr>
          <w:rFonts w:ascii="Times New Roman" w:hAnsi="Times New Roman" w:cs="Times New Roman"/>
          <w:bCs/>
          <w:sz w:val="26"/>
          <w:szCs w:val="26"/>
        </w:rPr>
        <w:t>Codice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del processo amministrativo, le </w:t>
      </w:r>
      <w:r w:rsidR="00814A0B" w:rsidRPr="00051F90">
        <w:rPr>
          <w:rFonts w:ascii="Times New Roman" w:hAnsi="Times New Roman" w:cs="Times New Roman"/>
          <w:bCs/>
          <w:iCs/>
          <w:sz w:val="26"/>
          <w:szCs w:val="26"/>
        </w:rPr>
        <w:t>fibrillazioni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(e, talvolta, gli </w:t>
      </w:r>
      <w:r w:rsidR="00814A0B" w:rsidRPr="00051F90">
        <w:rPr>
          <w:rFonts w:ascii="Times New Roman" w:hAnsi="Times New Roman" w:cs="Times New Roman"/>
          <w:bCs/>
          <w:iCs/>
          <w:sz w:val="26"/>
          <w:szCs w:val="26"/>
        </w:rPr>
        <w:t>aperti contrasti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>) sulle questioni di giurisdizione erano stati estremamente numerosi e, talvolta</w:t>
      </w:r>
      <w:r w:rsidR="007F0857" w:rsidRPr="00051F90">
        <w:rPr>
          <w:rFonts w:ascii="Times New Roman" w:hAnsi="Times New Roman" w:cs="Times New Roman"/>
          <w:bCs/>
          <w:sz w:val="26"/>
          <w:szCs w:val="26"/>
        </w:rPr>
        <w:t>,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decisamente aspri.</w:t>
      </w:r>
    </w:p>
    <w:p w:rsidR="0097558A" w:rsidRPr="00051F90" w:rsidRDefault="00404D7C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Ci si limita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qui soltanto a richiamare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:</w:t>
      </w:r>
    </w:p>
    <w:p w:rsidR="0097558A" w:rsidRPr="00051F90" w:rsidRDefault="00814A0B" w:rsidP="00404D7C">
      <w:pPr>
        <w:spacing w:after="0" w:line="288" w:lineRule="auto"/>
        <w:ind w:left="709" w:right="282" w:hanging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-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4D7C" w:rsidRPr="00051F90">
        <w:rPr>
          <w:rFonts w:ascii="Times New Roman" w:hAnsi="Times New Roman" w:cs="Times New Roman"/>
          <w:bCs/>
          <w:sz w:val="26"/>
          <w:szCs w:val="26"/>
        </w:rPr>
        <w:tab/>
      </w:r>
      <w:r w:rsidR="00544C41" w:rsidRPr="00051F90">
        <w:rPr>
          <w:rFonts w:ascii="Times New Roman" w:hAnsi="Times New Roman" w:cs="Times New Roman"/>
          <w:bCs/>
          <w:sz w:val="26"/>
          <w:szCs w:val="26"/>
        </w:rPr>
        <w:t xml:space="preserve">l’acceso dibattito - 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svoltosi nel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corso di tutti</w:t>
      </w:r>
      <w:r w:rsidR="00544C41" w:rsidRPr="00051F90">
        <w:rPr>
          <w:rFonts w:ascii="Times New Roman" w:hAnsi="Times New Roman" w:cs="Times New Roman"/>
          <w:bCs/>
          <w:sz w:val="26"/>
          <w:szCs w:val="26"/>
        </w:rPr>
        <w:t xml:space="preserve"> gli anni Novanta -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 xml:space="preserve"> sulla questione del </w:t>
      </w:r>
      <w:r w:rsidR="0097558A" w:rsidRPr="00051F90">
        <w:rPr>
          <w:rFonts w:ascii="Times New Roman" w:hAnsi="Times New Roman" w:cs="Times New Roman"/>
          <w:bCs/>
          <w:iCs/>
          <w:sz w:val="26"/>
          <w:szCs w:val="26"/>
        </w:rPr>
        <w:t>riparto per blocchi di materie</w:t>
      </w:r>
      <w:r w:rsidR="00141693" w:rsidRPr="00051F90">
        <w:rPr>
          <w:rFonts w:ascii="Times New Roman" w:hAnsi="Times New Roman" w:cs="Times New Roman"/>
          <w:bCs/>
          <w:sz w:val="26"/>
          <w:szCs w:val="26"/>
        </w:rPr>
        <w:t xml:space="preserve"> (si tratta di un dibattito che, dopo aver trovato una sostanziale consacrazione in alcune decisioni dei massimi Organi della giustizia ordinaria e amministrativa</w:t>
      </w:r>
      <w:r w:rsidR="00141693" w:rsidRPr="00051F90">
        <w:rPr>
          <w:rStyle w:val="Rimandonotaapidipagina"/>
          <w:rFonts w:ascii="Times New Roman" w:hAnsi="Times New Roman" w:cs="Times New Roman"/>
          <w:bCs/>
          <w:sz w:val="26"/>
          <w:szCs w:val="26"/>
        </w:rPr>
        <w:footnoteReference w:id="7"/>
      </w:r>
      <w:r w:rsidR="00141693" w:rsidRPr="00051F90">
        <w:rPr>
          <w:rFonts w:ascii="Times New Roman" w:hAnsi="Times New Roman" w:cs="Times New Roman"/>
          <w:bCs/>
          <w:sz w:val="26"/>
          <w:szCs w:val="26"/>
        </w:rPr>
        <w:t>,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1693" w:rsidRPr="00051F90">
        <w:rPr>
          <w:rFonts w:ascii="Times New Roman" w:hAnsi="Times New Roman" w:cs="Times New Roman"/>
          <w:bCs/>
          <w:sz w:val="26"/>
          <w:szCs w:val="26"/>
        </w:rPr>
        <w:t xml:space="preserve">fu bruscamente interrotto 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 xml:space="preserve">dalla sentenza </w:t>
      </w:r>
      <w:r w:rsidR="00141693" w:rsidRPr="00051F90">
        <w:rPr>
          <w:rFonts w:ascii="Times New Roman" w:hAnsi="Times New Roman" w:cs="Times New Roman"/>
          <w:bCs/>
          <w:sz w:val="26"/>
          <w:szCs w:val="26"/>
        </w:rPr>
        <w:t xml:space="preserve">della Corte costituzionale n. 204 del 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2004</w:t>
      </w:r>
      <w:r w:rsidR="00141693" w:rsidRPr="00051F90">
        <w:rPr>
          <w:rFonts w:ascii="Times New Roman" w:hAnsi="Times New Roman" w:cs="Times New Roman"/>
          <w:bCs/>
          <w:sz w:val="26"/>
          <w:szCs w:val="26"/>
        </w:rPr>
        <w:t xml:space="preserve"> e </w:t>
      </w:r>
      <w:r w:rsidR="007F0857" w:rsidRPr="00051F90">
        <w:rPr>
          <w:rFonts w:ascii="Times New Roman" w:hAnsi="Times New Roman" w:cs="Times New Roman"/>
          <w:bCs/>
          <w:sz w:val="26"/>
          <w:szCs w:val="26"/>
        </w:rPr>
        <w:t xml:space="preserve">che </w:t>
      </w:r>
      <w:r w:rsidR="00141693" w:rsidRPr="00051F90">
        <w:rPr>
          <w:rFonts w:ascii="Times New Roman" w:hAnsi="Times New Roman" w:cs="Times New Roman"/>
          <w:bCs/>
          <w:sz w:val="26"/>
          <w:szCs w:val="26"/>
        </w:rPr>
        <w:t>non è stato di fatto in seguito riproposto – almeno, non in termini generali -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);</w:t>
      </w:r>
    </w:p>
    <w:p w:rsidR="0097558A" w:rsidRPr="00051F90" w:rsidRDefault="00814A0B" w:rsidP="00404D7C">
      <w:pPr>
        <w:spacing w:after="0" w:line="288" w:lineRule="auto"/>
        <w:ind w:left="709" w:right="282" w:hanging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-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4D7C" w:rsidRPr="00051F90">
        <w:rPr>
          <w:rFonts w:ascii="Times New Roman" w:hAnsi="Times New Roman" w:cs="Times New Roman"/>
          <w:bCs/>
          <w:sz w:val="26"/>
          <w:szCs w:val="26"/>
        </w:rPr>
        <w:tab/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il contrasto sull’interpretazione d</w:t>
      </w:r>
      <w:r w:rsidRPr="00051F90">
        <w:rPr>
          <w:rFonts w:ascii="Times New Roman" w:hAnsi="Times New Roman" w:cs="Times New Roman"/>
          <w:bCs/>
          <w:sz w:val="26"/>
          <w:szCs w:val="26"/>
        </w:rPr>
        <w:t>a fornire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 xml:space="preserve"> all’</w:t>
      </w:r>
      <w:r w:rsidRPr="00051F90">
        <w:rPr>
          <w:rFonts w:ascii="Times New Roman" w:hAnsi="Times New Roman" w:cs="Times New Roman"/>
          <w:bCs/>
          <w:sz w:val="26"/>
          <w:szCs w:val="26"/>
        </w:rPr>
        <w:t>articolo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 xml:space="preserve"> 111, u.co. </w:t>
      </w:r>
      <w:proofErr w:type="spellStart"/>
      <w:r w:rsidR="0097558A" w:rsidRPr="00051F90">
        <w:rPr>
          <w:rFonts w:ascii="Times New Roman" w:hAnsi="Times New Roman" w:cs="Times New Roman"/>
          <w:bCs/>
          <w:sz w:val="26"/>
          <w:szCs w:val="26"/>
        </w:rPr>
        <w:t>Cost</w:t>
      </w:r>
      <w:proofErr w:type="spellEnd"/>
      <w:r w:rsidR="0097558A" w:rsidRPr="00051F90">
        <w:rPr>
          <w:rFonts w:ascii="Times New Roman" w:hAnsi="Times New Roman" w:cs="Times New Roman"/>
          <w:bCs/>
          <w:sz w:val="26"/>
          <w:szCs w:val="26"/>
        </w:rPr>
        <w:t>.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circa 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 xml:space="preserve">i </w:t>
      </w:r>
      <w:r w:rsidRPr="00051F90">
        <w:rPr>
          <w:rFonts w:ascii="Times New Roman" w:hAnsi="Times New Roman" w:cs="Times New Roman"/>
          <w:bCs/>
          <w:iCs/>
          <w:sz w:val="26"/>
          <w:szCs w:val="26"/>
        </w:rPr>
        <w:t>limiti al sindacato delle Sezioni unite</w:t>
      </w:r>
      <w:r w:rsidR="0097558A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sulle sentenze del Consiglio di Stato </w:t>
      </w:r>
      <w:r w:rsidR="0097558A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per 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«</w:t>
      </w:r>
      <w:r w:rsidR="0097558A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motivi inerenti alla giurisdizione</w:t>
      </w:r>
      <w:r w:rsidRPr="00051F90">
        <w:rPr>
          <w:rFonts w:ascii="Times New Roman" w:hAnsi="Times New Roman" w:cs="Times New Roman"/>
          <w:bCs/>
          <w:sz w:val="26"/>
          <w:szCs w:val="26"/>
        </w:rPr>
        <w:t>»;</w:t>
      </w:r>
    </w:p>
    <w:p w:rsidR="0097558A" w:rsidRPr="00051F90" w:rsidRDefault="00814A0B" w:rsidP="00404D7C">
      <w:pPr>
        <w:spacing w:after="0" w:line="288" w:lineRule="auto"/>
        <w:ind w:left="709" w:right="282" w:hanging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</w:t>
      </w:r>
      <w:r w:rsidR="00404D7C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il dibattito (altrettanto acceso)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sull’individuazione del Giudice 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 xml:space="preserve">al quale attribuire la </w:t>
      </w:r>
      <w:r w:rsidR="0097558A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nuova </w:t>
      </w:r>
      <w:r w:rsidR="0097558A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giurisdizione in materia di risarcimento da lesione di interessi legittimi </w:t>
      </w:r>
      <w:proofErr w:type="spellStart"/>
      <w:r w:rsidR="0097558A" w:rsidRPr="00051F90">
        <w:rPr>
          <w:rFonts w:ascii="Times New Roman" w:hAnsi="Times New Roman" w:cs="Times New Roman"/>
          <w:bCs/>
          <w:iCs/>
          <w:sz w:val="26"/>
          <w:szCs w:val="26"/>
        </w:rPr>
        <w:t>pretensivi</w:t>
      </w:r>
      <w:proofErr w:type="spellEnd"/>
      <w:r w:rsidR="00404D7C" w:rsidRPr="00051F9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04D7C" w:rsidRPr="00051F90">
        <w:rPr>
          <w:rFonts w:ascii="Times New Roman" w:hAnsi="Times New Roman" w:cs="Times New Roman"/>
          <w:bCs/>
          <w:i/>
          <w:sz w:val="26"/>
          <w:szCs w:val="26"/>
        </w:rPr>
        <w:t>i.e</w:t>
      </w:r>
      <w:r w:rsidR="007F0857" w:rsidRPr="00051F90">
        <w:rPr>
          <w:rFonts w:ascii="Times New Roman" w:hAnsi="Times New Roman" w:cs="Times New Roman"/>
          <w:bCs/>
          <w:sz w:val="26"/>
          <w:szCs w:val="26"/>
        </w:rPr>
        <w:t xml:space="preserve">.: quello stesso </w:t>
      </w:r>
      <w:r w:rsidR="00404D7C" w:rsidRPr="00051F90">
        <w:rPr>
          <w:rFonts w:ascii="Times New Roman" w:hAnsi="Times New Roman" w:cs="Times New Roman"/>
          <w:bCs/>
          <w:sz w:val="26"/>
          <w:szCs w:val="26"/>
        </w:rPr>
        <w:t>ambito di giurisdizione che era stato enucleato per la prima volta dalla sentenza delle Sezioni unite n. 500 del 1999 e che, all’esito di un vivace dibattito fra le giurisdizioni ordinaria e amministrativa, è stato infine attribuito dal Legislatore a quest’ultima</w:t>
      </w:r>
      <w:r w:rsidR="0097558A" w:rsidRPr="00051F90">
        <w:rPr>
          <w:rFonts w:ascii="Times New Roman" w:hAnsi="Times New Roman" w:cs="Times New Roman"/>
          <w:bCs/>
          <w:sz w:val="26"/>
          <w:szCs w:val="26"/>
        </w:rPr>
        <w:t>).</w:t>
      </w:r>
    </w:p>
    <w:p w:rsidR="00A26302" w:rsidRPr="00051F90" w:rsidRDefault="00A26302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Sotto questo aspetto, il Codice del 2010 si limitò, in qualche misura, ad ipostatizzare l’assetto esistente nel periodo storico in cui fu conce</w:t>
      </w:r>
      <w:r w:rsidR="00544C41" w:rsidRPr="00051F90">
        <w:rPr>
          <w:rFonts w:ascii="Times New Roman" w:hAnsi="Times New Roman" w:cs="Times New Roman"/>
          <w:bCs/>
          <w:sz w:val="26"/>
          <w:szCs w:val="26"/>
        </w:rPr>
        <w:t>pito e - per così dire – a traccia</w:t>
      </w:r>
      <w:r w:rsidRPr="00051F90">
        <w:rPr>
          <w:rFonts w:ascii="Times New Roman" w:hAnsi="Times New Roman" w:cs="Times New Roman"/>
          <w:bCs/>
          <w:sz w:val="26"/>
          <w:szCs w:val="26"/>
        </w:rPr>
        <w:t>rne un ritratto fedele, senza tuttavia intervenire in modo davvero risolutivo sui più divisivi fra i temi sul campo.</w:t>
      </w:r>
    </w:p>
    <w:p w:rsidR="0097558A" w:rsidRPr="00051F90" w:rsidRDefault="0097558A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Ora,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p</w:t>
      </w:r>
      <w:r w:rsidRPr="00051F90">
        <w:rPr>
          <w:rFonts w:ascii="Times New Roman" w:hAnsi="Times New Roman" w:cs="Times New Roman"/>
          <w:bCs/>
          <w:sz w:val="26"/>
          <w:szCs w:val="26"/>
        </w:rPr>
        <w:t>er quanto il Legislatore (animat</w:t>
      </w:r>
      <w:r w:rsidR="00404D7C" w:rsidRPr="00051F90">
        <w:rPr>
          <w:rFonts w:ascii="Times New Roman" w:hAnsi="Times New Roman" w:cs="Times New Roman"/>
          <w:bCs/>
          <w:sz w:val="26"/>
          <w:szCs w:val="26"/>
        </w:rPr>
        <w:t>o da una indubbia dose di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buona volontà) in sede di st</w:t>
      </w:r>
      <w:r w:rsidR="00BA3BD9" w:rsidRPr="00051F90">
        <w:rPr>
          <w:rFonts w:ascii="Times New Roman" w:hAnsi="Times New Roman" w:cs="Times New Roman"/>
          <w:bCs/>
          <w:sz w:val="26"/>
          <w:szCs w:val="26"/>
        </w:rPr>
        <w:t>esura del ‘</w:t>
      </w:r>
      <w:r w:rsidR="006B7950" w:rsidRPr="00051F90">
        <w:rPr>
          <w:rFonts w:ascii="Times New Roman" w:hAnsi="Times New Roman" w:cs="Times New Roman"/>
          <w:bCs/>
          <w:sz w:val="26"/>
          <w:szCs w:val="26"/>
        </w:rPr>
        <w:t>Codice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’ avesse </w:t>
      </w:r>
      <w:r w:rsidR="0038528E" w:rsidRPr="00051F90">
        <w:rPr>
          <w:rFonts w:ascii="Times New Roman" w:hAnsi="Times New Roman" w:cs="Times New Roman"/>
          <w:bCs/>
          <w:sz w:val="26"/>
          <w:szCs w:val="26"/>
        </w:rPr>
        <w:t>tentato di stemperare i temi e gli ambiti maggiormente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divisivi, era inevitabile che il dibattito sul tem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a del riparto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51F90">
        <w:rPr>
          <w:rFonts w:ascii="Times New Roman" w:hAnsi="Times New Roman" w:cs="Times New Roman"/>
          <w:bCs/>
          <w:sz w:val="26"/>
          <w:szCs w:val="26"/>
        </w:rPr>
        <w:t>e, più in generale, sui temi connessi alla giurisdizione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4A0B" w:rsidRPr="00051F90">
        <w:rPr>
          <w:rFonts w:ascii="Times New Roman" w:hAnsi="Times New Roman" w:cs="Times New Roman"/>
          <w:bCs/>
          <w:sz w:val="26"/>
          <w:szCs w:val="26"/>
        </w:rPr>
        <w:t xml:space="preserve">proseguisse </w:t>
      </w:r>
      <w:r w:rsidRPr="00051F90">
        <w:rPr>
          <w:rFonts w:ascii="Times New Roman" w:hAnsi="Times New Roman" w:cs="Times New Roman"/>
          <w:bCs/>
          <w:sz w:val="26"/>
          <w:szCs w:val="26"/>
        </w:rPr>
        <w:t>e talvolta in modo decisamente tumultuoso.</w:t>
      </w:r>
    </w:p>
    <w:p w:rsidR="0043336F" w:rsidRPr="00051F90" w:rsidRDefault="00E32768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Il che</w:t>
      </w:r>
      <w:r w:rsidR="0043336F" w:rsidRPr="00051F90">
        <w:rPr>
          <w:rFonts w:ascii="Times New Roman" w:hAnsi="Times New Roman" w:cs="Times New Roman"/>
          <w:bCs/>
          <w:sz w:val="26"/>
          <w:szCs w:val="26"/>
        </w:rPr>
        <w:t xml:space="preserve">, come era agevolmente pronosticabile </w:t>
      </w:r>
      <w:r w:rsidR="004D6A94" w:rsidRPr="00051F90">
        <w:rPr>
          <w:rFonts w:ascii="Times New Roman" w:hAnsi="Times New Roman" w:cs="Times New Roman"/>
          <w:bCs/>
          <w:sz w:val="26"/>
          <w:szCs w:val="26"/>
        </w:rPr>
        <w:t xml:space="preserve">già </w:t>
      </w:r>
      <w:r w:rsidR="0043336F" w:rsidRPr="00051F90">
        <w:rPr>
          <w:rFonts w:ascii="Times New Roman" w:hAnsi="Times New Roman" w:cs="Times New Roman"/>
          <w:bCs/>
          <w:sz w:val="26"/>
          <w:szCs w:val="26"/>
        </w:rPr>
        <w:t>all’atto di emanazione del Codice</w:t>
      </w:r>
      <w:r w:rsidR="004D6A94" w:rsidRPr="00051F90">
        <w:rPr>
          <w:rFonts w:ascii="Times New Roman" w:hAnsi="Times New Roman" w:cs="Times New Roman"/>
          <w:bCs/>
          <w:sz w:val="26"/>
          <w:szCs w:val="26"/>
        </w:rPr>
        <w:t>,</w:t>
      </w:r>
      <w:r w:rsidR="0043336F" w:rsidRPr="00051F90">
        <w:rPr>
          <w:rFonts w:ascii="Times New Roman" w:hAnsi="Times New Roman" w:cs="Times New Roman"/>
          <w:bCs/>
          <w:sz w:val="26"/>
          <w:szCs w:val="26"/>
        </w:rPr>
        <w:t xml:space="preserve"> è puntualmente avvenuto.</w:t>
      </w:r>
    </w:p>
    <w:p w:rsidR="0043336F" w:rsidRPr="00051F90" w:rsidRDefault="0043336F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7558A" w:rsidRPr="00051F90" w:rsidRDefault="0097558A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Ebbene, nel</w:t>
      </w:r>
      <w:r w:rsidR="0043336F" w:rsidRPr="00051F90">
        <w:rPr>
          <w:rFonts w:ascii="Times New Roman" w:hAnsi="Times New Roman" w:cs="Times New Roman"/>
          <w:bCs/>
          <w:sz w:val="26"/>
          <w:szCs w:val="26"/>
        </w:rPr>
        <w:t>le pagine che seguono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3BD9" w:rsidRPr="00051F90">
        <w:rPr>
          <w:rFonts w:ascii="Times New Roman" w:hAnsi="Times New Roman" w:cs="Times New Roman"/>
          <w:bCs/>
          <w:sz w:val="26"/>
          <w:szCs w:val="26"/>
        </w:rPr>
        <w:t xml:space="preserve">mi soffermerò su tre questioni </w:t>
      </w:r>
      <w:r w:rsidRPr="00051F90">
        <w:rPr>
          <w:rFonts w:ascii="Times New Roman" w:hAnsi="Times New Roman" w:cs="Times New Roman"/>
          <w:bCs/>
          <w:iCs/>
          <w:sz w:val="26"/>
          <w:szCs w:val="26"/>
        </w:rPr>
        <w:t>di permanente attualità che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riguardano il tema della giurisdizione </w:t>
      </w:r>
      <w:r w:rsidR="0043336F" w:rsidRPr="00051F90">
        <w:rPr>
          <w:rFonts w:ascii="Times New Roman" w:hAnsi="Times New Roman" w:cs="Times New Roman"/>
          <w:bCs/>
          <w:sz w:val="26"/>
          <w:szCs w:val="26"/>
        </w:rPr>
        <w:t xml:space="preserve">e del riparto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e che </w:t>
      </w:r>
      <w:r w:rsidR="00BA3BD9" w:rsidRPr="00051F90">
        <w:rPr>
          <w:rFonts w:ascii="Times New Roman" w:hAnsi="Times New Roman" w:cs="Times New Roman"/>
          <w:bCs/>
          <w:sz w:val="26"/>
          <w:szCs w:val="26"/>
        </w:rPr>
        <w:t>possiamo compendiare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in altrettanti brevi quesiti.</w:t>
      </w:r>
    </w:p>
    <w:p w:rsidR="00C967E7" w:rsidRPr="00051F90" w:rsidRDefault="00BA3BD9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Il primo quesito è il seguente: </w:t>
      </w:r>
      <w:r w:rsidRPr="00051F90">
        <w:rPr>
          <w:rFonts w:ascii="Times New Roman" w:hAnsi="Times New Roman" w:cs="Times New Roman"/>
          <w:bCs/>
          <w:i/>
          <w:sz w:val="26"/>
          <w:szCs w:val="26"/>
        </w:rPr>
        <w:t>esiste forse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un principio genera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le in base al quale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la funzione giurisdizionale 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presenta 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un carat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tere funzionalmente unitario,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al punto da determinare una sostanziale fungibilità (o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addirittura una tendenziale indifferenza)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fra le diverse giuris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dizioni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?</w:t>
      </w:r>
    </w:p>
    <w:p w:rsidR="00C967E7" w:rsidRPr="00051F90" w:rsidRDefault="00BA3BD9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Il secondo quesito può essere così compendiato: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l’articolo 111 della Costituzione va interpretato nel se</w:t>
      </w:r>
      <w:r w:rsidR="00BB3DEB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nso che le Sezioni unite vengono individuate come il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Giudice del riparto,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ovvero 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– in senso più radicale - 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nel senso che esse </w:t>
      </w:r>
      <w:r w:rsidR="0043336F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s</w:t>
      </w:r>
      <w:r w:rsidR="00BB3DEB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i identifica</w:t>
      </w:r>
      <w:r w:rsidR="0043336F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no 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addirittura </w:t>
      </w:r>
      <w:r w:rsidR="00BB3DEB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con 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il Giudice dell’esercizio 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della funzione</w:t>
      </w:r>
      <w:r w:rsidR="00BB3DEB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giurisdizionale in quanto tale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?</w:t>
      </w:r>
    </w:p>
    <w:p w:rsidR="00C967E7" w:rsidRPr="00051F90" w:rsidRDefault="00BA3BD9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Il terzo quesito è il seguente: </w:t>
      </w:r>
      <w:r w:rsidRPr="00051F90">
        <w:rPr>
          <w:rFonts w:ascii="Times New Roman" w:hAnsi="Times New Roman" w:cs="Times New Roman"/>
          <w:bCs/>
          <w:i/>
          <w:sz w:val="26"/>
          <w:szCs w:val="26"/>
        </w:rPr>
        <w:t>esiste forse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un principio gener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ale in base al quale al Giudice amministrativo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è tendenzialmente 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preclusa 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la g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iurisdizione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in 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materia di diritti fondamentali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?</w:t>
      </w:r>
    </w:p>
    <w:p w:rsidR="00C967E7" w:rsidRPr="00051F90" w:rsidRDefault="00C967E7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S</w:t>
      </w:r>
      <w:r w:rsidR="00BA3BD9" w:rsidRPr="00051F90">
        <w:rPr>
          <w:rFonts w:ascii="Times New Roman" w:hAnsi="Times New Roman" w:cs="Times New Roman"/>
          <w:bCs/>
          <w:sz w:val="26"/>
          <w:szCs w:val="26"/>
        </w:rPr>
        <w:t>i tratta di tre questioni estremamente com</w:t>
      </w:r>
      <w:r w:rsidR="00E32768">
        <w:rPr>
          <w:rFonts w:ascii="Times New Roman" w:hAnsi="Times New Roman" w:cs="Times New Roman"/>
          <w:bCs/>
          <w:sz w:val="26"/>
          <w:szCs w:val="26"/>
        </w:rPr>
        <w:t>plesse la cui vastità risulta incompatibile con i limiti dimensionali della presente disamina. Q</w:t>
      </w:r>
      <w:r w:rsidR="00BA3BD9" w:rsidRPr="00051F90">
        <w:rPr>
          <w:rFonts w:ascii="Times New Roman" w:hAnsi="Times New Roman" w:cs="Times New Roman"/>
          <w:bCs/>
          <w:sz w:val="26"/>
          <w:szCs w:val="26"/>
        </w:rPr>
        <w:t xml:space="preserve">uindi su ciascuna di </w:t>
      </w:r>
      <w:r w:rsidR="00BB3DEB" w:rsidRPr="00051F90">
        <w:rPr>
          <w:rFonts w:ascii="Times New Roman" w:hAnsi="Times New Roman" w:cs="Times New Roman"/>
          <w:bCs/>
          <w:sz w:val="26"/>
          <w:szCs w:val="26"/>
        </w:rPr>
        <w:t>esse</w:t>
      </w:r>
      <w:r w:rsidR="00BA3BD9" w:rsidRPr="00051F90">
        <w:rPr>
          <w:rFonts w:ascii="Times New Roman" w:hAnsi="Times New Roman" w:cs="Times New Roman"/>
          <w:bCs/>
          <w:sz w:val="26"/>
          <w:szCs w:val="26"/>
        </w:rPr>
        <w:t xml:space="preserve"> mi limiterò necessariamente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6A94" w:rsidRPr="00051F90">
        <w:rPr>
          <w:rFonts w:ascii="Times New Roman" w:hAnsi="Times New Roman" w:cs="Times New Roman"/>
          <w:bCs/>
          <w:sz w:val="26"/>
          <w:szCs w:val="26"/>
        </w:rPr>
        <w:t>a svolgere</w:t>
      </w:r>
      <w:r w:rsidR="00BA3BD9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2768">
        <w:rPr>
          <w:rFonts w:ascii="Times New Roman" w:hAnsi="Times New Roman" w:cs="Times New Roman"/>
          <w:bCs/>
          <w:sz w:val="26"/>
          <w:szCs w:val="26"/>
        </w:rPr>
        <w:t xml:space="preserve">solo </w:t>
      </w:r>
      <w:r w:rsidR="00BA3BD9" w:rsidRPr="00051F90">
        <w:rPr>
          <w:rFonts w:ascii="Times New Roman" w:hAnsi="Times New Roman" w:cs="Times New Roman"/>
          <w:bCs/>
          <w:sz w:val="26"/>
          <w:szCs w:val="26"/>
        </w:rPr>
        <w:t>qualche breve considerazione.</w:t>
      </w:r>
    </w:p>
    <w:p w:rsidR="0097558A" w:rsidRPr="00051F90" w:rsidRDefault="0097558A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967E7" w:rsidRPr="00051F90" w:rsidRDefault="00BA3BD9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Ora, prendendo le mosse dalla prima questione (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relativa al 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carattere funzionalmente unitario della giurisdizione</w:t>
      </w:r>
      <w:r w:rsidR="00BB3DEB" w:rsidRPr="00051F90">
        <w:rPr>
          <w:rFonts w:ascii="Times New Roman" w:hAnsi="Times New Roman" w:cs="Times New Roman"/>
          <w:bCs/>
          <w:sz w:val="26"/>
          <w:szCs w:val="26"/>
        </w:rPr>
        <w:t>, secondo l’ormai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celebre definizione di Costantino Mortati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)</w:t>
      </w:r>
      <w:r w:rsidR="0005788F" w:rsidRPr="00051F90">
        <w:rPr>
          <w:rStyle w:val="Rimandonotaapidipagina"/>
          <w:rFonts w:ascii="Times New Roman" w:hAnsi="Times New Roman" w:cs="Times New Roman"/>
          <w:bCs/>
          <w:sz w:val="26"/>
          <w:szCs w:val="26"/>
        </w:rPr>
        <w:footnoteReference w:id="8"/>
      </w:r>
      <w:r w:rsidRPr="00051F90">
        <w:rPr>
          <w:rFonts w:ascii="Times New Roman" w:hAnsi="Times New Roman" w:cs="Times New Roman"/>
          <w:bCs/>
          <w:sz w:val="26"/>
          <w:szCs w:val="26"/>
        </w:rPr>
        <w:t>, è innegabile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che l’Ordinamento </w:t>
      </w:r>
      <w:r w:rsidR="004D6A94" w:rsidRPr="00051F90">
        <w:rPr>
          <w:rFonts w:ascii="Times New Roman" w:hAnsi="Times New Roman" w:cs="Times New Roman"/>
          <w:bCs/>
          <w:sz w:val="26"/>
          <w:szCs w:val="26"/>
        </w:rPr>
        <w:t xml:space="preserve">processuale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si muova </w:t>
      </w:r>
      <w:r w:rsidR="004D6A94" w:rsidRPr="00051F90">
        <w:rPr>
          <w:rFonts w:ascii="Times New Roman" w:hAnsi="Times New Roman" w:cs="Times New Roman"/>
          <w:bCs/>
          <w:sz w:val="26"/>
          <w:szCs w:val="26"/>
        </w:rPr>
        <w:t xml:space="preserve">in tempi recenti </w:t>
      </w:r>
      <w:r w:rsidRPr="00051F90">
        <w:rPr>
          <w:rFonts w:ascii="Times New Roman" w:hAnsi="Times New Roman" w:cs="Times New Roman"/>
          <w:bCs/>
          <w:sz w:val="26"/>
          <w:szCs w:val="26"/>
        </w:rPr>
        <w:t>verso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il </w:t>
      </w:r>
      <w:r w:rsidR="001D1ABD" w:rsidRPr="00051F90">
        <w:rPr>
          <w:rFonts w:ascii="Times New Roman" w:hAnsi="Times New Roman" w:cs="Times New Roman"/>
          <w:bCs/>
          <w:sz w:val="26"/>
          <w:szCs w:val="26"/>
        </w:rPr>
        <w:t xml:space="preserve">superamento della tradizionale 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incomunicabilità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fra gli ambiti di giurisdizione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(e, per dir</w:t>
      </w:r>
      <w:r w:rsidRPr="00051F90">
        <w:rPr>
          <w:rFonts w:ascii="Times New Roman" w:hAnsi="Times New Roman" w:cs="Times New Roman"/>
          <w:bCs/>
          <w:sz w:val="26"/>
          <w:szCs w:val="26"/>
        </w:rPr>
        <w:t>la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con </w:t>
      </w:r>
      <w:r w:rsidRPr="00051F90">
        <w:rPr>
          <w:rFonts w:ascii="Times New Roman" w:hAnsi="Times New Roman" w:cs="Times New Roman"/>
          <w:bCs/>
          <w:sz w:val="26"/>
          <w:szCs w:val="26"/>
        </w:rPr>
        <w:t>le paro</w:t>
      </w:r>
      <w:r w:rsidR="001D1ABD" w:rsidRPr="00051F90">
        <w:rPr>
          <w:rFonts w:ascii="Times New Roman" w:hAnsi="Times New Roman" w:cs="Times New Roman"/>
          <w:bCs/>
          <w:sz w:val="26"/>
          <w:szCs w:val="26"/>
        </w:rPr>
        <w:t>le della Corte costituzionale –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sentenza n. 77 del 2007 - verso il superamento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della «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concezione patrimoniale della giurisdizione</w:t>
      </w:r>
      <w:r w:rsidRPr="00051F90">
        <w:rPr>
          <w:rFonts w:ascii="Times New Roman" w:hAnsi="Times New Roman" w:cs="Times New Roman"/>
          <w:bCs/>
          <w:sz w:val="26"/>
          <w:szCs w:val="26"/>
        </w:rPr>
        <w:t>»).</w:t>
      </w:r>
    </w:p>
    <w:p w:rsidR="00A64C47" w:rsidRPr="00051F90" w:rsidRDefault="004B0ED4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51F90">
        <w:rPr>
          <w:rFonts w:ascii="Times New Roman" w:hAnsi="Times New Roman" w:cs="Times New Roman"/>
          <w:sz w:val="26"/>
          <w:szCs w:val="26"/>
        </w:rPr>
        <w:t xml:space="preserve"> </w:t>
      </w:r>
      <w:r w:rsidR="00BA3BD9" w:rsidRPr="00051F90">
        <w:rPr>
          <w:rFonts w:ascii="Times New Roman" w:hAnsi="Times New Roman" w:cs="Times New Roman"/>
          <w:sz w:val="26"/>
          <w:szCs w:val="26"/>
        </w:rPr>
        <w:t>Basti pensare</w:t>
      </w:r>
      <w:r w:rsidR="001D1ABD" w:rsidRPr="00051F90">
        <w:rPr>
          <w:rFonts w:ascii="Times New Roman" w:hAnsi="Times New Roman" w:cs="Times New Roman"/>
          <w:sz w:val="26"/>
          <w:szCs w:val="26"/>
        </w:rPr>
        <w:t>, solo a mo’ di esempio,</w:t>
      </w:r>
      <w:r w:rsidR="00BA3BD9" w:rsidRPr="00051F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76F2" w:rsidRPr="00051F90">
        <w:rPr>
          <w:rFonts w:ascii="Times New Roman" w:hAnsi="Times New Roman" w:cs="Times New Roman"/>
          <w:bCs/>
          <w:sz w:val="26"/>
          <w:szCs w:val="26"/>
        </w:rPr>
        <w:t>alla</w:t>
      </w:r>
      <w:proofErr w:type="spellEnd"/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76F2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non deducibilità </w:t>
      </w:r>
      <w:r w:rsidR="00D876F2" w:rsidRPr="00051F90">
        <w:rPr>
          <w:rFonts w:ascii="Times New Roman" w:hAnsi="Times New Roman" w:cs="Times New Roman"/>
          <w:bCs/>
          <w:i/>
          <w:sz w:val="26"/>
          <w:szCs w:val="26"/>
        </w:rPr>
        <w:t>ex officio</w:t>
      </w:r>
      <w:r w:rsidR="00D876F2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 del dife</w:t>
      </w:r>
      <w:r w:rsidR="00BA3BD9" w:rsidRPr="00051F90">
        <w:rPr>
          <w:rFonts w:ascii="Times New Roman" w:hAnsi="Times New Roman" w:cs="Times New Roman"/>
          <w:bCs/>
          <w:iCs/>
          <w:sz w:val="26"/>
          <w:szCs w:val="26"/>
        </w:rPr>
        <w:t>tto</w:t>
      </w:r>
      <w:r w:rsidR="00D876F2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 di giurisdizione da parte del Giudice di appello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BA3BD9" w:rsidRPr="00051F90">
        <w:rPr>
          <w:rFonts w:ascii="Times New Roman" w:hAnsi="Times New Roman" w:cs="Times New Roman"/>
          <w:bCs/>
          <w:sz w:val="26"/>
          <w:szCs w:val="26"/>
        </w:rPr>
        <w:t>oggi trasfusa all’articolo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9 </w:t>
      </w:r>
      <w:r w:rsidR="00BA3BD9" w:rsidRPr="00051F90">
        <w:rPr>
          <w:rFonts w:ascii="Times New Roman" w:hAnsi="Times New Roman" w:cs="Times New Roman"/>
          <w:bCs/>
          <w:sz w:val="26"/>
          <w:szCs w:val="26"/>
        </w:rPr>
        <w:t xml:space="preserve">del cod. </w:t>
      </w:r>
      <w:proofErr w:type="spellStart"/>
      <w:r w:rsidR="00BA3BD9" w:rsidRPr="00051F90">
        <w:rPr>
          <w:rFonts w:ascii="Times New Roman" w:hAnsi="Times New Roman" w:cs="Times New Roman"/>
          <w:bCs/>
          <w:sz w:val="26"/>
          <w:szCs w:val="26"/>
        </w:rPr>
        <w:t>proc</w:t>
      </w:r>
      <w:proofErr w:type="spellEnd"/>
      <w:r w:rsidR="00BA3BD9" w:rsidRPr="00051F90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BA3BD9" w:rsidRPr="00051F90">
        <w:rPr>
          <w:rFonts w:ascii="Times New Roman" w:hAnsi="Times New Roman" w:cs="Times New Roman"/>
          <w:bCs/>
          <w:sz w:val="26"/>
          <w:szCs w:val="26"/>
        </w:rPr>
        <w:t>amm</w:t>
      </w:r>
      <w:proofErr w:type="spellEnd"/>
      <w:r w:rsidR="00BA3BD9" w:rsidRPr="00051F90">
        <w:rPr>
          <w:rFonts w:ascii="Times New Roman" w:hAnsi="Times New Roman" w:cs="Times New Roman"/>
          <w:bCs/>
          <w:sz w:val="26"/>
          <w:szCs w:val="26"/>
        </w:rPr>
        <w:t xml:space="preserve">.) ovvero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>all’</w:t>
      </w:r>
      <w:r w:rsidR="00D876F2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espansione dell’ambito </w:t>
      </w:r>
      <w:r w:rsidR="004D6A94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operativo dell’istituto </w:t>
      </w:r>
      <w:r w:rsidR="00D876F2" w:rsidRPr="00051F90">
        <w:rPr>
          <w:rFonts w:ascii="Times New Roman" w:hAnsi="Times New Roman" w:cs="Times New Roman"/>
          <w:bCs/>
          <w:iCs/>
          <w:sz w:val="26"/>
          <w:szCs w:val="26"/>
        </w:rPr>
        <w:t>della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="00D876F2" w:rsidRPr="00051F90">
        <w:rPr>
          <w:rFonts w:ascii="Times New Roman" w:hAnsi="Times New Roman" w:cs="Times New Roman"/>
          <w:bCs/>
          <w:i/>
          <w:sz w:val="26"/>
          <w:szCs w:val="26"/>
        </w:rPr>
        <w:t>translatio</w:t>
      </w:r>
      <w:proofErr w:type="spellEnd"/>
      <w:r w:rsidR="00D876F2" w:rsidRPr="00051F90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D876F2" w:rsidRPr="00051F90">
        <w:rPr>
          <w:rFonts w:ascii="Times New Roman" w:hAnsi="Times New Roman" w:cs="Times New Roman"/>
          <w:bCs/>
          <w:i/>
          <w:sz w:val="26"/>
          <w:szCs w:val="26"/>
        </w:rPr>
        <w:t>judicii</w:t>
      </w:r>
      <w:proofErr w:type="spellEnd"/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BA3BD9" w:rsidRPr="00051F90">
        <w:rPr>
          <w:rFonts w:ascii="Times New Roman" w:hAnsi="Times New Roman" w:cs="Times New Roman"/>
          <w:bCs/>
          <w:sz w:val="26"/>
          <w:szCs w:val="26"/>
        </w:rPr>
        <w:t>articolo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11 </w:t>
      </w:r>
      <w:r w:rsidR="00BA3BD9" w:rsidRPr="00051F90">
        <w:rPr>
          <w:rFonts w:ascii="Times New Roman" w:hAnsi="Times New Roman" w:cs="Times New Roman"/>
          <w:bCs/>
          <w:sz w:val="26"/>
          <w:szCs w:val="26"/>
        </w:rPr>
        <w:t xml:space="preserve">del cod. </w:t>
      </w:r>
      <w:proofErr w:type="spellStart"/>
      <w:r w:rsidR="00BA3BD9" w:rsidRPr="00051F90">
        <w:rPr>
          <w:rFonts w:ascii="Times New Roman" w:hAnsi="Times New Roman" w:cs="Times New Roman"/>
          <w:bCs/>
          <w:sz w:val="26"/>
          <w:szCs w:val="26"/>
        </w:rPr>
        <w:t>proc</w:t>
      </w:r>
      <w:proofErr w:type="spellEnd"/>
      <w:r w:rsidR="00BA3BD9" w:rsidRPr="00051F90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BA3BD9" w:rsidRPr="00051F90">
        <w:rPr>
          <w:rFonts w:ascii="Times New Roman" w:hAnsi="Times New Roman" w:cs="Times New Roman"/>
          <w:bCs/>
          <w:sz w:val="26"/>
          <w:szCs w:val="26"/>
        </w:rPr>
        <w:t>amm</w:t>
      </w:r>
      <w:proofErr w:type="spellEnd"/>
      <w:r w:rsidR="00BA3BD9" w:rsidRPr="00051F90">
        <w:rPr>
          <w:rFonts w:ascii="Times New Roman" w:hAnsi="Times New Roman" w:cs="Times New Roman"/>
          <w:bCs/>
          <w:sz w:val="26"/>
          <w:szCs w:val="26"/>
        </w:rPr>
        <w:t>.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>)</w:t>
      </w:r>
      <w:r w:rsidR="000E78D9" w:rsidRPr="00051F90">
        <w:rPr>
          <w:rFonts w:ascii="Times New Roman" w:hAnsi="Times New Roman" w:cs="Times New Roman"/>
          <w:bCs/>
          <w:sz w:val="26"/>
          <w:szCs w:val="26"/>
        </w:rPr>
        <w:t xml:space="preserve">, con </w:t>
      </w:r>
      <w:r w:rsidR="00D876F2" w:rsidRPr="00051F90">
        <w:rPr>
          <w:rFonts w:ascii="Times New Roman" w:hAnsi="Times New Roman" w:cs="Times New Roman"/>
          <w:bCs/>
          <w:iCs/>
          <w:sz w:val="26"/>
          <w:szCs w:val="26"/>
        </w:rPr>
        <w:t>salvaguardia</w:t>
      </w:r>
      <w:r w:rsidR="000E78D9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 degli effetti sostanziali e processuali della domanda di giustizia proposta dinanzi a un Giudice </w:t>
      </w:r>
      <w:r w:rsidR="00071419" w:rsidRPr="00051F90">
        <w:rPr>
          <w:rFonts w:ascii="Times New Roman" w:hAnsi="Times New Roman" w:cs="Times New Roman"/>
          <w:bCs/>
          <w:iCs/>
          <w:sz w:val="26"/>
          <w:szCs w:val="26"/>
        </w:rPr>
        <w:t>(in ipotesi) pacifica</w:t>
      </w:r>
      <w:r w:rsidR="000E78D9" w:rsidRPr="00051F90">
        <w:rPr>
          <w:rFonts w:ascii="Times New Roman" w:hAnsi="Times New Roman" w:cs="Times New Roman"/>
          <w:bCs/>
          <w:iCs/>
          <w:sz w:val="26"/>
          <w:szCs w:val="26"/>
        </w:rPr>
        <w:t>mente privo di giurisdizione.</w:t>
      </w:r>
    </w:p>
    <w:p w:rsidR="001D1ABD" w:rsidRPr="00051F90" w:rsidRDefault="001D1ABD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51F90">
        <w:rPr>
          <w:rFonts w:ascii="Times New Roman" w:hAnsi="Times New Roman" w:cs="Times New Roman"/>
          <w:bCs/>
          <w:iCs/>
          <w:sz w:val="26"/>
          <w:szCs w:val="26"/>
        </w:rPr>
        <w:t>In entrambi i cas</w:t>
      </w:r>
      <w:r w:rsidR="00071419" w:rsidRPr="00051F90">
        <w:rPr>
          <w:rFonts w:ascii="Times New Roman" w:hAnsi="Times New Roman" w:cs="Times New Roman"/>
          <w:bCs/>
          <w:iCs/>
          <w:sz w:val="26"/>
          <w:szCs w:val="26"/>
        </w:rPr>
        <w:t>i la scelta del Legislatore prende le moss</w:t>
      </w:r>
      <w:r w:rsidRPr="00051F90">
        <w:rPr>
          <w:rFonts w:ascii="Times New Roman" w:hAnsi="Times New Roman" w:cs="Times New Roman"/>
          <w:bCs/>
          <w:iCs/>
          <w:sz w:val="26"/>
          <w:szCs w:val="26"/>
        </w:rPr>
        <w:t>e dall’evidente esigenza di introdurre alcuni ragionevoli correttivi al principio dell’incomunicabilità delle giurisdizioni</w:t>
      </w:r>
      <w:r w:rsidR="00071419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 e alle rigidità che sono necessariamente connesse a qualunque sistema di riparto</w:t>
      </w:r>
      <w:r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A64C47" w:rsidRPr="00051F90" w:rsidRDefault="00FF2889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Credo però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che le pre</w:t>
      </w:r>
      <w:r w:rsidR="000E78D9" w:rsidRPr="00051F90">
        <w:rPr>
          <w:rFonts w:ascii="Times New Roman" w:hAnsi="Times New Roman" w:cs="Times New Roman"/>
          <w:bCs/>
          <w:sz w:val="26"/>
          <w:szCs w:val="26"/>
        </w:rPr>
        <w:t>visioni normative in questione non testimonino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una tendenza dell’Ordinamento verso la </w:t>
      </w:r>
      <w:r w:rsidR="00071419" w:rsidRPr="00051F90">
        <w:rPr>
          <w:rFonts w:ascii="Times New Roman" w:hAnsi="Times New Roman" w:cs="Times New Roman"/>
          <w:bCs/>
          <w:sz w:val="26"/>
          <w:szCs w:val="26"/>
        </w:rPr>
        <w:t>sostanziale ‘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fungibilità</w:t>
      </w:r>
      <w:r w:rsidR="00071419" w:rsidRPr="00051F90">
        <w:rPr>
          <w:rFonts w:ascii="Times New Roman" w:hAnsi="Times New Roman" w:cs="Times New Roman"/>
          <w:bCs/>
          <w:sz w:val="26"/>
          <w:szCs w:val="26"/>
        </w:rPr>
        <w:t>’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o</w:t>
      </w:r>
      <w:r w:rsidR="00071419" w:rsidRPr="00051F90">
        <w:rPr>
          <w:rFonts w:ascii="Times New Roman" w:hAnsi="Times New Roman" w:cs="Times New Roman"/>
          <w:bCs/>
          <w:sz w:val="26"/>
          <w:szCs w:val="26"/>
        </w:rPr>
        <w:t xml:space="preserve"> addirittura verso la radicale 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indifferenza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delle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giurisdizioni (e quindi, nei fatti, verso il superamento delle ragioni storiche che sono alla base dello stesso 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sistema duale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delle giurisdizioni)</w:t>
      </w:r>
      <w:r w:rsidR="00361FEE" w:rsidRPr="00051F90">
        <w:rPr>
          <w:rFonts w:ascii="Times New Roman" w:hAnsi="Times New Roman" w:cs="Times New Roman"/>
          <w:bCs/>
          <w:sz w:val="26"/>
          <w:szCs w:val="26"/>
        </w:rPr>
        <w:t>. Credo invece che tali previsioni</w:t>
      </w:r>
      <w:r w:rsidR="000E78D9" w:rsidRPr="00051F90">
        <w:rPr>
          <w:rFonts w:ascii="Times New Roman" w:hAnsi="Times New Roman" w:cs="Times New Roman"/>
          <w:bCs/>
          <w:sz w:val="26"/>
          <w:szCs w:val="26"/>
        </w:rPr>
        <w:t xml:space="preserve"> rappresentino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>alcune</w:t>
      </w:r>
      <w:r w:rsidR="000E78D9" w:rsidRPr="00051F90">
        <w:rPr>
          <w:rFonts w:ascii="Times New Roman" w:hAnsi="Times New Roman" w:cs="Times New Roman"/>
          <w:bCs/>
          <w:sz w:val="26"/>
          <w:szCs w:val="26"/>
        </w:rPr>
        <w:t xml:space="preserve"> ragionevoli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(e consapevoli) deroghe all’ordinario assetto delle giurisdizioni, motivate </w:t>
      </w:r>
      <w:r w:rsidR="000E78D9" w:rsidRPr="00051F90">
        <w:rPr>
          <w:rFonts w:ascii="Times New Roman" w:hAnsi="Times New Roman" w:cs="Times New Roman"/>
          <w:bCs/>
          <w:sz w:val="26"/>
          <w:szCs w:val="26"/>
        </w:rPr>
        <w:t>talvolta da esigenze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connesse alla 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ragionevole durata</w:t>
      </w:r>
      <w:r w:rsidR="005F58B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del processo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e</w:t>
      </w:r>
      <w:r w:rsidR="000E78D9" w:rsidRPr="00051F90">
        <w:rPr>
          <w:rFonts w:ascii="Times New Roman" w:hAnsi="Times New Roman" w:cs="Times New Roman"/>
          <w:bCs/>
          <w:sz w:val="26"/>
          <w:szCs w:val="26"/>
        </w:rPr>
        <w:t xml:space="preserve"> tal altra d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all’esigenza </w:t>
      </w:r>
      <w:r w:rsidR="00071419" w:rsidRPr="00051F90">
        <w:rPr>
          <w:rFonts w:ascii="Times New Roman" w:hAnsi="Times New Roman" w:cs="Times New Roman"/>
          <w:bCs/>
          <w:sz w:val="26"/>
          <w:szCs w:val="26"/>
        </w:rPr>
        <w:t xml:space="preserve">di assicurare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che la pluralità delle giurisdizioni </w:t>
      </w:r>
      <w:r w:rsidR="00071419" w:rsidRPr="00051F90">
        <w:rPr>
          <w:rFonts w:ascii="Times New Roman" w:hAnsi="Times New Roman" w:cs="Times New Roman"/>
          <w:bCs/>
          <w:sz w:val="26"/>
          <w:szCs w:val="26"/>
        </w:rPr>
        <w:t>rappresenti un fattore idoneo a favorire – e non ad ostacolare -</w:t>
      </w:r>
      <w:r w:rsidR="000E78D9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>la piena tutela giurisdizionale dei diritti e degli interessi.</w:t>
      </w:r>
    </w:p>
    <w:p w:rsidR="00BD4D78" w:rsidRPr="00051F90" w:rsidRDefault="00BD4D78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sz w:val="26"/>
          <w:szCs w:val="26"/>
        </w:rPr>
        <w:t>Si tratta, in definitiva, di previsioni normative le quali – pur introducendo talune deroghe agli ordinari princìpi in tema di riparto e alle conseguenze connesse alla loro violazione – non risultano in alcun modo idonee a revocare radicalmente in dubbio t</w:t>
      </w:r>
      <w:r w:rsidR="00F0149B" w:rsidRPr="00051F90">
        <w:rPr>
          <w:rFonts w:ascii="Times New Roman" w:hAnsi="Times New Roman" w:cs="Times New Roman"/>
          <w:sz w:val="26"/>
          <w:szCs w:val="26"/>
        </w:rPr>
        <w:t>ali princìp</w:t>
      </w:r>
      <w:r w:rsidRPr="00051F90">
        <w:rPr>
          <w:rFonts w:ascii="Times New Roman" w:hAnsi="Times New Roman" w:cs="Times New Roman"/>
          <w:sz w:val="26"/>
          <w:szCs w:val="26"/>
        </w:rPr>
        <w:t>i.</w:t>
      </w:r>
    </w:p>
    <w:p w:rsidR="00C967E7" w:rsidRPr="00051F90" w:rsidRDefault="00C967E7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ab/>
      </w:r>
      <w:r w:rsidRPr="00051F90">
        <w:rPr>
          <w:rFonts w:ascii="Times New Roman" w:hAnsi="Times New Roman" w:cs="Times New Roman"/>
          <w:bCs/>
          <w:sz w:val="26"/>
          <w:szCs w:val="26"/>
        </w:rPr>
        <w:tab/>
      </w:r>
      <w:r w:rsidRPr="00051F90">
        <w:rPr>
          <w:rFonts w:ascii="Times New Roman" w:hAnsi="Times New Roman" w:cs="Times New Roman"/>
          <w:bCs/>
          <w:sz w:val="26"/>
          <w:szCs w:val="26"/>
        </w:rPr>
        <w:tab/>
      </w:r>
      <w:r w:rsidRPr="00051F90">
        <w:rPr>
          <w:rFonts w:ascii="Times New Roman" w:hAnsi="Times New Roman" w:cs="Times New Roman"/>
          <w:bCs/>
          <w:sz w:val="26"/>
          <w:szCs w:val="26"/>
        </w:rPr>
        <w:tab/>
      </w:r>
      <w:r w:rsidRPr="00051F90">
        <w:rPr>
          <w:rFonts w:ascii="Times New Roman" w:hAnsi="Times New Roman" w:cs="Times New Roman"/>
          <w:bCs/>
          <w:sz w:val="26"/>
          <w:szCs w:val="26"/>
        </w:rPr>
        <w:tab/>
      </w:r>
    </w:p>
    <w:p w:rsidR="00A64C47" w:rsidRPr="00051F90" w:rsidRDefault="00C967E7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Per quanto riguarda la </w:t>
      </w:r>
      <w:r w:rsidR="000E78D9" w:rsidRPr="00051F90">
        <w:rPr>
          <w:rFonts w:ascii="Times New Roman" w:hAnsi="Times New Roman" w:cs="Times New Roman"/>
          <w:bCs/>
          <w:sz w:val="26"/>
          <w:szCs w:val="26"/>
        </w:rPr>
        <w:t xml:space="preserve">seconda questione (quella relativa alla </w:t>
      </w:r>
      <w:r w:rsidR="000E78D9" w:rsidRPr="00051F90">
        <w:rPr>
          <w:rFonts w:ascii="Times New Roman" w:hAnsi="Times New Roman" w:cs="Times New Roman"/>
          <w:bCs/>
          <w:iCs/>
          <w:sz w:val="26"/>
          <w:szCs w:val="26"/>
        </w:rPr>
        <w:t>nozione stessa di giurisdizione</w:t>
      </w:r>
      <w:r w:rsidR="003838B5" w:rsidRPr="00051F90">
        <w:rPr>
          <w:rFonts w:ascii="Times New Roman" w:hAnsi="Times New Roman" w:cs="Times New Roman"/>
          <w:bCs/>
          <w:sz w:val="26"/>
          <w:szCs w:val="26"/>
        </w:rPr>
        <w:t xml:space="preserve"> in relazione alla </w:t>
      </w:r>
      <w:proofErr w:type="spellStart"/>
      <w:r w:rsidR="003838B5" w:rsidRPr="00051F90">
        <w:rPr>
          <w:rFonts w:ascii="Times New Roman" w:hAnsi="Times New Roman" w:cs="Times New Roman"/>
          <w:bCs/>
          <w:i/>
          <w:sz w:val="26"/>
          <w:szCs w:val="26"/>
        </w:rPr>
        <w:t>vexatissima</w:t>
      </w:r>
      <w:proofErr w:type="spellEnd"/>
      <w:r w:rsidR="003838B5" w:rsidRPr="00051F90">
        <w:rPr>
          <w:rFonts w:ascii="Times New Roman" w:hAnsi="Times New Roman" w:cs="Times New Roman"/>
          <w:bCs/>
          <w:i/>
          <w:sz w:val="26"/>
          <w:szCs w:val="26"/>
        </w:rPr>
        <w:t xml:space="preserve"> quaestio</w:t>
      </w:r>
      <w:r w:rsidR="003838B5" w:rsidRPr="00051F90">
        <w:rPr>
          <w:rFonts w:ascii="Times New Roman" w:hAnsi="Times New Roman" w:cs="Times New Roman"/>
          <w:bCs/>
          <w:sz w:val="26"/>
          <w:szCs w:val="26"/>
        </w:rPr>
        <w:t xml:space="preserve"> dell’impugnabilità per cassazione delle sentenze del Consiglio di Stato ai sensi dell’articolo 111, u.co., </w:t>
      </w:r>
      <w:proofErr w:type="spellStart"/>
      <w:r w:rsidR="003838B5" w:rsidRPr="00051F90">
        <w:rPr>
          <w:rFonts w:ascii="Times New Roman" w:hAnsi="Times New Roman" w:cs="Times New Roman"/>
          <w:bCs/>
          <w:sz w:val="26"/>
          <w:szCs w:val="26"/>
        </w:rPr>
        <w:t>Cost</w:t>
      </w:r>
      <w:proofErr w:type="spellEnd"/>
      <w:r w:rsidR="003838B5" w:rsidRPr="00051F90">
        <w:rPr>
          <w:rFonts w:ascii="Times New Roman" w:hAnsi="Times New Roman" w:cs="Times New Roman"/>
          <w:bCs/>
          <w:sz w:val="26"/>
          <w:szCs w:val="26"/>
        </w:rPr>
        <w:t>.</w:t>
      </w:r>
      <w:r w:rsidR="000E78D9" w:rsidRPr="00051F90">
        <w:rPr>
          <w:rFonts w:ascii="Times New Roman" w:hAnsi="Times New Roman" w:cs="Times New Roman"/>
          <w:bCs/>
          <w:sz w:val="26"/>
          <w:szCs w:val="26"/>
        </w:rPr>
        <w:t xml:space="preserve">), mi sembra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che la sentenza della </w:t>
      </w:r>
      <w:r w:rsidR="000E78D9" w:rsidRPr="00051F90">
        <w:rPr>
          <w:rFonts w:ascii="Times New Roman" w:hAnsi="Times New Roman" w:cs="Times New Roman"/>
          <w:bCs/>
          <w:sz w:val="26"/>
          <w:szCs w:val="26"/>
        </w:rPr>
        <w:t xml:space="preserve">Corte costituzionale n. 6 del </w:t>
      </w:r>
      <w:r w:rsidRPr="00051F90">
        <w:rPr>
          <w:rFonts w:ascii="Times New Roman" w:hAnsi="Times New Roman" w:cs="Times New Roman"/>
          <w:bCs/>
          <w:sz w:val="26"/>
          <w:szCs w:val="26"/>
        </w:rPr>
        <w:t>2018</w:t>
      </w:r>
      <w:r w:rsidR="001F7F2B" w:rsidRPr="00051F90">
        <w:rPr>
          <w:rStyle w:val="Rimandonotaapidipagina"/>
          <w:rFonts w:ascii="Times New Roman" w:hAnsi="Times New Roman" w:cs="Times New Roman"/>
          <w:bCs/>
          <w:sz w:val="26"/>
          <w:szCs w:val="26"/>
        </w:rPr>
        <w:footnoteReference w:id="9"/>
      </w:r>
      <w:r w:rsidR="000E78D9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249D" w:rsidRPr="00051F90">
        <w:rPr>
          <w:rFonts w:ascii="Times New Roman" w:hAnsi="Times New Roman" w:cs="Times New Roman"/>
          <w:bCs/>
          <w:sz w:val="26"/>
          <w:szCs w:val="26"/>
        </w:rPr>
        <w:t>abbia fornito rilevanti elementi per la corretta ricostruzione del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sistema e che</w:t>
      </w:r>
      <w:r w:rsidR="000F249D" w:rsidRPr="00051F90">
        <w:rPr>
          <w:rFonts w:ascii="Times New Roman" w:hAnsi="Times New Roman" w:cs="Times New Roman"/>
          <w:bCs/>
          <w:sz w:val="26"/>
          <w:szCs w:val="26"/>
        </w:rPr>
        <w:t xml:space="preserve"> abbia affermato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princìpi difficilmente eludibili.</w:t>
      </w:r>
    </w:p>
    <w:p w:rsidR="00053045" w:rsidRPr="00051F90" w:rsidRDefault="003838B5" w:rsidP="00053045">
      <w:pPr>
        <w:spacing w:line="288" w:lineRule="auto"/>
        <w:ind w:left="284" w:right="28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In particolare, la sentenza in questione sembra segnare un de</w:t>
      </w:r>
      <w:r w:rsidR="00361FEE" w:rsidRPr="00051F90">
        <w:rPr>
          <w:rFonts w:ascii="Times New Roman" w:hAnsi="Times New Roman" w:cs="Times New Roman"/>
          <w:bCs/>
          <w:sz w:val="26"/>
          <w:szCs w:val="26"/>
        </w:rPr>
        <w:t>ciso punto di arresto dell’orientamento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giurisprudenziale </w:t>
      </w:r>
      <w:r w:rsidR="00053045" w:rsidRPr="00051F90">
        <w:rPr>
          <w:rFonts w:ascii="Times New Roman" w:hAnsi="Times New Roman" w:cs="Times New Roman"/>
          <w:bCs/>
          <w:sz w:val="26"/>
          <w:szCs w:val="26"/>
        </w:rPr>
        <w:t xml:space="preserve">(avviato in modo sistematico </w:t>
      </w:r>
      <w:r w:rsidR="00361FEE" w:rsidRPr="00051F90">
        <w:rPr>
          <w:rFonts w:ascii="Times New Roman" w:hAnsi="Times New Roman" w:cs="Times New Roman"/>
          <w:bCs/>
          <w:sz w:val="26"/>
          <w:szCs w:val="26"/>
        </w:rPr>
        <w:t xml:space="preserve">dalla Corte di cassazione </w:t>
      </w:r>
      <w:r w:rsidR="00053045" w:rsidRPr="00051F90">
        <w:rPr>
          <w:rFonts w:ascii="Times New Roman" w:hAnsi="Times New Roman" w:cs="Times New Roman"/>
          <w:bCs/>
          <w:sz w:val="26"/>
          <w:szCs w:val="26"/>
        </w:rPr>
        <w:t>sin dal 2006, con le cc.dd. ‘</w:t>
      </w:r>
      <w:r w:rsidR="00053045" w:rsidRPr="00051F90">
        <w:rPr>
          <w:rFonts w:ascii="Times New Roman" w:hAnsi="Times New Roman" w:cs="Times New Roman"/>
          <w:bCs/>
          <w:i/>
          <w:sz w:val="26"/>
          <w:szCs w:val="26"/>
        </w:rPr>
        <w:t>ordinanze gemelle</w:t>
      </w:r>
      <w:r w:rsidR="00053045" w:rsidRPr="00051F90">
        <w:rPr>
          <w:rFonts w:ascii="Times New Roman" w:hAnsi="Times New Roman" w:cs="Times New Roman"/>
          <w:bCs/>
          <w:sz w:val="26"/>
          <w:szCs w:val="26"/>
        </w:rPr>
        <w:t xml:space="preserve">’ </w:t>
      </w:r>
      <w:proofErr w:type="spellStart"/>
      <w:r w:rsidR="00053045" w:rsidRPr="00051F90">
        <w:rPr>
          <w:rFonts w:ascii="Times New Roman" w:hAnsi="Times New Roman" w:cs="Times New Roman"/>
          <w:bCs/>
          <w:sz w:val="26"/>
          <w:szCs w:val="26"/>
        </w:rPr>
        <w:t>numm</w:t>
      </w:r>
      <w:proofErr w:type="spellEnd"/>
      <w:r w:rsidR="00053045" w:rsidRPr="00051F90">
        <w:rPr>
          <w:rFonts w:ascii="Times New Roman" w:hAnsi="Times New Roman" w:cs="Times New Roman"/>
          <w:bCs/>
          <w:sz w:val="26"/>
          <w:szCs w:val="26"/>
        </w:rPr>
        <w:t>. 13659 e 13660)</w:t>
      </w:r>
      <w:r w:rsidR="00DC36CD" w:rsidRPr="00051F90">
        <w:rPr>
          <w:rStyle w:val="Rimandonotaapidipagina"/>
          <w:rFonts w:ascii="Times New Roman" w:hAnsi="Times New Roman" w:cs="Times New Roman"/>
          <w:bCs/>
          <w:sz w:val="26"/>
          <w:szCs w:val="26"/>
        </w:rPr>
        <w:footnoteReference w:id="10"/>
      </w:r>
      <w:r w:rsidR="00053045" w:rsidRPr="00051F90">
        <w:rPr>
          <w:rFonts w:ascii="Times New Roman" w:hAnsi="Times New Roman" w:cs="Times New Roman"/>
          <w:bCs/>
          <w:sz w:val="26"/>
          <w:szCs w:val="26"/>
        </w:rPr>
        <w:t xml:space="preserve"> che aveva ampliato in modo determinante gli ambiti di tale impugnabilità, facendo leva sulla duplice figura dell’</w:t>
      </w:r>
      <w:r w:rsidR="00053045" w:rsidRPr="00051F90">
        <w:rPr>
          <w:rFonts w:ascii="Times New Roman" w:hAnsi="Times New Roman" w:cs="Times New Roman"/>
          <w:bCs/>
          <w:i/>
          <w:sz w:val="26"/>
          <w:szCs w:val="26"/>
        </w:rPr>
        <w:t>eccesso di potere giurisdizionale</w:t>
      </w:r>
      <w:r w:rsidR="00053045" w:rsidRPr="00051F90">
        <w:rPr>
          <w:rFonts w:ascii="Times New Roman" w:hAnsi="Times New Roman" w:cs="Times New Roman"/>
          <w:bCs/>
          <w:sz w:val="26"/>
          <w:szCs w:val="26"/>
        </w:rPr>
        <w:t xml:space="preserve"> (intesa quale violazione dei limiti interni alla giurisdizione del Giudice amministrativo) e del </w:t>
      </w:r>
      <w:r w:rsidR="00053045" w:rsidRPr="00051F90">
        <w:rPr>
          <w:rFonts w:ascii="Times New Roman" w:hAnsi="Times New Roman" w:cs="Times New Roman"/>
          <w:bCs/>
          <w:i/>
          <w:sz w:val="26"/>
          <w:szCs w:val="26"/>
        </w:rPr>
        <w:t>diniego di giurisdizione</w:t>
      </w:r>
      <w:r w:rsidR="00053045" w:rsidRPr="00051F90">
        <w:rPr>
          <w:rFonts w:ascii="Times New Roman" w:hAnsi="Times New Roman" w:cs="Times New Roman"/>
          <w:bCs/>
          <w:sz w:val="26"/>
          <w:szCs w:val="26"/>
        </w:rPr>
        <w:t xml:space="preserve"> (intesa come violazione dei limiti esterni alla sua giurisdizione).</w:t>
      </w:r>
    </w:p>
    <w:p w:rsidR="003838B5" w:rsidRPr="00051F90" w:rsidRDefault="00756138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Come è noto, nel corso degli ultimi quindici anni circa, le Sezioni unite </w:t>
      </w:r>
      <w:r w:rsidR="00693D72" w:rsidRPr="00051F90">
        <w:rPr>
          <w:rFonts w:ascii="Times New Roman" w:hAnsi="Times New Roman" w:cs="Times New Roman"/>
          <w:bCs/>
          <w:sz w:val="26"/>
          <w:szCs w:val="26"/>
        </w:rPr>
        <w:t xml:space="preserve">hanno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utilizzato nei fatti tale duplice figura </w:t>
      </w:r>
      <w:r w:rsidR="00FF2889" w:rsidRPr="00051F9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e la nuova lettura della nozione costituzionale di </w:t>
      </w:r>
      <w:r w:rsidRPr="00051F90">
        <w:rPr>
          <w:rFonts w:ascii="Times New Roman" w:hAnsi="Times New Roman" w:cs="Times New Roman"/>
          <w:bCs/>
          <w:i/>
          <w:sz w:val="26"/>
          <w:szCs w:val="26"/>
        </w:rPr>
        <w:t>motivi inerenti alla giurisdizione</w:t>
      </w:r>
      <w:r w:rsidR="00FF2889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58B8">
        <w:rPr>
          <w:rFonts w:ascii="Times New Roman" w:hAnsi="Times New Roman" w:cs="Times New Roman"/>
          <w:bCs/>
          <w:sz w:val="26"/>
          <w:szCs w:val="26"/>
        </w:rPr>
        <w:t xml:space="preserve">ad essa collegata </w:t>
      </w:r>
      <w:r w:rsidR="00FF2889" w:rsidRPr="00051F90">
        <w:rPr>
          <w:rFonts w:ascii="Times New Roman" w:hAnsi="Times New Roman" w:cs="Times New Roman"/>
          <w:bCs/>
          <w:sz w:val="26"/>
          <w:szCs w:val="26"/>
        </w:rPr>
        <w:t>-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al fine di contestare la correttezza concettuale di alcuni fra i più rilevanti </w:t>
      </w:r>
      <w:r w:rsidR="008559BB" w:rsidRPr="00051F90">
        <w:rPr>
          <w:rFonts w:ascii="Times New Roman" w:hAnsi="Times New Roman" w:cs="Times New Roman"/>
          <w:bCs/>
          <w:sz w:val="26"/>
          <w:szCs w:val="26"/>
        </w:rPr>
        <w:t>(</w:t>
      </w:r>
      <w:r w:rsidRPr="00051F90">
        <w:rPr>
          <w:rFonts w:ascii="Times New Roman" w:hAnsi="Times New Roman" w:cs="Times New Roman"/>
          <w:bCs/>
          <w:sz w:val="26"/>
          <w:szCs w:val="26"/>
        </w:rPr>
        <w:t>e controversi</w:t>
      </w:r>
      <w:r w:rsidR="008559BB" w:rsidRPr="00051F90">
        <w:rPr>
          <w:rFonts w:ascii="Times New Roman" w:hAnsi="Times New Roman" w:cs="Times New Roman"/>
          <w:bCs/>
          <w:sz w:val="26"/>
          <w:szCs w:val="26"/>
        </w:rPr>
        <w:t>)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orientamenti giurisprudenziali </w:t>
      </w:r>
      <w:r w:rsidR="00566881" w:rsidRPr="00051F90">
        <w:rPr>
          <w:rFonts w:ascii="Times New Roman" w:hAnsi="Times New Roman" w:cs="Times New Roman"/>
          <w:bCs/>
          <w:sz w:val="26"/>
          <w:szCs w:val="26"/>
        </w:rPr>
        <w:t xml:space="preserve">formatisi nell’ambito della giurisprudenza amministrativa, quali quelli relativi alla c.d. pregiudiziale di annullamento (in tal senso: </w:t>
      </w:r>
      <w:proofErr w:type="spellStart"/>
      <w:r w:rsidR="00566881" w:rsidRPr="00051F90">
        <w:rPr>
          <w:rFonts w:ascii="Times New Roman" w:hAnsi="Times New Roman" w:cs="Times New Roman"/>
          <w:bCs/>
          <w:sz w:val="26"/>
          <w:szCs w:val="26"/>
        </w:rPr>
        <w:t>Cass</w:t>
      </w:r>
      <w:proofErr w:type="spellEnd"/>
      <w:r w:rsidR="00566881" w:rsidRPr="00051F90">
        <w:rPr>
          <w:rFonts w:ascii="Times New Roman" w:hAnsi="Times New Roman" w:cs="Times New Roman"/>
          <w:bCs/>
          <w:sz w:val="26"/>
          <w:szCs w:val="26"/>
        </w:rPr>
        <w:t xml:space="preserve">., SS.UU., 13659/2006, cit. e 5464/2009), all’ordine di esame fra il ricorso principale e quello incidentale nel contenzioso in tema di appalti pubblici (in tal senso: </w:t>
      </w:r>
      <w:proofErr w:type="spellStart"/>
      <w:r w:rsidR="00566881" w:rsidRPr="00051F90">
        <w:rPr>
          <w:rFonts w:ascii="Times New Roman" w:hAnsi="Times New Roman" w:cs="Times New Roman"/>
          <w:bCs/>
          <w:sz w:val="26"/>
          <w:szCs w:val="26"/>
        </w:rPr>
        <w:t>Cass</w:t>
      </w:r>
      <w:proofErr w:type="spellEnd"/>
      <w:r w:rsidR="00566881" w:rsidRPr="00051F90">
        <w:rPr>
          <w:rFonts w:ascii="Times New Roman" w:hAnsi="Times New Roman" w:cs="Times New Roman"/>
          <w:bCs/>
          <w:sz w:val="26"/>
          <w:szCs w:val="26"/>
        </w:rPr>
        <w:t>., SS.UU., 10294/2012)</w:t>
      </w:r>
      <w:r w:rsidR="008559BB" w:rsidRPr="00051F90">
        <w:rPr>
          <w:rFonts w:ascii="Times New Roman" w:hAnsi="Times New Roman" w:cs="Times New Roman"/>
          <w:bCs/>
          <w:sz w:val="26"/>
          <w:szCs w:val="26"/>
        </w:rPr>
        <w:t xml:space="preserve">, nonché alla natura </w:t>
      </w:r>
      <w:proofErr w:type="spellStart"/>
      <w:r w:rsidR="008559BB" w:rsidRPr="00051F90">
        <w:rPr>
          <w:rFonts w:ascii="Times New Roman" w:hAnsi="Times New Roman" w:cs="Times New Roman"/>
          <w:bCs/>
          <w:sz w:val="26"/>
          <w:szCs w:val="26"/>
        </w:rPr>
        <w:t>decadenziale</w:t>
      </w:r>
      <w:proofErr w:type="spellEnd"/>
      <w:r w:rsidR="008559BB" w:rsidRPr="00051F90">
        <w:rPr>
          <w:rFonts w:ascii="Times New Roman" w:hAnsi="Times New Roman" w:cs="Times New Roman"/>
          <w:bCs/>
          <w:sz w:val="26"/>
          <w:szCs w:val="26"/>
        </w:rPr>
        <w:t xml:space="preserve"> o meno del termine del 15 settembre 2000 ai fini della proposizione dei ricorsi in tema pubblico impiego relativi a vicende anteriori al 30 giugno 1998 (in tal senso: </w:t>
      </w:r>
      <w:proofErr w:type="spellStart"/>
      <w:r w:rsidR="008559BB" w:rsidRPr="00051F90">
        <w:rPr>
          <w:rFonts w:ascii="Times New Roman" w:hAnsi="Times New Roman" w:cs="Times New Roman"/>
          <w:bCs/>
          <w:sz w:val="26"/>
          <w:szCs w:val="26"/>
        </w:rPr>
        <w:t>Cass</w:t>
      </w:r>
      <w:proofErr w:type="spellEnd"/>
      <w:r w:rsidR="008559BB" w:rsidRPr="00051F90">
        <w:rPr>
          <w:rFonts w:ascii="Times New Roman" w:hAnsi="Times New Roman" w:cs="Times New Roman"/>
          <w:bCs/>
          <w:sz w:val="26"/>
          <w:szCs w:val="26"/>
        </w:rPr>
        <w:t>., SS.UU., 6891/2016).</w:t>
      </w:r>
    </w:p>
    <w:p w:rsidR="00EB4423" w:rsidRPr="00051F90" w:rsidRDefault="00C76759" w:rsidP="00C76759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iCs/>
          <w:sz w:val="26"/>
          <w:szCs w:val="26"/>
        </w:rPr>
        <w:t>Sulla scia di tale orientamento la Corte di cassazion</w:t>
      </w:r>
      <w:r w:rsidR="00693D72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e </w:t>
      </w:r>
      <w:r w:rsidR="005F58B8">
        <w:rPr>
          <w:rFonts w:ascii="Times New Roman" w:hAnsi="Times New Roman" w:cs="Times New Roman"/>
          <w:bCs/>
          <w:iCs/>
          <w:sz w:val="26"/>
          <w:szCs w:val="26"/>
        </w:rPr>
        <w:t>è</w:t>
      </w:r>
      <w:r w:rsidR="00693D72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 giunt</w:t>
      </w:r>
      <w:r w:rsidR="005F58B8">
        <w:rPr>
          <w:rFonts w:ascii="Times New Roman" w:hAnsi="Times New Roman" w:cs="Times New Roman"/>
          <w:bCs/>
          <w:iCs/>
          <w:sz w:val="26"/>
          <w:szCs w:val="26"/>
        </w:rPr>
        <w:t>a</w:t>
      </w:r>
      <w:r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 ad affermare –</w:t>
      </w:r>
      <w:r w:rsidR="005F58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93D72" w:rsidRPr="00051F90">
        <w:rPr>
          <w:rFonts w:ascii="Times New Roman" w:hAnsi="Times New Roman" w:cs="Times New Roman"/>
          <w:bCs/>
          <w:iCs/>
          <w:sz w:val="26"/>
          <w:szCs w:val="26"/>
        </w:rPr>
        <w:t>in termini sostanzialmente programmatic</w:t>
      </w:r>
      <w:r w:rsidRPr="00051F90">
        <w:rPr>
          <w:rFonts w:ascii="Times New Roman" w:hAnsi="Times New Roman" w:cs="Times New Roman"/>
          <w:bCs/>
          <w:iCs/>
          <w:sz w:val="26"/>
          <w:szCs w:val="26"/>
        </w:rPr>
        <w:t>i – che è norma sulla giurisdizione “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non solo </w:t>
      </w:r>
      <w:r w:rsidR="00B62D85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quella che individua i presupposti dell'attribuzione del potere giurisdizionale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ma</w:t>
      </w:r>
      <w:r w:rsidR="00B62D85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quella che dà contenuto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a quel potere stabilendo </w:t>
      </w:r>
      <w:r w:rsidR="00B62D85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le forme di tutela attraverso le quali esso si estrinseca</w:t>
      </w:r>
      <w:r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” (in tal senso: </w:t>
      </w:r>
      <w:proofErr w:type="spellStart"/>
      <w:r w:rsidRPr="00051F90">
        <w:rPr>
          <w:rFonts w:ascii="Times New Roman" w:hAnsi="Times New Roman" w:cs="Times New Roman"/>
          <w:bCs/>
          <w:iCs/>
          <w:sz w:val="26"/>
          <w:szCs w:val="26"/>
        </w:rPr>
        <w:t>Cass</w:t>
      </w:r>
      <w:proofErr w:type="spellEnd"/>
      <w:r w:rsidRPr="00051F90">
        <w:rPr>
          <w:rFonts w:ascii="Times New Roman" w:hAnsi="Times New Roman" w:cs="Times New Roman"/>
          <w:bCs/>
          <w:iCs/>
          <w:sz w:val="26"/>
          <w:szCs w:val="26"/>
        </w:rPr>
        <w:t>., SS.UU., 5464/2009, cit.).</w:t>
      </w:r>
    </w:p>
    <w:p w:rsidR="00C76759" w:rsidRPr="00051F90" w:rsidRDefault="00C76759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Il che, a ben vedere, equivale ad affermare che il sindacato di cui all’articolo 111, u.co., </w:t>
      </w:r>
      <w:proofErr w:type="spellStart"/>
      <w:r w:rsidRPr="00051F90">
        <w:rPr>
          <w:rFonts w:ascii="Times New Roman" w:hAnsi="Times New Roman" w:cs="Times New Roman"/>
          <w:bCs/>
          <w:sz w:val="26"/>
          <w:szCs w:val="26"/>
        </w:rPr>
        <w:t>Cost</w:t>
      </w:r>
      <w:proofErr w:type="spellEnd"/>
      <w:r w:rsidRPr="00051F90">
        <w:rPr>
          <w:rFonts w:ascii="Times New Roman" w:hAnsi="Times New Roman" w:cs="Times New Roman"/>
          <w:bCs/>
          <w:sz w:val="26"/>
          <w:szCs w:val="26"/>
        </w:rPr>
        <w:t xml:space="preserve">. non resta limitato </w:t>
      </w:r>
      <w:proofErr w:type="spellStart"/>
      <w:r w:rsidRPr="00051F90">
        <w:rPr>
          <w:rFonts w:ascii="Times New Roman" w:hAnsi="Times New Roman" w:cs="Times New Roman"/>
          <w:bCs/>
          <w:sz w:val="26"/>
          <w:szCs w:val="26"/>
        </w:rPr>
        <w:t>all’</w:t>
      </w:r>
      <w:r w:rsidRPr="00051F90">
        <w:rPr>
          <w:rFonts w:ascii="Times New Roman" w:hAnsi="Times New Roman" w:cs="Times New Roman"/>
          <w:bCs/>
          <w:i/>
          <w:sz w:val="26"/>
          <w:szCs w:val="26"/>
        </w:rPr>
        <w:t>an</w:t>
      </w:r>
      <w:proofErr w:type="spellEnd"/>
      <w:r w:rsidRPr="00051F90">
        <w:rPr>
          <w:rFonts w:ascii="Times New Roman" w:hAnsi="Times New Roman" w:cs="Times New Roman"/>
          <w:bCs/>
          <w:sz w:val="26"/>
          <w:szCs w:val="26"/>
        </w:rPr>
        <w:t xml:space="preserve"> della sussistenza della </w:t>
      </w:r>
      <w:proofErr w:type="spellStart"/>
      <w:r w:rsidRPr="00051F90">
        <w:rPr>
          <w:rFonts w:ascii="Times New Roman" w:hAnsi="Times New Roman" w:cs="Times New Roman"/>
          <w:bCs/>
          <w:i/>
          <w:sz w:val="26"/>
          <w:szCs w:val="26"/>
        </w:rPr>
        <w:t>potestas</w:t>
      </w:r>
      <w:proofErr w:type="spellEnd"/>
      <w:r w:rsidRPr="00051F90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051F90">
        <w:rPr>
          <w:rFonts w:ascii="Times New Roman" w:hAnsi="Times New Roman" w:cs="Times New Roman"/>
          <w:bCs/>
          <w:i/>
          <w:sz w:val="26"/>
          <w:szCs w:val="26"/>
        </w:rPr>
        <w:t>iudicandi</w:t>
      </w:r>
      <w:proofErr w:type="spellEnd"/>
      <w:r w:rsidRPr="00051F90">
        <w:rPr>
          <w:rFonts w:ascii="Times New Roman" w:hAnsi="Times New Roman" w:cs="Times New Roman"/>
          <w:bCs/>
          <w:sz w:val="26"/>
          <w:szCs w:val="26"/>
        </w:rPr>
        <w:t xml:space="preserve"> di un determinato plesso</w:t>
      </w:r>
      <w:r w:rsidR="00693D72" w:rsidRPr="00051F90">
        <w:rPr>
          <w:rFonts w:ascii="Times New Roman" w:hAnsi="Times New Roman" w:cs="Times New Roman"/>
          <w:bCs/>
          <w:sz w:val="26"/>
          <w:szCs w:val="26"/>
        </w:rPr>
        <w:t xml:space="preserve"> giudiziale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, ma si estende sino al </w:t>
      </w:r>
      <w:r w:rsidR="00693D72" w:rsidRPr="00051F90">
        <w:rPr>
          <w:rFonts w:ascii="Times New Roman" w:hAnsi="Times New Roman" w:cs="Times New Roman"/>
          <w:bCs/>
          <w:sz w:val="26"/>
          <w:szCs w:val="26"/>
        </w:rPr>
        <w:t xml:space="preserve">vaglio in ordine al </w:t>
      </w:r>
      <w:proofErr w:type="spellStart"/>
      <w:r w:rsidRPr="00051F90">
        <w:rPr>
          <w:rFonts w:ascii="Times New Roman" w:hAnsi="Times New Roman" w:cs="Times New Roman"/>
          <w:bCs/>
          <w:i/>
          <w:sz w:val="26"/>
          <w:szCs w:val="26"/>
        </w:rPr>
        <w:t>quom</w:t>
      </w:r>
      <w:r w:rsidR="00C96F77" w:rsidRPr="00051F90">
        <w:rPr>
          <w:rFonts w:ascii="Times New Roman" w:hAnsi="Times New Roman" w:cs="Times New Roman"/>
          <w:bCs/>
          <w:i/>
          <w:sz w:val="26"/>
          <w:szCs w:val="26"/>
        </w:rPr>
        <w:t>ŏ</w:t>
      </w:r>
      <w:r w:rsidRPr="00051F90">
        <w:rPr>
          <w:rFonts w:ascii="Times New Roman" w:hAnsi="Times New Roman" w:cs="Times New Roman"/>
          <w:bCs/>
          <w:i/>
          <w:sz w:val="26"/>
          <w:szCs w:val="26"/>
        </w:rPr>
        <w:t>do</w:t>
      </w:r>
      <w:proofErr w:type="spellEnd"/>
      <w:r w:rsidRPr="00051F90">
        <w:rPr>
          <w:rFonts w:ascii="Times New Roman" w:hAnsi="Times New Roman" w:cs="Times New Roman"/>
          <w:bCs/>
          <w:sz w:val="26"/>
          <w:szCs w:val="26"/>
        </w:rPr>
        <w:t xml:space="preserve"> del suo esercizio</w:t>
      </w:r>
      <w:r w:rsidR="00693D72" w:rsidRPr="00051F90">
        <w:rPr>
          <w:rFonts w:ascii="Times New Roman" w:hAnsi="Times New Roman" w:cs="Times New Roman"/>
          <w:bCs/>
          <w:sz w:val="26"/>
          <w:szCs w:val="26"/>
        </w:rPr>
        <w:t xml:space="preserve"> in concreto</w:t>
      </w:r>
      <w:r w:rsidRPr="00051F90">
        <w:rPr>
          <w:rFonts w:ascii="Times New Roman" w:hAnsi="Times New Roman" w:cs="Times New Roman"/>
          <w:bCs/>
          <w:sz w:val="26"/>
          <w:szCs w:val="26"/>
        </w:rPr>
        <w:t>.</w:t>
      </w:r>
    </w:p>
    <w:p w:rsidR="003838B5" w:rsidRPr="00051F90" w:rsidRDefault="00C96F77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La sentenza della Corte costituzionale del 2018 sembra porre un limi</w:t>
      </w:r>
      <w:r w:rsidR="005927AF" w:rsidRPr="00051F90">
        <w:rPr>
          <w:rFonts w:ascii="Times New Roman" w:hAnsi="Times New Roman" w:cs="Times New Roman"/>
          <w:bCs/>
          <w:sz w:val="26"/>
          <w:szCs w:val="26"/>
        </w:rPr>
        <w:t>te difficilmente superabile all’</w:t>
      </w:r>
      <w:r w:rsidR="005F58B8">
        <w:rPr>
          <w:rFonts w:ascii="Times New Roman" w:hAnsi="Times New Roman" w:cs="Times New Roman"/>
          <w:bCs/>
          <w:sz w:val="26"/>
          <w:szCs w:val="26"/>
        </w:rPr>
        <w:t>ulteriore percorri</w:t>
      </w:r>
      <w:r w:rsidR="005927AF" w:rsidRPr="00051F90">
        <w:rPr>
          <w:rFonts w:ascii="Times New Roman" w:hAnsi="Times New Roman" w:cs="Times New Roman"/>
          <w:bCs/>
          <w:sz w:val="26"/>
          <w:szCs w:val="26"/>
        </w:rPr>
        <w:t>bilità di tale impostazione.</w:t>
      </w:r>
    </w:p>
    <w:p w:rsidR="00C967E7" w:rsidRPr="00051F90" w:rsidRDefault="005927AF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In particolare, la Consulta</w:t>
      </w:r>
      <w:r w:rsidR="000F249D" w:rsidRPr="00051F90">
        <w:rPr>
          <w:rFonts w:ascii="Times New Roman" w:hAnsi="Times New Roman" w:cs="Times New Roman"/>
          <w:bCs/>
          <w:sz w:val="26"/>
          <w:szCs w:val="26"/>
        </w:rPr>
        <w:t xml:space="preserve"> ha affermato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con </w:t>
      </w:r>
      <w:r w:rsidR="000F249D" w:rsidRPr="00051F90">
        <w:rPr>
          <w:rFonts w:ascii="Times New Roman" w:hAnsi="Times New Roman" w:cs="Times New Roman"/>
          <w:bCs/>
          <w:sz w:val="26"/>
          <w:szCs w:val="26"/>
        </w:rPr>
        <w:t xml:space="preserve">estrema 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chiarezza che</w:t>
      </w:r>
      <w:r w:rsidR="000F249D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1F90">
        <w:rPr>
          <w:rFonts w:ascii="Times New Roman" w:hAnsi="Times New Roman" w:cs="Times New Roman"/>
          <w:bCs/>
          <w:sz w:val="26"/>
          <w:szCs w:val="26"/>
        </w:rPr>
        <w:t>“</w:t>
      </w:r>
      <w:r w:rsidR="000F249D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l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a tes</w:t>
      </w:r>
      <w:r w:rsidR="000F249D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i che il ricorso in cassazione 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per motivi inerenti alla giurisdizione [ex art. 111, u. co.] comprenda anche il sindacato su </w:t>
      </w:r>
      <w:proofErr w:type="spellStart"/>
      <w:r w:rsidR="00C967E7" w:rsidRPr="00051F90">
        <w:rPr>
          <w:rFonts w:ascii="Times New Roman" w:hAnsi="Times New Roman" w:cs="Times New Roman"/>
          <w:bCs/>
          <w:iCs/>
          <w:sz w:val="26"/>
          <w:szCs w:val="26"/>
        </w:rPr>
        <w:t>errores</w:t>
      </w:r>
      <w:proofErr w:type="spellEnd"/>
      <w:r w:rsidR="00C967E7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 in procedendo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o </w:t>
      </w:r>
      <w:r w:rsidR="00C967E7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in iudicando </w:t>
      </w:r>
      <w:r w:rsidR="000F249D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non può qualificarsi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come una interpretazione evolutiva, poiché </w:t>
      </w:r>
      <w:r w:rsidR="000F249D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non è compatibile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con la lettera e lo spirito della norma costituzionale</w:t>
      </w:r>
      <w:r w:rsidRPr="00051F90">
        <w:rPr>
          <w:rFonts w:ascii="Times New Roman" w:hAnsi="Times New Roman" w:cs="Times New Roman"/>
          <w:bCs/>
          <w:iCs/>
          <w:sz w:val="26"/>
          <w:szCs w:val="26"/>
        </w:rPr>
        <w:t>”</w:t>
      </w:r>
      <w:r w:rsidR="000F249D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64C47" w:rsidRPr="00051F90" w:rsidRDefault="005927AF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In modo altrettanto netto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la Consulta </w:t>
      </w:r>
      <w:r w:rsidR="000F249D" w:rsidRPr="00051F90">
        <w:rPr>
          <w:rFonts w:ascii="Times New Roman" w:hAnsi="Times New Roman" w:cs="Times New Roman"/>
          <w:bCs/>
          <w:sz w:val="26"/>
          <w:szCs w:val="26"/>
        </w:rPr>
        <w:t>ha chiarito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che</w:t>
      </w:r>
      <w:r w:rsidR="000F249D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1F90">
        <w:rPr>
          <w:rFonts w:ascii="Times New Roman" w:hAnsi="Times New Roman" w:cs="Times New Roman"/>
          <w:bCs/>
          <w:iCs/>
          <w:sz w:val="26"/>
          <w:szCs w:val="26"/>
        </w:rPr>
        <w:t>“</w:t>
      </w:r>
      <w:r w:rsidR="000F249D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l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’opposto filone giu</w:t>
      </w:r>
      <w:r w:rsidR="000F249D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risprudenziale [argomenta]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la sua tesi sulla base di considerazioni che </w:t>
      </w:r>
      <w:r w:rsidR="000F249D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sono 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o prive di fondamento o estranee ad una questione qualificabile come propriamente di giurisdizione, e cioè richiamando princìpi fondamentali quali la primazia del diritto comunitario, l’effettività d</w:t>
      </w:r>
      <w:r w:rsidR="000F249D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ella tutela, il giusto processo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e l’unità funzionale della giurisdizione</w:t>
      </w:r>
      <w:r w:rsidRPr="00051F90">
        <w:rPr>
          <w:rFonts w:ascii="Times New Roman" w:hAnsi="Times New Roman" w:cs="Times New Roman"/>
          <w:bCs/>
          <w:sz w:val="26"/>
          <w:szCs w:val="26"/>
        </w:rPr>
        <w:t>”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>.</w:t>
      </w:r>
    </w:p>
    <w:p w:rsidR="00C967E7" w:rsidRPr="00051F90" w:rsidRDefault="00C967E7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S</w:t>
      </w:r>
      <w:r w:rsidR="00693D72" w:rsidRPr="00051F90">
        <w:rPr>
          <w:rFonts w:ascii="Times New Roman" w:hAnsi="Times New Roman" w:cs="Times New Roman"/>
          <w:bCs/>
          <w:sz w:val="26"/>
          <w:szCs w:val="26"/>
        </w:rPr>
        <w:t>arebbe troppo compless</w:t>
      </w:r>
      <w:r w:rsidR="000F249D" w:rsidRPr="00051F90">
        <w:rPr>
          <w:rFonts w:ascii="Times New Roman" w:hAnsi="Times New Roman" w:cs="Times New Roman"/>
          <w:bCs/>
          <w:sz w:val="26"/>
          <w:szCs w:val="26"/>
        </w:rPr>
        <w:t>o soffermarsi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sulle implicazioni di sistema connesse alla decisio</w:t>
      </w:r>
      <w:r w:rsidR="000F249D" w:rsidRPr="00051F90">
        <w:rPr>
          <w:rFonts w:ascii="Times New Roman" w:hAnsi="Times New Roman" w:cs="Times New Roman"/>
          <w:bCs/>
          <w:sz w:val="26"/>
          <w:szCs w:val="26"/>
        </w:rPr>
        <w:t>ne della Corte costituzionale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del 2018</w:t>
      </w:r>
      <w:r w:rsidR="00693D72" w:rsidRPr="00051F90">
        <w:rPr>
          <w:rFonts w:ascii="Times New Roman" w:hAnsi="Times New Roman" w:cs="Times New Roman"/>
          <w:bCs/>
          <w:sz w:val="26"/>
          <w:szCs w:val="26"/>
        </w:rPr>
        <w:t xml:space="preserve"> e tale esame supererebbe certamente i limiti dimensionali propri del presente contributo</w:t>
      </w:r>
      <w:r w:rsidRPr="00051F90">
        <w:rPr>
          <w:rFonts w:ascii="Times New Roman" w:hAnsi="Times New Roman" w:cs="Times New Roman"/>
          <w:bCs/>
          <w:sz w:val="26"/>
          <w:szCs w:val="26"/>
        </w:rPr>
        <w:t>.</w:t>
      </w:r>
    </w:p>
    <w:p w:rsidR="00E13806" w:rsidRPr="00051F90" w:rsidRDefault="000020EA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Mi limito soltanto a svolger</w:t>
      </w:r>
      <w:r w:rsidR="00E13806" w:rsidRPr="00051F90">
        <w:rPr>
          <w:rFonts w:ascii="Times New Roman" w:hAnsi="Times New Roman" w:cs="Times New Roman"/>
          <w:bCs/>
          <w:sz w:val="26"/>
          <w:szCs w:val="26"/>
        </w:rPr>
        <w:t>e due brevi osservazio</w:t>
      </w:r>
      <w:r w:rsidRPr="00051F90">
        <w:rPr>
          <w:rFonts w:ascii="Times New Roman" w:hAnsi="Times New Roman" w:cs="Times New Roman"/>
          <w:bCs/>
          <w:sz w:val="26"/>
          <w:szCs w:val="26"/>
        </w:rPr>
        <w:t>ni</w:t>
      </w:r>
      <w:r w:rsidR="005F58B8">
        <w:rPr>
          <w:rFonts w:ascii="Times New Roman" w:hAnsi="Times New Roman" w:cs="Times New Roman"/>
          <w:bCs/>
          <w:sz w:val="26"/>
          <w:szCs w:val="26"/>
        </w:rPr>
        <w:t xml:space="preserve"> sul punto</w:t>
      </w:r>
      <w:r w:rsidRPr="00051F90">
        <w:rPr>
          <w:rFonts w:ascii="Times New Roman" w:hAnsi="Times New Roman" w:cs="Times New Roman"/>
          <w:bCs/>
          <w:sz w:val="26"/>
          <w:szCs w:val="26"/>
        </w:rPr>
        <w:t>: l’una di carattere empirico,</w:t>
      </w:r>
      <w:r w:rsidR="00E13806" w:rsidRPr="00051F90">
        <w:rPr>
          <w:rFonts w:ascii="Times New Roman" w:hAnsi="Times New Roman" w:cs="Times New Roman"/>
          <w:bCs/>
          <w:sz w:val="26"/>
          <w:szCs w:val="26"/>
        </w:rPr>
        <w:t xml:space="preserve"> l’altra concernente i più recenti sviluppi della questione.</w:t>
      </w:r>
    </w:p>
    <w:p w:rsidR="00C967E7" w:rsidRPr="00051F90" w:rsidRDefault="00E13806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Quanto al</w:t>
      </w:r>
      <w:r w:rsidR="000020EA" w:rsidRPr="00051F90">
        <w:rPr>
          <w:rFonts w:ascii="Times New Roman" w:hAnsi="Times New Roman" w:cs="Times New Roman"/>
          <w:bCs/>
          <w:sz w:val="26"/>
          <w:szCs w:val="26"/>
        </w:rPr>
        <w:t xml:space="preserve"> primo aspetto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mi limito ad osservare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che la decisa presa di posizione della Corte </w:t>
      </w:r>
      <w:r w:rsidRPr="00051F90">
        <w:rPr>
          <w:rFonts w:ascii="Times New Roman" w:hAnsi="Times New Roman" w:cs="Times New Roman"/>
          <w:bCs/>
          <w:sz w:val="26"/>
          <w:szCs w:val="26"/>
        </w:rPr>
        <w:t>costituzionale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1F90">
        <w:rPr>
          <w:rFonts w:ascii="Times New Roman" w:hAnsi="Times New Roman" w:cs="Times New Roman"/>
          <w:bCs/>
          <w:sz w:val="26"/>
          <w:szCs w:val="26"/>
        </w:rPr>
        <w:t>ha determinato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, negli ultimi </w:t>
      </w:r>
      <w:r w:rsidRPr="00051F90">
        <w:rPr>
          <w:rFonts w:ascii="Times New Roman" w:hAnsi="Times New Roman" w:cs="Times New Roman"/>
          <w:bCs/>
          <w:sz w:val="26"/>
          <w:szCs w:val="26"/>
        </w:rPr>
        <w:t>due anni</w:t>
      </w:r>
      <w:r w:rsidR="000020EA" w:rsidRPr="00051F90">
        <w:rPr>
          <w:rFonts w:ascii="Times New Roman" w:hAnsi="Times New Roman" w:cs="Times New Roman"/>
          <w:bCs/>
          <w:sz w:val="26"/>
          <w:szCs w:val="26"/>
        </w:rPr>
        <w:t xml:space="preserve"> circa, una decisa riduzione in termini numerici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delle impu</w:t>
      </w:r>
      <w:r w:rsidRPr="00051F90">
        <w:rPr>
          <w:rFonts w:ascii="Times New Roman" w:hAnsi="Times New Roman" w:cs="Times New Roman"/>
          <w:bCs/>
          <w:sz w:val="26"/>
          <w:szCs w:val="26"/>
        </w:rPr>
        <w:t>gnative delle sentenze del Consiglio di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Stato «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per motiv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i inerenti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0020EA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al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la giurisdizione</w:t>
      </w:r>
      <w:r w:rsidRPr="00051F90">
        <w:rPr>
          <w:rFonts w:ascii="Times New Roman" w:hAnsi="Times New Roman" w:cs="Times New Roman"/>
          <w:bCs/>
          <w:sz w:val="26"/>
          <w:szCs w:val="26"/>
        </w:rPr>
        <w:t>».</w:t>
      </w:r>
    </w:p>
    <w:p w:rsidR="00E13806" w:rsidRPr="00051F90" w:rsidRDefault="00E13806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Quanto al secondo aspetto, mette qui conto richiamare una recente ordinanza </w:t>
      </w:r>
      <w:r w:rsidR="00A20861" w:rsidRPr="00051F90">
        <w:rPr>
          <w:rFonts w:ascii="Times New Roman" w:hAnsi="Times New Roman" w:cs="Times New Roman"/>
          <w:bCs/>
          <w:sz w:val="26"/>
          <w:szCs w:val="26"/>
        </w:rPr>
        <w:t>di rimessione alla Corte di giustizia adottata da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lle Sezioni unite (la n. </w:t>
      </w:r>
      <w:r w:rsidR="000B7573" w:rsidRPr="00051F90">
        <w:rPr>
          <w:rFonts w:ascii="Times New Roman" w:hAnsi="Times New Roman" w:cs="Times New Roman"/>
          <w:bCs/>
          <w:sz w:val="26"/>
          <w:szCs w:val="26"/>
        </w:rPr>
        <w:t>19598/2020</w:t>
      </w:r>
      <w:r w:rsidR="00A20861" w:rsidRPr="00051F90">
        <w:rPr>
          <w:rFonts w:ascii="Times New Roman" w:hAnsi="Times New Roman" w:cs="Times New Roman"/>
          <w:bCs/>
          <w:sz w:val="26"/>
          <w:szCs w:val="26"/>
        </w:rPr>
        <w:t>): tale ordinanza segna il tentativo di rimettere in discussione le conclusioni cui è pervenuto il diritto vivente nazionale (sulla scorta della sentenza della Corte costituzionale n. 6 del 2018</w:t>
      </w:r>
      <w:r w:rsidR="005927AF" w:rsidRPr="00051F90">
        <w:rPr>
          <w:rFonts w:ascii="Times New Roman" w:hAnsi="Times New Roman" w:cs="Times New Roman"/>
          <w:bCs/>
          <w:sz w:val="26"/>
          <w:szCs w:val="26"/>
        </w:rPr>
        <w:t>, cit.</w:t>
      </w:r>
      <w:r w:rsidR="00A20861" w:rsidRPr="00051F90">
        <w:rPr>
          <w:rFonts w:ascii="Times New Roman" w:hAnsi="Times New Roman" w:cs="Times New Roman"/>
          <w:bCs/>
          <w:sz w:val="26"/>
          <w:szCs w:val="26"/>
        </w:rPr>
        <w:t xml:space="preserve">) in tema di deducibilità per cassazione dei presunti </w:t>
      </w:r>
      <w:proofErr w:type="spellStart"/>
      <w:r w:rsidR="00A20861" w:rsidRPr="00051F90">
        <w:rPr>
          <w:rFonts w:ascii="Times New Roman" w:hAnsi="Times New Roman" w:cs="Times New Roman"/>
          <w:bCs/>
          <w:i/>
          <w:sz w:val="26"/>
          <w:szCs w:val="26"/>
        </w:rPr>
        <w:t>errores</w:t>
      </w:r>
      <w:proofErr w:type="spellEnd"/>
      <w:r w:rsidR="00A20861" w:rsidRPr="00051F90">
        <w:rPr>
          <w:rFonts w:ascii="Times New Roman" w:hAnsi="Times New Roman" w:cs="Times New Roman"/>
          <w:bCs/>
          <w:i/>
          <w:sz w:val="26"/>
          <w:szCs w:val="26"/>
        </w:rPr>
        <w:t xml:space="preserve"> in procedendo</w:t>
      </w:r>
      <w:r w:rsidR="00A20861" w:rsidRPr="00051F90">
        <w:rPr>
          <w:rFonts w:ascii="Times New Roman" w:hAnsi="Times New Roman" w:cs="Times New Roman"/>
          <w:bCs/>
          <w:sz w:val="26"/>
          <w:szCs w:val="26"/>
        </w:rPr>
        <w:t xml:space="preserve"> e </w:t>
      </w:r>
      <w:r w:rsidR="00A20861" w:rsidRPr="00051F90">
        <w:rPr>
          <w:rFonts w:ascii="Times New Roman" w:hAnsi="Times New Roman" w:cs="Times New Roman"/>
          <w:bCs/>
          <w:i/>
          <w:sz w:val="26"/>
          <w:szCs w:val="26"/>
        </w:rPr>
        <w:t>in iudicando</w:t>
      </w:r>
      <w:r w:rsidR="00390BA9">
        <w:rPr>
          <w:rFonts w:ascii="Times New Roman" w:hAnsi="Times New Roman" w:cs="Times New Roman"/>
          <w:bCs/>
          <w:sz w:val="26"/>
          <w:szCs w:val="26"/>
        </w:rPr>
        <w:t xml:space="preserve"> delle decisioni del Consiglio di Stato,</w:t>
      </w:r>
      <w:r w:rsidR="00A20861" w:rsidRPr="00051F90">
        <w:rPr>
          <w:rFonts w:ascii="Times New Roman" w:hAnsi="Times New Roman" w:cs="Times New Roman"/>
          <w:bCs/>
          <w:sz w:val="26"/>
          <w:szCs w:val="26"/>
        </w:rPr>
        <w:t xml:space="preserve"> quanto meno </w:t>
      </w:r>
      <w:r w:rsidR="005927AF" w:rsidRPr="00051F90">
        <w:rPr>
          <w:rFonts w:ascii="Times New Roman" w:hAnsi="Times New Roman" w:cs="Times New Roman"/>
          <w:bCs/>
          <w:sz w:val="26"/>
          <w:szCs w:val="26"/>
        </w:rPr>
        <w:t>nelle ipotesi – peraltro, assai numerose</w:t>
      </w:r>
      <w:r w:rsidR="00A20861" w:rsidRPr="00051F90">
        <w:rPr>
          <w:rFonts w:ascii="Times New Roman" w:hAnsi="Times New Roman" w:cs="Times New Roman"/>
          <w:bCs/>
          <w:sz w:val="26"/>
          <w:szCs w:val="26"/>
        </w:rPr>
        <w:t xml:space="preserve"> – in cui tali </w:t>
      </w:r>
      <w:proofErr w:type="spellStart"/>
      <w:r w:rsidR="00A20861" w:rsidRPr="00051F90">
        <w:rPr>
          <w:rFonts w:ascii="Times New Roman" w:hAnsi="Times New Roman" w:cs="Times New Roman"/>
          <w:bCs/>
          <w:i/>
          <w:sz w:val="26"/>
          <w:szCs w:val="26"/>
        </w:rPr>
        <w:t>errores</w:t>
      </w:r>
      <w:proofErr w:type="spellEnd"/>
      <w:r w:rsidR="00A20861" w:rsidRPr="00051F90">
        <w:rPr>
          <w:rFonts w:ascii="Times New Roman" w:hAnsi="Times New Roman" w:cs="Times New Roman"/>
          <w:bCs/>
          <w:sz w:val="26"/>
          <w:szCs w:val="26"/>
        </w:rPr>
        <w:t xml:space="preserve"> vadano ad incidere sull’interpretazione e sull’applicazione del diritto UE</w:t>
      </w:r>
      <w:r w:rsidR="00C80541" w:rsidRPr="00051F90">
        <w:rPr>
          <w:rFonts w:ascii="Times New Roman" w:hAnsi="Times New Roman" w:cs="Times New Roman"/>
          <w:bCs/>
          <w:sz w:val="26"/>
          <w:szCs w:val="26"/>
        </w:rPr>
        <w:t xml:space="preserve">. La Corte di cassazione, in estrema sintesi, dubita che la limitazione delle ipotesi di </w:t>
      </w:r>
      <w:proofErr w:type="spellStart"/>
      <w:r w:rsidR="00C80541" w:rsidRPr="00051F90">
        <w:rPr>
          <w:rFonts w:ascii="Times New Roman" w:hAnsi="Times New Roman" w:cs="Times New Roman"/>
          <w:bCs/>
          <w:sz w:val="26"/>
          <w:szCs w:val="26"/>
        </w:rPr>
        <w:t>ricorribilità</w:t>
      </w:r>
      <w:proofErr w:type="spellEnd"/>
      <w:r w:rsidR="00C80541" w:rsidRPr="00051F90">
        <w:rPr>
          <w:rFonts w:ascii="Times New Roman" w:hAnsi="Times New Roman" w:cs="Times New Roman"/>
          <w:bCs/>
          <w:sz w:val="26"/>
          <w:szCs w:val="26"/>
        </w:rPr>
        <w:t xml:space="preserve"> in cassazione per motivi inerenti la giurisdizione</w:t>
      </w:r>
      <w:r w:rsidR="000C2E8D" w:rsidRPr="00051F90">
        <w:rPr>
          <w:rFonts w:ascii="Times New Roman" w:hAnsi="Times New Roman" w:cs="Times New Roman"/>
          <w:bCs/>
          <w:sz w:val="26"/>
          <w:szCs w:val="26"/>
        </w:rPr>
        <w:t xml:space="preserve"> sancita dalla Corte costituzionale nel 2018 sia </w:t>
      </w:r>
      <w:r w:rsidR="008952B8" w:rsidRPr="00051F90">
        <w:rPr>
          <w:rFonts w:ascii="Times New Roman" w:hAnsi="Times New Roman" w:cs="Times New Roman"/>
          <w:bCs/>
          <w:sz w:val="26"/>
          <w:szCs w:val="26"/>
        </w:rPr>
        <w:t xml:space="preserve">compatibile con l’Ordinamento </w:t>
      </w:r>
      <w:proofErr w:type="spellStart"/>
      <w:r w:rsidR="008952B8" w:rsidRPr="00051F90">
        <w:rPr>
          <w:rFonts w:ascii="Times New Roman" w:hAnsi="Times New Roman" w:cs="Times New Roman"/>
          <w:bCs/>
          <w:sz w:val="26"/>
          <w:szCs w:val="26"/>
        </w:rPr>
        <w:t>eurounitario</w:t>
      </w:r>
      <w:proofErr w:type="spellEnd"/>
      <w:r w:rsidR="000C2E8D" w:rsidRPr="00051F90">
        <w:rPr>
          <w:rFonts w:ascii="Times New Roman" w:hAnsi="Times New Roman" w:cs="Times New Roman"/>
          <w:bCs/>
          <w:sz w:val="26"/>
          <w:szCs w:val="26"/>
        </w:rPr>
        <w:t xml:space="preserve"> nelle ipotesi in cui tale limitazione vada a limitare la possibilità di attingere in modo pieno all’istituto del rinvio pregiudiziale.</w:t>
      </w:r>
    </w:p>
    <w:p w:rsidR="005927AF" w:rsidRPr="00051F90" w:rsidRDefault="003F34F5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Non è </w:t>
      </w:r>
      <w:r w:rsidR="008952B8" w:rsidRPr="00051F90">
        <w:rPr>
          <w:rFonts w:ascii="Times New Roman" w:hAnsi="Times New Roman" w:cs="Times New Roman"/>
          <w:bCs/>
          <w:sz w:val="26"/>
          <w:szCs w:val="26"/>
        </w:rPr>
        <w:t xml:space="preserve">allo stato </w:t>
      </w:r>
      <w:r w:rsidRPr="00051F90">
        <w:rPr>
          <w:rFonts w:ascii="Times New Roman" w:hAnsi="Times New Roman" w:cs="Times New Roman"/>
          <w:bCs/>
          <w:sz w:val="26"/>
          <w:szCs w:val="26"/>
        </w:rPr>
        <w:t>agevole prevedere quale possa essere il responso della Corte di giustizia (la cui giurispr</w:t>
      </w:r>
      <w:r w:rsidR="004E67BE" w:rsidRPr="00051F90">
        <w:rPr>
          <w:rFonts w:ascii="Times New Roman" w:hAnsi="Times New Roman" w:cs="Times New Roman"/>
          <w:bCs/>
          <w:sz w:val="26"/>
          <w:szCs w:val="26"/>
        </w:rPr>
        <w:t>udenza, peraltro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, segna </w:t>
      </w:r>
      <w:r w:rsidR="004E67BE" w:rsidRPr="00051F90">
        <w:rPr>
          <w:rFonts w:ascii="Times New Roman" w:hAnsi="Times New Roman" w:cs="Times New Roman"/>
          <w:bCs/>
          <w:sz w:val="26"/>
          <w:szCs w:val="26"/>
        </w:rPr>
        <w:t xml:space="preserve">in tempi recenti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un accentuato sfavore verso l’utilizzo dello strumento del rinvio pregiudiziale </w:t>
      </w:r>
      <w:r w:rsidR="004E67BE" w:rsidRPr="00051F90">
        <w:rPr>
          <w:rFonts w:ascii="Times New Roman" w:hAnsi="Times New Roman" w:cs="Times New Roman"/>
          <w:bCs/>
          <w:sz w:val="26"/>
          <w:szCs w:val="26"/>
        </w:rPr>
        <w:t>ai fini della risoluzione di questioni giuridiche o istituzionali di carattere puramente interno, pur se veicolate attraverso lo strumento di cui all’articolo 267 del Trattato di Roma).</w:t>
      </w:r>
    </w:p>
    <w:p w:rsidR="003F34F5" w:rsidRDefault="00352C7D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51F90">
        <w:rPr>
          <w:rFonts w:ascii="Times New Roman" w:hAnsi="Times New Roman" w:cs="Times New Roman"/>
          <w:bCs/>
          <w:sz w:val="26"/>
          <w:szCs w:val="26"/>
        </w:rPr>
        <w:t>E’</w:t>
      </w:r>
      <w:proofErr w:type="gramEnd"/>
      <w:r w:rsidRPr="00051F90">
        <w:rPr>
          <w:rFonts w:ascii="Times New Roman" w:hAnsi="Times New Roman" w:cs="Times New Roman"/>
          <w:bCs/>
          <w:sz w:val="26"/>
          <w:szCs w:val="26"/>
        </w:rPr>
        <w:t xml:space="preserve"> però certo che – indipendentemente dal merito giuridico della questione – l’eventuale adesione da parte della Corte di giustizia alla prospettazione </w:t>
      </w:r>
      <w:r w:rsidR="001557DE" w:rsidRPr="00051F90">
        <w:rPr>
          <w:rFonts w:ascii="Times New Roman" w:hAnsi="Times New Roman" w:cs="Times New Roman"/>
          <w:bCs/>
          <w:sz w:val="26"/>
          <w:szCs w:val="26"/>
        </w:rPr>
        <w:t xml:space="preserve">di recente </w:t>
      </w:r>
      <w:r w:rsidR="00390BA9">
        <w:rPr>
          <w:rFonts w:ascii="Times New Roman" w:hAnsi="Times New Roman" w:cs="Times New Roman"/>
          <w:bCs/>
          <w:sz w:val="26"/>
          <w:szCs w:val="26"/>
        </w:rPr>
        <w:t>propos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ta dalle </w:t>
      </w:r>
      <w:r w:rsidR="001557DE" w:rsidRPr="00051F90">
        <w:rPr>
          <w:rFonts w:ascii="Times New Roman" w:hAnsi="Times New Roman" w:cs="Times New Roman"/>
          <w:bCs/>
          <w:sz w:val="26"/>
          <w:szCs w:val="26"/>
        </w:rPr>
        <w:t>Se</w:t>
      </w:r>
      <w:r w:rsidR="008952B8" w:rsidRPr="00051F90">
        <w:rPr>
          <w:rFonts w:ascii="Times New Roman" w:hAnsi="Times New Roman" w:cs="Times New Roman"/>
          <w:bCs/>
          <w:sz w:val="26"/>
          <w:szCs w:val="26"/>
        </w:rPr>
        <w:t>zioni unite aprirebbe scenari del tutto</w:t>
      </w:r>
      <w:r w:rsidR="001557DE" w:rsidRPr="00051F90">
        <w:rPr>
          <w:rFonts w:ascii="Times New Roman" w:hAnsi="Times New Roman" w:cs="Times New Roman"/>
          <w:bCs/>
          <w:sz w:val="26"/>
          <w:szCs w:val="26"/>
        </w:rPr>
        <w:t xml:space="preserve"> nuovi circa i rapporti fra le supreme Corti e il Giudice delle leggi in ordine all’interpretazione e all’applicazione degli articoli 111 e 117, I, </w:t>
      </w:r>
      <w:proofErr w:type="spellStart"/>
      <w:r w:rsidR="001557DE" w:rsidRPr="00051F90">
        <w:rPr>
          <w:rFonts w:ascii="Times New Roman" w:hAnsi="Times New Roman" w:cs="Times New Roman"/>
          <w:bCs/>
          <w:sz w:val="26"/>
          <w:szCs w:val="26"/>
        </w:rPr>
        <w:t>Cost</w:t>
      </w:r>
      <w:proofErr w:type="spellEnd"/>
      <w:r w:rsidR="001557DE" w:rsidRPr="00051F90">
        <w:rPr>
          <w:rFonts w:ascii="Times New Roman" w:hAnsi="Times New Roman" w:cs="Times New Roman"/>
          <w:bCs/>
          <w:sz w:val="26"/>
          <w:szCs w:val="26"/>
        </w:rPr>
        <w:t>.</w:t>
      </w:r>
    </w:p>
    <w:p w:rsidR="00390BA9" w:rsidRPr="00051F90" w:rsidRDefault="00390BA9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67E7" w:rsidRPr="00051F90" w:rsidRDefault="001557DE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Concludo con alcune notazioni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sulla </w:t>
      </w:r>
      <w:r w:rsidR="001A46FC" w:rsidRPr="00051F90">
        <w:rPr>
          <w:rFonts w:ascii="Times New Roman" w:hAnsi="Times New Roman" w:cs="Times New Roman"/>
          <w:bCs/>
          <w:sz w:val="26"/>
          <w:szCs w:val="26"/>
        </w:rPr>
        <w:t xml:space="preserve">terza </w:t>
      </w:r>
      <w:r w:rsidRPr="00051F90">
        <w:rPr>
          <w:rFonts w:ascii="Times New Roman" w:hAnsi="Times New Roman" w:cs="Times New Roman"/>
          <w:bCs/>
          <w:sz w:val="26"/>
          <w:szCs w:val="26"/>
        </w:rPr>
        <w:t>delle questioni che in precedenza ho anticipato</w:t>
      </w:r>
      <w:r w:rsidR="001A46FC" w:rsidRPr="00051F90">
        <w:rPr>
          <w:rFonts w:ascii="Times New Roman" w:hAnsi="Times New Roman" w:cs="Times New Roman"/>
          <w:bCs/>
          <w:sz w:val="26"/>
          <w:szCs w:val="26"/>
        </w:rPr>
        <w:t xml:space="preserve"> (relativa al </w:t>
      </w:r>
      <w:r w:rsidR="00390BA9">
        <w:rPr>
          <w:rFonts w:ascii="Times New Roman" w:hAnsi="Times New Roman" w:cs="Times New Roman"/>
          <w:bCs/>
          <w:sz w:val="26"/>
          <w:szCs w:val="26"/>
        </w:rPr>
        <w:t>se possa dirsi sussistente</w:t>
      </w:r>
      <w:r w:rsidR="001A46FC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6FC" w:rsidRPr="00051F90">
        <w:rPr>
          <w:rFonts w:ascii="Times New Roman" w:hAnsi="Times New Roman" w:cs="Times New Roman"/>
          <w:bCs/>
          <w:iCs/>
          <w:sz w:val="26"/>
          <w:szCs w:val="26"/>
        </w:rPr>
        <w:t>un principio in base al quale al G.A. sarebbe tendenzialmente preclusa la giurisdizione in tema di diritti fondamentali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)</w:t>
      </w:r>
      <w:r w:rsidR="00C44606" w:rsidRPr="00051F90">
        <w:rPr>
          <w:rStyle w:val="Rimandonotaapidipagina"/>
          <w:rFonts w:ascii="Times New Roman" w:hAnsi="Times New Roman" w:cs="Times New Roman"/>
          <w:bCs/>
          <w:sz w:val="26"/>
          <w:szCs w:val="26"/>
        </w:rPr>
        <w:footnoteReference w:id="11"/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.</w:t>
      </w:r>
    </w:p>
    <w:p w:rsidR="00A64C47" w:rsidRPr="00051F90" w:rsidRDefault="001557DE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Come è noto, l</w:t>
      </w:r>
      <w:r w:rsidR="00B03C62" w:rsidRPr="00051F90">
        <w:rPr>
          <w:rFonts w:ascii="Times New Roman" w:hAnsi="Times New Roman" w:cs="Times New Roman"/>
          <w:bCs/>
          <w:sz w:val="26"/>
          <w:szCs w:val="26"/>
        </w:rPr>
        <w:t>’orientamento che nega al Giudice amministrativo la giurisdizione in materia di diritti fondamentali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6FC" w:rsidRPr="00051F90">
        <w:rPr>
          <w:rFonts w:ascii="Times New Roman" w:hAnsi="Times New Roman" w:cs="Times New Roman"/>
          <w:bCs/>
          <w:sz w:val="26"/>
          <w:szCs w:val="26"/>
        </w:rPr>
        <w:t xml:space="preserve">trova </w:t>
      </w:r>
      <w:r w:rsidRPr="00051F90">
        <w:rPr>
          <w:rFonts w:ascii="Times New Roman" w:hAnsi="Times New Roman" w:cs="Times New Roman"/>
          <w:bCs/>
          <w:sz w:val="26"/>
          <w:szCs w:val="26"/>
        </w:rPr>
        <w:t>la sua origine</w:t>
      </w:r>
      <w:r w:rsidR="00982F20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1F90">
        <w:rPr>
          <w:rFonts w:ascii="Times New Roman" w:hAnsi="Times New Roman" w:cs="Times New Roman"/>
          <w:bCs/>
          <w:sz w:val="26"/>
          <w:szCs w:val="26"/>
        </w:rPr>
        <w:t>concettuale</w:t>
      </w:r>
      <w:r w:rsidR="00B03C62" w:rsidRPr="00051F90">
        <w:rPr>
          <w:rFonts w:ascii="Times New Roman" w:hAnsi="Times New Roman" w:cs="Times New Roman"/>
          <w:bCs/>
          <w:sz w:val="26"/>
          <w:szCs w:val="26"/>
        </w:rPr>
        <w:t xml:space="preserve"> nella teorica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della 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degradazione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e dell’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affievolimento</w:t>
      </w:r>
      <w:r w:rsidR="00B03C62" w:rsidRPr="00051F90">
        <w:rPr>
          <w:rFonts w:ascii="Times New Roman" w:hAnsi="Times New Roman" w:cs="Times New Roman"/>
          <w:bCs/>
          <w:sz w:val="26"/>
          <w:szCs w:val="26"/>
        </w:rPr>
        <w:t xml:space="preserve"> delle posizioni giuridiche soggettive per effetto dell’intervento di un provvedimento di stampo autoritativo. L’orientamento in questione ha trovato </w:t>
      </w:r>
      <w:r w:rsidR="00035D9C" w:rsidRPr="00051F90">
        <w:rPr>
          <w:rFonts w:ascii="Times New Roman" w:hAnsi="Times New Roman" w:cs="Times New Roman"/>
          <w:bCs/>
          <w:sz w:val="26"/>
          <w:szCs w:val="26"/>
        </w:rPr>
        <w:t xml:space="preserve">un espresso </w:t>
      </w:r>
      <w:r w:rsidR="00B03C62" w:rsidRPr="00051F90">
        <w:rPr>
          <w:rFonts w:ascii="Times New Roman" w:hAnsi="Times New Roman" w:cs="Times New Roman"/>
          <w:bCs/>
          <w:sz w:val="26"/>
          <w:szCs w:val="26"/>
        </w:rPr>
        <w:t>riconoscimento ad opera di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due risalenti pronunce del 1979 </w:t>
      </w:r>
      <w:r w:rsidR="00B03C62" w:rsidRPr="00051F90">
        <w:rPr>
          <w:rFonts w:ascii="Times New Roman" w:hAnsi="Times New Roman" w:cs="Times New Roman"/>
          <w:bCs/>
          <w:sz w:val="26"/>
          <w:szCs w:val="26"/>
        </w:rPr>
        <w:t>della Corte di cassazione</w:t>
      </w:r>
      <w:r w:rsidR="00AA1009" w:rsidRPr="00051F90">
        <w:rPr>
          <w:rStyle w:val="Rimandonotaapidipagina"/>
          <w:rFonts w:ascii="Times New Roman" w:hAnsi="Times New Roman" w:cs="Times New Roman"/>
          <w:bCs/>
          <w:sz w:val="26"/>
          <w:szCs w:val="26"/>
        </w:rPr>
        <w:footnoteReference w:id="12"/>
      </w:r>
      <w:r w:rsidR="00B03C62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4F01" w:rsidRPr="00051F90">
        <w:rPr>
          <w:rFonts w:ascii="Times New Roman" w:hAnsi="Times New Roman" w:cs="Times New Roman"/>
          <w:bCs/>
          <w:sz w:val="26"/>
          <w:szCs w:val="26"/>
        </w:rPr>
        <w:t>le quali</w:t>
      </w:r>
      <w:r w:rsidR="003108EF" w:rsidRPr="00051F90">
        <w:rPr>
          <w:rFonts w:ascii="Times New Roman" w:hAnsi="Times New Roman" w:cs="Times New Roman"/>
          <w:bCs/>
          <w:sz w:val="26"/>
          <w:szCs w:val="26"/>
        </w:rPr>
        <w:t xml:space="preserve">, secondo </w:t>
      </w:r>
      <w:r w:rsidR="008952B8" w:rsidRPr="00051F90">
        <w:rPr>
          <w:rFonts w:ascii="Times New Roman" w:hAnsi="Times New Roman" w:cs="Times New Roman"/>
          <w:bCs/>
          <w:sz w:val="26"/>
          <w:szCs w:val="26"/>
        </w:rPr>
        <w:t>una diffusa prospettazione</w:t>
      </w:r>
      <w:r w:rsidR="003108EF" w:rsidRPr="00051F90">
        <w:rPr>
          <w:rFonts w:ascii="Times New Roman" w:hAnsi="Times New Roman" w:cs="Times New Roman"/>
          <w:bCs/>
          <w:sz w:val="26"/>
          <w:szCs w:val="26"/>
        </w:rPr>
        <w:t xml:space="preserve"> dottrinale, avrebbero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08EF" w:rsidRPr="00051F90">
        <w:rPr>
          <w:rFonts w:ascii="Times New Roman" w:hAnsi="Times New Roman" w:cs="Times New Roman"/>
          <w:bCs/>
          <w:sz w:val="26"/>
          <w:szCs w:val="26"/>
        </w:rPr>
        <w:t xml:space="preserve">enucleato la categoria dei 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diritti resistenti a tutta oltranza</w:t>
      </w:r>
      <w:r w:rsidR="001A60CF" w:rsidRPr="00051F90">
        <w:rPr>
          <w:rStyle w:val="Rimandonotaapidipagina"/>
          <w:rFonts w:ascii="Times New Roman" w:hAnsi="Times New Roman" w:cs="Times New Roman"/>
          <w:bCs/>
          <w:sz w:val="26"/>
          <w:szCs w:val="26"/>
        </w:rPr>
        <w:footnoteReference w:id="13"/>
      </w:r>
      <w:r w:rsidR="003108EF" w:rsidRPr="00051F90">
        <w:rPr>
          <w:rFonts w:ascii="Times New Roman" w:hAnsi="Times New Roman" w:cs="Times New Roman"/>
          <w:bCs/>
          <w:sz w:val="26"/>
          <w:szCs w:val="26"/>
        </w:rPr>
        <w:t>. Tale orientamento</w:t>
      </w:r>
      <w:r w:rsidR="0028224E" w:rsidRPr="00051F9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>nonostante il superamento</w:t>
      </w:r>
      <w:r w:rsidR="003108EF" w:rsidRPr="00051F90">
        <w:rPr>
          <w:rFonts w:ascii="Times New Roman" w:hAnsi="Times New Roman" w:cs="Times New Roman"/>
          <w:bCs/>
          <w:sz w:val="26"/>
          <w:szCs w:val="26"/>
        </w:rPr>
        <w:t xml:space="preserve"> dei presupposti che lo </w:t>
      </w:r>
      <w:r w:rsidR="00035D9C" w:rsidRPr="00051F90">
        <w:rPr>
          <w:rFonts w:ascii="Times New Roman" w:hAnsi="Times New Roman" w:cs="Times New Roman"/>
          <w:bCs/>
          <w:sz w:val="26"/>
          <w:szCs w:val="26"/>
        </w:rPr>
        <w:t>sostene</w:t>
      </w:r>
      <w:r w:rsidR="003108EF" w:rsidRPr="00051F90">
        <w:rPr>
          <w:rFonts w:ascii="Times New Roman" w:hAnsi="Times New Roman" w:cs="Times New Roman"/>
          <w:bCs/>
          <w:sz w:val="26"/>
          <w:szCs w:val="26"/>
        </w:rPr>
        <w:t>vano,</w:t>
      </w:r>
      <w:r w:rsidR="0028224E" w:rsidRPr="00051F90">
        <w:rPr>
          <w:rFonts w:ascii="Times New Roman" w:hAnsi="Times New Roman" w:cs="Times New Roman"/>
          <w:bCs/>
          <w:sz w:val="26"/>
          <w:szCs w:val="26"/>
        </w:rPr>
        <w:t xml:space="preserve"> viene </w:t>
      </w:r>
      <w:r w:rsidR="00035D9C" w:rsidRPr="00051F90">
        <w:rPr>
          <w:rFonts w:ascii="Times New Roman" w:hAnsi="Times New Roman" w:cs="Times New Roman"/>
          <w:bCs/>
          <w:sz w:val="26"/>
          <w:szCs w:val="26"/>
        </w:rPr>
        <w:t xml:space="preserve">nondimeno </w:t>
      </w:r>
      <w:r w:rsidR="0028224E" w:rsidRPr="00051F90">
        <w:rPr>
          <w:rFonts w:ascii="Times New Roman" w:hAnsi="Times New Roman" w:cs="Times New Roman"/>
          <w:bCs/>
          <w:sz w:val="26"/>
          <w:szCs w:val="26"/>
        </w:rPr>
        <w:t>di tempo in tempo riproposto sia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dalla </w:t>
      </w:r>
      <w:r w:rsidR="0028224E" w:rsidRPr="00051F90">
        <w:rPr>
          <w:rFonts w:ascii="Times New Roman" w:hAnsi="Times New Roman" w:cs="Times New Roman"/>
          <w:bCs/>
          <w:sz w:val="26"/>
          <w:szCs w:val="26"/>
        </w:rPr>
        <w:t>giurisprudenza della stessa C</w:t>
      </w:r>
      <w:r w:rsidR="00035D9C" w:rsidRPr="00051F90">
        <w:rPr>
          <w:rFonts w:ascii="Times New Roman" w:hAnsi="Times New Roman" w:cs="Times New Roman"/>
          <w:bCs/>
          <w:sz w:val="26"/>
          <w:szCs w:val="26"/>
        </w:rPr>
        <w:t>orte di c</w:t>
      </w:r>
      <w:r w:rsidR="0028224E" w:rsidRPr="00051F90">
        <w:rPr>
          <w:rFonts w:ascii="Times New Roman" w:hAnsi="Times New Roman" w:cs="Times New Roman"/>
          <w:bCs/>
          <w:sz w:val="26"/>
          <w:szCs w:val="26"/>
        </w:rPr>
        <w:t>assazione, sia (</w:t>
      </w:r>
      <w:r w:rsidR="003108EF" w:rsidRPr="00051F90">
        <w:rPr>
          <w:rFonts w:ascii="Times New Roman" w:hAnsi="Times New Roman" w:cs="Times New Roman"/>
          <w:bCs/>
          <w:sz w:val="26"/>
          <w:szCs w:val="26"/>
        </w:rPr>
        <w:t xml:space="preserve">e </w:t>
      </w:r>
      <w:r w:rsidR="0028224E" w:rsidRPr="00051F90">
        <w:rPr>
          <w:rFonts w:ascii="Times New Roman" w:hAnsi="Times New Roman" w:cs="Times New Roman"/>
          <w:bCs/>
          <w:sz w:val="26"/>
          <w:szCs w:val="26"/>
        </w:rPr>
        <w:t>in modo meno comprensibile) da quella dello stesso Consiglio di Stato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>.</w:t>
      </w:r>
    </w:p>
    <w:p w:rsidR="00C967E7" w:rsidRPr="00051F90" w:rsidRDefault="000713E7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D</w:t>
      </w:r>
      <w:r w:rsidR="003108EF" w:rsidRPr="00051F90">
        <w:rPr>
          <w:rFonts w:ascii="Times New Roman" w:hAnsi="Times New Roman" w:cs="Times New Roman"/>
          <w:bCs/>
          <w:sz w:val="26"/>
          <w:szCs w:val="26"/>
        </w:rPr>
        <w:t>al punto di vista sistematico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,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la questione </w:t>
      </w:r>
      <w:r w:rsidR="003108EF" w:rsidRPr="00051F90">
        <w:rPr>
          <w:rFonts w:ascii="Times New Roman" w:hAnsi="Times New Roman" w:cs="Times New Roman"/>
          <w:bCs/>
          <w:sz w:val="26"/>
          <w:szCs w:val="26"/>
        </w:rPr>
        <w:t>può considerarsi definitivamente risolta sin dalla sentenza de</w:t>
      </w:r>
      <w:r w:rsidR="002704E0" w:rsidRPr="00051F90">
        <w:rPr>
          <w:rFonts w:ascii="Times New Roman" w:hAnsi="Times New Roman" w:cs="Times New Roman"/>
          <w:bCs/>
          <w:sz w:val="26"/>
          <w:szCs w:val="26"/>
        </w:rPr>
        <w:t>lla Corte</w:t>
      </w:r>
      <w:r w:rsidR="00D86318" w:rsidRPr="00051F90">
        <w:rPr>
          <w:rFonts w:ascii="Times New Roman" w:hAnsi="Times New Roman" w:cs="Times New Roman"/>
          <w:bCs/>
          <w:sz w:val="26"/>
          <w:szCs w:val="26"/>
        </w:rPr>
        <w:t xml:space="preserve"> costituzionale </w:t>
      </w:r>
      <w:r w:rsidR="002704E0" w:rsidRPr="00051F90">
        <w:rPr>
          <w:rFonts w:ascii="Times New Roman" w:hAnsi="Times New Roman" w:cs="Times New Roman"/>
          <w:bCs/>
          <w:sz w:val="26"/>
          <w:szCs w:val="26"/>
        </w:rPr>
        <w:t xml:space="preserve">n. 140 del 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2007</w:t>
      </w:r>
      <w:r w:rsidR="00991845" w:rsidRPr="00051F90">
        <w:rPr>
          <w:rStyle w:val="Rimandonotaapidipagina"/>
          <w:rFonts w:ascii="Times New Roman" w:hAnsi="Times New Roman" w:cs="Times New Roman"/>
          <w:bCs/>
          <w:sz w:val="26"/>
          <w:szCs w:val="26"/>
        </w:rPr>
        <w:footnoteReference w:id="14"/>
      </w:r>
      <w:r w:rsidR="002704E0" w:rsidRPr="00051F90">
        <w:rPr>
          <w:rFonts w:ascii="Times New Roman" w:hAnsi="Times New Roman" w:cs="Times New Roman"/>
          <w:bCs/>
          <w:sz w:val="26"/>
          <w:szCs w:val="26"/>
        </w:rPr>
        <w:t>. Nell’occasione è stato chiarito che “</w:t>
      </w:r>
      <w:r w:rsidR="002704E0" w:rsidRPr="00051F90">
        <w:rPr>
          <w:rFonts w:ascii="Times New Roman" w:hAnsi="Times New Roman" w:cs="Times New Roman"/>
          <w:bCs/>
          <w:i/>
          <w:sz w:val="26"/>
          <w:szCs w:val="26"/>
        </w:rPr>
        <w:t>non esiste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alcun principio o norma nel nostro ordinamento che </w:t>
      </w:r>
      <w:r w:rsidR="002704E0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riservi 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esclusivamente al giudice ordinario la tutela dei diritti costituzionalmente protetti</w:t>
      </w:r>
      <w:r w:rsidR="00390BA9">
        <w:rPr>
          <w:rFonts w:ascii="Times New Roman" w:hAnsi="Times New Roman" w:cs="Times New Roman"/>
          <w:bCs/>
          <w:sz w:val="26"/>
          <w:szCs w:val="26"/>
        </w:rPr>
        <w:t>”.</w:t>
      </w:r>
    </w:p>
    <w:p w:rsidR="00C967E7" w:rsidRPr="00051F90" w:rsidRDefault="000713E7" w:rsidP="00991845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L</w:t>
      </w:r>
      <w:r w:rsidR="002704E0" w:rsidRPr="00051F90">
        <w:rPr>
          <w:rFonts w:ascii="Times New Roman" w:hAnsi="Times New Roman" w:cs="Times New Roman"/>
          <w:bCs/>
          <w:sz w:val="26"/>
          <w:szCs w:val="26"/>
        </w:rPr>
        <w:t>a Corte ha sottolineato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(fra l’altro):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i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che la teorica dei diritti non </w:t>
      </w:r>
      <w:proofErr w:type="spellStart"/>
      <w:r w:rsidR="00C967E7" w:rsidRPr="00051F90">
        <w:rPr>
          <w:rFonts w:ascii="Times New Roman" w:hAnsi="Times New Roman" w:cs="Times New Roman"/>
          <w:bCs/>
          <w:sz w:val="26"/>
          <w:szCs w:val="26"/>
        </w:rPr>
        <w:t>affievolibili</w:t>
      </w:r>
      <w:proofErr w:type="spellEnd"/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è ormai da ritenersi superata 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(come superata è la teorica della degradazione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, che ne rappresenta – a ben vedere – il </w:t>
      </w:r>
      <w:proofErr w:type="spellStart"/>
      <w:r w:rsidRPr="00051F90">
        <w:rPr>
          <w:rFonts w:ascii="Times New Roman" w:hAnsi="Times New Roman" w:cs="Times New Roman"/>
          <w:bCs/>
          <w:i/>
          <w:sz w:val="26"/>
          <w:szCs w:val="26"/>
        </w:rPr>
        <w:t>prius</w:t>
      </w:r>
      <w:proofErr w:type="spellEnd"/>
      <w:r w:rsidRPr="00051F90">
        <w:rPr>
          <w:rFonts w:ascii="Times New Roman" w:hAnsi="Times New Roman" w:cs="Times New Roman"/>
          <w:bCs/>
          <w:sz w:val="26"/>
          <w:szCs w:val="26"/>
        </w:rPr>
        <w:t xml:space="preserve"> logico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);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ii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che dett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a teorica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non è compatibile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con l’affermazione del principio della 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piena e pari dignità costituzionale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dei diritti e degli interessi;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iii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)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che la medesim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a teorica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non è neppure compatibile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1F90">
        <w:rPr>
          <w:rFonts w:ascii="Times New Roman" w:hAnsi="Times New Roman" w:cs="Times New Roman"/>
          <w:bCs/>
          <w:sz w:val="26"/>
          <w:szCs w:val="26"/>
        </w:rPr>
        <w:t>con il riconoscimento del Giudice amministrativo</w:t>
      </w:r>
      <w:r w:rsidR="00991845" w:rsidRPr="00051F90">
        <w:rPr>
          <w:rFonts w:ascii="Times New Roman" w:hAnsi="Times New Roman" w:cs="Times New Roman"/>
          <w:bCs/>
          <w:sz w:val="26"/>
          <w:szCs w:val="26"/>
        </w:rPr>
        <w:t xml:space="preserve"> qual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e ‘</w:t>
      </w:r>
      <w:r w:rsidR="00C967E7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Giudice naturale della legittimità dell’esercizio della funzione pubblica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>’</w:t>
      </w:r>
      <w:r w:rsidR="00D31BCC">
        <w:rPr>
          <w:rFonts w:ascii="Times New Roman" w:hAnsi="Times New Roman" w:cs="Times New Roman"/>
          <w:bCs/>
          <w:sz w:val="26"/>
          <w:szCs w:val="26"/>
        </w:rPr>
        <w:t xml:space="preserve"> (secondo la pregnante definizione fornita da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lla sentenza della Corte </w:t>
      </w:r>
      <w:r w:rsidR="00D40886" w:rsidRPr="00051F90">
        <w:rPr>
          <w:rFonts w:ascii="Times New Roman" w:hAnsi="Times New Roman" w:cs="Times New Roman"/>
          <w:bCs/>
          <w:sz w:val="26"/>
          <w:szCs w:val="26"/>
        </w:rPr>
        <w:t xml:space="preserve">costituzionale </w:t>
      </w:r>
      <w:r w:rsidRPr="00051F90">
        <w:rPr>
          <w:rFonts w:ascii="Times New Roman" w:hAnsi="Times New Roman" w:cs="Times New Roman"/>
          <w:bCs/>
          <w:sz w:val="26"/>
          <w:szCs w:val="26"/>
        </w:rPr>
        <w:t>n. 191 del 2006)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C967E7" w:rsidRPr="00051F90" w:rsidRDefault="00C967E7" w:rsidP="00991845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Nonostante ciò, la tesi secondo cui la </w:t>
      </w:r>
      <w:r w:rsidR="000713E7" w:rsidRPr="00051F90">
        <w:rPr>
          <w:rFonts w:ascii="Times New Roman" w:hAnsi="Times New Roman" w:cs="Times New Roman"/>
          <w:bCs/>
          <w:iCs/>
          <w:sz w:val="26"/>
          <w:szCs w:val="26"/>
        </w:rPr>
        <w:t>natura fondamentale di un determinato diritto</w:t>
      </w:r>
      <w:r w:rsidR="000713E7" w:rsidRPr="00051F90">
        <w:rPr>
          <w:rFonts w:ascii="Times New Roman" w:hAnsi="Times New Roman" w:cs="Times New Roman"/>
          <w:bCs/>
          <w:sz w:val="26"/>
          <w:szCs w:val="26"/>
        </w:rPr>
        <w:t xml:space="preserve"> rappresenterebbe </w:t>
      </w:r>
      <w:r w:rsidR="00D40886" w:rsidRPr="00051F90">
        <w:rPr>
          <w:rFonts w:ascii="Times New Roman" w:hAnsi="Times New Roman" w:cs="Times New Roman"/>
          <w:bCs/>
          <w:sz w:val="26"/>
          <w:szCs w:val="26"/>
        </w:rPr>
        <w:t xml:space="preserve">di per sé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un criterio di riparto </w:t>
      </w:r>
      <w:r w:rsidR="000713E7" w:rsidRPr="00051F90">
        <w:rPr>
          <w:rFonts w:ascii="Times New Roman" w:hAnsi="Times New Roman" w:cs="Times New Roman"/>
          <w:bCs/>
          <w:sz w:val="26"/>
          <w:szCs w:val="26"/>
        </w:rPr>
        <w:t xml:space="preserve">riprende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di tempo in tempo </w:t>
      </w:r>
      <w:r w:rsidR="000713E7" w:rsidRPr="00051F90">
        <w:rPr>
          <w:rFonts w:ascii="Times New Roman" w:hAnsi="Times New Roman" w:cs="Times New Roman"/>
          <w:bCs/>
          <w:sz w:val="26"/>
          <w:szCs w:val="26"/>
        </w:rPr>
        <w:t xml:space="preserve">vigore sia nella giurisprudenza della Cassazione civile, sia in quella del Consiglio di Stato 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(e </w:t>
      </w:r>
      <w:r w:rsidR="000713E7" w:rsidRPr="00051F90">
        <w:rPr>
          <w:rFonts w:ascii="Times New Roman" w:hAnsi="Times New Roman" w:cs="Times New Roman"/>
          <w:bCs/>
          <w:sz w:val="26"/>
          <w:szCs w:val="26"/>
        </w:rPr>
        <w:t xml:space="preserve">ne esistono </w:t>
      </w:r>
      <w:r w:rsidR="00D31BCC">
        <w:rPr>
          <w:rFonts w:ascii="Times New Roman" w:hAnsi="Times New Roman" w:cs="Times New Roman"/>
          <w:bCs/>
          <w:sz w:val="26"/>
          <w:szCs w:val="26"/>
        </w:rPr>
        <w:t xml:space="preserve">in tempi recenti </w:t>
      </w:r>
      <w:r w:rsidR="000713E7" w:rsidRPr="00051F90">
        <w:rPr>
          <w:rFonts w:ascii="Times New Roman" w:hAnsi="Times New Roman" w:cs="Times New Roman"/>
          <w:bCs/>
          <w:sz w:val="26"/>
          <w:szCs w:val="26"/>
        </w:rPr>
        <w:t xml:space="preserve">alcuni </w:t>
      </w:r>
      <w:r w:rsidR="00D31BCC">
        <w:rPr>
          <w:rFonts w:ascii="Times New Roman" w:hAnsi="Times New Roman" w:cs="Times New Roman"/>
          <w:bCs/>
          <w:sz w:val="26"/>
          <w:szCs w:val="26"/>
        </w:rPr>
        <w:t xml:space="preserve">rilevanti esempi </w:t>
      </w:r>
      <w:r w:rsidRPr="00051F90">
        <w:rPr>
          <w:rFonts w:ascii="Times New Roman" w:hAnsi="Times New Roman" w:cs="Times New Roman"/>
          <w:bCs/>
          <w:sz w:val="26"/>
          <w:szCs w:val="26"/>
        </w:rPr>
        <w:t>in materia</w:t>
      </w:r>
      <w:r w:rsidR="000713E7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di </w:t>
      </w:r>
      <w:r w:rsidR="00D876F2" w:rsidRPr="00051F90">
        <w:rPr>
          <w:rFonts w:ascii="Times New Roman" w:hAnsi="Times New Roman" w:cs="Times New Roman"/>
          <w:bCs/>
          <w:iCs/>
          <w:sz w:val="26"/>
          <w:szCs w:val="26"/>
        </w:rPr>
        <w:t>sostegno formativo agli studenti disabili</w:t>
      </w:r>
      <w:r w:rsidR="008A2E37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, nonché di </w:t>
      </w:r>
      <w:r w:rsidR="00D876F2" w:rsidRPr="00051F90">
        <w:rPr>
          <w:rFonts w:ascii="Times New Roman" w:hAnsi="Times New Roman" w:cs="Times New Roman"/>
          <w:bCs/>
          <w:iCs/>
          <w:sz w:val="26"/>
          <w:szCs w:val="26"/>
        </w:rPr>
        <w:t>tutela del diritto fondamentale al</w:t>
      </w:r>
      <w:r w:rsidR="008A2E37" w:rsidRPr="00051F90">
        <w:rPr>
          <w:rFonts w:ascii="Times New Roman" w:hAnsi="Times New Roman" w:cs="Times New Roman"/>
          <w:bCs/>
          <w:iCs/>
          <w:sz w:val="26"/>
          <w:szCs w:val="26"/>
        </w:rPr>
        <w:t xml:space="preserve">la salute - 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con particolar riguardo alle sempre delicate e complesse </w:t>
      </w:r>
      <w:r w:rsidR="008A2E37" w:rsidRPr="00051F90">
        <w:rPr>
          <w:rFonts w:ascii="Times New Roman" w:hAnsi="Times New Roman" w:cs="Times New Roman"/>
          <w:bCs/>
          <w:sz w:val="26"/>
          <w:szCs w:val="26"/>
        </w:rPr>
        <w:t>t</w:t>
      </w:r>
      <w:r w:rsidR="00991845" w:rsidRPr="00051F90">
        <w:rPr>
          <w:rFonts w:ascii="Times New Roman" w:hAnsi="Times New Roman" w:cs="Times New Roman"/>
          <w:bCs/>
          <w:sz w:val="26"/>
          <w:szCs w:val="26"/>
        </w:rPr>
        <w:t>ematiche connesse al fine vita</w:t>
      </w:r>
      <w:r w:rsidR="00D31BCC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991845" w:rsidRPr="00051F90">
        <w:rPr>
          <w:rFonts w:ascii="Times New Roman" w:hAnsi="Times New Roman" w:cs="Times New Roman"/>
          <w:bCs/>
          <w:sz w:val="26"/>
          <w:szCs w:val="26"/>
        </w:rPr>
        <w:t>.</w:t>
      </w:r>
    </w:p>
    <w:p w:rsidR="00991845" w:rsidRPr="00051F90" w:rsidRDefault="00991845" w:rsidP="00991845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A64C47" w:rsidRPr="00051F90" w:rsidRDefault="008A2E37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>Concludo</w:t>
      </w:r>
      <w:r w:rsidR="00C967E7" w:rsidRPr="00051F90">
        <w:rPr>
          <w:rFonts w:ascii="Times New Roman" w:hAnsi="Times New Roman" w:cs="Times New Roman"/>
          <w:bCs/>
          <w:sz w:val="26"/>
          <w:szCs w:val="26"/>
        </w:rPr>
        <w:t xml:space="preserve"> semplicemente osservando che</w:t>
      </w:r>
      <w:r w:rsidRPr="00051F90">
        <w:rPr>
          <w:rFonts w:ascii="Times New Roman" w:hAnsi="Times New Roman" w:cs="Times New Roman"/>
          <w:bCs/>
          <w:sz w:val="26"/>
          <w:szCs w:val="26"/>
        </w:rPr>
        <w:t xml:space="preserve"> finché vi sarà un Giudice amministrativo esisterà una questione di riparto di giurisdizione</w:t>
      </w:r>
      <w:r w:rsidR="00D40886" w:rsidRPr="00051F90">
        <w:rPr>
          <w:rFonts w:ascii="Times New Roman" w:hAnsi="Times New Roman" w:cs="Times New Roman"/>
          <w:bCs/>
          <w:sz w:val="26"/>
          <w:szCs w:val="26"/>
        </w:rPr>
        <w:t>: t</w:t>
      </w:r>
      <w:r w:rsidR="00991845" w:rsidRPr="00051F90">
        <w:rPr>
          <w:rFonts w:ascii="Times New Roman" w:hAnsi="Times New Roman" w:cs="Times New Roman"/>
          <w:bCs/>
          <w:sz w:val="26"/>
          <w:szCs w:val="26"/>
        </w:rPr>
        <w:t xml:space="preserve">ale questione rappresenta infatti un dato immanente e costitutivo del </w:t>
      </w:r>
      <w:r w:rsidR="00D40886" w:rsidRPr="00051F90">
        <w:rPr>
          <w:rFonts w:ascii="Times New Roman" w:hAnsi="Times New Roman" w:cs="Times New Roman"/>
          <w:bCs/>
          <w:sz w:val="26"/>
          <w:szCs w:val="26"/>
        </w:rPr>
        <w:t>nostro sistema pubblicistic</w:t>
      </w:r>
      <w:r w:rsidR="00991845" w:rsidRPr="00051F90">
        <w:rPr>
          <w:rFonts w:ascii="Times New Roman" w:hAnsi="Times New Roman" w:cs="Times New Roman"/>
          <w:bCs/>
          <w:sz w:val="26"/>
          <w:szCs w:val="26"/>
        </w:rPr>
        <w:t>o e</w:t>
      </w:r>
      <w:r w:rsidR="00A870C1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70C1" w:rsidRPr="00051F90">
        <w:rPr>
          <w:rFonts w:ascii="Times New Roman" w:hAnsi="Times New Roman" w:cs="Times New Roman"/>
          <w:bCs/>
          <w:i/>
          <w:sz w:val="26"/>
          <w:szCs w:val="26"/>
        </w:rPr>
        <w:t>un corollario</w:t>
      </w:r>
      <w:r w:rsidR="00A870C1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0886" w:rsidRPr="00051F90">
        <w:rPr>
          <w:rFonts w:ascii="Times New Roman" w:hAnsi="Times New Roman" w:cs="Times New Roman"/>
          <w:bCs/>
          <w:sz w:val="26"/>
          <w:szCs w:val="26"/>
        </w:rPr>
        <w:t xml:space="preserve">– per così dire - </w:t>
      </w:r>
      <w:r w:rsidR="00A870C1" w:rsidRPr="00051F90">
        <w:rPr>
          <w:rFonts w:ascii="Times New Roman" w:hAnsi="Times New Roman" w:cs="Times New Roman"/>
          <w:bCs/>
          <w:i/>
          <w:sz w:val="26"/>
          <w:szCs w:val="26"/>
        </w:rPr>
        <w:t>naturale</w:t>
      </w:r>
      <w:r w:rsidR="00A870C1" w:rsidRPr="00051F90">
        <w:rPr>
          <w:rFonts w:ascii="Times New Roman" w:hAnsi="Times New Roman" w:cs="Times New Roman"/>
          <w:bCs/>
          <w:sz w:val="26"/>
          <w:szCs w:val="26"/>
        </w:rPr>
        <w:t xml:space="preserve"> delle scelte</w:t>
      </w:r>
      <w:r w:rsidR="00D40886" w:rsidRPr="00051F90">
        <w:rPr>
          <w:rFonts w:ascii="Times New Roman" w:hAnsi="Times New Roman" w:cs="Times New Roman"/>
          <w:bCs/>
          <w:sz w:val="26"/>
          <w:szCs w:val="26"/>
        </w:rPr>
        <w:t xml:space="preserve"> operate</w:t>
      </w:r>
      <w:r w:rsidR="00A870C1" w:rsidRPr="00051F90">
        <w:rPr>
          <w:rFonts w:ascii="Times New Roman" w:hAnsi="Times New Roman" w:cs="Times New Roman"/>
          <w:bCs/>
          <w:sz w:val="26"/>
          <w:szCs w:val="26"/>
        </w:rPr>
        <w:t xml:space="preserve"> dal Costituente in punto di ordinamento delle giurisdizioni</w:t>
      </w:r>
      <w:r w:rsidRPr="00051F90">
        <w:rPr>
          <w:rFonts w:ascii="Times New Roman" w:hAnsi="Times New Roman" w:cs="Times New Roman"/>
          <w:bCs/>
          <w:sz w:val="26"/>
          <w:szCs w:val="26"/>
        </w:rPr>
        <w:t>.</w:t>
      </w:r>
    </w:p>
    <w:p w:rsidR="00C967E7" w:rsidRPr="00051F90" w:rsidRDefault="008A2E37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bCs/>
          <w:sz w:val="26"/>
          <w:szCs w:val="26"/>
        </w:rPr>
        <w:t xml:space="preserve">E finché vi sarà una questione di riparto di giurisdizione, essa sarà sempre </w:t>
      </w:r>
      <w:r w:rsidRPr="00051F90">
        <w:rPr>
          <w:rFonts w:ascii="Times New Roman" w:hAnsi="Times New Roman" w:cs="Times New Roman"/>
          <w:bCs/>
          <w:i/>
          <w:sz w:val="26"/>
          <w:szCs w:val="26"/>
        </w:rPr>
        <w:t>attuale</w:t>
      </w:r>
      <w:r w:rsidRPr="00051F90">
        <w:rPr>
          <w:rFonts w:ascii="Times New Roman" w:hAnsi="Times New Roman" w:cs="Times New Roman"/>
          <w:sz w:val="26"/>
          <w:szCs w:val="26"/>
        </w:rPr>
        <w:t xml:space="preserve"> (c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ome </w:t>
      </w:r>
      <w:r w:rsidRPr="00051F90">
        <w:rPr>
          <w:rFonts w:ascii="Times New Roman" w:hAnsi="Times New Roman" w:cs="Times New Roman"/>
          <w:bCs/>
          <w:sz w:val="26"/>
          <w:szCs w:val="26"/>
        </w:rPr>
        <w:t>sempre attuale è la questione della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pienezza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ed </w:t>
      </w:r>
      <w:r w:rsidR="00D876F2" w:rsidRPr="00051F90">
        <w:rPr>
          <w:rFonts w:ascii="Times New Roman" w:hAnsi="Times New Roman" w:cs="Times New Roman"/>
          <w:bCs/>
          <w:i/>
          <w:iCs/>
          <w:sz w:val="26"/>
          <w:szCs w:val="26"/>
        </w:rPr>
        <w:t>effettività</w:t>
      </w:r>
      <w:r w:rsidR="00D876F2" w:rsidRPr="00051F90">
        <w:rPr>
          <w:rFonts w:ascii="Times New Roman" w:hAnsi="Times New Roman" w:cs="Times New Roman"/>
          <w:bCs/>
          <w:sz w:val="26"/>
          <w:szCs w:val="26"/>
        </w:rPr>
        <w:t xml:space="preserve"> della tutela giurisdizionale).</w:t>
      </w:r>
    </w:p>
    <w:p w:rsidR="008A2E37" w:rsidRPr="00051F90" w:rsidRDefault="00D40886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51F90">
        <w:rPr>
          <w:rFonts w:ascii="Times New Roman" w:hAnsi="Times New Roman" w:cs="Times New Roman"/>
          <w:sz w:val="26"/>
          <w:szCs w:val="26"/>
        </w:rPr>
        <w:t>R</w:t>
      </w:r>
      <w:r w:rsidR="008A2E37" w:rsidRPr="00051F90">
        <w:rPr>
          <w:rFonts w:ascii="Times New Roman" w:hAnsi="Times New Roman" w:cs="Times New Roman"/>
          <w:sz w:val="26"/>
          <w:szCs w:val="26"/>
        </w:rPr>
        <w:t xml:space="preserve">itengo </w:t>
      </w:r>
      <w:r w:rsidRPr="00051F90">
        <w:rPr>
          <w:rFonts w:ascii="Times New Roman" w:hAnsi="Times New Roman" w:cs="Times New Roman"/>
          <w:sz w:val="26"/>
          <w:szCs w:val="26"/>
        </w:rPr>
        <w:t xml:space="preserve">quindi </w:t>
      </w:r>
      <w:r w:rsidR="008A2E37" w:rsidRPr="00051F90">
        <w:rPr>
          <w:rFonts w:ascii="Times New Roman" w:hAnsi="Times New Roman" w:cs="Times New Roman"/>
          <w:sz w:val="26"/>
          <w:szCs w:val="26"/>
        </w:rPr>
        <w:t xml:space="preserve">che, nelle prossime ricorrenze decennali di vigenza del </w:t>
      </w:r>
      <w:r w:rsidR="006B7950" w:rsidRPr="00051F90">
        <w:rPr>
          <w:rFonts w:ascii="Times New Roman" w:hAnsi="Times New Roman" w:cs="Times New Roman"/>
          <w:sz w:val="26"/>
          <w:szCs w:val="26"/>
        </w:rPr>
        <w:t>Codice</w:t>
      </w:r>
      <w:r w:rsidR="008A2E37" w:rsidRPr="00051F90">
        <w:rPr>
          <w:rFonts w:ascii="Times New Roman" w:hAnsi="Times New Roman" w:cs="Times New Roman"/>
          <w:sz w:val="26"/>
          <w:szCs w:val="26"/>
        </w:rPr>
        <w:t xml:space="preserve"> del proc</w:t>
      </w:r>
      <w:r w:rsidRPr="00051F90">
        <w:rPr>
          <w:rFonts w:ascii="Times New Roman" w:hAnsi="Times New Roman" w:cs="Times New Roman"/>
          <w:sz w:val="26"/>
          <w:szCs w:val="26"/>
        </w:rPr>
        <w:t>esso amministrativo (</w:t>
      </w:r>
      <w:r w:rsidR="008A2E37" w:rsidRPr="00051F90">
        <w:rPr>
          <w:rFonts w:ascii="Times New Roman" w:hAnsi="Times New Roman" w:cs="Times New Roman"/>
          <w:sz w:val="26"/>
          <w:szCs w:val="26"/>
        </w:rPr>
        <w:t xml:space="preserve">che mi auguro numerose), </w:t>
      </w:r>
      <w:r w:rsidR="00B71AC3" w:rsidRPr="00051F90">
        <w:rPr>
          <w:rFonts w:ascii="Times New Roman" w:hAnsi="Times New Roman" w:cs="Times New Roman"/>
          <w:sz w:val="26"/>
          <w:szCs w:val="26"/>
        </w:rPr>
        <w:t xml:space="preserve">tale questione manterrà intatta la sua grande rilevanza di sistema, rappresentando in qualche modo un portato della scelta dei </w:t>
      </w:r>
      <w:r w:rsidR="00A870C1" w:rsidRPr="00051F90">
        <w:rPr>
          <w:rFonts w:ascii="Times New Roman" w:hAnsi="Times New Roman" w:cs="Times New Roman"/>
          <w:sz w:val="26"/>
          <w:szCs w:val="26"/>
        </w:rPr>
        <w:t>Padri c</w:t>
      </w:r>
      <w:r w:rsidR="00B71AC3" w:rsidRPr="00051F90">
        <w:rPr>
          <w:rFonts w:ascii="Times New Roman" w:hAnsi="Times New Roman" w:cs="Times New Roman"/>
          <w:sz w:val="26"/>
          <w:szCs w:val="26"/>
        </w:rPr>
        <w:t>ostituenti di mantenere nell’Ordinamento nazionale il modello (complesso ma allo stesso tempo straordinariamente fecondo) basato sulla pluralità delle giurisdizioni.</w:t>
      </w:r>
    </w:p>
    <w:p w:rsidR="00C967E7" w:rsidRDefault="00C967E7" w:rsidP="00B71AC3">
      <w:pPr>
        <w:spacing w:after="0" w:line="288" w:lineRule="auto"/>
        <w:ind w:left="284" w:right="282" w:firstLine="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A6108" w:rsidRDefault="001A6108" w:rsidP="001A6108">
      <w:pPr>
        <w:spacing w:after="0" w:line="288" w:lineRule="auto"/>
        <w:ind w:left="284" w:right="282" w:firstLine="42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1A6108" w:rsidRPr="001A6108" w:rsidRDefault="001A6108" w:rsidP="001A6108">
      <w:pPr>
        <w:spacing w:after="0" w:line="288" w:lineRule="auto"/>
        <w:ind w:left="284" w:right="282" w:firstLine="42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A6108">
        <w:rPr>
          <w:rFonts w:ascii="Times New Roman" w:hAnsi="Times New Roman" w:cs="Times New Roman"/>
          <w:b/>
          <w:color w:val="002060"/>
          <w:sz w:val="28"/>
          <w:szCs w:val="28"/>
        </w:rPr>
        <w:t>Claudio Contessa</w:t>
      </w:r>
    </w:p>
    <w:p w:rsidR="001A6108" w:rsidRDefault="001A6108" w:rsidP="001A6108">
      <w:pPr>
        <w:spacing w:after="0" w:line="288" w:lineRule="auto"/>
        <w:ind w:left="284" w:right="282" w:firstLine="42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2060"/>
          <w:sz w:val="28"/>
          <w:szCs w:val="28"/>
        </w:rPr>
        <w:t>Presidente di Sezione del Consiglio di Stato</w:t>
      </w:r>
    </w:p>
    <w:p w:rsidR="001A6108" w:rsidRDefault="001A6108" w:rsidP="001A6108">
      <w:pPr>
        <w:spacing w:after="0" w:line="288" w:lineRule="auto"/>
        <w:ind w:left="284" w:right="282" w:firstLine="42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1A6108" w:rsidRPr="005577E2" w:rsidRDefault="001A6108" w:rsidP="001A6108">
      <w:pPr>
        <w:spacing w:after="0" w:line="288" w:lineRule="auto"/>
        <w:ind w:left="284" w:right="282" w:firstLine="42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Pubblicato il 7 ottobre 2020</w:t>
      </w:r>
      <w:bookmarkEnd w:id="0"/>
    </w:p>
    <w:sectPr w:rsidR="001A6108" w:rsidRPr="005577E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77" w:rsidRDefault="00323E77" w:rsidP="0097558A">
      <w:pPr>
        <w:spacing w:after="0" w:line="240" w:lineRule="auto"/>
      </w:pPr>
      <w:r>
        <w:separator/>
      </w:r>
    </w:p>
  </w:endnote>
  <w:endnote w:type="continuationSeparator" w:id="0">
    <w:p w:rsidR="00323E77" w:rsidRDefault="00323E77" w:rsidP="0097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717533"/>
      <w:docPartObj>
        <w:docPartGallery w:val="Page Numbers (Bottom of Page)"/>
        <w:docPartUnique/>
      </w:docPartObj>
    </w:sdtPr>
    <w:sdtEndPr/>
    <w:sdtContent>
      <w:p w:rsidR="0097558A" w:rsidRDefault="0097558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08">
          <w:rPr>
            <w:noProof/>
          </w:rPr>
          <w:t>8</w:t>
        </w:r>
        <w:r>
          <w:fldChar w:fldCharType="end"/>
        </w:r>
      </w:p>
    </w:sdtContent>
  </w:sdt>
  <w:p w:rsidR="0097558A" w:rsidRDefault="009755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77" w:rsidRDefault="00323E77" w:rsidP="0097558A">
      <w:pPr>
        <w:spacing w:after="0" w:line="240" w:lineRule="auto"/>
      </w:pPr>
      <w:r>
        <w:separator/>
      </w:r>
    </w:p>
  </w:footnote>
  <w:footnote w:type="continuationSeparator" w:id="0">
    <w:p w:rsidR="00323E77" w:rsidRDefault="00323E77" w:rsidP="0097558A">
      <w:pPr>
        <w:spacing w:after="0" w:line="240" w:lineRule="auto"/>
      </w:pPr>
      <w:r>
        <w:continuationSeparator/>
      </w:r>
    </w:p>
  </w:footnote>
  <w:footnote w:id="1">
    <w:p w:rsidR="001A6108" w:rsidRDefault="001A6108" w:rsidP="001A61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 xml:space="preserve">Intervento nell’ambito del </w:t>
      </w:r>
      <w:proofErr w:type="spellStart"/>
      <w:r>
        <w:t>Webinar</w:t>
      </w:r>
      <w:proofErr w:type="spellEnd"/>
      <w:r>
        <w:t xml:space="preserve"> </w:t>
      </w:r>
      <w:r w:rsidRPr="001A6108">
        <w:rPr>
          <w:i/>
        </w:rPr>
        <w:t xml:space="preserve">Dieci anni di Codice del processo </w:t>
      </w:r>
      <w:proofErr w:type="gramStart"/>
      <w:r w:rsidRPr="001A6108">
        <w:rPr>
          <w:i/>
        </w:rPr>
        <w:t xml:space="preserve">amministrativo: </w:t>
      </w:r>
      <w:r w:rsidRPr="001A6108">
        <w:rPr>
          <w:i/>
        </w:rPr>
        <w:t xml:space="preserve"> </w:t>
      </w:r>
      <w:r w:rsidRPr="001A6108">
        <w:rPr>
          <w:i/>
        </w:rPr>
        <w:t>bilanci</w:t>
      </w:r>
      <w:proofErr w:type="gramEnd"/>
      <w:r w:rsidRPr="001A6108">
        <w:rPr>
          <w:i/>
        </w:rPr>
        <w:t xml:space="preserve"> e prospettive</w:t>
      </w:r>
      <w:r>
        <w:t xml:space="preserve"> - </w:t>
      </w:r>
      <w:r>
        <w:t xml:space="preserve">Università </w:t>
      </w:r>
      <w:proofErr w:type="spellStart"/>
      <w:r>
        <w:t>RomaTre</w:t>
      </w:r>
      <w:proofErr w:type="spellEnd"/>
      <w:r>
        <w:t xml:space="preserve"> 16 settembre 2020</w:t>
      </w:r>
      <w:r>
        <w:t>.</w:t>
      </w:r>
    </w:p>
  </w:footnote>
  <w:footnote w:id="2">
    <w:p w:rsidR="00D74A0A" w:rsidRPr="00051F90" w:rsidRDefault="00D74A0A" w:rsidP="0033392E">
      <w:pPr>
        <w:pStyle w:val="Notepipagina"/>
        <w:ind w:left="284" w:right="28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051F90">
        <w:rPr>
          <w:rStyle w:val="Rimandonotaapidipagina"/>
          <w:rFonts w:ascii="Times New Roman" w:hAnsi="Times New Roman" w:cs="Times New Roman"/>
          <w:color w:val="auto"/>
          <w:sz w:val="22"/>
          <w:szCs w:val="22"/>
        </w:rPr>
        <w:footnoteRef/>
      </w:r>
      <w:r w:rsidRPr="00051F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5108" w:rsidRPr="00051F90">
        <w:rPr>
          <w:rFonts w:ascii="Times New Roman" w:hAnsi="Times New Roman" w:cs="Times New Roman"/>
          <w:color w:val="auto"/>
          <w:sz w:val="22"/>
          <w:szCs w:val="22"/>
        </w:rPr>
        <w:t xml:space="preserve">I temi che interessarono la giurisdizione civile e quella amministrativa nel periodo compreso fra il 1889 e il 1929-30 sono individuati in modo compiuto </w:t>
      </w:r>
      <w:r w:rsidR="0033392E" w:rsidRPr="00051F90">
        <w:rPr>
          <w:rFonts w:ascii="Times New Roman" w:hAnsi="Times New Roman" w:cs="Times New Roman"/>
          <w:color w:val="auto"/>
          <w:sz w:val="22"/>
          <w:szCs w:val="22"/>
        </w:rPr>
        <w:t>in: V. S</w:t>
      </w:r>
      <w:r w:rsidR="0033392E" w:rsidRPr="00051F90">
        <w:rPr>
          <w:rFonts w:ascii="Times New Roman" w:hAnsi="Times New Roman" w:cs="Times New Roman"/>
          <w:smallCaps/>
          <w:color w:val="auto"/>
          <w:sz w:val="22"/>
          <w:szCs w:val="22"/>
        </w:rPr>
        <w:t>cialoja</w:t>
      </w:r>
      <w:r w:rsidR="0033392E" w:rsidRPr="00051F9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3392E" w:rsidRPr="00051F90">
        <w:rPr>
          <w:rFonts w:ascii="Times New Roman" w:hAnsi="Times New Roman" w:cs="Times New Roman"/>
          <w:i/>
          <w:iCs/>
          <w:color w:val="auto"/>
          <w:sz w:val="22"/>
          <w:szCs w:val="22"/>
        </w:rPr>
        <w:t>La competenza della IV Sezione del Consiglio di Stato di fronte all’autorità giudiziaria</w:t>
      </w:r>
      <w:r w:rsidR="0033392E" w:rsidRPr="00051F90">
        <w:rPr>
          <w:rFonts w:ascii="Times New Roman" w:hAnsi="Times New Roman" w:cs="Times New Roman"/>
          <w:color w:val="auto"/>
          <w:sz w:val="22"/>
          <w:szCs w:val="22"/>
        </w:rPr>
        <w:t xml:space="preserve">, in </w:t>
      </w:r>
      <w:r w:rsidR="0033392E" w:rsidRPr="00051F90">
        <w:rPr>
          <w:rFonts w:ascii="Times New Roman" w:hAnsi="Times New Roman" w:cs="Times New Roman"/>
          <w:i/>
          <w:iCs/>
          <w:color w:val="auto"/>
          <w:sz w:val="22"/>
          <w:szCs w:val="22"/>
        </w:rPr>
        <w:t>Foro Italiano</w:t>
      </w:r>
      <w:r w:rsidR="0033392E" w:rsidRPr="00051F90">
        <w:rPr>
          <w:rFonts w:ascii="Times New Roman" w:hAnsi="Times New Roman" w:cs="Times New Roman"/>
          <w:color w:val="auto"/>
          <w:sz w:val="22"/>
          <w:szCs w:val="22"/>
        </w:rPr>
        <w:t>, 1891, 1117.</w:t>
      </w:r>
    </w:p>
  </w:footnote>
  <w:footnote w:id="3">
    <w:p w:rsidR="00D74A0A" w:rsidRPr="00051F90" w:rsidRDefault="00D74A0A" w:rsidP="00D74A0A">
      <w:pPr>
        <w:pStyle w:val="Testonotaapidipagina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  <w:r w:rsidRPr="00051F90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051F90">
        <w:rPr>
          <w:rFonts w:ascii="Times New Roman" w:hAnsi="Times New Roman" w:cs="Times New Roman"/>
          <w:sz w:val="22"/>
          <w:szCs w:val="22"/>
        </w:rPr>
        <w:t xml:space="preserve"> Sul tema sia consentito rinviare al mio contributo al titolo </w:t>
      </w:r>
      <w:r w:rsidRPr="00051F90">
        <w:rPr>
          <w:rFonts w:ascii="Times New Roman" w:hAnsi="Times New Roman" w:cs="Times New Roman"/>
          <w:i/>
          <w:sz w:val="22"/>
          <w:szCs w:val="22"/>
        </w:rPr>
        <w:t xml:space="preserve">Il riparto di giurisdizione: un esame diacronico fra le principali tesi in campo. In particolare: la teorica della </w:t>
      </w:r>
      <w:r w:rsidRPr="00051F90">
        <w:rPr>
          <w:rFonts w:ascii="Times New Roman" w:hAnsi="Times New Roman" w:cs="Times New Roman"/>
          <w:sz w:val="22"/>
          <w:szCs w:val="22"/>
        </w:rPr>
        <w:t xml:space="preserve">causa </w:t>
      </w:r>
      <w:proofErr w:type="spellStart"/>
      <w:r w:rsidRPr="00051F90">
        <w:rPr>
          <w:rFonts w:ascii="Times New Roman" w:hAnsi="Times New Roman" w:cs="Times New Roman"/>
          <w:sz w:val="22"/>
          <w:szCs w:val="22"/>
        </w:rPr>
        <w:t>petendi</w:t>
      </w:r>
      <w:proofErr w:type="spellEnd"/>
      <w:r w:rsidRPr="00051F90">
        <w:rPr>
          <w:rFonts w:ascii="Times New Roman" w:hAnsi="Times New Roman" w:cs="Times New Roman"/>
          <w:i/>
          <w:sz w:val="22"/>
          <w:szCs w:val="22"/>
        </w:rPr>
        <w:t xml:space="preserve"> e la questione della giurisdizione esclusiva</w:t>
      </w:r>
      <w:r w:rsidRPr="00051F90">
        <w:rPr>
          <w:rFonts w:ascii="Times New Roman" w:hAnsi="Times New Roman" w:cs="Times New Roman"/>
          <w:sz w:val="22"/>
          <w:szCs w:val="22"/>
        </w:rPr>
        <w:t xml:space="preserve">, in: C. </w:t>
      </w:r>
      <w:r w:rsidRPr="00051F90">
        <w:rPr>
          <w:rFonts w:ascii="Times New Roman" w:hAnsi="Times New Roman" w:cs="Times New Roman"/>
          <w:smallCaps/>
          <w:sz w:val="22"/>
          <w:szCs w:val="22"/>
        </w:rPr>
        <w:t>Contessa</w:t>
      </w:r>
      <w:r w:rsidRPr="00051F90">
        <w:rPr>
          <w:rFonts w:ascii="Times New Roman" w:hAnsi="Times New Roman" w:cs="Times New Roman"/>
          <w:sz w:val="22"/>
          <w:szCs w:val="22"/>
        </w:rPr>
        <w:t xml:space="preserve">, </w:t>
      </w:r>
      <w:r w:rsidRPr="00051F90">
        <w:rPr>
          <w:rFonts w:ascii="Times New Roman" w:hAnsi="Times New Roman" w:cs="Times New Roman"/>
          <w:i/>
          <w:sz w:val="22"/>
          <w:szCs w:val="22"/>
        </w:rPr>
        <w:t>Studi e lezioni di diritto amministrativo</w:t>
      </w:r>
      <w:r w:rsidRPr="00051F90">
        <w:rPr>
          <w:rFonts w:ascii="Times New Roman" w:hAnsi="Times New Roman" w:cs="Times New Roman"/>
          <w:sz w:val="22"/>
          <w:szCs w:val="22"/>
        </w:rPr>
        <w:t>, Piacenza, 2019, p. 483, segg.</w:t>
      </w:r>
    </w:p>
  </w:footnote>
  <w:footnote w:id="4">
    <w:p w:rsidR="0082338F" w:rsidRPr="00051F90" w:rsidRDefault="0082338F" w:rsidP="00903024">
      <w:pPr>
        <w:pStyle w:val="NormaleWeb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051F90">
        <w:rPr>
          <w:rStyle w:val="Rimandonotaapidipagina"/>
          <w:sz w:val="22"/>
          <w:szCs w:val="22"/>
        </w:rPr>
        <w:footnoteRef/>
      </w:r>
      <w:r w:rsidRPr="00051F90">
        <w:rPr>
          <w:sz w:val="22"/>
          <w:szCs w:val="22"/>
        </w:rPr>
        <w:t xml:space="preserve"> Sul punto: P. </w:t>
      </w:r>
      <w:r w:rsidRPr="00051F90">
        <w:rPr>
          <w:smallCaps/>
          <w:sz w:val="22"/>
          <w:szCs w:val="22"/>
        </w:rPr>
        <w:t>de Lise</w:t>
      </w:r>
      <w:r w:rsidRPr="00051F90">
        <w:rPr>
          <w:sz w:val="22"/>
          <w:szCs w:val="22"/>
        </w:rPr>
        <w:t xml:space="preserve">, </w:t>
      </w:r>
      <w:r w:rsidRPr="00051F90">
        <w:rPr>
          <w:i/>
          <w:iCs/>
          <w:sz w:val="22"/>
          <w:szCs w:val="22"/>
        </w:rPr>
        <w:t>La giurisprudenza costituzionale sulla competenza funzionale del T.A.R. del Lazio</w:t>
      </w:r>
      <w:r w:rsidRPr="00051F90">
        <w:rPr>
          <w:sz w:val="22"/>
          <w:szCs w:val="22"/>
        </w:rPr>
        <w:t xml:space="preserve">, in: </w:t>
      </w:r>
      <w:r w:rsidRPr="00051F90">
        <w:rPr>
          <w:i/>
          <w:sz w:val="22"/>
          <w:szCs w:val="22"/>
        </w:rPr>
        <w:t xml:space="preserve">Giur. </w:t>
      </w:r>
      <w:proofErr w:type="spellStart"/>
      <w:r w:rsidRPr="00051F90">
        <w:rPr>
          <w:i/>
          <w:sz w:val="22"/>
          <w:szCs w:val="22"/>
        </w:rPr>
        <w:t>Cost</w:t>
      </w:r>
      <w:proofErr w:type="spellEnd"/>
      <w:r w:rsidRPr="00051F90">
        <w:rPr>
          <w:i/>
          <w:sz w:val="22"/>
          <w:szCs w:val="22"/>
        </w:rPr>
        <w:t>.</w:t>
      </w:r>
      <w:r w:rsidRPr="00051F90">
        <w:rPr>
          <w:sz w:val="22"/>
          <w:szCs w:val="22"/>
        </w:rPr>
        <w:t>, fasc. 3/2014, p</w:t>
      </w:r>
      <w:r w:rsidRPr="0082338F">
        <w:rPr>
          <w:sz w:val="22"/>
          <w:szCs w:val="22"/>
        </w:rPr>
        <w:t>. 2989</w:t>
      </w:r>
      <w:r w:rsidRPr="00051F90">
        <w:rPr>
          <w:sz w:val="22"/>
          <w:szCs w:val="22"/>
        </w:rPr>
        <w:t xml:space="preserve">; U. </w:t>
      </w:r>
      <w:r w:rsidRPr="00051F90">
        <w:rPr>
          <w:smallCaps/>
          <w:sz w:val="22"/>
          <w:szCs w:val="22"/>
        </w:rPr>
        <w:t xml:space="preserve">De </w:t>
      </w:r>
      <w:proofErr w:type="spellStart"/>
      <w:r w:rsidRPr="00051F90">
        <w:rPr>
          <w:smallCaps/>
          <w:sz w:val="22"/>
          <w:szCs w:val="22"/>
        </w:rPr>
        <w:t>Siervo</w:t>
      </w:r>
      <w:proofErr w:type="spellEnd"/>
      <w:r w:rsidRPr="00051F90">
        <w:rPr>
          <w:sz w:val="22"/>
          <w:szCs w:val="22"/>
        </w:rPr>
        <w:t xml:space="preserve">, </w:t>
      </w:r>
      <w:r w:rsidRPr="0082338F">
        <w:rPr>
          <w:i/>
          <w:iCs/>
          <w:sz w:val="22"/>
          <w:szCs w:val="22"/>
        </w:rPr>
        <w:t>Rappresentanza politica e ruolo della legge</w:t>
      </w:r>
      <w:r w:rsidRPr="0082338F">
        <w:rPr>
          <w:sz w:val="22"/>
          <w:szCs w:val="22"/>
        </w:rPr>
        <w:t>, in</w:t>
      </w:r>
      <w:r w:rsidRPr="00051F90">
        <w:rPr>
          <w:sz w:val="22"/>
          <w:szCs w:val="22"/>
        </w:rPr>
        <w:t xml:space="preserve">: </w:t>
      </w:r>
      <w:hyperlink r:id="rId1" w:history="1">
        <w:r w:rsidR="00903024" w:rsidRPr="00051F90">
          <w:rPr>
            <w:rStyle w:val="Collegamentoipertestuale"/>
            <w:i/>
            <w:color w:val="auto"/>
            <w:sz w:val="22"/>
            <w:szCs w:val="22"/>
            <w:u w:val="none"/>
          </w:rPr>
          <w:t>www.osservatoriosullefonti.it</w:t>
        </w:r>
      </w:hyperlink>
      <w:r w:rsidR="00903024" w:rsidRPr="00051F90">
        <w:rPr>
          <w:sz w:val="22"/>
          <w:szCs w:val="22"/>
        </w:rPr>
        <w:t xml:space="preserve"> (</w:t>
      </w:r>
      <w:r w:rsidRPr="0082338F">
        <w:rPr>
          <w:sz w:val="22"/>
          <w:szCs w:val="22"/>
        </w:rPr>
        <w:t>2012</w:t>
      </w:r>
      <w:r w:rsidR="00903024" w:rsidRPr="00051F90">
        <w:rPr>
          <w:sz w:val="22"/>
          <w:szCs w:val="22"/>
        </w:rPr>
        <w:t>).</w:t>
      </w:r>
    </w:p>
  </w:footnote>
  <w:footnote w:id="5">
    <w:p w:rsidR="00903024" w:rsidRPr="00051F90" w:rsidRDefault="00903024" w:rsidP="006970FB">
      <w:pPr>
        <w:pStyle w:val="NormaleWeb"/>
        <w:spacing w:before="0" w:beforeAutospacing="0" w:after="0" w:afterAutospacing="0"/>
        <w:ind w:left="284" w:right="282"/>
        <w:jc w:val="both"/>
      </w:pPr>
      <w:r w:rsidRPr="00051F90">
        <w:rPr>
          <w:rStyle w:val="Rimandonotaapidipagina"/>
          <w:sz w:val="22"/>
          <w:szCs w:val="22"/>
        </w:rPr>
        <w:footnoteRef/>
      </w:r>
      <w:r w:rsidRPr="00051F90">
        <w:rPr>
          <w:sz w:val="22"/>
          <w:szCs w:val="22"/>
        </w:rPr>
        <w:t xml:space="preserve"> Sul punto: A. </w:t>
      </w:r>
      <w:r w:rsidRPr="00A15908">
        <w:rPr>
          <w:smallCaps/>
          <w:sz w:val="22"/>
          <w:szCs w:val="22"/>
        </w:rPr>
        <w:t>Giusti</w:t>
      </w:r>
      <w:r w:rsidRPr="00051F90">
        <w:rPr>
          <w:sz w:val="22"/>
          <w:szCs w:val="22"/>
        </w:rPr>
        <w:t xml:space="preserve">, </w:t>
      </w:r>
      <w:r w:rsidRPr="00051F90">
        <w:rPr>
          <w:i/>
          <w:iCs/>
          <w:sz w:val="22"/>
          <w:szCs w:val="22"/>
        </w:rPr>
        <w:t>Sanzioni amministrative e giurisdizione piena del giudice amministrativo</w:t>
      </w:r>
      <w:r w:rsidRPr="00051F90">
        <w:rPr>
          <w:sz w:val="22"/>
          <w:szCs w:val="22"/>
        </w:rPr>
        <w:t>, in</w:t>
      </w:r>
      <w:r w:rsidR="006970FB" w:rsidRPr="00051F90">
        <w:rPr>
          <w:sz w:val="22"/>
          <w:szCs w:val="22"/>
        </w:rPr>
        <w:t xml:space="preserve">: </w:t>
      </w:r>
      <w:r w:rsidRPr="00051F90">
        <w:rPr>
          <w:i/>
          <w:sz w:val="22"/>
          <w:szCs w:val="22"/>
        </w:rPr>
        <w:t xml:space="preserve">Giur. </w:t>
      </w:r>
      <w:proofErr w:type="spellStart"/>
      <w:r w:rsidRPr="00051F90">
        <w:rPr>
          <w:i/>
          <w:sz w:val="22"/>
          <w:szCs w:val="22"/>
        </w:rPr>
        <w:t>It</w:t>
      </w:r>
      <w:proofErr w:type="spellEnd"/>
      <w:r w:rsidRPr="00051F90">
        <w:rPr>
          <w:i/>
          <w:sz w:val="22"/>
          <w:szCs w:val="22"/>
        </w:rPr>
        <w:t>.</w:t>
      </w:r>
      <w:r w:rsidRPr="00051F90">
        <w:rPr>
          <w:sz w:val="22"/>
          <w:szCs w:val="22"/>
        </w:rPr>
        <w:t>, fasc. 11/2014, p.</w:t>
      </w:r>
      <w:r w:rsidRPr="00903024">
        <w:rPr>
          <w:sz w:val="22"/>
          <w:szCs w:val="22"/>
        </w:rPr>
        <w:t> 2538</w:t>
      </w:r>
      <w:r w:rsidRPr="00051F90">
        <w:rPr>
          <w:sz w:val="22"/>
          <w:szCs w:val="22"/>
        </w:rPr>
        <w:t>.</w:t>
      </w:r>
    </w:p>
  </w:footnote>
  <w:footnote w:id="6">
    <w:p w:rsidR="000A3BC3" w:rsidRPr="00051F90" w:rsidRDefault="0028672A" w:rsidP="00903024">
      <w:pPr>
        <w:spacing w:after="0" w:line="240" w:lineRule="auto"/>
        <w:ind w:left="284" w:right="284"/>
        <w:jc w:val="both"/>
      </w:pPr>
      <w:r w:rsidRPr="00051F90">
        <w:rPr>
          <w:rStyle w:val="Rimandonotaapidipagina"/>
          <w:rFonts w:ascii="Times New Roman" w:hAnsi="Times New Roman" w:cs="Times New Roman"/>
        </w:rPr>
        <w:footnoteRef/>
      </w:r>
      <w:r w:rsidRPr="00051F90">
        <w:rPr>
          <w:rFonts w:ascii="Times New Roman" w:hAnsi="Times New Roman" w:cs="Times New Roman"/>
        </w:rPr>
        <w:t xml:space="preserve"> Come è noto, la sentenza n. 162/2012 ha dichiarato costituzionalmente illegittimo l’articolo 133, co. 1, lettera </w:t>
      </w:r>
      <w:r w:rsidRPr="00051F90">
        <w:rPr>
          <w:rFonts w:ascii="Times New Roman" w:hAnsi="Times New Roman" w:cs="Times New Roman"/>
          <w:i/>
        </w:rPr>
        <w:t>l</w:t>
      </w:r>
      <w:r w:rsidRPr="00051F90">
        <w:rPr>
          <w:rFonts w:ascii="Times New Roman" w:hAnsi="Times New Roman" w:cs="Times New Roman"/>
        </w:rPr>
        <w:t xml:space="preserve">) del </w:t>
      </w:r>
      <w:r w:rsidR="00AA66FD" w:rsidRPr="00051F90">
        <w:rPr>
          <w:rFonts w:ascii="Times New Roman" w:hAnsi="Times New Roman" w:cs="Times New Roman"/>
        </w:rPr>
        <w:t xml:space="preserve">cod. </w:t>
      </w:r>
      <w:proofErr w:type="spellStart"/>
      <w:r w:rsidR="00AA66FD" w:rsidRPr="00051F90">
        <w:rPr>
          <w:rFonts w:ascii="Times New Roman" w:hAnsi="Times New Roman" w:cs="Times New Roman"/>
        </w:rPr>
        <w:t>pro</w:t>
      </w:r>
      <w:r w:rsidRPr="00051F90">
        <w:rPr>
          <w:rFonts w:ascii="Times New Roman" w:hAnsi="Times New Roman" w:cs="Times New Roman"/>
        </w:rPr>
        <w:t>c</w:t>
      </w:r>
      <w:proofErr w:type="spellEnd"/>
      <w:r w:rsidRPr="00051F90">
        <w:rPr>
          <w:rFonts w:ascii="Times New Roman" w:hAnsi="Times New Roman" w:cs="Times New Roman"/>
        </w:rPr>
        <w:t xml:space="preserve">. </w:t>
      </w:r>
      <w:proofErr w:type="spellStart"/>
      <w:r w:rsidRPr="00051F90">
        <w:rPr>
          <w:rFonts w:ascii="Times New Roman" w:hAnsi="Times New Roman" w:cs="Times New Roman"/>
        </w:rPr>
        <w:t>amm</w:t>
      </w:r>
      <w:proofErr w:type="spellEnd"/>
      <w:r w:rsidRPr="00051F90">
        <w:rPr>
          <w:rFonts w:ascii="Times New Roman" w:hAnsi="Times New Roman" w:cs="Times New Roman"/>
        </w:rPr>
        <w:t xml:space="preserve">. per la parte in cui devolve(va) alla giurisdizione esclusiva del Giudice amministrativo le controversie aventi ad oggetto le sanzioni irrogate dalla Consob, mentre la sentenza n. 94/2014 ha dichiarato </w:t>
      </w:r>
      <w:r w:rsidR="000A3BC3" w:rsidRPr="00051F90">
        <w:rPr>
          <w:rFonts w:ascii="Times New Roman" w:hAnsi="Times New Roman" w:cs="Times New Roman"/>
        </w:rPr>
        <w:t>costituzionalmente illegittima la medesima disposizione</w:t>
      </w:r>
      <w:r w:rsidRPr="00051F90">
        <w:rPr>
          <w:rFonts w:ascii="Times New Roman" w:hAnsi="Times New Roman" w:cs="Times New Roman"/>
        </w:rPr>
        <w:t xml:space="preserve"> per la parte in cui devolve(va) alla giurisdizione esclusiva del Giudice amministrativo le controversie aventi ad oggetto le sanzioni irrogate dalla Banca d’Italia.</w:t>
      </w:r>
      <w:r w:rsidR="000A3BC3" w:rsidRPr="00051F90">
        <w:rPr>
          <w:rFonts w:ascii="Times New Roman" w:hAnsi="Times New Roman" w:cs="Times New Roman"/>
        </w:rPr>
        <w:t xml:space="preserve"> Sul punto, v. </w:t>
      </w:r>
      <w:r w:rsidR="000A3BC3" w:rsidRPr="00051F90">
        <w:rPr>
          <w:rStyle w:val="fonte-estesa"/>
          <w:rFonts w:ascii="Times New Roman" w:hAnsi="Times New Roman" w:cs="Times New Roman"/>
          <w:i/>
          <w:iCs/>
        </w:rPr>
        <w:t xml:space="preserve">Giur. </w:t>
      </w:r>
      <w:proofErr w:type="spellStart"/>
      <w:r w:rsidR="000A3BC3" w:rsidRPr="00051F90">
        <w:rPr>
          <w:rStyle w:val="fonte-estesa"/>
          <w:rFonts w:ascii="Times New Roman" w:hAnsi="Times New Roman" w:cs="Times New Roman"/>
          <w:i/>
          <w:iCs/>
        </w:rPr>
        <w:t>Cost</w:t>
      </w:r>
      <w:proofErr w:type="spellEnd"/>
      <w:r w:rsidR="000A3BC3" w:rsidRPr="00051F90">
        <w:rPr>
          <w:rStyle w:val="fonte-estesa"/>
          <w:rFonts w:ascii="Times New Roman" w:hAnsi="Times New Roman" w:cs="Times New Roman"/>
          <w:i/>
          <w:iCs/>
        </w:rPr>
        <w:t>.</w:t>
      </w:r>
      <w:r w:rsidR="00D31BCC">
        <w:rPr>
          <w:rStyle w:val="fonte-estesa"/>
          <w:rFonts w:ascii="Times New Roman" w:hAnsi="Times New Roman" w:cs="Times New Roman"/>
          <w:iCs/>
        </w:rPr>
        <w:t>, 2012, 3</w:t>
      </w:r>
      <w:r w:rsidR="000A3BC3" w:rsidRPr="00051F90">
        <w:rPr>
          <w:rStyle w:val="fonte-estesa"/>
          <w:rFonts w:ascii="Times New Roman" w:hAnsi="Times New Roman" w:cs="Times New Roman"/>
          <w:iCs/>
        </w:rPr>
        <w:t xml:space="preserve">, 2204 (con nota di </w:t>
      </w:r>
      <w:r w:rsidR="00507B7F" w:rsidRPr="00051F90">
        <w:rPr>
          <w:rStyle w:val="fonte-estesa"/>
          <w:rFonts w:ascii="Times New Roman" w:hAnsi="Times New Roman" w:cs="Times New Roman"/>
          <w:iCs/>
        </w:rPr>
        <w:t xml:space="preserve">G.  </w:t>
      </w:r>
      <w:proofErr w:type="spellStart"/>
      <w:r w:rsidR="00507B7F" w:rsidRPr="00051F90">
        <w:rPr>
          <w:rStyle w:val="fonte-estesa"/>
          <w:rFonts w:ascii="Times New Roman" w:hAnsi="Times New Roman" w:cs="Times New Roman"/>
          <w:iCs/>
          <w:smallCaps/>
        </w:rPr>
        <w:t>Serges</w:t>
      </w:r>
      <w:proofErr w:type="spellEnd"/>
      <w:r w:rsidR="000A3BC3" w:rsidRPr="00051F90">
        <w:rPr>
          <w:rStyle w:val="fonte-estesa"/>
          <w:rFonts w:ascii="Times New Roman" w:hAnsi="Times New Roman" w:cs="Times New Roman"/>
          <w:iCs/>
        </w:rPr>
        <w:t>)</w:t>
      </w:r>
      <w:r w:rsidR="00507B7F" w:rsidRPr="00051F90">
        <w:rPr>
          <w:rStyle w:val="fonte-estesa"/>
          <w:rFonts w:ascii="Times New Roman" w:hAnsi="Times New Roman" w:cs="Times New Roman"/>
          <w:i/>
          <w:iCs/>
        </w:rPr>
        <w:t xml:space="preserve">; </w:t>
      </w:r>
      <w:r w:rsidR="000A3BC3" w:rsidRPr="00051F90">
        <w:rPr>
          <w:rStyle w:val="fonte-estesa"/>
          <w:rFonts w:ascii="Times New Roman" w:hAnsi="Times New Roman" w:cs="Times New Roman"/>
          <w:i/>
          <w:iCs/>
        </w:rPr>
        <w:t xml:space="preserve">Foro </w:t>
      </w:r>
      <w:proofErr w:type="spellStart"/>
      <w:r w:rsidR="000A3BC3" w:rsidRPr="00051F90">
        <w:rPr>
          <w:rStyle w:val="fonte-estesa"/>
          <w:rFonts w:ascii="Times New Roman" w:hAnsi="Times New Roman" w:cs="Times New Roman"/>
          <w:i/>
          <w:iCs/>
        </w:rPr>
        <w:t>it</w:t>
      </w:r>
      <w:proofErr w:type="spellEnd"/>
      <w:r w:rsidR="000A3BC3" w:rsidRPr="00051F90">
        <w:rPr>
          <w:rStyle w:val="fonte-estesa"/>
          <w:rFonts w:ascii="Times New Roman" w:hAnsi="Times New Roman" w:cs="Times New Roman"/>
          <w:i/>
          <w:iCs/>
        </w:rPr>
        <w:t>.</w:t>
      </w:r>
      <w:r w:rsidR="00507B7F" w:rsidRPr="00051F90">
        <w:rPr>
          <w:rStyle w:val="fonte-estesa"/>
          <w:rFonts w:ascii="Times New Roman" w:hAnsi="Times New Roman" w:cs="Times New Roman"/>
          <w:iCs/>
        </w:rPr>
        <w:t>,</w:t>
      </w:r>
      <w:r w:rsidR="000A3BC3" w:rsidRPr="00051F90">
        <w:rPr>
          <w:rStyle w:val="fonte-estesa"/>
          <w:rFonts w:ascii="Times New Roman" w:hAnsi="Times New Roman" w:cs="Times New Roman"/>
          <w:iCs/>
        </w:rPr>
        <w:t xml:space="preserve"> 2013, 6, I, 18</w:t>
      </w:r>
      <w:r w:rsidR="00507B7F" w:rsidRPr="00051F90">
        <w:rPr>
          <w:rStyle w:val="fonte-estesa"/>
          <w:rFonts w:ascii="Times New Roman" w:hAnsi="Times New Roman" w:cs="Times New Roman"/>
          <w:iCs/>
        </w:rPr>
        <w:t xml:space="preserve">16 (con nota di R. </w:t>
      </w:r>
      <w:r w:rsidR="00507B7F" w:rsidRPr="00051F90">
        <w:rPr>
          <w:rStyle w:val="fonte-estesa"/>
          <w:rFonts w:ascii="Times New Roman" w:hAnsi="Times New Roman" w:cs="Times New Roman"/>
          <w:iCs/>
          <w:smallCaps/>
        </w:rPr>
        <w:t>Romboli</w:t>
      </w:r>
      <w:r w:rsidR="00507B7F" w:rsidRPr="00051F90">
        <w:rPr>
          <w:rStyle w:val="fonte-estesa"/>
          <w:rFonts w:ascii="Times New Roman" w:hAnsi="Times New Roman" w:cs="Times New Roman"/>
          <w:iCs/>
        </w:rPr>
        <w:t>)</w:t>
      </w:r>
      <w:r w:rsidR="00507B7F" w:rsidRPr="00051F90">
        <w:rPr>
          <w:rStyle w:val="fonte-estesa"/>
          <w:rFonts w:ascii="Times New Roman" w:hAnsi="Times New Roman" w:cs="Times New Roman"/>
          <w:i/>
          <w:iCs/>
        </w:rPr>
        <w:t>.</w:t>
      </w:r>
      <w:r w:rsidR="000A3BC3" w:rsidRPr="00051F90">
        <w:t xml:space="preserve"> </w:t>
      </w:r>
    </w:p>
    <w:p w:rsidR="0028672A" w:rsidRPr="00051F90" w:rsidRDefault="0028672A" w:rsidP="0028672A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7">
    <w:p w:rsidR="00141693" w:rsidRPr="00051F90" w:rsidRDefault="00141693" w:rsidP="00544C41">
      <w:pPr>
        <w:pStyle w:val="Testonotaapidipagina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  <w:r w:rsidRPr="00051F90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051F90">
        <w:rPr>
          <w:rFonts w:ascii="Times New Roman" w:hAnsi="Times New Roman" w:cs="Times New Roman"/>
          <w:sz w:val="22"/>
          <w:szCs w:val="22"/>
        </w:rPr>
        <w:t xml:space="preserve"> Emblematica al riguardo è la decisione dell</w:t>
      </w:r>
      <w:r w:rsidR="00544C41" w:rsidRPr="00051F90">
        <w:rPr>
          <w:rFonts w:ascii="Times New Roman" w:hAnsi="Times New Roman" w:cs="Times New Roman"/>
          <w:sz w:val="22"/>
          <w:szCs w:val="22"/>
        </w:rPr>
        <w:t xml:space="preserve">e Sezioni unite della Cassazione, n. 500 del 1999, la quale giunse ad affermare che, con il Decreto legislativo n, 80 del 1998 il Legislatore avesse operato </w:t>
      </w:r>
      <w:r w:rsidR="00544C41" w:rsidRPr="00051F90">
        <w:rPr>
          <w:rFonts w:ascii="Times New Roman" w:hAnsi="Times New Roman" w:cs="Times New Roman"/>
          <w:bCs/>
          <w:sz w:val="22"/>
          <w:szCs w:val="22"/>
        </w:rPr>
        <w:t>«</w:t>
      </w:r>
      <w:r w:rsidR="00544C41" w:rsidRPr="00051F90">
        <w:rPr>
          <w:rFonts w:ascii="Times New Roman" w:hAnsi="Times New Roman" w:cs="Times New Roman"/>
          <w:bCs/>
          <w:i/>
          <w:sz w:val="22"/>
          <w:szCs w:val="22"/>
        </w:rPr>
        <w:t>una decisa scelta nel senso del superamento del tradizionale sistema del riparto della giurisdizione in riferimento alla dicotomia diritto soggettivo-interesse legittimo, a favore della previsione di un riparto affidato al criterio della materia</w:t>
      </w:r>
      <w:r w:rsidR="00544C41" w:rsidRPr="00051F90">
        <w:rPr>
          <w:rFonts w:ascii="Times New Roman" w:hAnsi="Times New Roman" w:cs="Times New Roman"/>
          <w:bCs/>
          <w:sz w:val="22"/>
          <w:szCs w:val="22"/>
        </w:rPr>
        <w:t>».</w:t>
      </w:r>
    </w:p>
  </w:footnote>
  <w:footnote w:id="8">
    <w:p w:rsidR="0005788F" w:rsidRPr="00051F90" w:rsidRDefault="0005788F" w:rsidP="0005788F">
      <w:pPr>
        <w:pStyle w:val="Testonotaapidipagina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  <w:r w:rsidRPr="00051F90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051F90">
        <w:rPr>
          <w:rFonts w:ascii="Times New Roman" w:hAnsi="Times New Roman" w:cs="Times New Roman"/>
          <w:sz w:val="22"/>
          <w:szCs w:val="22"/>
        </w:rPr>
        <w:t xml:space="preserve"> Sul punto: A. </w:t>
      </w:r>
      <w:r w:rsidRPr="00051F90">
        <w:rPr>
          <w:rFonts w:ascii="Times New Roman" w:hAnsi="Times New Roman" w:cs="Times New Roman"/>
          <w:smallCaps/>
          <w:sz w:val="22"/>
          <w:szCs w:val="22"/>
        </w:rPr>
        <w:t>Poggi</w:t>
      </w:r>
      <w:r w:rsidRPr="00051F90">
        <w:rPr>
          <w:rFonts w:ascii="Times New Roman" w:hAnsi="Times New Roman" w:cs="Times New Roman"/>
          <w:sz w:val="22"/>
          <w:szCs w:val="22"/>
        </w:rPr>
        <w:t xml:space="preserve">, </w:t>
      </w:r>
      <w:r w:rsidRPr="00051F90">
        <w:rPr>
          <w:rFonts w:ascii="Times New Roman" w:hAnsi="Times New Roman" w:cs="Times New Roman"/>
          <w:i/>
          <w:sz w:val="22"/>
          <w:szCs w:val="22"/>
        </w:rPr>
        <w:t>Il Consiglio di Stato nei dibattiti dell’Assemblea costituente</w:t>
      </w:r>
      <w:r w:rsidRPr="00051F90">
        <w:rPr>
          <w:rFonts w:ascii="Times New Roman" w:hAnsi="Times New Roman" w:cs="Times New Roman"/>
          <w:sz w:val="22"/>
          <w:szCs w:val="22"/>
        </w:rPr>
        <w:t xml:space="preserve">, in: </w:t>
      </w:r>
      <w:hyperlink r:id="rId2" w:history="1">
        <w:r w:rsidRPr="00051F90">
          <w:rPr>
            <w:rStyle w:val="Collegamentoipertestuale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www.giustizia-amministrativa.it</w:t>
        </w:r>
      </w:hyperlink>
      <w:r w:rsidRPr="00051F90">
        <w:rPr>
          <w:rFonts w:ascii="Times New Roman" w:hAnsi="Times New Roman" w:cs="Times New Roman"/>
          <w:sz w:val="22"/>
          <w:szCs w:val="22"/>
        </w:rPr>
        <w:t xml:space="preserve">; </w:t>
      </w:r>
      <w:r w:rsidRPr="00051F90">
        <w:rPr>
          <w:rFonts w:ascii="Times New Roman" w:hAnsi="Times New Roman" w:cs="Times New Roman"/>
          <w:smallCaps/>
          <w:sz w:val="22"/>
          <w:szCs w:val="22"/>
        </w:rPr>
        <w:t xml:space="preserve">V. </w:t>
      </w:r>
      <w:proofErr w:type="spellStart"/>
      <w:r w:rsidRPr="00051F90">
        <w:rPr>
          <w:rFonts w:ascii="Times New Roman" w:hAnsi="Times New Roman" w:cs="Times New Roman"/>
          <w:smallCaps/>
          <w:sz w:val="22"/>
          <w:szCs w:val="22"/>
        </w:rPr>
        <w:t>Falzone</w:t>
      </w:r>
      <w:proofErr w:type="spellEnd"/>
      <w:r w:rsidRPr="00051F90">
        <w:rPr>
          <w:rFonts w:ascii="Times New Roman" w:hAnsi="Times New Roman" w:cs="Times New Roman"/>
          <w:smallCaps/>
          <w:sz w:val="22"/>
          <w:szCs w:val="22"/>
        </w:rPr>
        <w:t>, F. Palermo, F. Cosentino</w:t>
      </w:r>
      <w:r w:rsidRPr="00051F90">
        <w:rPr>
          <w:rFonts w:ascii="Times New Roman" w:hAnsi="Times New Roman" w:cs="Times New Roman"/>
          <w:sz w:val="22"/>
          <w:szCs w:val="22"/>
        </w:rPr>
        <w:t xml:space="preserve"> (a cura di), </w:t>
      </w:r>
      <w:r w:rsidRPr="00051F90">
        <w:rPr>
          <w:rFonts w:ascii="Times New Roman" w:hAnsi="Times New Roman" w:cs="Times New Roman"/>
          <w:i/>
          <w:sz w:val="22"/>
          <w:szCs w:val="22"/>
        </w:rPr>
        <w:t>La Costituzione della Repubblica italiana</w:t>
      </w:r>
      <w:r w:rsidRPr="00051F90">
        <w:rPr>
          <w:rFonts w:ascii="Times New Roman" w:hAnsi="Times New Roman" w:cs="Times New Roman"/>
          <w:sz w:val="22"/>
          <w:szCs w:val="22"/>
        </w:rPr>
        <w:t>,1980, pp. 327 ss.</w:t>
      </w:r>
    </w:p>
  </w:footnote>
  <w:footnote w:id="9">
    <w:p w:rsidR="001F7F2B" w:rsidRPr="00D31BCC" w:rsidRDefault="001F7F2B" w:rsidP="00D31BCC">
      <w:pPr>
        <w:pStyle w:val="NormaleWeb"/>
        <w:ind w:left="284" w:right="282"/>
        <w:jc w:val="both"/>
        <w:rPr>
          <w:sz w:val="22"/>
          <w:szCs w:val="22"/>
        </w:rPr>
      </w:pPr>
      <w:r w:rsidRPr="00D31BCC">
        <w:rPr>
          <w:rStyle w:val="Rimandonotaapidipagina"/>
          <w:sz w:val="22"/>
          <w:szCs w:val="22"/>
        </w:rPr>
        <w:footnoteRef/>
      </w:r>
      <w:r w:rsidRPr="00D31BCC">
        <w:rPr>
          <w:sz w:val="22"/>
          <w:szCs w:val="22"/>
        </w:rPr>
        <w:t xml:space="preserve"> Sul punto, v. </w:t>
      </w:r>
      <w:r w:rsidR="00FF2889" w:rsidRPr="00D31BCC">
        <w:rPr>
          <w:sz w:val="22"/>
          <w:szCs w:val="22"/>
        </w:rPr>
        <w:t xml:space="preserve">M. </w:t>
      </w:r>
      <w:r w:rsidR="00FF2889" w:rsidRPr="00D31BCC">
        <w:rPr>
          <w:smallCaps/>
          <w:sz w:val="22"/>
          <w:szCs w:val="22"/>
        </w:rPr>
        <w:t>Mazzamuto</w:t>
      </w:r>
      <w:r w:rsidR="00FF2889" w:rsidRPr="00D31BCC">
        <w:rPr>
          <w:sz w:val="22"/>
          <w:szCs w:val="22"/>
        </w:rPr>
        <w:t xml:space="preserve">, </w:t>
      </w:r>
      <w:r w:rsidR="00FF2889" w:rsidRPr="00D31BCC">
        <w:rPr>
          <w:i/>
          <w:iCs/>
          <w:sz w:val="22"/>
          <w:szCs w:val="22"/>
        </w:rPr>
        <w:t>Il giudice delle leggi conferma il pluralismo delle giurisdizioni</w:t>
      </w:r>
      <w:r w:rsidR="00FF2889" w:rsidRPr="00D31BCC">
        <w:rPr>
          <w:sz w:val="22"/>
          <w:szCs w:val="22"/>
        </w:rPr>
        <w:t xml:space="preserve">, in: </w:t>
      </w:r>
      <w:r w:rsidR="00FF2889" w:rsidRPr="00D31BCC">
        <w:rPr>
          <w:i/>
          <w:sz w:val="22"/>
          <w:szCs w:val="22"/>
        </w:rPr>
        <w:t xml:space="preserve">Giur. </w:t>
      </w:r>
      <w:proofErr w:type="spellStart"/>
      <w:r w:rsidR="00FF2889" w:rsidRPr="00D31BCC">
        <w:rPr>
          <w:i/>
          <w:sz w:val="22"/>
          <w:szCs w:val="22"/>
        </w:rPr>
        <w:t>It</w:t>
      </w:r>
      <w:proofErr w:type="spellEnd"/>
      <w:r w:rsidR="00FF2889" w:rsidRPr="00D31BCC">
        <w:rPr>
          <w:i/>
          <w:sz w:val="22"/>
          <w:szCs w:val="22"/>
        </w:rPr>
        <w:t>.</w:t>
      </w:r>
      <w:r w:rsidR="00FF2889" w:rsidRPr="001F7F2B">
        <w:rPr>
          <w:sz w:val="22"/>
          <w:szCs w:val="22"/>
        </w:rPr>
        <w:t>, 2018, </w:t>
      </w:r>
      <w:proofErr w:type="spellStart"/>
      <w:r w:rsidR="00FF2889" w:rsidRPr="001F7F2B">
        <w:rPr>
          <w:sz w:val="22"/>
          <w:szCs w:val="22"/>
        </w:rPr>
        <w:t>num</w:t>
      </w:r>
      <w:proofErr w:type="spellEnd"/>
      <w:r w:rsidR="00FF2889" w:rsidRPr="001F7F2B">
        <w:rPr>
          <w:sz w:val="22"/>
          <w:szCs w:val="22"/>
        </w:rPr>
        <w:t>. 3, pag. 704</w:t>
      </w:r>
      <w:r w:rsidR="00FF2889" w:rsidRPr="00D31BCC">
        <w:rPr>
          <w:sz w:val="22"/>
          <w:szCs w:val="22"/>
        </w:rPr>
        <w:t xml:space="preserve">, ss.; </w:t>
      </w:r>
      <w:r w:rsidRPr="00D31BCC">
        <w:rPr>
          <w:sz w:val="22"/>
          <w:szCs w:val="22"/>
        </w:rPr>
        <w:t>F. D</w:t>
      </w:r>
      <w:r w:rsidRPr="00D31BCC">
        <w:rPr>
          <w:smallCaps/>
          <w:sz w:val="22"/>
          <w:szCs w:val="22"/>
        </w:rPr>
        <w:t>al Canto</w:t>
      </w:r>
      <w:r w:rsidRPr="00D31BCC">
        <w:rPr>
          <w:sz w:val="22"/>
          <w:szCs w:val="22"/>
        </w:rPr>
        <w:t xml:space="preserve">, </w:t>
      </w:r>
      <w:r w:rsidRPr="00D31BCC">
        <w:rPr>
          <w:i/>
          <w:iCs/>
          <w:sz w:val="22"/>
          <w:szCs w:val="22"/>
        </w:rPr>
        <w:t>Il ricorso in Cassazione per motivi inerenti alla giurisdizione dinanzi alla Corte costituzionale</w:t>
      </w:r>
      <w:r w:rsidRPr="00D31BCC">
        <w:rPr>
          <w:sz w:val="22"/>
          <w:szCs w:val="22"/>
        </w:rPr>
        <w:t xml:space="preserve">, in: </w:t>
      </w:r>
      <w:r w:rsidRPr="00D31BCC">
        <w:rPr>
          <w:i/>
          <w:sz w:val="22"/>
          <w:szCs w:val="22"/>
        </w:rPr>
        <w:t xml:space="preserve">Giur. </w:t>
      </w:r>
      <w:proofErr w:type="spellStart"/>
      <w:r w:rsidRPr="00D31BCC">
        <w:rPr>
          <w:i/>
          <w:sz w:val="22"/>
          <w:szCs w:val="22"/>
        </w:rPr>
        <w:t>cost</w:t>
      </w:r>
      <w:proofErr w:type="spellEnd"/>
      <w:r w:rsidRPr="00D31BCC">
        <w:rPr>
          <w:sz w:val="22"/>
          <w:szCs w:val="22"/>
        </w:rPr>
        <w:t>.</w:t>
      </w:r>
      <w:r w:rsidR="00FF2889" w:rsidRPr="00D31BCC">
        <w:rPr>
          <w:sz w:val="22"/>
          <w:szCs w:val="22"/>
        </w:rPr>
        <w:t>, 2018, </w:t>
      </w:r>
      <w:proofErr w:type="spellStart"/>
      <w:r w:rsidR="00FF2889" w:rsidRPr="00D31BCC">
        <w:rPr>
          <w:sz w:val="22"/>
          <w:szCs w:val="22"/>
        </w:rPr>
        <w:t>num</w:t>
      </w:r>
      <w:proofErr w:type="spellEnd"/>
      <w:r w:rsidR="00FF2889" w:rsidRPr="00D31BCC">
        <w:rPr>
          <w:sz w:val="22"/>
          <w:szCs w:val="22"/>
        </w:rPr>
        <w:t>. 3, p</w:t>
      </w:r>
      <w:r w:rsidRPr="001F7F2B">
        <w:rPr>
          <w:sz w:val="22"/>
          <w:szCs w:val="22"/>
        </w:rPr>
        <w:t>. 1537</w:t>
      </w:r>
      <w:r w:rsidR="00FF2889" w:rsidRPr="00D31BCC">
        <w:rPr>
          <w:sz w:val="22"/>
          <w:szCs w:val="22"/>
        </w:rPr>
        <w:t>.</w:t>
      </w:r>
    </w:p>
  </w:footnote>
  <w:footnote w:id="10">
    <w:p w:rsidR="00DC36CD" w:rsidRPr="00051F90" w:rsidRDefault="00DC36CD" w:rsidP="00D31BCC">
      <w:pPr>
        <w:shd w:val="clear" w:color="auto" w:fill="FFFFFF"/>
        <w:spacing w:before="100" w:beforeAutospacing="1" w:after="100" w:afterAutospacing="1" w:line="240" w:lineRule="auto"/>
        <w:ind w:left="284" w:right="282"/>
        <w:jc w:val="both"/>
        <w:textAlignment w:val="top"/>
        <w:rPr>
          <w:rFonts w:ascii="Times New Roman" w:hAnsi="Times New Roman" w:cs="Times New Roman"/>
        </w:rPr>
      </w:pPr>
      <w:r w:rsidRPr="00051F90">
        <w:rPr>
          <w:rStyle w:val="Rimandonotaapidipagina"/>
          <w:rFonts w:ascii="Times New Roman" w:hAnsi="Times New Roman" w:cs="Times New Roman"/>
        </w:rPr>
        <w:footnoteRef/>
      </w:r>
      <w:r w:rsidRPr="00051F90">
        <w:rPr>
          <w:rFonts w:ascii="Times New Roman" w:hAnsi="Times New Roman" w:cs="Times New Roman"/>
        </w:rPr>
        <w:t xml:space="preserve"> In: </w:t>
      </w:r>
      <w:r w:rsidRPr="00051F90">
        <w:rPr>
          <w:rFonts w:ascii="Times New Roman" w:hAnsi="Times New Roman" w:cs="Times New Roman"/>
          <w:i/>
        </w:rPr>
        <w:t>Urbanistica e appalti</w:t>
      </w:r>
      <w:r w:rsidRPr="00051F90">
        <w:rPr>
          <w:rFonts w:ascii="Times New Roman" w:hAnsi="Times New Roman" w:cs="Times New Roman"/>
        </w:rPr>
        <w:t xml:space="preserve">, fasc. 10/2006, n. 1175, con nota di A. </w:t>
      </w:r>
      <w:proofErr w:type="spellStart"/>
      <w:r w:rsidRPr="00051F90">
        <w:rPr>
          <w:rFonts w:ascii="Times New Roman" w:hAnsi="Times New Roman" w:cs="Times New Roman"/>
          <w:smallCaps/>
        </w:rPr>
        <w:t>Lamorgese</w:t>
      </w:r>
      <w:proofErr w:type="spellEnd"/>
      <w:r w:rsidRPr="00051F90">
        <w:rPr>
          <w:rFonts w:ascii="Times New Roman" w:hAnsi="Times New Roman" w:cs="Times New Roman"/>
        </w:rPr>
        <w:t xml:space="preserve">, </w:t>
      </w:r>
      <w:r w:rsidRPr="00051F90">
        <w:rPr>
          <w:rStyle w:val="titolo1"/>
          <w:rFonts w:ascii="Times New Roman" w:hAnsi="Times New Roman" w:cs="Times New Roman"/>
          <w:i/>
        </w:rPr>
        <w:t>Riparto della giurisdizione e pregiudizialità amministrativa: le Sezioni unite non convincono</w:t>
      </w:r>
      <w:r w:rsidRPr="00051F90">
        <w:rPr>
          <w:rFonts w:ascii="Times New Roman" w:hAnsi="Times New Roman" w:cs="Times New Roman"/>
        </w:rPr>
        <w:t>.</w:t>
      </w:r>
    </w:p>
  </w:footnote>
  <w:footnote w:id="11">
    <w:p w:rsidR="00C44606" w:rsidRPr="00051F90" w:rsidRDefault="00C44606" w:rsidP="00C44606">
      <w:pPr>
        <w:pStyle w:val="Testonotaapidipagina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  <w:r w:rsidRPr="00051F90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051F90">
        <w:rPr>
          <w:rFonts w:ascii="Times New Roman" w:hAnsi="Times New Roman" w:cs="Times New Roman"/>
          <w:sz w:val="22"/>
          <w:szCs w:val="22"/>
        </w:rPr>
        <w:t xml:space="preserve"> Sul punto sia consentito ancora rinviare a: C. </w:t>
      </w:r>
      <w:r w:rsidRPr="00051F90">
        <w:rPr>
          <w:rFonts w:ascii="Times New Roman" w:hAnsi="Times New Roman" w:cs="Times New Roman"/>
          <w:smallCaps/>
          <w:sz w:val="22"/>
          <w:szCs w:val="22"/>
        </w:rPr>
        <w:t>Contessa</w:t>
      </w:r>
      <w:r w:rsidRPr="00051F90">
        <w:rPr>
          <w:rFonts w:ascii="Times New Roman" w:hAnsi="Times New Roman" w:cs="Times New Roman"/>
          <w:sz w:val="22"/>
          <w:szCs w:val="22"/>
        </w:rPr>
        <w:t xml:space="preserve">. </w:t>
      </w:r>
      <w:r w:rsidRPr="00051F90">
        <w:rPr>
          <w:rFonts w:ascii="Times New Roman" w:hAnsi="Times New Roman" w:cs="Times New Roman"/>
          <w:i/>
          <w:sz w:val="22"/>
          <w:szCs w:val="22"/>
        </w:rPr>
        <w:t>Studi e lezioni di diritto amministrativo</w:t>
      </w:r>
      <w:r w:rsidRPr="00051F90">
        <w:rPr>
          <w:rFonts w:ascii="Times New Roman" w:hAnsi="Times New Roman" w:cs="Times New Roman"/>
          <w:sz w:val="22"/>
          <w:szCs w:val="22"/>
        </w:rPr>
        <w:t>, cit., p. 531, segg.</w:t>
      </w:r>
    </w:p>
  </w:footnote>
  <w:footnote w:id="12">
    <w:p w:rsidR="00AA1009" w:rsidRPr="00051F90" w:rsidRDefault="00AA1009" w:rsidP="000F14AB">
      <w:pPr>
        <w:pStyle w:val="Testonotaapidipagina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  <w:r w:rsidRPr="00051F90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051F90">
        <w:rPr>
          <w:rFonts w:ascii="Times New Roman" w:hAnsi="Times New Roman" w:cs="Times New Roman"/>
          <w:sz w:val="22"/>
          <w:szCs w:val="22"/>
        </w:rPr>
        <w:t xml:space="preserve"> Si tratta, rispettivamente: </w:t>
      </w:r>
      <w:r w:rsidRPr="00051F90">
        <w:rPr>
          <w:rFonts w:ascii="Times New Roman" w:hAnsi="Times New Roman" w:cs="Times New Roman"/>
          <w:i/>
          <w:sz w:val="22"/>
          <w:szCs w:val="22"/>
        </w:rPr>
        <w:t>i</w:t>
      </w:r>
      <w:r w:rsidRPr="00051F90">
        <w:rPr>
          <w:rFonts w:ascii="Times New Roman" w:hAnsi="Times New Roman" w:cs="Times New Roman"/>
          <w:sz w:val="22"/>
          <w:szCs w:val="22"/>
        </w:rPr>
        <w:t xml:space="preserve">) della </w:t>
      </w:r>
      <w:r w:rsidR="000F14AB" w:rsidRPr="00051F90">
        <w:rPr>
          <w:rFonts w:ascii="Times New Roman" w:hAnsi="Times New Roman" w:cs="Times New Roman"/>
          <w:sz w:val="22"/>
          <w:szCs w:val="22"/>
        </w:rPr>
        <w:t xml:space="preserve">sentenza delle Sez. un. 9 marzo 1979, n. 1463 (in tema di localizzazione di centrali nucleari); </w:t>
      </w:r>
      <w:r w:rsidR="000F14AB" w:rsidRPr="00051F90">
        <w:rPr>
          <w:rFonts w:ascii="Times New Roman" w:hAnsi="Times New Roman" w:cs="Times New Roman"/>
          <w:i/>
          <w:sz w:val="22"/>
          <w:szCs w:val="22"/>
        </w:rPr>
        <w:t>ii</w:t>
      </w:r>
      <w:r w:rsidR="000F14AB" w:rsidRPr="00051F90">
        <w:rPr>
          <w:rFonts w:ascii="Times New Roman" w:hAnsi="Times New Roman" w:cs="Times New Roman"/>
          <w:sz w:val="22"/>
          <w:szCs w:val="22"/>
        </w:rPr>
        <w:t xml:space="preserve">) della </w:t>
      </w:r>
      <w:r w:rsidRPr="00051F90">
        <w:rPr>
          <w:rFonts w:ascii="Times New Roman" w:hAnsi="Times New Roman" w:cs="Times New Roman"/>
          <w:sz w:val="22"/>
          <w:szCs w:val="22"/>
        </w:rPr>
        <w:t>sentenza delle Sez. un. 6 ottobre 1979, n. 5172 (</w:t>
      </w:r>
      <w:r w:rsidR="000F14AB" w:rsidRPr="00051F90">
        <w:rPr>
          <w:rFonts w:ascii="Times New Roman" w:hAnsi="Times New Roman" w:cs="Times New Roman"/>
          <w:sz w:val="22"/>
          <w:szCs w:val="22"/>
        </w:rPr>
        <w:t>in tema di salvaguardia della salubrità dell’ambiente a fronte della realizzazione di un depuratore).</w:t>
      </w:r>
    </w:p>
  </w:footnote>
  <w:footnote w:id="13">
    <w:p w:rsidR="001A60CF" w:rsidRPr="00051F90" w:rsidRDefault="001A60CF" w:rsidP="001A60CF">
      <w:pPr>
        <w:pStyle w:val="Testonotaapidipagina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  <w:r w:rsidRPr="00051F90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051F90">
        <w:rPr>
          <w:rFonts w:ascii="Times New Roman" w:hAnsi="Times New Roman" w:cs="Times New Roman"/>
          <w:sz w:val="22"/>
          <w:szCs w:val="22"/>
        </w:rPr>
        <w:t xml:space="preserve"> Sul punto, v. </w:t>
      </w:r>
      <w:r w:rsidRPr="00051F90">
        <w:rPr>
          <w:rFonts w:ascii="Times New Roman" w:hAnsi="Times New Roman" w:cs="Times New Roman"/>
          <w:smallCaps/>
          <w:sz w:val="22"/>
          <w:szCs w:val="22"/>
        </w:rPr>
        <w:t>F. Patroni Griffi</w:t>
      </w:r>
      <w:r w:rsidRPr="00051F90">
        <w:rPr>
          <w:rFonts w:ascii="Times New Roman" w:hAnsi="Times New Roman" w:cs="Times New Roman"/>
          <w:sz w:val="22"/>
          <w:szCs w:val="22"/>
        </w:rPr>
        <w:t xml:space="preserve">, </w:t>
      </w:r>
      <w:r w:rsidRPr="00051F90">
        <w:rPr>
          <w:rFonts w:ascii="Times New Roman" w:hAnsi="Times New Roman" w:cs="Times New Roman"/>
          <w:i/>
          <w:sz w:val="22"/>
          <w:szCs w:val="22"/>
        </w:rPr>
        <w:t>Diritti fondamentali e riparto di giurisdizione</w:t>
      </w:r>
      <w:r w:rsidRPr="00051F90">
        <w:rPr>
          <w:rFonts w:ascii="Times New Roman" w:hAnsi="Times New Roman" w:cs="Times New Roman"/>
          <w:sz w:val="22"/>
          <w:szCs w:val="22"/>
        </w:rPr>
        <w:t xml:space="preserve">, in: </w:t>
      </w:r>
      <w:hyperlink r:id="rId3" w:history="1">
        <w:r w:rsidRPr="00051F90">
          <w:rPr>
            <w:rStyle w:val="Collegamentoipertestuale"/>
            <w:rFonts w:ascii="Times New Roman" w:hAnsi="Times New Roman" w:cs="Times New Roman"/>
            <w:i/>
            <w:color w:val="auto"/>
            <w:sz w:val="22"/>
            <w:szCs w:val="22"/>
            <w:u w:val="none"/>
          </w:rPr>
          <w:t>www.giustizia.-amministrativa.it</w:t>
        </w:r>
      </w:hyperlink>
      <w:r w:rsidRPr="00051F90">
        <w:rPr>
          <w:rFonts w:ascii="Times New Roman" w:hAnsi="Times New Roman" w:cs="Times New Roman"/>
          <w:sz w:val="22"/>
          <w:szCs w:val="22"/>
        </w:rPr>
        <w:t xml:space="preserve"> (2017).</w:t>
      </w:r>
    </w:p>
  </w:footnote>
  <w:footnote w:id="14">
    <w:p w:rsidR="00991845" w:rsidRPr="00991845" w:rsidRDefault="00991845" w:rsidP="00991845">
      <w:pPr>
        <w:pStyle w:val="Testonotaapidipagina"/>
        <w:ind w:left="284"/>
        <w:rPr>
          <w:rFonts w:ascii="Times New Roman" w:hAnsi="Times New Roman" w:cs="Times New Roman"/>
          <w:sz w:val="22"/>
          <w:szCs w:val="22"/>
        </w:rPr>
      </w:pPr>
      <w:r w:rsidRPr="00051F90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051F90">
        <w:rPr>
          <w:rFonts w:ascii="Times New Roman" w:hAnsi="Times New Roman" w:cs="Times New Roman"/>
          <w:sz w:val="22"/>
          <w:szCs w:val="22"/>
        </w:rPr>
        <w:t xml:space="preserve"> In: </w:t>
      </w:r>
      <w:r w:rsidRPr="00051F90">
        <w:rPr>
          <w:rFonts w:ascii="Times New Roman" w:hAnsi="Times New Roman" w:cs="Times New Roman"/>
          <w:i/>
          <w:sz w:val="22"/>
          <w:szCs w:val="22"/>
        </w:rPr>
        <w:t xml:space="preserve">Foro </w:t>
      </w:r>
      <w:proofErr w:type="spellStart"/>
      <w:r w:rsidRPr="00051F90">
        <w:rPr>
          <w:rFonts w:ascii="Times New Roman" w:hAnsi="Times New Roman" w:cs="Times New Roman"/>
          <w:i/>
          <w:sz w:val="22"/>
          <w:szCs w:val="22"/>
        </w:rPr>
        <w:t>it</w:t>
      </w:r>
      <w:proofErr w:type="spellEnd"/>
      <w:r w:rsidRPr="00051F90">
        <w:rPr>
          <w:rFonts w:ascii="Times New Roman" w:hAnsi="Times New Roman" w:cs="Times New Roman"/>
          <w:i/>
          <w:sz w:val="22"/>
          <w:szCs w:val="22"/>
        </w:rPr>
        <w:t>.</w:t>
      </w:r>
      <w:r w:rsidRPr="00051F90">
        <w:rPr>
          <w:rFonts w:ascii="Times New Roman" w:hAnsi="Times New Roman" w:cs="Times New Roman"/>
          <w:sz w:val="22"/>
          <w:szCs w:val="22"/>
        </w:rPr>
        <w:t>, 2008, I, 1076.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A97"/>
    <w:multiLevelType w:val="hybridMultilevel"/>
    <w:tmpl w:val="D922A986"/>
    <w:lvl w:ilvl="0" w:tplc="1354F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C19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8B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4C82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8E2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C3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C8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636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EC0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B7112E"/>
    <w:multiLevelType w:val="hybridMultilevel"/>
    <w:tmpl w:val="9FDC6A02"/>
    <w:lvl w:ilvl="0" w:tplc="51F47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A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E0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9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29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48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ED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C9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02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0D0E57"/>
    <w:multiLevelType w:val="hybridMultilevel"/>
    <w:tmpl w:val="90C44F74"/>
    <w:lvl w:ilvl="0" w:tplc="8AB60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861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B26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C1B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C9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6C5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04A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A61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8DE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082877"/>
    <w:multiLevelType w:val="multilevel"/>
    <w:tmpl w:val="444E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76A74"/>
    <w:multiLevelType w:val="hybridMultilevel"/>
    <w:tmpl w:val="633ED942"/>
    <w:lvl w:ilvl="0" w:tplc="7A769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C2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09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82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3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83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C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00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271CD4"/>
    <w:multiLevelType w:val="hybridMultilevel"/>
    <w:tmpl w:val="6A5CCA90"/>
    <w:lvl w:ilvl="0" w:tplc="B2340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2E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41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6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CC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CC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43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A9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A5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816212"/>
    <w:multiLevelType w:val="hybridMultilevel"/>
    <w:tmpl w:val="2C0AD6AA"/>
    <w:lvl w:ilvl="0" w:tplc="D58E2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62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8A1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6BE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4C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271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46D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268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853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3D1334"/>
    <w:multiLevelType w:val="hybridMultilevel"/>
    <w:tmpl w:val="ED4C04F6"/>
    <w:lvl w:ilvl="0" w:tplc="B2783A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2DAD32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DF08D8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741A920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C34194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C0CE49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17C977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456CF0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84A263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61C4F"/>
    <w:multiLevelType w:val="hybridMultilevel"/>
    <w:tmpl w:val="75EEC456"/>
    <w:lvl w:ilvl="0" w:tplc="9410B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65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67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06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45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2B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C8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8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8F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0333BA"/>
    <w:multiLevelType w:val="hybridMultilevel"/>
    <w:tmpl w:val="54C68118"/>
    <w:lvl w:ilvl="0" w:tplc="F9D4C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7876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46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ED1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6B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888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8FF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0F5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A2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BE0327"/>
    <w:multiLevelType w:val="hybridMultilevel"/>
    <w:tmpl w:val="36B8A344"/>
    <w:lvl w:ilvl="0" w:tplc="DE1EDF0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2F14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0BE2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AC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4CE1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B8688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EEE7E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4C65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6FD2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5B7CF3"/>
    <w:multiLevelType w:val="hybridMultilevel"/>
    <w:tmpl w:val="AF725CF6"/>
    <w:lvl w:ilvl="0" w:tplc="B7A6E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A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C9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4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61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A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46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8D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E45F55"/>
    <w:multiLevelType w:val="hybridMultilevel"/>
    <w:tmpl w:val="9B62875A"/>
    <w:lvl w:ilvl="0" w:tplc="133C2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A4AD4"/>
    <w:multiLevelType w:val="hybridMultilevel"/>
    <w:tmpl w:val="CAB89126"/>
    <w:lvl w:ilvl="0" w:tplc="FA3EB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A2E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ADF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AF5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2250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0C3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0A1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451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C1E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5526AF"/>
    <w:multiLevelType w:val="hybridMultilevel"/>
    <w:tmpl w:val="717E5F36"/>
    <w:lvl w:ilvl="0" w:tplc="FFD2B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E9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82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84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C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21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45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C5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E5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980565"/>
    <w:multiLevelType w:val="hybridMultilevel"/>
    <w:tmpl w:val="4B627FEE"/>
    <w:lvl w:ilvl="0" w:tplc="4D72A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858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4DE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8E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24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42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E3A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C2C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6A2CB6"/>
    <w:multiLevelType w:val="hybridMultilevel"/>
    <w:tmpl w:val="E08E6C0E"/>
    <w:lvl w:ilvl="0" w:tplc="B888C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C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E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4F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47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E1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6C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A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4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0E19B8"/>
    <w:multiLevelType w:val="hybridMultilevel"/>
    <w:tmpl w:val="B3A42336"/>
    <w:lvl w:ilvl="0" w:tplc="229E6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E1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2C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4B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E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E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2B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9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E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89"/>
    <w:rsid w:val="000020EA"/>
    <w:rsid w:val="00022520"/>
    <w:rsid w:val="00035D9C"/>
    <w:rsid w:val="00051F90"/>
    <w:rsid w:val="00053045"/>
    <w:rsid w:val="0005788F"/>
    <w:rsid w:val="000713E7"/>
    <w:rsid w:val="00071419"/>
    <w:rsid w:val="00092EA7"/>
    <w:rsid w:val="000A1AB5"/>
    <w:rsid w:val="000A3BC3"/>
    <w:rsid w:val="000B5E68"/>
    <w:rsid w:val="000B7573"/>
    <w:rsid w:val="000C2E8D"/>
    <w:rsid w:val="000C35E1"/>
    <w:rsid w:val="000E78D9"/>
    <w:rsid w:val="000F14AB"/>
    <w:rsid w:val="000F249D"/>
    <w:rsid w:val="00141693"/>
    <w:rsid w:val="001557DE"/>
    <w:rsid w:val="001A46FC"/>
    <w:rsid w:val="001A60CF"/>
    <w:rsid w:val="001A6108"/>
    <w:rsid w:val="001C102F"/>
    <w:rsid w:val="001D1ABD"/>
    <w:rsid w:val="001F7F2B"/>
    <w:rsid w:val="002704E0"/>
    <w:rsid w:val="0028224E"/>
    <w:rsid w:val="0028672A"/>
    <w:rsid w:val="003108EF"/>
    <w:rsid w:val="00323E77"/>
    <w:rsid w:val="003333DC"/>
    <w:rsid w:val="0033392E"/>
    <w:rsid w:val="00352C7D"/>
    <w:rsid w:val="00361FEE"/>
    <w:rsid w:val="003838B5"/>
    <w:rsid w:val="0038528E"/>
    <w:rsid w:val="00390BA9"/>
    <w:rsid w:val="003F34F5"/>
    <w:rsid w:val="00404D7C"/>
    <w:rsid w:val="0043336F"/>
    <w:rsid w:val="004B0ED4"/>
    <w:rsid w:val="004B46CC"/>
    <w:rsid w:val="004D6A94"/>
    <w:rsid w:val="004E1A67"/>
    <w:rsid w:val="004E67BE"/>
    <w:rsid w:val="00505E73"/>
    <w:rsid w:val="00507B7F"/>
    <w:rsid w:val="00544C41"/>
    <w:rsid w:val="005577E2"/>
    <w:rsid w:val="00562B09"/>
    <w:rsid w:val="00566881"/>
    <w:rsid w:val="00575057"/>
    <w:rsid w:val="005927AF"/>
    <w:rsid w:val="005D6536"/>
    <w:rsid w:val="005F58B8"/>
    <w:rsid w:val="00693D72"/>
    <w:rsid w:val="006970FB"/>
    <w:rsid w:val="006B7950"/>
    <w:rsid w:val="006C4F01"/>
    <w:rsid w:val="00756138"/>
    <w:rsid w:val="007F0857"/>
    <w:rsid w:val="00814A0B"/>
    <w:rsid w:val="00823189"/>
    <w:rsid w:val="0082338F"/>
    <w:rsid w:val="008559BB"/>
    <w:rsid w:val="008952B8"/>
    <w:rsid w:val="008A2E37"/>
    <w:rsid w:val="00903024"/>
    <w:rsid w:val="0097558A"/>
    <w:rsid w:val="00982F20"/>
    <w:rsid w:val="00991845"/>
    <w:rsid w:val="009C7CDA"/>
    <w:rsid w:val="009E6802"/>
    <w:rsid w:val="00A07EF4"/>
    <w:rsid w:val="00A15908"/>
    <w:rsid w:val="00A17D2D"/>
    <w:rsid w:val="00A20861"/>
    <w:rsid w:val="00A26302"/>
    <w:rsid w:val="00A64C47"/>
    <w:rsid w:val="00A76024"/>
    <w:rsid w:val="00A870C1"/>
    <w:rsid w:val="00AA1009"/>
    <w:rsid w:val="00AA66FD"/>
    <w:rsid w:val="00AD2734"/>
    <w:rsid w:val="00B0001C"/>
    <w:rsid w:val="00B03C62"/>
    <w:rsid w:val="00B10C46"/>
    <w:rsid w:val="00B62D85"/>
    <w:rsid w:val="00B71AC3"/>
    <w:rsid w:val="00BA3BD9"/>
    <w:rsid w:val="00BB3DEB"/>
    <w:rsid w:val="00BD4D78"/>
    <w:rsid w:val="00C44606"/>
    <w:rsid w:val="00C75AA2"/>
    <w:rsid w:val="00C76759"/>
    <w:rsid w:val="00C80541"/>
    <w:rsid w:val="00C967E7"/>
    <w:rsid w:val="00C96F77"/>
    <w:rsid w:val="00CD2600"/>
    <w:rsid w:val="00CD5108"/>
    <w:rsid w:val="00D1118A"/>
    <w:rsid w:val="00D31BCC"/>
    <w:rsid w:val="00D33F9C"/>
    <w:rsid w:val="00D40886"/>
    <w:rsid w:val="00D74A0A"/>
    <w:rsid w:val="00D845E2"/>
    <w:rsid w:val="00D86318"/>
    <w:rsid w:val="00D876F2"/>
    <w:rsid w:val="00DC36CD"/>
    <w:rsid w:val="00DC3844"/>
    <w:rsid w:val="00E13806"/>
    <w:rsid w:val="00E32768"/>
    <w:rsid w:val="00E445DC"/>
    <w:rsid w:val="00EB4423"/>
    <w:rsid w:val="00EC163C"/>
    <w:rsid w:val="00F0149B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7260"/>
  <w15:chartTrackingRefBased/>
  <w15:docId w15:val="{546C1ACE-C3CB-4F90-818F-96A26F8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1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58A"/>
  </w:style>
  <w:style w:type="paragraph" w:styleId="Pidipagina">
    <w:name w:val="footer"/>
    <w:basedOn w:val="Normale"/>
    <w:link w:val="PidipaginaCarattere"/>
    <w:uiPriority w:val="99"/>
    <w:unhideWhenUsed/>
    <w:rsid w:val="00975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58A"/>
  </w:style>
  <w:style w:type="paragraph" w:styleId="Paragrafoelenco">
    <w:name w:val="List Paragraph"/>
    <w:basedOn w:val="Normale"/>
    <w:uiPriority w:val="34"/>
    <w:qFormat/>
    <w:rsid w:val="00C75AA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74A0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74A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A0A"/>
    <w:rPr>
      <w:vertAlign w:val="superscript"/>
    </w:rPr>
  </w:style>
  <w:style w:type="paragraph" w:customStyle="1" w:styleId="Notepipagina">
    <w:name w:val="Note_piè_pagina"/>
    <w:basedOn w:val="Normale"/>
    <w:uiPriority w:val="99"/>
    <w:rsid w:val="0033392E"/>
    <w:pPr>
      <w:widowControl w:val="0"/>
      <w:tabs>
        <w:tab w:val="left" w:pos="624"/>
      </w:tabs>
      <w:autoSpaceDE w:val="0"/>
      <w:autoSpaceDN w:val="0"/>
      <w:adjustRightInd w:val="0"/>
      <w:spacing w:after="0" w:line="200" w:lineRule="atLeast"/>
      <w:ind w:firstLine="170"/>
      <w:jc w:val="both"/>
      <w:textAlignment w:val="center"/>
    </w:pPr>
    <w:rPr>
      <w:rFonts w:ascii="Adobe Garamond Pro" w:eastAsiaTheme="minorEastAsia" w:hAnsi="Adobe Garamond Pro" w:cs="Adobe Garamond Pro"/>
      <w:color w:val="000000"/>
      <w:sz w:val="18"/>
      <w:szCs w:val="18"/>
      <w:lang w:eastAsia="it-IT"/>
    </w:rPr>
  </w:style>
  <w:style w:type="character" w:customStyle="1" w:styleId="fonte-estesa">
    <w:name w:val="fonte-estesa"/>
    <w:basedOn w:val="Carpredefinitoparagrafo"/>
    <w:rsid w:val="000A3BC3"/>
  </w:style>
  <w:style w:type="paragraph" w:styleId="NormaleWeb">
    <w:name w:val="Normal (Web)"/>
    <w:basedOn w:val="Normale"/>
    <w:uiPriority w:val="99"/>
    <w:unhideWhenUsed/>
    <w:rsid w:val="001C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788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2338F"/>
    <w:rPr>
      <w:b/>
      <w:bCs/>
    </w:rPr>
  </w:style>
  <w:style w:type="character" w:customStyle="1" w:styleId="autore1">
    <w:name w:val="autore1"/>
    <w:basedOn w:val="Carpredefinitoparagrafo"/>
    <w:rsid w:val="00DC36CD"/>
  </w:style>
  <w:style w:type="character" w:customStyle="1" w:styleId="titolo1">
    <w:name w:val="titolo1"/>
    <w:basedOn w:val="Carpredefinitoparagrafo"/>
    <w:rsid w:val="00DC36CD"/>
  </w:style>
  <w:style w:type="character" w:customStyle="1" w:styleId="pubblicazione4">
    <w:name w:val="pubblicazione4"/>
    <w:basedOn w:val="Carpredefinitoparagrafo"/>
    <w:rsid w:val="00DC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25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96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05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3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93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1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69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236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8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44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53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827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09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874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1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2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6" w:space="0" w:color="EDEDED"/>
                                            <w:bottom w:val="single" w:sz="6" w:space="26" w:color="EDEDED"/>
                                            <w:right w:val="single" w:sz="6" w:space="0" w:color="EDEDED"/>
                                          </w:divBdr>
                                          <w:divsChild>
                                            <w:div w:id="144357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2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26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87144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ustizia.-amministrativa.it" TargetMode="External"/><Relationship Id="rId2" Type="http://schemas.openxmlformats.org/officeDocument/2006/relationships/hyperlink" Target="http://www.giustizia-amministrativa.it" TargetMode="External"/><Relationship Id="rId1" Type="http://schemas.openxmlformats.org/officeDocument/2006/relationships/hyperlink" Target="http://www.osservatoriosullefo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BFCFC-8961-4926-A2A5-D9BA85ED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Claudio</dc:creator>
  <cp:keywords/>
  <dc:description/>
  <cp:lastModifiedBy>FERRARI Giulia</cp:lastModifiedBy>
  <cp:revision>2</cp:revision>
  <dcterms:created xsi:type="dcterms:W3CDTF">2020-10-07T04:37:00Z</dcterms:created>
  <dcterms:modified xsi:type="dcterms:W3CDTF">2020-10-07T04:37:00Z</dcterms:modified>
</cp:coreProperties>
</file>