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9E" w:rsidRPr="00A00C9E" w:rsidRDefault="00A00C9E" w:rsidP="00A00C9E">
      <w:pPr>
        <w:spacing w:line="360" w:lineRule="auto"/>
        <w:ind w:left="567" w:right="567"/>
        <w:jc w:val="center"/>
        <w:rPr>
          <w:rFonts w:ascii="Garamond" w:eastAsia="Lucida Sans Unicode" w:hAnsi="Garamond" w:cs="Times New Roman"/>
          <w:b/>
          <w:color w:val="000000" w:themeColor="text1"/>
          <w:sz w:val="36"/>
          <w:szCs w:val="36"/>
        </w:rPr>
      </w:pPr>
      <w:r>
        <w:rPr>
          <w:rFonts w:ascii="Garamond" w:eastAsia="Lucida Sans Unicode" w:hAnsi="Garamond" w:cs="Times New Roman"/>
          <w:b/>
          <w:color w:val="000000" w:themeColor="text1"/>
          <w:sz w:val="36"/>
          <w:szCs w:val="36"/>
        </w:rPr>
        <w:t>I</w:t>
      </w:r>
      <w:r w:rsidRPr="00A00C9E">
        <w:rPr>
          <w:rFonts w:ascii="Garamond" w:eastAsia="Lucida Sans Unicode" w:hAnsi="Garamond" w:cs="Times New Roman"/>
          <w:b/>
          <w:color w:val="000000" w:themeColor="text1"/>
          <w:sz w:val="36"/>
          <w:szCs w:val="36"/>
        </w:rPr>
        <w:t xml:space="preserve"> contratti “derivati” degli enti pubblici tra  autonomia negoziale e principio di legalità</w:t>
      </w:r>
    </w:p>
    <w:p w:rsidR="00406353" w:rsidRPr="00A00C9E" w:rsidRDefault="008E6B08" w:rsidP="00A00C9E">
      <w:pPr>
        <w:spacing w:line="360" w:lineRule="auto"/>
        <w:ind w:left="567" w:right="567"/>
        <w:jc w:val="center"/>
        <w:rPr>
          <w:rFonts w:ascii="Garamond" w:hAnsi="Garamond" w:cs="Times New Roman"/>
          <w:color w:val="000000" w:themeColor="text1"/>
          <w:sz w:val="28"/>
          <w:szCs w:val="28"/>
          <w:u w:val="single"/>
        </w:rPr>
      </w:pPr>
      <w:r w:rsidRPr="00A00C9E">
        <w:rPr>
          <w:rFonts w:ascii="Garamond" w:eastAsia="Lucida Sans Unicode" w:hAnsi="Garamond" w:cs="Times New Roman"/>
          <w:color w:val="000000" w:themeColor="text1"/>
          <w:sz w:val="28"/>
          <w:szCs w:val="28"/>
        </w:rPr>
        <w:t>(</w:t>
      </w:r>
      <w:r w:rsidR="00B24DAF" w:rsidRPr="00A00C9E">
        <w:rPr>
          <w:rFonts w:ascii="Garamond" w:eastAsia="Lucida Sans Unicode" w:hAnsi="Garamond" w:cs="Times New Roman"/>
          <w:color w:val="000000" w:themeColor="text1"/>
          <w:sz w:val="28"/>
          <w:szCs w:val="28"/>
        </w:rPr>
        <w:t>c</w:t>
      </w:r>
      <w:r w:rsidR="001619D4" w:rsidRPr="00A00C9E">
        <w:rPr>
          <w:rFonts w:ascii="Garamond" w:eastAsia="Lucida Sans Unicode" w:hAnsi="Garamond" w:cs="Times New Roman"/>
          <w:color w:val="000000" w:themeColor="text1"/>
          <w:sz w:val="28"/>
          <w:szCs w:val="28"/>
        </w:rPr>
        <w:t xml:space="preserve">onsiderazioni </w:t>
      </w:r>
      <w:r w:rsidR="002431B9" w:rsidRPr="00A00C9E">
        <w:rPr>
          <w:rFonts w:ascii="Garamond" w:eastAsia="Lucida Sans Unicode" w:hAnsi="Garamond" w:cs="Times New Roman"/>
          <w:color w:val="000000" w:themeColor="text1"/>
          <w:sz w:val="28"/>
          <w:szCs w:val="28"/>
        </w:rPr>
        <w:t>a</w:t>
      </w:r>
      <w:r w:rsidRPr="00A00C9E">
        <w:rPr>
          <w:rFonts w:ascii="Garamond" w:eastAsia="Lucida Sans Unicode" w:hAnsi="Garamond" w:cs="Times New Roman"/>
          <w:color w:val="000000" w:themeColor="text1"/>
          <w:sz w:val="28"/>
          <w:szCs w:val="28"/>
        </w:rPr>
        <w:t xml:space="preserve"> margine della senten</w:t>
      </w:r>
      <w:r w:rsidR="00F411EC" w:rsidRPr="00A00C9E">
        <w:rPr>
          <w:rFonts w:ascii="Garamond" w:eastAsia="Lucida Sans Unicode" w:hAnsi="Garamond" w:cs="Times New Roman"/>
          <w:color w:val="000000" w:themeColor="text1"/>
          <w:sz w:val="28"/>
          <w:szCs w:val="28"/>
        </w:rPr>
        <w:t xml:space="preserve">za </w:t>
      </w:r>
      <w:r w:rsidR="003B4922" w:rsidRPr="00A00C9E">
        <w:rPr>
          <w:rFonts w:ascii="Garamond" w:eastAsia="Lucida Sans Unicode" w:hAnsi="Garamond" w:cs="Times New Roman"/>
          <w:color w:val="000000" w:themeColor="text1"/>
          <w:sz w:val="28"/>
          <w:szCs w:val="28"/>
        </w:rPr>
        <w:t xml:space="preserve">delle Sezioni Unite </w:t>
      </w:r>
      <w:r w:rsidR="00F411EC" w:rsidRPr="00A00C9E">
        <w:rPr>
          <w:rFonts w:ascii="Garamond" w:eastAsia="Lucida Sans Unicode" w:hAnsi="Garamond" w:cs="Times New Roman"/>
          <w:color w:val="000000" w:themeColor="text1"/>
          <w:sz w:val="28"/>
          <w:szCs w:val="28"/>
        </w:rPr>
        <w:t xml:space="preserve">della Corte di Cassazione </w:t>
      </w:r>
      <w:r w:rsidRPr="00A00C9E">
        <w:rPr>
          <w:rFonts w:ascii="Garamond" w:eastAsia="Lucida Sans Unicode" w:hAnsi="Garamond" w:cs="Times New Roman"/>
          <w:color w:val="000000" w:themeColor="text1"/>
          <w:sz w:val="28"/>
          <w:szCs w:val="28"/>
        </w:rPr>
        <w:t>12 maggio 2020, n</w:t>
      </w:r>
      <w:r w:rsidR="00A00C9E" w:rsidRPr="00A00C9E">
        <w:rPr>
          <w:rFonts w:ascii="Garamond" w:eastAsia="Lucida Sans Unicode" w:hAnsi="Garamond" w:cs="Times New Roman"/>
          <w:color w:val="000000" w:themeColor="text1"/>
          <w:sz w:val="28"/>
          <w:szCs w:val="28"/>
        </w:rPr>
        <w:t>. 8770)</w:t>
      </w:r>
    </w:p>
    <w:p w:rsidR="00B71E9A" w:rsidRPr="00F83D35" w:rsidRDefault="005D5323" w:rsidP="00792D4B">
      <w:pPr>
        <w:spacing w:line="360" w:lineRule="auto"/>
        <w:ind w:left="567" w:right="567"/>
        <w:jc w:val="both"/>
        <w:rPr>
          <w:rFonts w:ascii="Garamond" w:hAnsi="Garamond" w:cs="Times New Roman"/>
          <w:b/>
          <w:color w:val="000000" w:themeColor="text1"/>
          <w:sz w:val="28"/>
          <w:szCs w:val="26"/>
          <w:u w:val="single"/>
        </w:rPr>
      </w:pPr>
      <w:r>
        <w:rPr>
          <w:rFonts w:ascii="Garamond" w:hAnsi="Garamond" w:cs="Times New Roman"/>
          <w:b/>
          <w:noProof/>
          <w:color w:val="000000" w:themeColor="text1"/>
          <w:sz w:val="26"/>
          <w:szCs w:val="26"/>
          <w:u w:val="single"/>
        </w:rPr>
        <mc:AlternateContent>
          <mc:Choice Requires="wps">
            <w:drawing>
              <wp:anchor distT="0" distB="0" distL="114300" distR="114300" simplePos="0" relativeHeight="251658240" behindDoc="0" locked="0" layoutInCell="1" allowOverlap="1">
                <wp:simplePos x="0" y="0"/>
                <wp:positionH relativeFrom="column">
                  <wp:posOffset>334010</wp:posOffset>
                </wp:positionH>
                <wp:positionV relativeFrom="paragraph">
                  <wp:posOffset>186055</wp:posOffset>
                </wp:positionV>
                <wp:extent cx="5454650" cy="4135120"/>
                <wp:effectExtent l="6350" t="9525" r="635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4135120"/>
                        </a:xfrm>
                        <a:prstGeom prst="rect">
                          <a:avLst/>
                        </a:prstGeom>
                        <a:solidFill>
                          <a:srgbClr val="FFFFFF"/>
                        </a:solidFill>
                        <a:ln w="9525">
                          <a:solidFill>
                            <a:srgbClr val="000000"/>
                          </a:solidFill>
                          <a:miter lim="800000"/>
                          <a:headEnd/>
                          <a:tailEnd/>
                        </a:ln>
                      </wps:spPr>
                      <wps:txbx>
                        <w:txbxContent>
                          <w:p w:rsidR="00916B47" w:rsidRDefault="00916B47" w:rsidP="003B4922">
                            <w:pPr>
                              <w:jc w:val="both"/>
                              <w:rPr>
                                <w:rFonts w:ascii="Garamond" w:eastAsia="Cambria" w:hAnsi="Garamond" w:cs="Times New Roman"/>
                                <w:color w:val="000000" w:themeColor="text1"/>
                                <w:sz w:val="26"/>
                                <w:szCs w:val="26"/>
                              </w:rPr>
                            </w:pPr>
                          </w:p>
                          <w:p w:rsidR="003536D7" w:rsidRPr="003536D7" w:rsidRDefault="003536D7" w:rsidP="003B4922">
                            <w:pPr>
                              <w:jc w:val="both"/>
                              <w:rPr>
                                <w:rFonts w:ascii="Garamond" w:eastAsia="Cambria" w:hAnsi="Garamond" w:cs="Times New Roman"/>
                                <w:color w:val="000000" w:themeColor="text1"/>
                                <w:sz w:val="26"/>
                                <w:szCs w:val="26"/>
                              </w:rPr>
                            </w:pPr>
                            <w:r w:rsidRPr="003536D7">
                              <w:rPr>
                                <w:rFonts w:ascii="Garamond" w:eastAsia="Cambria" w:hAnsi="Garamond" w:cs="Times New Roman"/>
                                <w:color w:val="000000" w:themeColor="text1"/>
                                <w:sz w:val="26"/>
                                <w:szCs w:val="26"/>
                              </w:rPr>
                              <w:t>Materia: contratti della pubblica amministrazione. Argomento: derivati.</w:t>
                            </w:r>
                          </w:p>
                          <w:p w:rsidR="003536D7" w:rsidRPr="003536D7" w:rsidRDefault="003536D7" w:rsidP="003B4922">
                            <w:pPr>
                              <w:jc w:val="both"/>
                              <w:rPr>
                                <w:sz w:val="26"/>
                                <w:szCs w:val="26"/>
                              </w:rPr>
                            </w:pPr>
                            <w:r w:rsidRPr="003536D7">
                              <w:rPr>
                                <w:rFonts w:ascii="Garamond" w:eastAsia="Cambria" w:hAnsi="Garamond" w:cs="Times New Roman"/>
                                <w:color w:val="000000" w:themeColor="text1"/>
                                <w:sz w:val="26"/>
                                <w:szCs w:val="26"/>
                              </w:rPr>
                              <w:t>ABSTRACT La parabola dei “derivati” degli Enti pubblici territoriali è iniziata negli anni novanta, ha raggiunto il suo culmine negli anni duemila ed è stata contrassegnata da una serie di interventi legislativi progressivamente orientati a delimitare l’ambito dell’autonomia negoziale della Pubblica amministrazione. La sentenza del</w:t>
                            </w:r>
                            <w:r w:rsidR="007B2AEB">
                              <w:rPr>
                                <w:rFonts w:ascii="Garamond" w:eastAsia="Cambria" w:hAnsi="Garamond" w:cs="Times New Roman"/>
                                <w:color w:val="000000" w:themeColor="text1"/>
                                <w:sz w:val="26"/>
                                <w:szCs w:val="26"/>
                              </w:rPr>
                              <w:t xml:space="preserve">le Sezioni Unite della Corte di </w:t>
                            </w:r>
                            <w:r w:rsidRPr="003536D7">
                              <w:rPr>
                                <w:rFonts w:ascii="Garamond" w:eastAsia="Cambria" w:hAnsi="Garamond" w:cs="Times New Roman"/>
                                <w:color w:val="000000" w:themeColor="text1"/>
                                <w:sz w:val="26"/>
                                <w:szCs w:val="26"/>
                              </w:rPr>
                              <w:t xml:space="preserve">Cassazione n. 8770 del 12 maggio 2020, ripercorrendo l’evoluzione normativa, ricostruisce in via interpretativa </w:t>
                            </w:r>
                            <w:r w:rsidR="007B2AEB">
                              <w:rPr>
                                <w:rFonts w:ascii="Garamond" w:eastAsia="Cambria" w:hAnsi="Garamond" w:cs="Times New Roman"/>
                                <w:color w:val="000000" w:themeColor="text1"/>
                                <w:sz w:val="26"/>
                                <w:szCs w:val="26"/>
                              </w:rPr>
                              <w:t xml:space="preserve">la </w:t>
                            </w:r>
                            <w:r w:rsidRPr="003536D7">
                              <w:rPr>
                                <w:rFonts w:ascii="Garamond" w:eastAsia="Cambria" w:hAnsi="Garamond" w:cs="Times New Roman"/>
                                <w:color w:val="000000" w:themeColor="text1"/>
                                <w:sz w:val="26"/>
                                <w:szCs w:val="26"/>
                              </w:rPr>
                              <w:t>“tipizzaz</w:t>
                            </w:r>
                            <w:r w:rsidR="007B2AEB">
                              <w:rPr>
                                <w:rFonts w:ascii="Garamond" w:eastAsia="Cambria" w:hAnsi="Garamond" w:cs="Times New Roman"/>
                                <w:color w:val="000000" w:themeColor="text1"/>
                                <w:sz w:val="26"/>
                                <w:szCs w:val="26"/>
                              </w:rPr>
                              <w:t xml:space="preserve">ione” legislativa di tali contratti </w:t>
                            </w:r>
                            <w:r w:rsidRPr="003536D7">
                              <w:rPr>
                                <w:rFonts w:ascii="Garamond" w:eastAsia="Cambria" w:hAnsi="Garamond" w:cs="Times New Roman"/>
                                <w:color w:val="000000" w:themeColor="text1"/>
                                <w:sz w:val="26"/>
                                <w:szCs w:val="26"/>
                              </w:rPr>
                              <w:t>sul presupposto di una visione unitaria dell’ordinamento giuridico, in cui la normativa privatistica e quella pubblicistica non si presentano come monadi a sé stanti, ma operano in una logica di vasi comunicanti. Detta “tipicità” contrassegna tanto la “causa”, quanto l’”oggetto” di tali contratti e conforma anche il procedimento amministrativo che ne precede la stipula, i cui vizi si ripercuotono sul piano della patologia negoziale nella sua forma più radicale della nullità del contratto. La sentenza è, nel contempo, l’occasione per un momento di verifica dei sempre controversi rapporti tra “diritto amministrativo” e “diritto privato” e tra autonomia negoziale e principio di legalità, confermando un</w:t>
                            </w:r>
                            <w:r w:rsidR="007B2AEB">
                              <w:rPr>
                                <w:rFonts w:ascii="Garamond" w:eastAsia="Cambria" w:hAnsi="Garamond" w:cs="Times New Roman"/>
                                <w:color w:val="000000" w:themeColor="text1"/>
                                <w:sz w:val="26"/>
                                <w:szCs w:val="26"/>
                              </w:rPr>
                              <w:t xml:space="preserve">a volta di più che detto </w:t>
                            </w:r>
                            <w:r w:rsidRPr="003536D7">
                              <w:rPr>
                                <w:rFonts w:ascii="Garamond" w:eastAsia="Cambria" w:hAnsi="Garamond" w:cs="Times New Roman"/>
                                <w:color w:val="000000" w:themeColor="text1"/>
                                <w:sz w:val="26"/>
                                <w:szCs w:val="26"/>
                              </w:rPr>
                              <w:t>principio pervade l’intero raggio dell’azione amministrativa, a prescindere dalla natura giuridica dell’attività esercitata.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3pt;margin-top:14.65pt;width:429.5pt;height:3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">
                <v:textbox>
                  <w:txbxContent>
                    <w:p w:rsidR="00916B47" w:rsidRDefault="00916B47" w:rsidP="003B4922">
                      <w:pPr>
                        <w:jc w:val="both"/>
                        <w:rPr>
                          <w:rFonts w:ascii="Garamond" w:eastAsia="Cambria" w:hAnsi="Garamond" w:cs="Times New Roman"/>
                          <w:color w:val="000000" w:themeColor="text1"/>
                          <w:sz w:val="26"/>
                          <w:szCs w:val="26"/>
                        </w:rPr>
                      </w:pPr>
                    </w:p>
                    <w:p w:rsidR="003536D7" w:rsidRPr="003536D7" w:rsidRDefault="003536D7" w:rsidP="003B4922">
                      <w:pPr>
                        <w:jc w:val="both"/>
                        <w:rPr>
                          <w:rFonts w:ascii="Garamond" w:eastAsia="Cambria" w:hAnsi="Garamond" w:cs="Times New Roman"/>
                          <w:color w:val="000000" w:themeColor="text1"/>
                          <w:sz w:val="26"/>
                          <w:szCs w:val="26"/>
                        </w:rPr>
                      </w:pPr>
                      <w:r w:rsidRPr="003536D7">
                        <w:rPr>
                          <w:rFonts w:ascii="Garamond" w:eastAsia="Cambria" w:hAnsi="Garamond" w:cs="Times New Roman"/>
                          <w:color w:val="000000" w:themeColor="text1"/>
                          <w:sz w:val="26"/>
                          <w:szCs w:val="26"/>
                        </w:rPr>
                        <w:t>Materia: contratti della pubblica amministrazione. Argomento: derivati.</w:t>
                      </w:r>
                    </w:p>
                    <w:p w:rsidR="003536D7" w:rsidRPr="003536D7" w:rsidRDefault="003536D7" w:rsidP="003B4922">
                      <w:pPr>
                        <w:jc w:val="both"/>
                        <w:rPr>
                          <w:sz w:val="26"/>
                          <w:szCs w:val="26"/>
                        </w:rPr>
                      </w:pPr>
                      <w:r w:rsidRPr="003536D7">
                        <w:rPr>
                          <w:rFonts w:ascii="Garamond" w:eastAsia="Cambria" w:hAnsi="Garamond" w:cs="Times New Roman"/>
                          <w:color w:val="000000" w:themeColor="text1"/>
                          <w:sz w:val="26"/>
                          <w:szCs w:val="26"/>
                        </w:rPr>
                        <w:t>ABSTRACT La parabola dei “derivati” degli Enti pubblici territoriali è iniziata negli anni novanta, ha raggiunto il suo culmine negli anni duemila ed è stata contrassegnata da una serie di interventi legislativi progressivamente orientati a delimitare l’ambito dell’autonomia negoziale della Pubblica amministrazione. La sentenza del</w:t>
                      </w:r>
                      <w:r w:rsidR="007B2AEB">
                        <w:rPr>
                          <w:rFonts w:ascii="Garamond" w:eastAsia="Cambria" w:hAnsi="Garamond" w:cs="Times New Roman"/>
                          <w:color w:val="000000" w:themeColor="text1"/>
                          <w:sz w:val="26"/>
                          <w:szCs w:val="26"/>
                        </w:rPr>
                        <w:t xml:space="preserve">le Sezioni Unite della Corte di </w:t>
                      </w:r>
                      <w:r w:rsidRPr="003536D7">
                        <w:rPr>
                          <w:rFonts w:ascii="Garamond" w:eastAsia="Cambria" w:hAnsi="Garamond" w:cs="Times New Roman"/>
                          <w:color w:val="000000" w:themeColor="text1"/>
                          <w:sz w:val="26"/>
                          <w:szCs w:val="26"/>
                        </w:rPr>
                        <w:t xml:space="preserve">Cassazione n. 8770 del 12 maggio 2020, ripercorrendo l’evoluzione normativa, ricostruisce in via interpretativa </w:t>
                      </w:r>
                      <w:r w:rsidR="007B2AEB">
                        <w:rPr>
                          <w:rFonts w:ascii="Garamond" w:eastAsia="Cambria" w:hAnsi="Garamond" w:cs="Times New Roman"/>
                          <w:color w:val="000000" w:themeColor="text1"/>
                          <w:sz w:val="26"/>
                          <w:szCs w:val="26"/>
                        </w:rPr>
                        <w:t xml:space="preserve">la </w:t>
                      </w:r>
                      <w:r w:rsidRPr="003536D7">
                        <w:rPr>
                          <w:rFonts w:ascii="Garamond" w:eastAsia="Cambria" w:hAnsi="Garamond" w:cs="Times New Roman"/>
                          <w:color w:val="000000" w:themeColor="text1"/>
                          <w:sz w:val="26"/>
                          <w:szCs w:val="26"/>
                        </w:rPr>
                        <w:t>“tipizzaz</w:t>
                      </w:r>
                      <w:r w:rsidR="007B2AEB">
                        <w:rPr>
                          <w:rFonts w:ascii="Garamond" w:eastAsia="Cambria" w:hAnsi="Garamond" w:cs="Times New Roman"/>
                          <w:color w:val="000000" w:themeColor="text1"/>
                          <w:sz w:val="26"/>
                          <w:szCs w:val="26"/>
                        </w:rPr>
                        <w:t xml:space="preserve">ione” legislativa di tali contratti </w:t>
                      </w:r>
                      <w:r w:rsidRPr="003536D7">
                        <w:rPr>
                          <w:rFonts w:ascii="Garamond" w:eastAsia="Cambria" w:hAnsi="Garamond" w:cs="Times New Roman"/>
                          <w:color w:val="000000" w:themeColor="text1"/>
                          <w:sz w:val="26"/>
                          <w:szCs w:val="26"/>
                        </w:rPr>
                        <w:t>sul presupposto di una visione unitaria dell’ordinamento giuridico, in cui la normativa privatistica e quella pubblicistica non si presentano come monadi a sé stanti, ma operano in una logica di vasi comunicanti. Detta “tipicità” contrassegna tanto la “causa”, quanto l’”oggetto” di tali contratti e conforma anche il procedimento amministrativo che ne precede la stipula, i cui vizi si ripercuotono sul piano della patologia negoziale nella sua forma più radicale della nullità del contratto. La sentenza è, nel contempo, l’occasione per un momento di verifica dei sempre controversi rapporti tra “diritto amministrativo” e “diritto privato” e tra autonomia negoziale e principio di legalità, confermando un</w:t>
                      </w:r>
                      <w:r w:rsidR="007B2AEB">
                        <w:rPr>
                          <w:rFonts w:ascii="Garamond" w:eastAsia="Cambria" w:hAnsi="Garamond" w:cs="Times New Roman"/>
                          <w:color w:val="000000" w:themeColor="text1"/>
                          <w:sz w:val="26"/>
                          <w:szCs w:val="26"/>
                        </w:rPr>
                        <w:t xml:space="preserve">a volta di più che detto </w:t>
                      </w:r>
                      <w:r w:rsidRPr="003536D7">
                        <w:rPr>
                          <w:rFonts w:ascii="Garamond" w:eastAsia="Cambria" w:hAnsi="Garamond" w:cs="Times New Roman"/>
                          <w:color w:val="000000" w:themeColor="text1"/>
                          <w:sz w:val="26"/>
                          <w:szCs w:val="26"/>
                        </w:rPr>
                        <w:t>principio pervade l’intero raggio dell’azione amministrativa, a prescindere dalla natura giuridica dell’attività esercitata.</w:t>
                      </w:r>
                    </w:p>
                  </w:txbxContent>
                </v:textbox>
              </v:shape>
            </w:pict>
          </mc:Fallback>
        </mc:AlternateContent>
      </w: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B71E9A" w:rsidRDefault="00B71E9A"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3536D7" w:rsidRDefault="003536D7" w:rsidP="00792D4B">
      <w:pPr>
        <w:spacing w:line="360" w:lineRule="auto"/>
        <w:ind w:left="567" w:right="567"/>
        <w:jc w:val="both"/>
        <w:rPr>
          <w:rFonts w:ascii="Garamond" w:hAnsi="Garamond" w:cs="Times New Roman"/>
          <w:b/>
          <w:color w:val="000000" w:themeColor="text1"/>
          <w:sz w:val="26"/>
          <w:szCs w:val="26"/>
          <w:u w:val="single"/>
        </w:rPr>
      </w:pPr>
    </w:p>
    <w:p w:rsidR="00F83D35" w:rsidRDefault="00F83D35" w:rsidP="003536D7">
      <w:pPr>
        <w:ind w:left="567" w:right="567"/>
        <w:jc w:val="both"/>
        <w:rPr>
          <w:rFonts w:ascii="Garamond" w:hAnsi="Garamond" w:cs="Times New Roman"/>
          <w:b/>
          <w:color w:val="000000" w:themeColor="text1"/>
          <w:sz w:val="26"/>
          <w:szCs w:val="26"/>
          <w:u w:val="single"/>
        </w:rPr>
      </w:pPr>
    </w:p>
    <w:p w:rsidR="00F83D35" w:rsidRDefault="00F83D35" w:rsidP="003536D7">
      <w:pPr>
        <w:ind w:left="567" w:right="567"/>
        <w:jc w:val="both"/>
        <w:rPr>
          <w:rFonts w:ascii="Garamond" w:hAnsi="Garamond" w:cs="Times New Roman"/>
          <w:b/>
          <w:color w:val="000000" w:themeColor="text1"/>
          <w:sz w:val="26"/>
          <w:szCs w:val="26"/>
          <w:u w:val="single"/>
        </w:rPr>
      </w:pPr>
    </w:p>
    <w:p w:rsidR="003D73B9" w:rsidRDefault="00D70FCF" w:rsidP="003536D7">
      <w:pPr>
        <w:ind w:left="567" w:right="567"/>
        <w:jc w:val="both"/>
        <w:rPr>
          <w:rFonts w:ascii="Garamond" w:hAnsi="Garamond" w:cs="Times New Roman"/>
          <w:color w:val="000000" w:themeColor="text1"/>
          <w:sz w:val="26"/>
          <w:szCs w:val="26"/>
        </w:rPr>
      </w:pPr>
      <w:r w:rsidRPr="00B97122">
        <w:rPr>
          <w:rFonts w:ascii="Garamond" w:hAnsi="Garamond" w:cs="Times New Roman"/>
          <w:b/>
          <w:color w:val="000000" w:themeColor="text1"/>
          <w:sz w:val="26"/>
          <w:szCs w:val="26"/>
          <w:u w:val="single"/>
        </w:rPr>
        <w:t>Sommario</w:t>
      </w:r>
      <w:r w:rsidRPr="00B97122">
        <w:rPr>
          <w:rFonts w:ascii="Garamond" w:hAnsi="Garamond" w:cs="Times New Roman"/>
          <w:b/>
          <w:color w:val="000000" w:themeColor="text1"/>
          <w:sz w:val="26"/>
          <w:szCs w:val="26"/>
        </w:rPr>
        <w:t xml:space="preserve">: </w:t>
      </w:r>
      <w:r w:rsidR="003D73B9">
        <w:rPr>
          <w:rFonts w:ascii="Garamond" w:hAnsi="Garamond" w:cs="Times New Roman"/>
          <w:b/>
          <w:color w:val="000000" w:themeColor="text1"/>
          <w:sz w:val="26"/>
          <w:szCs w:val="26"/>
        </w:rPr>
        <w:t xml:space="preserve">1. </w:t>
      </w:r>
      <w:r w:rsidR="009A097C">
        <w:rPr>
          <w:rFonts w:ascii="Garamond" w:hAnsi="Garamond" w:cs="Times New Roman"/>
          <w:b/>
          <w:color w:val="000000" w:themeColor="text1"/>
          <w:sz w:val="26"/>
          <w:szCs w:val="26"/>
        </w:rPr>
        <w:t>Premessa. 2</w:t>
      </w:r>
      <w:r w:rsidR="003D73B9">
        <w:rPr>
          <w:rFonts w:ascii="Garamond" w:hAnsi="Garamond" w:cs="Times New Roman"/>
          <w:b/>
          <w:color w:val="000000" w:themeColor="text1"/>
          <w:sz w:val="26"/>
          <w:szCs w:val="26"/>
        </w:rPr>
        <w:t>.</w:t>
      </w:r>
      <w:r w:rsidR="005003C4">
        <w:rPr>
          <w:rFonts w:ascii="Garamond" w:hAnsi="Garamond" w:cs="Times New Roman"/>
          <w:b/>
          <w:color w:val="000000" w:themeColor="text1"/>
          <w:sz w:val="26"/>
          <w:szCs w:val="26"/>
        </w:rPr>
        <w:t xml:space="preserve"> </w:t>
      </w:r>
      <w:r w:rsidR="00EC4E2D">
        <w:rPr>
          <w:rFonts w:ascii="Garamond" w:hAnsi="Garamond" w:cs="Times New Roman"/>
          <w:b/>
          <w:color w:val="000000" w:themeColor="text1"/>
          <w:sz w:val="26"/>
          <w:szCs w:val="26"/>
        </w:rPr>
        <w:t>L’evoluzione normativa dei “de</w:t>
      </w:r>
      <w:r w:rsidR="009A097C">
        <w:rPr>
          <w:rFonts w:ascii="Garamond" w:hAnsi="Garamond" w:cs="Times New Roman"/>
          <w:b/>
          <w:color w:val="000000" w:themeColor="text1"/>
          <w:sz w:val="26"/>
          <w:szCs w:val="26"/>
        </w:rPr>
        <w:t>rivati” degli Enti pubblici. 3</w:t>
      </w:r>
      <w:r w:rsidR="003D73B9">
        <w:rPr>
          <w:rFonts w:ascii="Garamond" w:hAnsi="Garamond" w:cs="Times New Roman"/>
          <w:b/>
          <w:color w:val="000000" w:themeColor="text1"/>
          <w:sz w:val="26"/>
          <w:szCs w:val="26"/>
        </w:rPr>
        <w:t>.</w:t>
      </w:r>
      <w:r w:rsidR="00EC4E2D">
        <w:rPr>
          <w:rFonts w:ascii="Garamond" w:hAnsi="Garamond" w:cs="Times New Roman"/>
          <w:b/>
          <w:color w:val="000000" w:themeColor="text1"/>
          <w:sz w:val="26"/>
          <w:szCs w:val="26"/>
        </w:rPr>
        <w:t xml:space="preserve"> </w:t>
      </w:r>
      <w:r w:rsidR="00D57765">
        <w:rPr>
          <w:rFonts w:ascii="Garamond" w:hAnsi="Garamond" w:cs="Times New Roman"/>
          <w:b/>
          <w:color w:val="000000" w:themeColor="text1"/>
          <w:sz w:val="26"/>
          <w:szCs w:val="26"/>
        </w:rPr>
        <w:t>La tipizzazione dei contratti “derivati” degli Enti pubblici quale portato d</w:t>
      </w:r>
      <w:r w:rsidR="00792D4B">
        <w:rPr>
          <w:rFonts w:ascii="Garamond" w:hAnsi="Garamond" w:cs="Times New Roman"/>
          <w:b/>
          <w:color w:val="000000" w:themeColor="text1"/>
          <w:sz w:val="26"/>
          <w:szCs w:val="26"/>
        </w:rPr>
        <w:t>i una visione unitaria dell’ordinamento.</w:t>
      </w:r>
      <w:r w:rsidR="009A097C">
        <w:rPr>
          <w:rFonts w:ascii="Garamond" w:hAnsi="Garamond" w:cs="Times New Roman"/>
          <w:b/>
          <w:color w:val="000000" w:themeColor="text1"/>
          <w:sz w:val="26"/>
          <w:szCs w:val="26"/>
        </w:rPr>
        <w:t xml:space="preserve"> 4</w:t>
      </w:r>
      <w:r w:rsidR="003D73B9">
        <w:rPr>
          <w:rFonts w:ascii="Garamond" w:hAnsi="Garamond" w:cs="Times New Roman"/>
          <w:b/>
          <w:color w:val="000000" w:themeColor="text1"/>
          <w:sz w:val="26"/>
          <w:szCs w:val="26"/>
        </w:rPr>
        <w:t>.</w:t>
      </w:r>
      <w:r w:rsidR="00D57765">
        <w:rPr>
          <w:rFonts w:ascii="Garamond" w:hAnsi="Garamond" w:cs="Times New Roman"/>
          <w:b/>
          <w:color w:val="000000" w:themeColor="text1"/>
          <w:sz w:val="26"/>
          <w:szCs w:val="26"/>
        </w:rPr>
        <w:t xml:space="preserve"> </w:t>
      </w:r>
      <w:r w:rsidR="003D73B9">
        <w:rPr>
          <w:rFonts w:ascii="Garamond" w:hAnsi="Garamond" w:cs="Times New Roman"/>
          <w:b/>
          <w:color w:val="000000" w:themeColor="text1"/>
          <w:sz w:val="26"/>
          <w:szCs w:val="26"/>
        </w:rPr>
        <w:t xml:space="preserve">La </w:t>
      </w:r>
      <w:r w:rsidR="007B2AEB">
        <w:rPr>
          <w:rFonts w:ascii="Garamond" w:hAnsi="Garamond" w:cs="Times New Roman"/>
          <w:b/>
          <w:color w:val="000000" w:themeColor="text1"/>
          <w:sz w:val="26"/>
          <w:szCs w:val="26"/>
        </w:rPr>
        <w:t>“</w:t>
      </w:r>
      <w:r w:rsidR="003D73B9">
        <w:rPr>
          <w:rFonts w:ascii="Garamond" w:hAnsi="Garamond" w:cs="Times New Roman"/>
          <w:b/>
          <w:color w:val="000000" w:themeColor="text1"/>
          <w:sz w:val="26"/>
          <w:szCs w:val="26"/>
        </w:rPr>
        <w:t>causa</w:t>
      </w:r>
      <w:r w:rsidR="007B2AEB">
        <w:rPr>
          <w:rFonts w:ascii="Garamond" w:hAnsi="Garamond" w:cs="Times New Roman"/>
          <w:b/>
          <w:color w:val="000000" w:themeColor="text1"/>
          <w:sz w:val="26"/>
          <w:szCs w:val="26"/>
        </w:rPr>
        <w:t>”</w:t>
      </w:r>
      <w:r w:rsidR="003D73B9">
        <w:rPr>
          <w:rFonts w:ascii="Garamond" w:hAnsi="Garamond" w:cs="Times New Roman"/>
          <w:b/>
          <w:color w:val="000000" w:themeColor="text1"/>
          <w:sz w:val="26"/>
          <w:szCs w:val="26"/>
        </w:rPr>
        <w:t xml:space="preserve"> tipica dei “derivati” degli Enti pubblici. 5. L’</w:t>
      </w:r>
      <w:r w:rsidR="007B2AEB">
        <w:rPr>
          <w:rFonts w:ascii="Garamond" w:hAnsi="Garamond" w:cs="Times New Roman"/>
          <w:b/>
          <w:color w:val="000000" w:themeColor="text1"/>
          <w:sz w:val="26"/>
          <w:szCs w:val="26"/>
        </w:rPr>
        <w:t>”</w:t>
      </w:r>
      <w:r w:rsidR="003D73B9">
        <w:rPr>
          <w:rFonts w:ascii="Garamond" w:hAnsi="Garamond" w:cs="Times New Roman"/>
          <w:b/>
          <w:color w:val="000000" w:themeColor="text1"/>
          <w:sz w:val="26"/>
          <w:szCs w:val="26"/>
        </w:rPr>
        <w:t>oggetto</w:t>
      </w:r>
      <w:r w:rsidR="007B2AEB">
        <w:rPr>
          <w:rFonts w:ascii="Garamond" w:hAnsi="Garamond" w:cs="Times New Roman"/>
          <w:b/>
          <w:color w:val="000000" w:themeColor="text1"/>
          <w:sz w:val="26"/>
          <w:szCs w:val="26"/>
        </w:rPr>
        <w:t>”</w:t>
      </w:r>
      <w:r w:rsidR="003D73B9">
        <w:rPr>
          <w:rFonts w:ascii="Garamond" w:hAnsi="Garamond" w:cs="Times New Roman"/>
          <w:b/>
          <w:color w:val="000000" w:themeColor="text1"/>
          <w:sz w:val="26"/>
          <w:szCs w:val="26"/>
        </w:rPr>
        <w:t xml:space="preserve"> tipico dei “derivati” degli Enti pubblici. </w:t>
      </w:r>
      <w:r w:rsidR="00CC0FF5">
        <w:rPr>
          <w:rFonts w:ascii="Garamond" w:hAnsi="Garamond" w:cs="Times New Roman"/>
          <w:b/>
          <w:color w:val="000000" w:themeColor="text1"/>
          <w:sz w:val="26"/>
          <w:szCs w:val="26"/>
        </w:rPr>
        <w:t xml:space="preserve">5.1. Il collegamento negoziale tra i “derivati” ed i rapporti debitori sottostanti. </w:t>
      </w:r>
      <w:r w:rsidR="003D73B9">
        <w:rPr>
          <w:rFonts w:ascii="Garamond" w:hAnsi="Garamond" w:cs="Times New Roman"/>
          <w:b/>
          <w:color w:val="000000" w:themeColor="text1"/>
          <w:sz w:val="26"/>
          <w:szCs w:val="26"/>
        </w:rPr>
        <w:t xml:space="preserve">6. La clausola di </w:t>
      </w:r>
      <w:r w:rsidR="003D73B9">
        <w:rPr>
          <w:rFonts w:ascii="Garamond" w:hAnsi="Garamond" w:cs="Times New Roman"/>
          <w:b/>
          <w:i/>
          <w:color w:val="000000" w:themeColor="text1"/>
          <w:sz w:val="26"/>
          <w:szCs w:val="26"/>
        </w:rPr>
        <w:t>up front</w:t>
      </w:r>
      <w:r w:rsidR="003D73B9">
        <w:rPr>
          <w:rFonts w:ascii="Garamond" w:hAnsi="Garamond" w:cs="Times New Roman"/>
          <w:b/>
          <w:color w:val="000000" w:themeColor="text1"/>
          <w:sz w:val="26"/>
          <w:szCs w:val="26"/>
        </w:rPr>
        <w:t xml:space="preserve"> e la nozione di “indebitamento”. 6.1. La clausola di </w:t>
      </w:r>
      <w:r w:rsidR="003D73B9">
        <w:rPr>
          <w:rFonts w:ascii="Garamond" w:hAnsi="Garamond" w:cs="Times New Roman"/>
          <w:b/>
          <w:i/>
          <w:color w:val="000000" w:themeColor="text1"/>
          <w:sz w:val="26"/>
          <w:szCs w:val="26"/>
        </w:rPr>
        <w:t xml:space="preserve">up front </w:t>
      </w:r>
      <w:r w:rsidR="003D73B9">
        <w:rPr>
          <w:rFonts w:ascii="Garamond" w:hAnsi="Garamond" w:cs="Times New Roman"/>
          <w:b/>
          <w:color w:val="000000" w:themeColor="text1"/>
          <w:sz w:val="26"/>
          <w:szCs w:val="26"/>
        </w:rPr>
        <w:t xml:space="preserve">in un nuovo contratto “derivato”. 6.2. La clausola di </w:t>
      </w:r>
      <w:r w:rsidR="003D73B9">
        <w:rPr>
          <w:rFonts w:ascii="Garamond" w:hAnsi="Garamond" w:cs="Times New Roman"/>
          <w:b/>
          <w:i/>
          <w:color w:val="000000" w:themeColor="text1"/>
          <w:sz w:val="26"/>
          <w:szCs w:val="26"/>
        </w:rPr>
        <w:t xml:space="preserve">up front </w:t>
      </w:r>
      <w:r w:rsidR="003D73B9">
        <w:rPr>
          <w:rFonts w:ascii="Garamond" w:hAnsi="Garamond" w:cs="Times New Roman"/>
          <w:b/>
          <w:color w:val="000000" w:themeColor="text1"/>
          <w:sz w:val="26"/>
          <w:szCs w:val="26"/>
        </w:rPr>
        <w:t>in un contratto di “rinegoziazione” di un “derivato” esistente. 6.3. Conseguenze della qualificazione dell’</w:t>
      </w:r>
      <w:r w:rsidR="003D73B9">
        <w:rPr>
          <w:rFonts w:ascii="Garamond" w:hAnsi="Garamond" w:cs="Times New Roman"/>
          <w:b/>
          <w:i/>
          <w:color w:val="000000" w:themeColor="text1"/>
          <w:sz w:val="26"/>
          <w:szCs w:val="26"/>
        </w:rPr>
        <w:t>up-front</w:t>
      </w:r>
      <w:r w:rsidR="003D73B9">
        <w:rPr>
          <w:rFonts w:ascii="Garamond" w:hAnsi="Garamond" w:cs="Times New Roman"/>
          <w:b/>
          <w:color w:val="000000" w:themeColor="text1"/>
          <w:sz w:val="26"/>
          <w:szCs w:val="26"/>
        </w:rPr>
        <w:t xml:space="preserve"> come clausola di “finanziamento”: la </w:t>
      </w:r>
      <w:r w:rsidR="003D73B9">
        <w:rPr>
          <w:rFonts w:ascii="Garamond" w:hAnsi="Garamond" w:cs="Arial"/>
          <w:b/>
          <w:bCs/>
          <w:color w:val="000000"/>
          <w:sz w:val="26"/>
          <w:szCs w:val="26"/>
        </w:rPr>
        <w:t>nullità del “derivato” per violazione dell’art</w:t>
      </w:r>
      <w:r w:rsidR="003D73B9" w:rsidRPr="00A07124">
        <w:rPr>
          <w:rFonts w:ascii="Garamond" w:hAnsi="Garamond" w:cs="Arial"/>
          <w:b/>
          <w:bCs/>
          <w:color w:val="000000"/>
          <w:sz w:val="26"/>
          <w:szCs w:val="26"/>
        </w:rPr>
        <w:t xml:space="preserve">. 119 </w:t>
      </w:r>
      <w:r w:rsidR="003D73B9">
        <w:rPr>
          <w:rFonts w:ascii="Garamond" w:hAnsi="Garamond" w:cs="Arial"/>
          <w:b/>
          <w:bCs/>
          <w:color w:val="000000"/>
          <w:sz w:val="26"/>
          <w:szCs w:val="26"/>
        </w:rPr>
        <w:t>Cost., dell’art. 202 d.l</w:t>
      </w:r>
      <w:r w:rsidR="003D73B9" w:rsidRPr="00A07124">
        <w:rPr>
          <w:rFonts w:ascii="Garamond" w:hAnsi="Garamond" w:cs="Arial"/>
          <w:b/>
          <w:bCs/>
          <w:color w:val="000000"/>
          <w:sz w:val="26"/>
          <w:szCs w:val="26"/>
        </w:rPr>
        <w:t xml:space="preserve">gs. </w:t>
      </w:r>
      <w:r w:rsidR="003D73B9">
        <w:rPr>
          <w:rFonts w:ascii="Garamond" w:hAnsi="Garamond" w:cs="Arial"/>
          <w:b/>
          <w:bCs/>
          <w:color w:val="000000"/>
          <w:sz w:val="26"/>
          <w:szCs w:val="26"/>
        </w:rPr>
        <w:t>n. 267 del 2000 e dell’art. 30, comma</w:t>
      </w:r>
      <w:r w:rsidR="003D73B9" w:rsidRPr="00A07124">
        <w:rPr>
          <w:rFonts w:ascii="Garamond" w:hAnsi="Garamond" w:cs="Arial"/>
          <w:b/>
          <w:bCs/>
          <w:color w:val="000000"/>
          <w:sz w:val="26"/>
          <w:szCs w:val="26"/>
        </w:rPr>
        <w:t xml:space="preserve"> 15, </w:t>
      </w:r>
      <w:r w:rsidR="003D73B9">
        <w:rPr>
          <w:rFonts w:ascii="Garamond" w:hAnsi="Garamond" w:cs="Arial"/>
          <w:b/>
          <w:bCs/>
          <w:color w:val="000000"/>
          <w:sz w:val="26"/>
          <w:szCs w:val="26"/>
        </w:rPr>
        <w:t>l</w:t>
      </w:r>
      <w:r w:rsidR="003D73B9" w:rsidRPr="00A07124">
        <w:rPr>
          <w:rFonts w:ascii="Garamond" w:hAnsi="Garamond" w:cs="Arial"/>
          <w:b/>
          <w:bCs/>
          <w:color w:val="000000"/>
          <w:sz w:val="26"/>
          <w:szCs w:val="26"/>
        </w:rPr>
        <w:t>egge 27</w:t>
      </w:r>
      <w:r w:rsidR="003D73B9">
        <w:rPr>
          <w:rFonts w:ascii="Garamond" w:hAnsi="Garamond" w:cs="Arial"/>
          <w:b/>
          <w:bCs/>
          <w:color w:val="000000"/>
          <w:sz w:val="26"/>
          <w:szCs w:val="26"/>
        </w:rPr>
        <w:t xml:space="preserve"> dicembre </w:t>
      </w:r>
      <w:r w:rsidR="003D73B9" w:rsidRPr="00A07124">
        <w:rPr>
          <w:rFonts w:ascii="Garamond" w:hAnsi="Garamond" w:cs="Arial"/>
          <w:b/>
          <w:bCs/>
          <w:color w:val="000000"/>
          <w:sz w:val="26"/>
          <w:szCs w:val="26"/>
        </w:rPr>
        <w:t>2002, n. 289 (Legge finanziaria 2003).</w:t>
      </w:r>
      <w:r w:rsidR="003D73B9">
        <w:rPr>
          <w:rFonts w:ascii="Garamond" w:hAnsi="Garamond" w:cs="Arial"/>
          <w:b/>
          <w:bCs/>
          <w:color w:val="000000"/>
          <w:sz w:val="26"/>
          <w:szCs w:val="26"/>
        </w:rPr>
        <w:t xml:space="preserve"> </w:t>
      </w:r>
      <w:r w:rsidR="003D73B9">
        <w:rPr>
          <w:rFonts w:ascii="Garamond" w:hAnsi="Garamond" w:cs="Times New Roman"/>
          <w:b/>
          <w:color w:val="000000" w:themeColor="text1"/>
          <w:sz w:val="26"/>
          <w:szCs w:val="26"/>
        </w:rPr>
        <w:t>7.</w:t>
      </w:r>
      <w:r w:rsidR="003D73B9" w:rsidRPr="00770F06">
        <w:rPr>
          <w:rFonts w:ascii="Garamond" w:hAnsi="Garamond" w:cs="Times New Roman"/>
          <w:b/>
          <w:color w:val="000000" w:themeColor="text1"/>
          <w:sz w:val="26"/>
          <w:szCs w:val="26"/>
        </w:rPr>
        <w:t xml:space="preserve"> </w:t>
      </w:r>
      <w:r w:rsidR="003D73B9">
        <w:rPr>
          <w:rFonts w:ascii="Garamond" w:hAnsi="Garamond" w:cs="Times New Roman"/>
          <w:b/>
          <w:color w:val="000000" w:themeColor="text1"/>
          <w:sz w:val="26"/>
          <w:szCs w:val="26"/>
        </w:rPr>
        <w:t>Il procedimento tipico per la stipula dei “derivati” pubblici</w:t>
      </w:r>
      <w:r w:rsidR="008E37EC">
        <w:rPr>
          <w:rFonts w:ascii="Garamond" w:hAnsi="Garamond" w:cs="Times New Roman"/>
          <w:b/>
          <w:color w:val="000000" w:themeColor="text1"/>
          <w:sz w:val="26"/>
          <w:szCs w:val="26"/>
        </w:rPr>
        <w:t>. 7.1. C</w:t>
      </w:r>
      <w:r w:rsidR="004D11E7">
        <w:rPr>
          <w:rFonts w:ascii="Garamond" w:hAnsi="Garamond" w:cs="Times New Roman"/>
          <w:b/>
          <w:color w:val="000000" w:themeColor="text1"/>
          <w:sz w:val="26"/>
          <w:szCs w:val="26"/>
        </w:rPr>
        <w:t>ompetenza.</w:t>
      </w:r>
      <w:r w:rsidR="003D73B9">
        <w:rPr>
          <w:rFonts w:ascii="Garamond" w:hAnsi="Garamond" w:cs="Times New Roman"/>
          <w:b/>
          <w:color w:val="000000" w:themeColor="text1"/>
          <w:sz w:val="26"/>
          <w:szCs w:val="26"/>
        </w:rPr>
        <w:t xml:space="preserve"> </w:t>
      </w:r>
      <w:r w:rsidR="004D11E7">
        <w:rPr>
          <w:rFonts w:ascii="Garamond" w:hAnsi="Garamond"/>
          <w:b/>
          <w:color w:val="000000" w:themeColor="text1"/>
          <w:sz w:val="26"/>
          <w:szCs w:val="26"/>
        </w:rPr>
        <w:t>7.2</w:t>
      </w:r>
      <w:r w:rsidR="008E37EC">
        <w:rPr>
          <w:rFonts w:ascii="Garamond" w:hAnsi="Garamond"/>
          <w:b/>
          <w:color w:val="000000" w:themeColor="text1"/>
          <w:sz w:val="26"/>
          <w:szCs w:val="26"/>
        </w:rPr>
        <w:t>. P</w:t>
      </w:r>
      <w:r w:rsidR="003D73B9">
        <w:rPr>
          <w:rFonts w:ascii="Garamond" w:hAnsi="Garamond"/>
          <w:b/>
          <w:color w:val="000000" w:themeColor="text1"/>
          <w:sz w:val="26"/>
          <w:szCs w:val="26"/>
        </w:rPr>
        <w:t>rocedura di selezione del</w:t>
      </w:r>
      <w:r w:rsidR="004D11E7">
        <w:rPr>
          <w:rFonts w:ascii="Garamond" w:hAnsi="Garamond"/>
          <w:b/>
          <w:color w:val="000000" w:themeColor="text1"/>
          <w:sz w:val="26"/>
          <w:szCs w:val="26"/>
        </w:rPr>
        <w:t>l’intermediario finanziario. 7.3</w:t>
      </w:r>
      <w:r w:rsidR="003D73B9">
        <w:rPr>
          <w:rFonts w:ascii="Garamond" w:hAnsi="Garamond"/>
          <w:b/>
          <w:color w:val="000000" w:themeColor="text1"/>
          <w:sz w:val="26"/>
          <w:szCs w:val="26"/>
        </w:rPr>
        <w:t xml:space="preserve">. Conseguenze della violazione delle norme </w:t>
      </w:r>
      <w:r w:rsidR="004D11E7">
        <w:rPr>
          <w:rFonts w:ascii="Garamond" w:hAnsi="Garamond"/>
          <w:b/>
          <w:color w:val="000000" w:themeColor="text1"/>
          <w:sz w:val="26"/>
          <w:szCs w:val="26"/>
        </w:rPr>
        <w:t>procedimentali</w:t>
      </w:r>
      <w:r w:rsidR="003D73B9">
        <w:rPr>
          <w:rFonts w:ascii="Garamond" w:hAnsi="Garamond"/>
          <w:b/>
          <w:color w:val="000000" w:themeColor="text1"/>
          <w:sz w:val="26"/>
          <w:szCs w:val="26"/>
        </w:rPr>
        <w:t xml:space="preserve"> sulla validità dei contratti “derivati”. </w:t>
      </w:r>
      <w:r w:rsidR="003D73B9">
        <w:rPr>
          <w:rFonts w:ascii="Garamond" w:hAnsi="Garamond" w:cs="Times New Roman"/>
          <w:b/>
          <w:color w:val="000000" w:themeColor="text1"/>
          <w:sz w:val="26"/>
          <w:szCs w:val="26"/>
        </w:rPr>
        <w:t>8. Autonomia negoziale della Pubblica amministrazione e principio di legalità: considerazioni finali.</w:t>
      </w:r>
    </w:p>
    <w:p w:rsidR="003D73B9" w:rsidRDefault="003D73B9" w:rsidP="003D73B9">
      <w:pPr>
        <w:pStyle w:val="Corpotesto"/>
        <w:spacing w:after="0" w:line="360" w:lineRule="auto"/>
        <w:ind w:left="567" w:right="567"/>
        <w:jc w:val="both"/>
        <w:rPr>
          <w:rFonts w:ascii="Garamond" w:hAnsi="Garamond" w:cs="Arial"/>
          <w:color w:val="000000"/>
          <w:sz w:val="26"/>
          <w:szCs w:val="26"/>
        </w:rPr>
      </w:pPr>
    </w:p>
    <w:p w:rsidR="00AF47E9" w:rsidRDefault="009A097C" w:rsidP="00EF34FD">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lastRenderedPageBreak/>
        <w:t>1</w:t>
      </w:r>
      <w:r w:rsidR="003D73B9">
        <w:rPr>
          <w:rFonts w:ascii="Garamond" w:hAnsi="Garamond" w:cs="Times New Roman"/>
          <w:b/>
          <w:color w:val="000000" w:themeColor="text1"/>
          <w:sz w:val="26"/>
          <w:szCs w:val="26"/>
        </w:rPr>
        <w:t>.</w:t>
      </w:r>
      <w:r w:rsidR="00EF34FD" w:rsidRPr="00B97122">
        <w:rPr>
          <w:rFonts w:ascii="Garamond" w:hAnsi="Garamond" w:cs="Times New Roman"/>
          <w:b/>
          <w:color w:val="000000" w:themeColor="text1"/>
          <w:sz w:val="26"/>
          <w:szCs w:val="26"/>
        </w:rPr>
        <w:t xml:space="preserve"> </w:t>
      </w:r>
      <w:r w:rsidR="00AF47E9">
        <w:rPr>
          <w:rFonts w:ascii="Garamond" w:hAnsi="Garamond" w:cs="Times New Roman"/>
          <w:b/>
          <w:color w:val="000000" w:themeColor="text1"/>
          <w:sz w:val="26"/>
          <w:szCs w:val="26"/>
        </w:rPr>
        <w:t>Premessa.</w:t>
      </w:r>
    </w:p>
    <w:p w:rsidR="00E01B29" w:rsidRDefault="00AF47E9" w:rsidP="00E01B29">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Il presente scritto trae </w:t>
      </w:r>
      <w:r w:rsidR="005A5BCC">
        <w:rPr>
          <w:rFonts w:ascii="Garamond" w:hAnsi="Garamond" w:cs="Times New Roman"/>
          <w:color w:val="000000" w:themeColor="text1"/>
          <w:sz w:val="26"/>
          <w:szCs w:val="26"/>
        </w:rPr>
        <w:t xml:space="preserve">spunto </w:t>
      </w:r>
      <w:r>
        <w:rPr>
          <w:rFonts w:ascii="Garamond" w:hAnsi="Garamond" w:cs="Times New Roman"/>
          <w:color w:val="000000" w:themeColor="text1"/>
          <w:sz w:val="26"/>
          <w:szCs w:val="26"/>
        </w:rPr>
        <w:t>dalla recente pronuncia delle Sezioni Unite della Corte di Cassazione n. 8770 del 12 maggio 2020, con la quale la S.C.</w:t>
      </w:r>
      <w:r w:rsidR="00E01B29">
        <w:rPr>
          <w:rFonts w:ascii="Garamond" w:hAnsi="Garamond" w:cs="Times New Roman"/>
          <w:color w:val="000000" w:themeColor="text1"/>
          <w:sz w:val="26"/>
          <w:szCs w:val="26"/>
        </w:rPr>
        <w:t xml:space="preserve"> ha </w:t>
      </w:r>
      <w:r>
        <w:rPr>
          <w:rFonts w:ascii="Garamond" w:hAnsi="Garamond" w:cs="Times New Roman"/>
          <w:color w:val="000000" w:themeColor="text1"/>
          <w:sz w:val="26"/>
          <w:szCs w:val="26"/>
        </w:rPr>
        <w:t>rigetta</w:t>
      </w:r>
      <w:r w:rsidR="00E01B29">
        <w:rPr>
          <w:rFonts w:ascii="Garamond" w:hAnsi="Garamond" w:cs="Times New Roman"/>
          <w:color w:val="000000" w:themeColor="text1"/>
          <w:sz w:val="26"/>
          <w:szCs w:val="26"/>
        </w:rPr>
        <w:t>to</w:t>
      </w:r>
      <w:r>
        <w:rPr>
          <w:rFonts w:ascii="Garamond" w:hAnsi="Garamond" w:cs="Times New Roman"/>
          <w:color w:val="000000" w:themeColor="text1"/>
          <w:sz w:val="26"/>
          <w:szCs w:val="26"/>
        </w:rPr>
        <w:t xml:space="preserve"> il ricorso proposto </w:t>
      </w:r>
      <w:r w:rsidR="00E01B29">
        <w:rPr>
          <w:rFonts w:ascii="Garamond" w:hAnsi="Garamond" w:cs="Times New Roman"/>
          <w:color w:val="000000" w:themeColor="text1"/>
          <w:sz w:val="26"/>
          <w:szCs w:val="26"/>
        </w:rPr>
        <w:t>da</w:t>
      </w:r>
      <w:r w:rsidR="005A5BCC">
        <w:rPr>
          <w:rFonts w:ascii="Garamond" w:hAnsi="Garamond" w:cs="Times New Roman"/>
          <w:color w:val="000000" w:themeColor="text1"/>
          <w:sz w:val="26"/>
          <w:szCs w:val="26"/>
        </w:rPr>
        <w:t xml:space="preserve"> una banca avverso </w:t>
      </w:r>
      <w:r w:rsidR="00E01B29">
        <w:rPr>
          <w:rFonts w:ascii="Garamond" w:hAnsi="Garamond" w:cs="Times New Roman"/>
          <w:color w:val="000000" w:themeColor="text1"/>
          <w:sz w:val="26"/>
          <w:szCs w:val="26"/>
        </w:rPr>
        <w:t>la sentenza della Corte di Appello di Bologna n. 734 del 11</w:t>
      </w:r>
      <w:r w:rsidR="00C12BCA">
        <w:rPr>
          <w:rFonts w:ascii="Garamond" w:hAnsi="Garamond" w:cs="Times New Roman"/>
          <w:color w:val="000000" w:themeColor="text1"/>
          <w:sz w:val="26"/>
          <w:szCs w:val="26"/>
        </w:rPr>
        <w:t xml:space="preserve"> marzo </w:t>
      </w:r>
      <w:r w:rsidR="00E01B29">
        <w:rPr>
          <w:rFonts w:ascii="Garamond" w:hAnsi="Garamond" w:cs="Times New Roman"/>
          <w:color w:val="000000" w:themeColor="text1"/>
          <w:sz w:val="26"/>
          <w:szCs w:val="26"/>
        </w:rPr>
        <w:t>2014</w:t>
      </w:r>
      <w:r w:rsidR="00C12BCA">
        <w:rPr>
          <w:rFonts w:ascii="Garamond" w:hAnsi="Garamond" w:cs="Times New Roman"/>
          <w:color w:val="000000" w:themeColor="text1"/>
          <w:sz w:val="26"/>
          <w:szCs w:val="26"/>
        </w:rPr>
        <w:t>,</w:t>
      </w:r>
      <w:r w:rsidR="00E01B29">
        <w:rPr>
          <w:rFonts w:ascii="Garamond" w:hAnsi="Garamond" w:cs="Times New Roman"/>
          <w:color w:val="000000" w:themeColor="text1"/>
          <w:sz w:val="26"/>
          <w:szCs w:val="26"/>
        </w:rPr>
        <w:t xml:space="preserve"> con cui era stata dichiarata la nullità e l’inefficacia di alcuni contratti di finanza derivata stipulati </w:t>
      </w:r>
      <w:r w:rsidR="00B56325">
        <w:rPr>
          <w:rFonts w:ascii="Garamond" w:hAnsi="Garamond" w:cs="Times New Roman"/>
          <w:color w:val="000000" w:themeColor="text1"/>
          <w:sz w:val="26"/>
          <w:szCs w:val="26"/>
        </w:rPr>
        <w:t>con</w:t>
      </w:r>
      <w:r w:rsidR="005A5BCC">
        <w:rPr>
          <w:rFonts w:ascii="Garamond" w:hAnsi="Garamond" w:cs="Times New Roman"/>
          <w:color w:val="000000" w:themeColor="text1"/>
          <w:sz w:val="26"/>
          <w:szCs w:val="26"/>
        </w:rPr>
        <w:t xml:space="preserve"> un Comune </w:t>
      </w:r>
      <w:r w:rsidR="00E01B29" w:rsidRPr="00B97122">
        <w:rPr>
          <w:rStyle w:val="Rimandonotaapidipagina"/>
          <w:rFonts w:ascii="Garamond" w:hAnsi="Garamond" w:cs="Times New Roman"/>
          <w:color w:val="000000" w:themeColor="text1"/>
          <w:sz w:val="26"/>
          <w:szCs w:val="26"/>
        </w:rPr>
        <w:footnoteReference w:id="1"/>
      </w:r>
      <w:r w:rsidR="00E01B29">
        <w:rPr>
          <w:rFonts w:ascii="Garamond" w:hAnsi="Garamond" w:cs="Times New Roman"/>
          <w:color w:val="000000" w:themeColor="text1"/>
          <w:sz w:val="26"/>
          <w:szCs w:val="26"/>
        </w:rPr>
        <w:t xml:space="preserve">.  </w:t>
      </w:r>
    </w:p>
    <w:p w:rsidR="00B56325" w:rsidRDefault="00B56325" w:rsidP="00E01B29">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E’ importante</w:t>
      </w:r>
      <w:r w:rsidR="008E37EC">
        <w:rPr>
          <w:rFonts w:ascii="Garamond" w:hAnsi="Garamond" w:cs="Times New Roman"/>
          <w:color w:val="000000" w:themeColor="text1"/>
          <w:sz w:val="26"/>
          <w:szCs w:val="26"/>
        </w:rPr>
        <w:t>, sin d’ora,</w:t>
      </w:r>
      <w:r>
        <w:rPr>
          <w:rFonts w:ascii="Garamond" w:hAnsi="Garamond" w:cs="Times New Roman"/>
          <w:color w:val="000000" w:themeColor="text1"/>
          <w:sz w:val="26"/>
          <w:szCs w:val="26"/>
        </w:rPr>
        <w:t xml:space="preserve"> sottolineare che detti contratti </w:t>
      </w:r>
      <w:r w:rsidR="0089042B">
        <w:rPr>
          <w:rFonts w:ascii="Garamond" w:hAnsi="Garamond" w:cs="Times New Roman"/>
          <w:color w:val="000000" w:themeColor="text1"/>
          <w:sz w:val="26"/>
          <w:szCs w:val="26"/>
        </w:rPr>
        <w:t xml:space="preserve">(quantomeno quelli per i quali vi era un effettivo interesse </w:t>
      </w:r>
      <w:r w:rsidR="001B2EB7">
        <w:rPr>
          <w:rFonts w:ascii="Garamond" w:hAnsi="Garamond" w:cs="Times New Roman"/>
          <w:color w:val="000000" w:themeColor="text1"/>
          <w:sz w:val="26"/>
          <w:szCs w:val="26"/>
        </w:rPr>
        <w:t xml:space="preserve">dell’Ente </w:t>
      </w:r>
      <w:r w:rsidR="0089042B">
        <w:rPr>
          <w:rFonts w:ascii="Garamond" w:hAnsi="Garamond" w:cs="Times New Roman"/>
          <w:color w:val="000000" w:themeColor="text1"/>
          <w:sz w:val="26"/>
          <w:szCs w:val="26"/>
        </w:rPr>
        <w:t xml:space="preserve">alla loro caducazione) </w:t>
      </w:r>
      <w:r>
        <w:rPr>
          <w:rFonts w:ascii="Garamond" w:hAnsi="Garamond" w:cs="Times New Roman"/>
          <w:color w:val="000000" w:themeColor="text1"/>
          <w:sz w:val="26"/>
          <w:szCs w:val="26"/>
        </w:rPr>
        <w:t>erano stat</w:t>
      </w:r>
      <w:r w:rsidR="001B2EB7">
        <w:rPr>
          <w:rFonts w:ascii="Garamond" w:hAnsi="Garamond" w:cs="Times New Roman"/>
          <w:color w:val="000000" w:themeColor="text1"/>
          <w:sz w:val="26"/>
          <w:szCs w:val="26"/>
        </w:rPr>
        <w:t xml:space="preserve">i sottoscritti </w:t>
      </w:r>
      <w:r>
        <w:rPr>
          <w:rFonts w:ascii="Garamond" w:hAnsi="Garamond" w:cs="Times New Roman"/>
          <w:color w:val="000000" w:themeColor="text1"/>
          <w:sz w:val="26"/>
          <w:szCs w:val="26"/>
        </w:rPr>
        <w:t xml:space="preserve">nel 2013 e quindi prima che </w:t>
      </w:r>
      <w:r w:rsidR="00FF4C3A">
        <w:rPr>
          <w:rFonts w:ascii="Garamond" w:hAnsi="Garamond" w:cs="Times New Roman"/>
          <w:color w:val="000000" w:themeColor="text1"/>
          <w:sz w:val="26"/>
          <w:szCs w:val="26"/>
        </w:rPr>
        <w:t>gran parte del</w:t>
      </w:r>
      <w:r w:rsidR="008E37EC">
        <w:rPr>
          <w:rFonts w:ascii="Garamond" w:hAnsi="Garamond" w:cs="Times New Roman"/>
          <w:color w:val="000000" w:themeColor="text1"/>
          <w:sz w:val="26"/>
          <w:szCs w:val="26"/>
        </w:rPr>
        <w:t>la normativa in materia d</w:t>
      </w:r>
      <w:r>
        <w:rPr>
          <w:rFonts w:ascii="Garamond" w:hAnsi="Garamond" w:cs="Times New Roman"/>
          <w:color w:val="000000" w:themeColor="text1"/>
          <w:sz w:val="26"/>
          <w:szCs w:val="26"/>
        </w:rPr>
        <w:t>i “derivati” degli Enti pubblici prendesse corpo</w:t>
      </w:r>
      <w:r w:rsidR="0089042B">
        <w:rPr>
          <w:rFonts w:ascii="Garamond" w:hAnsi="Garamond" w:cs="Times New Roman"/>
          <w:color w:val="000000" w:themeColor="text1"/>
          <w:sz w:val="26"/>
          <w:szCs w:val="26"/>
        </w:rPr>
        <w:t xml:space="preserve"> </w:t>
      </w:r>
      <w:r w:rsidR="0089042B" w:rsidRPr="00B97122">
        <w:rPr>
          <w:rStyle w:val="Rimandonotaapidipagina"/>
          <w:rFonts w:ascii="Garamond" w:hAnsi="Garamond" w:cs="Times New Roman"/>
          <w:color w:val="000000" w:themeColor="text1"/>
          <w:sz w:val="26"/>
          <w:szCs w:val="26"/>
        </w:rPr>
        <w:footnoteReference w:id="2"/>
      </w:r>
      <w:r>
        <w:rPr>
          <w:rFonts w:ascii="Garamond" w:hAnsi="Garamond" w:cs="Times New Roman"/>
          <w:color w:val="000000" w:themeColor="text1"/>
          <w:sz w:val="26"/>
          <w:szCs w:val="26"/>
        </w:rPr>
        <w:t>.</w:t>
      </w:r>
    </w:p>
    <w:p w:rsidR="001B2EB7" w:rsidRDefault="001B2EB7" w:rsidP="00E01B29">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Come noto, le problematiche relative a</w:t>
      </w:r>
      <w:r w:rsidR="00FF4C3A">
        <w:rPr>
          <w:rFonts w:ascii="Garamond" w:hAnsi="Garamond" w:cs="Times New Roman"/>
          <w:color w:val="000000" w:themeColor="text1"/>
          <w:sz w:val="26"/>
          <w:szCs w:val="26"/>
        </w:rPr>
        <w:t>i derivati degli En</w:t>
      </w:r>
      <w:r w:rsidR="00E9266B">
        <w:rPr>
          <w:rFonts w:ascii="Garamond" w:hAnsi="Garamond" w:cs="Times New Roman"/>
          <w:color w:val="000000" w:themeColor="text1"/>
          <w:sz w:val="26"/>
          <w:szCs w:val="26"/>
        </w:rPr>
        <w:t>t</w:t>
      </w:r>
      <w:r w:rsidR="00FF4C3A">
        <w:rPr>
          <w:rFonts w:ascii="Garamond" w:hAnsi="Garamond" w:cs="Times New Roman"/>
          <w:color w:val="000000" w:themeColor="text1"/>
          <w:sz w:val="26"/>
          <w:szCs w:val="26"/>
        </w:rPr>
        <w:t xml:space="preserve">i pubblici </w:t>
      </w:r>
      <w:r w:rsidR="00E9266B">
        <w:rPr>
          <w:rFonts w:ascii="Garamond" w:hAnsi="Garamond" w:cs="Times New Roman"/>
          <w:color w:val="000000" w:themeColor="text1"/>
          <w:sz w:val="26"/>
          <w:szCs w:val="26"/>
        </w:rPr>
        <w:t>(</w:t>
      </w:r>
      <w:r w:rsidR="00FF4C3A">
        <w:rPr>
          <w:rFonts w:ascii="Garamond" w:hAnsi="Garamond" w:cs="Times New Roman"/>
          <w:color w:val="000000" w:themeColor="text1"/>
          <w:sz w:val="26"/>
          <w:szCs w:val="26"/>
        </w:rPr>
        <w:t>ed in particolare delle Regio</w:t>
      </w:r>
      <w:r w:rsidR="008E37EC">
        <w:rPr>
          <w:rFonts w:ascii="Garamond" w:hAnsi="Garamond" w:cs="Times New Roman"/>
          <w:color w:val="000000" w:themeColor="text1"/>
          <w:sz w:val="26"/>
          <w:szCs w:val="26"/>
        </w:rPr>
        <w:t>ni e degli Enti locali)</w:t>
      </w:r>
      <w:r>
        <w:rPr>
          <w:rFonts w:ascii="Garamond" w:hAnsi="Garamond" w:cs="Times New Roman"/>
          <w:color w:val="000000" w:themeColor="text1"/>
          <w:sz w:val="26"/>
          <w:szCs w:val="26"/>
        </w:rPr>
        <w:t xml:space="preserve"> </w:t>
      </w:r>
      <w:r w:rsidR="008E37EC">
        <w:rPr>
          <w:rFonts w:ascii="Garamond" w:hAnsi="Garamond" w:cs="Times New Roman"/>
          <w:color w:val="000000" w:themeColor="text1"/>
          <w:sz w:val="26"/>
          <w:szCs w:val="26"/>
        </w:rPr>
        <w:t>sono esplose all’inizio degli anni 2000 e</w:t>
      </w:r>
      <w:r w:rsidR="00FF4C3A">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si sono</w:t>
      </w:r>
      <w:r w:rsidR="00796578">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 xml:space="preserve">notevolmente mitigate </w:t>
      </w:r>
      <w:r w:rsidR="00474D5A">
        <w:rPr>
          <w:rFonts w:ascii="Garamond" w:hAnsi="Garamond" w:cs="Times New Roman"/>
          <w:color w:val="000000" w:themeColor="text1"/>
          <w:sz w:val="26"/>
          <w:szCs w:val="26"/>
        </w:rPr>
        <w:t xml:space="preserve">a seguito dei ripetuti interventi del legislatore, culminati </w:t>
      </w:r>
      <w:r w:rsidR="005003C4">
        <w:rPr>
          <w:rFonts w:ascii="Garamond" w:hAnsi="Garamond" w:cs="Times New Roman"/>
          <w:color w:val="000000" w:themeColor="text1"/>
          <w:sz w:val="26"/>
          <w:szCs w:val="26"/>
        </w:rPr>
        <w:t>con il d</w:t>
      </w:r>
      <w:r w:rsidR="00796578">
        <w:rPr>
          <w:rFonts w:ascii="Garamond" w:hAnsi="Garamond" w:cs="Times New Roman"/>
          <w:color w:val="000000" w:themeColor="text1"/>
          <w:sz w:val="26"/>
          <w:szCs w:val="26"/>
        </w:rPr>
        <w:t>ecreto</w:t>
      </w:r>
      <w:r w:rsidR="00474D5A">
        <w:rPr>
          <w:rFonts w:ascii="Garamond" w:hAnsi="Garamond" w:cs="Times New Roman"/>
          <w:color w:val="000000" w:themeColor="text1"/>
          <w:sz w:val="26"/>
          <w:szCs w:val="26"/>
        </w:rPr>
        <w:t xml:space="preserve"> legge 25 giugno 2008, n. 112</w:t>
      </w:r>
      <w:r>
        <w:rPr>
          <w:rFonts w:ascii="Garamond" w:hAnsi="Garamond" w:cs="Times New Roman"/>
          <w:color w:val="000000" w:themeColor="text1"/>
          <w:sz w:val="26"/>
          <w:szCs w:val="26"/>
        </w:rPr>
        <w:t>.</w:t>
      </w:r>
    </w:p>
    <w:p w:rsidR="001B2EB7" w:rsidRDefault="005003C4" w:rsidP="00E01B29">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Continuano, </w:t>
      </w:r>
      <w:r w:rsidR="001B2EB7">
        <w:rPr>
          <w:rFonts w:ascii="Garamond" w:hAnsi="Garamond" w:cs="Times New Roman"/>
          <w:color w:val="000000" w:themeColor="text1"/>
          <w:sz w:val="26"/>
          <w:szCs w:val="26"/>
        </w:rPr>
        <w:t xml:space="preserve">però, tuttora </w:t>
      </w:r>
      <w:r>
        <w:rPr>
          <w:rFonts w:ascii="Garamond" w:hAnsi="Garamond" w:cs="Times New Roman"/>
          <w:color w:val="000000" w:themeColor="text1"/>
          <w:sz w:val="26"/>
          <w:szCs w:val="26"/>
        </w:rPr>
        <w:t xml:space="preserve">a produrre i loro effetti </w:t>
      </w:r>
      <w:r w:rsidR="00F008BC">
        <w:rPr>
          <w:rFonts w:ascii="Garamond" w:hAnsi="Garamond" w:cs="Times New Roman"/>
          <w:color w:val="000000" w:themeColor="text1"/>
          <w:sz w:val="26"/>
          <w:szCs w:val="26"/>
        </w:rPr>
        <w:t xml:space="preserve">i contratti stipulati prima delle misure di </w:t>
      </w:r>
      <w:r w:rsidR="001B2EB7">
        <w:rPr>
          <w:rFonts w:ascii="Garamond" w:hAnsi="Garamond" w:cs="Times New Roman"/>
          <w:color w:val="000000" w:themeColor="text1"/>
          <w:sz w:val="26"/>
          <w:szCs w:val="26"/>
        </w:rPr>
        <w:t>“</w:t>
      </w:r>
      <w:r w:rsidR="00F008BC">
        <w:rPr>
          <w:rFonts w:ascii="Garamond" w:hAnsi="Garamond" w:cs="Times New Roman"/>
          <w:color w:val="000000" w:themeColor="text1"/>
          <w:sz w:val="26"/>
          <w:szCs w:val="26"/>
        </w:rPr>
        <w:t>contenimento</w:t>
      </w:r>
      <w:r w:rsidR="001B2EB7">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assunte dal legislatore</w:t>
      </w:r>
      <w:r w:rsidR="00F008BC">
        <w:rPr>
          <w:rFonts w:ascii="Garamond" w:hAnsi="Garamond" w:cs="Times New Roman"/>
          <w:color w:val="000000" w:themeColor="text1"/>
          <w:sz w:val="26"/>
          <w:szCs w:val="26"/>
        </w:rPr>
        <w:t xml:space="preserve">, nella gran parte dei casi produttivi di ingenti differenziali negativi a carico delle </w:t>
      </w:r>
      <w:r w:rsidR="001B2EB7">
        <w:rPr>
          <w:rFonts w:ascii="Garamond" w:hAnsi="Garamond" w:cs="Times New Roman"/>
          <w:color w:val="000000" w:themeColor="text1"/>
          <w:sz w:val="26"/>
          <w:szCs w:val="26"/>
        </w:rPr>
        <w:t xml:space="preserve">Pubbliche </w:t>
      </w:r>
      <w:r w:rsidR="00F008BC">
        <w:rPr>
          <w:rFonts w:ascii="Garamond" w:hAnsi="Garamond" w:cs="Times New Roman"/>
          <w:color w:val="000000" w:themeColor="text1"/>
          <w:sz w:val="26"/>
          <w:szCs w:val="26"/>
        </w:rPr>
        <w:t xml:space="preserve">Amministrazioni </w:t>
      </w:r>
      <w:r w:rsidR="001B2EB7" w:rsidRPr="00B97122">
        <w:rPr>
          <w:rStyle w:val="Rimandonotaapidipagina"/>
          <w:rFonts w:ascii="Garamond" w:hAnsi="Garamond" w:cs="Times New Roman"/>
          <w:color w:val="000000" w:themeColor="text1"/>
          <w:sz w:val="26"/>
          <w:szCs w:val="26"/>
        </w:rPr>
        <w:footnoteReference w:id="3"/>
      </w:r>
      <w:r>
        <w:rPr>
          <w:rFonts w:ascii="Garamond" w:hAnsi="Garamond" w:cs="Times New Roman"/>
          <w:color w:val="000000" w:themeColor="text1"/>
          <w:sz w:val="26"/>
          <w:szCs w:val="26"/>
        </w:rPr>
        <w:t xml:space="preserve"> </w:t>
      </w:r>
      <w:r w:rsidR="00F008BC">
        <w:rPr>
          <w:rFonts w:ascii="Garamond" w:hAnsi="Garamond" w:cs="Times New Roman"/>
          <w:color w:val="000000" w:themeColor="text1"/>
          <w:sz w:val="26"/>
          <w:szCs w:val="26"/>
        </w:rPr>
        <w:t xml:space="preserve">: </w:t>
      </w:r>
      <w:r w:rsidR="001B2EB7">
        <w:rPr>
          <w:rFonts w:ascii="Garamond" w:hAnsi="Garamond" w:cs="Times New Roman"/>
          <w:color w:val="000000" w:themeColor="text1"/>
          <w:sz w:val="26"/>
          <w:szCs w:val="26"/>
        </w:rPr>
        <w:t>ed è per queste ultime situazioni che la sentenza delle Sezioni Unite</w:t>
      </w:r>
      <w:r w:rsidR="007B69E2">
        <w:rPr>
          <w:rFonts w:ascii="Garamond" w:hAnsi="Garamond" w:cs="Times New Roman"/>
          <w:color w:val="000000" w:themeColor="text1"/>
          <w:sz w:val="26"/>
          <w:szCs w:val="26"/>
        </w:rPr>
        <w:t xml:space="preserve">, intervenuta a dirimere </w:t>
      </w:r>
      <w:r w:rsidR="008E37EC">
        <w:rPr>
          <w:rFonts w:ascii="Garamond" w:hAnsi="Garamond" w:cs="Times New Roman"/>
          <w:color w:val="000000" w:themeColor="text1"/>
          <w:sz w:val="26"/>
          <w:szCs w:val="26"/>
        </w:rPr>
        <w:t>“</w:t>
      </w:r>
      <w:r w:rsidR="007B69E2">
        <w:rPr>
          <w:rFonts w:ascii="Garamond" w:hAnsi="Garamond" w:cs="Times New Roman"/>
          <w:color w:val="000000" w:themeColor="text1"/>
          <w:sz w:val="26"/>
          <w:szCs w:val="26"/>
        </w:rPr>
        <w:t>questioni di massima di particolare importanza</w:t>
      </w:r>
      <w:r w:rsidR="008E37EC">
        <w:rPr>
          <w:rFonts w:ascii="Garamond" w:hAnsi="Garamond" w:cs="Times New Roman"/>
          <w:color w:val="000000" w:themeColor="text1"/>
          <w:sz w:val="26"/>
          <w:szCs w:val="26"/>
        </w:rPr>
        <w:t>”</w:t>
      </w:r>
      <w:r w:rsidR="007B69E2">
        <w:rPr>
          <w:rFonts w:ascii="Garamond" w:hAnsi="Garamond" w:cs="Times New Roman"/>
          <w:color w:val="000000" w:themeColor="text1"/>
          <w:sz w:val="26"/>
          <w:szCs w:val="26"/>
        </w:rPr>
        <w:t xml:space="preserve"> per gli interessi degli Enti pubblici </w:t>
      </w:r>
      <w:r w:rsidR="007B69E2">
        <w:rPr>
          <w:rFonts w:ascii="Garamond" w:hAnsi="Garamond" w:cs="Times New Roman"/>
          <w:color w:val="000000" w:themeColor="text1"/>
          <w:sz w:val="26"/>
          <w:szCs w:val="26"/>
        </w:rPr>
        <w:lastRenderedPageBreak/>
        <w:t>- in particolare territoriali (e delle collettività da essa rappresentati</w:t>
      </w:r>
      <w:r w:rsidR="008E37EC">
        <w:rPr>
          <w:rFonts w:ascii="Garamond" w:hAnsi="Garamond" w:cs="Times New Roman"/>
          <w:color w:val="000000" w:themeColor="text1"/>
          <w:sz w:val="26"/>
          <w:szCs w:val="26"/>
        </w:rPr>
        <w:t>)</w:t>
      </w:r>
      <w:r w:rsidR="007B69E2">
        <w:rPr>
          <w:rFonts w:ascii="Garamond" w:hAnsi="Garamond" w:cs="Times New Roman"/>
          <w:color w:val="000000" w:themeColor="text1"/>
          <w:sz w:val="26"/>
          <w:szCs w:val="26"/>
        </w:rPr>
        <w:t xml:space="preserve"> </w:t>
      </w:r>
      <w:r w:rsidR="001B2EB7">
        <w:rPr>
          <w:rFonts w:ascii="Garamond" w:hAnsi="Garamond" w:cs="Times New Roman"/>
          <w:color w:val="000000" w:themeColor="text1"/>
          <w:sz w:val="26"/>
          <w:szCs w:val="26"/>
        </w:rPr>
        <w:t xml:space="preserve"> </w:t>
      </w:r>
      <w:r w:rsidR="007E7016">
        <w:rPr>
          <w:rFonts w:ascii="Garamond" w:hAnsi="Garamond" w:cs="Times New Roman"/>
          <w:color w:val="000000" w:themeColor="text1"/>
          <w:sz w:val="26"/>
          <w:szCs w:val="26"/>
        </w:rPr>
        <w:t xml:space="preserve">è destinata a </w:t>
      </w:r>
      <w:r w:rsidR="001B2EB7">
        <w:rPr>
          <w:rFonts w:ascii="Garamond" w:hAnsi="Garamond" w:cs="Times New Roman"/>
          <w:color w:val="000000" w:themeColor="text1"/>
          <w:sz w:val="26"/>
          <w:szCs w:val="26"/>
        </w:rPr>
        <w:t>produrr</w:t>
      </w:r>
      <w:r w:rsidR="007E7016">
        <w:rPr>
          <w:rFonts w:ascii="Garamond" w:hAnsi="Garamond" w:cs="Times New Roman"/>
          <w:color w:val="000000" w:themeColor="text1"/>
          <w:sz w:val="26"/>
          <w:szCs w:val="26"/>
        </w:rPr>
        <w:t>e</w:t>
      </w:r>
      <w:r w:rsidR="001B2EB7">
        <w:rPr>
          <w:rFonts w:ascii="Garamond" w:hAnsi="Garamond" w:cs="Times New Roman"/>
          <w:color w:val="000000" w:themeColor="text1"/>
          <w:sz w:val="26"/>
          <w:szCs w:val="26"/>
        </w:rPr>
        <w:t xml:space="preserve"> i suoi effetti</w:t>
      </w:r>
      <w:r>
        <w:rPr>
          <w:rFonts w:ascii="Garamond" w:hAnsi="Garamond" w:cs="Times New Roman"/>
          <w:color w:val="000000" w:themeColor="text1"/>
          <w:sz w:val="26"/>
          <w:szCs w:val="26"/>
        </w:rPr>
        <w:t xml:space="preserve"> pratici</w:t>
      </w:r>
      <w:r w:rsidR="007B69E2">
        <w:rPr>
          <w:rFonts w:ascii="Garamond" w:hAnsi="Garamond" w:cs="Times New Roman"/>
          <w:color w:val="000000" w:themeColor="text1"/>
          <w:sz w:val="26"/>
          <w:szCs w:val="26"/>
        </w:rPr>
        <w:t xml:space="preserve"> </w:t>
      </w:r>
      <w:r w:rsidR="00767395" w:rsidRPr="00B97122">
        <w:rPr>
          <w:rStyle w:val="Rimandonotaapidipagina"/>
          <w:rFonts w:ascii="Garamond" w:hAnsi="Garamond" w:cs="Times New Roman"/>
          <w:color w:val="000000" w:themeColor="text1"/>
          <w:sz w:val="26"/>
          <w:szCs w:val="26"/>
        </w:rPr>
        <w:footnoteReference w:id="4"/>
      </w:r>
      <w:r w:rsidR="001B2EB7">
        <w:rPr>
          <w:rFonts w:ascii="Garamond" w:hAnsi="Garamond" w:cs="Times New Roman"/>
          <w:color w:val="000000" w:themeColor="text1"/>
          <w:sz w:val="26"/>
          <w:szCs w:val="26"/>
        </w:rPr>
        <w:t>.</w:t>
      </w:r>
    </w:p>
    <w:p w:rsidR="007B69E2" w:rsidRDefault="007E7016" w:rsidP="005003C4">
      <w:pPr>
        <w:spacing w:line="360" w:lineRule="auto"/>
        <w:ind w:left="567" w:right="567" w:firstLine="142"/>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La pronuncia è, </w:t>
      </w:r>
      <w:r w:rsidR="00767395">
        <w:rPr>
          <w:rFonts w:ascii="Garamond" w:hAnsi="Garamond" w:cs="Times New Roman"/>
          <w:color w:val="000000" w:themeColor="text1"/>
          <w:sz w:val="26"/>
          <w:szCs w:val="26"/>
        </w:rPr>
        <w:t xml:space="preserve">nel contempo, </w:t>
      </w:r>
      <w:r w:rsidR="005003C4">
        <w:rPr>
          <w:rFonts w:ascii="Garamond" w:hAnsi="Garamond" w:cs="Times New Roman"/>
          <w:color w:val="000000" w:themeColor="text1"/>
          <w:sz w:val="26"/>
          <w:szCs w:val="26"/>
        </w:rPr>
        <w:t xml:space="preserve">di estrema importanza anche sul piano teorico, in quanto rappresenta un </w:t>
      </w:r>
      <w:r w:rsidR="00474D5A">
        <w:rPr>
          <w:rFonts w:ascii="Garamond" w:hAnsi="Garamond" w:cs="Times New Roman"/>
          <w:color w:val="000000" w:themeColor="text1"/>
          <w:sz w:val="26"/>
          <w:szCs w:val="26"/>
        </w:rPr>
        <w:t xml:space="preserve">fondamentale </w:t>
      </w:r>
      <w:r w:rsidR="00767395">
        <w:rPr>
          <w:rFonts w:ascii="Garamond" w:hAnsi="Garamond" w:cs="Times New Roman"/>
          <w:color w:val="000000" w:themeColor="text1"/>
          <w:sz w:val="26"/>
          <w:szCs w:val="26"/>
        </w:rPr>
        <w:t xml:space="preserve">momento </w:t>
      </w:r>
      <w:r w:rsidR="005003C4">
        <w:rPr>
          <w:rFonts w:ascii="Garamond" w:hAnsi="Garamond" w:cs="Times New Roman"/>
          <w:color w:val="000000" w:themeColor="text1"/>
          <w:sz w:val="26"/>
          <w:szCs w:val="26"/>
        </w:rPr>
        <w:t xml:space="preserve">di verifica dei sempre controversi rapporti tra </w:t>
      </w:r>
      <w:r w:rsidR="00E4686F">
        <w:rPr>
          <w:rFonts w:ascii="Garamond" w:hAnsi="Garamond" w:cs="Times New Roman"/>
          <w:color w:val="000000" w:themeColor="text1"/>
          <w:sz w:val="26"/>
          <w:szCs w:val="26"/>
        </w:rPr>
        <w:t>“</w:t>
      </w:r>
      <w:r w:rsidR="005003C4">
        <w:rPr>
          <w:rFonts w:ascii="Garamond" w:hAnsi="Garamond" w:cs="Times New Roman"/>
          <w:color w:val="000000" w:themeColor="text1"/>
          <w:sz w:val="26"/>
          <w:szCs w:val="26"/>
        </w:rPr>
        <w:t>diritto amministrativo</w:t>
      </w:r>
      <w:r w:rsidR="00E4686F">
        <w:rPr>
          <w:rFonts w:ascii="Garamond" w:hAnsi="Garamond" w:cs="Times New Roman"/>
          <w:color w:val="000000" w:themeColor="text1"/>
          <w:sz w:val="26"/>
          <w:szCs w:val="26"/>
        </w:rPr>
        <w:t>”</w:t>
      </w:r>
      <w:r w:rsidR="005003C4">
        <w:rPr>
          <w:rFonts w:ascii="Garamond" w:hAnsi="Garamond" w:cs="Times New Roman"/>
          <w:color w:val="000000" w:themeColor="text1"/>
          <w:sz w:val="26"/>
          <w:szCs w:val="26"/>
        </w:rPr>
        <w:t xml:space="preserve"> e </w:t>
      </w:r>
      <w:r w:rsidR="00E4686F">
        <w:rPr>
          <w:rFonts w:ascii="Garamond" w:hAnsi="Garamond" w:cs="Times New Roman"/>
          <w:color w:val="000000" w:themeColor="text1"/>
          <w:sz w:val="26"/>
          <w:szCs w:val="26"/>
        </w:rPr>
        <w:t>“</w:t>
      </w:r>
      <w:r w:rsidR="003536D7">
        <w:rPr>
          <w:rFonts w:ascii="Garamond" w:hAnsi="Garamond" w:cs="Times New Roman"/>
          <w:color w:val="000000" w:themeColor="text1"/>
          <w:sz w:val="26"/>
          <w:szCs w:val="26"/>
        </w:rPr>
        <w:t>diritto privato</w:t>
      </w:r>
      <w:r w:rsidR="00E4686F">
        <w:rPr>
          <w:rFonts w:ascii="Garamond" w:hAnsi="Garamond" w:cs="Times New Roman"/>
          <w:color w:val="000000" w:themeColor="text1"/>
          <w:sz w:val="26"/>
          <w:szCs w:val="26"/>
        </w:rPr>
        <w:t>”</w:t>
      </w:r>
      <w:r w:rsidR="005003C4">
        <w:rPr>
          <w:rFonts w:ascii="Garamond" w:hAnsi="Garamond" w:cs="Times New Roman"/>
          <w:color w:val="000000" w:themeColor="text1"/>
          <w:sz w:val="26"/>
          <w:szCs w:val="26"/>
        </w:rPr>
        <w:t xml:space="preserve"> e tra autonomia negoziale e princip</w:t>
      </w:r>
      <w:r w:rsidR="00767395">
        <w:rPr>
          <w:rFonts w:ascii="Garamond" w:hAnsi="Garamond" w:cs="Times New Roman"/>
          <w:color w:val="000000" w:themeColor="text1"/>
          <w:sz w:val="26"/>
          <w:szCs w:val="26"/>
        </w:rPr>
        <w:t>io di legalità amministrativa.</w:t>
      </w:r>
    </w:p>
    <w:p w:rsidR="00D70141" w:rsidRDefault="00D70141" w:rsidP="005003C4">
      <w:pPr>
        <w:spacing w:line="360" w:lineRule="auto"/>
        <w:ind w:left="567" w:right="567"/>
        <w:jc w:val="both"/>
        <w:rPr>
          <w:rFonts w:ascii="Garamond" w:hAnsi="Garamond" w:cs="Times New Roman"/>
          <w:b/>
          <w:color w:val="000000" w:themeColor="text1"/>
          <w:sz w:val="26"/>
          <w:szCs w:val="26"/>
        </w:rPr>
      </w:pPr>
    </w:p>
    <w:p w:rsidR="00D70141" w:rsidRDefault="009A097C" w:rsidP="005003C4">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2</w:t>
      </w:r>
      <w:r w:rsidR="003D73B9">
        <w:rPr>
          <w:rFonts w:ascii="Garamond" w:hAnsi="Garamond" w:cs="Times New Roman"/>
          <w:b/>
          <w:color w:val="000000" w:themeColor="text1"/>
          <w:sz w:val="26"/>
          <w:szCs w:val="26"/>
        </w:rPr>
        <w:t>.</w:t>
      </w:r>
      <w:r w:rsidR="005003C4">
        <w:rPr>
          <w:rFonts w:ascii="Garamond" w:hAnsi="Garamond" w:cs="Times New Roman"/>
          <w:b/>
          <w:color w:val="000000" w:themeColor="text1"/>
          <w:sz w:val="26"/>
          <w:szCs w:val="26"/>
        </w:rPr>
        <w:t xml:space="preserve"> L’evo</w:t>
      </w:r>
      <w:r w:rsidR="00EC4E2D">
        <w:rPr>
          <w:rFonts w:ascii="Garamond" w:hAnsi="Garamond" w:cs="Times New Roman"/>
          <w:b/>
          <w:color w:val="000000" w:themeColor="text1"/>
          <w:sz w:val="26"/>
          <w:szCs w:val="26"/>
        </w:rPr>
        <w:t xml:space="preserve">luzione normativa dei </w:t>
      </w:r>
      <w:r w:rsidR="005003C4">
        <w:rPr>
          <w:rFonts w:ascii="Garamond" w:hAnsi="Garamond" w:cs="Times New Roman"/>
          <w:b/>
          <w:color w:val="000000" w:themeColor="text1"/>
          <w:sz w:val="26"/>
          <w:szCs w:val="26"/>
        </w:rPr>
        <w:t xml:space="preserve">“derivati” </w:t>
      </w:r>
      <w:r w:rsidR="00D70141">
        <w:rPr>
          <w:rFonts w:ascii="Garamond" w:hAnsi="Garamond" w:cs="Times New Roman"/>
          <w:b/>
          <w:color w:val="000000" w:themeColor="text1"/>
          <w:sz w:val="26"/>
          <w:szCs w:val="26"/>
        </w:rPr>
        <w:t>degli Enti pubblici.</w:t>
      </w:r>
    </w:p>
    <w:p w:rsidR="00D70141" w:rsidRDefault="00D70141" w:rsidP="005003C4">
      <w:pPr>
        <w:spacing w:line="360" w:lineRule="auto"/>
        <w:ind w:left="567" w:right="567"/>
        <w:jc w:val="both"/>
        <w:rPr>
          <w:rFonts w:ascii="Garamond" w:hAnsi="Garamond"/>
          <w:sz w:val="26"/>
          <w:szCs w:val="26"/>
        </w:rPr>
      </w:pPr>
      <w:r w:rsidRPr="00D70141">
        <w:rPr>
          <w:rFonts w:ascii="Garamond" w:hAnsi="Garamond" w:cs="Times New Roman"/>
          <w:color w:val="000000" w:themeColor="text1"/>
          <w:sz w:val="26"/>
          <w:szCs w:val="26"/>
        </w:rPr>
        <w:tab/>
        <w:t>Come ricorda</w:t>
      </w:r>
      <w:r w:rsidR="0050390D">
        <w:rPr>
          <w:rFonts w:ascii="Garamond" w:hAnsi="Garamond" w:cs="Times New Roman"/>
          <w:color w:val="000000" w:themeColor="text1"/>
          <w:sz w:val="26"/>
          <w:szCs w:val="26"/>
        </w:rPr>
        <w:t>t</w:t>
      </w:r>
      <w:r>
        <w:rPr>
          <w:rFonts w:ascii="Garamond" w:hAnsi="Garamond" w:cs="Times New Roman"/>
          <w:color w:val="000000" w:themeColor="text1"/>
          <w:sz w:val="26"/>
          <w:szCs w:val="26"/>
        </w:rPr>
        <w:t xml:space="preserve">o </w:t>
      </w:r>
      <w:r w:rsidR="0050390D">
        <w:rPr>
          <w:rFonts w:ascii="Garamond" w:hAnsi="Garamond" w:cs="Times New Roman"/>
          <w:color w:val="000000" w:themeColor="text1"/>
          <w:sz w:val="26"/>
          <w:szCs w:val="26"/>
        </w:rPr>
        <w:t>dal</w:t>
      </w:r>
      <w:r>
        <w:rPr>
          <w:rFonts w:ascii="Garamond" w:hAnsi="Garamond" w:cs="Times New Roman"/>
          <w:color w:val="000000" w:themeColor="text1"/>
          <w:sz w:val="26"/>
          <w:szCs w:val="26"/>
        </w:rPr>
        <w:t xml:space="preserve">le Sezioni Unite, i contratti “derivati” si sono spontaneamente diffusi nella pratica degli affari </w:t>
      </w:r>
      <w:r w:rsidR="004057A0">
        <w:rPr>
          <w:rFonts w:ascii="Garamond" w:hAnsi="Garamond" w:cs="Times New Roman"/>
          <w:color w:val="000000" w:themeColor="text1"/>
          <w:sz w:val="26"/>
          <w:szCs w:val="26"/>
        </w:rPr>
        <w:t xml:space="preserve">privati </w:t>
      </w:r>
      <w:r w:rsidR="002A0C5F">
        <w:rPr>
          <w:rFonts w:ascii="Garamond" w:hAnsi="Garamond" w:cs="Times New Roman"/>
          <w:color w:val="000000" w:themeColor="text1"/>
          <w:sz w:val="26"/>
          <w:szCs w:val="26"/>
        </w:rPr>
        <w:t xml:space="preserve">e manca ancora oggi una definizione legislativa </w:t>
      </w:r>
      <w:r w:rsidR="006347E2">
        <w:rPr>
          <w:rFonts w:ascii="Garamond" w:hAnsi="Garamond" w:cs="Times New Roman"/>
          <w:color w:val="000000" w:themeColor="text1"/>
          <w:sz w:val="26"/>
          <w:szCs w:val="26"/>
        </w:rPr>
        <w:t xml:space="preserve">di carattere generale </w:t>
      </w:r>
      <w:r w:rsidR="002A0C5F" w:rsidRPr="00B97122">
        <w:rPr>
          <w:rStyle w:val="Rimandonotaapidipagina"/>
          <w:rFonts w:ascii="Garamond" w:hAnsi="Garamond" w:cs="Times New Roman"/>
          <w:color w:val="000000" w:themeColor="text1"/>
          <w:sz w:val="26"/>
          <w:szCs w:val="26"/>
        </w:rPr>
        <w:footnoteReference w:id="5"/>
      </w:r>
      <w:r w:rsidR="00DD01EF">
        <w:rPr>
          <w:rFonts w:ascii="Garamond" w:hAnsi="Garamond" w:cs="Times New Roman"/>
          <w:color w:val="000000" w:themeColor="text1"/>
          <w:sz w:val="26"/>
          <w:szCs w:val="26"/>
        </w:rPr>
        <w:t xml:space="preserve"> </w:t>
      </w:r>
      <w:r w:rsidR="0050390D">
        <w:rPr>
          <w:rFonts w:ascii="Garamond" w:hAnsi="Garamond" w:cs="Times New Roman"/>
          <w:color w:val="000000" w:themeColor="text1"/>
          <w:sz w:val="26"/>
          <w:szCs w:val="26"/>
        </w:rPr>
        <w:t xml:space="preserve">: si comprende, pertanto, perché </w:t>
      </w:r>
      <w:r w:rsidR="0050390D" w:rsidRPr="0050390D">
        <w:rPr>
          <w:rFonts w:ascii="Garamond" w:hAnsi="Garamond"/>
          <w:sz w:val="26"/>
          <w:szCs w:val="26"/>
        </w:rPr>
        <w:t xml:space="preserve">dottrina </w:t>
      </w:r>
      <w:r w:rsidR="0016674A">
        <w:rPr>
          <w:rFonts w:ascii="Garamond" w:hAnsi="Garamond"/>
          <w:sz w:val="26"/>
          <w:szCs w:val="26"/>
        </w:rPr>
        <w:t>e giurisprud</w:t>
      </w:r>
      <w:r w:rsidR="00CC0B15">
        <w:rPr>
          <w:rFonts w:ascii="Garamond" w:hAnsi="Garamond"/>
          <w:sz w:val="26"/>
          <w:szCs w:val="26"/>
        </w:rPr>
        <w:t>enza sono concordi nel ritenere che si tratti di</w:t>
      </w:r>
      <w:r w:rsidR="0016674A">
        <w:rPr>
          <w:rFonts w:ascii="Garamond" w:hAnsi="Garamond"/>
          <w:sz w:val="26"/>
          <w:szCs w:val="26"/>
        </w:rPr>
        <w:t xml:space="preserve"> </w:t>
      </w:r>
      <w:r w:rsidR="0050390D" w:rsidRPr="0050390D">
        <w:rPr>
          <w:rFonts w:ascii="Garamond" w:hAnsi="Garamond"/>
          <w:sz w:val="26"/>
          <w:szCs w:val="26"/>
        </w:rPr>
        <w:t>"</w:t>
      </w:r>
      <w:r w:rsidR="0016674A">
        <w:rPr>
          <w:rFonts w:ascii="Garamond" w:hAnsi="Garamond"/>
          <w:sz w:val="26"/>
          <w:szCs w:val="26"/>
        </w:rPr>
        <w:t>contratti atipici</w:t>
      </w:r>
      <w:r w:rsidR="0050390D" w:rsidRPr="0050390D">
        <w:rPr>
          <w:rFonts w:ascii="Garamond" w:hAnsi="Garamond"/>
          <w:sz w:val="26"/>
          <w:szCs w:val="26"/>
        </w:rPr>
        <w:t xml:space="preserve">", sul presupposto della </w:t>
      </w:r>
      <w:r w:rsidR="0050390D">
        <w:rPr>
          <w:rFonts w:ascii="Garamond" w:hAnsi="Garamond"/>
          <w:sz w:val="26"/>
          <w:szCs w:val="26"/>
        </w:rPr>
        <w:t xml:space="preserve">loro </w:t>
      </w:r>
      <w:r w:rsidR="0050390D" w:rsidRPr="0050390D">
        <w:rPr>
          <w:rFonts w:ascii="Garamond" w:hAnsi="Garamond"/>
          <w:sz w:val="26"/>
          <w:szCs w:val="26"/>
        </w:rPr>
        <w:t>irriducibilità ad un tipo legislativamente regolato.</w:t>
      </w:r>
    </w:p>
    <w:p w:rsidR="00C60FC6" w:rsidRDefault="0050390D" w:rsidP="005003C4">
      <w:pPr>
        <w:spacing w:line="360" w:lineRule="auto"/>
        <w:ind w:left="567" w:right="567"/>
        <w:jc w:val="both"/>
        <w:rPr>
          <w:rFonts w:ascii="Garamond" w:hAnsi="Garamond" w:cs="Times New Roman"/>
          <w:color w:val="000000" w:themeColor="text1"/>
          <w:sz w:val="26"/>
          <w:szCs w:val="26"/>
        </w:rPr>
      </w:pPr>
      <w:r>
        <w:rPr>
          <w:rFonts w:ascii="Garamond" w:hAnsi="Garamond" w:cs="Times New Roman"/>
          <w:color w:val="000000" w:themeColor="text1"/>
          <w:sz w:val="26"/>
          <w:szCs w:val="26"/>
        </w:rPr>
        <w:tab/>
        <w:t xml:space="preserve">Ciò riguarda, in particolare, i “derivati” c.d. </w:t>
      </w:r>
      <w:r>
        <w:rPr>
          <w:rFonts w:ascii="Garamond" w:hAnsi="Garamond" w:cs="Times New Roman"/>
          <w:i/>
          <w:color w:val="000000" w:themeColor="text1"/>
          <w:sz w:val="26"/>
          <w:szCs w:val="26"/>
        </w:rPr>
        <w:t xml:space="preserve">over the counter </w:t>
      </w:r>
      <w:r w:rsidRPr="0050390D">
        <w:rPr>
          <w:rFonts w:ascii="Garamond" w:hAnsi="Garamond" w:cs="Times New Roman"/>
          <w:color w:val="000000" w:themeColor="text1"/>
          <w:sz w:val="26"/>
          <w:szCs w:val="26"/>
        </w:rPr>
        <w:t>(OTC)</w:t>
      </w:r>
      <w:r w:rsidR="00DD01EF">
        <w:rPr>
          <w:rFonts w:ascii="Garamond" w:hAnsi="Garamond" w:cs="Times New Roman"/>
          <w:color w:val="000000" w:themeColor="text1"/>
          <w:sz w:val="26"/>
          <w:szCs w:val="26"/>
        </w:rPr>
        <w:t xml:space="preserve"> – e, tra questi, segnatamente, i contratti di </w:t>
      </w:r>
      <w:r w:rsidR="00DD01EF">
        <w:rPr>
          <w:rFonts w:ascii="Garamond" w:hAnsi="Garamond" w:cs="Times New Roman"/>
          <w:i/>
          <w:color w:val="000000" w:themeColor="text1"/>
          <w:sz w:val="26"/>
          <w:szCs w:val="26"/>
        </w:rPr>
        <w:t xml:space="preserve">interest rate swap </w:t>
      </w:r>
      <w:r w:rsidR="00DD01EF">
        <w:rPr>
          <w:rFonts w:ascii="Garamond" w:hAnsi="Garamond" w:cs="Times New Roman"/>
          <w:color w:val="000000" w:themeColor="text1"/>
          <w:sz w:val="26"/>
          <w:szCs w:val="26"/>
        </w:rPr>
        <w:t>(IRS)</w:t>
      </w:r>
      <w:r w:rsidR="006347E2">
        <w:rPr>
          <w:rFonts w:ascii="Garamond" w:hAnsi="Garamond" w:cs="Times New Roman"/>
          <w:color w:val="000000" w:themeColor="text1"/>
          <w:sz w:val="26"/>
          <w:szCs w:val="26"/>
        </w:rPr>
        <w:t>,</w:t>
      </w:r>
      <w:r w:rsidR="00DD01EF">
        <w:rPr>
          <w:rFonts w:ascii="Garamond" w:hAnsi="Garamond" w:cs="Times New Roman"/>
          <w:color w:val="000000" w:themeColor="text1"/>
          <w:sz w:val="26"/>
          <w:szCs w:val="26"/>
        </w:rPr>
        <w:t xml:space="preserve"> maggiormente diffusi tra gli Enti pubblici - </w:t>
      </w:r>
      <w:r>
        <w:rPr>
          <w:rFonts w:ascii="Garamond" w:hAnsi="Garamond" w:cs="Times New Roman"/>
          <w:color w:val="000000" w:themeColor="text1"/>
          <w:sz w:val="26"/>
          <w:szCs w:val="26"/>
        </w:rPr>
        <w:t xml:space="preserve">il cui contenuto è negoziato dalle parti </w:t>
      </w:r>
      <w:r w:rsidR="00DD01EF">
        <w:rPr>
          <w:rFonts w:ascii="Garamond" w:hAnsi="Garamond" w:cs="Times New Roman"/>
          <w:color w:val="000000" w:themeColor="text1"/>
          <w:sz w:val="26"/>
          <w:szCs w:val="26"/>
        </w:rPr>
        <w:t xml:space="preserve">al di fuori di modelli standardizzati </w:t>
      </w:r>
      <w:r w:rsidR="00DD01EF" w:rsidRPr="00B97122">
        <w:rPr>
          <w:rStyle w:val="Rimandonotaapidipagina"/>
          <w:rFonts w:ascii="Garamond" w:hAnsi="Garamond" w:cs="Times New Roman"/>
          <w:color w:val="000000" w:themeColor="text1"/>
          <w:sz w:val="26"/>
          <w:szCs w:val="26"/>
        </w:rPr>
        <w:footnoteReference w:id="6"/>
      </w:r>
      <w:r w:rsidR="00CC0B15">
        <w:rPr>
          <w:rFonts w:ascii="Garamond" w:hAnsi="Garamond" w:cs="Times New Roman"/>
          <w:color w:val="000000" w:themeColor="text1"/>
          <w:sz w:val="26"/>
          <w:szCs w:val="26"/>
        </w:rPr>
        <w:t xml:space="preserve"> e</w:t>
      </w:r>
      <w:r w:rsidR="0016674A">
        <w:rPr>
          <w:rFonts w:ascii="Garamond" w:hAnsi="Garamond" w:cs="Times New Roman"/>
          <w:color w:val="000000" w:themeColor="text1"/>
          <w:sz w:val="26"/>
          <w:szCs w:val="26"/>
        </w:rPr>
        <w:t xml:space="preserve"> per i quali si pone, pertanto, l’esigenza di verificar</w:t>
      </w:r>
      <w:r w:rsidR="006347E2">
        <w:rPr>
          <w:rFonts w:ascii="Garamond" w:hAnsi="Garamond" w:cs="Times New Roman"/>
          <w:color w:val="000000" w:themeColor="text1"/>
          <w:sz w:val="26"/>
          <w:szCs w:val="26"/>
        </w:rPr>
        <w:t>e</w:t>
      </w:r>
      <w:r w:rsidR="0016674A">
        <w:rPr>
          <w:rFonts w:ascii="Garamond" w:hAnsi="Garamond" w:cs="Times New Roman"/>
          <w:color w:val="000000" w:themeColor="text1"/>
          <w:sz w:val="26"/>
          <w:szCs w:val="26"/>
        </w:rPr>
        <w:t xml:space="preserve"> se siano diretti a realizzare interessi meritevoli di tutela secondo l’ordinamento giuridico ex art. 1322, comma 2, cod. civ. </w:t>
      </w:r>
      <w:r w:rsidR="0016674A" w:rsidRPr="00B97122">
        <w:rPr>
          <w:rStyle w:val="Rimandonotaapidipagina"/>
          <w:rFonts w:ascii="Garamond" w:hAnsi="Garamond" w:cs="Times New Roman"/>
          <w:color w:val="000000" w:themeColor="text1"/>
          <w:sz w:val="26"/>
          <w:szCs w:val="26"/>
        </w:rPr>
        <w:footnoteReference w:id="7"/>
      </w:r>
      <w:r w:rsidR="0016674A">
        <w:rPr>
          <w:rFonts w:ascii="Garamond" w:hAnsi="Garamond" w:cs="Times New Roman"/>
          <w:color w:val="000000" w:themeColor="text1"/>
          <w:sz w:val="26"/>
          <w:szCs w:val="26"/>
        </w:rPr>
        <w:t>.</w:t>
      </w:r>
    </w:p>
    <w:p w:rsidR="00D70141" w:rsidRDefault="00C60FC6" w:rsidP="005003C4">
      <w:pPr>
        <w:spacing w:line="360" w:lineRule="auto"/>
        <w:ind w:left="567" w:right="567"/>
        <w:jc w:val="both"/>
        <w:rPr>
          <w:rFonts w:ascii="Garamond" w:eastAsia="Arial" w:hAnsi="Garamond" w:cs="Arial"/>
          <w:color w:val="000000"/>
          <w:sz w:val="26"/>
          <w:szCs w:val="26"/>
        </w:rPr>
      </w:pPr>
      <w:r w:rsidRPr="00C60FC6">
        <w:rPr>
          <w:rFonts w:ascii="Garamond" w:hAnsi="Garamond" w:cs="Times New Roman"/>
          <w:color w:val="000000" w:themeColor="text1"/>
          <w:sz w:val="26"/>
          <w:szCs w:val="26"/>
        </w:rPr>
        <w:tab/>
      </w:r>
      <w:r>
        <w:rPr>
          <w:rFonts w:ascii="Garamond" w:hAnsi="Garamond" w:cs="Times New Roman"/>
          <w:color w:val="000000" w:themeColor="text1"/>
          <w:sz w:val="26"/>
          <w:szCs w:val="26"/>
        </w:rPr>
        <w:t>P</w:t>
      </w:r>
      <w:r w:rsidRPr="00C60FC6">
        <w:rPr>
          <w:rFonts w:ascii="Garamond" w:eastAsia="Arial" w:hAnsi="Garamond" w:cs="Arial"/>
          <w:color w:val="000000"/>
          <w:sz w:val="26"/>
          <w:szCs w:val="26"/>
        </w:rPr>
        <w:t xml:space="preserve">arallelamente alla disciplina </w:t>
      </w:r>
      <w:r>
        <w:rPr>
          <w:rFonts w:ascii="Garamond" w:eastAsia="Arial" w:hAnsi="Garamond" w:cs="Arial"/>
          <w:color w:val="000000"/>
          <w:sz w:val="26"/>
          <w:szCs w:val="26"/>
        </w:rPr>
        <w:t>di diritto comune</w:t>
      </w:r>
      <w:r w:rsidRPr="00C60FC6">
        <w:rPr>
          <w:rFonts w:ascii="Garamond" w:eastAsia="Arial" w:hAnsi="Garamond" w:cs="Arial"/>
          <w:color w:val="000000"/>
          <w:sz w:val="26"/>
          <w:szCs w:val="26"/>
        </w:rPr>
        <w:t>, è andata gradualmente sviluppandosi</w:t>
      </w:r>
      <w:r>
        <w:rPr>
          <w:rFonts w:ascii="Garamond" w:eastAsia="Arial" w:hAnsi="Garamond" w:cs="Arial"/>
          <w:color w:val="000000"/>
          <w:sz w:val="26"/>
          <w:szCs w:val="26"/>
        </w:rPr>
        <w:t xml:space="preserve"> un</w:t>
      </w:r>
      <w:r w:rsidR="006347E2">
        <w:rPr>
          <w:rFonts w:ascii="Garamond" w:eastAsia="Arial" w:hAnsi="Garamond" w:cs="Arial"/>
          <w:color w:val="000000"/>
          <w:sz w:val="26"/>
          <w:szCs w:val="26"/>
        </w:rPr>
        <w:t xml:space="preserve">a regolamentazione </w:t>
      </w:r>
      <w:r>
        <w:rPr>
          <w:rFonts w:ascii="Garamond" w:eastAsia="Arial" w:hAnsi="Garamond" w:cs="Arial"/>
          <w:color w:val="000000"/>
          <w:sz w:val="26"/>
          <w:szCs w:val="26"/>
        </w:rPr>
        <w:t>di stampo pubblicistico</w:t>
      </w:r>
      <w:r w:rsidRPr="00C60FC6">
        <w:rPr>
          <w:rFonts w:ascii="Garamond" w:eastAsia="Arial" w:hAnsi="Garamond" w:cs="Arial"/>
          <w:color w:val="000000"/>
          <w:sz w:val="26"/>
          <w:szCs w:val="26"/>
        </w:rPr>
        <w:t xml:space="preserve">, </w:t>
      </w:r>
      <w:r w:rsidR="006347E2">
        <w:rPr>
          <w:rFonts w:ascii="Garamond" w:eastAsia="Arial" w:hAnsi="Garamond" w:cs="Arial"/>
          <w:color w:val="000000"/>
          <w:sz w:val="26"/>
          <w:szCs w:val="26"/>
        </w:rPr>
        <w:t xml:space="preserve">volta a disciplinare </w:t>
      </w:r>
      <w:r w:rsidRPr="00C60FC6">
        <w:rPr>
          <w:rFonts w:ascii="Garamond" w:eastAsia="Arial" w:hAnsi="Garamond" w:cs="Arial"/>
          <w:color w:val="000000"/>
          <w:sz w:val="26"/>
          <w:szCs w:val="26"/>
        </w:rPr>
        <w:t xml:space="preserve">i contratti </w:t>
      </w:r>
      <w:r>
        <w:rPr>
          <w:rFonts w:ascii="Garamond" w:eastAsia="Arial" w:hAnsi="Garamond" w:cs="Arial"/>
          <w:color w:val="000000"/>
          <w:sz w:val="26"/>
          <w:szCs w:val="26"/>
        </w:rPr>
        <w:t>“</w:t>
      </w:r>
      <w:r w:rsidRPr="00C60FC6">
        <w:rPr>
          <w:rFonts w:ascii="Garamond" w:eastAsia="Arial" w:hAnsi="Garamond" w:cs="Arial"/>
          <w:color w:val="000000"/>
          <w:sz w:val="26"/>
          <w:szCs w:val="26"/>
        </w:rPr>
        <w:t>derivati</w:t>
      </w:r>
      <w:r>
        <w:rPr>
          <w:rFonts w:ascii="Garamond" w:eastAsia="Arial" w:hAnsi="Garamond" w:cs="Arial"/>
          <w:color w:val="000000"/>
          <w:sz w:val="26"/>
          <w:szCs w:val="26"/>
        </w:rPr>
        <w:t>”</w:t>
      </w:r>
      <w:r w:rsidRPr="00C60FC6">
        <w:rPr>
          <w:rFonts w:ascii="Garamond" w:eastAsia="Arial" w:hAnsi="Garamond" w:cs="Arial"/>
          <w:color w:val="000000"/>
          <w:sz w:val="26"/>
          <w:szCs w:val="26"/>
        </w:rPr>
        <w:t xml:space="preserve"> stipulati dagli Enti pubblici</w:t>
      </w:r>
      <w:r>
        <w:rPr>
          <w:rFonts w:ascii="Garamond" w:eastAsia="Arial" w:hAnsi="Garamond" w:cs="Arial"/>
          <w:color w:val="000000"/>
          <w:sz w:val="26"/>
          <w:szCs w:val="26"/>
        </w:rPr>
        <w:t>.</w:t>
      </w:r>
    </w:p>
    <w:p w:rsidR="00801ED4" w:rsidRDefault="006347E2" w:rsidP="00801ED4">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r>
      <w:r w:rsidR="00A434FE">
        <w:rPr>
          <w:rFonts w:ascii="Garamond" w:eastAsia="Arial" w:hAnsi="Garamond" w:cs="Arial"/>
          <w:color w:val="000000"/>
          <w:sz w:val="26"/>
          <w:szCs w:val="26"/>
        </w:rPr>
        <w:t xml:space="preserve">Se le </w:t>
      </w:r>
      <w:r w:rsidR="00185C27">
        <w:rPr>
          <w:rFonts w:ascii="Garamond" w:eastAsia="Arial" w:hAnsi="Garamond" w:cs="Arial"/>
          <w:color w:val="000000"/>
          <w:sz w:val="26"/>
          <w:szCs w:val="26"/>
        </w:rPr>
        <w:t>ragioni per le quali l’ordinamento appronta regole e mezzi diversi da q</w:t>
      </w:r>
      <w:r w:rsidR="003536D7">
        <w:rPr>
          <w:rFonts w:ascii="Garamond" w:eastAsia="Arial" w:hAnsi="Garamond" w:cs="Arial"/>
          <w:color w:val="000000"/>
          <w:sz w:val="26"/>
          <w:szCs w:val="26"/>
        </w:rPr>
        <w:t>uelli propri del “diritto privato</w:t>
      </w:r>
      <w:r w:rsidR="00185C27">
        <w:rPr>
          <w:rFonts w:ascii="Garamond" w:eastAsia="Arial" w:hAnsi="Garamond" w:cs="Arial"/>
          <w:color w:val="000000"/>
          <w:sz w:val="26"/>
          <w:szCs w:val="26"/>
        </w:rPr>
        <w:t>”</w:t>
      </w:r>
      <w:r w:rsidR="00A434FE">
        <w:rPr>
          <w:rFonts w:ascii="Garamond" w:eastAsia="Arial" w:hAnsi="Garamond" w:cs="Arial"/>
          <w:color w:val="000000"/>
          <w:sz w:val="26"/>
          <w:szCs w:val="26"/>
        </w:rPr>
        <w:t xml:space="preserve"> - </w:t>
      </w:r>
      <w:r w:rsidR="00185C27">
        <w:rPr>
          <w:rFonts w:ascii="Garamond" w:eastAsia="Arial" w:hAnsi="Garamond" w:cs="Arial"/>
          <w:color w:val="000000"/>
          <w:sz w:val="26"/>
          <w:szCs w:val="26"/>
        </w:rPr>
        <w:t xml:space="preserve">sì da configurare </w:t>
      </w:r>
      <w:r w:rsidR="004A6C1E">
        <w:rPr>
          <w:rFonts w:ascii="Garamond" w:eastAsia="Arial" w:hAnsi="Garamond" w:cs="Arial"/>
          <w:color w:val="000000"/>
          <w:sz w:val="26"/>
          <w:szCs w:val="26"/>
        </w:rPr>
        <w:t xml:space="preserve">quello che </w:t>
      </w:r>
      <w:r w:rsidR="00185C27">
        <w:rPr>
          <w:rFonts w:ascii="Garamond" w:eastAsia="Arial" w:hAnsi="Garamond" w:cs="Arial"/>
          <w:color w:val="000000"/>
          <w:sz w:val="26"/>
          <w:szCs w:val="26"/>
        </w:rPr>
        <w:t xml:space="preserve">è chiamato “diritto amministrativo” </w:t>
      </w:r>
      <w:r w:rsidR="00A434FE">
        <w:rPr>
          <w:rFonts w:ascii="Garamond" w:eastAsia="Arial" w:hAnsi="Garamond" w:cs="Arial"/>
          <w:color w:val="000000"/>
          <w:sz w:val="26"/>
          <w:szCs w:val="26"/>
        </w:rPr>
        <w:t xml:space="preserve">- </w:t>
      </w:r>
      <w:r w:rsidR="004A6C1E">
        <w:rPr>
          <w:rFonts w:ascii="Garamond" w:eastAsia="Arial" w:hAnsi="Garamond" w:cs="Arial"/>
          <w:color w:val="000000"/>
          <w:sz w:val="26"/>
          <w:szCs w:val="26"/>
        </w:rPr>
        <w:t>sono</w:t>
      </w:r>
      <w:r w:rsidR="00185C27">
        <w:rPr>
          <w:rFonts w:ascii="Garamond" w:eastAsia="Arial" w:hAnsi="Garamond" w:cs="Arial"/>
          <w:color w:val="000000"/>
          <w:sz w:val="26"/>
          <w:szCs w:val="26"/>
        </w:rPr>
        <w:t xml:space="preserve"> </w:t>
      </w:r>
      <w:r w:rsidR="004A6C1E">
        <w:rPr>
          <w:rFonts w:ascii="Garamond" w:eastAsia="Arial" w:hAnsi="Garamond" w:cs="Arial"/>
          <w:color w:val="000000"/>
          <w:sz w:val="26"/>
          <w:szCs w:val="26"/>
        </w:rPr>
        <w:t xml:space="preserve">tradizionalmente ricondotte alla necessità di regolamentare (e con ciò limitare) l’esercizio del potere autoritativo </w:t>
      </w:r>
      <w:r w:rsidR="00A434FE">
        <w:rPr>
          <w:rFonts w:ascii="Garamond" w:eastAsia="Arial" w:hAnsi="Garamond" w:cs="Arial"/>
          <w:color w:val="000000"/>
          <w:sz w:val="26"/>
          <w:szCs w:val="26"/>
        </w:rPr>
        <w:t xml:space="preserve">della Pubblica amministrazione </w:t>
      </w:r>
      <w:r w:rsidR="00CC0B15">
        <w:rPr>
          <w:rFonts w:ascii="Garamond" w:eastAsia="Arial" w:hAnsi="Garamond" w:cs="Arial"/>
          <w:color w:val="000000"/>
          <w:sz w:val="26"/>
          <w:szCs w:val="26"/>
        </w:rPr>
        <w:t>nei confronti dei privati e –</w:t>
      </w:r>
      <w:r w:rsidR="00801ED4">
        <w:rPr>
          <w:rFonts w:ascii="Garamond" w:eastAsia="Arial" w:hAnsi="Garamond" w:cs="Arial"/>
          <w:color w:val="000000"/>
          <w:sz w:val="26"/>
          <w:szCs w:val="26"/>
        </w:rPr>
        <w:t xml:space="preserve"> </w:t>
      </w:r>
      <w:r w:rsidR="00CC0B15">
        <w:rPr>
          <w:rFonts w:ascii="Garamond" w:eastAsia="Arial" w:hAnsi="Garamond" w:cs="Arial"/>
          <w:color w:val="000000"/>
          <w:sz w:val="26"/>
          <w:szCs w:val="26"/>
        </w:rPr>
        <w:t xml:space="preserve">in specie </w:t>
      </w:r>
      <w:r w:rsidR="00801ED4">
        <w:rPr>
          <w:rFonts w:ascii="Garamond" w:eastAsia="Arial" w:hAnsi="Garamond" w:cs="Arial"/>
          <w:color w:val="000000"/>
          <w:sz w:val="26"/>
          <w:szCs w:val="26"/>
        </w:rPr>
        <w:t>nel c</w:t>
      </w:r>
      <w:r w:rsidR="00CC0B15">
        <w:rPr>
          <w:rFonts w:ascii="Garamond" w:eastAsia="Arial" w:hAnsi="Garamond" w:cs="Arial"/>
          <w:color w:val="000000"/>
          <w:sz w:val="26"/>
          <w:szCs w:val="26"/>
        </w:rPr>
        <w:t>ampo dell’attività contrattuale -</w:t>
      </w:r>
      <w:r w:rsidR="00801ED4">
        <w:rPr>
          <w:rFonts w:ascii="Garamond" w:eastAsia="Arial" w:hAnsi="Garamond" w:cs="Arial"/>
          <w:color w:val="000000"/>
          <w:sz w:val="26"/>
          <w:szCs w:val="26"/>
        </w:rPr>
        <w:t xml:space="preserve"> ad assicurare il corretto utilizzo delle risorse pubbliche, l’evoluzione della disciplina pubblicistica dei “derivati” pubblici pare, invece, ispirata da motivazioni ulteriori e del tutto peculiari.</w:t>
      </w:r>
    </w:p>
    <w:p w:rsidR="00801ED4" w:rsidRDefault="00801ED4" w:rsidP="00A434FE">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La parabola del diritto amministrativo dei </w:t>
      </w:r>
      <w:r w:rsidR="00614B08">
        <w:rPr>
          <w:rFonts w:ascii="Garamond" w:eastAsia="Arial" w:hAnsi="Garamond" w:cs="Arial"/>
          <w:color w:val="000000"/>
          <w:sz w:val="26"/>
          <w:szCs w:val="26"/>
        </w:rPr>
        <w:t>“</w:t>
      </w:r>
      <w:r>
        <w:rPr>
          <w:rFonts w:ascii="Garamond" w:eastAsia="Arial" w:hAnsi="Garamond" w:cs="Arial"/>
          <w:color w:val="000000"/>
          <w:sz w:val="26"/>
          <w:szCs w:val="26"/>
        </w:rPr>
        <w:t>derivati</w:t>
      </w:r>
      <w:r w:rsidR="00614B08">
        <w:rPr>
          <w:rFonts w:ascii="Garamond" w:eastAsia="Arial" w:hAnsi="Garamond" w:cs="Arial"/>
          <w:color w:val="000000"/>
          <w:sz w:val="26"/>
          <w:szCs w:val="26"/>
        </w:rPr>
        <w:t>”</w:t>
      </w:r>
      <w:r>
        <w:rPr>
          <w:rFonts w:ascii="Garamond" w:eastAsia="Arial" w:hAnsi="Garamond" w:cs="Arial"/>
          <w:color w:val="000000"/>
          <w:sz w:val="26"/>
          <w:szCs w:val="26"/>
        </w:rPr>
        <w:t xml:space="preserve"> pubblici è</w:t>
      </w:r>
      <w:r w:rsidR="00C03F72">
        <w:rPr>
          <w:rFonts w:ascii="Garamond" w:eastAsia="Arial" w:hAnsi="Garamond" w:cs="Arial"/>
          <w:color w:val="000000"/>
          <w:sz w:val="26"/>
          <w:szCs w:val="26"/>
        </w:rPr>
        <w:t>, invero,</w:t>
      </w:r>
      <w:r>
        <w:rPr>
          <w:rFonts w:ascii="Garamond" w:eastAsia="Arial" w:hAnsi="Garamond" w:cs="Arial"/>
          <w:color w:val="000000"/>
          <w:sz w:val="26"/>
          <w:szCs w:val="26"/>
        </w:rPr>
        <w:t xml:space="preserve"> contrassegnata da due </w:t>
      </w:r>
      <w:r w:rsidR="001E7425">
        <w:rPr>
          <w:rFonts w:ascii="Garamond" w:eastAsia="Arial" w:hAnsi="Garamond" w:cs="Arial"/>
          <w:color w:val="000000"/>
          <w:sz w:val="26"/>
          <w:szCs w:val="26"/>
        </w:rPr>
        <w:t xml:space="preserve">diverse </w:t>
      </w:r>
      <w:r>
        <w:rPr>
          <w:rFonts w:ascii="Garamond" w:eastAsia="Arial" w:hAnsi="Garamond" w:cs="Arial"/>
          <w:color w:val="000000"/>
          <w:sz w:val="26"/>
          <w:szCs w:val="26"/>
        </w:rPr>
        <w:t>tendenze</w:t>
      </w:r>
      <w:r w:rsidR="001E7425">
        <w:rPr>
          <w:rFonts w:ascii="Garamond" w:eastAsia="Arial" w:hAnsi="Garamond" w:cs="Arial"/>
          <w:color w:val="000000"/>
          <w:sz w:val="26"/>
          <w:szCs w:val="26"/>
        </w:rPr>
        <w:t xml:space="preserve"> analizzabili</w:t>
      </w:r>
      <w:r>
        <w:rPr>
          <w:rFonts w:ascii="Garamond" w:eastAsia="Arial" w:hAnsi="Garamond" w:cs="Arial"/>
          <w:color w:val="000000"/>
          <w:sz w:val="26"/>
          <w:szCs w:val="26"/>
        </w:rPr>
        <w:t xml:space="preserve"> in senso diacronico</w:t>
      </w:r>
      <w:r w:rsidR="001E7425">
        <w:rPr>
          <w:rFonts w:ascii="Garamond" w:eastAsia="Arial" w:hAnsi="Garamond" w:cs="Arial"/>
          <w:color w:val="000000"/>
          <w:sz w:val="26"/>
          <w:szCs w:val="26"/>
        </w:rPr>
        <w:t>, seppure entrambe ruotanti attorno ai limiti dell’autonomia negoziale della Pubblica amministrazione.</w:t>
      </w:r>
    </w:p>
    <w:p w:rsidR="001E7425" w:rsidRDefault="00801ED4" w:rsidP="001E7425">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 xml:space="preserve"> </w:t>
      </w:r>
      <w:r w:rsidR="001E7425">
        <w:rPr>
          <w:rFonts w:ascii="Garamond" w:eastAsia="Arial" w:hAnsi="Garamond" w:cs="Arial"/>
          <w:color w:val="000000"/>
          <w:sz w:val="26"/>
          <w:szCs w:val="26"/>
        </w:rPr>
        <w:tab/>
        <w:t xml:space="preserve">In una prima fase, affermatasi negli anni ’90, il legislatore, guardando alla prassi internazionale, ha </w:t>
      </w:r>
      <w:r w:rsidR="00C03F72">
        <w:rPr>
          <w:rFonts w:ascii="Garamond" w:eastAsia="Arial" w:hAnsi="Garamond" w:cs="Arial"/>
          <w:color w:val="000000"/>
          <w:sz w:val="26"/>
          <w:szCs w:val="26"/>
        </w:rPr>
        <w:t xml:space="preserve">perlopiù </w:t>
      </w:r>
      <w:r w:rsidR="001E7425">
        <w:rPr>
          <w:rFonts w:ascii="Garamond" w:eastAsia="Arial" w:hAnsi="Garamond" w:cs="Arial"/>
          <w:color w:val="000000"/>
          <w:sz w:val="26"/>
          <w:szCs w:val="26"/>
        </w:rPr>
        <w:t>inteso promuovere l’utilizzo dei “derivati” da parte delle Pubbliche amministrazioni, partendo dal presuppo</w:t>
      </w:r>
      <w:r w:rsidR="00C03F72">
        <w:rPr>
          <w:rFonts w:ascii="Garamond" w:eastAsia="Arial" w:hAnsi="Garamond" w:cs="Arial"/>
          <w:color w:val="000000"/>
          <w:sz w:val="26"/>
          <w:szCs w:val="26"/>
        </w:rPr>
        <w:t>sto che dette operazioni potessero</w:t>
      </w:r>
      <w:r w:rsidR="001E7425">
        <w:rPr>
          <w:rFonts w:ascii="Garamond" w:eastAsia="Arial" w:hAnsi="Garamond" w:cs="Arial"/>
          <w:color w:val="000000"/>
          <w:sz w:val="26"/>
          <w:szCs w:val="26"/>
        </w:rPr>
        <w:t xml:space="preserve"> </w:t>
      </w:r>
      <w:r w:rsidR="00C03F72">
        <w:rPr>
          <w:rFonts w:ascii="Garamond" w:eastAsia="Arial" w:hAnsi="Garamond" w:cs="Arial"/>
          <w:color w:val="000000"/>
          <w:sz w:val="26"/>
          <w:szCs w:val="26"/>
        </w:rPr>
        <w:t xml:space="preserve">rappresentare </w:t>
      </w:r>
      <w:r w:rsidR="001E7425">
        <w:rPr>
          <w:rFonts w:ascii="Garamond" w:eastAsia="Arial" w:hAnsi="Garamond" w:cs="Arial"/>
          <w:color w:val="000000"/>
          <w:sz w:val="26"/>
          <w:szCs w:val="26"/>
        </w:rPr>
        <w:t>un utile strumento di ristrutturazione del debito e di copertura dei rischi finanziari.</w:t>
      </w:r>
      <w:r w:rsidR="001E7425">
        <w:rPr>
          <w:rFonts w:ascii="Garamond" w:eastAsia="Arial" w:hAnsi="Garamond" w:cs="Arial"/>
          <w:color w:val="000000"/>
          <w:sz w:val="26"/>
          <w:szCs w:val="26"/>
        </w:rPr>
        <w:tab/>
      </w:r>
    </w:p>
    <w:p w:rsidR="001E7425" w:rsidRDefault="001E7425" w:rsidP="001E7425">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I primi interventi normativi </w:t>
      </w:r>
      <w:r w:rsidR="00C03F72">
        <w:rPr>
          <w:rFonts w:ascii="Garamond" w:eastAsia="Arial" w:hAnsi="Garamond" w:cs="Arial"/>
          <w:color w:val="000000"/>
          <w:sz w:val="26"/>
          <w:szCs w:val="26"/>
        </w:rPr>
        <w:t>erano</w:t>
      </w:r>
      <w:r>
        <w:rPr>
          <w:rFonts w:ascii="Garamond" w:eastAsia="Arial" w:hAnsi="Garamond" w:cs="Arial"/>
          <w:color w:val="000000"/>
          <w:sz w:val="26"/>
          <w:szCs w:val="26"/>
        </w:rPr>
        <w:t xml:space="preserve">, quindi, </w:t>
      </w:r>
      <w:r w:rsidR="00DF4643">
        <w:rPr>
          <w:rFonts w:ascii="Garamond" w:eastAsia="Arial" w:hAnsi="Garamond" w:cs="Arial"/>
          <w:color w:val="000000"/>
          <w:sz w:val="26"/>
          <w:szCs w:val="26"/>
        </w:rPr>
        <w:t xml:space="preserve">principalmente </w:t>
      </w:r>
      <w:r>
        <w:rPr>
          <w:rFonts w:ascii="Garamond" w:eastAsia="Arial" w:hAnsi="Garamond" w:cs="Arial"/>
          <w:color w:val="000000"/>
          <w:sz w:val="26"/>
          <w:szCs w:val="26"/>
        </w:rPr>
        <w:t>orientati ad affermare l</w:t>
      </w:r>
      <w:r w:rsidR="00DF4643">
        <w:rPr>
          <w:rFonts w:ascii="Garamond" w:eastAsia="Arial" w:hAnsi="Garamond" w:cs="Arial"/>
          <w:color w:val="000000"/>
          <w:sz w:val="26"/>
          <w:szCs w:val="26"/>
        </w:rPr>
        <w:t xml:space="preserve">a legittimazione </w:t>
      </w:r>
      <w:r>
        <w:rPr>
          <w:rFonts w:ascii="Garamond" w:eastAsia="Arial" w:hAnsi="Garamond" w:cs="Arial"/>
          <w:color w:val="000000"/>
          <w:sz w:val="26"/>
          <w:szCs w:val="26"/>
        </w:rPr>
        <w:t xml:space="preserve">negoziale </w:t>
      </w:r>
      <w:r w:rsidR="00C03F72">
        <w:rPr>
          <w:rFonts w:ascii="Garamond" w:eastAsia="Arial" w:hAnsi="Garamond" w:cs="Arial"/>
          <w:color w:val="000000"/>
          <w:sz w:val="26"/>
          <w:szCs w:val="26"/>
        </w:rPr>
        <w:t>degli Enti a</w:t>
      </w:r>
      <w:r w:rsidR="00DF4643">
        <w:rPr>
          <w:rFonts w:ascii="Garamond" w:eastAsia="Arial" w:hAnsi="Garamond" w:cs="Arial"/>
          <w:color w:val="000000"/>
          <w:sz w:val="26"/>
          <w:szCs w:val="26"/>
        </w:rPr>
        <w:t xml:space="preserve">ll’utilizzo di detti strumenti contrattuali, giungendo finanche ad imporli. </w:t>
      </w:r>
      <w:r>
        <w:rPr>
          <w:rFonts w:ascii="Garamond" w:eastAsia="Arial" w:hAnsi="Garamond" w:cs="Arial"/>
          <w:color w:val="000000"/>
          <w:sz w:val="26"/>
          <w:szCs w:val="26"/>
        </w:rPr>
        <w:t xml:space="preserve"> </w:t>
      </w:r>
    </w:p>
    <w:p w:rsidR="00801ED4" w:rsidRDefault="00A434FE" w:rsidP="00A434FE">
      <w:pPr>
        <w:spacing w:line="360" w:lineRule="auto"/>
        <w:ind w:left="567" w:right="567"/>
        <w:jc w:val="both"/>
        <w:rPr>
          <w:rFonts w:ascii="Garamond" w:eastAsia="Arial" w:hAnsi="Garamond" w:cs="Arial"/>
          <w:sz w:val="26"/>
          <w:szCs w:val="26"/>
        </w:rPr>
      </w:pPr>
      <w:r w:rsidRPr="00A434FE">
        <w:rPr>
          <w:rFonts w:ascii="Garamond" w:eastAsia="Arial" w:hAnsi="Garamond" w:cs="Arial"/>
          <w:color w:val="000000"/>
          <w:sz w:val="26"/>
          <w:szCs w:val="26"/>
        </w:rPr>
        <w:tab/>
      </w:r>
      <w:r w:rsidRPr="00A434FE">
        <w:rPr>
          <w:rFonts w:ascii="Garamond" w:eastAsia="Arial" w:hAnsi="Garamond" w:cs="Arial"/>
          <w:sz w:val="26"/>
          <w:szCs w:val="26"/>
        </w:rPr>
        <w:t>In</w:t>
      </w:r>
      <w:r w:rsidR="00474E74">
        <w:rPr>
          <w:rFonts w:ascii="Garamond" w:eastAsia="Arial" w:hAnsi="Garamond" w:cs="Arial"/>
          <w:sz w:val="26"/>
          <w:szCs w:val="26"/>
        </w:rPr>
        <w:t xml:space="preserve"> quest’</w:t>
      </w:r>
      <w:r w:rsidR="001E7425">
        <w:rPr>
          <w:rFonts w:ascii="Garamond" w:eastAsia="Arial" w:hAnsi="Garamond" w:cs="Arial"/>
          <w:sz w:val="26"/>
          <w:szCs w:val="26"/>
        </w:rPr>
        <w:t xml:space="preserve">ottica, </w:t>
      </w:r>
      <w:r w:rsidR="00C03F72">
        <w:rPr>
          <w:rFonts w:ascii="Garamond" w:eastAsia="Arial" w:hAnsi="Garamond" w:cs="Arial"/>
          <w:sz w:val="26"/>
          <w:szCs w:val="26"/>
        </w:rPr>
        <w:t>il decreto ministeriale</w:t>
      </w:r>
      <w:r w:rsidR="00DF4643">
        <w:rPr>
          <w:rFonts w:ascii="Garamond" w:eastAsia="Arial" w:hAnsi="Garamond" w:cs="Arial"/>
          <w:sz w:val="26"/>
          <w:szCs w:val="26"/>
        </w:rPr>
        <w:t xml:space="preserve"> </w:t>
      </w:r>
      <w:r w:rsidRPr="00A434FE">
        <w:rPr>
          <w:rFonts w:ascii="Garamond" w:eastAsia="Arial" w:hAnsi="Garamond" w:cs="Arial"/>
          <w:sz w:val="26"/>
          <w:szCs w:val="26"/>
        </w:rPr>
        <w:t>10</w:t>
      </w:r>
      <w:r w:rsidR="00DF4643">
        <w:rPr>
          <w:rFonts w:ascii="Garamond" w:eastAsia="Arial" w:hAnsi="Garamond" w:cs="Arial"/>
          <w:sz w:val="26"/>
          <w:szCs w:val="26"/>
        </w:rPr>
        <w:t xml:space="preserve"> novembre </w:t>
      </w:r>
      <w:r w:rsidRPr="00A434FE">
        <w:rPr>
          <w:rFonts w:ascii="Garamond" w:eastAsia="Arial" w:hAnsi="Garamond" w:cs="Arial"/>
          <w:sz w:val="26"/>
          <w:szCs w:val="26"/>
        </w:rPr>
        <w:t>1995 (</w:t>
      </w:r>
      <w:r w:rsidRPr="00C03F72">
        <w:rPr>
          <w:rFonts w:ascii="Garamond" w:eastAsia="Arial" w:hAnsi="Garamond" w:cs="Arial"/>
          <w:i/>
          <w:sz w:val="26"/>
          <w:szCs w:val="26"/>
        </w:rPr>
        <w:t>Orientamenti operativi di riferimento in merito all'emissione ed alla gestione del debito pubblico dello Stato</w:t>
      </w:r>
      <w:r w:rsidRPr="00A434FE">
        <w:rPr>
          <w:rFonts w:ascii="Garamond" w:eastAsia="Arial" w:hAnsi="Garamond" w:cs="Arial"/>
          <w:sz w:val="26"/>
          <w:szCs w:val="26"/>
        </w:rPr>
        <w:t xml:space="preserve">) menzionava tra </w:t>
      </w:r>
      <w:r w:rsidRPr="00A434FE">
        <w:rPr>
          <w:rFonts w:ascii="Garamond" w:eastAsia="Arial" w:hAnsi="Garamond" w:cs="Arial"/>
          <w:i/>
          <w:iCs/>
          <w:sz w:val="26"/>
          <w:szCs w:val="26"/>
        </w:rPr>
        <w:t xml:space="preserve">"le operazioni di ristrutturazione del debito" </w:t>
      </w:r>
      <w:r w:rsidRPr="00A434FE">
        <w:rPr>
          <w:rFonts w:ascii="Garamond" w:eastAsia="Arial" w:hAnsi="Garamond" w:cs="Arial"/>
          <w:sz w:val="26"/>
          <w:szCs w:val="26"/>
        </w:rPr>
        <w:t xml:space="preserve">anche </w:t>
      </w:r>
      <w:r w:rsidRPr="00A434FE">
        <w:rPr>
          <w:rFonts w:ascii="Garamond" w:eastAsia="Arial" w:hAnsi="Garamond" w:cs="Arial"/>
          <w:i/>
          <w:iCs/>
          <w:sz w:val="26"/>
          <w:szCs w:val="26"/>
        </w:rPr>
        <w:t>"quelle effettuate attraverso le operazioni di swap"</w:t>
      </w:r>
      <w:r w:rsidR="000B4725">
        <w:rPr>
          <w:rFonts w:ascii="Garamond" w:eastAsia="Arial" w:hAnsi="Garamond" w:cs="Arial"/>
          <w:iCs/>
          <w:sz w:val="26"/>
          <w:szCs w:val="26"/>
        </w:rPr>
        <w:t xml:space="preserve"> </w:t>
      </w:r>
      <w:r w:rsidRPr="00A434FE">
        <w:rPr>
          <w:rFonts w:ascii="Garamond" w:eastAsia="Arial" w:hAnsi="Garamond" w:cs="Arial"/>
          <w:sz w:val="26"/>
          <w:szCs w:val="26"/>
        </w:rPr>
        <w:t>(art. 1), imponendo</w:t>
      </w:r>
      <w:r w:rsidR="00C03F72">
        <w:rPr>
          <w:rFonts w:ascii="Garamond" w:eastAsia="Arial" w:hAnsi="Garamond" w:cs="Arial"/>
          <w:sz w:val="26"/>
          <w:szCs w:val="26"/>
        </w:rPr>
        <w:t>ne</w:t>
      </w:r>
      <w:r w:rsidRPr="00A434FE">
        <w:rPr>
          <w:rFonts w:ascii="Garamond" w:eastAsia="Arial" w:hAnsi="Garamond" w:cs="Arial"/>
          <w:sz w:val="26"/>
          <w:szCs w:val="26"/>
        </w:rPr>
        <w:t xml:space="preserve"> allo Stato la stipula con istituti finanziari d</w:t>
      </w:r>
      <w:r w:rsidR="00C03F72">
        <w:rPr>
          <w:rFonts w:ascii="Garamond" w:eastAsia="Arial" w:hAnsi="Garamond" w:cs="Arial"/>
          <w:sz w:val="26"/>
          <w:szCs w:val="26"/>
        </w:rPr>
        <w:t>i elevata affidabilità (art. 2) e</w:t>
      </w:r>
      <w:r w:rsidR="000B4725">
        <w:rPr>
          <w:rFonts w:ascii="Garamond" w:eastAsia="Arial" w:hAnsi="Garamond" w:cs="Arial"/>
          <w:sz w:val="26"/>
          <w:szCs w:val="26"/>
        </w:rPr>
        <w:t xml:space="preserve"> precisando che </w:t>
      </w:r>
      <w:r w:rsidR="000B4725">
        <w:rPr>
          <w:rFonts w:ascii="Garamond" w:eastAsia="Arial" w:hAnsi="Garamond" w:cs="Arial"/>
          <w:i/>
          <w:sz w:val="26"/>
          <w:szCs w:val="26"/>
        </w:rPr>
        <w:t>“esse avranno come principale obiettivo, sulla base delle informazioni disponibili e dell’evoluzione delle condizioni di mercato, la minimizzazione del costo del debito.”</w:t>
      </w:r>
      <w:r w:rsidR="000B4725">
        <w:rPr>
          <w:rFonts w:ascii="Garamond" w:eastAsia="Arial" w:hAnsi="Garamond" w:cs="Arial"/>
          <w:sz w:val="26"/>
          <w:szCs w:val="26"/>
        </w:rPr>
        <w:t>.</w:t>
      </w:r>
      <w:r w:rsidRPr="00A434FE">
        <w:rPr>
          <w:rFonts w:ascii="Garamond" w:eastAsia="Arial" w:hAnsi="Garamond" w:cs="Arial"/>
          <w:sz w:val="26"/>
          <w:szCs w:val="26"/>
        </w:rPr>
        <w:t xml:space="preserve"> </w:t>
      </w:r>
    </w:p>
    <w:p w:rsidR="00801ED4" w:rsidRDefault="00A434FE" w:rsidP="00801ED4">
      <w:pPr>
        <w:spacing w:line="360" w:lineRule="auto"/>
        <w:ind w:left="567" w:right="567" w:firstLine="141"/>
        <w:jc w:val="both"/>
        <w:rPr>
          <w:rFonts w:ascii="Garamond" w:eastAsia="Arial" w:hAnsi="Garamond" w:cs="Arial"/>
          <w:sz w:val="26"/>
          <w:szCs w:val="26"/>
        </w:rPr>
      </w:pPr>
      <w:r w:rsidRPr="00A434FE">
        <w:rPr>
          <w:rFonts w:ascii="Garamond" w:eastAsia="Arial" w:hAnsi="Garamond" w:cs="Arial"/>
          <w:sz w:val="26"/>
          <w:szCs w:val="26"/>
        </w:rPr>
        <w:t xml:space="preserve">Successivamente, l'art. 2 del </w:t>
      </w:r>
      <w:r w:rsidR="00C03F72">
        <w:rPr>
          <w:rFonts w:ascii="Garamond" w:eastAsia="Arial" w:hAnsi="Garamond" w:cs="Arial"/>
          <w:sz w:val="26"/>
          <w:szCs w:val="26"/>
        </w:rPr>
        <w:t>decreto ministeriale</w:t>
      </w:r>
      <w:r w:rsidR="00DF4643">
        <w:rPr>
          <w:rFonts w:ascii="Garamond" w:eastAsia="Arial" w:hAnsi="Garamond" w:cs="Arial"/>
          <w:sz w:val="26"/>
          <w:szCs w:val="26"/>
        </w:rPr>
        <w:t xml:space="preserve"> </w:t>
      </w:r>
      <w:r w:rsidRPr="00A434FE">
        <w:rPr>
          <w:rFonts w:ascii="Garamond" w:eastAsia="Arial" w:hAnsi="Garamond" w:cs="Arial"/>
          <w:sz w:val="26"/>
          <w:szCs w:val="26"/>
        </w:rPr>
        <w:t>5</w:t>
      </w:r>
      <w:r w:rsidR="00DF4643">
        <w:rPr>
          <w:rFonts w:ascii="Garamond" w:eastAsia="Arial" w:hAnsi="Garamond" w:cs="Arial"/>
          <w:sz w:val="26"/>
          <w:szCs w:val="26"/>
        </w:rPr>
        <w:t xml:space="preserve"> luglio </w:t>
      </w:r>
      <w:r w:rsidRPr="00A434FE">
        <w:rPr>
          <w:rFonts w:ascii="Garamond" w:eastAsia="Arial" w:hAnsi="Garamond" w:cs="Arial"/>
          <w:sz w:val="26"/>
          <w:szCs w:val="26"/>
        </w:rPr>
        <w:t>1996, n. 420 (</w:t>
      </w:r>
      <w:r w:rsidRPr="00C03F72">
        <w:rPr>
          <w:rFonts w:ascii="Garamond" w:eastAsia="Arial" w:hAnsi="Garamond" w:cs="Arial"/>
          <w:i/>
          <w:sz w:val="26"/>
          <w:szCs w:val="26"/>
        </w:rPr>
        <w:t xml:space="preserve">Regolamento recante norme per l'emissione di titoli obbligazionari da parte degli enti locali in attuazione </w:t>
      </w:r>
      <w:r w:rsidR="00DF4643" w:rsidRPr="00C03F72">
        <w:rPr>
          <w:rFonts w:ascii="Garamond" w:eastAsia="Arial" w:hAnsi="Garamond" w:cs="Arial"/>
          <w:i/>
          <w:sz w:val="26"/>
          <w:szCs w:val="26"/>
        </w:rPr>
        <w:t>dell'art. 35 della l</w:t>
      </w:r>
      <w:r w:rsidRPr="00C03F72">
        <w:rPr>
          <w:rFonts w:ascii="Garamond" w:eastAsia="Arial" w:hAnsi="Garamond" w:cs="Arial"/>
          <w:i/>
          <w:sz w:val="26"/>
          <w:szCs w:val="26"/>
        </w:rPr>
        <w:t>egge 23</w:t>
      </w:r>
      <w:r w:rsidR="00DF4643" w:rsidRPr="00C03F72">
        <w:rPr>
          <w:rFonts w:ascii="Garamond" w:eastAsia="Arial" w:hAnsi="Garamond" w:cs="Arial"/>
          <w:i/>
          <w:sz w:val="26"/>
          <w:szCs w:val="26"/>
        </w:rPr>
        <w:t xml:space="preserve"> dicembre </w:t>
      </w:r>
      <w:r w:rsidRPr="00C03F72">
        <w:rPr>
          <w:rFonts w:ascii="Garamond" w:eastAsia="Arial" w:hAnsi="Garamond" w:cs="Arial"/>
          <w:i/>
          <w:sz w:val="26"/>
          <w:szCs w:val="26"/>
        </w:rPr>
        <w:t>1994, n. 724</w:t>
      </w:r>
      <w:r w:rsidRPr="00A434FE">
        <w:rPr>
          <w:rFonts w:ascii="Garamond" w:eastAsia="Arial" w:hAnsi="Garamond" w:cs="Arial"/>
          <w:sz w:val="26"/>
          <w:szCs w:val="26"/>
        </w:rPr>
        <w:t>) ha imposto agli Enti locali le operazioni di swap per la copertura del rischio di cambio per tutti i prestiti in valuta estera</w:t>
      </w:r>
      <w:r w:rsidR="00474E74">
        <w:rPr>
          <w:rFonts w:ascii="Garamond" w:eastAsia="Arial" w:hAnsi="Garamond" w:cs="Arial"/>
          <w:sz w:val="26"/>
          <w:szCs w:val="26"/>
        </w:rPr>
        <w:t xml:space="preserve"> </w:t>
      </w:r>
      <w:r w:rsidR="00474E74" w:rsidRPr="00B97122">
        <w:rPr>
          <w:rStyle w:val="Rimandonotaapidipagina"/>
          <w:rFonts w:ascii="Garamond" w:hAnsi="Garamond" w:cs="Times New Roman"/>
          <w:color w:val="000000" w:themeColor="text1"/>
          <w:sz w:val="26"/>
          <w:szCs w:val="26"/>
        </w:rPr>
        <w:footnoteReference w:id="8"/>
      </w:r>
      <w:r w:rsidRPr="00A434FE">
        <w:rPr>
          <w:rFonts w:ascii="Garamond" w:eastAsia="Arial" w:hAnsi="Garamond" w:cs="Arial"/>
          <w:sz w:val="26"/>
          <w:szCs w:val="26"/>
        </w:rPr>
        <w:t xml:space="preserve">. </w:t>
      </w:r>
    </w:p>
    <w:p w:rsidR="00801ED4" w:rsidRDefault="00A434FE" w:rsidP="00801ED4">
      <w:pPr>
        <w:spacing w:line="360" w:lineRule="auto"/>
        <w:ind w:left="567" w:right="567" w:firstLine="141"/>
        <w:jc w:val="both"/>
        <w:rPr>
          <w:rFonts w:ascii="Garamond" w:eastAsia="Arial" w:hAnsi="Garamond" w:cs="Arial"/>
          <w:sz w:val="26"/>
          <w:szCs w:val="26"/>
        </w:rPr>
      </w:pPr>
      <w:r w:rsidRPr="00A434FE">
        <w:rPr>
          <w:rFonts w:ascii="Garamond" w:eastAsia="Arial" w:hAnsi="Garamond" w:cs="Arial"/>
          <w:sz w:val="26"/>
          <w:szCs w:val="26"/>
        </w:rPr>
        <w:t>Un ulteriore intervento legislativo</w:t>
      </w:r>
      <w:r w:rsidR="00474E74">
        <w:rPr>
          <w:rFonts w:ascii="Garamond" w:eastAsia="Arial" w:hAnsi="Garamond" w:cs="Arial"/>
          <w:sz w:val="26"/>
          <w:szCs w:val="26"/>
        </w:rPr>
        <w:t>,</w:t>
      </w:r>
      <w:r w:rsidRPr="00A434FE">
        <w:rPr>
          <w:rFonts w:ascii="Garamond" w:eastAsia="Arial" w:hAnsi="Garamond" w:cs="Arial"/>
          <w:sz w:val="26"/>
          <w:szCs w:val="26"/>
        </w:rPr>
        <w:t xml:space="preserve"> con più generico riferimento ad </w:t>
      </w:r>
      <w:r w:rsidRPr="00A434FE">
        <w:rPr>
          <w:rFonts w:ascii="Garamond" w:eastAsia="Arial" w:hAnsi="Garamond" w:cs="Arial"/>
          <w:i/>
          <w:iCs/>
          <w:sz w:val="26"/>
          <w:szCs w:val="26"/>
        </w:rPr>
        <w:t xml:space="preserve">"altri strumenti operativi previsti dalla prassi dei mercati finanziari" </w:t>
      </w:r>
      <w:r w:rsidRPr="00A434FE">
        <w:rPr>
          <w:rFonts w:ascii="Garamond" w:eastAsia="Arial" w:hAnsi="Garamond" w:cs="Arial"/>
          <w:sz w:val="26"/>
          <w:szCs w:val="26"/>
        </w:rPr>
        <w:t xml:space="preserve">per la ristrutturazione del debito pubblico statale interno ed esterno, </w:t>
      </w:r>
      <w:r w:rsidR="00C03F72">
        <w:rPr>
          <w:rFonts w:ascii="Garamond" w:eastAsia="Arial" w:hAnsi="Garamond" w:cs="Arial"/>
          <w:sz w:val="26"/>
          <w:szCs w:val="26"/>
        </w:rPr>
        <w:t>è rappresentato dal</w:t>
      </w:r>
      <w:r w:rsidR="00DF4643">
        <w:rPr>
          <w:rFonts w:ascii="Garamond" w:eastAsia="Arial" w:hAnsi="Garamond" w:cs="Arial"/>
          <w:sz w:val="26"/>
          <w:szCs w:val="26"/>
        </w:rPr>
        <w:t>l'art. 2, comma 165, della l</w:t>
      </w:r>
      <w:r w:rsidRPr="00A434FE">
        <w:rPr>
          <w:rFonts w:ascii="Garamond" w:eastAsia="Arial" w:hAnsi="Garamond" w:cs="Arial"/>
          <w:sz w:val="26"/>
          <w:szCs w:val="26"/>
        </w:rPr>
        <w:t>egge 23</w:t>
      </w:r>
      <w:r w:rsidR="00DF4643">
        <w:rPr>
          <w:rFonts w:ascii="Garamond" w:eastAsia="Arial" w:hAnsi="Garamond" w:cs="Arial"/>
          <w:sz w:val="26"/>
          <w:szCs w:val="26"/>
        </w:rPr>
        <w:t xml:space="preserve"> dicembre </w:t>
      </w:r>
      <w:r w:rsidRPr="00A434FE">
        <w:rPr>
          <w:rFonts w:ascii="Garamond" w:eastAsia="Arial" w:hAnsi="Garamond" w:cs="Arial"/>
          <w:sz w:val="26"/>
          <w:szCs w:val="26"/>
        </w:rPr>
        <w:t>1996</w:t>
      </w:r>
      <w:r w:rsidR="00C03F72">
        <w:rPr>
          <w:rFonts w:ascii="Garamond" w:eastAsia="Arial" w:hAnsi="Garamond" w:cs="Arial"/>
          <w:sz w:val="26"/>
          <w:szCs w:val="26"/>
        </w:rPr>
        <w:t>, n. 662 e dal</w:t>
      </w:r>
      <w:r w:rsidR="00DF4643">
        <w:rPr>
          <w:rFonts w:ascii="Garamond" w:eastAsia="Arial" w:hAnsi="Garamond" w:cs="Arial"/>
          <w:sz w:val="26"/>
          <w:szCs w:val="26"/>
        </w:rPr>
        <w:t>l'art. 48 della l</w:t>
      </w:r>
      <w:r w:rsidRPr="00A434FE">
        <w:rPr>
          <w:rFonts w:ascii="Garamond" w:eastAsia="Arial" w:hAnsi="Garamond" w:cs="Arial"/>
          <w:sz w:val="26"/>
          <w:szCs w:val="26"/>
        </w:rPr>
        <w:t>egge 23</w:t>
      </w:r>
      <w:r w:rsidR="00DF4643">
        <w:rPr>
          <w:rFonts w:ascii="Garamond" w:eastAsia="Arial" w:hAnsi="Garamond" w:cs="Arial"/>
          <w:sz w:val="26"/>
          <w:szCs w:val="26"/>
        </w:rPr>
        <w:t xml:space="preserve"> dicembre </w:t>
      </w:r>
      <w:r w:rsidRPr="00A434FE">
        <w:rPr>
          <w:rFonts w:ascii="Garamond" w:eastAsia="Arial" w:hAnsi="Garamond" w:cs="Arial"/>
          <w:sz w:val="26"/>
          <w:szCs w:val="26"/>
        </w:rPr>
        <w:t>1999, n. 662, che</w:t>
      </w:r>
      <w:r w:rsidR="00DF4643">
        <w:rPr>
          <w:rFonts w:ascii="Garamond" w:eastAsia="Arial" w:hAnsi="Garamond" w:cs="Arial"/>
          <w:sz w:val="26"/>
          <w:szCs w:val="26"/>
        </w:rPr>
        <w:t xml:space="preserve"> </w:t>
      </w:r>
      <w:r w:rsidR="00C03F72">
        <w:rPr>
          <w:rFonts w:ascii="Garamond" w:eastAsia="Arial" w:hAnsi="Garamond" w:cs="Arial"/>
          <w:sz w:val="26"/>
          <w:szCs w:val="26"/>
        </w:rPr>
        <w:t>hanno modificat</w:t>
      </w:r>
      <w:r w:rsidR="00DF4643">
        <w:rPr>
          <w:rFonts w:ascii="Garamond" w:eastAsia="Arial" w:hAnsi="Garamond" w:cs="Arial"/>
          <w:sz w:val="26"/>
          <w:szCs w:val="26"/>
        </w:rPr>
        <w:t>o alcune norme della l</w:t>
      </w:r>
      <w:r w:rsidRPr="00A434FE">
        <w:rPr>
          <w:rFonts w:ascii="Garamond" w:eastAsia="Arial" w:hAnsi="Garamond" w:cs="Arial"/>
          <w:sz w:val="26"/>
          <w:szCs w:val="26"/>
        </w:rPr>
        <w:t>egge</w:t>
      </w:r>
      <w:r w:rsidR="00DF4643">
        <w:rPr>
          <w:rFonts w:ascii="Garamond" w:eastAsia="Arial" w:hAnsi="Garamond" w:cs="Arial"/>
          <w:sz w:val="26"/>
          <w:szCs w:val="26"/>
        </w:rPr>
        <w:t xml:space="preserve"> finanziaria del 1985 (Legge 22 dicembre </w:t>
      </w:r>
      <w:r w:rsidRPr="00A434FE">
        <w:rPr>
          <w:rFonts w:ascii="Garamond" w:eastAsia="Arial" w:hAnsi="Garamond" w:cs="Arial"/>
          <w:sz w:val="26"/>
          <w:szCs w:val="26"/>
        </w:rPr>
        <w:t xml:space="preserve">1984, n. 887). </w:t>
      </w:r>
    </w:p>
    <w:p w:rsidR="00870DA0" w:rsidRDefault="00DF4643" w:rsidP="00870DA0">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 xml:space="preserve">All’inizio degli anni duemila, si registrano i primi interventi legislativi più marcatamente regolatori dell’autonomia negoziale degli Enti, cominciando chiaramente ad affiorare la necessità di </w:t>
      </w:r>
      <w:r w:rsidR="00D060ED">
        <w:rPr>
          <w:rFonts w:ascii="Garamond" w:eastAsia="Arial" w:hAnsi="Garamond" w:cs="Arial"/>
          <w:sz w:val="26"/>
          <w:szCs w:val="26"/>
        </w:rPr>
        <w:t>assicurare la rispondenza</w:t>
      </w:r>
      <w:r>
        <w:rPr>
          <w:rFonts w:ascii="Garamond" w:eastAsia="Arial" w:hAnsi="Garamond" w:cs="Arial"/>
          <w:sz w:val="26"/>
          <w:szCs w:val="26"/>
        </w:rPr>
        <w:t xml:space="preserve"> </w:t>
      </w:r>
      <w:r w:rsidR="00D060ED">
        <w:rPr>
          <w:rFonts w:ascii="Garamond" w:eastAsia="Arial" w:hAnsi="Garamond" w:cs="Arial"/>
          <w:sz w:val="26"/>
          <w:szCs w:val="26"/>
        </w:rPr>
        <w:t xml:space="preserve">di tali strumenti contrattuali al perseguimento delle </w:t>
      </w:r>
      <w:r w:rsidR="00C03F72">
        <w:rPr>
          <w:rFonts w:ascii="Garamond" w:eastAsia="Arial" w:hAnsi="Garamond" w:cs="Arial"/>
          <w:sz w:val="26"/>
          <w:szCs w:val="26"/>
        </w:rPr>
        <w:t xml:space="preserve">loro </w:t>
      </w:r>
      <w:r w:rsidR="00D060ED">
        <w:rPr>
          <w:rFonts w:ascii="Garamond" w:eastAsia="Arial" w:hAnsi="Garamond" w:cs="Arial"/>
          <w:sz w:val="26"/>
          <w:szCs w:val="26"/>
        </w:rPr>
        <w:t>funzioni istituzionali: si affaccia già in questa fase il pericolo dell’abuso dei derivati pubblici da parte delle Pubbliche amministrazioni (ed in particolare degli Enti territoriali) per finalità non consone (ovvero non “tipiche”) ai compiti loro propri</w:t>
      </w:r>
      <w:r w:rsidR="00870DA0">
        <w:rPr>
          <w:rFonts w:ascii="Garamond" w:eastAsia="Arial" w:hAnsi="Garamond" w:cs="Arial"/>
          <w:sz w:val="26"/>
          <w:szCs w:val="26"/>
        </w:rPr>
        <w:t>.</w:t>
      </w:r>
    </w:p>
    <w:p w:rsidR="00870DA0" w:rsidRPr="00870DA0" w:rsidRDefault="00870DA0" w:rsidP="00870DA0">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 xml:space="preserve">La </w:t>
      </w:r>
      <w:r>
        <w:rPr>
          <w:rFonts w:ascii="Garamond" w:eastAsia="Arial" w:hAnsi="Garamond" w:cs="Arial"/>
          <w:i/>
          <w:sz w:val="26"/>
          <w:szCs w:val="26"/>
        </w:rPr>
        <w:t xml:space="preserve">ratio </w:t>
      </w:r>
      <w:r>
        <w:rPr>
          <w:rFonts w:ascii="Garamond" w:eastAsia="Arial" w:hAnsi="Garamond" w:cs="Arial"/>
          <w:sz w:val="26"/>
          <w:szCs w:val="26"/>
        </w:rPr>
        <w:t>di questi interventi legislativi è differente dai primi, perché più che stimolare l’autonomia negoziale da parte degli Enti, il legislatore intende regolamentar</w:t>
      </w:r>
      <w:r w:rsidR="008369E9">
        <w:rPr>
          <w:rFonts w:ascii="Garamond" w:eastAsia="Arial" w:hAnsi="Garamond" w:cs="Arial"/>
          <w:sz w:val="26"/>
          <w:szCs w:val="26"/>
        </w:rPr>
        <w:t>ne l’esercizio</w:t>
      </w:r>
      <w:r>
        <w:rPr>
          <w:rFonts w:ascii="Garamond" w:eastAsia="Arial" w:hAnsi="Garamond" w:cs="Arial"/>
          <w:sz w:val="26"/>
          <w:szCs w:val="26"/>
        </w:rPr>
        <w:t>: appare</w:t>
      </w:r>
      <w:r w:rsidR="008369E9">
        <w:rPr>
          <w:rFonts w:ascii="Garamond" w:eastAsia="Arial" w:hAnsi="Garamond" w:cs="Arial"/>
          <w:sz w:val="26"/>
          <w:szCs w:val="26"/>
        </w:rPr>
        <w:t xml:space="preserve"> chiaro,</w:t>
      </w:r>
      <w:r>
        <w:rPr>
          <w:rFonts w:ascii="Garamond" w:eastAsia="Arial" w:hAnsi="Garamond" w:cs="Arial"/>
          <w:sz w:val="26"/>
          <w:szCs w:val="26"/>
        </w:rPr>
        <w:t xml:space="preserve"> già in </w:t>
      </w:r>
      <w:r w:rsidR="008369E9">
        <w:rPr>
          <w:rFonts w:ascii="Garamond" w:eastAsia="Arial" w:hAnsi="Garamond" w:cs="Arial"/>
          <w:sz w:val="26"/>
          <w:szCs w:val="26"/>
        </w:rPr>
        <w:t xml:space="preserve">questa fase, </w:t>
      </w:r>
      <w:r>
        <w:rPr>
          <w:rFonts w:ascii="Garamond" w:eastAsia="Arial" w:hAnsi="Garamond" w:cs="Arial"/>
          <w:sz w:val="26"/>
          <w:szCs w:val="26"/>
        </w:rPr>
        <w:t>l’esigenza di ricondurre anche questo p</w:t>
      </w:r>
      <w:r w:rsidR="008369E9">
        <w:rPr>
          <w:rFonts w:ascii="Garamond" w:eastAsia="Arial" w:hAnsi="Garamond" w:cs="Arial"/>
          <w:sz w:val="26"/>
          <w:szCs w:val="26"/>
        </w:rPr>
        <w:t>articolare</w:t>
      </w:r>
      <w:r>
        <w:rPr>
          <w:rFonts w:ascii="Garamond" w:eastAsia="Arial" w:hAnsi="Garamond" w:cs="Arial"/>
          <w:sz w:val="26"/>
          <w:szCs w:val="26"/>
        </w:rPr>
        <w:t xml:space="preserve"> settore di attività contrattuale, nascente dalla prassi finanziaria e</w:t>
      </w:r>
      <w:r w:rsidR="008369E9">
        <w:rPr>
          <w:rFonts w:ascii="Garamond" w:eastAsia="Arial" w:hAnsi="Garamond" w:cs="Arial"/>
          <w:sz w:val="26"/>
          <w:szCs w:val="26"/>
        </w:rPr>
        <w:t>d apparentemente</w:t>
      </w:r>
      <w:r>
        <w:rPr>
          <w:rFonts w:ascii="Garamond" w:eastAsia="Arial" w:hAnsi="Garamond" w:cs="Arial"/>
          <w:sz w:val="26"/>
          <w:szCs w:val="26"/>
        </w:rPr>
        <w:t xml:space="preserve"> </w:t>
      </w:r>
      <w:r w:rsidR="008369E9">
        <w:rPr>
          <w:rFonts w:ascii="Garamond" w:eastAsia="Arial" w:hAnsi="Garamond" w:cs="Arial"/>
          <w:sz w:val="26"/>
          <w:szCs w:val="26"/>
        </w:rPr>
        <w:t xml:space="preserve">libero da vincoli procedimentali di evidenza pubblica </w:t>
      </w:r>
      <w:r w:rsidR="008369E9" w:rsidRPr="00B97122">
        <w:rPr>
          <w:rStyle w:val="Rimandonotaapidipagina"/>
          <w:rFonts w:ascii="Garamond" w:hAnsi="Garamond" w:cs="Times New Roman"/>
          <w:color w:val="000000" w:themeColor="text1"/>
          <w:sz w:val="26"/>
          <w:szCs w:val="26"/>
        </w:rPr>
        <w:footnoteReference w:id="9"/>
      </w:r>
      <w:r w:rsidR="008369E9">
        <w:rPr>
          <w:rFonts w:ascii="Garamond" w:eastAsia="Arial" w:hAnsi="Garamond" w:cs="Arial"/>
          <w:sz w:val="26"/>
          <w:szCs w:val="26"/>
        </w:rPr>
        <w:t xml:space="preserve"> ,</w:t>
      </w:r>
      <w:r>
        <w:rPr>
          <w:rFonts w:ascii="Garamond" w:eastAsia="Arial" w:hAnsi="Garamond" w:cs="Arial"/>
          <w:sz w:val="26"/>
          <w:szCs w:val="26"/>
        </w:rPr>
        <w:t xml:space="preserve"> </w:t>
      </w:r>
      <w:r w:rsidR="00C03F72">
        <w:rPr>
          <w:rFonts w:ascii="Garamond" w:eastAsia="Arial" w:hAnsi="Garamond" w:cs="Arial"/>
          <w:sz w:val="26"/>
          <w:szCs w:val="26"/>
        </w:rPr>
        <w:t>al principio di legalità</w:t>
      </w:r>
      <w:r w:rsidR="008369E9">
        <w:rPr>
          <w:rFonts w:ascii="Garamond" w:eastAsia="Arial" w:hAnsi="Garamond" w:cs="Arial"/>
          <w:sz w:val="26"/>
          <w:szCs w:val="26"/>
        </w:rPr>
        <w:t xml:space="preserve"> dell’azione amministrativa.</w:t>
      </w:r>
      <w:r>
        <w:rPr>
          <w:rFonts w:ascii="Garamond" w:eastAsia="Arial" w:hAnsi="Garamond" w:cs="Arial"/>
          <w:sz w:val="26"/>
          <w:szCs w:val="26"/>
        </w:rPr>
        <w:t xml:space="preserve"> </w:t>
      </w:r>
    </w:p>
    <w:p w:rsidR="00801ED4" w:rsidRDefault="00DF4643"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 xml:space="preserve"> </w:t>
      </w:r>
      <w:r w:rsidR="008369E9">
        <w:rPr>
          <w:rFonts w:ascii="Garamond" w:eastAsia="Arial" w:hAnsi="Garamond" w:cs="Arial"/>
          <w:sz w:val="26"/>
          <w:szCs w:val="26"/>
        </w:rPr>
        <w:t>In quest’ottica va letto l'art. 41 della l</w:t>
      </w:r>
      <w:r w:rsidR="00A434FE" w:rsidRPr="00A434FE">
        <w:rPr>
          <w:rFonts w:ascii="Garamond" w:eastAsia="Arial" w:hAnsi="Garamond" w:cs="Arial"/>
          <w:sz w:val="26"/>
          <w:szCs w:val="26"/>
        </w:rPr>
        <w:t>egge 28</w:t>
      </w:r>
      <w:r w:rsidR="008369E9">
        <w:rPr>
          <w:rFonts w:ascii="Garamond" w:eastAsia="Arial" w:hAnsi="Garamond" w:cs="Arial"/>
          <w:sz w:val="26"/>
          <w:szCs w:val="26"/>
        </w:rPr>
        <w:t xml:space="preserve"> dicembre 2001, n. 448 (legge F</w:t>
      </w:r>
      <w:r w:rsidR="00A434FE" w:rsidRPr="00A434FE">
        <w:rPr>
          <w:rFonts w:ascii="Garamond" w:eastAsia="Arial" w:hAnsi="Garamond" w:cs="Arial"/>
          <w:sz w:val="26"/>
          <w:szCs w:val="26"/>
        </w:rPr>
        <w:t>inanziaria 2002)</w:t>
      </w:r>
      <w:r w:rsidR="008369E9">
        <w:rPr>
          <w:rFonts w:ascii="Garamond" w:eastAsia="Arial" w:hAnsi="Garamond" w:cs="Arial"/>
          <w:sz w:val="26"/>
          <w:szCs w:val="26"/>
        </w:rPr>
        <w:t>, che</w:t>
      </w:r>
      <w:r w:rsidR="00A434FE" w:rsidRPr="00A434FE">
        <w:rPr>
          <w:rFonts w:ascii="Garamond" w:eastAsia="Arial" w:hAnsi="Garamond" w:cs="Arial"/>
          <w:sz w:val="26"/>
          <w:szCs w:val="26"/>
        </w:rPr>
        <w:t xml:space="preserve"> ha nuovamente previsto per gli Enti territoriali la stipula dei contratti di swap in occasione della emissione dei titoli obbligazionari</w:t>
      </w:r>
      <w:r w:rsidR="000B4725">
        <w:rPr>
          <w:rFonts w:ascii="Garamond" w:eastAsia="Arial" w:hAnsi="Garamond" w:cs="Arial"/>
          <w:sz w:val="26"/>
          <w:szCs w:val="26"/>
        </w:rPr>
        <w:t xml:space="preserve"> (comma 2)</w:t>
      </w:r>
      <w:r w:rsidR="00A434FE" w:rsidRPr="00A434FE">
        <w:rPr>
          <w:rFonts w:ascii="Garamond" w:eastAsia="Arial" w:hAnsi="Garamond" w:cs="Arial"/>
          <w:sz w:val="26"/>
          <w:szCs w:val="26"/>
        </w:rPr>
        <w:t>, rinviando</w:t>
      </w:r>
      <w:r w:rsidR="000B4725">
        <w:rPr>
          <w:rFonts w:ascii="Garamond" w:eastAsia="Arial" w:hAnsi="Garamond" w:cs="Arial"/>
          <w:sz w:val="26"/>
          <w:szCs w:val="26"/>
        </w:rPr>
        <w:t xml:space="preserve"> </w:t>
      </w:r>
      <w:r w:rsidR="00A434FE" w:rsidRPr="00A434FE">
        <w:rPr>
          <w:rFonts w:ascii="Garamond" w:eastAsia="Arial" w:hAnsi="Garamond" w:cs="Arial"/>
          <w:sz w:val="26"/>
          <w:szCs w:val="26"/>
        </w:rPr>
        <w:t xml:space="preserve">ad un decreto ministeriale </w:t>
      </w:r>
      <w:r w:rsidR="00A434FE" w:rsidRPr="00A434FE">
        <w:rPr>
          <w:rFonts w:ascii="Garamond" w:eastAsia="Arial" w:hAnsi="Garamond" w:cs="Arial"/>
          <w:i/>
          <w:iCs/>
          <w:sz w:val="26"/>
          <w:szCs w:val="26"/>
        </w:rPr>
        <w:t>"le norme relative ... all'utilizzo degli strumenti derivati da parte dei succitati enti"</w:t>
      </w:r>
      <w:r w:rsidR="000B4725">
        <w:rPr>
          <w:rFonts w:ascii="Garamond" w:eastAsia="Arial" w:hAnsi="Garamond" w:cs="Arial"/>
          <w:i/>
          <w:iCs/>
          <w:sz w:val="26"/>
          <w:szCs w:val="26"/>
        </w:rPr>
        <w:t xml:space="preserve"> </w:t>
      </w:r>
      <w:r w:rsidR="000B4725">
        <w:rPr>
          <w:rFonts w:ascii="Garamond" w:eastAsia="Arial" w:hAnsi="Garamond" w:cs="Arial"/>
          <w:iCs/>
          <w:sz w:val="26"/>
          <w:szCs w:val="26"/>
        </w:rPr>
        <w:t xml:space="preserve">(comma 1) </w:t>
      </w:r>
      <w:r w:rsidR="000B4725" w:rsidRPr="00B97122">
        <w:rPr>
          <w:rStyle w:val="Rimandonotaapidipagina"/>
          <w:rFonts w:ascii="Garamond" w:hAnsi="Garamond" w:cs="Times New Roman"/>
          <w:color w:val="000000" w:themeColor="text1"/>
          <w:sz w:val="26"/>
          <w:szCs w:val="26"/>
        </w:rPr>
        <w:footnoteReference w:id="10"/>
      </w:r>
      <w:r w:rsidR="00A434FE" w:rsidRPr="00A434FE">
        <w:rPr>
          <w:rFonts w:ascii="Garamond" w:eastAsia="Arial" w:hAnsi="Garamond" w:cs="Arial"/>
          <w:sz w:val="26"/>
          <w:szCs w:val="26"/>
        </w:rPr>
        <w:t xml:space="preserve">. </w:t>
      </w:r>
    </w:p>
    <w:p w:rsidR="00801ED4" w:rsidRDefault="00A434FE" w:rsidP="00801ED4">
      <w:pPr>
        <w:spacing w:line="360" w:lineRule="auto"/>
        <w:ind w:left="567" w:right="567" w:firstLine="141"/>
        <w:jc w:val="both"/>
        <w:rPr>
          <w:rFonts w:ascii="Garamond" w:eastAsia="Arial" w:hAnsi="Garamond" w:cs="Arial"/>
          <w:sz w:val="26"/>
          <w:szCs w:val="26"/>
        </w:rPr>
      </w:pPr>
      <w:r w:rsidRPr="00A434FE">
        <w:rPr>
          <w:rFonts w:ascii="Garamond" w:eastAsia="Arial" w:hAnsi="Garamond" w:cs="Arial"/>
          <w:sz w:val="26"/>
          <w:szCs w:val="26"/>
        </w:rPr>
        <w:t xml:space="preserve">La disciplina regolamentare generale delle "operazioni in strumenti derivati" da parte degli Enti locali </w:t>
      </w:r>
      <w:r w:rsidR="008369E9">
        <w:rPr>
          <w:rFonts w:ascii="Garamond" w:eastAsia="Arial" w:hAnsi="Garamond" w:cs="Arial"/>
          <w:sz w:val="26"/>
          <w:szCs w:val="26"/>
        </w:rPr>
        <w:t xml:space="preserve">è stata poi emanata con il decreto ministeriale </w:t>
      </w:r>
      <w:r w:rsidRPr="00A434FE">
        <w:rPr>
          <w:rFonts w:ascii="Garamond" w:eastAsia="Arial" w:hAnsi="Garamond" w:cs="Arial"/>
          <w:sz w:val="26"/>
          <w:szCs w:val="26"/>
        </w:rPr>
        <w:t>1</w:t>
      </w:r>
      <w:r w:rsidR="008369E9">
        <w:rPr>
          <w:rFonts w:ascii="Garamond" w:eastAsia="Arial" w:hAnsi="Garamond" w:cs="Arial"/>
          <w:sz w:val="26"/>
          <w:szCs w:val="26"/>
        </w:rPr>
        <w:t xml:space="preserve"> dicembre </w:t>
      </w:r>
      <w:r w:rsidRPr="00A434FE">
        <w:rPr>
          <w:rFonts w:ascii="Garamond" w:eastAsia="Arial" w:hAnsi="Garamond" w:cs="Arial"/>
          <w:sz w:val="26"/>
          <w:szCs w:val="26"/>
        </w:rPr>
        <w:t>2003, n. 389 (</w:t>
      </w:r>
      <w:r w:rsidRPr="008369E9">
        <w:rPr>
          <w:rFonts w:ascii="Garamond" w:eastAsia="Arial" w:hAnsi="Garamond" w:cs="Arial"/>
          <w:i/>
          <w:sz w:val="26"/>
          <w:szCs w:val="26"/>
        </w:rPr>
        <w:t>Regolamento concernente l'accesso al mercato dei capitali da parte delle province, dei comuni, delle città metropolitane, delle comunità montane e delle comunità isolane, nonchè dei consorzi tra enti territoriali e delle regioni, ai sensi dell'articolo 41, comma 1, della L. 28 dicembre 2001, n. 448</w:t>
      </w:r>
      <w:r w:rsidR="001F0D5E">
        <w:rPr>
          <w:rFonts w:ascii="Garamond" w:eastAsia="Arial" w:hAnsi="Garamond" w:cs="Arial"/>
          <w:sz w:val="26"/>
          <w:szCs w:val="26"/>
        </w:rPr>
        <w:t xml:space="preserve">), la cui portata applicativa è stata esplicitata con Circolare del Ministero dell’economia e delle finanze 27 maggio 2004. </w:t>
      </w:r>
      <w:r w:rsidRPr="00A434FE">
        <w:rPr>
          <w:rFonts w:ascii="Garamond" w:eastAsia="Arial" w:hAnsi="Garamond" w:cs="Arial"/>
          <w:sz w:val="26"/>
          <w:szCs w:val="26"/>
        </w:rPr>
        <w:t xml:space="preserve"> </w:t>
      </w:r>
    </w:p>
    <w:p w:rsidR="00801ED4" w:rsidRDefault="008369E9"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Successivamente, l'art. 1, comma 74, della l</w:t>
      </w:r>
      <w:r w:rsidR="00A434FE" w:rsidRPr="00A434FE">
        <w:rPr>
          <w:rFonts w:ascii="Garamond" w:eastAsia="Arial" w:hAnsi="Garamond" w:cs="Arial"/>
          <w:sz w:val="26"/>
          <w:szCs w:val="26"/>
        </w:rPr>
        <w:t>egge 30</w:t>
      </w:r>
      <w:r>
        <w:rPr>
          <w:rFonts w:ascii="Garamond" w:eastAsia="Arial" w:hAnsi="Garamond" w:cs="Arial"/>
          <w:sz w:val="26"/>
          <w:szCs w:val="26"/>
        </w:rPr>
        <w:t xml:space="preserve"> dicembre </w:t>
      </w:r>
      <w:r w:rsidR="00A434FE" w:rsidRPr="00A434FE">
        <w:rPr>
          <w:rFonts w:ascii="Garamond" w:eastAsia="Arial" w:hAnsi="Garamond" w:cs="Arial"/>
          <w:sz w:val="26"/>
          <w:szCs w:val="26"/>
        </w:rPr>
        <w:t>2004, n. 311 ha conf</w:t>
      </w:r>
      <w:r>
        <w:rPr>
          <w:rFonts w:ascii="Garamond" w:eastAsia="Arial" w:hAnsi="Garamond" w:cs="Arial"/>
          <w:sz w:val="26"/>
          <w:szCs w:val="26"/>
        </w:rPr>
        <w:t xml:space="preserve">ermato la stipula degli </w:t>
      </w:r>
      <w:r w:rsidR="00A434FE" w:rsidRPr="00A434FE">
        <w:rPr>
          <w:rFonts w:ascii="Garamond" w:eastAsia="Arial" w:hAnsi="Garamond" w:cs="Arial"/>
          <w:sz w:val="26"/>
          <w:szCs w:val="26"/>
        </w:rPr>
        <w:t xml:space="preserve">swap </w:t>
      </w:r>
      <w:r>
        <w:rPr>
          <w:rFonts w:ascii="Garamond" w:eastAsia="Arial" w:hAnsi="Garamond" w:cs="Arial"/>
          <w:sz w:val="26"/>
          <w:szCs w:val="26"/>
        </w:rPr>
        <w:t xml:space="preserve">a garanzia della </w:t>
      </w:r>
      <w:r w:rsidR="00A434FE" w:rsidRPr="00A434FE">
        <w:rPr>
          <w:rFonts w:ascii="Garamond" w:eastAsia="Arial" w:hAnsi="Garamond" w:cs="Arial"/>
          <w:sz w:val="26"/>
          <w:szCs w:val="26"/>
        </w:rPr>
        <w:t>emi</w:t>
      </w:r>
      <w:r>
        <w:rPr>
          <w:rFonts w:ascii="Garamond" w:eastAsia="Arial" w:hAnsi="Garamond" w:cs="Arial"/>
          <w:sz w:val="26"/>
          <w:szCs w:val="26"/>
        </w:rPr>
        <w:t xml:space="preserve">ssione di titoli obbligazionari (in alternativa alla costituzione di un fondo di ammortamento del debito). </w:t>
      </w:r>
      <w:r w:rsidR="00A434FE" w:rsidRPr="00A434FE">
        <w:rPr>
          <w:rFonts w:ascii="Garamond" w:eastAsia="Arial" w:hAnsi="Garamond" w:cs="Arial"/>
          <w:sz w:val="26"/>
          <w:szCs w:val="26"/>
        </w:rPr>
        <w:t xml:space="preserve"> </w:t>
      </w:r>
    </w:p>
    <w:p w:rsidR="00DB273E" w:rsidRDefault="00DB273E"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Siamo in una fase in cui molti Enti – ed in particolare molte Regioni ed Enti locali – allettati da proposte di ris</w:t>
      </w:r>
      <w:r w:rsidR="006C6117">
        <w:rPr>
          <w:rFonts w:ascii="Garamond" w:eastAsia="Arial" w:hAnsi="Garamond" w:cs="Arial"/>
          <w:sz w:val="26"/>
          <w:szCs w:val="26"/>
        </w:rPr>
        <w:t>trutturazione dei propri debiti</w:t>
      </w:r>
      <w:r>
        <w:rPr>
          <w:rFonts w:ascii="Garamond" w:eastAsia="Arial" w:hAnsi="Garamond" w:cs="Arial"/>
          <w:sz w:val="26"/>
          <w:szCs w:val="26"/>
        </w:rPr>
        <w:t xml:space="preserve"> non di rado arricchite da “premi di liquidità”, </w:t>
      </w:r>
      <w:r w:rsidR="006C6117">
        <w:rPr>
          <w:rFonts w:ascii="Garamond" w:eastAsia="Arial" w:hAnsi="Garamond" w:cs="Arial"/>
          <w:sz w:val="26"/>
          <w:szCs w:val="26"/>
        </w:rPr>
        <w:t xml:space="preserve">sottoscrivono </w:t>
      </w:r>
      <w:r>
        <w:rPr>
          <w:rFonts w:ascii="Garamond" w:eastAsia="Arial" w:hAnsi="Garamond" w:cs="Arial"/>
          <w:sz w:val="26"/>
          <w:szCs w:val="26"/>
        </w:rPr>
        <w:t xml:space="preserve">operazioni di finanza derivata con banche nazionali ed estere, secondo modelli contrattuali predisposti unilateralmente da queste ultime.  </w:t>
      </w:r>
    </w:p>
    <w:p w:rsidR="00DB273E" w:rsidRDefault="00D9680F"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Emerge</w:t>
      </w:r>
      <w:r w:rsidR="00DB273E">
        <w:rPr>
          <w:rFonts w:ascii="Garamond" w:eastAsia="Arial" w:hAnsi="Garamond" w:cs="Arial"/>
          <w:sz w:val="26"/>
          <w:szCs w:val="26"/>
        </w:rPr>
        <w:t xml:space="preserve">, così, in chiaro che una siffatta tipologia di negoziazione, in cui (come dicono le Sezioni Unite) </w:t>
      </w:r>
      <w:r>
        <w:rPr>
          <w:rFonts w:ascii="Garamond" w:eastAsia="Arial" w:hAnsi="Garamond" w:cs="Arial"/>
          <w:sz w:val="26"/>
          <w:szCs w:val="26"/>
        </w:rPr>
        <w:t xml:space="preserve">la banca è al tempo stesso un intermediario finanziario, ma anche un mandatario dell’investitore </w:t>
      </w:r>
      <w:r w:rsidR="00DB273E">
        <w:rPr>
          <w:rFonts w:ascii="Garamond" w:eastAsia="Arial" w:hAnsi="Garamond" w:cs="Arial"/>
          <w:sz w:val="26"/>
          <w:szCs w:val="26"/>
        </w:rPr>
        <w:t xml:space="preserve">e </w:t>
      </w:r>
      <w:r w:rsidR="00DB273E">
        <w:rPr>
          <w:rFonts w:ascii="Garamond" w:eastAsia="Arial" w:hAnsi="Garamond" w:cs="Arial"/>
          <w:i/>
          <w:sz w:val="26"/>
          <w:szCs w:val="26"/>
        </w:rPr>
        <w:t>&lt;&lt; l’intermediario è tendenzialmente controparte diretta del proprio cliente &gt;&gt;</w:t>
      </w:r>
      <w:r>
        <w:rPr>
          <w:rFonts w:ascii="Garamond" w:eastAsia="Arial" w:hAnsi="Garamond" w:cs="Arial"/>
          <w:i/>
          <w:sz w:val="26"/>
          <w:szCs w:val="26"/>
        </w:rPr>
        <w:t xml:space="preserve"> </w:t>
      </w:r>
      <w:r w:rsidRPr="00B97122">
        <w:rPr>
          <w:rStyle w:val="Rimandonotaapidipagina"/>
          <w:rFonts w:ascii="Garamond" w:hAnsi="Garamond" w:cs="Times New Roman"/>
          <w:color w:val="000000" w:themeColor="text1"/>
          <w:sz w:val="26"/>
          <w:szCs w:val="26"/>
        </w:rPr>
        <w:footnoteReference w:id="11"/>
      </w:r>
      <w:r w:rsidR="00DB273E">
        <w:rPr>
          <w:rFonts w:ascii="Garamond" w:eastAsia="Arial" w:hAnsi="Garamond" w:cs="Arial"/>
          <w:sz w:val="26"/>
          <w:szCs w:val="26"/>
        </w:rPr>
        <w:t>,</w:t>
      </w:r>
      <w:r w:rsidR="00DB273E">
        <w:rPr>
          <w:rFonts w:ascii="Garamond" w:eastAsia="Arial" w:hAnsi="Garamond" w:cs="Arial"/>
          <w:i/>
          <w:sz w:val="26"/>
          <w:szCs w:val="26"/>
        </w:rPr>
        <w:t xml:space="preserve"> </w:t>
      </w:r>
      <w:r>
        <w:rPr>
          <w:rFonts w:ascii="Garamond" w:eastAsia="Arial" w:hAnsi="Garamond" w:cs="Arial"/>
          <w:sz w:val="26"/>
          <w:szCs w:val="26"/>
        </w:rPr>
        <w:t xml:space="preserve">la necessità di una protezione della “parte debole” del contratto che in questo caso, a dispetto delle tradizionali acquisizioni del “diritto amministrativo”, non è il soggetto privato, bensì la Pubblica amministrazione.   </w:t>
      </w:r>
      <w:r w:rsidR="00DB273E">
        <w:rPr>
          <w:rFonts w:ascii="Garamond" w:eastAsia="Arial" w:hAnsi="Garamond" w:cs="Arial"/>
          <w:sz w:val="26"/>
          <w:szCs w:val="26"/>
        </w:rPr>
        <w:t xml:space="preserve"> </w:t>
      </w:r>
    </w:p>
    <w:p w:rsidR="00E03FAC" w:rsidRDefault="00E03FAC"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Esigenza di protezione che non poteva essere adeguatamente soddisfatt</w:t>
      </w:r>
      <w:r w:rsidR="00C03F72">
        <w:rPr>
          <w:rFonts w:ascii="Garamond" w:eastAsia="Arial" w:hAnsi="Garamond" w:cs="Arial"/>
          <w:sz w:val="26"/>
          <w:szCs w:val="26"/>
        </w:rPr>
        <w:t>a con gli strumenti comuni del C</w:t>
      </w:r>
      <w:r>
        <w:rPr>
          <w:rFonts w:ascii="Garamond" w:eastAsia="Arial" w:hAnsi="Garamond" w:cs="Arial"/>
          <w:sz w:val="26"/>
          <w:szCs w:val="26"/>
        </w:rPr>
        <w:t xml:space="preserve">odice civile e neppure con quelli previsti dal Testo unico </w:t>
      </w:r>
      <w:r w:rsidR="00AE260B">
        <w:rPr>
          <w:rFonts w:ascii="Garamond" w:eastAsia="Arial" w:hAnsi="Garamond" w:cs="Arial"/>
          <w:sz w:val="26"/>
          <w:szCs w:val="26"/>
        </w:rPr>
        <w:t xml:space="preserve">delle disposizioni in materia di intermediazione finanziaria (d.lgs. n. 58 del 1998) </w:t>
      </w:r>
      <w:r w:rsidR="00AE260B" w:rsidRPr="00B97122">
        <w:rPr>
          <w:rStyle w:val="Rimandonotaapidipagina"/>
          <w:rFonts w:ascii="Garamond" w:hAnsi="Garamond" w:cs="Times New Roman"/>
          <w:color w:val="000000" w:themeColor="text1"/>
          <w:sz w:val="26"/>
          <w:szCs w:val="26"/>
        </w:rPr>
        <w:footnoteReference w:id="12"/>
      </w:r>
      <w:r w:rsidR="00AE260B">
        <w:rPr>
          <w:rFonts w:ascii="Garamond" w:eastAsia="Arial" w:hAnsi="Garamond" w:cs="Arial"/>
          <w:sz w:val="26"/>
          <w:szCs w:val="26"/>
        </w:rPr>
        <w:t>.</w:t>
      </w:r>
      <w:r>
        <w:rPr>
          <w:rFonts w:ascii="Garamond" w:eastAsia="Arial" w:hAnsi="Garamond" w:cs="Arial"/>
          <w:sz w:val="26"/>
          <w:szCs w:val="26"/>
        </w:rPr>
        <w:t xml:space="preserve"> </w:t>
      </w:r>
    </w:p>
    <w:p w:rsidR="00DB273E" w:rsidRDefault="00E65163"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Così si spiega il primo intervento legislativo di protezione di cui all’art. 1, commi 736, 737 e 738</w:t>
      </w:r>
      <w:r w:rsidR="009D0E1A">
        <w:rPr>
          <w:rFonts w:ascii="Garamond" w:eastAsia="Arial" w:hAnsi="Garamond" w:cs="Arial"/>
          <w:sz w:val="26"/>
          <w:szCs w:val="26"/>
        </w:rPr>
        <w:t>,</w:t>
      </w:r>
      <w:r>
        <w:rPr>
          <w:rFonts w:ascii="Garamond" w:eastAsia="Arial" w:hAnsi="Garamond" w:cs="Arial"/>
          <w:sz w:val="26"/>
          <w:szCs w:val="26"/>
        </w:rPr>
        <w:t xml:space="preserve"> della l</w:t>
      </w:r>
      <w:r w:rsidR="00A434FE" w:rsidRPr="00A434FE">
        <w:rPr>
          <w:rFonts w:ascii="Garamond" w:eastAsia="Arial" w:hAnsi="Garamond" w:cs="Arial"/>
          <w:sz w:val="26"/>
          <w:szCs w:val="26"/>
        </w:rPr>
        <w:t>egge 27</w:t>
      </w:r>
      <w:r>
        <w:rPr>
          <w:rFonts w:ascii="Garamond" w:eastAsia="Arial" w:hAnsi="Garamond" w:cs="Arial"/>
          <w:sz w:val="26"/>
          <w:szCs w:val="26"/>
        </w:rPr>
        <w:t xml:space="preserve"> dicembre 2006, n. 296 (l</w:t>
      </w:r>
      <w:r w:rsidR="00A434FE" w:rsidRPr="00A434FE">
        <w:rPr>
          <w:rFonts w:ascii="Garamond" w:eastAsia="Arial" w:hAnsi="Garamond" w:cs="Arial"/>
          <w:sz w:val="26"/>
          <w:szCs w:val="26"/>
        </w:rPr>
        <w:t>egge Finanziaria 2007)</w:t>
      </w:r>
      <w:r>
        <w:rPr>
          <w:rFonts w:ascii="Garamond" w:eastAsia="Arial" w:hAnsi="Garamond" w:cs="Arial"/>
          <w:sz w:val="26"/>
          <w:szCs w:val="26"/>
        </w:rPr>
        <w:t xml:space="preserve">, che, nel ribadire </w:t>
      </w:r>
      <w:r w:rsidR="00A434FE" w:rsidRPr="00A434FE">
        <w:rPr>
          <w:rFonts w:ascii="Garamond" w:eastAsia="Arial" w:hAnsi="Garamond" w:cs="Arial"/>
          <w:sz w:val="26"/>
          <w:szCs w:val="26"/>
        </w:rPr>
        <w:t xml:space="preserve">alcuni </w:t>
      </w:r>
      <w:r w:rsidRPr="009D0E1A">
        <w:rPr>
          <w:rFonts w:ascii="Garamond" w:eastAsia="Arial" w:hAnsi="Garamond" w:cs="Arial"/>
          <w:i/>
          <w:sz w:val="26"/>
          <w:szCs w:val="26"/>
        </w:rPr>
        <w:t>“</w:t>
      </w:r>
      <w:r w:rsidR="00A434FE" w:rsidRPr="009D0E1A">
        <w:rPr>
          <w:rFonts w:ascii="Garamond" w:eastAsia="Arial" w:hAnsi="Garamond" w:cs="Arial"/>
          <w:i/>
          <w:sz w:val="26"/>
          <w:szCs w:val="26"/>
        </w:rPr>
        <w:t>principi fondamentali per il coord</w:t>
      </w:r>
      <w:r w:rsidRPr="009D0E1A">
        <w:rPr>
          <w:rFonts w:ascii="Garamond" w:eastAsia="Arial" w:hAnsi="Garamond" w:cs="Arial"/>
          <w:i/>
          <w:sz w:val="26"/>
          <w:szCs w:val="26"/>
        </w:rPr>
        <w:t>inamento della finanza pubblica”</w:t>
      </w:r>
      <w:r w:rsidR="00A434FE" w:rsidRPr="00A434FE">
        <w:rPr>
          <w:rFonts w:ascii="Garamond" w:eastAsia="Arial" w:hAnsi="Garamond" w:cs="Arial"/>
          <w:sz w:val="26"/>
          <w:szCs w:val="26"/>
        </w:rPr>
        <w:t xml:space="preserve"> sull'utilizzo degli strumenti derivati da parte delle Regioni e degli Enti Locali, </w:t>
      </w:r>
      <w:r>
        <w:rPr>
          <w:rFonts w:ascii="Garamond" w:eastAsia="Arial" w:hAnsi="Garamond" w:cs="Arial"/>
          <w:sz w:val="26"/>
          <w:szCs w:val="26"/>
        </w:rPr>
        <w:t>ha approntato un sistema dei controlli</w:t>
      </w:r>
      <w:r w:rsidR="009D0E1A">
        <w:rPr>
          <w:rFonts w:ascii="Garamond" w:eastAsia="Arial" w:hAnsi="Garamond" w:cs="Arial"/>
          <w:sz w:val="26"/>
          <w:szCs w:val="26"/>
        </w:rPr>
        <w:t xml:space="preserve"> del G</w:t>
      </w:r>
      <w:r w:rsidR="00A434FE" w:rsidRPr="00A434FE">
        <w:rPr>
          <w:rFonts w:ascii="Garamond" w:eastAsia="Arial" w:hAnsi="Garamond" w:cs="Arial"/>
          <w:sz w:val="26"/>
          <w:szCs w:val="26"/>
        </w:rPr>
        <w:t>overno nazionale sulle singole</w:t>
      </w:r>
      <w:r>
        <w:rPr>
          <w:rFonts w:ascii="Garamond" w:eastAsia="Arial" w:hAnsi="Garamond" w:cs="Arial"/>
          <w:sz w:val="26"/>
          <w:szCs w:val="26"/>
        </w:rPr>
        <w:t xml:space="preserve"> operazioni poste in essere dagli Enti</w:t>
      </w:r>
      <w:r w:rsidR="00A434FE" w:rsidRPr="00A434FE">
        <w:rPr>
          <w:rFonts w:ascii="Garamond" w:eastAsia="Arial" w:hAnsi="Garamond" w:cs="Arial"/>
          <w:sz w:val="26"/>
          <w:szCs w:val="26"/>
        </w:rPr>
        <w:t xml:space="preserve">. </w:t>
      </w:r>
    </w:p>
    <w:p w:rsidR="00801ED4" w:rsidRDefault="00E65163"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 xml:space="preserve">Dando seguito alla suddetta tendenza normativa, </w:t>
      </w:r>
      <w:r w:rsidR="00A434FE" w:rsidRPr="00A434FE">
        <w:rPr>
          <w:rFonts w:ascii="Garamond" w:eastAsia="Arial" w:hAnsi="Garamond" w:cs="Arial"/>
          <w:sz w:val="26"/>
          <w:szCs w:val="26"/>
        </w:rPr>
        <w:t xml:space="preserve">è </w:t>
      </w:r>
      <w:r>
        <w:rPr>
          <w:rFonts w:ascii="Garamond" w:eastAsia="Arial" w:hAnsi="Garamond" w:cs="Arial"/>
          <w:sz w:val="26"/>
          <w:szCs w:val="26"/>
        </w:rPr>
        <w:t>quindi intervenuta la l</w:t>
      </w:r>
      <w:r w:rsidR="00A434FE" w:rsidRPr="00A434FE">
        <w:rPr>
          <w:rFonts w:ascii="Garamond" w:eastAsia="Arial" w:hAnsi="Garamond" w:cs="Arial"/>
          <w:sz w:val="26"/>
          <w:szCs w:val="26"/>
        </w:rPr>
        <w:t>egge 24</w:t>
      </w:r>
      <w:r>
        <w:rPr>
          <w:rFonts w:ascii="Garamond" w:eastAsia="Arial" w:hAnsi="Garamond" w:cs="Arial"/>
          <w:sz w:val="26"/>
          <w:szCs w:val="26"/>
        </w:rPr>
        <w:t xml:space="preserve"> dicembre </w:t>
      </w:r>
      <w:r w:rsidR="00A434FE" w:rsidRPr="00A434FE">
        <w:rPr>
          <w:rFonts w:ascii="Garamond" w:eastAsia="Arial" w:hAnsi="Garamond" w:cs="Arial"/>
          <w:sz w:val="26"/>
          <w:szCs w:val="26"/>
        </w:rPr>
        <w:t xml:space="preserve">2007, n. 244 (Finanziaria 2008), che dopo avere enunciato </w:t>
      </w:r>
      <w:r w:rsidR="004F2E6D">
        <w:rPr>
          <w:rFonts w:ascii="Garamond" w:eastAsia="Arial" w:hAnsi="Garamond" w:cs="Arial"/>
          <w:sz w:val="26"/>
          <w:szCs w:val="26"/>
        </w:rPr>
        <w:t xml:space="preserve">che </w:t>
      </w:r>
      <w:r w:rsidR="00A434FE" w:rsidRPr="00A434FE">
        <w:rPr>
          <w:rFonts w:ascii="Garamond" w:eastAsia="Arial" w:hAnsi="Garamond" w:cs="Arial"/>
          <w:i/>
          <w:iCs/>
          <w:sz w:val="26"/>
          <w:szCs w:val="26"/>
        </w:rPr>
        <w:t>"381. I contratti di strumenti finanziari anche derivati, sottoscritti da regioni ed enti locali, sono informati alla massima trasparenza"</w:t>
      </w:r>
      <w:r w:rsidR="00A434FE" w:rsidRPr="00A434FE">
        <w:rPr>
          <w:rFonts w:ascii="Garamond" w:eastAsia="Arial" w:hAnsi="Garamond" w:cs="Arial"/>
          <w:sz w:val="26"/>
          <w:szCs w:val="26"/>
        </w:rPr>
        <w:t>, ha previsto alcuni adempimenti obbligatori</w:t>
      </w:r>
      <w:r w:rsidR="004F2E6D">
        <w:rPr>
          <w:rFonts w:ascii="Garamond" w:eastAsia="Arial" w:hAnsi="Garamond" w:cs="Arial"/>
          <w:sz w:val="26"/>
          <w:szCs w:val="26"/>
        </w:rPr>
        <w:t xml:space="preserve"> volti a rendere effettivo il </w:t>
      </w:r>
      <w:r w:rsidR="00A434FE" w:rsidRPr="00A434FE">
        <w:rPr>
          <w:rFonts w:ascii="Garamond" w:eastAsia="Arial" w:hAnsi="Garamond" w:cs="Arial"/>
          <w:sz w:val="26"/>
          <w:szCs w:val="26"/>
        </w:rPr>
        <w:t xml:space="preserve">principio </w:t>
      </w:r>
      <w:r w:rsidR="004F2E6D">
        <w:rPr>
          <w:rFonts w:ascii="Garamond" w:eastAsia="Arial" w:hAnsi="Garamond" w:cs="Arial"/>
          <w:sz w:val="26"/>
          <w:szCs w:val="26"/>
        </w:rPr>
        <w:t xml:space="preserve">di trasparenza </w:t>
      </w:r>
      <w:r w:rsidR="00A434FE" w:rsidRPr="00A434FE">
        <w:rPr>
          <w:rFonts w:ascii="Garamond" w:eastAsia="Arial" w:hAnsi="Garamond" w:cs="Arial"/>
          <w:sz w:val="26"/>
          <w:szCs w:val="26"/>
        </w:rPr>
        <w:t>(</w:t>
      </w:r>
      <w:r w:rsidR="00A434FE" w:rsidRPr="00A434FE">
        <w:rPr>
          <w:rFonts w:ascii="Garamond" w:eastAsia="Arial" w:hAnsi="Garamond" w:cs="Arial"/>
          <w:i/>
          <w:iCs/>
          <w:sz w:val="26"/>
          <w:szCs w:val="26"/>
        </w:rPr>
        <w:t>"383. La regione o l'ente locale sottoscrittore di strumenti finanziari di cui al comma 381 deve attestare espressamente di aver preso piena conoscenza dei rischi e delle caratteristiche dei medesimi, evidenziando in apposita nota allegata al bilancio gli oneri e gli impegni finanziari derivanti da tali attività.")</w:t>
      </w:r>
      <w:r>
        <w:rPr>
          <w:rFonts w:ascii="Garamond" w:eastAsia="Arial" w:hAnsi="Garamond" w:cs="Arial"/>
          <w:sz w:val="26"/>
          <w:szCs w:val="26"/>
        </w:rPr>
        <w:t xml:space="preserve">, </w:t>
      </w:r>
      <w:r w:rsidR="00A434FE" w:rsidRPr="00A434FE">
        <w:rPr>
          <w:rFonts w:ascii="Garamond" w:eastAsia="Arial" w:hAnsi="Garamond" w:cs="Arial"/>
          <w:sz w:val="26"/>
          <w:szCs w:val="26"/>
        </w:rPr>
        <w:t xml:space="preserve">ha rafforzato </w:t>
      </w:r>
      <w:r w:rsidR="009D0E1A">
        <w:rPr>
          <w:rFonts w:ascii="Garamond" w:eastAsia="Arial" w:hAnsi="Garamond" w:cs="Arial"/>
          <w:sz w:val="26"/>
          <w:szCs w:val="26"/>
        </w:rPr>
        <w:t>ulteriormente il controllo del G</w:t>
      </w:r>
      <w:r w:rsidR="00A434FE" w:rsidRPr="00A434FE">
        <w:rPr>
          <w:rFonts w:ascii="Garamond" w:eastAsia="Arial" w:hAnsi="Garamond" w:cs="Arial"/>
          <w:sz w:val="26"/>
          <w:szCs w:val="26"/>
        </w:rPr>
        <w:t>overno nazionale sulle singole operazioni poste in essere dagli Enti</w:t>
      </w:r>
      <w:r>
        <w:rPr>
          <w:rFonts w:ascii="Garamond" w:eastAsia="Arial" w:hAnsi="Garamond" w:cs="Arial"/>
          <w:sz w:val="26"/>
          <w:szCs w:val="26"/>
        </w:rPr>
        <w:t>,</w:t>
      </w:r>
      <w:r w:rsidR="00A434FE" w:rsidRPr="00A434FE">
        <w:rPr>
          <w:rFonts w:ascii="Garamond" w:eastAsia="Arial" w:hAnsi="Garamond" w:cs="Arial"/>
          <w:sz w:val="26"/>
          <w:szCs w:val="26"/>
        </w:rPr>
        <w:t xml:space="preserve"> assoggettando</w:t>
      </w:r>
      <w:r>
        <w:rPr>
          <w:rFonts w:ascii="Garamond" w:eastAsia="Arial" w:hAnsi="Garamond" w:cs="Arial"/>
          <w:sz w:val="26"/>
          <w:szCs w:val="26"/>
        </w:rPr>
        <w:t>li</w:t>
      </w:r>
      <w:r w:rsidR="00A434FE" w:rsidRPr="00A434FE">
        <w:rPr>
          <w:rFonts w:ascii="Garamond" w:eastAsia="Arial" w:hAnsi="Garamond" w:cs="Arial"/>
          <w:sz w:val="26"/>
          <w:szCs w:val="26"/>
        </w:rPr>
        <w:t xml:space="preserve"> al rispetto delle modalità di redazione stabilite con </w:t>
      </w:r>
      <w:r>
        <w:rPr>
          <w:rFonts w:ascii="Garamond" w:eastAsia="Arial" w:hAnsi="Garamond" w:cs="Arial"/>
          <w:sz w:val="26"/>
          <w:szCs w:val="26"/>
        </w:rPr>
        <w:t>apposito decreto m</w:t>
      </w:r>
      <w:r w:rsidR="00A434FE" w:rsidRPr="00A434FE">
        <w:rPr>
          <w:rFonts w:ascii="Garamond" w:eastAsia="Arial" w:hAnsi="Garamond" w:cs="Arial"/>
          <w:sz w:val="26"/>
          <w:szCs w:val="26"/>
        </w:rPr>
        <w:t>inisteriale (</w:t>
      </w:r>
      <w:r w:rsidR="00A434FE" w:rsidRPr="00A434FE">
        <w:rPr>
          <w:rFonts w:ascii="Garamond" w:eastAsia="Arial" w:hAnsi="Garamond" w:cs="Arial"/>
          <w:i/>
          <w:iCs/>
          <w:sz w:val="26"/>
          <w:szCs w:val="26"/>
        </w:rPr>
        <w:t>"382. I contratti di cui al comma 381 devono recare le informazioni ed essere redatti secondo le indicazioni specificate in un decreto del Ministero dell'economia e delle finanze, da emanare sentite la CONSOB e la Banca d'Italia. Il Ministero dell'economia e delle finanze verifica la conformità dei contratti al decreto ")</w:t>
      </w:r>
      <w:r>
        <w:rPr>
          <w:rFonts w:ascii="Garamond" w:eastAsia="Arial" w:hAnsi="Garamond" w:cs="Arial"/>
          <w:sz w:val="26"/>
          <w:szCs w:val="26"/>
        </w:rPr>
        <w:t xml:space="preserve"> ed ha disciplinato le conseguenze di</w:t>
      </w:r>
      <w:r w:rsidR="00A434FE" w:rsidRPr="00A434FE">
        <w:rPr>
          <w:rFonts w:ascii="Garamond" w:eastAsia="Arial" w:hAnsi="Garamond" w:cs="Arial"/>
          <w:sz w:val="26"/>
          <w:szCs w:val="26"/>
        </w:rPr>
        <w:t xml:space="preserve"> eventuali violazioni, sia in termini di responsabilità erariale</w:t>
      </w:r>
      <w:r w:rsidR="004F2E6D">
        <w:rPr>
          <w:rFonts w:ascii="Garamond" w:eastAsia="Arial" w:hAnsi="Garamond" w:cs="Arial"/>
          <w:sz w:val="26"/>
          <w:szCs w:val="26"/>
        </w:rPr>
        <w:t xml:space="preserve">, sia intervenendo sulla efficacia stessa dei contratti </w:t>
      </w:r>
      <w:r w:rsidR="00A434FE" w:rsidRPr="00A434FE">
        <w:rPr>
          <w:rFonts w:ascii="Garamond" w:eastAsia="Arial" w:hAnsi="Garamond" w:cs="Arial"/>
          <w:sz w:val="26"/>
          <w:szCs w:val="26"/>
        </w:rPr>
        <w:t xml:space="preserve"> (</w:t>
      </w:r>
      <w:r w:rsidR="00A434FE" w:rsidRPr="00A434FE">
        <w:rPr>
          <w:rFonts w:ascii="Garamond" w:eastAsia="Arial" w:hAnsi="Garamond" w:cs="Arial"/>
          <w:i/>
          <w:iCs/>
          <w:sz w:val="26"/>
          <w:szCs w:val="26"/>
        </w:rPr>
        <w:t>"384. Il rispetto di quanto previsto ai commi 382 e 383 è elemento costitutivo dell'efficacia dei contratti. In caso di contratti stipulati in violazione di quanto previsto al comma 382 o al comma 383, viene data comunicazione alla Corte dei conti per l'adozione dei provvedimenti di competenza .")</w:t>
      </w:r>
      <w:r w:rsidR="00A434FE" w:rsidRPr="00A434FE">
        <w:rPr>
          <w:rFonts w:ascii="Garamond" w:eastAsia="Arial" w:hAnsi="Garamond" w:cs="Arial"/>
          <w:sz w:val="26"/>
          <w:szCs w:val="26"/>
        </w:rPr>
        <w:t xml:space="preserve">. </w:t>
      </w:r>
    </w:p>
    <w:p w:rsidR="004F2E6D" w:rsidRDefault="004F2E6D"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Quest’ultima disposizione assume un particolare rilievo ai fini della presente discussione, perché con essa il legislatore stabilisce per la prima volta un sistema di vasi comunicanti tra “diritto amministrativo” e “diritto privato”, ammettendo espressamente che il rispetto delle norme di diritto pubblico è condizione di efficacia dei contratti.</w:t>
      </w:r>
    </w:p>
    <w:p w:rsidR="00983313" w:rsidRDefault="004F2E6D" w:rsidP="00801ED4">
      <w:pPr>
        <w:spacing w:line="360" w:lineRule="auto"/>
        <w:ind w:left="567" w:right="567" w:firstLine="141"/>
        <w:jc w:val="both"/>
        <w:rPr>
          <w:rFonts w:ascii="Garamond" w:eastAsia="Arial" w:hAnsi="Garamond" w:cs="Arial"/>
          <w:sz w:val="26"/>
          <w:szCs w:val="26"/>
        </w:rPr>
      </w:pPr>
      <w:r>
        <w:rPr>
          <w:rFonts w:ascii="Garamond" w:eastAsia="Arial" w:hAnsi="Garamond" w:cs="Arial"/>
          <w:sz w:val="26"/>
          <w:szCs w:val="26"/>
        </w:rPr>
        <w:t>Sulla stessa linea si colloca il su</w:t>
      </w:r>
      <w:r w:rsidR="00983313">
        <w:rPr>
          <w:rFonts w:ascii="Garamond" w:eastAsia="Arial" w:hAnsi="Garamond" w:cs="Arial"/>
          <w:sz w:val="26"/>
          <w:szCs w:val="26"/>
        </w:rPr>
        <w:t>ccessivo intervento legislativo di cui al</w:t>
      </w:r>
      <w:r w:rsidR="00A434FE" w:rsidRPr="00A434FE">
        <w:rPr>
          <w:rFonts w:ascii="Garamond" w:eastAsia="Arial" w:hAnsi="Garamond" w:cs="Arial"/>
          <w:sz w:val="26"/>
          <w:szCs w:val="26"/>
        </w:rPr>
        <w:t>l'art. 6</w:t>
      </w:r>
      <w:r>
        <w:rPr>
          <w:rFonts w:ascii="Garamond" w:eastAsia="Arial" w:hAnsi="Garamond" w:cs="Arial"/>
          <w:sz w:val="26"/>
          <w:szCs w:val="26"/>
        </w:rPr>
        <w:t>2 del d.l</w:t>
      </w:r>
      <w:r w:rsidR="00A434FE" w:rsidRPr="00A434FE">
        <w:rPr>
          <w:rFonts w:ascii="Garamond" w:eastAsia="Arial" w:hAnsi="Garamond" w:cs="Arial"/>
          <w:sz w:val="26"/>
          <w:szCs w:val="26"/>
        </w:rPr>
        <w:t>. 25</w:t>
      </w:r>
      <w:r>
        <w:rPr>
          <w:rFonts w:ascii="Garamond" w:eastAsia="Arial" w:hAnsi="Garamond" w:cs="Arial"/>
          <w:sz w:val="26"/>
          <w:szCs w:val="26"/>
        </w:rPr>
        <w:t xml:space="preserve"> giugno</w:t>
      </w:r>
      <w:r w:rsidR="00983313">
        <w:rPr>
          <w:rFonts w:ascii="Garamond" w:eastAsia="Arial" w:hAnsi="Garamond" w:cs="Arial"/>
          <w:sz w:val="26"/>
          <w:szCs w:val="26"/>
        </w:rPr>
        <w:t xml:space="preserve"> </w:t>
      </w:r>
      <w:r w:rsidR="00A434FE" w:rsidRPr="00A434FE">
        <w:rPr>
          <w:rFonts w:ascii="Garamond" w:eastAsia="Arial" w:hAnsi="Garamond" w:cs="Arial"/>
          <w:sz w:val="26"/>
          <w:szCs w:val="26"/>
        </w:rPr>
        <w:t xml:space="preserve">2008, n. 112, così come modificato dalla Legge di conversione 06.08.2008, n. 133 e poi successivamente sostituito dall'art. 3, comma 1, della Legge 22.12.2008, n. 203 (Finanziaria 2009): la nuova normativa, ribadita a rango di </w:t>
      </w:r>
      <w:r w:rsidR="00A434FE" w:rsidRPr="00A434FE">
        <w:rPr>
          <w:rFonts w:ascii="Garamond" w:eastAsia="Arial" w:hAnsi="Garamond" w:cs="Arial"/>
          <w:i/>
          <w:iCs/>
          <w:sz w:val="26"/>
          <w:szCs w:val="26"/>
        </w:rPr>
        <w:t xml:space="preserve">"principi fondamentali per il coordinamento della finanza pubblica e la tutela dell'unità economica della Repubblica" </w:t>
      </w:r>
      <w:r w:rsidR="00A434FE" w:rsidRPr="00A434FE">
        <w:rPr>
          <w:rFonts w:ascii="Garamond" w:eastAsia="Arial" w:hAnsi="Garamond" w:cs="Arial"/>
          <w:sz w:val="26"/>
          <w:szCs w:val="26"/>
        </w:rPr>
        <w:t xml:space="preserve">ai sensi  degli artt. 117 e 119 della Costituzione e quindi </w:t>
      </w:r>
      <w:r w:rsidR="00A434FE" w:rsidRPr="00A434FE">
        <w:rPr>
          <w:rFonts w:ascii="Garamond" w:eastAsia="Arial" w:hAnsi="Garamond" w:cs="Arial"/>
          <w:i/>
          <w:iCs/>
          <w:sz w:val="26"/>
          <w:szCs w:val="26"/>
        </w:rPr>
        <w:t>"di applicazione necessaria"</w:t>
      </w:r>
      <w:r w:rsidR="00A434FE" w:rsidRPr="00A434FE">
        <w:rPr>
          <w:rFonts w:ascii="Garamond" w:eastAsia="Arial" w:hAnsi="Garamond" w:cs="Arial"/>
          <w:sz w:val="26"/>
          <w:szCs w:val="26"/>
        </w:rPr>
        <w:t xml:space="preserve"> (comma 1), opera una anc</w:t>
      </w:r>
      <w:r w:rsidR="00AE260B">
        <w:rPr>
          <w:rFonts w:ascii="Garamond" w:eastAsia="Arial" w:hAnsi="Garamond" w:cs="Arial"/>
          <w:sz w:val="26"/>
          <w:szCs w:val="26"/>
        </w:rPr>
        <w:t>ora più marcata tipi</w:t>
      </w:r>
      <w:r w:rsidR="00A434FE" w:rsidRPr="00A434FE">
        <w:rPr>
          <w:rFonts w:ascii="Garamond" w:eastAsia="Arial" w:hAnsi="Garamond" w:cs="Arial"/>
          <w:sz w:val="26"/>
          <w:szCs w:val="26"/>
        </w:rPr>
        <w:t>zzazione dei contratti suddetti sulla base di appositi regolamenti ministeriali (comma 3</w:t>
      </w:r>
      <w:r w:rsidR="00A434FE" w:rsidRPr="00A434FE">
        <w:rPr>
          <w:rFonts w:ascii="Garamond" w:eastAsia="Arial" w:hAnsi="Garamond" w:cs="Arial"/>
          <w:i/>
          <w:iCs/>
          <w:color w:val="000000"/>
          <w:sz w:val="26"/>
          <w:szCs w:val="26"/>
        </w:rPr>
        <w:t xml:space="preserve">: </w:t>
      </w:r>
      <w:r w:rsidR="00983313" w:rsidRPr="00983313">
        <w:rPr>
          <w:rFonts w:ascii="Garamond" w:eastAsia="Arial" w:hAnsi="Garamond" w:cs="Arial"/>
          <w:i/>
          <w:iCs/>
          <w:color w:val="000000"/>
          <w:sz w:val="26"/>
          <w:szCs w:val="26"/>
        </w:rPr>
        <w:t>“</w:t>
      </w:r>
      <w:r w:rsidR="00A434FE" w:rsidRPr="00983313">
        <w:rPr>
          <w:rFonts w:ascii="Garamond" w:eastAsia="Arial" w:hAnsi="Garamond" w:cs="Arial"/>
          <w:i/>
          <w:iCs/>
          <w:color w:val="000000"/>
          <w:sz w:val="26"/>
          <w:szCs w:val="26"/>
        </w:rPr>
        <w:t xml:space="preserve">Il </w:t>
      </w:r>
      <w:r w:rsidR="00A434FE" w:rsidRPr="00A434FE">
        <w:rPr>
          <w:rFonts w:ascii="Garamond" w:eastAsia="Arial" w:hAnsi="Garamond" w:cs="Arial"/>
          <w:i/>
          <w:iCs/>
          <w:color w:val="000000"/>
          <w:sz w:val="26"/>
          <w:szCs w:val="26"/>
        </w:rPr>
        <w:t>Ministro dell'economia e delle finanze, sentite la Banca d'Italia e la Commissione nazionale per le società e la borsa, con uno o più regolamenti da emanare ai sensi dell'articolo 17, comma 3, della legge 23 agosto 1988 n. 400, d'intesa, per i profili d'interesse regionale, con la Conferenza permanente per i rapporti tra lo Stato, le regioni e le province autonome di Trento e di Bolzano, individua la tipologia dei contratti relativi agli strumenti finanziari derivati previsti all'articolo 1 comma 3, del testo unico delle disposizioni in materia di intermediazione finanziaria, di cui al decreto legislativo 24 febbraio 1998 n. 58, che gli enti di cui al comma 2 possono concludere, e indica le</w:t>
      </w:r>
      <w:r w:rsidR="00A434FE" w:rsidRPr="00A434FE">
        <w:rPr>
          <w:rFonts w:ascii="Garamond" w:eastAsia="Arial" w:hAnsi="Garamond" w:cs="Arial"/>
          <w:i/>
          <w:iCs/>
          <w:sz w:val="26"/>
          <w:szCs w:val="26"/>
        </w:rPr>
        <w:t xml:space="preserve"> componenti derivate, implicite o esplicite, che gli stessi enti hanno facoltà di prevedere nei contratti di finanziamento. Al fine di assicurare la massima trasparenza dei contratti relativi agli strumenti finanziari derivati nonché delle clausole relative alle predette componenti derivate, il medesimo regolamento individua altresì le informazioni, rese in lingua italiana, che gli stessi devono contenere.")</w:t>
      </w:r>
      <w:r w:rsidR="00A434FE" w:rsidRPr="00A434FE">
        <w:rPr>
          <w:rFonts w:ascii="Garamond" w:eastAsia="Arial" w:hAnsi="Garamond" w:cs="Arial"/>
          <w:sz w:val="26"/>
          <w:szCs w:val="26"/>
        </w:rPr>
        <w:t xml:space="preserve">, specifica le modalità per rendere effettivo il principio di trasparenza (comma 4: </w:t>
      </w:r>
      <w:r w:rsidR="00983313">
        <w:rPr>
          <w:rFonts w:ascii="Garamond" w:eastAsia="Arial" w:hAnsi="Garamond" w:cs="Arial"/>
          <w:sz w:val="26"/>
          <w:szCs w:val="26"/>
        </w:rPr>
        <w:t>“</w:t>
      </w:r>
      <w:r w:rsidR="00A434FE" w:rsidRPr="00A434FE">
        <w:rPr>
          <w:rFonts w:ascii="Garamond" w:eastAsia="Arial" w:hAnsi="Garamond" w:cs="Arial"/>
          <w:i/>
          <w:iCs/>
          <w:sz w:val="26"/>
          <w:szCs w:val="26"/>
        </w:rPr>
        <w:t>Ai fini della conclusione di un contratto relativo a strumenti finanziari derivati o di un contratto di finanziamento che include una componente derivata, il soggetto competente alla sottoscrizione del contratto per l'ente pubblico attesta per iscritto di avere preso conoscenza dei rischi e delle caratteristiche dei medesimi.")</w:t>
      </w:r>
      <w:r w:rsidR="00A434FE" w:rsidRPr="00A434FE">
        <w:rPr>
          <w:rFonts w:ascii="Garamond" w:eastAsia="Arial" w:hAnsi="Garamond" w:cs="Arial"/>
          <w:sz w:val="26"/>
          <w:szCs w:val="26"/>
        </w:rPr>
        <w:t xml:space="preserve">, stabilisce una nuova </w:t>
      </w:r>
      <w:r w:rsidR="00983313">
        <w:rPr>
          <w:rFonts w:ascii="Garamond" w:eastAsia="Arial" w:hAnsi="Garamond" w:cs="Arial"/>
          <w:sz w:val="26"/>
          <w:szCs w:val="26"/>
        </w:rPr>
        <w:t xml:space="preserve">(ed ancor più radicale) </w:t>
      </w:r>
      <w:r w:rsidR="00A434FE" w:rsidRPr="00A434FE">
        <w:rPr>
          <w:rFonts w:ascii="Garamond" w:eastAsia="Arial" w:hAnsi="Garamond" w:cs="Arial"/>
          <w:sz w:val="26"/>
          <w:szCs w:val="26"/>
        </w:rPr>
        <w:t>sanzione civilistica nel caso di stipula dei contratti in violazione delle norme di legge (comma 5:</w:t>
      </w:r>
      <w:r w:rsidR="00A434FE" w:rsidRPr="00A434FE">
        <w:rPr>
          <w:rFonts w:ascii="Garamond" w:eastAsia="Arial" w:hAnsi="Garamond" w:cs="Arial"/>
          <w:i/>
          <w:iCs/>
          <w:sz w:val="26"/>
          <w:szCs w:val="26"/>
        </w:rPr>
        <w:t xml:space="preserve"> "Il contratto relativo a strumenti finanziari derivati o il contratto di finanziamento che include una componente derivata, stipulato dagli enti di cui al comma 2 in violazione delle disposizioni previste dal regolamento emanato in attuazione del comma 3 o privo dell'attestazione di cui al comma 4, è nullo. La nullità può essere fatta valere solo dall'ente."</w:t>
      </w:r>
      <w:r w:rsidR="00A434FE" w:rsidRPr="00A434FE">
        <w:rPr>
          <w:rFonts w:ascii="Garamond" w:eastAsia="Arial" w:hAnsi="Garamond" w:cs="Arial"/>
          <w:sz w:val="26"/>
          <w:szCs w:val="26"/>
        </w:rPr>
        <w:t xml:space="preserve">) ed impone una moratoria sino alla emanazione dei regolamenti statali (comma 6: </w:t>
      </w:r>
      <w:r w:rsidR="00A434FE" w:rsidRPr="00A434FE">
        <w:rPr>
          <w:rFonts w:ascii="Garamond" w:eastAsia="Arial" w:hAnsi="Garamond" w:cs="Arial"/>
          <w:i/>
          <w:iCs/>
          <w:sz w:val="26"/>
          <w:szCs w:val="26"/>
        </w:rPr>
        <w:t>"Agli enti di cui al comma 2 è fatto divieto di stipulare, fino alla data di entrata in vigore del regolamento di cui al comma 3, e comunque per il periodo minimo di un anno decorrente dalla data di entrata in vigore del presente decreto, contratti relativi agli strumenti finanziari derivati. Resta ferma la possibilità di ristrutturare il contratto derivato a seguito di modifica della passività alla quale il medesimo contratto derivato è riferito, con la finalità di mantenere la corrispondenza tra la passività rinegoziata e la collegata operazione di copertura."</w:t>
      </w:r>
      <w:r w:rsidR="00983313">
        <w:rPr>
          <w:rFonts w:ascii="Garamond" w:eastAsia="Arial" w:hAnsi="Garamond" w:cs="Arial"/>
          <w:sz w:val="26"/>
          <w:szCs w:val="26"/>
        </w:rPr>
        <w:t>).</w:t>
      </w:r>
    </w:p>
    <w:p w:rsidR="00983313" w:rsidRPr="00983313" w:rsidRDefault="00983313" w:rsidP="00983313">
      <w:pPr>
        <w:spacing w:line="360" w:lineRule="auto"/>
        <w:ind w:left="567" w:right="567" w:firstLine="141"/>
        <w:jc w:val="both"/>
        <w:rPr>
          <w:rFonts w:ascii="Garamond" w:eastAsia="Arial" w:hAnsi="Garamond" w:cs="Arial"/>
          <w:color w:val="000000"/>
          <w:sz w:val="26"/>
          <w:szCs w:val="26"/>
        </w:rPr>
      </w:pPr>
      <w:r>
        <w:rPr>
          <w:rFonts w:ascii="Garamond" w:eastAsia="Arial" w:hAnsi="Garamond" w:cs="Arial"/>
          <w:sz w:val="26"/>
          <w:szCs w:val="26"/>
        </w:rPr>
        <w:t xml:space="preserve">Di particolare rilievo (anche ai fini della comprensione della pronuncia delle Sezioni Unite n. 8770 del 2020) è, poi, </w:t>
      </w:r>
      <w:r w:rsidR="00A434FE" w:rsidRPr="00A434FE">
        <w:rPr>
          <w:rFonts w:ascii="Garamond" w:eastAsia="Arial" w:hAnsi="Garamond" w:cs="Arial"/>
          <w:sz w:val="26"/>
          <w:szCs w:val="26"/>
        </w:rPr>
        <w:t>il comma 9 dello stesso art. 62</w:t>
      </w:r>
      <w:r>
        <w:rPr>
          <w:rFonts w:ascii="Garamond" w:eastAsia="Arial" w:hAnsi="Garamond" w:cs="Arial"/>
          <w:sz w:val="26"/>
          <w:szCs w:val="26"/>
        </w:rPr>
        <w:t>, che</w:t>
      </w:r>
      <w:r w:rsidR="00A434FE" w:rsidRPr="00A434FE">
        <w:rPr>
          <w:rFonts w:ascii="Garamond" w:eastAsia="Arial" w:hAnsi="Garamond" w:cs="Arial"/>
          <w:sz w:val="26"/>
          <w:szCs w:val="26"/>
        </w:rPr>
        <w:t xml:space="preserve"> fornisce </w:t>
      </w:r>
      <w:r w:rsidR="00A434FE" w:rsidRPr="00983313">
        <w:rPr>
          <w:rFonts w:ascii="Garamond" w:eastAsia="Arial" w:hAnsi="Garamond" w:cs="Arial"/>
          <w:iCs/>
          <w:sz w:val="26"/>
          <w:szCs w:val="26"/>
        </w:rPr>
        <w:t>l'interpretazione autentica dell'</w:t>
      </w:r>
      <w:r w:rsidR="00A434FE" w:rsidRPr="00A434FE">
        <w:rPr>
          <w:rFonts w:ascii="Garamond" w:eastAsia="Arial" w:hAnsi="Garamond" w:cs="Arial"/>
          <w:i/>
          <w:iCs/>
          <w:sz w:val="26"/>
          <w:szCs w:val="26"/>
        </w:rPr>
        <w:t>up-fron</w:t>
      </w:r>
      <w:r>
        <w:rPr>
          <w:rFonts w:ascii="Garamond" w:eastAsia="Arial" w:hAnsi="Garamond" w:cs="Arial"/>
          <w:i/>
          <w:iCs/>
          <w:color w:val="000000"/>
          <w:sz w:val="26"/>
          <w:szCs w:val="26"/>
        </w:rPr>
        <w:t xml:space="preserve">t: &lt;&lt; </w:t>
      </w:r>
      <w:r w:rsidR="00A434FE" w:rsidRPr="00A434FE">
        <w:rPr>
          <w:rFonts w:ascii="Garamond" w:eastAsia="Arial" w:hAnsi="Garamond" w:cs="Arial"/>
          <w:i/>
          <w:iCs/>
          <w:color w:val="000000"/>
          <w:sz w:val="26"/>
          <w:szCs w:val="26"/>
        </w:rPr>
        <w:t>All'articolo 3, comma 17, secondo periodo, della legge 24 dicembre 2003 n. 350,  dopo le parole: “cessioni di crediti vantati verso altre amministrazioni pubbliche” sono aggiunte le seguenti: “nonché, sulla base dei criteri definiti in sede europea dall'Ufficio statistico delle Comunità europee (EUROSTAT), l'eventuale premio incassato al momento del perfezionamento delle operazioni derivate.</w:t>
      </w:r>
      <w:r>
        <w:rPr>
          <w:rFonts w:ascii="Garamond" w:eastAsia="Arial" w:hAnsi="Garamond" w:cs="Arial"/>
          <w:i/>
          <w:iCs/>
          <w:color w:val="000000"/>
          <w:sz w:val="26"/>
          <w:szCs w:val="26"/>
        </w:rPr>
        <w:t xml:space="preserve"> &gt;&gt;</w:t>
      </w:r>
      <w:r w:rsidR="00A434FE" w:rsidRPr="00A434FE">
        <w:rPr>
          <w:rFonts w:ascii="Garamond" w:eastAsia="Arial" w:hAnsi="Garamond" w:cs="Arial"/>
          <w:color w:val="000000"/>
          <w:sz w:val="26"/>
          <w:szCs w:val="26"/>
        </w:rPr>
        <w:t>.</w:t>
      </w:r>
    </w:p>
    <w:p w:rsidR="00983313" w:rsidRDefault="00983313" w:rsidP="00983313">
      <w:pPr>
        <w:spacing w:line="360" w:lineRule="auto"/>
        <w:ind w:left="567" w:right="567" w:firstLine="141"/>
        <w:jc w:val="both"/>
        <w:rPr>
          <w:rFonts w:ascii="Garamond" w:eastAsia="Arial" w:hAnsi="Garamond" w:cs="Arial"/>
          <w:color w:val="000000"/>
          <w:sz w:val="26"/>
          <w:szCs w:val="26"/>
        </w:rPr>
      </w:pPr>
      <w:r w:rsidRPr="00983313">
        <w:rPr>
          <w:rFonts w:ascii="Garamond" w:eastAsia="Arial" w:hAnsi="Garamond" w:cs="Arial"/>
          <w:color w:val="000000"/>
          <w:sz w:val="26"/>
          <w:szCs w:val="26"/>
        </w:rPr>
        <w:t xml:space="preserve">Le </w:t>
      </w:r>
      <w:r w:rsidRPr="00983313">
        <w:rPr>
          <w:rFonts w:ascii="Garamond" w:eastAsia="Arial" w:hAnsi="Garamond" w:cs="Arial"/>
          <w:i/>
          <w:iCs/>
          <w:color w:val="000000"/>
          <w:sz w:val="26"/>
          <w:szCs w:val="26"/>
        </w:rPr>
        <w:t>ratio</w:t>
      </w:r>
      <w:r w:rsidRPr="00983313">
        <w:rPr>
          <w:rFonts w:ascii="Garamond" w:eastAsia="Arial" w:hAnsi="Garamond" w:cs="Arial"/>
          <w:color w:val="000000"/>
          <w:sz w:val="26"/>
          <w:szCs w:val="26"/>
        </w:rPr>
        <w:t xml:space="preserve"> sottesa a questa disciplina differenziata</w:t>
      </w:r>
      <w:r w:rsidR="009D0E1A">
        <w:rPr>
          <w:rFonts w:ascii="Garamond" w:eastAsia="Arial" w:hAnsi="Garamond" w:cs="Arial"/>
          <w:color w:val="000000"/>
          <w:sz w:val="26"/>
          <w:szCs w:val="26"/>
        </w:rPr>
        <w:t>,</w:t>
      </w:r>
      <w:r w:rsidRPr="00983313">
        <w:rPr>
          <w:rFonts w:ascii="Garamond" w:eastAsia="Arial" w:hAnsi="Garamond" w:cs="Arial"/>
          <w:color w:val="000000"/>
          <w:sz w:val="26"/>
          <w:szCs w:val="26"/>
        </w:rPr>
        <w:t xml:space="preserve"> appositamente coniata per gli Enti pubblici</w:t>
      </w:r>
      <w:r w:rsidR="009D0E1A">
        <w:rPr>
          <w:rFonts w:ascii="Garamond" w:eastAsia="Arial" w:hAnsi="Garamond" w:cs="Arial"/>
          <w:color w:val="000000"/>
          <w:sz w:val="26"/>
          <w:szCs w:val="26"/>
        </w:rPr>
        <w:t>,</w:t>
      </w:r>
      <w:r w:rsidRPr="00983313">
        <w:rPr>
          <w:rFonts w:ascii="Garamond" w:eastAsia="Arial" w:hAnsi="Garamond" w:cs="Arial"/>
          <w:color w:val="000000"/>
          <w:sz w:val="26"/>
          <w:szCs w:val="26"/>
        </w:rPr>
        <w:t xml:space="preserve"> è efficacemente descritta dalla Corte Costituzionale</w:t>
      </w:r>
      <w:r>
        <w:rPr>
          <w:rFonts w:ascii="Garamond" w:eastAsia="Arial" w:hAnsi="Garamond" w:cs="Arial"/>
          <w:color w:val="000000"/>
          <w:sz w:val="26"/>
          <w:szCs w:val="26"/>
        </w:rPr>
        <w:t xml:space="preserve"> con la sentenza 18 febbrai</w:t>
      </w:r>
      <w:r w:rsidR="009D0E1A">
        <w:rPr>
          <w:rFonts w:ascii="Garamond" w:eastAsia="Arial" w:hAnsi="Garamond" w:cs="Arial"/>
          <w:color w:val="000000"/>
          <w:sz w:val="26"/>
          <w:szCs w:val="26"/>
        </w:rPr>
        <w:t>o 2010, n. 52 (</w:t>
      </w:r>
      <w:r>
        <w:rPr>
          <w:rFonts w:ascii="Garamond" w:eastAsia="Arial" w:hAnsi="Garamond" w:cs="Arial"/>
          <w:color w:val="000000"/>
          <w:sz w:val="26"/>
          <w:szCs w:val="26"/>
        </w:rPr>
        <w:t>giudizio di costituzionalità promosso da alcune Regioni in tema di riparto di competenze)</w:t>
      </w:r>
      <w:r w:rsidRPr="00983313">
        <w:rPr>
          <w:rFonts w:ascii="Garamond" w:eastAsia="Arial" w:hAnsi="Garamond" w:cs="Arial"/>
          <w:color w:val="000000"/>
          <w:sz w:val="26"/>
          <w:szCs w:val="26"/>
        </w:rPr>
        <w:t xml:space="preserve">, che ha evidenziato la necessità </w:t>
      </w:r>
      <w:r>
        <w:rPr>
          <w:rFonts w:ascii="Garamond" w:eastAsia="Arial" w:hAnsi="Garamond" w:cs="Arial"/>
          <w:color w:val="000000"/>
          <w:sz w:val="26"/>
          <w:szCs w:val="26"/>
        </w:rPr>
        <w:t xml:space="preserve">del legislatore di tener conto </w:t>
      </w:r>
      <w:r w:rsidRPr="00983313">
        <w:rPr>
          <w:rFonts w:ascii="Garamond" w:eastAsia="Arial" w:hAnsi="Garamond" w:cs="Arial"/>
          <w:i/>
          <w:color w:val="000000"/>
          <w:sz w:val="26"/>
          <w:szCs w:val="26"/>
        </w:rPr>
        <w:t>&lt;&lt; della spiccata aleatorietà delle negoziazioni aventi ad oggetto gli strumenti finanziari in esame, all'evidente scopo di evitare che possa essere messa in pericolo la disponibilità delle risorse finanziarie pubbliche utilizzabili dagli enti stessi per il raggiungimento di finalità di carattere appunto pubblico e, dunque, di generale interesse per la collettività</w:t>
      </w:r>
      <w:r>
        <w:rPr>
          <w:rFonts w:ascii="Garamond" w:eastAsia="Arial" w:hAnsi="Garamond" w:cs="Arial"/>
          <w:i/>
          <w:color w:val="000000"/>
          <w:sz w:val="26"/>
          <w:szCs w:val="26"/>
        </w:rPr>
        <w:t xml:space="preserve"> &gt;&gt;</w:t>
      </w:r>
      <w:r w:rsidRPr="00983313">
        <w:rPr>
          <w:rFonts w:ascii="Garamond" w:eastAsia="Arial" w:hAnsi="Garamond" w:cs="Arial"/>
          <w:color w:val="000000"/>
          <w:sz w:val="26"/>
          <w:szCs w:val="26"/>
        </w:rPr>
        <w:t>.</w:t>
      </w:r>
    </w:p>
    <w:p w:rsidR="0085183F" w:rsidRDefault="0085183F" w:rsidP="00983313">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D’altra parte, la finalità di protezione degli Enti è chiaramente evincibile </w:t>
      </w:r>
      <w:r w:rsidR="009D0E1A">
        <w:rPr>
          <w:rFonts w:ascii="Garamond" w:eastAsia="Arial" w:hAnsi="Garamond" w:cs="Arial"/>
          <w:color w:val="000000"/>
          <w:sz w:val="26"/>
          <w:szCs w:val="26"/>
        </w:rPr>
        <w:t>dal</w:t>
      </w:r>
      <w:r>
        <w:rPr>
          <w:rFonts w:ascii="Garamond" w:eastAsia="Arial" w:hAnsi="Garamond" w:cs="Arial"/>
          <w:color w:val="000000"/>
          <w:sz w:val="26"/>
          <w:szCs w:val="26"/>
        </w:rPr>
        <w:t>la sanzione civilistica prevista in caso di violazione delle disposizioni di legge</w:t>
      </w:r>
      <w:r w:rsidR="009D0E1A">
        <w:rPr>
          <w:rFonts w:ascii="Garamond" w:eastAsia="Arial" w:hAnsi="Garamond" w:cs="Arial"/>
          <w:color w:val="000000"/>
          <w:sz w:val="26"/>
          <w:szCs w:val="26"/>
        </w:rPr>
        <w:t>, che</w:t>
      </w:r>
      <w:r>
        <w:rPr>
          <w:rFonts w:ascii="Garamond" w:eastAsia="Arial" w:hAnsi="Garamond" w:cs="Arial"/>
          <w:color w:val="000000"/>
          <w:sz w:val="26"/>
          <w:szCs w:val="26"/>
        </w:rPr>
        <w:t xml:space="preserve"> è “relativa”, potendo essere fatta valere soltanto dall’Ente.</w:t>
      </w:r>
    </w:p>
    <w:p w:rsidR="00983313" w:rsidRPr="00983313" w:rsidRDefault="0085183F" w:rsidP="00983313">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 Significativo è altresì il rilievo de</w:t>
      </w:r>
      <w:r w:rsidR="00983313">
        <w:rPr>
          <w:rFonts w:ascii="Garamond" w:eastAsia="Arial" w:hAnsi="Garamond" w:cs="Arial"/>
          <w:color w:val="000000"/>
          <w:sz w:val="26"/>
          <w:szCs w:val="26"/>
        </w:rPr>
        <w:t>l Giudice costituzionale</w:t>
      </w:r>
      <w:r>
        <w:rPr>
          <w:rFonts w:ascii="Garamond" w:eastAsia="Arial" w:hAnsi="Garamond" w:cs="Arial"/>
          <w:color w:val="000000"/>
          <w:sz w:val="26"/>
          <w:szCs w:val="26"/>
        </w:rPr>
        <w:t xml:space="preserve">, secondo il quale </w:t>
      </w:r>
      <w:r w:rsidR="00983313" w:rsidRPr="00983313">
        <w:rPr>
          <w:rFonts w:ascii="Garamond" w:eastAsia="Arial" w:hAnsi="Garamond" w:cs="Arial"/>
          <w:color w:val="000000"/>
          <w:sz w:val="26"/>
          <w:szCs w:val="26"/>
        </w:rPr>
        <w:t xml:space="preserve">la disciplina legislativa predetta </w:t>
      </w:r>
      <w:r w:rsidR="00983313" w:rsidRPr="00983313">
        <w:rPr>
          <w:rFonts w:ascii="Garamond" w:eastAsia="Arial" w:hAnsi="Garamond" w:cs="Arial"/>
          <w:i/>
          <w:color w:val="000000"/>
          <w:sz w:val="26"/>
          <w:szCs w:val="26"/>
        </w:rPr>
        <w:t>&lt;&lt; si collochi alla confluenza di un insieme di materie, quelle relative ai “mercati finanziari”, all'”ordinamento civile” ed al “coordinamento della finanza pubblica” &gt;&gt;</w:t>
      </w:r>
      <w:r w:rsidR="00983313" w:rsidRPr="00983313">
        <w:rPr>
          <w:rFonts w:ascii="Garamond" w:eastAsia="Arial" w:hAnsi="Garamond" w:cs="Arial"/>
          <w:color w:val="000000"/>
          <w:sz w:val="26"/>
          <w:szCs w:val="26"/>
        </w:rPr>
        <w:t>.</w:t>
      </w:r>
    </w:p>
    <w:p w:rsidR="00C60FC6" w:rsidRPr="00A434FE" w:rsidRDefault="00A434FE" w:rsidP="00A434FE">
      <w:pPr>
        <w:spacing w:line="360" w:lineRule="auto"/>
        <w:ind w:left="567" w:right="567"/>
        <w:jc w:val="both"/>
        <w:rPr>
          <w:rFonts w:ascii="Garamond" w:hAnsi="Garamond" w:cs="Times New Roman"/>
          <w:color w:val="000000" w:themeColor="text1"/>
          <w:sz w:val="26"/>
          <w:szCs w:val="26"/>
        </w:rPr>
      </w:pPr>
      <w:r w:rsidRPr="00A434FE">
        <w:rPr>
          <w:rFonts w:ascii="Garamond" w:eastAsia="Arial" w:hAnsi="Garamond" w:cs="Arial"/>
          <w:color w:val="000000"/>
          <w:sz w:val="26"/>
          <w:szCs w:val="26"/>
        </w:rPr>
        <w:tab/>
      </w:r>
      <w:r w:rsidR="00983313">
        <w:rPr>
          <w:rFonts w:ascii="Garamond" w:eastAsia="Arial" w:hAnsi="Garamond" w:cs="Arial"/>
          <w:color w:val="000000"/>
          <w:sz w:val="26"/>
          <w:szCs w:val="26"/>
        </w:rPr>
        <w:t xml:space="preserve">Nel frattempo, sul fronte più spiccatamente privatistico, il decreto ministeriale 11 novembre 2011 n. 236 (emanato </w:t>
      </w:r>
      <w:r w:rsidRPr="00A434FE">
        <w:rPr>
          <w:rFonts w:ascii="Garamond" w:eastAsia="Arial" w:hAnsi="Garamond" w:cs="Arial"/>
          <w:color w:val="000000"/>
          <w:sz w:val="26"/>
          <w:szCs w:val="26"/>
        </w:rPr>
        <w:t>in attuazione all'a</w:t>
      </w:r>
      <w:r w:rsidR="00983313">
        <w:rPr>
          <w:rFonts w:ascii="Garamond" w:eastAsia="Arial" w:hAnsi="Garamond" w:cs="Arial"/>
          <w:color w:val="000000"/>
          <w:sz w:val="26"/>
          <w:szCs w:val="26"/>
        </w:rPr>
        <w:t>rt. 6 comma 2-sexies del d.lg</w:t>
      </w:r>
      <w:r w:rsidRPr="00A434FE">
        <w:rPr>
          <w:rFonts w:ascii="Garamond" w:eastAsia="Arial" w:hAnsi="Garamond" w:cs="Arial"/>
          <w:color w:val="000000"/>
          <w:sz w:val="26"/>
          <w:szCs w:val="26"/>
        </w:rPr>
        <w:t xml:space="preserve">s. </w:t>
      </w:r>
      <w:r w:rsidR="00983313">
        <w:rPr>
          <w:rFonts w:ascii="Garamond" w:eastAsia="Arial" w:hAnsi="Garamond" w:cs="Arial"/>
          <w:color w:val="000000"/>
          <w:sz w:val="26"/>
          <w:szCs w:val="26"/>
        </w:rPr>
        <w:t xml:space="preserve">n. 58 del </w:t>
      </w:r>
      <w:r w:rsidRPr="00A434FE">
        <w:rPr>
          <w:rFonts w:ascii="Garamond" w:eastAsia="Arial" w:hAnsi="Garamond" w:cs="Arial"/>
          <w:color w:val="000000"/>
          <w:sz w:val="26"/>
          <w:szCs w:val="26"/>
        </w:rPr>
        <w:t>1998</w:t>
      </w:r>
      <w:r w:rsidR="00983313">
        <w:rPr>
          <w:rFonts w:ascii="Garamond" w:eastAsia="Arial" w:hAnsi="Garamond" w:cs="Arial"/>
          <w:color w:val="000000"/>
          <w:sz w:val="26"/>
          <w:szCs w:val="26"/>
        </w:rPr>
        <w:t>, come introdotto dal d.l</w:t>
      </w:r>
      <w:r w:rsidRPr="00A434FE">
        <w:rPr>
          <w:rFonts w:ascii="Garamond" w:eastAsia="Arial" w:hAnsi="Garamond" w:cs="Arial"/>
          <w:color w:val="000000"/>
          <w:sz w:val="26"/>
          <w:szCs w:val="26"/>
        </w:rPr>
        <w:t>gs. 17</w:t>
      </w:r>
      <w:r w:rsidR="00983313">
        <w:rPr>
          <w:rFonts w:ascii="Garamond" w:eastAsia="Arial" w:hAnsi="Garamond" w:cs="Arial"/>
          <w:color w:val="000000"/>
          <w:sz w:val="26"/>
          <w:szCs w:val="26"/>
        </w:rPr>
        <w:t xml:space="preserve"> settembre </w:t>
      </w:r>
      <w:r w:rsidR="009D0E1A">
        <w:rPr>
          <w:rFonts w:ascii="Garamond" w:eastAsia="Arial" w:hAnsi="Garamond" w:cs="Arial"/>
          <w:color w:val="000000"/>
          <w:sz w:val="26"/>
          <w:szCs w:val="26"/>
        </w:rPr>
        <w:t>2007, n. 164)</w:t>
      </w:r>
      <w:r w:rsidRPr="00A434FE">
        <w:rPr>
          <w:rFonts w:ascii="Garamond" w:eastAsia="Arial" w:hAnsi="Garamond" w:cs="Arial"/>
          <w:color w:val="000000"/>
          <w:sz w:val="26"/>
          <w:szCs w:val="26"/>
        </w:rPr>
        <w:t xml:space="preserve"> ha definito ed individuato i </w:t>
      </w:r>
      <w:r w:rsidRPr="00983313">
        <w:rPr>
          <w:rFonts w:ascii="Garamond" w:eastAsia="Arial" w:hAnsi="Garamond" w:cs="Arial"/>
          <w:i/>
          <w:color w:val="000000"/>
          <w:sz w:val="26"/>
          <w:szCs w:val="26"/>
        </w:rPr>
        <w:t>“clienti professionali pubblici”</w:t>
      </w:r>
      <w:r w:rsidRPr="00A434FE">
        <w:rPr>
          <w:rFonts w:ascii="Garamond" w:eastAsia="Arial" w:hAnsi="Garamond" w:cs="Arial"/>
          <w:color w:val="000000"/>
          <w:sz w:val="26"/>
          <w:szCs w:val="26"/>
        </w:rPr>
        <w:t xml:space="preserve"> ai fini degli ambiti di tutela previsti dal TUIF.</w:t>
      </w:r>
      <w:r w:rsidR="004A6C1E" w:rsidRPr="00A434FE">
        <w:rPr>
          <w:rFonts w:ascii="Garamond" w:eastAsia="Arial" w:hAnsi="Garamond" w:cs="Arial"/>
          <w:color w:val="000000"/>
          <w:sz w:val="26"/>
          <w:szCs w:val="26"/>
        </w:rPr>
        <w:t xml:space="preserve"> </w:t>
      </w:r>
    </w:p>
    <w:p w:rsidR="00D70141" w:rsidRPr="00A434FE" w:rsidRDefault="007446D0" w:rsidP="005003C4">
      <w:pPr>
        <w:spacing w:line="360" w:lineRule="auto"/>
        <w:ind w:left="567" w:right="567"/>
        <w:jc w:val="both"/>
        <w:rPr>
          <w:rFonts w:ascii="Garamond" w:hAnsi="Garamond" w:cs="Times New Roman"/>
          <w:color w:val="000000" w:themeColor="text1"/>
          <w:sz w:val="26"/>
          <w:szCs w:val="26"/>
        </w:rPr>
      </w:pPr>
      <w:r>
        <w:rPr>
          <w:rFonts w:ascii="Garamond" w:hAnsi="Garamond" w:cs="Times New Roman"/>
          <w:color w:val="000000" w:themeColor="text1"/>
          <w:sz w:val="26"/>
          <w:szCs w:val="26"/>
        </w:rPr>
        <w:tab/>
        <w:t xml:space="preserve">La parabola </w:t>
      </w:r>
      <w:r w:rsidR="001F0D5E">
        <w:rPr>
          <w:rFonts w:ascii="Garamond" w:hAnsi="Garamond" w:cs="Times New Roman"/>
          <w:color w:val="000000" w:themeColor="text1"/>
          <w:sz w:val="26"/>
          <w:szCs w:val="26"/>
        </w:rPr>
        <w:t xml:space="preserve">legislativa dei derivati pubblici si è, infine, conclusa con la legge 27 dicembre 2013, n. 147 (legge di stabilità 2014), il cui art. 1, comma 572, </w:t>
      </w:r>
      <w:r w:rsidR="0085183F">
        <w:rPr>
          <w:rFonts w:ascii="Garamond" w:hAnsi="Garamond" w:cs="Times New Roman"/>
          <w:color w:val="000000" w:themeColor="text1"/>
          <w:sz w:val="26"/>
          <w:szCs w:val="26"/>
        </w:rPr>
        <w:t>nell’</w:t>
      </w:r>
      <w:r w:rsidR="001F0D5E">
        <w:rPr>
          <w:rFonts w:ascii="Garamond" w:hAnsi="Garamond" w:cs="Times New Roman"/>
          <w:color w:val="000000" w:themeColor="text1"/>
          <w:sz w:val="26"/>
          <w:szCs w:val="26"/>
        </w:rPr>
        <w:t>apport</w:t>
      </w:r>
      <w:r w:rsidR="0085183F">
        <w:rPr>
          <w:rFonts w:ascii="Garamond" w:hAnsi="Garamond" w:cs="Times New Roman"/>
          <w:color w:val="000000" w:themeColor="text1"/>
          <w:sz w:val="26"/>
          <w:szCs w:val="26"/>
        </w:rPr>
        <w:t>are</w:t>
      </w:r>
      <w:r w:rsidR="001F0D5E">
        <w:rPr>
          <w:rFonts w:ascii="Garamond" w:hAnsi="Garamond" w:cs="Times New Roman"/>
          <w:color w:val="000000" w:themeColor="text1"/>
          <w:sz w:val="26"/>
          <w:szCs w:val="26"/>
        </w:rPr>
        <w:t xml:space="preserve"> sostanziali modifiche all’art. 62 della legge n. 112 del 2008, ha fatto divieto alle Regioni ed agli Enti locali di stipulare contratti di finanza derivata (comma 3), fatte salve alcune eccezioni</w:t>
      </w:r>
      <w:r w:rsidR="0085183F">
        <w:rPr>
          <w:rFonts w:ascii="Garamond" w:hAnsi="Garamond" w:cs="Times New Roman"/>
          <w:color w:val="000000" w:themeColor="text1"/>
          <w:sz w:val="26"/>
          <w:szCs w:val="26"/>
        </w:rPr>
        <w:t xml:space="preserve"> (commi 3-bis, 3-ter e 3-quater)</w:t>
      </w:r>
      <w:r w:rsidR="009D0E1A">
        <w:rPr>
          <w:rFonts w:ascii="Garamond" w:hAnsi="Garamond" w:cs="Times New Roman"/>
          <w:color w:val="000000" w:themeColor="text1"/>
          <w:sz w:val="26"/>
          <w:szCs w:val="26"/>
        </w:rPr>
        <w:t xml:space="preserve">, volte perlopiù a risolvere </w:t>
      </w:r>
      <w:r w:rsidR="0085183F">
        <w:rPr>
          <w:rFonts w:ascii="Garamond" w:hAnsi="Garamond" w:cs="Times New Roman"/>
          <w:color w:val="000000" w:themeColor="text1"/>
          <w:sz w:val="26"/>
          <w:szCs w:val="26"/>
        </w:rPr>
        <w:t>situazioni contrattuali pendenti.</w:t>
      </w:r>
      <w:r w:rsidR="001F0D5E">
        <w:rPr>
          <w:rFonts w:ascii="Garamond" w:hAnsi="Garamond" w:cs="Times New Roman"/>
          <w:color w:val="000000" w:themeColor="text1"/>
          <w:sz w:val="26"/>
          <w:szCs w:val="26"/>
        </w:rPr>
        <w:t xml:space="preserve"> </w:t>
      </w:r>
    </w:p>
    <w:p w:rsidR="00D70141" w:rsidRPr="0085183F" w:rsidRDefault="0085183F" w:rsidP="005003C4">
      <w:pPr>
        <w:spacing w:line="360" w:lineRule="auto"/>
        <w:ind w:left="567" w:right="567"/>
        <w:jc w:val="both"/>
        <w:rPr>
          <w:rFonts w:ascii="Garamond" w:hAnsi="Garamond" w:cs="Times New Roman"/>
          <w:color w:val="000000" w:themeColor="text1"/>
          <w:sz w:val="26"/>
          <w:szCs w:val="26"/>
        </w:rPr>
      </w:pPr>
      <w:r w:rsidRPr="0085183F">
        <w:rPr>
          <w:rFonts w:ascii="Garamond" w:hAnsi="Garamond" w:cs="Times New Roman"/>
          <w:color w:val="000000" w:themeColor="text1"/>
          <w:sz w:val="26"/>
          <w:szCs w:val="26"/>
        </w:rPr>
        <w:tab/>
        <w:t xml:space="preserve">Divieto </w:t>
      </w:r>
      <w:r>
        <w:rPr>
          <w:rFonts w:ascii="Garamond" w:hAnsi="Garamond" w:cs="Times New Roman"/>
          <w:color w:val="000000" w:themeColor="text1"/>
          <w:sz w:val="26"/>
          <w:szCs w:val="26"/>
        </w:rPr>
        <w:t xml:space="preserve">ancora una volta </w:t>
      </w:r>
      <w:r w:rsidRPr="0085183F">
        <w:rPr>
          <w:rFonts w:ascii="Garamond" w:hAnsi="Garamond" w:cs="Times New Roman"/>
          <w:color w:val="000000" w:themeColor="text1"/>
          <w:sz w:val="26"/>
          <w:szCs w:val="26"/>
        </w:rPr>
        <w:t>assistito</w:t>
      </w:r>
      <w:r>
        <w:rPr>
          <w:rFonts w:ascii="Garamond" w:hAnsi="Garamond" w:cs="Times New Roman"/>
          <w:color w:val="000000" w:themeColor="text1"/>
          <w:sz w:val="26"/>
          <w:szCs w:val="26"/>
        </w:rPr>
        <w:t xml:space="preserve"> dalla sanzione </w:t>
      </w:r>
      <w:r w:rsidR="009D0E1A">
        <w:rPr>
          <w:rFonts w:ascii="Garamond" w:hAnsi="Garamond" w:cs="Times New Roman"/>
          <w:color w:val="000000" w:themeColor="text1"/>
          <w:sz w:val="26"/>
          <w:szCs w:val="26"/>
        </w:rPr>
        <w:t xml:space="preserve">civilistica </w:t>
      </w:r>
      <w:r>
        <w:rPr>
          <w:rFonts w:ascii="Garamond" w:hAnsi="Garamond" w:cs="Times New Roman"/>
          <w:color w:val="000000" w:themeColor="text1"/>
          <w:sz w:val="26"/>
          <w:szCs w:val="26"/>
        </w:rPr>
        <w:t>della “nullità relativa” dei contratti stipulati in violazione delle disposizioni di legge, rilevabile soltanto dagli Enti (comma 5).</w:t>
      </w:r>
    </w:p>
    <w:p w:rsidR="0085183F" w:rsidRDefault="0085183F" w:rsidP="005003C4">
      <w:pPr>
        <w:spacing w:line="360" w:lineRule="auto"/>
        <w:ind w:left="567" w:right="567"/>
        <w:jc w:val="both"/>
        <w:rPr>
          <w:rFonts w:ascii="Garamond" w:hAnsi="Garamond" w:cs="Times New Roman"/>
          <w:color w:val="000000" w:themeColor="text1"/>
          <w:sz w:val="26"/>
          <w:szCs w:val="26"/>
        </w:rPr>
      </w:pPr>
    </w:p>
    <w:p w:rsidR="00792D4B" w:rsidRDefault="009A097C" w:rsidP="005003C4">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3</w:t>
      </w:r>
      <w:r w:rsidR="003D73B9">
        <w:rPr>
          <w:rFonts w:ascii="Garamond" w:hAnsi="Garamond" w:cs="Times New Roman"/>
          <w:b/>
          <w:color w:val="000000" w:themeColor="text1"/>
          <w:sz w:val="26"/>
          <w:szCs w:val="26"/>
        </w:rPr>
        <w:t>.</w:t>
      </w:r>
      <w:r w:rsidR="006C6117">
        <w:rPr>
          <w:rFonts w:ascii="Garamond" w:hAnsi="Garamond" w:cs="Times New Roman"/>
          <w:b/>
          <w:color w:val="000000" w:themeColor="text1"/>
          <w:sz w:val="26"/>
          <w:szCs w:val="26"/>
        </w:rPr>
        <w:t xml:space="preserve"> </w:t>
      </w:r>
      <w:r w:rsidR="00474D5A">
        <w:rPr>
          <w:rFonts w:ascii="Garamond" w:hAnsi="Garamond" w:cs="Times New Roman"/>
          <w:b/>
          <w:color w:val="000000" w:themeColor="text1"/>
          <w:sz w:val="26"/>
          <w:szCs w:val="26"/>
        </w:rPr>
        <w:t xml:space="preserve">La tipizzazione dei </w:t>
      </w:r>
      <w:r w:rsidR="00DE19E1">
        <w:rPr>
          <w:rFonts w:ascii="Garamond" w:hAnsi="Garamond" w:cs="Times New Roman"/>
          <w:b/>
          <w:color w:val="000000" w:themeColor="text1"/>
          <w:sz w:val="26"/>
          <w:szCs w:val="26"/>
        </w:rPr>
        <w:t xml:space="preserve">contratti </w:t>
      </w:r>
      <w:r w:rsidR="00474D5A">
        <w:rPr>
          <w:rFonts w:ascii="Garamond" w:hAnsi="Garamond" w:cs="Times New Roman"/>
          <w:b/>
          <w:color w:val="000000" w:themeColor="text1"/>
          <w:sz w:val="26"/>
          <w:szCs w:val="26"/>
        </w:rPr>
        <w:t xml:space="preserve">“derivati” degli Enti pubblici quale portato </w:t>
      </w:r>
      <w:r w:rsidR="00792D4B">
        <w:rPr>
          <w:rFonts w:ascii="Garamond" w:hAnsi="Garamond" w:cs="Times New Roman"/>
          <w:b/>
          <w:color w:val="000000" w:themeColor="text1"/>
          <w:sz w:val="26"/>
          <w:szCs w:val="26"/>
        </w:rPr>
        <w:t>di una visione unitaria dell’ordinamento.</w:t>
      </w:r>
    </w:p>
    <w:p w:rsidR="005003C4" w:rsidRPr="00DE19E1" w:rsidRDefault="00474D5A" w:rsidP="005003C4">
      <w:pPr>
        <w:spacing w:line="360" w:lineRule="auto"/>
        <w:ind w:left="567" w:right="567"/>
        <w:jc w:val="both"/>
        <w:rPr>
          <w:rFonts w:ascii="Garamond" w:hAnsi="Garamond" w:cs="Times New Roman"/>
          <w:color w:val="000000" w:themeColor="text1"/>
          <w:sz w:val="26"/>
          <w:szCs w:val="26"/>
        </w:rPr>
      </w:pPr>
      <w:r>
        <w:rPr>
          <w:rFonts w:ascii="Garamond" w:hAnsi="Garamond" w:cs="Times New Roman"/>
          <w:color w:val="000000" w:themeColor="text1"/>
          <w:sz w:val="26"/>
          <w:szCs w:val="26"/>
        </w:rPr>
        <w:tab/>
        <w:t>La pronuncia delle Sezioni Unite riguarda un caso di contratti derivati stipulati da un Ente locale prima dell’entrata in vigore delle varie norme di “contenimento” introdott</w:t>
      </w:r>
      <w:r w:rsidR="00DE19E1">
        <w:rPr>
          <w:rFonts w:ascii="Garamond" w:hAnsi="Garamond" w:cs="Times New Roman"/>
          <w:color w:val="000000" w:themeColor="text1"/>
          <w:sz w:val="26"/>
          <w:szCs w:val="26"/>
        </w:rPr>
        <w:t>e</w:t>
      </w:r>
      <w:r>
        <w:rPr>
          <w:rFonts w:ascii="Garamond" w:hAnsi="Garamond" w:cs="Times New Roman"/>
          <w:color w:val="000000" w:themeColor="text1"/>
          <w:sz w:val="26"/>
          <w:szCs w:val="26"/>
        </w:rPr>
        <w:t xml:space="preserve"> dal legislatore</w:t>
      </w:r>
      <w:r w:rsidR="00DE19E1">
        <w:rPr>
          <w:rFonts w:ascii="Garamond" w:hAnsi="Garamond" w:cs="Times New Roman"/>
          <w:color w:val="000000" w:themeColor="text1"/>
          <w:sz w:val="26"/>
          <w:szCs w:val="26"/>
        </w:rPr>
        <w:t xml:space="preserve"> ed il suo </w:t>
      </w:r>
      <w:r w:rsidR="00DE19E1" w:rsidRPr="00DE19E1">
        <w:rPr>
          <w:rFonts w:ascii="Garamond" w:hAnsi="Garamond" w:cs="Times New Roman"/>
          <w:i/>
          <w:color w:val="000000" w:themeColor="text1"/>
          <w:sz w:val="26"/>
          <w:szCs w:val="26"/>
        </w:rPr>
        <w:t>iter</w:t>
      </w:r>
      <w:r w:rsidR="00DE19E1">
        <w:rPr>
          <w:rFonts w:ascii="Garamond" w:hAnsi="Garamond" w:cs="Times New Roman"/>
          <w:color w:val="000000" w:themeColor="text1"/>
          <w:sz w:val="26"/>
          <w:szCs w:val="26"/>
        </w:rPr>
        <w:t xml:space="preserve"> motivazionale si sviluppa intorno all’unica disciplina </w:t>
      </w:r>
      <w:r w:rsidR="00DE19E1">
        <w:rPr>
          <w:rFonts w:ascii="Garamond" w:hAnsi="Garamond" w:cs="Times New Roman"/>
          <w:i/>
          <w:color w:val="000000" w:themeColor="text1"/>
          <w:sz w:val="26"/>
          <w:szCs w:val="26"/>
        </w:rPr>
        <w:t xml:space="preserve">ratione temporis </w:t>
      </w:r>
      <w:r w:rsidR="00DE19E1">
        <w:rPr>
          <w:rFonts w:ascii="Garamond" w:hAnsi="Garamond" w:cs="Times New Roman"/>
          <w:color w:val="000000" w:themeColor="text1"/>
          <w:sz w:val="26"/>
          <w:szCs w:val="26"/>
        </w:rPr>
        <w:t>applicabile, rappresentata essenzialmente dall’</w:t>
      </w:r>
      <w:r w:rsidR="00DE19E1" w:rsidRPr="00DE19E1">
        <w:rPr>
          <w:rFonts w:ascii="Garamond" w:hAnsi="Garamond"/>
          <w:color w:val="000000"/>
          <w:sz w:val="26"/>
          <w:szCs w:val="26"/>
        </w:rPr>
        <w:t>art. 41 della legge n. 448 del 2001</w:t>
      </w:r>
      <w:r w:rsidR="00DE19E1">
        <w:rPr>
          <w:rFonts w:ascii="Garamond" w:hAnsi="Garamond"/>
          <w:color w:val="000000"/>
          <w:sz w:val="26"/>
          <w:szCs w:val="26"/>
        </w:rPr>
        <w:t xml:space="preserve"> (finanziaria 2002)</w:t>
      </w:r>
    </w:p>
    <w:p w:rsidR="00785B59" w:rsidRDefault="00DE19E1"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Proprio per </w:t>
      </w:r>
      <w:r w:rsidR="009D0E1A">
        <w:rPr>
          <w:rFonts w:ascii="Garamond" w:hAnsi="Garamond" w:cs="Times New Roman"/>
          <w:color w:val="000000" w:themeColor="text1"/>
          <w:sz w:val="26"/>
          <w:szCs w:val="26"/>
        </w:rPr>
        <w:t xml:space="preserve">tale motivo, i principi </w:t>
      </w:r>
      <w:r>
        <w:rPr>
          <w:rFonts w:ascii="Garamond" w:hAnsi="Garamond" w:cs="Times New Roman"/>
          <w:color w:val="000000" w:themeColor="text1"/>
          <w:sz w:val="26"/>
          <w:szCs w:val="26"/>
        </w:rPr>
        <w:t xml:space="preserve">affermati </w:t>
      </w:r>
      <w:r w:rsidR="009D0E1A">
        <w:rPr>
          <w:rFonts w:ascii="Garamond" w:hAnsi="Garamond" w:cs="Times New Roman"/>
          <w:color w:val="000000" w:themeColor="text1"/>
          <w:sz w:val="26"/>
          <w:szCs w:val="26"/>
        </w:rPr>
        <w:t xml:space="preserve">dalla S.C. </w:t>
      </w:r>
      <w:r>
        <w:rPr>
          <w:rFonts w:ascii="Garamond" w:hAnsi="Garamond" w:cs="Times New Roman"/>
          <w:color w:val="000000" w:themeColor="text1"/>
          <w:sz w:val="26"/>
          <w:szCs w:val="26"/>
        </w:rPr>
        <w:t xml:space="preserve">assumono una particolare valenza </w:t>
      </w:r>
      <w:r w:rsidR="009D0E1A">
        <w:rPr>
          <w:rFonts w:ascii="Garamond" w:hAnsi="Garamond" w:cs="Times New Roman"/>
          <w:color w:val="000000" w:themeColor="text1"/>
          <w:sz w:val="26"/>
          <w:szCs w:val="26"/>
        </w:rPr>
        <w:t>di ordine sistematico</w:t>
      </w:r>
      <w:r>
        <w:rPr>
          <w:rFonts w:ascii="Garamond" w:hAnsi="Garamond" w:cs="Times New Roman"/>
          <w:color w:val="000000" w:themeColor="text1"/>
          <w:sz w:val="26"/>
          <w:szCs w:val="26"/>
        </w:rPr>
        <w:t>, in quanto fondamentale momento di ripensamento o comunqu</w:t>
      </w:r>
      <w:r w:rsidR="00785B59">
        <w:rPr>
          <w:rFonts w:ascii="Garamond" w:hAnsi="Garamond" w:cs="Times New Roman"/>
          <w:color w:val="000000" w:themeColor="text1"/>
          <w:sz w:val="26"/>
          <w:szCs w:val="26"/>
        </w:rPr>
        <w:t>e di ricognizione dei rapporti</w:t>
      </w:r>
      <w:r>
        <w:rPr>
          <w:rFonts w:ascii="Garamond" w:hAnsi="Garamond" w:cs="Times New Roman"/>
          <w:color w:val="000000" w:themeColor="text1"/>
          <w:sz w:val="26"/>
          <w:szCs w:val="26"/>
        </w:rPr>
        <w:t xml:space="preserve"> tra “diritto amministrativo” e</w:t>
      </w:r>
      <w:r w:rsidR="00785B59">
        <w:rPr>
          <w:rFonts w:ascii="Garamond" w:hAnsi="Garamond" w:cs="Times New Roman"/>
          <w:color w:val="000000" w:themeColor="text1"/>
          <w:sz w:val="26"/>
          <w:szCs w:val="26"/>
        </w:rPr>
        <w:t xml:space="preserve"> “diritto </w:t>
      </w:r>
      <w:r w:rsidR="003536D7">
        <w:rPr>
          <w:rFonts w:ascii="Garamond" w:hAnsi="Garamond" w:cs="Times New Roman"/>
          <w:color w:val="000000" w:themeColor="text1"/>
          <w:sz w:val="26"/>
          <w:szCs w:val="26"/>
        </w:rPr>
        <w:t>privato</w:t>
      </w:r>
      <w:r w:rsidR="00785B59">
        <w:rPr>
          <w:rFonts w:ascii="Garamond" w:hAnsi="Garamond" w:cs="Times New Roman"/>
          <w:color w:val="000000" w:themeColor="text1"/>
          <w:sz w:val="26"/>
          <w:szCs w:val="26"/>
        </w:rPr>
        <w:t>” dei contratti</w:t>
      </w:r>
      <w:r w:rsidR="009D0E1A">
        <w:rPr>
          <w:rFonts w:ascii="Garamond" w:hAnsi="Garamond" w:cs="Times New Roman"/>
          <w:color w:val="000000" w:themeColor="text1"/>
          <w:sz w:val="26"/>
          <w:szCs w:val="26"/>
        </w:rPr>
        <w:t xml:space="preserve"> pubblici</w:t>
      </w:r>
      <w:r w:rsidR="00785B59">
        <w:rPr>
          <w:rFonts w:ascii="Garamond" w:hAnsi="Garamond" w:cs="Times New Roman"/>
          <w:color w:val="000000" w:themeColor="text1"/>
          <w:sz w:val="26"/>
          <w:szCs w:val="26"/>
        </w:rPr>
        <w:t>.</w:t>
      </w:r>
    </w:p>
    <w:p w:rsidR="00317D7C" w:rsidRDefault="00785B59"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Quello che, invero, può essere subito notato è che </w:t>
      </w:r>
      <w:r w:rsidR="001E70BF">
        <w:rPr>
          <w:rFonts w:ascii="Garamond" w:hAnsi="Garamond" w:cs="Times New Roman"/>
          <w:color w:val="000000" w:themeColor="text1"/>
          <w:sz w:val="26"/>
          <w:szCs w:val="26"/>
        </w:rPr>
        <w:t xml:space="preserve">l’intero </w:t>
      </w:r>
      <w:r>
        <w:rPr>
          <w:rFonts w:ascii="Garamond" w:hAnsi="Garamond" w:cs="Times New Roman"/>
          <w:color w:val="000000" w:themeColor="text1"/>
          <w:sz w:val="26"/>
          <w:szCs w:val="26"/>
        </w:rPr>
        <w:t xml:space="preserve">scrutinio </w:t>
      </w:r>
      <w:r w:rsidR="001E70BF">
        <w:rPr>
          <w:rFonts w:ascii="Garamond" w:hAnsi="Garamond" w:cs="Times New Roman"/>
          <w:color w:val="000000" w:themeColor="text1"/>
          <w:sz w:val="26"/>
          <w:szCs w:val="26"/>
        </w:rPr>
        <w:t>condotto dal</w:t>
      </w:r>
      <w:r>
        <w:rPr>
          <w:rFonts w:ascii="Garamond" w:hAnsi="Garamond" w:cs="Times New Roman"/>
          <w:color w:val="000000" w:themeColor="text1"/>
          <w:sz w:val="26"/>
          <w:szCs w:val="26"/>
        </w:rPr>
        <w:t>la S.C. (cosi come</w:t>
      </w:r>
      <w:r w:rsidR="001E70BF">
        <w:rPr>
          <w:rFonts w:ascii="Garamond" w:hAnsi="Garamond" w:cs="Times New Roman"/>
          <w:color w:val="000000" w:themeColor="text1"/>
          <w:sz w:val="26"/>
          <w:szCs w:val="26"/>
        </w:rPr>
        <w:t xml:space="preserve"> d’altra parte, in precedenza,</w:t>
      </w:r>
      <w:r>
        <w:rPr>
          <w:rFonts w:ascii="Garamond" w:hAnsi="Garamond" w:cs="Times New Roman"/>
          <w:color w:val="000000" w:themeColor="text1"/>
          <w:sz w:val="26"/>
          <w:szCs w:val="26"/>
        </w:rPr>
        <w:t xml:space="preserve"> </w:t>
      </w:r>
      <w:r w:rsidR="001E70BF">
        <w:rPr>
          <w:rFonts w:ascii="Garamond" w:hAnsi="Garamond" w:cs="Times New Roman"/>
          <w:color w:val="000000" w:themeColor="text1"/>
          <w:sz w:val="26"/>
          <w:szCs w:val="26"/>
        </w:rPr>
        <w:t>dal</w:t>
      </w:r>
      <w:r>
        <w:rPr>
          <w:rFonts w:ascii="Garamond" w:hAnsi="Garamond" w:cs="Times New Roman"/>
          <w:color w:val="000000" w:themeColor="text1"/>
          <w:sz w:val="26"/>
          <w:szCs w:val="26"/>
        </w:rPr>
        <w:t xml:space="preserve">la Corte di Appello) </w:t>
      </w:r>
      <w:r w:rsidR="001E70BF">
        <w:rPr>
          <w:rFonts w:ascii="Garamond" w:hAnsi="Garamond" w:cs="Times New Roman"/>
          <w:color w:val="000000" w:themeColor="text1"/>
          <w:sz w:val="26"/>
          <w:szCs w:val="26"/>
        </w:rPr>
        <w:t>su</w:t>
      </w:r>
      <w:r>
        <w:rPr>
          <w:rFonts w:ascii="Garamond" w:hAnsi="Garamond" w:cs="Times New Roman"/>
          <w:color w:val="000000" w:themeColor="text1"/>
          <w:sz w:val="26"/>
          <w:szCs w:val="26"/>
        </w:rPr>
        <w:t>lla validità dei contratti è svolto assumendo come parametro d</w:t>
      </w:r>
      <w:r w:rsidRPr="001E70BF">
        <w:rPr>
          <w:rFonts w:ascii="Garamond" w:hAnsi="Garamond" w:cs="Times New Roman"/>
          <w:color w:val="000000" w:themeColor="text1"/>
          <w:sz w:val="26"/>
          <w:szCs w:val="26"/>
        </w:rPr>
        <w:t xml:space="preserve">i </w:t>
      </w:r>
      <w:r w:rsidR="00317D7C">
        <w:rPr>
          <w:rFonts w:ascii="Garamond" w:hAnsi="Garamond" w:cs="Times New Roman"/>
          <w:color w:val="000000" w:themeColor="text1"/>
          <w:sz w:val="26"/>
          <w:szCs w:val="26"/>
        </w:rPr>
        <w:t xml:space="preserve">legalità </w:t>
      </w:r>
      <w:r w:rsidRPr="001E70BF">
        <w:rPr>
          <w:rFonts w:ascii="Garamond" w:hAnsi="Garamond" w:cs="Times New Roman"/>
          <w:color w:val="000000" w:themeColor="text1"/>
          <w:sz w:val="26"/>
          <w:szCs w:val="26"/>
        </w:rPr>
        <w:t xml:space="preserve">fonti normative o comunque principi </w:t>
      </w:r>
      <w:r w:rsidR="001E70BF">
        <w:rPr>
          <w:rFonts w:ascii="Garamond" w:hAnsi="Garamond" w:cs="Times New Roman"/>
          <w:color w:val="000000" w:themeColor="text1"/>
          <w:sz w:val="26"/>
          <w:szCs w:val="26"/>
        </w:rPr>
        <w:t xml:space="preserve">di diritto </w:t>
      </w:r>
      <w:r w:rsidR="001E70BF" w:rsidRPr="001E70BF">
        <w:rPr>
          <w:rFonts w:ascii="Garamond" w:hAnsi="Garamond" w:cs="Times New Roman"/>
          <w:color w:val="000000" w:themeColor="text1"/>
          <w:sz w:val="26"/>
          <w:szCs w:val="26"/>
        </w:rPr>
        <w:t xml:space="preserve">appartenenti a quella branca dell’ordinamento tradizionalmente </w:t>
      </w:r>
      <w:r w:rsidR="001E70BF">
        <w:rPr>
          <w:rFonts w:ascii="Garamond" w:hAnsi="Garamond" w:cs="Times New Roman"/>
          <w:color w:val="000000" w:themeColor="text1"/>
          <w:sz w:val="26"/>
          <w:szCs w:val="26"/>
        </w:rPr>
        <w:t>definita di “</w:t>
      </w:r>
      <w:r w:rsidRPr="001E70BF">
        <w:rPr>
          <w:rFonts w:ascii="Garamond" w:hAnsi="Garamond" w:cs="Times New Roman"/>
          <w:color w:val="000000" w:themeColor="text1"/>
          <w:sz w:val="26"/>
          <w:szCs w:val="26"/>
        </w:rPr>
        <w:t xml:space="preserve">diritto </w:t>
      </w:r>
      <w:r w:rsidR="001E70BF">
        <w:rPr>
          <w:rFonts w:ascii="Garamond" w:hAnsi="Garamond" w:cs="Times New Roman"/>
          <w:color w:val="000000" w:themeColor="text1"/>
          <w:sz w:val="26"/>
          <w:szCs w:val="26"/>
        </w:rPr>
        <w:t>amministrativo”</w:t>
      </w:r>
      <w:r w:rsidR="00317D7C">
        <w:rPr>
          <w:rFonts w:ascii="Garamond" w:hAnsi="Garamond" w:cs="Times New Roman"/>
          <w:color w:val="000000" w:themeColor="text1"/>
          <w:sz w:val="26"/>
          <w:szCs w:val="26"/>
        </w:rPr>
        <w:t>.</w:t>
      </w:r>
    </w:p>
    <w:p w:rsidR="00792D4B" w:rsidRPr="001E70BF" w:rsidRDefault="00317D7C"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Ciò sul presupposto di una visione unitaria dell’ordinamento giuridico, in cui non vi è posto per una nett</w:t>
      </w:r>
      <w:r w:rsidR="009D0E1A">
        <w:rPr>
          <w:rFonts w:ascii="Garamond" w:hAnsi="Garamond" w:cs="Times New Roman"/>
          <w:color w:val="000000" w:themeColor="text1"/>
          <w:sz w:val="26"/>
          <w:szCs w:val="26"/>
        </w:rPr>
        <w:t xml:space="preserve">a e rigida demarcazione tra </w:t>
      </w:r>
      <w:r>
        <w:rPr>
          <w:rFonts w:ascii="Garamond" w:hAnsi="Garamond" w:cs="Times New Roman"/>
          <w:color w:val="000000" w:themeColor="text1"/>
          <w:sz w:val="26"/>
          <w:szCs w:val="26"/>
        </w:rPr>
        <w:t xml:space="preserve">i due rami dell’ordinamento. </w:t>
      </w:r>
    </w:p>
    <w:p w:rsidR="001E70BF" w:rsidRDefault="001E70BF" w:rsidP="001E70BF">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Un tale mo</w:t>
      </w:r>
      <w:r w:rsidR="0098323A">
        <w:rPr>
          <w:rFonts w:ascii="Garamond" w:hAnsi="Garamond" w:cs="Times New Roman"/>
          <w:color w:val="000000" w:themeColor="text1"/>
          <w:sz w:val="26"/>
          <w:szCs w:val="26"/>
        </w:rPr>
        <w:t xml:space="preserve">do di procedere </w:t>
      </w:r>
      <w:r w:rsidRPr="001E70BF">
        <w:rPr>
          <w:rFonts w:ascii="Garamond" w:hAnsi="Garamond" w:cs="Times New Roman"/>
          <w:color w:val="000000" w:themeColor="text1"/>
          <w:sz w:val="26"/>
          <w:szCs w:val="26"/>
        </w:rPr>
        <w:t>può</w:t>
      </w:r>
      <w:r>
        <w:rPr>
          <w:rFonts w:ascii="Garamond" w:hAnsi="Garamond" w:cs="Times New Roman"/>
          <w:color w:val="000000" w:themeColor="text1"/>
          <w:sz w:val="26"/>
          <w:szCs w:val="26"/>
        </w:rPr>
        <w:t xml:space="preserve"> </w:t>
      </w:r>
      <w:r w:rsidRPr="001E70BF">
        <w:rPr>
          <w:rFonts w:ascii="Garamond" w:hAnsi="Garamond" w:cs="Times New Roman"/>
          <w:color w:val="000000" w:themeColor="text1"/>
          <w:sz w:val="26"/>
          <w:szCs w:val="26"/>
        </w:rPr>
        <w:t xml:space="preserve">sembrare scontato, </w:t>
      </w:r>
      <w:r>
        <w:rPr>
          <w:rFonts w:ascii="Garamond" w:hAnsi="Garamond" w:cs="Times New Roman"/>
          <w:color w:val="000000" w:themeColor="text1"/>
          <w:sz w:val="26"/>
          <w:szCs w:val="26"/>
        </w:rPr>
        <w:t xml:space="preserve">ma </w:t>
      </w:r>
      <w:r w:rsidRPr="001E70BF">
        <w:rPr>
          <w:rFonts w:ascii="Garamond" w:hAnsi="Garamond" w:cs="Times New Roman"/>
          <w:color w:val="000000" w:themeColor="text1"/>
          <w:sz w:val="26"/>
          <w:szCs w:val="26"/>
        </w:rPr>
        <w:t>non lo è affatto.</w:t>
      </w:r>
    </w:p>
    <w:p w:rsidR="001E1FCC" w:rsidRDefault="001E1FCC" w:rsidP="001E1FCC">
      <w:pPr>
        <w:spacing w:line="360" w:lineRule="auto"/>
        <w:ind w:left="567" w:right="567" w:firstLine="141"/>
        <w:jc w:val="both"/>
        <w:rPr>
          <w:rFonts w:ascii="Garamond" w:hAnsi="Garamond"/>
          <w:sz w:val="26"/>
          <w:szCs w:val="26"/>
        </w:rPr>
      </w:pPr>
      <w:r>
        <w:rPr>
          <w:rFonts w:ascii="Garamond" w:eastAsia="Arial" w:hAnsi="Garamond" w:cs="Arial"/>
          <w:color w:val="000000"/>
          <w:sz w:val="26"/>
          <w:szCs w:val="26"/>
        </w:rPr>
        <w:t xml:space="preserve">Si consideri, invero, che </w:t>
      </w:r>
      <w:r>
        <w:rPr>
          <w:rFonts w:ascii="Garamond" w:hAnsi="Garamond"/>
          <w:sz w:val="26"/>
          <w:szCs w:val="26"/>
        </w:rPr>
        <w:t>i</w:t>
      </w:r>
      <w:r w:rsidRPr="001E70BF">
        <w:rPr>
          <w:rFonts w:ascii="Garamond" w:hAnsi="Garamond"/>
          <w:sz w:val="26"/>
          <w:szCs w:val="26"/>
        </w:rPr>
        <w:t>n tutt'altra prospettiva si era mossa la sentenza di primo grado (</w:t>
      </w:r>
      <w:r>
        <w:rPr>
          <w:rFonts w:ascii="Garamond" w:hAnsi="Garamond"/>
          <w:sz w:val="26"/>
          <w:szCs w:val="26"/>
        </w:rPr>
        <w:t>poi riformata dalla Corte di Appello</w:t>
      </w:r>
      <w:r w:rsidRPr="001E70BF">
        <w:rPr>
          <w:rFonts w:ascii="Garamond" w:hAnsi="Garamond"/>
          <w:sz w:val="26"/>
          <w:szCs w:val="26"/>
        </w:rPr>
        <w:t>), secondo la quale la normativa generale sulla interme</w:t>
      </w:r>
      <w:r>
        <w:rPr>
          <w:rFonts w:ascii="Garamond" w:hAnsi="Garamond"/>
          <w:sz w:val="26"/>
          <w:szCs w:val="26"/>
        </w:rPr>
        <w:t xml:space="preserve">diazione finanziaria (d.lgs. 58 del </w:t>
      </w:r>
      <w:r w:rsidRPr="001E70BF">
        <w:rPr>
          <w:rFonts w:ascii="Garamond" w:hAnsi="Garamond"/>
          <w:sz w:val="26"/>
          <w:szCs w:val="26"/>
        </w:rPr>
        <w:t xml:space="preserve">1998) sarebbe valsa ad attribuire a tutti gli "strumenti finanziari", compreso quelli stipulati da Enti pubblici, un'autonomia funzionale dal punto di vista giuridico-economico, </w:t>
      </w:r>
      <w:r>
        <w:rPr>
          <w:rFonts w:ascii="Garamond" w:hAnsi="Garamond"/>
          <w:sz w:val="26"/>
          <w:szCs w:val="26"/>
        </w:rPr>
        <w:t xml:space="preserve">neppure minimamente </w:t>
      </w:r>
      <w:r w:rsidRPr="001E70BF">
        <w:rPr>
          <w:rFonts w:ascii="Garamond" w:hAnsi="Garamond"/>
          <w:sz w:val="26"/>
          <w:szCs w:val="26"/>
        </w:rPr>
        <w:t>intaccata dal</w:t>
      </w:r>
      <w:r>
        <w:rPr>
          <w:rFonts w:ascii="Garamond" w:hAnsi="Garamond"/>
          <w:sz w:val="26"/>
          <w:szCs w:val="26"/>
        </w:rPr>
        <w:t xml:space="preserve">le norme di rango pubblicistico </w:t>
      </w:r>
      <w:r w:rsidRPr="001E70BF">
        <w:rPr>
          <w:rStyle w:val="Rimandonotaapidipagina"/>
          <w:rFonts w:ascii="Garamond" w:hAnsi="Garamond" w:cs="Times New Roman"/>
          <w:color w:val="000000" w:themeColor="text1"/>
          <w:sz w:val="26"/>
          <w:szCs w:val="26"/>
        </w:rPr>
        <w:footnoteReference w:id="13"/>
      </w:r>
      <w:r>
        <w:rPr>
          <w:rFonts w:ascii="Garamond" w:hAnsi="Garamond"/>
          <w:sz w:val="26"/>
          <w:szCs w:val="26"/>
        </w:rPr>
        <w:t>.</w:t>
      </w:r>
    </w:p>
    <w:p w:rsidR="00D57765" w:rsidRDefault="00D57765" w:rsidP="00D57765">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Impostazione corretta </w:t>
      </w:r>
      <w:r w:rsidRPr="001E70BF">
        <w:rPr>
          <w:rFonts w:ascii="Garamond" w:eastAsia="Arial" w:hAnsi="Garamond" w:cs="Arial"/>
          <w:color w:val="000000"/>
          <w:sz w:val="26"/>
          <w:szCs w:val="26"/>
        </w:rPr>
        <w:t>dalla Corte d'Appello di Bologna, che, nel qualificare i contratti deri</w:t>
      </w:r>
      <w:r>
        <w:rPr>
          <w:rFonts w:ascii="Garamond" w:eastAsia="Arial" w:hAnsi="Garamond" w:cs="Arial"/>
          <w:color w:val="000000"/>
          <w:sz w:val="26"/>
          <w:szCs w:val="26"/>
        </w:rPr>
        <w:t xml:space="preserve">vati sottoposti al suo esame, rimarcava che </w:t>
      </w:r>
      <w:r w:rsidRPr="00D57765">
        <w:rPr>
          <w:rFonts w:ascii="Garamond" w:eastAsia="Arial" w:hAnsi="Garamond" w:cs="Arial"/>
          <w:i/>
          <w:color w:val="000000"/>
          <w:sz w:val="26"/>
          <w:szCs w:val="26"/>
        </w:rPr>
        <w:t xml:space="preserve">&lt;&lt; non sussiste incompatibilità alcuna fra la normativa civilistica e quella amministrativa &gt;&gt; </w:t>
      </w:r>
      <w:r w:rsidRPr="001E70BF">
        <w:rPr>
          <w:rFonts w:ascii="Garamond" w:eastAsia="Arial" w:hAnsi="Garamond" w:cs="Arial"/>
          <w:color w:val="000000"/>
          <w:sz w:val="26"/>
          <w:szCs w:val="26"/>
        </w:rPr>
        <w:t xml:space="preserve">regolanti i derivati degli Enti pubblici, trattandosi di </w:t>
      </w:r>
      <w:r>
        <w:rPr>
          <w:rFonts w:ascii="Garamond" w:eastAsia="Arial" w:hAnsi="Garamond" w:cs="Arial"/>
          <w:color w:val="000000"/>
          <w:sz w:val="26"/>
          <w:szCs w:val="26"/>
        </w:rPr>
        <w:t>discipline destinate ad essere integrate reciprocamente</w:t>
      </w:r>
      <w:r w:rsidRPr="001E70BF">
        <w:rPr>
          <w:rFonts w:ascii="Garamond" w:eastAsia="Arial" w:hAnsi="Garamond" w:cs="Arial"/>
          <w:color w:val="000000"/>
          <w:sz w:val="26"/>
          <w:szCs w:val="26"/>
        </w:rPr>
        <w:t>.</w:t>
      </w:r>
    </w:p>
    <w:p w:rsidR="00D57765" w:rsidRDefault="009D0E1A" w:rsidP="00D57765">
      <w:pPr>
        <w:spacing w:line="360" w:lineRule="auto"/>
        <w:ind w:left="567" w:right="567" w:firstLine="141"/>
        <w:jc w:val="both"/>
        <w:rPr>
          <w:rFonts w:ascii="Garamond" w:hAnsi="Garamond"/>
          <w:sz w:val="26"/>
          <w:szCs w:val="26"/>
        </w:rPr>
      </w:pPr>
      <w:r>
        <w:rPr>
          <w:rFonts w:ascii="Garamond" w:eastAsia="Arial" w:hAnsi="Garamond" w:cs="Arial"/>
          <w:color w:val="000000"/>
          <w:sz w:val="26"/>
          <w:szCs w:val="26"/>
        </w:rPr>
        <w:t>L’idea sottesa è che l</w:t>
      </w:r>
      <w:r w:rsidR="00D57765" w:rsidRPr="001E70BF">
        <w:rPr>
          <w:rFonts w:ascii="Garamond" w:eastAsia="Arial" w:hAnsi="Garamond" w:cs="Arial"/>
          <w:color w:val="000000"/>
          <w:sz w:val="26"/>
          <w:szCs w:val="26"/>
        </w:rPr>
        <w:t xml:space="preserve">a normativa privatistica e quella pubblicistica (utilizzando tali definizioni convenzionalmente, essendo noti i limiti </w:t>
      </w:r>
      <w:r w:rsidR="00D57765">
        <w:rPr>
          <w:rFonts w:ascii="Garamond" w:eastAsia="Arial" w:hAnsi="Garamond" w:cs="Arial"/>
          <w:color w:val="000000"/>
          <w:sz w:val="26"/>
          <w:szCs w:val="26"/>
        </w:rPr>
        <w:t xml:space="preserve">descrittivi </w:t>
      </w:r>
      <w:r w:rsidR="00D57765" w:rsidRPr="001E70BF">
        <w:rPr>
          <w:rFonts w:ascii="Garamond" w:eastAsia="Arial" w:hAnsi="Garamond" w:cs="Arial"/>
          <w:color w:val="000000"/>
          <w:sz w:val="26"/>
          <w:szCs w:val="26"/>
        </w:rPr>
        <w:t>della d</w:t>
      </w:r>
      <w:r w:rsidR="00D57765">
        <w:rPr>
          <w:rFonts w:ascii="Garamond" w:eastAsia="Arial" w:hAnsi="Garamond" w:cs="Arial"/>
          <w:color w:val="000000"/>
          <w:sz w:val="26"/>
          <w:szCs w:val="26"/>
        </w:rPr>
        <w:t>istinzione) non sono monadi a sé</w:t>
      </w:r>
      <w:r w:rsidR="00D57765" w:rsidRPr="001E70BF">
        <w:rPr>
          <w:rFonts w:ascii="Garamond" w:eastAsia="Arial" w:hAnsi="Garamond" w:cs="Arial"/>
          <w:color w:val="000000"/>
          <w:sz w:val="26"/>
          <w:szCs w:val="26"/>
        </w:rPr>
        <w:t xml:space="preserve"> stanti, ma </w:t>
      </w:r>
      <w:r w:rsidR="00D57765">
        <w:rPr>
          <w:rFonts w:ascii="Garamond" w:eastAsia="Arial" w:hAnsi="Garamond" w:cs="Arial"/>
          <w:color w:val="000000"/>
          <w:sz w:val="26"/>
          <w:szCs w:val="26"/>
        </w:rPr>
        <w:t xml:space="preserve">operano in una logica di </w:t>
      </w:r>
      <w:r w:rsidR="00D57765" w:rsidRPr="001E70BF">
        <w:rPr>
          <w:rFonts w:ascii="Garamond" w:eastAsia="Arial" w:hAnsi="Garamond" w:cs="Arial"/>
          <w:color w:val="000000"/>
          <w:sz w:val="26"/>
          <w:szCs w:val="26"/>
        </w:rPr>
        <w:t>vasi comunicanti ed il fatto che i contratti derivati (nelle loro molteplici varianti) siano contemplati - e per certi aspet</w:t>
      </w:r>
      <w:r w:rsidR="00D57765">
        <w:rPr>
          <w:rFonts w:ascii="Garamond" w:eastAsia="Arial" w:hAnsi="Garamond" w:cs="Arial"/>
          <w:color w:val="000000"/>
          <w:sz w:val="26"/>
          <w:szCs w:val="26"/>
        </w:rPr>
        <w:t xml:space="preserve">ti disciplinati - dal D.Lgs. n. 58 del </w:t>
      </w:r>
      <w:r w:rsidR="00D57765" w:rsidRPr="001E70BF">
        <w:rPr>
          <w:rFonts w:ascii="Garamond" w:eastAsia="Arial" w:hAnsi="Garamond" w:cs="Arial"/>
          <w:color w:val="000000"/>
          <w:sz w:val="26"/>
          <w:szCs w:val="26"/>
        </w:rPr>
        <w:t>1998 in materia di intermediazione finanziaria, non significa che essi non soggiacciano contemporaneamente alla concorrente disciplina di rango pubblicistico.</w:t>
      </w:r>
    </w:p>
    <w:p w:rsidR="00231AA0" w:rsidRDefault="001E1FCC" w:rsidP="001E70BF">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Ne vale la qualificazione </w:t>
      </w:r>
      <w:r w:rsidR="00D57765">
        <w:rPr>
          <w:rFonts w:ascii="Garamond" w:hAnsi="Garamond" w:cs="Times New Roman"/>
          <w:color w:val="000000" w:themeColor="text1"/>
          <w:sz w:val="26"/>
          <w:szCs w:val="26"/>
        </w:rPr>
        <w:t xml:space="preserve">giuridica </w:t>
      </w:r>
      <w:r>
        <w:rPr>
          <w:rFonts w:ascii="Garamond" w:hAnsi="Garamond" w:cs="Times New Roman"/>
          <w:color w:val="000000" w:themeColor="text1"/>
          <w:sz w:val="26"/>
          <w:szCs w:val="26"/>
        </w:rPr>
        <w:t xml:space="preserve">dei </w:t>
      </w:r>
      <w:r w:rsidR="005B741A">
        <w:rPr>
          <w:rFonts w:ascii="Garamond" w:hAnsi="Garamond" w:cs="Times New Roman"/>
          <w:color w:val="000000" w:themeColor="text1"/>
          <w:sz w:val="26"/>
          <w:szCs w:val="26"/>
        </w:rPr>
        <w:t xml:space="preserve">suddetti </w:t>
      </w:r>
      <w:r>
        <w:rPr>
          <w:rFonts w:ascii="Garamond" w:hAnsi="Garamond" w:cs="Times New Roman"/>
          <w:color w:val="000000" w:themeColor="text1"/>
          <w:sz w:val="26"/>
          <w:szCs w:val="26"/>
        </w:rPr>
        <w:t>contratti.</w:t>
      </w:r>
    </w:p>
    <w:p w:rsidR="005B741A" w:rsidRPr="001E70BF" w:rsidRDefault="005B741A" w:rsidP="00D57765">
      <w:pPr>
        <w:spacing w:line="360" w:lineRule="auto"/>
        <w:ind w:left="567" w:right="567" w:firstLine="141"/>
        <w:jc w:val="both"/>
        <w:rPr>
          <w:rFonts w:ascii="Garamond" w:eastAsia="Arial" w:hAnsi="Garamond" w:cs="Arial"/>
          <w:color w:val="000000"/>
          <w:sz w:val="26"/>
          <w:szCs w:val="26"/>
        </w:rPr>
      </w:pPr>
      <w:r w:rsidRPr="001E70BF">
        <w:rPr>
          <w:rFonts w:ascii="Garamond" w:eastAsia="Arial" w:hAnsi="Garamond" w:cs="Arial"/>
          <w:color w:val="000000"/>
          <w:sz w:val="26"/>
          <w:szCs w:val="26"/>
        </w:rPr>
        <w:t>In</w:t>
      </w:r>
      <w:r>
        <w:rPr>
          <w:rFonts w:ascii="Garamond" w:eastAsia="Arial" w:hAnsi="Garamond" w:cs="Arial"/>
          <w:color w:val="000000"/>
          <w:sz w:val="26"/>
          <w:szCs w:val="26"/>
        </w:rPr>
        <w:t xml:space="preserve">vero, se </w:t>
      </w:r>
      <w:r w:rsidRPr="001E70BF">
        <w:rPr>
          <w:rFonts w:ascii="Garamond" w:eastAsia="Arial" w:hAnsi="Garamond" w:cs="Arial"/>
          <w:color w:val="000000"/>
          <w:sz w:val="26"/>
          <w:szCs w:val="26"/>
        </w:rPr>
        <w:t>il processo di qualificazione negoziale serve ad identificare il modello legale astratto di un contratto nel quale inquadrare quello in concreto stipulato, nella fattispecie dei derivati stipulati dagli Enti pubblici l'individ</w:t>
      </w:r>
      <w:r w:rsidR="00CC0FF5">
        <w:rPr>
          <w:rFonts w:ascii="Garamond" w:eastAsia="Arial" w:hAnsi="Garamond" w:cs="Arial"/>
          <w:color w:val="000000"/>
          <w:sz w:val="26"/>
          <w:szCs w:val="26"/>
        </w:rPr>
        <w:t>uazione di tale</w:t>
      </w:r>
      <w:r w:rsidRPr="001E70BF">
        <w:rPr>
          <w:rFonts w:ascii="Garamond" w:eastAsia="Arial" w:hAnsi="Garamond" w:cs="Arial"/>
          <w:color w:val="000000"/>
          <w:sz w:val="26"/>
          <w:szCs w:val="26"/>
        </w:rPr>
        <w:t xml:space="preserve"> modello deve considerare a</w:t>
      </w:r>
      <w:r w:rsidR="00CC0FF5">
        <w:rPr>
          <w:rFonts w:ascii="Garamond" w:eastAsia="Arial" w:hAnsi="Garamond" w:cs="Arial"/>
          <w:color w:val="000000"/>
          <w:sz w:val="26"/>
          <w:szCs w:val="26"/>
        </w:rPr>
        <w:t xml:space="preserve">nche l'esistenza della </w:t>
      </w:r>
      <w:r w:rsidRPr="001E70BF">
        <w:rPr>
          <w:rFonts w:ascii="Garamond" w:eastAsia="Arial" w:hAnsi="Garamond" w:cs="Arial"/>
          <w:color w:val="000000"/>
          <w:sz w:val="26"/>
          <w:szCs w:val="26"/>
        </w:rPr>
        <w:t>normativa speciale di rango pubblicistico</w:t>
      </w:r>
      <w:r w:rsidR="00D57765">
        <w:rPr>
          <w:rFonts w:ascii="Garamond" w:eastAsia="Arial" w:hAnsi="Garamond" w:cs="Arial"/>
          <w:color w:val="000000"/>
          <w:sz w:val="26"/>
          <w:szCs w:val="26"/>
        </w:rPr>
        <w:t xml:space="preserve">, </w:t>
      </w:r>
      <w:r w:rsidR="00D57765" w:rsidRPr="001E70BF">
        <w:rPr>
          <w:rFonts w:ascii="Garamond" w:eastAsia="Arial" w:hAnsi="Garamond" w:cs="Arial"/>
          <w:color w:val="000000"/>
          <w:sz w:val="26"/>
          <w:szCs w:val="26"/>
        </w:rPr>
        <w:t>attinge</w:t>
      </w:r>
      <w:r w:rsidR="00D57765">
        <w:rPr>
          <w:rFonts w:ascii="Garamond" w:eastAsia="Arial" w:hAnsi="Garamond" w:cs="Arial"/>
          <w:color w:val="000000"/>
          <w:sz w:val="26"/>
          <w:szCs w:val="26"/>
        </w:rPr>
        <w:t>ndo</w:t>
      </w:r>
      <w:r w:rsidR="00D57765" w:rsidRPr="001E70BF">
        <w:rPr>
          <w:rFonts w:ascii="Garamond" w:eastAsia="Arial" w:hAnsi="Garamond" w:cs="Arial"/>
          <w:color w:val="000000"/>
          <w:sz w:val="26"/>
          <w:szCs w:val="26"/>
        </w:rPr>
        <w:t xml:space="preserve"> </w:t>
      </w:r>
      <w:r w:rsidR="00D57765">
        <w:rPr>
          <w:rFonts w:ascii="Garamond" w:eastAsia="Arial" w:hAnsi="Garamond" w:cs="Arial"/>
          <w:color w:val="000000"/>
          <w:sz w:val="26"/>
          <w:szCs w:val="26"/>
        </w:rPr>
        <w:t>ad entrambe le fonti</w:t>
      </w:r>
      <w:r w:rsidR="00D57765" w:rsidRPr="001E70BF">
        <w:rPr>
          <w:rFonts w:ascii="Garamond" w:eastAsia="Arial" w:hAnsi="Garamond" w:cs="Arial"/>
          <w:color w:val="000000"/>
          <w:sz w:val="26"/>
          <w:szCs w:val="26"/>
        </w:rPr>
        <w:t xml:space="preserve"> </w:t>
      </w:r>
      <w:r w:rsidR="00D57765">
        <w:rPr>
          <w:rFonts w:ascii="Garamond" w:eastAsia="Arial" w:hAnsi="Garamond" w:cs="Arial"/>
          <w:color w:val="000000"/>
          <w:sz w:val="26"/>
          <w:szCs w:val="26"/>
        </w:rPr>
        <w:t>dell'ordinamento (quelle per così dire privatistiche e quelle</w:t>
      </w:r>
      <w:r w:rsidR="00D57765" w:rsidRPr="001E70BF">
        <w:rPr>
          <w:rFonts w:ascii="Garamond" w:eastAsia="Arial" w:hAnsi="Garamond" w:cs="Arial"/>
          <w:color w:val="000000"/>
          <w:sz w:val="26"/>
          <w:szCs w:val="26"/>
        </w:rPr>
        <w:t xml:space="preserve"> pubblicis</w:t>
      </w:r>
      <w:r w:rsidR="00D57765">
        <w:rPr>
          <w:rFonts w:ascii="Garamond" w:eastAsia="Arial" w:hAnsi="Garamond" w:cs="Arial"/>
          <w:color w:val="000000"/>
          <w:sz w:val="26"/>
          <w:szCs w:val="26"/>
        </w:rPr>
        <w:t>tiche).</w:t>
      </w:r>
    </w:p>
    <w:p w:rsidR="00D57765" w:rsidRDefault="00CC0FF5" w:rsidP="00D57765">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Con </w:t>
      </w:r>
      <w:r w:rsidR="001E1FCC">
        <w:rPr>
          <w:rFonts w:ascii="Garamond" w:eastAsia="Arial" w:hAnsi="Garamond" w:cs="Arial"/>
          <w:color w:val="000000"/>
          <w:sz w:val="26"/>
          <w:szCs w:val="26"/>
        </w:rPr>
        <w:t xml:space="preserve">la conclusione </w:t>
      </w:r>
      <w:r w:rsidR="001E70BF" w:rsidRPr="001E70BF">
        <w:rPr>
          <w:rFonts w:ascii="Garamond" w:eastAsia="Arial" w:hAnsi="Garamond" w:cs="Arial"/>
          <w:color w:val="000000"/>
          <w:sz w:val="26"/>
          <w:szCs w:val="26"/>
        </w:rPr>
        <w:t xml:space="preserve">che i contratti derivati degli Enti Pubblici sono </w:t>
      </w:r>
      <w:r w:rsidR="001E1FCC">
        <w:rPr>
          <w:rFonts w:ascii="Garamond" w:eastAsia="Arial" w:hAnsi="Garamond" w:cs="Arial"/>
          <w:color w:val="000000"/>
          <w:sz w:val="26"/>
          <w:szCs w:val="26"/>
        </w:rPr>
        <w:t xml:space="preserve">(a differenza di quelli tra privati) </w:t>
      </w:r>
      <w:r w:rsidR="001E70BF" w:rsidRPr="001E70BF">
        <w:rPr>
          <w:rFonts w:ascii="Garamond" w:eastAsia="Arial" w:hAnsi="Garamond" w:cs="Arial"/>
          <w:color w:val="000000"/>
          <w:sz w:val="26"/>
          <w:szCs w:val="26"/>
        </w:rPr>
        <w:t xml:space="preserve">"contratti tipici", la cui disciplina è contenuta in un </w:t>
      </w:r>
      <w:r w:rsidR="001E70BF" w:rsidRPr="001E70BF">
        <w:rPr>
          <w:rFonts w:ascii="Garamond" w:eastAsia="Arial" w:hAnsi="Garamond" w:cs="Arial"/>
          <w:i/>
          <w:iCs/>
          <w:color w:val="000000"/>
          <w:sz w:val="26"/>
          <w:szCs w:val="26"/>
        </w:rPr>
        <w:t>corpus</w:t>
      </w:r>
      <w:r w:rsidR="001E70BF" w:rsidRPr="001E70BF">
        <w:rPr>
          <w:rFonts w:ascii="Garamond" w:eastAsia="Arial" w:hAnsi="Garamond" w:cs="Arial"/>
          <w:color w:val="000000"/>
          <w:sz w:val="26"/>
          <w:szCs w:val="26"/>
        </w:rPr>
        <w:t xml:space="preserve"> normativo composto in parte dalla normativa sulla intermediazione</w:t>
      </w:r>
      <w:r>
        <w:rPr>
          <w:rFonts w:ascii="Garamond" w:eastAsia="Arial" w:hAnsi="Garamond" w:cs="Arial"/>
          <w:color w:val="000000"/>
          <w:sz w:val="26"/>
          <w:szCs w:val="26"/>
        </w:rPr>
        <w:t xml:space="preserve"> finanziaria ed in parte dalla </w:t>
      </w:r>
      <w:r w:rsidR="001E70BF" w:rsidRPr="001E70BF">
        <w:rPr>
          <w:rFonts w:ascii="Garamond" w:eastAsia="Arial" w:hAnsi="Garamond" w:cs="Arial"/>
          <w:color w:val="000000"/>
          <w:sz w:val="26"/>
          <w:szCs w:val="26"/>
        </w:rPr>
        <w:t xml:space="preserve">disciplina pubblicistica </w:t>
      </w:r>
      <w:r w:rsidR="005B741A">
        <w:rPr>
          <w:rFonts w:ascii="Garamond" w:eastAsia="Arial" w:hAnsi="Garamond" w:cs="Arial"/>
          <w:color w:val="000000"/>
          <w:sz w:val="26"/>
          <w:szCs w:val="26"/>
        </w:rPr>
        <w:t>avente carattere “speciale”</w:t>
      </w:r>
      <w:r w:rsidR="00D57765">
        <w:rPr>
          <w:rFonts w:ascii="Garamond" w:eastAsia="Arial" w:hAnsi="Garamond" w:cs="Arial"/>
          <w:color w:val="000000"/>
          <w:sz w:val="26"/>
          <w:szCs w:val="26"/>
        </w:rPr>
        <w:t xml:space="preserve"> </w:t>
      </w:r>
      <w:r w:rsidR="00D57765" w:rsidRPr="001E70BF">
        <w:rPr>
          <w:rFonts w:ascii="Garamond" w:eastAsia="Arial" w:hAnsi="Garamond" w:cs="Arial"/>
          <w:color w:val="000000"/>
          <w:sz w:val="26"/>
          <w:szCs w:val="26"/>
        </w:rPr>
        <w:t>(in quanto destinata a disciplinare l'</w:t>
      </w:r>
      <w:r w:rsidR="00D57765">
        <w:rPr>
          <w:rFonts w:ascii="Garamond" w:eastAsia="Arial" w:hAnsi="Garamond" w:cs="Arial"/>
          <w:color w:val="000000"/>
          <w:sz w:val="26"/>
          <w:szCs w:val="26"/>
        </w:rPr>
        <w:t>attività contrattuale delle Pubblica amministrazione</w:t>
      </w:r>
      <w:r w:rsidR="00D57765" w:rsidRPr="001E70BF">
        <w:rPr>
          <w:rFonts w:ascii="Garamond" w:eastAsia="Arial" w:hAnsi="Garamond" w:cs="Arial"/>
          <w:color w:val="000000"/>
          <w:sz w:val="26"/>
          <w:szCs w:val="26"/>
        </w:rPr>
        <w:t xml:space="preserve">) e di sempre più marcata pervasività (in quanto destinata a disciplinare molteplici aspetti della </w:t>
      </w:r>
      <w:r w:rsidR="00D57765">
        <w:rPr>
          <w:rFonts w:ascii="Garamond" w:eastAsia="Arial" w:hAnsi="Garamond" w:cs="Arial"/>
          <w:color w:val="000000"/>
          <w:sz w:val="26"/>
          <w:szCs w:val="26"/>
        </w:rPr>
        <w:t>suddetta attività contrattuale).</w:t>
      </w:r>
    </w:p>
    <w:p w:rsidR="001E1FCC" w:rsidRPr="005B741A" w:rsidRDefault="00D57765" w:rsidP="001E70BF">
      <w:pPr>
        <w:spacing w:line="360" w:lineRule="auto"/>
        <w:ind w:left="567" w:right="567" w:firstLine="141"/>
        <w:jc w:val="both"/>
        <w:rPr>
          <w:rFonts w:ascii="Garamond" w:eastAsia="Arial" w:hAnsi="Garamond" w:cs="Arial"/>
          <w:i/>
          <w:color w:val="000000"/>
          <w:sz w:val="26"/>
          <w:szCs w:val="26"/>
        </w:rPr>
      </w:pPr>
      <w:r>
        <w:rPr>
          <w:rFonts w:ascii="Garamond" w:eastAsia="Arial" w:hAnsi="Garamond" w:cs="Arial"/>
          <w:color w:val="000000"/>
          <w:sz w:val="26"/>
          <w:szCs w:val="26"/>
        </w:rPr>
        <w:t>C</w:t>
      </w:r>
      <w:r w:rsidR="001E1FCC">
        <w:rPr>
          <w:rFonts w:ascii="Garamond" w:eastAsia="Arial" w:hAnsi="Garamond" w:cs="Arial"/>
          <w:color w:val="000000"/>
          <w:sz w:val="26"/>
          <w:szCs w:val="26"/>
        </w:rPr>
        <w:t xml:space="preserve">onclusione </w:t>
      </w:r>
      <w:r w:rsidR="005B741A">
        <w:rPr>
          <w:rFonts w:ascii="Garamond" w:eastAsia="Arial" w:hAnsi="Garamond" w:cs="Arial"/>
          <w:color w:val="000000"/>
          <w:sz w:val="26"/>
          <w:szCs w:val="26"/>
        </w:rPr>
        <w:t>pienamente accolta dalle Sezioni Unite,</w:t>
      </w:r>
      <w:r>
        <w:rPr>
          <w:rFonts w:ascii="Garamond" w:eastAsia="Arial" w:hAnsi="Garamond" w:cs="Arial"/>
          <w:color w:val="000000"/>
          <w:sz w:val="26"/>
          <w:szCs w:val="26"/>
        </w:rPr>
        <w:t xml:space="preserve"> per le quali</w:t>
      </w:r>
      <w:r w:rsidR="005B741A">
        <w:rPr>
          <w:rFonts w:ascii="Garamond" w:eastAsia="Arial" w:hAnsi="Garamond" w:cs="Arial"/>
          <w:color w:val="000000"/>
          <w:sz w:val="26"/>
          <w:szCs w:val="26"/>
        </w:rPr>
        <w:t xml:space="preserve"> </w:t>
      </w:r>
      <w:r w:rsidR="005B741A">
        <w:rPr>
          <w:rFonts w:ascii="Garamond" w:eastAsia="Arial" w:hAnsi="Garamond" w:cs="Arial"/>
          <w:i/>
          <w:color w:val="000000"/>
          <w:sz w:val="26"/>
          <w:szCs w:val="26"/>
        </w:rPr>
        <w:t>&lt;&lt; .. bisogna concludere che le disposizioni normative passate in rassegna, che tali possibilità prevedevano, consentivano solo ciò che, normalmente, sarebbe stato vietato, con la conseguenza che dette previsioni erano anzitutto di natura eccezionale e di stretta interpretazione, avendo reso i derivati stipulati dalle pubbliche amministrazioni come contratti tipici, diversamente da quelli innominati conclusi dai privati (per quanto appartenenti all’amplissimo e medesimo genus). &gt;&gt;</w:t>
      </w:r>
      <w:r w:rsidR="005B741A">
        <w:rPr>
          <w:rFonts w:ascii="Garamond" w:eastAsia="Arial" w:hAnsi="Garamond" w:cs="Arial"/>
          <w:color w:val="000000"/>
          <w:sz w:val="26"/>
          <w:szCs w:val="26"/>
        </w:rPr>
        <w:t>.</w:t>
      </w:r>
      <w:r w:rsidR="005B741A">
        <w:rPr>
          <w:rFonts w:ascii="Garamond" w:eastAsia="Arial" w:hAnsi="Garamond" w:cs="Arial"/>
          <w:i/>
          <w:color w:val="000000"/>
          <w:sz w:val="26"/>
          <w:szCs w:val="26"/>
        </w:rPr>
        <w:t xml:space="preserve"> </w:t>
      </w:r>
    </w:p>
    <w:p w:rsidR="009B3B72" w:rsidRDefault="001E70BF" w:rsidP="001E70BF">
      <w:pPr>
        <w:spacing w:line="360" w:lineRule="auto"/>
        <w:ind w:left="567" w:right="567" w:firstLine="141"/>
        <w:jc w:val="both"/>
        <w:rPr>
          <w:rFonts w:ascii="Garamond" w:eastAsia="Arial" w:hAnsi="Garamond" w:cs="Arial"/>
          <w:color w:val="000000"/>
          <w:sz w:val="26"/>
          <w:szCs w:val="26"/>
        </w:rPr>
      </w:pPr>
      <w:r w:rsidRPr="001E70BF">
        <w:rPr>
          <w:rFonts w:ascii="Garamond" w:eastAsia="Arial" w:hAnsi="Garamond" w:cs="Arial"/>
          <w:color w:val="000000"/>
          <w:sz w:val="26"/>
          <w:szCs w:val="26"/>
        </w:rPr>
        <w:t>Il concetto è denso di implicazioni giuridiche</w:t>
      </w:r>
      <w:r w:rsidR="009B3B72">
        <w:rPr>
          <w:rFonts w:ascii="Garamond" w:eastAsia="Arial" w:hAnsi="Garamond" w:cs="Arial"/>
          <w:color w:val="000000"/>
          <w:sz w:val="26"/>
          <w:szCs w:val="26"/>
        </w:rPr>
        <w:t xml:space="preserve">, se si considerino i </w:t>
      </w:r>
      <w:r w:rsidRPr="001E70BF">
        <w:rPr>
          <w:rFonts w:ascii="Garamond" w:eastAsia="Arial" w:hAnsi="Garamond" w:cs="Arial"/>
          <w:color w:val="000000"/>
          <w:sz w:val="26"/>
          <w:szCs w:val="26"/>
        </w:rPr>
        <w:t xml:space="preserve">corollari derivanti </w:t>
      </w:r>
      <w:r w:rsidR="00A173CA">
        <w:rPr>
          <w:rFonts w:ascii="Garamond" w:eastAsia="Arial" w:hAnsi="Garamond" w:cs="Arial"/>
          <w:color w:val="000000"/>
          <w:sz w:val="26"/>
          <w:szCs w:val="26"/>
        </w:rPr>
        <w:t>dal controllo di conformità del contratto stipulato rispetto al modello legale tipico di riferimento</w:t>
      </w:r>
      <w:r w:rsidR="00770F06">
        <w:rPr>
          <w:rFonts w:ascii="Garamond" w:eastAsia="Arial" w:hAnsi="Garamond" w:cs="Arial"/>
          <w:color w:val="000000"/>
          <w:sz w:val="26"/>
          <w:szCs w:val="26"/>
        </w:rPr>
        <w:t>, avuto riguardo</w:t>
      </w:r>
      <w:r w:rsidR="009B3B72">
        <w:rPr>
          <w:rFonts w:ascii="Garamond" w:eastAsia="Arial" w:hAnsi="Garamond" w:cs="Arial"/>
          <w:color w:val="000000"/>
          <w:sz w:val="26"/>
          <w:szCs w:val="26"/>
        </w:rPr>
        <w:t xml:space="preserve"> ai suoi elementi essenziali.</w:t>
      </w:r>
    </w:p>
    <w:p w:rsidR="00A173CA" w:rsidRDefault="00A173CA" w:rsidP="001E70BF">
      <w:pPr>
        <w:spacing w:line="360" w:lineRule="auto"/>
        <w:ind w:left="567" w:right="567" w:firstLine="141"/>
        <w:jc w:val="both"/>
        <w:rPr>
          <w:rFonts w:ascii="Garamond" w:eastAsia="Arial" w:hAnsi="Garamond" w:cs="Arial"/>
          <w:color w:val="000000"/>
          <w:sz w:val="26"/>
          <w:szCs w:val="26"/>
        </w:rPr>
      </w:pPr>
    </w:p>
    <w:p w:rsidR="00D57765" w:rsidRDefault="00205C85" w:rsidP="00A173CA">
      <w:pPr>
        <w:spacing w:line="360" w:lineRule="auto"/>
        <w:ind w:left="567" w:right="567"/>
        <w:jc w:val="both"/>
        <w:rPr>
          <w:rFonts w:ascii="Garamond" w:eastAsia="Arial" w:hAnsi="Garamond" w:cs="Arial"/>
          <w:color w:val="000000"/>
          <w:sz w:val="26"/>
          <w:szCs w:val="26"/>
        </w:rPr>
      </w:pPr>
      <w:r>
        <w:rPr>
          <w:rFonts w:ascii="Garamond" w:hAnsi="Garamond" w:cs="Times New Roman"/>
          <w:b/>
          <w:color w:val="000000" w:themeColor="text1"/>
          <w:sz w:val="26"/>
          <w:szCs w:val="26"/>
        </w:rPr>
        <w:t>4</w:t>
      </w:r>
      <w:r w:rsidR="003D73B9">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 xml:space="preserve"> La </w:t>
      </w:r>
      <w:r w:rsidR="007B2AEB">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causa</w:t>
      </w:r>
      <w:r w:rsidR="007B2AEB">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 xml:space="preserve"> tipica dei “derivati” degli Enti pubblici.</w:t>
      </w:r>
    </w:p>
    <w:p w:rsidR="009B3B72" w:rsidRDefault="009B3B72" w:rsidP="009B3B72">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L’art. 41 </w:t>
      </w:r>
      <w:r>
        <w:rPr>
          <w:rFonts w:ascii="Garamond" w:eastAsia="Arial" w:hAnsi="Garamond" w:cs="Arial"/>
          <w:sz w:val="26"/>
          <w:szCs w:val="26"/>
        </w:rPr>
        <w:t>della l</w:t>
      </w:r>
      <w:r w:rsidRPr="00A434FE">
        <w:rPr>
          <w:rFonts w:ascii="Garamond" w:eastAsia="Arial" w:hAnsi="Garamond" w:cs="Arial"/>
          <w:sz w:val="26"/>
          <w:szCs w:val="26"/>
        </w:rPr>
        <w:t xml:space="preserve">egge </w:t>
      </w:r>
      <w:r w:rsidR="00CC0FF5">
        <w:rPr>
          <w:rFonts w:ascii="Garamond" w:eastAsia="Arial" w:hAnsi="Garamond" w:cs="Arial"/>
          <w:sz w:val="26"/>
          <w:szCs w:val="26"/>
        </w:rPr>
        <w:t xml:space="preserve">n. 448 del </w:t>
      </w:r>
      <w:r>
        <w:rPr>
          <w:rFonts w:ascii="Garamond" w:eastAsia="Arial" w:hAnsi="Garamond" w:cs="Arial"/>
          <w:sz w:val="26"/>
          <w:szCs w:val="26"/>
        </w:rPr>
        <w:t xml:space="preserve">2001 e le fondamentali regole di contabilità pubblica ci dicono che </w:t>
      </w:r>
      <w:r>
        <w:rPr>
          <w:rFonts w:ascii="Garamond" w:eastAsia="Arial" w:hAnsi="Garamond" w:cs="Arial"/>
          <w:color w:val="000000"/>
          <w:sz w:val="26"/>
          <w:szCs w:val="26"/>
        </w:rPr>
        <w:t>la “causa” tipica dei “derivati” degli Enti pubblici non può che essere di “copertura” d</w:t>
      </w:r>
      <w:r w:rsidR="00646A22">
        <w:rPr>
          <w:rFonts w:ascii="Garamond" w:eastAsia="Arial" w:hAnsi="Garamond" w:cs="Arial"/>
          <w:color w:val="000000"/>
          <w:sz w:val="26"/>
          <w:szCs w:val="26"/>
        </w:rPr>
        <w:t>el rischio finanziario</w:t>
      </w:r>
      <w:r>
        <w:rPr>
          <w:rFonts w:ascii="Garamond" w:eastAsia="Arial" w:hAnsi="Garamond" w:cs="Arial"/>
          <w:color w:val="000000"/>
          <w:sz w:val="26"/>
          <w:szCs w:val="26"/>
        </w:rPr>
        <w:t xml:space="preserve"> </w:t>
      </w:r>
      <w:r w:rsidR="00646A22">
        <w:rPr>
          <w:rFonts w:ascii="Garamond" w:eastAsia="Arial" w:hAnsi="Garamond" w:cs="Arial"/>
          <w:color w:val="000000"/>
          <w:sz w:val="26"/>
          <w:szCs w:val="26"/>
        </w:rPr>
        <w:t xml:space="preserve">derivante da </w:t>
      </w:r>
      <w:r>
        <w:rPr>
          <w:rFonts w:ascii="Garamond" w:eastAsia="Arial" w:hAnsi="Garamond" w:cs="Arial"/>
          <w:color w:val="000000"/>
          <w:sz w:val="26"/>
          <w:szCs w:val="26"/>
        </w:rPr>
        <w:t>un sottostante debito</w:t>
      </w:r>
      <w:r w:rsidR="00646A22">
        <w:rPr>
          <w:rFonts w:ascii="Garamond" w:eastAsia="Arial" w:hAnsi="Garamond" w:cs="Arial"/>
          <w:color w:val="000000"/>
          <w:sz w:val="26"/>
          <w:szCs w:val="26"/>
        </w:rPr>
        <w:t xml:space="preserve">, mentre non vi è spazio per “derivati speculativi” </w:t>
      </w:r>
      <w:r w:rsidR="00646A22" w:rsidRPr="001E70BF">
        <w:rPr>
          <w:rStyle w:val="Rimandonotaapidipagina"/>
          <w:rFonts w:ascii="Garamond" w:hAnsi="Garamond" w:cs="Times New Roman"/>
          <w:color w:val="000000" w:themeColor="text1"/>
          <w:sz w:val="26"/>
          <w:szCs w:val="26"/>
        </w:rPr>
        <w:footnoteReference w:id="14"/>
      </w:r>
      <w:r w:rsidR="00646A22">
        <w:rPr>
          <w:rFonts w:ascii="Garamond" w:eastAsia="Arial" w:hAnsi="Garamond" w:cs="Arial"/>
          <w:color w:val="000000"/>
          <w:sz w:val="26"/>
          <w:szCs w:val="26"/>
        </w:rPr>
        <w:t>.</w:t>
      </w:r>
    </w:p>
    <w:p w:rsidR="00646A22" w:rsidRDefault="00646A22" w:rsidP="009B3B72">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Ciò si ricava – per le Sezioni Unite – già dall’art. 119, commi 4 e 6, d</w:t>
      </w:r>
      <w:r w:rsidR="00483623">
        <w:rPr>
          <w:rFonts w:ascii="Garamond" w:eastAsia="Arial" w:hAnsi="Garamond" w:cs="Arial"/>
          <w:color w:val="000000"/>
          <w:sz w:val="26"/>
          <w:szCs w:val="26"/>
        </w:rPr>
        <w:t>ella Costituzione, che enuncia</w:t>
      </w:r>
      <w:r>
        <w:rPr>
          <w:rFonts w:ascii="Garamond" w:eastAsia="Arial" w:hAnsi="Garamond" w:cs="Arial"/>
          <w:color w:val="000000"/>
          <w:sz w:val="26"/>
          <w:szCs w:val="26"/>
        </w:rPr>
        <w:t xml:space="preserve"> il vincolo dell’equilibrio finanziario e la necessaria finalizzazione dell’indebitamento a spese di investimento, ma, più in generale, dalle “regole relative alla contabilità pubblica”, rispetto alle quali </w:t>
      </w:r>
      <w:r w:rsidR="00CC0FF5">
        <w:rPr>
          <w:rFonts w:ascii="Garamond" w:eastAsia="Arial" w:hAnsi="Garamond" w:cs="Arial"/>
          <w:color w:val="000000"/>
          <w:sz w:val="26"/>
          <w:szCs w:val="26"/>
        </w:rPr>
        <w:t xml:space="preserve">si rileva incompatibile </w:t>
      </w:r>
      <w:r>
        <w:rPr>
          <w:rFonts w:ascii="Garamond" w:eastAsia="Arial" w:hAnsi="Garamond" w:cs="Arial"/>
          <w:color w:val="000000"/>
          <w:sz w:val="26"/>
          <w:szCs w:val="26"/>
        </w:rPr>
        <w:t>l’al</w:t>
      </w:r>
      <w:r w:rsidR="00CC0FF5">
        <w:rPr>
          <w:rFonts w:ascii="Garamond" w:eastAsia="Arial" w:hAnsi="Garamond" w:cs="Arial"/>
          <w:color w:val="000000"/>
          <w:sz w:val="26"/>
          <w:szCs w:val="26"/>
        </w:rPr>
        <w:t>eatorietà elevata a “scommessa”</w:t>
      </w:r>
      <w:r w:rsidR="00770962">
        <w:rPr>
          <w:rFonts w:ascii="Garamond" w:eastAsia="Arial" w:hAnsi="Garamond" w:cs="Arial"/>
          <w:color w:val="000000"/>
          <w:sz w:val="26"/>
          <w:szCs w:val="26"/>
        </w:rPr>
        <w:t>.</w:t>
      </w:r>
    </w:p>
    <w:p w:rsidR="00483623" w:rsidRDefault="00483623" w:rsidP="00483623">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E’ in gioco la legittimazione negoziale della Pubblica amministrazione </w:t>
      </w:r>
      <w:r w:rsidRPr="001E70BF">
        <w:rPr>
          <w:rStyle w:val="Rimandonotaapidipagina"/>
          <w:rFonts w:ascii="Garamond" w:hAnsi="Garamond" w:cs="Times New Roman"/>
          <w:color w:val="000000" w:themeColor="text1"/>
          <w:sz w:val="26"/>
          <w:szCs w:val="26"/>
        </w:rPr>
        <w:footnoteReference w:id="15"/>
      </w:r>
      <w:r>
        <w:rPr>
          <w:rFonts w:ascii="Garamond" w:eastAsia="Arial" w:hAnsi="Garamond" w:cs="Arial"/>
          <w:color w:val="000000"/>
          <w:sz w:val="26"/>
          <w:szCs w:val="26"/>
        </w:rPr>
        <w:t>.</w:t>
      </w:r>
      <w:r w:rsidRPr="00483623">
        <w:rPr>
          <w:rFonts w:ascii="Garamond" w:eastAsia="Arial" w:hAnsi="Garamond" w:cs="Arial"/>
          <w:color w:val="000000"/>
          <w:sz w:val="26"/>
          <w:szCs w:val="26"/>
        </w:rPr>
        <w:t xml:space="preserve"> </w:t>
      </w:r>
    </w:p>
    <w:p w:rsidR="005A06B8" w:rsidRPr="005A06B8" w:rsidRDefault="00B66014" w:rsidP="005A06B8">
      <w:pPr>
        <w:spacing w:line="360" w:lineRule="auto"/>
        <w:ind w:left="567" w:right="567" w:firstLine="141"/>
        <w:jc w:val="both"/>
        <w:rPr>
          <w:rFonts w:ascii="Garamond" w:hAnsi="Garamond" w:cs="Times New Roman"/>
          <w:b/>
          <w:color w:val="000000" w:themeColor="text1"/>
          <w:sz w:val="26"/>
          <w:szCs w:val="26"/>
        </w:rPr>
      </w:pPr>
      <w:r>
        <w:rPr>
          <w:rFonts w:ascii="Garamond" w:eastAsia="Arial" w:hAnsi="Garamond" w:cs="Arial"/>
          <w:color w:val="000000"/>
          <w:sz w:val="26"/>
          <w:szCs w:val="26"/>
        </w:rPr>
        <w:t>La Corte sembra, in tal modo, evocare la teoria del</w:t>
      </w:r>
      <w:r w:rsidR="00483623" w:rsidRPr="00B66014">
        <w:rPr>
          <w:rFonts w:ascii="Garamond" w:eastAsia="Arial" w:hAnsi="Garamond" w:cs="Arial"/>
          <w:color w:val="000000"/>
          <w:sz w:val="26"/>
          <w:szCs w:val="26"/>
        </w:rPr>
        <w:t xml:space="preserve"> c.d. "limite di scopo", espressione della necessaria </w:t>
      </w:r>
      <w:r w:rsidR="00483623" w:rsidRPr="00483623">
        <w:rPr>
          <w:rFonts w:ascii="Garamond" w:eastAsia="Arial" w:hAnsi="Garamond" w:cs="Arial"/>
          <w:color w:val="000000"/>
          <w:sz w:val="26"/>
          <w:szCs w:val="26"/>
        </w:rPr>
        <w:t xml:space="preserve">funzionalizzazione dell'attività contrattuale della P.A., tale per cui essa non può porre in essere negozi che contrastino </w:t>
      </w:r>
      <w:r w:rsidR="004B3E7E">
        <w:rPr>
          <w:rFonts w:ascii="Garamond" w:eastAsia="Arial" w:hAnsi="Garamond" w:cs="Arial"/>
          <w:color w:val="000000"/>
          <w:sz w:val="26"/>
          <w:szCs w:val="26"/>
        </w:rPr>
        <w:t xml:space="preserve">- </w:t>
      </w:r>
      <w:r w:rsidR="00483623" w:rsidRPr="00483623">
        <w:rPr>
          <w:rFonts w:ascii="Garamond" w:eastAsia="Arial" w:hAnsi="Garamond" w:cs="Arial"/>
          <w:color w:val="000000"/>
          <w:sz w:val="26"/>
          <w:szCs w:val="26"/>
        </w:rPr>
        <w:t xml:space="preserve">o non si pongano in rapporto di strumentalità </w:t>
      </w:r>
      <w:r w:rsidR="004B3E7E">
        <w:rPr>
          <w:rFonts w:ascii="Garamond" w:eastAsia="Arial" w:hAnsi="Garamond" w:cs="Arial"/>
          <w:color w:val="000000"/>
          <w:sz w:val="26"/>
          <w:szCs w:val="26"/>
        </w:rPr>
        <w:t xml:space="preserve">- </w:t>
      </w:r>
      <w:r w:rsidR="00483623" w:rsidRPr="00483623">
        <w:rPr>
          <w:rFonts w:ascii="Garamond" w:eastAsia="Arial" w:hAnsi="Garamond" w:cs="Arial"/>
          <w:color w:val="000000"/>
          <w:sz w:val="26"/>
          <w:szCs w:val="26"/>
        </w:rPr>
        <w:t>con i propri compiti istituzionali</w:t>
      </w:r>
      <w:r>
        <w:rPr>
          <w:rFonts w:ascii="Garamond" w:eastAsia="Arial" w:hAnsi="Garamond" w:cs="Arial"/>
          <w:color w:val="000000"/>
          <w:sz w:val="26"/>
          <w:szCs w:val="26"/>
        </w:rPr>
        <w:t>, così come determinati dalla legge</w:t>
      </w:r>
      <w:r w:rsidR="004B3E7E">
        <w:rPr>
          <w:rFonts w:ascii="Garamond" w:eastAsia="Arial" w:hAnsi="Garamond" w:cs="Arial"/>
          <w:color w:val="000000"/>
          <w:sz w:val="26"/>
          <w:szCs w:val="26"/>
        </w:rPr>
        <w:t xml:space="preserve"> </w:t>
      </w:r>
      <w:r w:rsidR="005A06B8" w:rsidRPr="00483623">
        <w:rPr>
          <w:rStyle w:val="Rimandonotaapidipagina"/>
          <w:rFonts w:ascii="Garamond" w:hAnsi="Garamond"/>
          <w:color w:val="000000"/>
          <w:sz w:val="26"/>
          <w:szCs w:val="26"/>
        </w:rPr>
        <w:footnoteReference w:id="16"/>
      </w:r>
      <w:r w:rsidR="005A06B8">
        <w:rPr>
          <w:rFonts w:ascii="Garamond" w:hAnsi="Garamond"/>
          <w:sz w:val="26"/>
          <w:szCs w:val="26"/>
        </w:rPr>
        <w:t>.</w:t>
      </w:r>
    </w:p>
    <w:p w:rsidR="005A06B8" w:rsidRDefault="005A06B8" w:rsidP="00A173CA">
      <w:pPr>
        <w:spacing w:line="360" w:lineRule="auto"/>
        <w:ind w:left="567" w:right="567"/>
        <w:jc w:val="both"/>
        <w:rPr>
          <w:rFonts w:ascii="Garamond" w:hAnsi="Garamond" w:cs="Times New Roman"/>
          <w:b/>
          <w:color w:val="000000" w:themeColor="text1"/>
          <w:sz w:val="26"/>
          <w:szCs w:val="26"/>
        </w:rPr>
      </w:pPr>
    </w:p>
    <w:p w:rsidR="00A173CA" w:rsidRDefault="00205C85" w:rsidP="00A173CA">
      <w:pPr>
        <w:spacing w:line="360" w:lineRule="auto"/>
        <w:ind w:left="567" w:right="567"/>
        <w:jc w:val="both"/>
        <w:rPr>
          <w:rFonts w:ascii="Garamond" w:eastAsia="Arial" w:hAnsi="Garamond" w:cs="Arial"/>
          <w:color w:val="000000"/>
          <w:sz w:val="26"/>
          <w:szCs w:val="26"/>
        </w:rPr>
      </w:pPr>
      <w:r>
        <w:rPr>
          <w:rFonts w:ascii="Garamond" w:hAnsi="Garamond" w:cs="Times New Roman"/>
          <w:b/>
          <w:color w:val="000000" w:themeColor="text1"/>
          <w:sz w:val="26"/>
          <w:szCs w:val="26"/>
        </w:rPr>
        <w:t>5</w:t>
      </w:r>
      <w:r w:rsidR="003D73B9">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 xml:space="preserve"> L’</w:t>
      </w:r>
      <w:r w:rsidR="007B2AEB">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oggetto</w:t>
      </w:r>
      <w:r w:rsidR="007B2AEB">
        <w:rPr>
          <w:rFonts w:ascii="Garamond" w:hAnsi="Garamond" w:cs="Times New Roman"/>
          <w:b/>
          <w:color w:val="000000" w:themeColor="text1"/>
          <w:sz w:val="26"/>
          <w:szCs w:val="26"/>
        </w:rPr>
        <w:t>”</w:t>
      </w:r>
      <w:r w:rsidR="00A173CA">
        <w:rPr>
          <w:rFonts w:ascii="Garamond" w:hAnsi="Garamond" w:cs="Times New Roman"/>
          <w:b/>
          <w:color w:val="000000" w:themeColor="text1"/>
          <w:sz w:val="26"/>
          <w:szCs w:val="26"/>
        </w:rPr>
        <w:t xml:space="preserve"> tipico dei “derivati” degli Enti pubblici.</w:t>
      </w:r>
    </w:p>
    <w:p w:rsidR="00D57765" w:rsidRDefault="005A06B8"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La tipicità dei derivati pubblici si riflette inevitabilmente anche sull’</w:t>
      </w:r>
      <w:r w:rsidR="007B2AEB">
        <w:rPr>
          <w:rFonts w:ascii="Garamond" w:eastAsia="Arial" w:hAnsi="Garamond" w:cs="Arial"/>
          <w:color w:val="000000"/>
          <w:sz w:val="26"/>
          <w:szCs w:val="26"/>
        </w:rPr>
        <w:t>”</w:t>
      </w:r>
      <w:r>
        <w:rPr>
          <w:rFonts w:ascii="Garamond" w:eastAsia="Arial" w:hAnsi="Garamond" w:cs="Arial"/>
          <w:color w:val="000000"/>
          <w:sz w:val="26"/>
          <w:szCs w:val="26"/>
        </w:rPr>
        <w:t>oggetto</w:t>
      </w:r>
      <w:r w:rsidR="007B2AEB">
        <w:rPr>
          <w:rFonts w:ascii="Garamond" w:eastAsia="Arial" w:hAnsi="Garamond" w:cs="Arial"/>
          <w:color w:val="000000"/>
          <w:sz w:val="26"/>
          <w:szCs w:val="26"/>
        </w:rPr>
        <w:t>”</w:t>
      </w:r>
      <w:r>
        <w:rPr>
          <w:rFonts w:ascii="Garamond" w:eastAsia="Arial" w:hAnsi="Garamond" w:cs="Arial"/>
          <w:color w:val="000000"/>
          <w:sz w:val="26"/>
          <w:szCs w:val="26"/>
        </w:rPr>
        <w:t xml:space="preserve"> di tali contratti</w:t>
      </w:r>
      <w:r w:rsidR="004B3E7E">
        <w:rPr>
          <w:rFonts w:ascii="Garamond" w:eastAsia="Arial" w:hAnsi="Garamond" w:cs="Arial"/>
          <w:color w:val="000000"/>
          <w:sz w:val="26"/>
          <w:szCs w:val="26"/>
        </w:rPr>
        <w:t>, ovvero sul loro</w:t>
      </w:r>
      <w:r w:rsidR="004B05C9">
        <w:rPr>
          <w:rFonts w:ascii="Garamond" w:eastAsia="Arial" w:hAnsi="Garamond" w:cs="Arial"/>
          <w:color w:val="000000"/>
          <w:sz w:val="26"/>
          <w:szCs w:val="26"/>
        </w:rPr>
        <w:t xml:space="preserve"> contenuto</w:t>
      </w:r>
      <w:r w:rsidR="00277401">
        <w:rPr>
          <w:rFonts w:ascii="Garamond" w:eastAsia="Arial" w:hAnsi="Garamond" w:cs="Arial"/>
          <w:color w:val="000000"/>
          <w:sz w:val="26"/>
          <w:szCs w:val="26"/>
        </w:rPr>
        <w:t xml:space="preserve">, perché soltanto indicando </w:t>
      </w:r>
      <w:r w:rsidR="00277401">
        <w:rPr>
          <w:rFonts w:ascii="Garamond" w:eastAsia="Arial" w:hAnsi="Garamond" w:cs="Arial"/>
          <w:i/>
          <w:color w:val="000000"/>
          <w:sz w:val="26"/>
          <w:szCs w:val="26"/>
        </w:rPr>
        <w:t>&lt;&lt; la misura dell’alea, calcolata secondo criteri riconosciuti ed oggettivamente condivisi &gt;&gt;</w:t>
      </w:r>
      <w:r w:rsidR="004B3E7E">
        <w:rPr>
          <w:rFonts w:ascii="Garamond" w:eastAsia="Arial" w:hAnsi="Garamond" w:cs="Arial"/>
          <w:color w:val="000000"/>
          <w:sz w:val="26"/>
          <w:szCs w:val="26"/>
        </w:rPr>
        <w:t>, essi possono</w:t>
      </w:r>
      <w:r w:rsidR="00277401">
        <w:rPr>
          <w:rFonts w:ascii="Garamond" w:eastAsia="Arial" w:hAnsi="Garamond" w:cs="Arial"/>
          <w:color w:val="000000"/>
          <w:sz w:val="26"/>
          <w:szCs w:val="26"/>
        </w:rPr>
        <w:t xml:space="preserve"> soddisfare i requisiti di determinazione o </w:t>
      </w:r>
      <w:r w:rsidR="004B3E7E">
        <w:rPr>
          <w:rFonts w:ascii="Garamond" w:eastAsia="Arial" w:hAnsi="Garamond" w:cs="Arial"/>
          <w:color w:val="000000"/>
          <w:sz w:val="26"/>
          <w:szCs w:val="26"/>
        </w:rPr>
        <w:t xml:space="preserve">di </w:t>
      </w:r>
      <w:r w:rsidR="00277401">
        <w:rPr>
          <w:rFonts w:ascii="Garamond" w:eastAsia="Arial" w:hAnsi="Garamond" w:cs="Arial"/>
          <w:color w:val="000000"/>
          <w:sz w:val="26"/>
          <w:szCs w:val="26"/>
        </w:rPr>
        <w:t>determinabilità di cui all’art. 1</w:t>
      </w:r>
      <w:r w:rsidR="003325F6">
        <w:rPr>
          <w:rFonts w:ascii="Garamond" w:eastAsia="Arial" w:hAnsi="Garamond" w:cs="Arial"/>
          <w:color w:val="000000"/>
          <w:sz w:val="26"/>
          <w:szCs w:val="26"/>
        </w:rPr>
        <w:t>346</w:t>
      </w:r>
      <w:r w:rsidR="00277401">
        <w:rPr>
          <w:rFonts w:ascii="Garamond" w:eastAsia="Arial" w:hAnsi="Garamond" w:cs="Arial"/>
          <w:color w:val="000000"/>
          <w:sz w:val="26"/>
          <w:szCs w:val="26"/>
        </w:rPr>
        <w:t xml:space="preserve"> Cod. Civ..</w:t>
      </w:r>
    </w:p>
    <w:p w:rsidR="004B05C9" w:rsidRDefault="004B05C9"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Peraltro, la tematica dell’oggetto contrattuale è strettamente interconnessa con quella della sua causa tipica, atteso che è soltanto attraverso un’adeguata rappresentazione </w:t>
      </w:r>
      <w:r w:rsidR="00715C81">
        <w:rPr>
          <w:rFonts w:ascii="Garamond" w:eastAsia="Arial" w:hAnsi="Garamond" w:cs="Arial"/>
          <w:color w:val="000000"/>
          <w:sz w:val="26"/>
          <w:szCs w:val="26"/>
        </w:rPr>
        <w:t xml:space="preserve">nel contratto </w:t>
      </w:r>
      <w:r>
        <w:rPr>
          <w:rFonts w:ascii="Garamond" w:eastAsia="Arial" w:hAnsi="Garamond" w:cs="Arial"/>
          <w:color w:val="000000"/>
          <w:sz w:val="26"/>
          <w:szCs w:val="26"/>
        </w:rPr>
        <w:t xml:space="preserve">di determinati elementi contenutistici che è possibile verificare </w:t>
      </w:r>
      <w:r w:rsidR="00715C81">
        <w:rPr>
          <w:rFonts w:ascii="Garamond" w:eastAsia="Arial" w:hAnsi="Garamond" w:cs="Arial"/>
          <w:color w:val="000000"/>
          <w:sz w:val="26"/>
          <w:szCs w:val="26"/>
        </w:rPr>
        <w:t xml:space="preserve">in concreto </w:t>
      </w:r>
      <w:r>
        <w:rPr>
          <w:rFonts w:ascii="Garamond" w:eastAsia="Arial" w:hAnsi="Garamond" w:cs="Arial"/>
          <w:color w:val="000000"/>
          <w:sz w:val="26"/>
          <w:szCs w:val="26"/>
        </w:rPr>
        <w:t xml:space="preserve">la </w:t>
      </w:r>
      <w:r w:rsidR="00715C81">
        <w:rPr>
          <w:rFonts w:ascii="Garamond" w:eastAsia="Arial" w:hAnsi="Garamond" w:cs="Arial"/>
          <w:color w:val="000000"/>
          <w:sz w:val="26"/>
          <w:szCs w:val="26"/>
        </w:rPr>
        <w:t>funzione economico-sociale da esso svolta</w:t>
      </w:r>
      <w:r w:rsidR="00E86D51">
        <w:rPr>
          <w:rFonts w:ascii="Garamond" w:eastAsia="Arial" w:hAnsi="Garamond" w:cs="Arial"/>
          <w:color w:val="000000"/>
          <w:sz w:val="26"/>
          <w:szCs w:val="26"/>
        </w:rPr>
        <w:t xml:space="preserve"> </w:t>
      </w:r>
      <w:r w:rsidR="00E86D51" w:rsidRPr="00483623">
        <w:rPr>
          <w:rStyle w:val="Rimandonotaapidipagina"/>
          <w:rFonts w:ascii="Garamond" w:hAnsi="Garamond"/>
          <w:color w:val="000000"/>
          <w:sz w:val="26"/>
          <w:szCs w:val="26"/>
        </w:rPr>
        <w:footnoteReference w:id="17"/>
      </w:r>
      <w:r>
        <w:rPr>
          <w:rFonts w:ascii="Garamond" w:eastAsia="Arial" w:hAnsi="Garamond" w:cs="Arial"/>
          <w:color w:val="000000"/>
          <w:sz w:val="26"/>
          <w:szCs w:val="26"/>
        </w:rPr>
        <w:t>.</w:t>
      </w:r>
    </w:p>
    <w:p w:rsidR="001D4901" w:rsidRDefault="00277401"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Sul punto, la </w:t>
      </w:r>
      <w:r w:rsidR="003325F6">
        <w:rPr>
          <w:rFonts w:ascii="Garamond" w:eastAsia="Arial" w:hAnsi="Garamond" w:cs="Arial"/>
          <w:color w:val="000000"/>
          <w:sz w:val="26"/>
          <w:szCs w:val="26"/>
        </w:rPr>
        <w:t xml:space="preserve">pronuncia </w:t>
      </w:r>
      <w:r w:rsidR="001D4901">
        <w:rPr>
          <w:rFonts w:ascii="Garamond" w:eastAsia="Arial" w:hAnsi="Garamond" w:cs="Arial"/>
          <w:color w:val="000000"/>
          <w:sz w:val="26"/>
          <w:szCs w:val="26"/>
        </w:rPr>
        <w:t xml:space="preserve">delle Sezioni Unite </w:t>
      </w:r>
      <w:r w:rsidR="003325F6">
        <w:rPr>
          <w:rFonts w:ascii="Garamond" w:eastAsia="Arial" w:hAnsi="Garamond" w:cs="Arial"/>
          <w:color w:val="000000"/>
          <w:sz w:val="26"/>
          <w:szCs w:val="26"/>
        </w:rPr>
        <w:t xml:space="preserve">contiene </w:t>
      </w:r>
      <w:r>
        <w:rPr>
          <w:rFonts w:ascii="Garamond" w:eastAsia="Arial" w:hAnsi="Garamond" w:cs="Arial"/>
          <w:color w:val="000000"/>
          <w:sz w:val="26"/>
          <w:szCs w:val="26"/>
        </w:rPr>
        <w:t xml:space="preserve">pagine destinate </w:t>
      </w:r>
      <w:r w:rsidR="004B05C9">
        <w:rPr>
          <w:rFonts w:ascii="Garamond" w:eastAsia="Arial" w:hAnsi="Garamond" w:cs="Arial"/>
          <w:color w:val="000000"/>
          <w:sz w:val="26"/>
          <w:szCs w:val="26"/>
        </w:rPr>
        <w:t>a</w:t>
      </w:r>
      <w:r w:rsidR="001D4901">
        <w:rPr>
          <w:rFonts w:ascii="Garamond" w:eastAsia="Arial" w:hAnsi="Garamond" w:cs="Arial"/>
          <w:color w:val="000000"/>
          <w:sz w:val="26"/>
          <w:szCs w:val="26"/>
        </w:rPr>
        <w:t xml:space="preserve"> rappresentare </w:t>
      </w:r>
      <w:r w:rsidR="004B3E7E">
        <w:rPr>
          <w:rFonts w:ascii="Garamond" w:eastAsia="Arial" w:hAnsi="Garamond" w:cs="Arial"/>
          <w:color w:val="000000"/>
          <w:sz w:val="26"/>
          <w:szCs w:val="26"/>
        </w:rPr>
        <w:t>un fondamentale punto di riferimento</w:t>
      </w:r>
      <w:r w:rsidR="001D4901">
        <w:rPr>
          <w:rFonts w:ascii="Garamond" w:eastAsia="Arial" w:hAnsi="Garamond" w:cs="Arial"/>
          <w:color w:val="000000"/>
          <w:sz w:val="26"/>
          <w:szCs w:val="26"/>
        </w:rPr>
        <w:t xml:space="preserve"> </w:t>
      </w:r>
      <w:r>
        <w:rPr>
          <w:rFonts w:ascii="Garamond" w:eastAsia="Arial" w:hAnsi="Garamond" w:cs="Arial"/>
          <w:color w:val="000000"/>
          <w:sz w:val="26"/>
          <w:szCs w:val="26"/>
        </w:rPr>
        <w:t xml:space="preserve">non soltanto per i </w:t>
      </w:r>
      <w:r w:rsidR="00AC1EC9">
        <w:rPr>
          <w:rFonts w:ascii="Garamond" w:eastAsia="Arial" w:hAnsi="Garamond" w:cs="Arial"/>
          <w:color w:val="000000"/>
          <w:sz w:val="26"/>
          <w:szCs w:val="26"/>
        </w:rPr>
        <w:t>“</w:t>
      </w:r>
      <w:r w:rsidR="004B3E7E">
        <w:rPr>
          <w:rFonts w:ascii="Garamond" w:eastAsia="Arial" w:hAnsi="Garamond" w:cs="Arial"/>
          <w:color w:val="000000"/>
          <w:sz w:val="26"/>
          <w:szCs w:val="26"/>
        </w:rPr>
        <w:t>derivati</w:t>
      </w:r>
      <w:r w:rsidR="00AC1EC9">
        <w:rPr>
          <w:rFonts w:ascii="Garamond" w:eastAsia="Arial" w:hAnsi="Garamond" w:cs="Arial"/>
          <w:color w:val="000000"/>
          <w:sz w:val="26"/>
          <w:szCs w:val="26"/>
        </w:rPr>
        <w:t>”</w:t>
      </w:r>
      <w:r w:rsidR="004B3E7E">
        <w:rPr>
          <w:rFonts w:ascii="Garamond" w:eastAsia="Arial" w:hAnsi="Garamond" w:cs="Arial"/>
          <w:color w:val="000000"/>
          <w:sz w:val="26"/>
          <w:szCs w:val="26"/>
        </w:rPr>
        <w:t xml:space="preserve"> </w:t>
      </w:r>
      <w:r w:rsidR="00AC1EC9">
        <w:rPr>
          <w:rFonts w:ascii="Garamond" w:eastAsia="Arial" w:hAnsi="Garamond" w:cs="Arial"/>
          <w:color w:val="000000"/>
          <w:sz w:val="26"/>
          <w:szCs w:val="26"/>
        </w:rPr>
        <w:t>pubblici</w:t>
      </w:r>
      <w:r>
        <w:rPr>
          <w:rFonts w:ascii="Garamond" w:eastAsia="Arial" w:hAnsi="Garamond" w:cs="Arial"/>
          <w:color w:val="000000"/>
          <w:sz w:val="26"/>
          <w:szCs w:val="26"/>
        </w:rPr>
        <w:t xml:space="preserve">, ma anche per quelli </w:t>
      </w:r>
      <w:r w:rsidR="004B3E7E">
        <w:rPr>
          <w:rFonts w:ascii="Garamond" w:eastAsia="Arial" w:hAnsi="Garamond" w:cs="Arial"/>
          <w:color w:val="000000"/>
          <w:sz w:val="26"/>
          <w:szCs w:val="26"/>
        </w:rPr>
        <w:t>sottoscritti da</w:t>
      </w:r>
      <w:r w:rsidR="003325F6">
        <w:rPr>
          <w:rFonts w:ascii="Garamond" w:eastAsia="Arial" w:hAnsi="Garamond" w:cs="Arial"/>
          <w:color w:val="000000"/>
          <w:sz w:val="26"/>
          <w:szCs w:val="26"/>
        </w:rPr>
        <w:t xml:space="preserve">i </w:t>
      </w:r>
      <w:r w:rsidR="001D4901">
        <w:rPr>
          <w:rFonts w:ascii="Garamond" w:eastAsia="Arial" w:hAnsi="Garamond" w:cs="Arial"/>
          <w:color w:val="000000"/>
          <w:sz w:val="26"/>
          <w:szCs w:val="26"/>
        </w:rPr>
        <w:t xml:space="preserve">privati (i quali, a differenza dei primi, sono legittimati a stipulare anche “derivati” con finalità speculativa). </w:t>
      </w:r>
      <w:r>
        <w:rPr>
          <w:rFonts w:ascii="Garamond" w:eastAsia="Arial" w:hAnsi="Garamond" w:cs="Arial"/>
          <w:color w:val="000000"/>
          <w:sz w:val="26"/>
          <w:szCs w:val="26"/>
        </w:rPr>
        <w:t xml:space="preserve"> </w:t>
      </w:r>
    </w:p>
    <w:p w:rsidR="00277401" w:rsidRDefault="003325F6"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Il principio affermato </w:t>
      </w:r>
      <w:r w:rsidR="00597D97">
        <w:rPr>
          <w:rFonts w:ascii="Garamond" w:eastAsia="Arial" w:hAnsi="Garamond" w:cs="Arial"/>
          <w:color w:val="000000"/>
          <w:sz w:val="26"/>
          <w:szCs w:val="26"/>
        </w:rPr>
        <w:t xml:space="preserve">dalla S.C. </w:t>
      </w:r>
      <w:r>
        <w:rPr>
          <w:rFonts w:ascii="Garamond" w:eastAsia="Arial" w:hAnsi="Garamond" w:cs="Arial"/>
          <w:color w:val="000000"/>
          <w:sz w:val="26"/>
          <w:szCs w:val="26"/>
        </w:rPr>
        <w:t xml:space="preserve">è il seguente: </w:t>
      </w:r>
      <w:r>
        <w:rPr>
          <w:rFonts w:ascii="Garamond" w:eastAsia="Arial" w:hAnsi="Garamond" w:cs="Arial"/>
          <w:i/>
          <w:color w:val="000000"/>
          <w:sz w:val="26"/>
          <w:szCs w:val="26"/>
        </w:rPr>
        <w:t xml:space="preserve">&lt;&lt; 9.2. E tale accordo sulla misurabilità/determinazione dell’oggetto non deve limitarsi al criterio del mark to market, ma investire, altresì, </w:t>
      </w:r>
      <w:r w:rsidR="00597D97">
        <w:rPr>
          <w:rFonts w:ascii="Garamond" w:eastAsia="Arial" w:hAnsi="Garamond" w:cs="Arial"/>
          <w:i/>
          <w:color w:val="000000"/>
          <w:sz w:val="26"/>
          <w:szCs w:val="26"/>
        </w:rPr>
        <w:t>gli scenari probabilistici, poichè il primo è semplicemente un numero che comunica poco in ordine alla consistenza dell’alea. Esso deve concernere la misura qualitativa e quantitativa dell’alea e, dunque, la stessa misura dei costi, pur se impliciti. &gt;&gt;</w:t>
      </w:r>
      <w:r w:rsidR="00715C81">
        <w:rPr>
          <w:rFonts w:ascii="Garamond" w:eastAsia="Arial" w:hAnsi="Garamond" w:cs="Arial"/>
          <w:color w:val="000000"/>
          <w:sz w:val="26"/>
          <w:szCs w:val="26"/>
        </w:rPr>
        <w:t xml:space="preserve"> </w:t>
      </w:r>
      <w:r w:rsidR="00715C81" w:rsidRPr="00483623">
        <w:rPr>
          <w:rStyle w:val="Rimandonotaapidipagina"/>
          <w:rFonts w:ascii="Garamond" w:hAnsi="Garamond"/>
          <w:color w:val="000000"/>
          <w:sz w:val="26"/>
          <w:szCs w:val="26"/>
        </w:rPr>
        <w:footnoteReference w:id="18"/>
      </w:r>
      <w:r w:rsidR="00597D97">
        <w:rPr>
          <w:rFonts w:ascii="Garamond" w:eastAsia="Arial" w:hAnsi="Garamond" w:cs="Arial"/>
          <w:color w:val="000000"/>
          <w:sz w:val="26"/>
          <w:szCs w:val="26"/>
        </w:rPr>
        <w:t>.</w:t>
      </w:r>
    </w:p>
    <w:p w:rsidR="00AC1EC9" w:rsidRDefault="00AC1EC9"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La ragione è presto detta: </w:t>
      </w:r>
      <w:r>
        <w:rPr>
          <w:rFonts w:ascii="Garamond" w:eastAsia="Arial" w:hAnsi="Garamond" w:cs="Arial"/>
          <w:i/>
          <w:color w:val="000000"/>
          <w:sz w:val="26"/>
          <w:szCs w:val="26"/>
        </w:rPr>
        <w:t>&lt;&lt; 9.3. Infatti, l’importanza dei menziona</w:t>
      </w:r>
      <w:r w:rsidR="001D4901">
        <w:rPr>
          <w:rFonts w:ascii="Garamond" w:eastAsia="Arial" w:hAnsi="Garamond" w:cs="Arial"/>
          <w:i/>
          <w:color w:val="000000"/>
          <w:sz w:val="26"/>
          <w:szCs w:val="26"/>
        </w:rPr>
        <w:t>t</w:t>
      </w:r>
      <w:r>
        <w:rPr>
          <w:rFonts w:ascii="Garamond" w:eastAsia="Arial" w:hAnsi="Garamond" w:cs="Arial"/>
          <w:i/>
          <w:color w:val="000000"/>
          <w:sz w:val="26"/>
          <w:szCs w:val="26"/>
        </w:rPr>
        <w:t>i parametri di calcolo consegue alla circostanza che tramite essi si può realizzare la funzione di gestione del rischio finanziario, con la particolarità che il parametro scelto assume alla scadenza l’effetto di una molteplicità di variabili. &gt;&gt;</w:t>
      </w:r>
      <w:r>
        <w:rPr>
          <w:rFonts w:ascii="Garamond" w:eastAsia="Arial" w:hAnsi="Garamond" w:cs="Arial"/>
          <w:color w:val="000000"/>
          <w:sz w:val="26"/>
          <w:szCs w:val="26"/>
        </w:rPr>
        <w:t>.</w:t>
      </w:r>
    </w:p>
    <w:p w:rsidR="00AC1EC9" w:rsidRDefault="00AC1EC9"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In altri termini, non può esservi </w:t>
      </w:r>
      <w:r w:rsidR="00715C81">
        <w:rPr>
          <w:rFonts w:ascii="Garamond" w:eastAsia="Arial" w:hAnsi="Garamond" w:cs="Arial"/>
          <w:color w:val="000000"/>
          <w:sz w:val="26"/>
          <w:szCs w:val="26"/>
        </w:rPr>
        <w:t xml:space="preserve">neppure </w:t>
      </w:r>
      <w:r w:rsidR="001D4901">
        <w:rPr>
          <w:rFonts w:ascii="Garamond" w:eastAsia="Arial" w:hAnsi="Garamond" w:cs="Arial"/>
          <w:color w:val="000000"/>
          <w:sz w:val="26"/>
          <w:szCs w:val="26"/>
        </w:rPr>
        <w:t xml:space="preserve">la possibilità di una corretta gestione </w:t>
      </w:r>
      <w:r>
        <w:rPr>
          <w:rFonts w:ascii="Garamond" w:eastAsia="Arial" w:hAnsi="Garamond" w:cs="Arial"/>
          <w:color w:val="000000"/>
          <w:sz w:val="26"/>
          <w:szCs w:val="26"/>
        </w:rPr>
        <w:t>del rischio finanziario senza un’adeguata rappresentazione nel “derivato” dell’alea contrattuale, perché solo così l’operazione può dirsi una “scommessa razionale”.</w:t>
      </w:r>
    </w:p>
    <w:p w:rsidR="001D4901" w:rsidRDefault="00715C81"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Come detto, il principio affermato dalla S.C. trascende la questione dei “derivati” pubblici, riguardando anche quelli stipulati da privati, anche perché connessa con gli obblighi informativi imposti all’intermediario finanziario dal TUIF.</w:t>
      </w:r>
    </w:p>
    <w:p w:rsidR="00E86D51" w:rsidRPr="00E86D51" w:rsidRDefault="00715C81" w:rsidP="00E86D51">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Ma, per </w:t>
      </w:r>
      <w:r w:rsidR="00E86D51">
        <w:rPr>
          <w:rFonts w:ascii="Garamond" w:eastAsia="Arial" w:hAnsi="Garamond" w:cs="Arial"/>
          <w:color w:val="000000"/>
          <w:sz w:val="26"/>
          <w:szCs w:val="26"/>
        </w:rPr>
        <w:t xml:space="preserve">quanto </w:t>
      </w:r>
      <w:r>
        <w:rPr>
          <w:rFonts w:ascii="Garamond" w:eastAsia="Arial" w:hAnsi="Garamond" w:cs="Arial"/>
          <w:color w:val="000000"/>
          <w:sz w:val="26"/>
          <w:szCs w:val="26"/>
        </w:rPr>
        <w:t xml:space="preserve">qui interessa, </w:t>
      </w:r>
      <w:r w:rsidR="00E86D51">
        <w:rPr>
          <w:rFonts w:ascii="Garamond" w:eastAsia="Arial" w:hAnsi="Garamond" w:cs="Arial"/>
          <w:color w:val="000000"/>
          <w:sz w:val="26"/>
          <w:szCs w:val="26"/>
        </w:rPr>
        <w:t xml:space="preserve">esso vale, a maggior ragione, per i “derivati” degli Enti pubblici, per i quali la finalità di copertura del rischio finanziario può dirsi in concreto sussistere </w:t>
      </w:r>
      <w:r w:rsidR="00E86D51">
        <w:rPr>
          <w:rFonts w:ascii="Garamond" w:eastAsia="Arial" w:hAnsi="Garamond" w:cs="Arial"/>
          <w:i/>
          <w:color w:val="000000"/>
          <w:sz w:val="26"/>
          <w:szCs w:val="26"/>
        </w:rPr>
        <w:t xml:space="preserve">&lt;&lt; .. solo in presenza di una precisa misurabilità/determinazione dell’oggetto contrattuale, comprensiva sia del criterio del mark to market sia degli scenari probabilistici, sia dei cd. costi occulti, allo scopo di ridurre al minimo e di rendere consapevole l’ente di ogni aspetto di aleatorietà del rapporto .. &gt;&gt; </w:t>
      </w:r>
      <w:r w:rsidR="00E86D51">
        <w:rPr>
          <w:rFonts w:ascii="Garamond" w:eastAsia="Arial" w:hAnsi="Garamond" w:cs="Arial"/>
          <w:color w:val="000000"/>
          <w:sz w:val="26"/>
          <w:szCs w:val="26"/>
        </w:rPr>
        <w:t>(punto 9.8. della sentenza).</w:t>
      </w:r>
    </w:p>
    <w:p w:rsidR="00715C81" w:rsidRDefault="00E86D51" w:rsidP="001E70BF">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Tanto è bastato alla S.C. per confermare la nullità dei contratti stipulati dal Comune.</w:t>
      </w:r>
    </w:p>
    <w:p w:rsidR="00CC0FF5" w:rsidRPr="00AC1EC9" w:rsidRDefault="00CC0FF5" w:rsidP="00CC0FF5">
      <w:pPr>
        <w:spacing w:line="360" w:lineRule="auto"/>
        <w:ind w:left="567" w:right="567"/>
        <w:jc w:val="both"/>
        <w:rPr>
          <w:rFonts w:ascii="Garamond" w:eastAsia="Arial" w:hAnsi="Garamond" w:cs="Arial"/>
          <w:color w:val="000000"/>
          <w:sz w:val="26"/>
          <w:szCs w:val="26"/>
        </w:rPr>
      </w:pPr>
      <w:r>
        <w:rPr>
          <w:rFonts w:ascii="Garamond" w:hAnsi="Garamond" w:cs="Times New Roman"/>
          <w:b/>
          <w:color w:val="000000" w:themeColor="text1"/>
          <w:sz w:val="26"/>
          <w:szCs w:val="26"/>
        </w:rPr>
        <w:t>5.1. Il collegamento negoziale tra i “derivati” ed i rapporti debitori sottostanti.</w:t>
      </w:r>
    </w:p>
    <w:p w:rsidR="00597D97" w:rsidRDefault="00E86D51" w:rsidP="004B05C9">
      <w:pPr>
        <w:spacing w:line="360" w:lineRule="auto"/>
        <w:ind w:left="567" w:right="567" w:firstLine="142"/>
        <w:jc w:val="both"/>
        <w:rPr>
          <w:rFonts w:ascii="Garamond" w:eastAsia="Arial" w:hAnsi="Garamond" w:cs="Arial"/>
          <w:color w:val="000000"/>
          <w:sz w:val="26"/>
          <w:szCs w:val="26"/>
        </w:rPr>
      </w:pPr>
      <w:r>
        <w:rPr>
          <w:rFonts w:ascii="Garamond" w:eastAsia="Arial" w:hAnsi="Garamond" w:cs="Arial"/>
          <w:color w:val="000000"/>
          <w:sz w:val="26"/>
          <w:szCs w:val="26"/>
        </w:rPr>
        <w:t xml:space="preserve">La tematica dei </w:t>
      </w:r>
      <w:r w:rsidR="004B05C9">
        <w:rPr>
          <w:rFonts w:ascii="Garamond" w:eastAsia="Arial" w:hAnsi="Garamond" w:cs="Arial"/>
          <w:color w:val="000000"/>
          <w:sz w:val="26"/>
          <w:szCs w:val="26"/>
        </w:rPr>
        <w:t>requisiti di determinazione</w:t>
      </w:r>
      <w:r w:rsidR="00AE1168">
        <w:rPr>
          <w:rFonts w:ascii="Garamond" w:eastAsia="Arial" w:hAnsi="Garamond" w:cs="Arial"/>
          <w:color w:val="000000"/>
          <w:sz w:val="26"/>
          <w:szCs w:val="26"/>
        </w:rPr>
        <w:t xml:space="preserve"> / </w:t>
      </w:r>
      <w:r>
        <w:rPr>
          <w:rFonts w:ascii="Garamond" w:eastAsia="Arial" w:hAnsi="Garamond" w:cs="Arial"/>
          <w:color w:val="000000"/>
          <w:sz w:val="26"/>
          <w:szCs w:val="26"/>
        </w:rPr>
        <w:t>determinabilità dell’oggetto dei contratti “derivati”</w:t>
      </w:r>
      <w:r w:rsidR="004B05C9">
        <w:rPr>
          <w:rFonts w:ascii="Garamond" w:eastAsia="Arial" w:hAnsi="Garamond" w:cs="Arial"/>
          <w:color w:val="000000"/>
          <w:sz w:val="26"/>
          <w:szCs w:val="26"/>
        </w:rPr>
        <w:t xml:space="preserve"> </w:t>
      </w:r>
      <w:r w:rsidR="00AE1168">
        <w:rPr>
          <w:rFonts w:ascii="Garamond" w:eastAsia="Arial" w:hAnsi="Garamond" w:cs="Arial"/>
          <w:color w:val="000000"/>
          <w:sz w:val="26"/>
          <w:szCs w:val="26"/>
        </w:rPr>
        <w:t xml:space="preserve">pubblici </w:t>
      </w:r>
      <w:r>
        <w:rPr>
          <w:rFonts w:ascii="Garamond" w:eastAsia="Arial" w:hAnsi="Garamond" w:cs="Arial"/>
          <w:color w:val="000000"/>
          <w:sz w:val="26"/>
          <w:szCs w:val="26"/>
        </w:rPr>
        <w:t>involge anche un’ulteriore questione</w:t>
      </w:r>
      <w:r w:rsidR="00AE1168">
        <w:rPr>
          <w:rFonts w:ascii="Garamond" w:eastAsia="Arial" w:hAnsi="Garamond" w:cs="Arial"/>
          <w:color w:val="000000"/>
          <w:sz w:val="26"/>
          <w:szCs w:val="26"/>
        </w:rPr>
        <w:t>, sulla quale</w:t>
      </w:r>
      <w:r w:rsidR="004B05C9">
        <w:rPr>
          <w:rFonts w:ascii="Garamond" w:eastAsia="Arial" w:hAnsi="Garamond" w:cs="Arial"/>
          <w:color w:val="000000"/>
          <w:sz w:val="26"/>
          <w:szCs w:val="26"/>
        </w:rPr>
        <w:t xml:space="preserve"> le Sezioni Unite hanno ritenuto di </w:t>
      </w:r>
      <w:r w:rsidR="00AE1168">
        <w:rPr>
          <w:rFonts w:ascii="Garamond" w:eastAsia="Arial" w:hAnsi="Garamond" w:cs="Arial"/>
          <w:color w:val="000000"/>
          <w:sz w:val="26"/>
          <w:szCs w:val="26"/>
        </w:rPr>
        <w:t>non soffermarsi, ritenendola probabilmente assorbita</w:t>
      </w:r>
      <w:r w:rsidR="004B05C9">
        <w:rPr>
          <w:rFonts w:ascii="Garamond" w:eastAsia="Arial" w:hAnsi="Garamond" w:cs="Arial"/>
          <w:color w:val="000000"/>
          <w:sz w:val="26"/>
          <w:szCs w:val="26"/>
        </w:rPr>
        <w:t xml:space="preserve"> dai restanti punti della decisione</w:t>
      </w:r>
      <w:r w:rsidR="00AE1168">
        <w:rPr>
          <w:rFonts w:ascii="Garamond" w:eastAsia="Arial" w:hAnsi="Garamond" w:cs="Arial"/>
          <w:color w:val="000000"/>
          <w:sz w:val="26"/>
          <w:szCs w:val="26"/>
        </w:rPr>
        <w:t xml:space="preserve"> </w:t>
      </w:r>
      <w:r w:rsidR="00AE1168" w:rsidRPr="00483623">
        <w:rPr>
          <w:rStyle w:val="Rimandonotaapidipagina"/>
          <w:rFonts w:ascii="Garamond" w:hAnsi="Garamond"/>
          <w:color w:val="000000"/>
          <w:sz w:val="26"/>
          <w:szCs w:val="26"/>
        </w:rPr>
        <w:footnoteReference w:id="19"/>
      </w:r>
      <w:r w:rsidR="004B05C9">
        <w:rPr>
          <w:rFonts w:ascii="Garamond" w:eastAsia="Arial" w:hAnsi="Garamond" w:cs="Arial"/>
          <w:color w:val="000000"/>
          <w:sz w:val="26"/>
          <w:szCs w:val="26"/>
        </w:rPr>
        <w:t>.</w:t>
      </w:r>
    </w:p>
    <w:p w:rsidR="004B05C9" w:rsidRPr="004B05C9" w:rsidRDefault="00AE1168" w:rsidP="00AE1168">
      <w:pPr>
        <w:spacing w:line="360" w:lineRule="auto"/>
        <w:ind w:left="567" w:right="567" w:firstLine="141"/>
        <w:jc w:val="both"/>
        <w:rPr>
          <w:rFonts w:ascii="Garamond" w:eastAsia="Lucida Sans Unicode" w:hAnsi="Garamond" w:cs="Arial"/>
          <w:color w:val="000000"/>
          <w:sz w:val="26"/>
          <w:szCs w:val="26"/>
        </w:rPr>
      </w:pPr>
      <w:r>
        <w:rPr>
          <w:rFonts w:ascii="Garamond" w:eastAsia="Arial" w:hAnsi="Garamond" w:cs="Arial"/>
          <w:color w:val="000000"/>
          <w:sz w:val="26"/>
          <w:szCs w:val="26"/>
        </w:rPr>
        <w:t>Essa concerne i</w:t>
      </w:r>
      <w:r w:rsidR="004B05C9" w:rsidRPr="004B05C9">
        <w:rPr>
          <w:rFonts w:ascii="Garamond" w:eastAsia="Lucida Sans Unicode" w:hAnsi="Garamond" w:cs="Arial"/>
          <w:color w:val="000000"/>
          <w:sz w:val="26"/>
          <w:szCs w:val="26"/>
        </w:rPr>
        <w:t xml:space="preserve">l rapporto </w:t>
      </w:r>
      <w:r w:rsidR="00AB2954">
        <w:rPr>
          <w:rFonts w:ascii="Garamond" w:eastAsia="Lucida Sans Unicode" w:hAnsi="Garamond" w:cs="Arial"/>
          <w:color w:val="000000"/>
          <w:sz w:val="26"/>
          <w:szCs w:val="26"/>
        </w:rPr>
        <w:t xml:space="preserve">tra il “derivato” ed </w:t>
      </w:r>
      <w:r w:rsidR="004B05C9" w:rsidRPr="004B05C9">
        <w:rPr>
          <w:rFonts w:ascii="Garamond" w:eastAsia="Lucida Sans Unicode" w:hAnsi="Garamond" w:cs="Arial"/>
          <w:color w:val="000000"/>
          <w:sz w:val="26"/>
          <w:szCs w:val="26"/>
        </w:rPr>
        <w:t>i rapporti debitori sottostanti.</w:t>
      </w:r>
    </w:p>
    <w:p w:rsidR="004B05C9" w:rsidRDefault="00AE1168" w:rsidP="004B05C9">
      <w:pPr>
        <w:spacing w:line="360" w:lineRule="auto"/>
        <w:ind w:left="567" w:right="567"/>
        <w:jc w:val="both"/>
        <w:rPr>
          <w:rFonts w:ascii="Garamond" w:eastAsia="Lucida Sans Unicode" w:hAnsi="Garamond" w:cs="Arial"/>
          <w:color w:val="000000"/>
          <w:sz w:val="26"/>
          <w:szCs w:val="26"/>
        </w:rPr>
      </w:pPr>
      <w:r>
        <w:rPr>
          <w:rFonts w:ascii="Garamond" w:eastAsia="Lucida Sans Unicode" w:hAnsi="Garamond" w:cs="Arial"/>
          <w:color w:val="000000"/>
          <w:sz w:val="26"/>
          <w:szCs w:val="26"/>
        </w:rPr>
        <w:tab/>
        <w:t xml:space="preserve">Sono, invero, assai diffusi nella prassi </w:t>
      </w:r>
      <w:r w:rsidR="00CC0FF5">
        <w:rPr>
          <w:rFonts w:ascii="Garamond" w:eastAsia="Lucida Sans Unicode" w:hAnsi="Garamond" w:cs="Arial"/>
          <w:color w:val="000000"/>
          <w:sz w:val="26"/>
          <w:szCs w:val="26"/>
        </w:rPr>
        <w:t>contrattuale modelli</w:t>
      </w:r>
      <w:r w:rsidR="00EF475A">
        <w:rPr>
          <w:rFonts w:ascii="Garamond" w:eastAsia="Lucida Sans Unicode" w:hAnsi="Garamond" w:cs="Arial"/>
          <w:color w:val="000000"/>
          <w:sz w:val="26"/>
          <w:szCs w:val="26"/>
        </w:rPr>
        <w:t xml:space="preserve"> </w:t>
      </w:r>
      <w:r>
        <w:rPr>
          <w:rFonts w:ascii="Garamond" w:eastAsia="Lucida Sans Unicode" w:hAnsi="Garamond" w:cs="Arial"/>
          <w:color w:val="000000"/>
          <w:sz w:val="26"/>
          <w:szCs w:val="26"/>
        </w:rPr>
        <w:t xml:space="preserve">che richiamano soltanto genericamente i rapporti debitori sottostanti (swappati), limitandosi </w:t>
      </w:r>
      <w:r w:rsidR="004B05C9" w:rsidRPr="004B05C9">
        <w:rPr>
          <w:rFonts w:ascii="Garamond" w:eastAsia="Lucida Sans Unicode" w:hAnsi="Garamond" w:cs="Arial"/>
          <w:color w:val="000000"/>
          <w:sz w:val="26"/>
          <w:szCs w:val="26"/>
        </w:rPr>
        <w:t xml:space="preserve">ad indicare il "capitale nozionale" </w:t>
      </w:r>
      <w:r w:rsidR="004B05C9" w:rsidRPr="004B05C9">
        <w:rPr>
          <w:rStyle w:val="Rimandonotaapidipagina"/>
          <w:rFonts w:ascii="Garamond" w:eastAsia="Lucida Sans Unicode" w:hAnsi="Garamond" w:cs="Arial"/>
          <w:color w:val="000000"/>
          <w:sz w:val="26"/>
          <w:szCs w:val="26"/>
        </w:rPr>
        <w:footnoteReference w:id="20"/>
      </w:r>
      <w:r w:rsidR="004B05C9" w:rsidRPr="004B05C9">
        <w:rPr>
          <w:rFonts w:ascii="Garamond" w:eastAsia="Lucida Sans Unicode" w:hAnsi="Garamond" w:cs="Arial"/>
          <w:color w:val="000000"/>
          <w:sz w:val="26"/>
          <w:szCs w:val="26"/>
        </w:rPr>
        <w:t>.</w:t>
      </w:r>
    </w:p>
    <w:p w:rsidR="00D03E48" w:rsidRDefault="00D03E48" w:rsidP="00D03E48">
      <w:pPr>
        <w:spacing w:line="360" w:lineRule="auto"/>
        <w:ind w:left="567" w:right="567"/>
        <w:jc w:val="both"/>
        <w:rPr>
          <w:rFonts w:ascii="Garamond" w:eastAsia="Lucida Sans Unicode" w:hAnsi="Garamond" w:cs="Arial"/>
          <w:color w:val="000000"/>
          <w:sz w:val="26"/>
          <w:szCs w:val="26"/>
        </w:rPr>
      </w:pPr>
      <w:r>
        <w:rPr>
          <w:rFonts w:ascii="Garamond" w:eastAsia="Lucida Sans Unicode" w:hAnsi="Garamond" w:cs="Arial"/>
          <w:color w:val="000000"/>
          <w:sz w:val="26"/>
          <w:szCs w:val="26"/>
        </w:rPr>
        <w:tab/>
        <w:t>Ma se i “derivati” pubblici possono essere unicamente “derivati” di copertura, è ragionevole chiedersi se i rapporti debitori sottostanti non debbano essere anal</w:t>
      </w:r>
      <w:r w:rsidR="00B37389">
        <w:rPr>
          <w:rFonts w:ascii="Garamond" w:eastAsia="Lucida Sans Unicode" w:hAnsi="Garamond" w:cs="Arial"/>
          <w:color w:val="000000"/>
          <w:sz w:val="26"/>
          <w:szCs w:val="26"/>
        </w:rPr>
        <w:t>iticamente indicati dalle parti ed</w:t>
      </w:r>
      <w:r>
        <w:rPr>
          <w:rFonts w:ascii="Garamond" w:eastAsia="Lucida Sans Unicode" w:hAnsi="Garamond" w:cs="Arial"/>
          <w:color w:val="000000"/>
          <w:sz w:val="26"/>
          <w:szCs w:val="26"/>
        </w:rPr>
        <w:t xml:space="preserve"> </w:t>
      </w:r>
      <w:r w:rsidR="00B37389">
        <w:rPr>
          <w:rFonts w:ascii="Garamond" w:eastAsia="Lucida Sans Unicode" w:hAnsi="Garamond" w:cs="Arial"/>
          <w:color w:val="000000"/>
          <w:sz w:val="26"/>
          <w:szCs w:val="26"/>
        </w:rPr>
        <w:t>entrare</w:t>
      </w:r>
      <w:r>
        <w:rPr>
          <w:rFonts w:ascii="Garamond" w:eastAsia="Lucida Sans Unicode" w:hAnsi="Garamond" w:cs="Arial"/>
          <w:color w:val="000000"/>
          <w:sz w:val="26"/>
          <w:szCs w:val="26"/>
        </w:rPr>
        <w:t xml:space="preserve"> a p</w:t>
      </w:r>
      <w:r w:rsidR="00B37389">
        <w:rPr>
          <w:rFonts w:ascii="Garamond" w:eastAsia="Lucida Sans Unicode" w:hAnsi="Garamond" w:cs="Arial"/>
          <w:color w:val="000000"/>
          <w:sz w:val="26"/>
          <w:szCs w:val="26"/>
        </w:rPr>
        <w:t>ieno titolo nell’”oggetto” del contratto</w:t>
      </w:r>
      <w:r>
        <w:rPr>
          <w:rFonts w:ascii="Garamond" w:eastAsia="Lucida Sans Unicode" w:hAnsi="Garamond" w:cs="Arial"/>
          <w:color w:val="000000"/>
          <w:sz w:val="26"/>
          <w:szCs w:val="26"/>
        </w:rPr>
        <w:t>.</w:t>
      </w:r>
    </w:p>
    <w:p w:rsidR="008808D0" w:rsidRDefault="00D03E48" w:rsidP="008808D0">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Invero, </w:t>
      </w:r>
      <w:r w:rsidRPr="004B05C9">
        <w:rPr>
          <w:rFonts w:ascii="Garamond" w:hAnsi="Garamond" w:cs="Arial"/>
          <w:color w:val="000000"/>
          <w:sz w:val="26"/>
          <w:szCs w:val="26"/>
        </w:rPr>
        <w:t xml:space="preserve">il </w:t>
      </w:r>
      <w:r w:rsidR="00EF475A">
        <w:rPr>
          <w:rFonts w:ascii="Garamond" w:hAnsi="Garamond" w:cs="Arial"/>
          <w:color w:val="000000"/>
          <w:sz w:val="26"/>
          <w:szCs w:val="26"/>
        </w:rPr>
        <w:t>“</w:t>
      </w:r>
      <w:r w:rsidRPr="004B05C9">
        <w:rPr>
          <w:rFonts w:ascii="Garamond" w:hAnsi="Garamond" w:cs="Arial"/>
          <w:color w:val="000000"/>
          <w:sz w:val="26"/>
          <w:szCs w:val="26"/>
        </w:rPr>
        <w:t>collegamento negoziale</w:t>
      </w:r>
      <w:r w:rsidR="00EF475A">
        <w:rPr>
          <w:rFonts w:ascii="Garamond" w:hAnsi="Garamond" w:cs="Arial"/>
          <w:color w:val="000000"/>
          <w:sz w:val="26"/>
          <w:szCs w:val="26"/>
        </w:rPr>
        <w:t>”</w:t>
      </w:r>
      <w:r w:rsidRPr="004B05C9">
        <w:rPr>
          <w:rFonts w:ascii="Garamond" w:hAnsi="Garamond" w:cs="Arial"/>
          <w:color w:val="000000"/>
          <w:sz w:val="26"/>
          <w:szCs w:val="26"/>
        </w:rPr>
        <w:t xml:space="preserve"> </w:t>
      </w:r>
      <w:r w:rsidR="008808D0">
        <w:rPr>
          <w:rFonts w:ascii="Garamond" w:hAnsi="Garamond" w:cs="Arial"/>
          <w:color w:val="000000"/>
          <w:sz w:val="26"/>
          <w:szCs w:val="26"/>
        </w:rPr>
        <w:t xml:space="preserve">del “derivato” </w:t>
      </w:r>
      <w:r w:rsidRPr="004B05C9">
        <w:rPr>
          <w:rFonts w:ascii="Garamond" w:hAnsi="Garamond" w:cs="Arial"/>
          <w:color w:val="000000"/>
          <w:sz w:val="26"/>
          <w:szCs w:val="26"/>
        </w:rPr>
        <w:t xml:space="preserve">con i rapporti debitori sottostanti </w:t>
      </w:r>
      <w:r w:rsidR="00EF475A">
        <w:rPr>
          <w:rFonts w:ascii="Garamond" w:hAnsi="Garamond" w:cs="Arial"/>
          <w:color w:val="000000"/>
          <w:sz w:val="26"/>
          <w:szCs w:val="26"/>
        </w:rPr>
        <w:t>è</w:t>
      </w:r>
      <w:r w:rsidR="008808D0">
        <w:rPr>
          <w:rFonts w:ascii="Garamond" w:hAnsi="Garamond" w:cs="Arial"/>
          <w:color w:val="000000"/>
          <w:sz w:val="26"/>
          <w:szCs w:val="26"/>
        </w:rPr>
        <w:t xml:space="preserve">, a ben vedere, </w:t>
      </w:r>
      <w:r w:rsidR="00EF475A">
        <w:rPr>
          <w:rFonts w:ascii="Garamond" w:hAnsi="Garamond" w:cs="Arial"/>
          <w:color w:val="000000"/>
          <w:sz w:val="26"/>
          <w:szCs w:val="26"/>
        </w:rPr>
        <w:t xml:space="preserve">affermato </w:t>
      </w:r>
      <w:r w:rsidR="008808D0">
        <w:rPr>
          <w:rFonts w:ascii="Garamond" w:hAnsi="Garamond" w:cs="Arial"/>
          <w:color w:val="000000"/>
          <w:sz w:val="26"/>
          <w:szCs w:val="26"/>
        </w:rPr>
        <w:t>già dall'art. 41 della l</w:t>
      </w:r>
      <w:r w:rsidR="008808D0" w:rsidRPr="004B05C9">
        <w:rPr>
          <w:rFonts w:ascii="Garamond" w:hAnsi="Garamond" w:cs="Arial"/>
          <w:color w:val="000000"/>
          <w:sz w:val="26"/>
          <w:szCs w:val="26"/>
        </w:rPr>
        <w:t xml:space="preserve">egge </w:t>
      </w:r>
      <w:r w:rsidR="008808D0">
        <w:rPr>
          <w:rFonts w:ascii="Garamond" w:hAnsi="Garamond" w:cs="Arial"/>
          <w:color w:val="000000"/>
          <w:sz w:val="26"/>
          <w:szCs w:val="26"/>
        </w:rPr>
        <w:t xml:space="preserve">n. 448 del 2001 ed ha comunque </w:t>
      </w:r>
      <w:r w:rsidR="008808D0" w:rsidRPr="004B05C9">
        <w:rPr>
          <w:rFonts w:ascii="Garamond" w:hAnsi="Garamond" w:cs="Arial"/>
          <w:color w:val="000000"/>
          <w:sz w:val="26"/>
          <w:szCs w:val="26"/>
        </w:rPr>
        <w:t>trovato ulteriore esplicitazi</w:t>
      </w:r>
      <w:r w:rsidR="008808D0">
        <w:rPr>
          <w:rFonts w:ascii="Garamond" w:hAnsi="Garamond" w:cs="Arial"/>
          <w:color w:val="000000"/>
          <w:sz w:val="26"/>
          <w:szCs w:val="26"/>
        </w:rPr>
        <w:t>one con l'art. 3, comma 3, del d.m</w:t>
      </w:r>
      <w:r w:rsidR="008808D0" w:rsidRPr="004B05C9">
        <w:rPr>
          <w:rFonts w:ascii="Garamond" w:hAnsi="Garamond" w:cs="Arial"/>
          <w:color w:val="000000"/>
          <w:sz w:val="26"/>
          <w:szCs w:val="26"/>
        </w:rPr>
        <w:t xml:space="preserve">. </w:t>
      </w:r>
      <w:r w:rsidR="008808D0">
        <w:rPr>
          <w:rFonts w:ascii="Garamond" w:hAnsi="Garamond" w:cs="Arial"/>
          <w:color w:val="000000"/>
          <w:sz w:val="26"/>
          <w:szCs w:val="26"/>
        </w:rPr>
        <w:t xml:space="preserve">n. 389 del </w:t>
      </w:r>
      <w:r w:rsidR="008808D0" w:rsidRPr="004B05C9">
        <w:rPr>
          <w:rFonts w:ascii="Garamond" w:hAnsi="Garamond" w:cs="Arial"/>
          <w:color w:val="000000"/>
          <w:sz w:val="26"/>
          <w:szCs w:val="26"/>
        </w:rPr>
        <w:t>2003</w:t>
      </w:r>
      <w:r w:rsidR="008808D0">
        <w:rPr>
          <w:rFonts w:ascii="Garamond" w:hAnsi="Garamond" w:cs="Arial"/>
          <w:color w:val="000000"/>
          <w:sz w:val="26"/>
          <w:szCs w:val="26"/>
        </w:rPr>
        <w:t xml:space="preserve">, nella parte in cui </w:t>
      </w:r>
      <w:r w:rsidR="008808D0" w:rsidRPr="004B05C9">
        <w:rPr>
          <w:rFonts w:ascii="Garamond" w:hAnsi="Garamond" w:cs="Arial"/>
          <w:color w:val="000000"/>
          <w:sz w:val="26"/>
          <w:szCs w:val="26"/>
        </w:rPr>
        <w:t xml:space="preserve">ha </w:t>
      </w:r>
      <w:r w:rsidR="00AB2954">
        <w:rPr>
          <w:rFonts w:ascii="Garamond" w:hAnsi="Garamond" w:cs="Arial"/>
          <w:color w:val="000000"/>
          <w:sz w:val="26"/>
          <w:szCs w:val="26"/>
        </w:rPr>
        <w:t xml:space="preserve">precisato </w:t>
      </w:r>
      <w:r w:rsidR="008808D0" w:rsidRPr="004B05C9">
        <w:rPr>
          <w:rFonts w:ascii="Garamond" w:hAnsi="Garamond" w:cs="Arial"/>
          <w:color w:val="000000"/>
          <w:sz w:val="26"/>
          <w:szCs w:val="26"/>
        </w:rPr>
        <w:t xml:space="preserve">che </w:t>
      </w:r>
      <w:r w:rsidR="008808D0" w:rsidRPr="004B05C9">
        <w:rPr>
          <w:rFonts w:ascii="Garamond" w:hAnsi="Garamond" w:cs="Arial"/>
          <w:i/>
          <w:iCs/>
          <w:color w:val="000000"/>
          <w:sz w:val="26"/>
          <w:szCs w:val="26"/>
        </w:rPr>
        <w:t>"Le operazioni derivate sopra menzionate sono consentite esclusivamente in corrispondenza di passività effettivamente dovute ..."</w:t>
      </w:r>
      <w:r w:rsidR="008808D0">
        <w:rPr>
          <w:rFonts w:ascii="Garamond" w:hAnsi="Garamond" w:cs="Arial"/>
          <w:color w:val="000000"/>
          <w:sz w:val="26"/>
          <w:szCs w:val="26"/>
        </w:rPr>
        <w:t>, chiarendo</w:t>
      </w:r>
      <w:r w:rsidR="008808D0" w:rsidRPr="004B05C9">
        <w:rPr>
          <w:rFonts w:ascii="Garamond" w:hAnsi="Garamond" w:cs="Arial"/>
          <w:color w:val="000000"/>
          <w:sz w:val="26"/>
          <w:szCs w:val="26"/>
        </w:rPr>
        <w:t xml:space="preserve"> </w:t>
      </w:r>
      <w:r w:rsidR="008808D0">
        <w:rPr>
          <w:rFonts w:ascii="Garamond" w:hAnsi="Garamond" w:cs="Arial"/>
          <w:color w:val="000000"/>
          <w:sz w:val="26"/>
          <w:szCs w:val="26"/>
        </w:rPr>
        <w:t xml:space="preserve">altresì </w:t>
      </w:r>
      <w:r w:rsidR="008808D0" w:rsidRPr="004B05C9">
        <w:rPr>
          <w:rFonts w:ascii="Garamond" w:hAnsi="Garamond" w:cs="Arial"/>
          <w:color w:val="000000"/>
          <w:sz w:val="26"/>
          <w:szCs w:val="26"/>
        </w:rPr>
        <w:t xml:space="preserve">che le </w:t>
      </w:r>
      <w:r w:rsidR="008808D0" w:rsidRPr="004B05C9">
        <w:rPr>
          <w:rFonts w:ascii="Garamond" w:hAnsi="Garamond" w:cs="Arial"/>
          <w:i/>
          <w:iCs/>
          <w:color w:val="000000"/>
          <w:sz w:val="26"/>
          <w:szCs w:val="26"/>
        </w:rPr>
        <w:t xml:space="preserve">"altre operazioni derivate finalizzate alla ristrutturazione del debito" </w:t>
      </w:r>
      <w:r w:rsidR="008808D0" w:rsidRPr="004B05C9">
        <w:rPr>
          <w:rFonts w:ascii="Garamond" w:hAnsi="Garamond" w:cs="Arial"/>
          <w:color w:val="000000"/>
          <w:sz w:val="26"/>
          <w:szCs w:val="26"/>
        </w:rPr>
        <w:t xml:space="preserve">sono consentite </w:t>
      </w:r>
      <w:r w:rsidR="008808D0" w:rsidRPr="004B05C9">
        <w:rPr>
          <w:rFonts w:ascii="Garamond" w:hAnsi="Garamond" w:cs="Arial"/>
          <w:i/>
          <w:iCs/>
          <w:color w:val="000000"/>
          <w:sz w:val="26"/>
          <w:szCs w:val="26"/>
        </w:rPr>
        <w:t>"solo qualora non prevedano una scadenza posteriore a quella associata alla sottostante passività"</w:t>
      </w:r>
      <w:r w:rsidR="008808D0">
        <w:rPr>
          <w:rFonts w:ascii="Garamond" w:hAnsi="Garamond" w:cs="Arial"/>
          <w:color w:val="000000"/>
          <w:sz w:val="26"/>
          <w:szCs w:val="26"/>
        </w:rPr>
        <w:t xml:space="preserve"> </w:t>
      </w:r>
      <w:r w:rsidR="008808D0" w:rsidRPr="004B05C9">
        <w:rPr>
          <w:rStyle w:val="Rimandonotaapidipagina"/>
          <w:rFonts w:ascii="Garamond" w:eastAsia="Lucida Sans Unicode" w:hAnsi="Garamond" w:cs="Arial"/>
          <w:color w:val="000000"/>
          <w:sz w:val="26"/>
          <w:szCs w:val="26"/>
        </w:rPr>
        <w:footnoteReference w:id="21"/>
      </w:r>
      <w:r w:rsidR="008808D0">
        <w:rPr>
          <w:rFonts w:ascii="Garamond" w:hAnsi="Garamond" w:cs="Arial"/>
          <w:color w:val="000000"/>
          <w:sz w:val="26"/>
          <w:szCs w:val="26"/>
        </w:rPr>
        <w:t>.</w:t>
      </w:r>
    </w:p>
    <w:p w:rsidR="00EF475A" w:rsidRPr="00EF475A" w:rsidRDefault="00EF475A" w:rsidP="008808D0">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Pur non soffermandosi sul punto, anche le Sezioni Unite riconoscono la sussistenza di un </w:t>
      </w:r>
      <w:r>
        <w:rPr>
          <w:rFonts w:ascii="Garamond" w:hAnsi="Garamond" w:cs="Arial"/>
          <w:i/>
          <w:color w:val="000000"/>
          <w:sz w:val="26"/>
          <w:szCs w:val="26"/>
        </w:rPr>
        <w:t xml:space="preserve">&lt;&lt; collegamento negoziale ex lege &gt;&gt; </w:t>
      </w:r>
      <w:r>
        <w:rPr>
          <w:rFonts w:ascii="Garamond" w:hAnsi="Garamond" w:cs="Arial"/>
          <w:color w:val="000000"/>
          <w:sz w:val="26"/>
          <w:szCs w:val="26"/>
        </w:rPr>
        <w:t>tra il “derivato” ed i rapporti debitori sottostanti (punto 10.4.2. della sentenza)</w:t>
      </w:r>
      <w:r w:rsidR="003B6327">
        <w:rPr>
          <w:rFonts w:ascii="Garamond" w:hAnsi="Garamond" w:cs="Arial"/>
          <w:color w:val="000000"/>
          <w:sz w:val="26"/>
          <w:szCs w:val="26"/>
        </w:rPr>
        <w:t>.</w:t>
      </w:r>
    </w:p>
    <w:p w:rsidR="004B05C9" w:rsidRPr="004B05C9" w:rsidRDefault="008808D0" w:rsidP="008808D0">
      <w:pPr>
        <w:spacing w:line="360" w:lineRule="auto"/>
        <w:ind w:left="567" w:right="567" w:firstLine="141"/>
        <w:jc w:val="both"/>
        <w:rPr>
          <w:rFonts w:ascii="Garamond" w:hAnsi="Garamond" w:cs="Arial"/>
          <w:color w:val="000000"/>
          <w:sz w:val="26"/>
          <w:szCs w:val="26"/>
        </w:rPr>
      </w:pPr>
      <w:r w:rsidRPr="004B05C9">
        <w:rPr>
          <w:rFonts w:ascii="Garamond" w:eastAsia="Arial" w:hAnsi="Garamond" w:cs="Arial"/>
          <w:color w:val="000000"/>
          <w:sz w:val="26"/>
          <w:szCs w:val="26"/>
        </w:rPr>
        <w:t xml:space="preserve">La rilevanza del suddetto </w:t>
      </w:r>
      <w:r w:rsidR="004E3186">
        <w:rPr>
          <w:rFonts w:ascii="Garamond" w:eastAsia="Arial" w:hAnsi="Garamond" w:cs="Arial"/>
          <w:color w:val="000000"/>
          <w:sz w:val="26"/>
          <w:szCs w:val="26"/>
        </w:rPr>
        <w:t>“</w:t>
      </w:r>
      <w:r w:rsidRPr="004B05C9">
        <w:rPr>
          <w:rFonts w:ascii="Garamond" w:eastAsia="Arial" w:hAnsi="Garamond" w:cs="Arial"/>
          <w:color w:val="000000"/>
          <w:sz w:val="26"/>
          <w:szCs w:val="26"/>
        </w:rPr>
        <w:t>collegamento negoziale</w:t>
      </w:r>
      <w:r w:rsidR="004E3186">
        <w:rPr>
          <w:rFonts w:ascii="Garamond" w:eastAsia="Arial" w:hAnsi="Garamond" w:cs="Arial"/>
          <w:color w:val="000000"/>
          <w:sz w:val="26"/>
          <w:szCs w:val="26"/>
        </w:rPr>
        <w:t>”</w:t>
      </w:r>
      <w:r w:rsidRPr="004B05C9">
        <w:rPr>
          <w:rFonts w:ascii="Garamond" w:eastAsia="Arial" w:hAnsi="Garamond" w:cs="Arial"/>
          <w:color w:val="000000"/>
          <w:sz w:val="26"/>
          <w:szCs w:val="26"/>
        </w:rPr>
        <w:t xml:space="preserve"> </w:t>
      </w:r>
      <w:r>
        <w:rPr>
          <w:rFonts w:ascii="Garamond" w:eastAsia="Arial" w:hAnsi="Garamond" w:cs="Arial"/>
          <w:color w:val="000000"/>
          <w:sz w:val="26"/>
          <w:szCs w:val="26"/>
        </w:rPr>
        <w:t xml:space="preserve">è tale da potersi sostenere che la mancata indicazione del rapporto debitorio sottostante </w:t>
      </w:r>
      <w:r>
        <w:rPr>
          <w:rFonts w:ascii="Garamond" w:eastAsia="Lucida Sans Unicode" w:hAnsi="Garamond" w:cs="Arial"/>
          <w:color w:val="000000"/>
          <w:sz w:val="26"/>
          <w:szCs w:val="26"/>
        </w:rPr>
        <w:t>priva</w:t>
      </w:r>
      <w:r w:rsidR="004B05C9" w:rsidRPr="004B05C9">
        <w:rPr>
          <w:rFonts w:ascii="Garamond" w:eastAsia="Lucida Sans Unicode" w:hAnsi="Garamond" w:cs="Arial"/>
          <w:color w:val="000000"/>
          <w:sz w:val="26"/>
          <w:szCs w:val="26"/>
        </w:rPr>
        <w:t xml:space="preserve"> l'operazione di un elemento necessario ed essenziale</w:t>
      </w:r>
      <w:r>
        <w:rPr>
          <w:rFonts w:ascii="Garamond" w:eastAsia="Lucida Sans Unicode" w:hAnsi="Garamond" w:cs="Arial"/>
          <w:color w:val="000000"/>
          <w:sz w:val="26"/>
          <w:szCs w:val="26"/>
        </w:rPr>
        <w:t xml:space="preserve"> del suo contenuto ai sensi dell’art. 1346 cod. civ., atteso che </w:t>
      </w:r>
      <w:r w:rsidR="004B05C9" w:rsidRPr="004B05C9">
        <w:rPr>
          <w:rFonts w:ascii="Garamond" w:hAnsi="Garamond" w:cs="Arial"/>
          <w:color w:val="000000"/>
          <w:sz w:val="26"/>
          <w:szCs w:val="26"/>
        </w:rPr>
        <w:t>solo con l'esatta individuazione de</w:t>
      </w:r>
      <w:r>
        <w:rPr>
          <w:rFonts w:ascii="Garamond" w:hAnsi="Garamond" w:cs="Arial"/>
          <w:color w:val="000000"/>
          <w:sz w:val="26"/>
          <w:szCs w:val="26"/>
        </w:rPr>
        <w:t xml:space="preserve">i debiti </w:t>
      </w:r>
      <w:r w:rsidR="004B05C9" w:rsidRPr="008808D0">
        <w:rPr>
          <w:rFonts w:ascii="Garamond" w:hAnsi="Garamond" w:cs="Arial"/>
          <w:i/>
          <w:color w:val="000000"/>
          <w:sz w:val="26"/>
          <w:szCs w:val="26"/>
        </w:rPr>
        <w:t>swappati</w:t>
      </w:r>
      <w:r w:rsidR="004B05C9" w:rsidRPr="004B05C9">
        <w:rPr>
          <w:rFonts w:ascii="Garamond" w:hAnsi="Garamond" w:cs="Arial"/>
          <w:color w:val="000000"/>
          <w:sz w:val="26"/>
          <w:szCs w:val="26"/>
        </w:rPr>
        <w:t xml:space="preserve"> e</w:t>
      </w:r>
      <w:r w:rsidR="004E3186">
        <w:rPr>
          <w:rFonts w:ascii="Garamond" w:hAnsi="Garamond" w:cs="Arial"/>
          <w:color w:val="000000"/>
          <w:sz w:val="26"/>
          <w:szCs w:val="26"/>
        </w:rPr>
        <w:t xml:space="preserve"> delle loro caratteristiche è</w:t>
      </w:r>
      <w:r>
        <w:rPr>
          <w:rFonts w:ascii="Garamond" w:hAnsi="Garamond" w:cs="Arial"/>
          <w:color w:val="000000"/>
          <w:sz w:val="26"/>
          <w:szCs w:val="26"/>
        </w:rPr>
        <w:t xml:space="preserve"> </w:t>
      </w:r>
      <w:r w:rsidR="004B05C9" w:rsidRPr="004B05C9">
        <w:rPr>
          <w:rFonts w:ascii="Garamond" w:hAnsi="Garamond" w:cs="Arial"/>
          <w:color w:val="000000"/>
          <w:sz w:val="26"/>
          <w:szCs w:val="26"/>
        </w:rPr>
        <w:t xml:space="preserve">possibile verificare l'effettiva corrispondenza </w:t>
      </w:r>
      <w:r>
        <w:rPr>
          <w:rFonts w:ascii="Garamond" w:hAnsi="Garamond" w:cs="Arial"/>
          <w:color w:val="000000"/>
          <w:sz w:val="26"/>
          <w:szCs w:val="26"/>
        </w:rPr>
        <w:t xml:space="preserve">del “derivato” </w:t>
      </w:r>
      <w:r w:rsidR="004B05C9" w:rsidRPr="004B05C9">
        <w:rPr>
          <w:rFonts w:ascii="Garamond" w:hAnsi="Garamond" w:cs="Arial"/>
          <w:color w:val="000000"/>
          <w:sz w:val="26"/>
          <w:szCs w:val="26"/>
        </w:rPr>
        <w:t xml:space="preserve">con la </w:t>
      </w:r>
      <w:r>
        <w:rPr>
          <w:rFonts w:ascii="Garamond" w:hAnsi="Garamond" w:cs="Arial"/>
          <w:color w:val="000000"/>
          <w:sz w:val="26"/>
          <w:szCs w:val="26"/>
        </w:rPr>
        <w:t>durata dei rapporti sottostanti</w:t>
      </w:r>
      <w:r w:rsidR="004E3186">
        <w:rPr>
          <w:rFonts w:ascii="Garamond" w:hAnsi="Garamond" w:cs="Arial"/>
          <w:color w:val="000000"/>
          <w:sz w:val="26"/>
          <w:szCs w:val="26"/>
        </w:rPr>
        <w:t xml:space="preserve"> e</w:t>
      </w:r>
      <w:r w:rsidR="00AB2954">
        <w:rPr>
          <w:rFonts w:ascii="Garamond" w:hAnsi="Garamond" w:cs="Arial"/>
          <w:color w:val="000000"/>
          <w:sz w:val="26"/>
          <w:szCs w:val="26"/>
        </w:rPr>
        <w:t>, quindi in definitiva,</w:t>
      </w:r>
      <w:r w:rsidR="004E3186">
        <w:rPr>
          <w:rFonts w:ascii="Garamond" w:hAnsi="Garamond" w:cs="Arial"/>
          <w:color w:val="000000"/>
          <w:sz w:val="26"/>
          <w:szCs w:val="26"/>
        </w:rPr>
        <w:t xml:space="preserve"> la sua finalità di copertura</w:t>
      </w:r>
      <w:r w:rsidR="003B6327">
        <w:rPr>
          <w:rFonts w:ascii="Garamond" w:hAnsi="Garamond" w:cs="Arial"/>
          <w:color w:val="000000"/>
          <w:sz w:val="26"/>
          <w:szCs w:val="26"/>
        </w:rPr>
        <w:t xml:space="preserve"> </w:t>
      </w:r>
      <w:r w:rsidR="003B6327" w:rsidRPr="004B05C9">
        <w:rPr>
          <w:rStyle w:val="Rimandonotaapidipagina"/>
          <w:rFonts w:ascii="Garamond" w:eastAsia="Lucida Sans Unicode" w:hAnsi="Garamond" w:cs="Arial"/>
          <w:color w:val="000000"/>
          <w:sz w:val="26"/>
          <w:szCs w:val="26"/>
        </w:rPr>
        <w:footnoteReference w:id="22"/>
      </w:r>
      <w:r>
        <w:rPr>
          <w:rFonts w:ascii="Garamond" w:hAnsi="Garamond" w:cs="Arial"/>
          <w:color w:val="000000"/>
          <w:sz w:val="26"/>
          <w:szCs w:val="26"/>
        </w:rPr>
        <w:t>.</w:t>
      </w:r>
    </w:p>
    <w:p w:rsidR="004B05C9" w:rsidRDefault="004E3186" w:rsidP="004D2E68">
      <w:pPr>
        <w:spacing w:line="360" w:lineRule="auto"/>
        <w:ind w:left="567" w:right="567" w:firstLine="141"/>
        <w:jc w:val="both"/>
        <w:rPr>
          <w:rFonts w:ascii="Garamond" w:eastAsia="Lucida Sans Unicode" w:hAnsi="Garamond" w:cs="Arial"/>
          <w:color w:val="000000"/>
          <w:sz w:val="26"/>
          <w:szCs w:val="26"/>
        </w:rPr>
      </w:pPr>
      <w:r>
        <w:rPr>
          <w:rFonts w:ascii="Garamond" w:eastAsia="Arial" w:hAnsi="Garamond" w:cs="Arial"/>
          <w:color w:val="000000"/>
          <w:sz w:val="26"/>
          <w:szCs w:val="26"/>
        </w:rPr>
        <w:t xml:space="preserve">D’altra parte, </w:t>
      </w:r>
      <w:r w:rsidR="00B37389">
        <w:rPr>
          <w:rFonts w:ascii="Garamond" w:eastAsia="Arial" w:hAnsi="Garamond" w:cs="Arial"/>
          <w:color w:val="000000"/>
          <w:sz w:val="26"/>
          <w:szCs w:val="26"/>
        </w:rPr>
        <w:t>la rilevanza del</w:t>
      </w:r>
      <w:r w:rsidR="004D2E68">
        <w:rPr>
          <w:rFonts w:ascii="Garamond" w:eastAsia="Arial" w:hAnsi="Garamond" w:cs="Arial"/>
          <w:color w:val="000000"/>
          <w:sz w:val="26"/>
          <w:szCs w:val="26"/>
        </w:rPr>
        <w:t xml:space="preserve"> </w:t>
      </w:r>
      <w:r w:rsidR="00B37389">
        <w:rPr>
          <w:rFonts w:ascii="Garamond" w:eastAsia="Arial" w:hAnsi="Garamond" w:cs="Arial"/>
          <w:color w:val="000000"/>
          <w:sz w:val="26"/>
          <w:szCs w:val="26"/>
        </w:rPr>
        <w:t xml:space="preserve">suddetto </w:t>
      </w:r>
      <w:r w:rsidR="004D2E68">
        <w:rPr>
          <w:rFonts w:ascii="Garamond" w:eastAsia="Arial" w:hAnsi="Garamond" w:cs="Arial"/>
          <w:color w:val="000000"/>
          <w:sz w:val="26"/>
          <w:szCs w:val="26"/>
        </w:rPr>
        <w:t xml:space="preserve">collegamento negoziale sul piano della “causa” </w:t>
      </w:r>
      <w:r>
        <w:rPr>
          <w:rFonts w:ascii="Garamond" w:eastAsia="Arial" w:hAnsi="Garamond" w:cs="Arial"/>
          <w:color w:val="000000"/>
          <w:sz w:val="26"/>
          <w:szCs w:val="26"/>
        </w:rPr>
        <w:t xml:space="preserve">dei “derivati” pubblici è stato </w:t>
      </w:r>
      <w:r w:rsidR="00964BCB">
        <w:rPr>
          <w:rFonts w:ascii="Garamond" w:eastAsia="Arial" w:hAnsi="Garamond" w:cs="Arial"/>
          <w:color w:val="000000"/>
          <w:sz w:val="26"/>
          <w:szCs w:val="26"/>
        </w:rPr>
        <w:t xml:space="preserve">da tempo </w:t>
      </w:r>
      <w:r>
        <w:rPr>
          <w:rFonts w:ascii="Garamond" w:eastAsia="Arial" w:hAnsi="Garamond" w:cs="Arial"/>
          <w:color w:val="000000"/>
          <w:sz w:val="26"/>
          <w:szCs w:val="26"/>
        </w:rPr>
        <w:t xml:space="preserve">adeguatamente </w:t>
      </w:r>
      <w:r w:rsidR="00964BCB">
        <w:rPr>
          <w:rFonts w:ascii="Garamond" w:eastAsia="Arial" w:hAnsi="Garamond" w:cs="Arial"/>
          <w:color w:val="000000"/>
          <w:sz w:val="26"/>
          <w:szCs w:val="26"/>
        </w:rPr>
        <w:t xml:space="preserve">evidenziato </w:t>
      </w:r>
      <w:r>
        <w:rPr>
          <w:rFonts w:ascii="Garamond" w:eastAsia="Arial" w:hAnsi="Garamond" w:cs="Arial"/>
          <w:color w:val="000000"/>
          <w:sz w:val="26"/>
          <w:szCs w:val="26"/>
        </w:rPr>
        <w:t>dalla</w:t>
      </w:r>
      <w:r w:rsidR="004B05C9" w:rsidRPr="004B05C9">
        <w:rPr>
          <w:rFonts w:ascii="Garamond" w:eastAsia="Arial" w:hAnsi="Garamond" w:cs="Arial"/>
          <w:color w:val="000000"/>
          <w:sz w:val="26"/>
          <w:szCs w:val="26"/>
        </w:rPr>
        <w:t xml:space="preserve"> dottrina </w:t>
      </w:r>
      <w:r w:rsidR="004B05C9" w:rsidRPr="004B05C9">
        <w:rPr>
          <w:rStyle w:val="Rimandonotaapidipagina"/>
          <w:rFonts w:ascii="Garamond" w:hAnsi="Garamond"/>
          <w:color w:val="000000"/>
          <w:sz w:val="26"/>
          <w:szCs w:val="26"/>
        </w:rPr>
        <w:footnoteReference w:id="23"/>
      </w:r>
      <w:r w:rsidR="004B05C9" w:rsidRPr="004B05C9">
        <w:rPr>
          <w:rFonts w:ascii="Garamond" w:eastAsia="Arial" w:hAnsi="Garamond" w:cs="Arial"/>
          <w:color w:val="000000"/>
          <w:sz w:val="26"/>
          <w:szCs w:val="26"/>
        </w:rPr>
        <w:t xml:space="preserve"> e dalla stessa giurisprudenza contabile </w:t>
      </w:r>
      <w:r w:rsidR="004B05C9" w:rsidRPr="004B05C9">
        <w:rPr>
          <w:rStyle w:val="Rimandonotaapidipagina"/>
          <w:rFonts w:ascii="Garamond" w:eastAsia="Arial" w:hAnsi="Garamond" w:cs="Arial"/>
          <w:color w:val="000000"/>
          <w:sz w:val="26"/>
          <w:szCs w:val="26"/>
        </w:rPr>
        <w:footnoteReference w:id="24"/>
      </w:r>
      <w:r w:rsidR="004D2E68">
        <w:rPr>
          <w:rFonts w:ascii="Garamond" w:eastAsia="Arial" w:hAnsi="Garamond" w:cs="Arial"/>
          <w:color w:val="000000"/>
          <w:sz w:val="26"/>
          <w:szCs w:val="26"/>
        </w:rPr>
        <w:t xml:space="preserve"> ed esso non può non riverberarsi anche sul piano del contenuto contrattuale, stante che </w:t>
      </w:r>
      <w:r w:rsidR="004B05C9" w:rsidRPr="004B05C9">
        <w:rPr>
          <w:rFonts w:ascii="Garamond" w:eastAsia="Arial" w:hAnsi="Garamond" w:cs="Arial"/>
          <w:color w:val="000000"/>
          <w:sz w:val="26"/>
          <w:szCs w:val="26"/>
        </w:rPr>
        <w:t xml:space="preserve">il rapporto debitorio </w:t>
      </w:r>
      <w:r w:rsidR="004B05C9" w:rsidRPr="004B05C9">
        <w:rPr>
          <w:rFonts w:ascii="Garamond" w:eastAsia="Lucida Sans Unicode" w:hAnsi="Garamond" w:cs="Arial"/>
          <w:color w:val="000000"/>
          <w:sz w:val="26"/>
          <w:szCs w:val="26"/>
        </w:rPr>
        <w:t>sottostante rappresenta la base della negoziazione</w:t>
      </w:r>
      <w:r w:rsidR="004D2E68">
        <w:rPr>
          <w:rFonts w:ascii="Garamond" w:eastAsia="Lucida Sans Unicode" w:hAnsi="Garamond" w:cs="Arial"/>
          <w:color w:val="000000"/>
          <w:sz w:val="26"/>
          <w:szCs w:val="26"/>
        </w:rPr>
        <w:t xml:space="preserve"> e la </w:t>
      </w:r>
      <w:r w:rsidR="004B05C9" w:rsidRPr="004B05C9">
        <w:rPr>
          <w:rFonts w:ascii="Garamond" w:eastAsia="Lucida Sans Unicode" w:hAnsi="Garamond" w:cs="Arial"/>
          <w:color w:val="000000"/>
          <w:sz w:val="26"/>
          <w:szCs w:val="26"/>
        </w:rPr>
        <w:t>valutazione della convenienza</w:t>
      </w:r>
      <w:r w:rsidR="00B37389">
        <w:rPr>
          <w:rFonts w:ascii="Garamond" w:eastAsia="Lucida Sans Unicode" w:hAnsi="Garamond" w:cs="Arial"/>
          <w:color w:val="000000"/>
          <w:sz w:val="26"/>
          <w:szCs w:val="26"/>
        </w:rPr>
        <w:t xml:space="preserve"> economica </w:t>
      </w:r>
      <w:r w:rsidR="004D2E68">
        <w:rPr>
          <w:rFonts w:ascii="Garamond" w:eastAsia="Lucida Sans Unicode" w:hAnsi="Garamond" w:cs="Arial"/>
          <w:color w:val="000000"/>
          <w:sz w:val="26"/>
          <w:szCs w:val="26"/>
        </w:rPr>
        <w:t xml:space="preserve">dell'operazione </w:t>
      </w:r>
      <w:r w:rsidR="004B05C9" w:rsidRPr="004B05C9">
        <w:rPr>
          <w:rFonts w:ascii="Garamond" w:eastAsia="Lucida Sans Unicode" w:hAnsi="Garamond" w:cs="Arial"/>
          <w:color w:val="000000"/>
          <w:sz w:val="26"/>
          <w:szCs w:val="26"/>
        </w:rPr>
        <w:t>presuppone evidentemente la stima dei costi dell'indebitamento da ristrutturare.</w:t>
      </w:r>
    </w:p>
    <w:p w:rsidR="004B05C9" w:rsidRPr="004B05C9" w:rsidRDefault="004B05C9" w:rsidP="004D2E68">
      <w:pPr>
        <w:spacing w:line="360" w:lineRule="auto"/>
        <w:ind w:left="567" w:right="567" w:firstLine="141"/>
        <w:jc w:val="both"/>
        <w:rPr>
          <w:rFonts w:ascii="Garamond" w:eastAsia="Arial" w:hAnsi="Garamond" w:cs="Arial"/>
          <w:color w:val="000000"/>
          <w:sz w:val="26"/>
          <w:szCs w:val="26"/>
        </w:rPr>
      </w:pPr>
      <w:r w:rsidRPr="004B05C9">
        <w:rPr>
          <w:rFonts w:ascii="Garamond" w:eastAsia="Arial" w:hAnsi="Garamond" w:cs="Arial"/>
          <w:color w:val="000000"/>
          <w:sz w:val="26"/>
          <w:szCs w:val="26"/>
        </w:rPr>
        <w:t xml:space="preserve">E' pertanto necessario che i contratti "derivati" stipulati dagli Enti pubblici indichino puntualmente ed analiticamente i singoli finanziamenti </w:t>
      </w:r>
      <w:r w:rsidRPr="004D2E68">
        <w:rPr>
          <w:rFonts w:ascii="Garamond" w:eastAsia="Arial" w:hAnsi="Garamond" w:cs="Arial"/>
          <w:i/>
          <w:color w:val="000000"/>
          <w:sz w:val="26"/>
          <w:szCs w:val="26"/>
        </w:rPr>
        <w:t>swappati</w:t>
      </w:r>
      <w:r w:rsidRPr="004B05C9">
        <w:rPr>
          <w:rFonts w:ascii="Garamond" w:eastAsia="Arial" w:hAnsi="Garamond" w:cs="Arial"/>
          <w:color w:val="000000"/>
          <w:sz w:val="26"/>
          <w:szCs w:val="26"/>
        </w:rPr>
        <w:t xml:space="preserve"> e le loro principali caratteristiche (soggetto finanziatore, importo, tipo di tasso, durata, modalità di pagamento, ecc.), perché solo in questo modo è possibile verificare la </w:t>
      </w:r>
      <w:r w:rsidR="00B37389">
        <w:rPr>
          <w:rFonts w:ascii="Garamond" w:eastAsia="Arial" w:hAnsi="Garamond" w:cs="Arial"/>
          <w:color w:val="000000"/>
          <w:sz w:val="26"/>
          <w:szCs w:val="26"/>
        </w:rPr>
        <w:t xml:space="preserve">dovuta </w:t>
      </w:r>
      <w:r w:rsidRPr="004B05C9">
        <w:rPr>
          <w:rFonts w:ascii="Garamond" w:eastAsia="Arial" w:hAnsi="Garamond" w:cs="Arial"/>
          <w:color w:val="000000"/>
          <w:sz w:val="26"/>
          <w:szCs w:val="26"/>
        </w:rPr>
        <w:t>"</w:t>
      </w:r>
      <w:r w:rsidRPr="004B05C9">
        <w:rPr>
          <w:rFonts w:ascii="Garamond" w:eastAsia="Arial" w:hAnsi="Garamond" w:cs="Arial"/>
          <w:i/>
          <w:iCs/>
          <w:color w:val="000000"/>
          <w:sz w:val="26"/>
          <w:szCs w:val="26"/>
        </w:rPr>
        <w:t>corrispondenza con le passività effettivamente dovute"</w:t>
      </w:r>
      <w:r w:rsidR="00B37389">
        <w:rPr>
          <w:rFonts w:ascii="Garamond" w:eastAsia="Arial" w:hAnsi="Garamond" w:cs="Arial"/>
          <w:iCs/>
          <w:color w:val="000000"/>
          <w:sz w:val="26"/>
          <w:szCs w:val="26"/>
        </w:rPr>
        <w:t>,</w:t>
      </w:r>
      <w:r w:rsidRPr="004B05C9">
        <w:rPr>
          <w:rFonts w:ascii="Garamond" w:eastAsia="Arial" w:hAnsi="Garamond" w:cs="Arial"/>
          <w:i/>
          <w:iCs/>
          <w:color w:val="000000"/>
          <w:sz w:val="26"/>
          <w:szCs w:val="26"/>
        </w:rPr>
        <w:t xml:space="preserve"> </w:t>
      </w:r>
      <w:r w:rsidRPr="004B05C9">
        <w:rPr>
          <w:rFonts w:ascii="Garamond" w:eastAsia="Arial" w:hAnsi="Garamond" w:cs="Arial"/>
          <w:color w:val="000000"/>
          <w:sz w:val="26"/>
          <w:szCs w:val="26"/>
        </w:rPr>
        <w:t>anche in termini di durata delle rispettive operazioni.</w:t>
      </w:r>
    </w:p>
    <w:p w:rsidR="004D2E68" w:rsidRPr="004B05C9" w:rsidRDefault="004D2E68" w:rsidP="004D2E68">
      <w:pPr>
        <w:spacing w:line="360" w:lineRule="auto"/>
        <w:ind w:left="567" w:right="567" w:firstLine="141"/>
        <w:jc w:val="both"/>
        <w:rPr>
          <w:rFonts w:ascii="Garamond" w:eastAsia="Arial" w:hAnsi="Garamond" w:cs="Arial"/>
          <w:color w:val="000000"/>
          <w:sz w:val="26"/>
          <w:szCs w:val="26"/>
        </w:rPr>
      </w:pPr>
      <w:r w:rsidRPr="004B05C9">
        <w:rPr>
          <w:rFonts w:ascii="Garamond" w:eastAsia="Arial" w:hAnsi="Garamond" w:cs="Arial"/>
          <w:color w:val="000000"/>
          <w:sz w:val="26"/>
          <w:szCs w:val="26"/>
        </w:rPr>
        <w:t xml:space="preserve">Diversamente opinando, </w:t>
      </w:r>
      <w:r>
        <w:rPr>
          <w:rFonts w:ascii="Garamond" w:eastAsia="Arial" w:hAnsi="Garamond" w:cs="Arial"/>
          <w:color w:val="000000"/>
          <w:sz w:val="26"/>
          <w:szCs w:val="26"/>
        </w:rPr>
        <w:t xml:space="preserve">detta </w:t>
      </w:r>
      <w:r w:rsidRPr="004B05C9">
        <w:rPr>
          <w:rFonts w:ascii="Garamond" w:eastAsia="Arial" w:hAnsi="Garamond" w:cs="Arial"/>
          <w:color w:val="000000"/>
          <w:sz w:val="26"/>
          <w:szCs w:val="26"/>
        </w:rPr>
        <w:t>"</w:t>
      </w:r>
      <w:r w:rsidRPr="004B05C9">
        <w:rPr>
          <w:rFonts w:ascii="Garamond" w:eastAsia="Arial" w:hAnsi="Garamond" w:cs="Arial"/>
          <w:i/>
          <w:iCs/>
          <w:color w:val="000000"/>
          <w:sz w:val="26"/>
          <w:szCs w:val="26"/>
        </w:rPr>
        <w:t>corrispondenza</w:t>
      </w:r>
      <w:r>
        <w:rPr>
          <w:rFonts w:ascii="Garamond" w:eastAsia="Arial" w:hAnsi="Garamond" w:cs="Arial"/>
          <w:i/>
          <w:iCs/>
          <w:color w:val="000000"/>
          <w:sz w:val="26"/>
          <w:szCs w:val="26"/>
        </w:rPr>
        <w:t>”</w:t>
      </w:r>
      <w:r w:rsidRPr="004B05C9">
        <w:rPr>
          <w:rFonts w:ascii="Garamond" w:eastAsia="Arial" w:hAnsi="Garamond" w:cs="Arial"/>
          <w:i/>
          <w:iCs/>
          <w:color w:val="000000"/>
          <w:sz w:val="26"/>
          <w:szCs w:val="26"/>
        </w:rPr>
        <w:t xml:space="preserve"> </w:t>
      </w:r>
      <w:r w:rsidRPr="004B05C9">
        <w:rPr>
          <w:rFonts w:ascii="Garamond" w:eastAsia="Arial" w:hAnsi="Garamond" w:cs="Arial"/>
          <w:color w:val="000000"/>
          <w:sz w:val="26"/>
          <w:szCs w:val="26"/>
        </w:rPr>
        <w:t xml:space="preserve">diventerebbe un dato meramente virtuale, in quanto </w:t>
      </w:r>
      <w:r>
        <w:rPr>
          <w:rFonts w:ascii="Garamond" w:eastAsia="Arial" w:hAnsi="Garamond" w:cs="Arial"/>
          <w:color w:val="000000"/>
          <w:sz w:val="26"/>
          <w:szCs w:val="26"/>
        </w:rPr>
        <w:t xml:space="preserve">il “derivato” </w:t>
      </w:r>
      <w:r w:rsidRPr="004B05C9">
        <w:rPr>
          <w:rFonts w:ascii="Garamond" w:eastAsia="Arial" w:hAnsi="Garamond" w:cs="Arial"/>
          <w:color w:val="000000"/>
          <w:sz w:val="26"/>
          <w:szCs w:val="26"/>
        </w:rPr>
        <w:t>finire</w:t>
      </w:r>
      <w:r>
        <w:rPr>
          <w:rFonts w:ascii="Garamond" w:eastAsia="Arial" w:hAnsi="Garamond" w:cs="Arial"/>
          <w:color w:val="000000"/>
          <w:sz w:val="26"/>
          <w:szCs w:val="26"/>
        </w:rPr>
        <w:t>bbe</w:t>
      </w:r>
      <w:r w:rsidRPr="004B05C9">
        <w:rPr>
          <w:rFonts w:ascii="Garamond" w:eastAsia="Arial" w:hAnsi="Garamond" w:cs="Arial"/>
          <w:color w:val="000000"/>
          <w:sz w:val="26"/>
          <w:szCs w:val="26"/>
        </w:rPr>
        <w:t xml:space="preserve"> per garantire un rischio finanziario </w:t>
      </w:r>
      <w:r>
        <w:rPr>
          <w:rFonts w:ascii="Garamond" w:eastAsia="Arial" w:hAnsi="Garamond" w:cs="Arial"/>
          <w:color w:val="000000"/>
          <w:sz w:val="26"/>
          <w:szCs w:val="26"/>
        </w:rPr>
        <w:t xml:space="preserve">che, </w:t>
      </w:r>
      <w:r w:rsidRPr="004B05C9">
        <w:rPr>
          <w:rFonts w:ascii="Garamond" w:eastAsia="Arial" w:hAnsi="Garamond" w:cs="Arial"/>
          <w:color w:val="000000"/>
          <w:sz w:val="26"/>
          <w:szCs w:val="26"/>
        </w:rPr>
        <w:t>in concreto</w:t>
      </w:r>
      <w:r>
        <w:rPr>
          <w:rFonts w:ascii="Garamond" w:eastAsia="Arial" w:hAnsi="Garamond" w:cs="Arial"/>
          <w:color w:val="000000"/>
          <w:sz w:val="26"/>
          <w:szCs w:val="26"/>
        </w:rPr>
        <w:t>, potrebbe non esistere affatto.</w:t>
      </w:r>
    </w:p>
    <w:p w:rsidR="00964BCB" w:rsidRDefault="004D2E68" w:rsidP="004D2E68">
      <w:pPr>
        <w:pStyle w:val="Testonotaapidipagina"/>
        <w:spacing w:line="360" w:lineRule="auto"/>
        <w:ind w:left="567" w:right="567" w:firstLine="141"/>
        <w:jc w:val="both"/>
        <w:rPr>
          <w:rFonts w:ascii="Garamond" w:eastAsia="Arial" w:hAnsi="Garamond" w:cs="Arial"/>
          <w:color w:val="000000"/>
          <w:sz w:val="26"/>
          <w:szCs w:val="26"/>
        </w:rPr>
      </w:pPr>
      <w:r w:rsidRPr="004B05C9">
        <w:rPr>
          <w:rFonts w:ascii="Garamond" w:eastAsia="Arial" w:hAnsi="Garamond" w:cs="Arial"/>
          <w:color w:val="000000"/>
          <w:sz w:val="26"/>
          <w:szCs w:val="26"/>
        </w:rPr>
        <w:t xml:space="preserve">Invero, quando il c.d. “nozionale” ha carattere fittizio e non corrisponde alla realtà dei rapporti </w:t>
      </w:r>
      <w:r w:rsidR="005A2189">
        <w:rPr>
          <w:rFonts w:ascii="Garamond" w:eastAsia="Arial" w:hAnsi="Garamond" w:cs="Arial"/>
          <w:color w:val="000000"/>
          <w:sz w:val="26"/>
          <w:szCs w:val="26"/>
        </w:rPr>
        <w:t xml:space="preserve">debitori </w:t>
      </w:r>
      <w:r w:rsidRPr="004B05C9">
        <w:rPr>
          <w:rFonts w:ascii="Garamond" w:eastAsia="Arial" w:hAnsi="Garamond" w:cs="Arial"/>
          <w:color w:val="000000"/>
          <w:sz w:val="26"/>
          <w:szCs w:val="26"/>
        </w:rPr>
        <w:t xml:space="preserve">sottostanti, il </w:t>
      </w:r>
      <w:r w:rsidR="00964BCB">
        <w:rPr>
          <w:rFonts w:ascii="Garamond" w:eastAsia="Arial" w:hAnsi="Garamond" w:cs="Arial"/>
          <w:color w:val="000000"/>
          <w:sz w:val="26"/>
          <w:szCs w:val="26"/>
        </w:rPr>
        <w:t>“</w:t>
      </w:r>
      <w:r w:rsidRPr="004B05C9">
        <w:rPr>
          <w:rFonts w:ascii="Garamond" w:eastAsia="Arial" w:hAnsi="Garamond" w:cs="Arial"/>
          <w:color w:val="000000"/>
          <w:sz w:val="26"/>
          <w:szCs w:val="26"/>
        </w:rPr>
        <w:t>derivato</w:t>
      </w:r>
      <w:r w:rsidR="00964BCB">
        <w:rPr>
          <w:rFonts w:ascii="Garamond" w:eastAsia="Arial" w:hAnsi="Garamond" w:cs="Arial"/>
          <w:color w:val="000000"/>
          <w:sz w:val="26"/>
          <w:szCs w:val="26"/>
        </w:rPr>
        <w:t>”</w:t>
      </w:r>
      <w:r w:rsidRPr="004B05C9">
        <w:rPr>
          <w:rFonts w:ascii="Garamond" w:eastAsia="Arial" w:hAnsi="Garamond" w:cs="Arial"/>
          <w:color w:val="000000"/>
          <w:sz w:val="26"/>
          <w:szCs w:val="26"/>
        </w:rPr>
        <w:t xml:space="preserve"> </w:t>
      </w:r>
      <w:r w:rsidR="00964BCB">
        <w:rPr>
          <w:rFonts w:ascii="Garamond" w:eastAsia="Arial" w:hAnsi="Garamond" w:cs="Arial"/>
          <w:color w:val="000000"/>
          <w:sz w:val="26"/>
          <w:szCs w:val="26"/>
        </w:rPr>
        <w:t xml:space="preserve">non può che </w:t>
      </w:r>
      <w:r w:rsidRPr="004B05C9">
        <w:rPr>
          <w:rFonts w:ascii="Garamond" w:eastAsia="Arial" w:hAnsi="Garamond" w:cs="Arial"/>
          <w:color w:val="000000"/>
          <w:sz w:val="26"/>
          <w:szCs w:val="26"/>
        </w:rPr>
        <w:t>assume</w:t>
      </w:r>
      <w:r w:rsidR="00964BCB">
        <w:rPr>
          <w:rFonts w:ascii="Garamond" w:eastAsia="Arial" w:hAnsi="Garamond" w:cs="Arial"/>
          <w:color w:val="000000"/>
          <w:sz w:val="26"/>
          <w:szCs w:val="26"/>
        </w:rPr>
        <w:t>re</w:t>
      </w:r>
      <w:r w:rsidRPr="004B05C9">
        <w:rPr>
          <w:rFonts w:ascii="Garamond" w:eastAsia="Arial" w:hAnsi="Garamond" w:cs="Arial"/>
          <w:color w:val="000000"/>
          <w:sz w:val="26"/>
          <w:szCs w:val="26"/>
        </w:rPr>
        <w:t xml:space="preserve"> i tratti di una pura “scommessa” </w:t>
      </w:r>
      <w:r w:rsidR="00964BCB" w:rsidRPr="004B05C9">
        <w:rPr>
          <w:rStyle w:val="Rimandonotaapidipagina"/>
          <w:rFonts w:ascii="Garamond" w:eastAsia="Lucida Sans Unicode" w:hAnsi="Garamond" w:cs="Arial"/>
          <w:color w:val="000000"/>
          <w:sz w:val="26"/>
          <w:szCs w:val="26"/>
        </w:rPr>
        <w:footnoteReference w:id="25"/>
      </w:r>
      <w:r w:rsidR="00964BCB">
        <w:rPr>
          <w:rFonts w:ascii="Garamond" w:eastAsia="Arial" w:hAnsi="Garamond" w:cs="Arial"/>
          <w:color w:val="000000"/>
          <w:sz w:val="26"/>
          <w:szCs w:val="26"/>
        </w:rPr>
        <w:t>.</w:t>
      </w:r>
    </w:p>
    <w:p w:rsidR="004B05C9" w:rsidRPr="004B05C9" w:rsidRDefault="005A2189" w:rsidP="005A2189">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Detta </w:t>
      </w:r>
      <w:r w:rsidRPr="004B05C9">
        <w:rPr>
          <w:rFonts w:ascii="Garamond" w:eastAsia="Arial" w:hAnsi="Garamond" w:cs="Arial"/>
          <w:color w:val="000000"/>
          <w:sz w:val="26"/>
          <w:szCs w:val="26"/>
        </w:rPr>
        <w:t>interdipendenza funzio</w:t>
      </w:r>
      <w:r>
        <w:rPr>
          <w:rFonts w:ascii="Garamond" w:eastAsia="Arial" w:hAnsi="Garamond" w:cs="Arial"/>
          <w:color w:val="000000"/>
          <w:sz w:val="26"/>
          <w:szCs w:val="26"/>
        </w:rPr>
        <w:t xml:space="preserve">nale tra il derivato ed i rapporti debitori </w:t>
      </w:r>
      <w:r w:rsidRPr="004B05C9">
        <w:rPr>
          <w:rFonts w:ascii="Garamond" w:eastAsia="Arial" w:hAnsi="Garamond" w:cs="Arial"/>
          <w:color w:val="000000"/>
          <w:sz w:val="26"/>
          <w:szCs w:val="26"/>
        </w:rPr>
        <w:t>sottostanti</w:t>
      </w:r>
      <w:r>
        <w:rPr>
          <w:rFonts w:ascii="Garamond" w:eastAsia="Arial" w:hAnsi="Garamond" w:cs="Arial"/>
          <w:color w:val="000000"/>
          <w:sz w:val="26"/>
          <w:szCs w:val="26"/>
        </w:rPr>
        <w:t xml:space="preserve"> è di tale rilievo </w:t>
      </w:r>
      <w:r w:rsidR="00B37389">
        <w:rPr>
          <w:rFonts w:ascii="Garamond" w:eastAsia="Arial" w:hAnsi="Garamond" w:cs="Arial"/>
          <w:color w:val="000000"/>
          <w:sz w:val="26"/>
          <w:szCs w:val="26"/>
        </w:rPr>
        <w:t xml:space="preserve">da </w:t>
      </w:r>
      <w:r>
        <w:rPr>
          <w:rFonts w:ascii="Garamond" w:eastAsia="Arial" w:hAnsi="Garamond" w:cs="Arial"/>
          <w:color w:val="000000"/>
          <w:sz w:val="26"/>
          <w:szCs w:val="26"/>
        </w:rPr>
        <w:t>incidere anche su</w:t>
      </w:r>
      <w:r w:rsidR="004D2E68" w:rsidRPr="004B05C9">
        <w:rPr>
          <w:rFonts w:ascii="Garamond" w:eastAsia="Arial" w:hAnsi="Garamond" w:cs="Arial"/>
          <w:color w:val="000000"/>
          <w:sz w:val="26"/>
          <w:szCs w:val="26"/>
        </w:rPr>
        <w:t xml:space="preserve">lle vicende successive alla stipula del contratto, </w:t>
      </w:r>
      <w:r>
        <w:rPr>
          <w:rFonts w:ascii="Garamond" w:eastAsia="Arial" w:hAnsi="Garamond" w:cs="Arial"/>
          <w:color w:val="000000"/>
          <w:sz w:val="26"/>
          <w:szCs w:val="26"/>
        </w:rPr>
        <w:t>in quanto</w:t>
      </w:r>
      <w:r w:rsidR="004D2E68" w:rsidRPr="004B05C9">
        <w:rPr>
          <w:rFonts w:ascii="Garamond" w:eastAsia="Arial" w:hAnsi="Garamond" w:cs="Arial"/>
          <w:color w:val="000000"/>
          <w:sz w:val="26"/>
          <w:szCs w:val="26"/>
        </w:rPr>
        <w:t xml:space="preserve"> il venir meno (per qualsiasi motivo) dei </w:t>
      </w:r>
      <w:r>
        <w:rPr>
          <w:rFonts w:ascii="Garamond" w:eastAsia="Arial" w:hAnsi="Garamond" w:cs="Arial"/>
          <w:color w:val="000000"/>
          <w:sz w:val="26"/>
          <w:szCs w:val="26"/>
        </w:rPr>
        <w:t xml:space="preserve">secondi </w:t>
      </w:r>
      <w:r w:rsidR="004D2E68" w:rsidRPr="004B05C9">
        <w:rPr>
          <w:rFonts w:ascii="Garamond" w:eastAsia="Arial" w:hAnsi="Garamond" w:cs="Arial"/>
          <w:color w:val="000000"/>
          <w:sz w:val="26"/>
          <w:szCs w:val="26"/>
        </w:rPr>
        <w:t xml:space="preserve">fa venir meno la funzione economico-sociale del </w:t>
      </w:r>
      <w:r>
        <w:rPr>
          <w:rFonts w:ascii="Garamond" w:eastAsia="Arial" w:hAnsi="Garamond" w:cs="Arial"/>
          <w:color w:val="000000"/>
          <w:sz w:val="26"/>
          <w:szCs w:val="26"/>
        </w:rPr>
        <w:t>primo</w:t>
      </w:r>
      <w:r w:rsidR="004D2E68" w:rsidRPr="004B05C9">
        <w:rPr>
          <w:rFonts w:ascii="Garamond" w:eastAsia="Arial" w:hAnsi="Garamond" w:cs="Arial"/>
          <w:color w:val="000000"/>
          <w:sz w:val="26"/>
          <w:szCs w:val="26"/>
        </w:rPr>
        <w:t xml:space="preserve">, rendendolo privo di causa </w:t>
      </w:r>
      <w:r w:rsidR="004D2E68" w:rsidRPr="004B05C9">
        <w:rPr>
          <w:rStyle w:val="Rimandonotaapidipagina"/>
          <w:rFonts w:ascii="Garamond" w:eastAsia="Arial" w:hAnsi="Garamond" w:cs="Arial"/>
          <w:color w:val="000000"/>
          <w:sz w:val="26"/>
          <w:szCs w:val="26"/>
        </w:rPr>
        <w:footnoteReference w:id="26"/>
      </w:r>
      <w:r w:rsidR="004D2E68" w:rsidRPr="004B05C9">
        <w:rPr>
          <w:rFonts w:ascii="Garamond" w:eastAsia="Arial" w:hAnsi="Garamond" w:cs="Arial"/>
          <w:color w:val="000000"/>
          <w:sz w:val="26"/>
          <w:szCs w:val="26"/>
        </w:rPr>
        <w:t>.</w:t>
      </w:r>
    </w:p>
    <w:p w:rsidR="004D2E68" w:rsidRDefault="004D2E68" w:rsidP="004B05C9">
      <w:pPr>
        <w:spacing w:line="360" w:lineRule="auto"/>
        <w:ind w:left="567" w:right="567"/>
        <w:jc w:val="both"/>
        <w:rPr>
          <w:rFonts w:ascii="Garamond" w:eastAsia="Arial" w:hAnsi="Garamond" w:cs="Arial"/>
          <w:color w:val="000000"/>
          <w:sz w:val="26"/>
          <w:szCs w:val="26"/>
        </w:rPr>
      </w:pPr>
    </w:p>
    <w:p w:rsidR="00A173CA" w:rsidRDefault="00205C85" w:rsidP="00A173CA">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6.</w:t>
      </w:r>
      <w:r w:rsidR="005A06B8">
        <w:rPr>
          <w:rFonts w:ascii="Garamond" w:hAnsi="Garamond" w:cs="Times New Roman"/>
          <w:b/>
          <w:color w:val="000000" w:themeColor="text1"/>
          <w:sz w:val="26"/>
          <w:szCs w:val="26"/>
        </w:rPr>
        <w:t xml:space="preserve"> </w:t>
      </w:r>
      <w:r w:rsidR="00A173CA">
        <w:rPr>
          <w:rFonts w:ascii="Garamond" w:hAnsi="Garamond" w:cs="Times New Roman"/>
          <w:b/>
          <w:color w:val="000000" w:themeColor="text1"/>
          <w:sz w:val="26"/>
          <w:szCs w:val="26"/>
        </w:rPr>
        <w:t xml:space="preserve">La clausola di </w:t>
      </w:r>
      <w:r w:rsidR="00A173CA">
        <w:rPr>
          <w:rFonts w:ascii="Garamond" w:hAnsi="Garamond" w:cs="Times New Roman"/>
          <w:b/>
          <w:i/>
          <w:color w:val="000000" w:themeColor="text1"/>
          <w:sz w:val="26"/>
          <w:szCs w:val="26"/>
        </w:rPr>
        <w:t>up front</w:t>
      </w:r>
      <w:r w:rsidR="00A45562">
        <w:rPr>
          <w:rFonts w:ascii="Garamond" w:hAnsi="Garamond" w:cs="Times New Roman"/>
          <w:b/>
          <w:color w:val="000000" w:themeColor="text1"/>
          <w:sz w:val="26"/>
          <w:szCs w:val="26"/>
        </w:rPr>
        <w:t xml:space="preserve"> e la nozione di “indebitamento”</w:t>
      </w:r>
      <w:r w:rsidR="00A61E59">
        <w:rPr>
          <w:rFonts w:ascii="Garamond" w:hAnsi="Garamond" w:cs="Times New Roman"/>
          <w:b/>
          <w:color w:val="000000" w:themeColor="text1"/>
          <w:sz w:val="26"/>
          <w:szCs w:val="26"/>
        </w:rPr>
        <w:t>.</w:t>
      </w:r>
    </w:p>
    <w:p w:rsidR="0075445A" w:rsidRPr="0075445A" w:rsidRDefault="001619D4" w:rsidP="00294B18">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L</w:t>
      </w:r>
      <w:r w:rsidR="000B7427">
        <w:rPr>
          <w:rFonts w:ascii="Garamond" w:eastAsia="Arial" w:hAnsi="Garamond" w:cs="Arial"/>
          <w:color w:val="000000"/>
          <w:sz w:val="26"/>
          <w:szCs w:val="26"/>
        </w:rPr>
        <w:t xml:space="preserve">a prima </w:t>
      </w:r>
      <w:r w:rsidR="00792253">
        <w:rPr>
          <w:rFonts w:ascii="Garamond" w:eastAsia="Arial" w:hAnsi="Garamond" w:cs="Arial"/>
          <w:color w:val="000000"/>
          <w:sz w:val="26"/>
          <w:szCs w:val="26"/>
        </w:rPr>
        <w:t>“</w:t>
      </w:r>
      <w:r w:rsidR="000B7427">
        <w:rPr>
          <w:rFonts w:ascii="Garamond" w:eastAsia="Arial" w:hAnsi="Garamond" w:cs="Arial"/>
          <w:color w:val="000000"/>
          <w:sz w:val="26"/>
          <w:szCs w:val="26"/>
        </w:rPr>
        <w:t>questione di particolare importanza</w:t>
      </w:r>
      <w:r w:rsidR="00792253">
        <w:rPr>
          <w:rFonts w:ascii="Garamond" w:eastAsia="Arial" w:hAnsi="Garamond" w:cs="Arial"/>
          <w:color w:val="000000"/>
          <w:sz w:val="26"/>
          <w:szCs w:val="26"/>
        </w:rPr>
        <w:t>”</w:t>
      </w:r>
      <w:r w:rsidR="000B7427">
        <w:rPr>
          <w:rFonts w:ascii="Garamond" w:eastAsia="Arial" w:hAnsi="Garamond" w:cs="Arial"/>
          <w:color w:val="000000"/>
          <w:sz w:val="26"/>
          <w:szCs w:val="26"/>
        </w:rPr>
        <w:t xml:space="preserve"> </w:t>
      </w:r>
      <w:r w:rsidR="00792253">
        <w:rPr>
          <w:rFonts w:ascii="Garamond" w:eastAsia="Arial" w:hAnsi="Garamond" w:cs="Arial"/>
          <w:color w:val="000000"/>
          <w:sz w:val="26"/>
          <w:szCs w:val="26"/>
        </w:rPr>
        <w:t>posta</w:t>
      </w:r>
      <w:r w:rsidR="00A45562">
        <w:rPr>
          <w:rFonts w:ascii="Garamond" w:eastAsia="Arial" w:hAnsi="Garamond" w:cs="Arial"/>
          <w:color w:val="000000"/>
          <w:sz w:val="26"/>
          <w:szCs w:val="26"/>
        </w:rPr>
        <w:t xml:space="preserve"> dalla </w:t>
      </w:r>
      <w:r w:rsidR="00A61E59">
        <w:rPr>
          <w:rFonts w:ascii="Garamond" w:eastAsia="Arial" w:hAnsi="Garamond" w:cs="Arial"/>
          <w:color w:val="000000"/>
          <w:sz w:val="26"/>
          <w:szCs w:val="26"/>
        </w:rPr>
        <w:t xml:space="preserve">1^ </w:t>
      </w:r>
      <w:r w:rsidR="00A45562">
        <w:rPr>
          <w:rFonts w:ascii="Garamond" w:eastAsia="Arial" w:hAnsi="Garamond" w:cs="Arial"/>
          <w:color w:val="000000"/>
          <w:sz w:val="26"/>
          <w:szCs w:val="26"/>
        </w:rPr>
        <w:t>Sezion</w:t>
      </w:r>
      <w:r w:rsidR="00294B18">
        <w:rPr>
          <w:rFonts w:ascii="Garamond" w:eastAsia="Arial" w:hAnsi="Garamond" w:cs="Arial"/>
          <w:color w:val="000000"/>
          <w:sz w:val="26"/>
          <w:szCs w:val="26"/>
        </w:rPr>
        <w:t>e</w:t>
      </w:r>
      <w:r w:rsidR="00A45562">
        <w:rPr>
          <w:rFonts w:ascii="Garamond" w:eastAsia="Arial" w:hAnsi="Garamond" w:cs="Arial"/>
          <w:color w:val="000000"/>
          <w:sz w:val="26"/>
          <w:szCs w:val="26"/>
        </w:rPr>
        <w:t xml:space="preserve"> della Cassazione </w:t>
      </w:r>
      <w:r w:rsidR="00A61E59">
        <w:rPr>
          <w:rFonts w:ascii="Garamond" w:eastAsia="Arial" w:hAnsi="Garamond" w:cs="Arial"/>
          <w:color w:val="000000"/>
          <w:sz w:val="26"/>
          <w:szCs w:val="26"/>
        </w:rPr>
        <w:t xml:space="preserve">con </w:t>
      </w:r>
      <w:r w:rsidR="00A45562">
        <w:rPr>
          <w:rFonts w:ascii="Garamond" w:eastAsia="Arial" w:hAnsi="Garamond" w:cs="Arial"/>
          <w:color w:val="000000"/>
          <w:sz w:val="26"/>
          <w:szCs w:val="26"/>
        </w:rPr>
        <w:t>l’ordinanza di rimessione riguardava la</w:t>
      </w:r>
      <w:r w:rsidR="00770F06" w:rsidRPr="001E70BF">
        <w:rPr>
          <w:rFonts w:ascii="Garamond" w:eastAsia="Arial" w:hAnsi="Garamond" w:cs="Arial"/>
          <w:color w:val="000000"/>
          <w:sz w:val="26"/>
          <w:szCs w:val="26"/>
        </w:rPr>
        <w:t xml:space="preserve"> peculiarità dei </w:t>
      </w:r>
      <w:r w:rsidR="00A45562">
        <w:rPr>
          <w:rFonts w:ascii="Garamond" w:eastAsia="Arial" w:hAnsi="Garamond" w:cs="Arial"/>
          <w:color w:val="000000"/>
          <w:sz w:val="26"/>
          <w:szCs w:val="26"/>
        </w:rPr>
        <w:t xml:space="preserve">“derivati” pubblici </w:t>
      </w:r>
      <w:r w:rsidR="00770F06" w:rsidRPr="001E70BF">
        <w:rPr>
          <w:rFonts w:ascii="Garamond" w:eastAsia="Arial" w:hAnsi="Garamond" w:cs="Arial"/>
          <w:color w:val="000000"/>
          <w:sz w:val="26"/>
          <w:szCs w:val="26"/>
        </w:rPr>
        <w:t xml:space="preserve">contenenti clausole di </w:t>
      </w:r>
      <w:r w:rsidR="00770F06" w:rsidRPr="001E70BF">
        <w:rPr>
          <w:rFonts w:ascii="Garamond" w:eastAsia="Arial" w:hAnsi="Garamond" w:cs="Arial"/>
          <w:i/>
          <w:iCs/>
          <w:color w:val="000000"/>
          <w:sz w:val="26"/>
          <w:szCs w:val="26"/>
        </w:rPr>
        <w:t>up-front</w:t>
      </w:r>
      <w:r w:rsidR="00770F06" w:rsidRPr="001E70BF">
        <w:rPr>
          <w:rFonts w:ascii="Garamond" w:eastAsia="Arial" w:hAnsi="Garamond" w:cs="Arial"/>
          <w:color w:val="000000"/>
          <w:sz w:val="26"/>
          <w:szCs w:val="26"/>
        </w:rPr>
        <w:t xml:space="preserve"> (o</w:t>
      </w:r>
      <w:r w:rsidR="00B37389">
        <w:rPr>
          <w:rFonts w:ascii="Garamond" w:eastAsia="Arial" w:hAnsi="Garamond" w:cs="Arial"/>
          <w:color w:val="000000"/>
          <w:sz w:val="26"/>
          <w:szCs w:val="26"/>
        </w:rPr>
        <w:t>, con formula equivoca utilizzata nella prassi contrattuale,</w:t>
      </w:r>
      <w:r w:rsidR="00770F06" w:rsidRPr="001E70BF">
        <w:rPr>
          <w:rFonts w:ascii="Garamond" w:eastAsia="Arial" w:hAnsi="Garamond" w:cs="Arial"/>
          <w:color w:val="000000"/>
          <w:sz w:val="26"/>
          <w:szCs w:val="26"/>
        </w:rPr>
        <w:t xml:space="preserve"> </w:t>
      </w:r>
      <w:r w:rsidR="00770F06" w:rsidRPr="001E70BF">
        <w:rPr>
          <w:rFonts w:ascii="Garamond" w:eastAsia="Arial" w:hAnsi="Garamond" w:cs="Arial"/>
          <w:i/>
          <w:iCs/>
          <w:color w:val="000000"/>
          <w:sz w:val="26"/>
          <w:szCs w:val="26"/>
        </w:rPr>
        <w:t>c.d. sconto o premi</w:t>
      </w:r>
      <w:r w:rsidR="00A61E59">
        <w:rPr>
          <w:rFonts w:ascii="Garamond" w:eastAsia="Arial" w:hAnsi="Garamond" w:cs="Arial"/>
          <w:i/>
          <w:iCs/>
          <w:color w:val="000000"/>
          <w:sz w:val="26"/>
          <w:szCs w:val="26"/>
        </w:rPr>
        <w:t>o</w:t>
      </w:r>
      <w:r w:rsidR="00770F06" w:rsidRPr="001E70BF">
        <w:rPr>
          <w:rFonts w:ascii="Garamond" w:eastAsia="Arial" w:hAnsi="Garamond" w:cs="Arial"/>
          <w:i/>
          <w:iCs/>
          <w:color w:val="000000"/>
          <w:sz w:val="26"/>
          <w:szCs w:val="26"/>
        </w:rPr>
        <w:t xml:space="preserve"> di liquidità</w:t>
      </w:r>
      <w:r w:rsidR="00770F06" w:rsidRPr="001E70BF">
        <w:rPr>
          <w:rFonts w:ascii="Garamond" w:eastAsia="Arial" w:hAnsi="Garamond" w:cs="Arial"/>
          <w:color w:val="000000"/>
          <w:sz w:val="26"/>
          <w:szCs w:val="26"/>
        </w:rPr>
        <w:t>)</w:t>
      </w:r>
      <w:r w:rsidR="00294B18">
        <w:rPr>
          <w:rFonts w:ascii="Garamond" w:eastAsia="Arial" w:hAnsi="Garamond" w:cs="Arial"/>
          <w:color w:val="000000"/>
          <w:sz w:val="26"/>
          <w:szCs w:val="26"/>
        </w:rPr>
        <w:t xml:space="preserve">, prevedenti il pagamento di </w:t>
      </w:r>
      <w:r w:rsidR="0075445A" w:rsidRPr="0075445A">
        <w:rPr>
          <w:rFonts w:ascii="Garamond" w:eastAsia="Arial" w:hAnsi="Garamond" w:cs="Arial"/>
          <w:color w:val="000000"/>
          <w:sz w:val="26"/>
          <w:szCs w:val="26"/>
        </w:rPr>
        <w:t xml:space="preserve">somma da </w:t>
      </w:r>
      <w:r w:rsidR="00294B18">
        <w:rPr>
          <w:rFonts w:ascii="Garamond" w:eastAsia="Arial" w:hAnsi="Garamond" w:cs="Arial"/>
          <w:color w:val="000000"/>
          <w:sz w:val="26"/>
          <w:szCs w:val="26"/>
        </w:rPr>
        <w:t xml:space="preserve">parte di </w:t>
      </w:r>
      <w:r w:rsidR="0075445A" w:rsidRPr="0075445A">
        <w:rPr>
          <w:rFonts w:ascii="Garamond" w:eastAsia="Arial" w:hAnsi="Garamond" w:cs="Arial"/>
          <w:color w:val="000000"/>
          <w:sz w:val="26"/>
          <w:szCs w:val="26"/>
        </w:rPr>
        <w:t xml:space="preserve">uno dei due contraenti </w:t>
      </w:r>
      <w:r w:rsidR="00294B18">
        <w:rPr>
          <w:rFonts w:ascii="Garamond" w:eastAsia="Arial" w:hAnsi="Garamond" w:cs="Arial"/>
          <w:color w:val="000000"/>
          <w:sz w:val="26"/>
          <w:szCs w:val="26"/>
        </w:rPr>
        <w:t xml:space="preserve">(in genere la banca) a beneficio dell’altro </w:t>
      </w:r>
      <w:r w:rsidR="0075445A" w:rsidRPr="0075445A">
        <w:rPr>
          <w:rFonts w:ascii="Garamond" w:eastAsia="Arial" w:hAnsi="Garamond" w:cs="Arial"/>
          <w:color w:val="000000"/>
          <w:sz w:val="26"/>
          <w:szCs w:val="26"/>
        </w:rPr>
        <w:t xml:space="preserve">al momento della stipula del </w:t>
      </w:r>
      <w:r w:rsidR="00294B18">
        <w:rPr>
          <w:rFonts w:ascii="Garamond" w:eastAsia="Arial" w:hAnsi="Garamond" w:cs="Arial"/>
          <w:color w:val="000000"/>
          <w:sz w:val="26"/>
          <w:szCs w:val="26"/>
        </w:rPr>
        <w:t>“</w:t>
      </w:r>
      <w:r w:rsidR="0075445A" w:rsidRPr="0075445A">
        <w:rPr>
          <w:rFonts w:ascii="Garamond" w:eastAsia="Arial" w:hAnsi="Garamond" w:cs="Arial"/>
          <w:color w:val="000000"/>
          <w:sz w:val="26"/>
          <w:szCs w:val="26"/>
        </w:rPr>
        <w:t>derivato</w:t>
      </w:r>
      <w:r w:rsidR="00294B18">
        <w:rPr>
          <w:rFonts w:ascii="Garamond" w:eastAsia="Arial" w:hAnsi="Garamond" w:cs="Arial"/>
          <w:color w:val="000000"/>
          <w:sz w:val="26"/>
          <w:szCs w:val="26"/>
        </w:rPr>
        <w:t>”</w:t>
      </w:r>
      <w:r w:rsidR="0075445A" w:rsidRPr="0075445A">
        <w:rPr>
          <w:rFonts w:ascii="Garamond" w:eastAsia="Arial" w:hAnsi="Garamond" w:cs="Arial"/>
          <w:color w:val="000000"/>
          <w:sz w:val="26"/>
          <w:szCs w:val="26"/>
        </w:rPr>
        <w:t>.</w:t>
      </w:r>
    </w:p>
    <w:p w:rsidR="00294B18" w:rsidRDefault="00294B18" w:rsidP="0075445A">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Come ricordato dalla sezione, trattasi di una clausola molto diffusa nella prassi, la cui esistenza non inficia di per sé la validità del “derivato”, </w:t>
      </w:r>
      <w:r w:rsidR="00A61E59">
        <w:rPr>
          <w:rFonts w:ascii="Garamond" w:eastAsia="Arial" w:hAnsi="Garamond" w:cs="Arial"/>
          <w:color w:val="000000"/>
          <w:sz w:val="26"/>
          <w:szCs w:val="26"/>
        </w:rPr>
        <w:t xml:space="preserve">visto che </w:t>
      </w:r>
      <w:r>
        <w:rPr>
          <w:rFonts w:ascii="Garamond" w:eastAsia="Arial" w:hAnsi="Garamond" w:cs="Arial"/>
          <w:color w:val="000000"/>
          <w:sz w:val="26"/>
          <w:szCs w:val="26"/>
        </w:rPr>
        <w:t xml:space="preserve">la sua funzione può </w:t>
      </w:r>
      <w:r w:rsidR="00A61E59">
        <w:rPr>
          <w:rFonts w:ascii="Garamond" w:eastAsia="Arial" w:hAnsi="Garamond" w:cs="Arial"/>
          <w:color w:val="000000"/>
          <w:sz w:val="26"/>
          <w:szCs w:val="26"/>
        </w:rPr>
        <w:t xml:space="preserve">essere </w:t>
      </w:r>
      <w:r w:rsidR="00A61E59" w:rsidRPr="00B37389">
        <w:rPr>
          <w:rFonts w:ascii="Garamond" w:eastAsia="Arial" w:hAnsi="Garamond" w:cs="Arial"/>
          <w:color w:val="000000"/>
          <w:sz w:val="26"/>
          <w:szCs w:val="26"/>
        </w:rPr>
        <w:t>(</w:t>
      </w:r>
      <w:r w:rsidR="00B37389" w:rsidRPr="00B37389">
        <w:rPr>
          <w:rFonts w:ascii="Garamond" w:eastAsia="Arial" w:hAnsi="Garamond" w:cs="Arial"/>
          <w:color w:val="000000"/>
          <w:sz w:val="26"/>
          <w:szCs w:val="26"/>
        </w:rPr>
        <w:t xml:space="preserve">o </w:t>
      </w:r>
      <w:r w:rsidRPr="00B37389">
        <w:rPr>
          <w:rFonts w:ascii="Garamond" w:eastAsia="Arial" w:hAnsi="Garamond" w:cs="Arial"/>
          <w:color w:val="000000"/>
          <w:sz w:val="26"/>
          <w:szCs w:val="26"/>
        </w:rPr>
        <w:t>d</w:t>
      </w:r>
      <w:r>
        <w:rPr>
          <w:rFonts w:ascii="Garamond" w:eastAsia="Arial" w:hAnsi="Garamond" w:cs="Arial"/>
          <w:color w:val="000000"/>
          <w:sz w:val="26"/>
          <w:szCs w:val="26"/>
        </w:rPr>
        <w:t xml:space="preserve">ovrebbe essere) quella di riequilibrare il valore </w:t>
      </w:r>
      <w:r w:rsidR="00B37389">
        <w:rPr>
          <w:rFonts w:ascii="Garamond" w:eastAsia="Arial" w:hAnsi="Garamond" w:cs="Arial"/>
          <w:color w:val="000000"/>
          <w:sz w:val="26"/>
          <w:szCs w:val="26"/>
        </w:rPr>
        <w:t xml:space="preserve">di partenza </w:t>
      </w:r>
      <w:r>
        <w:rPr>
          <w:rFonts w:ascii="Garamond" w:eastAsia="Arial" w:hAnsi="Garamond" w:cs="Arial"/>
          <w:color w:val="000000"/>
          <w:sz w:val="26"/>
          <w:szCs w:val="26"/>
        </w:rPr>
        <w:t xml:space="preserve">dello strumento finanziario quando esso non è pari a zero (c.d. contratti </w:t>
      </w:r>
      <w:r>
        <w:rPr>
          <w:rFonts w:ascii="Garamond" w:eastAsia="Arial" w:hAnsi="Garamond" w:cs="Arial"/>
          <w:i/>
          <w:color w:val="000000"/>
          <w:sz w:val="26"/>
          <w:szCs w:val="26"/>
        </w:rPr>
        <w:t>non par</w:t>
      </w:r>
      <w:r w:rsidR="009C0FDF">
        <w:rPr>
          <w:rFonts w:ascii="Garamond" w:eastAsia="Arial" w:hAnsi="Garamond" w:cs="Arial"/>
          <w:color w:val="000000"/>
          <w:sz w:val="26"/>
          <w:szCs w:val="26"/>
        </w:rPr>
        <w:t>), compensando la parte che accetta condizioni più penalizzanti.</w:t>
      </w:r>
    </w:p>
    <w:p w:rsidR="00294B18" w:rsidRDefault="009C0FDF" w:rsidP="0075445A">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La sua validità (e di quella del </w:t>
      </w:r>
      <w:r w:rsidR="00A61E59">
        <w:rPr>
          <w:rFonts w:ascii="Garamond" w:eastAsia="Arial" w:hAnsi="Garamond" w:cs="Arial"/>
          <w:color w:val="000000"/>
          <w:sz w:val="26"/>
          <w:szCs w:val="26"/>
        </w:rPr>
        <w:t>“</w:t>
      </w:r>
      <w:r>
        <w:rPr>
          <w:rFonts w:ascii="Garamond" w:eastAsia="Arial" w:hAnsi="Garamond" w:cs="Arial"/>
          <w:color w:val="000000"/>
          <w:sz w:val="26"/>
          <w:szCs w:val="26"/>
        </w:rPr>
        <w:t>derivato</w:t>
      </w:r>
      <w:r w:rsidR="00A61E59">
        <w:rPr>
          <w:rFonts w:ascii="Garamond" w:eastAsia="Arial" w:hAnsi="Garamond" w:cs="Arial"/>
          <w:color w:val="000000"/>
          <w:sz w:val="26"/>
          <w:szCs w:val="26"/>
        </w:rPr>
        <w:t>”</w:t>
      </w:r>
      <w:r>
        <w:rPr>
          <w:rFonts w:ascii="Garamond" w:eastAsia="Arial" w:hAnsi="Garamond" w:cs="Arial"/>
          <w:color w:val="000000"/>
          <w:sz w:val="26"/>
          <w:szCs w:val="26"/>
        </w:rPr>
        <w:t xml:space="preserve"> cui inerisce) va , quindi, verificata caso per caso, nel concreto assetto del rapporto negoziale predisposto dalle parti </w:t>
      </w:r>
      <w:r w:rsidRPr="004B05C9">
        <w:rPr>
          <w:rStyle w:val="Rimandonotaapidipagina"/>
          <w:rFonts w:ascii="Garamond" w:eastAsia="Arial" w:hAnsi="Garamond" w:cs="Arial"/>
          <w:color w:val="000000"/>
          <w:sz w:val="26"/>
          <w:szCs w:val="26"/>
        </w:rPr>
        <w:footnoteReference w:id="27"/>
      </w:r>
      <w:r>
        <w:rPr>
          <w:rFonts w:ascii="Garamond" w:eastAsia="Arial" w:hAnsi="Garamond" w:cs="Arial"/>
          <w:color w:val="000000"/>
          <w:sz w:val="26"/>
          <w:szCs w:val="26"/>
        </w:rPr>
        <w:t>.</w:t>
      </w:r>
    </w:p>
    <w:p w:rsidR="00751724" w:rsidRDefault="009C0FDF" w:rsidP="0075445A">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Nei </w:t>
      </w:r>
      <w:r w:rsidR="00370C6E">
        <w:rPr>
          <w:rFonts w:ascii="Garamond" w:eastAsia="Arial" w:hAnsi="Garamond" w:cs="Arial"/>
          <w:color w:val="000000"/>
          <w:sz w:val="26"/>
          <w:szCs w:val="26"/>
        </w:rPr>
        <w:t>“</w:t>
      </w:r>
      <w:r>
        <w:rPr>
          <w:rFonts w:ascii="Garamond" w:eastAsia="Arial" w:hAnsi="Garamond" w:cs="Arial"/>
          <w:color w:val="000000"/>
          <w:sz w:val="26"/>
          <w:szCs w:val="26"/>
        </w:rPr>
        <w:t>derivati</w:t>
      </w:r>
      <w:r w:rsidR="00370C6E">
        <w:rPr>
          <w:rFonts w:ascii="Garamond" w:eastAsia="Arial" w:hAnsi="Garamond" w:cs="Arial"/>
          <w:color w:val="000000"/>
          <w:sz w:val="26"/>
          <w:szCs w:val="26"/>
        </w:rPr>
        <w:t>”</w:t>
      </w:r>
      <w:r>
        <w:rPr>
          <w:rFonts w:ascii="Garamond" w:eastAsia="Arial" w:hAnsi="Garamond" w:cs="Arial"/>
          <w:color w:val="000000"/>
          <w:sz w:val="26"/>
          <w:szCs w:val="26"/>
        </w:rPr>
        <w:t xml:space="preserve"> degli Enti pubblici (ed in particolare degli Enti territoriali) tale clausola assume, però, una specifica valenza, potendo assumere i tratti di un vero e proprio “finanziamento” </w:t>
      </w:r>
      <w:r w:rsidR="00EA3D97">
        <w:rPr>
          <w:rFonts w:ascii="Garamond" w:eastAsia="Arial" w:hAnsi="Garamond" w:cs="Arial"/>
          <w:color w:val="000000"/>
          <w:sz w:val="26"/>
          <w:szCs w:val="26"/>
        </w:rPr>
        <w:t xml:space="preserve">dell’Ente </w:t>
      </w:r>
      <w:r>
        <w:rPr>
          <w:rFonts w:ascii="Garamond" w:eastAsia="Arial" w:hAnsi="Garamond" w:cs="Arial"/>
          <w:color w:val="000000"/>
          <w:sz w:val="26"/>
          <w:szCs w:val="26"/>
        </w:rPr>
        <w:t xml:space="preserve">e quindi </w:t>
      </w:r>
      <w:r w:rsidR="00EA3D97">
        <w:rPr>
          <w:rFonts w:ascii="Garamond" w:eastAsia="Arial" w:hAnsi="Garamond" w:cs="Arial"/>
          <w:color w:val="000000"/>
          <w:sz w:val="26"/>
          <w:szCs w:val="26"/>
        </w:rPr>
        <w:t>di un suo “indebitamento”, con rilevanti conseguenze in ordine alla discipl</w:t>
      </w:r>
      <w:r w:rsidR="00751724">
        <w:rPr>
          <w:rFonts w:ascii="Garamond" w:eastAsia="Arial" w:hAnsi="Garamond" w:cs="Arial"/>
          <w:color w:val="000000"/>
          <w:sz w:val="26"/>
          <w:szCs w:val="26"/>
        </w:rPr>
        <w:t>ina (pubblicistica) applicabile.</w:t>
      </w:r>
    </w:p>
    <w:p w:rsidR="002D06CF" w:rsidRDefault="00EA3D97" w:rsidP="00370C6E">
      <w:pPr>
        <w:spacing w:line="360" w:lineRule="auto"/>
        <w:ind w:left="567" w:right="567"/>
        <w:jc w:val="both"/>
        <w:rPr>
          <w:rFonts w:ascii="Garamond" w:hAnsi="Garamond"/>
          <w:sz w:val="26"/>
          <w:szCs w:val="26"/>
        </w:rPr>
      </w:pPr>
      <w:r>
        <w:rPr>
          <w:rFonts w:ascii="Garamond" w:eastAsia="Arial" w:hAnsi="Garamond" w:cs="Arial"/>
          <w:color w:val="000000"/>
          <w:sz w:val="26"/>
          <w:szCs w:val="26"/>
        </w:rPr>
        <w:tab/>
        <w:t xml:space="preserve">Invero, proprio nel caso definito dalle Sezioni Unite, l’Ente aveva sin </w:t>
      </w:r>
      <w:r w:rsidR="00370C6E">
        <w:rPr>
          <w:rFonts w:ascii="Garamond" w:eastAsia="Arial" w:hAnsi="Garamond" w:cs="Arial"/>
          <w:color w:val="000000"/>
          <w:sz w:val="26"/>
          <w:szCs w:val="26"/>
        </w:rPr>
        <w:t xml:space="preserve">dall’inizio sostenuto che i rilevanti </w:t>
      </w:r>
      <w:r w:rsidR="00370C6E" w:rsidRPr="0075445A">
        <w:rPr>
          <w:rFonts w:ascii="Garamond" w:eastAsia="Arial" w:hAnsi="Garamond" w:cs="Arial"/>
          <w:i/>
          <w:iCs/>
          <w:color w:val="000000"/>
          <w:sz w:val="26"/>
          <w:szCs w:val="26"/>
        </w:rPr>
        <w:t>up-front</w:t>
      </w:r>
      <w:r w:rsidR="00370C6E" w:rsidRPr="0075445A">
        <w:rPr>
          <w:rFonts w:ascii="Garamond" w:eastAsia="Arial" w:hAnsi="Garamond" w:cs="Arial"/>
          <w:color w:val="000000"/>
          <w:sz w:val="26"/>
          <w:szCs w:val="26"/>
        </w:rPr>
        <w:t xml:space="preserve"> </w:t>
      </w:r>
      <w:r w:rsidR="003C5071">
        <w:rPr>
          <w:rFonts w:ascii="Garamond" w:eastAsia="Arial" w:hAnsi="Garamond" w:cs="Arial"/>
          <w:color w:val="000000"/>
          <w:sz w:val="26"/>
          <w:szCs w:val="26"/>
        </w:rPr>
        <w:t>(</w:t>
      </w:r>
      <w:r w:rsidR="00370C6E">
        <w:rPr>
          <w:rFonts w:ascii="Garamond" w:eastAsia="Arial" w:hAnsi="Garamond" w:cs="Arial"/>
          <w:color w:val="000000"/>
          <w:sz w:val="26"/>
          <w:szCs w:val="26"/>
        </w:rPr>
        <w:t xml:space="preserve">previsti nei </w:t>
      </w:r>
      <w:r w:rsidR="00A61E59">
        <w:rPr>
          <w:rFonts w:ascii="Garamond" w:eastAsia="Arial" w:hAnsi="Garamond" w:cs="Arial"/>
          <w:color w:val="000000"/>
          <w:sz w:val="26"/>
          <w:szCs w:val="26"/>
        </w:rPr>
        <w:t>d</w:t>
      </w:r>
      <w:r w:rsidR="003C5071">
        <w:rPr>
          <w:rFonts w:ascii="Garamond" w:eastAsia="Arial" w:hAnsi="Garamond" w:cs="Arial"/>
          <w:color w:val="000000"/>
          <w:sz w:val="26"/>
          <w:szCs w:val="26"/>
        </w:rPr>
        <w:t>ue contratti conclusi nel 2003) erano</w:t>
      </w:r>
      <w:r w:rsidR="00A61E59">
        <w:rPr>
          <w:rFonts w:ascii="Garamond" w:eastAsia="Arial" w:hAnsi="Garamond" w:cs="Arial"/>
          <w:color w:val="000000"/>
          <w:sz w:val="26"/>
          <w:szCs w:val="26"/>
        </w:rPr>
        <w:t xml:space="preserve"> </w:t>
      </w:r>
      <w:r w:rsidR="003C5071">
        <w:rPr>
          <w:rFonts w:ascii="Garamond" w:eastAsia="Arial" w:hAnsi="Garamond" w:cs="Arial"/>
          <w:color w:val="000000"/>
          <w:sz w:val="26"/>
          <w:szCs w:val="26"/>
        </w:rPr>
        <w:t xml:space="preserve">sostanzialmente </w:t>
      </w:r>
      <w:r w:rsidR="00A61E59">
        <w:rPr>
          <w:rFonts w:ascii="Garamond" w:eastAsia="Arial" w:hAnsi="Garamond" w:cs="Arial"/>
          <w:color w:val="000000"/>
          <w:sz w:val="26"/>
          <w:szCs w:val="26"/>
        </w:rPr>
        <w:t>assimilabili ad un vero e proprio “finanziamento”,</w:t>
      </w:r>
      <w:r w:rsidR="00370C6E">
        <w:rPr>
          <w:rFonts w:ascii="Garamond" w:eastAsia="Arial" w:hAnsi="Garamond" w:cs="Arial"/>
          <w:color w:val="000000"/>
          <w:sz w:val="26"/>
          <w:szCs w:val="26"/>
        </w:rPr>
        <w:t xml:space="preserve"> </w:t>
      </w:r>
      <w:r w:rsidR="003C5071">
        <w:rPr>
          <w:rFonts w:ascii="Garamond" w:eastAsia="Arial" w:hAnsi="Garamond" w:cs="Arial"/>
          <w:color w:val="000000"/>
          <w:sz w:val="26"/>
          <w:szCs w:val="26"/>
        </w:rPr>
        <w:t xml:space="preserve">sì che </w:t>
      </w:r>
      <w:r w:rsidR="00370C6E">
        <w:rPr>
          <w:rFonts w:ascii="Garamond" w:eastAsia="Arial" w:hAnsi="Garamond" w:cs="Arial"/>
          <w:color w:val="000000"/>
          <w:sz w:val="26"/>
          <w:szCs w:val="26"/>
        </w:rPr>
        <w:t xml:space="preserve">costituivano un </w:t>
      </w:r>
      <w:r w:rsidR="00370C6E" w:rsidRPr="0075445A">
        <w:rPr>
          <w:rFonts w:ascii="Garamond" w:eastAsia="Arial" w:hAnsi="Garamond" w:cs="Arial"/>
          <w:color w:val="000000"/>
          <w:sz w:val="26"/>
          <w:szCs w:val="26"/>
        </w:rPr>
        <w:t>eleme</w:t>
      </w:r>
      <w:r w:rsidR="00370C6E">
        <w:rPr>
          <w:rFonts w:ascii="Garamond" w:eastAsia="Arial" w:hAnsi="Garamond" w:cs="Arial"/>
          <w:color w:val="000000"/>
          <w:sz w:val="26"/>
          <w:szCs w:val="26"/>
        </w:rPr>
        <w:t>nto di fondamentale importanza d</w:t>
      </w:r>
      <w:r w:rsidR="00370C6E" w:rsidRPr="0075445A">
        <w:rPr>
          <w:rFonts w:ascii="Garamond" w:eastAsia="Arial" w:hAnsi="Garamond" w:cs="Arial"/>
          <w:color w:val="000000"/>
          <w:sz w:val="26"/>
          <w:szCs w:val="26"/>
        </w:rPr>
        <w:t>el programma contrattuale stabilito dalle parti, capace di</w:t>
      </w:r>
      <w:r w:rsidR="00370C6E">
        <w:rPr>
          <w:rFonts w:ascii="Garamond" w:eastAsia="Arial" w:hAnsi="Garamond" w:cs="Arial"/>
          <w:color w:val="000000"/>
          <w:sz w:val="26"/>
          <w:szCs w:val="26"/>
        </w:rPr>
        <w:t xml:space="preserve"> </w:t>
      </w:r>
      <w:r w:rsidR="00370C6E" w:rsidRPr="0075445A">
        <w:rPr>
          <w:rFonts w:ascii="Garamond" w:hAnsi="Garamond"/>
          <w:sz w:val="26"/>
          <w:szCs w:val="26"/>
        </w:rPr>
        <w:t>entra</w:t>
      </w:r>
      <w:r w:rsidR="00370C6E">
        <w:rPr>
          <w:rFonts w:ascii="Garamond" w:hAnsi="Garamond"/>
          <w:sz w:val="26"/>
          <w:szCs w:val="26"/>
        </w:rPr>
        <w:t>re</w:t>
      </w:r>
      <w:r w:rsidR="00370C6E" w:rsidRPr="0075445A">
        <w:rPr>
          <w:rFonts w:ascii="Garamond" w:hAnsi="Garamond"/>
          <w:sz w:val="26"/>
          <w:szCs w:val="26"/>
        </w:rPr>
        <w:t xml:space="preserve"> nella "causa" del contratto e quindi in grado di influire sulla </w:t>
      </w:r>
      <w:r w:rsidR="00370C6E">
        <w:rPr>
          <w:rFonts w:ascii="Garamond" w:hAnsi="Garamond"/>
          <w:sz w:val="26"/>
          <w:szCs w:val="26"/>
        </w:rPr>
        <w:t xml:space="preserve">sua </w:t>
      </w:r>
      <w:r w:rsidR="00370C6E" w:rsidRPr="0075445A">
        <w:rPr>
          <w:rFonts w:ascii="Garamond" w:hAnsi="Garamond"/>
          <w:sz w:val="26"/>
          <w:szCs w:val="26"/>
        </w:rPr>
        <w:t xml:space="preserve">qualificazione giuridica e sulla disciplina </w:t>
      </w:r>
      <w:r w:rsidR="002D06CF">
        <w:rPr>
          <w:rFonts w:ascii="Garamond" w:hAnsi="Garamond"/>
          <w:sz w:val="26"/>
          <w:szCs w:val="26"/>
        </w:rPr>
        <w:t xml:space="preserve">ad esso </w:t>
      </w:r>
      <w:r w:rsidR="00370C6E" w:rsidRPr="0075445A">
        <w:rPr>
          <w:rFonts w:ascii="Garamond" w:hAnsi="Garamond"/>
          <w:sz w:val="26"/>
          <w:szCs w:val="26"/>
        </w:rPr>
        <w:t>applicabile</w:t>
      </w:r>
      <w:r w:rsidR="00751724">
        <w:rPr>
          <w:rFonts w:ascii="Garamond" w:hAnsi="Garamond"/>
          <w:sz w:val="26"/>
          <w:szCs w:val="26"/>
        </w:rPr>
        <w:t xml:space="preserve">, sia sul piano sostanziale, che </w:t>
      </w:r>
      <w:r w:rsidR="003C5071">
        <w:rPr>
          <w:rFonts w:ascii="Garamond" w:hAnsi="Garamond"/>
          <w:sz w:val="26"/>
          <w:szCs w:val="26"/>
        </w:rPr>
        <w:t xml:space="preserve">su quello </w:t>
      </w:r>
      <w:r w:rsidR="00751724">
        <w:rPr>
          <w:rFonts w:ascii="Garamond" w:hAnsi="Garamond"/>
          <w:sz w:val="26"/>
          <w:szCs w:val="26"/>
        </w:rPr>
        <w:t>procedimentale</w:t>
      </w:r>
      <w:r w:rsidR="00370C6E">
        <w:rPr>
          <w:rFonts w:ascii="Garamond" w:hAnsi="Garamond"/>
          <w:sz w:val="26"/>
          <w:szCs w:val="26"/>
        </w:rPr>
        <w:t xml:space="preserve"> </w:t>
      </w:r>
      <w:r w:rsidR="002D06CF" w:rsidRPr="004B05C9">
        <w:rPr>
          <w:rStyle w:val="Rimandonotaapidipagina"/>
          <w:rFonts w:ascii="Garamond" w:eastAsia="Arial" w:hAnsi="Garamond" w:cs="Arial"/>
          <w:color w:val="000000"/>
          <w:sz w:val="26"/>
          <w:szCs w:val="26"/>
        </w:rPr>
        <w:footnoteReference w:id="28"/>
      </w:r>
      <w:r w:rsidR="002D06CF">
        <w:rPr>
          <w:rFonts w:ascii="Garamond" w:hAnsi="Garamond"/>
          <w:sz w:val="26"/>
          <w:szCs w:val="26"/>
        </w:rPr>
        <w:t>.</w:t>
      </w:r>
    </w:p>
    <w:p w:rsidR="00DB1210" w:rsidRPr="00DB1210" w:rsidRDefault="002D06CF" w:rsidP="00DB1210">
      <w:pPr>
        <w:spacing w:line="360" w:lineRule="auto"/>
        <w:ind w:left="567" w:right="567"/>
        <w:jc w:val="both"/>
        <w:rPr>
          <w:rFonts w:ascii="Garamond" w:hAnsi="Garamond" w:cs="Arial"/>
          <w:color w:val="000000"/>
          <w:sz w:val="26"/>
          <w:szCs w:val="26"/>
        </w:rPr>
      </w:pPr>
      <w:r>
        <w:rPr>
          <w:rFonts w:ascii="Garamond" w:eastAsia="Arial" w:hAnsi="Garamond" w:cs="Arial"/>
          <w:color w:val="000000"/>
          <w:sz w:val="26"/>
          <w:szCs w:val="26"/>
        </w:rPr>
        <w:tab/>
        <w:t xml:space="preserve">In corso di causa </w:t>
      </w:r>
      <w:r w:rsidR="00DB1210">
        <w:rPr>
          <w:rFonts w:ascii="Garamond" w:eastAsia="Arial" w:hAnsi="Garamond" w:cs="Arial"/>
          <w:color w:val="000000"/>
          <w:sz w:val="26"/>
          <w:szCs w:val="26"/>
        </w:rPr>
        <w:t xml:space="preserve">era, poi, intervenuto </w:t>
      </w:r>
      <w:r w:rsidR="00DB1210">
        <w:rPr>
          <w:rFonts w:ascii="Garamond" w:hAnsi="Garamond" w:cs="Arial"/>
          <w:color w:val="000000"/>
          <w:sz w:val="26"/>
          <w:szCs w:val="26"/>
        </w:rPr>
        <w:t>l'art. 62 del d.l</w:t>
      </w:r>
      <w:r w:rsidRPr="00DB1210">
        <w:rPr>
          <w:rFonts w:ascii="Garamond" w:hAnsi="Garamond" w:cs="Arial"/>
          <w:color w:val="000000"/>
          <w:sz w:val="26"/>
          <w:szCs w:val="26"/>
        </w:rPr>
        <w:t>. 25</w:t>
      </w:r>
      <w:r w:rsidR="00DB1210">
        <w:rPr>
          <w:rFonts w:ascii="Garamond" w:hAnsi="Garamond" w:cs="Arial"/>
          <w:color w:val="000000"/>
          <w:sz w:val="26"/>
          <w:szCs w:val="26"/>
        </w:rPr>
        <w:t xml:space="preserve"> giugno </w:t>
      </w:r>
      <w:r w:rsidRPr="00DB1210">
        <w:rPr>
          <w:rFonts w:ascii="Garamond" w:hAnsi="Garamond" w:cs="Arial"/>
          <w:color w:val="000000"/>
          <w:sz w:val="26"/>
          <w:szCs w:val="26"/>
        </w:rPr>
        <w:t xml:space="preserve">2008, n. 112, </w:t>
      </w:r>
      <w:r w:rsidR="00DB1210">
        <w:rPr>
          <w:rFonts w:ascii="Garamond" w:hAnsi="Garamond" w:cs="Arial"/>
          <w:color w:val="000000"/>
          <w:sz w:val="26"/>
          <w:szCs w:val="26"/>
        </w:rPr>
        <w:t xml:space="preserve">modificato in sede di </w:t>
      </w:r>
      <w:r w:rsidRPr="00DB1210">
        <w:rPr>
          <w:rFonts w:ascii="Garamond" w:hAnsi="Garamond" w:cs="Arial"/>
          <w:color w:val="000000"/>
          <w:sz w:val="26"/>
          <w:szCs w:val="26"/>
        </w:rPr>
        <w:t xml:space="preserve">conversione </w:t>
      </w:r>
      <w:r w:rsidR="00DB1210">
        <w:rPr>
          <w:rFonts w:ascii="Garamond" w:hAnsi="Garamond" w:cs="Arial"/>
          <w:color w:val="000000"/>
          <w:sz w:val="26"/>
          <w:szCs w:val="26"/>
        </w:rPr>
        <w:t xml:space="preserve">dalla legge </w:t>
      </w:r>
      <w:r w:rsidRPr="00DB1210">
        <w:rPr>
          <w:rFonts w:ascii="Garamond" w:hAnsi="Garamond" w:cs="Arial"/>
          <w:color w:val="000000"/>
          <w:sz w:val="26"/>
          <w:szCs w:val="26"/>
        </w:rPr>
        <w:t>6</w:t>
      </w:r>
      <w:r w:rsidR="00DB1210">
        <w:rPr>
          <w:rFonts w:ascii="Garamond" w:hAnsi="Garamond" w:cs="Arial"/>
          <w:color w:val="000000"/>
          <w:sz w:val="26"/>
          <w:szCs w:val="26"/>
        </w:rPr>
        <w:t xml:space="preserve"> agosto </w:t>
      </w:r>
      <w:r w:rsidRPr="00DB1210">
        <w:rPr>
          <w:rFonts w:ascii="Garamond" w:hAnsi="Garamond" w:cs="Arial"/>
          <w:color w:val="000000"/>
          <w:sz w:val="26"/>
          <w:szCs w:val="26"/>
        </w:rPr>
        <w:t>2008, n. 133 e poi successivament</w:t>
      </w:r>
      <w:r w:rsidR="00DB1210">
        <w:rPr>
          <w:rFonts w:ascii="Garamond" w:hAnsi="Garamond" w:cs="Arial"/>
          <w:color w:val="000000"/>
          <w:sz w:val="26"/>
          <w:szCs w:val="26"/>
        </w:rPr>
        <w:t>e sostituito dall'art. 3 della l</w:t>
      </w:r>
      <w:r w:rsidRPr="00DB1210">
        <w:rPr>
          <w:rFonts w:ascii="Garamond" w:hAnsi="Garamond" w:cs="Arial"/>
          <w:color w:val="000000"/>
          <w:sz w:val="26"/>
          <w:szCs w:val="26"/>
        </w:rPr>
        <w:t>egge 22</w:t>
      </w:r>
      <w:r w:rsidR="00DB1210">
        <w:rPr>
          <w:rFonts w:ascii="Garamond" w:hAnsi="Garamond" w:cs="Arial"/>
          <w:color w:val="000000"/>
          <w:sz w:val="26"/>
          <w:szCs w:val="26"/>
        </w:rPr>
        <w:t xml:space="preserve"> dicembre </w:t>
      </w:r>
      <w:r w:rsidRPr="00DB1210">
        <w:rPr>
          <w:rFonts w:ascii="Garamond" w:hAnsi="Garamond" w:cs="Arial"/>
          <w:color w:val="000000"/>
          <w:sz w:val="26"/>
          <w:szCs w:val="26"/>
        </w:rPr>
        <w:t>2008, n. 203 (Fin</w:t>
      </w:r>
      <w:r w:rsidR="00DB1210">
        <w:rPr>
          <w:rFonts w:ascii="Garamond" w:hAnsi="Garamond" w:cs="Arial"/>
          <w:color w:val="000000"/>
          <w:sz w:val="26"/>
          <w:szCs w:val="26"/>
        </w:rPr>
        <w:t xml:space="preserve">anziaria 2009), il cui comma 9 </w:t>
      </w:r>
      <w:r w:rsidRPr="00DB1210">
        <w:rPr>
          <w:rFonts w:ascii="Garamond" w:hAnsi="Garamond" w:cs="Arial"/>
          <w:color w:val="000000"/>
          <w:sz w:val="26"/>
          <w:szCs w:val="26"/>
        </w:rPr>
        <w:t>a</w:t>
      </w:r>
      <w:r w:rsidR="00DB1210">
        <w:rPr>
          <w:rFonts w:ascii="Garamond" w:hAnsi="Garamond" w:cs="Arial"/>
          <w:color w:val="000000"/>
          <w:sz w:val="26"/>
          <w:szCs w:val="26"/>
        </w:rPr>
        <w:t>veva</w:t>
      </w:r>
      <w:r w:rsidRPr="00DB1210">
        <w:rPr>
          <w:rFonts w:ascii="Garamond" w:hAnsi="Garamond" w:cs="Arial"/>
          <w:color w:val="000000"/>
          <w:sz w:val="26"/>
          <w:szCs w:val="26"/>
        </w:rPr>
        <w:t xml:space="preserve"> chiarito che "</w:t>
      </w:r>
      <w:r w:rsidRPr="00DB1210">
        <w:rPr>
          <w:rFonts w:ascii="Garamond" w:hAnsi="Garamond" w:cs="Arial"/>
          <w:i/>
          <w:iCs/>
          <w:color w:val="000000"/>
          <w:sz w:val="26"/>
          <w:szCs w:val="26"/>
        </w:rPr>
        <w:t xml:space="preserve">sulla base dei criteri definiti in sede europea dall'Ufficio statistico delle Comunità europee (EUROSTAT), l'eventuale premio incassato al momento del perfezionamento delle operazioni derivate" </w:t>
      </w:r>
      <w:r w:rsidRPr="00DB1210">
        <w:rPr>
          <w:rFonts w:ascii="Garamond" w:hAnsi="Garamond" w:cs="Arial"/>
          <w:color w:val="000000"/>
          <w:sz w:val="26"/>
          <w:szCs w:val="26"/>
        </w:rPr>
        <w:t xml:space="preserve">costituisce </w:t>
      </w:r>
      <w:r w:rsidRPr="00A61E59">
        <w:rPr>
          <w:rFonts w:ascii="Garamond" w:hAnsi="Garamond" w:cs="Arial"/>
          <w:i/>
          <w:color w:val="000000"/>
          <w:sz w:val="26"/>
          <w:szCs w:val="26"/>
        </w:rPr>
        <w:t>"indebitamento"</w:t>
      </w:r>
      <w:r w:rsidRPr="00DB1210">
        <w:rPr>
          <w:rFonts w:ascii="Garamond" w:hAnsi="Garamond" w:cs="Arial"/>
          <w:color w:val="000000"/>
          <w:sz w:val="26"/>
          <w:szCs w:val="26"/>
        </w:rPr>
        <w:t xml:space="preserve"> dell'Ente</w:t>
      </w:r>
      <w:r w:rsidR="00DB1210">
        <w:rPr>
          <w:rFonts w:ascii="Garamond" w:hAnsi="Garamond" w:cs="Arial"/>
          <w:color w:val="000000"/>
          <w:sz w:val="26"/>
          <w:szCs w:val="26"/>
        </w:rPr>
        <w:t xml:space="preserve"> </w:t>
      </w:r>
      <w:r w:rsidR="00DB1210" w:rsidRPr="004B05C9">
        <w:rPr>
          <w:rStyle w:val="Rimandonotaapidipagina"/>
          <w:rFonts w:ascii="Garamond" w:eastAsia="Arial" w:hAnsi="Garamond" w:cs="Arial"/>
          <w:color w:val="000000"/>
          <w:sz w:val="26"/>
          <w:szCs w:val="26"/>
        </w:rPr>
        <w:footnoteReference w:id="29"/>
      </w:r>
      <w:r w:rsidRPr="00DB1210">
        <w:rPr>
          <w:rFonts w:ascii="Garamond" w:hAnsi="Garamond" w:cs="Arial"/>
          <w:color w:val="000000"/>
          <w:sz w:val="26"/>
          <w:szCs w:val="26"/>
        </w:rPr>
        <w:t>.</w:t>
      </w:r>
    </w:p>
    <w:p w:rsidR="002D06CF" w:rsidRDefault="00DB1210" w:rsidP="002D06CF">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Di talchè la Sezione rimettente </w:t>
      </w:r>
      <w:r w:rsidR="00751724">
        <w:rPr>
          <w:rFonts w:ascii="Garamond" w:eastAsia="Arial" w:hAnsi="Garamond" w:cs="Arial"/>
          <w:color w:val="000000"/>
          <w:sz w:val="26"/>
          <w:szCs w:val="26"/>
        </w:rPr>
        <w:t>della Corte di Cassazione</w:t>
      </w:r>
      <w:r w:rsidR="00A61E59">
        <w:rPr>
          <w:rFonts w:ascii="Garamond" w:eastAsia="Arial" w:hAnsi="Garamond" w:cs="Arial"/>
          <w:color w:val="000000"/>
          <w:sz w:val="26"/>
          <w:szCs w:val="26"/>
        </w:rPr>
        <w:t xml:space="preserve">, dopo avere dato atto della problematica </w:t>
      </w:r>
      <w:r w:rsidR="00A61E59" w:rsidRPr="004B05C9">
        <w:rPr>
          <w:rStyle w:val="Rimandonotaapidipagina"/>
          <w:rFonts w:ascii="Garamond" w:eastAsia="Arial" w:hAnsi="Garamond" w:cs="Arial"/>
          <w:color w:val="000000"/>
          <w:sz w:val="26"/>
          <w:szCs w:val="26"/>
        </w:rPr>
        <w:footnoteReference w:id="30"/>
      </w:r>
      <w:r w:rsidR="00A61E59">
        <w:rPr>
          <w:rFonts w:ascii="Garamond" w:eastAsia="Arial" w:hAnsi="Garamond" w:cs="Arial"/>
          <w:color w:val="000000"/>
          <w:sz w:val="26"/>
          <w:szCs w:val="26"/>
        </w:rPr>
        <w:t xml:space="preserve">, </w:t>
      </w:r>
      <w:r>
        <w:rPr>
          <w:rFonts w:ascii="Garamond" w:eastAsia="Arial" w:hAnsi="Garamond" w:cs="Arial"/>
          <w:color w:val="000000"/>
          <w:sz w:val="26"/>
          <w:szCs w:val="26"/>
        </w:rPr>
        <w:t xml:space="preserve">si era chiesta se </w:t>
      </w:r>
      <w:r>
        <w:rPr>
          <w:rFonts w:ascii="Garamond" w:eastAsia="Arial" w:hAnsi="Garamond" w:cs="Arial"/>
          <w:i/>
          <w:color w:val="000000"/>
          <w:sz w:val="26"/>
          <w:szCs w:val="26"/>
        </w:rPr>
        <w:t xml:space="preserve">&lt;&lt; lo swap, in particolare quello che </w:t>
      </w:r>
      <w:r w:rsidRPr="00DB1210">
        <w:rPr>
          <w:rFonts w:ascii="Garamond" w:hAnsi="Garamond"/>
          <w:i/>
          <w:color w:val="000000"/>
          <w:sz w:val="26"/>
          <w:szCs w:val="26"/>
        </w:rPr>
        <w:t>preveda un upfront - e non sia disciplinato ratione temporis dalla </w:t>
      </w:r>
      <w:r>
        <w:rPr>
          <w:rFonts w:ascii="Garamond" w:hAnsi="Garamond"/>
          <w:i/>
          <w:color w:val="000000"/>
          <w:sz w:val="26"/>
          <w:szCs w:val="26"/>
        </w:rPr>
        <w:t xml:space="preserve">L. n. 133 del 2008, </w:t>
      </w:r>
      <w:r w:rsidRPr="00DB1210">
        <w:rPr>
          <w:rFonts w:ascii="Garamond" w:hAnsi="Garamond"/>
          <w:i/>
          <w:color w:val="000000"/>
          <w:sz w:val="26"/>
          <w:szCs w:val="26"/>
        </w:rPr>
        <w:t>di conversione del </w:t>
      </w:r>
      <w:r>
        <w:rPr>
          <w:rFonts w:ascii="Garamond" w:hAnsi="Garamond"/>
          <w:i/>
          <w:color w:val="000000"/>
          <w:sz w:val="26"/>
          <w:szCs w:val="26"/>
        </w:rPr>
        <w:t xml:space="preserve">D.L. n. 112 del 2008 </w:t>
      </w:r>
      <w:r w:rsidRPr="00DB1210">
        <w:rPr>
          <w:rFonts w:ascii="Garamond" w:hAnsi="Garamond"/>
          <w:i/>
          <w:color w:val="000000"/>
          <w:sz w:val="26"/>
          <w:szCs w:val="26"/>
        </w:rPr>
        <w:t>-, costituisca per l'ente locale un'operazione che generi un indebitamento per finanziare spese diverse da quelle di investimento, a norma della </w:t>
      </w:r>
      <w:r>
        <w:rPr>
          <w:rFonts w:ascii="Garamond" w:hAnsi="Garamond"/>
          <w:i/>
          <w:color w:val="000000"/>
          <w:sz w:val="26"/>
          <w:szCs w:val="26"/>
        </w:rPr>
        <w:t>L. n. 289 del 2002, art. 30, comma 15</w:t>
      </w:r>
      <w:r w:rsidR="00751724">
        <w:rPr>
          <w:rFonts w:ascii="Garamond" w:hAnsi="Garamond"/>
          <w:i/>
          <w:color w:val="000000"/>
          <w:sz w:val="26"/>
          <w:szCs w:val="26"/>
        </w:rPr>
        <w:t xml:space="preserve"> &gt;&gt;</w:t>
      </w:r>
      <w:r w:rsidR="00751724">
        <w:rPr>
          <w:rFonts w:ascii="Garamond" w:hAnsi="Garamond"/>
          <w:color w:val="000000"/>
          <w:sz w:val="26"/>
          <w:szCs w:val="26"/>
        </w:rPr>
        <w:t>.</w:t>
      </w:r>
      <w:r w:rsidR="002D06CF">
        <w:rPr>
          <w:rFonts w:ascii="Garamond" w:eastAsia="Arial" w:hAnsi="Garamond" w:cs="Arial"/>
          <w:color w:val="000000"/>
          <w:sz w:val="26"/>
          <w:szCs w:val="26"/>
        </w:rPr>
        <w:tab/>
      </w:r>
    </w:p>
    <w:p w:rsidR="00751724" w:rsidRDefault="00751724" w:rsidP="002D06CF">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Nel risolvere la questione</w:t>
      </w:r>
      <w:r w:rsidR="00A00DF5">
        <w:rPr>
          <w:rFonts w:ascii="Garamond" w:hAnsi="Garamond" w:cs="Arial"/>
          <w:color w:val="000000"/>
          <w:sz w:val="26"/>
          <w:szCs w:val="26"/>
        </w:rPr>
        <w:t>,</w:t>
      </w:r>
      <w:r>
        <w:rPr>
          <w:rFonts w:ascii="Garamond" w:hAnsi="Garamond" w:cs="Arial"/>
          <w:color w:val="000000"/>
          <w:sz w:val="26"/>
          <w:szCs w:val="26"/>
        </w:rPr>
        <w:t xml:space="preserve"> le Sezioni Unite non </w:t>
      </w:r>
      <w:r w:rsidR="00A61E59">
        <w:rPr>
          <w:rFonts w:ascii="Garamond" w:hAnsi="Garamond" w:cs="Arial"/>
          <w:color w:val="000000"/>
          <w:sz w:val="26"/>
          <w:szCs w:val="26"/>
        </w:rPr>
        <w:t>hanno esitat</w:t>
      </w:r>
      <w:r>
        <w:rPr>
          <w:rFonts w:ascii="Garamond" w:hAnsi="Garamond" w:cs="Arial"/>
          <w:color w:val="000000"/>
          <w:sz w:val="26"/>
          <w:szCs w:val="26"/>
        </w:rPr>
        <w:t xml:space="preserve">o ad affermare che clausole siffatte valgono a qualificare le somme percepite dall’Ente come </w:t>
      </w:r>
      <w:r w:rsidRPr="002064A8">
        <w:rPr>
          <w:rFonts w:ascii="Garamond" w:hAnsi="Garamond" w:cs="Arial"/>
          <w:i/>
          <w:color w:val="000000"/>
          <w:sz w:val="26"/>
          <w:szCs w:val="26"/>
        </w:rPr>
        <w:t>“finanziamento”</w:t>
      </w:r>
      <w:r>
        <w:rPr>
          <w:rFonts w:ascii="Garamond" w:hAnsi="Garamond" w:cs="Arial"/>
          <w:color w:val="000000"/>
          <w:sz w:val="26"/>
          <w:szCs w:val="26"/>
        </w:rPr>
        <w:t xml:space="preserve"> (punto 10.1.2. della sentenza), con la conseguenza che l’in</w:t>
      </w:r>
      <w:r w:rsidR="00ED5D96">
        <w:rPr>
          <w:rFonts w:ascii="Garamond" w:hAnsi="Garamond" w:cs="Arial"/>
          <w:color w:val="000000"/>
          <w:sz w:val="26"/>
          <w:szCs w:val="26"/>
        </w:rPr>
        <w:t xml:space="preserve">tera operazione del “derivato”, che </w:t>
      </w:r>
      <w:r w:rsidR="00ED5D96">
        <w:rPr>
          <w:rFonts w:ascii="Garamond" w:hAnsi="Garamond" w:cs="Arial"/>
          <w:i/>
          <w:color w:val="000000"/>
          <w:sz w:val="26"/>
          <w:szCs w:val="26"/>
        </w:rPr>
        <w:t>&lt;&lt; va guardata nel suo complesso &gt;&gt;</w:t>
      </w:r>
      <w:r w:rsidR="00ED5D96">
        <w:rPr>
          <w:rFonts w:ascii="Garamond" w:hAnsi="Garamond" w:cs="Arial"/>
          <w:color w:val="000000"/>
          <w:sz w:val="26"/>
          <w:szCs w:val="26"/>
        </w:rPr>
        <w:t xml:space="preserve">, può tradursi sostanzialmente in un </w:t>
      </w:r>
      <w:r w:rsidR="00ED5D96" w:rsidRPr="002064A8">
        <w:rPr>
          <w:rFonts w:ascii="Garamond" w:hAnsi="Garamond" w:cs="Arial"/>
          <w:i/>
          <w:color w:val="000000"/>
          <w:sz w:val="26"/>
          <w:szCs w:val="26"/>
        </w:rPr>
        <w:t>“indebitamento”</w:t>
      </w:r>
      <w:r w:rsidR="00ED5D96">
        <w:rPr>
          <w:rFonts w:ascii="Garamond" w:hAnsi="Garamond" w:cs="Arial"/>
          <w:color w:val="000000"/>
          <w:sz w:val="26"/>
          <w:szCs w:val="26"/>
        </w:rPr>
        <w:t xml:space="preserve"> (punto 10.1.4. della sentenza).</w:t>
      </w:r>
      <w:r>
        <w:rPr>
          <w:rFonts w:ascii="Garamond" w:hAnsi="Garamond" w:cs="Arial"/>
          <w:color w:val="000000"/>
          <w:sz w:val="26"/>
          <w:szCs w:val="26"/>
        </w:rPr>
        <w:t xml:space="preserve"> </w:t>
      </w:r>
    </w:p>
    <w:p w:rsidR="00751724" w:rsidRPr="00751724" w:rsidRDefault="00ED5D96" w:rsidP="002D06CF">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E </w:t>
      </w:r>
      <w:r w:rsidR="00751724">
        <w:rPr>
          <w:rFonts w:ascii="Garamond" w:hAnsi="Garamond" w:cs="Arial"/>
          <w:color w:val="000000"/>
          <w:sz w:val="26"/>
          <w:szCs w:val="26"/>
        </w:rPr>
        <w:t xml:space="preserve">ciò vale anche per il periodo antecedente l’entrata in vigore della legge n. 133 del 2008, atteso che </w:t>
      </w:r>
      <w:r w:rsidR="003C5071">
        <w:rPr>
          <w:rFonts w:ascii="Garamond" w:hAnsi="Garamond" w:cs="Arial"/>
          <w:color w:val="000000"/>
          <w:sz w:val="26"/>
          <w:szCs w:val="26"/>
        </w:rPr>
        <w:t xml:space="preserve">quest’ultima </w:t>
      </w:r>
      <w:r w:rsidR="00751724">
        <w:rPr>
          <w:rFonts w:ascii="Garamond" w:hAnsi="Garamond" w:cs="Arial"/>
          <w:color w:val="000000"/>
          <w:sz w:val="26"/>
          <w:szCs w:val="26"/>
        </w:rPr>
        <w:t xml:space="preserve">ha </w:t>
      </w:r>
      <w:r w:rsidR="00751724">
        <w:rPr>
          <w:rFonts w:ascii="Garamond" w:hAnsi="Garamond" w:cs="Arial"/>
          <w:i/>
          <w:color w:val="000000"/>
          <w:sz w:val="26"/>
          <w:szCs w:val="26"/>
        </w:rPr>
        <w:t>&lt;&lt; preso atto della natura di indebitamento di quanto conseguito con l’upfront, senza innovare l’ordinamento. &gt;&gt;</w:t>
      </w:r>
      <w:r w:rsidR="00C6109A">
        <w:rPr>
          <w:rFonts w:ascii="Garamond" w:hAnsi="Garamond" w:cs="Arial"/>
          <w:color w:val="000000"/>
          <w:sz w:val="26"/>
          <w:szCs w:val="26"/>
        </w:rPr>
        <w:t xml:space="preserve"> (punto 10.1.3. della sentenza), consacrando </w:t>
      </w:r>
      <w:r w:rsidR="00C6109A" w:rsidRPr="0075445A">
        <w:rPr>
          <w:rFonts w:ascii="Garamond" w:eastAsia="Lucida Sans Unicode" w:hAnsi="Garamond" w:cs="Arial"/>
          <w:color w:val="000000"/>
          <w:sz w:val="26"/>
          <w:szCs w:val="26"/>
        </w:rPr>
        <w:t xml:space="preserve">un assetto definitorio già </w:t>
      </w:r>
      <w:r w:rsidR="00C6109A">
        <w:rPr>
          <w:rFonts w:ascii="Garamond" w:eastAsia="Lucida Sans Unicode" w:hAnsi="Garamond" w:cs="Arial"/>
          <w:color w:val="000000"/>
          <w:sz w:val="26"/>
          <w:szCs w:val="26"/>
        </w:rPr>
        <w:t>enucleabile dal</w:t>
      </w:r>
      <w:r w:rsidR="002064A8">
        <w:rPr>
          <w:rFonts w:ascii="Garamond" w:eastAsia="Lucida Sans Unicode" w:hAnsi="Garamond" w:cs="Arial"/>
          <w:color w:val="000000"/>
          <w:sz w:val="26"/>
          <w:szCs w:val="26"/>
        </w:rPr>
        <w:t xml:space="preserve"> sistema</w:t>
      </w:r>
      <w:r w:rsidR="00C6109A">
        <w:rPr>
          <w:rFonts w:ascii="Garamond" w:eastAsia="Lucida Sans Unicode" w:hAnsi="Garamond" w:cs="Arial"/>
          <w:color w:val="000000"/>
          <w:sz w:val="26"/>
          <w:szCs w:val="26"/>
        </w:rPr>
        <w:t xml:space="preserve"> </w:t>
      </w:r>
      <w:r w:rsidR="00C6109A" w:rsidRPr="0075445A">
        <w:rPr>
          <w:rStyle w:val="Rimandonotaapidipagina"/>
          <w:rFonts w:ascii="Garamond" w:eastAsia="Arial" w:hAnsi="Garamond" w:cs="Arial"/>
          <w:color w:val="000000"/>
          <w:sz w:val="26"/>
          <w:szCs w:val="26"/>
        </w:rPr>
        <w:footnoteReference w:id="31"/>
      </w:r>
      <w:r w:rsidR="00C6109A">
        <w:rPr>
          <w:rFonts w:ascii="Garamond" w:eastAsia="Lucida Sans Unicode" w:hAnsi="Garamond" w:cs="Arial"/>
          <w:color w:val="000000"/>
          <w:sz w:val="26"/>
          <w:szCs w:val="26"/>
        </w:rPr>
        <w:t>.</w:t>
      </w:r>
      <w:r w:rsidR="00C6109A">
        <w:rPr>
          <w:rFonts w:ascii="Garamond" w:hAnsi="Garamond" w:cs="Arial"/>
          <w:color w:val="000000"/>
          <w:sz w:val="26"/>
          <w:szCs w:val="26"/>
        </w:rPr>
        <w:t xml:space="preserve"> </w:t>
      </w:r>
    </w:p>
    <w:p w:rsidR="00A00DF5" w:rsidRPr="0075445A" w:rsidRDefault="00C6109A" w:rsidP="00A00DF5">
      <w:pPr>
        <w:spacing w:line="360" w:lineRule="auto"/>
        <w:ind w:left="567" w:right="567" w:firstLine="141"/>
        <w:jc w:val="both"/>
        <w:rPr>
          <w:rFonts w:ascii="Garamond" w:hAnsi="Garamond" w:cs="Arial"/>
          <w:color w:val="000000"/>
          <w:sz w:val="26"/>
          <w:szCs w:val="26"/>
        </w:rPr>
      </w:pPr>
      <w:r>
        <w:rPr>
          <w:rFonts w:ascii="Garamond" w:eastAsia="Arial" w:hAnsi="Garamond" w:cs="Arial"/>
          <w:color w:val="000000"/>
          <w:sz w:val="26"/>
          <w:szCs w:val="26"/>
        </w:rPr>
        <w:t xml:space="preserve">Ancora una volta merita di essere segnalato che l’operazione di qualificazione / tipizzazione negoziale dei “derivati” pubblici è condotta </w:t>
      </w:r>
      <w:r w:rsidR="00A00DF5">
        <w:rPr>
          <w:rFonts w:ascii="Garamond" w:eastAsia="Arial" w:hAnsi="Garamond" w:cs="Arial"/>
          <w:color w:val="000000"/>
          <w:sz w:val="26"/>
          <w:szCs w:val="26"/>
        </w:rPr>
        <w:t xml:space="preserve">dalle Sezioni Unite </w:t>
      </w:r>
      <w:r>
        <w:rPr>
          <w:rFonts w:ascii="Garamond" w:eastAsia="Arial" w:hAnsi="Garamond" w:cs="Arial"/>
          <w:color w:val="000000"/>
          <w:sz w:val="26"/>
          <w:szCs w:val="26"/>
        </w:rPr>
        <w:t xml:space="preserve">sul presupposto </w:t>
      </w:r>
      <w:r w:rsidRPr="00370C6E">
        <w:rPr>
          <w:rFonts w:ascii="Garamond" w:hAnsi="Garamond" w:cs="Times New Roman"/>
          <w:color w:val="000000" w:themeColor="text1"/>
          <w:sz w:val="26"/>
          <w:szCs w:val="26"/>
        </w:rPr>
        <w:t xml:space="preserve">della naturale osmosi tra “diritto amministrativo” e “diritto </w:t>
      </w:r>
      <w:r w:rsidR="003536D7">
        <w:rPr>
          <w:rFonts w:ascii="Garamond" w:hAnsi="Garamond" w:cs="Times New Roman"/>
          <w:color w:val="000000" w:themeColor="text1"/>
          <w:sz w:val="26"/>
          <w:szCs w:val="26"/>
        </w:rPr>
        <w:t>privato</w:t>
      </w:r>
      <w:r w:rsidRPr="00370C6E">
        <w:rPr>
          <w:rFonts w:ascii="Garamond" w:hAnsi="Garamond" w:cs="Times New Roman"/>
          <w:color w:val="000000" w:themeColor="text1"/>
          <w:sz w:val="26"/>
          <w:szCs w:val="26"/>
        </w:rPr>
        <w:t>”</w:t>
      </w:r>
      <w:r w:rsidR="00A00DF5">
        <w:rPr>
          <w:rFonts w:ascii="Garamond" w:hAnsi="Garamond" w:cs="Times New Roman"/>
          <w:color w:val="000000" w:themeColor="text1"/>
          <w:sz w:val="26"/>
          <w:szCs w:val="26"/>
        </w:rPr>
        <w:t xml:space="preserve">, attingendo </w:t>
      </w:r>
      <w:r w:rsidR="002064A8">
        <w:rPr>
          <w:rFonts w:ascii="Garamond" w:hAnsi="Garamond" w:cs="Times New Roman"/>
          <w:color w:val="000000" w:themeColor="text1"/>
          <w:sz w:val="26"/>
          <w:szCs w:val="26"/>
        </w:rPr>
        <w:t>d</w:t>
      </w:r>
      <w:r w:rsidR="00A00DF5">
        <w:rPr>
          <w:rFonts w:ascii="Garamond" w:hAnsi="Garamond" w:cs="Arial"/>
          <w:color w:val="000000"/>
          <w:sz w:val="26"/>
          <w:szCs w:val="26"/>
        </w:rPr>
        <w:t>alle nozioni</w:t>
      </w:r>
      <w:r w:rsidR="00A00DF5" w:rsidRPr="0075445A">
        <w:rPr>
          <w:rFonts w:ascii="Garamond" w:hAnsi="Garamond" w:cs="Arial"/>
          <w:color w:val="000000"/>
          <w:sz w:val="26"/>
          <w:szCs w:val="26"/>
        </w:rPr>
        <w:t xml:space="preserve"> di </w:t>
      </w:r>
      <w:r w:rsidR="00A00DF5" w:rsidRPr="00A00DF5">
        <w:rPr>
          <w:rFonts w:ascii="Garamond" w:hAnsi="Garamond" w:cs="Arial"/>
          <w:iCs/>
          <w:color w:val="000000"/>
          <w:sz w:val="26"/>
          <w:szCs w:val="26"/>
        </w:rPr>
        <w:t>"finanziamento” e di “indebitamento"</w:t>
      </w:r>
      <w:r w:rsidR="00A00DF5" w:rsidRPr="00A00DF5">
        <w:rPr>
          <w:rFonts w:ascii="Garamond" w:hAnsi="Garamond" w:cs="Arial"/>
          <w:color w:val="000000"/>
          <w:sz w:val="26"/>
          <w:szCs w:val="26"/>
        </w:rPr>
        <w:t xml:space="preserve"> assunte dalla normativa </w:t>
      </w:r>
      <w:r w:rsidR="002064A8">
        <w:rPr>
          <w:rFonts w:ascii="Garamond" w:hAnsi="Garamond" w:cs="Arial"/>
          <w:color w:val="000000"/>
          <w:sz w:val="26"/>
          <w:szCs w:val="26"/>
        </w:rPr>
        <w:t>pubblicistica, che concorrono</w:t>
      </w:r>
      <w:r w:rsidR="00A00DF5">
        <w:rPr>
          <w:rFonts w:ascii="Garamond" w:hAnsi="Garamond" w:cs="Arial"/>
          <w:color w:val="000000"/>
          <w:sz w:val="26"/>
          <w:szCs w:val="26"/>
        </w:rPr>
        <w:t xml:space="preserve"> </w:t>
      </w:r>
      <w:r w:rsidR="00A00DF5" w:rsidRPr="0075445A">
        <w:rPr>
          <w:rFonts w:ascii="Garamond" w:hAnsi="Garamond" w:cs="Arial"/>
          <w:color w:val="000000"/>
          <w:sz w:val="26"/>
          <w:szCs w:val="26"/>
        </w:rPr>
        <w:t xml:space="preserve">a disciplinare l'istituto contrattuale. </w:t>
      </w:r>
    </w:p>
    <w:p w:rsidR="00A07124" w:rsidRDefault="00A00DF5" w:rsidP="00A00DF5">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 xml:space="preserve">In questa prospettiva, </w:t>
      </w:r>
      <w:r w:rsidR="002064A8">
        <w:rPr>
          <w:rFonts w:ascii="Garamond" w:hAnsi="Garamond" w:cs="Arial"/>
          <w:color w:val="000000"/>
          <w:sz w:val="26"/>
          <w:szCs w:val="26"/>
        </w:rPr>
        <w:t xml:space="preserve">è evidente, invero, che </w:t>
      </w:r>
      <w:r w:rsidRPr="0075445A">
        <w:rPr>
          <w:rFonts w:ascii="Garamond" w:hAnsi="Garamond" w:cs="Arial"/>
          <w:color w:val="000000"/>
          <w:sz w:val="26"/>
          <w:szCs w:val="26"/>
        </w:rPr>
        <w:t xml:space="preserve">la nozione di "indebitamento" dell'Ente pubblico non può essere tratta o desunta dal Codice civile, poichè </w:t>
      </w:r>
      <w:r w:rsidR="003C5071">
        <w:rPr>
          <w:rFonts w:ascii="Garamond" w:hAnsi="Garamond" w:cs="Arial"/>
          <w:color w:val="000000"/>
          <w:sz w:val="26"/>
          <w:szCs w:val="26"/>
        </w:rPr>
        <w:t xml:space="preserve">lì è </w:t>
      </w:r>
      <w:r>
        <w:rPr>
          <w:rFonts w:ascii="Garamond" w:hAnsi="Garamond" w:cs="Arial"/>
          <w:color w:val="000000"/>
          <w:sz w:val="26"/>
          <w:szCs w:val="26"/>
        </w:rPr>
        <w:t xml:space="preserve">utilizzata </w:t>
      </w:r>
      <w:r w:rsidRPr="0075445A">
        <w:rPr>
          <w:rFonts w:ascii="Garamond" w:hAnsi="Garamond" w:cs="Arial"/>
          <w:color w:val="000000"/>
          <w:sz w:val="26"/>
          <w:szCs w:val="26"/>
        </w:rPr>
        <w:t>a tut</w:t>
      </w:r>
      <w:r w:rsidR="00A07124">
        <w:rPr>
          <w:rFonts w:ascii="Garamond" w:hAnsi="Garamond" w:cs="Arial"/>
          <w:color w:val="000000"/>
          <w:sz w:val="26"/>
          <w:szCs w:val="26"/>
        </w:rPr>
        <w:t>t'altri fini.</w:t>
      </w:r>
    </w:p>
    <w:p w:rsidR="00A00DF5" w:rsidRPr="0075445A" w:rsidRDefault="00A07124" w:rsidP="00A00DF5">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 xml:space="preserve"> </w:t>
      </w:r>
      <w:r w:rsidR="00A00DF5" w:rsidRPr="0075445A">
        <w:rPr>
          <w:rFonts w:ascii="Garamond" w:hAnsi="Garamond" w:cs="Arial"/>
          <w:color w:val="000000"/>
          <w:sz w:val="26"/>
          <w:szCs w:val="26"/>
        </w:rPr>
        <w:t xml:space="preserve">La nozione è </w:t>
      </w:r>
      <w:r w:rsidR="003C5071">
        <w:rPr>
          <w:rFonts w:ascii="Garamond" w:hAnsi="Garamond" w:cs="Arial"/>
          <w:color w:val="000000"/>
          <w:sz w:val="26"/>
          <w:szCs w:val="26"/>
        </w:rPr>
        <w:t xml:space="preserve">piuttosto il </w:t>
      </w:r>
      <w:r w:rsidR="00A00DF5" w:rsidRPr="0075445A">
        <w:rPr>
          <w:rFonts w:ascii="Garamond" w:hAnsi="Garamond" w:cs="Arial"/>
          <w:color w:val="000000"/>
          <w:sz w:val="26"/>
          <w:szCs w:val="26"/>
        </w:rPr>
        <w:t>frutto dell'elaborazione della scienza delle finanze ed è giocoforza destinata ad assumere rilevanza nella qualificazione giu</w:t>
      </w:r>
      <w:r w:rsidR="00A00DF5">
        <w:rPr>
          <w:rFonts w:ascii="Garamond" w:hAnsi="Garamond" w:cs="Arial"/>
          <w:color w:val="000000"/>
          <w:sz w:val="26"/>
          <w:szCs w:val="26"/>
        </w:rPr>
        <w:t>ridica dei contratti della Pubblica amministrazione.</w:t>
      </w:r>
    </w:p>
    <w:p w:rsidR="00A00DF5" w:rsidRDefault="00A00DF5" w:rsidP="00A00DF5">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 xml:space="preserve">Sotto </w:t>
      </w:r>
      <w:r>
        <w:rPr>
          <w:rFonts w:ascii="Garamond" w:hAnsi="Garamond" w:cs="Arial"/>
          <w:color w:val="000000"/>
          <w:sz w:val="26"/>
          <w:szCs w:val="26"/>
        </w:rPr>
        <w:t>questo profilo, precipu</w:t>
      </w:r>
      <w:r w:rsidR="003C5071">
        <w:rPr>
          <w:rFonts w:ascii="Garamond" w:hAnsi="Garamond" w:cs="Arial"/>
          <w:color w:val="000000"/>
          <w:sz w:val="26"/>
          <w:szCs w:val="26"/>
        </w:rPr>
        <w:t>a rilievo</w:t>
      </w:r>
      <w:r w:rsidRPr="0075445A">
        <w:rPr>
          <w:rFonts w:ascii="Garamond" w:hAnsi="Garamond" w:cs="Arial"/>
          <w:color w:val="000000"/>
          <w:sz w:val="26"/>
          <w:szCs w:val="26"/>
        </w:rPr>
        <w:t xml:space="preserve"> </w:t>
      </w:r>
      <w:r>
        <w:rPr>
          <w:rFonts w:ascii="Garamond" w:hAnsi="Garamond" w:cs="Arial"/>
          <w:color w:val="000000"/>
          <w:sz w:val="26"/>
          <w:szCs w:val="26"/>
        </w:rPr>
        <w:t xml:space="preserve">assumono </w:t>
      </w:r>
      <w:r w:rsidRPr="0075445A">
        <w:rPr>
          <w:rFonts w:ascii="Garamond" w:hAnsi="Garamond" w:cs="Arial"/>
          <w:color w:val="000000"/>
          <w:sz w:val="26"/>
          <w:szCs w:val="26"/>
        </w:rPr>
        <w:t>i riflessi che le operazioni contrattuali comportano sulla situazione economico-finanziaria dell'Ente, di talchè costituiscono "indebitamento" tutte quelle attività di reperimento di risorse finanziarie che concorro</w:t>
      </w:r>
      <w:r>
        <w:rPr>
          <w:rFonts w:ascii="Garamond" w:hAnsi="Garamond" w:cs="Arial"/>
          <w:color w:val="000000"/>
          <w:sz w:val="26"/>
          <w:szCs w:val="26"/>
        </w:rPr>
        <w:t xml:space="preserve">no, effettivamente od anche potenzialmente, </w:t>
      </w:r>
      <w:r w:rsidRPr="0075445A">
        <w:rPr>
          <w:rFonts w:ascii="Garamond" w:hAnsi="Garamond" w:cs="Arial"/>
          <w:color w:val="000000"/>
          <w:sz w:val="26"/>
          <w:szCs w:val="26"/>
        </w:rPr>
        <w:t>a determinare il "disavanzo" dell'Ente.</w:t>
      </w:r>
    </w:p>
    <w:p w:rsidR="002064A8" w:rsidRDefault="002064A8" w:rsidP="002064A8">
      <w:pPr>
        <w:spacing w:line="360" w:lineRule="auto"/>
        <w:ind w:left="567" w:right="567"/>
        <w:jc w:val="both"/>
        <w:rPr>
          <w:rFonts w:ascii="Garamond" w:eastAsia="Arial" w:hAnsi="Garamond" w:cs="Arial"/>
          <w:color w:val="000000"/>
          <w:sz w:val="26"/>
          <w:szCs w:val="26"/>
        </w:rPr>
      </w:pPr>
      <w:r>
        <w:rPr>
          <w:rFonts w:ascii="Garamond" w:eastAsia="Arial" w:hAnsi="Garamond" w:cs="Arial"/>
          <w:color w:val="000000"/>
          <w:sz w:val="26"/>
          <w:szCs w:val="26"/>
        </w:rPr>
        <w:tab/>
        <w:t xml:space="preserve">Posta tale premessa metodologica, l’esito qualificatorio cui pervengono le Sezioni Unite ne costituisce il logico corollario. </w:t>
      </w:r>
    </w:p>
    <w:p w:rsidR="002064A8" w:rsidRDefault="002064A8" w:rsidP="002064A8">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La </w:t>
      </w:r>
      <w:r w:rsidRPr="0075445A">
        <w:rPr>
          <w:rFonts w:ascii="Garamond" w:eastAsia="Arial" w:hAnsi="Garamond" w:cs="Arial"/>
          <w:color w:val="000000"/>
          <w:sz w:val="26"/>
          <w:szCs w:val="26"/>
        </w:rPr>
        <w:t xml:space="preserve">clausola </w:t>
      </w:r>
      <w:r>
        <w:rPr>
          <w:rFonts w:ascii="Garamond" w:eastAsia="Arial" w:hAnsi="Garamond" w:cs="Arial"/>
          <w:color w:val="000000"/>
          <w:sz w:val="26"/>
          <w:szCs w:val="26"/>
        </w:rPr>
        <w:t xml:space="preserve">di </w:t>
      </w:r>
      <w:r>
        <w:rPr>
          <w:rFonts w:ascii="Garamond" w:eastAsia="Arial" w:hAnsi="Garamond" w:cs="Arial"/>
          <w:i/>
          <w:color w:val="000000"/>
          <w:sz w:val="26"/>
          <w:szCs w:val="26"/>
        </w:rPr>
        <w:t xml:space="preserve">up-front </w:t>
      </w:r>
      <w:r w:rsidRPr="0075445A">
        <w:rPr>
          <w:rFonts w:ascii="Garamond" w:eastAsia="Arial" w:hAnsi="Garamond" w:cs="Arial"/>
          <w:color w:val="000000"/>
          <w:sz w:val="26"/>
          <w:szCs w:val="26"/>
        </w:rPr>
        <w:t xml:space="preserve">può </w:t>
      </w:r>
      <w:r>
        <w:rPr>
          <w:rFonts w:ascii="Garamond" w:eastAsia="Arial" w:hAnsi="Garamond" w:cs="Arial"/>
          <w:color w:val="000000"/>
          <w:sz w:val="26"/>
          <w:szCs w:val="26"/>
        </w:rPr>
        <w:t xml:space="preserve">assumere, invero, </w:t>
      </w:r>
      <w:r w:rsidRPr="0075445A">
        <w:rPr>
          <w:rFonts w:ascii="Garamond" w:eastAsia="Arial" w:hAnsi="Garamond" w:cs="Arial"/>
          <w:color w:val="000000"/>
          <w:sz w:val="26"/>
          <w:szCs w:val="26"/>
        </w:rPr>
        <w:t xml:space="preserve">diverse finalità, a seconda che si tratti della stipula </w:t>
      </w:r>
      <w:r w:rsidRPr="003C5071">
        <w:rPr>
          <w:rFonts w:ascii="Garamond" w:eastAsia="Arial" w:hAnsi="Garamond" w:cs="Arial"/>
          <w:i/>
          <w:color w:val="000000"/>
          <w:sz w:val="26"/>
          <w:szCs w:val="26"/>
        </w:rPr>
        <w:t>ex novo</w:t>
      </w:r>
      <w:r w:rsidRPr="0075445A">
        <w:rPr>
          <w:rFonts w:ascii="Garamond" w:eastAsia="Arial" w:hAnsi="Garamond" w:cs="Arial"/>
          <w:color w:val="000000"/>
          <w:sz w:val="26"/>
          <w:szCs w:val="26"/>
        </w:rPr>
        <w:t xml:space="preserve"> di un contratto derivato o della r</w:t>
      </w:r>
      <w:r>
        <w:rPr>
          <w:rFonts w:ascii="Garamond" w:eastAsia="Arial" w:hAnsi="Garamond" w:cs="Arial"/>
          <w:color w:val="000000"/>
          <w:sz w:val="26"/>
          <w:szCs w:val="26"/>
        </w:rPr>
        <w:t>inegoziazione di uno precedente, ma in entrambi i casi espone l’Ente ad un potenziale “indebitamento”.</w:t>
      </w:r>
    </w:p>
    <w:p w:rsidR="009A097C" w:rsidRPr="00205C85" w:rsidRDefault="00205C85" w:rsidP="009A097C">
      <w:pPr>
        <w:spacing w:line="360" w:lineRule="auto"/>
        <w:ind w:right="567" w:firstLine="567"/>
        <w:jc w:val="both"/>
        <w:rPr>
          <w:rFonts w:ascii="Garamond" w:hAnsi="Garamond" w:cs="Arial"/>
          <w:color w:val="000000"/>
          <w:sz w:val="26"/>
          <w:szCs w:val="26"/>
        </w:rPr>
      </w:pPr>
      <w:r>
        <w:rPr>
          <w:rFonts w:ascii="Garamond" w:hAnsi="Garamond" w:cs="Times New Roman"/>
          <w:b/>
          <w:color w:val="000000" w:themeColor="text1"/>
          <w:sz w:val="26"/>
          <w:szCs w:val="26"/>
        </w:rPr>
        <w:t>6.</w:t>
      </w:r>
      <w:r w:rsidR="009A097C">
        <w:rPr>
          <w:rFonts w:ascii="Garamond" w:hAnsi="Garamond" w:cs="Times New Roman"/>
          <w:b/>
          <w:color w:val="000000" w:themeColor="text1"/>
          <w:sz w:val="26"/>
          <w:szCs w:val="26"/>
        </w:rPr>
        <w:t>1</w:t>
      </w:r>
      <w:r>
        <w:rPr>
          <w:rFonts w:ascii="Garamond" w:hAnsi="Garamond" w:cs="Times New Roman"/>
          <w:b/>
          <w:color w:val="000000" w:themeColor="text1"/>
          <w:sz w:val="26"/>
          <w:szCs w:val="26"/>
        </w:rPr>
        <w:t xml:space="preserve">. La clausola di </w:t>
      </w:r>
      <w:r>
        <w:rPr>
          <w:rFonts w:ascii="Garamond" w:hAnsi="Garamond" w:cs="Times New Roman"/>
          <w:b/>
          <w:i/>
          <w:color w:val="000000" w:themeColor="text1"/>
          <w:sz w:val="26"/>
          <w:szCs w:val="26"/>
        </w:rPr>
        <w:t xml:space="preserve">up front </w:t>
      </w:r>
      <w:r w:rsidR="00A07124">
        <w:rPr>
          <w:rFonts w:ascii="Garamond" w:hAnsi="Garamond" w:cs="Times New Roman"/>
          <w:b/>
          <w:color w:val="000000" w:themeColor="text1"/>
          <w:sz w:val="26"/>
          <w:szCs w:val="26"/>
        </w:rPr>
        <w:t xml:space="preserve">in </w:t>
      </w:r>
      <w:r>
        <w:rPr>
          <w:rFonts w:ascii="Garamond" w:hAnsi="Garamond" w:cs="Times New Roman"/>
          <w:b/>
          <w:color w:val="000000" w:themeColor="text1"/>
          <w:sz w:val="26"/>
          <w:szCs w:val="26"/>
        </w:rPr>
        <w:t xml:space="preserve">un nuovo </w:t>
      </w:r>
      <w:r w:rsidR="00A61E59">
        <w:rPr>
          <w:rFonts w:ascii="Garamond" w:hAnsi="Garamond" w:cs="Times New Roman"/>
          <w:b/>
          <w:color w:val="000000" w:themeColor="text1"/>
          <w:sz w:val="26"/>
          <w:szCs w:val="26"/>
        </w:rPr>
        <w:t xml:space="preserve">contratto </w:t>
      </w:r>
      <w:r>
        <w:rPr>
          <w:rFonts w:ascii="Garamond" w:hAnsi="Garamond" w:cs="Times New Roman"/>
          <w:b/>
          <w:color w:val="000000" w:themeColor="text1"/>
          <w:sz w:val="26"/>
          <w:szCs w:val="26"/>
        </w:rPr>
        <w:t>“derivato”.</w:t>
      </w:r>
    </w:p>
    <w:p w:rsidR="00AF538B" w:rsidRPr="00AF538B" w:rsidRDefault="0075445A" w:rsidP="00AF538B">
      <w:pPr>
        <w:spacing w:line="360" w:lineRule="auto"/>
        <w:ind w:left="567" w:right="567" w:firstLine="141"/>
        <w:jc w:val="both"/>
        <w:rPr>
          <w:rFonts w:ascii="Garamond" w:hAnsi="Garamond"/>
          <w:sz w:val="26"/>
          <w:szCs w:val="26"/>
        </w:rPr>
      </w:pPr>
      <w:r w:rsidRPr="00AF538B">
        <w:rPr>
          <w:rFonts w:ascii="Garamond" w:eastAsia="Arial" w:hAnsi="Garamond" w:cs="Arial"/>
          <w:color w:val="000000"/>
          <w:sz w:val="26"/>
          <w:szCs w:val="26"/>
        </w:rPr>
        <w:t xml:space="preserve">In caso di stipula </w:t>
      </w:r>
      <w:r w:rsidRPr="00AF538B">
        <w:rPr>
          <w:rFonts w:ascii="Garamond" w:eastAsia="Arial" w:hAnsi="Garamond" w:cs="Arial"/>
          <w:i/>
          <w:color w:val="000000"/>
          <w:sz w:val="26"/>
          <w:szCs w:val="26"/>
        </w:rPr>
        <w:t>ex novo</w:t>
      </w:r>
      <w:r w:rsidRPr="00AF538B">
        <w:rPr>
          <w:rFonts w:ascii="Garamond" w:eastAsia="Arial" w:hAnsi="Garamond" w:cs="Arial"/>
          <w:color w:val="000000"/>
          <w:sz w:val="26"/>
          <w:szCs w:val="26"/>
        </w:rPr>
        <w:t xml:space="preserve"> di un contratto derivato, l'</w:t>
      </w:r>
      <w:r w:rsidRPr="00AF538B">
        <w:rPr>
          <w:rFonts w:ascii="Garamond" w:eastAsia="Arial" w:hAnsi="Garamond" w:cs="Arial"/>
          <w:i/>
          <w:iCs/>
          <w:color w:val="000000"/>
          <w:sz w:val="26"/>
          <w:szCs w:val="26"/>
        </w:rPr>
        <w:t>up-front</w:t>
      </w:r>
      <w:r w:rsidRPr="00AF538B">
        <w:rPr>
          <w:rFonts w:ascii="Garamond" w:eastAsia="Arial" w:hAnsi="Garamond" w:cs="Arial"/>
          <w:color w:val="000000"/>
          <w:sz w:val="26"/>
          <w:szCs w:val="26"/>
        </w:rPr>
        <w:t xml:space="preserve"> </w:t>
      </w:r>
      <w:r w:rsidR="00AF538B" w:rsidRPr="00AF538B">
        <w:rPr>
          <w:rFonts w:ascii="Garamond" w:eastAsia="Arial" w:hAnsi="Garamond" w:cs="Arial"/>
          <w:color w:val="000000"/>
          <w:sz w:val="26"/>
          <w:szCs w:val="26"/>
        </w:rPr>
        <w:t xml:space="preserve">(che </w:t>
      </w:r>
      <w:r w:rsidRPr="00AF538B">
        <w:rPr>
          <w:rFonts w:ascii="Garamond" w:eastAsia="Arial" w:hAnsi="Garamond" w:cs="Arial"/>
          <w:color w:val="000000"/>
          <w:sz w:val="26"/>
          <w:szCs w:val="26"/>
        </w:rPr>
        <w:t>rappresenta una somma determinata e certa, che viene corrisposta immediatamen</w:t>
      </w:r>
      <w:r w:rsidR="00AF538B" w:rsidRPr="00AF538B">
        <w:rPr>
          <w:rFonts w:ascii="Garamond" w:eastAsia="Arial" w:hAnsi="Garamond" w:cs="Arial"/>
          <w:color w:val="000000"/>
          <w:sz w:val="26"/>
          <w:szCs w:val="26"/>
        </w:rPr>
        <w:t xml:space="preserve">te dall'intermediario all’Ente) </w:t>
      </w:r>
      <w:r w:rsidR="00AF538B">
        <w:rPr>
          <w:rFonts w:ascii="Garamond" w:eastAsia="Arial" w:hAnsi="Garamond" w:cs="Arial"/>
          <w:color w:val="000000"/>
          <w:sz w:val="26"/>
          <w:szCs w:val="26"/>
        </w:rPr>
        <w:t xml:space="preserve">rappresenta la contropartita di </w:t>
      </w:r>
      <w:r w:rsidR="00AF538B" w:rsidRPr="00AF538B">
        <w:rPr>
          <w:rFonts w:ascii="Garamond" w:hAnsi="Garamond"/>
          <w:sz w:val="26"/>
          <w:szCs w:val="26"/>
        </w:rPr>
        <w:t>un</w:t>
      </w:r>
      <w:r w:rsidR="00AF538B">
        <w:rPr>
          <w:rFonts w:ascii="Garamond" w:hAnsi="Garamond"/>
          <w:sz w:val="26"/>
          <w:szCs w:val="26"/>
        </w:rPr>
        <w:t xml:space="preserve"> peggioramento (implicito) </w:t>
      </w:r>
      <w:r w:rsidR="00AF538B" w:rsidRPr="00AF538B">
        <w:rPr>
          <w:rFonts w:ascii="Garamond" w:hAnsi="Garamond"/>
          <w:sz w:val="26"/>
          <w:szCs w:val="26"/>
        </w:rPr>
        <w:t xml:space="preserve">delle condizioni </w:t>
      </w:r>
      <w:r w:rsidR="00AF538B">
        <w:rPr>
          <w:rFonts w:ascii="Garamond" w:hAnsi="Garamond"/>
          <w:sz w:val="26"/>
          <w:szCs w:val="26"/>
        </w:rPr>
        <w:t xml:space="preserve">di equilibrio </w:t>
      </w:r>
      <w:r w:rsidR="00AF538B" w:rsidRPr="00AF538B">
        <w:rPr>
          <w:rFonts w:ascii="Garamond" w:hAnsi="Garamond"/>
          <w:sz w:val="26"/>
          <w:szCs w:val="26"/>
        </w:rPr>
        <w:t>del co</w:t>
      </w:r>
      <w:r w:rsidR="003C5071">
        <w:rPr>
          <w:rFonts w:ascii="Garamond" w:hAnsi="Garamond"/>
          <w:sz w:val="26"/>
          <w:szCs w:val="26"/>
        </w:rPr>
        <w:t>ntratto, che quindi costituisce</w:t>
      </w:r>
      <w:r w:rsidR="00AF538B">
        <w:rPr>
          <w:rFonts w:ascii="Garamond" w:hAnsi="Garamond"/>
          <w:sz w:val="26"/>
          <w:szCs w:val="26"/>
        </w:rPr>
        <w:t xml:space="preserve"> </w:t>
      </w:r>
      <w:r w:rsidR="00AF538B" w:rsidRPr="00AF538B">
        <w:rPr>
          <w:rFonts w:ascii="Garamond" w:hAnsi="Garamond"/>
          <w:sz w:val="26"/>
          <w:szCs w:val="26"/>
        </w:rPr>
        <w:t>il mezzo occulto attraverso il quale il</w:t>
      </w:r>
      <w:r w:rsidR="00AF538B">
        <w:rPr>
          <w:rFonts w:ascii="Garamond" w:hAnsi="Garamond"/>
          <w:sz w:val="26"/>
          <w:szCs w:val="26"/>
        </w:rPr>
        <w:t xml:space="preserve"> finanziamento viene restituito</w:t>
      </w:r>
      <w:r w:rsidR="00AF538B">
        <w:rPr>
          <w:rFonts w:ascii="Garamond" w:eastAsia="Arial" w:hAnsi="Garamond" w:cs="Arial"/>
          <w:color w:val="000000"/>
          <w:sz w:val="26"/>
          <w:szCs w:val="26"/>
        </w:rPr>
        <w:t xml:space="preserve"> </w:t>
      </w:r>
      <w:r w:rsidR="00AF538B" w:rsidRPr="00AF538B">
        <w:rPr>
          <w:rStyle w:val="Rimandonotaapidipagina"/>
          <w:rFonts w:ascii="Garamond" w:hAnsi="Garamond" w:cs="Arial"/>
          <w:iCs/>
          <w:color w:val="000000"/>
          <w:sz w:val="26"/>
          <w:szCs w:val="26"/>
        </w:rPr>
        <w:footnoteReference w:id="32"/>
      </w:r>
      <w:r w:rsidR="00AF538B" w:rsidRPr="00AF538B">
        <w:rPr>
          <w:rFonts w:ascii="Garamond" w:hAnsi="Garamond"/>
          <w:sz w:val="26"/>
          <w:szCs w:val="26"/>
        </w:rPr>
        <w:t>.</w:t>
      </w:r>
    </w:p>
    <w:p w:rsidR="0075445A" w:rsidRPr="0075445A" w:rsidRDefault="0075445A" w:rsidP="00AF538B">
      <w:pPr>
        <w:spacing w:line="360" w:lineRule="auto"/>
        <w:ind w:left="567" w:right="567" w:firstLine="141"/>
        <w:jc w:val="both"/>
        <w:rPr>
          <w:rFonts w:ascii="Garamond" w:hAnsi="Garamond" w:cs="Arial"/>
          <w:color w:val="000000"/>
          <w:sz w:val="26"/>
          <w:szCs w:val="26"/>
        </w:rPr>
      </w:pPr>
      <w:r w:rsidRPr="00AF538B">
        <w:rPr>
          <w:rFonts w:ascii="Garamond" w:eastAsia="Arial" w:hAnsi="Garamond" w:cs="Arial"/>
          <w:color w:val="000000"/>
          <w:sz w:val="26"/>
          <w:szCs w:val="26"/>
        </w:rPr>
        <w:t xml:space="preserve"> </w:t>
      </w:r>
      <w:r w:rsidR="00AF538B">
        <w:rPr>
          <w:rFonts w:ascii="Garamond" w:eastAsia="Arial" w:hAnsi="Garamond" w:cs="Arial"/>
          <w:color w:val="000000"/>
          <w:sz w:val="26"/>
          <w:szCs w:val="26"/>
        </w:rPr>
        <w:t>Né può valere l’obiezione secondo la quale</w:t>
      </w:r>
      <w:r w:rsidR="00A07124">
        <w:rPr>
          <w:rFonts w:ascii="Garamond" w:eastAsia="Arial" w:hAnsi="Garamond" w:cs="Arial"/>
          <w:color w:val="000000"/>
          <w:sz w:val="26"/>
          <w:szCs w:val="26"/>
        </w:rPr>
        <w:t>,</w:t>
      </w:r>
      <w:r w:rsidR="00AF538B">
        <w:rPr>
          <w:rFonts w:ascii="Garamond" w:eastAsia="Arial" w:hAnsi="Garamond" w:cs="Arial"/>
          <w:color w:val="000000"/>
          <w:sz w:val="26"/>
          <w:szCs w:val="26"/>
        </w:rPr>
        <w:t xml:space="preserve"> </w:t>
      </w:r>
      <w:r w:rsidRPr="0075445A">
        <w:rPr>
          <w:rFonts w:ascii="Garamond" w:hAnsi="Garamond" w:cs="Arial"/>
          <w:color w:val="000000"/>
          <w:sz w:val="26"/>
          <w:szCs w:val="26"/>
        </w:rPr>
        <w:t xml:space="preserve">a fronte della corresponsione </w:t>
      </w:r>
      <w:r w:rsidR="00D5741D">
        <w:rPr>
          <w:rFonts w:ascii="Garamond" w:hAnsi="Garamond" w:cs="Arial"/>
          <w:color w:val="000000"/>
          <w:sz w:val="26"/>
          <w:szCs w:val="26"/>
        </w:rPr>
        <w:t>dell’</w:t>
      </w:r>
      <w:r w:rsidRPr="0075445A">
        <w:rPr>
          <w:rFonts w:ascii="Garamond" w:hAnsi="Garamond" w:cs="Arial"/>
          <w:i/>
          <w:iCs/>
          <w:color w:val="000000"/>
          <w:sz w:val="26"/>
          <w:szCs w:val="26"/>
        </w:rPr>
        <w:t>up-front</w:t>
      </w:r>
      <w:r w:rsidR="00A07124">
        <w:rPr>
          <w:rFonts w:ascii="Garamond" w:hAnsi="Garamond" w:cs="Arial"/>
          <w:iCs/>
          <w:color w:val="000000"/>
          <w:sz w:val="26"/>
          <w:szCs w:val="26"/>
        </w:rPr>
        <w:t>,</w:t>
      </w:r>
      <w:r w:rsidRPr="0075445A">
        <w:rPr>
          <w:rFonts w:ascii="Garamond" w:hAnsi="Garamond" w:cs="Arial"/>
          <w:color w:val="000000"/>
          <w:sz w:val="26"/>
          <w:szCs w:val="26"/>
        </w:rPr>
        <w:t xml:space="preserve"> non sarebbe prevista alcuna forma di rimborso</w:t>
      </w:r>
      <w:r w:rsidR="00D5741D">
        <w:rPr>
          <w:rFonts w:ascii="Garamond" w:hAnsi="Garamond" w:cs="Arial"/>
          <w:color w:val="000000"/>
          <w:sz w:val="26"/>
          <w:szCs w:val="26"/>
        </w:rPr>
        <w:t xml:space="preserve"> </w:t>
      </w:r>
      <w:r w:rsidR="00D5741D">
        <w:rPr>
          <w:rFonts w:ascii="Garamond" w:eastAsia="Arial" w:hAnsi="Garamond" w:cs="Arial"/>
          <w:color w:val="000000"/>
          <w:sz w:val="26"/>
          <w:szCs w:val="26"/>
        </w:rPr>
        <w:t>(a differenza di un mutuo)</w:t>
      </w:r>
      <w:r w:rsidRPr="0075445A">
        <w:rPr>
          <w:rFonts w:ascii="Garamond" w:hAnsi="Garamond" w:cs="Arial"/>
          <w:color w:val="000000"/>
          <w:sz w:val="26"/>
          <w:szCs w:val="26"/>
        </w:rPr>
        <w:t xml:space="preserve">, atteso che </w:t>
      </w:r>
      <w:r w:rsidR="00D5741D">
        <w:rPr>
          <w:rFonts w:ascii="Garamond" w:hAnsi="Garamond" w:cs="Arial"/>
          <w:color w:val="000000"/>
          <w:sz w:val="26"/>
          <w:szCs w:val="26"/>
        </w:rPr>
        <w:t xml:space="preserve">l’”indebitamento” </w:t>
      </w:r>
      <w:r w:rsidRPr="0075445A">
        <w:rPr>
          <w:rFonts w:ascii="Garamond" w:hAnsi="Garamond" w:cs="Arial"/>
          <w:color w:val="000000"/>
          <w:sz w:val="26"/>
          <w:szCs w:val="26"/>
        </w:rPr>
        <w:t>si sostanzia e si concretizza, ad ogni scadenza periodica del tasso, nella differenza tra le condizioni applicate e quelle che la Banca avrebbe applicato in assenza del c.d. "premio di liquidità".</w:t>
      </w:r>
    </w:p>
    <w:p w:rsidR="0075445A" w:rsidRPr="0075445A" w:rsidRDefault="0075445A" w:rsidP="00D5741D">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Non</w:t>
      </w:r>
      <w:r w:rsidR="00A07124">
        <w:rPr>
          <w:rFonts w:ascii="Garamond" w:hAnsi="Garamond" w:cs="Arial"/>
          <w:color w:val="000000"/>
          <w:sz w:val="26"/>
          <w:szCs w:val="26"/>
        </w:rPr>
        <w:t xml:space="preserve"> può confondersi, invero, la mancata</w:t>
      </w:r>
      <w:r w:rsidRPr="0075445A">
        <w:rPr>
          <w:rFonts w:ascii="Garamond" w:hAnsi="Garamond" w:cs="Arial"/>
          <w:color w:val="000000"/>
          <w:sz w:val="26"/>
          <w:szCs w:val="26"/>
        </w:rPr>
        <w:t xml:space="preserve"> es</w:t>
      </w:r>
      <w:r w:rsidR="00A07124">
        <w:rPr>
          <w:rFonts w:ascii="Garamond" w:hAnsi="Garamond" w:cs="Arial"/>
          <w:color w:val="000000"/>
          <w:sz w:val="26"/>
          <w:szCs w:val="26"/>
        </w:rPr>
        <w:t xml:space="preserve">plicitazione </w:t>
      </w:r>
      <w:r w:rsidRPr="0075445A">
        <w:rPr>
          <w:rFonts w:ascii="Garamond" w:hAnsi="Garamond" w:cs="Arial"/>
          <w:color w:val="000000"/>
          <w:sz w:val="26"/>
          <w:szCs w:val="26"/>
        </w:rPr>
        <w:t>nel contratto del meccanismo di rimborso (causato dal deficit di informazione da parte dell'intermediario) con l'inesistenza dello stesso: l'</w:t>
      </w:r>
      <w:r w:rsidRPr="0075445A">
        <w:rPr>
          <w:rFonts w:ascii="Garamond" w:hAnsi="Garamond" w:cs="Arial"/>
          <w:i/>
          <w:iCs/>
          <w:color w:val="000000"/>
          <w:sz w:val="26"/>
          <w:szCs w:val="26"/>
        </w:rPr>
        <w:t xml:space="preserve">up-front </w:t>
      </w:r>
      <w:r w:rsidRPr="0075445A">
        <w:rPr>
          <w:rFonts w:ascii="Garamond" w:hAnsi="Garamond" w:cs="Arial"/>
          <w:color w:val="000000"/>
          <w:sz w:val="26"/>
          <w:szCs w:val="26"/>
        </w:rPr>
        <w:t>corrisposto dalla banca in effetti è sempre p</w:t>
      </w:r>
      <w:r w:rsidR="00D5741D">
        <w:rPr>
          <w:rFonts w:ascii="Garamond" w:hAnsi="Garamond" w:cs="Arial"/>
          <w:color w:val="000000"/>
          <w:sz w:val="26"/>
          <w:szCs w:val="26"/>
        </w:rPr>
        <w:t>agato (</w:t>
      </w:r>
      <w:r w:rsidR="00D5741D" w:rsidRPr="003C5071">
        <w:rPr>
          <w:rFonts w:ascii="Garamond" w:hAnsi="Garamond" w:cs="Arial"/>
          <w:i/>
          <w:color w:val="000000"/>
          <w:sz w:val="26"/>
          <w:szCs w:val="26"/>
        </w:rPr>
        <w:t>rectius</w:t>
      </w:r>
      <w:r w:rsidR="00D5741D">
        <w:rPr>
          <w:rFonts w:ascii="Garamond" w:hAnsi="Garamond" w:cs="Arial"/>
          <w:color w:val="000000"/>
          <w:sz w:val="26"/>
          <w:szCs w:val="26"/>
        </w:rPr>
        <w:t>: rimborsato) dall’Ente</w:t>
      </w:r>
      <w:r w:rsidRPr="0075445A">
        <w:rPr>
          <w:rFonts w:ascii="Garamond" w:hAnsi="Garamond" w:cs="Arial"/>
          <w:color w:val="000000"/>
          <w:sz w:val="26"/>
          <w:szCs w:val="26"/>
        </w:rPr>
        <w:t xml:space="preserve">, ancorchè in modo occulto </w:t>
      </w:r>
      <w:r w:rsidRPr="0075445A">
        <w:rPr>
          <w:rStyle w:val="Rimandonotaapidipagina"/>
          <w:rFonts w:ascii="Garamond" w:hAnsi="Garamond" w:cs="Arial"/>
          <w:color w:val="000000"/>
          <w:sz w:val="26"/>
          <w:szCs w:val="26"/>
        </w:rPr>
        <w:footnoteReference w:id="33"/>
      </w:r>
      <w:r w:rsidRPr="0075445A">
        <w:rPr>
          <w:rStyle w:val="Rimandonotaapidipagina"/>
          <w:rFonts w:ascii="Garamond" w:hAnsi="Garamond" w:cs="Arial"/>
          <w:color w:val="000000"/>
          <w:sz w:val="26"/>
          <w:szCs w:val="26"/>
        </w:rPr>
        <w:t xml:space="preserve"> </w:t>
      </w:r>
      <w:r w:rsidRPr="0075445A">
        <w:rPr>
          <w:rFonts w:ascii="Garamond" w:hAnsi="Garamond" w:cs="Arial"/>
          <w:color w:val="000000"/>
          <w:sz w:val="26"/>
          <w:szCs w:val="26"/>
        </w:rPr>
        <w:t>.</w:t>
      </w:r>
    </w:p>
    <w:p w:rsidR="0075445A" w:rsidRPr="0075445A" w:rsidRDefault="00D5741D" w:rsidP="00D5741D">
      <w:pPr>
        <w:spacing w:line="360" w:lineRule="auto"/>
        <w:ind w:left="567" w:right="567" w:firstLine="141"/>
        <w:jc w:val="both"/>
        <w:rPr>
          <w:rFonts w:ascii="Garamond" w:hAnsi="Garamond" w:cs="Arial"/>
          <w:color w:val="000000"/>
          <w:sz w:val="26"/>
          <w:szCs w:val="26"/>
        </w:rPr>
      </w:pPr>
      <w:r>
        <w:rPr>
          <w:rFonts w:ascii="Garamond" w:hAnsi="Garamond" w:cs="Arial"/>
          <w:color w:val="000000"/>
          <w:sz w:val="26"/>
          <w:szCs w:val="26"/>
        </w:rPr>
        <w:t>Q</w:t>
      </w:r>
      <w:r w:rsidR="0075445A" w:rsidRPr="0075445A">
        <w:rPr>
          <w:rFonts w:ascii="Garamond" w:hAnsi="Garamond" w:cs="Arial"/>
          <w:color w:val="000000"/>
          <w:sz w:val="26"/>
          <w:szCs w:val="26"/>
        </w:rPr>
        <w:t xml:space="preserve">uesti peculiari aspetti legati alle clausole di </w:t>
      </w:r>
      <w:r w:rsidR="0075445A" w:rsidRPr="0075445A">
        <w:rPr>
          <w:rFonts w:ascii="Garamond" w:hAnsi="Garamond" w:cs="Arial"/>
          <w:i/>
          <w:iCs/>
          <w:color w:val="000000"/>
          <w:sz w:val="26"/>
          <w:szCs w:val="26"/>
        </w:rPr>
        <w:t>up-front</w:t>
      </w:r>
      <w:r w:rsidR="0075445A" w:rsidRPr="0075445A">
        <w:rPr>
          <w:rFonts w:ascii="Garamond" w:hAnsi="Garamond" w:cs="Arial"/>
          <w:color w:val="000000"/>
          <w:sz w:val="26"/>
          <w:szCs w:val="26"/>
        </w:rPr>
        <w:t xml:space="preserve"> sono ben noti al Giudice contabile, secondo il quale operazioni siffatte sono sostanzialmente analoghe a quelle di un mutuo </w:t>
      </w:r>
      <w:r w:rsidR="0075445A" w:rsidRPr="0075445A">
        <w:rPr>
          <w:rStyle w:val="Rimandonotaapidipagina"/>
          <w:rFonts w:ascii="Garamond" w:hAnsi="Garamond" w:cs="Arial"/>
          <w:color w:val="000000"/>
          <w:sz w:val="26"/>
          <w:szCs w:val="26"/>
        </w:rPr>
        <w:footnoteReference w:id="34"/>
      </w:r>
      <w:r w:rsidR="0075445A" w:rsidRPr="0075445A">
        <w:rPr>
          <w:rFonts w:ascii="Garamond" w:hAnsi="Garamond" w:cs="Arial"/>
          <w:color w:val="000000"/>
          <w:sz w:val="26"/>
          <w:szCs w:val="26"/>
        </w:rPr>
        <w:t>.</w:t>
      </w:r>
    </w:p>
    <w:p w:rsidR="00205C85" w:rsidRDefault="00205C85" w:rsidP="00205C85">
      <w:pPr>
        <w:spacing w:line="360" w:lineRule="auto"/>
        <w:ind w:left="567" w:right="567"/>
        <w:jc w:val="both"/>
        <w:rPr>
          <w:rFonts w:ascii="Garamond" w:hAnsi="Garamond" w:cs="Arial"/>
          <w:color w:val="000000"/>
          <w:sz w:val="26"/>
          <w:szCs w:val="26"/>
        </w:rPr>
      </w:pPr>
      <w:r>
        <w:rPr>
          <w:rFonts w:ascii="Garamond" w:hAnsi="Garamond" w:cs="Times New Roman"/>
          <w:b/>
          <w:color w:val="000000" w:themeColor="text1"/>
          <w:sz w:val="26"/>
          <w:szCs w:val="26"/>
        </w:rPr>
        <w:t xml:space="preserve">6.2. La clausola di </w:t>
      </w:r>
      <w:r>
        <w:rPr>
          <w:rFonts w:ascii="Garamond" w:hAnsi="Garamond" w:cs="Times New Roman"/>
          <w:b/>
          <w:i/>
          <w:color w:val="000000" w:themeColor="text1"/>
          <w:sz w:val="26"/>
          <w:szCs w:val="26"/>
        </w:rPr>
        <w:t xml:space="preserve">up front </w:t>
      </w:r>
      <w:r w:rsidR="00A07124">
        <w:rPr>
          <w:rFonts w:ascii="Garamond" w:hAnsi="Garamond" w:cs="Times New Roman"/>
          <w:b/>
          <w:color w:val="000000" w:themeColor="text1"/>
          <w:sz w:val="26"/>
          <w:szCs w:val="26"/>
        </w:rPr>
        <w:t xml:space="preserve">in </w:t>
      </w:r>
      <w:r w:rsidR="00A61E59">
        <w:rPr>
          <w:rFonts w:ascii="Garamond" w:hAnsi="Garamond" w:cs="Times New Roman"/>
          <w:b/>
          <w:color w:val="000000" w:themeColor="text1"/>
          <w:sz w:val="26"/>
          <w:szCs w:val="26"/>
        </w:rPr>
        <w:t xml:space="preserve">un contratto di “rinegoziazione” di un </w:t>
      </w:r>
      <w:r>
        <w:rPr>
          <w:rFonts w:ascii="Garamond" w:hAnsi="Garamond" w:cs="Times New Roman"/>
          <w:b/>
          <w:color w:val="000000" w:themeColor="text1"/>
          <w:sz w:val="26"/>
          <w:szCs w:val="26"/>
        </w:rPr>
        <w:t>“derivato”</w:t>
      </w:r>
      <w:r w:rsidR="00A61E59">
        <w:rPr>
          <w:rFonts w:ascii="Garamond" w:hAnsi="Garamond" w:cs="Times New Roman"/>
          <w:b/>
          <w:color w:val="000000" w:themeColor="text1"/>
          <w:sz w:val="26"/>
          <w:szCs w:val="26"/>
        </w:rPr>
        <w:t xml:space="preserve"> esistente</w:t>
      </w:r>
      <w:r>
        <w:rPr>
          <w:rFonts w:ascii="Garamond" w:hAnsi="Garamond" w:cs="Times New Roman"/>
          <w:b/>
          <w:color w:val="000000" w:themeColor="text1"/>
          <w:sz w:val="26"/>
          <w:szCs w:val="26"/>
        </w:rPr>
        <w:t xml:space="preserve">. </w:t>
      </w:r>
    </w:p>
    <w:p w:rsidR="0075445A" w:rsidRPr="0075445A" w:rsidRDefault="00AE193C" w:rsidP="00D5741D">
      <w:pPr>
        <w:spacing w:line="360" w:lineRule="auto"/>
        <w:ind w:left="567" w:right="567" w:firstLine="141"/>
        <w:jc w:val="both"/>
        <w:rPr>
          <w:rFonts w:ascii="Garamond" w:hAnsi="Garamond" w:cs="Arial"/>
          <w:color w:val="000000"/>
          <w:sz w:val="26"/>
          <w:szCs w:val="26"/>
        </w:rPr>
      </w:pPr>
      <w:r>
        <w:rPr>
          <w:rFonts w:ascii="Garamond" w:hAnsi="Garamond" w:cs="Arial"/>
          <w:color w:val="000000"/>
          <w:sz w:val="26"/>
          <w:szCs w:val="26"/>
        </w:rPr>
        <w:t>L</w:t>
      </w:r>
      <w:r w:rsidR="00A07124">
        <w:rPr>
          <w:rFonts w:ascii="Garamond" w:hAnsi="Garamond" w:cs="Arial"/>
          <w:color w:val="000000"/>
          <w:sz w:val="26"/>
          <w:szCs w:val="26"/>
        </w:rPr>
        <w:t xml:space="preserve">e </w:t>
      </w:r>
      <w:r w:rsidR="00D5741D">
        <w:rPr>
          <w:rFonts w:ascii="Garamond" w:hAnsi="Garamond" w:cs="Arial"/>
          <w:color w:val="000000"/>
          <w:sz w:val="26"/>
          <w:szCs w:val="26"/>
        </w:rPr>
        <w:t xml:space="preserve">medesime </w:t>
      </w:r>
      <w:r w:rsidR="0075445A" w:rsidRPr="0075445A">
        <w:rPr>
          <w:rFonts w:ascii="Garamond" w:hAnsi="Garamond" w:cs="Arial"/>
          <w:color w:val="000000"/>
          <w:sz w:val="26"/>
          <w:szCs w:val="26"/>
        </w:rPr>
        <w:t xml:space="preserve">conclusioni </w:t>
      </w:r>
      <w:r>
        <w:rPr>
          <w:rFonts w:ascii="Garamond" w:hAnsi="Garamond" w:cs="Arial"/>
          <w:color w:val="000000"/>
          <w:sz w:val="26"/>
          <w:szCs w:val="26"/>
        </w:rPr>
        <w:t xml:space="preserve">valgono </w:t>
      </w:r>
      <w:r w:rsidR="00D5741D">
        <w:rPr>
          <w:rFonts w:ascii="Garamond" w:hAnsi="Garamond" w:cs="Arial"/>
          <w:color w:val="000000"/>
          <w:sz w:val="26"/>
          <w:szCs w:val="26"/>
        </w:rPr>
        <w:t>per la “rinegoziazione” dei “</w:t>
      </w:r>
      <w:r w:rsidR="0075445A" w:rsidRPr="0075445A">
        <w:rPr>
          <w:rFonts w:ascii="Garamond" w:hAnsi="Garamond" w:cs="Arial"/>
          <w:color w:val="000000"/>
          <w:sz w:val="26"/>
          <w:szCs w:val="26"/>
        </w:rPr>
        <w:t>derivati</w:t>
      </w:r>
      <w:r w:rsidR="00D5741D">
        <w:rPr>
          <w:rFonts w:ascii="Garamond" w:hAnsi="Garamond" w:cs="Arial"/>
          <w:color w:val="000000"/>
          <w:sz w:val="26"/>
          <w:szCs w:val="26"/>
        </w:rPr>
        <w:t>”</w:t>
      </w:r>
      <w:r w:rsidR="0075445A" w:rsidRPr="0075445A">
        <w:rPr>
          <w:rFonts w:ascii="Garamond" w:hAnsi="Garamond" w:cs="Arial"/>
          <w:color w:val="000000"/>
          <w:sz w:val="26"/>
          <w:szCs w:val="26"/>
        </w:rPr>
        <w:t xml:space="preserve"> già esiste</w:t>
      </w:r>
      <w:r>
        <w:rPr>
          <w:rFonts w:ascii="Garamond" w:hAnsi="Garamond" w:cs="Arial"/>
          <w:color w:val="000000"/>
          <w:sz w:val="26"/>
          <w:szCs w:val="26"/>
        </w:rPr>
        <w:t>nti,</w:t>
      </w:r>
      <w:r w:rsidR="00A07124">
        <w:rPr>
          <w:rFonts w:ascii="Garamond" w:hAnsi="Garamond" w:cs="Arial"/>
          <w:color w:val="000000"/>
          <w:sz w:val="26"/>
          <w:szCs w:val="26"/>
        </w:rPr>
        <w:t xml:space="preserve"> laddove questi ultimi venga</w:t>
      </w:r>
      <w:r w:rsidR="0075445A" w:rsidRPr="0075445A">
        <w:rPr>
          <w:rFonts w:ascii="Garamond" w:hAnsi="Garamond" w:cs="Arial"/>
          <w:color w:val="000000"/>
          <w:sz w:val="26"/>
          <w:szCs w:val="26"/>
        </w:rPr>
        <w:t>no in tutto o in parte estinti mediante attualizzazione del loro valore di mercato (</w:t>
      </w:r>
      <w:r w:rsidR="0075445A" w:rsidRPr="0075445A">
        <w:rPr>
          <w:rFonts w:ascii="Garamond" w:hAnsi="Garamond" w:cs="Arial"/>
          <w:i/>
          <w:iCs/>
          <w:color w:val="000000"/>
          <w:sz w:val="26"/>
          <w:szCs w:val="26"/>
        </w:rPr>
        <w:t>mark to market</w:t>
      </w:r>
      <w:r w:rsidR="0075445A" w:rsidRPr="0075445A">
        <w:rPr>
          <w:rFonts w:ascii="Garamond" w:hAnsi="Garamond" w:cs="Arial"/>
          <w:color w:val="000000"/>
          <w:sz w:val="26"/>
          <w:szCs w:val="26"/>
        </w:rPr>
        <w:t xml:space="preserve">), </w:t>
      </w:r>
      <w:r w:rsidR="00D5741D">
        <w:rPr>
          <w:rFonts w:ascii="Garamond" w:hAnsi="Garamond" w:cs="Arial"/>
          <w:color w:val="000000"/>
          <w:sz w:val="26"/>
          <w:szCs w:val="26"/>
        </w:rPr>
        <w:t xml:space="preserve">(peraltro </w:t>
      </w:r>
      <w:r w:rsidR="0075445A" w:rsidRPr="0075445A">
        <w:rPr>
          <w:rFonts w:ascii="Garamond" w:hAnsi="Garamond" w:cs="Arial"/>
          <w:color w:val="000000"/>
          <w:sz w:val="26"/>
          <w:szCs w:val="26"/>
        </w:rPr>
        <w:t>unilateralmente determinato dalla banca</w:t>
      </w:r>
      <w:r w:rsidR="00D5741D">
        <w:rPr>
          <w:rFonts w:ascii="Garamond" w:hAnsi="Garamond" w:cs="Arial"/>
          <w:color w:val="000000"/>
          <w:sz w:val="26"/>
          <w:szCs w:val="26"/>
        </w:rPr>
        <w:t>)</w:t>
      </w:r>
      <w:r w:rsidR="0075445A" w:rsidRPr="0075445A">
        <w:rPr>
          <w:rFonts w:ascii="Garamond" w:hAnsi="Garamond" w:cs="Arial"/>
          <w:color w:val="000000"/>
          <w:sz w:val="26"/>
          <w:szCs w:val="26"/>
        </w:rPr>
        <w:t xml:space="preserve"> </w:t>
      </w:r>
      <w:r w:rsidR="00D5741D">
        <w:rPr>
          <w:rFonts w:ascii="Garamond" w:hAnsi="Garamond" w:cs="Arial"/>
          <w:color w:val="000000"/>
          <w:sz w:val="26"/>
          <w:szCs w:val="26"/>
        </w:rPr>
        <w:t xml:space="preserve">e </w:t>
      </w:r>
      <w:r w:rsidR="00A07124">
        <w:rPr>
          <w:rFonts w:ascii="Garamond" w:hAnsi="Garamond" w:cs="Arial"/>
          <w:color w:val="000000"/>
          <w:sz w:val="26"/>
          <w:szCs w:val="26"/>
        </w:rPr>
        <w:t xml:space="preserve">la contestuale </w:t>
      </w:r>
      <w:r w:rsidR="0075445A" w:rsidRPr="0075445A">
        <w:rPr>
          <w:rFonts w:ascii="Garamond" w:hAnsi="Garamond" w:cs="Arial"/>
          <w:color w:val="000000"/>
          <w:sz w:val="26"/>
          <w:szCs w:val="26"/>
        </w:rPr>
        <w:t xml:space="preserve">previsione di </w:t>
      </w:r>
      <w:r w:rsidR="00A07124">
        <w:rPr>
          <w:rFonts w:ascii="Garamond" w:hAnsi="Garamond" w:cs="Arial"/>
          <w:color w:val="000000"/>
          <w:sz w:val="26"/>
          <w:szCs w:val="26"/>
        </w:rPr>
        <w:t xml:space="preserve">un </w:t>
      </w:r>
      <w:r w:rsidR="0075445A" w:rsidRPr="0075445A">
        <w:rPr>
          <w:rFonts w:ascii="Garamond" w:hAnsi="Garamond" w:cs="Arial"/>
          <w:i/>
          <w:iCs/>
          <w:color w:val="000000"/>
          <w:sz w:val="26"/>
          <w:szCs w:val="26"/>
        </w:rPr>
        <w:t xml:space="preserve">up-front </w:t>
      </w:r>
      <w:r w:rsidR="0075445A" w:rsidRPr="0075445A">
        <w:rPr>
          <w:rFonts w:ascii="Garamond" w:hAnsi="Garamond" w:cs="Arial"/>
          <w:color w:val="000000"/>
          <w:sz w:val="26"/>
          <w:szCs w:val="26"/>
        </w:rPr>
        <w:t xml:space="preserve">destinato ad essere utilizzato, in tutto o in parte, per coprire il "costo di sostituzione" della prima operazione estinta. </w:t>
      </w:r>
    </w:p>
    <w:p w:rsidR="0075445A" w:rsidRPr="0075445A" w:rsidRDefault="0075445A" w:rsidP="00D5741D">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 xml:space="preserve">E' infatti evidente che queste "rinegoziazioni" finiscono spesso per servire proprio per “finanziare” le perdite del primo, la cui chiusura anticipata </w:t>
      </w:r>
      <w:r w:rsidR="00A07124">
        <w:rPr>
          <w:rFonts w:ascii="Garamond" w:hAnsi="Garamond" w:cs="Arial"/>
          <w:color w:val="000000"/>
          <w:sz w:val="26"/>
          <w:szCs w:val="26"/>
        </w:rPr>
        <w:t>consolida definitivamente</w:t>
      </w:r>
      <w:r w:rsidRPr="0075445A">
        <w:rPr>
          <w:rFonts w:ascii="Garamond" w:hAnsi="Garamond" w:cs="Arial"/>
          <w:color w:val="000000"/>
          <w:sz w:val="26"/>
          <w:szCs w:val="26"/>
        </w:rPr>
        <w:t>.</w:t>
      </w:r>
    </w:p>
    <w:p w:rsidR="001F1259" w:rsidRDefault="0075445A" w:rsidP="001F1259">
      <w:pPr>
        <w:spacing w:line="360" w:lineRule="auto"/>
        <w:ind w:left="567" w:right="567" w:firstLine="141"/>
        <w:jc w:val="both"/>
        <w:rPr>
          <w:rFonts w:ascii="Garamond" w:hAnsi="Garamond" w:cs="Arial"/>
          <w:color w:val="000000"/>
          <w:sz w:val="26"/>
          <w:szCs w:val="26"/>
        </w:rPr>
      </w:pPr>
      <w:r w:rsidRPr="0075445A">
        <w:rPr>
          <w:rFonts w:ascii="Garamond" w:hAnsi="Garamond" w:cs="Arial"/>
          <w:color w:val="000000"/>
          <w:sz w:val="26"/>
          <w:szCs w:val="26"/>
        </w:rPr>
        <w:t xml:space="preserve">In disparte la problematica della effettiva corrispondenza della “rinegoziazione” alla funzione di copertura del rischio che per legge i derivati degli Enti pubblici </w:t>
      </w:r>
      <w:r w:rsidR="00AE193C" w:rsidRPr="0075445A">
        <w:rPr>
          <w:rFonts w:ascii="Garamond" w:hAnsi="Garamond" w:cs="Arial"/>
          <w:color w:val="000000"/>
          <w:sz w:val="26"/>
          <w:szCs w:val="26"/>
        </w:rPr>
        <w:t xml:space="preserve">devono necessariamente avere </w:t>
      </w:r>
      <w:r w:rsidRPr="0075445A">
        <w:rPr>
          <w:rStyle w:val="Rimandonotaapidipagina"/>
          <w:rFonts w:ascii="Garamond" w:hAnsi="Garamond" w:cs="Arial"/>
          <w:color w:val="000000"/>
          <w:sz w:val="26"/>
          <w:szCs w:val="26"/>
        </w:rPr>
        <w:footnoteReference w:id="35"/>
      </w:r>
      <w:r w:rsidRPr="0075445A">
        <w:rPr>
          <w:rFonts w:ascii="Garamond" w:hAnsi="Garamond" w:cs="Arial"/>
          <w:color w:val="000000"/>
          <w:sz w:val="26"/>
          <w:szCs w:val="26"/>
        </w:rPr>
        <w:t>, ciò che è certo è che il c.d. “premio di liquidità” previsto con la "rinegoziazione" di precedenti contratti non può essere considerato un semplice anticipo dei futuri ed eventuali flussi finanziari del contratto estinto, ma rappresenta (in tutto o in parte) il valore negativo di quest'ultimo al momento della sua conclusione, di talchè è innegabile l</w:t>
      </w:r>
      <w:r w:rsidR="009A097C">
        <w:rPr>
          <w:rFonts w:ascii="Garamond" w:hAnsi="Garamond" w:cs="Arial"/>
          <w:color w:val="000000"/>
          <w:sz w:val="26"/>
          <w:szCs w:val="26"/>
        </w:rPr>
        <w:t xml:space="preserve">a sua natura di “finanziamento” e di </w:t>
      </w:r>
      <w:r w:rsidRPr="0075445A">
        <w:rPr>
          <w:rFonts w:ascii="Garamond" w:hAnsi="Garamond" w:cs="Arial"/>
          <w:color w:val="000000"/>
          <w:sz w:val="26"/>
          <w:szCs w:val="26"/>
        </w:rPr>
        <w:t>“indebitamento” dell'Ente</w:t>
      </w:r>
      <w:r w:rsidR="009A097C">
        <w:rPr>
          <w:rFonts w:ascii="Garamond" w:hAnsi="Garamond" w:cs="Arial"/>
          <w:color w:val="000000"/>
          <w:sz w:val="26"/>
          <w:szCs w:val="26"/>
        </w:rPr>
        <w:t xml:space="preserve"> </w:t>
      </w:r>
      <w:r w:rsidR="009A097C" w:rsidRPr="0075445A">
        <w:rPr>
          <w:rStyle w:val="Rimandonotaapidipagina"/>
          <w:rFonts w:ascii="Garamond" w:hAnsi="Garamond" w:cs="Arial"/>
          <w:color w:val="000000"/>
          <w:sz w:val="26"/>
          <w:szCs w:val="26"/>
        </w:rPr>
        <w:footnoteReference w:id="36"/>
      </w:r>
      <w:r w:rsidRPr="0075445A">
        <w:rPr>
          <w:rFonts w:ascii="Garamond" w:hAnsi="Garamond" w:cs="Arial"/>
          <w:color w:val="000000"/>
          <w:sz w:val="26"/>
          <w:szCs w:val="26"/>
        </w:rPr>
        <w:t>.</w:t>
      </w:r>
    </w:p>
    <w:p w:rsidR="00A07124" w:rsidRPr="00A07124" w:rsidRDefault="00A07124" w:rsidP="001F1259">
      <w:pPr>
        <w:spacing w:line="360" w:lineRule="auto"/>
        <w:ind w:left="567" w:right="567"/>
        <w:jc w:val="both"/>
        <w:rPr>
          <w:rFonts w:ascii="Garamond" w:hAnsi="Garamond" w:cs="Arial"/>
          <w:b/>
          <w:bCs/>
          <w:color w:val="000000"/>
          <w:sz w:val="26"/>
          <w:szCs w:val="26"/>
        </w:rPr>
      </w:pPr>
      <w:r>
        <w:rPr>
          <w:rFonts w:ascii="Garamond" w:hAnsi="Garamond" w:cs="Times New Roman"/>
          <w:b/>
          <w:color w:val="000000" w:themeColor="text1"/>
          <w:sz w:val="26"/>
          <w:szCs w:val="26"/>
        </w:rPr>
        <w:t>6.3. Conseguenze della qualificazione dell’</w:t>
      </w:r>
      <w:r>
        <w:rPr>
          <w:rFonts w:ascii="Garamond" w:hAnsi="Garamond" w:cs="Times New Roman"/>
          <w:b/>
          <w:i/>
          <w:color w:val="000000" w:themeColor="text1"/>
          <w:sz w:val="26"/>
          <w:szCs w:val="26"/>
        </w:rPr>
        <w:t>up-front</w:t>
      </w:r>
      <w:r>
        <w:rPr>
          <w:rFonts w:ascii="Garamond" w:hAnsi="Garamond" w:cs="Times New Roman"/>
          <w:b/>
          <w:color w:val="000000" w:themeColor="text1"/>
          <w:sz w:val="26"/>
          <w:szCs w:val="26"/>
        </w:rPr>
        <w:t xml:space="preserve"> come clausola di</w:t>
      </w:r>
      <w:r w:rsidR="001F1259">
        <w:rPr>
          <w:rFonts w:ascii="Garamond" w:hAnsi="Garamond" w:cs="Times New Roman"/>
          <w:b/>
          <w:color w:val="000000" w:themeColor="text1"/>
          <w:sz w:val="26"/>
          <w:szCs w:val="26"/>
        </w:rPr>
        <w:t xml:space="preserve"> “finanziamento”: </w:t>
      </w:r>
      <w:r>
        <w:rPr>
          <w:rFonts w:ascii="Garamond" w:hAnsi="Garamond" w:cs="Times New Roman"/>
          <w:b/>
          <w:color w:val="000000" w:themeColor="text1"/>
          <w:sz w:val="26"/>
          <w:szCs w:val="26"/>
        </w:rPr>
        <w:t xml:space="preserve">la </w:t>
      </w:r>
      <w:r>
        <w:rPr>
          <w:rFonts w:ascii="Garamond" w:hAnsi="Garamond" w:cs="Arial"/>
          <w:b/>
          <w:bCs/>
          <w:color w:val="000000"/>
          <w:sz w:val="26"/>
          <w:szCs w:val="26"/>
        </w:rPr>
        <w:t>n</w:t>
      </w:r>
      <w:r w:rsidR="001F1259">
        <w:rPr>
          <w:rFonts w:ascii="Garamond" w:hAnsi="Garamond" w:cs="Arial"/>
          <w:b/>
          <w:bCs/>
          <w:color w:val="000000"/>
          <w:sz w:val="26"/>
          <w:szCs w:val="26"/>
        </w:rPr>
        <w:t>ullità del “derivato” per violazione dell’art</w:t>
      </w:r>
      <w:r w:rsidRPr="00A07124">
        <w:rPr>
          <w:rFonts w:ascii="Garamond" w:hAnsi="Garamond" w:cs="Arial"/>
          <w:b/>
          <w:bCs/>
          <w:color w:val="000000"/>
          <w:sz w:val="26"/>
          <w:szCs w:val="26"/>
        </w:rPr>
        <w:t xml:space="preserve">. 119 </w:t>
      </w:r>
      <w:r w:rsidR="001F1259">
        <w:rPr>
          <w:rFonts w:ascii="Garamond" w:hAnsi="Garamond" w:cs="Arial"/>
          <w:b/>
          <w:bCs/>
          <w:color w:val="000000"/>
          <w:sz w:val="26"/>
          <w:szCs w:val="26"/>
        </w:rPr>
        <w:t>Cost., dell’art. 202 d.l</w:t>
      </w:r>
      <w:r w:rsidRPr="00A07124">
        <w:rPr>
          <w:rFonts w:ascii="Garamond" w:hAnsi="Garamond" w:cs="Arial"/>
          <w:b/>
          <w:bCs/>
          <w:color w:val="000000"/>
          <w:sz w:val="26"/>
          <w:szCs w:val="26"/>
        </w:rPr>
        <w:t xml:space="preserve">gs. </w:t>
      </w:r>
      <w:r w:rsidR="001F1259">
        <w:rPr>
          <w:rFonts w:ascii="Garamond" w:hAnsi="Garamond" w:cs="Arial"/>
          <w:b/>
          <w:bCs/>
          <w:color w:val="000000"/>
          <w:sz w:val="26"/>
          <w:szCs w:val="26"/>
        </w:rPr>
        <w:t>n. 267 del 2000 e dell’art. 30, co.</w:t>
      </w:r>
      <w:r w:rsidRPr="00A07124">
        <w:rPr>
          <w:rFonts w:ascii="Garamond" w:hAnsi="Garamond" w:cs="Arial"/>
          <w:b/>
          <w:bCs/>
          <w:color w:val="000000"/>
          <w:sz w:val="26"/>
          <w:szCs w:val="26"/>
        </w:rPr>
        <w:t xml:space="preserve"> 15, </w:t>
      </w:r>
      <w:r w:rsidR="001F1259">
        <w:rPr>
          <w:rFonts w:ascii="Garamond" w:hAnsi="Garamond" w:cs="Arial"/>
          <w:b/>
          <w:bCs/>
          <w:color w:val="000000"/>
          <w:sz w:val="26"/>
          <w:szCs w:val="26"/>
        </w:rPr>
        <w:t>l</w:t>
      </w:r>
      <w:r w:rsidRPr="00A07124">
        <w:rPr>
          <w:rFonts w:ascii="Garamond" w:hAnsi="Garamond" w:cs="Arial"/>
          <w:b/>
          <w:bCs/>
          <w:color w:val="000000"/>
          <w:sz w:val="26"/>
          <w:szCs w:val="26"/>
        </w:rPr>
        <w:t>egge 27</w:t>
      </w:r>
      <w:r w:rsidR="001F1259">
        <w:rPr>
          <w:rFonts w:ascii="Garamond" w:hAnsi="Garamond" w:cs="Arial"/>
          <w:b/>
          <w:bCs/>
          <w:color w:val="000000"/>
          <w:sz w:val="26"/>
          <w:szCs w:val="26"/>
        </w:rPr>
        <w:t xml:space="preserve"> dicembre </w:t>
      </w:r>
      <w:r w:rsidRPr="00A07124">
        <w:rPr>
          <w:rFonts w:ascii="Garamond" w:hAnsi="Garamond" w:cs="Arial"/>
          <w:b/>
          <w:bCs/>
          <w:color w:val="000000"/>
          <w:sz w:val="26"/>
          <w:szCs w:val="26"/>
        </w:rPr>
        <w:t>2002, n. 289 (Legge finanziaria 2003).</w:t>
      </w:r>
    </w:p>
    <w:p w:rsidR="009A097C" w:rsidRDefault="00A07124" w:rsidP="0075445A">
      <w:pPr>
        <w:spacing w:line="360" w:lineRule="auto"/>
        <w:ind w:left="567" w:right="567"/>
        <w:jc w:val="both"/>
        <w:rPr>
          <w:rFonts w:ascii="Garamond" w:hAnsi="Garamond"/>
          <w:sz w:val="26"/>
          <w:szCs w:val="26"/>
        </w:rPr>
      </w:pPr>
      <w:r w:rsidRPr="00A07124">
        <w:rPr>
          <w:rFonts w:ascii="Garamond" w:hAnsi="Garamond" w:cs="Times New Roman"/>
          <w:b/>
          <w:color w:val="000000" w:themeColor="text1"/>
          <w:sz w:val="26"/>
          <w:szCs w:val="26"/>
        </w:rPr>
        <w:t xml:space="preserve"> </w:t>
      </w:r>
      <w:r w:rsidR="009A097C">
        <w:rPr>
          <w:rFonts w:ascii="Garamond" w:hAnsi="Garamond" w:cs="Arial"/>
          <w:color w:val="000000"/>
          <w:sz w:val="26"/>
          <w:szCs w:val="26"/>
        </w:rPr>
        <w:tab/>
      </w:r>
      <w:r w:rsidR="001F1259">
        <w:rPr>
          <w:rFonts w:ascii="Garamond" w:hAnsi="Garamond" w:cs="Arial"/>
          <w:color w:val="000000"/>
          <w:sz w:val="26"/>
          <w:szCs w:val="26"/>
        </w:rPr>
        <w:t xml:space="preserve">La </w:t>
      </w:r>
      <w:r w:rsidR="009A097C">
        <w:rPr>
          <w:rFonts w:ascii="Garamond" w:hAnsi="Garamond" w:cs="Arial"/>
          <w:color w:val="000000"/>
          <w:sz w:val="26"/>
          <w:szCs w:val="26"/>
        </w:rPr>
        <w:t xml:space="preserve">qualificazione </w:t>
      </w:r>
      <w:r w:rsidR="001F1259">
        <w:rPr>
          <w:rFonts w:ascii="Garamond" w:hAnsi="Garamond" w:cs="Arial"/>
          <w:color w:val="000000"/>
          <w:sz w:val="26"/>
          <w:szCs w:val="26"/>
        </w:rPr>
        <w:t>dell’</w:t>
      </w:r>
      <w:r w:rsidR="009A097C">
        <w:rPr>
          <w:rFonts w:ascii="Garamond" w:hAnsi="Garamond" w:cs="Arial"/>
          <w:i/>
          <w:color w:val="000000"/>
          <w:sz w:val="26"/>
          <w:szCs w:val="26"/>
        </w:rPr>
        <w:t xml:space="preserve">up-front </w:t>
      </w:r>
      <w:r w:rsidR="001F1259">
        <w:rPr>
          <w:rFonts w:ascii="Garamond" w:hAnsi="Garamond" w:cs="Arial"/>
          <w:color w:val="000000"/>
          <w:sz w:val="26"/>
          <w:szCs w:val="26"/>
        </w:rPr>
        <w:t xml:space="preserve">come clausola di “finanziamento” </w:t>
      </w:r>
      <w:r w:rsidR="009A097C">
        <w:rPr>
          <w:rFonts w:ascii="Garamond" w:hAnsi="Garamond" w:cs="Arial"/>
          <w:color w:val="000000"/>
          <w:sz w:val="26"/>
          <w:szCs w:val="26"/>
        </w:rPr>
        <w:t xml:space="preserve">incide sulla </w:t>
      </w:r>
      <w:r w:rsidR="009A097C" w:rsidRPr="0075445A">
        <w:rPr>
          <w:rFonts w:ascii="Garamond" w:hAnsi="Garamond"/>
          <w:sz w:val="26"/>
          <w:szCs w:val="26"/>
        </w:rPr>
        <w:t>disciplina legale applicabile</w:t>
      </w:r>
      <w:r w:rsidR="009A097C">
        <w:rPr>
          <w:rFonts w:ascii="Garamond" w:hAnsi="Garamond"/>
          <w:sz w:val="26"/>
          <w:szCs w:val="26"/>
        </w:rPr>
        <w:t xml:space="preserve"> </w:t>
      </w:r>
      <w:r w:rsidR="001F1259">
        <w:rPr>
          <w:rFonts w:ascii="Garamond" w:hAnsi="Garamond"/>
          <w:sz w:val="26"/>
          <w:szCs w:val="26"/>
        </w:rPr>
        <w:t xml:space="preserve">al “derivato” </w:t>
      </w:r>
      <w:r w:rsidR="009A097C">
        <w:rPr>
          <w:rFonts w:ascii="Garamond" w:hAnsi="Garamond"/>
          <w:sz w:val="26"/>
          <w:szCs w:val="26"/>
        </w:rPr>
        <w:t>e sul giudizio di conformità al modello legale previsto da legislatore, sia sul piano sostanziale, che su quello procedimentale.</w:t>
      </w:r>
    </w:p>
    <w:p w:rsidR="001F1259" w:rsidRPr="001F1259" w:rsidRDefault="001F1259" w:rsidP="0075445A">
      <w:pPr>
        <w:spacing w:line="360" w:lineRule="auto"/>
        <w:ind w:left="567" w:right="567"/>
        <w:jc w:val="both"/>
        <w:rPr>
          <w:rFonts w:ascii="Garamond" w:hAnsi="Garamond"/>
          <w:sz w:val="26"/>
          <w:szCs w:val="26"/>
        </w:rPr>
      </w:pPr>
      <w:r>
        <w:rPr>
          <w:rFonts w:ascii="Garamond" w:hAnsi="Garamond"/>
          <w:sz w:val="26"/>
          <w:szCs w:val="26"/>
        </w:rPr>
        <w:tab/>
        <w:t>Di questo secondo profilo si dirà successivamente, in quanto affrontato dalle Sezioni Unite con uno sg</w:t>
      </w:r>
      <w:r w:rsidR="003B76F6">
        <w:rPr>
          <w:rFonts w:ascii="Garamond" w:hAnsi="Garamond"/>
          <w:sz w:val="26"/>
          <w:szCs w:val="26"/>
        </w:rPr>
        <w:t>uardo di carattere più generale</w:t>
      </w:r>
      <w:r>
        <w:rPr>
          <w:rFonts w:ascii="Garamond" w:hAnsi="Garamond"/>
          <w:sz w:val="26"/>
          <w:szCs w:val="26"/>
        </w:rPr>
        <w:t xml:space="preserve"> </w:t>
      </w:r>
      <w:r w:rsidR="003B76F6">
        <w:rPr>
          <w:rFonts w:ascii="Garamond" w:hAnsi="Garamond"/>
          <w:sz w:val="26"/>
          <w:szCs w:val="26"/>
        </w:rPr>
        <w:t xml:space="preserve">comprensivo </w:t>
      </w:r>
      <w:r>
        <w:rPr>
          <w:rFonts w:ascii="Garamond" w:hAnsi="Garamond"/>
          <w:sz w:val="26"/>
          <w:szCs w:val="26"/>
        </w:rPr>
        <w:t xml:space="preserve">anche </w:t>
      </w:r>
      <w:r w:rsidR="003B76F6">
        <w:rPr>
          <w:rFonts w:ascii="Garamond" w:hAnsi="Garamond"/>
          <w:sz w:val="26"/>
          <w:szCs w:val="26"/>
        </w:rPr>
        <w:t xml:space="preserve">dei </w:t>
      </w:r>
      <w:r>
        <w:rPr>
          <w:rFonts w:ascii="Garamond" w:hAnsi="Garamond"/>
          <w:sz w:val="26"/>
          <w:szCs w:val="26"/>
        </w:rPr>
        <w:t xml:space="preserve">“derivati” che non contemplano clausole di </w:t>
      </w:r>
      <w:r>
        <w:rPr>
          <w:rFonts w:ascii="Garamond" w:hAnsi="Garamond"/>
          <w:i/>
          <w:sz w:val="26"/>
          <w:szCs w:val="26"/>
        </w:rPr>
        <w:t>up-front</w:t>
      </w:r>
      <w:r>
        <w:rPr>
          <w:rFonts w:ascii="Garamond" w:hAnsi="Garamond"/>
          <w:sz w:val="26"/>
          <w:szCs w:val="26"/>
        </w:rPr>
        <w:t>.</w:t>
      </w:r>
    </w:p>
    <w:p w:rsidR="007452B5" w:rsidRDefault="001F1259" w:rsidP="009A097C">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Quanto al primo profilo, esso </w:t>
      </w:r>
      <w:r w:rsidR="007452B5">
        <w:rPr>
          <w:rFonts w:ascii="Garamond" w:eastAsia="Arial" w:hAnsi="Garamond" w:cs="Arial"/>
          <w:color w:val="000000"/>
          <w:sz w:val="26"/>
          <w:szCs w:val="26"/>
        </w:rPr>
        <w:t xml:space="preserve">merita qualche considerazione, </w:t>
      </w:r>
      <w:r w:rsidR="00D14E08">
        <w:rPr>
          <w:rFonts w:ascii="Garamond" w:eastAsia="Arial" w:hAnsi="Garamond" w:cs="Arial"/>
          <w:color w:val="000000"/>
          <w:sz w:val="26"/>
          <w:szCs w:val="26"/>
        </w:rPr>
        <w:t xml:space="preserve">soprattutto </w:t>
      </w:r>
      <w:r w:rsidR="007452B5">
        <w:rPr>
          <w:rFonts w:ascii="Garamond" w:eastAsia="Arial" w:hAnsi="Garamond" w:cs="Arial"/>
          <w:color w:val="000000"/>
          <w:sz w:val="26"/>
          <w:szCs w:val="26"/>
        </w:rPr>
        <w:t>perché rimasto in controluce nella sentenza</w:t>
      </w:r>
      <w:r w:rsidR="00D14E08">
        <w:rPr>
          <w:rFonts w:ascii="Garamond" w:eastAsia="Arial" w:hAnsi="Garamond" w:cs="Arial"/>
          <w:color w:val="000000"/>
          <w:sz w:val="26"/>
          <w:szCs w:val="26"/>
        </w:rPr>
        <w:t xml:space="preserve"> delle Sezioni Unite</w:t>
      </w:r>
      <w:r w:rsidR="007452B5">
        <w:rPr>
          <w:rFonts w:ascii="Garamond" w:eastAsia="Arial" w:hAnsi="Garamond" w:cs="Arial"/>
          <w:color w:val="000000"/>
          <w:sz w:val="26"/>
          <w:szCs w:val="26"/>
        </w:rPr>
        <w:t>.</w:t>
      </w:r>
    </w:p>
    <w:p w:rsidR="00D14E08" w:rsidRDefault="003B76F6" w:rsidP="003B76F6">
      <w:pPr>
        <w:spacing w:line="360" w:lineRule="auto"/>
        <w:ind w:left="567" w:right="567" w:firstLine="141"/>
        <w:jc w:val="both"/>
        <w:rPr>
          <w:rFonts w:ascii="Garamond" w:hAnsi="Garamond" w:cs="Arial"/>
          <w:color w:val="000000"/>
          <w:sz w:val="26"/>
          <w:szCs w:val="26"/>
        </w:rPr>
      </w:pPr>
      <w:r>
        <w:rPr>
          <w:rFonts w:ascii="Garamond" w:eastAsia="Arial" w:hAnsi="Garamond" w:cs="Arial"/>
          <w:color w:val="000000"/>
          <w:sz w:val="26"/>
          <w:szCs w:val="26"/>
        </w:rPr>
        <w:t>Va premesso che l</w:t>
      </w:r>
      <w:r w:rsidR="00AE193C">
        <w:rPr>
          <w:rFonts w:ascii="Garamond" w:eastAsia="Arial" w:hAnsi="Garamond" w:cs="Arial"/>
          <w:color w:val="000000"/>
          <w:sz w:val="26"/>
          <w:szCs w:val="26"/>
        </w:rPr>
        <w:t>a sentenza di merito</w:t>
      </w:r>
      <w:r w:rsidR="007452B5">
        <w:rPr>
          <w:rFonts w:ascii="Garamond" w:eastAsia="Arial" w:hAnsi="Garamond" w:cs="Arial"/>
          <w:color w:val="000000"/>
          <w:sz w:val="26"/>
          <w:szCs w:val="26"/>
        </w:rPr>
        <w:t xml:space="preserve"> giunta al vaglio dell</w:t>
      </w:r>
      <w:r w:rsidR="00D14E08">
        <w:rPr>
          <w:rFonts w:ascii="Garamond" w:eastAsia="Arial" w:hAnsi="Garamond" w:cs="Arial"/>
          <w:color w:val="000000"/>
          <w:sz w:val="26"/>
          <w:szCs w:val="26"/>
        </w:rPr>
        <w:t>a S.C.</w:t>
      </w:r>
      <w:r w:rsidR="007452B5">
        <w:rPr>
          <w:rFonts w:ascii="Garamond" w:eastAsia="Arial" w:hAnsi="Garamond" w:cs="Arial"/>
          <w:color w:val="000000"/>
          <w:sz w:val="26"/>
          <w:szCs w:val="26"/>
        </w:rPr>
        <w:t xml:space="preserve">, </w:t>
      </w:r>
      <w:r w:rsidR="00D14E08">
        <w:rPr>
          <w:rFonts w:ascii="Garamond" w:eastAsia="Arial" w:hAnsi="Garamond" w:cs="Arial"/>
          <w:color w:val="000000"/>
          <w:sz w:val="26"/>
          <w:szCs w:val="26"/>
        </w:rPr>
        <w:t xml:space="preserve">dopo avere appurato </w:t>
      </w:r>
      <w:r w:rsidR="007452B5">
        <w:rPr>
          <w:rFonts w:ascii="Garamond" w:eastAsia="Arial" w:hAnsi="Garamond" w:cs="Arial"/>
          <w:color w:val="000000"/>
          <w:sz w:val="26"/>
          <w:szCs w:val="26"/>
        </w:rPr>
        <w:t xml:space="preserve">che </w:t>
      </w:r>
      <w:r w:rsidR="009A097C" w:rsidRPr="009A097C">
        <w:rPr>
          <w:rFonts w:ascii="Garamond" w:hAnsi="Garamond" w:cs="Arial"/>
          <w:color w:val="000000"/>
          <w:sz w:val="26"/>
          <w:szCs w:val="26"/>
        </w:rPr>
        <w:t xml:space="preserve">le somme introitate a titolo di </w:t>
      </w:r>
      <w:r w:rsidR="009A097C" w:rsidRPr="009A097C">
        <w:rPr>
          <w:rFonts w:ascii="Garamond" w:hAnsi="Garamond" w:cs="Arial"/>
          <w:i/>
          <w:iCs/>
          <w:color w:val="000000"/>
          <w:sz w:val="26"/>
          <w:szCs w:val="26"/>
        </w:rPr>
        <w:t xml:space="preserve">up-front </w:t>
      </w:r>
      <w:r w:rsidR="007452B5" w:rsidRPr="007452B5">
        <w:rPr>
          <w:rFonts w:ascii="Garamond" w:hAnsi="Garamond" w:cs="Arial"/>
          <w:iCs/>
          <w:color w:val="000000"/>
          <w:sz w:val="26"/>
          <w:szCs w:val="26"/>
        </w:rPr>
        <w:t>avevano</w:t>
      </w:r>
      <w:r w:rsidR="007452B5" w:rsidRPr="007452B5">
        <w:rPr>
          <w:rFonts w:ascii="Garamond" w:hAnsi="Garamond" w:cs="Arial"/>
          <w:color w:val="000000"/>
          <w:sz w:val="26"/>
          <w:szCs w:val="26"/>
        </w:rPr>
        <w:t>,</w:t>
      </w:r>
      <w:r w:rsidR="007452B5">
        <w:rPr>
          <w:rFonts w:ascii="Garamond" w:hAnsi="Garamond" w:cs="Arial"/>
          <w:color w:val="000000"/>
          <w:sz w:val="26"/>
          <w:szCs w:val="26"/>
        </w:rPr>
        <w:t xml:space="preserve"> in effetti,</w:t>
      </w:r>
      <w:r w:rsidR="009A097C" w:rsidRPr="009A097C">
        <w:rPr>
          <w:rFonts w:ascii="Garamond" w:hAnsi="Garamond" w:cs="Arial"/>
          <w:color w:val="000000"/>
          <w:sz w:val="26"/>
          <w:szCs w:val="26"/>
        </w:rPr>
        <w:t xml:space="preserve"> </w:t>
      </w:r>
      <w:r w:rsidR="007452B5">
        <w:rPr>
          <w:rFonts w:ascii="Garamond" w:hAnsi="Garamond" w:cs="Arial"/>
          <w:color w:val="000000"/>
          <w:sz w:val="26"/>
          <w:szCs w:val="26"/>
        </w:rPr>
        <w:t xml:space="preserve">generato </w:t>
      </w:r>
      <w:r w:rsidR="009A097C" w:rsidRPr="009A097C">
        <w:rPr>
          <w:rFonts w:ascii="Garamond" w:hAnsi="Garamond" w:cs="Arial"/>
          <w:color w:val="000000"/>
          <w:sz w:val="26"/>
          <w:szCs w:val="26"/>
        </w:rPr>
        <w:t>un "</w:t>
      </w:r>
      <w:r w:rsidR="007452B5">
        <w:rPr>
          <w:rFonts w:ascii="Garamond" w:hAnsi="Garamond" w:cs="Arial"/>
          <w:color w:val="000000"/>
          <w:sz w:val="26"/>
          <w:szCs w:val="26"/>
        </w:rPr>
        <w:t>indebitamento” per l’Ente</w:t>
      </w:r>
      <w:r w:rsidR="009A097C" w:rsidRPr="009A097C">
        <w:rPr>
          <w:rFonts w:ascii="Garamond" w:hAnsi="Garamond" w:cs="Arial"/>
          <w:color w:val="000000"/>
          <w:sz w:val="26"/>
          <w:szCs w:val="26"/>
        </w:rPr>
        <w:t xml:space="preserve">, </w:t>
      </w:r>
      <w:r w:rsidR="007452B5">
        <w:rPr>
          <w:rFonts w:ascii="Garamond" w:hAnsi="Garamond" w:cs="Arial"/>
          <w:color w:val="000000"/>
          <w:sz w:val="26"/>
          <w:szCs w:val="26"/>
        </w:rPr>
        <w:t xml:space="preserve">aveva altresì accertato la mancata </w:t>
      </w:r>
      <w:r w:rsidR="00D14E08">
        <w:rPr>
          <w:rFonts w:ascii="Garamond" w:hAnsi="Garamond" w:cs="Arial"/>
          <w:color w:val="000000"/>
          <w:sz w:val="26"/>
          <w:szCs w:val="26"/>
        </w:rPr>
        <w:t xml:space="preserve">previsione </w:t>
      </w:r>
      <w:r>
        <w:rPr>
          <w:rFonts w:ascii="Garamond" w:hAnsi="Garamond" w:cs="Arial"/>
          <w:color w:val="000000"/>
          <w:sz w:val="26"/>
          <w:szCs w:val="26"/>
        </w:rPr>
        <w:t xml:space="preserve">(nei contratti e negli atti amministrativi propedeutici) </w:t>
      </w:r>
      <w:r w:rsidR="00D14E08">
        <w:rPr>
          <w:rFonts w:ascii="Garamond" w:hAnsi="Garamond" w:cs="Arial"/>
          <w:color w:val="000000"/>
          <w:sz w:val="26"/>
          <w:szCs w:val="26"/>
        </w:rPr>
        <w:t xml:space="preserve">della </w:t>
      </w:r>
      <w:r w:rsidR="007452B5">
        <w:rPr>
          <w:rFonts w:ascii="Garamond" w:hAnsi="Garamond" w:cs="Arial"/>
          <w:color w:val="000000"/>
          <w:sz w:val="26"/>
          <w:szCs w:val="26"/>
        </w:rPr>
        <w:t xml:space="preserve">destinazione </w:t>
      </w:r>
      <w:r w:rsidR="00D14E08">
        <w:rPr>
          <w:rFonts w:ascii="Garamond" w:hAnsi="Garamond" w:cs="Arial"/>
          <w:color w:val="000000"/>
          <w:sz w:val="26"/>
          <w:szCs w:val="26"/>
        </w:rPr>
        <w:t xml:space="preserve">di tali somme </w:t>
      </w:r>
      <w:r w:rsidR="009A097C" w:rsidRPr="009A097C">
        <w:rPr>
          <w:rFonts w:ascii="Garamond" w:hAnsi="Garamond" w:cs="Arial"/>
          <w:color w:val="000000"/>
          <w:sz w:val="26"/>
          <w:szCs w:val="26"/>
        </w:rPr>
        <w:t>a spese di "investimento"</w:t>
      </w:r>
      <w:r w:rsidR="00D14E08">
        <w:rPr>
          <w:rFonts w:ascii="Garamond" w:hAnsi="Garamond" w:cs="Arial"/>
          <w:color w:val="000000"/>
          <w:sz w:val="26"/>
          <w:szCs w:val="26"/>
        </w:rPr>
        <w:t xml:space="preserve">, traendone un ulteriore motivo di nullità </w:t>
      </w:r>
      <w:r>
        <w:rPr>
          <w:rFonts w:ascii="Garamond" w:hAnsi="Garamond" w:cs="Arial"/>
          <w:color w:val="000000"/>
          <w:sz w:val="26"/>
          <w:szCs w:val="26"/>
        </w:rPr>
        <w:t xml:space="preserve">negoziale </w:t>
      </w:r>
      <w:r w:rsidR="00D14E08">
        <w:rPr>
          <w:rFonts w:ascii="Garamond" w:hAnsi="Garamond" w:cs="Arial"/>
          <w:color w:val="000000"/>
          <w:sz w:val="26"/>
          <w:szCs w:val="26"/>
        </w:rPr>
        <w:t>per violazione di norme imperative di legge.</w:t>
      </w:r>
    </w:p>
    <w:p w:rsidR="009A097C" w:rsidRPr="009A097C" w:rsidRDefault="003B76F6" w:rsidP="00D14E08">
      <w:pPr>
        <w:spacing w:line="360" w:lineRule="auto"/>
        <w:ind w:left="567" w:right="567" w:firstLine="141"/>
        <w:jc w:val="both"/>
        <w:rPr>
          <w:rFonts w:ascii="Garamond" w:eastAsia="Lucida Sans Unicode" w:hAnsi="Garamond" w:cs="Arial"/>
          <w:i/>
          <w:iCs/>
          <w:color w:val="000000"/>
          <w:sz w:val="26"/>
          <w:szCs w:val="26"/>
        </w:rPr>
      </w:pPr>
      <w:r>
        <w:rPr>
          <w:rFonts w:ascii="Garamond" w:eastAsia="Lucida Sans Unicode" w:hAnsi="Garamond" w:cs="Arial"/>
          <w:color w:val="000000"/>
          <w:sz w:val="26"/>
          <w:szCs w:val="26"/>
        </w:rPr>
        <w:t xml:space="preserve">Il riferimento è, anzitutto, all'art. 119, ultimo </w:t>
      </w:r>
      <w:r w:rsidR="009A097C" w:rsidRPr="009A097C">
        <w:rPr>
          <w:rFonts w:ascii="Garamond" w:eastAsia="Lucida Sans Unicode" w:hAnsi="Garamond" w:cs="Arial"/>
          <w:color w:val="000000"/>
          <w:sz w:val="26"/>
          <w:szCs w:val="26"/>
        </w:rPr>
        <w:t>c</w:t>
      </w:r>
      <w:r w:rsidR="00D14E08">
        <w:rPr>
          <w:rFonts w:ascii="Garamond" w:eastAsia="Lucida Sans Unicode" w:hAnsi="Garamond" w:cs="Arial"/>
          <w:color w:val="000000"/>
          <w:sz w:val="26"/>
          <w:szCs w:val="26"/>
        </w:rPr>
        <w:t>o</w:t>
      </w:r>
      <w:r>
        <w:rPr>
          <w:rFonts w:ascii="Garamond" w:eastAsia="Lucida Sans Unicode" w:hAnsi="Garamond" w:cs="Arial"/>
          <w:color w:val="000000"/>
          <w:sz w:val="26"/>
          <w:szCs w:val="26"/>
        </w:rPr>
        <w:t>mma,</w:t>
      </w:r>
      <w:r w:rsidR="009A097C" w:rsidRPr="009A097C">
        <w:rPr>
          <w:rFonts w:ascii="Garamond" w:eastAsia="Lucida Sans Unicode" w:hAnsi="Garamond" w:cs="Arial"/>
          <w:color w:val="000000"/>
          <w:sz w:val="26"/>
          <w:szCs w:val="26"/>
        </w:rPr>
        <w:t xml:space="preserve"> della Costituzione (nella formulazione risult</w:t>
      </w:r>
      <w:r w:rsidR="00D14E08">
        <w:rPr>
          <w:rFonts w:ascii="Garamond" w:eastAsia="Lucida Sans Unicode" w:hAnsi="Garamond" w:cs="Arial"/>
          <w:color w:val="000000"/>
          <w:sz w:val="26"/>
          <w:szCs w:val="26"/>
        </w:rPr>
        <w:t>ante dalla riforma di cui alla l</w:t>
      </w:r>
      <w:r w:rsidR="009A097C" w:rsidRPr="009A097C">
        <w:rPr>
          <w:rFonts w:ascii="Garamond" w:eastAsia="Lucida Sans Unicode" w:hAnsi="Garamond" w:cs="Arial"/>
          <w:color w:val="000000"/>
          <w:sz w:val="26"/>
          <w:szCs w:val="26"/>
        </w:rPr>
        <w:t>egge cost. 18</w:t>
      </w:r>
      <w:r w:rsidR="00D14E08">
        <w:rPr>
          <w:rFonts w:ascii="Garamond" w:eastAsia="Lucida Sans Unicode" w:hAnsi="Garamond" w:cs="Arial"/>
          <w:color w:val="000000"/>
          <w:sz w:val="26"/>
          <w:szCs w:val="26"/>
        </w:rPr>
        <w:t xml:space="preserve"> ottobre </w:t>
      </w:r>
      <w:r>
        <w:rPr>
          <w:rFonts w:ascii="Garamond" w:eastAsia="Lucida Sans Unicode" w:hAnsi="Garamond" w:cs="Arial"/>
          <w:color w:val="000000"/>
          <w:sz w:val="26"/>
          <w:szCs w:val="26"/>
        </w:rPr>
        <w:t>2001, n. 3)</w:t>
      </w:r>
      <w:r w:rsidR="009A097C" w:rsidRPr="009A097C">
        <w:rPr>
          <w:rFonts w:ascii="Garamond" w:eastAsia="Lucida Sans Unicode" w:hAnsi="Garamond" w:cs="Arial"/>
          <w:color w:val="000000"/>
          <w:sz w:val="26"/>
          <w:szCs w:val="26"/>
        </w:rPr>
        <w:t xml:space="preserve"> </w:t>
      </w:r>
      <w:r>
        <w:rPr>
          <w:rFonts w:ascii="Garamond" w:eastAsia="Lucida Sans Unicode" w:hAnsi="Garamond" w:cs="Arial"/>
          <w:color w:val="000000"/>
          <w:sz w:val="26"/>
          <w:szCs w:val="26"/>
        </w:rPr>
        <w:t xml:space="preserve">che, </w:t>
      </w:r>
      <w:r w:rsidR="009A097C" w:rsidRPr="009A097C">
        <w:rPr>
          <w:rFonts w:ascii="Garamond" w:eastAsia="Lucida Sans Unicode" w:hAnsi="Garamond" w:cs="Arial"/>
          <w:color w:val="000000"/>
          <w:sz w:val="26"/>
          <w:szCs w:val="26"/>
        </w:rPr>
        <w:t xml:space="preserve">nel prevedere che gli Enti locali </w:t>
      </w:r>
      <w:r w:rsidR="009A097C" w:rsidRPr="009A097C">
        <w:rPr>
          <w:rFonts w:ascii="Garamond" w:eastAsia="Lucida Sans Unicode" w:hAnsi="Garamond" w:cs="Arial"/>
          <w:i/>
          <w:iCs/>
          <w:color w:val="000000"/>
          <w:sz w:val="26"/>
          <w:szCs w:val="26"/>
        </w:rPr>
        <w:t>"Possono ricorrere all'indebitamento solo per finanziare spese di investimento"</w:t>
      </w:r>
      <w:r w:rsidR="009A097C" w:rsidRPr="009A097C">
        <w:rPr>
          <w:rFonts w:ascii="Garamond" w:eastAsia="Lucida Sans Unicode" w:hAnsi="Garamond" w:cs="Arial"/>
          <w:color w:val="000000"/>
          <w:sz w:val="26"/>
          <w:szCs w:val="26"/>
        </w:rPr>
        <w:t xml:space="preserve">, ha elevato a rango costituzionale un principio già </w:t>
      </w:r>
      <w:r w:rsidR="00B86AA4">
        <w:rPr>
          <w:rFonts w:ascii="Garamond" w:eastAsia="Lucida Sans Unicode" w:hAnsi="Garamond" w:cs="Arial"/>
          <w:color w:val="000000"/>
          <w:sz w:val="26"/>
          <w:szCs w:val="26"/>
        </w:rPr>
        <w:t xml:space="preserve">previsto </w:t>
      </w:r>
      <w:r w:rsidR="00D14E08">
        <w:rPr>
          <w:rFonts w:ascii="Garamond" w:eastAsia="Lucida Sans Unicode" w:hAnsi="Garamond" w:cs="Arial"/>
          <w:color w:val="000000"/>
          <w:sz w:val="26"/>
          <w:szCs w:val="26"/>
        </w:rPr>
        <w:t>dall'art. 202 d.l</w:t>
      </w:r>
      <w:r w:rsidR="009A097C" w:rsidRPr="009A097C">
        <w:rPr>
          <w:rFonts w:ascii="Garamond" w:eastAsia="Lucida Sans Unicode" w:hAnsi="Garamond" w:cs="Arial"/>
          <w:color w:val="000000"/>
          <w:sz w:val="26"/>
          <w:szCs w:val="26"/>
        </w:rPr>
        <w:t xml:space="preserve">gs. </w:t>
      </w:r>
      <w:r w:rsidR="00D14E08">
        <w:rPr>
          <w:rFonts w:ascii="Garamond" w:eastAsia="Lucida Sans Unicode" w:hAnsi="Garamond" w:cs="Arial"/>
          <w:color w:val="000000"/>
          <w:sz w:val="26"/>
          <w:szCs w:val="26"/>
        </w:rPr>
        <w:t xml:space="preserve">n. 267 del </w:t>
      </w:r>
      <w:r w:rsidR="009A097C" w:rsidRPr="009A097C">
        <w:rPr>
          <w:rFonts w:ascii="Garamond" w:eastAsia="Lucida Sans Unicode" w:hAnsi="Garamond" w:cs="Arial"/>
          <w:color w:val="000000"/>
          <w:sz w:val="26"/>
          <w:szCs w:val="26"/>
        </w:rPr>
        <w:t>2000 (</w:t>
      </w:r>
      <w:r w:rsidR="009A097C" w:rsidRPr="009A097C">
        <w:rPr>
          <w:rFonts w:ascii="Garamond" w:eastAsia="Lucida Sans Unicode" w:hAnsi="Garamond" w:cs="Arial"/>
          <w:i/>
          <w:iCs/>
          <w:color w:val="000000"/>
          <w:sz w:val="26"/>
          <w:szCs w:val="26"/>
        </w:rPr>
        <w:t>"Il ricorso all'indebitamento da parte degli enti locali è ammesso esclusivamente nelle forme previste dalle leggi vigenti in materia e per la realizzazione degli investimenti.").</w:t>
      </w:r>
    </w:p>
    <w:p w:rsidR="009A097C" w:rsidRPr="009A097C" w:rsidRDefault="00D14E08" w:rsidP="00D14E08">
      <w:pPr>
        <w:spacing w:line="360" w:lineRule="auto"/>
        <w:ind w:left="567" w:right="567" w:firstLine="141"/>
        <w:jc w:val="both"/>
        <w:rPr>
          <w:rFonts w:ascii="Garamond" w:eastAsia="Lucida Sans Unicode" w:hAnsi="Garamond" w:cs="Arial"/>
          <w:color w:val="000000"/>
          <w:sz w:val="26"/>
          <w:szCs w:val="26"/>
        </w:rPr>
      </w:pPr>
      <w:r>
        <w:rPr>
          <w:rFonts w:ascii="Garamond" w:eastAsia="Lucida Sans Unicode" w:hAnsi="Garamond" w:cs="Arial"/>
          <w:color w:val="000000"/>
          <w:sz w:val="26"/>
          <w:szCs w:val="26"/>
        </w:rPr>
        <w:t>L'art. 30, comma 15, della l</w:t>
      </w:r>
      <w:r w:rsidR="009A097C" w:rsidRPr="009A097C">
        <w:rPr>
          <w:rFonts w:ascii="Garamond" w:eastAsia="Lucida Sans Unicode" w:hAnsi="Garamond" w:cs="Arial"/>
          <w:color w:val="000000"/>
          <w:sz w:val="26"/>
          <w:szCs w:val="26"/>
        </w:rPr>
        <w:t>egge 27</w:t>
      </w:r>
      <w:r>
        <w:rPr>
          <w:rFonts w:ascii="Garamond" w:eastAsia="Lucida Sans Unicode" w:hAnsi="Garamond" w:cs="Arial"/>
          <w:color w:val="000000"/>
          <w:sz w:val="26"/>
          <w:szCs w:val="26"/>
        </w:rPr>
        <w:t xml:space="preserve"> dicembre 2002, n. 289 (l</w:t>
      </w:r>
      <w:r w:rsidR="009A097C" w:rsidRPr="009A097C">
        <w:rPr>
          <w:rFonts w:ascii="Garamond" w:eastAsia="Lucida Sans Unicode" w:hAnsi="Garamond" w:cs="Arial"/>
          <w:color w:val="000000"/>
          <w:sz w:val="26"/>
          <w:szCs w:val="26"/>
        </w:rPr>
        <w:t xml:space="preserve">egge Finanziaria 2003) ha poi stabilito le conseguenze della violazione del suddetto precetto, prevedendo che </w:t>
      </w:r>
      <w:r w:rsidR="009A097C" w:rsidRPr="009A097C">
        <w:rPr>
          <w:rFonts w:ascii="Garamond" w:hAnsi="Garamond"/>
          <w:i/>
          <w:iCs/>
          <w:sz w:val="26"/>
          <w:szCs w:val="26"/>
        </w:rPr>
        <w:t xml:space="preserve">"Qualora gli enti territoriali ricorrano all'indebitamento per finanziare spese diverse da quelle di investimento, in violazione dell'articolo 119 della </w:t>
      </w:r>
      <w:r w:rsidR="009A097C" w:rsidRPr="009A097C">
        <w:rPr>
          <w:rFonts w:ascii="Garamond" w:eastAsia="Lucida Sans Unicode" w:hAnsi="Garamond" w:cs="Arial"/>
          <w:i/>
          <w:iCs/>
          <w:color w:val="000000"/>
          <w:sz w:val="26"/>
          <w:szCs w:val="26"/>
        </w:rPr>
        <w:t xml:space="preserve">Costituzione, i relativi atti e contratti sono nulli. </w:t>
      </w:r>
      <w:r w:rsidR="009A097C" w:rsidRPr="009A097C">
        <w:rPr>
          <w:rFonts w:ascii="Garamond" w:hAnsi="Garamond"/>
          <w:i/>
          <w:iCs/>
          <w:sz w:val="26"/>
          <w:szCs w:val="26"/>
        </w:rPr>
        <w:t>Le sezioni giurisdizionali regionali della Corte dei conti possono irrogare agli amministratori, che hanno assunto la relativa delibera, la condanna ad una sanzione pecuniaria pari ad un minimo di cinque e fino ad un massimo di venti volte l'indennità di carica percepita al momento di commissione della violazione.</w:t>
      </w:r>
      <w:r w:rsidR="009A097C" w:rsidRPr="009A097C">
        <w:rPr>
          <w:rFonts w:ascii="Garamond" w:eastAsia="Lucida Sans Unicode" w:hAnsi="Garamond" w:cs="Arial"/>
          <w:i/>
          <w:iCs/>
          <w:color w:val="000000"/>
          <w:sz w:val="26"/>
          <w:szCs w:val="26"/>
        </w:rPr>
        <w:t>"</w:t>
      </w:r>
      <w:r w:rsidR="009A097C" w:rsidRPr="009A097C">
        <w:rPr>
          <w:rFonts w:ascii="Garamond" w:eastAsia="Lucida Sans Unicode" w:hAnsi="Garamond" w:cs="Arial"/>
          <w:color w:val="000000"/>
          <w:sz w:val="26"/>
          <w:szCs w:val="26"/>
        </w:rPr>
        <w:t>.</w:t>
      </w:r>
    </w:p>
    <w:p w:rsidR="009A097C" w:rsidRPr="009A097C" w:rsidRDefault="009A097C" w:rsidP="00D14E08">
      <w:pPr>
        <w:spacing w:line="360" w:lineRule="auto"/>
        <w:ind w:left="567" w:right="567" w:firstLine="141"/>
        <w:jc w:val="both"/>
        <w:rPr>
          <w:rFonts w:ascii="Garamond" w:eastAsia="Arial" w:hAnsi="Garamond" w:cs="Arial"/>
          <w:color w:val="000000"/>
          <w:sz w:val="26"/>
          <w:szCs w:val="26"/>
        </w:rPr>
      </w:pPr>
      <w:r w:rsidRPr="009A097C">
        <w:rPr>
          <w:rFonts w:ascii="Garamond" w:eastAsia="Arial" w:hAnsi="Garamond" w:cs="Arial"/>
          <w:color w:val="000000"/>
          <w:sz w:val="26"/>
          <w:szCs w:val="26"/>
        </w:rPr>
        <w:t xml:space="preserve">La norma ha superato il vaglio di legittimità costituzionale della Consulta </w:t>
      </w:r>
      <w:r w:rsidRPr="009A097C">
        <w:rPr>
          <w:rStyle w:val="Rimandonotaapidipagina"/>
          <w:rFonts w:ascii="Garamond" w:eastAsia="Lucida Sans Unicode" w:hAnsi="Garamond" w:cs="Arial"/>
          <w:color w:val="000000"/>
          <w:sz w:val="26"/>
          <w:szCs w:val="26"/>
        </w:rPr>
        <w:footnoteReference w:id="37"/>
      </w:r>
      <w:r w:rsidRPr="009A097C">
        <w:rPr>
          <w:rFonts w:ascii="Garamond" w:eastAsia="Arial" w:hAnsi="Garamond" w:cs="Arial"/>
          <w:color w:val="000000"/>
          <w:sz w:val="26"/>
          <w:szCs w:val="26"/>
        </w:rPr>
        <w:t>.</w:t>
      </w:r>
    </w:p>
    <w:p w:rsidR="009A097C" w:rsidRPr="009A097C" w:rsidRDefault="009A097C" w:rsidP="00D14E08">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Il Giudice contabile se ne è occupato</w:t>
      </w:r>
      <w:r w:rsidR="00D14E08">
        <w:rPr>
          <w:rFonts w:ascii="Garamond" w:eastAsia="Lucida Sans Unicode" w:hAnsi="Garamond" w:cs="Arial"/>
          <w:color w:val="000000"/>
          <w:sz w:val="26"/>
          <w:szCs w:val="26"/>
        </w:rPr>
        <w:t xml:space="preserve"> più volte</w:t>
      </w:r>
      <w:r w:rsidRPr="009A097C">
        <w:rPr>
          <w:rFonts w:ascii="Garamond" w:eastAsia="Lucida Sans Unicode" w:hAnsi="Garamond" w:cs="Arial"/>
          <w:color w:val="000000"/>
          <w:sz w:val="26"/>
          <w:szCs w:val="26"/>
        </w:rPr>
        <w:t xml:space="preserve"> facendone applicazione con riferimento alle sanzioni "personali" contemplate nel secondo capoverso della norma, rimesse espressamente alla sua giurisdizione.</w:t>
      </w:r>
    </w:p>
    <w:p w:rsidR="009A097C" w:rsidRPr="009A097C" w:rsidRDefault="009A097C" w:rsidP="00D14E08">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Ha, invece, ben pochi precedenti l'applicazione delle sanzioni “oggettive” di nullità degli atti amministrativi e dei contratti, stante l'incertezza interpretativa sorta in merito alla particolare natura delle stesse.</w:t>
      </w:r>
    </w:p>
    <w:p w:rsidR="009A097C" w:rsidRPr="009A097C" w:rsidRDefault="009A097C" w:rsidP="00D14E08">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Un parziale chiarimento è venuto dalle Sezioni Riunite della Corte dei Conti in sede giur</w:t>
      </w:r>
      <w:r w:rsidR="00D14E08">
        <w:rPr>
          <w:rFonts w:ascii="Garamond" w:eastAsia="Lucida Sans Unicode" w:hAnsi="Garamond" w:cs="Arial"/>
          <w:color w:val="000000"/>
          <w:sz w:val="26"/>
          <w:szCs w:val="26"/>
        </w:rPr>
        <w:t xml:space="preserve">isdizionale (sentenza n. 12 </w:t>
      </w:r>
      <w:r w:rsidRPr="009A097C">
        <w:rPr>
          <w:rFonts w:ascii="Garamond" w:eastAsia="Lucida Sans Unicode" w:hAnsi="Garamond" w:cs="Arial"/>
          <w:color w:val="000000"/>
          <w:sz w:val="26"/>
          <w:szCs w:val="26"/>
        </w:rPr>
        <w:t>del 27</w:t>
      </w:r>
      <w:r w:rsidR="00D14E08">
        <w:rPr>
          <w:rFonts w:ascii="Garamond" w:eastAsia="Lucida Sans Unicode" w:hAnsi="Garamond" w:cs="Arial"/>
          <w:color w:val="000000"/>
          <w:sz w:val="26"/>
          <w:szCs w:val="26"/>
        </w:rPr>
        <w:t xml:space="preserve"> dicembre </w:t>
      </w:r>
      <w:r w:rsidRPr="009A097C">
        <w:rPr>
          <w:rFonts w:ascii="Garamond" w:eastAsia="Lucida Sans Unicode" w:hAnsi="Garamond" w:cs="Arial"/>
          <w:color w:val="000000"/>
          <w:sz w:val="26"/>
          <w:szCs w:val="26"/>
        </w:rPr>
        <w:t>2007), che ha, tra l'altro, precisato: a) che la norma prevede due distinte reazioni alla violazione</w:t>
      </w:r>
      <w:r w:rsidR="00D14E08">
        <w:rPr>
          <w:rFonts w:ascii="Garamond" w:eastAsia="Lucida Sans Unicode" w:hAnsi="Garamond" w:cs="Arial"/>
          <w:color w:val="000000"/>
          <w:sz w:val="26"/>
          <w:szCs w:val="26"/>
        </w:rPr>
        <w:t xml:space="preserve"> del divieto costituzionale, la prima</w:t>
      </w:r>
      <w:r w:rsidRPr="009A097C">
        <w:rPr>
          <w:rFonts w:ascii="Garamond" w:eastAsia="Lucida Sans Unicode" w:hAnsi="Garamond" w:cs="Arial"/>
          <w:color w:val="000000"/>
          <w:sz w:val="26"/>
          <w:szCs w:val="26"/>
        </w:rPr>
        <w:t xml:space="preserve"> “oggettiva” consistente nella comminatoria di “nullità” degli atti e d</w:t>
      </w:r>
      <w:r w:rsidR="00D14E08">
        <w:rPr>
          <w:rFonts w:ascii="Garamond" w:eastAsia="Lucida Sans Unicode" w:hAnsi="Garamond" w:cs="Arial"/>
          <w:color w:val="000000"/>
          <w:sz w:val="26"/>
          <w:szCs w:val="26"/>
        </w:rPr>
        <w:t>ei contratti di finanziamento e la seconda</w:t>
      </w:r>
      <w:r w:rsidRPr="009A097C">
        <w:rPr>
          <w:rFonts w:ascii="Garamond" w:eastAsia="Lucida Sans Unicode" w:hAnsi="Garamond" w:cs="Arial"/>
          <w:color w:val="000000"/>
          <w:sz w:val="26"/>
          <w:szCs w:val="26"/>
        </w:rPr>
        <w:t xml:space="preserve"> “personale” pecuniaria a carico dei trasgressori; b) che la sanzione della “nullità” va intesa nel senso suo proprio, quale inefficacia ed improduttività di effetti </w:t>
      </w:r>
      <w:r w:rsidRPr="00D14E08">
        <w:rPr>
          <w:rFonts w:ascii="Garamond" w:eastAsia="Lucida Sans Unicode" w:hAnsi="Garamond" w:cs="Arial"/>
          <w:i/>
          <w:color w:val="000000"/>
          <w:sz w:val="26"/>
          <w:szCs w:val="26"/>
        </w:rPr>
        <w:t>ex tunc</w:t>
      </w:r>
      <w:r w:rsidRPr="009A097C">
        <w:rPr>
          <w:rFonts w:ascii="Garamond" w:eastAsia="Lucida Sans Unicode" w:hAnsi="Garamond" w:cs="Arial"/>
          <w:color w:val="000000"/>
          <w:sz w:val="26"/>
          <w:szCs w:val="26"/>
        </w:rPr>
        <w:t xml:space="preserve"> sia della delibera di ricorso all'indebitamento, sia del contratto stipulato con l'ente erogatore del finanziamento; c) che le suddette due reazioni (sanzione oggettiva e sanzione personale) sono </w:t>
      </w:r>
      <w:r w:rsidR="003B76F6">
        <w:rPr>
          <w:rFonts w:ascii="Garamond" w:eastAsia="Lucida Sans Unicode" w:hAnsi="Garamond" w:cs="Arial"/>
          <w:i/>
          <w:color w:val="000000"/>
          <w:sz w:val="26"/>
          <w:szCs w:val="26"/>
        </w:rPr>
        <w:t xml:space="preserve">&lt;&lt; </w:t>
      </w:r>
      <w:r w:rsidRPr="003B76F6">
        <w:rPr>
          <w:rFonts w:ascii="Garamond" w:eastAsia="Lucida Sans Unicode" w:hAnsi="Garamond" w:cs="Arial"/>
          <w:i/>
          <w:color w:val="000000"/>
          <w:sz w:val="26"/>
          <w:szCs w:val="26"/>
        </w:rPr>
        <w:t>strettamente correlate l'una all'altra, tanto che la sanzione pecuniaria sembra configurarsi quale conseguenza ulteriore rispetto alla nullità degli atti</w:t>
      </w:r>
      <w:r w:rsidR="003B76F6">
        <w:rPr>
          <w:rFonts w:ascii="Garamond" w:eastAsia="Lucida Sans Unicode" w:hAnsi="Garamond" w:cs="Arial"/>
          <w:i/>
          <w:color w:val="000000"/>
          <w:sz w:val="26"/>
          <w:szCs w:val="26"/>
        </w:rPr>
        <w:t xml:space="preserve"> &gt;&gt;</w:t>
      </w:r>
      <w:r w:rsidRPr="009A097C">
        <w:rPr>
          <w:rFonts w:ascii="Garamond" w:eastAsia="Lucida Sans Unicode" w:hAnsi="Garamond" w:cs="Arial"/>
          <w:color w:val="000000"/>
          <w:sz w:val="26"/>
          <w:szCs w:val="26"/>
        </w:rPr>
        <w:t>.</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 xml:space="preserve">Le Sezioni Riunite </w:t>
      </w:r>
      <w:r w:rsidR="00B86AA4">
        <w:rPr>
          <w:rFonts w:ascii="Garamond" w:eastAsia="Lucida Sans Unicode" w:hAnsi="Garamond" w:cs="Arial"/>
          <w:color w:val="000000"/>
          <w:sz w:val="26"/>
          <w:szCs w:val="26"/>
        </w:rPr>
        <w:t xml:space="preserve">della Corte dei conti </w:t>
      </w:r>
      <w:r w:rsidRPr="009A097C">
        <w:rPr>
          <w:rFonts w:ascii="Garamond" w:eastAsia="Lucida Sans Unicode" w:hAnsi="Garamond" w:cs="Arial"/>
          <w:color w:val="000000"/>
          <w:sz w:val="26"/>
          <w:szCs w:val="26"/>
        </w:rPr>
        <w:t>non si sono, invece, espresse sulla questione della giurisdizione, non chiarendo quale sia l'organo giurisdizionale  chiamato ad accertare e dichiarare la nullità degli atti amministrativi e dei contratti in caso di violazione del precetto costituzionale.</w:t>
      </w:r>
    </w:p>
    <w:p w:rsidR="00B86AA4"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 xml:space="preserve">Sul punto esistono alcuni sporadici precedenti del Giudice contabile, che in qualche occasione si è spinto sino al punto di ritenere la propria giurisdizione anche </w:t>
      </w:r>
      <w:r w:rsidR="00B86AA4">
        <w:rPr>
          <w:rFonts w:ascii="Garamond" w:eastAsia="Lucida Sans Unicode" w:hAnsi="Garamond" w:cs="Arial"/>
          <w:color w:val="000000"/>
          <w:sz w:val="26"/>
          <w:szCs w:val="26"/>
        </w:rPr>
        <w:t xml:space="preserve">sulla </w:t>
      </w:r>
      <w:r w:rsidRPr="009A097C">
        <w:rPr>
          <w:rFonts w:ascii="Garamond" w:eastAsia="Lucida Sans Unicode" w:hAnsi="Garamond" w:cs="Arial"/>
          <w:color w:val="000000"/>
          <w:sz w:val="26"/>
          <w:szCs w:val="26"/>
        </w:rPr>
        <w:t xml:space="preserve">applicazione delle sanzioni c.d. “oggettive”, così dichiarando la nullità parziale degli atti amministrativi con cui un Comune aveva deliberato di assumere finanziamenti da destinare a spese diverse da quelle di investimento, nonché i “conseguenti atti negoziali” </w:t>
      </w:r>
      <w:r w:rsidR="00B86AA4" w:rsidRPr="009A097C">
        <w:rPr>
          <w:rStyle w:val="Rimandonotaapidipagina"/>
          <w:rFonts w:ascii="Garamond" w:eastAsia="Lucida Sans Unicode" w:hAnsi="Garamond" w:cs="Arial"/>
          <w:color w:val="000000"/>
          <w:sz w:val="26"/>
          <w:szCs w:val="26"/>
        </w:rPr>
        <w:footnoteReference w:id="38"/>
      </w:r>
      <w:r w:rsidR="00B86AA4">
        <w:rPr>
          <w:rFonts w:ascii="Garamond" w:eastAsia="Lucida Sans Unicode" w:hAnsi="Garamond" w:cs="Arial"/>
          <w:color w:val="000000"/>
          <w:sz w:val="26"/>
          <w:szCs w:val="26"/>
        </w:rPr>
        <w:t>.</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Ma si tratta di precedenti isolati che si prestano a forti obiezioni, in quanto in palese contrasto con l'assetto costituzionale del riparto di giurisdizione.</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Va, infatti, ricordato che ai sensi dell'art. 103</w:t>
      </w:r>
      <w:r w:rsidR="00B86AA4">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comma 2</w:t>
      </w:r>
      <w:r w:rsidR="00B86AA4">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della Costituzione, </w:t>
      </w:r>
      <w:r w:rsidRPr="009A097C">
        <w:rPr>
          <w:rFonts w:ascii="Garamond" w:eastAsia="Lucida Sans Unicode" w:hAnsi="Garamond" w:cs="Arial"/>
          <w:i/>
          <w:iCs/>
          <w:color w:val="000000"/>
          <w:sz w:val="26"/>
          <w:szCs w:val="26"/>
        </w:rPr>
        <w:t>“La Corte dei Conti ha giurisdizione nelle materie di contabilità pubblica e nelle altre specificate dalla legge”</w:t>
      </w:r>
      <w:r w:rsidRPr="009A097C">
        <w:rPr>
          <w:rFonts w:ascii="Garamond" w:eastAsia="Lucida Sans Unicode" w:hAnsi="Garamond" w:cs="Arial"/>
          <w:color w:val="000000"/>
          <w:sz w:val="26"/>
          <w:szCs w:val="26"/>
        </w:rPr>
        <w:t xml:space="preserve"> e poiché è assai improbabile ricondurre lo scrutinio di validità di un contratto (per quanto della P.A.) nell'ambito delle “materie di contabilità pubblica” (anche alla stregua di una moderna concezione della giurisdizione contabile ancorata al concetto oggettivo di “finanza pubb</w:t>
      </w:r>
      <w:r w:rsidR="00B86AA4">
        <w:rPr>
          <w:rFonts w:ascii="Garamond" w:eastAsia="Lucida Sans Unicode" w:hAnsi="Garamond" w:cs="Arial"/>
          <w:color w:val="000000"/>
          <w:sz w:val="26"/>
          <w:szCs w:val="26"/>
        </w:rPr>
        <w:t xml:space="preserve">lica”), la giurisdizione del Giudice contabile </w:t>
      </w:r>
      <w:r w:rsidRPr="009A097C">
        <w:rPr>
          <w:rFonts w:ascii="Garamond" w:eastAsia="Lucida Sans Unicode" w:hAnsi="Garamond" w:cs="Arial"/>
          <w:color w:val="000000"/>
          <w:sz w:val="26"/>
          <w:szCs w:val="26"/>
        </w:rPr>
        <w:t xml:space="preserve">sul punto richiederebbe una </w:t>
      </w:r>
      <w:r w:rsidRPr="009A097C">
        <w:rPr>
          <w:rFonts w:ascii="Garamond" w:eastAsia="Lucida Sans Unicode" w:hAnsi="Garamond" w:cs="Arial"/>
          <w:i/>
          <w:iCs/>
          <w:color w:val="000000"/>
          <w:sz w:val="26"/>
          <w:szCs w:val="26"/>
        </w:rPr>
        <w:t xml:space="preserve">interpositio legislatoris </w:t>
      </w:r>
      <w:r w:rsidRPr="009A097C">
        <w:rPr>
          <w:rFonts w:ascii="Garamond" w:eastAsia="Lucida Sans Unicode" w:hAnsi="Garamond" w:cs="Arial"/>
          <w:color w:val="000000"/>
          <w:sz w:val="26"/>
          <w:szCs w:val="26"/>
        </w:rPr>
        <w:t>che nel caso di specie manca, visto che l'art. 30</w:t>
      </w:r>
      <w:r w:rsidR="003B76F6">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comma 15</w:t>
      </w:r>
      <w:r w:rsidR="003B76F6">
        <w:rPr>
          <w:rFonts w:ascii="Garamond" w:eastAsia="Lucida Sans Unicode" w:hAnsi="Garamond" w:cs="Arial"/>
          <w:color w:val="000000"/>
          <w:sz w:val="26"/>
          <w:szCs w:val="26"/>
        </w:rPr>
        <w:t>, della l</w:t>
      </w:r>
      <w:r w:rsidRPr="009A097C">
        <w:rPr>
          <w:rFonts w:ascii="Garamond" w:eastAsia="Lucida Sans Unicode" w:hAnsi="Garamond" w:cs="Arial"/>
          <w:color w:val="000000"/>
          <w:sz w:val="26"/>
          <w:szCs w:val="26"/>
        </w:rPr>
        <w:t>egge 289/2002 attribuisce letteralmente alle “</w:t>
      </w:r>
      <w:r w:rsidRPr="009A097C">
        <w:rPr>
          <w:rFonts w:ascii="Garamond" w:eastAsia="Lucida Sans Unicode" w:hAnsi="Garamond" w:cs="Arial"/>
          <w:i/>
          <w:iCs/>
          <w:color w:val="000000"/>
          <w:sz w:val="26"/>
          <w:szCs w:val="26"/>
        </w:rPr>
        <w:t xml:space="preserve">sezioni giurisdizionali regionali della Corte dei conti” </w:t>
      </w:r>
      <w:r w:rsidRPr="009A097C">
        <w:rPr>
          <w:rFonts w:ascii="Garamond" w:eastAsia="Lucida Sans Unicode" w:hAnsi="Garamond" w:cs="Arial"/>
          <w:color w:val="000000"/>
          <w:sz w:val="26"/>
          <w:szCs w:val="26"/>
        </w:rPr>
        <w:t>soltanto l'applicazione delle sanzioni personali (di cui al secondo capoverso).</w:t>
      </w:r>
    </w:p>
    <w:p w:rsidR="009A097C" w:rsidRPr="009A097C" w:rsidRDefault="009A097C" w:rsidP="003B76F6">
      <w:pPr>
        <w:spacing w:line="360" w:lineRule="auto"/>
        <w:ind w:left="567" w:right="567" w:firstLine="141"/>
        <w:jc w:val="both"/>
        <w:rPr>
          <w:rFonts w:ascii="Garamond" w:eastAsia="Lucida Sans Unicode" w:hAnsi="Garamond" w:cs="Arial"/>
          <w:i/>
          <w:iCs/>
          <w:color w:val="000000"/>
          <w:sz w:val="26"/>
          <w:szCs w:val="26"/>
        </w:rPr>
      </w:pPr>
      <w:r w:rsidRPr="009A097C">
        <w:rPr>
          <w:rFonts w:ascii="Garamond" w:eastAsia="Lucida Sans Unicode" w:hAnsi="Garamond" w:cs="Arial"/>
          <w:color w:val="000000"/>
          <w:sz w:val="26"/>
          <w:szCs w:val="26"/>
        </w:rPr>
        <w:t xml:space="preserve">Discorso analogo riguarda l'accertamento di nullità dell'atto amministrativo, atteso </w:t>
      </w:r>
      <w:r w:rsidR="00B86AA4">
        <w:rPr>
          <w:rFonts w:ascii="Garamond" w:eastAsia="Lucida Sans Unicode" w:hAnsi="Garamond" w:cs="Arial"/>
          <w:color w:val="000000"/>
          <w:sz w:val="26"/>
          <w:szCs w:val="26"/>
        </w:rPr>
        <w:t xml:space="preserve">che </w:t>
      </w:r>
      <w:r w:rsidRPr="009A097C">
        <w:rPr>
          <w:rFonts w:ascii="Garamond" w:eastAsia="Lucida Sans Unicode" w:hAnsi="Garamond" w:cs="Arial"/>
          <w:color w:val="000000"/>
          <w:sz w:val="26"/>
          <w:szCs w:val="26"/>
        </w:rPr>
        <w:t>l'art. 113</w:t>
      </w:r>
      <w:r w:rsidR="003B76F6">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comma 1</w:t>
      </w:r>
      <w:r w:rsidR="003B76F6">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Cost. assegna la tutela giurisdizionale dei diritti e degli interessi legittimi contro gli atti della P.A. </w:t>
      </w:r>
      <w:r w:rsidRPr="009A097C">
        <w:rPr>
          <w:rFonts w:ascii="Garamond" w:eastAsia="Lucida Sans Unicode" w:hAnsi="Garamond" w:cs="Arial"/>
          <w:i/>
          <w:iCs/>
          <w:color w:val="000000"/>
          <w:sz w:val="26"/>
          <w:szCs w:val="26"/>
        </w:rPr>
        <w:t xml:space="preserve">“agli organi di giurisdizione ordinaria o amministrativa” </w:t>
      </w:r>
      <w:r w:rsidRPr="009A097C">
        <w:rPr>
          <w:rFonts w:ascii="Garamond" w:eastAsia="Lucida Sans Unicode" w:hAnsi="Garamond" w:cs="Arial"/>
          <w:color w:val="000000"/>
          <w:sz w:val="26"/>
          <w:szCs w:val="26"/>
        </w:rPr>
        <w:t xml:space="preserve">e il successivo comma 3 sancisce che </w:t>
      </w:r>
      <w:r w:rsidRPr="009A097C">
        <w:rPr>
          <w:rFonts w:ascii="Garamond" w:eastAsia="Lucida Sans Unicode" w:hAnsi="Garamond" w:cs="Arial"/>
          <w:i/>
          <w:iCs/>
          <w:color w:val="000000"/>
          <w:sz w:val="26"/>
          <w:szCs w:val="26"/>
        </w:rPr>
        <w:t>“La Legge determina quali organi di giurisdizione possono annullare gli atti della pubblica amministrazione nei casi e con gli effetti previsti dalla legge stessa.”</w:t>
      </w:r>
      <w:r w:rsidRPr="009A097C">
        <w:rPr>
          <w:rFonts w:ascii="Garamond" w:eastAsia="Lucida Sans Unicode" w:hAnsi="Garamond" w:cs="Arial"/>
          <w:color w:val="000000"/>
          <w:sz w:val="26"/>
          <w:szCs w:val="26"/>
        </w:rPr>
        <w:t>.</w:t>
      </w:r>
      <w:r w:rsidRPr="009A097C">
        <w:rPr>
          <w:rFonts w:ascii="Garamond" w:eastAsia="Lucida Sans Unicode" w:hAnsi="Garamond" w:cs="Arial"/>
          <w:i/>
          <w:iCs/>
          <w:color w:val="000000"/>
          <w:sz w:val="26"/>
          <w:szCs w:val="26"/>
        </w:rPr>
        <w:t xml:space="preserve"> </w:t>
      </w:r>
    </w:p>
    <w:p w:rsidR="009A097C" w:rsidRPr="009A097C" w:rsidRDefault="009A097C" w:rsidP="00AE193C">
      <w:pPr>
        <w:spacing w:line="360" w:lineRule="auto"/>
        <w:ind w:left="708"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 xml:space="preserve">Né </w:t>
      </w:r>
      <w:r w:rsidR="00AE193C">
        <w:rPr>
          <w:rFonts w:ascii="Garamond" w:eastAsia="Lucida Sans Unicode" w:hAnsi="Garamond" w:cs="Arial"/>
          <w:color w:val="000000"/>
          <w:sz w:val="26"/>
          <w:szCs w:val="26"/>
        </w:rPr>
        <w:t>dette giurisdizioni</w:t>
      </w:r>
      <w:r w:rsidRPr="009A097C">
        <w:rPr>
          <w:rFonts w:ascii="Garamond" w:eastAsia="Lucida Sans Unicode" w:hAnsi="Garamond" w:cs="Arial"/>
          <w:color w:val="000000"/>
          <w:sz w:val="26"/>
          <w:szCs w:val="26"/>
        </w:rPr>
        <w:t xml:space="preserve"> potrebbe </w:t>
      </w:r>
      <w:r w:rsidR="00B86AA4">
        <w:rPr>
          <w:rFonts w:ascii="Garamond" w:eastAsia="Lucida Sans Unicode" w:hAnsi="Garamond" w:cs="Arial"/>
          <w:color w:val="000000"/>
          <w:sz w:val="26"/>
          <w:szCs w:val="26"/>
        </w:rPr>
        <w:t xml:space="preserve">sostenersi </w:t>
      </w:r>
      <w:r w:rsidRPr="009A097C">
        <w:rPr>
          <w:rFonts w:ascii="Garamond" w:eastAsia="Lucida Sans Unicode" w:hAnsi="Garamond" w:cs="Arial"/>
          <w:color w:val="000000"/>
          <w:sz w:val="26"/>
          <w:szCs w:val="26"/>
        </w:rPr>
        <w:t xml:space="preserve">in considerazione di una qualche interferenza con </w:t>
      </w:r>
      <w:r w:rsidR="00AE193C">
        <w:rPr>
          <w:rFonts w:ascii="Garamond" w:eastAsia="Lucida Sans Unicode" w:hAnsi="Garamond" w:cs="Arial"/>
          <w:color w:val="000000"/>
          <w:sz w:val="26"/>
          <w:szCs w:val="26"/>
        </w:rPr>
        <w:t>le materie assegnate</w:t>
      </w:r>
      <w:r w:rsidRPr="009A097C">
        <w:rPr>
          <w:rFonts w:ascii="Garamond" w:eastAsia="Lucida Sans Unicode" w:hAnsi="Garamond" w:cs="Arial"/>
          <w:color w:val="000000"/>
          <w:sz w:val="26"/>
          <w:szCs w:val="26"/>
        </w:rPr>
        <w:t>, stante il noto principio di inderogabilità della giurisdizione per ragioni di connessione.</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Aggiungasi che</w:t>
      </w:r>
      <w:r w:rsidR="00B86AA4">
        <w:rPr>
          <w:rFonts w:ascii="Garamond" w:eastAsia="Lucida Sans Unicode" w:hAnsi="Garamond" w:cs="Arial"/>
          <w:color w:val="000000"/>
          <w:sz w:val="26"/>
          <w:szCs w:val="26"/>
        </w:rPr>
        <w:t xml:space="preserve"> </w:t>
      </w:r>
      <w:r w:rsidRPr="009A097C">
        <w:rPr>
          <w:rFonts w:ascii="Garamond" w:eastAsia="Lucida Sans Unicode" w:hAnsi="Garamond" w:cs="Arial"/>
          <w:color w:val="000000"/>
          <w:sz w:val="26"/>
          <w:szCs w:val="26"/>
        </w:rPr>
        <w:t xml:space="preserve">il processo contabile mal si presterebbe alla tutela dei diritti soggettivi di cui l'erogatore del contratto di “finanziamento” è titolare, che non potrebbe trovare adeguata tutela nell'ambito di un processo (come quello contabile) strutturato secondo un modello inquisitorio, contraddistinto da una asimmetria processuale tra le parti ed in cui è completamente assente il contraddittorio nella fase istruttoria </w:t>
      </w:r>
      <w:r w:rsidRPr="009A097C">
        <w:rPr>
          <w:rStyle w:val="Rimandonotaapidipagina"/>
          <w:rFonts w:ascii="Garamond" w:eastAsia="Lucida Sans Unicode" w:hAnsi="Garamond" w:cs="Arial"/>
          <w:color w:val="000000"/>
          <w:sz w:val="26"/>
          <w:szCs w:val="26"/>
        </w:rPr>
        <w:footnoteReference w:id="39"/>
      </w:r>
      <w:r w:rsidRPr="009A097C">
        <w:rPr>
          <w:rFonts w:ascii="Garamond" w:eastAsia="Lucida Sans Unicode" w:hAnsi="Garamond" w:cs="Arial"/>
          <w:color w:val="000000"/>
          <w:sz w:val="26"/>
          <w:szCs w:val="26"/>
        </w:rPr>
        <w:t>.</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Deve, pertanto, concludersi che il sindacato sulla nullità dell'atto amministrativo e del contratto per violazione dell'art. 30</w:t>
      </w:r>
      <w:r w:rsidR="003B76F6">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comma 15</w:t>
      </w:r>
      <w:r w:rsidR="003B76F6">
        <w:rPr>
          <w:rFonts w:ascii="Garamond" w:eastAsia="Lucida Sans Unicode" w:hAnsi="Garamond" w:cs="Arial"/>
          <w:color w:val="000000"/>
          <w:sz w:val="26"/>
          <w:szCs w:val="26"/>
        </w:rPr>
        <w:t xml:space="preserve">, l. 289 del </w:t>
      </w:r>
      <w:r w:rsidRPr="009A097C">
        <w:rPr>
          <w:rFonts w:ascii="Garamond" w:eastAsia="Lucida Sans Unicode" w:hAnsi="Garamond" w:cs="Arial"/>
          <w:color w:val="000000"/>
          <w:sz w:val="26"/>
          <w:szCs w:val="26"/>
        </w:rPr>
        <w:t>2002 segua le ordinarie regole di riparto della giurisdizione e che, per quel che riguarda in particolare il contratto, vada riconosciuta la giurisdizione del Giudice Ordinario, a cui di regola è attribuita la cognizione sulle posizioni di diritto soggettivo.</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In questa direzione si è</w:t>
      </w:r>
      <w:r w:rsidR="00AE193C">
        <w:rPr>
          <w:rFonts w:ascii="Garamond" w:eastAsia="Lucida Sans Unicode" w:hAnsi="Garamond" w:cs="Arial"/>
          <w:color w:val="000000"/>
          <w:sz w:val="26"/>
          <w:szCs w:val="26"/>
        </w:rPr>
        <w:t>, infine,</w:t>
      </w:r>
      <w:r w:rsidRPr="009A097C">
        <w:rPr>
          <w:rFonts w:ascii="Garamond" w:eastAsia="Lucida Sans Unicode" w:hAnsi="Garamond" w:cs="Arial"/>
          <w:color w:val="000000"/>
          <w:sz w:val="26"/>
          <w:szCs w:val="26"/>
        </w:rPr>
        <w:t xml:space="preserve"> orientato</w:t>
      </w:r>
      <w:r w:rsidR="00B86AA4">
        <w:rPr>
          <w:rFonts w:ascii="Garamond" w:eastAsia="Lucida Sans Unicode" w:hAnsi="Garamond" w:cs="Arial"/>
          <w:color w:val="000000"/>
          <w:sz w:val="26"/>
          <w:szCs w:val="26"/>
        </w:rPr>
        <w:t xml:space="preserve"> </w:t>
      </w:r>
      <w:r w:rsidRPr="009A097C">
        <w:rPr>
          <w:rFonts w:ascii="Garamond" w:eastAsia="Lucida Sans Unicode" w:hAnsi="Garamond" w:cs="Arial"/>
          <w:color w:val="000000"/>
          <w:sz w:val="26"/>
          <w:szCs w:val="26"/>
        </w:rPr>
        <w:t xml:space="preserve">lo stesso Giudice contabile, che si è dichiarato privo del potere di </w:t>
      </w:r>
      <w:r w:rsidRPr="009A097C">
        <w:rPr>
          <w:rFonts w:ascii="Garamond" w:eastAsia="Lucida Sans Unicode" w:hAnsi="Garamond" w:cs="Arial"/>
          <w:i/>
          <w:iCs/>
          <w:color w:val="000000"/>
          <w:sz w:val="26"/>
          <w:szCs w:val="26"/>
        </w:rPr>
        <w:t xml:space="preserve">ius dicere </w:t>
      </w:r>
      <w:r w:rsidRPr="009A097C">
        <w:rPr>
          <w:rFonts w:ascii="Garamond" w:eastAsia="Lucida Sans Unicode" w:hAnsi="Garamond" w:cs="Arial"/>
          <w:color w:val="000000"/>
          <w:sz w:val="26"/>
          <w:szCs w:val="26"/>
        </w:rPr>
        <w:t>sulla declaratoria di nullità del contratto ex art. 30</w:t>
      </w:r>
      <w:r w:rsidR="00B86AA4">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comma 15</w:t>
      </w:r>
      <w:r w:rsidR="00B86AA4">
        <w:rPr>
          <w:rFonts w:ascii="Garamond" w:eastAsia="Lucida Sans Unicode" w:hAnsi="Garamond" w:cs="Arial"/>
          <w:color w:val="000000"/>
          <w:sz w:val="26"/>
          <w:szCs w:val="26"/>
        </w:rPr>
        <w:t xml:space="preserve">, l. 289 del </w:t>
      </w:r>
      <w:r w:rsidRPr="009A097C">
        <w:rPr>
          <w:rFonts w:ascii="Garamond" w:eastAsia="Lucida Sans Unicode" w:hAnsi="Garamond" w:cs="Arial"/>
          <w:color w:val="000000"/>
          <w:sz w:val="26"/>
          <w:szCs w:val="26"/>
        </w:rPr>
        <w:t>2002, rimessa alla giurisdizione del Giudice Ordinario</w:t>
      </w:r>
      <w:r w:rsidR="00B86AA4">
        <w:rPr>
          <w:rFonts w:ascii="Garamond" w:eastAsia="Lucida Sans Unicode" w:hAnsi="Garamond" w:cs="Arial"/>
          <w:color w:val="000000"/>
          <w:sz w:val="26"/>
          <w:szCs w:val="26"/>
        </w:rPr>
        <w:t xml:space="preserve"> </w:t>
      </w:r>
      <w:r w:rsidR="00B86AA4" w:rsidRPr="009A097C">
        <w:rPr>
          <w:rStyle w:val="Rimandonotaapidipagina"/>
          <w:rFonts w:ascii="Garamond" w:eastAsia="Lucida Sans Unicode" w:hAnsi="Garamond" w:cs="Arial"/>
          <w:color w:val="000000"/>
          <w:sz w:val="26"/>
          <w:szCs w:val="26"/>
        </w:rPr>
        <w:footnoteReference w:id="40"/>
      </w:r>
      <w:r w:rsidRPr="009A097C">
        <w:rPr>
          <w:rFonts w:ascii="Garamond" w:eastAsia="Lucida Sans Unicode" w:hAnsi="Garamond" w:cs="Arial"/>
          <w:color w:val="000000"/>
          <w:sz w:val="26"/>
          <w:szCs w:val="26"/>
        </w:rPr>
        <w:t>.</w:t>
      </w:r>
    </w:p>
    <w:p w:rsidR="003B76F6"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La Corte d'Appello di Bologna, con la sentenza</w:t>
      </w:r>
      <w:r w:rsidR="00B86AA4">
        <w:rPr>
          <w:rFonts w:ascii="Garamond" w:eastAsia="Lucida Sans Unicode" w:hAnsi="Garamond" w:cs="Arial"/>
          <w:color w:val="000000"/>
          <w:sz w:val="26"/>
          <w:szCs w:val="26"/>
        </w:rPr>
        <w:t xml:space="preserve"> n. 734 del 2014</w:t>
      </w:r>
      <w:r w:rsidRPr="009A097C">
        <w:rPr>
          <w:rFonts w:ascii="Garamond" w:eastAsia="Lucida Sans Unicode" w:hAnsi="Garamond" w:cs="Arial"/>
          <w:color w:val="000000"/>
          <w:sz w:val="26"/>
          <w:szCs w:val="26"/>
        </w:rPr>
        <w:t xml:space="preserve">, </w:t>
      </w:r>
      <w:r w:rsidR="003B76F6">
        <w:rPr>
          <w:rFonts w:ascii="Garamond" w:eastAsia="Lucida Sans Unicode" w:hAnsi="Garamond" w:cs="Arial"/>
          <w:color w:val="000000"/>
          <w:sz w:val="26"/>
          <w:szCs w:val="26"/>
        </w:rPr>
        <w:t xml:space="preserve">ha </w:t>
      </w:r>
      <w:r w:rsidRPr="009A097C">
        <w:rPr>
          <w:rFonts w:ascii="Garamond" w:eastAsia="Lucida Sans Unicode" w:hAnsi="Garamond" w:cs="Arial"/>
          <w:color w:val="000000"/>
          <w:sz w:val="26"/>
          <w:szCs w:val="26"/>
        </w:rPr>
        <w:t>conferma</w:t>
      </w:r>
      <w:r w:rsidR="003B76F6">
        <w:rPr>
          <w:rFonts w:ascii="Garamond" w:eastAsia="Lucida Sans Unicode" w:hAnsi="Garamond" w:cs="Arial"/>
          <w:color w:val="000000"/>
          <w:sz w:val="26"/>
          <w:szCs w:val="26"/>
        </w:rPr>
        <w:t>to</w:t>
      </w:r>
      <w:r w:rsidRPr="009A097C">
        <w:rPr>
          <w:rFonts w:ascii="Garamond" w:eastAsia="Lucida Sans Unicode" w:hAnsi="Garamond" w:cs="Arial"/>
          <w:color w:val="000000"/>
          <w:sz w:val="26"/>
          <w:szCs w:val="26"/>
        </w:rPr>
        <w:t xml:space="preserve"> questa linea in punto di giurisdizione</w:t>
      </w:r>
      <w:r w:rsidR="003B76F6">
        <w:rPr>
          <w:rFonts w:ascii="Garamond" w:eastAsia="Lucida Sans Unicode" w:hAnsi="Garamond" w:cs="Arial"/>
          <w:color w:val="000000"/>
          <w:sz w:val="26"/>
          <w:szCs w:val="26"/>
        </w:rPr>
        <w:t>,</w:t>
      </w:r>
      <w:r w:rsidRPr="009A097C">
        <w:rPr>
          <w:rFonts w:ascii="Garamond" w:eastAsia="Lucida Sans Unicode" w:hAnsi="Garamond" w:cs="Arial"/>
          <w:color w:val="000000"/>
          <w:sz w:val="26"/>
          <w:szCs w:val="26"/>
        </w:rPr>
        <w:t xml:space="preserve"> </w:t>
      </w:r>
      <w:r w:rsidR="003B76F6">
        <w:rPr>
          <w:rFonts w:ascii="Garamond" w:eastAsia="Lucida Sans Unicode" w:hAnsi="Garamond" w:cs="Arial"/>
          <w:color w:val="000000"/>
          <w:sz w:val="26"/>
          <w:szCs w:val="26"/>
        </w:rPr>
        <w:t>perv</w:t>
      </w:r>
      <w:r w:rsidRPr="009A097C">
        <w:rPr>
          <w:rFonts w:ascii="Garamond" w:eastAsia="Lucida Sans Unicode" w:hAnsi="Garamond" w:cs="Arial"/>
          <w:color w:val="000000"/>
          <w:sz w:val="26"/>
          <w:szCs w:val="26"/>
        </w:rPr>
        <w:t>ene</w:t>
      </w:r>
      <w:r w:rsidR="003B76F6">
        <w:rPr>
          <w:rFonts w:ascii="Garamond" w:eastAsia="Lucida Sans Unicode" w:hAnsi="Garamond" w:cs="Arial"/>
          <w:color w:val="000000"/>
          <w:sz w:val="26"/>
          <w:szCs w:val="26"/>
        </w:rPr>
        <w:t>ndo</w:t>
      </w:r>
      <w:r w:rsidRPr="009A097C">
        <w:rPr>
          <w:rFonts w:ascii="Garamond" w:eastAsia="Lucida Sans Unicode" w:hAnsi="Garamond" w:cs="Arial"/>
          <w:color w:val="000000"/>
          <w:sz w:val="26"/>
          <w:szCs w:val="26"/>
        </w:rPr>
        <w:t xml:space="preserve"> per la prima volta ad una declaratoria, in sede civile, della nullità di</w:t>
      </w:r>
      <w:r w:rsidR="00B86AA4">
        <w:rPr>
          <w:rFonts w:ascii="Garamond" w:eastAsia="Lucida Sans Unicode" w:hAnsi="Garamond" w:cs="Arial"/>
          <w:color w:val="000000"/>
          <w:sz w:val="26"/>
          <w:szCs w:val="26"/>
        </w:rPr>
        <w:t xml:space="preserve"> contratti stipulati da una Pubblica amministrazione</w:t>
      </w:r>
      <w:r w:rsidRPr="009A097C">
        <w:rPr>
          <w:rFonts w:ascii="Garamond" w:eastAsia="Lucida Sans Unicode" w:hAnsi="Garamond" w:cs="Arial"/>
          <w:color w:val="000000"/>
          <w:sz w:val="26"/>
          <w:szCs w:val="26"/>
        </w:rPr>
        <w:t xml:space="preserve"> per violazione dell</w:t>
      </w:r>
      <w:r w:rsidR="003B76F6">
        <w:rPr>
          <w:rFonts w:ascii="Garamond" w:eastAsia="Lucida Sans Unicode" w:hAnsi="Garamond" w:cs="Arial"/>
          <w:color w:val="000000"/>
          <w:sz w:val="26"/>
          <w:szCs w:val="26"/>
        </w:rPr>
        <w:t>e norme sopra menzionate.</w:t>
      </w:r>
    </w:p>
    <w:p w:rsidR="009A097C" w:rsidRPr="009A097C" w:rsidRDefault="009A097C" w:rsidP="003B76F6">
      <w:pPr>
        <w:spacing w:line="360" w:lineRule="auto"/>
        <w:ind w:left="567" w:right="567" w:firstLine="141"/>
        <w:jc w:val="both"/>
        <w:rPr>
          <w:rFonts w:ascii="Garamond" w:eastAsia="Lucida Sans Unicode" w:hAnsi="Garamond" w:cs="Arial"/>
          <w:color w:val="000000"/>
          <w:sz w:val="26"/>
          <w:szCs w:val="26"/>
        </w:rPr>
      </w:pPr>
      <w:r w:rsidRPr="009A097C">
        <w:rPr>
          <w:rFonts w:ascii="Garamond" w:eastAsia="Lucida Sans Unicode" w:hAnsi="Garamond" w:cs="Arial"/>
          <w:color w:val="000000"/>
          <w:sz w:val="26"/>
          <w:szCs w:val="26"/>
        </w:rPr>
        <w:t xml:space="preserve">La sentenza precisa </w:t>
      </w:r>
      <w:r w:rsidR="00B86AA4">
        <w:rPr>
          <w:rFonts w:ascii="Garamond" w:eastAsia="Lucida Sans Unicode" w:hAnsi="Garamond" w:cs="Arial"/>
          <w:color w:val="000000"/>
          <w:sz w:val="26"/>
          <w:szCs w:val="26"/>
        </w:rPr>
        <w:t xml:space="preserve">anche </w:t>
      </w:r>
      <w:r w:rsidRPr="009A097C">
        <w:rPr>
          <w:rFonts w:ascii="Garamond" w:eastAsia="Lucida Sans Unicode" w:hAnsi="Garamond" w:cs="Arial"/>
          <w:color w:val="000000"/>
          <w:sz w:val="26"/>
          <w:szCs w:val="26"/>
        </w:rPr>
        <w:t xml:space="preserve">che la sanzione “oggettiva” di nullità non è collegata al “fatto” della errata imputazione a bilancio delle somme introitate o dell'errato impiego delle stesse da parte dell'Amministrazione (comportamenti rimessi all'esclusiva responsabilità di quest'ultima ed estranei alla sfera di dominio della controparte contrattuale, se non altro perchè successivi alla stipula), ma al dato giuridico della mancanza di previsione del vincolo di destinazione delle somme negli atti amministrativi propedeutici alla stipula e nei contratti stessi, intendendo perciò detta previsione come requisito contenutistico essenziale di tali atti </w:t>
      </w:r>
      <w:r w:rsidRPr="009A097C">
        <w:rPr>
          <w:rStyle w:val="Rimandonotaapidipagina"/>
          <w:rFonts w:ascii="Garamond" w:eastAsia="Lucida Sans Unicode" w:hAnsi="Garamond" w:cs="Arial"/>
          <w:color w:val="000000"/>
          <w:sz w:val="26"/>
          <w:szCs w:val="26"/>
        </w:rPr>
        <w:footnoteReference w:id="41"/>
      </w:r>
      <w:r w:rsidRPr="009A097C">
        <w:rPr>
          <w:rFonts w:ascii="Garamond" w:eastAsia="Lucida Sans Unicode" w:hAnsi="Garamond" w:cs="Arial"/>
          <w:color w:val="000000"/>
          <w:sz w:val="26"/>
          <w:szCs w:val="26"/>
        </w:rPr>
        <w:t>.</w:t>
      </w:r>
    </w:p>
    <w:p w:rsidR="000B7427" w:rsidRDefault="00B86AA4" w:rsidP="000B7427">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Anche questa parte della sentenza </w:t>
      </w:r>
      <w:r w:rsidR="000B7427">
        <w:rPr>
          <w:rFonts w:ascii="Garamond" w:eastAsia="Arial" w:hAnsi="Garamond" w:cs="Arial"/>
          <w:color w:val="000000"/>
          <w:sz w:val="26"/>
          <w:szCs w:val="26"/>
        </w:rPr>
        <w:t xml:space="preserve">ha formato oggetto del </w:t>
      </w:r>
      <w:r w:rsidR="00AE193C">
        <w:rPr>
          <w:rFonts w:ascii="Garamond" w:eastAsia="Arial" w:hAnsi="Garamond" w:cs="Arial"/>
          <w:color w:val="000000"/>
          <w:sz w:val="26"/>
          <w:szCs w:val="26"/>
        </w:rPr>
        <w:t xml:space="preserve">giudizio </w:t>
      </w:r>
      <w:r w:rsidR="000B7427">
        <w:rPr>
          <w:rFonts w:ascii="Garamond" w:eastAsia="Arial" w:hAnsi="Garamond" w:cs="Arial"/>
          <w:color w:val="000000"/>
          <w:sz w:val="26"/>
          <w:szCs w:val="26"/>
        </w:rPr>
        <w:t>giunto alla decisi</w:t>
      </w:r>
      <w:r w:rsidR="00AE193C">
        <w:rPr>
          <w:rFonts w:ascii="Garamond" w:eastAsia="Arial" w:hAnsi="Garamond" w:cs="Arial"/>
          <w:color w:val="000000"/>
          <w:sz w:val="26"/>
          <w:szCs w:val="26"/>
        </w:rPr>
        <w:t xml:space="preserve">one delle Sezioni Unite, che </w:t>
      </w:r>
      <w:r w:rsidR="000B7427">
        <w:rPr>
          <w:rFonts w:ascii="Garamond" w:eastAsia="Arial" w:hAnsi="Garamond" w:cs="Arial"/>
          <w:color w:val="000000"/>
          <w:sz w:val="26"/>
          <w:szCs w:val="26"/>
        </w:rPr>
        <w:t>hanno respinto il relativo motivo</w:t>
      </w:r>
      <w:r w:rsidR="00AE193C">
        <w:rPr>
          <w:rFonts w:ascii="Garamond" w:eastAsia="Arial" w:hAnsi="Garamond" w:cs="Arial"/>
          <w:color w:val="000000"/>
          <w:sz w:val="26"/>
          <w:szCs w:val="26"/>
        </w:rPr>
        <w:t xml:space="preserve"> di ricorso della banca</w:t>
      </w:r>
      <w:r w:rsidR="000B7427">
        <w:rPr>
          <w:rFonts w:ascii="Garamond" w:eastAsia="Arial" w:hAnsi="Garamond" w:cs="Arial"/>
          <w:color w:val="000000"/>
          <w:sz w:val="26"/>
          <w:szCs w:val="26"/>
        </w:rPr>
        <w:t xml:space="preserve">, con ciò confermando, ancora una volta, la </w:t>
      </w:r>
      <w:r w:rsidR="000B7427">
        <w:rPr>
          <w:rFonts w:ascii="Garamond" w:eastAsia="Arial" w:hAnsi="Garamond" w:cs="Arial"/>
          <w:i/>
          <w:color w:val="000000"/>
          <w:sz w:val="26"/>
          <w:szCs w:val="26"/>
        </w:rPr>
        <w:t xml:space="preserve">vis expansiva </w:t>
      </w:r>
      <w:r w:rsidR="000B7427">
        <w:rPr>
          <w:rFonts w:ascii="Garamond" w:eastAsia="Arial" w:hAnsi="Garamond" w:cs="Arial"/>
          <w:color w:val="000000"/>
          <w:sz w:val="26"/>
          <w:szCs w:val="26"/>
        </w:rPr>
        <w:t xml:space="preserve">delle regole di contabilità pubblica quale parametro di liceità dei contratti della Pubblica amministrazione. </w:t>
      </w:r>
    </w:p>
    <w:p w:rsidR="00785B59" w:rsidRPr="001E70BF" w:rsidRDefault="00785B59" w:rsidP="005A75D0">
      <w:pPr>
        <w:spacing w:line="360" w:lineRule="auto"/>
        <w:ind w:left="567" w:right="567" w:firstLine="141"/>
        <w:jc w:val="both"/>
        <w:rPr>
          <w:rFonts w:ascii="Garamond" w:hAnsi="Garamond" w:cs="Times New Roman"/>
          <w:color w:val="000000" w:themeColor="text1"/>
          <w:sz w:val="26"/>
          <w:szCs w:val="26"/>
        </w:rPr>
      </w:pPr>
    </w:p>
    <w:p w:rsidR="00785B59" w:rsidRDefault="00205C85" w:rsidP="00770F06">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7.</w:t>
      </w:r>
      <w:r w:rsidR="00785B59" w:rsidRPr="00770F06">
        <w:rPr>
          <w:rFonts w:ascii="Garamond" w:hAnsi="Garamond" w:cs="Times New Roman"/>
          <w:b/>
          <w:color w:val="000000" w:themeColor="text1"/>
          <w:sz w:val="26"/>
          <w:szCs w:val="26"/>
        </w:rPr>
        <w:t xml:space="preserve"> </w:t>
      </w:r>
      <w:r w:rsidR="009B3B72">
        <w:rPr>
          <w:rFonts w:ascii="Garamond" w:hAnsi="Garamond" w:cs="Times New Roman"/>
          <w:b/>
          <w:color w:val="000000" w:themeColor="text1"/>
          <w:sz w:val="26"/>
          <w:szCs w:val="26"/>
        </w:rPr>
        <w:t xml:space="preserve">Il procedimento tipico per la stipula dei </w:t>
      </w:r>
      <w:r w:rsidR="000B7427">
        <w:rPr>
          <w:rFonts w:ascii="Garamond" w:hAnsi="Garamond" w:cs="Times New Roman"/>
          <w:b/>
          <w:color w:val="000000" w:themeColor="text1"/>
          <w:sz w:val="26"/>
          <w:szCs w:val="26"/>
        </w:rPr>
        <w:t xml:space="preserve">“derivati” pubblici </w:t>
      </w:r>
      <w:r w:rsidR="009B3B72">
        <w:rPr>
          <w:rFonts w:ascii="Garamond" w:hAnsi="Garamond" w:cs="Times New Roman"/>
          <w:b/>
          <w:color w:val="000000" w:themeColor="text1"/>
          <w:sz w:val="26"/>
          <w:szCs w:val="26"/>
        </w:rPr>
        <w:t>e le c</w:t>
      </w:r>
      <w:r w:rsidR="00770F06" w:rsidRPr="00770F06">
        <w:rPr>
          <w:rFonts w:ascii="Garamond" w:hAnsi="Garamond" w:cs="Times New Roman"/>
          <w:b/>
          <w:color w:val="000000" w:themeColor="text1"/>
          <w:sz w:val="26"/>
          <w:szCs w:val="26"/>
        </w:rPr>
        <w:t xml:space="preserve">onseguenze </w:t>
      </w:r>
      <w:r w:rsidR="00792253">
        <w:rPr>
          <w:rFonts w:ascii="Garamond" w:hAnsi="Garamond" w:cs="Times New Roman"/>
          <w:b/>
          <w:color w:val="000000" w:themeColor="text1"/>
          <w:sz w:val="26"/>
          <w:szCs w:val="26"/>
        </w:rPr>
        <w:t xml:space="preserve">sul contratto </w:t>
      </w:r>
      <w:r w:rsidR="009B3B72">
        <w:rPr>
          <w:rFonts w:ascii="Garamond" w:hAnsi="Garamond" w:cs="Times New Roman"/>
          <w:b/>
          <w:color w:val="000000" w:themeColor="text1"/>
          <w:sz w:val="26"/>
          <w:szCs w:val="26"/>
        </w:rPr>
        <w:t>della violazione delle regole procedimentali.</w:t>
      </w:r>
    </w:p>
    <w:p w:rsidR="004D11E7" w:rsidRPr="00770F06" w:rsidRDefault="008E37EC" w:rsidP="00770F06">
      <w:pPr>
        <w:spacing w:line="360" w:lineRule="auto"/>
        <w:ind w:left="567" w:right="567"/>
        <w:jc w:val="both"/>
        <w:rPr>
          <w:rFonts w:ascii="Garamond" w:hAnsi="Garamond" w:cs="Times New Roman"/>
          <w:b/>
          <w:color w:val="000000" w:themeColor="text1"/>
          <w:sz w:val="26"/>
          <w:szCs w:val="26"/>
        </w:rPr>
      </w:pPr>
      <w:r>
        <w:rPr>
          <w:rFonts w:ascii="Garamond" w:hAnsi="Garamond" w:cs="Times New Roman"/>
          <w:b/>
          <w:color w:val="000000" w:themeColor="text1"/>
          <w:sz w:val="26"/>
          <w:szCs w:val="26"/>
        </w:rPr>
        <w:t>7.1. C</w:t>
      </w:r>
      <w:r w:rsidR="004D11E7">
        <w:rPr>
          <w:rFonts w:ascii="Garamond" w:hAnsi="Garamond" w:cs="Times New Roman"/>
          <w:b/>
          <w:color w:val="000000" w:themeColor="text1"/>
          <w:sz w:val="26"/>
          <w:szCs w:val="26"/>
        </w:rPr>
        <w:t>ompetenza.</w:t>
      </w:r>
    </w:p>
    <w:p w:rsidR="00792253" w:rsidRPr="00792253" w:rsidRDefault="000B7427" w:rsidP="00792253">
      <w:pPr>
        <w:spacing w:line="360" w:lineRule="auto"/>
        <w:ind w:left="567" w:right="567" w:firstLine="141"/>
        <w:jc w:val="both"/>
        <w:rPr>
          <w:rFonts w:ascii="Garamond" w:eastAsia="Arial" w:hAnsi="Garamond" w:cs="Arial"/>
          <w:color w:val="000000"/>
          <w:sz w:val="26"/>
          <w:szCs w:val="26"/>
        </w:rPr>
      </w:pPr>
      <w:r>
        <w:rPr>
          <w:rFonts w:ascii="Garamond" w:eastAsia="Arial" w:hAnsi="Garamond" w:cs="Arial"/>
          <w:color w:val="000000"/>
          <w:sz w:val="26"/>
          <w:szCs w:val="26"/>
        </w:rPr>
        <w:t xml:space="preserve">La seconda </w:t>
      </w:r>
      <w:r w:rsidR="00792253">
        <w:rPr>
          <w:rFonts w:ascii="Garamond" w:eastAsia="Arial" w:hAnsi="Garamond" w:cs="Arial"/>
          <w:color w:val="000000"/>
          <w:sz w:val="26"/>
          <w:szCs w:val="26"/>
        </w:rPr>
        <w:t>“</w:t>
      </w:r>
      <w:r>
        <w:rPr>
          <w:rFonts w:ascii="Garamond" w:eastAsia="Arial" w:hAnsi="Garamond" w:cs="Arial"/>
          <w:color w:val="000000"/>
          <w:sz w:val="26"/>
          <w:szCs w:val="26"/>
        </w:rPr>
        <w:t>questione di particolare importanza</w:t>
      </w:r>
      <w:r w:rsidR="00792253">
        <w:rPr>
          <w:rFonts w:ascii="Garamond" w:eastAsia="Arial" w:hAnsi="Garamond" w:cs="Arial"/>
          <w:color w:val="000000"/>
          <w:sz w:val="26"/>
          <w:szCs w:val="26"/>
        </w:rPr>
        <w:t>”</w:t>
      </w:r>
      <w:r>
        <w:rPr>
          <w:rFonts w:ascii="Garamond" w:eastAsia="Arial" w:hAnsi="Garamond" w:cs="Arial"/>
          <w:color w:val="000000"/>
          <w:sz w:val="26"/>
          <w:szCs w:val="26"/>
        </w:rPr>
        <w:t xml:space="preserve"> posta dalla 1^ Sezione della Cassazione con l’ordinanza di rimessione riguarda</w:t>
      </w:r>
      <w:r w:rsidR="00792253">
        <w:rPr>
          <w:rFonts w:ascii="Garamond" w:eastAsia="Arial" w:hAnsi="Garamond" w:cs="Arial"/>
          <w:color w:val="000000"/>
          <w:sz w:val="26"/>
          <w:szCs w:val="26"/>
        </w:rPr>
        <w:t>va la competenza, all’interno d</w:t>
      </w:r>
      <w:r w:rsidR="00792253" w:rsidRPr="00792253">
        <w:rPr>
          <w:rFonts w:ascii="Garamond" w:eastAsia="Arial" w:hAnsi="Garamond" w:cs="Arial"/>
          <w:color w:val="000000"/>
          <w:sz w:val="26"/>
          <w:szCs w:val="26"/>
        </w:rPr>
        <w:t>ell’Ente, ad adottare la delibera a contrattare il “derivato”.</w:t>
      </w:r>
    </w:p>
    <w:p w:rsidR="00792253" w:rsidRPr="00062FE1" w:rsidRDefault="00062FE1" w:rsidP="00792253">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Sul punto le Sezioni Unite, nel confermare la sentenza di merito, hanno espresso la seguente </w:t>
      </w:r>
      <w:r>
        <w:rPr>
          <w:rFonts w:ascii="Garamond" w:hAnsi="Garamond" w:cs="Arial"/>
          <w:i/>
          <w:color w:val="000000"/>
          <w:sz w:val="26"/>
          <w:szCs w:val="26"/>
        </w:rPr>
        <w:t>regula iuris</w:t>
      </w:r>
      <w:r>
        <w:rPr>
          <w:rFonts w:ascii="Garamond" w:hAnsi="Garamond" w:cs="Arial"/>
          <w:color w:val="000000"/>
          <w:sz w:val="26"/>
          <w:szCs w:val="26"/>
        </w:rPr>
        <w:t xml:space="preserve">: </w:t>
      </w:r>
      <w:r w:rsidRPr="00062FE1">
        <w:rPr>
          <w:rFonts w:ascii="Garamond" w:hAnsi="Garamond" w:cs="Arial"/>
          <w:i/>
          <w:color w:val="000000"/>
          <w:sz w:val="26"/>
          <w:szCs w:val="26"/>
        </w:rPr>
        <w:t xml:space="preserve">&lt;&lt; </w:t>
      </w:r>
      <w:r w:rsidRPr="00062FE1">
        <w:rPr>
          <w:rFonts w:ascii="Garamond" w:hAnsi="Garamond"/>
          <w:i/>
          <w:color w:val="000000"/>
          <w:sz w:val="26"/>
          <w:szCs w:val="26"/>
        </w:rPr>
        <w:t>l'autorizzazione alla conclusione di un contratto di swap da parte dei Comuni italiani, specie se del tipo con finanziamento upfront, ma anche in tutti quei casi in cui la sua negoziazione si traduce comunque nell'estinzione dei precedenti rapporti di mutuo sottostanti ovvero anche nel loro mantenimento in vita, ma con rilevanti modificazioni, deve essere data, a pena di nullità, dal Consiglio comunale ai sensi dell'art. 42, comma 2, lett. i), </w:t>
      </w:r>
      <w:hyperlink r:id="rId8" w:anchor="/ricerca/fonti_documento?idDatabank=7&amp;idDocMaster=3948229&amp;idUnitaDoc=20119607&amp;nVigUnitaDoc=1&amp;docIdx=1&amp;isCorrelazioniSearch=true&amp;correlatoA=Giurisprudenza" w:history="1">
        <w:r w:rsidRPr="00062FE1">
          <w:rPr>
            <w:rStyle w:val="Collegamentoipertestuale"/>
            <w:rFonts w:ascii="Garamond" w:hAnsi="Garamond"/>
            <w:i/>
            <w:color w:val="000000"/>
            <w:sz w:val="26"/>
            <w:szCs w:val="26"/>
            <w:u w:val="none"/>
          </w:rPr>
          <w:t>TUEL</w:t>
        </w:r>
      </w:hyperlink>
      <w:r w:rsidRPr="00062FE1">
        <w:rPr>
          <w:rFonts w:ascii="Garamond" w:hAnsi="Garamond"/>
          <w:i/>
          <w:color w:val="000000"/>
          <w:sz w:val="26"/>
          <w:szCs w:val="26"/>
        </w:rPr>
        <w:t> di cui al </w:t>
      </w:r>
      <w:hyperlink r:id="rId9" w:anchor="/ricerca/fonti_documento?idDatabank=7&amp;idDocMaster=3948229&amp;idUnitaDoc=20119607&amp;nVigUnitaDoc=1&amp;docIdx=1&amp;isCorrelazioniSearch=true&amp;correlatoA=Giurisprudenza" w:history="1">
        <w:r w:rsidRPr="00062FE1">
          <w:rPr>
            <w:rStyle w:val="Collegamentoipertestuale"/>
            <w:rFonts w:ascii="Garamond" w:hAnsi="Garamond"/>
            <w:i/>
            <w:color w:val="000000"/>
            <w:sz w:val="26"/>
            <w:szCs w:val="26"/>
            <w:u w:val="none"/>
          </w:rPr>
          <w:t>D.Lgs. n. 267 del 2000</w:t>
        </w:r>
      </w:hyperlink>
      <w:r w:rsidRPr="00062FE1">
        <w:rPr>
          <w:rFonts w:ascii="Garamond" w:hAnsi="Garamond"/>
          <w:i/>
          <w:color w:val="000000"/>
          <w:sz w:val="26"/>
          <w:szCs w:val="26"/>
        </w:rPr>
        <w:t> (laddove stabilisce che "Il consiglio ha competenza limitatamente ai seguenti atti fondamentali: (...) "spese che impegnino i bilanci per gli esercizi successivi (...)"); non potendosi assimilare ad un semplice atto di gestione dell'indebitamento dell'ente locale con finalità di riduzione degli oneri finanziari ad esso inerenti, adottabile dalla giunta comunale in virtù della sua residuale competenza gestoria ex art. 48, comma 2, stesso Testo Unico.</w:t>
      </w:r>
      <w:r>
        <w:rPr>
          <w:rFonts w:ascii="Garamond" w:hAnsi="Garamond"/>
          <w:i/>
          <w:color w:val="000000"/>
          <w:sz w:val="26"/>
          <w:szCs w:val="26"/>
        </w:rPr>
        <w:t xml:space="preserve"> &gt;&gt;</w:t>
      </w:r>
      <w:r>
        <w:rPr>
          <w:rFonts w:ascii="Garamond" w:hAnsi="Garamond"/>
          <w:color w:val="000000"/>
          <w:sz w:val="26"/>
          <w:szCs w:val="26"/>
        </w:rPr>
        <w:t>.</w:t>
      </w:r>
    </w:p>
    <w:p w:rsidR="00792253" w:rsidRDefault="00062FE1" w:rsidP="00792253">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Secondo la S.C., quindi, la competenza ad adottare la delibera a contrattare il “derivato” è del Consiglio comunale quantomeno in due casi: a) quando esso contiene l’</w:t>
      </w:r>
      <w:r>
        <w:rPr>
          <w:rFonts w:ascii="Garamond" w:hAnsi="Garamond" w:cs="Arial"/>
          <w:i/>
          <w:color w:val="000000"/>
          <w:sz w:val="26"/>
          <w:szCs w:val="26"/>
        </w:rPr>
        <w:t>up front</w:t>
      </w:r>
      <w:r>
        <w:rPr>
          <w:rFonts w:ascii="Garamond" w:hAnsi="Garamond" w:cs="Arial"/>
          <w:color w:val="000000"/>
          <w:sz w:val="26"/>
          <w:szCs w:val="26"/>
        </w:rPr>
        <w:t>; b) quando esso incide (estinguendolo o modificandolo</w:t>
      </w:r>
      <w:r w:rsidR="00522FC0">
        <w:rPr>
          <w:rFonts w:ascii="Garamond" w:hAnsi="Garamond" w:cs="Arial"/>
          <w:color w:val="000000"/>
          <w:sz w:val="26"/>
          <w:szCs w:val="26"/>
        </w:rPr>
        <w:t xml:space="preserve"> in modo rilevante) sui rapporti debitori sottostanti (mutui).</w:t>
      </w:r>
    </w:p>
    <w:p w:rsidR="00522FC0" w:rsidRDefault="00522FC0" w:rsidP="00522FC0">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In entrambi i casi</w:t>
      </w:r>
      <w:r w:rsidR="004A5049">
        <w:rPr>
          <w:rFonts w:ascii="Garamond" w:hAnsi="Garamond" w:cs="Arial"/>
          <w:color w:val="000000"/>
          <w:sz w:val="26"/>
          <w:szCs w:val="26"/>
        </w:rPr>
        <w:t>,</w:t>
      </w:r>
      <w:r>
        <w:rPr>
          <w:rFonts w:ascii="Garamond" w:hAnsi="Garamond" w:cs="Arial"/>
          <w:color w:val="000000"/>
          <w:sz w:val="26"/>
          <w:szCs w:val="26"/>
        </w:rPr>
        <w:t xml:space="preserve"> la fonte della competenza consiliare è r</w:t>
      </w:r>
      <w:r w:rsidR="004A5049">
        <w:rPr>
          <w:rFonts w:ascii="Garamond" w:hAnsi="Garamond" w:cs="Arial"/>
          <w:color w:val="000000"/>
          <w:sz w:val="26"/>
          <w:szCs w:val="26"/>
        </w:rPr>
        <w:t>invenuta</w:t>
      </w:r>
      <w:r>
        <w:rPr>
          <w:rFonts w:ascii="Garamond" w:hAnsi="Garamond" w:cs="Arial"/>
          <w:color w:val="000000"/>
          <w:sz w:val="26"/>
          <w:szCs w:val="26"/>
        </w:rPr>
        <w:t xml:space="preserve"> nell’art. 42, comma 2, lett. i) del t.u.e.l., che prevede </w:t>
      </w:r>
      <w:r w:rsidRPr="00792253">
        <w:rPr>
          <w:rFonts w:ascii="Garamond" w:hAnsi="Garamond" w:cs="Arial"/>
          <w:color w:val="000000"/>
          <w:sz w:val="26"/>
          <w:szCs w:val="26"/>
        </w:rPr>
        <w:t xml:space="preserve">tra gli "atti fondamentali" del Consiglio le </w:t>
      </w:r>
      <w:r w:rsidRPr="00792253">
        <w:rPr>
          <w:rFonts w:ascii="Garamond" w:hAnsi="Garamond" w:cs="Arial"/>
          <w:i/>
          <w:iCs/>
          <w:color w:val="000000"/>
          <w:sz w:val="26"/>
          <w:szCs w:val="26"/>
        </w:rPr>
        <w:t>"spese che impegnino i bilanci per gli esercizi successivi …"</w:t>
      </w:r>
      <w:r w:rsidRPr="00792253">
        <w:rPr>
          <w:rFonts w:ascii="Garamond" w:hAnsi="Garamond" w:cs="Arial"/>
          <w:color w:val="000000"/>
          <w:sz w:val="26"/>
          <w:szCs w:val="26"/>
        </w:rPr>
        <w:t>.</w:t>
      </w:r>
    </w:p>
    <w:p w:rsidR="004A5049" w:rsidRDefault="004A5049" w:rsidP="004A5049">
      <w:pPr>
        <w:spacing w:line="360" w:lineRule="auto"/>
        <w:ind w:left="567" w:right="567"/>
        <w:jc w:val="both"/>
        <w:rPr>
          <w:rFonts w:ascii="Garamond" w:hAnsi="Garamond"/>
          <w:sz w:val="26"/>
          <w:szCs w:val="26"/>
        </w:rPr>
      </w:pPr>
      <w:r>
        <w:rPr>
          <w:rFonts w:ascii="Garamond" w:hAnsi="Garamond" w:cs="Arial"/>
          <w:color w:val="000000"/>
          <w:sz w:val="26"/>
          <w:szCs w:val="26"/>
        </w:rPr>
        <w:tab/>
        <w:t xml:space="preserve">In tal modo, le Sezioni Unite si sono allineate alla posizione espressa dal Giudice contabile </w:t>
      </w:r>
      <w:r w:rsidR="0017272E">
        <w:rPr>
          <w:rFonts w:ascii="Garamond" w:hAnsi="Garamond" w:cs="Arial"/>
          <w:color w:val="000000"/>
          <w:sz w:val="26"/>
          <w:szCs w:val="26"/>
        </w:rPr>
        <w:t xml:space="preserve">in </w:t>
      </w:r>
      <w:r>
        <w:rPr>
          <w:rFonts w:ascii="Garamond" w:hAnsi="Garamond" w:cs="Arial"/>
          <w:color w:val="000000"/>
          <w:sz w:val="26"/>
          <w:szCs w:val="26"/>
        </w:rPr>
        <w:t xml:space="preserve">sede consultiva </w:t>
      </w:r>
      <w:r w:rsidRPr="00792253">
        <w:rPr>
          <w:rStyle w:val="Rimandonotaapidipagina"/>
          <w:rFonts w:ascii="Garamond" w:hAnsi="Garamond" w:cs="Arial"/>
          <w:color w:val="000000"/>
          <w:sz w:val="26"/>
          <w:szCs w:val="26"/>
        </w:rPr>
        <w:footnoteReference w:id="42"/>
      </w:r>
      <w:r w:rsidR="0017272E">
        <w:rPr>
          <w:rFonts w:ascii="Garamond" w:hAnsi="Garamond" w:cs="Arial"/>
          <w:color w:val="000000"/>
          <w:sz w:val="26"/>
          <w:szCs w:val="26"/>
        </w:rPr>
        <w:t>,</w:t>
      </w:r>
      <w:r>
        <w:rPr>
          <w:rFonts w:ascii="Garamond" w:hAnsi="Garamond" w:cs="Arial"/>
          <w:color w:val="000000"/>
          <w:sz w:val="26"/>
          <w:szCs w:val="26"/>
        </w:rPr>
        <w:t xml:space="preserve"> </w:t>
      </w:r>
      <w:r w:rsidR="0017272E">
        <w:rPr>
          <w:rFonts w:ascii="Garamond" w:hAnsi="Garamond" w:cs="Arial"/>
          <w:color w:val="000000"/>
          <w:sz w:val="26"/>
          <w:szCs w:val="26"/>
        </w:rPr>
        <w:t xml:space="preserve">nonché </w:t>
      </w:r>
      <w:r w:rsidRPr="00522FC0">
        <w:rPr>
          <w:rFonts w:ascii="Garamond" w:hAnsi="Garamond"/>
          <w:sz w:val="26"/>
          <w:szCs w:val="26"/>
        </w:rPr>
        <w:t>a</w:t>
      </w:r>
      <w:r>
        <w:rPr>
          <w:rFonts w:ascii="Garamond" w:hAnsi="Garamond"/>
          <w:sz w:val="26"/>
          <w:szCs w:val="26"/>
        </w:rPr>
        <w:t>ll’avviso della giurisprudenza amministrativa, secondo l</w:t>
      </w:r>
      <w:r w:rsidR="0017272E">
        <w:rPr>
          <w:rFonts w:ascii="Garamond" w:hAnsi="Garamond"/>
          <w:sz w:val="26"/>
          <w:szCs w:val="26"/>
        </w:rPr>
        <w:t>a</w:t>
      </w:r>
      <w:r>
        <w:rPr>
          <w:rFonts w:ascii="Garamond" w:hAnsi="Garamond"/>
          <w:sz w:val="26"/>
          <w:szCs w:val="26"/>
        </w:rPr>
        <w:t xml:space="preserve"> quale</w:t>
      </w:r>
      <w:r w:rsidRPr="00522FC0">
        <w:rPr>
          <w:rFonts w:ascii="Garamond" w:hAnsi="Garamond"/>
          <w:sz w:val="26"/>
          <w:szCs w:val="26"/>
        </w:rPr>
        <w:t xml:space="preserve"> la norma </w:t>
      </w:r>
      <w:r w:rsidR="0017272E">
        <w:rPr>
          <w:rFonts w:ascii="Garamond" w:hAnsi="Garamond"/>
          <w:sz w:val="26"/>
          <w:szCs w:val="26"/>
        </w:rPr>
        <w:t xml:space="preserve">predetta </w:t>
      </w:r>
      <w:r w:rsidRPr="00522FC0">
        <w:rPr>
          <w:rFonts w:ascii="Garamond" w:hAnsi="Garamond"/>
          <w:sz w:val="26"/>
          <w:szCs w:val="26"/>
        </w:rPr>
        <w:t xml:space="preserve">va letta nel senso della attribuzione al Consiglio comunale della competenza per tutti gli atti che concernono i più rilevanti aspetti economico-finanziari dell'ente locale </w:t>
      </w:r>
      <w:r w:rsidRPr="00792253">
        <w:rPr>
          <w:rStyle w:val="Rimandonotaapidipagina"/>
          <w:rFonts w:ascii="Garamond" w:hAnsi="Garamond" w:cs="Arial"/>
          <w:color w:val="000000"/>
          <w:sz w:val="26"/>
          <w:szCs w:val="26"/>
        </w:rPr>
        <w:footnoteReference w:id="43"/>
      </w:r>
      <w:r>
        <w:rPr>
          <w:rFonts w:ascii="Garamond" w:hAnsi="Garamond"/>
          <w:sz w:val="26"/>
          <w:szCs w:val="26"/>
        </w:rPr>
        <w:t>.</w:t>
      </w:r>
    </w:p>
    <w:p w:rsidR="004A5049" w:rsidRDefault="004A5049" w:rsidP="004A5049">
      <w:pPr>
        <w:pStyle w:val="Corpotesto"/>
        <w:spacing w:after="0" w:line="360" w:lineRule="auto"/>
        <w:ind w:left="567" w:right="567" w:firstLine="141"/>
        <w:jc w:val="both"/>
        <w:rPr>
          <w:rFonts w:ascii="Garamond" w:hAnsi="Garamond" w:cs="Arial"/>
          <w:color w:val="000000"/>
          <w:sz w:val="26"/>
          <w:szCs w:val="26"/>
        </w:rPr>
      </w:pPr>
      <w:r>
        <w:rPr>
          <w:rFonts w:ascii="Garamond" w:hAnsi="Garamond" w:cs="Arial"/>
          <w:color w:val="000000"/>
          <w:sz w:val="26"/>
          <w:szCs w:val="26"/>
        </w:rPr>
        <w:t xml:space="preserve">Ciò </w:t>
      </w:r>
      <w:r w:rsidRPr="00792253">
        <w:rPr>
          <w:rFonts w:ascii="Garamond" w:hAnsi="Garamond" w:cs="Arial"/>
          <w:color w:val="000000"/>
          <w:sz w:val="26"/>
          <w:szCs w:val="26"/>
        </w:rPr>
        <w:t>è il portato della logica degli assetti delle competenze istituzionali all'interno dell'Ente, atteso che i “derivati”, in quanto operazioni di durata, comportano impegni finanziari così rilevanti per l'Ente da avere ricadute negative sulla gestione dei suoi bilanci per molti anni: conseguentemente, un ruolo centrale non può che essere riservato al Consiglio comunale che, quale organo esponenziale della popolazione di riferimento dell'Ente, è l'unico soggetto che può valutare l'opportunità di porre vincoli all'utilizzo delle risorse future</w:t>
      </w:r>
      <w:r>
        <w:rPr>
          <w:rFonts w:ascii="Garamond" w:hAnsi="Garamond" w:cs="Arial"/>
          <w:color w:val="000000"/>
          <w:sz w:val="26"/>
          <w:szCs w:val="26"/>
        </w:rPr>
        <w:t xml:space="preserve"> </w:t>
      </w:r>
      <w:r w:rsidR="0017272E" w:rsidRPr="00792253">
        <w:rPr>
          <w:rStyle w:val="Rimandonotaapidipagina"/>
          <w:rFonts w:ascii="Garamond" w:hAnsi="Garamond" w:cs="Arial"/>
          <w:color w:val="000000"/>
          <w:sz w:val="26"/>
          <w:szCs w:val="26"/>
        </w:rPr>
        <w:footnoteReference w:id="44"/>
      </w:r>
      <w:r w:rsidRPr="00792253">
        <w:rPr>
          <w:rFonts w:ascii="Garamond" w:hAnsi="Garamond" w:cs="Arial"/>
          <w:color w:val="000000"/>
          <w:sz w:val="26"/>
          <w:szCs w:val="26"/>
        </w:rPr>
        <w:t>.</w:t>
      </w:r>
    </w:p>
    <w:p w:rsidR="00792253" w:rsidRPr="00792253" w:rsidRDefault="005568FC" w:rsidP="00792253">
      <w:pPr>
        <w:spacing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D’altra parte, - e con specifico riferimento ai “derivati” contenenti clausole di </w:t>
      </w:r>
      <w:r>
        <w:rPr>
          <w:rFonts w:ascii="Garamond" w:hAnsi="Garamond" w:cs="Arial"/>
          <w:i/>
          <w:color w:val="000000"/>
          <w:sz w:val="26"/>
          <w:szCs w:val="26"/>
        </w:rPr>
        <w:t>up-front</w:t>
      </w:r>
      <w:r>
        <w:rPr>
          <w:rFonts w:ascii="Garamond" w:hAnsi="Garamond" w:cs="Arial"/>
          <w:color w:val="000000"/>
          <w:sz w:val="26"/>
          <w:szCs w:val="26"/>
        </w:rPr>
        <w:t xml:space="preserve"> – la competenza consiliare si desume anche dal </w:t>
      </w:r>
      <w:r w:rsidR="00792253" w:rsidRPr="00062FE1">
        <w:rPr>
          <w:rFonts w:ascii="Garamond" w:hAnsi="Garamond" w:cs="Arial"/>
          <w:color w:val="000000"/>
          <w:sz w:val="26"/>
          <w:szCs w:val="26"/>
        </w:rPr>
        <w:t xml:space="preserve">combinato </w:t>
      </w:r>
      <w:r w:rsidR="00792253" w:rsidRPr="00792253">
        <w:rPr>
          <w:rFonts w:ascii="Garamond" w:hAnsi="Garamond" w:cs="Arial"/>
          <w:color w:val="000000"/>
          <w:sz w:val="26"/>
          <w:szCs w:val="26"/>
        </w:rPr>
        <w:t xml:space="preserve">disposto di cui agli artt. 42 e 203 del </w:t>
      </w:r>
      <w:r w:rsidRPr="00792253">
        <w:rPr>
          <w:rFonts w:ascii="Garamond" w:hAnsi="Garamond" w:cs="Arial"/>
          <w:color w:val="000000"/>
          <w:sz w:val="26"/>
          <w:szCs w:val="26"/>
        </w:rPr>
        <w:t>t.u.e.l.</w:t>
      </w:r>
      <w:r w:rsidR="00792253" w:rsidRPr="00792253">
        <w:rPr>
          <w:rFonts w:ascii="Garamond" w:hAnsi="Garamond" w:cs="Arial"/>
          <w:color w:val="000000"/>
          <w:sz w:val="26"/>
          <w:szCs w:val="26"/>
        </w:rPr>
        <w:t xml:space="preserve">, </w:t>
      </w:r>
      <w:r>
        <w:rPr>
          <w:rFonts w:ascii="Garamond" w:hAnsi="Garamond" w:cs="Arial"/>
          <w:color w:val="000000"/>
          <w:sz w:val="26"/>
          <w:szCs w:val="26"/>
        </w:rPr>
        <w:t xml:space="preserve">per i quali </w:t>
      </w:r>
      <w:r w:rsidR="00792253" w:rsidRPr="00792253">
        <w:rPr>
          <w:rFonts w:ascii="Garamond" w:hAnsi="Garamond" w:cs="Arial"/>
          <w:color w:val="000000"/>
          <w:sz w:val="26"/>
          <w:szCs w:val="26"/>
        </w:rPr>
        <w:t xml:space="preserve">il ricorso all'"indebitamento" </w:t>
      </w:r>
      <w:r>
        <w:rPr>
          <w:rFonts w:ascii="Garamond" w:hAnsi="Garamond" w:cs="Arial"/>
          <w:color w:val="000000"/>
          <w:sz w:val="26"/>
          <w:szCs w:val="26"/>
        </w:rPr>
        <w:t xml:space="preserve">(e quindi non soltanto dei mutui) </w:t>
      </w:r>
      <w:r w:rsidR="00792253" w:rsidRPr="00792253">
        <w:rPr>
          <w:rFonts w:ascii="Garamond" w:hAnsi="Garamond" w:cs="Arial"/>
          <w:color w:val="000000"/>
          <w:sz w:val="26"/>
          <w:szCs w:val="26"/>
        </w:rPr>
        <w:t>va deliberato dal</w:t>
      </w:r>
      <w:r>
        <w:rPr>
          <w:rFonts w:ascii="Garamond" w:hAnsi="Garamond" w:cs="Arial"/>
          <w:color w:val="000000"/>
          <w:sz w:val="26"/>
          <w:szCs w:val="26"/>
        </w:rPr>
        <w:t>l’</w:t>
      </w:r>
      <w:r w:rsidR="00792253" w:rsidRPr="00792253">
        <w:rPr>
          <w:rFonts w:ascii="Garamond" w:hAnsi="Garamond" w:cs="Arial"/>
          <w:color w:val="000000"/>
          <w:sz w:val="26"/>
          <w:szCs w:val="26"/>
        </w:rPr>
        <w:t>organo di indirizzo e di controllo politi</w:t>
      </w:r>
      <w:r>
        <w:rPr>
          <w:rFonts w:ascii="Garamond" w:hAnsi="Garamond" w:cs="Arial"/>
          <w:color w:val="000000"/>
          <w:sz w:val="26"/>
          <w:szCs w:val="26"/>
        </w:rPr>
        <w:t>co-amministrativo dell'Ente</w:t>
      </w:r>
      <w:r w:rsidR="00792253" w:rsidRPr="00792253">
        <w:rPr>
          <w:rFonts w:ascii="Garamond" w:hAnsi="Garamond" w:cs="Arial"/>
          <w:color w:val="000000"/>
          <w:sz w:val="26"/>
          <w:szCs w:val="26"/>
        </w:rPr>
        <w:t xml:space="preserve"> secondo determinate modalità procedimentali (presuppone</w:t>
      </w:r>
      <w:r>
        <w:rPr>
          <w:rFonts w:ascii="Garamond" w:hAnsi="Garamond" w:cs="Arial"/>
          <w:color w:val="000000"/>
          <w:sz w:val="26"/>
          <w:szCs w:val="26"/>
        </w:rPr>
        <w:t>ndo</w:t>
      </w:r>
      <w:r w:rsidR="00792253" w:rsidRPr="00792253">
        <w:rPr>
          <w:rFonts w:ascii="Garamond" w:hAnsi="Garamond" w:cs="Arial"/>
          <w:color w:val="000000"/>
          <w:sz w:val="26"/>
          <w:szCs w:val="26"/>
        </w:rPr>
        <w:t xml:space="preserve"> l'avvenuta deliberazione del bilancio annuale nel quale sono contenute le relative previsioni).</w:t>
      </w:r>
    </w:p>
    <w:p w:rsidR="00792253" w:rsidRDefault="005568FC" w:rsidP="005568FC">
      <w:pPr>
        <w:spacing w:line="360" w:lineRule="auto"/>
        <w:ind w:left="567" w:right="567"/>
        <w:jc w:val="both"/>
        <w:rPr>
          <w:rFonts w:ascii="Garamond" w:eastAsia="Lucida Sans Unicode" w:hAnsi="Garamond" w:cs="Arial"/>
          <w:color w:val="000000"/>
          <w:sz w:val="26"/>
          <w:szCs w:val="26"/>
        </w:rPr>
      </w:pPr>
      <w:r>
        <w:rPr>
          <w:rFonts w:ascii="Garamond" w:hAnsi="Garamond" w:cs="Arial"/>
          <w:color w:val="000000"/>
          <w:sz w:val="26"/>
          <w:szCs w:val="26"/>
        </w:rPr>
        <w:tab/>
        <w:t xml:space="preserve">Rappresentando l’atto </w:t>
      </w:r>
      <w:r w:rsidR="00792253" w:rsidRPr="00792253">
        <w:rPr>
          <w:rFonts w:ascii="Garamond" w:hAnsi="Garamond" w:cs="Arial"/>
          <w:color w:val="000000"/>
          <w:sz w:val="26"/>
          <w:szCs w:val="26"/>
        </w:rPr>
        <w:t xml:space="preserve">consiliare </w:t>
      </w:r>
      <w:r>
        <w:rPr>
          <w:rFonts w:ascii="Garamond" w:hAnsi="Garamond" w:cs="Arial"/>
          <w:color w:val="000000"/>
          <w:sz w:val="26"/>
          <w:szCs w:val="26"/>
        </w:rPr>
        <w:t>la d</w:t>
      </w:r>
      <w:r w:rsidR="00792253" w:rsidRPr="00792253">
        <w:rPr>
          <w:rFonts w:ascii="Garamond" w:hAnsi="Garamond" w:cs="Arial"/>
          <w:color w:val="000000"/>
          <w:sz w:val="26"/>
          <w:szCs w:val="26"/>
        </w:rPr>
        <w:t>eliberazione a contrattare (secondi i dettami stabiliti</w:t>
      </w:r>
      <w:r w:rsidR="008E3339">
        <w:rPr>
          <w:rFonts w:ascii="Garamond" w:hAnsi="Garamond" w:cs="Arial"/>
          <w:color w:val="000000"/>
          <w:sz w:val="26"/>
          <w:szCs w:val="26"/>
        </w:rPr>
        <w:t xml:space="preserve"> </w:t>
      </w:r>
      <w:r>
        <w:rPr>
          <w:rFonts w:ascii="Garamond" w:hAnsi="Garamond" w:cs="Arial"/>
          <w:color w:val="000000"/>
          <w:sz w:val="26"/>
          <w:szCs w:val="26"/>
        </w:rPr>
        <w:t xml:space="preserve">dall'art. 192, comma 1, del d.lgs. 267 del t.u.e.l.), avente </w:t>
      </w:r>
      <w:r w:rsidR="00792253" w:rsidRPr="00792253">
        <w:rPr>
          <w:rFonts w:ascii="Garamond" w:hAnsi="Garamond" w:cs="Arial"/>
          <w:color w:val="000000"/>
          <w:sz w:val="26"/>
          <w:szCs w:val="26"/>
        </w:rPr>
        <w:t>la funzione di autori</w:t>
      </w:r>
      <w:r>
        <w:rPr>
          <w:rFonts w:ascii="Garamond" w:hAnsi="Garamond" w:cs="Arial"/>
          <w:color w:val="000000"/>
          <w:sz w:val="26"/>
          <w:szCs w:val="26"/>
        </w:rPr>
        <w:t>zzare l'operazione contrattuale</w:t>
      </w:r>
      <w:r w:rsidR="00792253" w:rsidRPr="00792253">
        <w:rPr>
          <w:rFonts w:ascii="Garamond" w:hAnsi="Garamond" w:cs="Arial"/>
          <w:color w:val="000000"/>
          <w:sz w:val="26"/>
          <w:szCs w:val="26"/>
        </w:rPr>
        <w:t xml:space="preserve"> avuto riguardo a tutte le sue componenti essenziali</w:t>
      </w:r>
      <w:r>
        <w:rPr>
          <w:rFonts w:ascii="Garamond" w:hAnsi="Garamond" w:cs="Arial"/>
          <w:color w:val="000000"/>
          <w:sz w:val="26"/>
          <w:szCs w:val="26"/>
        </w:rPr>
        <w:t xml:space="preserve">, essa </w:t>
      </w:r>
      <w:r w:rsidR="00792253" w:rsidRPr="00792253">
        <w:rPr>
          <w:rFonts w:ascii="Garamond" w:eastAsia="Lucida Sans Unicode" w:hAnsi="Garamond" w:cs="Arial"/>
          <w:color w:val="000000"/>
          <w:sz w:val="26"/>
          <w:szCs w:val="26"/>
        </w:rPr>
        <w:t xml:space="preserve">deve necessariamente indicare: </w:t>
      </w:r>
      <w:r w:rsidR="00792253" w:rsidRPr="00792253">
        <w:rPr>
          <w:rFonts w:ascii="Garamond" w:eastAsia="Lucida Sans Unicode" w:hAnsi="Garamond" w:cs="Arial"/>
          <w:i/>
          <w:iCs/>
          <w:color w:val="000000"/>
          <w:sz w:val="26"/>
          <w:szCs w:val="26"/>
        </w:rPr>
        <w:t>"a) il fine che il contratto intende perseguire; b) l'oggetto del contratto, la sua forma e le clausole ritenute essenziali; c) le modalità di scelta del contraente ammesse dalle disposizioni vigenti in materia di contratti delle pubbliche amministrazioni e le ragioni che sono alla base."</w:t>
      </w:r>
      <w:r w:rsidR="00792253" w:rsidRPr="00792253">
        <w:rPr>
          <w:rFonts w:ascii="Garamond" w:eastAsia="Lucida Sans Unicode" w:hAnsi="Garamond" w:cs="Arial"/>
          <w:color w:val="000000"/>
          <w:sz w:val="26"/>
          <w:szCs w:val="26"/>
        </w:rPr>
        <w:t>.</w:t>
      </w:r>
    </w:p>
    <w:p w:rsidR="005568FC" w:rsidRPr="005568FC" w:rsidRDefault="00E832DD" w:rsidP="005568FC">
      <w:pPr>
        <w:spacing w:line="360" w:lineRule="auto"/>
        <w:ind w:left="567" w:right="567" w:firstLine="141"/>
        <w:jc w:val="both"/>
        <w:rPr>
          <w:rFonts w:ascii="Garamond" w:eastAsia="Lucida Sans Unicode" w:hAnsi="Garamond" w:cs="Arial"/>
          <w:color w:val="000000"/>
          <w:sz w:val="26"/>
          <w:szCs w:val="26"/>
        </w:rPr>
      </w:pPr>
      <w:r>
        <w:rPr>
          <w:rFonts w:ascii="Garamond" w:hAnsi="Garamond"/>
          <w:sz w:val="26"/>
          <w:szCs w:val="26"/>
        </w:rPr>
        <w:t xml:space="preserve">Non è, pertanto, </w:t>
      </w:r>
      <w:r w:rsidR="005568FC" w:rsidRPr="005568FC">
        <w:rPr>
          <w:rFonts w:ascii="Garamond" w:hAnsi="Garamond"/>
          <w:sz w:val="26"/>
          <w:szCs w:val="26"/>
        </w:rPr>
        <w:t>sufficiente che il Consiglio comunale esprima genericamente una "linea di indirizzo" a stipulare strumenti di finanza derivata nell'interesse dell'Ente, dando generico mandato alla Giunta o ai Dirigenti</w:t>
      </w:r>
      <w:r>
        <w:rPr>
          <w:rFonts w:ascii="Garamond" w:hAnsi="Garamond"/>
          <w:sz w:val="26"/>
          <w:szCs w:val="26"/>
        </w:rPr>
        <w:t xml:space="preserve"> (come era avvenuto nel caso sottoposto alla S.C.)</w:t>
      </w:r>
      <w:r w:rsidR="005568FC" w:rsidRPr="005568FC">
        <w:rPr>
          <w:rFonts w:ascii="Garamond" w:hAnsi="Garamond"/>
          <w:sz w:val="26"/>
          <w:szCs w:val="26"/>
        </w:rPr>
        <w:t>, occorrendo una ponderata valutazione di tutte le componenti essenziali dell'operazione.</w:t>
      </w:r>
    </w:p>
    <w:p w:rsidR="00522FC0" w:rsidRPr="00E832DD" w:rsidRDefault="004D11E7" w:rsidP="00792253">
      <w:pPr>
        <w:pStyle w:val="Corpotesto"/>
        <w:spacing w:after="0" w:line="360" w:lineRule="auto"/>
        <w:ind w:left="567" w:right="567"/>
        <w:jc w:val="both"/>
        <w:rPr>
          <w:rFonts w:ascii="Garamond" w:hAnsi="Garamond" w:cs="Arial"/>
          <w:color w:val="000000"/>
          <w:sz w:val="26"/>
          <w:szCs w:val="26"/>
        </w:rPr>
      </w:pPr>
      <w:r>
        <w:rPr>
          <w:rFonts w:ascii="Garamond" w:hAnsi="Garamond"/>
          <w:b/>
          <w:color w:val="000000" w:themeColor="text1"/>
          <w:sz w:val="26"/>
          <w:szCs w:val="26"/>
        </w:rPr>
        <w:t>7.2</w:t>
      </w:r>
      <w:r w:rsidR="008E37EC">
        <w:rPr>
          <w:rFonts w:ascii="Garamond" w:hAnsi="Garamond"/>
          <w:b/>
          <w:color w:val="000000" w:themeColor="text1"/>
          <w:sz w:val="26"/>
          <w:szCs w:val="26"/>
        </w:rPr>
        <w:t>. P</w:t>
      </w:r>
      <w:r w:rsidR="00E832DD">
        <w:rPr>
          <w:rFonts w:ascii="Garamond" w:hAnsi="Garamond"/>
          <w:b/>
          <w:color w:val="000000" w:themeColor="text1"/>
          <w:sz w:val="26"/>
          <w:szCs w:val="26"/>
        </w:rPr>
        <w:t>rocedura di selezione dell’intermediario finanziario.</w:t>
      </w:r>
    </w:p>
    <w:p w:rsidR="00062FE1" w:rsidRDefault="008E3339"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Vi è un’</w:t>
      </w:r>
      <w:r w:rsidR="00E832DD">
        <w:rPr>
          <w:rFonts w:ascii="Garamond" w:hAnsi="Garamond" w:cs="Arial"/>
          <w:color w:val="000000"/>
          <w:sz w:val="26"/>
          <w:szCs w:val="26"/>
        </w:rPr>
        <w:t>ulteriore affermazione di notevole rilievo nella</w:t>
      </w:r>
      <w:r>
        <w:rPr>
          <w:rFonts w:ascii="Garamond" w:hAnsi="Garamond" w:cs="Arial"/>
          <w:color w:val="000000"/>
          <w:sz w:val="26"/>
          <w:szCs w:val="26"/>
        </w:rPr>
        <w:t xml:space="preserve"> pronuncia delle Sezioni Unite (</w:t>
      </w:r>
      <w:r w:rsidR="00E832DD">
        <w:rPr>
          <w:rFonts w:ascii="Garamond" w:hAnsi="Garamond" w:cs="Arial"/>
          <w:color w:val="000000"/>
          <w:sz w:val="26"/>
          <w:szCs w:val="26"/>
        </w:rPr>
        <w:t>che per vero non era stata neppure oggetto di discus</w:t>
      </w:r>
      <w:r>
        <w:rPr>
          <w:rFonts w:ascii="Garamond" w:hAnsi="Garamond" w:cs="Arial"/>
          <w:color w:val="000000"/>
          <w:sz w:val="26"/>
          <w:szCs w:val="26"/>
        </w:rPr>
        <w:t>sione nei tre gradi di giudizio)</w:t>
      </w:r>
      <w:r w:rsidR="00E832DD">
        <w:rPr>
          <w:rFonts w:ascii="Garamond" w:hAnsi="Garamond" w:cs="Arial"/>
          <w:color w:val="000000"/>
          <w:sz w:val="26"/>
          <w:szCs w:val="26"/>
        </w:rPr>
        <w:t xml:space="preserve"> che la Corte ha ritenuto di esprimere nel contesto generale della trattazione della tematica dei “derivati” pubblici.</w:t>
      </w:r>
    </w:p>
    <w:p w:rsidR="00E832DD" w:rsidRDefault="008E3339"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Essa</w:t>
      </w:r>
      <w:r w:rsidR="00E832DD">
        <w:rPr>
          <w:rFonts w:ascii="Garamond" w:hAnsi="Garamond" w:cs="Arial"/>
          <w:color w:val="000000"/>
          <w:sz w:val="26"/>
          <w:szCs w:val="26"/>
        </w:rPr>
        <w:t xml:space="preserve"> attiene alle modalità di selezione dell’intermediario finanziario.</w:t>
      </w:r>
    </w:p>
    <w:p w:rsidR="00E832DD" w:rsidRDefault="00E832DD"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E’ noto, invero, che </w:t>
      </w:r>
      <w:r w:rsidR="005B67AE">
        <w:rPr>
          <w:rFonts w:ascii="Garamond" w:hAnsi="Garamond" w:cs="Arial"/>
          <w:color w:val="000000"/>
          <w:sz w:val="26"/>
          <w:szCs w:val="26"/>
        </w:rPr>
        <w:t>la stipula degli strumenti finanziari da parte delle Pubbliche amministrazioni beneficia, da sempre, di un’area di e</w:t>
      </w:r>
      <w:r w:rsidR="008E3339">
        <w:rPr>
          <w:rFonts w:ascii="Garamond" w:hAnsi="Garamond" w:cs="Arial"/>
          <w:color w:val="000000"/>
          <w:sz w:val="26"/>
          <w:szCs w:val="26"/>
        </w:rPr>
        <w:t>senzione</w:t>
      </w:r>
      <w:r w:rsidR="004D11E7">
        <w:rPr>
          <w:rFonts w:ascii="Garamond" w:hAnsi="Garamond" w:cs="Arial"/>
          <w:color w:val="000000"/>
          <w:sz w:val="26"/>
          <w:szCs w:val="26"/>
        </w:rPr>
        <w:t xml:space="preserve"> </w:t>
      </w:r>
      <w:r w:rsidR="005B67AE">
        <w:rPr>
          <w:rFonts w:ascii="Garamond" w:hAnsi="Garamond" w:cs="Arial"/>
          <w:color w:val="000000"/>
          <w:sz w:val="26"/>
          <w:szCs w:val="26"/>
        </w:rPr>
        <w:t>dalle procedure di evidenza pubblica</w:t>
      </w:r>
      <w:r w:rsidR="004D11E7">
        <w:rPr>
          <w:rFonts w:ascii="Garamond" w:hAnsi="Garamond" w:cs="Arial"/>
          <w:color w:val="000000"/>
          <w:sz w:val="26"/>
          <w:szCs w:val="26"/>
        </w:rPr>
        <w:t xml:space="preserve"> </w:t>
      </w:r>
      <w:r w:rsidR="004D11E7" w:rsidRPr="00792253">
        <w:rPr>
          <w:rStyle w:val="Rimandonotaapidipagina"/>
          <w:rFonts w:ascii="Garamond" w:hAnsi="Garamond" w:cs="Arial"/>
          <w:color w:val="000000"/>
          <w:sz w:val="26"/>
          <w:szCs w:val="26"/>
        </w:rPr>
        <w:footnoteReference w:id="45"/>
      </w:r>
      <w:r w:rsidR="005B67AE">
        <w:rPr>
          <w:rFonts w:ascii="Garamond" w:hAnsi="Garamond" w:cs="Arial"/>
          <w:color w:val="000000"/>
          <w:sz w:val="26"/>
          <w:szCs w:val="26"/>
        </w:rPr>
        <w:t xml:space="preserve">, ritenendosi </w:t>
      </w:r>
      <w:r w:rsidR="004D11E7">
        <w:rPr>
          <w:rFonts w:ascii="Garamond" w:hAnsi="Garamond" w:cs="Arial"/>
          <w:color w:val="000000"/>
          <w:sz w:val="26"/>
          <w:szCs w:val="26"/>
        </w:rPr>
        <w:t xml:space="preserve">tradizionalmente </w:t>
      </w:r>
      <w:r w:rsidR="005B67AE">
        <w:rPr>
          <w:rFonts w:ascii="Garamond" w:hAnsi="Garamond" w:cs="Arial"/>
          <w:color w:val="000000"/>
          <w:sz w:val="26"/>
          <w:szCs w:val="26"/>
        </w:rPr>
        <w:t xml:space="preserve">che </w:t>
      </w:r>
      <w:r w:rsidR="008E3339">
        <w:rPr>
          <w:rFonts w:ascii="Garamond" w:hAnsi="Garamond" w:cs="Arial"/>
          <w:color w:val="000000"/>
          <w:sz w:val="26"/>
          <w:szCs w:val="26"/>
        </w:rPr>
        <w:t>la negoziazione d</w:t>
      </w:r>
      <w:r w:rsidR="004D11E7">
        <w:rPr>
          <w:rFonts w:ascii="Garamond" w:hAnsi="Garamond" w:cs="Arial"/>
          <w:color w:val="000000"/>
          <w:sz w:val="26"/>
          <w:szCs w:val="26"/>
        </w:rPr>
        <w:t xml:space="preserve">i </w:t>
      </w:r>
      <w:r w:rsidR="008E3339">
        <w:rPr>
          <w:rFonts w:ascii="Garamond" w:hAnsi="Garamond" w:cs="Arial"/>
          <w:color w:val="000000"/>
          <w:sz w:val="26"/>
          <w:szCs w:val="26"/>
        </w:rPr>
        <w:t xml:space="preserve">tali contratti </w:t>
      </w:r>
      <w:r w:rsidR="004D11E7">
        <w:rPr>
          <w:rFonts w:ascii="Garamond" w:hAnsi="Garamond" w:cs="Arial"/>
          <w:color w:val="000000"/>
          <w:sz w:val="26"/>
          <w:szCs w:val="26"/>
        </w:rPr>
        <w:t xml:space="preserve">debba </w:t>
      </w:r>
      <w:r w:rsidR="008E3339">
        <w:rPr>
          <w:rFonts w:ascii="Garamond" w:hAnsi="Garamond" w:cs="Arial"/>
          <w:color w:val="000000"/>
          <w:sz w:val="26"/>
          <w:szCs w:val="26"/>
        </w:rPr>
        <w:t xml:space="preserve">e possa legarsi </w:t>
      </w:r>
      <w:r w:rsidR="004D11E7">
        <w:rPr>
          <w:rFonts w:ascii="Garamond" w:hAnsi="Garamond" w:cs="Arial"/>
          <w:color w:val="000000"/>
          <w:sz w:val="26"/>
          <w:szCs w:val="26"/>
        </w:rPr>
        <w:t xml:space="preserve">al particolare giudizio di affidabilità e di solidità del singolo intermediario </w:t>
      </w:r>
      <w:r w:rsidR="004D11E7" w:rsidRPr="00792253">
        <w:rPr>
          <w:rStyle w:val="Rimandonotaapidipagina"/>
          <w:rFonts w:ascii="Garamond" w:hAnsi="Garamond" w:cs="Arial"/>
          <w:color w:val="000000"/>
          <w:sz w:val="26"/>
          <w:szCs w:val="26"/>
        </w:rPr>
        <w:footnoteReference w:id="46"/>
      </w:r>
      <w:r w:rsidR="005B67AE">
        <w:rPr>
          <w:rFonts w:ascii="Garamond" w:hAnsi="Garamond" w:cs="Arial"/>
          <w:color w:val="000000"/>
          <w:sz w:val="26"/>
          <w:szCs w:val="26"/>
        </w:rPr>
        <w:t>.</w:t>
      </w:r>
    </w:p>
    <w:p w:rsidR="005B67AE" w:rsidRDefault="005B67AE"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Vero è che escludere i “derivati” dall’applicazione delle norme del Codice dei contratti non equivale ad escluderli dall’applicazione dei principi generali dell’azione amministrativa e della contabilità pubblica.</w:t>
      </w:r>
    </w:p>
    <w:p w:rsidR="005B67AE" w:rsidRPr="005B67AE" w:rsidRDefault="005B67AE"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E su questo punto le Sezioni Unite introducono un </w:t>
      </w:r>
      <w:r w:rsidR="009D753E">
        <w:rPr>
          <w:rFonts w:ascii="Garamond" w:hAnsi="Garamond" w:cs="Arial"/>
          <w:color w:val="000000"/>
          <w:sz w:val="26"/>
          <w:szCs w:val="26"/>
        </w:rPr>
        <w:t xml:space="preserve">elemento </w:t>
      </w:r>
      <w:r>
        <w:rPr>
          <w:rFonts w:ascii="Garamond" w:hAnsi="Garamond" w:cs="Arial"/>
          <w:color w:val="000000"/>
          <w:sz w:val="26"/>
          <w:szCs w:val="26"/>
        </w:rPr>
        <w:t xml:space="preserve">fortemente innovativo, affermando </w:t>
      </w:r>
      <w:r w:rsidR="008E3339">
        <w:rPr>
          <w:rFonts w:ascii="Garamond" w:hAnsi="Garamond" w:cs="Arial"/>
          <w:color w:val="000000"/>
          <w:sz w:val="26"/>
          <w:szCs w:val="26"/>
        </w:rPr>
        <w:t xml:space="preserve">che </w:t>
      </w:r>
      <w:r w:rsidRPr="005B67AE">
        <w:rPr>
          <w:rFonts w:ascii="Garamond" w:hAnsi="Garamond"/>
          <w:i/>
          <w:color w:val="000000"/>
          <w:sz w:val="26"/>
          <w:szCs w:val="26"/>
        </w:rPr>
        <w:t>&lt;&lt; 10.4.1. L'organo consiliare deve valutare la convenienza di operazioni che porranno vincoli all'utilizzo di risorse future, precisando che l'attività negoziale dell'ente territoriale deve avvenire secondo le regole della contabilità pubblica che disciplinano lo svolgimento dei compiti propri dell'ente che utilizza risorse della collettività. Pertanto, ove il Comune intenda procedere ad un'operazione di ristrutturazione del debito, deve individuare le principali caratteristiche e le modalità attuative di essa e, poi, selezionare con una gara la migliore offerta in relazione non solo allo scopo che mira a raggiungere, ma anche alle modalità che vuole seguire, dovendo la P.A. conformare la sua azione ai principi di economicità e convenienza economica.</w:t>
      </w:r>
      <w:r>
        <w:rPr>
          <w:rFonts w:ascii="Garamond" w:hAnsi="Garamond"/>
          <w:i/>
          <w:color w:val="000000"/>
          <w:sz w:val="26"/>
          <w:szCs w:val="26"/>
        </w:rPr>
        <w:t xml:space="preserve"> &gt;&gt;</w:t>
      </w:r>
      <w:r>
        <w:rPr>
          <w:rFonts w:ascii="Garamond" w:hAnsi="Garamond"/>
          <w:color w:val="000000"/>
          <w:sz w:val="26"/>
          <w:szCs w:val="26"/>
        </w:rPr>
        <w:t>.</w:t>
      </w:r>
    </w:p>
    <w:p w:rsidR="009D753E" w:rsidRDefault="005B67AE" w:rsidP="00792253">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r>
      <w:r w:rsidR="009D753E">
        <w:rPr>
          <w:rFonts w:ascii="Garamond" w:hAnsi="Garamond" w:cs="Arial"/>
          <w:color w:val="000000"/>
          <w:sz w:val="26"/>
          <w:szCs w:val="26"/>
        </w:rPr>
        <w:t xml:space="preserve">Il richiamo alla procedura di gara in omaggio al principio di economicità (e di imparzialità e di buon andamento) si pone in evidente rottura con la diffusa prassi (seguita da gran parte delle Amministrazioni negli anni passati) di negoziare direttamente e “fiduciariamente” con il singolo intermediario finanziario l’operazione in “derivati” e ciò comporta evidenti ripercussioni anche sul piano della validità contrattuale. </w:t>
      </w:r>
    </w:p>
    <w:p w:rsidR="009D753E" w:rsidRDefault="004D11E7" w:rsidP="00792253">
      <w:pPr>
        <w:pStyle w:val="Corpotesto"/>
        <w:spacing w:after="0" w:line="360" w:lineRule="auto"/>
        <w:ind w:left="567" w:right="567"/>
        <w:jc w:val="both"/>
        <w:rPr>
          <w:rFonts w:ascii="Garamond" w:hAnsi="Garamond" w:cs="Arial"/>
          <w:color w:val="000000"/>
          <w:sz w:val="26"/>
          <w:szCs w:val="26"/>
        </w:rPr>
      </w:pPr>
      <w:r>
        <w:rPr>
          <w:rFonts w:ascii="Garamond" w:hAnsi="Garamond"/>
          <w:b/>
          <w:color w:val="000000" w:themeColor="text1"/>
          <w:sz w:val="26"/>
          <w:szCs w:val="26"/>
        </w:rPr>
        <w:t>7.3</w:t>
      </w:r>
      <w:r w:rsidR="009D753E">
        <w:rPr>
          <w:rFonts w:ascii="Garamond" w:hAnsi="Garamond"/>
          <w:b/>
          <w:color w:val="000000" w:themeColor="text1"/>
          <w:sz w:val="26"/>
          <w:szCs w:val="26"/>
        </w:rPr>
        <w:t>. Conseguenze della violazione delle norme di procedura sulla validità dei contratti “derivati”.</w:t>
      </w:r>
    </w:p>
    <w:p w:rsidR="009D753E" w:rsidRDefault="00F66FDA" w:rsidP="00F66FDA">
      <w:pPr>
        <w:pStyle w:val="Corpotesto"/>
        <w:spacing w:after="0" w:line="360" w:lineRule="auto"/>
        <w:ind w:left="567" w:right="567" w:firstLine="141"/>
        <w:jc w:val="both"/>
        <w:rPr>
          <w:rFonts w:ascii="Garamond" w:hAnsi="Garamond" w:cs="Arial"/>
          <w:color w:val="000000"/>
          <w:sz w:val="26"/>
          <w:szCs w:val="26"/>
        </w:rPr>
      </w:pPr>
      <w:r w:rsidRPr="00792253">
        <w:rPr>
          <w:rFonts w:ascii="Garamond" w:hAnsi="Garamond" w:cs="Arial"/>
          <w:color w:val="000000"/>
          <w:sz w:val="26"/>
          <w:szCs w:val="26"/>
        </w:rPr>
        <w:t xml:space="preserve">Quello dei rapporti tra gli atti propedeutici alla stipula dei contratti della P.A. ed i contratti stessi è, come noto, un tema molto dibattuto anche nell'ambito della stessa giurisprudenza di legittimità, nell'ambito della quale sono emerse </w:t>
      </w:r>
      <w:r>
        <w:rPr>
          <w:rFonts w:ascii="Garamond" w:hAnsi="Garamond" w:cs="Arial"/>
          <w:color w:val="000000"/>
          <w:sz w:val="26"/>
          <w:szCs w:val="26"/>
        </w:rPr>
        <w:t xml:space="preserve">diverse opzioni ermeneutiche </w:t>
      </w:r>
      <w:r w:rsidRPr="00792253">
        <w:rPr>
          <w:rFonts w:ascii="Garamond" w:hAnsi="Garamond" w:cs="Arial"/>
          <w:color w:val="000000"/>
          <w:sz w:val="26"/>
          <w:szCs w:val="26"/>
        </w:rPr>
        <w:t>nel corso del tempo.</w:t>
      </w:r>
    </w:p>
    <w:p w:rsidR="00F66FDA" w:rsidRDefault="00F66FDA" w:rsidP="00F66FDA">
      <w:pPr>
        <w:pStyle w:val="Corpotesto"/>
        <w:spacing w:after="0" w:line="360" w:lineRule="auto"/>
        <w:ind w:left="567" w:right="567"/>
        <w:jc w:val="both"/>
        <w:rPr>
          <w:rFonts w:ascii="Garamond" w:hAnsi="Garamond" w:cs="Arial"/>
          <w:color w:val="000000"/>
          <w:sz w:val="26"/>
          <w:szCs w:val="26"/>
        </w:rPr>
      </w:pPr>
      <w:r>
        <w:rPr>
          <w:rFonts w:ascii="Garamond" w:hAnsi="Garamond" w:cs="Arial"/>
          <w:color w:val="000000"/>
          <w:sz w:val="26"/>
          <w:szCs w:val="26"/>
        </w:rPr>
        <w:tab/>
        <w:t xml:space="preserve">La questione si riproponeva, quindi, anche nel caso di specie, in cui i “derivati” non erano stati preceduti da una </w:t>
      </w:r>
      <w:r w:rsidR="00792253" w:rsidRPr="00792253">
        <w:rPr>
          <w:rFonts w:ascii="Garamond" w:hAnsi="Garamond" w:cs="Arial"/>
          <w:color w:val="000000"/>
          <w:sz w:val="26"/>
          <w:szCs w:val="26"/>
        </w:rPr>
        <w:t>delibera a contrattare</w:t>
      </w:r>
      <w:r>
        <w:rPr>
          <w:rFonts w:ascii="Garamond" w:hAnsi="Garamond" w:cs="Arial"/>
          <w:color w:val="000000"/>
          <w:sz w:val="26"/>
          <w:szCs w:val="26"/>
        </w:rPr>
        <w:t xml:space="preserve"> dell’organo competente (Consiglio comunale).</w:t>
      </w:r>
    </w:p>
    <w:p w:rsidR="00792253" w:rsidRPr="00792253" w:rsidRDefault="008E3339" w:rsidP="008E3339">
      <w:pPr>
        <w:spacing w:line="360" w:lineRule="auto"/>
        <w:ind w:left="567" w:right="567" w:firstLine="141"/>
        <w:jc w:val="both"/>
        <w:rPr>
          <w:rFonts w:ascii="Garamond" w:eastAsia="Arial" w:hAnsi="Garamond" w:cs="Arial"/>
          <w:i/>
          <w:iCs/>
          <w:color w:val="000000"/>
          <w:sz w:val="26"/>
          <w:szCs w:val="26"/>
        </w:rPr>
      </w:pPr>
      <w:r>
        <w:rPr>
          <w:rFonts w:ascii="Garamond" w:hAnsi="Garamond" w:cs="Arial"/>
          <w:color w:val="000000"/>
          <w:sz w:val="26"/>
          <w:szCs w:val="26"/>
        </w:rPr>
        <w:t>S</w:t>
      </w:r>
      <w:r w:rsidR="00792253" w:rsidRPr="00792253">
        <w:rPr>
          <w:rFonts w:ascii="Garamond" w:hAnsi="Garamond" w:cs="Arial"/>
          <w:color w:val="000000"/>
          <w:sz w:val="26"/>
          <w:szCs w:val="26"/>
        </w:rPr>
        <w:t xml:space="preserve">econdo </w:t>
      </w:r>
      <w:r w:rsidR="00F66FDA">
        <w:rPr>
          <w:rFonts w:ascii="Garamond" w:hAnsi="Garamond" w:cs="Arial"/>
          <w:color w:val="000000"/>
          <w:sz w:val="26"/>
          <w:szCs w:val="26"/>
        </w:rPr>
        <w:t xml:space="preserve">l’indirizzo </w:t>
      </w:r>
      <w:r w:rsidR="00792253" w:rsidRPr="00792253">
        <w:rPr>
          <w:rFonts w:ascii="Garamond" w:hAnsi="Garamond" w:cs="Arial"/>
          <w:color w:val="000000"/>
          <w:sz w:val="26"/>
          <w:szCs w:val="26"/>
        </w:rPr>
        <w:t xml:space="preserve">più tradizionale, la mancanza </w:t>
      </w:r>
      <w:r w:rsidR="00F66FDA">
        <w:rPr>
          <w:rFonts w:ascii="Garamond" w:hAnsi="Garamond" w:cs="Arial"/>
          <w:color w:val="000000"/>
          <w:sz w:val="26"/>
          <w:szCs w:val="26"/>
        </w:rPr>
        <w:t xml:space="preserve">- </w:t>
      </w:r>
      <w:r w:rsidR="00792253" w:rsidRPr="00792253">
        <w:rPr>
          <w:rFonts w:ascii="Garamond" w:hAnsi="Garamond" w:cs="Arial"/>
          <w:color w:val="000000"/>
          <w:sz w:val="26"/>
          <w:szCs w:val="26"/>
        </w:rPr>
        <w:t xml:space="preserve">o la sussistenza di un vizio radicale </w:t>
      </w:r>
      <w:r w:rsidR="00F66FDA">
        <w:rPr>
          <w:rFonts w:ascii="Garamond" w:hAnsi="Garamond" w:cs="Arial"/>
          <w:color w:val="000000"/>
          <w:sz w:val="26"/>
          <w:szCs w:val="26"/>
        </w:rPr>
        <w:t xml:space="preserve">- </w:t>
      </w:r>
      <w:r w:rsidR="00792253" w:rsidRPr="00792253">
        <w:rPr>
          <w:rFonts w:ascii="Garamond" w:hAnsi="Garamond" w:cs="Arial"/>
          <w:color w:val="000000"/>
          <w:sz w:val="26"/>
          <w:szCs w:val="26"/>
        </w:rPr>
        <w:t xml:space="preserve">dell'atto autorizzatorio a contrattare integra una causa di </w:t>
      </w:r>
      <w:r w:rsidR="00792253" w:rsidRPr="00792253">
        <w:rPr>
          <w:rFonts w:ascii="Garamond" w:hAnsi="Garamond" w:cs="Arial"/>
          <w:i/>
          <w:iCs/>
          <w:color w:val="000000"/>
          <w:sz w:val="26"/>
          <w:szCs w:val="26"/>
        </w:rPr>
        <w:t xml:space="preserve">annullabilità </w:t>
      </w:r>
      <w:r w:rsidR="00792253" w:rsidRPr="00792253">
        <w:rPr>
          <w:rFonts w:ascii="Garamond" w:hAnsi="Garamond" w:cs="Arial"/>
          <w:color w:val="000000"/>
          <w:sz w:val="26"/>
          <w:szCs w:val="26"/>
        </w:rPr>
        <w:t xml:space="preserve">del negozio ex artt. 1425 o 1427 </w:t>
      </w:r>
      <w:r w:rsidR="00F66FDA">
        <w:rPr>
          <w:rFonts w:ascii="Garamond" w:hAnsi="Garamond" w:cs="Arial"/>
          <w:color w:val="000000"/>
          <w:sz w:val="26"/>
          <w:szCs w:val="26"/>
        </w:rPr>
        <w:t>c</w:t>
      </w:r>
      <w:r w:rsidR="00792253" w:rsidRPr="00792253">
        <w:rPr>
          <w:rFonts w:ascii="Garamond" w:hAnsi="Garamond" w:cs="Arial"/>
          <w:color w:val="000000"/>
          <w:sz w:val="26"/>
          <w:szCs w:val="26"/>
        </w:rPr>
        <w:t>od</w:t>
      </w:r>
      <w:r w:rsidR="00F66FDA">
        <w:rPr>
          <w:rFonts w:ascii="Garamond" w:hAnsi="Garamond" w:cs="Arial"/>
          <w:color w:val="000000"/>
          <w:sz w:val="26"/>
          <w:szCs w:val="26"/>
        </w:rPr>
        <w:t>. civ.</w:t>
      </w:r>
      <w:r w:rsidR="00792253" w:rsidRPr="00792253">
        <w:rPr>
          <w:rFonts w:ascii="Garamond" w:hAnsi="Garamond" w:cs="Arial"/>
          <w:color w:val="000000"/>
          <w:sz w:val="26"/>
          <w:szCs w:val="26"/>
        </w:rPr>
        <w:t xml:space="preserve">, sul rilievo che le norme che regolano le procedure ad evidenza pubblica servono a consentire la corretta formazione della volontà </w:t>
      </w:r>
      <w:r w:rsidR="00F66FDA">
        <w:rPr>
          <w:rFonts w:ascii="Garamond" w:hAnsi="Garamond" w:cs="Arial"/>
          <w:color w:val="000000"/>
          <w:sz w:val="26"/>
          <w:szCs w:val="26"/>
        </w:rPr>
        <w:t>del contraente pubblico, di talchè</w:t>
      </w:r>
      <w:r w:rsidR="00792253" w:rsidRPr="00792253">
        <w:rPr>
          <w:rFonts w:ascii="Garamond" w:hAnsi="Garamond" w:cs="Arial"/>
          <w:color w:val="000000"/>
          <w:sz w:val="26"/>
          <w:szCs w:val="26"/>
        </w:rPr>
        <w:t xml:space="preserve"> la loro violazione costituisce un vizio del consenso della P.A. o comunque ne rivela l'incapacità a contrarre </w:t>
      </w:r>
      <w:r w:rsidR="00F66FDA" w:rsidRPr="00792253">
        <w:rPr>
          <w:rStyle w:val="Rimandonotaapidipagina"/>
          <w:rFonts w:ascii="Garamond" w:hAnsi="Garamond" w:cs="Arial"/>
          <w:color w:val="000000"/>
          <w:sz w:val="26"/>
          <w:szCs w:val="26"/>
        </w:rPr>
        <w:footnoteReference w:id="47"/>
      </w:r>
      <w:r w:rsidR="004C2E2A">
        <w:rPr>
          <w:rFonts w:ascii="Garamond" w:hAnsi="Garamond" w:cs="Arial"/>
          <w:color w:val="000000"/>
          <w:sz w:val="26"/>
          <w:szCs w:val="26"/>
        </w:rPr>
        <w:t>: a</w:t>
      </w:r>
      <w:r w:rsidR="00792253" w:rsidRPr="00792253">
        <w:rPr>
          <w:rFonts w:ascii="Garamond" w:eastAsia="Arial" w:hAnsi="Garamond" w:cs="Arial"/>
          <w:color w:val="000000"/>
          <w:sz w:val="26"/>
          <w:szCs w:val="26"/>
        </w:rPr>
        <w:t xml:space="preserve"> sostegno di questa tesi, si afferma che gli atti della procedura di formazione della volontà dell'Amministrazione</w:t>
      </w:r>
      <w:r w:rsidR="004C2E2A">
        <w:rPr>
          <w:rFonts w:ascii="Garamond" w:eastAsia="Arial" w:hAnsi="Garamond" w:cs="Arial"/>
          <w:color w:val="000000"/>
          <w:sz w:val="26"/>
          <w:szCs w:val="26"/>
        </w:rPr>
        <w:t xml:space="preserve"> (che culminano con la d</w:t>
      </w:r>
      <w:r w:rsidR="00792253" w:rsidRPr="00792253">
        <w:rPr>
          <w:rFonts w:ascii="Garamond" w:eastAsia="Arial" w:hAnsi="Garamond" w:cs="Arial"/>
          <w:color w:val="000000"/>
          <w:sz w:val="26"/>
          <w:szCs w:val="26"/>
        </w:rPr>
        <w:t>eliberazione a contrattare) costituiscono requisiti che attengono ad una fase temporale relativa alla "conclusione del contratto", trattandosi di requisiti di "legittimazione a contrattare" della P.A. stipulante</w:t>
      </w:r>
      <w:r w:rsidR="004C2E2A">
        <w:rPr>
          <w:rFonts w:ascii="Garamond" w:eastAsia="Arial" w:hAnsi="Garamond" w:cs="Arial"/>
          <w:color w:val="000000"/>
          <w:sz w:val="26"/>
          <w:szCs w:val="26"/>
        </w:rPr>
        <w:t>,</w:t>
      </w:r>
      <w:r w:rsidR="00792253" w:rsidRPr="00792253">
        <w:rPr>
          <w:rFonts w:ascii="Garamond" w:eastAsia="Arial" w:hAnsi="Garamond" w:cs="Arial"/>
          <w:color w:val="000000"/>
          <w:sz w:val="26"/>
          <w:szCs w:val="26"/>
        </w:rPr>
        <w:t xml:space="preserve"> oppure requisiti che attengono alla sua "capacità" e "volontà negoziale"</w:t>
      </w:r>
      <w:r w:rsidR="00792253" w:rsidRPr="00792253">
        <w:rPr>
          <w:rFonts w:ascii="Garamond" w:eastAsia="Arial" w:hAnsi="Garamond" w:cs="Arial"/>
          <w:i/>
          <w:iCs/>
          <w:color w:val="000000"/>
          <w:sz w:val="26"/>
          <w:szCs w:val="26"/>
        </w:rPr>
        <w:t xml:space="preserve"> </w:t>
      </w:r>
      <w:r w:rsidR="00792253" w:rsidRPr="00792253">
        <w:rPr>
          <w:rStyle w:val="Rimandonotaapidipagina"/>
          <w:rFonts w:ascii="Garamond" w:hAnsi="Garamond"/>
          <w:color w:val="000000"/>
          <w:sz w:val="26"/>
          <w:szCs w:val="26"/>
        </w:rPr>
        <w:footnoteReference w:id="48"/>
      </w:r>
      <w:r w:rsidR="00792253" w:rsidRPr="00792253">
        <w:rPr>
          <w:rFonts w:ascii="Garamond" w:eastAsia="Arial" w:hAnsi="Garamond" w:cs="Arial"/>
          <w:i/>
          <w:iCs/>
          <w:color w:val="000000"/>
          <w:sz w:val="26"/>
          <w:szCs w:val="26"/>
        </w:rPr>
        <w:t>.</w:t>
      </w:r>
    </w:p>
    <w:p w:rsidR="00792253" w:rsidRDefault="004C2E2A" w:rsidP="004C2E2A">
      <w:pPr>
        <w:spacing w:line="360" w:lineRule="auto"/>
        <w:ind w:left="567" w:right="567" w:firstLine="141"/>
        <w:jc w:val="both"/>
        <w:rPr>
          <w:rFonts w:ascii="Garamond" w:hAnsi="Garamond" w:cs="Arial"/>
          <w:color w:val="000000"/>
          <w:sz w:val="26"/>
          <w:szCs w:val="26"/>
        </w:rPr>
      </w:pPr>
      <w:r>
        <w:rPr>
          <w:rFonts w:ascii="Garamond" w:hAnsi="Garamond" w:cs="Arial"/>
          <w:color w:val="000000"/>
          <w:sz w:val="26"/>
          <w:szCs w:val="26"/>
        </w:rPr>
        <w:t>Per contro, s</w:t>
      </w:r>
      <w:r w:rsidR="00792253" w:rsidRPr="00792253">
        <w:rPr>
          <w:rFonts w:ascii="Garamond" w:hAnsi="Garamond" w:cs="Arial"/>
          <w:color w:val="000000"/>
          <w:sz w:val="26"/>
          <w:szCs w:val="26"/>
        </w:rPr>
        <w:t xml:space="preserve">econdo altro e </w:t>
      </w:r>
      <w:r>
        <w:rPr>
          <w:rFonts w:ascii="Garamond" w:hAnsi="Garamond" w:cs="Arial"/>
          <w:color w:val="000000"/>
          <w:sz w:val="26"/>
          <w:szCs w:val="26"/>
        </w:rPr>
        <w:t xml:space="preserve">altrettanto </w:t>
      </w:r>
      <w:r w:rsidR="00792253" w:rsidRPr="00792253">
        <w:rPr>
          <w:rFonts w:ascii="Garamond" w:hAnsi="Garamond" w:cs="Arial"/>
          <w:color w:val="000000"/>
          <w:sz w:val="26"/>
          <w:szCs w:val="26"/>
        </w:rPr>
        <w:t>tradizionale indirizzo, il contratto concluso dal legale rappresentante dell'Ente in assenza del necessario atto deliberativo dell'organo competente</w:t>
      </w:r>
      <w:r w:rsidR="00F55F4E">
        <w:rPr>
          <w:rFonts w:ascii="Garamond" w:hAnsi="Garamond" w:cs="Arial"/>
          <w:color w:val="000000"/>
          <w:sz w:val="26"/>
          <w:szCs w:val="26"/>
        </w:rPr>
        <w:t>,</w:t>
      </w:r>
      <w:r w:rsidR="00792253" w:rsidRPr="00792253">
        <w:rPr>
          <w:rFonts w:ascii="Garamond" w:hAnsi="Garamond" w:cs="Arial"/>
          <w:color w:val="000000"/>
          <w:sz w:val="26"/>
          <w:szCs w:val="26"/>
        </w:rPr>
        <w:t xml:space="preserve"> o preceduto da un atto radicalmente viziato</w:t>
      </w:r>
      <w:r w:rsidR="00F55F4E">
        <w:rPr>
          <w:rFonts w:ascii="Garamond" w:hAnsi="Garamond" w:cs="Arial"/>
          <w:color w:val="000000"/>
          <w:sz w:val="26"/>
          <w:szCs w:val="26"/>
        </w:rPr>
        <w:t>, sarebbe</w:t>
      </w:r>
      <w:r w:rsidR="00792253" w:rsidRPr="00792253">
        <w:rPr>
          <w:rFonts w:ascii="Garamond" w:hAnsi="Garamond" w:cs="Arial"/>
          <w:color w:val="000000"/>
          <w:sz w:val="26"/>
          <w:szCs w:val="26"/>
        </w:rPr>
        <w:t xml:space="preserve"> da assimilare al negozio concluso dal </w:t>
      </w:r>
      <w:r w:rsidR="00792253" w:rsidRPr="00792253">
        <w:rPr>
          <w:rFonts w:ascii="Garamond" w:hAnsi="Garamond" w:cs="Arial"/>
          <w:i/>
          <w:iCs/>
          <w:color w:val="000000"/>
          <w:sz w:val="26"/>
          <w:szCs w:val="26"/>
        </w:rPr>
        <w:t xml:space="preserve">falsus procurator </w:t>
      </w:r>
      <w:r w:rsidR="00792253" w:rsidRPr="00792253">
        <w:rPr>
          <w:rFonts w:ascii="Garamond" w:hAnsi="Garamond" w:cs="Arial"/>
          <w:color w:val="000000"/>
          <w:sz w:val="26"/>
          <w:szCs w:val="26"/>
        </w:rPr>
        <w:t xml:space="preserve">ai sensi e per gli effetti dell'art. 1398 </w:t>
      </w:r>
      <w:r>
        <w:rPr>
          <w:rFonts w:ascii="Garamond" w:hAnsi="Garamond" w:cs="Arial"/>
          <w:color w:val="000000"/>
          <w:sz w:val="26"/>
          <w:szCs w:val="26"/>
        </w:rPr>
        <w:t>cod. civ.</w:t>
      </w:r>
      <w:r w:rsidR="00792253" w:rsidRPr="00792253">
        <w:rPr>
          <w:rFonts w:ascii="Garamond" w:hAnsi="Garamond" w:cs="Arial"/>
          <w:color w:val="000000"/>
          <w:sz w:val="26"/>
          <w:szCs w:val="26"/>
        </w:rPr>
        <w:t xml:space="preserve">, con conseguente sua inefficacia sino all'eventuale ratifica del </w:t>
      </w:r>
      <w:r w:rsidR="00792253" w:rsidRPr="00792253">
        <w:rPr>
          <w:rFonts w:ascii="Garamond" w:hAnsi="Garamond" w:cs="Arial"/>
          <w:i/>
          <w:iCs/>
          <w:color w:val="000000"/>
          <w:sz w:val="26"/>
          <w:szCs w:val="26"/>
        </w:rPr>
        <w:t>dominus</w:t>
      </w:r>
      <w:r>
        <w:rPr>
          <w:rFonts w:ascii="Garamond" w:hAnsi="Garamond" w:cs="Arial"/>
          <w:i/>
          <w:iCs/>
          <w:color w:val="000000"/>
          <w:sz w:val="26"/>
          <w:szCs w:val="26"/>
        </w:rPr>
        <w:t xml:space="preserve"> </w:t>
      </w:r>
      <w:r w:rsidRPr="00792253">
        <w:rPr>
          <w:rStyle w:val="Rimandonotaapidipagina"/>
          <w:rFonts w:ascii="Garamond" w:hAnsi="Garamond"/>
          <w:color w:val="000000"/>
          <w:sz w:val="26"/>
          <w:szCs w:val="26"/>
        </w:rPr>
        <w:footnoteReference w:id="49"/>
      </w:r>
      <w:r w:rsidR="00792253" w:rsidRPr="00792253">
        <w:rPr>
          <w:rFonts w:ascii="Garamond" w:hAnsi="Garamond" w:cs="Arial"/>
          <w:color w:val="000000"/>
          <w:sz w:val="26"/>
          <w:szCs w:val="26"/>
        </w:rPr>
        <w:t>.</w:t>
      </w:r>
    </w:p>
    <w:p w:rsidR="00792253" w:rsidRPr="00792253" w:rsidRDefault="00792253" w:rsidP="004C2E2A">
      <w:pPr>
        <w:spacing w:line="360" w:lineRule="auto"/>
        <w:ind w:left="567" w:right="567" w:firstLine="141"/>
        <w:jc w:val="both"/>
        <w:rPr>
          <w:rFonts w:ascii="Garamond" w:hAnsi="Garamond" w:cs="Arial"/>
          <w:color w:val="000000"/>
          <w:sz w:val="26"/>
          <w:szCs w:val="26"/>
        </w:rPr>
      </w:pPr>
      <w:r w:rsidRPr="00792253">
        <w:rPr>
          <w:rFonts w:ascii="Garamond" w:hAnsi="Garamond" w:cs="Arial"/>
          <w:color w:val="000000"/>
          <w:sz w:val="26"/>
          <w:szCs w:val="26"/>
        </w:rPr>
        <w:t xml:space="preserve">Infine, secondo il più convincente orientamento della giurisprudenza amministrativa e civile, la totale mancanza dell'atto o la sussistenza di un vizio radicale viene ad integrare una causa di </w:t>
      </w:r>
      <w:r w:rsidRPr="00792253">
        <w:rPr>
          <w:rFonts w:ascii="Garamond" w:hAnsi="Garamond" w:cs="Arial"/>
          <w:i/>
          <w:iCs/>
          <w:color w:val="000000"/>
          <w:sz w:val="26"/>
          <w:szCs w:val="26"/>
        </w:rPr>
        <w:t xml:space="preserve">nullità assoluta </w:t>
      </w:r>
      <w:r w:rsidRPr="00792253">
        <w:rPr>
          <w:rFonts w:ascii="Garamond" w:hAnsi="Garamond" w:cs="Arial"/>
          <w:color w:val="000000"/>
          <w:sz w:val="26"/>
          <w:szCs w:val="26"/>
        </w:rPr>
        <w:t xml:space="preserve">del contratto per difetto del requisito dell'accordo delle parti ex art. 1325 n. 1 e 1418 </w:t>
      </w:r>
      <w:r w:rsidR="004C2E2A">
        <w:rPr>
          <w:rFonts w:ascii="Garamond" w:hAnsi="Garamond" w:cs="Arial"/>
          <w:color w:val="000000"/>
          <w:sz w:val="26"/>
          <w:szCs w:val="26"/>
        </w:rPr>
        <w:t xml:space="preserve">cod. civ. </w:t>
      </w:r>
      <w:r w:rsidR="004C2E2A" w:rsidRPr="00792253">
        <w:rPr>
          <w:rStyle w:val="Rimandonotaapidipagina"/>
          <w:rFonts w:ascii="Garamond" w:hAnsi="Garamond"/>
          <w:color w:val="000000"/>
          <w:sz w:val="26"/>
          <w:szCs w:val="26"/>
        </w:rPr>
        <w:footnoteReference w:id="50"/>
      </w:r>
      <w:r w:rsidR="004C2E2A">
        <w:rPr>
          <w:rFonts w:ascii="Garamond" w:hAnsi="Garamond" w:cs="Arial"/>
          <w:color w:val="000000"/>
          <w:sz w:val="26"/>
          <w:szCs w:val="26"/>
        </w:rPr>
        <w:t xml:space="preserve"> </w:t>
      </w:r>
      <w:r w:rsidRPr="00792253">
        <w:rPr>
          <w:rFonts w:ascii="Garamond" w:hAnsi="Garamond" w:cs="Arial"/>
          <w:color w:val="000000"/>
          <w:sz w:val="26"/>
          <w:szCs w:val="26"/>
        </w:rPr>
        <w:t>o per violazione di norme imperative, attesa la natura inderogabile delle disposizioni che regolano la procedura di evidenza pubblica ed il processo di formazione della volontà negoziale della P.A.</w:t>
      </w:r>
      <w:r w:rsidR="004C2E2A" w:rsidRPr="00792253">
        <w:rPr>
          <w:rStyle w:val="Rimandonotaapidipagina"/>
          <w:rFonts w:ascii="Garamond" w:hAnsi="Garamond"/>
          <w:color w:val="000000"/>
          <w:sz w:val="26"/>
          <w:szCs w:val="26"/>
        </w:rPr>
        <w:footnoteReference w:id="51"/>
      </w:r>
      <w:r w:rsidRPr="00792253">
        <w:rPr>
          <w:rFonts w:ascii="Garamond" w:hAnsi="Garamond" w:cs="Arial"/>
          <w:color w:val="000000"/>
          <w:sz w:val="26"/>
          <w:szCs w:val="26"/>
        </w:rPr>
        <w:t>.</w:t>
      </w:r>
    </w:p>
    <w:p w:rsidR="004C2E2A" w:rsidRDefault="00792253" w:rsidP="004C2E2A">
      <w:pPr>
        <w:spacing w:line="360" w:lineRule="auto"/>
        <w:ind w:left="567" w:right="567" w:firstLine="141"/>
        <w:jc w:val="both"/>
        <w:rPr>
          <w:rFonts w:ascii="Garamond" w:hAnsi="Garamond" w:cs="Arial"/>
          <w:color w:val="000000"/>
          <w:sz w:val="26"/>
          <w:szCs w:val="26"/>
        </w:rPr>
      </w:pPr>
      <w:r w:rsidRPr="00792253">
        <w:rPr>
          <w:rFonts w:ascii="Garamond" w:hAnsi="Garamond" w:cs="Arial"/>
          <w:color w:val="000000"/>
          <w:sz w:val="26"/>
          <w:szCs w:val="26"/>
        </w:rPr>
        <w:t xml:space="preserve">Nel solco di quest'ultimo orientamento, si è anche parlato di </w:t>
      </w:r>
      <w:r w:rsidRPr="00792253">
        <w:rPr>
          <w:rFonts w:ascii="Garamond" w:hAnsi="Garamond" w:cs="Arial"/>
          <w:i/>
          <w:iCs/>
          <w:color w:val="000000"/>
          <w:sz w:val="26"/>
          <w:szCs w:val="26"/>
        </w:rPr>
        <w:t xml:space="preserve">inefficacia originaria </w:t>
      </w:r>
      <w:r w:rsidRPr="00792253">
        <w:rPr>
          <w:rFonts w:ascii="Garamond" w:hAnsi="Garamond" w:cs="Arial"/>
          <w:color w:val="000000"/>
          <w:sz w:val="26"/>
          <w:szCs w:val="26"/>
        </w:rPr>
        <w:t>del contratto,</w:t>
      </w:r>
      <w:r w:rsidR="004C2E2A">
        <w:rPr>
          <w:rFonts w:ascii="Garamond" w:hAnsi="Garamond" w:cs="Arial"/>
          <w:color w:val="000000"/>
          <w:sz w:val="26"/>
          <w:szCs w:val="26"/>
        </w:rPr>
        <w:t xml:space="preserve"> con risultati pratici pressoché</w:t>
      </w:r>
      <w:r w:rsidRPr="00792253">
        <w:rPr>
          <w:rFonts w:ascii="Garamond" w:hAnsi="Garamond" w:cs="Arial"/>
          <w:color w:val="000000"/>
          <w:sz w:val="26"/>
          <w:szCs w:val="26"/>
        </w:rPr>
        <w:t xml:space="preserve"> equivalenti </w:t>
      </w:r>
      <w:r w:rsidR="004C2E2A" w:rsidRPr="00792253">
        <w:rPr>
          <w:rStyle w:val="Rimandonotaapidipagina"/>
          <w:rFonts w:ascii="Garamond" w:hAnsi="Garamond"/>
          <w:color w:val="000000"/>
          <w:sz w:val="26"/>
          <w:szCs w:val="26"/>
        </w:rPr>
        <w:footnoteReference w:id="52"/>
      </w:r>
      <w:r w:rsidR="004C2E2A">
        <w:rPr>
          <w:rFonts w:ascii="Garamond" w:hAnsi="Garamond" w:cs="Arial"/>
          <w:color w:val="000000"/>
          <w:sz w:val="26"/>
          <w:szCs w:val="26"/>
        </w:rPr>
        <w:t>.</w:t>
      </w:r>
    </w:p>
    <w:p w:rsidR="00792253" w:rsidRPr="00792253" w:rsidRDefault="00792253" w:rsidP="00AC39E0">
      <w:pPr>
        <w:spacing w:line="360" w:lineRule="auto"/>
        <w:ind w:left="567" w:right="567" w:firstLine="141"/>
        <w:jc w:val="both"/>
        <w:rPr>
          <w:rFonts w:ascii="Garamond" w:hAnsi="Garamond" w:cs="Arial"/>
          <w:color w:val="000000"/>
          <w:sz w:val="26"/>
          <w:szCs w:val="26"/>
        </w:rPr>
      </w:pPr>
      <w:r w:rsidRPr="00792253">
        <w:rPr>
          <w:rFonts w:ascii="Garamond" w:hAnsi="Garamond" w:cs="Arial"/>
          <w:color w:val="000000"/>
          <w:sz w:val="26"/>
          <w:szCs w:val="26"/>
        </w:rPr>
        <w:t>E'</w:t>
      </w:r>
      <w:r w:rsidR="00AC39E0">
        <w:rPr>
          <w:rFonts w:ascii="Garamond" w:hAnsi="Garamond" w:cs="Arial"/>
          <w:color w:val="000000"/>
          <w:sz w:val="26"/>
          <w:szCs w:val="26"/>
        </w:rPr>
        <w:t>,</w:t>
      </w:r>
      <w:r w:rsidRPr="00792253">
        <w:rPr>
          <w:rFonts w:ascii="Garamond" w:hAnsi="Garamond" w:cs="Arial"/>
          <w:color w:val="000000"/>
          <w:sz w:val="26"/>
          <w:szCs w:val="26"/>
        </w:rPr>
        <w:t xml:space="preserve"> poi</w:t>
      </w:r>
      <w:r w:rsidR="00AC39E0">
        <w:rPr>
          <w:rFonts w:ascii="Garamond" w:hAnsi="Garamond" w:cs="Arial"/>
          <w:color w:val="000000"/>
          <w:sz w:val="26"/>
          <w:szCs w:val="26"/>
        </w:rPr>
        <w:t>,</w:t>
      </w:r>
      <w:r w:rsidRPr="00792253">
        <w:rPr>
          <w:rFonts w:ascii="Garamond" w:hAnsi="Garamond" w:cs="Arial"/>
          <w:color w:val="000000"/>
          <w:sz w:val="26"/>
          <w:szCs w:val="26"/>
        </w:rPr>
        <w:t xml:space="preserve"> </w:t>
      </w:r>
      <w:r w:rsidR="00AC39E0">
        <w:rPr>
          <w:rFonts w:ascii="Garamond" w:hAnsi="Garamond" w:cs="Arial"/>
          <w:color w:val="000000"/>
          <w:sz w:val="26"/>
          <w:szCs w:val="26"/>
        </w:rPr>
        <w:t xml:space="preserve">di rilievo il fatto </w:t>
      </w:r>
      <w:r w:rsidRPr="00792253">
        <w:rPr>
          <w:rFonts w:ascii="Garamond" w:hAnsi="Garamond" w:cs="Arial"/>
          <w:color w:val="000000"/>
          <w:sz w:val="26"/>
          <w:szCs w:val="26"/>
        </w:rPr>
        <w:t xml:space="preserve">che la radicale sanzione civilistica della nullità in caso </w:t>
      </w:r>
      <w:r w:rsidR="00AC39E0">
        <w:rPr>
          <w:rFonts w:ascii="Garamond" w:hAnsi="Garamond" w:cs="Arial"/>
          <w:color w:val="000000"/>
          <w:sz w:val="26"/>
          <w:szCs w:val="26"/>
        </w:rPr>
        <w:t>di mancanza o di nullità della d</w:t>
      </w:r>
      <w:r w:rsidRPr="00792253">
        <w:rPr>
          <w:rFonts w:ascii="Garamond" w:hAnsi="Garamond" w:cs="Arial"/>
          <w:color w:val="000000"/>
          <w:sz w:val="26"/>
          <w:szCs w:val="26"/>
        </w:rPr>
        <w:t>elibera a contrattare rigua</w:t>
      </w:r>
      <w:r w:rsidR="00AC39E0">
        <w:rPr>
          <w:rFonts w:ascii="Garamond" w:hAnsi="Garamond" w:cs="Arial"/>
          <w:color w:val="000000"/>
          <w:sz w:val="26"/>
          <w:szCs w:val="26"/>
        </w:rPr>
        <w:t>rda tutti i contratti della Pubblica amministrazione</w:t>
      </w:r>
      <w:r w:rsidRPr="00792253">
        <w:rPr>
          <w:rFonts w:ascii="Garamond" w:hAnsi="Garamond" w:cs="Arial"/>
          <w:color w:val="000000"/>
          <w:sz w:val="26"/>
          <w:szCs w:val="26"/>
        </w:rPr>
        <w:t>, anche se di natura strettamente privatistica, perchè è, anzi, proprio in tali ipotesi che l'Amministrazione, non potendo contare sull'autotutela amministrativa, deve essere messa in grado di avvalersi degli ordinari rimedi civilistici per sottrarsi all'adempimento di obbl</w:t>
      </w:r>
      <w:r w:rsidR="00AC39E0">
        <w:rPr>
          <w:rFonts w:ascii="Garamond" w:hAnsi="Garamond" w:cs="Arial"/>
          <w:color w:val="000000"/>
          <w:sz w:val="26"/>
          <w:szCs w:val="26"/>
        </w:rPr>
        <w:t xml:space="preserve">igazioni invalidamente assunte </w:t>
      </w:r>
      <w:r w:rsidR="00AC39E0" w:rsidRPr="00792253">
        <w:rPr>
          <w:rStyle w:val="Rimandonotaapidipagina"/>
          <w:rFonts w:ascii="Garamond" w:hAnsi="Garamond"/>
          <w:color w:val="000000"/>
          <w:sz w:val="26"/>
          <w:szCs w:val="26"/>
        </w:rPr>
        <w:footnoteReference w:id="53"/>
      </w:r>
      <w:r w:rsidRPr="00792253">
        <w:rPr>
          <w:rFonts w:ascii="Garamond" w:hAnsi="Garamond" w:cs="Arial"/>
          <w:color w:val="000000"/>
          <w:sz w:val="26"/>
          <w:szCs w:val="26"/>
        </w:rPr>
        <w:t>.</w:t>
      </w:r>
    </w:p>
    <w:p w:rsidR="00792253" w:rsidRPr="00792253" w:rsidRDefault="00AC39E0" w:rsidP="00AC39E0">
      <w:pPr>
        <w:spacing w:line="360" w:lineRule="auto"/>
        <w:ind w:left="567" w:right="567" w:firstLine="141"/>
        <w:jc w:val="both"/>
        <w:rPr>
          <w:rFonts w:ascii="Garamond" w:hAnsi="Garamond" w:cs="Arial"/>
          <w:color w:val="000000"/>
          <w:sz w:val="26"/>
          <w:szCs w:val="26"/>
        </w:rPr>
      </w:pPr>
      <w:r>
        <w:rPr>
          <w:rFonts w:ascii="Garamond" w:eastAsia="Lucida Sans Unicode" w:hAnsi="Garamond" w:cs="Arial"/>
          <w:color w:val="000000"/>
          <w:sz w:val="26"/>
          <w:szCs w:val="26"/>
        </w:rPr>
        <w:t>Le Sezioni Unite</w:t>
      </w:r>
      <w:r w:rsidR="00792253" w:rsidRPr="00792253">
        <w:rPr>
          <w:rFonts w:ascii="Garamond" w:eastAsia="Lucida Sans Unicode" w:hAnsi="Garamond" w:cs="Arial"/>
          <w:color w:val="000000"/>
          <w:sz w:val="26"/>
          <w:szCs w:val="26"/>
        </w:rPr>
        <w:t xml:space="preserve">, </w:t>
      </w:r>
      <w:r w:rsidR="00F55F4E">
        <w:rPr>
          <w:rFonts w:ascii="Garamond" w:eastAsia="Lucida Sans Unicode" w:hAnsi="Garamond" w:cs="Arial"/>
          <w:color w:val="000000"/>
          <w:sz w:val="26"/>
          <w:szCs w:val="26"/>
        </w:rPr>
        <w:t xml:space="preserve">consacrando </w:t>
      </w:r>
      <w:r>
        <w:rPr>
          <w:rFonts w:ascii="Garamond" w:eastAsia="Lucida Sans Unicode" w:hAnsi="Garamond" w:cs="Arial"/>
          <w:color w:val="000000"/>
          <w:sz w:val="26"/>
          <w:szCs w:val="26"/>
        </w:rPr>
        <w:t xml:space="preserve">quest’ultimo più recente indirizzo, </w:t>
      </w:r>
      <w:r w:rsidR="00792253" w:rsidRPr="00792253">
        <w:rPr>
          <w:rFonts w:ascii="Garamond" w:eastAsia="Lucida Sans Unicode" w:hAnsi="Garamond" w:cs="Arial"/>
          <w:color w:val="000000"/>
          <w:sz w:val="26"/>
          <w:szCs w:val="26"/>
        </w:rPr>
        <w:t>dopo avere accertato la mancanza della preventiva delibera</w:t>
      </w:r>
      <w:r w:rsidR="00F55F4E">
        <w:rPr>
          <w:rFonts w:ascii="Garamond" w:eastAsia="Lucida Sans Unicode" w:hAnsi="Garamond" w:cs="Arial"/>
          <w:color w:val="000000"/>
          <w:sz w:val="26"/>
          <w:szCs w:val="26"/>
        </w:rPr>
        <w:t>zione</w:t>
      </w:r>
      <w:r w:rsidR="00792253" w:rsidRPr="00792253">
        <w:rPr>
          <w:rFonts w:ascii="Garamond" w:eastAsia="Lucida Sans Unicode" w:hAnsi="Garamond" w:cs="Arial"/>
          <w:color w:val="000000"/>
          <w:sz w:val="26"/>
          <w:szCs w:val="26"/>
        </w:rPr>
        <w:t xml:space="preserve"> a contrattare</w:t>
      </w:r>
      <w:r w:rsidR="00F55F4E">
        <w:rPr>
          <w:rFonts w:ascii="Garamond" w:eastAsia="Lucida Sans Unicode" w:hAnsi="Garamond" w:cs="Arial"/>
          <w:color w:val="000000"/>
          <w:sz w:val="26"/>
          <w:szCs w:val="26"/>
        </w:rPr>
        <w:t xml:space="preserve"> da parte dell’organo competente</w:t>
      </w:r>
      <w:r>
        <w:rPr>
          <w:rFonts w:ascii="Garamond" w:eastAsia="Lucida Sans Unicode" w:hAnsi="Garamond" w:cs="Arial"/>
          <w:color w:val="000000"/>
          <w:sz w:val="26"/>
          <w:szCs w:val="26"/>
        </w:rPr>
        <w:t xml:space="preserve">, </w:t>
      </w:r>
      <w:r w:rsidR="00792253" w:rsidRPr="00792253">
        <w:rPr>
          <w:rFonts w:ascii="Garamond" w:eastAsia="Lucida Sans Unicode" w:hAnsi="Garamond" w:cs="Arial"/>
          <w:color w:val="000000"/>
          <w:sz w:val="26"/>
          <w:szCs w:val="26"/>
        </w:rPr>
        <w:t xml:space="preserve">ha dichiarato i contratti derivati stipulati dal Comune </w:t>
      </w:r>
      <w:r w:rsidR="00792253" w:rsidRPr="00792253">
        <w:rPr>
          <w:rFonts w:ascii="Garamond" w:hAnsi="Garamond" w:cs="Arial"/>
          <w:color w:val="000000"/>
          <w:sz w:val="26"/>
          <w:szCs w:val="26"/>
        </w:rPr>
        <w:t>radicalmente nulli</w:t>
      </w:r>
      <w:r>
        <w:rPr>
          <w:rFonts w:ascii="Garamond" w:hAnsi="Garamond" w:cs="Arial"/>
          <w:color w:val="000000"/>
          <w:sz w:val="26"/>
          <w:szCs w:val="26"/>
        </w:rPr>
        <w:t xml:space="preserve"> (vedi punti 10.6. e 10.8. della sentenza)</w:t>
      </w:r>
      <w:r w:rsidR="00792253" w:rsidRPr="00792253">
        <w:rPr>
          <w:rFonts w:ascii="Garamond" w:hAnsi="Garamond" w:cs="Arial"/>
          <w:color w:val="000000"/>
          <w:sz w:val="26"/>
          <w:szCs w:val="26"/>
        </w:rPr>
        <w:t>.</w:t>
      </w:r>
    </w:p>
    <w:p w:rsidR="00770F06" w:rsidRPr="00792253" w:rsidRDefault="00792253" w:rsidP="00AC39E0">
      <w:pPr>
        <w:spacing w:line="360" w:lineRule="auto"/>
        <w:ind w:left="567" w:right="567" w:firstLine="141"/>
        <w:jc w:val="both"/>
        <w:rPr>
          <w:rFonts w:ascii="Garamond" w:hAnsi="Garamond" w:cs="Times New Roman"/>
          <w:b/>
          <w:color w:val="000000" w:themeColor="text1"/>
          <w:sz w:val="26"/>
          <w:szCs w:val="26"/>
        </w:rPr>
      </w:pPr>
      <w:r w:rsidRPr="00792253">
        <w:rPr>
          <w:rFonts w:ascii="Garamond" w:eastAsia="Arial" w:hAnsi="Garamond" w:cs="Arial"/>
          <w:color w:val="000000"/>
          <w:sz w:val="26"/>
          <w:szCs w:val="26"/>
        </w:rPr>
        <w:t xml:space="preserve">  </w:t>
      </w:r>
    </w:p>
    <w:p w:rsidR="00DE19E1" w:rsidRDefault="00205C85" w:rsidP="00770F06">
      <w:pPr>
        <w:spacing w:line="360" w:lineRule="auto"/>
        <w:ind w:left="567" w:right="567"/>
        <w:jc w:val="both"/>
        <w:rPr>
          <w:rFonts w:ascii="Garamond" w:hAnsi="Garamond" w:cs="Times New Roman"/>
          <w:color w:val="000000" w:themeColor="text1"/>
          <w:sz w:val="26"/>
          <w:szCs w:val="26"/>
        </w:rPr>
      </w:pPr>
      <w:r>
        <w:rPr>
          <w:rFonts w:ascii="Garamond" w:hAnsi="Garamond" w:cs="Times New Roman"/>
          <w:b/>
          <w:color w:val="000000" w:themeColor="text1"/>
          <w:sz w:val="26"/>
          <w:szCs w:val="26"/>
        </w:rPr>
        <w:t>8.</w:t>
      </w:r>
      <w:r w:rsidR="00770F06">
        <w:rPr>
          <w:rFonts w:ascii="Garamond" w:hAnsi="Garamond" w:cs="Times New Roman"/>
          <w:b/>
          <w:color w:val="000000" w:themeColor="text1"/>
          <w:sz w:val="26"/>
          <w:szCs w:val="26"/>
        </w:rPr>
        <w:t xml:space="preserve"> </w:t>
      </w:r>
      <w:r w:rsidR="00AC39E0">
        <w:rPr>
          <w:rFonts w:ascii="Garamond" w:hAnsi="Garamond" w:cs="Times New Roman"/>
          <w:b/>
          <w:color w:val="000000" w:themeColor="text1"/>
          <w:sz w:val="26"/>
          <w:szCs w:val="26"/>
        </w:rPr>
        <w:t>A</w:t>
      </w:r>
      <w:r w:rsidR="00770F06">
        <w:rPr>
          <w:rFonts w:ascii="Garamond" w:hAnsi="Garamond" w:cs="Times New Roman"/>
          <w:b/>
          <w:color w:val="000000" w:themeColor="text1"/>
          <w:sz w:val="26"/>
          <w:szCs w:val="26"/>
        </w:rPr>
        <w:t>utonomia negoziale della Pubblica amministrazione e principio di legalità</w:t>
      </w:r>
      <w:r w:rsidR="00AC39E0">
        <w:rPr>
          <w:rFonts w:ascii="Garamond" w:hAnsi="Garamond" w:cs="Times New Roman"/>
          <w:b/>
          <w:color w:val="000000" w:themeColor="text1"/>
          <w:sz w:val="26"/>
          <w:szCs w:val="26"/>
        </w:rPr>
        <w:t>: considerazioni finali.</w:t>
      </w:r>
    </w:p>
    <w:p w:rsidR="00205C85" w:rsidRDefault="00D11C24"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Le questioni involte in questa </w:t>
      </w:r>
      <w:r w:rsidR="003D73B9">
        <w:rPr>
          <w:rFonts w:ascii="Garamond" w:hAnsi="Garamond" w:cs="Times New Roman"/>
          <w:color w:val="000000" w:themeColor="text1"/>
          <w:sz w:val="26"/>
          <w:szCs w:val="26"/>
        </w:rPr>
        <w:t xml:space="preserve">importante </w:t>
      </w:r>
      <w:r>
        <w:rPr>
          <w:rFonts w:ascii="Garamond" w:hAnsi="Garamond" w:cs="Times New Roman"/>
          <w:color w:val="000000" w:themeColor="text1"/>
          <w:sz w:val="26"/>
          <w:szCs w:val="26"/>
        </w:rPr>
        <w:t xml:space="preserve">pronuncia </w:t>
      </w:r>
      <w:r w:rsidR="00AC39E0">
        <w:rPr>
          <w:rFonts w:ascii="Garamond" w:hAnsi="Garamond" w:cs="Times New Roman"/>
          <w:color w:val="000000" w:themeColor="text1"/>
          <w:sz w:val="26"/>
          <w:szCs w:val="26"/>
        </w:rPr>
        <w:t xml:space="preserve">delle Sezioni Unite </w:t>
      </w:r>
      <w:r>
        <w:rPr>
          <w:rFonts w:ascii="Garamond" w:hAnsi="Garamond" w:cs="Times New Roman"/>
          <w:color w:val="000000" w:themeColor="text1"/>
          <w:sz w:val="26"/>
          <w:szCs w:val="26"/>
        </w:rPr>
        <w:t>sollecitano alcune considerazioni di carattere più generale sull’attuale stato dei rapporti tra autonomia negoziale della Pubblica amministrazione e principio di legalità.</w:t>
      </w:r>
    </w:p>
    <w:p w:rsidR="00614B08" w:rsidRDefault="00D11C24"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Il tema è, ovviamente, di respiro tale da non poter essere trattato in queste poche righe conclusive, ma merita comunque un cenno, perché l’occasione </w:t>
      </w:r>
      <w:r w:rsidR="00F55F4E">
        <w:rPr>
          <w:rFonts w:ascii="Garamond" w:hAnsi="Garamond" w:cs="Times New Roman"/>
          <w:color w:val="000000" w:themeColor="text1"/>
          <w:sz w:val="26"/>
          <w:szCs w:val="26"/>
        </w:rPr>
        <w:t xml:space="preserve">è </w:t>
      </w:r>
      <w:r w:rsidR="00847306">
        <w:rPr>
          <w:rFonts w:ascii="Garamond" w:hAnsi="Garamond" w:cs="Times New Roman"/>
          <w:color w:val="000000" w:themeColor="text1"/>
          <w:sz w:val="26"/>
          <w:szCs w:val="26"/>
        </w:rPr>
        <w:t>particolarmente significativa</w:t>
      </w:r>
      <w:r w:rsidR="003D73B9">
        <w:rPr>
          <w:rFonts w:ascii="Garamond" w:hAnsi="Garamond" w:cs="Times New Roman"/>
          <w:color w:val="000000" w:themeColor="text1"/>
          <w:sz w:val="26"/>
          <w:szCs w:val="26"/>
        </w:rPr>
        <w:t xml:space="preserve">, in considerazione dell’operazione di </w:t>
      </w:r>
      <w:r w:rsidR="002B740E">
        <w:rPr>
          <w:rFonts w:ascii="Garamond" w:hAnsi="Garamond" w:cs="Times New Roman"/>
          <w:color w:val="000000" w:themeColor="text1"/>
          <w:sz w:val="26"/>
          <w:szCs w:val="26"/>
        </w:rPr>
        <w:t xml:space="preserve">qualificazione / </w:t>
      </w:r>
      <w:r w:rsidR="003D73B9">
        <w:rPr>
          <w:rFonts w:ascii="Garamond" w:hAnsi="Garamond" w:cs="Times New Roman"/>
          <w:color w:val="000000" w:themeColor="text1"/>
          <w:sz w:val="26"/>
          <w:szCs w:val="26"/>
        </w:rPr>
        <w:t xml:space="preserve">tipizzazione dei “derivati” pubblici </w:t>
      </w:r>
      <w:r w:rsidR="002B740E">
        <w:rPr>
          <w:rFonts w:ascii="Garamond" w:hAnsi="Garamond" w:cs="Times New Roman"/>
          <w:color w:val="000000" w:themeColor="text1"/>
          <w:sz w:val="26"/>
          <w:szCs w:val="26"/>
        </w:rPr>
        <w:t xml:space="preserve">condotta dalla S.C. sul filo del “vincolo di scopo” </w:t>
      </w:r>
      <w:r w:rsidR="00B24DAF">
        <w:rPr>
          <w:rFonts w:ascii="Garamond" w:hAnsi="Garamond" w:cs="Times New Roman"/>
          <w:color w:val="000000" w:themeColor="text1"/>
          <w:sz w:val="26"/>
          <w:szCs w:val="26"/>
        </w:rPr>
        <w:t>immanente a</w:t>
      </w:r>
      <w:r w:rsidR="00771A70">
        <w:rPr>
          <w:rFonts w:ascii="Garamond" w:hAnsi="Garamond" w:cs="Times New Roman"/>
          <w:color w:val="000000" w:themeColor="text1"/>
          <w:sz w:val="26"/>
          <w:szCs w:val="26"/>
        </w:rPr>
        <w:t xml:space="preserve">ll’azione della Pubblica amministrazione </w:t>
      </w:r>
      <w:r w:rsidR="002B740E">
        <w:rPr>
          <w:rFonts w:ascii="Garamond" w:hAnsi="Garamond" w:cs="Times New Roman"/>
          <w:color w:val="000000" w:themeColor="text1"/>
          <w:sz w:val="26"/>
          <w:szCs w:val="26"/>
        </w:rPr>
        <w:t xml:space="preserve">e delle </w:t>
      </w:r>
      <w:r w:rsidR="00F55F4E">
        <w:rPr>
          <w:rFonts w:ascii="Garamond" w:hAnsi="Garamond" w:cs="Times New Roman"/>
          <w:color w:val="000000" w:themeColor="text1"/>
          <w:sz w:val="26"/>
          <w:szCs w:val="26"/>
        </w:rPr>
        <w:t xml:space="preserve">acclarate </w:t>
      </w:r>
      <w:r w:rsidR="002B740E">
        <w:rPr>
          <w:rFonts w:ascii="Garamond" w:hAnsi="Garamond" w:cs="Times New Roman"/>
          <w:color w:val="000000" w:themeColor="text1"/>
          <w:sz w:val="26"/>
          <w:szCs w:val="26"/>
        </w:rPr>
        <w:t xml:space="preserve">interferenze tra il modello procedimentale </w:t>
      </w:r>
      <w:r w:rsidR="00771A70">
        <w:rPr>
          <w:rFonts w:ascii="Garamond" w:hAnsi="Garamond" w:cs="Times New Roman"/>
          <w:color w:val="000000" w:themeColor="text1"/>
          <w:sz w:val="26"/>
          <w:szCs w:val="26"/>
        </w:rPr>
        <w:t xml:space="preserve">amministrativo </w:t>
      </w:r>
      <w:r w:rsidR="002B740E">
        <w:rPr>
          <w:rFonts w:ascii="Garamond" w:hAnsi="Garamond" w:cs="Times New Roman"/>
          <w:color w:val="000000" w:themeColor="text1"/>
          <w:sz w:val="26"/>
          <w:szCs w:val="26"/>
        </w:rPr>
        <w:t>“tipico” ed i profili di patologia negoziale</w:t>
      </w:r>
      <w:r w:rsidR="00F55F4E">
        <w:rPr>
          <w:rFonts w:ascii="Garamond" w:hAnsi="Garamond" w:cs="Times New Roman"/>
          <w:color w:val="000000" w:themeColor="text1"/>
          <w:sz w:val="26"/>
          <w:szCs w:val="26"/>
        </w:rPr>
        <w:t xml:space="preserve"> dei contratti</w:t>
      </w:r>
      <w:r w:rsidR="002B740E">
        <w:rPr>
          <w:rFonts w:ascii="Garamond" w:hAnsi="Garamond" w:cs="Times New Roman"/>
          <w:color w:val="000000" w:themeColor="text1"/>
          <w:sz w:val="26"/>
          <w:szCs w:val="26"/>
        </w:rPr>
        <w:t>.</w:t>
      </w:r>
    </w:p>
    <w:p w:rsidR="003449E8" w:rsidRDefault="00771A70"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Sotto questo profilo, la sentenza conferma </w:t>
      </w:r>
      <w:r w:rsidR="003449E8">
        <w:rPr>
          <w:rFonts w:ascii="Garamond" w:hAnsi="Garamond" w:cs="Times New Roman"/>
          <w:color w:val="000000" w:themeColor="text1"/>
          <w:sz w:val="26"/>
          <w:szCs w:val="26"/>
        </w:rPr>
        <w:t>il convincimento</w:t>
      </w:r>
      <w:r>
        <w:rPr>
          <w:rFonts w:ascii="Garamond" w:hAnsi="Garamond" w:cs="Times New Roman"/>
          <w:color w:val="000000" w:themeColor="text1"/>
          <w:sz w:val="26"/>
          <w:szCs w:val="26"/>
        </w:rPr>
        <w:t xml:space="preserve">, per vero prevalente in dottrina e </w:t>
      </w:r>
      <w:r w:rsidR="00A04468">
        <w:rPr>
          <w:rFonts w:ascii="Garamond" w:hAnsi="Garamond" w:cs="Times New Roman"/>
          <w:color w:val="000000" w:themeColor="text1"/>
          <w:sz w:val="26"/>
          <w:szCs w:val="26"/>
        </w:rPr>
        <w:t xml:space="preserve">pienamente condiviso </w:t>
      </w:r>
      <w:r>
        <w:rPr>
          <w:rFonts w:ascii="Garamond" w:hAnsi="Garamond" w:cs="Times New Roman"/>
          <w:color w:val="000000" w:themeColor="text1"/>
          <w:sz w:val="26"/>
          <w:szCs w:val="26"/>
        </w:rPr>
        <w:t>dalla giurisprudenza</w:t>
      </w:r>
      <w:r w:rsidR="00F55F4E">
        <w:rPr>
          <w:rFonts w:ascii="Garamond" w:hAnsi="Garamond" w:cs="Times New Roman"/>
          <w:color w:val="000000" w:themeColor="text1"/>
          <w:sz w:val="26"/>
          <w:szCs w:val="26"/>
        </w:rPr>
        <w:t>, che il principio di legalità</w:t>
      </w:r>
      <w:r>
        <w:rPr>
          <w:rFonts w:ascii="Garamond" w:hAnsi="Garamond" w:cs="Times New Roman"/>
          <w:color w:val="000000" w:themeColor="text1"/>
          <w:sz w:val="26"/>
          <w:szCs w:val="26"/>
        </w:rPr>
        <w:t xml:space="preserve"> </w:t>
      </w:r>
      <w:r w:rsidR="003449E8">
        <w:rPr>
          <w:rFonts w:ascii="Garamond" w:hAnsi="Garamond" w:cs="Times New Roman"/>
          <w:color w:val="000000" w:themeColor="text1"/>
          <w:sz w:val="26"/>
          <w:szCs w:val="26"/>
        </w:rPr>
        <w:t xml:space="preserve">pervade </w:t>
      </w:r>
      <w:r w:rsidR="00240996">
        <w:rPr>
          <w:rFonts w:ascii="Garamond" w:hAnsi="Garamond" w:cs="Times New Roman"/>
          <w:color w:val="000000" w:themeColor="text1"/>
          <w:sz w:val="26"/>
          <w:szCs w:val="26"/>
        </w:rPr>
        <w:t xml:space="preserve">necessariamente </w:t>
      </w:r>
      <w:r w:rsidR="003449E8">
        <w:rPr>
          <w:rFonts w:ascii="Garamond" w:hAnsi="Garamond" w:cs="Times New Roman"/>
          <w:color w:val="000000" w:themeColor="text1"/>
          <w:sz w:val="26"/>
          <w:szCs w:val="26"/>
        </w:rPr>
        <w:t>l’intero raggio dell’azione amministrativa, a prescindere dalla natura giuridica dell’attività esercitata</w:t>
      </w:r>
      <w:r w:rsidR="00B24DAF">
        <w:rPr>
          <w:rFonts w:ascii="Garamond" w:hAnsi="Garamond" w:cs="Times New Roman"/>
          <w:color w:val="000000" w:themeColor="text1"/>
          <w:sz w:val="26"/>
          <w:szCs w:val="26"/>
        </w:rPr>
        <w:t xml:space="preserve"> dalla Pubblica amministrazione</w:t>
      </w:r>
      <w:r w:rsidR="00A04468">
        <w:rPr>
          <w:rFonts w:ascii="Garamond" w:hAnsi="Garamond" w:cs="Times New Roman"/>
          <w:color w:val="000000" w:themeColor="text1"/>
          <w:sz w:val="26"/>
          <w:szCs w:val="26"/>
        </w:rPr>
        <w:t xml:space="preserve">, governando tanto l’attività c.d. provvedimentale, quanto quella paritetica ed in specie contrattuale, atteso che irrinunciabile è il duplice “vincolo di scopo” e “di mezzi” cui essa è ontologicamente astretta </w:t>
      </w:r>
      <w:r w:rsidR="00A04468" w:rsidRPr="00792253">
        <w:rPr>
          <w:rStyle w:val="Rimandonotaapidipagina"/>
          <w:rFonts w:ascii="Garamond" w:hAnsi="Garamond"/>
          <w:color w:val="000000"/>
          <w:sz w:val="26"/>
          <w:szCs w:val="26"/>
        </w:rPr>
        <w:footnoteReference w:id="54"/>
      </w:r>
      <w:r w:rsidR="003449E8">
        <w:rPr>
          <w:rFonts w:ascii="Garamond" w:hAnsi="Garamond" w:cs="Times New Roman"/>
          <w:color w:val="000000" w:themeColor="text1"/>
          <w:sz w:val="26"/>
          <w:szCs w:val="26"/>
        </w:rPr>
        <w:t>.</w:t>
      </w:r>
    </w:p>
    <w:p w:rsidR="00A04468" w:rsidRDefault="00863DF5"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Elemento comune ed imprescindibile di tutta l’attività posta in essere dalla Pubblica amministrazione e che la contraddistingue da quella dei privati, governata dal principio di libertà, con il solo limite della liceità.</w:t>
      </w:r>
    </w:p>
    <w:p w:rsidR="003449E8" w:rsidRDefault="00863DF5" w:rsidP="00863DF5">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Ed è interessante notare come la S.C. confermi che</w:t>
      </w:r>
      <w:r w:rsidR="00240996">
        <w:rPr>
          <w:rFonts w:ascii="Garamond" w:hAnsi="Garamond" w:cs="Times New Roman"/>
          <w:color w:val="000000" w:themeColor="text1"/>
          <w:sz w:val="26"/>
          <w:szCs w:val="26"/>
        </w:rPr>
        <w:t xml:space="preserve"> </w:t>
      </w:r>
      <w:r>
        <w:rPr>
          <w:rFonts w:ascii="Garamond" w:hAnsi="Garamond" w:cs="Times New Roman"/>
          <w:color w:val="000000" w:themeColor="text1"/>
          <w:sz w:val="26"/>
          <w:szCs w:val="26"/>
        </w:rPr>
        <w:t xml:space="preserve">il limite della legalità è destinato ad operare (ed a soccorrere) non soltanto, ovviamente, nei casi in cui </w:t>
      </w:r>
      <w:r w:rsidR="00B24DAF">
        <w:rPr>
          <w:rFonts w:ascii="Garamond" w:hAnsi="Garamond" w:cs="Times New Roman"/>
          <w:color w:val="000000" w:themeColor="text1"/>
          <w:sz w:val="26"/>
          <w:szCs w:val="26"/>
        </w:rPr>
        <w:t>il legislatore appronti</w:t>
      </w:r>
      <w:r w:rsidR="00B23229">
        <w:rPr>
          <w:rFonts w:ascii="Garamond" w:hAnsi="Garamond" w:cs="Times New Roman"/>
          <w:color w:val="000000" w:themeColor="text1"/>
          <w:sz w:val="26"/>
          <w:szCs w:val="26"/>
        </w:rPr>
        <w:t xml:space="preserve"> una dettagliata </w:t>
      </w:r>
      <w:r w:rsidR="00240996">
        <w:rPr>
          <w:rFonts w:ascii="Garamond" w:hAnsi="Garamond" w:cs="Times New Roman"/>
          <w:color w:val="000000" w:themeColor="text1"/>
          <w:sz w:val="26"/>
          <w:szCs w:val="26"/>
        </w:rPr>
        <w:t xml:space="preserve">disciplina </w:t>
      </w:r>
      <w:r w:rsidR="00B23229">
        <w:rPr>
          <w:rFonts w:ascii="Garamond" w:hAnsi="Garamond" w:cs="Times New Roman"/>
          <w:color w:val="000000" w:themeColor="text1"/>
          <w:sz w:val="26"/>
          <w:szCs w:val="26"/>
        </w:rPr>
        <w:t>del suo agire</w:t>
      </w:r>
      <w:r>
        <w:rPr>
          <w:rFonts w:ascii="Garamond" w:hAnsi="Garamond" w:cs="Times New Roman"/>
          <w:color w:val="000000" w:themeColor="text1"/>
          <w:sz w:val="26"/>
          <w:szCs w:val="26"/>
        </w:rPr>
        <w:t xml:space="preserve">, ma soprattutto quando </w:t>
      </w:r>
      <w:r w:rsidR="00F411EC">
        <w:rPr>
          <w:rFonts w:ascii="Garamond" w:hAnsi="Garamond" w:cs="Times New Roman"/>
          <w:color w:val="000000" w:themeColor="text1"/>
          <w:sz w:val="26"/>
          <w:szCs w:val="26"/>
        </w:rPr>
        <w:t>si tratti di trarre dal sistema, in via interpretativa, il principio guida che indirizza l’azione amministrativa</w:t>
      </w:r>
      <w:r w:rsidR="00A04468">
        <w:rPr>
          <w:rFonts w:ascii="Garamond" w:hAnsi="Garamond" w:cs="Times New Roman"/>
          <w:color w:val="000000" w:themeColor="text1"/>
          <w:sz w:val="26"/>
          <w:szCs w:val="26"/>
        </w:rPr>
        <w:t xml:space="preserve"> </w:t>
      </w:r>
      <w:r w:rsidR="00A04468" w:rsidRPr="00792253">
        <w:rPr>
          <w:rStyle w:val="Rimandonotaapidipagina"/>
          <w:rFonts w:ascii="Garamond" w:hAnsi="Garamond"/>
          <w:color w:val="000000"/>
          <w:sz w:val="26"/>
          <w:szCs w:val="26"/>
        </w:rPr>
        <w:footnoteReference w:id="55"/>
      </w:r>
      <w:r w:rsidR="00F411EC">
        <w:rPr>
          <w:rFonts w:ascii="Garamond" w:hAnsi="Garamond" w:cs="Times New Roman"/>
          <w:color w:val="000000" w:themeColor="text1"/>
          <w:sz w:val="26"/>
          <w:szCs w:val="26"/>
        </w:rPr>
        <w:t>.</w:t>
      </w:r>
      <w:r>
        <w:rPr>
          <w:rFonts w:ascii="Garamond" w:hAnsi="Garamond" w:cs="Times New Roman"/>
          <w:color w:val="000000" w:themeColor="text1"/>
          <w:sz w:val="26"/>
          <w:szCs w:val="26"/>
        </w:rPr>
        <w:t xml:space="preserve"> </w:t>
      </w:r>
    </w:p>
    <w:p w:rsidR="00B23229" w:rsidRDefault="00B24DAF" w:rsidP="00315238">
      <w:pPr>
        <w:spacing w:line="360" w:lineRule="auto"/>
        <w:ind w:left="567" w:right="567" w:firstLine="142"/>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Detto </w:t>
      </w:r>
      <w:r w:rsidR="00240996">
        <w:rPr>
          <w:rFonts w:ascii="Garamond" w:hAnsi="Garamond" w:cs="Times New Roman"/>
          <w:color w:val="000000" w:themeColor="text1"/>
          <w:sz w:val="26"/>
          <w:szCs w:val="26"/>
        </w:rPr>
        <w:t xml:space="preserve">“vincolo di scopo” </w:t>
      </w:r>
      <w:r w:rsidR="003F3041">
        <w:rPr>
          <w:rFonts w:ascii="Garamond" w:hAnsi="Garamond" w:cs="Times New Roman"/>
          <w:color w:val="000000" w:themeColor="text1"/>
          <w:sz w:val="26"/>
          <w:szCs w:val="26"/>
        </w:rPr>
        <w:t xml:space="preserve">si staglia </w:t>
      </w:r>
      <w:r>
        <w:rPr>
          <w:rFonts w:ascii="Garamond" w:hAnsi="Garamond" w:cs="Times New Roman"/>
          <w:color w:val="000000" w:themeColor="text1"/>
          <w:sz w:val="26"/>
          <w:szCs w:val="26"/>
        </w:rPr>
        <w:t xml:space="preserve">nitido </w:t>
      </w:r>
      <w:r w:rsidR="008828E7">
        <w:rPr>
          <w:rFonts w:ascii="Garamond" w:hAnsi="Garamond" w:cs="Times New Roman"/>
          <w:color w:val="000000" w:themeColor="text1"/>
          <w:sz w:val="26"/>
          <w:szCs w:val="26"/>
        </w:rPr>
        <w:t xml:space="preserve">allorché la S.C., mediante un’operazione ermeneutica volta a ricomporre l’ordinamento </w:t>
      </w:r>
      <w:r>
        <w:rPr>
          <w:rFonts w:ascii="Garamond" w:hAnsi="Garamond" w:cs="Times New Roman"/>
          <w:i/>
          <w:color w:val="000000" w:themeColor="text1"/>
          <w:sz w:val="26"/>
          <w:szCs w:val="26"/>
        </w:rPr>
        <w:t>ad unum</w:t>
      </w:r>
      <w:r>
        <w:rPr>
          <w:rFonts w:ascii="Garamond" w:hAnsi="Garamond" w:cs="Times New Roman"/>
          <w:color w:val="000000" w:themeColor="text1"/>
          <w:sz w:val="26"/>
          <w:szCs w:val="26"/>
        </w:rPr>
        <w:t xml:space="preserve"> </w:t>
      </w:r>
      <w:r w:rsidR="008828E7">
        <w:rPr>
          <w:rFonts w:ascii="Garamond" w:hAnsi="Garamond" w:cs="Times New Roman"/>
          <w:color w:val="000000" w:themeColor="text1"/>
          <w:sz w:val="26"/>
          <w:szCs w:val="26"/>
        </w:rPr>
        <w:t>al di là della provenienza</w:t>
      </w:r>
      <w:r>
        <w:rPr>
          <w:rFonts w:ascii="Garamond" w:hAnsi="Garamond" w:cs="Times New Roman"/>
          <w:color w:val="000000" w:themeColor="text1"/>
          <w:sz w:val="26"/>
          <w:szCs w:val="26"/>
        </w:rPr>
        <w:t xml:space="preserve"> (pubblica o privata) delle </w:t>
      </w:r>
      <w:r w:rsidR="008828E7">
        <w:rPr>
          <w:rFonts w:ascii="Garamond" w:hAnsi="Garamond" w:cs="Times New Roman"/>
          <w:color w:val="000000" w:themeColor="text1"/>
          <w:sz w:val="26"/>
          <w:szCs w:val="26"/>
        </w:rPr>
        <w:t>fonti</w:t>
      </w:r>
      <w:r>
        <w:rPr>
          <w:rFonts w:ascii="Garamond" w:hAnsi="Garamond" w:cs="Times New Roman"/>
          <w:color w:val="000000" w:themeColor="text1"/>
          <w:sz w:val="26"/>
          <w:szCs w:val="26"/>
        </w:rPr>
        <w:t xml:space="preserve"> normative</w:t>
      </w:r>
      <w:r w:rsidR="008828E7">
        <w:rPr>
          <w:rFonts w:ascii="Garamond" w:hAnsi="Garamond" w:cs="Times New Roman"/>
          <w:color w:val="000000" w:themeColor="text1"/>
          <w:sz w:val="26"/>
          <w:szCs w:val="26"/>
        </w:rPr>
        <w:t xml:space="preserve">, perviene alla conclusione che il “derivato” pubblico </w:t>
      </w:r>
      <w:r>
        <w:rPr>
          <w:rFonts w:ascii="Garamond" w:hAnsi="Garamond" w:cs="Times New Roman"/>
          <w:color w:val="000000" w:themeColor="text1"/>
          <w:sz w:val="26"/>
          <w:szCs w:val="26"/>
        </w:rPr>
        <w:t xml:space="preserve">non può che avere </w:t>
      </w:r>
      <w:r w:rsidR="008828E7">
        <w:rPr>
          <w:rFonts w:ascii="Garamond" w:hAnsi="Garamond" w:cs="Times New Roman"/>
          <w:color w:val="000000" w:themeColor="text1"/>
          <w:sz w:val="26"/>
          <w:szCs w:val="26"/>
        </w:rPr>
        <w:t>una “finalità di copertura” di un debito preesistente e giammai una “finalità speculativa”.</w:t>
      </w:r>
    </w:p>
    <w:p w:rsidR="008828E7" w:rsidRDefault="00315238" w:rsidP="00315238">
      <w:pPr>
        <w:spacing w:line="360" w:lineRule="auto"/>
        <w:ind w:left="567" w:right="567" w:firstLine="142"/>
        <w:jc w:val="both"/>
        <w:rPr>
          <w:rFonts w:ascii="Garamond" w:hAnsi="Garamond" w:cs="Times New Roman"/>
          <w:color w:val="000000" w:themeColor="text1"/>
          <w:sz w:val="26"/>
          <w:szCs w:val="26"/>
        </w:rPr>
      </w:pPr>
      <w:r>
        <w:rPr>
          <w:rFonts w:ascii="Garamond" w:hAnsi="Garamond" w:cs="Times New Roman"/>
          <w:color w:val="000000" w:themeColor="text1"/>
          <w:sz w:val="26"/>
          <w:szCs w:val="26"/>
        </w:rPr>
        <w:t>Invero, t</w:t>
      </w:r>
      <w:r w:rsidR="008828E7">
        <w:rPr>
          <w:rFonts w:ascii="Garamond" w:hAnsi="Garamond" w:cs="Times New Roman"/>
          <w:color w:val="000000" w:themeColor="text1"/>
          <w:sz w:val="26"/>
          <w:szCs w:val="26"/>
        </w:rPr>
        <w:t xml:space="preserve">ale “vincolo di scopo” è talmente </w:t>
      </w:r>
      <w:r w:rsidR="00D869B1">
        <w:rPr>
          <w:rFonts w:ascii="Garamond" w:hAnsi="Garamond" w:cs="Times New Roman"/>
          <w:color w:val="000000" w:themeColor="text1"/>
          <w:sz w:val="26"/>
          <w:szCs w:val="26"/>
        </w:rPr>
        <w:t xml:space="preserve">essenziale ed </w:t>
      </w:r>
      <w:r w:rsidR="008828E7">
        <w:rPr>
          <w:rFonts w:ascii="Garamond" w:hAnsi="Garamond" w:cs="Times New Roman"/>
          <w:color w:val="000000" w:themeColor="text1"/>
          <w:sz w:val="26"/>
          <w:szCs w:val="26"/>
        </w:rPr>
        <w:t xml:space="preserve">immanente </w:t>
      </w:r>
      <w:r w:rsidR="00D869B1">
        <w:rPr>
          <w:rFonts w:ascii="Garamond" w:hAnsi="Garamond" w:cs="Times New Roman"/>
          <w:color w:val="000000" w:themeColor="text1"/>
          <w:sz w:val="26"/>
          <w:szCs w:val="26"/>
        </w:rPr>
        <w:t>ne</w:t>
      </w:r>
      <w:r w:rsidR="008828E7">
        <w:rPr>
          <w:rFonts w:ascii="Garamond" w:hAnsi="Garamond" w:cs="Times New Roman"/>
          <w:color w:val="000000" w:themeColor="text1"/>
          <w:sz w:val="26"/>
          <w:szCs w:val="26"/>
        </w:rPr>
        <w:t xml:space="preserve">ll’operato degli Enti pubblici </w:t>
      </w:r>
      <w:r w:rsidR="00863DF5">
        <w:rPr>
          <w:rFonts w:ascii="Garamond" w:hAnsi="Garamond" w:cs="Times New Roman"/>
          <w:color w:val="000000" w:themeColor="text1"/>
          <w:sz w:val="26"/>
          <w:szCs w:val="26"/>
        </w:rPr>
        <w:t xml:space="preserve">– e quindi anche nell’attività contrattuale - </w:t>
      </w:r>
      <w:r w:rsidR="008828E7">
        <w:rPr>
          <w:rFonts w:ascii="Garamond" w:hAnsi="Garamond" w:cs="Times New Roman"/>
          <w:color w:val="000000" w:themeColor="text1"/>
          <w:sz w:val="26"/>
          <w:szCs w:val="26"/>
        </w:rPr>
        <w:t xml:space="preserve">da incidere sulla loro “legittimazione negoziale”. </w:t>
      </w:r>
    </w:p>
    <w:p w:rsidR="0045073C" w:rsidRDefault="00D869B1" w:rsidP="005A75D0">
      <w:pPr>
        <w:spacing w:line="360" w:lineRule="auto"/>
        <w:ind w:left="567" w:right="567" w:firstLine="141"/>
        <w:jc w:val="both"/>
        <w:rPr>
          <w:rFonts w:ascii="Garamond" w:hAnsi="Garamond"/>
          <w:color w:val="000000"/>
          <w:sz w:val="26"/>
          <w:szCs w:val="26"/>
        </w:rPr>
      </w:pPr>
      <w:r>
        <w:rPr>
          <w:rFonts w:ascii="Garamond" w:hAnsi="Garamond" w:cs="Times New Roman"/>
          <w:color w:val="000000" w:themeColor="text1"/>
          <w:sz w:val="26"/>
          <w:szCs w:val="26"/>
        </w:rPr>
        <w:t>Vero è ch</w:t>
      </w:r>
      <w:r w:rsidR="00315238">
        <w:rPr>
          <w:rFonts w:ascii="Garamond" w:hAnsi="Garamond" w:cs="Times New Roman"/>
          <w:color w:val="000000" w:themeColor="text1"/>
          <w:sz w:val="26"/>
          <w:szCs w:val="26"/>
        </w:rPr>
        <w:t>e l’</w:t>
      </w:r>
      <w:r w:rsidR="003F3041">
        <w:rPr>
          <w:rFonts w:ascii="Garamond" w:hAnsi="Garamond" w:cs="Times New Roman"/>
          <w:color w:val="000000" w:themeColor="text1"/>
          <w:sz w:val="26"/>
          <w:szCs w:val="26"/>
        </w:rPr>
        <w:t>asserzione non rappresenta</w:t>
      </w:r>
      <w:r>
        <w:rPr>
          <w:rFonts w:ascii="Garamond" w:hAnsi="Garamond" w:cs="Times New Roman"/>
          <w:color w:val="000000" w:themeColor="text1"/>
          <w:sz w:val="26"/>
          <w:szCs w:val="26"/>
        </w:rPr>
        <w:t xml:space="preserve"> una novità nella giurisprudenza della Corte di Cassazione </w:t>
      </w:r>
      <w:r w:rsidRPr="00792253">
        <w:rPr>
          <w:rStyle w:val="Rimandonotaapidipagina"/>
          <w:rFonts w:ascii="Garamond" w:hAnsi="Garamond"/>
          <w:color w:val="000000"/>
          <w:sz w:val="26"/>
          <w:szCs w:val="26"/>
        </w:rPr>
        <w:footnoteReference w:id="56"/>
      </w:r>
      <w:r>
        <w:rPr>
          <w:rFonts w:ascii="Garamond" w:hAnsi="Garamond" w:cs="Times New Roman"/>
          <w:color w:val="000000" w:themeColor="text1"/>
          <w:sz w:val="26"/>
          <w:szCs w:val="26"/>
        </w:rPr>
        <w:t xml:space="preserve">, </w:t>
      </w:r>
      <w:r w:rsidR="0045073C">
        <w:rPr>
          <w:rFonts w:ascii="Garamond" w:hAnsi="Garamond" w:cs="Times New Roman"/>
          <w:color w:val="000000" w:themeColor="text1"/>
          <w:sz w:val="26"/>
          <w:szCs w:val="26"/>
        </w:rPr>
        <w:t>ma il fatto che ess</w:t>
      </w:r>
      <w:r w:rsidR="003F3041">
        <w:rPr>
          <w:rFonts w:ascii="Garamond" w:hAnsi="Garamond" w:cs="Times New Roman"/>
          <w:color w:val="000000" w:themeColor="text1"/>
          <w:sz w:val="26"/>
          <w:szCs w:val="26"/>
        </w:rPr>
        <w:t>a</w:t>
      </w:r>
      <w:r w:rsidR="0045073C">
        <w:rPr>
          <w:rFonts w:ascii="Garamond" w:hAnsi="Garamond" w:cs="Times New Roman"/>
          <w:color w:val="000000" w:themeColor="text1"/>
          <w:sz w:val="26"/>
          <w:szCs w:val="26"/>
        </w:rPr>
        <w:t xml:space="preserve"> abbia costituito la trama motivazionale per risolvere &lt;&lt; </w:t>
      </w:r>
      <w:r w:rsidR="00B24DAF">
        <w:rPr>
          <w:rFonts w:ascii="Garamond" w:hAnsi="Garamond"/>
          <w:i/>
          <w:color w:val="000000"/>
          <w:sz w:val="26"/>
          <w:szCs w:val="26"/>
        </w:rPr>
        <w:t>un tema</w:t>
      </w:r>
      <w:r w:rsidR="0045073C" w:rsidRPr="0045073C">
        <w:rPr>
          <w:rFonts w:ascii="Garamond" w:hAnsi="Garamond"/>
          <w:i/>
          <w:color w:val="000000"/>
          <w:sz w:val="26"/>
          <w:szCs w:val="26"/>
        </w:rPr>
        <w:t xml:space="preserve"> di fondamentale rilievo per gli interessi degli enti locali e degli in</w:t>
      </w:r>
      <w:r w:rsidR="0045073C">
        <w:rPr>
          <w:rFonts w:ascii="Garamond" w:hAnsi="Garamond"/>
          <w:i/>
          <w:color w:val="000000"/>
          <w:sz w:val="26"/>
          <w:szCs w:val="26"/>
        </w:rPr>
        <w:t xml:space="preserve">termediari bancari e finanziari &gt;&gt; </w:t>
      </w:r>
      <w:r w:rsidR="00B24DAF">
        <w:rPr>
          <w:rFonts w:ascii="Garamond" w:hAnsi="Garamond"/>
          <w:color w:val="000000"/>
          <w:sz w:val="26"/>
          <w:szCs w:val="26"/>
        </w:rPr>
        <w:t xml:space="preserve">(come aveva considerato la Sezioni rimettente) </w:t>
      </w:r>
      <w:r w:rsidR="0045073C">
        <w:rPr>
          <w:rFonts w:ascii="Garamond" w:hAnsi="Garamond"/>
          <w:color w:val="000000"/>
          <w:sz w:val="26"/>
          <w:szCs w:val="26"/>
        </w:rPr>
        <w:t xml:space="preserve">dimostra che oggi </w:t>
      </w:r>
      <w:r w:rsidR="00315238">
        <w:rPr>
          <w:rFonts w:ascii="Garamond" w:hAnsi="Garamond"/>
          <w:color w:val="000000"/>
          <w:sz w:val="26"/>
          <w:szCs w:val="26"/>
        </w:rPr>
        <w:t>deve considerarsi</w:t>
      </w:r>
      <w:r w:rsidR="00B24DAF">
        <w:rPr>
          <w:rFonts w:ascii="Garamond" w:hAnsi="Garamond"/>
          <w:color w:val="000000"/>
          <w:sz w:val="26"/>
          <w:szCs w:val="26"/>
        </w:rPr>
        <w:t xml:space="preserve"> </w:t>
      </w:r>
      <w:r w:rsidR="0045073C">
        <w:rPr>
          <w:rFonts w:ascii="Garamond" w:hAnsi="Garamond"/>
          <w:color w:val="000000"/>
          <w:sz w:val="26"/>
          <w:szCs w:val="26"/>
        </w:rPr>
        <w:t>un dato acquisito dell’ordinamento.</w:t>
      </w:r>
    </w:p>
    <w:p w:rsidR="0045073C" w:rsidRDefault="0045073C" w:rsidP="005A75D0">
      <w:pPr>
        <w:spacing w:line="360" w:lineRule="auto"/>
        <w:ind w:left="567" w:right="567" w:firstLine="141"/>
        <w:jc w:val="both"/>
        <w:rPr>
          <w:rFonts w:ascii="Garamond" w:hAnsi="Garamond"/>
          <w:color w:val="000000"/>
          <w:sz w:val="26"/>
          <w:szCs w:val="26"/>
        </w:rPr>
      </w:pPr>
      <w:r>
        <w:rPr>
          <w:rFonts w:ascii="Garamond" w:hAnsi="Garamond"/>
          <w:color w:val="000000"/>
          <w:sz w:val="26"/>
          <w:szCs w:val="26"/>
        </w:rPr>
        <w:t>Indicazion</w:t>
      </w:r>
      <w:r w:rsidR="003F3041">
        <w:rPr>
          <w:rFonts w:ascii="Garamond" w:hAnsi="Garamond"/>
          <w:color w:val="000000"/>
          <w:sz w:val="26"/>
          <w:szCs w:val="26"/>
        </w:rPr>
        <w:t>e</w:t>
      </w:r>
      <w:r>
        <w:rPr>
          <w:rFonts w:ascii="Garamond" w:hAnsi="Garamond"/>
          <w:color w:val="000000"/>
          <w:sz w:val="26"/>
          <w:szCs w:val="26"/>
        </w:rPr>
        <w:t xml:space="preserve"> che non </w:t>
      </w:r>
      <w:r w:rsidR="003F3041">
        <w:rPr>
          <w:rFonts w:ascii="Garamond" w:hAnsi="Garamond"/>
          <w:color w:val="000000"/>
          <w:sz w:val="26"/>
          <w:szCs w:val="26"/>
        </w:rPr>
        <w:t xml:space="preserve">può </w:t>
      </w:r>
      <w:r>
        <w:rPr>
          <w:rFonts w:ascii="Garamond" w:hAnsi="Garamond"/>
          <w:color w:val="000000"/>
          <w:sz w:val="26"/>
          <w:szCs w:val="26"/>
        </w:rPr>
        <w:t xml:space="preserve">che trovare un </w:t>
      </w:r>
      <w:r w:rsidR="003F3041">
        <w:rPr>
          <w:rFonts w:ascii="Garamond" w:hAnsi="Garamond"/>
          <w:color w:val="000000"/>
          <w:sz w:val="26"/>
          <w:szCs w:val="26"/>
        </w:rPr>
        <w:t xml:space="preserve">naturale </w:t>
      </w:r>
      <w:r>
        <w:rPr>
          <w:rFonts w:ascii="Garamond" w:hAnsi="Garamond"/>
          <w:color w:val="000000"/>
          <w:sz w:val="26"/>
          <w:szCs w:val="26"/>
        </w:rPr>
        <w:t>punto di convergenza con la giurisprudenza del Giudice amministrativo</w:t>
      </w:r>
      <w:r w:rsidR="00B24DAF">
        <w:rPr>
          <w:rFonts w:ascii="Garamond" w:hAnsi="Garamond"/>
          <w:color w:val="000000"/>
          <w:sz w:val="26"/>
          <w:szCs w:val="26"/>
        </w:rPr>
        <w:t xml:space="preserve"> (</w:t>
      </w:r>
      <w:r>
        <w:rPr>
          <w:rFonts w:ascii="Garamond" w:hAnsi="Garamond"/>
          <w:color w:val="000000"/>
          <w:sz w:val="26"/>
          <w:szCs w:val="26"/>
        </w:rPr>
        <w:t>che dell’interesse pubblico fa la sua ragione istitutiva</w:t>
      </w:r>
      <w:r w:rsidR="00B24DAF">
        <w:rPr>
          <w:rFonts w:ascii="Garamond" w:hAnsi="Garamond"/>
          <w:color w:val="000000"/>
          <w:sz w:val="26"/>
          <w:szCs w:val="26"/>
        </w:rPr>
        <w:t>)</w:t>
      </w:r>
      <w:r>
        <w:rPr>
          <w:rFonts w:ascii="Garamond" w:hAnsi="Garamond"/>
          <w:color w:val="000000"/>
          <w:sz w:val="26"/>
          <w:szCs w:val="26"/>
        </w:rPr>
        <w:t xml:space="preserve"> per il quale </w:t>
      </w:r>
      <w:r w:rsidR="00BC6CB3">
        <w:rPr>
          <w:rFonts w:ascii="Garamond" w:hAnsi="Garamond"/>
          <w:i/>
          <w:color w:val="000000"/>
          <w:sz w:val="26"/>
          <w:szCs w:val="26"/>
        </w:rPr>
        <w:t xml:space="preserve">&lt;&lt; il nesso di stretta strumentalità del negozio .. rispetto ai fini istituzionali dell’Ente &gt;&gt; </w:t>
      </w:r>
      <w:r w:rsidR="00BC6CB3">
        <w:rPr>
          <w:rFonts w:ascii="Garamond" w:hAnsi="Garamond"/>
          <w:color w:val="000000"/>
          <w:sz w:val="26"/>
          <w:szCs w:val="26"/>
        </w:rPr>
        <w:t xml:space="preserve">(nesso non di mera compatibilità, ma di stretta strumentalità) rappresenta </w:t>
      </w:r>
      <w:r w:rsidR="00BC6CB3">
        <w:rPr>
          <w:rFonts w:ascii="Garamond" w:hAnsi="Garamond"/>
          <w:i/>
          <w:color w:val="000000"/>
          <w:sz w:val="26"/>
          <w:szCs w:val="26"/>
        </w:rPr>
        <w:t>&lt;&lt; un principio .. immanente nel sistema &gt;&gt;</w:t>
      </w:r>
      <w:r w:rsidR="00BC6CB3">
        <w:rPr>
          <w:rFonts w:ascii="Garamond" w:hAnsi="Garamond"/>
          <w:color w:val="000000"/>
          <w:sz w:val="26"/>
          <w:szCs w:val="26"/>
        </w:rPr>
        <w:t xml:space="preserve"> </w:t>
      </w:r>
      <w:r w:rsidR="00BC6CB3" w:rsidRPr="00792253">
        <w:rPr>
          <w:rStyle w:val="Rimandonotaapidipagina"/>
          <w:rFonts w:ascii="Garamond" w:hAnsi="Garamond"/>
          <w:color w:val="000000"/>
          <w:sz w:val="26"/>
          <w:szCs w:val="26"/>
        </w:rPr>
        <w:footnoteReference w:id="57"/>
      </w:r>
      <w:r w:rsidR="00BC6CB3">
        <w:rPr>
          <w:rFonts w:ascii="Garamond" w:hAnsi="Garamond"/>
          <w:color w:val="000000"/>
          <w:sz w:val="26"/>
          <w:szCs w:val="26"/>
        </w:rPr>
        <w:t>.</w:t>
      </w:r>
    </w:p>
    <w:p w:rsidR="003F3041" w:rsidRPr="00130E5D" w:rsidRDefault="00B24DAF" w:rsidP="00B24DAF">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S</w:t>
      </w:r>
      <w:r w:rsidR="003F3041">
        <w:rPr>
          <w:rFonts w:ascii="Garamond" w:hAnsi="Garamond" w:cs="Times New Roman"/>
          <w:color w:val="000000" w:themeColor="text1"/>
          <w:sz w:val="26"/>
          <w:szCs w:val="26"/>
        </w:rPr>
        <w:t>empre più a</w:t>
      </w:r>
      <w:r>
        <w:rPr>
          <w:rFonts w:ascii="Garamond" w:hAnsi="Garamond" w:cs="Times New Roman"/>
          <w:color w:val="000000" w:themeColor="text1"/>
          <w:sz w:val="26"/>
          <w:szCs w:val="26"/>
        </w:rPr>
        <w:t xml:space="preserve">ttuale e densa di significati risulta, quindi, </w:t>
      </w:r>
      <w:r w:rsidR="003F3041">
        <w:rPr>
          <w:rFonts w:ascii="Garamond" w:hAnsi="Garamond" w:cs="Times New Roman"/>
          <w:color w:val="000000" w:themeColor="text1"/>
          <w:sz w:val="26"/>
          <w:szCs w:val="26"/>
        </w:rPr>
        <w:t>la norma posta in</w:t>
      </w:r>
      <w:r>
        <w:rPr>
          <w:rFonts w:ascii="Garamond" w:hAnsi="Garamond" w:cs="Times New Roman"/>
          <w:color w:val="000000" w:themeColor="text1"/>
          <w:sz w:val="26"/>
          <w:szCs w:val="26"/>
        </w:rPr>
        <w:t xml:space="preserve"> </w:t>
      </w:r>
      <w:r w:rsidR="003F3041">
        <w:rPr>
          <w:rFonts w:ascii="Garamond" w:hAnsi="Garamond" w:cs="Times New Roman"/>
          <w:color w:val="000000" w:themeColor="text1"/>
          <w:sz w:val="26"/>
          <w:szCs w:val="26"/>
        </w:rPr>
        <w:t>apertura dell’art. 1 della legge n. 241 del 1990 (</w:t>
      </w:r>
      <w:r w:rsidR="00A75EED" w:rsidRPr="003F3041">
        <w:rPr>
          <w:rFonts w:ascii="Garamond" w:hAnsi="Garamond" w:cs="Times New Roman"/>
          <w:i/>
          <w:color w:val="000000" w:themeColor="text1"/>
          <w:sz w:val="26"/>
          <w:szCs w:val="26"/>
        </w:rPr>
        <w:t>“L’attività amministrativa persegue i fini determinati dalla legge .. “</w:t>
      </w:r>
      <w:r w:rsidR="003F3041">
        <w:rPr>
          <w:rFonts w:ascii="Garamond" w:hAnsi="Garamond" w:cs="Times New Roman"/>
          <w:color w:val="000000" w:themeColor="text1"/>
          <w:sz w:val="26"/>
          <w:szCs w:val="26"/>
        </w:rPr>
        <w:t>), senza che la sua portata possa essere ridimensionata dall’addenda del comma 1-bis (“</w:t>
      </w:r>
      <w:r w:rsidR="003F3041" w:rsidRPr="00130E5D">
        <w:rPr>
          <w:rFonts w:ascii="Garamond" w:hAnsi="Garamond"/>
          <w:i/>
          <w:color w:val="000000"/>
          <w:sz w:val="26"/>
          <w:szCs w:val="26"/>
        </w:rPr>
        <w:t>La pubblica amministrazione, nell'adozione di atti di natura non autoritativa, agisce secondo le norme di diritto privato salvo che la legge disponga diversamente</w:t>
      </w:r>
      <w:r w:rsidR="003F3041">
        <w:rPr>
          <w:rFonts w:ascii="Garamond" w:hAnsi="Garamond"/>
          <w:i/>
          <w:color w:val="000000"/>
          <w:sz w:val="26"/>
          <w:szCs w:val="26"/>
        </w:rPr>
        <w:t>.”</w:t>
      </w:r>
      <w:r w:rsidR="003F3041">
        <w:rPr>
          <w:rFonts w:ascii="Garamond" w:hAnsi="Garamond"/>
          <w:color w:val="000000"/>
          <w:sz w:val="26"/>
          <w:szCs w:val="26"/>
        </w:rPr>
        <w:t>).</w:t>
      </w:r>
    </w:p>
    <w:p w:rsidR="00A75EED" w:rsidRDefault="00127D0A"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Per certi versi, ancora più </w:t>
      </w:r>
      <w:r w:rsidR="00700C45">
        <w:rPr>
          <w:rFonts w:ascii="Garamond" w:hAnsi="Garamond" w:cs="Times New Roman"/>
          <w:color w:val="000000" w:themeColor="text1"/>
          <w:sz w:val="26"/>
          <w:szCs w:val="26"/>
        </w:rPr>
        <w:t xml:space="preserve">significativa </w:t>
      </w:r>
      <w:r w:rsidR="00B24DAF">
        <w:rPr>
          <w:rFonts w:ascii="Garamond" w:hAnsi="Garamond" w:cs="Times New Roman"/>
          <w:color w:val="000000" w:themeColor="text1"/>
          <w:sz w:val="26"/>
          <w:szCs w:val="26"/>
        </w:rPr>
        <w:t>è</w:t>
      </w:r>
      <w:r w:rsidR="00315238">
        <w:rPr>
          <w:rFonts w:ascii="Garamond" w:hAnsi="Garamond" w:cs="Times New Roman"/>
          <w:color w:val="000000" w:themeColor="text1"/>
          <w:sz w:val="26"/>
          <w:szCs w:val="26"/>
        </w:rPr>
        <w:t>, poi</w:t>
      </w:r>
      <w:r w:rsidR="00F411EC">
        <w:rPr>
          <w:rFonts w:ascii="Garamond" w:hAnsi="Garamond" w:cs="Times New Roman"/>
          <w:color w:val="000000" w:themeColor="text1"/>
          <w:sz w:val="26"/>
          <w:szCs w:val="26"/>
        </w:rPr>
        <w:t>,</w:t>
      </w:r>
      <w:r w:rsidR="00B24DAF">
        <w:rPr>
          <w:rFonts w:ascii="Garamond" w:hAnsi="Garamond" w:cs="Times New Roman"/>
          <w:color w:val="000000" w:themeColor="text1"/>
          <w:sz w:val="26"/>
          <w:szCs w:val="26"/>
        </w:rPr>
        <w:t xml:space="preserve"> </w:t>
      </w:r>
      <w:r w:rsidR="00700C45">
        <w:rPr>
          <w:rFonts w:ascii="Garamond" w:hAnsi="Garamond" w:cs="Times New Roman"/>
          <w:color w:val="000000" w:themeColor="text1"/>
          <w:sz w:val="26"/>
          <w:szCs w:val="26"/>
        </w:rPr>
        <w:t xml:space="preserve">la valenza </w:t>
      </w:r>
      <w:r>
        <w:rPr>
          <w:rFonts w:ascii="Garamond" w:hAnsi="Garamond" w:cs="Times New Roman"/>
          <w:color w:val="000000" w:themeColor="text1"/>
          <w:sz w:val="26"/>
          <w:szCs w:val="26"/>
        </w:rPr>
        <w:t xml:space="preserve">che </w:t>
      </w:r>
      <w:r w:rsidR="00700C45">
        <w:rPr>
          <w:rFonts w:ascii="Garamond" w:hAnsi="Garamond" w:cs="Times New Roman"/>
          <w:color w:val="000000" w:themeColor="text1"/>
          <w:sz w:val="26"/>
          <w:szCs w:val="26"/>
        </w:rPr>
        <w:t xml:space="preserve">le Sezioni Unite </w:t>
      </w:r>
      <w:r>
        <w:rPr>
          <w:rFonts w:ascii="Garamond" w:hAnsi="Garamond" w:cs="Times New Roman"/>
          <w:color w:val="000000" w:themeColor="text1"/>
          <w:sz w:val="26"/>
          <w:szCs w:val="26"/>
        </w:rPr>
        <w:t xml:space="preserve">riconoscono </w:t>
      </w:r>
      <w:r w:rsidR="00700C45">
        <w:rPr>
          <w:rFonts w:ascii="Garamond" w:hAnsi="Garamond" w:cs="Times New Roman"/>
          <w:color w:val="000000" w:themeColor="text1"/>
          <w:sz w:val="26"/>
          <w:szCs w:val="26"/>
        </w:rPr>
        <w:t xml:space="preserve">al “vincolo di mezzi” cui è tenuta la Pubblica amministrazione nel suo operare, inteso come necessario rispetto delle regole di riparto delle competenze </w:t>
      </w:r>
      <w:r>
        <w:rPr>
          <w:rFonts w:ascii="Garamond" w:hAnsi="Garamond" w:cs="Times New Roman"/>
          <w:color w:val="000000" w:themeColor="text1"/>
          <w:sz w:val="26"/>
          <w:szCs w:val="26"/>
        </w:rPr>
        <w:t>istituzionali al</w:t>
      </w:r>
      <w:r w:rsidR="00315238">
        <w:rPr>
          <w:rFonts w:ascii="Garamond" w:hAnsi="Garamond" w:cs="Times New Roman"/>
          <w:color w:val="000000" w:themeColor="text1"/>
          <w:sz w:val="26"/>
          <w:szCs w:val="26"/>
        </w:rPr>
        <w:t xml:space="preserve"> suo </w:t>
      </w:r>
      <w:r>
        <w:rPr>
          <w:rFonts w:ascii="Garamond" w:hAnsi="Garamond" w:cs="Times New Roman"/>
          <w:color w:val="000000" w:themeColor="text1"/>
          <w:sz w:val="26"/>
          <w:szCs w:val="26"/>
        </w:rPr>
        <w:t xml:space="preserve">interno </w:t>
      </w:r>
      <w:r w:rsidR="00700C45">
        <w:rPr>
          <w:rFonts w:ascii="Garamond" w:hAnsi="Garamond" w:cs="Times New Roman"/>
          <w:color w:val="000000" w:themeColor="text1"/>
          <w:sz w:val="26"/>
          <w:szCs w:val="26"/>
        </w:rPr>
        <w:t>e di quelle procedimentali.</w:t>
      </w:r>
    </w:p>
    <w:p w:rsidR="00700C45" w:rsidRDefault="00127D0A" w:rsidP="00127D0A">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Se, invero, la considerazione di detto vincolo è t</w:t>
      </w:r>
      <w:r w:rsidR="00700C45">
        <w:rPr>
          <w:rFonts w:ascii="Garamond" w:hAnsi="Garamond" w:cs="Times New Roman"/>
          <w:color w:val="000000" w:themeColor="text1"/>
          <w:sz w:val="26"/>
          <w:szCs w:val="26"/>
        </w:rPr>
        <w:t xml:space="preserve">erreno naturale del Giudice amministrativo, </w:t>
      </w:r>
      <w:r>
        <w:rPr>
          <w:rFonts w:ascii="Garamond" w:hAnsi="Garamond" w:cs="Times New Roman"/>
          <w:color w:val="000000" w:themeColor="text1"/>
          <w:sz w:val="26"/>
          <w:szCs w:val="26"/>
        </w:rPr>
        <w:t xml:space="preserve">è di rilievo il fatto che anche la Corte di Cassazione </w:t>
      </w:r>
      <w:r w:rsidR="00700C45">
        <w:rPr>
          <w:rFonts w:ascii="Garamond" w:hAnsi="Garamond" w:cs="Times New Roman"/>
          <w:color w:val="000000" w:themeColor="text1"/>
          <w:sz w:val="26"/>
          <w:szCs w:val="26"/>
        </w:rPr>
        <w:t>ne co</w:t>
      </w:r>
      <w:r>
        <w:rPr>
          <w:rFonts w:ascii="Garamond" w:hAnsi="Garamond" w:cs="Times New Roman"/>
          <w:color w:val="000000" w:themeColor="text1"/>
          <w:sz w:val="26"/>
          <w:szCs w:val="26"/>
        </w:rPr>
        <w:t xml:space="preserve">lga </w:t>
      </w:r>
      <w:r w:rsidR="00700C45">
        <w:rPr>
          <w:rFonts w:ascii="Garamond" w:hAnsi="Garamond" w:cs="Times New Roman"/>
          <w:color w:val="000000" w:themeColor="text1"/>
          <w:sz w:val="26"/>
          <w:szCs w:val="26"/>
        </w:rPr>
        <w:t xml:space="preserve">la </w:t>
      </w:r>
      <w:r>
        <w:rPr>
          <w:rFonts w:ascii="Garamond" w:hAnsi="Garamond" w:cs="Times New Roman"/>
          <w:color w:val="000000" w:themeColor="text1"/>
          <w:sz w:val="26"/>
          <w:szCs w:val="26"/>
        </w:rPr>
        <w:t xml:space="preserve">fondamentale </w:t>
      </w:r>
      <w:r w:rsidR="00700C45">
        <w:rPr>
          <w:rFonts w:ascii="Garamond" w:hAnsi="Garamond" w:cs="Times New Roman"/>
          <w:color w:val="000000" w:themeColor="text1"/>
          <w:sz w:val="26"/>
          <w:szCs w:val="26"/>
        </w:rPr>
        <w:t>funzione di garanzia non soltanto (come per tradizione) per i soggetti incisi dall’azione amministrativa, ma per la s</w:t>
      </w:r>
      <w:r>
        <w:rPr>
          <w:rFonts w:ascii="Garamond" w:hAnsi="Garamond" w:cs="Times New Roman"/>
          <w:color w:val="000000" w:themeColor="text1"/>
          <w:sz w:val="26"/>
          <w:szCs w:val="26"/>
        </w:rPr>
        <w:t xml:space="preserve">tessa Pubblica amministrazione </w:t>
      </w:r>
      <w:r w:rsidR="00700C45">
        <w:rPr>
          <w:rFonts w:ascii="Garamond" w:hAnsi="Garamond" w:cs="Times New Roman"/>
          <w:color w:val="000000" w:themeColor="text1"/>
          <w:sz w:val="26"/>
          <w:szCs w:val="26"/>
        </w:rPr>
        <w:t>e quindi per la col</w:t>
      </w:r>
      <w:r>
        <w:rPr>
          <w:rFonts w:ascii="Garamond" w:hAnsi="Garamond" w:cs="Times New Roman"/>
          <w:color w:val="000000" w:themeColor="text1"/>
          <w:sz w:val="26"/>
          <w:szCs w:val="26"/>
        </w:rPr>
        <w:t>lettività da essa rappresentata</w:t>
      </w:r>
      <w:r w:rsidR="00700C45">
        <w:rPr>
          <w:rFonts w:ascii="Garamond" w:hAnsi="Garamond" w:cs="Times New Roman"/>
          <w:color w:val="000000" w:themeColor="text1"/>
          <w:sz w:val="26"/>
          <w:szCs w:val="26"/>
        </w:rPr>
        <w:t>.</w:t>
      </w:r>
    </w:p>
    <w:p w:rsidR="00700C45" w:rsidRDefault="00700C45"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 xml:space="preserve">  Ecco, allora, che, per un verso le Sezioni Unite non hanno difficoltà ad accogliere una nozione sostanziale (e non mera</w:t>
      </w:r>
      <w:r w:rsidR="00F411EC">
        <w:rPr>
          <w:rFonts w:ascii="Garamond" w:hAnsi="Garamond" w:cs="Times New Roman"/>
          <w:color w:val="000000" w:themeColor="text1"/>
          <w:sz w:val="26"/>
          <w:szCs w:val="26"/>
        </w:rPr>
        <w:t>mente formale) della “competenza”</w:t>
      </w:r>
      <w:r>
        <w:rPr>
          <w:rFonts w:ascii="Garamond" w:hAnsi="Garamond" w:cs="Times New Roman"/>
          <w:color w:val="000000" w:themeColor="text1"/>
          <w:sz w:val="26"/>
          <w:szCs w:val="26"/>
        </w:rPr>
        <w:t xml:space="preserve"> degli organi deputati ad adottare gli atti propedeutici alla stipula dei contratti</w:t>
      </w:r>
      <w:r w:rsidR="00127D0A">
        <w:rPr>
          <w:rFonts w:ascii="Garamond" w:hAnsi="Garamond" w:cs="Times New Roman"/>
          <w:color w:val="000000" w:themeColor="text1"/>
          <w:sz w:val="26"/>
          <w:szCs w:val="26"/>
        </w:rPr>
        <w:t xml:space="preserve"> “derivati”</w:t>
      </w:r>
      <w:r>
        <w:rPr>
          <w:rFonts w:ascii="Garamond" w:hAnsi="Garamond" w:cs="Times New Roman"/>
          <w:color w:val="000000" w:themeColor="text1"/>
          <w:sz w:val="26"/>
          <w:szCs w:val="26"/>
        </w:rPr>
        <w:t xml:space="preserve">, </w:t>
      </w:r>
      <w:r w:rsidR="00127D0A">
        <w:rPr>
          <w:rFonts w:ascii="Garamond" w:hAnsi="Garamond" w:cs="Times New Roman"/>
          <w:color w:val="000000" w:themeColor="text1"/>
          <w:sz w:val="26"/>
          <w:szCs w:val="26"/>
        </w:rPr>
        <w:t xml:space="preserve">riconoscendo </w:t>
      </w:r>
      <w:r w:rsidR="00F411EC">
        <w:rPr>
          <w:rFonts w:ascii="Garamond" w:hAnsi="Garamond" w:cs="Times New Roman"/>
          <w:color w:val="000000" w:themeColor="text1"/>
          <w:sz w:val="26"/>
          <w:szCs w:val="26"/>
        </w:rPr>
        <w:t xml:space="preserve">la </w:t>
      </w:r>
      <w:r>
        <w:rPr>
          <w:rFonts w:ascii="Garamond" w:hAnsi="Garamond" w:cs="Times New Roman"/>
          <w:color w:val="000000" w:themeColor="text1"/>
          <w:sz w:val="26"/>
          <w:szCs w:val="26"/>
        </w:rPr>
        <w:t xml:space="preserve">peculiare valenza </w:t>
      </w:r>
      <w:r w:rsidR="00F411EC">
        <w:rPr>
          <w:rFonts w:ascii="Garamond" w:hAnsi="Garamond" w:cs="Times New Roman"/>
          <w:color w:val="000000" w:themeColor="text1"/>
          <w:sz w:val="26"/>
          <w:szCs w:val="26"/>
        </w:rPr>
        <w:t xml:space="preserve">di tali atti </w:t>
      </w:r>
      <w:r>
        <w:rPr>
          <w:rFonts w:ascii="Garamond" w:hAnsi="Garamond" w:cs="Times New Roman"/>
          <w:color w:val="000000" w:themeColor="text1"/>
          <w:sz w:val="26"/>
          <w:szCs w:val="26"/>
        </w:rPr>
        <w:t xml:space="preserve">nella sequenza procedimentale che conduce ad assumere decisioni fortemente incidenti sul bilancio degli Enti; </w:t>
      </w:r>
      <w:r w:rsidR="00603512">
        <w:rPr>
          <w:rFonts w:ascii="Garamond" w:hAnsi="Garamond" w:cs="Times New Roman"/>
          <w:color w:val="000000" w:themeColor="text1"/>
          <w:sz w:val="26"/>
          <w:szCs w:val="26"/>
        </w:rPr>
        <w:t xml:space="preserve">e, </w:t>
      </w:r>
      <w:r>
        <w:rPr>
          <w:rFonts w:ascii="Garamond" w:hAnsi="Garamond" w:cs="Times New Roman"/>
          <w:color w:val="000000" w:themeColor="text1"/>
          <w:sz w:val="26"/>
          <w:szCs w:val="26"/>
        </w:rPr>
        <w:t xml:space="preserve">per </w:t>
      </w:r>
      <w:r w:rsidR="00603512">
        <w:rPr>
          <w:rFonts w:ascii="Garamond" w:hAnsi="Garamond" w:cs="Times New Roman"/>
          <w:color w:val="000000" w:themeColor="text1"/>
          <w:sz w:val="26"/>
          <w:szCs w:val="26"/>
        </w:rPr>
        <w:t xml:space="preserve">altro verso, </w:t>
      </w:r>
      <w:r w:rsidR="00127D0A">
        <w:rPr>
          <w:rFonts w:ascii="Garamond" w:hAnsi="Garamond" w:cs="Times New Roman"/>
          <w:color w:val="000000" w:themeColor="text1"/>
          <w:sz w:val="26"/>
          <w:szCs w:val="26"/>
        </w:rPr>
        <w:t xml:space="preserve">esse </w:t>
      </w:r>
      <w:r w:rsidR="00603512">
        <w:rPr>
          <w:rFonts w:ascii="Garamond" w:hAnsi="Garamond" w:cs="Times New Roman"/>
          <w:color w:val="000000" w:themeColor="text1"/>
          <w:sz w:val="26"/>
          <w:szCs w:val="26"/>
        </w:rPr>
        <w:t>non esitano a riconoscere l’immediata incidenza d</w:t>
      </w:r>
      <w:r w:rsidR="00127D0A">
        <w:rPr>
          <w:rFonts w:ascii="Garamond" w:hAnsi="Garamond" w:cs="Times New Roman"/>
          <w:color w:val="000000" w:themeColor="text1"/>
          <w:sz w:val="26"/>
          <w:szCs w:val="26"/>
        </w:rPr>
        <w:t>e</w:t>
      </w:r>
      <w:r w:rsidR="00603512">
        <w:rPr>
          <w:rFonts w:ascii="Garamond" w:hAnsi="Garamond" w:cs="Times New Roman"/>
          <w:color w:val="000000" w:themeColor="text1"/>
          <w:sz w:val="26"/>
          <w:szCs w:val="26"/>
        </w:rPr>
        <w:t>i vizi procedimentali sul p</w:t>
      </w:r>
      <w:r w:rsidR="00127D0A">
        <w:rPr>
          <w:rFonts w:ascii="Garamond" w:hAnsi="Garamond" w:cs="Times New Roman"/>
          <w:color w:val="000000" w:themeColor="text1"/>
          <w:sz w:val="26"/>
          <w:szCs w:val="26"/>
        </w:rPr>
        <w:t>iano della patologia negoziale, nella sua forma più radicale della nullità del contratto</w:t>
      </w:r>
      <w:r w:rsidR="00603512">
        <w:rPr>
          <w:rFonts w:ascii="Garamond" w:hAnsi="Garamond" w:cs="Times New Roman"/>
          <w:color w:val="000000" w:themeColor="text1"/>
          <w:sz w:val="26"/>
          <w:szCs w:val="26"/>
        </w:rPr>
        <w:t>.</w:t>
      </w:r>
    </w:p>
    <w:p w:rsidR="001B2EB7" w:rsidRDefault="00F411EC" w:rsidP="005A75D0">
      <w:pPr>
        <w:spacing w:line="360" w:lineRule="auto"/>
        <w:ind w:left="567" w:right="567" w:firstLine="141"/>
        <w:jc w:val="both"/>
        <w:rPr>
          <w:rFonts w:ascii="Garamond" w:hAnsi="Garamond" w:cs="Times New Roman"/>
          <w:color w:val="000000" w:themeColor="text1"/>
          <w:sz w:val="26"/>
          <w:szCs w:val="26"/>
        </w:rPr>
      </w:pPr>
      <w:r>
        <w:rPr>
          <w:rFonts w:ascii="Garamond" w:hAnsi="Garamond" w:cs="Times New Roman"/>
          <w:color w:val="000000" w:themeColor="text1"/>
          <w:sz w:val="26"/>
          <w:szCs w:val="26"/>
        </w:rPr>
        <w:t>Anche quando agisce secondo i moduli del diritto privato la Pubblica amministrazione è soggetta al principio di legalità ed è quindi inevi</w:t>
      </w:r>
      <w:r w:rsidR="00315238">
        <w:rPr>
          <w:rFonts w:ascii="Garamond" w:hAnsi="Garamond" w:cs="Times New Roman"/>
          <w:color w:val="000000" w:themeColor="text1"/>
          <w:sz w:val="26"/>
          <w:szCs w:val="26"/>
        </w:rPr>
        <w:t>tabile che il “diritto privato”</w:t>
      </w:r>
      <w:r>
        <w:rPr>
          <w:rFonts w:ascii="Garamond" w:hAnsi="Garamond" w:cs="Times New Roman"/>
          <w:color w:val="000000" w:themeColor="text1"/>
          <w:sz w:val="26"/>
          <w:szCs w:val="26"/>
        </w:rPr>
        <w:t xml:space="preserve"> applicat</w:t>
      </w:r>
      <w:r w:rsidR="00315238">
        <w:rPr>
          <w:rFonts w:ascii="Garamond" w:hAnsi="Garamond" w:cs="Times New Roman"/>
          <w:color w:val="000000" w:themeColor="text1"/>
          <w:sz w:val="26"/>
          <w:szCs w:val="26"/>
        </w:rPr>
        <w:t>o alle Pubblica amministrazione</w:t>
      </w:r>
      <w:r>
        <w:rPr>
          <w:rFonts w:ascii="Garamond" w:hAnsi="Garamond" w:cs="Times New Roman"/>
          <w:color w:val="000000" w:themeColor="text1"/>
          <w:sz w:val="26"/>
          <w:szCs w:val="26"/>
        </w:rPr>
        <w:t xml:space="preserve"> diventi (anche) “diritto amministrativo”.</w:t>
      </w:r>
    </w:p>
    <w:p w:rsidR="005A75D0" w:rsidRDefault="007B2AEB" w:rsidP="005A75D0">
      <w:pPr>
        <w:spacing w:line="360" w:lineRule="auto"/>
        <w:ind w:left="567" w:right="567"/>
        <w:jc w:val="both"/>
        <w:rPr>
          <w:rFonts w:ascii="Garamond" w:eastAsia="Times New Roman" w:hAnsi="Garamond" w:cs="Times New Roman"/>
          <w:color w:val="000000" w:themeColor="text1"/>
          <w:sz w:val="26"/>
          <w:szCs w:val="26"/>
        </w:rPr>
      </w:pP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sidR="005A75D0" w:rsidRPr="00B97122">
        <w:rPr>
          <w:rFonts w:ascii="Garamond" w:eastAsia="Times New Roman" w:hAnsi="Garamond" w:cs="Times New Roman"/>
          <w:color w:val="000000" w:themeColor="text1"/>
          <w:sz w:val="26"/>
          <w:szCs w:val="26"/>
        </w:rPr>
        <w:t>Andrea Berti</w:t>
      </w:r>
    </w:p>
    <w:p w:rsidR="007B2AEB" w:rsidRPr="00B97122" w:rsidRDefault="007B2AEB" w:rsidP="005A75D0">
      <w:pPr>
        <w:spacing w:line="360" w:lineRule="auto"/>
        <w:ind w:left="567" w:right="567"/>
        <w:jc w:val="both"/>
        <w:rPr>
          <w:rFonts w:ascii="Garamond" w:eastAsia="Times New Roman" w:hAnsi="Garamond" w:cs="Times New Roman"/>
          <w:color w:val="000000" w:themeColor="text1"/>
          <w:sz w:val="26"/>
          <w:szCs w:val="26"/>
        </w:rPr>
      </w:pP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r>
      <w:r>
        <w:rPr>
          <w:rFonts w:ascii="Garamond" w:eastAsia="Times New Roman" w:hAnsi="Garamond" w:cs="Times New Roman"/>
          <w:color w:val="000000" w:themeColor="text1"/>
          <w:sz w:val="26"/>
          <w:szCs w:val="26"/>
        </w:rPr>
        <w:tab/>
        <w:t xml:space="preserve">   Avvocato</w:t>
      </w:r>
    </w:p>
    <w:p w:rsidR="000217C9" w:rsidRDefault="000217C9" w:rsidP="000217C9">
      <w:pPr>
        <w:spacing w:line="360" w:lineRule="auto"/>
        <w:ind w:left="567" w:right="567"/>
        <w:jc w:val="both"/>
        <w:rPr>
          <w:rFonts w:ascii="Garamond" w:hAnsi="Garamond" w:cs="Times New Roman"/>
          <w:b/>
          <w:color w:val="000000" w:themeColor="text1"/>
          <w:sz w:val="26"/>
          <w:szCs w:val="26"/>
        </w:rPr>
      </w:pPr>
    </w:p>
    <w:p w:rsidR="00A00C9E" w:rsidRPr="00A00C9E" w:rsidRDefault="00A00C9E" w:rsidP="00A00C9E">
      <w:pPr>
        <w:spacing w:line="360" w:lineRule="auto"/>
        <w:ind w:left="567" w:right="567"/>
        <w:jc w:val="right"/>
        <w:rPr>
          <w:rFonts w:ascii="Garamond" w:hAnsi="Garamond" w:cs="Times New Roman"/>
          <w:color w:val="000000" w:themeColor="text1"/>
          <w:sz w:val="26"/>
          <w:szCs w:val="26"/>
        </w:rPr>
      </w:pPr>
      <w:r w:rsidRPr="00A00C9E">
        <w:rPr>
          <w:rFonts w:ascii="Garamond" w:hAnsi="Garamond" w:cs="Times New Roman"/>
          <w:color w:val="000000" w:themeColor="text1"/>
          <w:sz w:val="26"/>
          <w:szCs w:val="26"/>
        </w:rPr>
        <w:t>Pubblicato il 22 maggio 2020</w:t>
      </w:r>
    </w:p>
    <w:sectPr w:rsidR="00A00C9E" w:rsidRPr="00A00C9E" w:rsidSect="00180DD3">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372" w:rsidRDefault="006B7372" w:rsidP="003210CC">
      <w:r>
        <w:separator/>
      </w:r>
    </w:p>
  </w:endnote>
  <w:endnote w:type="continuationSeparator" w:id="0">
    <w:p w:rsidR="006B7372" w:rsidRDefault="006B7372" w:rsidP="0032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mbria">
    <w:panose1 w:val="02040503050406030204"/>
    <w:charset w:val="00"/>
    <w:family w:val="roman"/>
    <w:pitch w:val="variable"/>
    <w:sig w:usb0="E00002FF" w:usb1="400004FF" w:usb2="00000000" w:usb3="00000000" w:csb0="0000019F" w:csb1="00000000"/>
  </w:font>
  <w:font w:name="Times Nordic">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776000"/>
      <w:docPartObj>
        <w:docPartGallery w:val="Page Numbers (Bottom of Page)"/>
        <w:docPartUnique/>
      </w:docPartObj>
    </w:sdtPr>
    <w:sdtEndPr/>
    <w:sdtContent>
      <w:p w:rsidR="003536D7" w:rsidRDefault="005D5323">
        <w:pPr>
          <w:pStyle w:val="Pidipagina"/>
          <w:jc w:val="center"/>
        </w:pPr>
        <w:r>
          <w:rPr>
            <w:noProof/>
          </w:rPr>
          <w:fldChar w:fldCharType="begin"/>
        </w:r>
        <w:r>
          <w:rPr>
            <w:noProof/>
          </w:rPr>
          <w:instrText xml:space="preserve"> PAGE   \* MERGEFORMAT </w:instrText>
        </w:r>
        <w:r>
          <w:rPr>
            <w:noProof/>
          </w:rPr>
          <w:fldChar w:fldCharType="separate"/>
        </w:r>
        <w:r>
          <w:rPr>
            <w:noProof/>
          </w:rPr>
          <w:t>4</w:t>
        </w:r>
        <w:r>
          <w:rPr>
            <w:noProof/>
          </w:rPr>
          <w:fldChar w:fldCharType="end"/>
        </w:r>
      </w:p>
    </w:sdtContent>
  </w:sdt>
  <w:p w:rsidR="003536D7" w:rsidRDefault="003536D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372" w:rsidRDefault="006B7372" w:rsidP="003210CC">
      <w:r>
        <w:separator/>
      </w:r>
    </w:p>
  </w:footnote>
  <w:footnote w:type="continuationSeparator" w:id="0">
    <w:p w:rsidR="006B7372" w:rsidRDefault="006B7372" w:rsidP="003210CC">
      <w:r>
        <w:continuationSeparator/>
      </w:r>
    </w:p>
  </w:footnote>
  <w:footnote w:id="1">
    <w:p w:rsidR="003536D7" w:rsidRPr="0089042B" w:rsidRDefault="003536D7" w:rsidP="00E01B29">
      <w:pPr>
        <w:pStyle w:val="Testonotaapidipagina"/>
        <w:ind w:left="567" w:right="567"/>
        <w:jc w:val="both"/>
        <w:rPr>
          <w:rFonts w:ascii="Garamond" w:hAnsi="Garamond"/>
          <w:sz w:val="22"/>
          <w:szCs w:val="22"/>
        </w:rPr>
      </w:pPr>
      <w:r w:rsidRPr="005A75D0">
        <w:rPr>
          <w:rStyle w:val="Rimandonotaapidipagina"/>
          <w:rFonts w:ascii="Garamond" w:hAnsi="Garamond"/>
          <w:sz w:val="22"/>
          <w:szCs w:val="22"/>
        </w:rPr>
        <w:footnoteRef/>
      </w:r>
      <w:r w:rsidRPr="005A75D0">
        <w:rPr>
          <w:rFonts w:ascii="Garamond" w:hAnsi="Garamond"/>
          <w:sz w:val="22"/>
          <w:szCs w:val="22"/>
        </w:rPr>
        <w:t xml:space="preserve"> </w:t>
      </w:r>
      <w:r>
        <w:rPr>
          <w:rFonts w:ascii="Garamond" w:hAnsi="Garamond"/>
          <w:sz w:val="22"/>
          <w:szCs w:val="22"/>
        </w:rPr>
        <w:t xml:space="preserve">La sentenza della Corte di Appello di Bologna n. 734 del 11 marzo 2014 (Pres. Colonna; Est. Guernelli) è pubblicata integralmente su www.IlCaso.it. Per un suo commento, ci permettiamo di rinviare a Berti A., </w:t>
      </w:r>
      <w:r w:rsidRPr="008E37EC">
        <w:rPr>
          <w:rFonts w:ascii="Garamond" w:hAnsi="Garamond"/>
          <w:i/>
          <w:sz w:val="22"/>
          <w:szCs w:val="22"/>
        </w:rPr>
        <w:t>Considerazioni sulla qualificazione negoziale e sui requisiti di validità e di efficacia dei contratti “derivati” stipulati dagli enti locali</w:t>
      </w:r>
      <w:r w:rsidRPr="0089042B">
        <w:rPr>
          <w:rFonts w:ascii="Garamond" w:hAnsi="Garamond"/>
          <w:sz w:val="22"/>
          <w:szCs w:val="22"/>
        </w:rPr>
        <w:t xml:space="preserve"> (Nota alla sentenza della Corte di Appello di Bologna n. 734 del 11 marzo 2014), www.IlCaso.it, 12 aprile 2014. </w:t>
      </w:r>
    </w:p>
  </w:footnote>
  <w:footnote w:id="2">
    <w:p w:rsidR="003536D7" w:rsidRPr="005A75D0" w:rsidRDefault="003536D7" w:rsidP="0089042B">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sidRPr="0089042B">
        <w:rPr>
          <w:rFonts w:ascii="Garamond" w:hAnsi="Garamond"/>
          <w:sz w:val="22"/>
          <w:szCs w:val="22"/>
        </w:rPr>
        <w:t xml:space="preserve"> P</w:t>
      </w:r>
      <w:r>
        <w:rPr>
          <w:rFonts w:ascii="Garamond" w:hAnsi="Garamond"/>
          <w:sz w:val="22"/>
          <w:szCs w:val="22"/>
        </w:rPr>
        <w:t xml:space="preserve">recisamente, i due contratti per “operazioni su strumenti finanziari derivati” </w:t>
      </w:r>
      <w:r w:rsidRPr="0089042B">
        <w:rPr>
          <w:rFonts w:ascii="Garamond" w:hAnsi="Garamond"/>
          <w:sz w:val="22"/>
          <w:szCs w:val="22"/>
        </w:rPr>
        <w:t xml:space="preserve">erano stati stipulati </w:t>
      </w:r>
      <w:r>
        <w:rPr>
          <w:rFonts w:ascii="Garamond" w:hAnsi="Garamond"/>
          <w:sz w:val="22"/>
          <w:szCs w:val="22"/>
        </w:rPr>
        <w:t xml:space="preserve">dal Comune in questione (Comune di Cattolica) </w:t>
      </w:r>
      <w:r w:rsidRPr="0089042B">
        <w:rPr>
          <w:rFonts w:ascii="Garamond" w:hAnsi="Garamond"/>
          <w:sz w:val="22"/>
          <w:szCs w:val="22"/>
        </w:rPr>
        <w:t>in data 15.05.2003 e</w:t>
      </w:r>
      <w:r>
        <w:rPr>
          <w:rFonts w:ascii="Garamond" w:hAnsi="Garamond"/>
          <w:sz w:val="22"/>
          <w:szCs w:val="22"/>
        </w:rPr>
        <w:t>d in data</w:t>
      </w:r>
      <w:r w:rsidRPr="0089042B">
        <w:rPr>
          <w:rFonts w:ascii="Garamond" w:hAnsi="Garamond"/>
          <w:sz w:val="22"/>
          <w:szCs w:val="22"/>
        </w:rPr>
        <w:t xml:space="preserve"> 01.12.2003, </w:t>
      </w:r>
      <w:r>
        <w:rPr>
          <w:rFonts w:ascii="Garamond" w:hAnsi="Garamond"/>
          <w:sz w:val="22"/>
          <w:szCs w:val="22"/>
        </w:rPr>
        <w:t>ovvero in un momento in cui era vigente l’</w:t>
      </w:r>
      <w:r>
        <w:rPr>
          <w:rFonts w:ascii="Garamond" w:eastAsia="Arial" w:hAnsi="Garamond" w:cs="Arial"/>
          <w:sz w:val="22"/>
          <w:szCs w:val="22"/>
        </w:rPr>
        <w:t xml:space="preserve">'art. 41 della legge 28 dicembre </w:t>
      </w:r>
      <w:r w:rsidRPr="0089042B">
        <w:rPr>
          <w:rFonts w:ascii="Garamond" w:eastAsia="Arial" w:hAnsi="Garamond" w:cs="Arial"/>
          <w:sz w:val="22"/>
          <w:szCs w:val="22"/>
        </w:rPr>
        <w:t>2001, n. 448 (Legge Finanziaria 2002)</w:t>
      </w:r>
      <w:r>
        <w:rPr>
          <w:rFonts w:ascii="Garamond" w:eastAsia="Arial" w:hAnsi="Garamond" w:cs="Arial"/>
          <w:sz w:val="22"/>
          <w:szCs w:val="22"/>
        </w:rPr>
        <w:t xml:space="preserve">, ma non era ancora entrato in vigore il d.m. </w:t>
      </w:r>
      <w:r w:rsidRPr="0089042B">
        <w:rPr>
          <w:rFonts w:ascii="Garamond" w:eastAsia="Arial" w:hAnsi="Garamond" w:cs="Arial"/>
          <w:sz w:val="22"/>
          <w:szCs w:val="22"/>
        </w:rPr>
        <w:t>1</w:t>
      </w:r>
      <w:r>
        <w:rPr>
          <w:rFonts w:ascii="Garamond" w:eastAsia="Arial" w:hAnsi="Garamond" w:cs="Arial"/>
          <w:sz w:val="22"/>
          <w:szCs w:val="22"/>
        </w:rPr>
        <w:t xml:space="preserve"> dicembre 2003, n. 389 e tutta la successiva normativa.</w:t>
      </w:r>
    </w:p>
  </w:footnote>
  <w:footnote w:id="3">
    <w:p w:rsidR="003536D7" w:rsidRPr="005A75D0" w:rsidRDefault="003536D7" w:rsidP="001B2EB7">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sidRPr="0089042B">
        <w:rPr>
          <w:rFonts w:ascii="Garamond" w:hAnsi="Garamond"/>
          <w:sz w:val="22"/>
          <w:szCs w:val="22"/>
        </w:rPr>
        <w:t xml:space="preserve"> </w:t>
      </w:r>
      <w:r>
        <w:rPr>
          <w:rFonts w:ascii="Garamond" w:hAnsi="Garamond"/>
          <w:sz w:val="22"/>
          <w:szCs w:val="22"/>
        </w:rPr>
        <w:t xml:space="preserve">Dall’ultimo </w:t>
      </w:r>
      <w:r w:rsidRPr="007E7016">
        <w:rPr>
          <w:rFonts w:ascii="Garamond" w:hAnsi="Garamond"/>
          <w:i/>
          <w:sz w:val="22"/>
          <w:szCs w:val="22"/>
        </w:rPr>
        <w:t>report</w:t>
      </w:r>
      <w:r>
        <w:rPr>
          <w:rFonts w:ascii="Garamond" w:hAnsi="Garamond"/>
          <w:sz w:val="22"/>
          <w:szCs w:val="22"/>
        </w:rPr>
        <w:t xml:space="preserve"> semestrale della Banca d’Italia, pubblicato il 28 febbraio 2020 e riportante dati aggiornati a dicembre 2019, risulta che sono ancora 98 le Amministrazioni che hanno in corso contratti derivati aventi un valore di mercato negativo, con ciò intendendo il potenziale esborso che gli Enti dovrebbero subire se i contratti venissero chiusi. Il valore nozionale dei “derivati” in essere è di 5.539 miliardi di Euro ed il valore di mercato negativo complessivo per gli Enti è pari ad 1 miliardo e 48 milioni di euro. Se si pensa che nel 2007 le Amministrazioni coinvolte erano 669, per un nozionale di 31,5 miliardi di Euro, il </w:t>
      </w:r>
      <w:r w:rsidRPr="007E7016">
        <w:rPr>
          <w:rFonts w:ascii="Garamond" w:hAnsi="Garamond"/>
          <w:i/>
          <w:sz w:val="22"/>
          <w:szCs w:val="22"/>
        </w:rPr>
        <w:t>trend</w:t>
      </w:r>
      <w:r>
        <w:rPr>
          <w:rFonts w:ascii="Garamond" w:hAnsi="Garamond"/>
          <w:sz w:val="22"/>
          <w:szCs w:val="22"/>
        </w:rPr>
        <w:t xml:space="preserve"> appare in miglioramento, ma il complessivo valore di mercato negativo resta sostanzialmente equivalente agli anni passati, a causa dei bassi tassi di interesse. </w:t>
      </w:r>
    </w:p>
  </w:footnote>
  <w:footnote w:id="4">
    <w:p w:rsidR="003536D7" w:rsidRPr="005A75D0" w:rsidRDefault="003536D7" w:rsidP="00767395">
      <w:pPr>
        <w:pStyle w:val="NormaleWeb"/>
        <w:spacing w:before="0" w:beforeAutospacing="0" w:after="0" w:afterAutospacing="0"/>
        <w:ind w:left="567" w:right="567"/>
        <w:jc w:val="both"/>
        <w:rPr>
          <w:rFonts w:ascii="Garamond" w:hAnsi="Garamond"/>
          <w:sz w:val="22"/>
          <w:szCs w:val="22"/>
        </w:rPr>
      </w:pPr>
      <w:r w:rsidRPr="00767395">
        <w:rPr>
          <w:rStyle w:val="Rimandonotaapidipagina"/>
          <w:rFonts w:ascii="Garamond" w:hAnsi="Garamond"/>
          <w:sz w:val="22"/>
          <w:szCs w:val="22"/>
        </w:rPr>
        <w:footnoteRef/>
      </w:r>
      <w:r w:rsidRPr="00767395">
        <w:rPr>
          <w:rFonts w:ascii="Garamond" w:hAnsi="Garamond"/>
          <w:sz w:val="22"/>
          <w:szCs w:val="22"/>
        </w:rPr>
        <w:t xml:space="preserve"> La causa è giunta alle Sezioni Unite della Corte di Cassazione a seguito della </w:t>
      </w:r>
      <w:r>
        <w:rPr>
          <w:rFonts w:ascii="Garamond" w:hAnsi="Garamond"/>
          <w:sz w:val="22"/>
          <w:szCs w:val="22"/>
        </w:rPr>
        <w:t xml:space="preserve">sua </w:t>
      </w:r>
      <w:r w:rsidRPr="00767395">
        <w:rPr>
          <w:rFonts w:ascii="Garamond" w:hAnsi="Garamond"/>
          <w:sz w:val="22"/>
          <w:szCs w:val="22"/>
        </w:rPr>
        <w:t xml:space="preserve">rimessione </w:t>
      </w:r>
      <w:r>
        <w:rPr>
          <w:rFonts w:ascii="Garamond" w:hAnsi="Garamond"/>
          <w:sz w:val="22"/>
          <w:szCs w:val="22"/>
        </w:rPr>
        <w:t xml:space="preserve">da parte </w:t>
      </w:r>
      <w:r w:rsidRPr="00767395">
        <w:rPr>
          <w:rFonts w:ascii="Garamond" w:hAnsi="Garamond"/>
          <w:sz w:val="22"/>
          <w:szCs w:val="22"/>
        </w:rPr>
        <w:t>della sezione</w:t>
      </w:r>
      <w:r>
        <w:rPr>
          <w:rFonts w:ascii="Garamond" w:hAnsi="Garamond"/>
          <w:sz w:val="22"/>
          <w:szCs w:val="22"/>
        </w:rPr>
        <w:t xml:space="preserve"> I</w:t>
      </w:r>
      <w:r w:rsidRPr="00767395">
        <w:rPr>
          <w:rFonts w:ascii="Garamond" w:hAnsi="Garamond"/>
          <w:sz w:val="22"/>
          <w:szCs w:val="22"/>
        </w:rPr>
        <w:t xml:space="preserve">, </w:t>
      </w:r>
      <w:r>
        <w:rPr>
          <w:rFonts w:ascii="Garamond" w:hAnsi="Garamond"/>
          <w:sz w:val="22"/>
          <w:szCs w:val="22"/>
        </w:rPr>
        <w:t xml:space="preserve">disposta </w:t>
      </w:r>
      <w:r w:rsidRPr="00767395">
        <w:rPr>
          <w:rFonts w:ascii="Garamond" w:hAnsi="Garamond"/>
          <w:sz w:val="22"/>
          <w:szCs w:val="22"/>
        </w:rPr>
        <w:t>con ordinanza 10 gennaio 2019, n. 493</w:t>
      </w:r>
      <w:r>
        <w:rPr>
          <w:rFonts w:ascii="Garamond" w:hAnsi="Garamond"/>
          <w:sz w:val="22"/>
          <w:szCs w:val="22"/>
        </w:rPr>
        <w:t xml:space="preserve"> sulla base della </w:t>
      </w:r>
      <w:r w:rsidRPr="00767395">
        <w:rPr>
          <w:rFonts w:ascii="Garamond" w:hAnsi="Garamond"/>
          <w:sz w:val="22"/>
          <w:szCs w:val="22"/>
        </w:rPr>
        <w:t xml:space="preserve">seguente motivazione: </w:t>
      </w:r>
      <w:r w:rsidRPr="00767395">
        <w:rPr>
          <w:rFonts w:ascii="Garamond" w:hAnsi="Garamond"/>
          <w:i/>
          <w:sz w:val="22"/>
          <w:szCs w:val="22"/>
        </w:rPr>
        <w:t xml:space="preserve">&lt;&lt; </w:t>
      </w:r>
      <w:r w:rsidRPr="00767395">
        <w:rPr>
          <w:rFonts w:ascii="Garamond" w:hAnsi="Garamond"/>
          <w:i/>
          <w:color w:val="000000"/>
          <w:sz w:val="22"/>
          <w:szCs w:val="22"/>
        </w:rPr>
        <w:t xml:space="preserve">12. - Reputa il Collegio che le indicate questioni possano assurgere a questioni di massima di particolare importanza, a mente </w:t>
      </w:r>
      <w:r>
        <w:rPr>
          <w:rFonts w:ascii="Garamond" w:hAnsi="Garamond"/>
          <w:i/>
          <w:color w:val="000000"/>
          <w:sz w:val="22"/>
          <w:szCs w:val="22"/>
        </w:rPr>
        <w:t>dell’art. 374 c.p.c.</w:t>
      </w:r>
      <w:r w:rsidRPr="00767395">
        <w:rPr>
          <w:rFonts w:ascii="Garamond" w:hAnsi="Garamond"/>
          <w:i/>
          <w:color w:val="000000"/>
          <w:sz w:val="22"/>
          <w:szCs w:val="22"/>
        </w:rPr>
        <w:t>, comma 2: oltre a rivestire grande rilievo, sul piano pratico, per le concrete ricadute che le soluzioni da adottare potranno avere nel quadro del contenzioso tra gli intermediari e gli enti locali in tema di derivati (contenzioso vertente, spesso, su flussi monetari di notevole consistenza), esse ineriscono a temi su cui la Corte dei conti, nelle diverse articolazioni, amministrativa e giurisdizionale, e il Consiglio di Stato hanno fornito responsi contrastanti. Il rilievo delle questioni giuridiche da trattare discende, quindi, dal quadro di grave incertezza che è consegnato dai diversi organi che se ne sono occupati in sede di amministrazione di controllo, di accertamento giurisdizionale della responsabilità contabile e di vaglio giudiziario della legittimità dell'esercizio del potere di autotutela dell'ente locale. Il Collegio, pur essendo ovviamente consapevole che nella controversia portata al suo esame rilevano posizioni di diritto soggettivo, non implicate negli accertamenti compiuti dalla Corte dei conti e dal Consiglio di Stato, crede vada valorizzata l'esigenza di evitare, per il futuro, che le pronunce assunte dalla prima sezione della Corte di legittimità marchino oscillazioni su di un tema, di fondamentale rilievo per gli interessi degli enti locali e degli intermediari bancari e finanziari, che è già segnato dai richiamati dissensi.</w:t>
      </w:r>
      <w:r>
        <w:rPr>
          <w:rFonts w:ascii="Garamond" w:hAnsi="Garamond"/>
          <w:i/>
          <w:color w:val="000000"/>
          <w:sz w:val="22"/>
          <w:szCs w:val="22"/>
        </w:rPr>
        <w:t xml:space="preserve"> &gt;&gt;</w:t>
      </w:r>
      <w:r>
        <w:rPr>
          <w:rFonts w:ascii="Garamond" w:hAnsi="Garamond"/>
          <w:color w:val="000000"/>
          <w:sz w:val="22"/>
          <w:szCs w:val="22"/>
        </w:rPr>
        <w:t>.</w:t>
      </w:r>
    </w:p>
  </w:footnote>
  <w:footnote w:id="5">
    <w:p w:rsidR="003536D7" w:rsidRPr="002A0C5F" w:rsidRDefault="003536D7" w:rsidP="002A0C5F">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Il decreto legislativo 24 febbraio 1998, n. 58 (Testo unico delle disposizioni in materia di </w:t>
      </w:r>
      <w:r w:rsidRPr="002A0C5F">
        <w:rPr>
          <w:rFonts w:ascii="Garamond" w:hAnsi="Garamond"/>
          <w:sz w:val="22"/>
          <w:szCs w:val="22"/>
        </w:rPr>
        <w:t>intermediazione finanziaria) li assegna</w:t>
      </w:r>
      <w:r>
        <w:rPr>
          <w:rFonts w:ascii="Garamond" w:hAnsi="Garamond"/>
          <w:sz w:val="22"/>
          <w:szCs w:val="22"/>
        </w:rPr>
        <w:t>va</w:t>
      </w:r>
      <w:r w:rsidRPr="002A0C5F">
        <w:rPr>
          <w:rFonts w:ascii="Garamond" w:hAnsi="Garamond"/>
          <w:sz w:val="22"/>
          <w:szCs w:val="22"/>
        </w:rPr>
        <w:t xml:space="preserve"> al </w:t>
      </w:r>
      <w:r w:rsidRPr="002A0C5F">
        <w:rPr>
          <w:rFonts w:ascii="Garamond" w:hAnsi="Garamond"/>
          <w:i/>
          <w:sz w:val="22"/>
          <w:szCs w:val="22"/>
        </w:rPr>
        <w:t xml:space="preserve">genus </w:t>
      </w:r>
      <w:r w:rsidRPr="002A0C5F">
        <w:rPr>
          <w:rFonts w:ascii="Garamond" w:hAnsi="Garamond"/>
          <w:sz w:val="22"/>
          <w:szCs w:val="22"/>
        </w:rPr>
        <w:t xml:space="preserve">degli </w:t>
      </w:r>
      <w:r w:rsidRPr="002A0C5F">
        <w:rPr>
          <w:rFonts w:ascii="Garamond" w:hAnsi="Garamond"/>
          <w:i/>
          <w:sz w:val="22"/>
          <w:szCs w:val="22"/>
        </w:rPr>
        <w:t>“strumenti finanziari”</w:t>
      </w:r>
      <w:r w:rsidRPr="002A0C5F">
        <w:rPr>
          <w:rFonts w:ascii="Garamond" w:hAnsi="Garamond"/>
          <w:sz w:val="22"/>
          <w:szCs w:val="22"/>
        </w:rPr>
        <w:t xml:space="preserve"> secondo la </w:t>
      </w:r>
      <w:r w:rsidRPr="002A0C5F">
        <w:rPr>
          <w:rFonts w:ascii="Garamond" w:eastAsia="Arial" w:hAnsi="Garamond" w:cs="Arial"/>
          <w:color w:val="000000"/>
          <w:sz w:val="22"/>
          <w:szCs w:val="22"/>
        </w:rPr>
        <w:t xml:space="preserve">definizione </w:t>
      </w:r>
      <w:r>
        <w:rPr>
          <w:rFonts w:ascii="Garamond" w:eastAsia="Arial" w:hAnsi="Garamond" w:cs="Arial"/>
          <w:color w:val="000000"/>
          <w:sz w:val="22"/>
          <w:szCs w:val="22"/>
        </w:rPr>
        <w:t xml:space="preserve">di cui all'art. 1, comma 2, lett. </w:t>
      </w:r>
      <w:r w:rsidRPr="002A0C5F">
        <w:rPr>
          <w:rFonts w:ascii="Garamond" w:eastAsia="Arial" w:hAnsi="Garamond" w:cs="Arial"/>
          <w:color w:val="000000"/>
          <w:sz w:val="22"/>
          <w:szCs w:val="22"/>
        </w:rPr>
        <w:t>d</w:t>
      </w:r>
      <w:r>
        <w:rPr>
          <w:rFonts w:ascii="Garamond" w:eastAsia="Arial" w:hAnsi="Garamond" w:cs="Arial"/>
          <w:color w:val="000000"/>
          <w:sz w:val="22"/>
          <w:szCs w:val="22"/>
        </w:rPr>
        <w:t>)</w:t>
      </w:r>
      <w:r w:rsidRPr="002A0C5F">
        <w:rPr>
          <w:rFonts w:ascii="Garamond" w:eastAsia="Arial" w:hAnsi="Garamond" w:cs="Arial"/>
          <w:color w:val="000000"/>
          <w:sz w:val="22"/>
          <w:szCs w:val="22"/>
        </w:rPr>
        <w:t xml:space="preserve"> in particolare a quello degli "</w:t>
      </w:r>
      <w:r w:rsidRPr="002A0C5F">
        <w:rPr>
          <w:rFonts w:ascii="Garamond" w:eastAsia="Arial" w:hAnsi="Garamond" w:cs="Arial"/>
          <w:i/>
          <w:iCs/>
          <w:color w:val="000000"/>
          <w:sz w:val="22"/>
          <w:szCs w:val="22"/>
        </w:rPr>
        <w:t xml:space="preserve">strumenti finanziari derivati" </w:t>
      </w:r>
      <w:r>
        <w:rPr>
          <w:rFonts w:ascii="Garamond" w:eastAsia="Arial" w:hAnsi="Garamond" w:cs="Arial"/>
          <w:color w:val="000000"/>
          <w:sz w:val="22"/>
          <w:szCs w:val="22"/>
        </w:rPr>
        <w:t>(art. 1, comma 3), definizioni abrogate dal decreto legislativo 3 agosto 2017, n. 129. Oggi, l’Allegato I, sezione C) elenca le varie tipologie di “derivati” tra gli “strumenti finanziari” e l’art. 1, comma 2-bis (come da ultimo modificato con d.lgs. n. 129 del 2017) demanda al Ministero dell’Economia e delle Finanze l’individuazione di nuovi contratti derivati. Salvo, poi, disciplinar</w:t>
      </w:r>
      <w:r w:rsidRPr="002A0C5F">
        <w:rPr>
          <w:rFonts w:ascii="Garamond" w:eastAsia="Arial" w:hAnsi="Garamond" w:cs="Arial"/>
          <w:color w:val="000000"/>
          <w:sz w:val="22"/>
          <w:szCs w:val="22"/>
        </w:rPr>
        <w:t>ne (ancorchè in modo frammentario e disorganico) alcuni aspetti (vedi ad esempio artt. 23 e 30).</w:t>
      </w:r>
      <w:r>
        <w:rPr>
          <w:rFonts w:ascii="Garamond" w:eastAsia="Arial" w:hAnsi="Garamond" w:cs="Arial"/>
          <w:color w:val="000000"/>
          <w:sz w:val="22"/>
          <w:szCs w:val="22"/>
        </w:rPr>
        <w:t xml:space="preserve"> </w:t>
      </w:r>
    </w:p>
  </w:footnote>
  <w:footnote w:id="6">
    <w:p w:rsidR="003536D7" w:rsidRPr="002A0C5F" w:rsidRDefault="003536D7" w:rsidP="00DD01EF">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Ricordano le Sezioni Unite che il derivato OTC è </w:t>
      </w:r>
      <w:r w:rsidRPr="00DD01EF">
        <w:rPr>
          <w:rFonts w:ascii="Garamond" w:hAnsi="Garamond"/>
          <w:i/>
          <w:sz w:val="22"/>
          <w:szCs w:val="22"/>
        </w:rPr>
        <w:t>&lt;&lt; un contratto</w:t>
      </w:r>
      <w:r>
        <w:rPr>
          <w:rFonts w:ascii="Garamond" w:hAnsi="Garamond"/>
          <w:i/>
          <w:sz w:val="22"/>
          <w:szCs w:val="22"/>
        </w:rPr>
        <w:t>: a) in cui gli aspetti fondamentali sono dati dalle parti e il contenuto non è eteroregolamentato come, invece, accade per gli altri derivati, cd. standardizzati o uniformi, essendo elaborato in funzione delle specifiche esigenze del cliente (per questo detto bespoke); b) perciò non standardizzato e, quindi, non destinato alla circolazione; c) consistente in uno strumento finanziario rispetto al quale l’intermediario è tendenzialmente controparte del proprio cliente. &gt;&gt;</w:t>
      </w:r>
      <w:r>
        <w:rPr>
          <w:rFonts w:ascii="Garamond" w:hAnsi="Garamond"/>
          <w:sz w:val="22"/>
          <w:szCs w:val="22"/>
        </w:rPr>
        <w:t xml:space="preserve"> (punto 4.3. della sentenza).</w:t>
      </w:r>
    </w:p>
  </w:footnote>
  <w:footnote w:id="7">
    <w:p w:rsidR="003536D7" w:rsidRPr="002A0C5F" w:rsidRDefault="003536D7" w:rsidP="0016674A">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A tale riguardo, le Sezioni Unite respingono l’idea che gli OTC possano risolversi in una mera “scommessa”, ravvisandone piuttosto la causa concreta nella “negoziazione e nella monetizzazione di un rischio”, che ne fanno una “scommessa razionale”. In particolare, gli </w:t>
      </w:r>
      <w:r w:rsidRPr="00A96F44">
        <w:rPr>
          <w:rFonts w:ascii="Garamond" w:hAnsi="Garamond"/>
          <w:i/>
          <w:sz w:val="22"/>
          <w:szCs w:val="22"/>
        </w:rPr>
        <w:t>swap</w:t>
      </w:r>
      <w:r>
        <w:rPr>
          <w:rFonts w:ascii="Garamond" w:hAnsi="Garamond"/>
          <w:sz w:val="22"/>
          <w:szCs w:val="22"/>
        </w:rPr>
        <w:t xml:space="preserve"> costituiscono </w:t>
      </w:r>
      <w:r>
        <w:rPr>
          <w:rFonts w:ascii="Garamond" w:hAnsi="Garamond"/>
          <w:i/>
          <w:sz w:val="22"/>
          <w:szCs w:val="22"/>
        </w:rPr>
        <w:t>&lt;&lt; negozi a causa variabile, perché suscettibili di rispondere ora ad una finalità assicurativa ora di copertura di rischi sottostanti; così che la funzione che l’affare persegue va individuata esaminando il caso concreto e che, perciò, in mancanza di una adeguata caratterizzazione causale, detto affare sarà connotato da una irresolutezza di fondo che renderà nullo il relativo contratto perché non caratterizzato da un profilo causale chiaro e definito (o definibile). &gt;&gt;</w:t>
      </w:r>
      <w:r>
        <w:rPr>
          <w:rFonts w:ascii="Garamond" w:hAnsi="Garamond"/>
          <w:sz w:val="22"/>
          <w:szCs w:val="22"/>
        </w:rPr>
        <w:t xml:space="preserve"> (punti 5 e 6 della sentenza).</w:t>
      </w:r>
    </w:p>
  </w:footnote>
  <w:footnote w:id="8">
    <w:p w:rsidR="003536D7" w:rsidRPr="002A0C5F" w:rsidRDefault="003536D7" w:rsidP="00474E74">
      <w:pPr>
        <w:pStyle w:val="Testonotaapidipagina"/>
        <w:ind w:left="567" w:right="567"/>
        <w:jc w:val="both"/>
        <w:rPr>
          <w:rFonts w:ascii="Garamond" w:hAnsi="Garamond"/>
          <w:sz w:val="22"/>
          <w:szCs w:val="22"/>
        </w:rPr>
      </w:pPr>
      <w:r w:rsidRPr="00474E74">
        <w:rPr>
          <w:rStyle w:val="Rimandonotaapidipagina"/>
          <w:rFonts w:ascii="Garamond" w:hAnsi="Garamond"/>
          <w:sz w:val="22"/>
          <w:szCs w:val="22"/>
        </w:rPr>
        <w:footnoteRef/>
      </w:r>
      <w:r w:rsidRPr="00474E74">
        <w:rPr>
          <w:rFonts w:ascii="Garamond" w:hAnsi="Garamond"/>
          <w:sz w:val="22"/>
          <w:szCs w:val="22"/>
        </w:rPr>
        <w:t xml:space="preserve"> Art. 2 d.m. 5 luglio 1996, n. 420 (Prestiti in valuta estera – Copertura rischio di cambio</w:t>
      </w:r>
      <w:r>
        <w:rPr>
          <w:rFonts w:ascii="Garamond" w:hAnsi="Garamond"/>
          <w:sz w:val="22"/>
          <w:szCs w:val="22"/>
        </w:rPr>
        <w:t xml:space="preserve">) </w:t>
      </w:r>
      <w:r w:rsidRPr="00474E74">
        <w:rPr>
          <w:rFonts w:ascii="Garamond" w:hAnsi="Garamond"/>
          <w:sz w:val="22"/>
          <w:szCs w:val="22"/>
        </w:rPr>
        <w:t xml:space="preserve">: </w:t>
      </w:r>
      <w:r w:rsidRPr="00474E74">
        <w:rPr>
          <w:rFonts w:ascii="Garamond" w:hAnsi="Garamond"/>
          <w:i/>
          <w:sz w:val="22"/>
          <w:szCs w:val="22"/>
        </w:rPr>
        <w:t>“</w:t>
      </w:r>
      <w:r w:rsidRPr="00474E74">
        <w:rPr>
          <w:rFonts w:ascii="Garamond" w:hAnsi="Garamond"/>
          <w:i/>
          <w:color w:val="000000"/>
          <w:sz w:val="22"/>
          <w:szCs w:val="22"/>
        </w:rPr>
        <w:t>1. Per la copertura del rischio di cambio tutti i prestiti in valuta estera devono essere accompagnati, al momento dell'emissione, da una corrispondente operazione di swap. L'operazione di swap dovrà trasformare, per l'emittente, l'obbligazione in valuta in un'obbligazione in lire, senza introdurre elementi di rischio. Il costo di tale operazione, insieme con tutti gli oneri sopportati dall'ente emittente in relazione all'emissione del prestito, ivi compresa la commissione di cui al successivo art. 12, concorre alla determinazione del costo effettivo di cui all'</w:t>
      </w:r>
      <w:r w:rsidRPr="00474E74">
        <w:rPr>
          <w:rFonts w:ascii="Garamond" w:hAnsi="Garamond"/>
          <w:i/>
          <w:iCs/>
          <w:color w:val="000000"/>
          <w:sz w:val="22"/>
          <w:szCs w:val="22"/>
        </w:rPr>
        <w:t>art. 5 del</w:t>
      </w:r>
      <w:r>
        <w:rPr>
          <w:rFonts w:ascii="Garamond" w:hAnsi="Garamond"/>
          <w:i/>
          <w:iCs/>
          <w:color w:val="000000"/>
          <w:sz w:val="22"/>
          <w:szCs w:val="22"/>
        </w:rPr>
        <w:t xml:space="preserve"> decreto-legge n. 287 del 1996. </w:t>
      </w:r>
      <w:r w:rsidRPr="00474E74">
        <w:rPr>
          <w:rFonts w:ascii="Garamond" w:hAnsi="Garamond"/>
          <w:i/>
          <w:color w:val="000000"/>
          <w:sz w:val="22"/>
          <w:szCs w:val="22"/>
        </w:rPr>
        <w:t>2. L'operazione di swap dovrà essere effettuata da intermediari di provata affidabilità ed esperienza nel settore, con riferimento anche alla valutazione assegnata agli intermediari medesimi dalle maggiori agenzie di rating.</w:t>
      </w:r>
      <w:r>
        <w:rPr>
          <w:rFonts w:ascii="Garamond" w:hAnsi="Garamond"/>
          <w:i/>
          <w:color w:val="000000"/>
          <w:sz w:val="22"/>
          <w:szCs w:val="22"/>
        </w:rPr>
        <w:t>”</w:t>
      </w:r>
      <w:r>
        <w:rPr>
          <w:rFonts w:ascii="Garamond" w:hAnsi="Garamond"/>
          <w:color w:val="000000"/>
          <w:sz w:val="22"/>
          <w:szCs w:val="22"/>
        </w:rPr>
        <w:t>.</w:t>
      </w:r>
    </w:p>
  </w:footnote>
  <w:footnote w:id="9">
    <w:p w:rsidR="003536D7" w:rsidRPr="002A0C5F" w:rsidRDefault="003536D7" w:rsidP="008369E9">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Sul punto si tornerà </w:t>
      </w:r>
      <w:r>
        <w:rPr>
          <w:rFonts w:ascii="Garamond" w:hAnsi="Garamond"/>
          <w:i/>
          <w:sz w:val="22"/>
          <w:szCs w:val="22"/>
        </w:rPr>
        <w:t>infra</w:t>
      </w:r>
      <w:r>
        <w:rPr>
          <w:rFonts w:ascii="Garamond" w:hAnsi="Garamond"/>
          <w:sz w:val="22"/>
          <w:szCs w:val="22"/>
        </w:rPr>
        <w:t xml:space="preserve"> alla luce degli importanti rilievi delle Sezioni Unite.</w:t>
      </w:r>
    </w:p>
  </w:footnote>
  <w:footnote w:id="10">
    <w:p w:rsidR="003536D7" w:rsidRPr="009619F3" w:rsidRDefault="003536D7" w:rsidP="000B4725">
      <w:pPr>
        <w:pStyle w:val="Testonotaapidipagina"/>
        <w:ind w:left="567" w:right="567"/>
        <w:jc w:val="both"/>
        <w:rPr>
          <w:rFonts w:ascii="Garamond" w:hAnsi="Garamond"/>
          <w:sz w:val="22"/>
          <w:szCs w:val="22"/>
        </w:rPr>
      </w:pPr>
      <w:r w:rsidRPr="009619F3">
        <w:rPr>
          <w:rStyle w:val="Rimandonotaapidipagina"/>
          <w:rFonts w:ascii="Garamond" w:hAnsi="Garamond"/>
          <w:sz w:val="22"/>
          <w:szCs w:val="22"/>
        </w:rPr>
        <w:footnoteRef/>
      </w:r>
      <w:r w:rsidRPr="009619F3">
        <w:rPr>
          <w:rFonts w:ascii="Garamond" w:hAnsi="Garamond"/>
          <w:color w:val="000000"/>
          <w:sz w:val="22"/>
          <w:szCs w:val="22"/>
        </w:rPr>
        <w:t xml:space="preserve"> L’art. 41 della legge n. 448 del 2001 ha previsto al comma 1 che con decreto ministeriale </w:t>
      </w:r>
      <w:r w:rsidRPr="009619F3">
        <w:rPr>
          <w:rFonts w:ascii="Garamond" w:hAnsi="Garamond"/>
          <w:i/>
          <w:color w:val="000000"/>
          <w:sz w:val="22"/>
          <w:szCs w:val="22"/>
        </w:rPr>
        <w:t>“sono approvate le norme relative all'ammortamento del debito e all'utilizzo degli strumenti derivati da parte dei succitati enti.”</w:t>
      </w:r>
      <w:r w:rsidRPr="009619F3">
        <w:rPr>
          <w:rFonts w:ascii="Garamond" w:hAnsi="Garamond"/>
          <w:color w:val="000000"/>
          <w:sz w:val="22"/>
          <w:szCs w:val="22"/>
        </w:rPr>
        <w:t xml:space="preserve">, stabilendo al comma 2 che </w:t>
      </w:r>
      <w:r>
        <w:rPr>
          <w:rFonts w:ascii="Garamond" w:hAnsi="Garamond"/>
          <w:i/>
          <w:color w:val="000000"/>
          <w:sz w:val="22"/>
          <w:szCs w:val="22"/>
        </w:rPr>
        <w:t>“Gli enti di cui al comma 1 possono emettere titoli obbligazionari e contrarre mutui con rimborso del capitale in una unica scadenza, previa costituzione, al momento dell’emissione o dell’accessione, di un fondo di ammortamento del debito, o previa conclusione di swap per l’ammortamento del debito.”.</w:t>
      </w:r>
      <w:r>
        <w:rPr>
          <w:rFonts w:ascii="Garamond" w:hAnsi="Garamond"/>
          <w:color w:val="000000"/>
          <w:sz w:val="22"/>
          <w:szCs w:val="22"/>
        </w:rPr>
        <w:t xml:space="preserve"> Al riguardo le Sezioni Unite, con la sentenza n. 8770 del 2020 hanno rilevato quanto segue: </w:t>
      </w:r>
      <w:r>
        <w:rPr>
          <w:rFonts w:ascii="Garamond" w:hAnsi="Garamond"/>
          <w:i/>
          <w:color w:val="000000"/>
          <w:sz w:val="22"/>
          <w:szCs w:val="22"/>
        </w:rPr>
        <w:t>&lt;&lt; 7.1.4. Risulta evidente come il legislatore del 2001 abbia cercato di impedire il moral hazard di emettere debito, imponendo un fondo di ammortamento o un amortizing swap, cioè uno swap che costringesse l’ente pubblico ad effettuare pagamenti alla controparte dello swap in una misura per cd. equivalente ad un ipotetico piano di ammortamento del debito contratto dall’ente medesimo [lo swap appena descritto ha finalità certamente non speculative (ammortamento del debito) e, comunque, richiede, contestualmente, la convenienza economica dell’operazione]. Si è fatto notare come il legislatore abbia in fatto prescritto all’ente pubblico di guadagnare senza rischiare, il tutto all’interno del mercato dell’intermediazione finanziaria dove, connaturata all’operazione, è l’alea di rischio. &gt;&gt;</w:t>
      </w:r>
      <w:r>
        <w:rPr>
          <w:rFonts w:ascii="Garamond" w:hAnsi="Garamond"/>
          <w:color w:val="000000"/>
          <w:sz w:val="22"/>
          <w:szCs w:val="22"/>
        </w:rPr>
        <w:t xml:space="preserve"> (punto 7.1.4.).</w:t>
      </w:r>
    </w:p>
  </w:footnote>
  <w:footnote w:id="11">
    <w:p w:rsidR="003536D7" w:rsidRPr="00D9680F" w:rsidRDefault="003536D7" w:rsidP="00D9680F">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Osservano, al riguardo, le Sezioni unite: </w:t>
      </w:r>
      <w:r>
        <w:rPr>
          <w:rFonts w:ascii="Garamond" w:hAnsi="Garamond"/>
          <w:i/>
          <w:sz w:val="22"/>
          <w:szCs w:val="22"/>
        </w:rPr>
        <w:t>&lt;&lt; Assume rilievo, perciò, la questione del conflitto di interessi fra intermediario e cliente, poiché nei derivati OTC, a differenza che in quelli uniformi, tale conflitto è naturale, discendendo dall’assommarsi nel medesimo soggetto delle qualità di offerente e consulente. .. &gt;&gt;</w:t>
      </w:r>
      <w:r>
        <w:rPr>
          <w:rFonts w:ascii="Garamond" w:hAnsi="Garamond"/>
          <w:sz w:val="22"/>
          <w:szCs w:val="22"/>
        </w:rPr>
        <w:t xml:space="preserve"> (punto 6.6.1 sentenza).</w:t>
      </w:r>
    </w:p>
  </w:footnote>
  <w:footnote w:id="12">
    <w:p w:rsidR="003536D7" w:rsidRDefault="003536D7" w:rsidP="00AE260B">
      <w:pPr>
        <w:pStyle w:val="Testonotaapidipagina"/>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In disparte, non essendo questo il tema oggetto del presente scritto, si rileva che le tutele previste dal TUIF a protezione del cliente risultavano, in quella fase, applicabili agli Enti pubblici soltanto dimostrando che </w:t>
      </w:r>
      <w:r w:rsidRPr="003920C9">
        <w:rPr>
          <w:rFonts w:ascii="Garamond" w:hAnsi="Garamond"/>
          <w:sz w:val="22"/>
          <w:szCs w:val="22"/>
        </w:rPr>
        <w:t xml:space="preserve">il soggetto stipulante </w:t>
      </w:r>
      <w:r>
        <w:rPr>
          <w:rFonts w:ascii="Garamond" w:hAnsi="Garamond"/>
          <w:sz w:val="22"/>
          <w:szCs w:val="22"/>
        </w:rPr>
        <w:t>non era “operatore qualificato”, atteso che l</w:t>
      </w:r>
      <w:r w:rsidRPr="003920C9">
        <w:rPr>
          <w:rFonts w:ascii="Garamond" w:hAnsi="Garamond"/>
          <w:sz w:val="22"/>
          <w:szCs w:val="22"/>
        </w:rPr>
        <w:t xml:space="preserve">'art. 31, comma 1, del Regolamento Consob </w:t>
      </w:r>
      <w:r w:rsidRPr="003920C9">
        <w:rPr>
          <w:rFonts w:ascii="Garamond" w:eastAsia="Arial" w:hAnsi="Garamond" w:cs="Arial"/>
          <w:color w:val="000000"/>
          <w:sz w:val="22"/>
          <w:szCs w:val="22"/>
        </w:rPr>
        <w:t xml:space="preserve">1 luglio 1998, n. 11522 (nel testo allora vigente), </w:t>
      </w:r>
      <w:r>
        <w:rPr>
          <w:rFonts w:ascii="Garamond" w:eastAsia="Arial" w:hAnsi="Garamond" w:cs="Arial"/>
          <w:color w:val="000000"/>
          <w:sz w:val="22"/>
          <w:szCs w:val="22"/>
        </w:rPr>
        <w:t xml:space="preserve">emanato </w:t>
      </w:r>
      <w:r w:rsidRPr="003920C9">
        <w:rPr>
          <w:rFonts w:ascii="Garamond" w:hAnsi="Garamond"/>
          <w:sz w:val="22"/>
          <w:szCs w:val="22"/>
        </w:rPr>
        <w:t>in attuazio</w:t>
      </w:r>
      <w:r>
        <w:rPr>
          <w:rFonts w:ascii="Garamond" w:hAnsi="Garamond"/>
          <w:sz w:val="22"/>
          <w:szCs w:val="22"/>
        </w:rPr>
        <w:t xml:space="preserve">ne dell'art. 6, comma 2, del d.lgs. n. 58 del </w:t>
      </w:r>
      <w:r w:rsidRPr="003920C9">
        <w:rPr>
          <w:rFonts w:ascii="Garamond" w:hAnsi="Garamond"/>
          <w:sz w:val="22"/>
          <w:szCs w:val="22"/>
        </w:rPr>
        <w:t>1998</w:t>
      </w:r>
      <w:r>
        <w:rPr>
          <w:rFonts w:ascii="Garamond" w:hAnsi="Garamond"/>
          <w:sz w:val="22"/>
          <w:szCs w:val="22"/>
        </w:rPr>
        <w:t xml:space="preserve">, </w:t>
      </w:r>
      <w:r w:rsidRPr="003920C9">
        <w:rPr>
          <w:rFonts w:ascii="Garamond" w:eastAsia="Arial" w:hAnsi="Garamond" w:cs="Arial"/>
          <w:color w:val="000000"/>
          <w:sz w:val="22"/>
          <w:szCs w:val="22"/>
        </w:rPr>
        <w:t>s</w:t>
      </w:r>
      <w:r w:rsidRPr="003920C9">
        <w:rPr>
          <w:rFonts w:ascii="Garamond" w:hAnsi="Garamond"/>
          <w:sz w:val="22"/>
          <w:szCs w:val="22"/>
        </w:rPr>
        <w:t xml:space="preserve">tabiliva che </w:t>
      </w:r>
      <w:r w:rsidRPr="003920C9">
        <w:rPr>
          <w:rFonts w:ascii="Garamond" w:hAnsi="Garamond"/>
          <w:i/>
          <w:iCs/>
          <w:sz w:val="22"/>
          <w:szCs w:val="22"/>
        </w:rPr>
        <w:t>"A eccezione di quanto previsto da specifiche disposizioni di legge e salvo diverso accordo tra le parti, nei rapporti tra intermediari autorizzati e operatori qualificati non si applicano le disposizioni di cui agli  articoli 27, 28, 29, 30, comma 1, fatta eccezione per il servizio di gestione, e commi 2 e 3, , commi 3, 4 e 5, , fatta eccezione per il comma 1, lettera d) 38, 39, 40, 41, 42, 43 comma 5, lettera b), comma 6, primo periodo, e comma 7, lettere b) e c) 44, 45, 47, comma 1, 60, 61 e 62."</w:t>
      </w:r>
      <w:r w:rsidRPr="003920C9">
        <w:rPr>
          <w:rFonts w:ascii="Garamond" w:hAnsi="Garamond"/>
          <w:sz w:val="22"/>
          <w:szCs w:val="22"/>
        </w:rPr>
        <w:t xml:space="preserve">. </w:t>
      </w:r>
      <w:r>
        <w:rPr>
          <w:rFonts w:ascii="Garamond" w:hAnsi="Garamond"/>
          <w:sz w:val="22"/>
          <w:szCs w:val="22"/>
        </w:rPr>
        <w:t>Dimostrazione che incontrava l’ostacolo della clausola seriale, contenuta in quasi tutti i c</w:t>
      </w:r>
      <w:r w:rsidRPr="00EE605F">
        <w:rPr>
          <w:rFonts w:ascii="Garamond" w:hAnsi="Garamond"/>
          <w:sz w:val="22"/>
          <w:szCs w:val="22"/>
        </w:rPr>
        <w:t>ontratti</w:t>
      </w:r>
      <w:r>
        <w:rPr>
          <w:rFonts w:ascii="Garamond" w:hAnsi="Garamond"/>
          <w:sz w:val="22"/>
          <w:szCs w:val="22"/>
        </w:rPr>
        <w:t xml:space="preserve"> predisposti dalle banche</w:t>
      </w:r>
      <w:r w:rsidRPr="00EE605F">
        <w:rPr>
          <w:rFonts w:ascii="Garamond" w:hAnsi="Garamond"/>
          <w:sz w:val="22"/>
          <w:szCs w:val="22"/>
        </w:rPr>
        <w:t xml:space="preserve">, </w:t>
      </w:r>
      <w:r>
        <w:rPr>
          <w:rFonts w:ascii="Garamond" w:hAnsi="Garamond"/>
          <w:sz w:val="22"/>
          <w:szCs w:val="22"/>
        </w:rPr>
        <w:t xml:space="preserve">del seguente tenore: </w:t>
      </w:r>
      <w:r w:rsidRPr="00EE605F">
        <w:rPr>
          <w:rFonts w:ascii="Garamond" w:hAnsi="Garamond" w:cs="Arial"/>
          <w:i/>
          <w:iCs/>
          <w:color w:val="000000"/>
          <w:sz w:val="22"/>
          <w:szCs w:val="22"/>
        </w:rPr>
        <w:t>"Il Cliente dichiara altresì di possedere una specifica competenza ed esperienza in materia di operazioni in strumenti finanziari derivati ai sensi e per gli effetti dell'art. 31 del Regolamento Consob citato."</w:t>
      </w:r>
      <w:r>
        <w:rPr>
          <w:rFonts w:ascii="Garamond" w:hAnsi="Garamond" w:cs="Arial"/>
          <w:iCs/>
          <w:color w:val="000000"/>
          <w:sz w:val="22"/>
          <w:szCs w:val="22"/>
        </w:rPr>
        <w:t xml:space="preserve">. </w:t>
      </w:r>
      <w:r>
        <w:rPr>
          <w:rFonts w:ascii="Garamond" w:hAnsi="Garamond"/>
          <w:sz w:val="22"/>
          <w:szCs w:val="22"/>
        </w:rPr>
        <w:t xml:space="preserve">In effetti, anche nelle fasi di giudizio che hanno preceduto la decisione delle Sezioni Unite n. 8770 del 2020, la questione dell’”operatore qualificato” era stata ampiamente dibattuta, in quanto il Comune aveva contestato la validità e l’efficacia di tale autodichiarazione e la Corte di Appello di Bologna aveva ritenuto assorbito il motivo, pur non mancando di rilevare che detta dichiarazione non sembrava </w:t>
      </w:r>
      <w:r>
        <w:rPr>
          <w:rFonts w:ascii="Garamond" w:hAnsi="Garamond"/>
          <w:i/>
          <w:sz w:val="22"/>
          <w:szCs w:val="22"/>
        </w:rPr>
        <w:t>&lt;&lt; sufficientemente giustificata sul piano obiettivo &gt;&gt;</w:t>
      </w:r>
      <w:r>
        <w:rPr>
          <w:rFonts w:ascii="Garamond" w:hAnsi="Garamond"/>
          <w:sz w:val="22"/>
          <w:szCs w:val="22"/>
        </w:rPr>
        <w:t>.</w:t>
      </w:r>
    </w:p>
    <w:p w:rsidR="003536D7" w:rsidRDefault="003536D7" w:rsidP="00AE260B">
      <w:pPr>
        <w:pStyle w:val="Testonotaapidipagina"/>
        <w:ind w:left="567" w:right="567"/>
        <w:jc w:val="both"/>
        <w:rPr>
          <w:rFonts w:ascii="Garamond" w:hAnsi="Garamond"/>
          <w:sz w:val="22"/>
          <w:szCs w:val="22"/>
        </w:rPr>
      </w:pPr>
    </w:p>
    <w:p w:rsidR="003536D7" w:rsidRPr="00D9680F" w:rsidRDefault="003536D7" w:rsidP="00AE260B">
      <w:pPr>
        <w:pStyle w:val="Testonotaapidipagina"/>
        <w:ind w:left="567" w:right="567"/>
        <w:jc w:val="both"/>
        <w:rPr>
          <w:rFonts w:ascii="Garamond" w:hAnsi="Garamond"/>
          <w:sz w:val="22"/>
          <w:szCs w:val="22"/>
        </w:rPr>
      </w:pPr>
    </w:p>
  </w:footnote>
  <w:footnote w:id="13">
    <w:p w:rsidR="003536D7" w:rsidRDefault="003536D7" w:rsidP="001E1FCC">
      <w:pPr>
        <w:ind w:left="567" w:right="567"/>
        <w:jc w:val="both"/>
        <w:rPr>
          <w:rFonts w:ascii="Garamond" w:hAnsi="Garamond"/>
          <w:sz w:val="22"/>
          <w:szCs w:val="22"/>
        </w:rPr>
      </w:pPr>
      <w:r w:rsidRPr="0089042B">
        <w:rPr>
          <w:rStyle w:val="Rimandonotaapidipagina"/>
          <w:rFonts w:ascii="Garamond" w:hAnsi="Garamond"/>
          <w:sz w:val="22"/>
          <w:szCs w:val="22"/>
        </w:rPr>
        <w:footnoteRef/>
      </w:r>
      <w:r>
        <w:rPr>
          <w:rFonts w:ascii="Garamond" w:hAnsi="Garamond"/>
          <w:sz w:val="22"/>
          <w:szCs w:val="22"/>
        </w:rPr>
        <w:t xml:space="preserve"> A fronte della linea difensiva del Comune volta ad affermare la necessità di qualificare i contratti derivati stipulati dal Comune avendo riguardo all’art. 41 della legge n. 448 del 2001 ed ai principi di diritto ad essa sottesi, il Tribunale di</w:t>
      </w:r>
      <w:r w:rsidRPr="00231AA0">
        <w:rPr>
          <w:rFonts w:ascii="Garamond" w:hAnsi="Garamond"/>
          <w:sz w:val="22"/>
          <w:szCs w:val="22"/>
        </w:rPr>
        <w:t xml:space="preserve"> Bologna</w:t>
      </w:r>
      <w:r>
        <w:rPr>
          <w:rFonts w:ascii="Garamond" w:hAnsi="Garamond"/>
          <w:sz w:val="22"/>
          <w:szCs w:val="22"/>
        </w:rPr>
        <w:t xml:space="preserve"> affermava in modo perentorio che </w:t>
      </w:r>
      <w:r>
        <w:rPr>
          <w:rFonts w:ascii="Garamond" w:hAnsi="Garamond"/>
          <w:i/>
          <w:sz w:val="22"/>
          <w:szCs w:val="22"/>
        </w:rPr>
        <w:t xml:space="preserve">&lt;&lt; Ciò che non si condivide di questo sillogismo è la premessa minore, ché gli swap sono swap, non mutui o che altro. La pratica finanziaria internazionale ormai di qualche decennio è venuta definendo questo strumento secondo un modello base cui possono associarsi molte varianti; l’ordinamento italiano l’ha accolto collocandolo tra gli strumenti finanziari dell’art. 1 d.lgs. 58 del ’98 secondo una definizione che gli attribuisce autonomia funzionale dal punto di vista giuridico-economico e che non lo può far di certo qualificare nel senso voluto dall’attore. &gt;&gt; </w:t>
      </w:r>
      <w:r>
        <w:rPr>
          <w:rFonts w:ascii="Garamond" w:hAnsi="Garamond"/>
          <w:sz w:val="22"/>
          <w:szCs w:val="22"/>
        </w:rPr>
        <w:t xml:space="preserve">(Trib. Bologna sez. II </w:t>
      </w:r>
      <w:r w:rsidRPr="00231AA0">
        <w:rPr>
          <w:rFonts w:ascii="Garamond" w:hAnsi="Garamond"/>
          <w:sz w:val="22"/>
          <w:szCs w:val="22"/>
        </w:rPr>
        <w:t>14 dicembre 1999, n. 5244</w:t>
      </w:r>
      <w:r>
        <w:rPr>
          <w:rFonts w:ascii="Garamond" w:hAnsi="Garamond"/>
          <w:sz w:val="22"/>
          <w:szCs w:val="22"/>
        </w:rPr>
        <w:t xml:space="preserve">). </w:t>
      </w:r>
    </w:p>
    <w:p w:rsidR="003536D7" w:rsidRDefault="003536D7" w:rsidP="001E1FCC">
      <w:pPr>
        <w:pStyle w:val="Testonotaapidipagina"/>
        <w:ind w:left="567" w:right="567"/>
        <w:jc w:val="both"/>
        <w:rPr>
          <w:rFonts w:ascii="Garamond" w:hAnsi="Garamond"/>
          <w:sz w:val="22"/>
          <w:szCs w:val="22"/>
        </w:rPr>
      </w:pPr>
    </w:p>
    <w:p w:rsidR="003536D7" w:rsidRPr="00D9680F" w:rsidRDefault="003536D7" w:rsidP="001E1FCC">
      <w:pPr>
        <w:pStyle w:val="Testonotaapidipagina"/>
        <w:ind w:left="567" w:right="567"/>
        <w:jc w:val="both"/>
        <w:rPr>
          <w:rFonts w:ascii="Garamond" w:hAnsi="Garamond"/>
          <w:sz w:val="22"/>
          <w:szCs w:val="22"/>
        </w:rPr>
      </w:pPr>
    </w:p>
  </w:footnote>
  <w:footnote w:id="14">
    <w:p w:rsidR="003536D7" w:rsidRPr="00646A22" w:rsidRDefault="003536D7" w:rsidP="00483623">
      <w:pPr>
        <w:ind w:left="567" w:right="567"/>
        <w:jc w:val="both"/>
        <w:rPr>
          <w:rFonts w:ascii="Garamond" w:hAnsi="Garamond"/>
          <w:sz w:val="22"/>
          <w:szCs w:val="22"/>
        </w:rPr>
      </w:pPr>
      <w:r w:rsidRPr="0089042B">
        <w:rPr>
          <w:rStyle w:val="Rimandonotaapidipagina"/>
          <w:rFonts w:ascii="Garamond" w:hAnsi="Garamond"/>
          <w:sz w:val="22"/>
          <w:szCs w:val="22"/>
        </w:rPr>
        <w:footnoteRef/>
      </w:r>
      <w:r w:rsidRPr="00CC0FF5">
        <w:rPr>
          <w:rFonts w:ascii="Garamond" w:hAnsi="Garamond"/>
          <w:sz w:val="22"/>
          <w:szCs w:val="22"/>
        </w:rPr>
        <w:t xml:space="preserve"> Cass. civ., S.U., n. 8770 del 2020: </w:t>
      </w:r>
      <w:r w:rsidRPr="00CC0FF5">
        <w:rPr>
          <w:rFonts w:ascii="Garamond" w:hAnsi="Garamond"/>
          <w:i/>
          <w:sz w:val="22"/>
          <w:szCs w:val="22"/>
        </w:rPr>
        <w:t xml:space="preserve">&lt;&lt; 8.1. </w:t>
      </w:r>
      <w:r w:rsidRPr="00646A22">
        <w:rPr>
          <w:rFonts w:ascii="Garamond" w:hAnsi="Garamond"/>
          <w:i/>
          <w:sz w:val="22"/>
          <w:szCs w:val="22"/>
        </w:rPr>
        <w:t>Innanzitutto, il derivato per e</w:t>
      </w:r>
      <w:r>
        <w:rPr>
          <w:rFonts w:ascii="Garamond" w:hAnsi="Garamond"/>
          <w:i/>
          <w:sz w:val="22"/>
          <w:szCs w:val="22"/>
        </w:rPr>
        <w:t>ssere ammissibile, doveva essere economicamente conveniente essendo vietato concludere derivati speculativi. &gt;&gt;</w:t>
      </w:r>
      <w:r>
        <w:rPr>
          <w:rFonts w:ascii="Garamond" w:hAnsi="Garamond"/>
          <w:sz w:val="22"/>
          <w:szCs w:val="22"/>
        </w:rPr>
        <w:t>.</w:t>
      </w:r>
    </w:p>
  </w:footnote>
  <w:footnote w:id="15">
    <w:p w:rsidR="003536D7" w:rsidRPr="00B66014" w:rsidRDefault="003536D7" w:rsidP="00483623">
      <w:pPr>
        <w:ind w:left="567" w:right="567"/>
        <w:jc w:val="both"/>
        <w:rPr>
          <w:rFonts w:ascii="Garamond" w:hAnsi="Garamond"/>
          <w:sz w:val="22"/>
          <w:szCs w:val="22"/>
        </w:rPr>
      </w:pPr>
      <w:r w:rsidRPr="0089042B">
        <w:rPr>
          <w:rStyle w:val="Rimandonotaapidipagina"/>
          <w:rFonts w:ascii="Garamond" w:hAnsi="Garamond"/>
          <w:sz w:val="22"/>
          <w:szCs w:val="22"/>
        </w:rPr>
        <w:footnoteRef/>
      </w:r>
      <w:r w:rsidRPr="00B66014">
        <w:rPr>
          <w:rFonts w:ascii="Garamond" w:hAnsi="Garamond"/>
          <w:sz w:val="22"/>
          <w:szCs w:val="22"/>
        </w:rPr>
        <w:t xml:space="preserve"> Cass. civ.</w:t>
      </w:r>
      <w:r>
        <w:rPr>
          <w:rFonts w:ascii="Garamond" w:hAnsi="Garamond"/>
          <w:sz w:val="22"/>
          <w:szCs w:val="22"/>
        </w:rPr>
        <w:t>,</w:t>
      </w:r>
      <w:r w:rsidRPr="00B66014">
        <w:rPr>
          <w:rFonts w:ascii="Garamond" w:hAnsi="Garamond"/>
          <w:sz w:val="22"/>
          <w:szCs w:val="22"/>
        </w:rPr>
        <w:t xml:space="preserve"> S.U.</w:t>
      </w:r>
      <w:r>
        <w:rPr>
          <w:rFonts w:ascii="Garamond" w:hAnsi="Garamond"/>
          <w:sz w:val="22"/>
          <w:szCs w:val="22"/>
        </w:rPr>
        <w:t xml:space="preserve">, n. 8770 del </w:t>
      </w:r>
      <w:r w:rsidRPr="00B66014">
        <w:rPr>
          <w:rFonts w:ascii="Garamond" w:hAnsi="Garamond"/>
          <w:sz w:val="22"/>
          <w:szCs w:val="22"/>
        </w:rPr>
        <w:t xml:space="preserve">2020: </w:t>
      </w:r>
      <w:r w:rsidRPr="00B66014">
        <w:rPr>
          <w:rFonts w:ascii="Garamond" w:hAnsi="Garamond"/>
          <w:i/>
          <w:sz w:val="22"/>
          <w:szCs w:val="22"/>
        </w:rPr>
        <w:t>&lt;&lt; Il</w:t>
      </w:r>
      <w:r>
        <w:rPr>
          <w:rFonts w:ascii="Garamond" w:hAnsi="Garamond"/>
          <w:i/>
          <w:sz w:val="22"/>
          <w:szCs w:val="22"/>
        </w:rPr>
        <w:t xml:space="preserve"> riconoscimento della legittimazione dell’Amministrazione a concludere contratti derivati, sulla base della disciplina vigente fino al 2013 (quando la legge n. 147 del 2013 ne ha escluso la possibilità) e della distinzione tra i derivati di copertura e i derivati speculativi, in base al criterio del diverso grado di rischiosità di ciascuno di essi, comportava che solamente nel primo caso l’ente locale potesse dirsi legittimato a procedere alla loro stipula. &gt;&gt;</w:t>
      </w:r>
      <w:r>
        <w:rPr>
          <w:rFonts w:ascii="Garamond" w:hAnsi="Garamond"/>
          <w:sz w:val="22"/>
          <w:szCs w:val="22"/>
        </w:rPr>
        <w:t>.</w:t>
      </w:r>
    </w:p>
  </w:footnote>
  <w:footnote w:id="16">
    <w:p w:rsidR="003536D7" w:rsidRPr="00483623" w:rsidRDefault="003536D7" w:rsidP="005A06B8">
      <w:pPr>
        <w:ind w:left="567" w:right="567"/>
        <w:jc w:val="both"/>
        <w:rPr>
          <w:rFonts w:ascii="Garamond" w:hAnsi="Garamond"/>
          <w:sz w:val="22"/>
          <w:szCs w:val="22"/>
        </w:rPr>
      </w:pPr>
      <w:r w:rsidRPr="00483623">
        <w:rPr>
          <w:rStyle w:val="Caratteredellanota"/>
          <w:rFonts w:ascii="Garamond" w:hAnsi="Garamond"/>
          <w:sz w:val="22"/>
          <w:szCs w:val="22"/>
        </w:rPr>
        <w:footnoteRef/>
      </w:r>
      <w:r>
        <w:rPr>
          <w:rFonts w:ascii="Garamond" w:hAnsi="Garamond"/>
          <w:sz w:val="22"/>
          <w:szCs w:val="22"/>
        </w:rPr>
        <w:t xml:space="preserve"> </w:t>
      </w:r>
      <w:r w:rsidRPr="004B3E7E">
        <w:rPr>
          <w:rFonts w:ascii="Garamond" w:hAnsi="Garamond"/>
          <w:sz w:val="22"/>
          <w:szCs w:val="22"/>
        </w:rPr>
        <w:t xml:space="preserve">D’altra parte, che i “derivati” rappresentino un impegnativo banco di prova per l'autonomia negoziale della Pubblica amministrazione è dimostrato dal fatto che anche in ordinamenti di ben diversa tradizione (di </w:t>
      </w:r>
      <w:r w:rsidRPr="004B3E7E">
        <w:rPr>
          <w:rFonts w:ascii="Garamond" w:hAnsi="Garamond"/>
          <w:i/>
          <w:sz w:val="22"/>
          <w:szCs w:val="22"/>
        </w:rPr>
        <w:t>common law</w:t>
      </w:r>
      <w:r w:rsidRPr="004B3E7E">
        <w:rPr>
          <w:rFonts w:ascii="Garamond" w:hAnsi="Garamond"/>
          <w:sz w:val="22"/>
          <w:szCs w:val="22"/>
        </w:rPr>
        <w:t>), dove il sistema finanziario ha assunto anche un più elevato grado di evoluzione, la legittimazione da parte degli Enti pubblici territoriali a stipulare simili contratti sconta limiti stringenti, essendo finanche preclusa in via generale ed assoluta, pena la nullità degli stessi ed il diritto dell'Ente di ripetere le somme versate</w:t>
      </w:r>
      <w:r>
        <w:rPr>
          <w:rFonts w:ascii="Garamond" w:hAnsi="Garamond"/>
          <w:sz w:val="22"/>
          <w:szCs w:val="22"/>
        </w:rPr>
        <w:t xml:space="preserve"> (s</w:t>
      </w:r>
      <w:r w:rsidRPr="004B3E7E">
        <w:rPr>
          <w:rFonts w:ascii="Garamond" w:hAnsi="Garamond"/>
          <w:sz w:val="22"/>
          <w:szCs w:val="22"/>
        </w:rPr>
        <w:t xml:space="preserve">i vedano le pronunce della </w:t>
      </w:r>
      <w:r w:rsidRPr="004B3E7E">
        <w:rPr>
          <w:rFonts w:ascii="Garamond" w:hAnsi="Garamond"/>
          <w:i/>
          <w:sz w:val="22"/>
          <w:szCs w:val="22"/>
        </w:rPr>
        <w:t>House of Lords</w:t>
      </w:r>
      <w:r w:rsidRPr="004B3E7E">
        <w:rPr>
          <w:rFonts w:ascii="Garamond" w:hAnsi="Garamond"/>
          <w:sz w:val="22"/>
          <w:szCs w:val="22"/>
        </w:rPr>
        <w:t xml:space="preserve"> del </w:t>
      </w:r>
      <w:r w:rsidRPr="00483623">
        <w:rPr>
          <w:rFonts w:ascii="Garamond" w:hAnsi="Garamond"/>
          <w:sz w:val="22"/>
          <w:szCs w:val="22"/>
        </w:rPr>
        <w:t>24</w:t>
      </w:r>
      <w:r>
        <w:rPr>
          <w:rFonts w:ascii="Garamond" w:hAnsi="Garamond"/>
          <w:sz w:val="22"/>
          <w:szCs w:val="22"/>
        </w:rPr>
        <w:t xml:space="preserve"> gennaio </w:t>
      </w:r>
      <w:r w:rsidRPr="00483623">
        <w:rPr>
          <w:rFonts w:ascii="Garamond" w:hAnsi="Garamond"/>
          <w:sz w:val="22"/>
          <w:szCs w:val="22"/>
        </w:rPr>
        <w:t>1991 e del 16</w:t>
      </w:r>
      <w:r>
        <w:rPr>
          <w:rFonts w:ascii="Garamond" w:hAnsi="Garamond"/>
          <w:sz w:val="22"/>
          <w:szCs w:val="22"/>
        </w:rPr>
        <w:t xml:space="preserve"> maggio </w:t>
      </w:r>
      <w:r w:rsidRPr="00483623">
        <w:rPr>
          <w:rFonts w:ascii="Garamond" w:hAnsi="Garamond"/>
          <w:sz w:val="22"/>
          <w:szCs w:val="22"/>
        </w:rPr>
        <w:t>1996, citate da Ca</w:t>
      </w:r>
      <w:r>
        <w:rPr>
          <w:rFonts w:ascii="Garamond" w:hAnsi="Garamond"/>
          <w:sz w:val="22"/>
          <w:szCs w:val="22"/>
        </w:rPr>
        <w:t>talano in Foro it. 2003, I, 616)</w:t>
      </w:r>
      <w:r w:rsidRPr="00483623">
        <w:rPr>
          <w:rFonts w:ascii="Garamond" w:hAnsi="Garamond"/>
          <w:sz w:val="22"/>
          <w:szCs w:val="22"/>
        </w:rPr>
        <w:t xml:space="preserve">. </w:t>
      </w:r>
    </w:p>
  </w:footnote>
  <w:footnote w:id="17">
    <w:p w:rsidR="003536D7" w:rsidRPr="00483623" w:rsidRDefault="003536D7" w:rsidP="00E86D51">
      <w:pPr>
        <w:ind w:left="567" w:right="567"/>
        <w:jc w:val="both"/>
        <w:rPr>
          <w:rFonts w:ascii="Garamond" w:hAnsi="Garamond"/>
          <w:sz w:val="22"/>
          <w:szCs w:val="22"/>
        </w:rPr>
      </w:pPr>
      <w:r w:rsidRPr="00483623">
        <w:rPr>
          <w:rStyle w:val="Caratteredellanota"/>
          <w:rFonts w:ascii="Garamond" w:hAnsi="Garamond"/>
          <w:sz w:val="22"/>
          <w:szCs w:val="22"/>
        </w:rPr>
        <w:footnoteRef/>
      </w:r>
      <w:r>
        <w:rPr>
          <w:rFonts w:ascii="Garamond" w:hAnsi="Garamond"/>
          <w:sz w:val="22"/>
          <w:szCs w:val="22"/>
        </w:rPr>
        <w:t xml:space="preserve"> Ricorderà più avanti la S.C. (citando una condivisa giurisprudenza di merito) che detti elementi contenutistici del contratto costituiscono un </w:t>
      </w:r>
      <w:r>
        <w:rPr>
          <w:rFonts w:ascii="Garamond" w:hAnsi="Garamond"/>
          <w:i/>
          <w:sz w:val="22"/>
          <w:szCs w:val="22"/>
        </w:rPr>
        <w:t>&lt;&lt; elemento essenziale dello stesso ed integrativo della sua causa tipica … &gt;&gt;</w:t>
      </w:r>
      <w:r>
        <w:rPr>
          <w:rFonts w:ascii="Garamond" w:hAnsi="Garamond"/>
          <w:sz w:val="22"/>
          <w:szCs w:val="22"/>
        </w:rPr>
        <w:t xml:space="preserve"> (punto 9.7. della sentenza).</w:t>
      </w:r>
      <w:r w:rsidRPr="00483623">
        <w:rPr>
          <w:rFonts w:ascii="Garamond" w:hAnsi="Garamond"/>
          <w:sz w:val="22"/>
          <w:szCs w:val="22"/>
        </w:rPr>
        <w:t xml:space="preserve"> </w:t>
      </w:r>
    </w:p>
  </w:footnote>
  <w:footnote w:id="18">
    <w:p w:rsidR="003536D7" w:rsidRPr="00483623" w:rsidRDefault="003536D7" w:rsidP="00715C81">
      <w:pPr>
        <w:ind w:left="567" w:right="567"/>
        <w:jc w:val="both"/>
        <w:rPr>
          <w:rFonts w:ascii="Garamond" w:hAnsi="Garamond"/>
          <w:sz w:val="22"/>
          <w:szCs w:val="22"/>
        </w:rPr>
      </w:pPr>
      <w:r w:rsidRPr="00483623">
        <w:rPr>
          <w:rStyle w:val="Caratteredellanota"/>
          <w:rFonts w:ascii="Garamond" w:hAnsi="Garamond"/>
          <w:sz w:val="22"/>
          <w:szCs w:val="22"/>
        </w:rPr>
        <w:footnoteRef/>
      </w:r>
      <w:r>
        <w:rPr>
          <w:rFonts w:ascii="Garamond" w:hAnsi="Garamond"/>
          <w:sz w:val="22"/>
          <w:szCs w:val="22"/>
        </w:rPr>
        <w:t xml:space="preserve"> </w:t>
      </w:r>
      <w:r w:rsidRPr="00715C81">
        <w:rPr>
          <w:rFonts w:ascii="Garamond" w:eastAsia="Arial" w:hAnsi="Garamond" w:cs="Arial"/>
          <w:color w:val="000000"/>
          <w:sz w:val="22"/>
          <w:szCs w:val="22"/>
        </w:rPr>
        <w:t xml:space="preserve">La </w:t>
      </w:r>
      <w:r>
        <w:rPr>
          <w:rFonts w:ascii="Garamond" w:eastAsia="Arial" w:hAnsi="Garamond" w:cs="Arial"/>
          <w:color w:val="000000"/>
          <w:sz w:val="22"/>
          <w:szCs w:val="22"/>
        </w:rPr>
        <w:t xml:space="preserve">definizione </w:t>
      </w:r>
      <w:r w:rsidRPr="00715C81">
        <w:rPr>
          <w:rFonts w:ascii="Garamond" w:eastAsia="Arial" w:hAnsi="Garamond" w:cs="Arial"/>
          <w:color w:val="000000"/>
          <w:sz w:val="22"/>
          <w:szCs w:val="22"/>
        </w:rPr>
        <w:t xml:space="preserve">del </w:t>
      </w:r>
      <w:r w:rsidRPr="00715C81">
        <w:rPr>
          <w:rFonts w:ascii="Garamond" w:eastAsia="Arial" w:hAnsi="Garamond" w:cs="Arial"/>
          <w:i/>
          <w:color w:val="000000"/>
          <w:sz w:val="22"/>
          <w:szCs w:val="22"/>
        </w:rPr>
        <w:t xml:space="preserve">mark to market </w:t>
      </w:r>
      <w:r w:rsidRPr="00715C81">
        <w:rPr>
          <w:rFonts w:ascii="Garamond" w:eastAsia="Arial" w:hAnsi="Garamond" w:cs="Arial"/>
          <w:color w:val="000000"/>
          <w:sz w:val="22"/>
          <w:szCs w:val="22"/>
        </w:rPr>
        <w:t xml:space="preserve">e dei </w:t>
      </w:r>
      <w:r w:rsidRPr="00715C81">
        <w:rPr>
          <w:rFonts w:ascii="Garamond" w:eastAsia="Arial" w:hAnsi="Garamond" w:cs="Arial"/>
          <w:i/>
          <w:color w:val="000000"/>
          <w:sz w:val="22"/>
          <w:szCs w:val="22"/>
        </w:rPr>
        <w:t xml:space="preserve">costi impliciti </w:t>
      </w:r>
      <w:r w:rsidRPr="00715C81">
        <w:rPr>
          <w:rFonts w:ascii="Garamond" w:eastAsia="Arial" w:hAnsi="Garamond" w:cs="Arial"/>
          <w:color w:val="000000"/>
          <w:sz w:val="22"/>
          <w:szCs w:val="22"/>
        </w:rPr>
        <w:t xml:space="preserve">(o </w:t>
      </w:r>
      <w:r w:rsidRPr="00715C81">
        <w:rPr>
          <w:rFonts w:ascii="Garamond" w:eastAsia="Arial" w:hAnsi="Garamond" w:cs="Arial"/>
          <w:i/>
          <w:color w:val="000000"/>
          <w:sz w:val="22"/>
          <w:szCs w:val="22"/>
        </w:rPr>
        <w:t>occulti</w:t>
      </w:r>
      <w:r w:rsidRPr="00715C81">
        <w:rPr>
          <w:rFonts w:ascii="Garamond" w:eastAsia="Arial" w:hAnsi="Garamond" w:cs="Arial"/>
          <w:color w:val="000000"/>
          <w:sz w:val="22"/>
          <w:szCs w:val="22"/>
        </w:rPr>
        <w:t xml:space="preserve">) </w:t>
      </w:r>
      <w:r>
        <w:rPr>
          <w:rFonts w:ascii="Garamond" w:eastAsia="Arial" w:hAnsi="Garamond" w:cs="Arial"/>
          <w:color w:val="000000"/>
          <w:sz w:val="22"/>
          <w:szCs w:val="22"/>
        </w:rPr>
        <w:t xml:space="preserve">è riportata </w:t>
      </w:r>
      <w:r w:rsidRPr="00715C81">
        <w:rPr>
          <w:rFonts w:ascii="Garamond" w:eastAsia="Arial" w:hAnsi="Garamond" w:cs="Arial"/>
          <w:color w:val="000000"/>
          <w:sz w:val="22"/>
          <w:szCs w:val="22"/>
        </w:rPr>
        <w:t>ai p</w:t>
      </w:r>
      <w:r>
        <w:rPr>
          <w:rFonts w:ascii="Garamond" w:eastAsia="Arial" w:hAnsi="Garamond" w:cs="Arial"/>
          <w:color w:val="000000"/>
          <w:sz w:val="22"/>
          <w:szCs w:val="22"/>
        </w:rPr>
        <w:t>unti 4.6. e 4.7. della sentenza.</w:t>
      </w:r>
    </w:p>
  </w:footnote>
  <w:footnote w:id="19">
    <w:p w:rsidR="003536D7" w:rsidRPr="00483623" w:rsidRDefault="003536D7" w:rsidP="00AE1168">
      <w:pPr>
        <w:ind w:left="567" w:right="567"/>
        <w:jc w:val="both"/>
        <w:rPr>
          <w:rFonts w:ascii="Garamond" w:hAnsi="Garamond"/>
          <w:sz w:val="22"/>
          <w:szCs w:val="22"/>
        </w:rPr>
      </w:pPr>
      <w:r w:rsidRPr="00483623">
        <w:rPr>
          <w:rStyle w:val="Caratteredellanota"/>
          <w:rFonts w:ascii="Garamond" w:hAnsi="Garamond"/>
          <w:sz w:val="22"/>
          <w:szCs w:val="22"/>
        </w:rPr>
        <w:footnoteRef/>
      </w:r>
      <w:r>
        <w:rPr>
          <w:rFonts w:ascii="Garamond" w:eastAsia="Arial" w:hAnsi="Garamond" w:cs="Arial"/>
          <w:color w:val="000000"/>
          <w:sz w:val="22"/>
          <w:szCs w:val="22"/>
        </w:rPr>
        <w:t xml:space="preserve"> Trattasi di una questione sollevata dal Comune sin dal primo grado di giudizio ed affrontata dalla Corte d’Appello con la pronuncia oggetto di ricorso.</w:t>
      </w:r>
    </w:p>
  </w:footnote>
  <w:footnote w:id="20">
    <w:p w:rsidR="003536D7" w:rsidRPr="00AE1168" w:rsidRDefault="003536D7" w:rsidP="004B05C9">
      <w:pPr>
        <w:pStyle w:val="WW-footnotetext123"/>
        <w:ind w:left="567" w:right="567" w:firstLine="0"/>
        <w:jc w:val="both"/>
        <w:rPr>
          <w:rFonts w:ascii="Garamond" w:hAnsi="Garamond"/>
          <w:sz w:val="22"/>
          <w:szCs w:val="22"/>
        </w:rPr>
      </w:pPr>
      <w:r w:rsidRPr="00AE1168">
        <w:rPr>
          <w:rStyle w:val="Caratteredellanota"/>
          <w:rFonts w:ascii="Garamond" w:hAnsi="Garamond"/>
          <w:sz w:val="22"/>
          <w:szCs w:val="22"/>
        </w:rPr>
        <w:footnoteRef/>
      </w:r>
      <w:r w:rsidRPr="00AE1168">
        <w:rPr>
          <w:rFonts w:ascii="Garamond" w:hAnsi="Garamond"/>
          <w:sz w:val="22"/>
          <w:szCs w:val="22"/>
        </w:rPr>
        <w:t xml:space="preserve"> Si definisce "capitale nozionale" il capitale teorico assunto </w:t>
      </w:r>
      <w:r>
        <w:rPr>
          <w:rFonts w:ascii="Garamond" w:hAnsi="Garamond"/>
          <w:sz w:val="22"/>
          <w:szCs w:val="22"/>
        </w:rPr>
        <w:t xml:space="preserve">dalle parti </w:t>
      </w:r>
      <w:r w:rsidRPr="00AE1168">
        <w:rPr>
          <w:rFonts w:ascii="Garamond" w:hAnsi="Garamond"/>
          <w:sz w:val="22"/>
          <w:szCs w:val="22"/>
        </w:rPr>
        <w:t>per il calcolo dei flussi di interessi, ovvero quel capitale che, pur non costituendo oggetto di scambio, costituisce il punto di riferimento per definire il volume e la dimensione dell'operazione.</w:t>
      </w:r>
    </w:p>
  </w:footnote>
  <w:footnote w:id="21">
    <w:p w:rsidR="003536D7" w:rsidRPr="00AE1168" w:rsidRDefault="003536D7" w:rsidP="008808D0">
      <w:pPr>
        <w:ind w:left="567" w:right="567"/>
        <w:jc w:val="both"/>
        <w:rPr>
          <w:rFonts w:ascii="Garamond" w:hAnsi="Garamond"/>
          <w:sz w:val="22"/>
          <w:szCs w:val="22"/>
        </w:rPr>
      </w:pPr>
      <w:r w:rsidRPr="00AE1168">
        <w:rPr>
          <w:rStyle w:val="Caratteredellanota"/>
          <w:rFonts w:ascii="Garamond" w:hAnsi="Garamond"/>
          <w:sz w:val="22"/>
          <w:szCs w:val="22"/>
        </w:rPr>
        <w:footnoteRef/>
      </w:r>
      <w:r>
        <w:rPr>
          <w:rFonts w:ascii="Garamond" w:hAnsi="Garamond"/>
          <w:sz w:val="22"/>
          <w:szCs w:val="22"/>
        </w:rPr>
        <w:t xml:space="preserve"> Il concetto è stato, poi, ribadito dal</w:t>
      </w:r>
      <w:r>
        <w:rPr>
          <w:rFonts w:ascii="Garamond" w:hAnsi="Garamond" w:cs="Arial"/>
          <w:color w:val="000000"/>
          <w:sz w:val="22"/>
          <w:szCs w:val="22"/>
        </w:rPr>
        <w:t>l'art. 1, comma 736, della l</w:t>
      </w:r>
      <w:r w:rsidRPr="008808D0">
        <w:rPr>
          <w:rFonts w:ascii="Garamond" w:hAnsi="Garamond" w:cs="Arial"/>
          <w:color w:val="000000"/>
          <w:sz w:val="22"/>
          <w:szCs w:val="22"/>
        </w:rPr>
        <w:t xml:space="preserve">egge </w:t>
      </w:r>
      <w:r>
        <w:rPr>
          <w:rFonts w:ascii="Garamond" w:hAnsi="Garamond" w:cs="Arial"/>
          <w:color w:val="000000"/>
          <w:sz w:val="22"/>
          <w:szCs w:val="22"/>
        </w:rPr>
        <w:t xml:space="preserve">n. 296 del </w:t>
      </w:r>
      <w:r w:rsidRPr="008808D0">
        <w:rPr>
          <w:rFonts w:ascii="Garamond" w:hAnsi="Garamond" w:cs="Arial"/>
          <w:color w:val="000000"/>
          <w:sz w:val="22"/>
          <w:szCs w:val="22"/>
        </w:rPr>
        <w:t>2006</w:t>
      </w:r>
      <w:r>
        <w:rPr>
          <w:rFonts w:ascii="Garamond" w:hAnsi="Garamond" w:cs="Arial"/>
          <w:color w:val="000000"/>
          <w:sz w:val="22"/>
          <w:szCs w:val="22"/>
        </w:rPr>
        <w:t>:</w:t>
      </w:r>
      <w:r w:rsidRPr="008808D0">
        <w:rPr>
          <w:rFonts w:ascii="Garamond" w:hAnsi="Garamond" w:cs="Arial"/>
          <w:color w:val="000000"/>
          <w:sz w:val="22"/>
          <w:szCs w:val="22"/>
        </w:rPr>
        <w:t xml:space="preserve"> </w:t>
      </w:r>
      <w:r w:rsidRPr="008808D0">
        <w:rPr>
          <w:rFonts w:ascii="Garamond" w:hAnsi="Garamond" w:cs="Arial"/>
          <w:i/>
          <w:iCs/>
          <w:color w:val="000000"/>
          <w:sz w:val="22"/>
          <w:szCs w:val="22"/>
        </w:rPr>
        <w:t>"Gli enti possono concludere tali operazioni solo in corrispondenza di passività effettivamente dovute, avendo riguardo al contenimento dei rischi di credito assunti."</w:t>
      </w:r>
      <w:r w:rsidRPr="00AE1168">
        <w:rPr>
          <w:rFonts w:ascii="Garamond" w:hAnsi="Garamond"/>
          <w:sz w:val="22"/>
          <w:szCs w:val="22"/>
        </w:rPr>
        <w:t>.</w:t>
      </w:r>
    </w:p>
  </w:footnote>
  <w:footnote w:id="22">
    <w:p w:rsidR="003536D7" w:rsidRDefault="003536D7" w:rsidP="003B6327">
      <w:pPr>
        <w:ind w:left="567" w:right="567"/>
        <w:jc w:val="both"/>
        <w:rPr>
          <w:rFonts w:ascii="Garamond" w:hAnsi="Garamond"/>
          <w:sz w:val="22"/>
          <w:szCs w:val="22"/>
        </w:rPr>
      </w:pPr>
      <w:r w:rsidRPr="00AE1168">
        <w:rPr>
          <w:rStyle w:val="Caratteredellanota"/>
          <w:rFonts w:ascii="Garamond" w:hAnsi="Garamond"/>
          <w:sz w:val="22"/>
          <w:szCs w:val="22"/>
        </w:rPr>
        <w:footnoteRef/>
      </w:r>
      <w:r>
        <w:rPr>
          <w:rFonts w:ascii="Garamond" w:hAnsi="Garamond"/>
          <w:sz w:val="22"/>
          <w:szCs w:val="22"/>
        </w:rPr>
        <w:t xml:space="preserve"> Sul punto la Corte di Appello di Bologna (n. 734 del 11 marzo 2014), con riferimento al caso in questione, rilevava che </w:t>
      </w:r>
      <w:r>
        <w:rPr>
          <w:rFonts w:ascii="Garamond" w:hAnsi="Garamond"/>
          <w:i/>
          <w:sz w:val="22"/>
          <w:szCs w:val="22"/>
        </w:rPr>
        <w:t>&lt;&lt; In nessuno dei tre IRS (e/o negli amministrativi presupposti) vi è un riferimento di una qualche serietà ai mutui sottostanti in relazione ai quali gli stessi sarebbero stati contratti … La conseguenza è, come nota correttamente l’appellante, che dai contratti o dagli atti amministrativi presupposti … non emerge in alcun modo la loro effettiva causa concreta (funzione economico sociale anche normativamente predeterminata), di cui quindi non è dimostrata l’esistenza, così come di un oggetto avente i requisiti di cui all’art. 1346 c.c.. In altre parole il contratto inerente il derivato deve invece contenere tutti i requisiti essenziali per farne emergere la causa in concreto esercitata; deve inoltre avere un oggetto determinato o determinabile, ossia deve avere, per integrare entrambi i requisiti, una percepibile e misurabile correlazione tra le (solo) menzionate “posizioni creditorie e debitorie” e l’importo di riferimento – il nozionale – sottostante, nonché tra  tassi praticati nelle dette posizioni e il “tasso parametro” che le parti reciprocamente si assegnano per le liquidazioni periodiche. &gt;&gt;</w:t>
      </w:r>
      <w:r>
        <w:rPr>
          <w:rFonts w:ascii="Garamond" w:hAnsi="Garamond"/>
          <w:sz w:val="22"/>
          <w:szCs w:val="22"/>
        </w:rPr>
        <w:t>.</w:t>
      </w:r>
      <w:r>
        <w:rPr>
          <w:rFonts w:ascii="Garamond" w:hAnsi="Garamond"/>
          <w:i/>
          <w:sz w:val="22"/>
          <w:szCs w:val="22"/>
        </w:rPr>
        <w:t xml:space="preserve">  </w:t>
      </w:r>
      <w:r>
        <w:rPr>
          <w:rFonts w:ascii="Garamond" w:hAnsi="Garamond"/>
          <w:sz w:val="22"/>
          <w:szCs w:val="22"/>
        </w:rPr>
        <w:t xml:space="preserve">  </w:t>
      </w:r>
    </w:p>
    <w:p w:rsidR="003536D7" w:rsidRPr="00AE1168" w:rsidRDefault="003536D7" w:rsidP="003B6327">
      <w:pPr>
        <w:ind w:left="567" w:right="567"/>
        <w:jc w:val="both"/>
        <w:rPr>
          <w:rFonts w:ascii="Garamond" w:hAnsi="Garamond"/>
          <w:sz w:val="22"/>
          <w:szCs w:val="22"/>
        </w:rPr>
      </w:pPr>
      <w:r>
        <w:rPr>
          <w:rFonts w:ascii="Garamond" w:hAnsi="Garamond"/>
          <w:sz w:val="22"/>
          <w:szCs w:val="22"/>
        </w:rPr>
        <w:t xml:space="preserve">con la sentenza n. 734 del 2014  </w:t>
      </w:r>
    </w:p>
  </w:footnote>
  <w:footnote w:id="23">
    <w:p w:rsidR="003536D7" w:rsidRPr="00D03E48" w:rsidRDefault="003536D7" w:rsidP="004E3186">
      <w:pPr>
        <w:pStyle w:val="WW-footnotetext123"/>
        <w:ind w:left="567" w:right="567" w:firstLine="0"/>
        <w:jc w:val="both"/>
        <w:rPr>
          <w:rFonts w:ascii="Garamond" w:hAnsi="Garamond"/>
          <w:sz w:val="22"/>
          <w:szCs w:val="22"/>
        </w:rPr>
      </w:pPr>
      <w:r w:rsidRPr="00D03E48">
        <w:rPr>
          <w:rStyle w:val="Caratteredellanota"/>
          <w:rFonts w:ascii="Garamond" w:hAnsi="Garamond"/>
          <w:sz w:val="22"/>
          <w:szCs w:val="22"/>
        </w:rPr>
        <w:footnoteRef/>
      </w:r>
      <w:r>
        <w:rPr>
          <w:rFonts w:ascii="Garamond" w:hAnsi="Garamond"/>
          <w:sz w:val="22"/>
          <w:szCs w:val="22"/>
        </w:rPr>
        <w:t xml:space="preserve"> Vedasi, </w:t>
      </w:r>
      <w:r w:rsidRPr="00D03E48">
        <w:rPr>
          <w:rFonts w:ascii="Garamond" w:hAnsi="Garamond"/>
          <w:sz w:val="22"/>
          <w:szCs w:val="22"/>
        </w:rPr>
        <w:t>De Iuliis (</w:t>
      </w:r>
      <w:r w:rsidRPr="00D03E48">
        <w:rPr>
          <w:rFonts w:ascii="Garamond" w:hAnsi="Garamond"/>
          <w:i/>
          <w:iCs/>
          <w:sz w:val="22"/>
          <w:szCs w:val="22"/>
        </w:rPr>
        <w:t>“Lo swap d'interessi o di divise nell'ordinamento italiano”, Banca borsa tit. cred., 2004, 3, 391</w:t>
      </w:r>
      <w:r>
        <w:rPr>
          <w:rFonts w:ascii="Garamond" w:hAnsi="Garamond"/>
          <w:sz w:val="22"/>
          <w:szCs w:val="22"/>
        </w:rPr>
        <w:t xml:space="preserve">); </w:t>
      </w:r>
      <w:r w:rsidRPr="00D03E48">
        <w:rPr>
          <w:rFonts w:ascii="Garamond" w:hAnsi="Garamond"/>
          <w:sz w:val="22"/>
          <w:szCs w:val="22"/>
        </w:rPr>
        <w:t>Fadel-Marangoni (</w:t>
      </w:r>
      <w:r w:rsidRPr="00D03E48">
        <w:rPr>
          <w:rFonts w:ascii="Garamond" w:hAnsi="Garamond"/>
          <w:i/>
          <w:iCs/>
          <w:sz w:val="22"/>
          <w:szCs w:val="22"/>
        </w:rPr>
        <w:t>“Enti locali e strumenti finanziari derivati: evoluzione normativa” in Il Caso.it, 28.11.2008, 16</w:t>
      </w:r>
      <w:r>
        <w:rPr>
          <w:rFonts w:ascii="Garamond" w:hAnsi="Garamond"/>
          <w:sz w:val="22"/>
          <w:szCs w:val="22"/>
        </w:rPr>
        <w:t xml:space="preserve">); </w:t>
      </w:r>
      <w:r w:rsidRPr="00D03E48">
        <w:rPr>
          <w:rFonts w:ascii="Garamond" w:hAnsi="Garamond"/>
          <w:sz w:val="22"/>
          <w:szCs w:val="22"/>
        </w:rPr>
        <w:t>Astegiano (</w:t>
      </w:r>
      <w:r w:rsidRPr="00D03E48">
        <w:rPr>
          <w:rFonts w:ascii="Garamond" w:hAnsi="Garamond"/>
          <w:i/>
          <w:iCs/>
          <w:sz w:val="22"/>
          <w:szCs w:val="22"/>
        </w:rPr>
        <w:t>“Enti territoriali e strumenti finanziari derivati: margini di utilità e rischi”</w:t>
      </w:r>
      <w:r w:rsidRPr="00D03E48">
        <w:rPr>
          <w:rFonts w:ascii="Garamond" w:hAnsi="Garamond"/>
          <w:sz w:val="22"/>
          <w:szCs w:val="22"/>
        </w:rPr>
        <w:t xml:space="preserve"> in AziendIt</w:t>
      </w:r>
      <w:r>
        <w:rPr>
          <w:rFonts w:ascii="Garamond" w:hAnsi="Garamond"/>
          <w:sz w:val="22"/>
          <w:szCs w:val="22"/>
        </w:rPr>
        <w:t>alia, maggio 2008, n. 5 pag. 5)</w:t>
      </w:r>
      <w:r w:rsidRPr="00D03E48">
        <w:rPr>
          <w:rFonts w:ascii="Garamond" w:hAnsi="Garamond"/>
          <w:sz w:val="22"/>
          <w:szCs w:val="22"/>
        </w:rPr>
        <w:t>.</w:t>
      </w:r>
    </w:p>
  </w:footnote>
  <w:footnote w:id="24">
    <w:p w:rsidR="003536D7" w:rsidRPr="00D03E48" w:rsidRDefault="003536D7" w:rsidP="004E3186">
      <w:pPr>
        <w:pStyle w:val="Testonotaapidipagina"/>
        <w:ind w:left="567" w:right="567"/>
        <w:jc w:val="both"/>
        <w:rPr>
          <w:rFonts w:ascii="Garamond" w:eastAsia="Arial" w:hAnsi="Garamond" w:cs="Arial"/>
          <w:color w:val="000000"/>
          <w:sz w:val="22"/>
          <w:szCs w:val="22"/>
        </w:rPr>
      </w:pPr>
      <w:r w:rsidRPr="00D03E48">
        <w:rPr>
          <w:rStyle w:val="Caratteredellanota"/>
          <w:rFonts w:ascii="Garamond" w:hAnsi="Garamond"/>
          <w:sz w:val="22"/>
          <w:szCs w:val="22"/>
        </w:rPr>
        <w:footnoteRef/>
      </w:r>
      <w:r>
        <w:rPr>
          <w:rFonts w:ascii="Garamond" w:hAnsi="Garamond"/>
          <w:sz w:val="22"/>
          <w:szCs w:val="22"/>
        </w:rPr>
        <w:t xml:space="preserve"> </w:t>
      </w:r>
      <w:r>
        <w:rPr>
          <w:rFonts w:ascii="Garamond" w:hAnsi="Garamond" w:cs="Arial"/>
          <w:color w:val="000000"/>
          <w:sz w:val="22"/>
          <w:szCs w:val="22"/>
        </w:rPr>
        <w:t xml:space="preserve">Vedasi le Deliberazioni </w:t>
      </w:r>
      <w:r w:rsidRPr="00D03E48">
        <w:rPr>
          <w:rFonts w:ascii="Garamond" w:hAnsi="Garamond" w:cs="Arial"/>
          <w:color w:val="000000"/>
          <w:sz w:val="22"/>
          <w:szCs w:val="22"/>
        </w:rPr>
        <w:t xml:space="preserve">Corte dei Conti </w:t>
      </w:r>
      <w:r>
        <w:rPr>
          <w:rFonts w:ascii="Garamond" w:hAnsi="Garamond" w:cs="Arial"/>
          <w:color w:val="000000"/>
          <w:sz w:val="22"/>
          <w:szCs w:val="22"/>
        </w:rPr>
        <w:t xml:space="preserve">- </w:t>
      </w:r>
      <w:r w:rsidRPr="00D03E48">
        <w:rPr>
          <w:rFonts w:ascii="Garamond" w:hAnsi="Garamond" w:cs="Arial"/>
          <w:color w:val="000000"/>
          <w:sz w:val="22"/>
          <w:szCs w:val="22"/>
        </w:rPr>
        <w:t>sez. reg. di controllo per la Lombardi</w:t>
      </w:r>
      <w:r>
        <w:rPr>
          <w:rFonts w:ascii="Garamond" w:hAnsi="Garamond" w:cs="Arial"/>
          <w:color w:val="000000"/>
          <w:sz w:val="22"/>
          <w:szCs w:val="22"/>
        </w:rPr>
        <w:t>a - n. 596 del 26 settembre 2007 e n. 52 del 2008:</w:t>
      </w:r>
      <w:r w:rsidRPr="00D03E48">
        <w:rPr>
          <w:rFonts w:ascii="Garamond" w:hAnsi="Garamond" w:cs="Arial"/>
          <w:color w:val="000000"/>
          <w:sz w:val="22"/>
          <w:szCs w:val="22"/>
        </w:rPr>
        <w:t xml:space="preserve"> </w:t>
      </w:r>
      <w:r w:rsidRPr="004E3186">
        <w:rPr>
          <w:rFonts w:ascii="Garamond" w:hAnsi="Garamond" w:cs="Arial"/>
          <w:i/>
          <w:color w:val="000000"/>
          <w:sz w:val="22"/>
          <w:szCs w:val="22"/>
        </w:rPr>
        <w:t>&lt;&lt; Il profilo assume essenziale rilevanza nei contratti stipulati dagli enti pubblici. Per questi enti, e in particolare per gli enti territoriali, il collegamento funzionale in quanto espressamente previsto dalla legge o in quanto connaturato con la natura degli enti pubblici entra nella causa giuridica del negozio, perché elemento oggettivo dello stesso previsto dalla legge. Ne consegue che per detti enti la mancata funzionalizzazione del contratto all’andamento dei rischi di mutui stipulati dall’ente si riflette sulla causa genetica dei contratti di swap."</w:t>
      </w:r>
      <w:r w:rsidRPr="00D03E48">
        <w:rPr>
          <w:rFonts w:ascii="Garamond" w:hAnsi="Garamond" w:cs="Arial"/>
          <w:color w:val="000000"/>
          <w:sz w:val="22"/>
          <w:szCs w:val="22"/>
        </w:rPr>
        <w:t xml:space="preserve">; analogamente </w:t>
      </w:r>
      <w:r w:rsidRPr="00D03E48">
        <w:rPr>
          <w:rFonts w:ascii="Garamond" w:eastAsia="Arial" w:hAnsi="Garamond" w:cs="Arial"/>
          <w:color w:val="000000"/>
          <w:sz w:val="22"/>
          <w:szCs w:val="22"/>
        </w:rPr>
        <w:t>Corte Conti sez. reg. Molise n. 34/20</w:t>
      </w:r>
      <w:r>
        <w:rPr>
          <w:rFonts w:ascii="Garamond" w:eastAsia="Arial" w:hAnsi="Garamond" w:cs="Arial"/>
          <w:color w:val="000000"/>
          <w:sz w:val="22"/>
          <w:szCs w:val="22"/>
        </w:rPr>
        <w:t xml:space="preserve">09 del 23.07.2009 secondo cui  </w:t>
      </w:r>
      <w:r w:rsidRPr="004E3186">
        <w:rPr>
          <w:rFonts w:ascii="Garamond" w:eastAsia="Arial" w:hAnsi="Garamond" w:cs="Arial"/>
          <w:i/>
          <w:color w:val="000000"/>
          <w:sz w:val="22"/>
          <w:szCs w:val="22"/>
        </w:rPr>
        <w:t>&lt;&lt; l’operazione deve essere sempre riferita ad un sottostante debito con il quale sussiste un collegamento funzionale che, in quanto espressamente previsto dalla legge e collegato alla natura degli enti pubblici, penetra nella causa del negozio giuridico. La mancata funzionalizzazione del contratto all’andamento dei rischi scaturenti da mutui stipulati dall’ente si riflette, pertanto, sull’aspetto genetico del contratto di swap di tasso di interess</w:t>
      </w:r>
      <w:r>
        <w:rPr>
          <w:rFonts w:ascii="Garamond" w:eastAsia="Arial" w:hAnsi="Garamond" w:cs="Arial"/>
          <w:i/>
          <w:color w:val="000000"/>
          <w:sz w:val="22"/>
          <w:szCs w:val="22"/>
        </w:rPr>
        <w:t>e, viziandolo irrimediabilmente &gt;&gt;</w:t>
      </w:r>
      <w:r>
        <w:rPr>
          <w:rFonts w:ascii="Garamond" w:eastAsia="Arial" w:hAnsi="Garamond" w:cs="Arial"/>
          <w:color w:val="000000"/>
          <w:sz w:val="22"/>
          <w:szCs w:val="22"/>
        </w:rPr>
        <w:t>; n</w:t>
      </w:r>
      <w:r w:rsidRPr="00D03E48">
        <w:rPr>
          <w:rFonts w:ascii="Garamond" w:eastAsia="Arial" w:hAnsi="Garamond" w:cs="Arial"/>
          <w:color w:val="000000"/>
          <w:sz w:val="22"/>
          <w:szCs w:val="22"/>
        </w:rPr>
        <w:t xml:space="preserve">ello stesso senso ancora si sono espresse le Sezioni Riunite della Corte dei Conti con il documento di </w:t>
      </w:r>
      <w:r w:rsidRPr="00D03E48">
        <w:rPr>
          <w:rFonts w:ascii="Garamond" w:eastAsia="Arial" w:hAnsi="Garamond" w:cs="Arial"/>
          <w:i/>
          <w:iCs/>
          <w:color w:val="000000"/>
          <w:sz w:val="22"/>
          <w:szCs w:val="22"/>
        </w:rPr>
        <w:t>“Indagine conoscitiva sull'utilizzo e la diffusione degli strumenti di finanza derivata e delle cartolarizzazioni nelle pubbliche amministrazioni”</w:t>
      </w:r>
      <w:r w:rsidRPr="00D03E48">
        <w:rPr>
          <w:rFonts w:ascii="Garamond" w:eastAsia="Arial" w:hAnsi="Garamond" w:cs="Arial"/>
          <w:color w:val="000000"/>
          <w:sz w:val="22"/>
          <w:szCs w:val="22"/>
        </w:rPr>
        <w:t xml:space="preserve"> rassegnata alla 6° Commissione Finanze e Tesoro del Senato della Repubblica in data 18.02.2009 (documento reperibile in internet).</w:t>
      </w:r>
    </w:p>
  </w:footnote>
  <w:footnote w:id="25">
    <w:p w:rsidR="003536D7" w:rsidRPr="00AE1168" w:rsidRDefault="003536D7" w:rsidP="00964BCB">
      <w:pPr>
        <w:ind w:left="567" w:right="567"/>
        <w:jc w:val="both"/>
        <w:rPr>
          <w:rFonts w:ascii="Garamond" w:hAnsi="Garamond"/>
          <w:sz w:val="22"/>
          <w:szCs w:val="22"/>
        </w:rPr>
      </w:pPr>
      <w:r w:rsidRPr="00AE1168">
        <w:rPr>
          <w:rStyle w:val="Caratteredellanota"/>
          <w:rFonts w:ascii="Garamond" w:hAnsi="Garamond"/>
          <w:sz w:val="22"/>
          <w:szCs w:val="22"/>
        </w:rPr>
        <w:footnoteRef/>
      </w:r>
      <w:r>
        <w:rPr>
          <w:rFonts w:ascii="Garamond" w:hAnsi="Garamond"/>
          <w:sz w:val="22"/>
          <w:szCs w:val="22"/>
        </w:rPr>
        <w:t xml:space="preserve"> </w:t>
      </w:r>
      <w:r>
        <w:rPr>
          <w:rFonts w:ascii="Garamond" w:eastAsia="Arial" w:hAnsi="Garamond" w:cs="Arial"/>
          <w:color w:val="000000"/>
          <w:sz w:val="22"/>
          <w:szCs w:val="22"/>
        </w:rPr>
        <w:t>Corte a</w:t>
      </w:r>
      <w:r w:rsidRPr="00964BCB">
        <w:rPr>
          <w:rFonts w:ascii="Garamond" w:eastAsia="Arial" w:hAnsi="Garamond" w:cs="Arial"/>
          <w:color w:val="000000"/>
          <w:sz w:val="22"/>
          <w:szCs w:val="22"/>
        </w:rPr>
        <w:t>pp. Milano 18</w:t>
      </w:r>
      <w:r>
        <w:rPr>
          <w:rFonts w:ascii="Garamond" w:eastAsia="Arial" w:hAnsi="Garamond" w:cs="Arial"/>
          <w:color w:val="000000"/>
          <w:sz w:val="22"/>
          <w:szCs w:val="22"/>
        </w:rPr>
        <w:t xml:space="preserve"> settembre </w:t>
      </w:r>
      <w:r w:rsidRPr="00964BCB">
        <w:rPr>
          <w:rFonts w:ascii="Garamond" w:eastAsia="Arial" w:hAnsi="Garamond" w:cs="Arial"/>
          <w:color w:val="000000"/>
          <w:sz w:val="22"/>
          <w:szCs w:val="22"/>
        </w:rPr>
        <w:t>2013, n. 3459</w:t>
      </w:r>
      <w:r>
        <w:rPr>
          <w:rFonts w:ascii="Garamond" w:eastAsia="Arial" w:hAnsi="Garamond" w:cs="Arial"/>
          <w:color w:val="000000"/>
          <w:sz w:val="22"/>
          <w:szCs w:val="22"/>
        </w:rPr>
        <w:t>,</w:t>
      </w:r>
      <w:r w:rsidRPr="00964BCB">
        <w:rPr>
          <w:rFonts w:ascii="Garamond" w:eastAsia="Arial" w:hAnsi="Garamond" w:cs="Arial"/>
          <w:color w:val="000000"/>
          <w:sz w:val="22"/>
          <w:szCs w:val="22"/>
        </w:rPr>
        <w:t xml:space="preserve"> in </w:t>
      </w:r>
      <w:r>
        <w:rPr>
          <w:rFonts w:ascii="Garamond" w:eastAsia="Arial" w:hAnsi="Garamond" w:cs="Arial"/>
          <w:color w:val="000000"/>
          <w:sz w:val="22"/>
          <w:szCs w:val="22"/>
        </w:rPr>
        <w:t xml:space="preserve">www.Ilcaso.it. </w:t>
      </w:r>
      <w:r w:rsidRPr="00964BCB">
        <w:rPr>
          <w:rFonts w:ascii="Garamond" w:eastAsia="Arial" w:hAnsi="Garamond" w:cs="Arial"/>
          <w:color w:val="000000"/>
          <w:sz w:val="22"/>
          <w:szCs w:val="22"/>
        </w:rPr>
        <w:t xml:space="preserve">Si è, </w:t>
      </w:r>
      <w:r>
        <w:rPr>
          <w:rFonts w:ascii="Garamond" w:eastAsia="Arial" w:hAnsi="Garamond" w:cs="Arial"/>
          <w:color w:val="000000"/>
          <w:sz w:val="22"/>
          <w:szCs w:val="22"/>
        </w:rPr>
        <w:t xml:space="preserve">d’altra parte, </w:t>
      </w:r>
      <w:r w:rsidRPr="00964BCB">
        <w:rPr>
          <w:rFonts w:ascii="Garamond" w:eastAsia="Arial" w:hAnsi="Garamond" w:cs="Arial"/>
          <w:color w:val="000000"/>
          <w:sz w:val="22"/>
          <w:szCs w:val="22"/>
        </w:rPr>
        <w:t xml:space="preserve">precisato che, per poter essere considerati di “copertura”, i </w:t>
      </w:r>
      <w:r>
        <w:rPr>
          <w:rFonts w:ascii="Garamond" w:eastAsia="Arial" w:hAnsi="Garamond" w:cs="Arial"/>
          <w:color w:val="000000"/>
          <w:sz w:val="22"/>
          <w:szCs w:val="22"/>
        </w:rPr>
        <w:t>“</w:t>
      </w:r>
      <w:r w:rsidRPr="00964BCB">
        <w:rPr>
          <w:rFonts w:ascii="Garamond" w:eastAsia="Arial" w:hAnsi="Garamond" w:cs="Arial"/>
          <w:color w:val="000000"/>
          <w:sz w:val="22"/>
          <w:szCs w:val="22"/>
        </w:rPr>
        <w:t>derivati</w:t>
      </w:r>
      <w:r>
        <w:rPr>
          <w:rFonts w:ascii="Garamond" w:eastAsia="Arial" w:hAnsi="Garamond" w:cs="Arial"/>
          <w:color w:val="000000"/>
          <w:sz w:val="22"/>
          <w:szCs w:val="22"/>
        </w:rPr>
        <w:t>”</w:t>
      </w:r>
      <w:r w:rsidRPr="00964BCB">
        <w:rPr>
          <w:rFonts w:ascii="Garamond" w:eastAsia="Arial" w:hAnsi="Garamond" w:cs="Arial"/>
          <w:color w:val="000000"/>
          <w:sz w:val="22"/>
          <w:szCs w:val="22"/>
        </w:rPr>
        <w:t xml:space="preserve"> devono avere le seguenti caratteristiche: a) siano esplicitamente posti in essere al fine di ridurre la rischiosità di altre posizioni debitorie del cliente; b) vi sia una chiara correlazione tra le caratteristiche tecnico-finanziarie dell'oggetto della copertura e lo strumento derivato e detta correlazione sia documentata ed approvata dalle parti; c) siano contemplate procedure e misure di controllo idonee ad assicurare che le condizioni di cui sopra ricorrano effettivamente (vedi Corte app. Milano </w:t>
      </w:r>
      <w:r>
        <w:rPr>
          <w:rFonts w:ascii="Garamond" w:eastAsia="Arial" w:hAnsi="Garamond" w:cs="Arial"/>
          <w:color w:val="000000"/>
          <w:sz w:val="22"/>
          <w:szCs w:val="22"/>
        </w:rPr>
        <w:t xml:space="preserve">3 maggio 2013, </w:t>
      </w:r>
      <w:r w:rsidRPr="00964BCB">
        <w:rPr>
          <w:rFonts w:ascii="Garamond" w:eastAsia="Arial" w:hAnsi="Garamond" w:cs="Arial"/>
          <w:color w:val="000000"/>
          <w:sz w:val="22"/>
          <w:szCs w:val="22"/>
        </w:rPr>
        <w:t>n. 141; Trib. Novara 19</w:t>
      </w:r>
      <w:r>
        <w:rPr>
          <w:rFonts w:ascii="Garamond" w:eastAsia="Arial" w:hAnsi="Garamond" w:cs="Arial"/>
          <w:color w:val="000000"/>
          <w:sz w:val="22"/>
          <w:szCs w:val="22"/>
        </w:rPr>
        <w:t xml:space="preserve"> luglio 2012, n. 569 in www.Ilcaso.it;</w:t>
      </w:r>
      <w:r w:rsidRPr="00964BCB">
        <w:rPr>
          <w:rFonts w:ascii="Garamond" w:eastAsia="Arial" w:hAnsi="Garamond" w:cs="Arial"/>
          <w:color w:val="000000"/>
          <w:sz w:val="22"/>
          <w:szCs w:val="22"/>
        </w:rPr>
        <w:t xml:space="preserve"> </w:t>
      </w:r>
      <w:r>
        <w:rPr>
          <w:rFonts w:ascii="Garamond" w:eastAsia="Arial" w:hAnsi="Garamond" w:cs="Arial"/>
          <w:color w:val="000000"/>
          <w:sz w:val="22"/>
          <w:szCs w:val="22"/>
        </w:rPr>
        <w:t xml:space="preserve">vedi anche </w:t>
      </w:r>
      <w:r w:rsidRPr="00964BCB">
        <w:rPr>
          <w:rFonts w:ascii="Garamond" w:eastAsia="Arial" w:hAnsi="Garamond" w:cs="Arial"/>
          <w:color w:val="000000"/>
          <w:sz w:val="22"/>
          <w:szCs w:val="22"/>
        </w:rPr>
        <w:t>comunicazioni Consob del 06.08.1998, del 26.02.1999 e del 11.04.2001).</w:t>
      </w:r>
    </w:p>
  </w:footnote>
  <w:footnote w:id="26">
    <w:p w:rsidR="003536D7" w:rsidRPr="00D03E48" w:rsidRDefault="003536D7" w:rsidP="004D2E68">
      <w:pPr>
        <w:pStyle w:val="Testonotaapidipagina"/>
        <w:spacing w:line="100" w:lineRule="atLeast"/>
        <w:ind w:left="567" w:right="567"/>
        <w:jc w:val="both"/>
        <w:rPr>
          <w:rFonts w:ascii="Garamond" w:hAnsi="Garamond"/>
          <w:sz w:val="22"/>
          <w:szCs w:val="22"/>
        </w:rPr>
      </w:pPr>
      <w:r w:rsidRPr="00D03E48">
        <w:rPr>
          <w:rStyle w:val="Caratteredellanota"/>
          <w:rFonts w:ascii="Garamond" w:hAnsi="Garamond"/>
          <w:sz w:val="22"/>
          <w:szCs w:val="22"/>
        </w:rPr>
        <w:footnoteRef/>
      </w:r>
      <w:r>
        <w:rPr>
          <w:rFonts w:ascii="Garamond" w:hAnsi="Garamond"/>
          <w:sz w:val="22"/>
          <w:szCs w:val="22"/>
        </w:rPr>
        <w:t xml:space="preserve"> </w:t>
      </w:r>
      <w:r w:rsidRPr="00D03E48">
        <w:rPr>
          <w:rFonts w:ascii="Garamond" w:hAnsi="Garamond"/>
          <w:sz w:val="22"/>
          <w:szCs w:val="22"/>
        </w:rPr>
        <w:t>In questi termini Trib. Salerno 21</w:t>
      </w:r>
      <w:r>
        <w:rPr>
          <w:rFonts w:ascii="Garamond" w:hAnsi="Garamond"/>
          <w:sz w:val="22"/>
          <w:szCs w:val="22"/>
        </w:rPr>
        <w:t xml:space="preserve"> giugno 2011 (in</w:t>
      </w:r>
      <w:r w:rsidRPr="00D03E48">
        <w:rPr>
          <w:rFonts w:ascii="Garamond" w:hAnsi="Garamond"/>
          <w:sz w:val="22"/>
          <w:szCs w:val="22"/>
        </w:rPr>
        <w:t xml:space="preserve"> </w:t>
      </w:r>
      <w:r>
        <w:rPr>
          <w:rFonts w:ascii="Garamond" w:hAnsi="Garamond"/>
          <w:sz w:val="22"/>
          <w:szCs w:val="22"/>
        </w:rPr>
        <w:t>www.</w:t>
      </w:r>
      <w:r w:rsidRPr="00D03E48">
        <w:rPr>
          <w:rFonts w:ascii="Garamond" w:hAnsi="Garamond"/>
          <w:sz w:val="22"/>
          <w:szCs w:val="22"/>
        </w:rPr>
        <w:t>IlCaso.it) che, partendo dalla nozione di “negozi collegati” e ravvisando un collegamento negoziale tra il derivato con finalità di copertura ed il mutuo sottostante, afferma</w:t>
      </w:r>
      <w:r>
        <w:rPr>
          <w:rFonts w:ascii="Garamond" w:hAnsi="Garamond"/>
          <w:sz w:val="22"/>
          <w:szCs w:val="22"/>
        </w:rPr>
        <w:t xml:space="preserve"> che in questi casi </w:t>
      </w:r>
      <w:r w:rsidRPr="00964BCB">
        <w:rPr>
          <w:rFonts w:ascii="Garamond" w:hAnsi="Garamond"/>
          <w:i/>
          <w:sz w:val="22"/>
          <w:szCs w:val="22"/>
        </w:rPr>
        <w:t>&lt;&lt; il contratto di swap non può essere riguardato singolarmente, ma unitamente a quello di mutuo cui è strettamente strumentale … con la conseguenza che la sorte del contratto di mutuo incide anche sulla sorte di quello di swap. Pertanto, se al contratto di mutuo le parti non hanno dato attuazione, ciò non può non influire sul contratto di swap, la cui funzione di copertura è venuta meno, in quanto non v'è alc</w:t>
      </w:r>
      <w:r>
        <w:rPr>
          <w:rFonts w:ascii="Garamond" w:hAnsi="Garamond"/>
          <w:i/>
          <w:sz w:val="22"/>
          <w:szCs w:val="22"/>
        </w:rPr>
        <w:t>un adempimento da garantire ... &gt;&gt;</w:t>
      </w:r>
      <w:r w:rsidRPr="00D03E48">
        <w:rPr>
          <w:rFonts w:ascii="Garamond" w:hAnsi="Garamond"/>
          <w:sz w:val="22"/>
          <w:szCs w:val="22"/>
        </w:rPr>
        <w:t>. Sulla stessa linea Trib. Lucera 26</w:t>
      </w:r>
      <w:r>
        <w:rPr>
          <w:rFonts w:ascii="Garamond" w:hAnsi="Garamond"/>
          <w:sz w:val="22"/>
          <w:szCs w:val="22"/>
        </w:rPr>
        <w:t xml:space="preserve"> aprile </w:t>
      </w:r>
      <w:r w:rsidRPr="00D03E48">
        <w:rPr>
          <w:rFonts w:ascii="Garamond" w:hAnsi="Garamond"/>
          <w:sz w:val="22"/>
          <w:szCs w:val="22"/>
        </w:rPr>
        <w:t>2012 (</w:t>
      </w:r>
      <w:r>
        <w:rPr>
          <w:rFonts w:ascii="Garamond" w:hAnsi="Garamond"/>
          <w:sz w:val="22"/>
          <w:szCs w:val="22"/>
        </w:rPr>
        <w:t xml:space="preserve">in www.IlCaso.it) secondo il quale </w:t>
      </w:r>
      <w:r w:rsidRPr="005A2189">
        <w:rPr>
          <w:rFonts w:ascii="Garamond" w:hAnsi="Garamond"/>
          <w:i/>
          <w:sz w:val="22"/>
          <w:szCs w:val="22"/>
        </w:rPr>
        <w:t>&lt;&lt; deve assumersi in modo altrettanto pacifico l'esistenza di un collegamento negoziale tra strumento di finanziamento e quello di copertura, che ha natura non solo economica ma negoziale ravvisandosi un'interdipendenza funzionale fra i medesimi, utilizzati in combinazione strumentalmente volta a realizzare lo scopo pratico unitario, costituente la causa concreta della complessiva operazione, specifica ed autonoma rispetto a quella dei singoli contratti;”</w:t>
      </w:r>
      <w:r w:rsidRPr="00D03E48">
        <w:rPr>
          <w:rFonts w:ascii="Garamond" w:hAnsi="Garamond"/>
          <w:sz w:val="22"/>
          <w:szCs w:val="22"/>
        </w:rPr>
        <w:t xml:space="preserve">. Vedi anche Trib. Brindisi  29.01.2013 (in </w:t>
      </w:r>
      <w:r>
        <w:rPr>
          <w:rFonts w:ascii="Garamond" w:hAnsi="Garamond"/>
          <w:sz w:val="22"/>
          <w:szCs w:val="22"/>
        </w:rPr>
        <w:t xml:space="preserve">www.IlCaso.it), secondo il quale </w:t>
      </w:r>
      <w:r w:rsidRPr="005A2189">
        <w:rPr>
          <w:rFonts w:ascii="Garamond" w:hAnsi="Garamond"/>
          <w:i/>
          <w:sz w:val="22"/>
          <w:szCs w:val="22"/>
        </w:rPr>
        <w:t>&lt;&lt; in presenza di una risoluzione anticipata dei contratti di mutuo e venuta meno la suddetta esigenza di copertura, il contratto di swap … deve ritenersi oramai privo di giustificazione e sprovvisto di una funzione economico-sociale meritevole di tutela, con conseguente applicabilità del princ</w:t>
      </w:r>
      <w:r>
        <w:rPr>
          <w:rFonts w:ascii="Garamond" w:hAnsi="Garamond"/>
          <w:i/>
          <w:sz w:val="22"/>
          <w:szCs w:val="22"/>
        </w:rPr>
        <w:t>ipio simul stabunt simul cadent &gt;&gt;</w:t>
      </w:r>
      <w:r w:rsidRPr="00D03E48">
        <w:rPr>
          <w:rFonts w:ascii="Garamond" w:hAnsi="Garamond"/>
          <w:sz w:val="22"/>
          <w:szCs w:val="22"/>
        </w:rPr>
        <w:t>.</w:t>
      </w:r>
    </w:p>
  </w:footnote>
  <w:footnote w:id="27">
    <w:p w:rsidR="003536D7" w:rsidRPr="009C0FDF" w:rsidRDefault="003536D7" w:rsidP="009C0FDF">
      <w:pPr>
        <w:pStyle w:val="Testonotaapidipagina"/>
        <w:spacing w:line="100" w:lineRule="atLeast"/>
        <w:ind w:left="567" w:right="567"/>
        <w:jc w:val="both"/>
        <w:rPr>
          <w:rFonts w:ascii="Garamond" w:hAnsi="Garamond"/>
          <w:sz w:val="22"/>
          <w:szCs w:val="22"/>
        </w:rPr>
      </w:pPr>
      <w:r w:rsidRPr="00D03E48">
        <w:rPr>
          <w:rStyle w:val="Caratteredellanota"/>
          <w:rFonts w:ascii="Garamond" w:hAnsi="Garamond"/>
          <w:sz w:val="22"/>
          <w:szCs w:val="22"/>
        </w:rPr>
        <w:footnoteRef/>
      </w:r>
      <w:r w:rsidRPr="009C0FDF">
        <w:rPr>
          <w:rFonts w:ascii="Garamond" w:hAnsi="Garamond"/>
          <w:sz w:val="22"/>
          <w:szCs w:val="22"/>
        </w:rPr>
        <w:t xml:space="preserve"> Cass. civ.</w:t>
      </w:r>
      <w:r>
        <w:rPr>
          <w:rFonts w:ascii="Garamond" w:hAnsi="Garamond"/>
          <w:sz w:val="22"/>
          <w:szCs w:val="22"/>
        </w:rPr>
        <w:t>,</w:t>
      </w:r>
      <w:r w:rsidRPr="009C0FDF">
        <w:rPr>
          <w:rFonts w:ascii="Garamond" w:hAnsi="Garamond"/>
          <w:sz w:val="22"/>
          <w:szCs w:val="22"/>
        </w:rPr>
        <w:t xml:space="preserve"> sez. III</w:t>
      </w:r>
      <w:r>
        <w:rPr>
          <w:rFonts w:ascii="Garamond" w:hAnsi="Garamond"/>
          <w:sz w:val="22"/>
          <w:szCs w:val="22"/>
        </w:rPr>
        <w:t>,</w:t>
      </w:r>
      <w:r w:rsidRPr="009C0FDF">
        <w:rPr>
          <w:rFonts w:ascii="Garamond" w:hAnsi="Garamond"/>
          <w:sz w:val="22"/>
          <w:szCs w:val="22"/>
        </w:rPr>
        <w:t xml:space="preserve"> 28 lugli</w:t>
      </w:r>
      <w:r>
        <w:rPr>
          <w:rFonts w:ascii="Garamond" w:hAnsi="Garamond"/>
          <w:sz w:val="22"/>
          <w:szCs w:val="22"/>
        </w:rPr>
        <w:t>o 2017, n. 18781.</w:t>
      </w:r>
    </w:p>
  </w:footnote>
  <w:footnote w:id="28">
    <w:p w:rsidR="003536D7" w:rsidRPr="009C0FDF" w:rsidRDefault="003536D7" w:rsidP="002D06CF">
      <w:pPr>
        <w:pStyle w:val="Testonotaapidipagina"/>
        <w:ind w:left="567" w:right="567"/>
        <w:jc w:val="both"/>
        <w:rPr>
          <w:rFonts w:ascii="Garamond" w:hAnsi="Garamond"/>
          <w:sz w:val="22"/>
          <w:szCs w:val="22"/>
        </w:rPr>
      </w:pPr>
      <w:r w:rsidRPr="00D03E48">
        <w:rPr>
          <w:rStyle w:val="Caratteredellanota"/>
          <w:rFonts w:ascii="Garamond" w:hAnsi="Garamond"/>
          <w:sz w:val="22"/>
          <w:szCs w:val="22"/>
        </w:rPr>
        <w:footnoteRef/>
      </w:r>
      <w:r>
        <w:rPr>
          <w:rFonts w:ascii="Garamond" w:hAnsi="Garamond"/>
          <w:sz w:val="22"/>
          <w:szCs w:val="22"/>
        </w:rPr>
        <w:t xml:space="preserve"> Detta prospettazione difensiva era stata decisamente respinta dal </w:t>
      </w:r>
      <w:r w:rsidRPr="0075445A">
        <w:rPr>
          <w:rFonts w:ascii="Garamond" w:hAnsi="Garamond"/>
          <w:sz w:val="22"/>
          <w:szCs w:val="22"/>
        </w:rPr>
        <w:t xml:space="preserve">Tribunale di Bologna con la sentenza </w:t>
      </w:r>
      <w:r>
        <w:rPr>
          <w:rFonts w:ascii="Garamond" w:hAnsi="Garamond"/>
          <w:sz w:val="22"/>
          <w:szCs w:val="22"/>
        </w:rPr>
        <w:t xml:space="preserve">di primo grado (n. 5244 del </w:t>
      </w:r>
      <w:r w:rsidRPr="0075445A">
        <w:rPr>
          <w:rFonts w:ascii="Garamond" w:hAnsi="Garamond"/>
          <w:sz w:val="22"/>
          <w:szCs w:val="22"/>
        </w:rPr>
        <w:t>2009</w:t>
      </w:r>
      <w:r>
        <w:rPr>
          <w:rFonts w:ascii="Garamond" w:hAnsi="Garamond"/>
          <w:sz w:val="22"/>
          <w:szCs w:val="22"/>
        </w:rPr>
        <w:t>)</w:t>
      </w:r>
      <w:r w:rsidRPr="0075445A">
        <w:rPr>
          <w:rFonts w:ascii="Garamond" w:hAnsi="Garamond"/>
          <w:sz w:val="22"/>
          <w:szCs w:val="22"/>
        </w:rPr>
        <w:t xml:space="preserve">, </w:t>
      </w:r>
      <w:r>
        <w:rPr>
          <w:rFonts w:ascii="Garamond" w:hAnsi="Garamond"/>
          <w:sz w:val="22"/>
          <w:szCs w:val="22"/>
        </w:rPr>
        <w:t xml:space="preserve">secondo la quale </w:t>
      </w:r>
      <w:r w:rsidRPr="0075445A">
        <w:rPr>
          <w:rFonts w:ascii="Garamond" w:hAnsi="Garamond"/>
          <w:sz w:val="22"/>
          <w:szCs w:val="22"/>
        </w:rPr>
        <w:t>l'</w:t>
      </w:r>
      <w:r w:rsidRPr="00370C6E">
        <w:rPr>
          <w:rFonts w:ascii="Garamond" w:hAnsi="Garamond"/>
          <w:i/>
          <w:sz w:val="22"/>
          <w:szCs w:val="22"/>
        </w:rPr>
        <w:t>up-front</w:t>
      </w:r>
      <w:r>
        <w:rPr>
          <w:rFonts w:ascii="Garamond" w:hAnsi="Garamond"/>
          <w:sz w:val="22"/>
          <w:szCs w:val="22"/>
        </w:rPr>
        <w:t xml:space="preserve"> doveva considerarsi soltanto una mera modalità di</w:t>
      </w:r>
      <w:r w:rsidRPr="0075445A">
        <w:rPr>
          <w:rFonts w:ascii="Garamond" w:hAnsi="Garamond"/>
          <w:sz w:val="22"/>
          <w:szCs w:val="22"/>
        </w:rPr>
        <w:t xml:space="preserve"> pagamento </w:t>
      </w:r>
      <w:r>
        <w:rPr>
          <w:rFonts w:ascii="Garamond" w:hAnsi="Garamond"/>
          <w:sz w:val="22"/>
          <w:szCs w:val="22"/>
        </w:rPr>
        <w:t>inidonea ad incidere sulla causa del contratto</w:t>
      </w:r>
      <w:r w:rsidRPr="0075445A">
        <w:rPr>
          <w:rFonts w:ascii="Garamond" w:hAnsi="Garamond"/>
          <w:sz w:val="22"/>
          <w:szCs w:val="22"/>
        </w:rPr>
        <w:t>.</w:t>
      </w:r>
      <w:r>
        <w:rPr>
          <w:rFonts w:ascii="Garamond" w:hAnsi="Garamond"/>
          <w:sz w:val="22"/>
          <w:szCs w:val="22"/>
        </w:rPr>
        <w:t xml:space="preserve"> Di diverso avviso era stata, invece, la Corte di Appello di Bologna (con la sentenza n. 734 del 2014) che aveva parlato di </w:t>
      </w:r>
      <w:r>
        <w:rPr>
          <w:rFonts w:ascii="Garamond" w:hAnsi="Garamond"/>
          <w:i/>
          <w:sz w:val="22"/>
          <w:szCs w:val="22"/>
        </w:rPr>
        <w:t>&lt;&lt; una enucleabile sottocategoria di swaps connotati da una specifica forma di indebitamento possibilmente individuabile nella clausola di up-front, con conseguente integrazione della relativa disciplina, anche se più restrittiva per la sottocategoria individuata. &gt;&gt;</w:t>
      </w:r>
      <w:r>
        <w:rPr>
          <w:rFonts w:ascii="Garamond" w:hAnsi="Garamond"/>
          <w:sz w:val="22"/>
          <w:szCs w:val="22"/>
        </w:rPr>
        <w:t>.</w:t>
      </w:r>
    </w:p>
  </w:footnote>
  <w:footnote w:id="29">
    <w:p w:rsidR="003536D7" w:rsidRPr="009C0FDF" w:rsidRDefault="003536D7" w:rsidP="00DB1210">
      <w:pPr>
        <w:ind w:left="567" w:right="567"/>
        <w:jc w:val="both"/>
        <w:rPr>
          <w:rFonts w:ascii="Garamond" w:hAnsi="Garamond"/>
          <w:sz w:val="22"/>
          <w:szCs w:val="22"/>
        </w:rPr>
      </w:pPr>
      <w:r w:rsidRPr="00D03E48">
        <w:rPr>
          <w:rStyle w:val="Caratteredellanota"/>
          <w:rFonts w:ascii="Garamond" w:hAnsi="Garamond"/>
          <w:sz w:val="22"/>
          <w:szCs w:val="22"/>
        </w:rPr>
        <w:footnoteRef/>
      </w:r>
      <w:r>
        <w:rPr>
          <w:rFonts w:ascii="Garamond" w:hAnsi="Garamond"/>
          <w:sz w:val="22"/>
          <w:szCs w:val="22"/>
        </w:rPr>
        <w:t xml:space="preserve"> Ed anche l</w:t>
      </w:r>
      <w:r w:rsidRPr="00DB1210">
        <w:rPr>
          <w:rFonts w:ascii="Garamond" w:hAnsi="Garamond" w:cs="Arial"/>
          <w:color w:val="000000"/>
          <w:sz w:val="22"/>
          <w:szCs w:val="22"/>
        </w:rPr>
        <w:t>a Nota Istat del 22</w:t>
      </w:r>
      <w:r>
        <w:rPr>
          <w:rFonts w:ascii="Garamond" w:hAnsi="Garamond" w:cs="Arial"/>
          <w:color w:val="000000"/>
          <w:sz w:val="22"/>
          <w:szCs w:val="22"/>
        </w:rPr>
        <w:t xml:space="preserve"> ottobre </w:t>
      </w:r>
      <w:r w:rsidRPr="00DB1210">
        <w:rPr>
          <w:rFonts w:ascii="Garamond" w:hAnsi="Garamond" w:cs="Arial"/>
          <w:color w:val="000000"/>
          <w:sz w:val="22"/>
          <w:szCs w:val="22"/>
        </w:rPr>
        <w:t>2008, illustrando la metodologia di calco</w:t>
      </w:r>
      <w:r>
        <w:rPr>
          <w:rFonts w:ascii="Garamond" w:hAnsi="Garamond" w:cs="Arial"/>
          <w:color w:val="000000"/>
          <w:sz w:val="22"/>
          <w:szCs w:val="22"/>
        </w:rPr>
        <w:t>lo dell'</w:t>
      </w:r>
      <w:r w:rsidRPr="00A61E59">
        <w:rPr>
          <w:rFonts w:ascii="Garamond" w:hAnsi="Garamond" w:cs="Arial"/>
          <w:i/>
          <w:color w:val="000000"/>
          <w:sz w:val="22"/>
          <w:szCs w:val="22"/>
        </w:rPr>
        <w:t>”indebitamento”</w:t>
      </w:r>
      <w:r>
        <w:rPr>
          <w:rFonts w:ascii="Garamond" w:hAnsi="Garamond" w:cs="Arial"/>
          <w:color w:val="000000"/>
          <w:sz w:val="22"/>
          <w:szCs w:val="22"/>
        </w:rPr>
        <w:t xml:space="preserve"> delle Pubbliche amministrazioni</w:t>
      </w:r>
      <w:r w:rsidRPr="00DB1210">
        <w:rPr>
          <w:rFonts w:ascii="Garamond" w:hAnsi="Garamond" w:cs="Arial"/>
          <w:color w:val="000000"/>
          <w:sz w:val="22"/>
          <w:szCs w:val="22"/>
        </w:rPr>
        <w:t xml:space="preserve"> secondo il Trattato di M</w:t>
      </w:r>
      <w:r>
        <w:rPr>
          <w:rFonts w:ascii="Garamond" w:hAnsi="Garamond" w:cs="Arial"/>
          <w:color w:val="000000"/>
          <w:sz w:val="22"/>
          <w:szCs w:val="22"/>
        </w:rPr>
        <w:t>a</w:t>
      </w:r>
      <w:r w:rsidRPr="00DB1210">
        <w:rPr>
          <w:rFonts w:ascii="Garamond" w:hAnsi="Garamond" w:cs="Arial"/>
          <w:color w:val="000000"/>
          <w:sz w:val="22"/>
          <w:szCs w:val="22"/>
        </w:rPr>
        <w:t xml:space="preserve">astricht, </w:t>
      </w:r>
      <w:r>
        <w:rPr>
          <w:rFonts w:ascii="Garamond" w:hAnsi="Garamond" w:cs="Arial"/>
          <w:color w:val="000000"/>
          <w:sz w:val="22"/>
          <w:szCs w:val="22"/>
        </w:rPr>
        <w:t xml:space="preserve">aveva precisato </w:t>
      </w:r>
      <w:r w:rsidRPr="00DB1210">
        <w:rPr>
          <w:rFonts w:ascii="Garamond" w:hAnsi="Garamond" w:cs="Arial"/>
          <w:color w:val="000000"/>
          <w:sz w:val="22"/>
          <w:szCs w:val="22"/>
        </w:rPr>
        <w:t xml:space="preserve">che </w:t>
      </w:r>
      <w:r>
        <w:rPr>
          <w:rFonts w:ascii="Garamond" w:hAnsi="Garamond" w:cs="Arial"/>
          <w:i/>
          <w:iCs/>
          <w:color w:val="000000"/>
          <w:sz w:val="22"/>
          <w:szCs w:val="22"/>
        </w:rPr>
        <w:t>“</w:t>
      </w:r>
      <w:r w:rsidRPr="00DB1210">
        <w:rPr>
          <w:rFonts w:ascii="Garamond" w:hAnsi="Garamond" w:cs="Arial"/>
          <w:i/>
          <w:iCs/>
          <w:color w:val="000000"/>
          <w:sz w:val="22"/>
          <w:szCs w:val="22"/>
        </w:rPr>
        <w:t xml:space="preserve">eventuali somme una tantum incassate dalle pubbliche amministrazioni debbano essere considerate come prestiti e quindi incluse </w:t>
      </w:r>
      <w:r>
        <w:rPr>
          <w:rFonts w:ascii="Garamond" w:hAnsi="Garamond" w:cs="Arial"/>
          <w:i/>
          <w:iCs/>
          <w:color w:val="000000"/>
          <w:sz w:val="22"/>
          <w:szCs w:val="22"/>
        </w:rPr>
        <w:t>nel calcolo del debito pubblico”</w:t>
      </w:r>
      <w:r w:rsidRPr="00DB1210">
        <w:rPr>
          <w:rFonts w:ascii="Garamond" w:hAnsi="Garamond" w:cs="Arial"/>
          <w:i/>
          <w:iCs/>
          <w:color w:val="000000"/>
          <w:sz w:val="22"/>
          <w:szCs w:val="22"/>
        </w:rPr>
        <w:t>.</w:t>
      </w:r>
    </w:p>
  </w:footnote>
  <w:footnote w:id="30">
    <w:p w:rsidR="003536D7" w:rsidRPr="002064A8" w:rsidRDefault="003536D7" w:rsidP="00A61E59">
      <w:pPr>
        <w:ind w:left="567" w:right="567"/>
        <w:jc w:val="both"/>
        <w:rPr>
          <w:rFonts w:ascii="Garamond" w:hAnsi="Garamond"/>
          <w:i/>
          <w:sz w:val="22"/>
          <w:szCs w:val="22"/>
        </w:rPr>
      </w:pPr>
      <w:r w:rsidRPr="00D03E48">
        <w:rPr>
          <w:rStyle w:val="Caratteredellanota"/>
          <w:rFonts w:ascii="Garamond" w:hAnsi="Garamond"/>
          <w:sz w:val="22"/>
          <w:szCs w:val="22"/>
        </w:rPr>
        <w:footnoteRef/>
      </w:r>
      <w:r>
        <w:rPr>
          <w:rFonts w:ascii="Garamond" w:hAnsi="Garamond" w:cs="Arial"/>
          <w:i/>
          <w:iCs/>
          <w:color w:val="000000"/>
          <w:sz w:val="22"/>
          <w:szCs w:val="22"/>
        </w:rPr>
        <w:t xml:space="preserve"> </w:t>
      </w:r>
      <w:r w:rsidRPr="002064A8">
        <w:rPr>
          <w:rFonts w:ascii="Garamond" w:hAnsi="Garamond" w:cs="Arial"/>
          <w:iCs/>
          <w:color w:val="000000"/>
          <w:sz w:val="22"/>
          <w:szCs w:val="22"/>
        </w:rPr>
        <w:t xml:space="preserve">Rilevava la sezione che </w:t>
      </w:r>
      <w:r w:rsidRPr="002064A8">
        <w:rPr>
          <w:rFonts w:ascii="Garamond" w:hAnsi="Garamond" w:cs="Arial"/>
          <w:i/>
          <w:iCs/>
          <w:color w:val="000000"/>
          <w:sz w:val="22"/>
          <w:szCs w:val="22"/>
        </w:rPr>
        <w:t xml:space="preserve">&lt;&lt; </w:t>
      </w:r>
      <w:r w:rsidRPr="002064A8">
        <w:rPr>
          <w:rFonts w:ascii="Garamond" w:hAnsi="Garamond"/>
          <w:i/>
          <w:color w:val="000000"/>
          <w:sz w:val="22"/>
          <w:szCs w:val="22"/>
        </w:rPr>
        <w:t>Si è opinato, però, sia in dottrina che in giurisprudenza, che la somma erogata dalla banca al cliente - che può trovare diversi fondamenti giustificativi sul piano pratico (riduzione del rischio verso la controparte che paga l'upfront, esigenze di liquidità, semplice incentivo del cliente alla stipula di un contratto di contenuto aleatorio) - sia suscettibile di assolvere a una funzione creditizia (generando un obbligo restitutorio che si attuerà con i pagamenti che il percettore dell'upfront dovrà porre in atto, al netto di quelli che dovrà ricevere). Seguendo tale impostazione, dunque, potrebbe ritenersi che la conclusione di swap con upfront consenta certamente all'ente locale di acquisire una disponibilità di cassa immediata, evidentemente utile per la gestione delle spese correnti o per il ripianamento di precedenti esposizioni debitorie (come è accaduto nel caso della seconda operazione oggetto di causa, in cui l'erogazione è stata quasi integralmente impiegata per sovvenire alle perdite prodottesi in precedenza), ma genererebbe, al contempo, un indebitamento (seppure potenziale, tenuto conto che il contratto è pur sempre aleatorio e la previsione dei flussi potrebbe rivelarsi errata in favore del cliente). &gt;&gt;</w:t>
      </w:r>
      <w:r>
        <w:rPr>
          <w:rFonts w:ascii="Garamond" w:hAnsi="Garamond"/>
          <w:color w:val="000000"/>
          <w:sz w:val="22"/>
          <w:szCs w:val="22"/>
        </w:rPr>
        <w:t xml:space="preserve"> (Cass. civ. sez. I ord. n. 493 del 2019).</w:t>
      </w:r>
    </w:p>
  </w:footnote>
  <w:footnote w:id="31">
    <w:p w:rsidR="003536D7" w:rsidRDefault="003536D7" w:rsidP="00C6109A">
      <w:pPr>
        <w:pStyle w:val="Testonotaapidipagina"/>
        <w:ind w:left="567" w:right="567"/>
        <w:jc w:val="both"/>
        <w:rPr>
          <w:rFonts w:ascii="Verdana" w:hAnsi="Verdana"/>
        </w:rPr>
      </w:pPr>
      <w:r w:rsidRPr="0075445A">
        <w:rPr>
          <w:rStyle w:val="Caratteredellanota"/>
          <w:rFonts w:ascii="Garamond" w:hAnsi="Garamond"/>
          <w:sz w:val="22"/>
          <w:szCs w:val="22"/>
        </w:rPr>
        <w:footnoteRef/>
      </w:r>
      <w:r w:rsidRPr="0075445A">
        <w:rPr>
          <w:rFonts w:ascii="Garamond" w:hAnsi="Garamond"/>
          <w:sz w:val="22"/>
          <w:szCs w:val="22"/>
        </w:rPr>
        <w:t xml:space="preserve"> Sul punto </w:t>
      </w:r>
      <w:r>
        <w:rPr>
          <w:rFonts w:ascii="Garamond" w:hAnsi="Garamond"/>
          <w:sz w:val="22"/>
          <w:szCs w:val="22"/>
        </w:rPr>
        <w:t xml:space="preserve">anche il Giudice di secondo grado aveva </w:t>
      </w:r>
      <w:r w:rsidRPr="0075445A">
        <w:rPr>
          <w:rFonts w:ascii="Garamond" w:hAnsi="Garamond"/>
          <w:sz w:val="22"/>
          <w:szCs w:val="22"/>
        </w:rPr>
        <w:t>afferma</w:t>
      </w:r>
      <w:r>
        <w:rPr>
          <w:rFonts w:ascii="Garamond" w:hAnsi="Garamond"/>
          <w:sz w:val="22"/>
          <w:szCs w:val="22"/>
        </w:rPr>
        <w:t>to</w:t>
      </w:r>
      <w:r w:rsidRPr="0075445A">
        <w:rPr>
          <w:rFonts w:ascii="Garamond" w:hAnsi="Garamond"/>
          <w:sz w:val="22"/>
          <w:szCs w:val="22"/>
        </w:rPr>
        <w:t xml:space="preserve"> che </w:t>
      </w:r>
      <w:r>
        <w:rPr>
          <w:rFonts w:ascii="Garamond" w:hAnsi="Garamond"/>
          <w:i/>
          <w:sz w:val="22"/>
          <w:szCs w:val="22"/>
        </w:rPr>
        <w:t xml:space="preserve"> &lt;&lt; </w:t>
      </w:r>
      <w:r w:rsidRPr="00C6109A">
        <w:rPr>
          <w:rFonts w:ascii="Garamond" w:hAnsi="Garamond"/>
          <w:i/>
          <w:sz w:val="22"/>
          <w:szCs w:val="22"/>
        </w:rPr>
        <w:t>Il fatto che la normativa amministrativa qualificatoria in termini di indebitamento per la clausola di up-front sia entrata in vigore successivamente a uno o più dei contratti in questione (l'art. 1 c. 739 e 740 l. 296/2006 e la l. 133/2008; il d.m. 389/2003) non significa che gli stessi non potessero essere anche precedentemente interpretati nel medesimo senso, senza che venga in rilievo alcuna applic</w:t>
      </w:r>
      <w:r>
        <w:rPr>
          <w:rFonts w:ascii="Garamond" w:hAnsi="Garamond"/>
          <w:i/>
          <w:sz w:val="22"/>
          <w:szCs w:val="22"/>
        </w:rPr>
        <w:t>azione retroattiva delle norme. &gt;&gt;</w:t>
      </w:r>
      <w:r>
        <w:rPr>
          <w:rFonts w:ascii="Garamond" w:hAnsi="Garamond"/>
          <w:sz w:val="22"/>
          <w:szCs w:val="22"/>
        </w:rPr>
        <w:t xml:space="preserve"> (Corte app. Bologna n. 734 del 2014).</w:t>
      </w:r>
    </w:p>
  </w:footnote>
  <w:footnote w:id="32">
    <w:p w:rsidR="003536D7" w:rsidRPr="0075445A" w:rsidRDefault="003536D7" w:rsidP="00AF538B">
      <w:pPr>
        <w:pStyle w:val="Testonotaapidipagina"/>
        <w:ind w:left="567" w:right="567"/>
        <w:jc w:val="both"/>
        <w:rPr>
          <w:rFonts w:ascii="Garamond" w:hAnsi="Garamond"/>
          <w:sz w:val="22"/>
          <w:szCs w:val="22"/>
        </w:rPr>
      </w:pPr>
      <w:r w:rsidRPr="0075445A">
        <w:rPr>
          <w:rStyle w:val="Caratteredellanota"/>
          <w:rFonts w:ascii="Garamond" w:hAnsi="Garamond"/>
          <w:sz w:val="22"/>
          <w:szCs w:val="22"/>
        </w:rPr>
        <w:footnoteRef/>
      </w:r>
      <w:r>
        <w:rPr>
          <w:rFonts w:ascii="Garamond" w:hAnsi="Garamond"/>
          <w:sz w:val="22"/>
          <w:szCs w:val="22"/>
        </w:rPr>
        <w:t xml:space="preserve"> </w:t>
      </w:r>
      <w:r w:rsidRPr="0075445A">
        <w:rPr>
          <w:rFonts w:ascii="Garamond" w:hAnsi="Garamond"/>
          <w:sz w:val="22"/>
          <w:szCs w:val="22"/>
        </w:rPr>
        <w:t xml:space="preserve">In </w:t>
      </w:r>
      <w:r>
        <w:rPr>
          <w:rFonts w:ascii="Garamond" w:hAnsi="Garamond"/>
          <w:sz w:val="22"/>
          <w:szCs w:val="22"/>
        </w:rPr>
        <w:t xml:space="preserve">questi termini, in dottrina, vedasi Girino E., </w:t>
      </w:r>
      <w:r w:rsidRPr="0075445A">
        <w:rPr>
          <w:rFonts w:ascii="Garamond" w:hAnsi="Garamond"/>
          <w:sz w:val="22"/>
          <w:szCs w:val="22"/>
        </w:rPr>
        <w:t>I contra</w:t>
      </w:r>
      <w:r>
        <w:rPr>
          <w:rFonts w:ascii="Garamond" w:hAnsi="Garamond"/>
          <w:sz w:val="22"/>
          <w:szCs w:val="22"/>
        </w:rPr>
        <w:t>tti derivati, Milano, 2010, 474.</w:t>
      </w:r>
    </w:p>
  </w:footnote>
  <w:footnote w:id="33">
    <w:p w:rsidR="003536D7" w:rsidRPr="0075445A" w:rsidRDefault="003536D7" w:rsidP="00AF538B">
      <w:pPr>
        <w:pStyle w:val="Testonotaapidipagina"/>
        <w:ind w:left="567" w:right="567"/>
        <w:jc w:val="both"/>
        <w:rPr>
          <w:rFonts w:ascii="Garamond" w:hAnsi="Garamond"/>
          <w:sz w:val="22"/>
          <w:szCs w:val="22"/>
        </w:rPr>
      </w:pPr>
      <w:r w:rsidRPr="0075445A">
        <w:rPr>
          <w:rStyle w:val="Caratteredellanota"/>
          <w:rFonts w:ascii="Garamond" w:hAnsi="Garamond"/>
          <w:sz w:val="22"/>
          <w:szCs w:val="22"/>
        </w:rPr>
        <w:footnoteRef/>
      </w:r>
      <w:r>
        <w:rPr>
          <w:rFonts w:ascii="Garamond" w:hAnsi="Garamond"/>
          <w:sz w:val="22"/>
          <w:szCs w:val="22"/>
        </w:rPr>
        <w:t xml:space="preserve"> Così ritornando alla problematica </w:t>
      </w:r>
      <w:r w:rsidRPr="0075445A">
        <w:rPr>
          <w:rFonts w:ascii="Garamond" w:hAnsi="Garamond"/>
          <w:sz w:val="22"/>
          <w:szCs w:val="22"/>
        </w:rPr>
        <w:t>dei “costi occulti o</w:t>
      </w:r>
      <w:r>
        <w:rPr>
          <w:rFonts w:ascii="Garamond" w:hAnsi="Garamond"/>
          <w:sz w:val="22"/>
          <w:szCs w:val="22"/>
        </w:rPr>
        <w:t xml:space="preserve"> impliciti”, ripetutamente evocata dalle Sezioni Unite in sentenza.</w:t>
      </w:r>
    </w:p>
  </w:footnote>
  <w:footnote w:id="34">
    <w:p w:rsidR="003536D7" w:rsidRPr="0075445A" w:rsidRDefault="003536D7" w:rsidP="001619D4">
      <w:pPr>
        <w:pStyle w:val="WW-footnotetext1"/>
        <w:ind w:left="567" w:right="567" w:firstLine="0"/>
        <w:jc w:val="both"/>
        <w:rPr>
          <w:rFonts w:ascii="Garamond" w:eastAsia="Arial" w:hAnsi="Garamond" w:cs="Arial"/>
          <w:i/>
          <w:iCs/>
          <w:color w:val="000000"/>
          <w:sz w:val="22"/>
          <w:szCs w:val="22"/>
        </w:rPr>
      </w:pPr>
      <w:r w:rsidRPr="0075445A">
        <w:rPr>
          <w:rStyle w:val="Caratteredellanota"/>
          <w:rFonts w:ascii="Garamond" w:hAnsi="Garamond"/>
          <w:sz w:val="22"/>
          <w:szCs w:val="22"/>
        </w:rPr>
        <w:footnoteRef/>
      </w:r>
      <w:r w:rsidRPr="0075445A">
        <w:rPr>
          <w:rFonts w:ascii="Garamond" w:hAnsi="Garamond"/>
          <w:sz w:val="22"/>
          <w:szCs w:val="22"/>
        </w:rPr>
        <w:t xml:space="preserve"> </w:t>
      </w:r>
      <w:r>
        <w:rPr>
          <w:rFonts w:ascii="Garamond" w:hAnsi="Garamond"/>
          <w:sz w:val="22"/>
          <w:szCs w:val="22"/>
        </w:rPr>
        <w:t xml:space="preserve">In tal senso, vedasi </w:t>
      </w:r>
      <w:r w:rsidRPr="0075445A">
        <w:rPr>
          <w:rFonts w:ascii="Garamond" w:eastAsia="Arial" w:hAnsi="Garamond" w:cs="Arial"/>
          <w:color w:val="000000"/>
          <w:sz w:val="22"/>
          <w:szCs w:val="22"/>
        </w:rPr>
        <w:t xml:space="preserve">il </w:t>
      </w:r>
      <w:r w:rsidRPr="0075445A">
        <w:rPr>
          <w:rFonts w:ascii="Garamond" w:hAnsi="Garamond"/>
          <w:sz w:val="22"/>
          <w:szCs w:val="22"/>
        </w:rPr>
        <w:t>parere reso dalla Corte de</w:t>
      </w:r>
      <w:r>
        <w:rPr>
          <w:rFonts w:ascii="Garamond" w:hAnsi="Garamond"/>
          <w:sz w:val="22"/>
          <w:szCs w:val="22"/>
        </w:rPr>
        <w:t xml:space="preserve">i Conti - sez. contr. – il 3 marzo 2005 all’esito della </w:t>
      </w:r>
      <w:r w:rsidRPr="0075445A">
        <w:rPr>
          <w:rFonts w:ascii="Garamond" w:hAnsi="Garamond"/>
          <w:i/>
          <w:iCs/>
          <w:sz w:val="22"/>
          <w:szCs w:val="22"/>
        </w:rPr>
        <w:t xml:space="preserve">"Indagine conoscitiva sulle problematiche relative alla diffusione di strumenti finanziari derivati" </w:t>
      </w:r>
      <w:r w:rsidRPr="0075445A">
        <w:rPr>
          <w:rFonts w:ascii="Garamond" w:hAnsi="Garamond"/>
          <w:sz w:val="22"/>
          <w:szCs w:val="22"/>
        </w:rPr>
        <w:t>inviata alla VI Commissione Finanze della Camera dei Deputati</w:t>
      </w:r>
      <w:r>
        <w:rPr>
          <w:rFonts w:ascii="Garamond" w:hAnsi="Garamond"/>
          <w:sz w:val="22"/>
          <w:szCs w:val="22"/>
        </w:rPr>
        <w:t>:</w:t>
      </w:r>
      <w:r w:rsidRPr="0075445A">
        <w:rPr>
          <w:rFonts w:ascii="Garamond" w:hAnsi="Garamond"/>
          <w:sz w:val="22"/>
          <w:szCs w:val="22"/>
        </w:rPr>
        <w:t xml:space="preserve"> </w:t>
      </w:r>
      <w:r>
        <w:rPr>
          <w:rFonts w:ascii="Garamond" w:eastAsia="Arial" w:hAnsi="Garamond" w:cs="Arial"/>
          <w:i/>
          <w:color w:val="000000"/>
          <w:sz w:val="22"/>
          <w:szCs w:val="22"/>
        </w:rPr>
        <w:t xml:space="preserve">&lt;&lt; </w:t>
      </w:r>
      <w:r w:rsidRPr="00D5741D">
        <w:rPr>
          <w:rFonts w:ascii="Garamond" w:eastAsia="Arial" w:hAnsi="Garamond" w:cs="Arial"/>
          <w:i/>
          <w:color w:val="000000"/>
          <w:sz w:val="22"/>
          <w:szCs w:val="22"/>
        </w:rPr>
        <w:t xml:space="preserve">Il premio di liquidità si risolve … in un anticipato versamento di fondi che sconta l'attualizzazione sui relativi tassi contrattuali a carico della controparte, oppure si ripercuote sullo spread. Sostanzialmente, seppure incorporata in uno swap, si tratta di operazione analoga alla contrazione di un mutuo, laddove la sua concessione comporta un tasso o uno spread che attualizza il premio corrisposto in via </w:t>
      </w:r>
      <w:r>
        <w:rPr>
          <w:rFonts w:ascii="Garamond" w:eastAsia="Arial" w:hAnsi="Garamond" w:cs="Arial"/>
          <w:i/>
          <w:color w:val="000000"/>
          <w:sz w:val="22"/>
          <w:szCs w:val="22"/>
        </w:rPr>
        <w:t>anticipata dalla banca all'ente &gt;&gt;</w:t>
      </w:r>
      <w:r>
        <w:rPr>
          <w:rFonts w:ascii="Garamond" w:eastAsia="Arial" w:hAnsi="Garamond" w:cs="Arial"/>
          <w:color w:val="000000"/>
          <w:sz w:val="22"/>
          <w:szCs w:val="22"/>
        </w:rPr>
        <w:t>.</w:t>
      </w:r>
      <w:r w:rsidRPr="0075445A">
        <w:rPr>
          <w:rFonts w:ascii="Garamond" w:eastAsia="Arial" w:hAnsi="Garamond" w:cs="Arial"/>
          <w:color w:val="000000"/>
          <w:sz w:val="22"/>
          <w:szCs w:val="22"/>
        </w:rPr>
        <w:t xml:space="preserve"> </w:t>
      </w:r>
      <w:r>
        <w:rPr>
          <w:rFonts w:ascii="Garamond" w:eastAsia="Arial" w:hAnsi="Garamond" w:cs="Arial"/>
          <w:color w:val="000000"/>
          <w:sz w:val="22"/>
          <w:szCs w:val="22"/>
        </w:rPr>
        <w:t xml:space="preserve">Tale asserzione </w:t>
      </w:r>
      <w:r w:rsidRPr="0075445A">
        <w:rPr>
          <w:rFonts w:ascii="Garamond" w:eastAsia="Arial" w:hAnsi="Garamond" w:cs="Arial"/>
          <w:color w:val="000000"/>
          <w:sz w:val="22"/>
          <w:szCs w:val="22"/>
        </w:rPr>
        <w:t xml:space="preserve">è </w:t>
      </w:r>
      <w:r>
        <w:rPr>
          <w:rFonts w:ascii="Garamond" w:hAnsi="Garamond"/>
          <w:sz w:val="22"/>
          <w:szCs w:val="22"/>
        </w:rPr>
        <w:t>confermata</w:t>
      </w:r>
      <w:r w:rsidRPr="0075445A">
        <w:rPr>
          <w:rFonts w:ascii="Garamond" w:hAnsi="Garamond"/>
          <w:sz w:val="22"/>
          <w:szCs w:val="22"/>
        </w:rPr>
        <w:t xml:space="preserve"> dall'analogo parere reso dalle Sezioni Riunite in data 18</w:t>
      </w:r>
      <w:r>
        <w:rPr>
          <w:rFonts w:ascii="Garamond" w:hAnsi="Garamond"/>
          <w:sz w:val="22"/>
          <w:szCs w:val="22"/>
        </w:rPr>
        <w:t xml:space="preserve"> febbraio </w:t>
      </w:r>
      <w:r w:rsidRPr="0075445A">
        <w:rPr>
          <w:rFonts w:ascii="Garamond" w:hAnsi="Garamond"/>
          <w:sz w:val="22"/>
          <w:szCs w:val="22"/>
        </w:rPr>
        <w:t xml:space="preserve">2009. </w:t>
      </w:r>
      <w:r w:rsidRPr="0075445A">
        <w:rPr>
          <w:rFonts w:ascii="Garamond" w:eastAsia="Arial" w:hAnsi="Garamond" w:cs="Arial"/>
          <w:color w:val="000000"/>
          <w:sz w:val="22"/>
          <w:szCs w:val="22"/>
        </w:rPr>
        <w:t xml:space="preserve">Significativa anche la pronuncia della Corte dei Conti </w:t>
      </w:r>
      <w:r>
        <w:rPr>
          <w:rFonts w:ascii="Garamond" w:eastAsia="Arial" w:hAnsi="Garamond" w:cs="Arial"/>
          <w:color w:val="000000"/>
          <w:sz w:val="22"/>
          <w:szCs w:val="22"/>
        </w:rPr>
        <w:t>-</w:t>
      </w:r>
      <w:r w:rsidRPr="0075445A">
        <w:rPr>
          <w:rFonts w:ascii="Garamond" w:eastAsia="Arial" w:hAnsi="Garamond" w:cs="Arial"/>
          <w:color w:val="000000"/>
          <w:sz w:val="22"/>
          <w:szCs w:val="22"/>
        </w:rPr>
        <w:t>sez. reg. di controllo per la Lombardia (Deliberazione n. 596/2007 del 26</w:t>
      </w:r>
      <w:r>
        <w:rPr>
          <w:rFonts w:ascii="Garamond" w:eastAsia="Arial" w:hAnsi="Garamond" w:cs="Arial"/>
          <w:color w:val="000000"/>
          <w:sz w:val="22"/>
          <w:szCs w:val="22"/>
        </w:rPr>
        <w:t xml:space="preserve"> settembre </w:t>
      </w:r>
      <w:r w:rsidRPr="0075445A">
        <w:rPr>
          <w:rFonts w:ascii="Garamond" w:eastAsia="Arial" w:hAnsi="Garamond" w:cs="Arial"/>
          <w:color w:val="000000"/>
          <w:sz w:val="22"/>
          <w:szCs w:val="22"/>
        </w:rPr>
        <w:t>2007</w:t>
      </w:r>
      <w:r>
        <w:rPr>
          <w:rFonts w:ascii="Garamond" w:eastAsia="Arial" w:hAnsi="Garamond" w:cs="Arial"/>
          <w:color w:val="000000"/>
          <w:sz w:val="22"/>
          <w:szCs w:val="22"/>
        </w:rPr>
        <w:t>)</w:t>
      </w:r>
      <w:r w:rsidRPr="0075445A">
        <w:rPr>
          <w:rFonts w:ascii="Garamond" w:eastAsia="Arial" w:hAnsi="Garamond" w:cs="Arial"/>
          <w:color w:val="000000"/>
          <w:sz w:val="22"/>
          <w:szCs w:val="22"/>
        </w:rPr>
        <w:t xml:space="preserve">, che, in merito alla clausola di </w:t>
      </w:r>
      <w:r w:rsidRPr="00D5741D">
        <w:rPr>
          <w:rFonts w:ascii="Garamond" w:eastAsia="Arial" w:hAnsi="Garamond" w:cs="Arial"/>
          <w:i/>
          <w:color w:val="000000"/>
          <w:sz w:val="22"/>
          <w:szCs w:val="22"/>
        </w:rPr>
        <w:t>up-front</w:t>
      </w:r>
      <w:r w:rsidRPr="0075445A">
        <w:rPr>
          <w:rFonts w:ascii="Garamond" w:eastAsia="Arial" w:hAnsi="Garamond" w:cs="Arial"/>
          <w:color w:val="000000"/>
          <w:sz w:val="22"/>
          <w:szCs w:val="22"/>
        </w:rPr>
        <w:t>, ha osservato quanto segue</w:t>
      </w:r>
      <w:r>
        <w:rPr>
          <w:rFonts w:ascii="Garamond" w:eastAsia="Arial" w:hAnsi="Garamond" w:cs="Arial"/>
          <w:color w:val="000000"/>
          <w:sz w:val="22"/>
          <w:szCs w:val="22"/>
        </w:rPr>
        <w:t xml:space="preserve">: </w:t>
      </w:r>
      <w:r w:rsidRPr="00D5741D">
        <w:rPr>
          <w:rFonts w:ascii="Garamond" w:eastAsia="Arial" w:hAnsi="Garamond" w:cs="Arial"/>
          <w:i/>
          <w:color w:val="000000"/>
          <w:sz w:val="22"/>
          <w:szCs w:val="22"/>
        </w:rPr>
        <w:t>&lt;&lt; Innanzitutto, la previsione dell’erogazione di tale importo che, se non integralmente, per lo meno in parte dovrà essere restituito all’operatore finanziario in sede di regolazione dei rispettivi flussi configura un finanziamento all’ente che, pertanto, sia nell’utilizzo che nella classificazione in bilancio deve tenere conto del disposto dell’art. 119 Cost. Si tratta di una forma di indebitamento la cui regolazione è demandata ad elementi futuri, incerti nella loro dimensione finanziaria, che, comunque, dovranno essere tenuti presenti al momento di allocare in bilancio i proventi derivanti da eventuali plusvalenze. Pertanto, questo importo non può essere utilizzato per finanziare la spesa corrente ma solo per quella di investimento, peraltro previa costituzione di un apposito fondo per far fronte agli eventuali pagamenti che l’ente potrebbe essere tenuto ad effettuare in favore dell’intermediario finanziario, ove la situazione dei tassi evolvesse negativamente per l’ente. ..... A livello di bilancio dell’ente l’anticipazione deve essere allocata al Titolo IV, quale forma atipica di indebitamento, come risulta stabilito anche dai Principi contabili stabiliti dall’Osservatorio per la finanza e la contabilità degli enti loc</w:t>
      </w:r>
      <w:r>
        <w:rPr>
          <w:rFonts w:ascii="Garamond" w:eastAsia="Arial" w:hAnsi="Garamond" w:cs="Arial"/>
          <w:i/>
          <w:color w:val="000000"/>
          <w:sz w:val="22"/>
          <w:szCs w:val="22"/>
        </w:rPr>
        <w:t>ali del Ministero dell’Interno. &gt;&gt;</w:t>
      </w:r>
      <w:r w:rsidRPr="0075445A">
        <w:rPr>
          <w:rFonts w:ascii="Garamond" w:eastAsia="Arial" w:hAnsi="Garamond" w:cs="Arial"/>
          <w:i/>
          <w:iCs/>
          <w:color w:val="000000"/>
          <w:sz w:val="22"/>
          <w:szCs w:val="22"/>
        </w:rPr>
        <w:t>.</w:t>
      </w:r>
    </w:p>
  </w:footnote>
  <w:footnote w:id="35">
    <w:p w:rsidR="003536D7" w:rsidRPr="0075445A" w:rsidRDefault="003536D7" w:rsidP="0075445A">
      <w:pPr>
        <w:pStyle w:val="Testonotaapidipagina"/>
        <w:spacing w:line="200" w:lineRule="atLeast"/>
        <w:ind w:left="567" w:right="567"/>
        <w:jc w:val="both"/>
        <w:rPr>
          <w:rFonts w:ascii="Garamond" w:hAnsi="Garamond"/>
          <w:sz w:val="22"/>
          <w:szCs w:val="22"/>
        </w:rPr>
      </w:pPr>
      <w:r w:rsidRPr="0075445A">
        <w:rPr>
          <w:rStyle w:val="Caratteredellanota"/>
          <w:rFonts w:ascii="Garamond" w:hAnsi="Garamond"/>
          <w:sz w:val="22"/>
          <w:szCs w:val="22"/>
        </w:rPr>
        <w:footnoteRef/>
      </w:r>
      <w:r>
        <w:rPr>
          <w:rFonts w:ascii="Garamond" w:hAnsi="Garamond"/>
          <w:sz w:val="22"/>
          <w:szCs w:val="22"/>
        </w:rPr>
        <w:t xml:space="preserve"> Ha osservato Corte c</w:t>
      </w:r>
      <w:r w:rsidRPr="0075445A">
        <w:rPr>
          <w:rFonts w:ascii="Garamond" w:hAnsi="Garamond"/>
          <w:sz w:val="22"/>
          <w:szCs w:val="22"/>
        </w:rPr>
        <w:t xml:space="preserve">ost. con la citata sentenza n. 52 del 2010 che </w:t>
      </w:r>
      <w:r>
        <w:rPr>
          <w:rFonts w:ascii="Garamond" w:hAnsi="Garamond"/>
          <w:i/>
          <w:sz w:val="22"/>
          <w:szCs w:val="22"/>
        </w:rPr>
        <w:t xml:space="preserve">&lt;&lt; </w:t>
      </w:r>
      <w:r w:rsidRPr="00D5741D">
        <w:rPr>
          <w:rFonts w:ascii="Garamond" w:hAnsi="Garamond"/>
          <w:i/>
          <w:sz w:val="22"/>
          <w:szCs w:val="22"/>
        </w:rPr>
        <w:t>... la realtà ha ampiamente dimostrato che persino le operazioni di rinegoziazione dei contratti derivati, a seguito di ristrutturazione del debito, nel prevedere fin dall'inizio condizioni di sfavore degli enti, comportano l'assunzione di rischi aggiuntivi mediante lo spostamento nel tempo degli oneri derivanti da condizioni ancora più penalizzanti rispetto a quelle iniziali.”</w:t>
      </w:r>
      <w:r w:rsidRPr="0075445A">
        <w:rPr>
          <w:rFonts w:ascii="Garamond" w:hAnsi="Garamond"/>
          <w:sz w:val="22"/>
          <w:szCs w:val="22"/>
        </w:rPr>
        <w:t>.</w:t>
      </w:r>
    </w:p>
  </w:footnote>
  <w:footnote w:id="36">
    <w:p w:rsidR="003536D7" w:rsidRPr="0075445A" w:rsidRDefault="003536D7" w:rsidP="009A097C">
      <w:pPr>
        <w:ind w:left="567" w:right="567"/>
        <w:jc w:val="both"/>
        <w:rPr>
          <w:rFonts w:ascii="Garamond" w:eastAsia="Arial" w:hAnsi="Garamond" w:cs="Arial"/>
          <w:i/>
          <w:iCs/>
          <w:color w:val="000000"/>
          <w:sz w:val="22"/>
          <w:szCs w:val="22"/>
        </w:rPr>
      </w:pPr>
      <w:r w:rsidRPr="0075445A">
        <w:rPr>
          <w:rStyle w:val="Caratteredellanota"/>
          <w:rFonts w:ascii="Garamond" w:hAnsi="Garamond"/>
          <w:sz w:val="22"/>
          <w:szCs w:val="22"/>
        </w:rPr>
        <w:footnoteRef/>
      </w:r>
      <w:r>
        <w:rPr>
          <w:rFonts w:ascii="Garamond" w:eastAsia="Arial" w:hAnsi="Garamond" w:cs="Arial"/>
          <w:i/>
          <w:iCs/>
          <w:color w:val="000000"/>
          <w:sz w:val="22"/>
          <w:szCs w:val="22"/>
        </w:rPr>
        <w:t xml:space="preserve"> </w:t>
      </w:r>
      <w:r>
        <w:rPr>
          <w:rFonts w:ascii="Garamond" w:hAnsi="Garamond" w:cs="Arial"/>
          <w:color w:val="000000"/>
          <w:sz w:val="22"/>
          <w:szCs w:val="22"/>
        </w:rPr>
        <w:t>Anche questo aspetto era</w:t>
      </w:r>
      <w:r w:rsidRPr="009A097C">
        <w:rPr>
          <w:rFonts w:ascii="Garamond" w:hAnsi="Garamond" w:cs="Arial"/>
          <w:color w:val="000000"/>
          <w:sz w:val="22"/>
          <w:szCs w:val="22"/>
        </w:rPr>
        <w:t xml:space="preserve"> stato </w:t>
      </w:r>
      <w:r>
        <w:rPr>
          <w:rFonts w:ascii="Garamond" w:hAnsi="Garamond" w:cs="Arial"/>
          <w:color w:val="000000"/>
          <w:sz w:val="22"/>
          <w:szCs w:val="22"/>
        </w:rPr>
        <w:t xml:space="preserve">considerato dalla Corte di Appello di Bologna con la sentenza n. 734 del 2014, </w:t>
      </w:r>
      <w:r w:rsidRPr="009A097C">
        <w:rPr>
          <w:rFonts w:ascii="Garamond" w:hAnsi="Garamond" w:cs="Arial"/>
          <w:color w:val="000000"/>
          <w:sz w:val="22"/>
          <w:szCs w:val="22"/>
        </w:rPr>
        <w:t xml:space="preserve">che </w:t>
      </w:r>
      <w:r>
        <w:rPr>
          <w:rFonts w:ascii="Garamond" w:hAnsi="Garamond" w:cs="Arial"/>
          <w:color w:val="000000"/>
          <w:sz w:val="22"/>
          <w:szCs w:val="22"/>
        </w:rPr>
        <w:t xml:space="preserve">aveva </w:t>
      </w:r>
      <w:r w:rsidRPr="009A097C">
        <w:rPr>
          <w:rFonts w:ascii="Garamond" w:hAnsi="Garamond" w:cs="Arial"/>
          <w:color w:val="000000"/>
          <w:sz w:val="22"/>
          <w:szCs w:val="22"/>
        </w:rPr>
        <w:t>sottolinea</w:t>
      </w:r>
      <w:r>
        <w:rPr>
          <w:rFonts w:ascii="Garamond" w:hAnsi="Garamond" w:cs="Arial"/>
          <w:color w:val="000000"/>
          <w:sz w:val="22"/>
          <w:szCs w:val="22"/>
        </w:rPr>
        <w:t>to</w:t>
      </w:r>
      <w:r w:rsidRPr="009A097C">
        <w:rPr>
          <w:rFonts w:ascii="Garamond" w:hAnsi="Garamond" w:cs="Arial"/>
          <w:color w:val="000000"/>
          <w:sz w:val="22"/>
          <w:szCs w:val="22"/>
        </w:rPr>
        <w:t xml:space="preserve"> come l'</w:t>
      </w:r>
      <w:r w:rsidRPr="009A097C">
        <w:rPr>
          <w:rFonts w:ascii="Garamond" w:hAnsi="Garamond" w:cs="Arial"/>
          <w:i/>
          <w:iCs/>
          <w:color w:val="000000"/>
          <w:sz w:val="22"/>
          <w:szCs w:val="22"/>
        </w:rPr>
        <w:t>up-front</w:t>
      </w:r>
      <w:r w:rsidRPr="009A097C">
        <w:rPr>
          <w:rFonts w:ascii="Garamond" w:hAnsi="Garamond" w:cs="Arial"/>
          <w:color w:val="000000"/>
          <w:sz w:val="22"/>
          <w:szCs w:val="22"/>
        </w:rPr>
        <w:t xml:space="preserve"> previsto in una "r</w:t>
      </w:r>
      <w:r>
        <w:rPr>
          <w:rFonts w:ascii="Garamond" w:hAnsi="Garamond" w:cs="Arial"/>
          <w:color w:val="000000"/>
          <w:sz w:val="22"/>
          <w:szCs w:val="22"/>
        </w:rPr>
        <w:t>inegoziazione" di derivati servisse</w:t>
      </w:r>
      <w:r w:rsidRPr="009A097C">
        <w:rPr>
          <w:rFonts w:ascii="Garamond" w:hAnsi="Garamond" w:cs="Arial"/>
          <w:color w:val="000000"/>
          <w:sz w:val="22"/>
          <w:szCs w:val="22"/>
        </w:rPr>
        <w:t xml:space="preserve"> in gran parte a coprire il "costo di sostituzione" dei derivato sostituito.</w:t>
      </w:r>
    </w:p>
  </w:footnote>
  <w:footnote w:id="37">
    <w:p w:rsidR="003536D7" w:rsidRPr="00205C85" w:rsidRDefault="003536D7" w:rsidP="009A097C">
      <w:pPr>
        <w:pStyle w:val="WW-footnotetext123"/>
        <w:ind w:left="567" w:right="567" w:firstLine="0"/>
        <w:jc w:val="both"/>
        <w:rPr>
          <w:rFonts w:ascii="Garamond" w:hAnsi="Garamond"/>
          <w:i/>
          <w:iCs/>
          <w:color w:val="000000"/>
          <w:sz w:val="22"/>
          <w:szCs w:val="22"/>
        </w:rPr>
      </w:pPr>
      <w:r w:rsidRPr="00205C85">
        <w:rPr>
          <w:rStyle w:val="Caratteredellanota"/>
          <w:rFonts w:ascii="Garamond" w:hAnsi="Garamond"/>
          <w:sz w:val="22"/>
          <w:szCs w:val="22"/>
        </w:rPr>
        <w:footnoteRef/>
      </w:r>
      <w:r w:rsidRPr="00205C85">
        <w:rPr>
          <w:rFonts w:ascii="Garamond" w:hAnsi="Garamond"/>
          <w:sz w:val="22"/>
          <w:szCs w:val="22"/>
        </w:rPr>
        <w:t xml:space="preserve"> Con sentenza n. 320 del 05</w:t>
      </w:r>
      <w:r>
        <w:rPr>
          <w:rFonts w:ascii="Garamond" w:hAnsi="Garamond"/>
          <w:sz w:val="22"/>
          <w:szCs w:val="22"/>
        </w:rPr>
        <w:t xml:space="preserve"> novembre </w:t>
      </w:r>
      <w:r w:rsidRPr="00205C85">
        <w:rPr>
          <w:rFonts w:ascii="Garamond" w:hAnsi="Garamond"/>
          <w:sz w:val="22"/>
          <w:szCs w:val="22"/>
        </w:rPr>
        <w:t>2004 la Corte C</w:t>
      </w:r>
      <w:r>
        <w:rPr>
          <w:rFonts w:ascii="Garamond" w:hAnsi="Garamond"/>
          <w:sz w:val="22"/>
          <w:szCs w:val="22"/>
        </w:rPr>
        <w:t>ostituzionale ha dichiarato in</w:t>
      </w:r>
      <w:r w:rsidRPr="00205C85">
        <w:rPr>
          <w:rFonts w:ascii="Garamond" w:hAnsi="Garamond"/>
          <w:sz w:val="22"/>
          <w:szCs w:val="22"/>
        </w:rPr>
        <w:t xml:space="preserve">fondata la questione di incostituzionalità della norma sollevata da alcune Regioni, ritenendo che </w:t>
      </w:r>
      <w:r>
        <w:rPr>
          <w:rFonts w:ascii="Garamond" w:hAnsi="Garamond"/>
          <w:i/>
          <w:iCs/>
          <w:sz w:val="22"/>
          <w:szCs w:val="22"/>
        </w:rPr>
        <w:t>&lt;&lt;</w:t>
      </w:r>
      <w:r w:rsidRPr="00205C85">
        <w:rPr>
          <w:rFonts w:ascii="Garamond" w:hAnsi="Garamond"/>
          <w:i/>
          <w:iCs/>
          <w:color w:val="000000"/>
          <w:sz w:val="22"/>
          <w:szCs w:val="22"/>
        </w:rPr>
        <w:t xml:space="preserve"> La previsione della nullità degli atti e dei contratti posti in essere in violazione del divieto di ricorrere all'indebitamento per finanziare spese diverse da quello di investimento, di cui all'ultimo comma dell'art. 119 Cost. .... non inerisce, come sostiene la ricorrente, alla materia della disciplina dell'ordinamento e dell'organizzazione amministrativa e contabile delle Regioni e degli enti locali, ma trova il suo fondamento nella potestà legislativa dello Stato di dare attuazione al sesto comma dell'art. 119 Cost., dal momento che configura esclusivamente alcune sanzioni per comportamenti confliggenti con il divieto affermato nel</w:t>
      </w:r>
      <w:r>
        <w:rPr>
          <w:rFonts w:ascii="Garamond" w:hAnsi="Garamond"/>
          <w:i/>
          <w:iCs/>
          <w:color w:val="000000"/>
          <w:sz w:val="22"/>
          <w:szCs w:val="22"/>
        </w:rPr>
        <w:t>la disposizione costituzionale. &gt;&gt;</w:t>
      </w:r>
      <w:r w:rsidRPr="00205C85">
        <w:rPr>
          <w:rFonts w:ascii="Garamond" w:hAnsi="Garamond"/>
          <w:i/>
          <w:iCs/>
          <w:color w:val="000000"/>
          <w:sz w:val="22"/>
          <w:szCs w:val="22"/>
        </w:rPr>
        <w:t>.</w:t>
      </w:r>
    </w:p>
  </w:footnote>
  <w:footnote w:id="38">
    <w:p w:rsidR="003536D7" w:rsidRPr="00B86AA4" w:rsidRDefault="003536D7" w:rsidP="00B86AA4">
      <w:pPr>
        <w:spacing w:line="360" w:lineRule="auto"/>
        <w:ind w:left="567" w:right="567"/>
        <w:jc w:val="both"/>
        <w:rPr>
          <w:rFonts w:ascii="Garamond" w:hAnsi="Garamond"/>
          <w:iCs/>
          <w:color w:val="000000"/>
          <w:sz w:val="22"/>
          <w:szCs w:val="22"/>
        </w:rPr>
      </w:pPr>
      <w:r w:rsidRPr="00205C85">
        <w:rPr>
          <w:rStyle w:val="Caratteredellanota"/>
          <w:rFonts w:ascii="Garamond" w:hAnsi="Garamond"/>
          <w:sz w:val="22"/>
          <w:szCs w:val="22"/>
        </w:rPr>
        <w:footnoteRef/>
      </w:r>
      <w:r>
        <w:rPr>
          <w:rFonts w:ascii="Garamond" w:hAnsi="Garamond"/>
          <w:i/>
          <w:iCs/>
          <w:color w:val="000000"/>
          <w:sz w:val="22"/>
          <w:szCs w:val="22"/>
        </w:rPr>
        <w:t xml:space="preserve"> </w:t>
      </w:r>
      <w:r w:rsidRPr="00B86AA4">
        <w:rPr>
          <w:rFonts w:ascii="Garamond" w:eastAsia="Lucida Sans Unicode" w:hAnsi="Garamond" w:cs="Arial"/>
          <w:color w:val="000000"/>
          <w:sz w:val="22"/>
          <w:szCs w:val="22"/>
        </w:rPr>
        <w:t>Corte Conti sez. giur. Umbria n. 87 del 23 maggio 2008 e n. 184 del 16 dicembre 2011.</w:t>
      </w:r>
    </w:p>
  </w:footnote>
  <w:footnote w:id="39">
    <w:p w:rsidR="003536D7" w:rsidRPr="00205C85" w:rsidRDefault="003536D7" w:rsidP="009A097C">
      <w:pPr>
        <w:pStyle w:val="Testonotaapidipagina"/>
        <w:ind w:left="567" w:right="567"/>
        <w:jc w:val="both"/>
        <w:rPr>
          <w:rFonts w:ascii="Garamond" w:hAnsi="Garamond"/>
          <w:sz w:val="22"/>
          <w:szCs w:val="22"/>
        </w:rPr>
      </w:pPr>
      <w:r w:rsidRPr="00205C85">
        <w:rPr>
          <w:rStyle w:val="Caratteredellanota"/>
          <w:rFonts w:ascii="Garamond" w:hAnsi="Garamond"/>
          <w:sz w:val="22"/>
          <w:szCs w:val="22"/>
        </w:rPr>
        <w:footnoteRef/>
      </w:r>
      <w:r w:rsidRPr="00205C85">
        <w:rPr>
          <w:rFonts w:ascii="Garamond" w:hAnsi="Garamond"/>
          <w:sz w:val="22"/>
          <w:szCs w:val="22"/>
        </w:rPr>
        <w:t xml:space="preserve"> Per queste ed altre considerazioni sul modello processuale contabile, vedasi P. Santoro, L'illecito contabile, 2006 (547 ss.).</w:t>
      </w:r>
    </w:p>
  </w:footnote>
  <w:footnote w:id="40">
    <w:p w:rsidR="003536D7" w:rsidRPr="00205C85" w:rsidRDefault="003536D7" w:rsidP="00B86AA4">
      <w:pPr>
        <w:pStyle w:val="Testonotaapidipagina"/>
        <w:ind w:left="567" w:right="567"/>
        <w:jc w:val="both"/>
        <w:rPr>
          <w:rFonts w:ascii="Garamond" w:hAnsi="Garamond"/>
          <w:sz w:val="22"/>
          <w:szCs w:val="22"/>
        </w:rPr>
      </w:pPr>
      <w:r w:rsidRPr="00205C85">
        <w:rPr>
          <w:rStyle w:val="Caratteredellanota"/>
          <w:rFonts w:ascii="Garamond" w:hAnsi="Garamond"/>
          <w:sz w:val="22"/>
          <w:szCs w:val="22"/>
        </w:rPr>
        <w:footnoteRef/>
      </w:r>
      <w:r>
        <w:rPr>
          <w:rFonts w:ascii="Garamond" w:hAnsi="Garamond"/>
          <w:sz w:val="22"/>
          <w:szCs w:val="22"/>
        </w:rPr>
        <w:t xml:space="preserve"> </w:t>
      </w:r>
      <w:r w:rsidRPr="00B86AA4">
        <w:rPr>
          <w:rFonts w:ascii="Garamond" w:eastAsia="Lucida Sans Unicode" w:hAnsi="Garamond" w:cs="Arial"/>
          <w:color w:val="000000"/>
          <w:sz w:val="22"/>
          <w:szCs w:val="22"/>
        </w:rPr>
        <w:t xml:space="preserve">Corte Conti sez. giur. Lazio 22 marzo </w:t>
      </w:r>
      <w:r>
        <w:rPr>
          <w:rFonts w:ascii="Garamond" w:eastAsia="Lucida Sans Unicode" w:hAnsi="Garamond" w:cs="Arial"/>
          <w:color w:val="000000"/>
          <w:sz w:val="22"/>
          <w:szCs w:val="22"/>
        </w:rPr>
        <w:t>2011, n. 473.</w:t>
      </w:r>
    </w:p>
  </w:footnote>
  <w:footnote w:id="41">
    <w:p w:rsidR="003536D7" w:rsidRPr="00205C85" w:rsidRDefault="003536D7" w:rsidP="009A097C">
      <w:pPr>
        <w:pStyle w:val="Testonotaapidipagina"/>
        <w:ind w:left="567" w:right="567"/>
        <w:jc w:val="both"/>
        <w:rPr>
          <w:rFonts w:ascii="Garamond" w:hAnsi="Garamond"/>
          <w:sz w:val="22"/>
          <w:szCs w:val="22"/>
        </w:rPr>
      </w:pPr>
      <w:r w:rsidRPr="00205C85">
        <w:rPr>
          <w:rStyle w:val="Caratteredellanota"/>
          <w:rFonts w:ascii="Garamond" w:hAnsi="Garamond"/>
          <w:sz w:val="22"/>
          <w:szCs w:val="22"/>
        </w:rPr>
        <w:footnoteRef/>
      </w:r>
      <w:r>
        <w:rPr>
          <w:rFonts w:ascii="Garamond" w:hAnsi="Garamond"/>
          <w:sz w:val="22"/>
          <w:szCs w:val="22"/>
        </w:rPr>
        <w:t xml:space="preserve"> </w:t>
      </w:r>
      <w:r w:rsidRPr="00205C85">
        <w:rPr>
          <w:rFonts w:ascii="Garamond" w:hAnsi="Garamond"/>
          <w:sz w:val="22"/>
          <w:szCs w:val="22"/>
        </w:rPr>
        <w:t xml:space="preserve">Spiega al riguardo la Corte felsinea che </w:t>
      </w:r>
      <w:r w:rsidRPr="00205C85">
        <w:rPr>
          <w:rFonts w:ascii="Garamond" w:hAnsi="Garamond"/>
          <w:i/>
          <w:iCs/>
          <w:sz w:val="22"/>
          <w:szCs w:val="22"/>
        </w:rPr>
        <w:t xml:space="preserve">"Con ciò non si intende naturalmente affermare che </w:t>
      </w:r>
      <w:r w:rsidRPr="00205C85">
        <w:rPr>
          <w:rFonts w:ascii="Garamond" w:hAnsi="Garamond"/>
          <w:sz w:val="22"/>
          <w:szCs w:val="22"/>
        </w:rPr>
        <w:t xml:space="preserve">[la banca] </w:t>
      </w:r>
      <w:r w:rsidRPr="00205C85">
        <w:rPr>
          <w:rFonts w:ascii="Garamond" w:hAnsi="Garamond"/>
          <w:i/>
          <w:iCs/>
          <w:sz w:val="22"/>
          <w:szCs w:val="22"/>
        </w:rPr>
        <w:t>dovesse verificare a posteriori e sindacare la successiva destinazione dei flussi generati dai contratti, ma che tale necessaria e preventiva destinazione doveva essere contenuta, menzionata e specificata negli atti amministrativi presupposti, se non nei contratti stessi."</w:t>
      </w:r>
      <w:r w:rsidRPr="00205C85">
        <w:rPr>
          <w:rFonts w:ascii="Garamond" w:hAnsi="Garamond"/>
          <w:sz w:val="22"/>
          <w:szCs w:val="22"/>
        </w:rPr>
        <w:t>.</w:t>
      </w:r>
    </w:p>
  </w:footnote>
  <w:footnote w:id="42">
    <w:p w:rsidR="003536D7" w:rsidRPr="00792253" w:rsidRDefault="003536D7" w:rsidP="004A5049">
      <w:pPr>
        <w:pStyle w:val="Testonotaapidipagina"/>
        <w:ind w:left="567" w:right="567"/>
        <w:jc w:val="both"/>
        <w:rPr>
          <w:rFonts w:ascii="Garamond" w:hAnsi="Garamond" w:cs="Arial"/>
          <w:color w:val="000000"/>
          <w:sz w:val="22"/>
          <w:szCs w:val="22"/>
        </w:rPr>
      </w:pPr>
      <w:r w:rsidRPr="00792253">
        <w:rPr>
          <w:rStyle w:val="Caratteredellanota"/>
          <w:rFonts w:ascii="Garamond" w:hAnsi="Garamond"/>
          <w:sz w:val="22"/>
          <w:szCs w:val="22"/>
        </w:rPr>
        <w:footnoteRef/>
      </w:r>
      <w:r>
        <w:rPr>
          <w:rFonts w:ascii="Garamond" w:hAnsi="Garamond"/>
          <w:sz w:val="22"/>
          <w:szCs w:val="22"/>
        </w:rPr>
        <w:t xml:space="preserve"> In questo </w:t>
      </w:r>
      <w:r>
        <w:rPr>
          <w:rFonts w:ascii="Garamond" w:hAnsi="Garamond" w:cs="Arial"/>
          <w:color w:val="000000"/>
          <w:sz w:val="22"/>
          <w:szCs w:val="22"/>
        </w:rPr>
        <w:t>senso vedasi</w:t>
      </w:r>
      <w:r w:rsidRPr="00792253">
        <w:rPr>
          <w:rFonts w:ascii="Garamond" w:hAnsi="Garamond" w:cs="Arial"/>
          <w:color w:val="000000"/>
          <w:sz w:val="22"/>
          <w:szCs w:val="22"/>
        </w:rPr>
        <w:t xml:space="preserve"> Delibere Corte dei Conti sez. reg. controllo Umbria </w:t>
      </w:r>
      <w:r>
        <w:rPr>
          <w:rFonts w:ascii="Garamond" w:hAnsi="Garamond" w:cs="Arial"/>
          <w:color w:val="000000"/>
          <w:sz w:val="22"/>
          <w:szCs w:val="22"/>
        </w:rPr>
        <w:t xml:space="preserve">2 ottobre </w:t>
      </w:r>
      <w:r w:rsidRPr="00792253">
        <w:rPr>
          <w:rFonts w:ascii="Garamond" w:hAnsi="Garamond" w:cs="Arial"/>
          <w:color w:val="000000"/>
          <w:sz w:val="22"/>
          <w:szCs w:val="22"/>
        </w:rPr>
        <w:t>2008</w:t>
      </w:r>
      <w:r>
        <w:rPr>
          <w:rFonts w:ascii="Garamond" w:hAnsi="Garamond" w:cs="Arial"/>
          <w:color w:val="000000"/>
          <w:sz w:val="22"/>
          <w:szCs w:val="22"/>
        </w:rPr>
        <w:t>, n. 41</w:t>
      </w:r>
      <w:r w:rsidRPr="00792253">
        <w:rPr>
          <w:rFonts w:ascii="Garamond" w:hAnsi="Garamond" w:cs="Arial"/>
          <w:color w:val="000000"/>
          <w:sz w:val="22"/>
          <w:szCs w:val="22"/>
        </w:rPr>
        <w:t xml:space="preserve"> e sez. reg. Molise </w:t>
      </w:r>
      <w:r>
        <w:rPr>
          <w:rFonts w:ascii="Garamond" w:hAnsi="Garamond" w:cs="Arial"/>
          <w:color w:val="000000"/>
          <w:sz w:val="22"/>
          <w:szCs w:val="22"/>
        </w:rPr>
        <w:t xml:space="preserve">23 luglio 2009, n. </w:t>
      </w:r>
      <w:r w:rsidRPr="00792253">
        <w:rPr>
          <w:rFonts w:ascii="Garamond" w:hAnsi="Garamond" w:cs="Arial"/>
          <w:color w:val="000000"/>
          <w:sz w:val="22"/>
          <w:szCs w:val="22"/>
        </w:rPr>
        <w:t>34</w:t>
      </w:r>
      <w:r>
        <w:rPr>
          <w:rFonts w:ascii="Garamond" w:hAnsi="Garamond" w:cs="Arial"/>
          <w:color w:val="000000"/>
          <w:sz w:val="22"/>
          <w:szCs w:val="22"/>
        </w:rPr>
        <w:t xml:space="preserve">, che osservavano quanto segue </w:t>
      </w:r>
      <w:r w:rsidRPr="00792253">
        <w:rPr>
          <w:rFonts w:ascii="Garamond" w:hAnsi="Garamond" w:cs="Arial"/>
          <w:color w:val="000000"/>
          <w:sz w:val="22"/>
          <w:szCs w:val="22"/>
        </w:rPr>
        <w:t xml:space="preserve">&lt;&lt; </w:t>
      </w:r>
      <w:r w:rsidRPr="00792253">
        <w:rPr>
          <w:rFonts w:ascii="Garamond" w:hAnsi="Garamond" w:cs="Arial"/>
          <w:i/>
          <w:iCs/>
          <w:color w:val="000000"/>
          <w:sz w:val="22"/>
          <w:szCs w:val="22"/>
        </w:rPr>
        <w:t>In relazione al mancato coinvolgimento del Consiglio comunale in merito alla sottoscrizione del contratto di swap si osserva che l’impegno finanziario derivante da tale gestione attiva del debito espone l’Amministrazione al rischio di perdite finanziarie future che solo l’Organo consiliare del Comune può, consapevolmente, autorizzare, in quanto organo di indirizzo e di controllo politico-amministrativo deputato, ai sensi dell’art. 42 del TUEL, ad approvare gli atti di spesa “che impegnino i bilanci per gli esercizi successivi”. Sotto questo profilo, la delibera del Consiglio comunale non può limitarsi ad autorizzare l’operazione in modo generico, ma deve indicare, analiticamente, gli indirizzi operativi che devono condurre alla conclusione dell’operazione nonché i vincoli finanziari che l’Ente intende assumere.</w:t>
      </w:r>
      <w:r>
        <w:rPr>
          <w:rFonts w:ascii="Garamond" w:hAnsi="Garamond" w:cs="Arial"/>
          <w:i/>
          <w:iCs/>
          <w:color w:val="000000"/>
          <w:sz w:val="22"/>
          <w:szCs w:val="22"/>
        </w:rPr>
        <w:t xml:space="preserve"> </w:t>
      </w:r>
      <w:r w:rsidRPr="00792253">
        <w:rPr>
          <w:rFonts w:ascii="Garamond" w:hAnsi="Garamond" w:cs="Arial"/>
          <w:i/>
          <w:iCs/>
          <w:color w:val="000000"/>
          <w:sz w:val="22"/>
          <w:szCs w:val="22"/>
        </w:rPr>
        <w:t>&gt;&gt;</w:t>
      </w:r>
      <w:r w:rsidRPr="00792253">
        <w:rPr>
          <w:rFonts w:ascii="Garamond" w:hAnsi="Garamond" w:cs="Arial"/>
          <w:color w:val="000000"/>
          <w:sz w:val="22"/>
          <w:szCs w:val="22"/>
        </w:rPr>
        <w:t xml:space="preserve">. </w:t>
      </w:r>
    </w:p>
  </w:footnote>
  <w:footnote w:id="43">
    <w:p w:rsidR="003536D7" w:rsidRPr="00612AAB" w:rsidRDefault="003536D7" w:rsidP="0017272E">
      <w:pPr>
        <w:ind w:left="567" w:right="567"/>
        <w:jc w:val="both"/>
        <w:rPr>
          <w:rFonts w:ascii="Garamond" w:hAnsi="Garamond" w:cs="Arial"/>
          <w:color w:val="000000"/>
          <w:sz w:val="22"/>
          <w:szCs w:val="22"/>
        </w:rPr>
      </w:pPr>
      <w:r w:rsidRPr="004A5049">
        <w:rPr>
          <w:rStyle w:val="Caratteredellanota"/>
          <w:rFonts w:ascii="Garamond" w:hAnsi="Garamond"/>
          <w:sz w:val="22"/>
          <w:szCs w:val="22"/>
        </w:rPr>
        <w:footnoteRef/>
      </w:r>
      <w:r w:rsidRPr="004A5049">
        <w:rPr>
          <w:rFonts w:ascii="Garamond" w:hAnsi="Garamond" w:cs="Arial"/>
          <w:color w:val="000000"/>
          <w:sz w:val="22"/>
          <w:szCs w:val="22"/>
        </w:rPr>
        <w:t xml:space="preserve"> </w:t>
      </w:r>
      <w:r w:rsidRPr="004A5049">
        <w:rPr>
          <w:rFonts w:ascii="Garamond" w:hAnsi="Garamond"/>
          <w:sz w:val="22"/>
          <w:szCs w:val="22"/>
        </w:rPr>
        <w:t>Cons. St., sez. V, 3 marzo 2005, n. 832.</w:t>
      </w:r>
      <w:r w:rsidRPr="004A5049">
        <w:rPr>
          <w:rFonts w:ascii="Garamond" w:hAnsi="Garamond" w:cs="Arial"/>
          <w:color w:val="000000"/>
          <w:sz w:val="22"/>
          <w:szCs w:val="22"/>
        </w:rPr>
        <w:t xml:space="preserve"> </w:t>
      </w:r>
      <w:r>
        <w:rPr>
          <w:rFonts w:ascii="Garamond" w:hAnsi="Garamond" w:cs="Arial"/>
          <w:color w:val="000000"/>
          <w:sz w:val="22"/>
          <w:szCs w:val="22"/>
        </w:rPr>
        <w:t>Di diverso segno sembrerebbe, inve</w:t>
      </w:r>
      <w:r w:rsidRPr="00612AAB">
        <w:rPr>
          <w:rFonts w:ascii="Garamond" w:hAnsi="Garamond" w:cs="Arial"/>
          <w:color w:val="000000"/>
          <w:sz w:val="22"/>
          <w:szCs w:val="22"/>
        </w:rPr>
        <w:t>ce, Cons. St., sez. V, 30 giugno 2017, n. 3174</w:t>
      </w:r>
      <w:r>
        <w:rPr>
          <w:rFonts w:ascii="Garamond" w:hAnsi="Garamond" w:cs="Arial"/>
          <w:color w:val="000000"/>
          <w:sz w:val="22"/>
          <w:szCs w:val="22"/>
        </w:rPr>
        <w:t xml:space="preserve">, secondo il quale lo swap sarebbe mero </w:t>
      </w:r>
      <w:r w:rsidRPr="00612AAB">
        <w:rPr>
          <w:rFonts w:ascii="Garamond" w:hAnsi="Garamond" w:cs="Arial"/>
          <w:i/>
          <w:color w:val="000000"/>
          <w:sz w:val="22"/>
          <w:szCs w:val="22"/>
        </w:rPr>
        <w:t>&lt;&lt; att</w:t>
      </w:r>
      <w:r>
        <w:rPr>
          <w:rFonts w:ascii="Garamond" w:hAnsi="Garamond" w:cs="Arial"/>
          <w:i/>
          <w:color w:val="000000"/>
          <w:sz w:val="22"/>
          <w:szCs w:val="22"/>
        </w:rPr>
        <w:t>o</w:t>
      </w:r>
      <w:r w:rsidRPr="00612AAB">
        <w:rPr>
          <w:rFonts w:ascii="Garamond" w:hAnsi="Garamond" w:cs="Arial"/>
          <w:i/>
          <w:color w:val="000000"/>
          <w:sz w:val="22"/>
          <w:szCs w:val="22"/>
        </w:rPr>
        <w:t xml:space="preserve"> di gestione dell’indebitamento </w:t>
      </w:r>
      <w:r>
        <w:rPr>
          <w:rFonts w:ascii="Garamond" w:hAnsi="Garamond" w:cs="Arial"/>
          <w:i/>
          <w:color w:val="000000"/>
          <w:sz w:val="22"/>
          <w:szCs w:val="22"/>
        </w:rPr>
        <w:t>dell’ente locale</w:t>
      </w:r>
      <w:r w:rsidRPr="00612AAB">
        <w:rPr>
          <w:rFonts w:ascii="Garamond" w:hAnsi="Garamond" w:cs="Arial"/>
          <w:i/>
          <w:color w:val="000000"/>
          <w:sz w:val="22"/>
          <w:szCs w:val="22"/>
        </w:rPr>
        <w:t xml:space="preserve"> </w:t>
      </w:r>
      <w:r>
        <w:rPr>
          <w:rFonts w:ascii="Garamond" w:hAnsi="Garamond" w:cs="Arial"/>
          <w:i/>
          <w:color w:val="000000"/>
          <w:sz w:val="22"/>
          <w:szCs w:val="22"/>
        </w:rPr>
        <w:t>con finalità di riduzione degli oneri finanziari ad esso inerenti, legittimamente adottabile dalla giunta comunale in virtù della sua residuale competenza gestoria ex art. 48, comma 2, del testo unico di cui al d.lgs. n. 267 del 2000. &gt;&gt;</w:t>
      </w:r>
      <w:r>
        <w:rPr>
          <w:rFonts w:ascii="Garamond" w:hAnsi="Garamond" w:cs="Arial"/>
          <w:color w:val="000000"/>
          <w:sz w:val="22"/>
          <w:szCs w:val="22"/>
        </w:rPr>
        <w:t xml:space="preserve">; dalla lettura di detta sentenza non risulta, peraltro, se nel caso di specie trattavasi di “derivati” con </w:t>
      </w:r>
      <w:r>
        <w:rPr>
          <w:rFonts w:ascii="Garamond" w:hAnsi="Garamond" w:cs="Arial"/>
          <w:i/>
          <w:color w:val="000000"/>
          <w:sz w:val="22"/>
          <w:szCs w:val="22"/>
        </w:rPr>
        <w:t xml:space="preserve">up-front </w:t>
      </w:r>
      <w:r>
        <w:rPr>
          <w:rFonts w:ascii="Garamond" w:hAnsi="Garamond" w:cs="Arial"/>
          <w:color w:val="000000"/>
          <w:sz w:val="22"/>
          <w:szCs w:val="22"/>
        </w:rPr>
        <w:t>o incidenti sui rapporti debitori sottostanti (questioni non affrontate dalla pronuncia).</w:t>
      </w:r>
    </w:p>
  </w:footnote>
  <w:footnote w:id="44">
    <w:p w:rsidR="003536D7" w:rsidRPr="0017272E" w:rsidRDefault="003536D7" w:rsidP="0017272E">
      <w:pPr>
        <w:ind w:left="567" w:right="567"/>
        <w:jc w:val="both"/>
        <w:rPr>
          <w:rFonts w:ascii="Garamond" w:hAnsi="Garamond" w:cs="Arial"/>
          <w:color w:val="000000"/>
          <w:sz w:val="22"/>
          <w:szCs w:val="22"/>
        </w:rPr>
      </w:pPr>
      <w:r w:rsidRPr="00612AAB">
        <w:rPr>
          <w:rStyle w:val="Caratteredellanota"/>
          <w:rFonts w:ascii="Garamond" w:hAnsi="Garamond"/>
          <w:sz w:val="22"/>
          <w:szCs w:val="22"/>
        </w:rPr>
        <w:footnoteRef/>
      </w:r>
      <w:r w:rsidRPr="00612AAB">
        <w:rPr>
          <w:rFonts w:ascii="Garamond" w:hAnsi="Garamond"/>
          <w:sz w:val="22"/>
          <w:szCs w:val="22"/>
        </w:rPr>
        <w:t xml:space="preserve"> Cass. Civ.</w:t>
      </w:r>
      <w:r>
        <w:rPr>
          <w:rFonts w:ascii="Garamond" w:hAnsi="Garamond"/>
          <w:sz w:val="22"/>
          <w:szCs w:val="22"/>
        </w:rPr>
        <w:t>,</w:t>
      </w:r>
      <w:r w:rsidRPr="00612AAB">
        <w:rPr>
          <w:rFonts w:ascii="Garamond" w:hAnsi="Garamond"/>
          <w:sz w:val="22"/>
          <w:szCs w:val="22"/>
        </w:rPr>
        <w:t xml:space="preserve"> S.U.</w:t>
      </w:r>
      <w:r>
        <w:rPr>
          <w:rFonts w:ascii="Garamond" w:hAnsi="Garamond"/>
          <w:sz w:val="22"/>
          <w:szCs w:val="22"/>
        </w:rPr>
        <w:t>,</w:t>
      </w:r>
      <w:r w:rsidRPr="00612AAB">
        <w:rPr>
          <w:rFonts w:ascii="Garamond" w:hAnsi="Garamond"/>
          <w:sz w:val="22"/>
          <w:szCs w:val="22"/>
        </w:rPr>
        <w:t xml:space="preserve"> n. 8770 del 2020: &lt;&lt; </w:t>
      </w:r>
      <w:r w:rsidRPr="00612AAB">
        <w:rPr>
          <w:rFonts w:ascii="Garamond" w:hAnsi="Garamond"/>
          <w:i/>
          <w:color w:val="000000"/>
          <w:sz w:val="22"/>
          <w:szCs w:val="22"/>
        </w:rPr>
        <w:t xml:space="preserve">10.4. A favore della scelta consiliare, oltre che le condizioni </w:t>
      </w:r>
      <w:r w:rsidRPr="0017272E">
        <w:rPr>
          <w:rFonts w:ascii="Garamond" w:hAnsi="Garamond"/>
          <w:i/>
          <w:color w:val="000000"/>
          <w:sz w:val="22"/>
          <w:szCs w:val="22"/>
        </w:rPr>
        <w:t>sostanziali di tali forme di finanziamento, depone anche la necessità di assicurare il coinvolgimento degli schieramenti assembleari di minoranza, i quali sono chiamati ad esercitare un controllo sull'operazione finanziaria.</w:t>
      </w:r>
      <w:r w:rsidRPr="0017272E">
        <w:rPr>
          <w:rFonts w:ascii="Garamond" w:hAnsi="Garamond" w:cs="Arial"/>
          <w:i/>
          <w:color w:val="000000"/>
          <w:sz w:val="22"/>
          <w:szCs w:val="22"/>
        </w:rPr>
        <w:t xml:space="preserve"> </w:t>
      </w:r>
      <w:r>
        <w:rPr>
          <w:rFonts w:ascii="Garamond" w:hAnsi="Garamond" w:cs="Arial"/>
          <w:i/>
          <w:color w:val="000000"/>
          <w:sz w:val="22"/>
          <w:szCs w:val="22"/>
        </w:rPr>
        <w:t>&gt;&gt;</w:t>
      </w:r>
      <w:r>
        <w:rPr>
          <w:rFonts w:ascii="Garamond" w:hAnsi="Garamond" w:cs="Arial"/>
          <w:color w:val="000000"/>
          <w:sz w:val="22"/>
          <w:szCs w:val="22"/>
        </w:rPr>
        <w:t>.</w:t>
      </w:r>
    </w:p>
  </w:footnote>
  <w:footnote w:id="45">
    <w:p w:rsidR="003536D7" w:rsidRPr="0017272E" w:rsidRDefault="003536D7" w:rsidP="004D11E7">
      <w:pPr>
        <w:ind w:left="567" w:right="567"/>
        <w:jc w:val="both"/>
        <w:rPr>
          <w:rFonts w:ascii="Garamond" w:hAnsi="Garamond" w:cs="Arial"/>
          <w:color w:val="000000"/>
          <w:sz w:val="22"/>
          <w:szCs w:val="22"/>
        </w:rPr>
      </w:pPr>
      <w:r w:rsidRPr="00612AAB">
        <w:rPr>
          <w:rStyle w:val="Caratteredellanota"/>
          <w:rFonts w:ascii="Garamond" w:hAnsi="Garamond"/>
          <w:sz w:val="22"/>
          <w:szCs w:val="22"/>
        </w:rPr>
        <w:footnoteRef/>
      </w:r>
      <w:r>
        <w:rPr>
          <w:rFonts w:ascii="Garamond" w:hAnsi="Garamond" w:cs="Arial"/>
          <w:color w:val="000000"/>
          <w:sz w:val="22"/>
          <w:szCs w:val="22"/>
        </w:rPr>
        <w:t xml:space="preserve"> Ai sensi dell’art. 17, comma 1, lett. e), del d.lgs. 18 aprile 2016, n. 50 (Codice dei contratti pubblici), le disposizioni del Codice non si applicano </w:t>
      </w:r>
      <w:r w:rsidRPr="00902F94">
        <w:rPr>
          <w:rFonts w:ascii="Garamond" w:hAnsi="Garamond" w:cs="Arial"/>
          <w:i/>
          <w:color w:val="000000"/>
          <w:sz w:val="22"/>
          <w:szCs w:val="22"/>
        </w:rPr>
        <w:t xml:space="preserve">“agli appalti ed alle concessioni di servizi </w:t>
      </w:r>
      <w:r w:rsidRPr="00902F94">
        <w:rPr>
          <w:rFonts w:ascii="Garamond" w:hAnsi="Garamond"/>
          <w:i/>
          <w:color w:val="000000"/>
          <w:sz w:val="22"/>
          <w:szCs w:val="22"/>
        </w:rPr>
        <w:t>finanziari relativi all'emissione, all'acquisto, alla vendita e al trasferimento di titoli o di altri strumenti finanziari ai sensi del decreto legislativo 24 febbraio 1998, n. 58, e successive modificazioni, servizi forniti da banche centrali e operazioni concluse con il Fondo europeo di stabilità finanziaria e il meccanismo europeo di stabilità”</w:t>
      </w:r>
      <w:r>
        <w:rPr>
          <w:rFonts w:ascii="Garamond" w:hAnsi="Garamond"/>
          <w:color w:val="000000"/>
          <w:sz w:val="22"/>
          <w:szCs w:val="22"/>
        </w:rPr>
        <w:t>; una norma analoga era contenuta nell’art. 19, comma 1, lett. d) del primo Codice (d.lgs. 12 aprile 2006, n. 163) e, precedentemente, nell’art. 5, comma 2, lett. d) del d.lgs. 17 marzo 199</w:t>
      </w:r>
      <w:bookmarkStart w:id="0" w:name="_GoBack"/>
      <w:bookmarkEnd w:id="0"/>
      <w:r>
        <w:rPr>
          <w:rFonts w:ascii="Garamond" w:hAnsi="Garamond"/>
          <w:color w:val="000000"/>
          <w:sz w:val="22"/>
          <w:szCs w:val="22"/>
        </w:rPr>
        <w:t>5, n. 157. Dette esclusioni trovano corrispondenza nella normativa eurounitaria (vedasi, da ultimo, art. 10, lett. e), direttiva 16 febbraio 2014, n. 2014/24/UE.</w:t>
      </w:r>
    </w:p>
  </w:footnote>
  <w:footnote w:id="46">
    <w:p w:rsidR="003536D7" w:rsidRPr="0017272E" w:rsidRDefault="003536D7" w:rsidP="004D11E7">
      <w:pPr>
        <w:ind w:left="567" w:right="567"/>
        <w:jc w:val="both"/>
        <w:rPr>
          <w:rFonts w:ascii="Garamond" w:hAnsi="Garamond" w:cs="Arial"/>
          <w:color w:val="000000"/>
          <w:sz w:val="22"/>
          <w:szCs w:val="22"/>
        </w:rPr>
      </w:pPr>
      <w:r w:rsidRPr="00612AAB">
        <w:rPr>
          <w:rStyle w:val="Caratteredellanota"/>
          <w:rFonts w:ascii="Garamond" w:hAnsi="Garamond"/>
          <w:sz w:val="22"/>
          <w:szCs w:val="22"/>
        </w:rPr>
        <w:footnoteRef/>
      </w:r>
      <w:r>
        <w:rPr>
          <w:rFonts w:ascii="Garamond" w:hAnsi="Garamond" w:cs="Arial"/>
          <w:color w:val="000000"/>
          <w:sz w:val="22"/>
          <w:szCs w:val="22"/>
        </w:rPr>
        <w:t xml:space="preserve"> Garofoli R. – Ferrari G., Codice degli appalti pubblici, Roma, 2007, 115.</w:t>
      </w:r>
    </w:p>
  </w:footnote>
  <w:footnote w:id="47">
    <w:p w:rsidR="003536D7" w:rsidRPr="0017272E" w:rsidRDefault="003536D7" w:rsidP="00F66FDA">
      <w:pPr>
        <w:ind w:left="567" w:right="567"/>
        <w:jc w:val="both"/>
        <w:rPr>
          <w:rFonts w:ascii="Garamond" w:hAnsi="Garamond" w:cs="Arial"/>
          <w:color w:val="000000"/>
          <w:sz w:val="22"/>
          <w:szCs w:val="22"/>
        </w:rPr>
      </w:pPr>
      <w:r w:rsidRPr="00612AAB">
        <w:rPr>
          <w:rStyle w:val="Caratteredellanota"/>
          <w:rFonts w:ascii="Garamond" w:hAnsi="Garamond"/>
          <w:sz w:val="22"/>
          <w:szCs w:val="22"/>
        </w:rPr>
        <w:footnoteRef/>
      </w:r>
      <w:r>
        <w:rPr>
          <w:rFonts w:ascii="Garamond" w:hAnsi="Garamond"/>
          <w:color w:val="000000"/>
          <w:sz w:val="22"/>
          <w:szCs w:val="22"/>
        </w:rPr>
        <w:t xml:space="preserve"> </w:t>
      </w:r>
      <w:r w:rsidRPr="00F66FDA">
        <w:rPr>
          <w:rFonts w:ascii="Garamond" w:hAnsi="Garamond" w:cs="Arial"/>
          <w:color w:val="000000"/>
          <w:sz w:val="22"/>
          <w:szCs w:val="22"/>
        </w:rPr>
        <w:t xml:space="preserve">Cass. </w:t>
      </w:r>
      <w:r>
        <w:rPr>
          <w:rFonts w:ascii="Garamond" w:hAnsi="Garamond" w:cs="Arial"/>
          <w:color w:val="000000"/>
          <w:sz w:val="22"/>
          <w:szCs w:val="22"/>
        </w:rPr>
        <w:t xml:space="preserve">civ., sez. </w:t>
      </w:r>
      <w:r w:rsidRPr="00F66FDA">
        <w:rPr>
          <w:rFonts w:ascii="Garamond" w:hAnsi="Garamond" w:cs="Arial"/>
          <w:color w:val="000000"/>
          <w:sz w:val="22"/>
          <w:szCs w:val="22"/>
        </w:rPr>
        <w:t>II</w:t>
      </w:r>
      <w:r>
        <w:rPr>
          <w:rFonts w:ascii="Garamond" w:hAnsi="Garamond" w:cs="Arial"/>
          <w:color w:val="000000"/>
          <w:sz w:val="22"/>
          <w:szCs w:val="22"/>
        </w:rPr>
        <w:t xml:space="preserve">, </w:t>
      </w:r>
      <w:r w:rsidRPr="00F66FDA">
        <w:rPr>
          <w:rFonts w:ascii="Garamond" w:hAnsi="Garamond" w:cs="Arial"/>
          <w:color w:val="000000"/>
          <w:sz w:val="22"/>
          <w:szCs w:val="22"/>
        </w:rPr>
        <w:t>8</w:t>
      </w:r>
      <w:r>
        <w:rPr>
          <w:rFonts w:ascii="Garamond" w:hAnsi="Garamond" w:cs="Arial"/>
          <w:color w:val="000000"/>
          <w:sz w:val="22"/>
          <w:szCs w:val="22"/>
        </w:rPr>
        <w:t xml:space="preserve"> maggio </w:t>
      </w:r>
      <w:r w:rsidRPr="00F66FDA">
        <w:rPr>
          <w:rFonts w:ascii="Garamond" w:hAnsi="Garamond" w:cs="Arial"/>
          <w:color w:val="000000"/>
          <w:sz w:val="22"/>
          <w:szCs w:val="22"/>
        </w:rPr>
        <w:t xml:space="preserve">1996, n. 4269; </w:t>
      </w:r>
      <w:r>
        <w:rPr>
          <w:rFonts w:ascii="Garamond" w:hAnsi="Garamond" w:cs="Arial"/>
          <w:color w:val="000000"/>
          <w:sz w:val="22"/>
          <w:szCs w:val="22"/>
        </w:rPr>
        <w:t xml:space="preserve">sez. </w:t>
      </w:r>
      <w:r w:rsidRPr="00F66FDA">
        <w:rPr>
          <w:rFonts w:ascii="Garamond" w:hAnsi="Garamond" w:cs="Arial"/>
          <w:color w:val="000000"/>
          <w:sz w:val="22"/>
          <w:szCs w:val="22"/>
        </w:rPr>
        <w:t>I 28</w:t>
      </w:r>
      <w:r>
        <w:rPr>
          <w:rFonts w:ascii="Garamond" w:hAnsi="Garamond" w:cs="Arial"/>
          <w:color w:val="000000"/>
          <w:sz w:val="22"/>
          <w:szCs w:val="22"/>
        </w:rPr>
        <w:t xml:space="preserve"> marzo </w:t>
      </w:r>
      <w:r w:rsidRPr="00F66FDA">
        <w:rPr>
          <w:rFonts w:ascii="Garamond" w:hAnsi="Garamond" w:cs="Arial"/>
          <w:color w:val="000000"/>
          <w:sz w:val="22"/>
          <w:szCs w:val="22"/>
        </w:rPr>
        <w:t xml:space="preserve">1996, n. 2842; </w:t>
      </w:r>
      <w:r>
        <w:rPr>
          <w:rFonts w:ascii="Garamond" w:hAnsi="Garamond" w:cs="Arial"/>
          <w:color w:val="000000"/>
          <w:sz w:val="22"/>
          <w:szCs w:val="22"/>
        </w:rPr>
        <w:t xml:space="preserve">sez. </w:t>
      </w:r>
      <w:r w:rsidRPr="00F66FDA">
        <w:rPr>
          <w:rFonts w:ascii="Garamond" w:hAnsi="Garamond" w:cs="Arial"/>
          <w:color w:val="000000"/>
          <w:sz w:val="22"/>
          <w:szCs w:val="22"/>
        </w:rPr>
        <w:t>II</w:t>
      </w:r>
      <w:r>
        <w:rPr>
          <w:rFonts w:ascii="Garamond" w:hAnsi="Garamond" w:cs="Arial"/>
          <w:color w:val="000000"/>
          <w:sz w:val="22"/>
          <w:szCs w:val="22"/>
        </w:rPr>
        <w:t>,</w:t>
      </w:r>
      <w:r w:rsidRPr="00F66FDA">
        <w:rPr>
          <w:rFonts w:ascii="Garamond" w:hAnsi="Garamond" w:cs="Arial"/>
          <w:color w:val="000000"/>
          <w:sz w:val="22"/>
          <w:szCs w:val="22"/>
        </w:rPr>
        <w:t xml:space="preserve"> 21</w:t>
      </w:r>
      <w:r>
        <w:rPr>
          <w:rFonts w:ascii="Garamond" w:hAnsi="Garamond" w:cs="Arial"/>
          <w:color w:val="000000"/>
          <w:sz w:val="22"/>
          <w:szCs w:val="22"/>
        </w:rPr>
        <w:t xml:space="preserve"> febbraio </w:t>
      </w:r>
      <w:r w:rsidRPr="00F66FDA">
        <w:rPr>
          <w:rFonts w:ascii="Garamond" w:hAnsi="Garamond" w:cs="Arial"/>
          <w:color w:val="000000"/>
          <w:sz w:val="22"/>
          <w:szCs w:val="22"/>
        </w:rPr>
        <w:t xml:space="preserve">1995, n. 1885; </w:t>
      </w:r>
      <w:r>
        <w:rPr>
          <w:rFonts w:ascii="Garamond" w:hAnsi="Garamond" w:cs="Arial"/>
          <w:color w:val="000000"/>
          <w:sz w:val="22"/>
          <w:szCs w:val="22"/>
        </w:rPr>
        <w:t xml:space="preserve">sez. III, </w:t>
      </w:r>
      <w:r w:rsidRPr="00F66FDA">
        <w:rPr>
          <w:rFonts w:ascii="Garamond" w:hAnsi="Garamond" w:cs="Arial"/>
          <w:color w:val="000000"/>
          <w:sz w:val="22"/>
          <w:szCs w:val="22"/>
        </w:rPr>
        <w:t>7</w:t>
      </w:r>
      <w:r>
        <w:rPr>
          <w:rFonts w:ascii="Garamond" w:hAnsi="Garamond" w:cs="Arial"/>
          <w:color w:val="000000"/>
          <w:sz w:val="22"/>
          <w:szCs w:val="22"/>
        </w:rPr>
        <w:t xml:space="preserve"> aprile </w:t>
      </w:r>
      <w:r w:rsidRPr="00F66FDA">
        <w:rPr>
          <w:rFonts w:ascii="Garamond" w:hAnsi="Garamond" w:cs="Arial"/>
          <w:color w:val="000000"/>
          <w:sz w:val="22"/>
          <w:szCs w:val="22"/>
        </w:rPr>
        <w:t xml:space="preserve">1989, n. 1682; </w:t>
      </w:r>
      <w:r>
        <w:rPr>
          <w:rFonts w:ascii="Garamond" w:hAnsi="Garamond" w:cs="Arial"/>
          <w:color w:val="000000"/>
          <w:sz w:val="22"/>
          <w:szCs w:val="22"/>
        </w:rPr>
        <w:t xml:space="preserve">sez. </w:t>
      </w:r>
      <w:r w:rsidRPr="00F66FDA">
        <w:rPr>
          <w:rFonts w:ascii="Garamond" w:hAnsi="Garamond" w:cs="Arial"/>
          <w:color w:val="000000"/>
          <w:sz w:val="22"/>
          <w:szCs w:val="22"/>
        </w:rPr>
        <w:t>I</w:t>
      </w:r>
      <w:r>
        <w:rPr>
          <w:rFonts w:ascii="Garamond" w:hAnsi="Garamond" w:cs="Arial"/>
          <w:color w:val="000000"/>
          <w:sz w:val="22"/>
          <w:szCs w:val="22"/>
        </w:rPr>
        <w:t>,</w:t>
      </w:r>
      <w:r w:rsidRPr="00F66FDA">
        <w:rPr>
          <w:rFonts w:ascii="Garamond" w:hAnsi="Garamond" w:cs="Arial"/>
          <w:color w:val="000000"/>
          <w:sz w:val="22"/>
          <w:szCs w:val="22"/>
        </w:rPr>
        <w:t xml:space="preserve"> 13</w:t>
      </w:r>
      <w:r>
        <w:rPr>
          <w:rFonts w:ascii="Garamond" w:hAnsi="Garamond" w:cs="Arial"/>
          <w:color w:val="000000"/>
          <w:sz w:val="22"/>
          <w:szCs w:val="22"/>
        </w:rPr>
        <w:t xml:space="preserve"> ottobre </w:t>
      </w:r>
      <w:r w:rsidRPr="00F66FDA">
        <w:rPr>
          <w:rFonts w:ascii="Garamond" w:hAnsi="Garamond" w:cs="Arial"/>
          <w:color w:val="000000"/>
          <w:sz w:val="22"/>
          <w:szCs w:val="22"/>
        </w:rPr>
        <w:t xml:space="preserve">1986, n. 5983; </w:t>
      </w:r>
      <w:r>
        <w:rPr>
          <w:rFonts w:ascii="Garamond" w:hAnsi="Garamond" w:cs="Arial"/>
          <w:color w:val="000000"/>
          <w:sz w:val="22"/>
          <w:szCs w:val="22"/>
        </w:rPr>
        <w:t xml:space="preserve">sez. </w:t>
      </w:r>
      <w:r w:rsidRPr="00F66FDA">
        <w:rPr>
          <w:rFonts w:ascii="Garamond" w:hAnsi="Garamond" w:cs="Arial"/>
          <w:color w:val="000000"/>
          <w:sz w:val="22"/>
          <w:szCs w:val="22"/>
        </w:rPr>
        <w:t>I</w:t>
      </w:r>
      <w:r>
        <w:rPr>
          <w:rFonts w:ascii="Garamond" w:hAnsi="Garamond" w:cs="Arial"/>
          <w:color w:val="000000"/>
          <w:sz w:val="22"/>
          <w:szCs w:val="22"/>
        </w:rPr>
        <w:t>,</w:t>
      </w:r>
      <w:r w:rsidRPr="00F66FDA">
        <w:rPr>
          <w:rFonts w:ascii="Garamond" w:hAnsi="Garamond" w:cs="Arial"/>
          <w:color w:val="000000"/>
          <w:sz w:val="22"/>
          <w:szCs w:val="22"/>
        </w:rPr>
        <w:t xml:space="preserve"> 20</w:t>
      </w:r>
      <w:r>
        <w:rPr>
          <w:rFonts w:ascii="Garamond" w:hAnsi="Garamond" w:cs="Arial"/>
          <w:color w:val="000000"/>
          <w:sz w:val="22"/>
          <w:szCs w:val="22"/>
        </w:rPr>
        <w:t xml:space="preserve"> novembre </w:t>
      </w:r>
      <w:r w:rsidRPr="00F66FDA">
        <w:rPr>
          <w:rFonts w:ascii="Garamond" w:hAnsi="Garamond" w:cs="Arial"/>
          <w:color w:val="000000"/>
          <w:sz w:val="22"/>
          <w:szCs w:val="22"/>
        </w:rPr>
        <w:t xml:space="preserve">1985, n. 5712; </w:t>
      </w:r>
      <w:r>
        <w:rPr>
          <w:rFonts w:ascii="Garamond" w:hAnsi="Garamond" w:cs="Arial"/>
          <w:color w:val="000000"/>
          <w:sz w:val="22"/>
          <w:szCs w:val="22"/>
        </w:rPr>
        <w:t xml:space="preserve">sez. II, </w:t>
      </w:r>
      <w:r w:rsidRPr="00F66FDA">
        <w:rPr>
          <w:rFonts w:ascii="Garamond" w:hAnsi="Garamond" w:cs="Arial"/>
          <w:color w:val="000000"/>
          <w:sz w:val="22"/>
          <w:szCs w:val="22"/>
        </w:rPr>
        <w:t>5</w:t>
      </w:r>
      <w:r>
        <w:rPr>
          <w:rFonts w:ascii="Garamond" w:hAnsi="Garamond" w:cs="Arial"/>
          <w:color w:val="000000"/>
          <w:sz w:val="22"/>
          <w:szCs w:val="22"/>
        </w:rPr>
        <w:t xml:space="preserve"> febbraio </w:t>
      </w:r>
      <w:r w:rsidRPr="00F66FDA">
        <w:rPr>
          <w:rFonts w:ascii="Garamond" w:hAnsi="Garamond" w:cs="Arial"/>
          <w:color w:val="000000"/>
          <w:sz w:val="22"/>
          <w:szCs w:val="22"/>
        </w:rPr>
        <w:t>1982, n. 671.</w:t>
      </w:r>
    </w:p>
  </w:footnote>
  <w:footnote w:id="48">
    <w:p w:rsidR="003536D7" w:rsidRPr="00792253" w:rsidRDefault="003536D7" w:rsidP="00F66FDA">
      <w:pPr>
        <w:pStyle w:val="WW-footnotetext123"/>
        <w:ind w:left="567" w:right="567" w:firstLine="0"/>
        <w:jc w:val="both"/>
        <w:rPr>
          <w:rFonts w:ascii="Garamond" w:hAnsi="Garamond"/>
          <w:sz w:val="22"/>
          <w:szCs w:val="22"/>
        </w:rPr>
      </w:pPr>
      <w:r w:rsidRPr="00792253">
        <w:rPr>
          <w:rStyle w:val="Caratteredellanota"/>
          <w:rFonts w:ascii="Garamond" w:hAnsi="Garamond"/>
          <w:sz w:val="22"/>
          <w:szCs w:val="22"/>
        </w:rPr>
        <w:footnoteRef/>
      </w:r>
      <w:r>
        <w:rPr>
          <w:rFonts w:ascii="Garamond" w:hAnsi="Garamond"/>
          <w:sz w:val="22"/>
          <w:szCs w:val="22"/>
        </w:rPr>
        <w:t xml:space="preserve"> </w:t>
      </w:r>
      <w:r w:rsidRPr="00792253">
        <w:rPr>
          <w:rFonts w:ascii="Garamond" w:hAnsi="Garamond"/>
          <w:sz w:val="22"/>
          <w:szCs w:val="22"/>
        </w:rPr>
        <w:t xml:space="preserve">Come ricordato da Cass. </w:t>
      </w:r>
      <w:r>
        <w:rPr>
          <w:rFonts w:ascii="Garamond" w:hAnsi="Garamond"/>
          <w:sz w:val="22"/>
          <w:szCs w:val="22"/>
        </w:rPr>
        <w:t xml:space="preserve">civ., sez. </w:t>
      </w:r>
      <w:r w:rsidRPr="00792253">
        <w:rPr>
          <w:rFonts w:ascii="Garamond" w:hAnsi="Garamond"/>
          <w:sz w:val="22"/>
          <w:szCs w:val="22"/>
        </w:rPr>
        <w:t>II</w:t>
      </w:r>
      <w:r>
        <w:rPr>
          <w:rFonts w:ascii="Garamond" w:hAnsi="Garamond"/>
          <w:sz w:val="22"/>
          <w:szCs w:val="22"/>
        </w:rPr>
        <w:t>,</w:t>
      </w:r>
      <w:r w:rsidRPr="00792253">
        <w:rPr>
          <w:rFonts w:ascii="Garamond" w:hAnsi="Garamond"/>
          <w:sz w:val="22"/>
          <w:szCs w:val="22"/>
        </w:rPr>
        <w:t xml:space="preserve"> 21</w:t>
      </w:r>
      <w:r>
        <w:rPr>
          <w:rFonts w:ascii="Garamond" w:hAnsi="Garamond"/>
          <w:sz w:val="22"/>
          <w:szCs w:val="22"/>
        </w:rPr>
        <w:t xml:space="preserve"> febbraio </w:t>
      </w:r>
      <w:r w:rsidRPr="00792253">
        <w:rPr>
          <w:rFonts w:ascii="Garamond" w:hAnsi="Garamond"/>
          <w:sz w:val="22"/>
          <w:szCs w:val="22"/>
        </w:rPr>
        <w:t xml:space="preserve">1995, n. 1885, la nozione di </w:t>
      </w:r>
      <w:r w:rsidRPr="004C2E2A">
        <w:rPr>
          <w:rFonts w:ascii="Garamond" w:hAnsi="Garamond"/>
          <w:i/>
          <w:sz w:val="22"/>
          <w:szCs w:val="22"/>
        </w:rPr>
        <w:t>“legittimazione a contrarre”</w:t>
      </w:r>
      <w:r w:rsidRPr="00792253">
        <w:rPr>
          <w:rFonts w:ascii="Garamond" w:hAnsi="Garamond"/>
          <w:sz w:val="22"/>
          <w:szCs w:val="22"/>
        </w:rPr>
        <w:t xml:space="preserve"> è stata elaborata proprio per dar conto di fenomeni che non possono essere ricondotti alle categorie generali della </w:t>
      </w:r>
      <w:r w:rsidRPr="008E3339">
        <w:rPr>
          <w:rFonts w:ascii="Garamond" w:hAnsi="Garamond"/>
          <w:i/>
          <w:sz w:val="22"/>
          <w:szCs w:val="22"/>
        </w:rPr>
        <w:t>“capacità giuridica”</w:t>
      </w:r>
      <w:r w:rsidRPr="00792253">
        <w:rPr>
          <w:rFonts w:ascii="Garamond" w:hAnsi="Garamond"/>
          <w:sz w:val="22"/>
          <w:szCs w:val="22"/>
        </w:rPr>
        <w:t xml:space="preserve"> e della </w:t>
      </w:r>
      <w:r w:rsidRPr="008E3339">
        <w:rPr>
          <w:rFonts w:ascii="Garamond" w:hAnsi="Garamond"/>
          <w:i/>
          <w:sz w:val="22"/>
          <w:szCs w:val="22"/>
        </w:rPr>
        <w:t>“capacità di agire”</w:t>
      </w:r>
      <w:r>
        <w:rPr>
          <w:rFonts w:ascii="Garamond" w:hAnsi="Garamond"/>
          <w:sz w:val="22"/>
          <w:szCs w:val="22"/>
        </w:rPr>
        <w:t>, nelle quali si esprime l’</w:t>
      </w:r>
      <w:r w:rsidRPr="00792253">
        <w:rPr>
          <w:rFonts w:ascii="Garamond" w:hAnsi="Garamond"/>
          <w:sz w:val="22"/>
          <w:szCs w:val="22"/>
        </w:rPr>
        <w:t>idoneità, riconosciuta al soggetto, ad essere titolare di situazioni giuridiche soggettive e ad esercitare le relative facoltà; per dar conto, cioè, di quelle ipotesi in cui l'ordinamento richieda nel soggetto, perché possa compiere validamente o efficacemente un determinato atto, un potere di disposizione in relazione ad una particolare situazione giuridica, o, come si è detto, l'idoneità ad essere soggetto del rapporto che si svolge nell'atto, ovvero del potere di assumere obbligazioni verso terzi.</w:t>
      </w:r>
    </w:p>
  </w:footnote>
  <w:footnote w:id="49">
    <w:p w:rsidR="003536D7" w:rsidRPr="00792253" w:rsidRDefault="003536D7" w:rsidP="004C2E2A">
      <w:pPr>
        <w:pStyle w:val="WW-footnotetext123"/>
        <w:ind w:left="567" w:right="567" w:firstLine="0"/>
        <w:jc w:val="both"/>
        <w:rPr>
          <w:rFonts w:ascii="Garamond" w:hAnsi="Garamond"/>
          <w:sz w:val="22"/>
          <w:szCs w:val="22"/>
        </w:rPr>
      </w:pPr>
      <w:r w:rsidRPr="00792253">
        <w:rPr>
          <w:rStyle w:val="Caratteredellanota"/>
          <w:rFonts w:ascii="Garamond" w:hAnsi="Garamond"/>
          <w:sz w:val="22"/>
          <w:szCs w:val="22"/>
        </w:rPr>
        <w:footnoteRef/>
      </w:r>
      <w:r>
        <w:rPr>
          <w:rFonts w:ascii="Garamond" w:hAnsi="Garamond"/>
          <w:sz w:val="22"/>
          <w:szCs w:val="22"/>
        </w:rPr>
        <w:t xml:space="preserve"> </w:t>
      </w:r>
      <w:r w:rsidRPr="004C2E2A">
        <w:rPr>
          <w:rFonts w:ascii="Garamond" w:hAnsi="Garamond" w:cs="Arial"/>
          <w:color w:val="000000"/>
          <w:sz w:val="22"/>
          <w:szCs w:val="22"/>
        </w:rPr>
        <w:t>Cass. civ., sez. III, 29 luglio 1987, n. 6</w:t>
      </w:r>
      <w:r>
        <w:rPr>
          <w:rFonts w:ascii="Garamond" w:hAnsi="Garamond" w:cs="Arial"/>
          <w:color w:val="000000"/>
          <w:sz w:val="22"/>
          <w:szCs w:val="22"/>
        </w:rPr>
        <w:t xml:space="preserve">578; sez. I, </w:t>
      </w:r>
      <w:r w:rsidRPr="004C2E2A">
        <w:rPr>
          <w:rFonts w:ascii="Garamond" w:hAnsi="Garamond" w:cs="Arial"/>
          <w:color w:val="000000"/>
          <w:sz w:val="22"/>
          <w:szCs w:val="22"/>
        </w:rPr>
        <w:t>5</w:t>
      </w:r>
      <w:r>
        <w:rPr>
          <w:rFonts w:ascii="Garamond" w:hAnsi="Garamond" w:cs="Arial"/>
          <w:color w:val="000000"/>
          <w:sz w:val="22"/>
          <w:szCs w:val="22"/>
        </w:rPr>
        <w:t xml:space="preserve"> marzo </w:t>
      </w:r>
      <w:r w:rsidRPr="004C2E2A">
        <w:rPr>
          <w:rFonts w:ascii="Garamond" w:hAnsi="Garamond" w:cs="Arial"/>
          <w:color w:val="000000"/>
          <w:sz w:val="22"/>
          <w:szCs w:val="22"/>
        </w:rPr>
        <w:t>1993, n. 2681</w:t>
      </w:r>
      <w:r>
        <w:rPr>
          <w:rFonts w:ascii="Garamond" w:hAnsi="Garamond" w:cs="Arial"/>
          <w:color w:val="000000"/>
          <w:sz w:val="22"/>
          <w:szCs w:val="22"/>
        </w:rPr>
        <w:t>.</w:t>
      </w:r>
    </w:p>
  </w:footnote>
  <w:footnote w:id="50">
    <w:p w:rsidR="003536D7" w:rsidRPr="004C2E2A" w:rsidRDefault="003536D7" w:rsidP="004C2E2A">
      <w:pPr>
        <w:pStyle w:val="WW-footnotetext123"/>
        <w:ind w:left="567" w:right="567" w:firstLine="0"/>
        <w:jc w:val="both"/>
        <w:rPr>
          <w:rFonts w:ascii="Garamond" w:hAnsi="Garamond"/>
          <w:sz w:val="22"/>
          <w:szCs w:val="22"/>
        </w:rPr>
      </w:pPr>
      <w:r w:rsidRPr="004C2E2A">
        <w:rPr>
          <w:rStyle w:val="Caratteredellanota"/>
          <w:rFonts w:ascii="Garamond" w:hAnsi="Garamond"/>
          <w:sz w:val="22"/>
          <w:szCs w:val="22"/>
        </w:rPr>
        <w:footnoteRef/>
      </w:r>
      <w:r w:rsidRPr="004C2E2A">
        <w:rPr>
          <w:rFonts w:ascii="Garamond" w:hAnsi="Garamond"/>
          <w:sz w:val="22"/>
          <w:szCs w:val="22"/>
        </w:rPr>
        <w:t xml:space="preserve"> </w:t>
      </w:r>
      <w:r w:rsidRPr="004C2E2A">
        <w:rPr>
          <w:rFonts w:ascii="Garamond" w:hAnsi="Garamond" w:cs="Arial"/>
          <w:color w:val="000000"/>
          <w:sz w:val="22"/>
          <w:szCs w:val="22"/>
        </w:rPr>
        <w:t>Cass. civ., sez. III, 9 gennaio 2002, n. 193.</w:t>
      </w:r>
    </w:p>
  </w:footnote>
  <w:footnote w:id="51">
    <w:p w:rsidR="003536D7" w:rsidRPr="004C2E2A" w:rsidRDefault="003536D7" w:rsidP="00AC39E0">
      <w:pPr>
        <w:ind w:left="567" w:right="567"/>
        <w:jc w:val="both"/>
        <w:rPr>
          <w:rFonts w:ascii="Garamond" w:hAnsi="Garamond"/>
          <w:sz w:val="22"/>
          <w:szCs w:val="22"/>
        </w:rPr>
      </w:pPr>
      <w:r w:rsidRPr="004C2E2A">
        <w:rPr>
          <w:rStyle w:val="Caratteredellanota"/>
          <w:rFonts w:ascii="Garamond" w:hAnsi="Garamond"/>
          <w:sz w:val="22"/>
          <w:szCs w:val="22"/>
        </w:rPr>
        <w:footnoteRef/>
      </w:r>
      <w:r w:rsidRPr="004C2E2A">
        <w:rPr>
          <w:rFonts w:ascii="Garamond" w:hAnsi="Garamond"/>
          <w:sz w:val="22"/>
          <w:szCs w:val="22"/>
        </w:rPr>
        <w:t xml:space="preserve"> </w:t>
      </w:r>
      <w:r w:rsidRPr="004C2E2A">
        <w:rPr>
          <w:rFonts w:ascii="Garamond" w:hAnsi="Garamond" w:cs="Arial"/>
          <w:color w:val="000000"/>
          <w:sz w:val="22"/>
          <w:szCs w:val="22"/>
        </w:rPr>
        <w:t xml:space="preserve">Cass. </w:t>
      </w:r>
      <w:r>
        <w:rPr>
          <w:rFonts w:ascii="Garamond" w:hAnsi="Garamond" w:cs="Arial"/>
          <w:color w:val="000000"/>
          <w:sz w:val="22"/>
          <w:szCs w:val="22"/>
        </w:rPr>
        <w:t>c</w:t>
      </w:r>
      <w:r w:rsidRPr="004C2E2A">
        <w:rPr>
          <w:rFonts w:ascii="Garamond" w:hAnsi="Garamond" w:cs="Arial"/>
          <w:color w:val="000000"/>
          <w:sz w:val="22"/>
          <w:szCs w:val="22"/>
        </w:rPr>
        <w:t>iv.</w:t>
      </w:r>
      <w:r>
        <w:rPr>
          <w:rFonts w:ascii="Garamond" w:hAnsi="Garamond" w:cs="Arial"/>
          <w:color w:val="000000"/>
          <w:sz w:val="22"/>
          <w:szCs w:val="22"/>
        </w:rPr>
        <w:t>,</w:t>
      </w:r>
      <w:r w:rsidRPr="004C2E2A">
        <w:rPr>
          <w:rFonts w:ascii="Garamond" w:hAnsi="Garamond" w:cs="Arial"/>
          <w:color w:val="000000"/>
          <w:sz w:val="22"/>
          <w:szCs w:val="22"/>
        </w:rPr>
        <w:t xml:space="preserve"> S.U.</w:t>
      </w:r>
      <w:r>
        <w:rPr>
          <w:rFonts w:ascii="Garamond" w:hAnsi="Garamond" w:cs="Arial"/>
          <w:color w:val="000000"/>
          <w:sz w:val="22"/>
          <w:szCs w:val="22"/>
        </w:rPr>
        <w:t>,</w:t>
      </w:r>
      <w:r w:rsidRPr="004C2E2A">
        <w:rPr>
          <w:rFonts w:ascii="Garamond" w:hAnsi="Garamond" w:cs="Arial"/>
          <w:color w:val="000000"/>
          <w:sz w:val="22"/>
          <w:szCs w:val="22"/>
        </w:rPr>
        <w:t xml:space="preserve"> 19 gennaio 2007, n. 1142.</w:t>
      </w:r>
      <w:r>
        <w:rPr>
          <w:rFonts w:ascii="Garamond" w:hAnsi="Garamond" w:cs="Arial"/>
          <w:color w:val="000000"/>
          <w:sz w:val="22"/>
          <w:szCs w:val="22"/>
        </w:rPr>
        <w:t xml:space="preserve"> </w:t>
      </w:r>
      <w:r w:rsidRPr="00AC39E0">
        <w:rPr>
          <w:rFonts w:ascii="Garamond" w:eastAsia="Lucida Sans Unicode" w:hAnsi="Garamond" w:cs="Arial"/>
          <w:color w:val="000000"/>
          <w:sz w:val="22"/>
          <w:szCs w:val="22"/>
        </w:rPr>
        <w:t xml:space="preserve">In particolare, la radicale sanzione della nullità contrattuale è stata enunciata </w:t>
      </w:r>
      <w:r>
        <w:rPr>
          <w:rFonts w:ascii="Garamond" w:eastAsia="Lucida Sans Unicode" w:hAnsi="Garamond" w:cs="Arial"/>
          <w:color w:val="000000"/>
          <w:sz w:val="22"/>
          <w:szCs w:val="22"/>
        </w:rPr>
        <w:t>in relazione ai casi in cui la d</w:t>
      </w:r>
      <w:r w:rsidRPr="00AC39E0">
        <w:rPr>
          <w:rFonts w:ascii="Garamond" w:eastAsia="Lucida Sans Unicode" w:hAnsi="Garamond" w:cs="Arial"/>
          <w:color w:val="000000"/>
          <w:sz w:val="22"/>
          <w:szCs w:val="22"/>
        </w:rPr>
        <w:t xml:space="preserve">eliberazione a contrattare </w:t>
      </w:r>
      <w:r>
        <w:rPr>
          <w:rFonts w:ascii="Garamond" w:eastAsia="Lucida Sans Unicode" w:hAnsi="Garamond" w:cs="Arial"/>
          <w:color w:val="000000"/>
          <w:sz w:val="22"/>
          <w:szCs w:val="22"/>
        </w:rPr>
        <w:t>non conteneva</w:t>
      </w:r>
      <w:r w:rsidRPr="00AC39E0">
        <w:rPr>
          <w:rFonts w:ascii="Garamond" w:eastAsia="Lucida Sans Unicode" w:hAnsi="Garamond" w:cs="Arial"/>
          <w:color w:val="000000"/>
          <w:sz w:val="22"/>
          <w:szCs w:val="22"/>
        </w:rPr>
        <w:t xml:space="preserve"> l'indicazione dei mezzi finanziari per far fronte all'obbligazione assunta (vedi Cass.</w:t>
      </w:r>
      <w:r>
        <w:rPr>
          <w:rFonts w:ascii="Garamond" w:eastAsia="Lucida Sans Unicode" w:hAnsi="Garamond" w:cs="Arial"/>
          <w:color w:val="000000"/>
          <w:sz w:val="22"/>
          <w:szCs w:val="22"/>
        </w:rPr>
        <w:t xml:space="preserve"> civ.,</w:t>
      </w:r>
      <w:r w:rsidRPr="00AC39E0">
        <w:rPr>
          <w:rFonts w:ascii="Garamond" w:eastAsia="Lucida Sans Unicode" w:hAnsi="Garamond" w:cs="Arial"/>
          <w:color w:val="000000"/>
          <w:sz w:val="22"/>
          <w:szCs w:val="22"/>
        </w:rPr>
        <w:t xml:space="preserve"> </w:t>
      </w:r>
      <w:r>
        <w:rPr>
          <w:rFonts w:ascii="Garamond" w:eastAsia="Lucida Sans Unicode" w:hAnsi="Garamond" w:cs="Arial"/>
          <w:color w:val="000000"/>
          <w:sz w:val="22"/>
          <w:szCs w:val="22"/>
        </w:rPr>
        <w:t>S.U.,</w:t>
      </w:r>
      <w:r w:rsidRPr="00AC39E0">
        <w:rPr>
          <w:rFonts w:ascii="Garamond" w:eastAsia="Lucida Sans Unicode" w:hAnsi="Garamond" w:cs="Arial"/>
          <w:color w:val="000000"/>
          <w:sz w:val="22"/>
          <w:szCs w:val="22"/>
        </w:rPr>
        <w:t xml:space="preserve"> 10</w:t>
      </w:r>
      <w:r>
        <w:rPr>
          <w:rFonts w:ascii="Garamond" w:eastAsia="Lucida Sans Unicode" w:hAnsi="Garamond" w:cs="Arial"/>
          <w:color w:val="000000"/>
          <w:sz w:val="22"/>
          <w:szCs w:val="22"/>
        </w:rPr>
        <w:t xml:space="preserve"> giugno 2005, n. 12195 e </w:t>
      </w:r>
      <w:r w:rsidRPr="00AC39E0">
        <w:rPr>
          <w:rFonts w:ascii="Garamond" w:eastAsia="Lucida Sans Unicode" w:hAnsi="Garamond" w:cs="Arial"/>
          <w:color w:val="000000"/>
          <w:sz w:val="22"/>
          <w:szCs w:val="22"/>
        </w:rPr>
        <w:t>28</w:t>
      </w:r>
      <w:r>
        <w:rPr>
          <w:rFonts w:ascii="Garamond" w:eastAsia="Lucida Sans Unicode" w:hAnsi="Garamond" w:cs="Arial"/>
          <w:color w:val="000000"/>
          <w:sz w:val="22"/>
          <w:szCs w:val="22"/>
        </w:rPr>
        <w:t xml:space="preserve"> giugno </w:t>
      </w:r>
      <w:r w:rsidRPr="00AC39E0">
        <w:rPr>
          <w:rFonts w:ascii="Garamond" w:eastAsia="Lucida Sans Unicode" w:hAnsi="Garamond" w:cs="Arial"/>
          <w:color w:val="000000"/>
          <w:sz w:val="22"/>
          <w:szCs w:val="22"/>
        </w:rPr>
        <w:t>2005, n. 13831 in sede di composizione di contrasto; e poi, coerentemente sez. I</w:t>
      </w:r>
      <w:r>
        <w:rPr>
          <w:rFonts w:ascii="Garamond" w:eastAsia="Lucida Sans Unicode" w:hAnsi="Garamond" w:cs="Arial"/>
          <w:color w:val="000000"/>
          <w:sz w:val="22"/>
          <w:szCs w:val="22"/>
        </w:rPr>
        <w:t>,</w:t>
      </w:r>
      <w:r w:rsidRPr="00AC39E0">
        <w:rPr>
          <w:rFonts w:ascii="Garamond" w:eastAsia="Lucida Sans Unicode" w:hAnsi="Garamond" w:cs="Arial"/>
          <w:color w:val="000000"/>
          <w:sz w:val="22"/>
          <w:szCs w:val="22"/>
        </w:rPr>
        <w:t xml:space="preserve"> 26</w:t>
      </w:r>
      <w:r>
        <w:rPr>
          <w:rFonts w:ascii="Garamond" w:eastAsia="Lucida Sans Unicode" w:hAnsi="Garamond" w:cs="Arial"/>
          <w:color w:val="000000"/>
          <w:sz w:val="22"/>
          <w:szCs w:val="22"/>
        </w:rPr>
        <w:t xml:space="preserve"> maggio 2006, n. 12636 e sez. </w:t>
      </w:r>
      <w:r w:rsidRPr="00AC39E0">
        <w:rPr>
          <w:rFonts w:ascii="Garamond" w:eastAsia="Lucida Sans Unicode" w:hAnsi="Garamond" w:cs="Arial"/>
          <w:color w:val="000000"/>
          <w:sz w:val="22"/>
          <w:szCs w:val="22"/>
        </w:rPr>
        <w:t>II</w:t>
      </w:r>
      <w:r>
        <w:rPr>
          <w:rFonts w:ascii="Garamond" w:eastAsia="Lucida Sans Unicode" w:hAnsi="Garamond" w:cs="Arial"/>
          <w:color w:val="000000"/>
          <w:sz w:val="22"/>
          <w:szCs w:val="22"/>
        </w:rPr>
        <w:t>,</w:t>
      </w:r>
      <w:r w:rsidRPr="00AC39E0">
        <w:rPr>
          <w:rFonts w:ascii="Garamond" w:eastAsia="Lucida Sans Unicode" w:hAnsi="Garamond" w:cs="Arial"/>
          <w:color w:val="000000"/>
          <w:sz w:val="22"/>
          <w:szCs w:val="22"/>
        </w:rPr>
        <w:t xml:space="preserve"> 31</w:t>
      </w:r>
      <w:r>
        <w:rPr>
          <w:rFonts w:ascii="Garamond" w:eastAsia="Lucida Sans Unicode" w:hAnsi="Garamond" w:cs="Arial"/>
          <w:color w:val="000000"/>
          <w:sz w:val="22"/>
          <w:szCs w:val="22"/>
        </w:rPr>
        <w:t xml:space="preserve"> gennaio </w:t>
      </w:r>
      <w:r w:rsidRPr="00AC39E0">
        <w:rPr>
          <w:rFonts w:ascii="Garamond" w:eastAsia="Lucida Sans Unicode" w:hAnsi="Garamond" w:cs="Arial"/>
          <w:color w:val="000000"/>
          <w:sz w:val="22"/>
          <w:szCs w:val="22"/>
        </w:rPr>
        <w:t>2006, n. 2169).</w:t>
      </w:r>
    </w:p>
  </w:footnote>
  <w:footnote w:id="52">
    <w:p w:rsidR="003536D7" w:rsidRPr="00AC39E0" w:rsidRDefault="003536D7" w:rsidP="00AC39E0">
      <w:pPr>
        <w:ind w:right="567" w:firstLine="567"/>
        <w:jc w:val="both"/>
        <w:rPr>
          <w:rFonts w:ascii="Garamond" w:hAnsi="Garamond"/>
          <w:sz w:val="22"/>
          <w:szCs w:val="22"/>
        </w:rPr>
      </w:pPr>
      <w:r w:rsidRPr="00AC39E0">
        <w:rPr>
          <w:rStyle w:val="Caratteredellanota"/>
          <w:rFonts w:ascii="Garamond" w:hAnsi="Garamond"/>
          <w:sz w:val="22"/>
          <w:szCs w:val="22"/>
        </w:rPr>
        <w:footnoteRef/>
      </w:r>
      <w:r w:rsidRPr="00AC39E0">
        <w:rPr>
          <w:rFonts w:ascii="Garamond" w:hAnsi="Garamond"/>
          <w:sz w:val="22"/>
          <w:szCs w:val="22"/>
        </w:rPr>
        <w:t xml:space="preserve"> </w:t>
      </w:r>
      <w:r w:rsidRPr="00AC39E0">
        <w:rPr>
          <w:rFonts w:ascii="Garamond" w:hAnsi="Garamond" w:cs="Arial"/>
          <w:color w:val="000000"/>
          <w:sz w:val="22"/>
          <w:szCs w:val="22"/>
        </w:rPr>
        <w:t>Cass. civ., sez. lav., 1 aprile 2004, n. 6450.</w:t>
      </w:r>
    </w:p>
  </w:footnote>
  <w:footnote w:id="53">
    <w:p w:rsidR="003536D7" w:rsidRPr="00AC39E0" w:rsidRDefault="003536D7" w:rsidP="00AC39E0">
      <w:pPr>
        <w:ind w:right="567" w:firstLine="567"/>
        <w:jc w:val="both"/>
        <w:rPr>
          <w:rFonts w:ascii="Garamond" w:hAnsi="Garamond"/>
          <w:sz w:val="22"/>
          <w:szCs w:val="22"/>
        </w:rPr>
      </w:pPr>
      <w:r w:rsidRPr="00AC39E0">
        <w:rPr>
          <w:rStyle w:val="Caratteredellanota"/>
          <w:rFonts w:ascii="Garamond" w:hAnsi="Garamond"/>
          <w:sz w:val="22"/>
          <w:szCs w:val="22"/>
        </w:rPr>
        <w:footnoteRef/>
      </w:r>
      <w:r w:rsidRPr="00AC39E0">
        <w:rPr>
          <w:rFonts w:ascii="Garamond" w:hAnsi="Garamond"/>
          <w:sz w:val="22"/>
          <w:szCs w:val="22"/>
        </w:rPr>
        <w:t xml:space="preserve"> </w:t>
      </w:r>
      <w:r w:rsidRPr="00AC39E0">
        <w:rPr>
          <w:rFonts w:ascii="Garamond" w:hAnsi="Garamond" w:cs="Arial"/>
          <w:color w:val="000000"/>
          <w:sz w:val="22"/>
          <w:szCs w:val="22"/>
        </w:rPr>
        <w:t xml:space="preserve">Cass. </w:t>
      </w:r>
      <w:r>
        <w:rPr>
          <w:rFonts w:ascii="Garamond" w:hAnsi="Garamond" w:cs="Arial"/>
          <w:color w:val="000000"/>
          <w:sz w:val="22"/>
          <w:szCs w:val="22"/>
        </w:rPr>
        <w:t>c</w:t>
      </w:r>
      <w:r w:rsidRPr="00AC39E0">
        <w:rPr>
          <w:rFonts w:ascii="Garamond" w:hAnsi="Garamond" w:cs="Arial"/>
          <w:color w:val="000000"/>
          <w:sz w:val="22"/>
          <w:szCs w:val="22"/>
        </w:rPr>
        <w:t>iv., sez. II, 18 agosto 1990, n. 8410.</w:t>
      </w:r>
    </w:p>
  </w:footnote>
  <w:footnote w:id="54">
    <w:p w:rsidR="003536D7" w:rsidRPr="00B23229" w:rsidRDefault="003536D7" w:rsidP="00A04468">
      <w:pPr>
        <w:ind w:left="567" w:right="567"/>
        <w:jc w:val="both"/>
        <w:rPr>
          <w:rFonts w:ascii="Garamond" w:hAnsi="Garamond"/>
          <w:sz w:val="22"/>
          <w:szCs w:val="22"/>
        </w:rPr>
      </w:pPr>
      <w:r w:rsidRPr="00AC39E0">
        <w:rPr>
          <w:rStyle w:val="Caratteredellanota"/>
          <w:rFonts w:ascii="Garamond" w:hAnsi="Garamond"/>
          <w:sz w:val="22"/>
          <w:szCs w:val="22"/>
        </w:rPr>
        <w:footnoteRef/>
      </w:r>
      <w:r w:rsidRPr="00B23229">
        <w:rPr>
          <w:rFonts w:ascii="Garamond" w:hAnsi="Garamond"/>
          <w:sz w:val="22"/>
          <w:szCs w:val="22"/>
        </w:rPr>
        <w:t xml:space="preserve"> </w:t>
      </w:r>
      <w:r>
        <w:rPr>
          <w:rFonts w:ascii="Garamond" w:hAnsi="Garamond"/>
          <w:sz w:val="22"/>
          <w:szCs w:val="22"/>
        </w:rPr>
        <w:t xml:space="preserve">Sul punto </w:t>
      </w:r>
      <w:r>
        <w:rPr>
          <w:rFonts w:ascii="Garamond" w:hAnsi="Garamond" w:cs="Arial"/>
          <w:color w:val="000000"/>
          <w:sz w:val="22"/>
          <w:szCs w:val="22"/>
        </w:rPr>
        <w:t xml:space="preserve">la produzione dottrinale è ricchissima, ma punto di riferimento rimane il contributo di Amorth A., </w:t>
      </w:r>
      <w:r>
        <w:rPr>
          <w:rFonts w:ascii="Garamond" w:hAnsi="Garamond" w:cs="Arial"/>
          <w:i/>
          <w:color w:val="000000"/>
          <w:sz w:val="22"/>
          <w:szCs w:val="22"/>
        </w:rPr>
        <w:t>Osservazioni sui limiti dell’attività amministrativa di diritto privato, Arch. Dir. Pubbl.</w:t>
      </w:r>
      <w:r>
        <w:rPr>
          <w:rFonts w:ascii="Garamond" w:hAnsi="Garamond" w:cs="Arial"/>
          <w:color w:val="000000"/>
          <w:sz w:val="22"/>
          <w:szCs w:val="22"/>
        </w:rPr>
        <w:t xml:space="preserve">, 1938. Per rimanere alle fonti presenti sul sito www.giustizia-amministrativa.it, ci limitiamo a citare Carpentieri P., </w:t>
      </w:r>
      <w:r w:rsidRPr="00240996">
        <w:rPr>
          <w:rFonts w:ascii="Garamond" w:hAnsi="Garamond" w:cs="Arial"/>
          <w:i/>
          <w:color w:val="000000"/>
          <w:sz w:val="22"/>
          <w:szCs w:val="22"/>
        </w:rPr>
        <w:t>L’azione amministrativa e la sua inaggirabile specialità</w:t>
      </w:r>
      <w:r>
        <w:rPr>
          <w:rFonts w:ascii="Garamond" w:hAnsi="Garamond" w:cs="Arial"/>
          <w:color w:val="000000"/>
          <w:sz w:val="22"/>
          <w:szCs w:val="22"/>
        </w:rPr>
        <w:t xml:space="preserve">, 2015, secondo il quale </w:t>
      </w:r>
      <w:r>
        <w:rPr>
          <w:rFonts w:ascii="Garamond" w:hAnsi="Garamond" w:cs="Arial"/>
          <w:i/>
          <w:color w:val="000000"/>
          <w:sz w:val="22"/>
          <w:szCs w:val="22"/>
        </w:rPr>
        <w:t>&lt;&lt; La funzionalità ai fini dati dalla legge e la controllabilità dell’esercizio della funzione (che impiega risorse pubbliche) rendono irrimediabilmente speciale l’agire amministrativo rispetto al diritto comune dei privati. &gt;&gt;</w:t>
      </w:r>
      <w:r>
        <w:rPr>
          <w:rFonts w:ascii="Garamond" w:hAnsi="Garamond" w:cs="Arial"/>
          <w:color w:val="000000"/>
          <w:sz w:val="22"/>
          <w:szCs w:val="22"/>
        </w:rPr>
        <w:t xml:space="preserve">, ricordando che </w:t>
      </w:r>
      <w:r>
        <w:rPr>
          <w:rFonts w:ascii="Garamond" w:hAnsi="Garamond" w:cs="Arial"/>
          <w:i/>
          <w:color w:val="000000"/>
          <w:sz w:val="22"/>
          <w:szCs w:val="22"/>
        </w:rPr>
        <w:t>&lt;&lt; L’opinione prevalente afferma la funzionalizzazione della stessa attività di diritto privato della p.a. (anche della tradizionale attività contrattuale jure gestionis finalizzata all’approvvigionamento di beni e servizi): non esiste un’attività privata della p.a. (distinta dall’attività di diritto privato) che possa ritenersi sottratta al raggio di azione del fondamentale c</w:t>
      </w:r>
      <w:r w:rsidR="00983398">
        <w:rPr>
          <w:rFonts w:ascii="Garamond" w:hAnsi="Garamond" w:cs="Arial"/>
          <w:i/>
          <w:color w:val="000000"/>
          <w:sz w:val="22"/>
          <w:szCs w:val="22"/>
        </w:rPr>
        <w:t xml:space="preserve">anone dell’art. 97 della Cost. </w:t>
      </w:r>
      <w:r>
        <w:rPr>
          <w:rFonts w:ascii="Garamond" w:hAnsi="Garamond" w:cs="Arial"/>
          <w:i/>
          <w:color w:val="000000"/>
          <w:sz w:val="22"/>
          <w:szCs w:val="22"/>
        </w:rPr>
        <w:t>che regola l’essere prima ancora dell’agire della p.a.). &gt;&gt;</w:t>
      </w:r>
      <w:r>
        <w:rPr>
          <w:rFonts w:ascii="Garamond" w:hAnsi="Garamond" w:cs="Arial"/>
          <w:color w:val="000000"/>
          <w:sz w:val="22"/>
          <w:szCs w:val="22"/>
        </w:rPr>
        <w:t xml:space="preserve">. Vedi anche Poli V., </w:t>
      </w:r>
      <w:r>
        <w:rPr>
          <w:rFonts w:ascii="Garamond" w:hAnsi="Garamond" w:cs="Arial"/>
          <w:i/>
          <w:color w:val="000000"/>
          <w:sz w:val="22"/>
          <w:szCs w:val="22"/>
        </w:rPr>
        <w:t>Principi generali e regime giuridico dei contratti stipulati dalle Pubbliche amministrazioni</w:t>
      </w:r>
      <w:r>
        <w:rPr>
          <w:rFonts w:ascii="Garamond" w:hAnsi="Garamond" w:cs="Arial"/>
          <w:color w:val="000000"/>
          <w:sz w:val="22"/>
          <w:szCs w:val="22"/>
        </w:rPr>
        <w:t xml:space="preserve">, 2002, il quale osserva che se </w:t>
      </w:r>
      <w:r>
        <w:rPr>
          <w:rFonts w:ascii="Garamond" w:hAnsi="Garamond" w:cs="Arial"/>
          <w:i/>
          <w:color w:val="000000"/>
          <w:sz w:val="22"/>
          <w:szCs w:val="22"/>
        </w:rPr>
        <w:t>&lt;&lt; L’attività contrattuale della p.a. in passato, era stata sempre considerata specularmente inversa a quella autoritativa e funzionale, dipendendo l’agire iure gestionis o iure imperii dalla posizione di supremazia o meno in cui operasse l’amministrazione &gt;&gt;</w:t>
      </w:r>
      <w:r>
        <w:rPr>
          <w:rFonts w:ascii="Garamond" w:hAnsi="Garamond" w:cs="Arial"/>
          <w:color w:val="000000"/>
          <w:sz w:val="22"/>
          <w:szCs w:val="22"/>
        </w:rPr>
        <w:t xml:space="preserve">, </w:t>
      </w:r>
      <w:r>
        <w:rPr>
          <w:rFonts w:ascii="Garamond" w:hAnsi="Garamond" w:cs="Arial"/>
          <w:i/>
          <w:color w:val="000000"/>
          <w:sz w:val="22"/>
          <w:szCs w:val="22"/>
        </w:rPr>
        <w:t>&lt;&lt; Oggi, invece, il discrimine si pone tra finalità pubblicistiche e privatistiche perseguite dalla p.a., in quanto è acquisita la consapevolezza che, anche attraverso l’attività contrattuale, la p.a. può realizzare un fine pubblico. &gt;&gt;</w:t>
      </w:r>
      <w:r>
        <w:rPr>
          <w:rFonts w:ascii="Garamond" w:hAnsi="Garamond" w:cs="Arial"/>
          <w:color w:val="000000"/>
          <w:sz w:val="22"/>
          <w:szCs w:val="22"/>
        </w:rPr>
        <w:t xml:space="preserve">, rilevando altresì che </w:t>
      </w:r>
      <w:r>
        <w:rPr>
          <w:rFonts w:ascii="Garamond" w:hAnsi="Garamond" w:cs="Arial"/>
          <w:i/>
          <w:color w:val="000000"/>
          <w:sz w:val="22"/>
          <w:szCs w:val="22"/>
        </w:rPr>
        <w:t>&lt;&lt; .. la giurisprudenza utilizza il criterio secondo cui quei contratti che si presentino strumentali o complementari allo scopo dell’ente, sia pure genericamente inteso, possono essere adottati. &gt;&gt;</w:t>
      </w:r>
      <w:r>
        <w:rPr>
          <w:rFonts w:ascii="Garamond" w:hAnsi="Garamond" w:cs="Arial"/>
          <w:color w:val="000000"/>
          <w:sz w:val="22"/>
          <w:szCs w:val="22"/>
        </w:rPr>
        <w:t xml:space="preserve">. Vedasi anche Cirillo P.C., </w:t>
      </w:r>
      <w:r>
        <w:rPr>
          <w:rFonts w:ascii="Garamond" w:hAnsi="Garamond" w:cs="Arial"/>
          <w:i/>
          <w:color w:val="000000"/>
          <w:sz w:val="22"/>
          <w:szCs w:val="22"/>
        </w:rPr>
        <w:t>I contratti e gli accordi delle Amministrazioni pubbliche</w:t>
      </w:r>
      <w:r>
        <w:rPr>
          <w:rFonts w:ascii="Garamond" w:hAnsi="Garamond" w:cs="Arial"/>
          <w:color w:val="000000"/>
          <w:sz w:val="22"/>
          <w:szCs w:val="22"/>
        </w:rPr>
        <w:t xml:space="preserve">, ricorda che </w:t>
      </w:r>
      <w:r>
        <w:rPr>
          <w:rFonts w:ascii="Garamond" w:hAnsi="Garamond" w:cs="Arial"/>
          <w:i/>
          <w:color w:val="000000"/>
          <w:sz w:val="22"/>
          <w:szCs w:val="22"/>
        </w:rPr>
        <w:t>&lt;&lt; .. già nell’800 .. si ritenne che anche l’attività privata delle amministrazioni pubbliche dovesse sottostare alla disciplina cui era assoggettata l’attività di diritto pubblico, in quanto in entrambi i casi vi era spendita di pubblico denaro. &gt;&gt;</w:t>
      </w:r>
      <w:r>
        <w:rPr>
          <w:rFonts w:ascii="Garamond" w:hAnsi="Garamond" w:cs="Arial"/>
          <w:color w:val="000000"/>
          <w:sz w:val="22"/>
          <w:szCs w:val="22"/>
        </w:rPr>
        <w:t>.</w:t>
      </w:r>
      <w:r>
        <w:rPr>
          <w:rFonts w:ascii="Garamond" w:hAnsi="Garamond" w:cs="Arial"/>
          <w:i/>
          <w:color w:val="000000"/>
          <w:sz w:val="22"/>
          <w:szCs w:val="22"/>
        </w:rPr>
        <w:t xml:space="preserve"> </w:t>
      </w:r>
      <w:r>
        <w:rPr>
          <w:rFonts w:ascii="Garamond" w:hAnsi="Garamond" w:cs="Arial"/>
          <w:color w:val="000000"/>
          <w:sz w:val="22"/>
          <w:szCs w:val="22"/>
        </w:rPr>
        <w:t xml:space="preserve"> </w:t>
      </w:r>
    </w:p>
  </w:footnote>
  <w:footnote w:id="55">
    <w:p w:rsidR="003536D7" w:rsidRPr="00F411EC" w:rsidRDefault="003536D7" w:rsidP="00A04468">
      <w:pPr>
        <w:ind w:left="567" w:right="567"/>
        <w:jc w:val="both"/>
        <w:rPr>
          <w:rFonts w:ascii="Garamond" w:hAnsi="Garamond"/>
          <w:sz w:val="22"/>
          <w:szCs w:val="22"/>
        </w:rPr>
      </w:pPr>
      <w:r w:rsidRPr="00240996">
        <w:rPr>
          <w:rStyle w:val="Caratteredellanota"/>
          <w:rFonts w:ascii="Garamond" w:hAnsi="Garamond"/>
          <w:sz w:val="22"/>
          <w:szCs w:val="22"/>
        </w:rPr>
        <w:footnoteRef/>
      </w:r>
      <w:r w:rsidRPr="00240996">
        <w:rPr>
          <w:rFonts w:ascii="Garamond" w:hAnsi="Garamond"/>
          <w:sz w:val="22"/>
          <w:szCs w:val="22"/>
        </w:rPr>
        <w:t xml:space="preserve"> </w:t>
      </w:r>
      <w:r>
        <w:rPr>
          <w:rFonts w:ascii="Garamond" w:hAnsi="Garamond"/>
          <w:sz w:val="22"/>
          <w:szCs w:val="22"/>
        </w:rPr>
        <w:t xml:space="preserve">Tale era, invero, la situazione normativa </w:t>
      </w:r>
      <w:r>
        <w:rPr>
          <w:rFonts w:ascii="Garamond" w:hAnsi="Garamond"/>
          <w:i/>
          <w:sz w:val="22"/>
          <w:szCs w:val="22"/>
        </w:rPr>
        <w:t xml:space="preserve">ratione temporis </w:t>
      </w:r>
      <w:r>
        <w:rPr>
          <w:rFonts w:ascii="Garamond" w:hAnsi="Garamond"/>
          <w:sz w:val="22"/>
          <w:szCs w:val="22"/>
        </w:rPr>
        <w:t xml:space="preserve">applicabile al caso dei “derivati” pubblici risolto dalle Sezioni Unite estraendo un principio sulla base del solo art. </w:t>
      </w:r>
      <w:r w:rsidRPr="00F411EC">
        <w:rPr>
          <w:rFonts w:ascii="Garamond" w:eastAsia="Arial" w:hAnsi="Garamond" w:cs="Arial"/>
          <w:sz w:val="22"/>
          <w:szCs w:val="22"/>
        </w:rPr>
        <w:t xml:space="preserve">41 della legge </w:t>
      </w:r>
      <w:r>
        <w:rPr>
          <w:rFonts w:ascii="Garamond" w:eastAsia="Arial" w:hAnsi="Garamond" w:cs="Arial"/>
          <w:sz w:val="22"/>
          <w:szCs w:val="22"/>
        </w:rPr>
        <w:t>n. 448 del 2001.</w:t>
      </w:r>
    </w:p>
  </w:footnote>
  <w:footnote w:id="56">
    <w:p w:rsidR="003536D7" w:rsidRPr="00240996" w:rsidRDefault="003536D7" w:rsidP="00D869B1">
      <w:pPr>
        <w:ind w:left="567" w:right="567"/>
        <w:jc w:val="both"/>
        <w:rPr>
          <w:rFonts w:ascii="Garamond" w:hAnsi="Garamond"/>
          <w:sz w:val="22"/>
          <w:szCs w:val="22"/>
        </w:rPr>
      </w:pPr>
      <w:r w:rsidRPr="00240996">
        <w:rPr>
          <w:rStyle w:val="Caratteredellanota"/>
          <w:rFonts w:ascii="Garamond" w:hAnsi="Garamond"/>
          <w:sz w:val="22"/>
          <w:szCs w:val="22"/>
        </w:rPr>
        <w:footnoteRef/>
      </w:r>
      <w:r>
        <w:rPr>
          <w:rFonts w:ascii="Garamond" w:hAnsi="Garamond"/>
          <w:sz w:val="22"/>
          <w:szCs w:val="22"/>
        </w:rPr>
        <w:t xml:space="preserve"> Vedi Cass. civ. sez. 10 giugno 1981, n. 3748, secondo la quale </w:t>
      </w:r>
      <w:r w:rsidRPr="00D869B1">
        <w:rPr>
          <w:rFonts w:ascii="Garamond" w:hAnsi="Garamond"/>
          <w:i/>
          <w:sz w:val="22"/>
          <w:szCs w:val="22"/>
        </w:rPr>
        <w:t>&lt;&lt; i divieti posti alle persone giuridiche pubbliche di svolgere determinate attività non toccano la capacità giuridica dell’Ente, intesa come astratta attitudine ad acquistarne diritti ed a contrarre obblighi, ma si configurano come limitazioni della legittimazione negoziale. &gt;&gt;</w:t>
      </w:r>
      <w:r>
        <w:rPr>
          <w:rFonts w:ascii="Garamond" w:hAnsi="Garamond"/>
          <w:sz w:val="22"/>
          <w:szCs w:val="22"/>
        </w:rPr>
        <w:t xml:space="preserve">. E, soprattutto, Cass. civ. sez. II 21 aprile 2000, n. 5234, che ha accertato la “nullità di un contratto stipulato da una Pubblica amministrazione per </w:t>
      </w:r>
      <w:r w:rsidRPr="00D869B1">
        <w:rPr>
          <w:rFonts w:ascii="Garamond" w:hAnsi="Garamond"/>
          <w:i/>
          <w:sz w:val="22"/>
          <w:szCs w:val="22"/>
        </w:rPr>
        <w:t>“incompetenza assoluta”</w:t>
      </w:r>
      <w:r>
        <w:rPr>
          <w:rFonts w:ascii="Garamond" w:hAnsi="Garamond"/>
          <w:sz w:val="22"/>
          <w:szCs w:val="22"/>
        </w:rPr>
        <w:t xml:space="preserve"> sulla base del seguente rilievo: </w:t>
      </w:r>
      <w:r>
        <w:rPr>
          <w:rFonts w:ascii="Garamond" w:hAnsi="Garamond"/>
          <w:i/>
          <w:sz w:val="22"/>
          <w:szCs w:val="22"/>
        </w:rPr>
        <w:t>&lt;&lt; La capacità</w:t>
      </w:r>
      <w:r w:rsidRPr="0045073C">
        <w:rPr>
          <w:rFonts w:ascii="Garamond" w:hAnsi="Garamond"/>
          <w:i/>
          <w:sz w:val="22"/>
          <w:szCs w:val="22"/>
        </w:rPr>
        <w:t xml:space="preserve"> </w:t>
      </w:r>
      <w:r w:rsidRPr="0045073C">
        <w:rPr>
          <w:rFonts w:ascii="Garamond" w:hAnsi="Garamond"/>
          <w:i/>
          <w:color w:val="000000"/>
          <w:sz w:val="22"/>
          <w:szCs w:val="22"/>
        </w:rPr>
        <w:t>di diritto privato delle persone giuridiche, salvo che per i rapporti incompatibili con la loro natura, è potenzialmente "generale",  ma per gli enti pubblici incontra il limite appunto della "competenza", che è delimitata da norme qualificabili senz'altro come "imperative", ai sensi dell'art. 1418 c.c., sicché la loro violazione comporta la radicale invalidità dell'atto, in quanto affetto da "incapacità negoziale" (cfr. Cass. 10 giugno 1981 n. 3748)</w:t>
      </w:r>
      <w:r>
        <w:rPr>
          <w:rFonts w:ascii="Garamond" w:hAnsi="Garamond"/>
          <w:i/>
          <w:color w:val="000000"/>
          <w:sz w:val="22"/>
          <w:szCs w:val="22"/>
        </w:rPr>
        <w:t xml:space="preserve"> .. &gt;&gt;</w:t>
      </w:r>
      <w:r>
        <w:rPr>
          <w:rFonts w:ascii="Garamond" w:hAnsi="Garamond"/>
          <w:color w:val="000000"/>
          <w:sz w:val="22"/>
          <w:szCs w:val="22"/>
        </w:rPr>
        <w:t>.</w:t>
      </w:r>
    </w:p>
  </w:footnote>
  <w:footnote w:id="57">
    <w:p w:rsidR="003536D7" w:rsidRPr="00240996" w:rsidRDefault="003536D7" w:rsidP="00BC6CB3">
      <w:pPr>
        <w:ind w:left="567" w:right="567"/>
        <w:jc w:val="both"/>
        <w:rPr>
          <w:rFonts w:ascii="Garamond" w:hAnsi="Garamond"/>
          <w:sz w:val="22"/>
          <w:szCs w:val="22"/>
        </w:rPr>
      </w:pPr>
      <w:r w:rsidRPr="00240996">
        <w:rPr>
          <w:rStyle w:val="Caratteredellanota"/>
          <w:rFonts w:ascii="Garamond" w:hAnsi="Garamond"/>
          <w:sz w:val="22"/>
          <w:szCs w:val="22"/>
        </w:rPr>
        <w:footnoteRef/>
      </w:r>
      <w:r>
        <w:rPr>
          <w:rFonts w:ascii="Garamond" w:hAnsi="Garamond"/>
          <w:color w:val="000000"/>
          <w:sz w:val="22"/>
          <w:szCs w:val="22"/>
        </w:rPr>
        <w:t xml:space="preserve"> Cons. St., A.P., 3 giugno 2011, n. 10. Per gli effetti sul piano negoziale, vedasi Tar Milano sez. I 12 febbraio 2009, n. 1253 (confermata da Cons. St., sez. IV, 6 dicembre 2011, n. 6400), secondo il quale se l’accordo esula dall’ambito circoscritto delle finalità dell’ente pubblico firmatario, esso è nullo.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958F6"/>
    <w:multiLevelType w:val="hybridMultilevel"/>
    <w:tmpl w:val="81AC3770"/>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 w15:restartNumberingAfterBreak="0">
    <w:nsid w:val="0CA37956"/>
    <w:multiLevelType w:val="hybridMultilevel"/>
    <w:tmpl w:val="A24257B8"/>
    <w:lvl w:ilvl="0" w:tplc="0410000F">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 w15:restartNumberingAfterBreak="0">
    <w:nsid w:val="1F414B62"/>
    <w:multiLevelType w:val="hybridMultilevel"/>
    <w:tmpl w:val="A310302A"/>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 w15:restartNumberingAfterBreak="0">
    <w:nsid w:val="225556D2"/>
    <w:multiLevelType w:val="hybridMultilevel"/>
    <w:tmpl w:val="2124B184"/>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 w15:restartNumberingAfterBreak="0">
    <w:nsid w:val="261F2795"/>
    <w:multiLevelType w:val="hybridMultilevel"/>
    <w:tmpl w:val="AEA6BB3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15:restartNumberingAfterBreak="0">
    <w:nsid w:val="359D0F82"/>
    <w:multiLevelType w:val="hybridMultilevel"/>
    <w:tmpl w:val="8A8E13E6"/>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15:restartNumberingAfterBreak="0">
    <w:nsid w:val="3E674354"/>
    <w:multiLevelType w:val="hybridMultilevel"/>
    <w:tmpl w:val="1638EAB6"/>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7" w15:restartNumberingAfterBreak="0">
    <w:nsid w:val="4311182B"/>
    <w:multiLevelType w:val="hybridMultilevel"/>
    <w:tmpl w:val="AEACAA80"/>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8" w15:restartNumberingAfterBreak="0">
    <w:nsid w:val="4D1B3966"/>
    <w:multiLevelType w:val="hybridMultilevel"/>
    <w:tmpl w:val="70109702"/>
    <w:lvl w:ilvl="0" w:tplc="18B40B78">
      <w:start w:val="1"/>
      <w:numFmt w:val="upperRoman"/>
      <w:lvlText w:val="%1)"/>
      <w:lvlJc w:val="left"/>
      <w:pPr>
        <w:ind w:left="1287" w:hanging="720"/>
      </w:pPr>
      <w:rPr>
        <w:rFonts w:eastAsiaTheme="minorEastAsia" w:hint="default"/>
        <w:b/>
        <w:color w:val="1F497D" w:themeColor="text2"/>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9" w15:restartNumberingAfterBreak="0">
    <w:nsid w:val="667B50CA"/>
    <w:multiLevelType w:val="hybridMultilevel"/>
    <w:tmpl w:val="A1EA2F4E"/>
    <w:lvl w:ilvl="0" w:tplc="5E1EFCFA">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915066B"/>
    <w:multiLevelType w:val="hybridMultilevel"/>
    <w:tmpl w:val="BB38C488"/>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1" w15:restartNumberingAfterBreak="0">
    <w:nsid w:val="70D14FA2"/>
    <w:multiLevelType w:val="hybridMultilevel"/>
    <w:tmpl w:val="C458D8E6"/>
    <w:lvl w:ilvl="0" w:tplc="EE9A149A">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2" w15:restartNumberingAfterBreak="0">
    <w:nsid w:val="71A46D68"/>
    <w:multiLevelType w:val="hybridMultilevel"/>
    <w:tmpl w:val="C8DAFEA6"/>
    <w:lvl w:ilvl="0" w:tplc="04100001">
      <w:start w:val="1"/>
      <w:numFmt w:val="bullet"/>
      <w:lvlText w:val=""/>
      <w:lvlJc w:val="left"/>
      <w:pPr>
        <w:ind w:left="1334" w:hanging="360"/>
      </w:pPr>
      <w:rPr>
        <w:rFonts w:ascii="Symbol" w:hAnsi="Symbol" w:hint="default"/>
      </w:rPr>
    </w:lvl>
    <w:lvl w:ilvl="1" w:tplc="04100003" w:tentative="1">
      <w:start w:val="1"/>
      <w:numFmt w:val="bullet"/>
      <w:lvlText w:val="o"/>
      <w:lvlJc w:val="left"/>
      <w:pPr>
        <w:ind w:left="2054" w:hanging="360"/>
      </w:pPr>
      <w:rPr>
        <w:rFonts w:ascii="Courier New" w:hAnsi="Courier New" w:cs="Courier New" w:hint="default"/>
      </w:rPr>
    </w:lvl>
    <w:lvl w:ilvl="2" w:tplc="04100005" w:tentative="1">
      <w:start w:val="1"/>
      <w:numFmt w:val="bullet"/>
      <w:lvlText w:val=""/>
      <w:lvlJc w:val="left"/>
      <w:pPr>
        <w:ind w:left="2774" w:hanging="360"/>
      </w:pPr>
      <w:rPr>
        <w:rFonts w:ascii="Wingdings" w:hAnsi="Wingdings" w:hint="default"/>
      </w:rPr>
    </w:lvl>
    <w:lvl w:ilvl="3" w:tplc="04100001" w:tentative="1">
      <w:start w:val="1"/>
      <w:numFmt w:val="bullet"/>
      <w:lvlText w:val=""/>
      <w:lvlJc w:val="left"/>
      <w:pPr>
        <w:ind w:left="3494" w:hanging="360"/>
      </w:pPr>
      <w:rPr>
        <w:rFonts w:ascii="Symbol" w:hAnsi="Symbol" w:hint="default"/>
      </w:rPr>
    </w:lvl>
    <w:lvl w:ilvl="4" w:tplc="04100003" w:tentative="1">
      <w:start w:val="1"/>
      <w:numFmt w:val="bullet"/>
      <w:lvlText w:val="o"/>
      <w:lvlJc w:val="left"/>
      <w:pPr>
        <w:ind w:left="4214" w:hanging="360"/>
      </w:pPr>
      <w:rPr>
        <w:rFonts w:ascii="Courier New" w:hAnsi="Courier New" w:cs="Courier New" w:hint="default"/>
      </w:rPr>
    </w:lvl>
    <w:lvl w:ilvl="5" w:tplc="04100005" w:tentative="1">
      <w:start w:val="1"/>
      <w:numFmt w:val="bullet"/>
      <w:lvlText w:val=""/>
      <w:lvlJc w:val="left"/>
      <w:pPr>
        <w:ind w:left="4934" w:hanging="360"/>
      </w:pPr>
      <w:rPr>
        <w:rFonts w:ascii="Wingdings" w:hAnsi="Wingdings" w:hint="default"/>
      </w:rPr>
    </w:lvl>
    <w:lvl w:ilvl="6" w:tplc="04100001" w:tentative="1">
      <w:start w:val="1"/>
      <w:numFmt w:val="bullet"/>
      <w:lvlText w:val=""/>
      <w:lvlJc w:val="left"/>
      <w:pPr>
        <w:ind w:left="5654" w:hanging="360"/>
      </w:pPr>
      <w:rPr>
        <w:rFonts w:ascii="Symbol" w:hAnsi="Symbol" w:hint="default"/>
      </w:rPr>
    </w:lvl>
    <w:lvl w:ilvl="7" w:tplc="04100003" w:tentative="1">
      <w:start w:val="1"/>
      <w:numFmt w:val="bullet"/>
      <w:lvlText w:val="o"/>
      <w:lvlJc w:val="left"/>
      <w:pPr>
        <w:ind w:left="6374" w:hanging="360"/>
      </w:pPr>
      <w:rPr>
        <w:rFonts w:ascii="Courier New" w:hAnsi="Courier New" w:cs="Courier New" w:hint="default"/>
      </w:rPr>
    </w:lvl>
    <w:lvl w:ilvl="8" w:tplc="04100005" w:tentative="1">
      <w:start w:val="1"/>
      <w:numFmt w:val="bullet"/>
      <w:lvlText w:val=""/>
      <w:lvlJc w:val="left"/>
      <w:pPr>
        <w:ind w:left="7094" w:hanging="360"/>
      </w:pPr>
      <w:rPr>
        <w:rFonts w:ascii="Wingdings" w:hAnsi="Wingdings" w:hint="default"/>
      </w:rPr>
    </w:lvl>
  </w:abstractNum>
  <w:abstractNum w:abstractNumId="13" w15:restartNumberingAfterBreak="0">
    <w:nsid w:val="7CEE1ABD"/>
    <w:multiLevelType w:val="hybridMultilevel"/>
    <w:tmpl w:val="303E3E6C"/>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num w:numId="1">
    <w:abstractNumId w:val="0"/>
  </w:num>
  <w:num w:numId="2">
    <w:abstractNumId w:val="13"/>
  </w:num>
  <w:num w:numId="3">
    <w:abstractNumId w:val="12"/>
  </w:num>
  <w:num w:numId="4">
    <w:abstractNumId w:val="7"/>
  </w:num>
  <w:num w:numId="5">
    <w:abstractNumId w:val="2"/>
  </w:num>
  <w:num w:numId="6">
    <w:abstractNumId w:val="10"/>
  </w:num>
  <w:num w:numId="7">
    <w:abstractNumId w:val="1"/>
  </w:num>
  <w:num w:numId="8">
    <w:abstractNumId w:val="11"/>
  </w:num>
  <w:num w:numId="9">
    <w:abstractNumId w:val="6"/>
  </w:num>
  <w:num w:numId="10">
    <w:abstractNumId w:val="8"/>
  </w:num>
  <w:num w:numId="11">
    <w:abstractNumId w:val="5"/>
  </w:num>
  <w:num w:numId="12">
    <w:abstractNumId w:val="4"/>
  </w:num>
  <w:num w:numId="13">
    <w:abstractNumId w:val="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CC"/>
    <w:rsid w:val="00004D7E"/>
    <w:rsid w:val="00006926"/>
    <w:rsid w:val="00016BA1"/>
    <w:rsid w:val="000217C9"/>
    <w:rsid w:val="0003022E"/>
    <w:rsid w:val="00042125"/>
    <w:rsid w:val="00045D88"/>
    <w:rsid w:val="00047C30"/>
    <w:rsid w:val="00050080"/>
    <w:rsid w:val="00062FE1"/>
    <w:rsid w:val="000866F1"/>
    <w:rsid w:val="00087DA8"/>
    <w:rsid w:val="00093023"/>
    <w:rsid w:val="00093E77"/>
    <w:rsid w:val="000A0487"/>
    <w:rsid w:val="000A6900"/>
    <w:rsid w:val="000B4725"/>
    <w:rsid w:val="000B7427"/>
    <w:rsid w:val="000B7919"/>
    <w:rsid w:val="000C0567"/>
    <w:rsid w:val="000C0DCE"/>
    <w:rsid w:val="000C41D5"/>
    <w:rsid w:val="000C63AE"/>
    <w:rsid w:val="000C7AB4"/>
    <w:rsid w:val="000D07D2"/>
    <w:rsid w:val="000E421C"/>
    <w:rsid w:val="000F7B48"/>
    <w:rsid w:val="00103E8B"/>
    <w:rsid w:val="00105514"/>
    <w:rsid w:val="001066A5"/>
    <w:rsid w:val="0012123E"/>
    <w:rsid w:val="00126573"/>
    <w:rsid w:val="00127D0A"/>
    <w:rsid w:val="00130E5D"/>
    <w:rsid w:val="0013591F"/>
    <w:rsid w:val="001474BD"/>
    <w:rsid w:val="00147D01"/>
    <w:rsid w:val="001506E2"/>
    <w:rsid w:val="00150BDC"/>
    <w:rsid w:val="001619D4"/>
    <w:rsid w:val="0016674A"/>
    <w:rsid w:val="00172705"/>
    <w:rsid w:val="0017272E"/>
    <w:rsid w:val="0017487D"/>
    <w:rsid w:val="00174AAE"/>
    <w:rsid w:val="00174DFD"/>
    <w:rsid w:val="00180DD3"/>
    <w:rsid w:val="001830BF"/>
    <w:rsid w:val="001850B8"/>
    <w:rsid w:val="00185C27"/>
    <w:rsid w:val="00187583"/>
    <w:rsid w:val="00193900"/>
    <w:rsid w:val="001978E5"/>
    <w:rsid w:val="00197F13"/>
    <w:rsid w:val="001A4D72"/>
    <w:rsid w:val="001B2EB7"/>
    <w:rsid w:val="001C5A7D"/>
    <w:rsid w:val="001D02E1"/>
    <w:rsid w:val="001D4901"/>
    <w:rsid w:val="001E1FCC"/>
    <w:rsid w:val="001E3195"/>
    <w:rsid w:val="001E558F"/>
    <w:rsid w:val="001E70BF"/>
    <w:rsid w:val="001E7425"/>
    <w:rsid w:val="001F0D5E"/>
    <w:rsid w:val="001F1259"/>
    <w:rsid w:val="00205C85"/>
    <w:rsid w:val="002064A8"/>
    <w:rsid w:val="00210007"/>
    <w:rsid w:val="00221CEE"/>
    <w:rsid w:val="00231AA0"/>
    <w:rsid w:val="002364FE"/>
    <w:rsid w:val="00240996"/>
    <w:rsid w:val="002420AD"/>
    <w:rsid w:val="002431B9"/>
    <w:rsid w:val="00277401"/>
    <w:rsid w:val="002861A7"/>
    <w:rsid w:val="00292619"/>
    <w:rsid w:val="00294B18"/>
    <w:rsid w:val="002A0C5F"/>
    <w:rsid w:val="002B0D0E"/>
    <w:rsid w:val="002B62CA"/>
    <w:rsid w:val="002B740E"/>
    <w:rsid w:val="002B7E3F"/>
    <w:rsid w:val="002C06AA"/>
    <w:rsid w:val="002C3D98"/>
    <w:rsid w:val="002D06CF"/>
    <w:rsid w:val="002E042D"/>
    <w:rsid w:val="002E1A6B"/>
    <w:rsid w:val="002E6E86"/>
    <w:rsid w:val="00305B4B"/>
    <w:rsid w:val="00315238"/>
    <w:rsid w:val="00317D7C"/>
    <w:rsid w:val="003210CC"/>
    <w:rsid w:val="00326ECE"/>
    <w:rsid w:val="00330E45"/>
    <w:rsid w:val="003325F6"/>
    <w:rsid w:val="003333BA"/>
    <w:rsid w:val="003355DD"/>
    <w:rsid w:val="003449E8"/>
    <w:rsid w:val="00350C28"/>
    <w:rsid w:val="003536D7"/>
    <w:rsid w:val="00353F77"/>
    <w:rsid w:val="00355D33"/>
    <w:rsid w:val="00370BD8"/>
    <w:rsid w:val="00370C6E"/>
    <w:rsid w:val="003726FF"/>
    <w:rsid w:val="00377E62"/>
    <w:rsid w:val="00385597"/>
    <w:rsid w:val="003920C9"/>
    <w:rsid w:val="0039286E"/>
    <w:rsid w:val="00396360"/>
    <w:rsid w:val="003A07CE"/>
    <w:rsid w:val="003B4922"/>
    <w:rsid w:val="003B5463"/>
    <w:rsid w:val="003B6327"/>
    <w:rsid w:val="003B76F6"/>
    <w:rsid w:val="003C1BFD"/>
    <w:rsid w:val="003C1E9C"/>
    <w:rsid w:val="003C5071"/>
    <w:rsid w:val="003D6A49"/>
    <w:rsid w:val="003D73B9"/>
    <w:rsid w:val="003E6F3F"/>
    <w:rsid w:val="003F3041"/>
    <w:rsid w:val="0040110F"/>
    <w:rsid w:val="004057A0"/>
    <w:rsid w:val="00406353"/>
    <w:rsid w:val="00416B15"/>
    <w:rsid w:val="004200FA"/>
    <w:rsid w:val="00420DC2"/>
    <w:rsid w:val="00423104"/>
    <w:rsid w:val="0045073C"/>
    <w:rsid w:val="00452649"/>
    <w:rsid w:val="00463DCF"/>
    <w:rsid w:val="00467B99"/>
    <w:rsid w:val="00474D5A"/>
    <w:rsid w:val="00474E74"/>
    <w:rsid w:val="004764EF"/>
    <w:rsid w:val="00483623"/>
    <w:rsid w:val="004A5049"/>
    <w:rsid w:val="004A6C1E"/>
    <w:rsid w:val="004B05C9"/>
    <w:rsid w:val="004B39A1"/>
    <w:rsid w:val="004B3E7E"/>
    <w:rsid w:val="004B5033"/>
    <w:rsid w:val="004B735E"/>
    <w:rsid w:val="004C2E2A"/>
    <w:rsid w:val="004C3AD8"/>
    <w:rsid w:val="004D11E7"/>
    <w:rsid w:val="004D2E68"/>
    <w:rsid w:val="004D35E0"/>
    <w:rsid w:val="004E2C4F"/>
    <w:rsid w:val="004E3186"/>
    <w:rsid w:val="004F2496"/>
    <w:rsid w:val="004F2E6D"/>
    <w:rsid w:val="005003C4"/>
    <w:rsid w:val="0050390D"/>
    <w:rsid w:val="00504762"/>
    <w:rsid w:val="00506C7E"/>
    <w:rsid w:val="00521ECC"/>
    <w:rsid w:val="00522FC0"/>
    <w:rsid w:val="0053233F"/>
    <w:rsid w:val="0055559E"/>
    <w:rsid w:val="005567A7"/>
    <w:rsid w:val="005568FC"/>
    <w:rsid w:val="00557AD0"/>
    <w:rsid w:val="00561242"/>
    <w:rsid w:val="00567B77"/>
    <w:rsid w:val="00570FDF"/>
    <w:rsid w:val="005815F2"/>
    <w:rsid w:val="00597D97"/>
    <w:rsid w:val="005A06B8"/>
    <w:rsid w:val="005A2189"/>
    <w:rsid w:val="005A46AB"/>
    <w:rsid w:val="005A5BCC"/>
    <w:rsid w:val="005A70DC"/>
    <w:rsid w:val="005A75D0"/>
    <w:rsid w:val="005B1C38"/>
    <w:rsid w:val="005B40FC"/>
    <w:rsid w:val="005B67AE"/>
    <w:rsid w:val="005B741A"/>
    <w:rsid w:val="005C0B33"/>
    <w:rsid w:val="005C1473"/>
    <w:rsid w:val="005D5323"/>
    <w:rsid w:val="005F429C"/>
    <w:rsid w:val="005F5C25"/>
    <w:rsid w:val="00603512"/>
    <w:rsid w:val="00606691"/>
    <w:rsid w:val="00612AAB"/>
    <w:rsid w:val="00614B08"/>
    <w:rsid w:val="006172DC"/>
    <w:rsid w:val="00621DDA"/>
    <w:rsid w:val="006347E2"/>
    <w:rsid w:val="00634CBB"/>
    <w:rsid w:val="006368B1"/>
    <w:rsid w:val="00642FE3"/>
    <w:rsid w:val="00646A22"/>
    <w:rsid w:val="0065034F"/>
    <w:rsid w:val="00650DDD"/>
    <w:rsid w:val="006621BE"/>
    <w:rsid w:val="00664527"/>
    <w:rsid w:val="00675061"/>
    <w:rsid w:val="006753D3"/>
    <w:rsid w:val="00676B9B"/>
    <w:rsid w:val="00680527"/>
    <w:rsid w:val="006858D4"/>
    <w:rsid w:val="00691553"/>
    <w:rsid w:val="006A7DEE"/>
    <w:rsid w:val="006B7372"/>
    <w:rsid w:val="006C6117"/>
    <w:rsid w:val="006D19BA"/>
    <w:rsid w:val="006D4555"/>
    <w:rsid w:val="006D5C2A"/>
    <w:rsid w:val="006E3567"/>
    <w:rsid w:val="006E771E"/>
    <w:rsid w:val="006F492B"/>
    <w:rsid w:val="00700096"/>
    <w:rsid w:val="00700C45"/>
    <w:rsid w:val="00704444"/>
    <w:rsid w:val="00715C81"/>
    <w:rsid w:val="007165E3"/>
    <w:rsid w:val="00717F81"/>
    <w:rsid w:val="0072457E"/>
    <w:rsid w:val="00732EC3"/>
    <w:rsid w:val="007376CD"/>
    <w:rsid w:val="007446D0"/>
    <w:rsid w:val="007450D4"/>
    <w:rsid w:val="007452B5"/>
    <w:rsid w:val="00751724"/>
    <w:rsid w:val="0075445A"/>
    <w:rsid w:val="007554D1"/>
    <w:rsid w:val="0076063B"/>
    <w:rsid w:val="0076593E"/>
    <w:rsid w:val="00767395"/>
    <w:rsid w:val="00770962"/>
    <w:rsid w:val="00770F06"/>
    <w:rsid w:val="00771A70"/>
    <w:rsid w:val="00775DDF"/>
    <w:rsid w:val="00785B59"/>
    <w:rsid w:val="0078664B"/>
    <w:rsid w:val="00791853"/>
    <w:rsid w:val="00792253"/>
    <w:rsid w:val="00792D4B"/>
    <w:rsid w:val="00794F10"/>
    <w:rsid w:val="00796578"/>
    <w:rsid w:val="007A4F40"/>
    <w:rsid w:val="007A541B"/>
    <w:rsid w:val="007A5EEE"/>
    <w:rsid w:val="007B2AEB"/>
    <w:rsid w:val="007B43A8"/>
    <w:rsid w:val="007B6871"/>
    <w:rsid w:val="007B69E2"/>
    <w:rsid w:val="007C65E7"/>
    <w:rsid w:val="007C7A82"/>
    <w:rsid w:val="007D42C4"/>
    <w:rsid w:val="007D51F4"/>
    <w:rsid w:val="007E7016"/>
    <w:rsid w:val="007F23C6"/>
    <w:rsid w:val="007F7EE9"/>
    <w:rsid w:val="00801ED4"/>
    <w:rsid w:val="00802314"/>
    <w:rsid w:val="00806615"/>
    <w:rsid w:val="00806A18"/>
    <w:rsid w:val="00810643"/>
    <w:rsid w:val="0081498E"/>
    <w:rsid w:val="00817191"/>
    <w:rsid w:val="00826E96"/>
    <w:rsid w:val="00832E0F"/>
    <w:rsid w:val="008369E9"/>
    <w:rsid w:val="00847306"/>
    <w:rsid w:val="0085183F"/>
    <w:rsid w:val="008546D8"/>
    <w:rsid w:val="0085593F"/>
    <w:rsid w:val="00863DC5"/>
    <w:rsid w:val="00863DF5"/>
    <w:rsid w:val="00870DA0"/>
    <w:rsid w:val="00875837"/>
    <w:rsid w:val="008771CB"/>
    <w:rsid w:val="008808D0"/>
    <w:rsid w:val="008828E7"/>
    <w:rsid w:val="0089042B"/>
    <w:rsid w:val="0089119B"/>
    <w:rsid w:val="008B1FE8"/>
    <w:rsid w:val="008B68C7"/>
    <w:rsid w:val="008C5010"/>
    <w:rsid w:val="008D7E06"/>
    <w:rsid w:val="008E0210"/>
    <w:rsid w:val="008E297C"/>
    <w:rsid w:val="008E3339"/>
    <w:rsid w:val="008E37EC"/>
    <w:rsid w:val="008E4079"/>
    <w:rsid w:val="008E6B08"/>
    <w:rsid w:val="008E6D21"/>
    <w:rsid w:val="00900C4A"/>
    <w:rsid w:val="00902F94"/>
    <w:rsid w:val="00906E62"/>
    <w:rsid w:val="00914C19"/>
    <w:rsid w:val="00915DB6"/>
    <w:rsid w:val="00916B47"/>
    <w:rsid w:val="00940816"/>
    <w:rsid w:val="009447D3"/>
    <w:rsid w:val="009606C6"/>
    <w:rsid w:val="009619F3"/>
    <w:rsid w:val="00964BCB"/>
    <w:rsid w:val="00981DF2"/>
    <w:rsid w:val="0098323A"/>
    <w:rsid w:val="00983313"/>
    <w:rsid w:val="00983398"/>
    <w:rsid w:val="009965B4"/>
    <w:rsid w:val="009A097C"/>
    <w:rsid w:val="009B0B2B"/>
    <w:rsid w:val="009B3B72"/>
    <w:rsid w:val="009B4184"/>
    <w:rsid w:val="009B75E7"/>
    <w:rsid w:val="009C0666"/>
    <w:rsid w:val="009C0FDF"/>
    <w:rsid w:val="009C1B91"/>
    <w:rsid w:val="009C7DC5"/>
    <w:rsid w:val="009D056F"/>
    <w:rsid w:val="009D0A66"/>
    <w:rsid w:val="009D0E1A"/>
    <w:rsid w:val="009D4B96"/>
    <w:rsid w:val="009D753E"/>
    <w:rsid w:val="009F5EB7"/>
    <w:rsid w:val="00A00C9E"/>
    <w:rsid w:val="00A00DF5"/>
    <w:rsid w:val="00A01717"/>
    <w:rsid w:val="00A04468"/>
    <w:rsid w:val="00A07124"/>
    <w:rsid w:val="00A173CA"/>
    <w:rsid w:val="00A27A3D"/>
    <w:rsid w:val="00A326A8"/>
    <w:rsid w:val="00A3466E"/>
    <w:rsid w:val="00A434FE"/>
    <w:rsid w:val="00A45562"/>
    <w:rsid w:val="00A556E5"/>
    <w:rsid w:val="00A57E43"/>
    <w:rsid w:val="00A60F15"/>
    <w:rsid w:val="00A61E59"/>
    <w:rsid w:val="00A716A6"/>
    <w:rsid w:val="00A75EED"/>
    <w:rsid w:val="00A768EA"/>
    <w:rsid w:val="00A82DB3"/>
    <w:rsid w:val="00A867F7"/>
    <w:rsid w:val="00A955AD"/>
    <w:rsid w:val="00A96F44"/>
    <w:rsid w:val="00AA75E3"/>
    <w:rsid w:val="00AB09C0"/>
    <w:rsid w:val="00AB2954"/>
    <w:rsid w:val="00AC1EC9"/>
    <w:rsid w:val="00AC39E0"/>
    <w:rsid w:val="00AE1168"/>
    <w:rsid w:val="00AE193C"/>
    <w:rsid w:val="00AE260B"/>
    <w:rsid w:val="00AE26F8"/>
    <w:rsid w:val="00AF1767"/>
    <w:rsid w:val="00AF47E9"/>
    <w:rsid w:val="00AF538B"/>
    <w:rsid w:val="00B07CFD"/>
    <w:rsid w:val="00B115E8"/>
    <w:rsid w:val="00B13EDD"/>
    <w:rsid w:val="00B146A9"/>
    <w:rsid w:val="00B23229"/>
    <w:rsid w:val="00B24392"/>
    <w:rsid w:val="00B24DAF"/>
    <w:rsid w:val="00B269A4"/>
    <w:rsid w:val="00B37389"/>
    <w:rsid w:val="00B45A6B"/>
    <w:rsid w:val="00B5043E"/>
    <w:rsid w:val="00B54743"/>
    <w:rsid w:val="00B56325"/>
    <w:rsid w:val="00B61FCC"/>
    <w:rsid w:val="00B63B20"/>
    <w:rsid w:val="00B65D8D"/>
    <w:rsid w:val="00B66014"/>
    <w:rsid w:val="00B71E9A"/>
    <w:rsid w:val="00B86AA4"/>
    <w:rsid w:val="00B86D92"/>
    <w:rsid w:val="00B879D7"/>
    <w:rsid w:val="00B90886"/>
    <w:rsid w:val="00B97122"/>
    <w:rsid w:val="00BA5B62"/>
    <w:rsid w:val="00BC5F72"/>
    <w:rsid w:val="00BC6CB3"/>
    <w:rsid w:val="00BD1063"/>
    <w:rsid w:val="00BD1668"/>
    <w:rsid w:val="00BD19AB"/>
    <w:rsid w:val="00BD22B6"/>
    <w:rsid w:val="00BE1B0B"/>
    <w:rsid w:val="00BF00B1"/>
    <w:rsid w:val="00BF2774"/>
    <w:rsid w:val="00C03F72"/>
    <w:rsid w:val="00C111A8"/>
    <w:rsid w:val="00C12BCA"/>
    <w:rsid w:val="00C25150"/>
    <w:rsid w:val="00C32B27"/>
    <w:rsid w:val="00C33A03"/>
    <w:rsid w:val="00C40B40"/>
    <w:rsid w:val="00C457B7"/>
    <w:rsid w:val="00C572AB"/>
    <w:rsid w:val="00C60CCC"/>
    <w:rsid w:val="00C60FC6"/>
    <w:rsid w:val="00C6109A"/>
    <w:rsid w:val="00C62BB4"/>
    <w:rsid w:val="00C92580"/>
    <w:rsid w:val="00C9498E"/>
    <w:rsid w:val="00CB3214"/>
    <w:rsid w:val="00CC099A"/>
    <w:rsid w:val="00CC0B15"/>
    <w:rsid w:val="00CC0FF5"/>
    <w:rsid w:val="00CC3AF2"/>
    <w:rsid w:val="00CD3BBC"/>
    <w:rsid w:val="00CD5DFD"/>
    <w:rsid w:val="00CE004E"/>
    <w:rsid w:val="00CE2126"/>
    <w:rsid w:val="00CE5BEE"/>
    <w:rsid w:val="00CF1035"/>
    <w:rsid w:val="00CF5EA8"/>
    <w:rsid w:val="00D03E48"/>
    <w:rsid w:val="00D060ED"/>
    <w:rsid w:val="00D11C24"/>
    <w:rsid w:val="00D14D35"/>
    <w:rsid w:val="00D14E08"/>
    <w:rsid w:val="00D21EF0"/>
    <w:rsid w:val="00D24DD7"/>
    <w:rsid w:val="00D328B4"/>
    <w:rsid w:val="00D46446"/>
    <w:rsid w:val="00D469CF"/>
    <w:rsid w:val="00D54997"/>
    <w:rsid w:val="00D5552C"/>
    <w:rsid w:val="00D562AE"/>
    <w:rsid w:val="00D5741D"/>
    <w:rsid w:val="00D57765"/>
    <w:rsid w:val="00D70141"/>
    <w:rsid w:val="00D70FCF"/>
    <w:rsid w:val="00D75FD2"/>
    <w:rsid w:val="00D84B10"/>
    <w:rsid w:val="00D869B1"/>
    <w:rsid w:val="00D87137"/>
    <w:rsid w:val="00D91B09"/>
    <w:rsid w:val="00D923B2"/>
    <w:rsid w:val="00D940E3"/>
    <w:rsid w:val="00D9680F"/>
    <w:rsid w:val="00DA235D"/>
    <w:rsid w:val="00DB1210"/>
    <w:rsid w:val="00DB273E"/>
    <w:rsid w:val="00DD01EF"/>
    <w:rsid w:val="00DE19E1"/>
    <w:rsid w:val="00DF4643"/>
    <w:rsid w:val="00E01B29"/>
    <w:rsid w:val="00E031F7"/>
    <w:rsid w:val="00E03FAC"/>
    <w:rsid w:val="00E336BC"/>
    <w:rsid w:val="00E350B8"/>
    <w:rsid w:val="00E37451"/>
    <w:rsid w:val="00E4686F"/>
    <w:rsid w:val="00E471A5"/>
    <w:rsid w:val="00E501EB"/>
    <w:rsid w:val="00E56702"/>
    <w:rsid w:val="00E56D78"/>
    <w:rsid w:val="00E578DC"/>
    <w:rsid w:val="00E6245D"/>
    <w:rsid w:val="00E65163"/>
    <w:rsid w:val="00E66F8A"/>
    <w:rsid w:val="00E734F3"/>
    <w:rsid w:val="00E832DD"/>
    <w:rsid w:val="00E838B1"/>
    <w:rsid w:val="00E86D51"/>
    <w:rsid w:val="00E91AB3"/>
    <w:rsid w:val="00E9266B"/>
    <w:rsid w:val="00EA27F6"/>
    <w:rsid w:val="00EA2D7F"/>
    <w:rsid w:val="00EA3D97"/>
    <w:rsid w:val="00EA3E96"/>
    <w:rsid w:val="00EB4C33"/>
    <w:rsid w:val="00EC3162"/>
    <w:rsid w:val="00EC4E2D"/>
    <w:rsid w:val="00EC52EC"/>
    <w:rsid w:val="00EC5838"/>
    <w:rsid w:val="00ED5D96"/>
    <w:rsid w:val="00ED644C"/>
    <w:rsid w:val="00ED7463"/>
    <w:rsid w:val="00EE2941"/>
    <w:rsid w:val="00EE512C"/>
    <w:rsid w:val="00EE605F"/>
    <w:rsid w:val="00EF1A57"/>
    <w:rsid w:val="00EF34FD"/>
    <w:rsid w:val="00EF475A"/>
    <w:rsid w:val="00EF6D98"/>
    <w:rsid w:val="00F008BC"/>
    <w:rsid w:val="00F02DCF"/>
    <w:rsid w:val="00F031DB"/>
    <w:rsid w:val="00F13735"/>
    <w:rsid w:val="00F23C47"/>
    <w:rsid w:val="00F36D04"/>
    <w:rsid w:val="00F40380"/>
    <w:rsid w:val="00F411EC"/>
    <w:rsid w:val="00F526C2"/>
    <w:rsid w:val="00F55F4E"/>
    <w:rsid w:val="00F562AD"/>
    <w:rsid w:val="00F612AD"/>
    <w:rsid w:val="00F66FDA"/>
    <w:rsid w:val="00F73815"/>
    <w:rsid w:val="00F74FCC"/>
    <w:rsid w:val="00F75686"/>
    <w:rsid w:val="00F83D35"/>
    <w:rsid w:val="00F97277"/>
    <w:rsid w:val="00FA33AC"/>
    <w:rsid w:val="00FB3895"/>
    <w:rsid w:val="00FD1A59"/>
    <w:rsid w:val="00FD52DA"/>
    <w:rsid w:val="00FE3CAF"/>
    <w:rsid w:val="00FF4C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5:docId w15:val="{3BB02CD8-93D4-403B-A1FC-0078546A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10CC"/>
    <w:pPr>
      <w:spacing w:after="0" w:line="240" w:lineRule="auto"/>
    </w:pPr>
    <w:rPr>
      <w:rFonts w:eastAsiaTheme="minorEastAsia"/>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10CC"/>
    <w:rPr>
      <w:color w:val="0000FF" w:themeColor="hyperlink"/>
      <w:u w:val="single"/>
    </w:rPr>
  </w:style>
  <w:style w:type="paragraph" w:styleId="Testonotaapidipagina">
    <w:name w:val="footnote text"/>
    <w:basedOn w:val="Normale"/>
    <w:link w:val="TestonotaapidipaginaCarattere"/>
    <w:unhideWhenUsed/>
    <w:rsid w:val="003210CC"/>
    <w:rPr>
      <w:sz w:val="20"/>
      <w:szCs w:val="20"/>
    </w:rPr>
  </w:style>
  <w:style w:type="character" w:customStyle="1" w:styleId="TestonotaapidipaginaCarattere">
    <w:name w:val="Testo nota a piè di pagina Carattere"/>
    <w:basedOn w:val="Carpredefinitoparagrafo"/>
    <w:link w:val="Testonotaapidipagina"/>
    <w:uiPriority w:val="99"/>
    <w:rsid w:val="003210CC"/>
    <w:rPr>
      <w:rFonts w:eastAsiaTheme="minorEastAsia"/>
      <w:sz w:val="20"/>
      <w:szCs w:val="20"/>
      <w:lang w:eastAsia="it-IT"/>
    </w:rPr>
  </w:style>
  <w:style w:type="paragraph" w:customStyle="1" w:styleId="parar1">
    <w:name w:val="parar1"/>
    <w:basedOn w:val="Normale"/>
    <w:rsid w:val="003210CC"/>
    <w:pPr>
      <w:spacing w:before="100" w:beforeAutospacing="1" w:after="100" w:afterAutospacing="1"/>
    </w:pPr>
    <w:rPr>
      <w:rFonts w:ascii="Times New Roman" w:eastAsia="Times New Roman" w:hAnsi="Times New Roman" w:cs="Times New Roman"/>
    </w:rPr>
  </w:style>
  <w:style w:type="paragraph" w:customStyle="1" w:styleId="parar2">
    <w:name w:val="parar2"/>
    <w:basedOn w:val="Normale"/>
    <w:rsid w:val="003210CC"/>
    <w:pPr>
      <w:spacing w:before="100" w:beforeAutospacing="1" w:after="100" w:afterAutospacing="1"/>
    </w:pPr>
    <w:rPr>
      <w:rFonts w:ascii="Times New Roman" w:eastAsia="Times New Roman" w:hAnsi="Times New Roman" w:cs="Times New Roman"/>
    </w:rPr>
  </w:style>
  <w:style w:type="character" w:styleId="Rimandonotaapidipagina">
    <w:name w:val="footnote reference"/>
    <w:basedOn w:val="Carpredefinitoparagrafo"/>
    <w:unhideWhenUsed/>
    <w:rsid w:val="003210CC"/>
    <w:rPr>
      <w:vertAlign w:val="superscript"/>
    </w:rPr>
  </w:style>
  <w:style w:type="paragraph" w:styleId="Testofumetto">
    <w:name w:val="Balloon Text"/>
    <w:basedOn w:val="Normale"/>
    <w:link w:val="TestofumettoCarattere"/>
    <w:uiPriority w:val="99"/>
    <w:semiHidden/>
    <w:unhideWhenUsed/>
    <w:rsid w:val="003210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10CC"/>
    <w:rPr>
      <w:rFonts w:ascii="Tahoma" w:eastAsiaTheme="minorEastAsia" w:hAnsi="Tahoma" w:cs="Tahoma"/>
      <w:sz w:val="16"/>
      <w:szCs w:val="16"/>
      <w:lang w:eastAsia="it-IT"/>
    </w:rPr>
  </w:style>
  <w:style w:type="paragraph" w:styleId="Paragrafoelenco">
    <w:name w:val="List Paragraph"/>
    <w:basedOn w:val="Normale"/>
    <w:uiPriority w:val="34"/>
    <w:qFormat/>
    <w:rsid w:val="00D70FCF"/>
    <w:pPr>
      <w:ind w:left="720"/>
      <w:contextualSpacing/>
    </w:pPr>
  </w:style>
  <w:style w:type="paragraph" w:styleId="Testonotadichiusura">
    <w:name w:val="endnote text"/>
    <w:basedOn w:val="Normale"/>
    <w:link w:val="TestonotadichiusuraCarattere"/>
    <w:uiPriority w:val="99"/>
    <w:semiHidden/>
    <w:unhideWhenUsed/>
    <w:rsid w:val="008E0210"/>
    <w:rPr>
      <w:sz w:val="20"/>
      <w:szCs w:val="20"/>
    </w:rPr>
  </w:style>
  <w:style w:type="character" w:customStyle="1" w:styleId="TestonotadichiusuraCarattere">
    <w:name w:val="Testo nota di chiusura Carattere"/>
    <w:basedOn w:val="Carpredefinitoparagrafo"/>
    <w:link w:val="Testonotadichiusura"/>
    <w:uiPriority w:val="99"/>
    <w:semiHidden/>
    <w:rsid w:val="008E0210"/>
    <w:rPr>
      <w:rFonts w:eastAsiaTheme="minorEastAsia"/>
      <w:sz w:val="20"/>
      <w:szCs w:val="20"/>
      <w:lang w:eastAsia="it-IT"/>
    </w:rPr>
  </w:style>
  <w:style w:type="character" w:styleId="Rimandonotadichiusura">
    <w:name w:val="endnote reference"/>
    <w:basedOn w:val="Carpredefinitoparagrafo"/>
    <w:uiPriority w:val="99"/>
    <w:semiHidden/>
    <w:unhideWhenUsed/>
    <w:rsid w:val="008E0210"/>
    <w:rPr>
      <w:vertAlign w:val="superscript"/>
    </w:rPr>
  </w:style>
  <w:style w:type="paragraph" w:customStyle="1" w:styleId="Standard">
    <w:name w:val="Standard"/>
    <w:rsid w:val="001474B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Normale"/>
    <w:rsid w:val="00BA5B62"/>
    <w:pPr>
      <w:widowControl w:val="0"/>
      <w:suppressAutoHyphens/>
      <w:autoSpaceDN w:val="0"/>
      <w:spacing w:after="120"/>
      <w:textAlignment w:val="baseline"/>
    </w:pPr>
    <w:rPr>
      <w:rFonts w:ascii="Times New Roman" w:eastAsia="Andale Sans UI" w:hAnsi="Times New Roman" w:cs="Tahoma"/>
      <w:kern w:val="3"/>
      <w:lang w:val="de-DE" w:eastAsia="ja-JP" w:bidi="fa-IR"/>
    </w:rPr>
  </w:style>
  <w:style w:type="character" w:customStyle="1" w:styleId="apple-converted-space">
    <w:name w:val="apple-converted-space"/>
    <w:basedOn w:val="Carpredefinitoparagrafo"/>
    <w:rsid w:val="00BF00B1"/>
  </w:style>
  <w:style w:type="paragraph" w:styleId="NormaleWeb">
    <w:name w:val="Normal (Web)"/>
    <w:basedOn w:val="Normale"/>
    <w:uiPriority w:val="99"/>
    <w:unhideWhenUsed/>
    <w:rsid w:val="00087DA8"/>
    <w:pPr>
      <w:spacing w:before="100" w:beforeAutospacing="1" w:after="100" w:afterAutospacing="1"/>
    </w:pPr>
    <w:rPr>
      <w:rFonts w:ascii="Times New Roman" w:eastAsia="Times New Roman" w:hAnsi="Times New Roman" w:cs="Times New Roman"/>
    </w:rPr>
  </w:style>
  <w:style w:type="character" w:customStyle="1" w:styleId="WW-Absatz-Standardschriftart">
    <w:name w:val="WW-Absatz-Standardschriftart"/>
    <w:rsid w:val="00832E0F"/>
  </w:style>
  <w:style w:type="paragraph" w:customStyle="1" w:styleId="Default">
    <w:name w:val="Default"/>
    <w:rsid w:val="00700096"/>
    <w:pPr>
      <w:autoSpaceDE w:val="0"/>
      <w:autoSpaceDN w:val="0"/>
      <w:adjustRightInd w:val="0"/>
      <w:spacing w:after="0" w:line="240" w:lineRule="auto"/>
    </w:pPr>
    <w:rPr>
      <w:rFonts w:ascii="Cambria" w:hAnsi="Cambria" w:cs="Cambria"/>
      <w:color w:val="000000"/>
      <w:sz w:val="24"/>
      <w:szCs w:val="24"/>
    </w:rPr>
  </w:style>
  <w:style w:type="paragraph" w:styleId="Intestazione">
    <w:name w:val="header"/>
    <w:basedOn w:val="Normale"/>
    <w:link w:val="IntestazioneCarattere"/>
    <w:uiPriority w:val="99"/>
    <w:semiHidden/>
    <w:unhideWhenUsed/>
    <w:rsid w:val="00ED644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D644C"/>
    <w:rPr>
      <w:rFonts w:eastAsiaTheme="minorEastAsia"/>
      <w:sz w:val="24"/>
      <w:szCs w:val="24"/>
      <w:lang w:eastAsia="it-IT"/>
    </w:rPr>
  </w:style>
  <w:style w:type="paragraph" w:styleId="Pidipagina">
    <w:name w:val="footer"/>
    <w:basedOn w:val="Normale"/>
    <w:link w:val="PidipaginaCarattere"/>
    <w:uiPriority w:val="99"/>
    <w:unhideWhenUsed/>
    <w:rsid w:val="00ED644C"/>
    <w:pPr>
      <w:tabs>
        <w:tab w:val="center" w:pos="4819"/>
        <w:tab w:val="right" w:pos="9638"/>
      </w:tabs>
    </w:pPr>
  </w:style>
  <w:style w:type="character" w:customStyle="1" w:styleId="PidipaginaCarattere">
    <w:name w:val="Piè di pagina Carattere"/>
    <w:basedOn w:val="Carpredefinitoparagrafo"/>
    <w:link w:val="Pidipagina"/>
    <w:uiPriority w:val="99"/>
    <w:rsid w:val="00ED644C"/>
    <w:rPr>
      <w:rFonts w:eastAsiaTheme="minorEastAsia"/>
      <w:sz w:val="24"/>
      <w:szCs w:val="24"/>
      <w:lang w:eastAsia="it-IT"/>
    </w:rPr>
  </w:style>
  <w:style w:type="paragraph" w:customStyle="1" w:styleId="registri">
    <w:name w:val="registri"/>
    <w:basedOn w:val="Normale"/>
    <w:rsid w:val="000217C9"/>
    <w:pPr>
      <w:spacing w:before="100" w:beforeAutospacing="1" w:after="100" w:afterAutospacing="1" w:line="0" w:lineRule="atLeast"/>
      <w:jc w:val="right"/>
    </w:pPr>
    <w:rPr>
      <w:rFonts w:ascii="Times Nordic" w:eastAsia="Times New Roman" w:hAnsi="Times Nordic" w:cs="Times New Roman"/>
      <w:b/>
      <w:bCs/>
      <w:sz w:val="22"/>
      <w:szCs w:val="22"/>
    </w:rPr>
  </w:style>
  <w:style w:type="paragraph" w:customStyle="1" w:styleId="repubblica">
    <w:name w:val="repubblica"/>
    <w:basedOn w:val="Normale"/>
    <w:rsid w:val="000217C9"/>
    <w:pPr>
      <w:spacing w:before="100" w:beforeAutospacing="1" w:after="100" w:afterAutospacing="1"/>
      <w:jc w:val="center"/>
    </w:pPr>
    <w:rPr>
      <w:rFonts w:ascii="Garamond" w:eastAsia="Times New Roman" w:hAnsi="Garamond" w:cs="Times New Roman"/>
      <w:b/>
      <w:bCs/>
      <w:color w:val="000000"/>
      <w:spacing w:val="107"/>
    </w:rPr>
  </w:style>
  <w:style w:type="paragraph" w:customStyle="1" w:styleId="popolo">
    <w:name w:val="popolo"/>
    <w:basedOn w:val="Normale"/>
    <w:rsid w:val="000217C9"/>
    <w:pPr>
      <w:spacing w:line="520" w:lineRule="atLeast"/>
      <w:jc w:val="both"/>
    </w:pPr>
    <w:rPr>
      <w:rFonts w:ascii="Garamond" w:eastAsia="Times New Roman" w:hAnsi="Garamond" w:cs="Times New Roman"/>
      <w:sz w:val="30"/>
      <w:szCs w:val="30"/>
    </w:rPr>
  </w:style>
  <w:style w:type="paragraph" w:customStyle="1" w:styleId="sezione">
    <w:name w:val="sezione"/>
    <w:basedOn w:val="Normale"/>
    <w:rsid w:val="000217C9"/>
    <w:pPr>
      <w:spacing w:before="100" w:beforeAutospacing="1" w:after="100" w:afterAutospacing="1"/>
      <w:jc w:val="center"/>
    </w:pPr>
    <w:rPr>
      <w:rFonts w:ascii="Garamond" w:eastAsia="Times New Roman" w:hAnsi="Garamond" w:cs="Times New Roman"/>
      <w:b/>
      <w:bCs/>
      <w:color w:val="000000"/>
      <w:sz w:val="26"/>
      <w:szCs w:val="26"/>
    </w:rPr>
  </w:style>
  <w:style w:type="paragraph" w:customStyle="1" w:styleId="sezionegrande">
    <w:name w:val="sezionegrande"/>
    <w:basedOn w:val="Normale"/>
    <w:rsid w:val="000217C9"/>
    <w:pPr>
      <w:spacing w:before="100" w:beforeAutospacing="1" w:after="100" w:afterAutospacing="1"/>
      <w:jc w:val="center"/>
    </w:pPr>
    <w:rPr>
      <w:rFonts w:ascii="Garamond" w:eastAsia="Times New Roman" w:hAnsi="Garamond" w:cs="Times New Roman"/>
      <w:b/>
      <w:bCs/>
      <w:color w:val="000000"/>
      <w:sz w:val="36"/>
      <w:szCs w:val="36"/>
    </w:rPr>
  </w:style>
  <w:style w:type="paragraph" w:customStyle="1" w:styleId="fatto">
    <w:name w:val="fatto"/>
    <w:basedOn w:val="Normale"/>
    <w:rsid w:val="000217C9"/>
    <w:pPr>
      <w:spacing w:line="540" w:lineRule="atLeast"/>
      <w:jc w:val="center"/>
    </w:pPr>
    <w:rPr>
      <w:rFonts w:ascii="Garamond" w:eastAsia="Times New Roman" w:hAnsi="Garamond" w:cs="Times New Roman"/>
      <w:sz w:val="30"/>
      <w:szCs w:val="30"/>
    </w:rPr>
  </w:style>
  <w:style w:type="paragraph" w:customStyle="1" w:styleId="rigth">
    <w:name w:val="rigth"/>
    <w:basedOn w:val="Normale"/>
    <w:rsid w:val="000217C9"/>
    <w:pPr>
      <w:spacing w:before="100" w:beforeAutospacing="1" w:after="100" w:afterAutospacing="1"/>
    </w:pPr>
    <w:rPr>
      <w:rFonts w:ascii="Times New Roman" w:eastAsia="Times New Roman" w:hAnsi="Times New Roman" w:cs="Times New Roman"/>
    </w:rPr>
  </w:style>
  <w:style w:type="paragraph" w:styleId="Titolo">
    <w:name w:val="Title"/>
    <w:basedOn w:val="Normale"/>
    <w:next w:val="Normale"/>
    <w:link w:val="TitoloCarattere"/>
    <w:uiPriority w:val="10"/>
    <w:qFormat/>
    <w:rsid w:val="000217C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0217C9"/>
    <w:rPr>
      <w:rFonts w:asciiTheme="majorHAnsi" w:eastAsiaTheme="majorEastAsia" w:hAnsiTheme="majorHAnsi" w:cstheme="majorBidi"/>
      <w:color w:val="17365D" w:themeColor="text2" w:themeShade="BF"/>
      <w:spacing w:val="5"/>
      <w:kern w:val="28"/>
      <w:sz w:val="52"/>
      <w:szCs w:val="52"/>
      <w:lang w:eastAsia="it-IT"/>
    </w:rPr>
  </w:style>
  <w:style w:type="character" w:customStyle="1" w:styleId="blackunder">
    <w:name w:val="blackunder"/>
    <w:basedOn w:val="Carpredefinitoparagrafo"/>
    <w:rsid w:val="000217C9"/>
  </w:style>
  <w:style w:type="character" w:customStyle="1" w:styleId="provvnumcomma">
    <w:name w:val="provv_numcomma"/>
    <w:basedOn w:val="Carpredefinitoparagrafo"/>
    <w:rsid w:val="000217C9"/>
  </w:style>
  <w:style w:type="character" w:customStyle="1" w:styleId="gc">
    <w:name w:val="gc"/>
    <w:basedOn w:val="Carpredefinitoparagrafo"/>
    <w:rsid w:val="000217C9"/>
  </w:style>
  <w:style w:type="paragraph" w:styleId="Nessunaspaziatura">
    <w:name w:val="No Spacing"/>
    <w:uiPriority w:val="1"/>
    <w:qFormat/>
    <w:rsid w:val="005A75D0"/>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ja-JP" w:bidi="fa-IR"/>
    </w:rPr>
  </w:style>
  <w:style w:type="character" w:customStyle="1" w:styleId="Caratteredellanota">
    <w:name w:val="Carattere della nota"/>
    <w:rsid w:val="00B56325"/>
  </w:style>
  <w:style w:type="paragraph" w:customStyle="1" w:styleId="WW-footnotetext1">
    <w:name w:val="WW-footnote text1"/>
    <w:basedOn w:val="Normale"/>
    <w:rsid w:val="00A434FE"/>
    <w:pPr>
      <w:widowControl w:val="0"/>
      <w:suppressAutoHyphens/>
      <w:ind w:left="283" w:hanging="283"/>
    </w:pPr>
    <w:rPr>
      <w:rFonts w:ascii="Times New Roman" w:eastAsia="Andale Sans UI" w:hAnsi="Times New Roman" w:cs="Times New Roman"/>
      <w:kern w:val="1"/>
      <w:sz w:val="20"/>
      <w:szCs w:val="20"/>
    </w:rPr>
  </w:style>
  <w:style w:type="paragraph" w:customStyle="1" w:styleId="provvr0">
    <w:name w:val="provv_r0"/>
    <w:basedOn w:val="Normale"/>
    <w:rsid w:val="00474E74"/>
    <w:pPr>
      <w:spacing w:before="100" w:beforeAutospacing="1" w:after="100" w:afterAutospacing="1"/>
    </w:pPr>
    <w:rPr>
      <w:rFonts w:ascii="Times New Roman" w:eastAsia="Times New Roman" w:hAnsi="Times New Roman" w:cs="Times New Roman"/>
    </w:rPr>
  </w:style>
  <w:style w:type="character" w:customStyle="1" w:styleId="Rimandonotaapidipagina1">
    <w:name w:val="Rimando nota a piè di pagina1"/>
    <w:rsid w:val="00483623"/>
    <w:rPr>
      <w:sz w:val="24"/>
      <w:szCs w:val="24"/>
      <w:lang w:val="it-IT"/>
    </w:rPr>
  </w:style>
  <w:style w:type="paragraph" w:customStyle="1" w:styleId="WW-footnotetext123">
    <w:name w:val="WW-footnote text123"/>
    <w:basedOn w:val="Normale"/>
    <w:rsid w:val="004B05C9"/>
    <w:pPr>
      <w:widowControl w:val="0"/>
      <w:suppressAutoHyphens/>
      <w:ind w:left="283" w:hanging="283"/>
    </w:pPr>
    <w:rPr>
      <w:rFonts w:ascii="Times New Roman" w:eastAsia="Andale Sans UI" w:hAnsi="Times New Roman" w:cs="Times New Roman"/>
      <w:kern w:val="1"/>
      <w:sz w:val="20"/>
      <w:szCs w:val="20"/>
    </w:rPr>
  </w:style>
  <w:style w:type="paragraph" w:styleId="Corpotesto">
    <w:name w:val="Body Text"/>
    <w:basedOn w:val="Normale"/>
    <w:link w:val="CorpotestoCarattere"/>
    <w:rsid w:val="00792253"/>
    <w:pPr>
      <w:widowControl w:val="0"/>
      <w:suppressAutoHyphens/>
      <w:spacing w:after="120"/>
    </w:pPr>
    <w:rPr>
      <w:rFonts w:ascii="Times New Roman" w:eastAsia="Andale Sans UI" w:hAnsi="Times New Roman" w:cs="Times New Roman"/>
      <w:kern w:val="1"/>
    </w:rPr>
  </w:style>
  <w:style w:type="character" w:customStyle="1" w:styleId="CorpotestoCarattere">
    <w:name w:val="Corpo testo Carattere"/>
    <w:basedOn w:val="Carpredefinitoparagrafo"/>
    <w:link w:val="Corpotesto"/>
    <w:rsid w:val="00792253"/>
    <w:rPr>
      <w:rFonts w:ascii="Times New Roman" w:eastAsia="Andale Sans UI" w:hAnsi="Times New Roman" w:cs="Times New Roman"/>
      <w:kern w:val="1"/>
      <w:sz w:val="24"/>
      <w:szCs w:val="24"/>
    </w:rPr>
  </w:style>
  <w:style w:type="character" w:customStyle="1" w:styleId="linkneltesto">
    <w:name w:val="link_nel_testo"/>
    <w:basedOn w:val="Carpredefinitoparagrafo"/>
    <w:rsid w:val="00902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24313">
      <w:bodyDiv w:val="1"/>
      <w:marLeft w:val="0"/>
      <w:marRight w:val="0"/>
      <w:marTop w:val="0"/>
      <w:marBottom w:val="0"/>
      <w:divBdr>
        <w:top w:val="none" w:sz="0" w:space="0" w:color="auto"/>
        <w:left w:val="none" w:sz="0" w:space="0" w:color="auto"/>
        <w:bottom w:val="none" w:sz="0" w:space="0" w:color="auto"/>
        <w:right w:val="none" w:sz="0" w:space="0" w:color="auto"/>
      </w:divBdr>
    </w:div>
    <w:div w:id="570887169">
      <w:bodyDiv w:val="1"/>
      <w:marLeft w:val="0"/>
      <w:marRight w:val="0"/>
      <w:marTop w:val="0"/>
      <w:marBottom w:val="0"/>
      <w:divBdr>
        <w:top w:val="none" w:sz="0" w:space="0" w:color="auto"/>
        <w:left w:val="none" w:sz="0" w:space="0" w:color="auto"/>
        <w:bottom w:val="none" w:sz="0" w:space="0" w:color="auto"/>
        <w:right w:val="none" w:sz="0" w:space="0" w:color="auto"/>
      </w:divBdr>
    </w:div>
    <w:div w:id="618071112">
      <w:bodyDiv w:val="1"/>
      <w:marLeft w:val="0"/>
      <w:marRight w:val="0"/>
      <w:marTop w:val="0"/>
      <w:marBottom w:val="0"/>
      <w:divBdr>
        <w:top w:val="none" w:sz="0" w:space="0" w:color="auto"/>
        <w:left w:val="none" w:sz="0" w:space="0" w:color="auto"/>
        <w:bottom w:val="none" w:sz="0" w:space="0" w:color="auto"/>
        <w:right w:val="none" w:sz="0" w:space="0" w:color="auto"/>
      </w:divBdr>
    </w:div>
    <w:div w:id="1388534990">
      <w:bodyDiv w:val="1"/>
      <w:marLeft w:val="0"/>
      <w:marRight w:val="0"/>
      <w:marTop w:val="0"/>
      <w:marBottom w:val="0"/>
      <w:divBdr>
        <w:top w:val="none" w:sz="0" w:space="0" w:color="auto"/>
        <w:left w:val="none" w:sz="0" w:space="0" w:color="auto"/>
        <w:bottom w:val="none" w:sz="0" w:space="0" w:color="auto"/>
        <w:right w:val="none" w:sz="0" w:space="0" w:color="auto"/>
      </w:divBdr>
    </w:div>
    <w:div w:id="1464730753">
      <w:bodyDiv w:val="1"/>
      <w:marLeft w:val="0"/>
      <w:marRight w:val="0"/>
      <w:marTop w:val="0"/>
      <w:marBottom w:val="0"/>
      <w:divBdr>
        <w:top w:val="none" w:sz="0" w:space="0" w:color="auto"/>
        <w:left w:val="none" w:sz="0" w:space="0" w:color="auto"/>
        <w:bottom w:val="none" w:sz="0" w:space="0" w:color="auto"/>
        <w:right w:val="none" w:sz="0" w:space="0" w:color="auto"/>
      </w:divBdr>
    </w:div>
    <w:div w:id="1568958248">
      <w:bodyDiv w:val="1"/>
      <w:marLeft w:val="0"/>
      <w:marRight w:val="0"/>
      <w:marTop w:val="0"/>
      <w:marBottom w:val="0"/>
      <w:divBdr>
        <w:top w:val="none" w:sz="0" w:space="0" w:color="auto"/>
        <w:left w:val="none" w:sz="0" w:space="0" w:color="auto"/>
        <w:bottom w:val="none" w:sz="0" w:space="0" w:color="auto"/>
        <w:right w:val="none" w:sz="0" w:space="0" w:color="auto"/>
      </w:divBdr>
    </w:div>
    <w:div w:id="1785421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jure.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ju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EEE727-8A83-4876-BC44-B272D5D6A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9620</Words>
  <Characters>54839</Characters>
  <Application>Microsoft Office Word</Application>
  <DocSecurity>0</DocSecurity>
  <Lines>456</Lines>
  <Paragraphs>128</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FERRARI Giulia</cp:lastModifiedBy>
  <cp:revision>2</cp:revision>
  <cp:lastPrinted>2020-05-21T07:54:00Z</cp:lastPrinted>
  <dcterms:created xsi:type="dcterms:W3CDTF">2020-05-22T04:01:00Z</dcterms:created>
  <dcterms:modified xsi:type="dcterms:W3CDTF">2020-05-22T04:01:00Z</dcterms:modified>
</cp:coreProperties>
</file>