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5A6A8" w14:textId="77777777" w:rsidR="003F28FB" w:rsidRPr="000A3146" w:rsidRDefault="003F28FB" w:rsidP="003F28FB">
      <w:pPr>
        <w:jc w:val="center"/>
        <w:rPr>
          <w:b/>
          <w:color w:val="365F91"/>
        </w:rPr>
      </w:pPr>
      <w:hyperlink r:id="rId5" w:history="1">
        <w:r w:rsidR="00CB4E90">
          <w:rPr>
            <w:rFonts w:ascii="Bookman Old Style" w:hAnsi="Bookman Old Style"/>
            <w:b/>
            <w:noProof/>
            <w:color w:val="0000FF"/>
            <w:sz w:val="14"/>
            <w:szCs w:val="14"/>
          </w:rPr>
          <w:fldChar w:fldCharType="begin"/>
        </w:r>
        <w:r w:rsidR="00CB4E90">
          <w:rPr>
            <w:rFonts w:ascii="Bookman Old Style" w:hAnsi="Bookman Old Style"/>
            <w:b/>
            <w:noProof/>
            <w:color w:val="0000FF"/>
            <w:sz w:val="14"/>
            <w:szCs w:val="14"/>
          </w:rPr>
          <w:instrText xml:space="preserve"> INCLUDEPICTURE  "cid:image001.png@01D1ACE8.7D2A9D70" \* MERGEFORMATINET </w:instrText>
        </w:r>
        <w:r w:rsidR="00CB4E90">
          <w:rPr>
            <w:rFonts w:ascii="Bookman Old Style" w:hAnsi="Bookman Old Style"/>
            <w:b/>
            <w:noProof/>
            <w:color w:val="0000FF"/>
            <w:sz w:val="14"/>
            <w:szCs w:val="14"/>
          </w:rPr>
          <w:fldChar w:fldCharType="separate"/>
        </w:r>
        <w:r w:rsidR="00E52911">
          <w:rPr>
            <w:rFonts w:ascii="Bookman Old Style" w:hAnsi="Bookman Old Style"/>
            <w:b/>
            <w:noProof/>
            <w:color w:val="0000FF"/>
            <w:sz w:val="14"/>
            <w:szCs w:val="14"/>
          </w:rPr>
          <w:fldChar w:fldCharType="begin"/>
        </w:r>
        <w:r w:rsidR="00E52911">
          <w:rPr>
            <w:rFonts w:ascii="Bookman Old Style" w:hAnsi="Bookman Old Style"/>
            <w:b/>
            <w:noProof/>
            <w:color w:val="0000FF"/>
            <w:sz w:val="14"/>
            <w:szCs w:val="14"/>
          </w:rPr>
          <w:instrText xml:space="preserve"> </w:instrText>
        </w:r>
        <w:r w:rsidR="00E52911">
          <w:rPr>
            <w:rFonts w:ascii="Bookman Old Style" w:hAnsi="Bookman Old Style"/>
            <w:b/>
            <w:noProof/>
            <w:color w:val="0000FF"/>
            <w:sz w:val="14"/>
            <w:szCs w:val="14"/>
          </w:rPr>
          <w:instrText>INCLUDEPICTURE  "cid:image001.png@01D1ACE8.7D2A9D70" \* MERGEFORMATINET</w:instrText>
        </w:r>
        <w:r w:rsidR="00E52911">
          <w:rPr>
            <w:rFonts w:ascii="Bookman Old Style" w:hAnsi="Bookman Old Style"/>
            <w:b/>
            <w:noProof/>
            <w:color w:val="0000FF"/>
            <w:sz w:val="14"/>
            <w:szCs w:val="14"/>
          </w:rPr>
          <w:instrText xml:space="preserve"> </w:instrText>
        </w:r>
        <w:r w:rsidR="00E52911">
          <w:rPr>
            <w:rFonts w:ascii="Bookman Old Style" w:hAnsi="Bookman Old Style"/>
            <w:b/>
            <w:noProof/>
            <w:color w:val="0000FF"/>
            <w:sz w:val="14"/>
            <w:szCs w:val="14"/>
          </w:rPr>
          <w:fldChar w:fldCharType="separate"/>
        </w:r>
        <w:r w:rsidR="009E5940">
          <w:rPr>
            <w:rFonts w:ascii="Bookman Old Style" w:hAnsi="Bookman Old Style"/>
            <w:b/>
            <w:noProof/>
            <w:color w:val="0000FF"/>
            <w:sz w:val="14"/>
            <w:szCs w:val="14"/>
          </w:rPr>
          <w:pict w14:anchorId="4D63B4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pt;height:44.25pt;visibility:visible">
              <v:imagedata r:id="rId6" r:href="rId7"/>
            </v:shape>
          </w:pict>
        </w:r>
        <w:r w:rsidR="00E52911">
          <w:rPr>
            <w:rFonts w:ascii="Bookman Old Style" w:hAnsi="Bookman Old Style"/>
            <w:b/>
            <w:noProof/>
            <w:color w:val="0000FF"/>
            <w:sz w:val="14"/>
            <w:szCs w:val="14"/>
          </w:rPr>
          <w:fldChar w:fldCharType="end"/>
        </w:r>
        <w:r w:rsidR="00CB4E90">
          <w:rPr>
            <w:rFonts w:ascii="Bookman Old Style" w:hAnsi="Bookman Old Style"/>
            <w:b/>
            <w:noProof/>
            <w:color w:val="0000FF"/>
            <w:sz w:val="14"/>
            <w:szCs w:val="14"/>
          </w:rPr>
          <w:fldChar w:fldCharType="end"/>
        </w:r>
      </w:hyperlink>
    </w:p>
    <w:p w14:paraId="363E4C93" w14:textId="77777777" w:rsidR="003F28FB" w:rsidRPr="00A776CB" w:rsidRDefault="003F28FB" w:rsidP="003F28FB">
      <w:pPr>
        <w:ind w:left="284" w:right="284"/>
        <w:jc w:val="center"/>
        <w:rPr>
          <w:rFonts w:ascii="Aparajita" w:hAnsi="Aparajita" w:cs="Aparajita"/>
          <w:b/>
          <w:color w:val="365F91"/>
          <w:sz w:val="52"/>
          <w:szCs w:val="48"/>
        </w:rPr>
      </w:pPr>
      <w:r w:rsidRPr="00A776CB">
        <w:rPr>
          <w:rFonts w:ascii="Aparajita" w:hAnsi="Aparajita" w:cs="Aparajita"/>
          <w:b/>
          <w:color w:val="365F91"/>
          <w:sz w:val="52"/>
          <w:szCs w:val="48"/>
        </w:rPr>
        <w:t>Tribunale Amministrativo Regionale de</w:t>
      </w:r>
      <w:bookmarkStart w:id="0" w:name="_GoBack"/>
      <w:bookmarkEnd w:id="0"/>
      <w:r w:rsidRPr="00A776CB">
        <w:rPr>
          <w:rFonts w:ascii="Aparajita" w:hAnsi="Aparajita" w:cs="Aparajita"/>
          <w:b/>
          <w:color w:val="365F91"/>
          <w:sz w:val="52"/>
          <w:szCs w:val="48"/>
        </w:rPr>
        <w:t>l Lazio</w:t>
      </w:r>
    </w:p>
    <w:p w14:paraId="15C9874E" w14:textId="2A32F9CC" w:rsidR="003F28FB" w:rsidRPr="00A776CB" w:rsidRDefault="3944DE55" w:rsidP="3944DE55">
      <w:pPr>
        <w:ind w:left="284" w:right="284"/>
        <w:jc w:val="center"/>
        <w:rPr>
          <w:rFonts w:ascii="Aparajita" w:hAnsi="Aparajita" w:cs="Aparajita"/>
          <w:b/>
          <w:bCs/>
          <w:color w:val="365F91"/>
          <w:sz w:val="32"/>
          <w:szCs w:val="32"/>
        </w:rPr>
      </w:pPr>
      <w:r w:rsidRPr="3944DE55">
        <w:rPr>
          <w:rFonts w:ascii="Aparajita" w:hAnsi="Aparajita" w:cs="Aparajita"/>
          <w:b/>
          <w:bCs/>
          <w:color w:val="365F91"/>
          <w:sz w:val="32"/>
          <w:szCs w:val="32"/>
        </w:rPr>
        <w:t xml:space="preserve">SEZIONE TERZA </w:t>
      </w:r>
      <w:r w:rsidRPr="3944DE55">
        <w:rPr>
          <w:rFonts w:ascii="Aparajita" w:hAnsi="Aparajita" w:cs="Aparajita"/>
          <w:b/>
          <w:bCs/>
          <w:i/>
          <w:iCs/>
          <w:color w:val="365F91"/>
          <w:sz w:val="32"/>
          <w:szCs w:val="32"/>
        </w:rPr>
        <w:t>TER</w:t>
      </w:r>
    </w:p>
    <w:p w14:paraId="672A6659" w14:textId="77777777" w:rsidR="003F28FB" w:rsidRPr="00A776CB" w:rsidRDefault="003F28FB" w:rsidP="003F28FB">
      <w:pPr>
        <w:rPr>
          <w:rFonts w:ascii="Aparajita" w:hAnsi="Aparajita" w:cs="Aparajita"/>
          <w:b/>
          <w:sz w:val="22"/>
          <w:szCs w:val="36"/>
          <w:u w:val="single"/>
        </w:rPr>
      </w:pPr>
    </w:p>
    <w:p w14:paraId="27D9BF8A" w14:textId="76F58A43" w:rsidR="003F28FB" w:rsidRPr="008E71CE" w:rsidRDefault="3944DE55" w:rsidP="3944DE55">
      <w:pPr>
        <w:ind w:left="-425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3944DE55">
        <w:rPr>
          <w:rFonts w:ascii="Aparajita" w:hAnsi="Aparajita" w:cs="Aparajita"/>
          <w:b/>
          <w:bCs/>
          <w:sz w:val="36"/>
          <w:szCs w:val="36"/>
        </w:rPr>
        <w:t xml:space="preserve">     </w:t>
      </w:r>
      <w:r w:rsidRPr="3944DE55">
        <w:rPr>
          <w:rFonts w:ascii="Aparajita" w:hAnsi="Aparajita" w:cs="Aparajita"/>
          <w:b/>
          <w:bCs/>
          <w:sz w:val="36"/>
          <w:szCs w:val="36"/>
          <w:u w:val="single"/>
        </w:rPr>
        <w:t>Avviso per l’udienza del 4 Marzo 2020</w:t>
      </w:r>
    </w:p>
    <w:p w14:paraId="39B6B1D1" w14:textId="77777777" w:rsidR="003F28FB" w:rsidRPr="00A776CB" w:rsidRDefault="00A776CB" w:rsidP="003F28FB">
      <w:pPr>
        <w:rPr>
          <w:rFonts w:ascii="Aparajita" w:hAnsi="Aparajita" w:cs="Aparajita"/>
          <w:b/>
          <w:i/>
          <w:smallCaps/>
          <w:sz w:val="10"/>
          <w:szCs w:val="36"/>
        </w:rPr>
      </w:pPr>
      <w:r>
        <w:rPr>
          <w:rFonts w:ascii="Aparajita" w:hAnsi="Aparajita" w:cs="Aparajita"/>
          <w:b/>
          <w:smallCaps/>
          <w:sz w:val="36"/>
          <w:szCs w:val="36"/>
        </w:rPr>
        <w:t xml:space="preserve">    </w:t>
      </w:r>
    </w:p>
    <w:p w14:paraId="0A37501D" w14:textId="77777777" w:rsidR="003F28FB" w:rsidRPr="00A776CB" w:rsidRDefault="003F28FB" w:rsidP="003F28FB">
      <w:pPr>
        <w:ind w:right="638"/>
        <w:rPr>
          <w:rFonts w:ascii="Aparajita" w:hAnsi="Aparajita" w:cs="Aparajita"/>
          <w:b/>
          <w:sz w:val="20"/>
          <w:szCs w:val="18"/>
        </w:rPr>
      </w:pPr>
    </w:p>
    <w:p w14:paraId="33E157BD" w14:textId="77777777" w:rsidR="003F28FB" w:rsidRPr="003F28FB" w:rsidRDefault="003F28FB" w:rsidP="003F28FB">
      <w:pPr>
        <w:ind w:right="638"/>
        <w:jc w:val="center"/>
        <w:rPr>
          <w:rFonts w:ascii="Aparajita" w:hAnsi="Aparajita" w:cs="Aparajita"/>
          <w:sz w:val="32"/>
          <w:szCs w:val="18"/>
        </w:rPr>
      </w:pPr>
      <w:r>
        <w:rPr>
          <w:rFonts w:ascii="Aparajita" w:hAnsi="Aparajita" w:cs="Aparajita"/>
          <w:sz w:val="32"/>
          <w:szCs w:val="18"/>
        </w:rPr>
        <w:t xml:space="preserve">          </w:t>
      </w:r>
      <w:r w:rsidRPr="00100240">
        <w:rPr>
          <w:rFonts w:ascii="Aparajita" w:hAnsi="Aparajita" w:cs="Aparajita"/>
          <w:sz w:val="32"/>
          <w:szCs w:val="18"/>
        </w:rPr>
        <w:t>IL PRESIDENTE</w:t>
      </w:r>
    </w:p>
    <w:p w14:paraId="10AB488B" w14:textId="77777777" w:rsidR="003F28FB" w:rsidRDefault="003F28FB" w:rsidP="003F28FB">
      <w:pPr>
        <w:ind w:left="284" w:right="284"/>
        <w:jc w:val="both"/>
        <w:rPr>
          <w:rFonts w:ascii="Aparajita" w:hAnsi="Aparajita" w:cs="Aparajita"/>
          <w:sz w:val="32"/>
          <w:szCs w:val="28"/>
        </w:rPr>
      </w:pPr>
      <w:r>
        <w:rPr>
          <w:rFonts w:ascii="Aparajita" w:hAnsi="Aparajita" w:cs="Aparajita"/>
          <w:sz w:val="32"/>
          <w:szCs w:val="28"/>
        </w:rPr>
        <w:t>VISTO la nota del Presidente del Consiglio di Stato prot. n.441 del 24 febbraio 2020 concernente le misure precauzionali per l’emergenza “COVID-19”;</w:t>
      </w:r>
    </w:p>
    <w:p w14:paraId="2C426CBD" w14:textId="77777777" w:rsidR="003F28FB" w:rsidRDefault="003F28FB" w:rsidP="003F28FB">
      <w:pPr>
        <w:ind w:left="284" w:right="284"/>
        <w:jc w:val="both"/>
        <w:rPr>
          <w:rFonts w:ascii="Aparajita" w:hAnsi="Aparajita" w:cs="Aparajita"/>
          <w:sz w:val="32"/>
          <w:szCs w:val="28"/>
        </w:rPr>
      </w:pPr>
      <w:r>
        <w:rPr>
          <w:rFonts w:ascii="Aparajita" w:hAnsi="Aparajita" w:cs="Aparajita"/>
          <w:sz w:val="32"/>
          <w:szCs w:val="28"/>
        </w:rPr>
        <w:t>VISTO il decreto del Presidente del Tribunale n. 49 del 25 febbraio 2020 recante le disposizioni in ordine allo svolgimento delle udienze;</w:t>
      </w:r>
    </w:p>
    <w:p w14:paraId="5DAB6C7B" w14:textId="77777777" w:rsidR="003F28FB" w:rsidRPr="00A776CB" w:rsidRDefault="003F28FB" w:rsidP="003F28FB">
      <w:pPr>
        <w:ind w:left="284" w:right="284"/>
        <w:jc w:val="both"/>
        <w:rPr>
          <w:rFonts w:ascii="Aparajita" w:hAnsi="Aparajita" w:cs="Aparajita"/>
          <w:szCs w:val="28"/>
        </w:rPr>
      </w:pPr>
    </w:p>
    <w:p w14:paraId="7C801D29" w14:textId="77777777" w:rsidR="003F28FB" w:rsidRDefault="003F28FB" w:rsidP="003F28FB">
      <w:pPr>
        <w:ind w:left="284" w:right="284"/>
        <w:jc w:val="center"/>
        <w:rPr>
          <w:rFonts w:ascii="Aparajita" w:hAnsi="Aparajita" w:cs="Aparajita"/>
          <w:sz w:val="32"/>
          <w:szCs w:val="28"/>
        </w:rPr>
      </w:pPr>
      <w:r>
        <w:rPr>
          <w:rFonts w:ascii="Aparajita" w:hAnsi="Aparajita" w:cs="Aparajita"/>
          <w:sz w:val="32"/>
          <w:szCs w:val="28"/>
        </w:rPr>
        <w:t>D I S P O N E</w:t>
      </w:r>
    </w:p>
    <w:p w14:paraId="04795D2F" w14:textId="4322BF17" w:rsidR="003F28FB" w:rsidRDefault="3944DE55" w:rsidP="003F28FB">
      <w:pPr>
        <w:numPr>
          <w:ilvl w:val="0"/>
          <w:numId w:val="1"/>
        </w:numPr>
        <w:ind w:right="284"/>
        <w:jc w:val="both"/>
        <w:rPr>
          <w:rFonts w:ascii="Aparajita" w:hAnsi="Aparajita" w:cs="Aparajita"/>
          <w:sz w:val="32"/>
          <w:szCs w:val="32"/>
        </w:rPr>
      </w:pPr>
      <w:r w:rsidRPr="3944DE55">
        <w:rPr>
          <w:rFonts w:ascii="Aparajita" w:hAnsi="Aparajita" w:cs="Aparajita"/>
          <w:sz w:val="32"/>
          <w:szCs w:val="32"/>
        </w:rPr>
        <w:t>È soppressa la chiamata preliminare alle ore 9:45 dei ricorsi fissati in camera di consiglio e alle ore 12,00 dei ricorsi fissati in udienza pubblica;</w:t>
      </w:r>
    </w:p>
    <w:p w14:paraId="7F3550E3" w14:textId="77777777" w:rsidR="003F28FB" w:rsidRDefault="003F28FB" w:rsidP="003F28FB">
      <w:pPr>
        <w:numPr>
          <w:ilvl w:val="0"/>
          <w:numId w:val="1"/>
        </w:numPr>
        <w:ind w:right="284"/>
        <w:jc w:val="both"/>
        <w:rPr>
          <w:rFonts w:ascii="Aparajita" w:hAnsi="Aparajita" w:cs="Aparajita"/>
          <w:sz w:val="32"/>
          <w:szCs w:val="28"/>
        </w:rPr>
      </w:pPr>
      <w:r>
        <w:rPr>
          <w:rFonts w:ascii="Aparajita" w:hAnsi="Aparajita" w:cs="Aparajita"/>
          <w:sz w:val="32"/>
          <w:szCs w:val="28"/>
        </w:rPr>
        <w:t>La chiamata delle cause della camera di consiglio avverrà per singoli gruppi secondo il seguente ordine:</w:t>
      </w:r>
    </w:p>
    <w:p w14:paraId="2D0050D8" w14:textId="00E02D15" w:rsidR="003F28FB" w:rsidRDefault="3944DE55" w:rsidP="003F28FB">
      <w:pPr>
        <w:numPr>
          <w:ilvl w:val="0"/>
          <w:numId w:val="2"/>
        </w:numPr>
        <w:ind w:right="284"/>
        <w:jc w:val="both"/>
        <w:rPr>
          <w:rFonts w:ascii="Aparajita" w:hAnsi="Aparajita" w:cs="Aparajita"/>
          <w:sz w:val="32"/>
          <w:szCs w:val="32"/>
        </w:rPr>
      </w:pPr>
      <w:r w:rsidRPr="3944DE55">
        <w:rPr>
          <w:rFonts w:ascii="Aparajita" w:hAnsi="Aparajita" w:cs="Aparajita"/>
          <w:sz w:val="32"/>
          <w:szCs w:val="32"/>
        </w:rPr>
        <w:t>ore 9</w:t>
      </w:r>
      <w:r w:rsidRPr="3944DE55">
        <w:rPr>
          <w:rFonts w:ascii="Aparajita" w:hAnsi="Aparajita" w:cs="Aparajita"/>
          <w:b/>
          <w:bCs/>
          <w:sz w:val="32"/>
          <w:szCs w:val="32"/>
        </w:rPr>
        <w:t>:45</w:t>
      </w:r>
      <w:r w:rsidRPr="3944DE55">
        <w:rPr>
          <w:rFonts w:ascii="Aparajita" w:hAnsi="Aparajita" w:cs="Aparajita"/>
          <w:sz w:val="32"/>
          <w:szCs w:val="32"/>
        </w:rPr>
        <w:t xml:space="preserve">: cause </w:t>
      </w:r>
      <w:r w:rsidRPr="3944DE55">
        <w:rPr>
          <w:rFonts w:ascii="Aparajita" w:hAnsi="Aparajita" w:cs="Aparajita"/>
          <w:sz w:val="32"/>
          <w:szCs w:val="32"/>
          <w:u w:val="single"/>
        </w:rPr>
        <w:t>dalla n. 1 alla n. 16</w:t>
      </w:r>
    </w:p>
    <w:p w14:paraId="02229A4B" w14:textId="3643DD7D" w:rsidR="003F28FB" w:rsidRDefault="3944DE55" w:rsidP="003F28FB">
      <w:pPr>
        <w:numPr>
          <w:ilvl w:val="0"/>
          <w:numId w:val="2"/>
        </w:numPr>
        <w:ind w:right="284"/>
        <w:jc w:val="both"/>
        <w:rPr>
          <w:rFonts w:ascii="Aparajita" w:hAnsi="Aparajita" w:cs="Aparajita"/>
          <w:sz w:val="32"/>
          <w:szCs w:val="32"/>
        </w:rPr>
      </w:pPr>
      <w:r w:rsidRPr="3944DE55">
        <w:rPr>
          <w:rFonts w:ascii="Aparajita" w:hAnsi="Aparajita" w:cs="Aparajita"/>
          <w:sz w:val="32"/>
          <w:szCs w:val="32"/>
        </w:rPr>
        <w:t>ore 10</w:t>
      </w:r>
      <w:r w:rsidRPr="3944DE55">
        <w:rPr>
          <w:rFonts w:ascii="Aparajita" w:hAnsi="Aparajita" w:cs="Aparajita"/>
          <w:b/>
          <w:bCs/>
          <w:sz w:val="32"/>
          <w:szCs w:val="32"/>
        </w:rPr>
        <w:t>:30</w:t>
      </w:r>
      <w:r w:rsidRPr="3944DE55">
        <w:rPr>
          <w:rFonts w:ascii="Aparajita" w:hAnsi="Aparajita" w:cs="Aparajita"/>
          <w:sz w:val="32"/>
          <w:szCs w:val="32"/>
        </w:rPr>
        <w:t xml:space="preserve">: cause </w:t>
      </w:r>
      <w:r w:rsidRPr="3944DE55">
        <w:rPr>
          <w:rFonts w:ascii="Aparajita" w:hAnsi="Aparajita" w:cs="Aparajita"/>
          <w:sz w:val="32"/>
          <w:szCs w:val="32"/>
          <w:u w:val="single"/>
        </w:rPr>
        <w:t>dalla n. 16 alla n. 33</w:t>
      </w:r>
    </w:p>
    <w:p w14:paraId="664C101F" w14:textId="77777777" w:rsidR="003F28FB" w:rsidRDefault="003F28FB" w:rsidP="003F28FB">
      <w:pPr>
        <w:numPr>
          <w:ilvl w:val="0"/>
          <w:numId w:val="1"/>
        </w:numPr>
        <w:ind w:right="284"/>
        <w:jc w:val="both"/>
        <w:rPr>
          <w:rFonts w:ascii="Aparajita" w:hAnsi="Aparajita" w:cs="Aparajita"/>
          <w:sz w:val="32"/>
          <w:szCs w:val="28"/>
        </w:rPr>
      </w:pPr>
      <w:r w:rsidRPr="008E71CE">
        <w:rPr>
          <w:rFonts w:ascii="Aparajita" w:hAnsi="Aparajita" w:cs="Aparajita"/>
          <w:sz w:val="32"/>
          <w:szCs w:val="28"/>
        </w:rPr>
        <w:lastRenderedPageBreak/>
        <w:t xml:space="preserve">la chiamata delle cause della pubblica udienza avverrà </w:t>
      </w:r>
      <w:r>
        <w:rPr>
          <w:rFonts w:ascii="Aparajita" w:hAnsi="Aparajita" w:cs="Aparajita"/>
          <w:sz w:val="32"/>
          <w:szCs w:val="28"/>
        </w:rPr>
        <w:t>alle ore 12:00 secondo l’ordine di ruolo;</w:t>
      </w:r>
    </w:p>
    <w:p w14:paraId="6B54487C" w14:textId="77777777" w:rsidR="003F28FB" w:rsidRDefault="003F28FB" w:rsidP="003F28FB">
      <w:pPr>
        <w:numPr>
          <w:ilvl w:val="0"/>
          <w:numId w:val="1"/>
        </w:numPr>
        <w:ind w:right="284"/>
        <w:jc w:val="both"/>
        <w:rPr>
          <w:rFonts w:ascii="Aparajita" w:hAnsi="Aparajita" w:cs="Aparajita"/>
          <w:sz w:val="32"/>
          <w:szCs w:val="28"/>
        </w:rPr>
      </w:pPr>
      <w:r>
        <w:rPr>
          <w:rFonts w:ascii="Aparajita" w:hAnsi="Aparajita" w:cs="Aparajita"/>
          <w:sz w:val="32"/>
          <w:szCs w:val="28"/>
        </w:rPr>
        <w:t>saranno accolte le istanze di rinvio, presentate anche solo da una parte, che siano motivate con riferimento all’emergenza “COVID-19”;</w:t>
      </w:r>
    </w:p>
    <w:p w14:paraId="7B880715" w14:textId="77777777" w:rsidR="003F28FB" w:rsidRDefault="003F28FB" w:rsidP="003F28FB">
      <w:pPr>
        <w:numPr>
          <w:ilvl w:val="0"/>
          <w:numId w:val="1"/>
        </w:numPr>
        <w:ind w:right="284"/>
        <w:jc w:val="both"/>
        <w:rPr>
          <w:rFonts w:ascii="Aparajita" w:hAnsi="Aparajita" w:cs="Aparajita"/>
          <w:sz w:val="32"/>
          <w:szCs w:val="28"/>
        </w:rPr>
      </w:pPr>
      <w:r w:rsidRPr="005F0EF1">
        <w:rPr>
          <w:rFonts w:ascii="Aparajita" w:hAnsi="Aparajita" w:cs="Aparajita"/>
          <w:sz w:val="32"/>
          <w:szCs w:val="28"/>
        </w:rPr>
        <w:t>è facoltà degli avvocati di mandare in decisione singole cause, con l’accordo di tutte le parti, tramite deposito telematico di istanza congiunta;</w:t>
      </w:r>
    </w:p>
    <w:p w14:paraId="492A5FB6" w14:textId="77777777" w:rsidR="003F28FB" w:rsidRPr="00A776CB" w:rsidRDefault="003F28FB" w:rsidP="00A776CB">
      <w:pPr>
        <w:numPr>
          <w:ilvl w:val="0"/>
          <w:numId w:val="1"/>
        </w:numPr>
        <w:ind w:right="284"/>
        <w:jc w:val="both"/>
        <w:rPr>
          <w:rFonts w:ascii="Aparajita" w:hAnsi="Aparajita" w:cs="Aparajita"/>
          <w:sz w:val="32"/>
          <w:szCs w:val="28"/>
        </w:rPr>
      </w:pPr>
      <w:r w:rsidRPr="003F28FB">
        <w:rPr>
          <w:rFonts w:ascii="Aparajita" w:hAnsi="Aparajita" w:cs="Aparajita"/>
          <w:sz w:val="32"/>
          <w:szCs w:val="28"/>
        </w:rPr>
        <w:t xml:space="preserve">si raccomanda di evitare assembramenti nell’aula di udienza e nella sala avvocati e si confida nella scrupolosa osservanza delle presenti disposizioni da parte dei sigg. Avvocati. </w:t>
      </w:r>
    </w:p>
    <w:p w14:paraId="02EB378F" w14:textId="77777777" w:rsidR="00A776CB" w:rsidRDefault="00A776CB" w:rsidP="003F28FB">
      <w:pPr>
        <w:ind w:left="284" w:right="284"/>
        <w:jc w:val="both"/>
        <w:rPr>
          <w:rFonts w:ascii="Aparajita" w:hAnsi="Aparajita" w:cs="Aparajita"/>
          <w:sz w:val="32"/>
          <w:szCs w:val="28"/>
        </w:rPr>
      </w:pPr>
    </w:p>
    <w:p w14:paraId="6A05A809" w14:textId="77777777" w:rsidR="003F28FB" w:rsidRPr="008E71CE" w:rsidRDefault="003F28FB" w:rsidP="003F28FB">
      <w:pPr>
        <w:ind w:left="284" w:right="284"/>
        <w:jc w:val="both"/>
        <w:rPr>
          <w:rFonts w:ascii="Aparajita" w:hAnsi="Aparajita" w:cs="Aparajita"/>
          <w:sz w:val="32"/>
          <w:szCs w:val="32"/>
        </w:rPr>
      </w:pPr>
      <w:r w:rsidRPr="00BD48B5">
        <w:rPr>
          <w:rFonts w:ascii="Aparajita" w:hAnsi="Aparajita" w:cs="Aparajita"/>
          <w:sz w:val="32"/>
          <w:szCs w:val="32"/>
        </w:rPr>
        <w:t>Roma,</w:t>
      </w:r>
      <w:r w:rsidRPr="008E71CE">
        <w:rPr>
          <w:rFonts w:ascii="Aparajita" w:hAnsi="Aparajita" w:cs="Aparajita"/>
          <w:sz w:val="32"/>
          <w:szCs w:val="32"/>
        </w:rPr>
        <w:t xml:space="preserve">           </w:t>
      </w:r>
      <w:r>
        <w:rPr>
          <w:rFonts w:ascii="Aparajita" w:hAnsi="Aparajita" w:cs="Aparajita"/>
          <w:sz w:val="32"/>
          <w:szCs w:val="32"/>
        </w:rPr>
        <w:t xml:space="preserve">                        </w:t>
      </w:r>
      <w:r>
        <w:rPr>
          <w:rFonts w:ascii="Aparajita" w:hAnsi="Aparajita" w:cs="Aparajita"/>
          <w:sz w:val="32"/>
          <w:szCs w:val="28"/>
        </w:rPr>
        <w:tab/>
      </w:r>
      <w:r>
        <w:rPr>
          <w:rFonts w:ascii="Aparajita" w:hAnsi="Aparajita" w:cs="Aparajita"/>
          <w:sz w:val="32"/>
          <w:szCs w:val="28"/>
        </w:rPr>
        <w:tab/>
      </w:r>
      <w:r>
        <w:rPr>
          <w:rFonts w:ascii="Aparajita" w:hAnsi="Aparajita" w:cs="Aparajita"/>
          <w:sz w:val="32"/>
          <w:szCs w:val="28"/>
        </w:rPr>
        <w:tab/>
      </w:r>
      <w:r>
        <w:rPr>
          <w:rFonts w:ascii="Aparajita" w:hAnsi="Aparajita" w:cs="Aparajita"/>
          <w:sz w:val="32"/>
          <w:szCs w:val="28"/>
        </w:rPr>
        <w:tab/>
      </w:r>
      <w:r>
        <w:rPr>
          <w:rFonts w:ascii="Aparajita" w:hAnsi="Aparajita" w:cs="Aparajita"/>
          <w:sz w:val="32"/>
          <w:szCs w:val="28"/>
        </w:rPr>
        <w:tab/>
      </w:r>
      <w:r w:rsidRPr="008E71CE">
        <w:rPr>
          <w:rFonts w:ascii="Aparajita" w:hAnsi="Aparajita" w:cs="Aparajita"/>
          <w:sz w:val="32"/>
          <w:szCs w:val="28"/>
        </w:rPr>
        <w:tab/>
      </w:r>
      <w:r w:rsidRPr="008E71CE">
        <w:rPr>
          <w:rFonts w:ascii="Aparajita" w:hAnsi="Aparajita" w:cs="Aparajita"/>
          <w:sz w:val="32"/>
          <w:szCs w:val="28"/>
        </w:rPr>
        <w:tab/>
      </w:r>
      <w:r w:rsidRPr="008E71CE">
        <w:rPr>
          <w:rFonts w:ascii="Aparajita" w:hAnsi="Aparajita" w:cs="Aparajita"/>
          <w:sz w:val="32"/>
          <w:szCs w:val="28"/>
        </w:rPr>
        <w:tab/>
      </w:r>
      <w:r w:rsidRPr="008E71CE">
        <w:rPr>
          <w:rFonts w:ascii="Aparajita" w:hAnsi="Aparajita" w:cs="Aparajita"/>
          <w:sz w:val="32"/>
          <w:szCs w:val="28"/>
        </w:rPr>
        <w:tab/>
      </w:r>
      <w:r w:rsidRPr="008E71CE">
        <w:rPr>
          <w:rFonts w:ascii="Aparajita" w:hAnsi="Aparajita" w:cs="Aparajita"/>
          <w:sz w:val="32"/>
          <w:szCs w:val="28"/>
        </w:rPr>
        <w:tab/>
      </w:r>
      <w:r w:rsidRPr="008E71CE">
        <w:rPr>
          <w:rFonts w:ascii="Aparajita" w:hAnsi="Aparajita" w:cs="Aparajita"/>
          <w:sz w:val="32"/>
          <w:szCs w:val="28"/>
        </w:rPr>
        <w:tab/>
      </w:r>
      <w:r w:rsidRPr="008E71CE">
        <w:rPr>
          <w:rFonts w:ascii="Aparajita" w:hAnsi="Aparajita" w:cs="Aparajita"/>
          <w:sz w:val="32"/>
          <w:szCs w:val="28"/>
        </w:rPr>
        <w:tab/>
      </w:r>
    </w:p>
    <w:sectPr w:rsidR="003F28FB" w:rsidRPr="008E7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94927"/>
    <w:multiLevelType w:val="hybridMultilevel"/>
    <w:tmpl w:val="AEA0A7BC"/>
    <w:lvl w:ilvl="0" w:tplc="5EA2FE36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5A34D3"/>
    <w:multiLevelType w:val="hybridMultilevel"/>
    <w:tmpl w:val="72BC197E"/>
    <w:lvl w:ilvl="0" w:tplc="DC4854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6"/>
    <w:rsid w:val="00146889"/>
    <w:rsid w:val="003F28FB"/>
    <w:rsid w:val="006B7CC6"/>
    <w:rsid w:val="009E5940"/>
    <w:rsid w:val="00A776CB"/>
    <w:rsid w:val="00AC4F7C"/>
    <w:rsid w:val="00B85A72"/>
    <w:rsid w:val="00CB4E90"/>
    <w:rsid w:val="00E52911"/>
    <w:rsid w:val="00FD621A"/>
    <w:rsid w:val="3944D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0734"/>
  <w15:chartTrackingRefBased/>
  <w15:docId w15:val="{436B1052-06BB-4A79-AF34-E25CD676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E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E9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1ACE8.7D2A9D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t.wikipedia.org/wiki/File:Emblem_of_Italy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Luca</dc:creator>
  <cp:keywords/>
  <dc:description/>
  <cp:lastModifiedBy>GIALLOMBARDO Pierpaolo</cp:lastModifiedBy>
  <cp:revision>2</cp:revision>
  <cp:lastPrinted>2020-03-02T11:02:00Z</cp:lastPrinted>
  <dcterms:created xsi:type="dcterms:W3CDTF">2020-03-02T11:09:00Z</dcterms:created>
  <dcterms:modified xsi:type="dcterms:W3CDTF">2020-03-02T11:09:00Z</dcterms:modified>
</cp:coreProperties>
</file>