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8D5" w:rsidRPr="005E7E0C" w:rsidRDefault="00456454" w:rsidP="00725D26">
      <w:pPr>
        <w:spacing w:line="360" w:lineRule="auto"/>
        <w:ind w:left="426" w:right="282"/>
        <w:jc w:val="center"/>
        <w:rPr>
          <w:b/>
        </w:rPr>
      </w:pPr>
      <w:bookmarkStart w:id="0" w:name="_GoBack"/>
      <w:r>
        <w:rPr>
          <w:b/>
        </w:rPr>
        <w:t>L’i</w:t>
      </w:r>
      <w:r w:rsidR="005E7E0C" w:rsidRPr="005E7E0C">
        <w:rPr>
          <w:b/>
        </w:rPr>
        <w:t>nte</w:t>
      </w:r>
      <w:r w:rsidR="00A10FD4">
        <w:rPr>
          <w:b/>
        </w:rPr>
        <w:t>r</w:t>
      </w:r>
      <w:r w:rsidR="005E7E0C" w:rsidRPr="005E7E0C">
        <w:rPr>
          <w:b/>
        </w:rPr>
        <w:t>dittiva antimafia</w:t>
      </w:r>
      <w:r>
        <w:rPr>
          <w:b/>
        </w:rPr>
        <w:t>, tra tutela anticipatoria</w:t>
      </w:r>
      <w:r w:rsidR="00A10FD4">
        <w:rPr>
          <w:b/>
        </w:rPr>
        <w:t xml:space="preserve"> e</w:t>
      </w:r>
      <w:r w:rsidR="00E018EE">
        <w:rPr>
          <w:b/>
        </w:rPr>
        <w:t>d</w:t>
      </w:r>
      <w:r w:rsidR="005E7E0C" w:rsidRPr="005E7E0C">
        <w:rPr>
          <w:b/>
        </w:rPr>
        <w:t xml:space="preserve"> eterogenesi dei fini</w:t>
      </w:r>
      <w:r w:rsidR="00551C01">
        <w:rPr>
          <w:b/>
        </w:rPr>
        <w:t xml:space="preserve"> </w:t>
      </w:r>
      <w:bookmarkEnd w:id="0"/>
      <w:r w:rsidR="009C68D5" w:rsidRPr="005E7E0C">
        <w:rPr>
          <w:b/>
          <w:vertAlign w:val="superscript"/>
        </w:rPr>
        <w:footnoteReference w:id="1"/>
      </w:r>
    </w:p>
    <w:p w:rsidR="009C68D5" w:rsidRDefault="009C68D5" w:rsidP="00725D26">
      <w:pPr>
        <w:spacing w:line="360" w:lineRule="auto"/>
        <w:ind w:left="426" w:right="282"/>
        <w:jc w:val="both"/>
      </w:pPr>
      <w:r>
        <w:t>Il sistema d</w:t>
      </w:r>
      <w:r w:rsidR="00725D26">
        <w:t>i</w:t>
      </w:r>
      <w:r>
        <w:t xml:space="preserve"> prevenzione/repressione dell’inquinamento mafioso de</w:t>
      </w:r>
      <w:r w:rsidR="005E7E0C">
        <w:t>i settori</w:t>
      </w:r>
      <w:r>
        <w:t xml:space="preserve"> dell’economia</w:t>
      </w:r>
      <w:r w:rsidR="005E7E0C">
        <w:t xml:space="preserve"> pubblica e privata</w:t>
      </w:r>
      <w:r>
        <w:t xml:space="preserve"> poggia essenzialmente su tre gambe.</w:t>
      </w:r>
    </w:p>
    <w:p w:rsidR="009C68D5" w:rsidRDefault="009C68D5" w:rsidP="00725D26">
      <w:pPr>
        <w:spacing w:line="360" w:lineRule="auto"/>
        <w:ind w:left="426" w:right="282"/>
        <w:jc w:val="both"/>
      </w:pPr>
      <w:r>
        <w:t>La prima è rappresentata dalle misure</w:t>
      </w:r>
      <w:r w:rsidR="00CD0ED9">
        <w:t xml:space="preserve"> penali</w:t>
      </w:r>
      <w:r w:rsidR="0052505A">
        <w:t>, rappresentate</w:t>
      </w:r>
      <w:r>
        <w:t>:</w:t>
      </w:r>
    </w:p>
    <w:p w:rsidR="009C68D5" w:rsidRDefault="009C68D5" w:rsidP="00E64AC2">
      <w:pPr>
        <w:numPr>
          <w:ilvl w:val="0"/>
          <w:numId w:val="12"/>
        </w:numPr>
        <w:spacing w:line="360" w:lineRule="auto"/>
        <w:ind w:left="426" w:right="282" w:firstLine="141"/>
        <w:jc w:val="both"/>
      </w:pPr>
      <w:r>
        <w:t>dal reato di associazione di tipo mafioso (art. 416</w:t>
      </w:r>
      <w:r w:rsidR="00F67092">
        <w:t xml:space="preserve"> </w:t>
      </w:r>
      <w:r>
        <w:t xml:space="preserve">bis c.p., il quale, tra le altre, sanziona le condotte criminose miranti ad “acquisire in modo diretto o indiretto la gestione o comunque il controllo di </w:t>
      </w:r>
      <w:hyperlink r:id="rId8">
        <w:r>
          <w:t>attività economiche</w:t>
        </w:r>
      </w:hyperlink>
      <w:r>
        <w:t xml:space="preserve">, di </w:t>
      </w:r>
      <w:hyperlink r:id="rId9">
        <w:r>
          <w:t>concessioni</w:t>
        </w:r>
      </w:hyperlink>
      <w:r>
        <w:t xml:space="preserve">, di </w:t>
      </w:r>
      <w:hyperlink r:id="rId10">
        <w:r>
          <w:t>autorizzazioni</w:t>
        </w:r>
      </w:hyperlink>
      <w:r>
        <w:t xml:space="preserve">, </w:t>
      </w:r>
      <w:hyperlink r:id="rId11">
        <w:r>
          <w:t>appalti</w:t>
        </w:r>
      </w:hyperlink>
      <w:r>
        <w:t xml:space="preserve"> e </w:t>
      </w:r>
      <w:hyperlink r:id="rId12">
        <w:r>
          <w:t>servizi pubblici</w:t>
        </w:r>
      </w:hyperlink>
      <w:r>
        <w:t>”),</w:t>
      </w:r>
    </w:p>
    <w:p w:rsidR="009C68D5" w:rsidRDefault="009C68D5" w:rsidP="00E64AC2">
      <w:pPr>
        <w:numPr>
          <w:ilvl w:val="0"/>
          <w:numId w:val="12"/>
        </w:numPr>
        <w:spacing w:line="360" w:lineRule="auto"/>
        <w:ind w:left="426" w:right="282" w:firstLine="141"/>
        <w:jc w:val="both"/>
      </w:pPr>
      <w:proofErr w:type="gramStart"/>
      <w:r>
        <w:t>dalla</w:t>
      </w:r>
      <w:proofErr w:type="gramEnd"/>
      <w:r>
        <w:t xml:space="preserve"> figura ibrida del concorso esterno in associazione mafiosa (artt. 110-416 bis c.p.)</w:t>
      </w:r>
      <w:r w:rsidR="00205674">
        <w:t>;</w:t>
      </w:r>
    </w:p>
    <w:p w:rsidR="009C68D5" w:rsidRDefault="009C68D5" w:rsidP="00E64AC2">
      <w:pPr>
        <w:numPr>
          <w:ilvl w:val="0"/>
          <w:numId w:val="12"/>
        </w:numPr>
        <w:spacing w:line="360" w:lineRule="auto"/>
        <w:ind w:left="426" w:right="282" w:firstLine="141"/>
        <w:jc w:val="both"/>
      </w:pPr>
      <w:proofErr w:type="gramStart"/>
      <w:r>
        <w:t>dall’aggravante</w:t>
      </w:r>
      <w:proofErr w:type="gramEnd"/>
      <w:r>
        <w:t xml:space="preserve"> speciale dell’agevolazione all’attività delle associazioni mafiosi (art. 7 </w:t>
      </w:r>
      <w:r w:rsidR="00725D26">
        <w:t xml:space="preserve">del </w:t>
      </w:r>
      <w:proofErr w:type="spellStart"/>
      <w:r>
        <w:t>d.l.</w:t>
      </w:r>
      <w:proofErr w:type="spellEnd"/>
      <w:r>
        <w:t xml:space="preserve"> n. 152/1991).</w:t>
      </w:r>
    </w:p>
    <w:p w:rsidR="009C68D5" w:rsidRDefault="009C68D5" w:rsidP="00725D26">
      <w:pPr>
        <w:spacing w:line="360" w:lineRule="auto"/>
        <w:ind w:left="426" w:right="282"/>
        <w:jc w:val="both"/>
      </w:pPr>
      <w:r>
        <w:t>Si tratta</w:t>
      </w:r>
      <w:r w:rsidR="00725D26">
        <w:t>, all’evidenza,</w:t>
      </w:r>
      <w:r>
        <w:t xml:space="preserve"> di illecit</w:t>
      </w:r>
      <w:r w:rsidR="00725D26">
        <w:t>i</w:t>
      </w:r>
      <w:r>
        <w:t xml:space="preserve"> particolarmente gravi, cui seguono sanzioni altrettanto gravi, che incidono sulla libertà personale e sul diritto di proprietà (tramite la confisca penale obbligatoria “</w:t>
      </w:r>
      <w:r w:rsidRPr="0040238A">
        <w:rPr>
          <w:i/>
        </w:rPr>
        <w:t>delle cose che servirono o furono destinate a commettere il reato e delle cose che ne sono il prezzo, il prodotto, il profitto o che ne costituiscono l’impiego</w:t>
      </w:r>
      <w:r>
        <w:t>”, di cui allo stesso art. 416 bis c.p.).</w:t>
      </w:r>
    </w:p>
    <w:p w:rsidR="009C68D5" w:rsidRDefault="009C68D5" w:rsidP="00725D26">
      <w:pPr>
        <w:spacing w:line="360" w:lineRule="auto"/>
        <w:ind w:left="426" w:right="282"/>
        <w:jc w:val="both"/>
      </w:pPr>
      <w:r>
        <w:t>L’operatività delle sanzioni p</w:t>
      </w:r>
      <w:r w:rsidR="00F67092">
        <w:t xml:space="preserve">resuppone l’accertamento pieno, </w:t>
      </w:r>
      <w:r>
        <w:t>“</w:t>
      </w:r>
      <w:r w:rsidRPr="0040238A">
        <w:rPr>
          <w:i/>
        </w:rPr>
        <w:t>aldilà di ogni ragionevole dubbio</w:t>
      </w:r>
      <w:r>
        <w:t>”</w:t>
      </w:r>
      <w:r w:rsidR="00F67092">
        <w:t>,</w:t>
      </w:r>
      <w:r>
        <w:t xml:space="preserve"> del fatto e della colpevolezza dell’imputato, da parte d</w:t>
      </w:r>
      <w:r w:rsidR="00205674">
        <w:t>el</w:t>
      </w:r>
      <w:r>
        <w:t xml:space="preserve"> giudice e nel rispetto dei principi di legalità sostanziale e dell’equo processo, come stabiliti dall’art. 111 Cost e </w:t>
      </w:r>
      <w:r w:rsidR="00F67092">
        <w:t>6-</w:t>
      </w:r>
      <w:r>
        <w:t>7 CEDU.</w:t>
      </w:r>
    </w:p>
    <w:p w:rsidR="009C68D5" w:rsidRDefault="009C68D5" w:rsidP="00725D26">
      <w:pPr>
        <w:spacing w:line="360" w:lineRule="auto"/>
        <w:ind w:left="426" w:right="282"/>
        <w:jc w:val="both"/>
      </w:pPr>
      <w:r>
        <w:t>La seconda gamba è costituita dalle misure</w:t>
      </w:r>
      <w:r w:rsidR="00CD0ED9">
        <w:t xml:space="preserve"> di prevenzione</w:t>
      </w:r>
      <w:r>
        <w:t xml:space="preserve"> che, ai sensi dell’art. 4, </w:t>
      </w:r>
      <w:proofErr w:type="spellStart"/>
      <w:r>
        <w:t>lett</w:t>
      </w:r>
      <w:proofErr w:type="spellEnd"/>
      <w:r>
        <w:t xml:space="preserve">. a), </w:t>
      </w:r>
      <w:r w:rsidR="00725D26">
        <w:t xml:space="preserve">del </w:t>
      </w:r>
      <w:r>
        <w:t>d.lgs. n. 159/2011, sono applicate a carico di coloro che sono “</w:t>
      </w:r>
      <w:r w:rsidRPr="0040238A">
        <w:rPr>
          <w:i/>
        </w:rPr>
        <w:t>indiziati di appartenere alle associazioni di cui all’art. 416</w:t>
      </w:r>
      <w:r w:rsidR="00F67092" w:rsidRPr="0040238A">
        <w:rPr>
          <w:i/>
        </w:rPr>
        <w:t xml:space="preserve"> </w:t>
      </w:r>
      <w:r w:rsidRPr="0040238A">
        <w:rPr>
          <w:i/>
        </w:rPr>
        <w:t>bis c.p.</w:t>
      </w:r>
      <w:r>
        <w:t>”.</w:t>
      </w:r>
    </w:p>
    <w:p w:rsidR="009C68D5" w:rsidRDefault="009C68D5" w:rsidP="00725D26">
      <w:pPr>
        <w:spacing w:line="360" w:lineRule="auto"/>
        <w:ind w:left="426" w:right="282"/>
        <w:jc w:val="both"/>
      </w:pPr>
      <w:r>
        <w:t>Rientrano in quest’ambito:</w:t>
      </w:r>
    </w:p>
    <w:p w:rsidR="009C68D5" w:rsidRDefault="009C68D5" w:rsidP="00E64AC2">
      <w:pPr>
        <w:numPr>
          <w:ilvl w:val="0"/>
          <w:numId w:val="12"/>
        </w:numPr>
        <w:spacing w:line="360" w:lineRule="auto"/>
        <w:ind w:left="426" w:right="282" w:firstLine="141"/>
        <w:jc w:val="both"/>
      </w:pPr>
      <w:proofErr w:type="gramStart"/>
      <w:r>
        <w:t>il</w:t>
      </w:r>
      <w:proofErr w:type="gramEnd"/>
      <w:r>
        <w:t xml:space="preserve"> sequestro e la confisca dei beni di valore sproporzionato o che possono costituire il frutto di attività illecite o ne costituiscono il reimpiego (artt. 20 e 24 d</w:t>
      </w:r>
      <w:r w:rsidR="00725D26">
        <w:t>el d</w:t>
      </w:r>
      <w:r>
        <w:t>.lgs. n. 159/2011);</w:t>
      </w:r>
    </w:p>
    <w:p w:rsidR="009C68D5" w:rsidRDefault="009C68D5" w:rsidP="00E64AC2">
      <w:pPr>
        <w:numPr>
          <w:ilvl w:val="0"/>
          <w:numId w:val="12"/>
        </w:numPr>
        <w:spacing w:line="360" w:lineRule="auto"/>
        <w:ind w:left="426" w:right="282" w:firstLine="141"/>
        <w:jc w:val="both"/>
      </w:pPr>
      <w:r>
        <w:t>l’amministrazione giudiziaria delle aziende o dei beni utilizzabili per lo svolgimento di attività economiche, “</w:t>
      </w:r>
      <w:r w:rsidRPr="0040238A">
        <w:rPr>
          <w:i/>
        </w:rPr>
        <w:t xml:space="preserve">quando sussistono sufficienti indizi per ritenere che il libero esercizio di determinate attività economiche, comprese quelle di carattere imprenditoriale, sia direttamente o indirettamente sottoposto alle condizioni di intimidazione o di assoggettamento o possa comunque agevolare attività </w:t>
      </w:r>
      <w:r w:rsidRPr="0040238A">
        <w:rPr>
          <w:i/>
        </w:rPr>
        <w:lastRenderedPageBreak/>
        <w:t>mafiose e non ricorrono i presupposti per l’applicazione di misure di prevenzione patrimoniali più gravi</w:t>
      </w:r>
      <w:r>
        <w:t xml:space="preserve">” (art. 34 </w:t>
      </w:r>
      <w:r w:rsidR="00725D26">
        <w:t xml:space="preserve">del </w:t>
      </w:r>
      <w:r>
        <w:t>d.lgs. n. 159/2011);</w:t>
      </w:r>
    </w:p>
    <w:p w:rsidR="009C68D5" w:rsidRDefault="009C68D5" w:rsidP="00E64AC2">
      <w:pPr>
        <w:numPr>
          <w:ilvl w:val="0"/>
          <w:numId w:val="12"/>
        </w:numPr>
        <w:spacing w:line="360" w:lineRule="auto"/>
        <w:ind w:left="426" w:right="282" w:firstLine="141"/>
        <w:jc w:val="both"/>
      </w:pPr>
      <w:proofErr w:type="gramStart"/>
      <w:r>
        <w:t>il</w:t>
      </w:r>
      <w:proofErr w:type="gramEnd"/>
      <w:r>
        <w:t xml:space="preserve"> controllo giudiziario delle attività economiche e delle aziende, “</w:t>
      </w:r>
      <w:r w:rsidRPr="0040238A">
        <w:rPr>
          <w:i/>
        </w:rPr>
        <w:t>quando l’agevolazione… risulta occasionale</w:t>
      </w:r>
      <w:r>
        <w:t>”(art. 34 bis d</w:t>
      </w:r>
      <w:r w:rsidR="00725D26">
        <w:t>el d</w:t>
      </w:r>
      <w:r>
        <w:t>.lgs. n. 159/2011)</w:t>
      </w:r>
      <w:r w:rsidR="00E64AC2">
        <w:t>.</w:t>
      </w:r>
    </w:p>
    <w:p w:rsidR="009C68D5" w:rsidRDefault="009C68D5" w:rsidP="00725D26">
      <w:pPr>
        <w:spacing w:line="360" w:lineRule="auto"/>
        <w:ind w:left="426" w:right="282"/>
        <w:jc w:val="both"/>
      </w:pPr>
      <w:r>
        <w:t xml:space="preserve">Si tratta di </w:t>
      </w:r>
      <w:r w:rsidR="00CE381E">
        <w:t>fattispeci</w:t>
      </w:r>
      <w:r>
        <w:t>e anch</w:t>
      </w:r>
      <w:r w:rsidR="00725D26">
        <w:t>’</w:t>
      </w:r>
      <w:r>
        <w:t xml:space="preserve">esse gravi, </w:t>
      </w:r>
      <w:r w:rsidR="00CD0ED9">
        <w:t>aventi</w:t>
      </w:r>
      <w:r w:rsidR="00455399">
        <w:t xml:space="preserve"> </w:t>
      </w:r>
      <w:r>
        <w:t xml:space="preserve">natura </w:t>
      </w:r>
      <w:r w:rsidR="00CD0ED9">
        <w:rPr>
          <w:i/>
        </w:rPr>
        <w:t>special</w:t>
      </w:r>
      <w:r w:rsidR="00CD0ED9" w:rsidRPr="00725D26">
        <w:rPr>
          <w:i/>
        </w:rPr>
        <w:t>-p</w:t>
      </w:r>
      <w:r w:rsidR="00CD0ED9">
        <w:rPr>
          <w:i/>
        </w:rPr>
        <w:t>reventiva</w:t>
      </w:r>
      <w:r w:rsidR="00CE381E">
        <w:t>,</w:t>
      </w:r>
      <w:r>
        <w:t xml:space="preserve"> che si </w:t>
      </w:r>
      <w:r w:rsidR="00CE381E">
        <w:t>porta</w:t>
      </w:r>
      <w:r>
        <w:t xml:space="preserve">no </w:t>
      </w:r>
      <w:r w:rsidR="00CE381E">
        <w:t>a</w:t>
      </w:r>
      <w:r>
        <w:t xml:space="preserve">ll’ablazione, o </w:t>
      </w:r>
      <w:r w:rsidR="00CE381E">
        <w:t>a</w:t>
      </w:r>
      <w:r>
        <w:t>lla limitazione, del diritto proprietà e del diritto d’impresa.</w:t>
      </w:r>
    </w:p>
    <w:p w:rsidR="009C68D5" w:rsidRDefault="009C68D5" w:rsidP="00725D26">
      <w:pPr>
        <w:spacing w:line="360" w:lineRule="auto"/>
        <w:ind w:left="426" w:right="282"/>
        <w:jc w:val="both"/>
      </w:pPr>
      <w:r>
        <w:t xml:space="preserve">Rispetto alle </w:t>
      </w:r>
      <w:r w:rsidR="00CD0ED9">
        <w:t>misure penali</w:t>
      </w:r>
      <w:r>
        <w:t>, variano l</w:t>
      </w:r>
      <w:r w:rsidR="00455399">
        <w:t>e</w:t>
      </w:r>
      <w:r>
        <w:t xml:space="preserve"> modalità di accertamento del fatto e della sua attribuibilità al proposto, che avviene</w:t>
      </w:r>
      <w:r w:rsidR="00CE381E" w:rsidRPr="00CE381E">
        <w:t xml:space="preserve"> </w:t>
      </w:r>
      <w:r w:rsidR="00CE381E">
        <w:t>in via indiziaria, sempre da parte del giudice penale,</w:t>
      </w:r>
      <w:r>
        <w:t xml:space="preserve"> attraverso l’individuazione di ripetuti comportamenti illeciti, significativi dell</w:t>
      </w:r>
      <w:r w:rsidR="00B1174E">
        <w:t>a</w:t>
      </w:r>
      <w:r>
        <w:t xml:space="preserve"> pericolosità sociale del soggetto e della presumibile illiceità del suo patrimonio o della sua attività economica.</w:t>
      </w:r>
    </w:p>
    <w:p w:rsidR="009C68D5" w:rsidRDefault="009C68D5" w:rsidP="00725D26">
      <w:pPr>
        <w:spacing w:line="360" w:lineRule="auto"/>
        <w:ind w:left="426" w:right="282"/>
        <w:jc w:val="both"/>
      </w:pPr>
      <w:r>
        <w:t xml:space="preserve">Anche tali misure devono rispettare i principi di legalità sostanziale e </w:t>
      </w:r>
      <w:r w:rsidR="00C77D9E">
        <w:t>tassatività</w:t>
      </w:r>
      <w:r>
        <w:t>.</w:t>
      </w:r>
    </w:p>
    <w:p w:rsidR="009C68D5" w:rsidRPr="00725D26" w:rsidRDefault="009C68D5" w:rsidP="00725D26">
      <w:pPr>
        <w:spacing w:line="360" w:lineRule="auto"/>
        <w:ind w:left="426" w:right="282"/>
        <w:jc w:val="both"/>
      </w:pPr>
      <w:r>
        <w:t>Non a caso, la</w:t>
      </w:r>
      <w:r w:rsidR="00725D26">
        <w:t xml:space="preserve"> CEDU</w:t>
      </w:r>
      <w:r>
        <w:t xml:space="preserve"> ha dichiarato la contrarietà al </w:t>
      </w:r>
      <w:r w:rsidR="00841F6C">
        <w:t>T</w:t>
      </w:r>
      <w:r>
        <w:t>rattato delle disposizioni che “</w:t>
      </w:r>
      <w:r w:rsidRPr="0040238A">
        <w:rPr>
          <w:i/>
        </w:rPr>
        <w:t>non indicano, con sufficiente chiarezza, lo scopo e le modalità di esercizio dell’amplissima discrezionalità conferita alle corti nazionali</w:t>
      </w:r>
      <w:r>
        <w:t>” e che “</w:t>
      </w:r>
      <w:r w:rsidRPr="0040238A">
        <w:rPr>
          <w:i/>
        </w:rPr>
        <w:t>non sono formulate con precisione sufficiente a garantire al singolo tutela contro interferenze arbitrarie e a consentirgli di prevedere in maniera sufficientemente certa l’imposizione di misure di prevenzione</w:t>
      </w:r>
      <w:r>
        <w:t>”</w:t>
      </w:r>
      <w:r w:rsidR="000C48F9">
        <w:rPr>
          <w:rStyle w:val="Rimandonotaapidipagina"/>
        </w:rPr>
        <w:footnoteReference w:id="2"/>
      </w:r>
      <w:r w:rsidR="00725D26">
        <w:t>.</w:t>
      </w:r>
    </w:p>
    <w:p w:rsidR="00EC0638" w:rsidRDefault="009C68D5" w:rsidP="00725D26">
      <w:pPr>
        <w:spacing w:line="360" w:lineRule="auto"/>
        <w:ind w:left="426" w:right="282"/>
        <w:jc w:val="both"/>
      </w:pPr>
      <w:r>
        <w:t>In ultimo, abbiamo le misure amministrative</w:t>
      </w:r>
      <w:r w:rsidR="00EC0638">
        <w:t>,</w:t>
      </w:r>
      <w:r>
        <w:t xml:space="preserve"> </w:t>
      </w:r>
      <w:r w:rsidR="00EC0638">
        <w:t xml:space="preserve">adottate dal prefetto, </w:t>
      </w:r>
      <w:r>
        <w:t>di cui al libro II° del d.lgs. n. 159/2011, che costituiscono la forma di tutela più avanzata apprestata dallo Stato nei confronti del pervasivo fenomeno della penetrazione della mafia nell’economia legale</w:t>
      </w:r>
      <w:r w:rsidR="00EC0638">
        <w:t xml:space="preserve"> e che sono rappresentate:</w:t>
      </w:r>
    </w:p>
    <w:p w:rsidR="00EC0638" w:rsidRDefault="00EC0638" w:rsidP="00E64AC2">
      <w:pPr>
        <w:numPr>
          <w:ilvl w:val="0"/>
          <w:numId w:val="12"/>
        </w:numPr>
        <w:spacing w:line="360" w:lineRule="auto"/>
        <w:ind w:left="426" w:right="282" w:firstLine="141"/>
        <w:jc w:val="both"/>
      </w:pPr>
      <w:r>
        <w:t>dal</w:t>
      </w:r>
      <w:r w:rsidR="009C68D5">
        <w:t>la comunicazione antimafia, che consiste nell’attestazione della sussistenza, o meno, di cause di decadenza, di sospensione o di divieto, derivanti dall’adozione di provvedimenti del giudice penale</w:t>
      </w:r>
      <w:r w:rsidR="00725D26">
        <w:t xml:space="preserve"> ed</w:t>
      </w:r>
      <w:r w:rsidR="009C68D5">
        <w:t xml:space="preserve"> ha natura vincolata</w:t>
      </w:r>
      <w:r w:rsidR="00725D26">
        <w:t>, circoscritta alla ricognizione di eventuali cause ostative esterne</w:t>
      </w:r>
      <w:r w:rsidR="009C68D5">
        <w:t xml:space="preserve"> (è una mera dichiarazione di scienza, </w:t>
      </w:r>
      <w:r>
        <w:t>riguardante fatti preesistenti), sicché, i</w:t>
      </w:r>
      <w:r w:rsidR="009C68D5">
        <w:t>n caso di verifica positiva, viene comunicata l’esistenza di particolari limitazioni del diritto d’impresa, che si traducono in una spec</w:t>
      </w:r>
      <w:r>
        <w:t>iale forma di incapacità legale;</w:t>
      </w:r>
    </w:p>
    <w:p w:rsidR="009C68D5" w:rsidRDefault="00EC0638" w:rsidP="00E64AC2">
      <w:pPr>
        <w:numPr>
          <w:ilvl w:val="0"/>
          <w:numId w:val="12"/>
        </w:numPr>
        <w:spacing w:line="360" w:lineRule="auto"/>
        <w:ind w:left="426" w:right="282" w:firstLine="141"/>
        <w:jc w:val="both"/>
      </w:pPr>
      <w:proofErr w:type="gramStart"/>
      <w:r>
        <w:t>dal</w:t>
      </w:r>
      <w:r w:rsidR="009C68D5">
        <w:t>l’informativa</w:t>
      </w:r>
      <w:proofErr w:type="gramEnd"/>
      <w:r w:rsidR="009C68D5">
        <w:t xml:space="preserve"> antimafia, che consiste nella “</w:t>
      </w:r>
      <w:r w:rsidR="009C68D5" w:rsidRPr="00D51A77">
        <w:rPr>
          <w:i/>
        </w:rPr>
        <w:t>attestazione della sussistenza o meno di eventuali tentativi di infiltrazione mafiosa tendenti a condizionare le scelte e gli indirizzi delle società o imprese interessate</w:t>
      </w:r>
      <w:r w:rsidR="009C68D5">
        <w:t>”</w:t>
      </w:r>
      <w:r>
        <w:t xml:space="preserve"> e</w:t>
      </w:r>
      <w:r w:rsidR="009C68D5">
        <w:t xml:space="preserve">, </w:t>
      </w:r>
      <w:r>
        <w:t>quindi,</w:t>
      </w:r>
      <w:r w:rsidR="009C68D5">
        <w:t xml:space="preserve"> in un apprezzamento discrezionale </w:t>
      </w:r>
      <w:r w:rsidR="00725D26">
        <w:t xml:space="preserve">circa </w:t>
      </w:r>
      <w:r w:rsidR="009C68D5">
        <w:t xml:space="preserve">l’idoneità di determinati fatti a giustificare </w:t>
      </w:r>
      <w:r>
        <w:t xml:space="preserve">la speciale condizione di </w:t>
      </w:r>
      <w:r w:rsidR="00725D26">
        <w:t>incapacità legale</w:t>
      </w:r>
      <w:r w:rsidR="009C68D5">
        <w:t>.</w:t>
      </w:r>
    </w:p>
    <w:p w:rsidR="009C68D5" w:rsidRDefault="009C68D5" w:rsidP="00725D26">
      <w:pPr>
        <w:spacing w:line="360" w:lineRule="auto"/>
        <w:ind w:left="426" w:right="282"/>
        <w:jc w:val="both"/>
      </w:pPr>
      <w:r>
        <w:t xml:space="preserve">Ricapitolando e volendo soffermarsi sugli aspetti più salienti: </w:t>
      </w:r>
    </w:p>
    <w:p w:rsidR="002975E7" w:rsidRDefault="002975E7" w:rsidP="002975E7">
      <w:pPr>
        <w:numPr>
          <w:ilvl w:val="0"/>
          <w:numId w:val="21"/>
        </w:numPr>
        <w:spacing w:line="360" w:lineRule="auto"/>
        <w:ind w:right="282"/>
        <w:jc w:val="both"/>
      </w:pPr>
      <w:proofErr w:type="gramStart"/>
      <w:r>
        <w:t>minimo</w:t>
      </w:r>
      <w:proofErr w:type="gramEnd"/>
      <w:r>
        <w:t xml:space="preserve"> comun denominatore di tutte le misure è che esse incidono su beni costituzionalmente garantiti (libertà personale, diritto di proprietà, diritto di iniziativa economica). Tuttavia, mentre le prime due tipologie sono espressione di un potere sanzionatorio e conseguono ad un accertamento giurisdizionale di responsabilità individuale, anche solo a livello indiziario, l’interdittiva antimafia è espressione di un potere di pubblica sicurezza, che non postula alcun accertamento di responsabilità, neppure a livello indiziario (in tal senso, differenziandosi della comunicazione, che comunque recepisce un giudizio di disvalore formatosi prima ed all’esterno della volontà prefettizia);</w:t>
      </w:r>
    </w:p>
    <w:p w:rsidR="009C68D5" w:rsidRDefault="009C68D5" w:rsidP="00EA06EE">
      <w:pPr>
        <w:numPr>
          <w:ilvl w:val="0"/>
          <w:numId w:val="21"/>
        </w:numPr>
        <w:spacing w:line="360" w:lineRule="auto"/>
        <w:ind w:right="282"/>
        <w:jc w:val="both"/>
      </w:pPr>
      <w:proofErr w:type="gramStart"/>
      <w:r>
        <w:t>le</w:t>
      </w:r>
      <w:proofErr w:type="gramEnd"/>
      <w:r>
        <w:t xml:space="preserve"> misure penali e di prevenzione presuppongono una valutazione negativa, effettiva o prognostica, sul</w:t>
      </w:r>
      <w:r w:rsidR="00EC0638">
        <w:t xml:space="preserve">la persona </w:t>
      </w:r>
      <w:r>
        <w:t>e</w:t>
      </w:r>
      <w:r w:rsidR="00EC0638">
        <w:t xml:space="preserve">/o </w:t>
      </w:r>
      <w:r>
        <w:t xml:space="preserve">sul patrimonio, effettuata dal giudice penale in contraddittorio </w:t>
      </w:r>
      <w:r w:rsidR="00725D26">
        <w:t xml:space="preserve">con le parti (P.M. e </w:t>
      </w:r>
      <w:r w:rsidR="00640E22">
        <w:t>imputato/</w:t>
      </w:r>
      <w:r w:rsidR="00725D26">
        <w:t xml:space="preserve">proposto) </w:t>
      </w:r>
      <w:r>
        <w:t>e sindacabile secondo le regole del giusto processo;</w:t>
      </w:r>
    </w:p>
    <w:p w:rsidR="009C68D5" w:rsidRDefault="00725D26" w:rsidP="00EA06EE">
      <w:pPr>
        <w:numPr>
          <w:ilvl w:val="0"/>
          <w:numId w:val="21"/>
        </w:numPr>
        <w:spacing w:line="360" w:lineRule="auto"/>
        <w:ind w:right="282"/>
        <w:jc w:val="both"/>
      </w:pPr>
      <w:proofErr w:type="gramStart"/>
      <w:r>
        <w:t>l</w:t>
      </w:r>
      <w:r w:rsidR="009C68D5">
        <w:t>e</w:t>
      </w:r>
      <w:proofErr w:type="gramEnd"/>
      <w:r w:rsidR="009C68D5">
        <w:t xml:space="preserve"> misure amministrative presuppongono una valutazione negativa sull’andamento di un’organizzazione privata, effettuata da un’autorità amministrativa in assenza di contraddittorio, sindacabile all’interno di un giudizio di sola legittimità (col limite, ulteriore, della minorata sindacabilità della scelta tecnico-discrezionale). Nel caso dell’interdittiva, la valutazione non è vincolata, ma e scaturisce dall’esercizio di un potere discrezionale di tipo prognostico.</w:t>
      </w:r>
    </w:p>
    <w:p w:rsidR="009C68D5" w:rsidRDefault="00120F97" w:rsidP="002975E7">
      <w:pPr>
        <w:spacing w:line="360" w:lineRule="auto"/>
        <w:ind w:left="360" w:right="282"/>
        <w:jc w:val="both"/>
      </w:pPr>
      <w:r>
        <w:t>S</w:t>
      </w:r>
      <w:r w:rsidR="002975E7">
        <w:t>emplificando</w:t>
      </w:r>
      <w:r>
        <w:t>:</w:t>
      </w:r>
      <w:r w:rsidR="002975E7">
        <w:t xml:space="preserve"> </w:t>
      </w:r>
      <w:r>
        <w:t xml:space="preserve">se </w:t>
      </w:r>
      <w:r w:rsidR="00EA06EE">
        <w:t>il destinatario di una misura penale e di prevenzione, o anche di una comunicazione antimafia, è qualificabile come “colpevol</w:t>
      </w:r>
      <w:r w:rsidR="00EA06EE" w:rsidRPr="00640E22">
        <w:t>e</w:t>
      </w:r>
      <w:r w:rsidR="00EA06EE">
        <w:t>”, quantomeno a livello indiziario, a carico del destinatario di una misura interdittiva</w:t>
      </w:r>
      <w:r w:rsidR="00EA06EE" w:rsidRPr="00640E22">
        <w:t xml:space="preserve"> </w:t>
      </w:r>
      <w:r w:rsidR="00EA06EE">
        <w:t xml:space="preserve">non è </w:t>
      </w:r>
      <w:r>
        <w:t>ravvisabile</w:t>
      </w:r>
      <w:r w:rsidR="00EA06EE">
        <w:t xml:space="preserve"> neppure un indizio di “</w:t>
      </w:r>
      <w:r w:rsidR="00EA06EE" w:rsidRPr="00640E22">
        <w:t>complicità</w:t>
      </w:r>
      <w:r w:rsidR="00EA06EE">
        <w:t>” o di “</w:t>
      </w:r>
      <w:r w:rsidR="00EA06EE" w:rsidRPr="00640E22">
        <w:t>collusione</w:t>
      </w:r>
      <w:r w:rsidR="00EA06EE">
        <w:t>”, dovendosi tecnicamente qualificare, fino a prova contraria (prova, comunque, che non è oggetto di acquisizione e valutazione nel procedimento amministrativo),</w:t>
      </w:r>
      <w:r w:rsidR="002975E7">
        <w:t xml:space="preserve"> come</w:t>
      </w:r>
      <w:r w:rsidR="00EA06EE">
        <w:t xml:space="preserve"> la “</w:t>
      </w:r>
      <w:r w:rsidR="00EA06EE" w:rsidRPr="00640E22">
        <w:t>persona offesa</w:t>
      </w:r>
      <w:r w:rsidR="00EA06EE">
        <w:t>” da una condotta criminosa altrui</w:t>
      </w:r>
      <w:r w:rsidR="002975E7">
        <w:t>,</w:t>
      </w:r>
      <w:r w:rsidR="00EA06EE">
        <w:t xml:space="preserve"> colui ai cui danni si profilano “</w:t>
      </w:r>
      <w:r w:rsidR="00EA06EE" w:rsidRPr="00640E22">
        <w:t>eventuali tentativi di infiltrazione mafiosa</w:t>
      </w:r>
      <w:r w:rsidR="00EA06EE">
        <w:t>”</w:t>
      </w:r>
      <w:r>
        <w:t>.</w:t>
      </w:r>
    </w:p>
    <w:p w:rsidR="009C68D5" w:rsidRDefault="00640E22" w:rsidP="00725D26">
      <w:pPr>
        <w:spacing w:line="360" w:lineRule="auto"/>
        <w:ind w:left="426" w:right="282"/>
        <w:jc w:val="both"/>
      </w:pPr>
      <w:r>
        <w:t>Nondimeno</w:t>
      </w:r>
      <w:r w:rsidR="00631EEA">
        <w:t>, n</w:t>
      </w:r>
      <w:r w:rsidR="00EC0638">
        <w:t>el passaggio dal</w:t>
      </w:r>
      <w:r>
        <w:t xml:space="preserve">la </w:t>
      </w:r>
      <w:r w:rsidR="00EC0638">
        <w:t>teori</w:t>
      </w:r>
      <w:r>
        <w:t>a</w:t>
      </w:r>
      <w:r w:rsidR="00EC0638">
        <w:t xml:space="preserve"> a</w:t>
      </w:r>
      <w:r>
        <w:t>i fatti</w:t>
      </w:r>
      <w:r w:rsidR="009C68D5">
        <w:t xml:space="preserve">, si </w:t>
      </w:r>
      <w:r>
        <w:t>registr</w:t>
      </w:r>
      <w:r w:rsidR="009C68D5">
        <w:t>a un</w:t>
      </w:r>
      <w:r w:rsidR="00631EEA">
        <w:t xml:space="preserve"> </w:t>
      </w:r>
      <w:r w:rsidR="00EC0638">
        <w:t>cortocircuito</w:t>
      </w:r>
      <w:r>
        <w:t>,</w:t>
      </w:r>
      <w:r w:rsidR="009C68D5">
        <w:t xml:space="preserve"> </w:t>
      </w:r>
      <w:r w:rsidR="00EC0638">
        <w:t xml:space="preserve">causato da un </w:t>
      </w:r>
      <w:r w:rsidR="00631EEA">
        <w:t xml:space="preserve">particolare </w:t>
      </w:r>
      <w:r w:rsidR="009C68D5">
        <w:t>fenomeno</w:t>
      </w:r>
      <w:r w:rsidR="00631EEA">
        <w:t>,</w:t>
      </w:r>
      <w:r w:rsidR="009C68D5">
        <w:t xml:space="preserve"> studiato dalle scienze umanistiche sotto </w:t>
      </w:r>
      <w:r w:rsidR="00AF7E65">
        <w:t>i</w:t>
      </w:r>
      <w:r w:rsidR="003B5912">
        <w:t xml:space="preserve">l nome di </w:t>
      </w:r>
      <w:r w:rsidR="009C68D5">
        <w:t>eterogenesi dei fini (</w:t>
      </w:r>
      <w:r w:rsidR="003B5912">
        <w:t>“</w:t>
      </w:r>
      <w:proofErr w:type="spellStart"/>
      <w:r w:rsidR="009C68D5">
        <w:rPr>
          <w:i/>
        </w:rPr>
        <w:t>heterogonie</w:t>
      </w:r>
      <w:proofErr w:type="spellEnd"/>
      <w:r w:rsidR="009C68D5">
        <w:rPr>
          <w:i/>
        </w:rPr>
        <w:t xml:space="preserve"> </w:t>
      </w:r>
      <w:proofErr w:type="spellStart"/>
      <w:r w:rsidR="009C68D5">
        <w:rPr>
          <w:i/>
        </w:rPr>
        <w:t>der</w:t>
      </w:r>
      <w:proofErr w:type="spellEnd"/>
      <w:r w:rsidR="009C68D5">
        <w:rPr>
          <w:i/>
        </w:rPr>
        <w:t xml:space="preserve"> </w:t>
      </w:r>
      <w:proofErr w:type="spellStart"/>
      <w:r w:rsidR="009C68D5">
        <w:rPr>
          <w:i/>
        </w:rPr>
        <w:t>zwecke</w:t>
      </w:r>
      <w:proofErr w:type="spellEnd"/>
      <w:r w:rsidR="003B5912">
        <w:t>”</w:t>
      </w:r>
      <w:r w:rsidR="009C68D5">
        <w:t>).</w:t>
      </w:r>
    </w:p>
    <w:p w:rsidR="009C68D5" w:rsidRDefault="009C68D5" w:rsidP="00725D26">
      <w:pPr>
        <w:spacing w:line="360" w:lineRule="auto"/>
        <w:ind w:left="426" w:right="282"/>
        <w:jc w:val="both"/>
      </w:pPr>
      <w:r>
        <w:t>Con quest</w:t>
      </w:r>
      <w:r w:rsidR="00EC0638">
        <w:t>’</w:t>
      </w:r>
      <w:r>
        <w:t xml:space="preserve">espressione, attribuita al filosofo Wilhelm </w:t>
      </w:r>
      <w:proofErr w:type="spellStart"/>
      <w:r>
        <w:t>Wundt</w:t>
      </w:r>
      <w:proofErr w:type="spellEnd"/>
      <w:r>
        <w:t>, ma che, secondo taluni, va fatta concettualmente risalire a Giambattista Vico, si fa riferimento alla situazione per cui, nonostante siano state dichiarate determinate finalità da raggiungere attraverso una d</w:t>
      </w:r>
      <w:r w:rsidR="00AF7E65">
        <w:t>e</w:t>
      </w:r>
      <w:r>
        <w:t>termin</w:t>
      </w:r>
      <w:r w:rsidR="00AF7E65">
        <w:t>a</w:t>
      </w:r>
      <w:r>
        <w:t>ta azione, vengono in realtà conseguiti risultati opposti, diversi o comunque ulteriori.</w:t>
      </w:r>
    </w:p>
    <w:p w:rsidR="009C68D5" w:rsidRDefault="009C68D5" w:rsidP="00725D26">
      <w:pPr>
        <w:spacing w:line="360" w:lineRule="auto"/>
        <w:ind w:left="426" w:right="282"/>
        <w:jc w:val="both"/>
      </w:pPr>
      <w:r>
        <w:t>In filosofia, si parla di “</w:t>
      </w:r>
      <w:r w:rsidRPr="00D51A77">
        <w:rPr>
          <w:i/>
        </w:rPr>
        <w:t>conseguenze non intenzionali, che derivano da azioni intenzionali</w:t>
      </w:r>
      <w:r w:rsidR="00043A7F">
        <w:t>”</w:t>
      </w:r>
      <w:r>
        <w:t xml:space="preserve"> o di “</w:t>
      </w:r>
      <w:r w:rsidRPr="00D51A77">
        <w:rPr>
          <w:i/>
        </w:rPr>
        <w:t>effetti collaterali</w:t>
      </w:r>
      <w:r>
        <w:t>”.</w:t>
      </w:r>
    </w:p>
    <w:p w:rsidR="009C68D5" w:rsidRDefault="00EC0638" w:rsidP="00725D26">
      <w:pPr>
        <w:spacing w:line="360" w:lineRule="auto"/>
        <w:ind w:left="426" w:right="282"/>
        <w:jc w:val="both"/>
      </w:pPr>
      <w:r>
        <w:t>In tema</w:t>
      </w:r>
      <w:r w:rsidR="00AF7E65">
        <w:t xml:space="preserve"> </w:t>
      </w:r>
      <w:r>
        <w:t>d’</w:t>
      </w:r>
      <w:r w:rsidR="00AF7E65">
        <w:t>interdittiv</w:t>
      </w:r>
      <w:r>
        <w:t>a</w:t>
      </w:r>
      <w:r w:rsidR="00AC0D4A">
        <w:t xml:space="preserve"> antimafia</w:t>
      </w:r>
      <w:r w:rsidR="009C68D5">
        <w:t xml:space="preserve">, l’eterogenesi dei fini </w:t>
      </w:r>
      <w:r w:rsidR="0083648C">
        <w:t>consiste</w:t>
      </w:r>
      <w:r w:rsidR="009C68D5">
        <w:t xml:space="preserve"> in una riserva mentale, </w:t>
      </w:r>
      <w:r w:rsidR="00640E22">
        <w:t>insi</w:t>
      </w:r>
      <w:r w:rsidR="009C68D5">
        <w:t>ta nella legge, negli atti amministrativi e nelle sente</w:t>
      </w:r>
      <w:r w:rsidR="00AF7E65">
        <w:t xml:space="preserve">nze, </w:t>
      </w:r>
      <w:r w:rsidR="00C033CB">
        <w:t xml:space="preserve">in forza della quale </w:t>
      </w:r>
      <w:r w:rsidR="00AF7E65">
        <w:t>i</w:t>
      </w:r>
      <w:r w:rsidR="00AC0D4A">
        <w:t>l</w:t>
      </w:r>
      <w:r w:rsidR="00AF7E65">
        <w:t xml:space="preserve"> destinatario</w:t>
      </w:r>
      <w:r w:rsidR="00AC0D4A">
        <w:t xml:space="preserve"> </w:t>
      </w:r>
      <w:r w:rsidR="00640E22">
        <w:t>è</w:t>
      </w:r>
      <w:r>
        <w:t xml:space="preserve"> </w:t>
      </w:r>
      <w:r w:rsidR="00043A7F">
        <w:t xml:space="preserve">comunque </w:t>
      </w:r>
      <w:r w:rsidR="00AC0D4A">
        <w:t xml:space="preserve">un </w:t>
      </w:r>
      <w:r w:rsidR="009C68D5">
        <w:t>soggett</w:t>
      </w:r>
      <w:r w:rsidR="00AC0D4A">
        <w:t>o</w:t>
      </w:r>
      <w:r w:rsidR="009C68D5">
        <w:t xml:space="preserve"> </w:t>
      </w:r>
      <w:proofErr w:type="spellStart"/>
      <w:r w:rsidR="009C68D5">
        <w:rPr>
          <w:i/>
        </w:rPr>
        <w:t>border</w:t>
      </w:r>
      <w:proofErr w:type="spellEnd"/>
      <w:r w:rsidR="009C68D5">
        <w:rPr>
          <w:i/>
        </w:rPr>
        <w:t xml:space="preserve"> line</w:t>
      </w:r>
      <w:r w:rsidR="009C68D5">
        <w:t xml:space="preserve">, </w:t>
      </w:r>
      <w:r w:rsidR="0083648C">
        <w:t xml:space="preserve">in qualche modo meritevole di </w:t>
      </w:r>
      <w:r w:rsidR="00C033CB">
        <w:t>un</w:t>
      </w:r>
      <w:r w:rsidR="00640E22">
        <w:t xml:space="preserve"> </w:t>
      </w:r>
      <w:r w:rsidR="00C033CB" w:rsidRPr="00C033CB">
        <w:rPr>
          <w:i/>
        </w:rPr>
        <w:t>quid</w:t>
      </w:r>
      <w:r w:rsidR="00C033CB">
        <w:t xml:space="preserve"> di afflizione</w:t>
      </w:r>
      <w:r w:rsidR="009C68D5">
        <w:t>.</w:t>
      </w:r>
    </w:p>
    <w:p w:rsidR="009C68D5" w:rsidRDefault="009C68D5" w:rsidP="00725D26">
      <w:pPr>
        <w:spacing w:line="360" w:lineRule="auto"/>
        <w:ind w:left="426" w:right="282"/>
        <w:jc w:val="both"/>
      </w:pPr>
      <w:r>
        <w:t>L’eterogenesi dei fini si realizza su un duplice piano, normativo e pratico.</w:t>
      </w:r>
    </w:p>
    <w:p w:rsidR="009C68D5" w:rsidRDefault="009C68D5" w:rsidP="00725D26">
      <w:pPr>
        <w:spacing w:line="360" w:lineRule="auto"/>
        <w:ind w:left="426" w:right="282"/>
        <w:jc w:val="both"/>
      </w:pPr>
      <w:r>
        <w:t xml:space="preserve">Sul piano normativo, </w:t>
      </w:r>
      <w:r w:rsidR="00023991">
        <w:t xml:space="preserve">essa </w:t>
      </w:r>
      <w:r w:rsidR="00E901A2">
        <w:t xml:space="preserve">si disvela </w:t>
      </w:r>
      <w:r w:rsidR="00023991">
        <w:t xml:space="preserve">nella circostanza per cui </w:t>
      </w:r>
      <w:r>
        <w:t xml:space="preserve">le conseguenze </w:t>
      </w:r>
      <w:r w:rsidR="00AC0D4A">
        <w:t>sfavorevoli</w:t>
      </w:r>
      <w:r>
        <w:t xml:space="preserve"> dell’interdittiva s</w:t>
      </w:r>
      <w:r w:rsidR="00023991">
        <w:t>o</w:t>
      </w:r>
      <w:r>
        <w:t>no ben più gravi di quelle di almeno due misure di prevenzione: l’amministrazione ed il controllo giudiziario, di cui agli artt. 34 e 34 bis del d.lgs. n. 159/2011.</w:t>
      </w:r>
    </w:p>
    <w:p w:rsidR="009C68D5" w:rsidRDefault="009C68D5" w:rsidP="00AC0D4A">
      <w:pPr>
        <w:spacing w:line="360" w:lineRule="auto"/>
        <w:ind w:left="426" w:right="282"/>
        <w:jc w:val="both"/>
      </w:pPr>
      <w:r>
        <w:t xml:space="preserve">Mentre, infatti, all’interdetto </w:t>
      </w:r>
      <w:r w:rsidR="00AC0D4A">
        <w:t>–</w:t>
      </w:r>
      <w:r>
        <w:t xml:space="preserve"> la cui attività </w:t>
      </w:r>
      <w:r w:rsidR="00023991">
        <w:t>è</w:t>
      </w:r>
      <w:r>
        <w:t xml:space="preserve"> oggetto di tent</w:t>
      </w:r>
      <w:r w:rsidR="00AC0D4A">
        <w:t>ativi di infiltrazione mafiosa –</w:t>
      </w:r>
      <w:r>
        <w:t xml:space="preserve"> </w:t>
      </w:r>
      <w:r w:rsidR="00631EEA">
        <w:t>sono</w:t>
      </w:r>
      <w:r>
        <w:t xml:space="preserve"> preclusi</w:t>
      </w:r>
      <w:r w:rsidR="00631EEA">
        <w:t xml:space="preserve"> i</w:t>
      </w:r>
      <w:r>
        <w:t xml:space="preserve"> rapport</w:t>
      </w:r>
      <w:r w:rsidR="00631EEA">
        <w:t>i</w:t>
      </w:r>
      <w:r>
        <w:t xml:space="preserve"> con la P.A. ed ogni altra iniziativa economica comunque conseguente ad un’iscrizione, ad una dichiarazione o ad un silenzio-assenso, paradossalmente, al prevenuto </w:t>
      </w:r>
      <w:r w:rsidR="00AC0D4A">
        <w:t>–</w:t>
      </w:r>
      <w:r>
        <w:t xml:space="preserve"> che </w:t>
      </w:r>
      <w:r w:rsidR="00023991">
        <w:t>è</w:t>
      </w:r>
      <w:r>
        <w:t xml:space="preserve"> titolare di un compendio aziendale idoneo ad agevolare attività mafiose </w:t>
      </w:r>
      <w:r w:rsidR="00AC0D4A">
        <w:t>–</w:t>
      </w:r>
      <w:r>
        <w:t xml:space="preserve"> è consentita la prosecuzione assistita dell’attività, anche nei confronti della P.A.</w:t>
      </w:r>
    </w:p>
    <w:p w:rsidR="009C68D5" w:rsidRDefault="009C68D5" w:rsidP="00725D26">
      <w:pPr>
        <w:spacing w:line="360" w:lineRule="auto"/>
        <w:ind w:left="426" w:right="282"/>
        <w:jc w:val="both"/>
      </w:pPr>
      <w:r>
        <w:t>Addirittura, il legislatore, all’art. 34 bis, commi 6 e 7, d.lgs. n. 159/2011, prevede che gli effetti dell’interdittiva prefettizia siano sospesi con l’applicazione, su richiesta dell’interessato, della misura di prevenzione del controllo giudiziario.</w:t>
      </w:r>
    </w:p>
    <w:p w:rsidR="009C68D5" w:rsidRDefault="009C68D5" w:rsidP="00725D26">
      <w:pPr>
        <w:spacing w:line="360" w:lineRule="auto"/>
        <w:ind w:left="426" w:right="282"/>
        <w:jc w:val="both"/>
      </w:pPr>
      <w:r>
        <w:t xml:space="preserve">In altre parole, </w:t>
      </w:r>
      <w:r w:rsidR="00023991">
        <w:t>per scongiurare l’impatto rovinoso</w:t>
      </w:r>
      <w:r w:rsidR="00023991" w:rsidRPr="00023991">
        <w:t xml:space="preserve"> </w:t>
      </w:r>
      <w:r w:rsidR="00023991">
        <w:t xml:space="preserve">di una misura amministrativa, </w:t>
      </w:r>
      <w:r>
        <w:t xml:space="preserve">il soggetto inciso </w:t>
      </w:r>
      <w:r w:rsidR="00631EEA">
        <w:t>è costretto a</w:t>
      </w:r>
      <w:r>
        <w:t xml:space="preserve"> chiedere (ed </w:t>
      </w:r>
      <w:r w:rsidR="00631EEA">
        <w:t xml:space="preserve">ad </w:t>
      </w:r>
      <w:r>
        <w:t xml:space="preserve">augurarsi) che gli venga applicata una misura </w:t>
      </w:r>
      <w:r w:rsidR="00023991">
        <w:t xml:space="preserve">penale </w:t>
      </w:r>
      <w:r w:rsidR="00631EEA">
        <w:t>di prevenzione</w:t>
      </w:r>
      <w:r w:rsidR="00023991">
        <w:t>,</w:t>
      </w:r>
      <w:r>
        <w:t xml:space="preserve"> </w:t>
      </w:r>
      <w:r w:rsidR="00023991">
        <w:t>pur in assenza di indizi di reità e di pericolosità sociale</w:t>
      </w:r>
      <w:r>
        <w:t>,</w:t>
      </w:r>
      <w:r w:rsidR="00631EEA">
        <w:t xml:space="preserve"> perché</w:t>
      </w:r>
      <w:r>
        <w:t xml:space="preserve"> </w:t>
      </w:r>
      <w:r w:rsidR="00631EEA">
        <w:t>gl</w:t>
      </w:r>
      <w:r>
        <w:t xml:space="preserve">i effetti pregiudizievoli </w:t>
      </w:r>
      <w:r w:rsidR="00631EEA">
        <w:t>d</w:t>
      </w:r>
      <w:r w:rsidR="00023991">
        <w:t xml:space="preserve">ella seconda </w:t>
      </w:r>
      <w:r>
        <w:t>sono sensibilmente più miti</w:t>
      </w:r>
      <w:r w:rsidR="00631EEA">
        <w:t xml:space="preserve"> di quelli della prima</w:t>
      </w:r>
      <w:r>
        <w:t>.</w:t>
      </w:r>
    </w:p>
    <w:p w:rsidR="00631EEA" w:rsidRDefault="00E901A2" w:rsidP="00725D26">
      <w:pPr>
        <w:spacing w:line="360" w:lineRule="auto"/>
        <w:ind w:left="426" w:right="282"/>
        <w:jc w:val="both"/>
      </w:pPr>
      <w:r>
        <w:t>Su</w:t>
      </w:r>
      <w:r w:rsidR="00631EEA">
        <w:t>l</w:t>
      </w:r>
      <w:r w:rsidR="009C68D5">
        <w:t xml:space="preserve"> piano pratico, l’eterogenesi dei fini si coglie nel fatto che gli atti e le sentenze </w:t>
      </w:r>
      <w:r>
        <w:t>in tema</w:t>
      </w:r>
      <w:r w:rsidR="009C68D5">
        <w:t xml:space="preserve"> di interdittiv</w:t>
      </w:r>
      <w:r w:rsidR="0037730B">
        <w:t>a</w:t>
      </w:r>
      <w:r w:rsidR="009C68D5">
        <w:t xml:space="preserve">, mentre si dilungano sulle condotte tenute dal soggetto inciso, non spendono quasi mai una parola sul come e perché tali </w:t>
      </w:r>
      <w:r w:rsidR="00150E8B">
        <w:t>elemen</w:t>
      </w:r>
      <w:r w:rsidR="009C68D5">
        <w:t>ti siano espressivi di un tentativo di infiltrazione mafiosa, ossia dell’intenzione di un’associazione criminale di appropriarsi dell’impresa</w:t>
      </w:r>
      <w:r w:rsidR="00631EEA">
        <w:t>: i</w:t>
      </w:r>
      <w:r w:rsidR="009C68D5">
        <w:t>l tentativo resta</w:t>
      </w:r>
      <w:r w:rsidR="00631EEA">
        <w:t xml:space="preserve"> </w:t>
      </w:r>
      <w:r>
        <w:t xml:space="preserve">sempre </w:t>
      </w:r>
      <w:r w:rsidR="009C68D5">
        <w:t>sullo sfondo</w:t>
      </w:r>
      <w:r w:rsidR="00631EEA">
        <w:t>.</w:t>
      </w:r>
    </w:p>
    <w:p w:rsidR="00E901A2" w:rsidRDefault="00841F6C" w:rsidP="00E901A2">
      <w:pPr>
        <w:spacing w:line="360" w:lineRule="auto"/>
        <w:ind w:left="426" w:right="282"/>
        <w:jc w:val="both"/>
      </w:pPr>
      <w:r>
        <w:t>Né</w:t>
      </w:r>
      <w:r w:rsidR="00E901A2">
        <w:t xml:space="preserve"> – a dispetto del supposto carattere anticipatorio di una futura azione repressiva –</w:t>
      </w:r>
      <w:r>
        <w:t xml:space="preserve"> accade frequentemente che, </w:t>
      </w:r>
      <w:r>
        <w:rPr>
          <w:i/>
        </w:rPr>
        <w:t>a valle</w:t>
      </w:r>
      <w:r>
        <w:t xml:space="preserve"> di un’interdittiva, si aprano procedimenti penali o di prevenzione.</w:t>
      </w:r>
    </w:p>
    <w:p w:rsidR="00841F6C" w:rsidRDefault="00841F6C" w:rsidP="00E901A2">
      <w:pPr>
        <w:spacing w:line="360" w:lineRule="auto"/>
        <w:ind w:left="426" w:right="282"/>
        <w:jc w:val="both"/>
      </w:pPr>
      <w:r>
        <w:t xml:space="preserve">Anzi, </w:t>
      </w:r>
      <w:r w:rsidR="00E901A2">
        <w:t>generalmente</w:t>
      </w:r>
      <w:r>
        <w:t xml:space="preserve">, è l’interdittiva ad essere applicata </w:t>
      </w:r>
      <w:r>
        <w:rPr>
          <w:i/>
        </w:rPr>
        <w:t>a valle</w:t>
      </w:r>
      <w:r>
        <w:t xml:space="preserve"> di un’inchiesta penale</w:t>
      </w:r>
      <w:r w:rsidR="00F97F4D">
        <w:t>,</w:t>
      </w:r>
      <w:r>
        <w:t xml:space="preserve"> ed a carico di quei soggetti, pur coinvolti nelle indagini, </w:t>
      </w:r>
      <w:r w:rsidR="00E901A2">
        <w:t>nei cui confronti non sono stati acquisiti elementi utili per</w:t>
      </w:r>
      <w:r>
        <w:t xml:space="preserve"> eme</w:t>
      </w:r>
      <w:r w:rsidR="00E901A2">
        <w:t>tter</w:t>
      </w:r>
      <w:r>
        <w:t xml:space="preserve">e misure </w:t>
      </w:r>
      <w:r w:rsidR="00E901A2">
        <w:t xml:space="preserve">cautelari </w:t>
      </w:r>
      <w:r>
        <w:t>penali</w:t>
      </w:r>
      <w:r w:rsidR="00F97F4D">
        <w:t>, coercitive o reali,</w:t>
      </w:r>
      <w:r>
        <w:t xml:space="preserve"> o </w:t>
      </w:r>
      <w:r w:rsidR="00E901A2">
        <w:t xml:space="preserve">misure </w:t>
      </w:r>
      <w:r w:rsidR="00F97F4D">
        <w:t xml:space="preserve">di </w:t>
      </w:r>
      <w:r>
        <w:t>preven</w:t>
      </w:r>
      <w:r w:rsidR="00F97F4D">
        <w:t>zione</w:t>
      </w:r>
      <w:r>
        <w:t>.</w:t>
      </w:r>
    </w:p>
    <w:p w:rsidR="00D51A77" w:rsidRDefault="00690996" w:rsidP="00D51A77">
      <w:pPr>
        <w:spacing w:line="360" w:lineRule="auto"/>
        <w:ind w:left="426" w:right="282"/>
        <w:jc w:val="both"/>
      </w:pPr>
      <w:r>
        <w:t>Normalmente,</w:t>
      </w:r>
      <w:r w:rsidR="00841F6C">
        <w:t xml:space="preserve"> </w:t>
      </w:r>
      <w:r w:rsidR="00D51A77">
        <w:t>gli atti amministrativi e giudiziari</w:t>
      </w:r>
      <w:r w:rsidR="00841F6C">
        <w:t xml:space="preserve"> </w:t>
      </w:r>
      <w:r>
        <w:t>si fermano a richiamare</w:t>
      </w:r>
      <w:r w:rsidR="00841F6C">
        <w:t xml:space="preserve">, </w:t>
      </w:r>
      <w:r w:rsidR="00E901A2">
        <w:t>i</w:t>
      </w:r>
      <w:r w:rsidR="00841F6C">
        <w:t>n</w:t>
      </w:r>
      <w:r w:rsidR="00E901A2">
        <w:t xml:space="preserve"> </w:t>
      </w:r>
      <w:r w:rsidR="00841F6C">
        <w:t>premess</w:t>
      </w:r>
      <w:r w:rsidR="00E901A2">
        <w:t>a</w:t>
      </w:r>
      <w:r w:rsidR="00841F6C">
        <w:t>, il fenomeno sociologico del</w:t>
      </w:r>
      <w:r w:rsidR="00D51A77">
        <w:t>l</w:t>
      </w:r>
      <w:r>
        <w:t>e</w:t>
      </w:r>
      <w:r w:rsidR="00D51A77">
        <w:t xml:space="preserve"> “</w:t>
      </w:r>
      <w:r w:rsidR="00D51A77" w:rsidRPr="00D51A77">
        <w:rPr>
          <w:i/>
        </w:rPr>
        <w:t>aree opache</w:t>
      </w:r>
      <w:r w:rsidR="00D51A77">
        <w:rPr>
          <w:i/>
        </w:rPr>
        <w:t>,</w:t>
      </w:r>
      <w:r w:rsidR="00D51A77" w:rsidRPr="00D51A77">
        <w:rPr>
          <w:i/>
        </w:rPr>
        <w:t xml:space="preserve"> nelle quali notoriamente i proventi di attività illecite vengono reinvestiti in imprese formalmente estranee (perché intestate a prestanome </w:t>
      </w:r>
      <w:r w:rsidR="00D51A77" w:rsidRPr="00D51A77">
        <w:t>puliti</w:t>
      </w:r>
      <w:r w:rsidR="00D51A77" w:rsidRPr="00D51A77">
        <w:rPr>
          <w:i/>
        </w:rPr>
        <w:t>) e dispersi in una miriade di società collegate da vincoli di vario tipo con l’organizzazione criminale</w:t>
      </w:r>
      <w:r w:rsidR="000C48F9">
        <w:t>”</w:t>
      </w:r>
      <w:r w:rsidR="000C48F9">
        <w:rPr>
          <w:rStyle w:val="Rimandonotaapidipagina"/>
        </w:rPr>
        <w:footnoteReference w:id="3"/>
      </w:r>
      <w:r w:rsidR="00D51A77">
        <w:t>.</w:t>
      </w:r>
    </w:p>
    <w:p w:rsidR="00D51A77" w:rsidRDefault="00E52888" w:rsidP="00D51A77">
      <w:pPr>
        <w:spacing w:line="360" w:lineRule="auto"/>
        <w:ind w:left="426" w:right="282"/>
        <w:jc w:val="both"/>
      </w:pPr>
      <w:r>
        <w:t>T</w:t>
      </w:r>
      <w:r w:rsidR="00D51A77">
        <w:t xml:space="preserve">uttavia, </w:t>
      </w:r>
      <w:r>
        <w:t xml:space="preserve">questa </w:t>
      </w:r>
      <w:r w:rsidR="00841F6C">
        <w:t>categoria</w:t>
      </w:r>
      <w:r>
        <w:t xml:space="preserve">, che può attagliarsi alle ipotesi in cui, ad esempio, </w:t>
      </w:r>
      <w:r w:rsidR="00D51A77">
        <w:t>il cui socio di comando o</w:t>
      </w:r>
      <w:r>
        <w:t xml:space="preserve"> l’</w:t>
      </w:r>
      <w:r w:rsidR="00D51A77">
        <w:t>amministratore sia</w:t>
      </w:r>
      <w:r>
        <w:t>no</w:t>
      </w:r>
      <w:r w:rsidR="00D51A77">
        <w:t xml:space="preserve"> personalmente coinvolt</w:t>
      </w:r>
      <w:r>
        <w:t>i</w:t>
      </w:r>
      <w:r w:rsidR="00D51A77">
        <w:t xml:space="preserve"> in episodi poco limpidi</w:t>
      </w:r>
      <w:r>
        <w:t>, diventa più sfuggevole</w:t>
      </w:r>
      <w:r w:rsidR="00841F6C">
        <w:t xml:space="preserve"> in tante altre</w:t>
      </w:r>
      <w:r w:rsidR="00E901A2">
        <w:t xml:space="preserve"> fattispecie</w:t>
      </w:r>
      <w:r>
        <w:t xml:space="preserve">, </w:t>
      </w:r>
      <w:r w:rsidR="00E901A2">
        <w:t>quali</w:t>
      </w:r>
      <w:r w:rsidR="00841F6C">
        <w:t xml:space="preserve">, </w:t>
      </w:r>
      <w:r>
        <w:t>ad esempio, le informative a catena, dove</w:t>
      </w:r>
      <w:r w:rsidR="00D51A77">
        <w:t xml:space="preserve"> </w:t>
      </w:r>
      <w:r>
        <w:t>le criticità d</w:t>
      </w:r>
      <w:r w:rsidR="00E901A2">
        <w:t>i un</w:t>
      </w:r>
      <w:r>
        <w:t>’impresa collegata o subappaltatrice sono automaticamente estese ad un’altra impresa.</w:t>
      </w:r>
    </w:p>
    <w:p w:rsidR="009C68D5" w:rsidRDefault="009C68D5" w:rsidP="00725D26">
      <w:pPr>
        <w:spacing w:line="360" w:lineRule="auto"/>
        <w:ind w:left="426" w:right="282"/>
        <w:jc w:val="both"/>
      </w:pPr>
      <w:r>
        <w:t>Bisogna allora chiedersi se, e fino a che punto, questo sistema p</w:t>
      </w:r>
      <w:r w:rsidR="00E901A2">
        <w:t>ossa</w:t>
      </w:r>
      <w:r>
        <w:t xml:space="preserve"> reggere ad un più penetrante vaglio di coerenza con la conv</w:t>
      </w:r>
      <w:r w:rsidR="00841F6C">
        <w:t>enzione</w:t>
      </w:r>
      <w:r>
        <w:t xml:space="preserve"> EDU.</w:t>
      </w:r>
    </w:p>
    <w:p w:rsidR="009C68D5" w:rsidRDefault="00631EEA" w:rsidP="00725D26">
      <w:pPr>
        <w:spacing w:line="360" w:lineRule="auto"/>
        <w:ind w:left="426" w:right="282"/>
        <w:jc w:val="both"/>
      </w:pPr>
      <w:r>
        <w:t>S</w:t>
      </w:r>
      <w:r w:rsidR="009C68D5">
        <w:t>inora, la compatibilità assiomatica</w:t>
      </w:r>
      <w:r w:rsidR="00841F6C">
        <w:t xml:space="preserve"> dell’interdittiv</w:t>
      </w:r>
      <w:r w:rsidR="009C68D5">
        <w:t>a è stata affrontata</w:t>
      </w:r>
      <w:r w:rsidR="00F97F4D">
        <w:t>,</w:t>
      </w:r>
      <w:r w:rsidR="009C68D5">
        <w:t xml:space="preserve"> </w:t>
      </w:r>
      <w:r w:rsidR="00150E8B">
        <w:t>dalla giurisprudenza</w:t>
      </w:r>
      <w:r w:rsidR="00F97F4D">
        <w:t>,</w:t>
      </w:r>
      <w:r w:rsidR="00150E8B">
        <w:t xml:space="preserve"> </w:t>
      </w:r>
      <w:r w:rsidR="00841F6C">
        <w:t>alla stregua</w:t>
      </w:r>
      <w:r w:rsidR="00150E8B">
        <w:t xml:space="preserve"> </w:t>
      </w:r>
      <w:r w:rsidR="00841F6C">
        <w:t xml:space="preserve">di una comune </w:t>
      </w:r>
      <w:r w:rsidR="009C68D5">
        <w:t>misur</w:t>
      </w:r>
      <w:r w:rsidR="00841F6C">
        <w:t>a</w:t>
      </w:r>
      <w:r w:rsidR="009C68D5">
        <w:t xml:space="preserve"> di tipo conformativo, </w:t>
      </w:r>
      <w:r>
        <w:t>funziona</w:t>
      </w:r>
      <w:r w:rsidR="00841F6C">
        <w:t>le</w:t>
      </w:r>
      <w:r>
        <w:t xml:space="preserve">, </w:t>
      </w:r>
      <w:r w:rsidR="00150E8B">
        <w:t>cioè</w:t>
      </w:r>
      <w:r>
        <w:t>,</w:t>
      </w:r>
      <w:r w:rsidR="00150E8B">
        <w:t xml:space="preserve"> </w:t>
      </w:r>
      <w:r w:rsidR="009C68D5">
        <w:t xml:space="preserve">a disciplinare l’uso di </w:t>
      </w:r>
      <w:r w:rsidR="00150E8B">
        <w:t xml:space="preserve">un </w:t>
      </w:r>
      <w:r w:rsidR="009C68D5">
        <w:t>ben</w:t>
      </w:r>
      <w:r w:rsidR="00150E8B">
        <w:t>e</w:t>
      </w:r>
      <w:r w:rsidR="009C68D5">
        <w:t xml:space="preserve"> in modo conforme all’interesse generale.</w:t>
      </w:r>
    </w:p>
    <w:p w:rsidR="009C68D5" w:rsidRDefault="009C68D5" w:rsidP="00725D26">
      <w:pPr>
        <w:spacing w:line="360" w:lineRule="auto"/>
        <w:ind w:left="426" w:right="282"/>
        <w:jc w:val="both"/>
      </w:pPr>
      <w:r>
        <w:t>Se ne è quindi individuata la copertura pattizia nell’art. 1, comma 2,</w:t>
      </w:r>
      <w:r w:rsidR="00841F6C">
        <w:t xml:space="preserve"> della</w:t>
      </w:r>
      <w:r>
        <w:t xml:space="preserve"> conv</w:t>
      </w:r>
      <w:r w:rsidR="00841F6C">
        <w:t>enzione</w:t>
      </w:r>
      <w:r>
        <w:t xml:space="preserve"> EDU (“protezione della proprietà”), il quale prevede che “</w:t>
      </w:r>
      <w:r w:rsidRPr="0083648C">
        <w:rPr>
          <w:i/>
        </w:rPr>
        <w:t>le disposizioni precedenti non portano pregiudizio al diritto degli Stati di porre in vigore le leggi da essi ritenute necessarie per disciplinare l’uso dei beni in modo conforme all’interesse generale</w:t>
      </w:r>
      <w:r>
        <w:t>”.</w:t>
      </w:r>
      <w:r w:rsidR="00265741">
        <w:t xml:space="preserve"> </w:t>
      </w:r>
      <w:r>
        <w:t xml:space="preserve">Di conseguenza, si è affermato che, attraverso queste misure, la legge nazionale pone </w:t>
      </w:r>
      <w:r w:rsidR="00150E8B">
        <w:t>legittime</w:t>
      </w:r>
      <w:r>
        <w:t xml:space="preserve"> restrizioni ai diritti dei singoli, per scopi determinati e di interesse pubblico generale</w:t>
      </w:r>
      <w:r w:rsidR="000C48F9">
        <w:rPr>
          <w:rStyle w:val="Rimandonotaapidipagina"/>
        </w:rPr>
        <w:footnoteReference w:id="4"/>
      </w:r>
      <w:r>
        <w:t>.</w:t>
      </w:r>
    </w:p>
    <w:p w:rsidR="009C68D5" w:rsidRDefault="009C68D5" w:rsidP="00094F8D">
      <w:pPr>
        <w:spacing w:line="360" w:lineRule="auto"/>
        <w:ind w:left="426" w:right="282"/>
        <w:jc w:val="both"/>
      </w:pPr>
      <w:r>
        <w:t>Si è poi aggiunto che</w:t>
      </w:r>
      <w:r w:rsidR="00841F6C">
        <w:t xml:space="preserve"> </w:t>
      </w:r>
      <w:r w:rsidR="005C2C68">
        <w:t>i</w:t>
      </w:r>
      <w:r w:rsidR="00841F6C">
        <w:t>l</w:t>
      </w:r>
      <w:r w:rsidR="005C2C68">
        <w:t xml:space="preserve"> fatto che l</w:t>
      </w:r>
      <w:r w:rsidR="00841F6C">
        <w:t xml:space="preserve">a misura </w:t>
      </w:r>
      <w:r w:rsidR="005C2C68">
        <w:t xml:space="preserve">debba </w:t>
      </w:r>
      <w:r w:rsidR="00841F6C">
        <w:t>prescind</w:t>
      </w:r>
      <w:r w:rsidR="005C2C68">
        <w:t>ere</w:t>
      </w:r>
      <w:r w:rsidR="00841F6C">
        <w:t xml:space="preserve"> dall’accertamento di</w:t>
      </w:r>
      <w:r w:rsidR="005C2C68">
        <w:t xml:space="preserve"> una</w:t>
      </w:r>
      <w:r w:rsidR="00841F6C">
        <w:t xml:space="preserve"> responsabilità</w:t>
      </w:r>
      <w:r w:rsidR="005C2C68">
        <w:t>,</w:t>
      </w:r>
      <w:r w:rsidR="00841F6C">
        <w:t xml:space="preserve"> anche solo indiziari</w:t>
      </w:r>
      <w:r w:rsidR="005C2C68">
        <w:t>a</w:t>
      </w:r>
      <w:r w:rsidR="00841F6C">
        <w:t xml:space="preserve">, </w:t>
      </w:r>
      <w:r w:rsidR="005C2C68">
        <w:t xml:space="preserve">dipende dal fatto che </w:t>
      </w:r>
      <w:r>
        <w:t>i</w:t>
      </w:r>
      <w:r w:rsidR="00841F6C">
        <w:t xml:space="preserve"> suoi</w:t>
      </w:r>
      <w:r>
        <w:t xml:space="preserve"> effetti pregiudizievoli hanno </w:t>
      </w:r>
      <w:r w:rsidR="00841F6C">
        <w:t xml:space="preserve">una </w:t>
      </w:r>
      <w:r>
        <w:t xml:space="preserve">connotazione </w:t>
      </w:r>
      <w:r w:rsidR="00150E8B">
        <w:t>non sanzionatoria, ma anticipatoria della soglia di difesa sociale, volta ad assicurare una tutela avanzata nel campo del contrasto alle attività della criminalità organizzata</w:t>
      </w:r>
      <w:r w:rsidR="000C48F9">
        <w:rPr>
          <w:rStyle w:val="Rimandonotaapidipagina"/>
        </w:rPr>
        <w:footnoteReference w:id="5"/>
      </w:r>
      <w:r>
        <w:t>.</w:t>
      </w:r>
    </w:p>
    <w:p w:rsidR="009C68D5" w:rsidRDefault="005C2C68" w:rsidP="00725D26">
      <w:pPr>
        <w:spacing w:line="360" w:lineRule="auto"/>
        <w:ind w:left="426" w:right="282"/>
        <w:jc w:val="both"/>
      </w:pPr>
      <w:r>
        <w:t>A</w:t>
      </w:r>
      <w:r w:rsidR="009C68D5">
        <w:t xml:space="preserve">ppare </w:t>
      </w:r>
      <w:r w:rsidR="003F7EB1">
        <w:t xml:space="preserve">però </w:t>
      </w:r>
      <w:r w:rsidR="009C68D5">
        <w:t xml:space="preserve">evidente come una siffatta ricostruzione è destinata a rimanere valida, fintantoché la misura concretamente applicata possa </w:t>
      </w:r>
      <w:r>
        <w:t xml:space="preserve">davvero </w:t>
      </w:r>
      <w:r w:rsidR="009C68D5">
        <w:t>qualificarsi come una (mera) limitazione conformativa del diritto di impresa</w:t>
      </w:r>
      <w:r w:rsidR="003F7EB1">
        <w:t>,</w:t>
      </w:r>
      <w:r w:rsidR="009C68D5">
        <w:t xml:space="preserve"> e non come l’equivalente di una sanzione penale.</w:t>
      </w:r>
    </w:p>
    <w:p w:rsidR="009C68D5" w:rsidRDefault="009C68D5" w:rsidP="00725D26">
      <w:pPr>
        <w:spacing w:line="360" w:lineRule="auto"/>
        <w:ind w:left="426" w:right="282"/>
        <w:jc w:val="both"/>
      </w:pPr>
      <w:r>
        <w:t>Se, in</w:t>
      </w:r>
      <w:r w:rsidR="005C2C68">
        <w:t>fatti</w:t>
      </w:r>
      <w:r>
        <w:t xml:space="preserve">, la misura fosse considerata “sostanzialmente penale”, scatterebbero le garanzie di cui agli artt. 6 e 7 </w:t>
      </w:r>
      <w:r w:rsidR="00841F6C">
        <w:t xml:space="preserve">della convenzione </w:t>
      </w:r>
      <w:r>
        <w:t>EDU (tassatività, irretroattività, equo processo).</w:t>
      </w:r>
    </w:p>
    <w:p w:rsidR="009C68D5" w:rsidRDefault="005C2C68" w:rsidP="00725D26">
      <w:pPr>
        <w:spacing w:line="360" w:lineRule="auto"/>
        <w:ind w:left="426" w:right="282"/>
        <w:jc w:val="both"/>
      </w:pPr>
      <w:r>
        <w:t>E</w:t>
      </w:r>
      <w:r w:rsidR="00F97F4D">
        <w:t>’</w:t>
      </w:r>
      <w:r>
        <w:t xml:space="preserve"> noto che l</w:t>
      </w:r>
      <w:r w:rsidR="0068143B">
        <w:t>a CEDU</w:t>
      </w:r>
      <w:r w:rsidR="00265741">
        <w:t xml:space="preserve"> considera </w:t>
      </w:r>
      <w:r w:rsidR="009C68D5">
        <w:t xml:space="preserve">“sostanzialmente penali” </w:t>
      </w:r>
      <w:r w:rsidR="00433682">
        <w:t xml:space="preserve">non solo le misure </w:t>
      </w:r>
      <w:r w:rsidR="003C2114">
        <w:t xml:space="preserve">amministrative </w:t>
      </w:r>
      <w:r w:rsidR="00433682">
        <w:t xml:space="preserve">che costituiscono reazione alla commissione di un illecito e </w:t>
      </w:r>
      <w:r w:rsidR="003C2114">
        <w:t xml:space="preserve">che </w:t>
      </w:r>
      <w:r w:rsidR="00433682">
        <w:t>sono connotate da un certo grado di severità, m</w:t>
      </w:r>
      <w:r w:rsidR="009C68D5">
        <w:t>a</w:t>
      </w:r>
      <w:r w:rsidR="00433682">
        <w:t xml:space="preserve"> pure</w:t>
      </w:r>
      <w:r w:rsidR="009C68D5">
        <w:t xml:space="preserve"> i provvedimenti in cui</w:t>
      </w:r>
      <w:r w:rsidR="00433682">
        <w:t>,</w:t>
      </w:r>
      <w:r w:rsidR="009C68D5">
        <w:t xml:space="preserve"> </w:t>
      </w:r>
      <w:r w:rsidR="00433682">
        <w:t>al</w:t>
      </w:r>
      <w:r w:rsidR="009C68D5">
        <w:t>la componente di cura in concreto dell’interesse pubblico</w:t>
      </w:r>
      <w:r w:rsidR="00433682">
        <w:t>,</w:t>
      </w:r>
      <w:r w:rsidR="009C68D5">
        <w:t xml:space="preserve"> si affianca</w:t>
      </w:r>
      <w:r w:rsidR="00433682">
        <w:t>no</w:t>
      </w:r>
      <w:r w:rsidR="009C68D5">
        <w:t xml:space="preserve"> </w:t>
      </w:r>
      <w:r w:rsidR="00433682">
        <w:t>conseguenze</w:t>
      </w:r>
      <w:r w:rsidR="009C68D5">
        <w:t xml:space="preserve"> </w:t>
      </w:r>
      <w:r w:rsidR="00433682">
        <w:t xml:space="preserve">di carattere </w:t>
      </w:r>
      <w:r w:rsidR="009C68D5">
        <w:t>punitiv</w:t>
      </w:r>
      <w:r w:rsidR="00433682">
        <w:t>o</w:t>
      </w:r>
      <w:r w:rsidR="009C68D5">
        <w:t xml:space="preserve">, anche </w:t>
      </w:r>
      <w:r w:rsidR="003C2114">
        <w:t>s</w:t>
      </w:r>
      <w:r w:rsidR="009C68D5">
        <w:t>e di tipo interdittivo o con finalità ripristinatori</w:t>
      </w:r>
      <w:r w:rsidR="003C2114">
        <w:t>a</w:t>
      </w:r>
      <w:r w:rsidR="009C68D5">
        <w:t>-real</w:t>
      </w:r>
      <w:r w:rsidR="003C2114">
        <w:t>e</w:t>
      </w:r>
      <w:r w:rsidR="009C68D5">
        <w:t>.</w:t>
      </w:r>
    </w:p>
    <w:p w:rsidR="009C68D5" w:rsidRDefault="009C68D5" w:rsidP="00725D26">
      <w:pPr>
        <w:spacing w:line="360" w:lineRule="auto"/>
        <w:ind w:left="426" w:right="282"/>
        <w:jc w:val="both"/>
      </w:pPr>
      <w:r>
        <w:t xml:space="preserve">Si pensi, ad es., al caso </w:t>
      </w:r>
      <w:r>
        <w:rPr>
          <w:i/>
        </w:rPr>
        <w:t>Sud Fondi c. Italia</w:t>
      </w:r>
      <w:r>
        <w:t xml:space="preserve">, nel quale è stata riconosciuta la natura </w:t>
      </w:r>
      <w:r w:rsidR="003C2114">
        <w:t xml:space="preserve">sostanzialmente </w:t>
      </w:r>
      <w:r>
        <w:t>penale dei provvedimenti di confisca di beni abusivamente lottizzati, facendosi leva sulla natura prevalentemente punitiva della misura (che colpi</w:t>
      </w:r>
      <w:r w:rsidR="00043A7F">
        <w:t>sce</w:t>
      </w:r>
      <w:r>
        <w:t xml:space="preserve"> per l’85% terreni non edificati rispetto ai quali, dunque, non poteva configurarsi un danno al paesaggio) e sulla gravità della stessa (dal momento che coinvol</w:t>
      </w:r>
      <w:r w:rsidR="00043A7F">
        <w:t>ge</w:t>
      </w:r>
      <w:r>
        <w:t xml:space="preserve"> tutti i terreni inclusi nel piano di lottizzazione, per una superficie di circa 50.000 mq</w:t>
      </w:r>
      <w:r w:rsidR="00F97F4D">
        <w:t>.</w:t>
      </w:r>
      <w:r>
        <w:t>)</w:t>
      </w:r>
      <w:r w:rsidR="000C48F9">
        <w:rPr>
          <w:rStyle w:val="Rimandonotaapidipagina"/>
        </w:rPr>
        <w:footnoteReference w:id="6"/>
      </w:r>
      <w:r>
        <w:t>.</w:t>
      </w:r>
    </w:p>
    <w:p w:rsidR="00150E8B" w:rsidRDefault="00150E8B" w:rsidP="00725D26">
      <w:pPr>
        <w:spacing w:line="360" w:lineRule="auto"/>
        <w:ind w:left="426" w:right="282"/>
        <w:jc w:val="both"/>
      </w:pPr>
      <w:r>
        <w:t xml:space="preserve">Inoltre, anche </w:t>
      </w:r>
      <w:r w:rsidR="00BC50ED">
        <w:t>re</w:t>
      </w:r>
      <w:r w:rsidR="00B25295">
        <w:t>sta</w:t>
      </w:r>
      <w:r w:rsidR="00BC50ED">
        <w:t xml:space="preserve">ndo </w:t>
      </w:r>
      <w:r>
        <w:t xml:space="preserve">nell’ottica del limite conformativo, </w:t>
      </w:r>
      <w:r w:rsidR="00BC50ED">
        <w:t xml:space="preserve">non va trascurato come, occupandosi dei cc.dd. </w:t>
      </w:r>
      <w:proofErr w:type="gramStart"/>
      <w:r w:rsidR="00BC50ED">
        <w:t>protocolli</w:t>
      </w:r>
      <w:proofErr w:type="gramEnd"/>
      <w:r w:rsidR="00BC50ED">
        <w:t xml:space="preserve"> di legalità, l</w:t>
      </w:r>
      <w:r w:rsidRPr="00150E8B">
        <w:t xml:space="preserve">a </w:t>
      </w:r>
      <w:r w:rsidR="00841F6C">
        <w:t>C</w:t>
      </w:r>
      <w:r w:rsidRPr="00150E8B">
        <w:t xml:space="preserve">orte di </w:t>
      </w:r>
      <w:r w:rsidR="003C2114">
        <w:t>g</w:t>
      </w:r>
      <w:r w:rsidRPr="00150E8B">
        <w:t>iustizia</w:t>
      </w:r>
      <w:r w:rsidR="00BC50ED">
        <w:t xml:space="preserve"> </w:t>
      </w:r>
      <w:r w:rsidR="00F97F4D">
        <w:t>abbia</w:t>
      </w:r>
      <w:r w:rsidR="005C2C68">
        <w:t xml:space="preserve"> </w:t>
      </w:r>
      <w:r w:rsidR="00BC50ED">
        <w:t>precisa</w:t>
      </w:r>
      <w:r w:rsidRPr="00150E8B">
        <w:t xml:space="preserve">to </w:t>
      </w:r>
      <w:r w:rsidR="00BC50ED">
        <w:t>c</w:t>
      </w:r>
      <w:r w:rsidR="003C2114">
        <w:t>om</w:t>
      </w:r>
      <w:r w:rsidR="00BC50ED">
        <w:t>e</w:t>
      </w:r>
      <w:r w:rsidR="005C2C68">
        <w:t xml:space="preserve"> </w:t>
      </w:r>
      <w:r w:rsidRPr="00150E8B">
        <w:t>l</w:t>
      </w:r>
      <w:r>
        <w:t xml:space="preserve">e misure </w:t>
      </w:r>
      <w:r w:rsidR="00BC50ED">
        <w:t xml:space="preserve">antimafia </w:t>
      </w:r>
      <w:r w:rsidR="00043A7F">
        <w:t>resta</w:t>
      </w:r>
      <w:r w:rsidR="00BC50ED">
        <w:t xml:space="preserve">no soggette </w:t>
      </w:r>
      <w:r w:rsidRPr="00150E8B">
        <w:t xml:space="preserve">al principio di proporzionalità, sicché gli </w:t>
      </w:r>
      <w:r w:rsidR="003C2114">
        <w:t>obblighi</w:t>
      </w:r>
      <w:r w:rsidRPr="00150E8B">
        <w:t xml:space="preserve"> contenut</w:t>
      </w:r>
      <w:r w:rsidR="003C2114">
        <w:t>i</w:t>
      </w:r>
      <w:r w:rsidRPr="00150E8B">
        <w:t xml:space="preserve"> nei protocolli non possono oltrepassare i limiti di ciò che è necessario al fine di salvaguardare i princ</w:t>
      </w:r>
      <w:r w:rsidR="00BC50ED">
        <w:t>ì</w:t>
      </w:r>
      <w:r w:rsidRPr="00150E8B">
        <w:t>p</w:t>
      </w:r>
      <w:r w:rsidR="00BC50ED">
        <w:t>i</w:t>
      </w:r>
      <w:r w:rsidRPr="00150E8B">
        <w:t xml:space="preserve"> di concorrenza, parità di trattamento e di non discriminazione</w:t>
      </w:r>
      <w:r w:rsidR="00BC50ED">
        <w:t>,</w:t>
      </w:r>
      <w:r w:rsidRPr="00150E8B">
        <w:t xml:space="preserve"> nonché l’obbligo di trasparenza che ne deriva</w:t>
      </w:r>
      <w:r w:rsidR="000C48F9">
        <w:rPr>
          <w:rStyle w:val="Rimandonotaapidipagina"/>
        </w:rPr>
        <w:footnoteReference w:id="7"/>
      </w:r>
      <w:r w:rsidRPr="00150E8B">
        <w:t>.</w:t>
      </w:r>
    </w:p>
    <w:p w:rsidR="00043A7F" w:rsidRDefault="009C68D5" w:rsidP="00043A7F">
      <w:pPr>
        <w:spacing w:line="360" w:lineRule="auto"/>
        <w:ind w:left="426" w:right="282"/>
        <w:jc w:val="both"/>
      </w:pPr>
      <w:r>
        <w:t xml:space="preserve">Ora, </w:t>
      </w:r>
      <w:r w:rsidR="005C2C68">
        <w:t xml:space="preserve">è sotto gli occhi di tutti </w:t>
      </w:r>
      <w:r>
        <w:t>c</w:t>
      </w:r>
      <w:r w:rsidR="005C2C68">
        <w:t>om</w:t>
      </w:r>
      <w:r>
        <w:t>e</w:t>
      </w:r>
      <w:r w:rsidR="00F97F4D">
        <w:t>, nel tempo,</w:t>
      </w:r>
      <w:r>
        <w:t xml:space="preserve"> </w:t>
      </w:r>
      <w:r w:rsidR="00043A7F">
        <w:t xml:space="preserve">talune interpretazioni giurisprudenziali abbiano </w:t>
      </w:r>
      <w:r>
        <w:t xml:space="preserve">accentuato il contenuto afflittivo della misura, </w:t>
      </w:r>
      <w:r w:rsidR="005C2C68">
        <w:t>fino a renderlo più rilevante del</w:t>
      </w:r>
      <w:r w:rsidR="00043A7F">
        <w:t>l’aspet</w:t>
      </w:r>
      <w:r w:rsidR="005C2C68">
        <w:t xml:space="preserve">to </w:t>
      </w:r>
      <w:r>
        <w:t>preventivo</w:t>
      </w:r>
      <w:r w:rsidR="00043A7F">
        <w:t>,</w:t>
      </w:r>
      <w:r w:rsidR="00043A7F" w:rsidRPr="00043A7F">
        <w:t xml:space="preserve"> </w:t>
      </w:r>
      <w:r w:rsidR="00043A7F">
        <w:t xml:space="preserve">tanto che qualcuno ha definito l’istituto </w:t>
      </w:r>
      <w:r w:rsidR="00043A7F" w:rsidRPr="00BC50ED">
        <w:t>un “</w:t>
      </w:r>
      <w:r w:rsidR="00043A7F" w:rsidRPr="00841F6C">
        <w:rPr>
          <w:i/>
        </w:rPr>
        <w:t>ergastolo imprenditoriale</w:t>
      </w:r>
      <w:r w:rsidR="00043A7F" w:rsidRPr="00BC50ED">
        <w:t>”</w:t>
      </w:r>
      <w:r w:rsidR="00043A7F">
        <w:rPr>
          <w:rStyle w:val="Rimandonotaapidipagina"/>
        </w:rPr>
        <w:footnoteReference w:id="8"/>
      </w:r>
      <w:r w:rsidR="00043A7F">
        <w:t>.</w:t>
      </w:r>
    </w:p>
    <w:p w:rsidR="00BE5038" w:rsidRDefault="009C68D5" w:rsidP="00BE5038">
      <w:pPr>
        <w:spacing w:line="360" w:lineRule="auto"/>
        <w:ind w:left="426" w:right="282"/>
        <w:jc w:val="both"/>
      </w:pPr>
      <w:r>
        <w:t>O</w:t>
      </w:r>
      <w:r w:rsidR="00043A7F">
        <w:t>ggi</w:t>
      </w:r>
      <w:r w:rsidR="00BE5038">
        <w:t xml:space="preserve"> l’interdittiva, </w:t>
      </w:r>
      <w:r>
        <w:t>dacché limitata ai soli rapporti con la pubblica amministrazione, si è trasformata in una forma di inca</w:t>
      </w:r>
      <w:r w:rsidRPr="00506765">
        <w:t xml:space="preserve">pacità legale a svolgere </w:t>
      </w:r>
      <w:r w:rsidR="00506765" w:rsidRPr="00506765">
        <w:rPr>
          <w:bCs/>
        </w:rPr>
        <w:t>tutte le attività economiche</w:t>
      </w:r>
      <w:r w:rsidR="00BE5038">
        <w:rPr>
          <w:bCs/>
        </w:rPr>
        <w:t>, anche se</w:t>
      </w:r>
      <w:r w:rsidR="00506765" w:rsidRPr="00506765">
        <w:rPr>
          <w:bCs/>
        </w:rPr>
        <w:t xml:space="preserve"> so</w:t>
      </w:r>
      <w:r w:rsidR="0083177C">
        <w:rPr>
          <w:bCs/>
        </w:rPr>
        <w:t xml:space="preserve">ggette a regime </w:t>
      </w:r>
      <w:proofErr w:type="spellStart"/>
      <w:r w:rsidR="0083177C">
        <w:rPr>
          <w:bCs/>
        </w:rPr>
        <w:t>autorizzatorio</w:t>
      </w:r>
      <w:proofErr w:type="spellEnd"/>
      <w:r w:rsidR="0083177C">
        <w:rPr>
          <w:bCs/>
        </w:rPr>
        <w:t xml:space="preserve"> </w:t>
      </w:r>
      <w:r w:rsidR="00506765" w:rsidRPr="00506765">
        <w:rPr>
          <w:bCs/>
        </w:rPr>
        <w:t xml:space="preserve">o a </w:t>
      </w:r>
      <w:proofErr w:type="spellStart"/>
      <w:r w:rsidR="00506765" w:rsidRPr="00506765">
        <w:rPr>
          <w:bCs/>
        </w:rPr>
        <w:t>s.c.i.a</w:t>
      </w:r>
      <w:proofErr w:type="spellEnd"/>
      <w:r w:rsidR="00506765" w:rsidRPr="00506765">
        <w:rPr>
          <w:rStyle w:val="Enfasigrassetto"/>
          <w:b w:val="0"/>
          <w:iCs/>
        </w:rPr>
        <w:t>.</w:t>
      </w:r>
      <w:r w:rsidR="00506765">
        <w:rPr>
          <w:rStyle w:val="Rimandonotaapidipagina"/>
        </w:rPr>
        <w:footnoteReference w:id="9"/>
      </w:r>
      <w:r w:rsidR="00BE5038">
        <w:t xml:space="preserve">; inoltre, </w:t>
      </w:r>
      <w:r w:rsidR="00B25295">
        <w:t>scont</w:t>
      </w:r>
      <w:r>
        <w:t>a una durata illimitata nel tempo</w:t>
      </w:r>
      <w:r w:rsidR="00BC50ED">
        <w:t xml:space="preserve">, </w:t>
      </w:r>
      <w:r w:rsidR="00E24522">
        <w:t>salvo aggiornamento da parte del prefetto</w:t>
      </w:r>
      <w:r w:rsidR="00BE5038">
        <w:rPr>
          <w:rStyle w:val="Rimandonotaapidipagina"/>
        </w:rPr>
        <w:footnoteReference w:id="10"/>
      </w:r>
      <w:r w:rsidR="00BE5038">
        <w:t>.</w:t>
      </w:r>
    </w:p>
    <w:p w:rsidR="00C033CB" w:rsidRDefault="0066020C" w:rsidP="00C033CB">
      <w:pPr>
        <w:spacing w:line="360" w:lineRule="auto"/>
        <w:ind w:left="426" w:right="282"/>
        <w:jc w:val="both"/>
      </w:pPr>
      <w:r>
        <w:t xml:space="preserve">In tal </w:t>
      </w:r>
      <w:r w:rsidR="00841F6C">
        <w:t>modo</w:t>
      </w:r>
      <w:r w:rsidR="00C033CB">
        <w:t xml:space="preserve">, gli effetti dell’interdittiva </w:t>
      </w:r>
      <w:r w:rsidR="00841F6C">
        <w:t>si so</w:t>
      </w:r>
      <w:r w:rsidR="00C033CB">
        <w:t>no prepotentemente avvicina</w:t>
      </w:r>
      <w:r w:rsidR="00841F6C">
        <w:t>ti</w:t>
      </w:r>
      <w:r w:rsidR="00C033CB">
        <w:t xml:space="preserve"> a quelli della confisca: se </w:t>
      </w:r>
      <w:r>
        <w:t>la confisc</w:t>
      </w:r>
      <w:r w:rsidR="00C033CB">
        <w:t xml:space="preserve">a costituisce la sottrazione di un patrimonio, l’interdittiva costituisce la sottrazione della capacità </w:t>
      </w:r>
      <w:r w:rsidR="00B25295">
        <w:t xml:space="preserve">di produrre </w:t>
      </w:r>
      <w:r w:rsidR="00C033CB">
        <w:t>reddit</w:t>
      </w:r>
      <w:r w:rsidR="00B25295">
        <w:t>o</w:t>
      </w:r>
      <w:r w:rsidR="00C033CB">
        <w:t>.</w:t>
      </w:r>
    </w:p>
    <w:p w:rsidR="009C68D5" w:rsidRDefault="009C68D5" w:rsidP="00725D26">
      <w:pPr>
        <w:spacing w:line="360" w:lineRule="auto"/>
        <w:ind w:left="426" w:right="282"/>
        <w:jc w:val="both"/>
      </w:pPr>
      <w:r>
        <w:t xml:space="preserve">In conclusione, la sensazione che pervade </w:t>
      </w:r>
      <w:r w:rsidR="003C2114">
        <w:t xml:space="preserve">l’osservatore </w:t>
      </w:r>
      <w:r>
        <w:t>è che</w:t>
      </w:r>
      <w:r w:rsidR="00DC030F">
        <w:t xml:space="preserve">, </w:t>
      </w:r>
      <w:r w:rsidR="00DC030F" w:rsidRPr="00DC030F">
        <w:rPr>
          <w:i/>
        </w:rPr>
        <w:t xml:space="preserve">rebus sic </w:t>
      </w:r>
      <w:proofErr w:type="spellStart"/>
      <w:r w:rsidR="00DC030F" w:rsidRPr="00DC030F">
        <w:rPr>
          <w:i/>
        </w:rPr>
        <w:t>stantibus</w:t>
      </w:r>
      <w:proofErr w:type="spellEnd"/>
      <w:r w:rsidR="00DC030F">
        <w:t xml:space="preserve">, </w:t>
      </w:r>
      <w:r>
        <w:t>la tutela anticipat</w:t>
      </w:r>
      <w:r w:rsidR="003C2114">
        <w:t xml:space="preserve">oria </w:t>
      </w:r>
      <w:r w:rsidR="00043A7F">
        <w:t>del</w:t>
      </w:r>
      <w:r w:rsidR="003C2114">
        <w:t>l’interdittiva</w:t>
      </w:r>
      <w:r>
        <w:t xml:space="preserve"> si </w:t>
      </w:r>
      <w:r w:rsidR="003C2114">
        <w:t>realizza</w:t>
      </w:r>
      <w:r>
        <w:t xml:space="preserve"> </w:t>
      </w:r>
      <w:r w:rsidR="003C2114">
        <w:t>a costo di</w:t>
      </w:r>
      <w:r>
        <w:t xml:space="preserve"> una notevole compressione della libertà di in</w:t>
      </w:r>
      <w:r w:rsidR="00B25295">
        <w:t>i</w:t>
      </w:r>
      <w:r>
        <w:t>ziativa economica</w:t>
      </w:r>
      <w:r w:rsidR="00043A7F">
        <w:t xml:space="preserve"> ed</w:t>
      </w:r>
      <w:r>
        <w:t xml:space="preserve"> </w:t>
      </w:r>
      <w:r w:rsidR="003C2114">
        <w:t>attraverso misure amministrative</w:t>
      </w:r>
      <w:r w:rsidR="00043A7F">
        <w:t>,</w:t>
      </w:r>
      <w:r w:rsidR="003C2114">
        <w:t xml:space="preserve"> i</w:t>
      </w:r>
      <w:r>
        <w:t xml:space="preserve">l cui contenuto afflittivo è </w:t>
      </w:r>
      <w:r w:rsidR="00DC030F">
        <w:t xml:space="preserve">divenuto </w:t>
      </w:r>
      <w:r>
        <w:t xml:space="preserve">analogo a </w:t>
      </w:r>
      <w:r w:rsidR="00DC030F">
        <w:t xml:space="preserve">quello di alcune </w:t>
      </w:r>
      <w:r>
        <w:t>misur</w:t>
      </w:r>
      <w:r w:rsidR="00B25295">
        <w:t>e</w:t>
      </w:r>
      <w:r>
        <w:t xml:space="preserve"> di natura penale, </w:t>
      </w:r>
      <w:r w:rsidR="003C2114">
        <w:t>s</w:t>
      </w:r>
      <w:r>
        <w:t>e</w:t>
      </w:r>
      <w:r w:rsidR="003C2114">
        <w:t>nza</w:t>
      </w:r>
      <w:r>
        <w:t xml:space="preserve"> </w:t>
      </w:r>
      <w:r w:rsidR="00DC030F">
        <w:t>però le garanzie dell’</w:t>
      </w:r>
      <w:r w:rsidR="003C2114">
        <w:t xml:space="preserve">equo </w:t>
      </w:r>
      <w:r>
        <w:t>giudizio</w:t>
      </w:r>
      <w:r w:rsidR="00DC030F">
        <w:t>, della tassatività e dell’irretroattività</w:t>
      </w:r>
      <w:r>
        <w:t>.</w:t>
      </w:r>
    </w:p>
    <w:p w:rsidR="00610FCA" w:rsidRDefault="00043A7F" w:rsidP="00725D26">
      <w:pPr>
        <w:spacing w:line="360" w:lineRule="auto"/>
        <w:ind w:left="426" w:right="282"/>
        <w:jc w:val="both"/>
      </w:pPr>
      <w:r>
        <w:t>Invero, l</w:t>
      </w:r>
      <w:r w:rsidR="00610FCA">
        <w:t xml:space="preserve">a misura amministrativa </w:t>
      </w:r>
      <w:r>
        <w:t>non è irrogata dal giudice, ma dall</w:t>
      </w:r>
      <w:r w:rsidR="00610FCA">
        <w:t>’autorità amministrativa, è soggetta a</w:t>
      </w:r>
      <w:r w:rsidR="003F7EB1">
        <w:t xml:space="preserve"> </w:t>
      </w:r>
      <w:r w:rsidR="00610FCA">
        <w:t xml:space="preserve">sindacato giurisdizionale di sola legittimità, dipende dalla valutazione discrezionale di un coacervo di fattispecie non elencate in modo esaustivo </w:t>
      </w:r>
      <w:r w:rsidR="003F7EB1">
        <w:t xml:space="preserve">e tassativo </w:t>
      </w:r>
      <w:r w:rsidR="00610FCA">
        <w:t>dalle legge, le quali</w:t>
      </w:r>
      <w:r w:rsidR="003F7EB1">
        <w:t>, per altro,</w:t>
      </w:r>
      <w:r w:rsidR="00610FCA">
        <w:t xml:space="preserve"> possono essersi verificate ben prima dell’entrata in vigore della legge stessa.</w:t>
      </w:r>
    </w:p>
    <w:p w:rsidR="009C68D5" w:rsidRDefault="009C68D5" w:rsidP="00725D26">
      <w:pPr>
        <w:spacing w:line="360" w:lineRule="auto"/>
        <w:ind w:left="426" w:right="282"/>
        <w:jc w:val="both"/>
      </w:pPr>
      <w:r>
        <w:t xml:space="preserve">Su questi aspetti problematici bisogna </w:t>
      </w:r>
      <w:r w:rsidR="003C2114">
        <w:t xml:space="preserve">dunque </w:t>
      </w:r>
      <w:r>
        <w:t>soffermarsi</w:t>
      </w:r>
      <w:r w:rsidR="003C2114">
        <w:t>,</w:t>
      </w:r>
      <w:r>
        <w:t xml:space="preserve"> per porvi rimedio.</w:t>
      </w:r>
    </w:p>
    <w:p w:rsidR="009C68D5" w:rsidRDefault="00456454" w:rsidP="00725D26">
      <w:pPr>
        <w:spacing w:line="360" w:lineRule="auto"/>
        <w:ind w:left="426" w:right="282"/>
        <w:jc w:val="both"/>
      </w:pPr>
      <w:r>
        <w:t>N</w:t>
      </w:r>
      <w:r w:rsidR="009C68D5">
        <w:t>egli ultimi anni, di rimedi a queste criticità, l’ordinamento ne ha assunto sostanzialmente due:</w:t>
      </w:r>
    </w:p>
    <w:p w:rsidR="009C68D5" w:rsidRDefault="009C68D5" w:rsidP="00E64AC2">
      <w:pPr>
        <w:numPr>
          <w:ilvl w:val="0"/>
          <w:numId w:val="11"/>
        </w:numPr>
        <w:spacing w:line="360" w:lineRule="auto"/>
        <w:ind w:left="426" w:right="282" w:firstLine="141"/>
        <w:jc w:val="both"/>
      </w:pPr>
      <w:proofErr w:type="gramStart"/>
      <w:r>
        <w:t>il</w:t>
      </w:r>
      <w:proofErr w:type="gramEnd"/>
      <w:r>
        <w:t xml:space="preserve"> commissariamento del </w:t>
      </w:r>
      <w:r w:rsidR="00841F6C">
        <w:t>contratt</w:t>
      </w:r>
      <w:r>
        <w:t xml:space="preserve">o </w:t>
      </w:r>
      <w:r w:rsidR="00A61FA3">
        <w:t>da parte</w:t>
      </w:r>
      <w:r>
        <w:t xml:space="preserve"> del prefetto, a</w:t>
      </w:r>
      <w:r w:rsidR="00A61FA3">
        <w:t>i sensi de</w:t>
      </w:r>
      <w:r>
        <w:t>ll’art. 32, comma 10, d</w:t>
      </w:r>
      <w:r w:rsidR="00A61FA3">
        <w:t xml:space="preserve">el </w:t>
      </w:r>
      <w:proofErr w:type="spellStart"/>
      <w:r w:rsidR="00A61FA3">
        <w:t>d</w:t>
      </w:r>
      <w:r>
        <w:t>.l.</w:t>
      </w:r>
      <w:proofErr w:type="spellEnd"/>
      <w:r>
        <w:t xml:space="preserve"> n. 90/2014,</w:t>
      </w:r>
      <w:r w:rsidR="00610FCA">
        <w:t xml:space="preserve"> </w:t>
      </w:r>
      <w:r w:rsidR="00A10FD4">
        <w:t>in caso</w:t>
      </w:r>
      <w:r>
        <w:t xml:space="preserve"> </w:t>
      </w:r>
      <w:r w:rsidR="00A10FD4">
        <w:t xml:space="preserve">di </w:t>
      </w:r>
      <w:r>
        <w:t>urgente necessità di assicurar</w:t>
      </w:r>
      <w:r w:rsidR="00841F6C">
        <w:t>n</w:t>
      </w:r>
      <w:r>
        <w:t>e l’esecuzione, al fine di garantire la continuità di funzioni e servizi indifferibili per la tutela di diritti fondamentali, nonché per la salvaguardia dei livelli occupazionali o dell’integrità dei bilanci pubblici;</w:t>
      </w:r>
    </w:p>
    <w:p w:rsidR="009C68D5" w:rsidRDefault="009C68D5" w:rsidP="00E64AC2">
      <w:pPr>
        <w:numPr>
          <w:ilvl w:val="0"/>
          <w:numId w:val="11"/>
        </w:numPr>
        <w:spacing w:line="360" w:lineRule="auto"/>
        <w:ind w:left="426" w:right="282" w:firstLine="141"/>
        <w:jc w:val="both"/>
      </w:pPr>
      <w:proofErr w:type="gramStart"/>
      <w:r>
        <w:t>il</w:t>
      </w:r>
      <w:proofErr w:type="gramEnd"/>
      <w:r>
        <w:t xml:space="preserve"> controllo giudiziario dell’impresa</w:t>
      </w:r>
      <w:r w:rsidR="0003397F">
        <w:t xml:space="preserve"> da parte</w:t>
      </w:r>
      <w:r>
        <w:t xml:space="preserve"> del tribunale della prevenzione, </w:t>
      </w:r>
      <w:r w:rsidR="00385EF7">
        <w:t xml:space="preserve">ai sensi dell’art. 34 bis, commi 6 e 7, d.lgs. n. 159/2011, </w:t>
      </w:r>
      <w:r w:rsidR="00A61FA3">
        <w:t>quando</w:t>
      </w:r>
      <w:r>
        <w:t xml:space="preserve"> </w:t>
      </w:r>
      <w:r w:rsidR="0003397F">
        <w:t>è</w:t>
      </w:r>
      <w:r>
        <w:t xml:space="preserve"> </w:t>
      </w:r>
      <w:r w:rsidR="00A61FA3">
        <w:t xml:space="preserve">stato </w:t>
      </w:r>
      <w:r>
        <w:t>proposto ricorso al T</w:t>
      </w:r>
      <w:r w:rsidR="00A61FA3">
        <w:t>.</w:t>
      </w:r>
      <w:r>
        <w:t>A</w:t>
      </w:r>
      <w:r w:rsidR="00A61FA3">
        <w:t>.</w:t>
      </w:r>
      <w:r>
        <w:t>R</w:t>
      </w:r>
      <w:r w:rsidR="00A61FA3">
        <w:t>.</w:t>
      </w:r>
      <w:r>
        <w:t xml:space="preserve"> e ne ricorr</w:t>
      </w:r>
      <w:r w:rsidR="0003397F">
        <w:t>o</w:t>
      </w:r>
      <w:r>
        <w:t>no i presupposti.</w:t>
      </w:r>
    </w:p>
    <w:p w:rsidR="009C68D5" w:rsidRDefault="00A10FD4" w:rsidP="00610FCA">
      <w:pPr>
        <w:spacing w:line="360" w:lineRule="auto"/>
        <w:ind w:left="426" w:right="282"/>
        <w:jc w:val="both"/>
      </w:pPr>
      <w:r>
        <w:t>Dett</w:t>
      </w:r>
      <w:r w:rsidR="009C68D5">
        <w:t xml:space="preserve">i rimedi, ed in particolare il secondo, </w:t>
      </w:r>
      <w:r w:rsidR="0038151D">
        <w:t>appai</w:t>
      </w:r>
      <w:r w:rsidR="009C68D5">
        <w:t>ono tuttavia forieri di molteplici incertezze e</w:t>
      </w:r>
      <w:r w:rsidR="00A61FA3">
        <w:t>d</w:t>
      </w:r>
      <w:r w:rsidR="009C68D5">
        <w:t xml:space="preserve"> aprono la strada ad una di</w:t>
      </w:r>
      <w:r>
        <w:t>v</w:t>
      </w:r>
      <w:r w:rsidR="00A61FA3">
        <w:t>e</w:t>
      </w:r>
      <w:r>
        <w:t xml:space="preserve">rsa, e non meno </w:t>
      </w:r>
      <w:r w:rsidR="00610FCA">
        <w:t>allarm</w:t>
      </w:r>
      <w:r w:rsidR="006E5CBE">
        <w:t>ante</w:t>
      </w:r>
      <w:r>
        <w:t>,</w:t>
      </w:r>
      <w:r w:rsidR="009C68D5">
        <w:t xml:space="preserve"> forma di eterogenesi</w:t>
      </w:r>
      <w:r>
        <w:t xml:space="preserve"> dei fini</w:t>
      </w:r>
      <w:r w:rsidR="00610FCA">
        <w:t>, che si profila per il fatto che,</w:t>
      </w:r>
      <w:r w:rsidR="009C68D5">
        <w:t xml:space="preserve"> </w:t>
      </w:r>
      <w:r w:rsidR="006E5CBE">
        <w:t xml:space="preserve">per </w:t>
      </w:r>
      <w:r w:rsidR="00610FCA">
        <w:t>entrambe</w:t>
      </w:r>
      <w:r w:rsidR="009C68D5">
        <w:t xml:space="preserve"> </w:t>
      </w:r>
      <w:r w:rsidR="00610FCA">
        <w:t>le misure</w:t>
      </w:r>
      <w:r w:rsidR="009C68D5">
        <w:t>, la legge non richiede, almeno in forma espressa, alcuna valutazione circa l</w:t>
      </w:r>
      <w:r w:rsidR="00610FCA">
        <w:t xml:space="preserve">a loro </w:t>
      </w:r>
      <w:r w:rsidR="009C68D5">
        <w:t>idoneità ad impedire l’infiltrazione mafiosa, la quale, viceversa, costituisce la ragione unica della presupposta misura interdittiva.</w:t>
      </w:r>
    </w:p>
    <w:p w:rsidR="00471C50" w:rsidRDefault="0038151D" w:rsidP="00725D26">
      <w:pPr>
        <w:spacing w:line="360" w:lineRule="auto"/>
        <w:ind w:left="426" w:right="282"/>
        <w:jc w:val="both"/>
      </w:pPr>
      <w:r>
        <w:t>Sembrerebbe</w:t>
      </w:r>
      <w:r w:rsidR="00E82F85">
        <w:t xml:space="preserve"> </w:t>
      </w:r>
      <w:r>
        <w:t>insomma</w:t>
      </w:r>
      <w:r w:rsidR="00E82F85">
        <w:t xml:space="preserve"> che </w:t>
      </w:r>
      <w:r w:rsidR="00A10FD4">
        <w:t>e</w:t>
      </w:r>
      <w:r w:rsidR="00610FCA">
        <w:t>sse</w:t>
      </w:r>
      <w:r w:rsidR="00E82F85">
        <w:t xml:space="preserve">, </w:t>
      </w:r>
      <w:r>
        <w:t>sebben</w:t>
      </w:r>
      <w:r w:rsidR="00A10FD4">
        <w:t>e</w:t>
      </w:r>
      <w:r w:rsidR="00E82F85">
        <w:t xml:space="preserve"> </w:t>
      </w:r>
      <w:r w:rsidR="006E5CBE">
        <w:t>miri</w:t>
      </w:r>
      <w:r w:rsidR="00A10FD4">
        <w:t xml:space="preserve">no dichiaratamente </w:t>
      </w:r>
      <w:r w:rsidR="006E5CBE">
        <w:t>al</w:t>
      </w:r>
      <w:r w:rsidR="00A10FD4">
        <w:t>l</w:t>
      </w:r>
      <w:r w:rsidR="00E82F85">
        <w:t xml:space="preserve">a tutela anticipata dell’ordine pubblico economico, </w:t>
      </w:r>
      <w:r w:rsidR="00A10FD4">
        <w:t xml:space="preserve">nella realtà </w:t>
      </w:r>
      <w:r w:rsidR="00E82F85">
        <w:t>realizz</w:t>
      </w:r>
      <w:r w:rsidR="006E5CBE">
        <w:t>i</w:t>
      </w:r>
      <w:r w:rsidR="00E82F85">
        <w:t>no</w:t>
      </w:r>
      <w:r w:rsidR="00A10FD4">
        <w:t xml:space="preserve"> </w:t>
      </w:r>
      <w:r w:rsidR="00E82F85">
        <w:t xml:space="preserve">l’effetto di </w:t>
      </w:r>
      <w:r w:rsidR="00610FCA">
        <w:t>stemper</w:t>
      </w:r>
      <w:r>
        <w:t>are il rigore dell’interdittiva</w:t>
      </w:r>
      <w:r w:rsidR="00610FCA">
        <w:t xml:space="preserve"> in vista di un punto di </w:t>
      </w:r>
      <w:r w:rsidR="00663231">
        <w:t>caduta</w:t>
      </w:r>
      <w:r w:rsidR="00610FCA">
        <w:t xml:space="preserve"> più avanzato, </w:t>
      </w:r>
      <w:r w:rsidR="00E82F85">
        <w:t>consen</w:t>
      </w:r>
      <w:r w:rsidR="00610FCA">
        <w:t>t</w:t>
      </w:r>
      <w:r w:rsidR="00E82F85">
        <w:t>e</w:t>
      </w:r>
      <w:r w:rsidR="00610FCA">
        <w:t>ndo</w:t>
      </w:r>
      <w:r w:rsidR="00E82F85">
        <w:t xml:space="preserve"> all’impresa un </w:t>
      </w:r>
      <w:r w:rsidR="00610FCA">
        <w:t xml:space="preserve">residuo </w:t>
      </w:r>
      <w:r w:rsidR="00E82F85">
        <w:t>margine di operatività</w:t>
      </w:r>
      <w:r w:rsidR="00471C50">
        <w:t>.</w:t>
      </w:r>
    </w:p>
    <w:p w:rsidR="00E82F85" w:rsidRDefault="00471C50" w:rsidP="00725D26">
      <w:pPr>
        <w:spacing w:line="360" w:lineRule="auto"/>
        <w:ind w:left="426" w:right="282"/>
        <w:jc w:val="both"/>
      </w:pPr>
      <w:r>
        <w:t xml:space="preserve">Non a caso, nella relazione finale della commissione ministeriale presieduta da Fiandaca, </w:t>
      </w:r>
      <w:r w:rsidR="00663231">
        <w:t>nel cui seno</w:t>
      </w:r>
      <w:r w:rsidR="00AF47BE">
        <w:t xml:space="preserve"> nascono</w:t>
      </w:r>
      <w:r>
        <w:t xml:space="preserve"> i commi 6 e 7 dell’art. 34 bis, si sostiene proprio “</w:t>
      </w:r>
      <w:r w:rsidRPr="00471C50">
        <w:t>l’obiettivo di promuovere il recupero delle imprese infiltrate dalle</w:t>
      </w:r>
      <w:r>
        <w:t xml:space="preserve"> </w:t>
      </w:r>
      <w:r w:rsidRPr="00471C50">
        <w:t>organizzazioni, nel quadro di una ammodernata disciplina tendente a</w:t>
      </w:r>
      <w:r>
        <w:t xml:space="preserve"> </w:t>
      </w:r>
      <w:r w:rsidRPr="00471C50">
        <w:t>bilanciare in maniera più equilibrata le diverse aspettative ed esigenze oggi in</w:t>
      </w:r>
      <w:r>
        <w:t xml:space="preserve"> </w:t>
      </w:r>
      <w:r w:rsidRPr="00471C50">
        <w:t>gioco in questo campo</w:t>
      </w:r>
      <w:r>
        <w:t>”</w:t>
      </w:r>
      <w:r w:rsidR="00DA6F42">
        <w:rPr>
          <w:rStyle w:val="Rimandonotaapidipagina"/>
        </w:rPr>
        <w:footnoteReference w:id="11"/>
      </w:r>
      <w:r w:rsidR="00E82F85">
        <w:t>.</w:t>
      </w:r>
    </w:p>
    <w:p w:rsidR="009C68D5" w:rsidRDefault="00663231" w:rsidP="00725D26">
      <w:pPr>
        <w:spacing w:line="360" w:lineRule="auto"/>
        <w:ind w:left="426" w:right="282"/>
        <w:jc w:val="both"/>
      </w:pPr>
      <w:r>
        <w:t>Quanto</w:t>
      </w:r>
      <w:r w:rsidR="0038151D">
        <w:t>,</w:t>
      </w:r>
      <w:r>
        <w:t xml:space="preserve"> poi</w:t>
      </w:r>
      <w:r w:rsidR="0038151D">
        <w:t>,</w:t>
      </w:r>
      <w:r>
        <w:t xml:space="preserve"> all</w:t>
      </w:r>
      <w:r w:rsidR="009C68D5">
        <w:t>e difficoltà esegetiche</w:t>
      </w:r>
      <w:r>
        <w:t>, esse</w:t>
      </w:r>
      <w:r w:rsidR="00E82F85">
        <w:t xml:space="preserve"> sono presenti </w:t>
      </w:r>
      <w:r w:rsidR="0038151D">
        <w:t xml:space="preserve">sia </w:t>
      </w:r>
      <w:r w:rsidR="00E82F85">
        <w:t xml:space="preserve">con riferimento al commissariamento prefettizio, che </w:t>
      </w:r>
      <w:r w:rsidR="0038151D">
        <w:t xml:space="preserve">con riferimento </w:t>
      </w:r>
      <w:r w:rsidR="00E82F85">
        <w:t>al controllo giudiziario</w:t>
      </w:r>
      <w:r w:rsidR="0003397F">
        <w:t>.</w:t>
      </w:r>
    </w:p>
    <w:p w:rsidR="009C68D5" w:rsidRDefault="00E82F85" w:rsidP="00725D26">
      <w:pPr>
        <w:spacing w:line="360" w:lineRule="auto"/>
        <w:ind w:left="426" w:right="282"/>
        <w:jc w:val="both"/>
      </w:pPr>
      <w:r>
        <w:t>In ordine al primo</w:t>
      </w:r>
      <w:r w:rsidR="009C68D5">
        <w:t xml:space="preserve">, non è </w:t>
      </w:r>
      <w:r w:rsidR="00663231">
        <w:t xml:space="preserve">chiaro, </w:t>
      </w:r>
      <w:r w:rsidR="00950BB6">
        <w:t>ad esempio</w:t>
      </w:r>
      <w:r w:rsidR="00663231">
        <w:t>,</w:t>
      </w:r>
      <w:r>
        <w:t xml:space="preserve"> </w:t>
      </w:r>
      <w:r w:rsidR="009C68D5">
        <w:t xml:space="preserve">se l’adempimento, da parte dell’impresa, dell’ordine di rinnovare gli organi sociali, di cui alla </w:t>
      </w:r>
      <w:proofErr w:type="spellStart"/>
      <w:r w:rsidR="009C68D5">
        <w:t>lett</w:t>
      </w:r>
      <w:proofErr w:type="spellEnd"/>
      <w:r w:rsidR="009C68D5">
        <w:t>. a)</w:t>
      </w:r>
      <w:r>
        <w:t xml:space="preserve"> dell’art. 32</w:t>
      </w:r>
      <w:r w:rsidR="009C68D5">
        <w:t xml:space="preserve">, valga a consentire </w:t>
      </w:r>
      <w:r w:rsidR="00610FCA">
        <w:t xml:space="preserve">solo </w:t>
      </w:r>
      <w:r w:rsidR="009C68D5">
        <w:t xml:space="preserve">la prosecuzione della singola commessa o </w:t>
      </w:r>
      <w:r>
        <w:t xml:space="preserve">valga a </w:t>
      </w:r>
      <w:r w:rsidR="009C68D5">
        <w:t>rimett</w:t>
      </w:r>
      <w:r>
        <w:t>ere</w:t>
      </w:r>
      <w:r w:rsidR="009C68D5">
        <w:t xml:space="preserve"> </w:t>
      </w:r>
      <w:r w:rsidR="009C68D5">
        <w:rPr>
          <w:i/>
        </w:rPr>
        <w:t xml:space="preserve">in </w:t>
      </w:r>
      <w:proofErr w:type="spellStart"/>
      <w:r w:rsidR="009C68D5">
        <w:rPr>
          <w:i/>
        </w:rPr>
        <w:t>bonis</w:t>
      </w:r>
      <w:proofErr w:type="spellEnd"/>
      <w:r w:rsidR="009C68D5">
        <w:t xml:space="preserve"> tutta l’azienda.</w:t>
      </w:r>
    </w:p>
    <w:p w:rsidR="009C68D5" w:rsidRDefault="00E82F85" w:rsidP="00725D26">
      <w:pPr>
        <w:spacing w:line="360" w:lineRule="auto"/>
        <w:ind w:left="426" w:right="282"/>
        <w:jc w:val="both"/>
      </w:pPr>
      <w:r>
        <w:t>In ordine</w:t>
      </w:r>
      <w:r w:rsidR="009C68D5">
        <w:t xml:space="preserve"> al secondo, non è chiaro </w:t>
      </w:r>
      <w:r>
        <w:t xml:space="preserve">anzitutto </w:t>
      </w:r>
      <w:r w:rsidR="009C68D5">
        <w:t>perché si richieda la previa impugnativa dell’interdittiva dinanzi al T</w:t>
      </w:r>
      <w:r>
        <w:t>.</w:t>
      </w:r>
      <w:r w:rsidR="009C68D5">
        <w:t>A</w:t>
      </w:r>
      <w:r>
        <w:t>.</w:t>
      </w:r>
      <w:r w:rsidR="009C68D5">
        <w:t>R</w:t>
      </w:r>
      <w:r>
        <w:t>.</w:t>
      </w:r>
      <w:r w:rsidR="009C68D5">
        <w:t xml:space="preserve">, il che </w:t>
      </w:r>
      <w:r w:rsidR="00950BB6">
        <w:t>rappresenta</w:t>
      </w:r>
      <w:r w:rsidR="009C68D5">
        <w:t xml:space="preserve"> un </w:t>
      </w:r>
      <w:r>
        <w:t>controsenso, nel caso</w:t>
      </w:r>
      <w:r w:rsidR="0038151D">
        <w:t xml:space="preserve"> in cui l’imprenditore si</w:t>
      </w:r>
      <w:r w:rsidR="009C68D5">
        <w:t xml:space="preserve"> convin</w:t>
      </w:r>
      <w:r w:rsidR="0038151D">
        <w:t>ca</w:t>
      </w:r>
      <w:r w:rsidR="009C68D5">
        <w:t xml:space="preserve"> della correttezza dell’operato del </w:t>
      </w:r>
      <w:r>
        <w:t>p</w:t>
      </w:r>
      <w:r w:rsidR="009C68D5">
        <w:t>refetto.</w:t>
      </w:r>
    </w:p>
    <w:p w:rsidR="009C68D5" w:rsidRDefault="009C68D5" w:rsidP="00725D26">
      <w:pPr>
        <w:spacing w:line="360" w:lineRule="auto"/>
        <w:ind w:left="426" w:right="282"/>
        <w:jc w:val="both"/>
      </w:pPr>
      <w:r>
        <w:t xml:space="preserve">Non è </w:t>
      </w:r>
      <w:r w:rsidR="00A16B03">
        <w:t>poi</w:t>
      </w:r>
      <w:r w:rsidR="00A16B03" w:rsidRPr="00A16B03">
        <w:t xml:space="preserve"> </w:t>
      </w:r>
      <w:r w:rsidR="00A16B03">
        <w:t>chiaro</w:t>
      </w:r>
      <w:r>
        <w:t xml:space="preserve"> se il ricorso al T</w:t>
      </w:r>
      <w:r w:rsidR="00E82F85">
        <w:t>.</w:t>
      </w:r>
      <w:r>
        <w:t>A</w:t>
      </w:r>
      <w:r w:rsidR="00E82F85">
        <w:t>.</w:t>
      </w:r>
      <w:r>
        <w:t>R</w:t>
      </w:r>
      <w:r w:rsidR="00E82F85">
        <w:t>.</w:t>
      </w:r>
      <w:r>
        <w:t xml:space="preserve"> costituisca</w:t>
      </w:r>
      <w:r w:rsidR="00A16B03">
        <w:t>, o meno,</w:t>
      </w:r>
      <w:r>
        <w:t xml:space="preserve"> il presupposto logico-giuridico </w:t>
      </w:r>
      <w:r w:rsidR="00950BB6">
        <w:t>(oltre che della concessione</w:t>
      </w:r>
      <w:r w:rsidR="00610FCA">
        <w:t>,</w:t>
      </w:r>
      <w:r w:rsidR="00610FCA" w:rsidRPr="00610FCA">
        <w:t xml:space="preserve"> </w:t>
      </w:r>
      <w:r w:rsidR="00610FCA">
        <w:t>anche</w:t>
      </w:r>
      <w:r w:rsidR="00950BB6">
        <w:t xml:space="preserve">) </w:t>
      </w:r>
      <w:r>
        <w:t xml:space="preserve">del </w:t>
      </w:r>
      <w:r w:rsidR="00A16B03">
        <w:t xml:space="preserve">mantenimento del </w:t>
      </w:r>
      <w:r>
        <w:t xml:space="preserve">controllo giudiziario, </w:t>
      </w:r>
      <w:r w:rsidR="00A16B03">
        <w:t>sic</w:t>
      </w:r>
      <w:r w:rsidR="00E82F85">
        <w:t>ch</w:t>
      </w:r>
      <w:r w:rsidR="00A16B03">
        <w:t>é</w:t>
      </w:r>
      <w:r w:rsidR="006E5CBE">
        <w:t>,</w:t>
      </w:r>
      <w:r>
        <w:t xml:space="preserve"> una volta intervenuta </w:t>
      </w:r>
      <w:r w:rsidR="00610FCA">
        <w:t>un</w:t>
      </w:r>
      <w:r>
        <w:t xml:space="preserve">a sentenza </w:t>
      </w:r>
      <w:r w:rsidR="00610FCA">
        <w:t xml:space="preserve">negativa </w:t>
      </w:r>
      <w:r>
        <w:t>defini</w:t>
      </w:r>
      <w:r w:rsidR="00E82F85">
        <w:t xml:space="preserve">tiva, </w:t>
      </w:r>
      <w:r w:rsidR="00610FCA">
        <w:t>i</w:t>
      </w:r>
      <w:r w:rsidR="00E82F85">
        <w:t>l</w:t>
      </w:r>
      <w:r>
        <w:t xml:space="preserve"> controllo</w:t>
      </w:r>
      <w:r w:rsidR="0038151D">
        <w:t xml:space="preserve"> stesso</w:t>
      </w:r>
      <w:r>
        <w:t xml:space="preserve"> </w:t>
      </w:r>
      <w:r w:rsidR="00610FCA">
        <w:t>viene meno</w:t>
      </w:r>
      <w:r w:rsidR="00E82F85">
        <w:t>, anche se il giudice penale ha assegnato un diverso termine temporale</w:t>
      </w:r>
      <w:r>
        <w:t>.</w:t>
      </w:r>
    </w:p>
    <w:p w:rsidR="009C68D5" w:rsidRDefault="009C68D5" w:rsidP="00E82F85">
      <w:pPr>
        <w:spacing w:line="360" w:lineRule="auto"/>
        <w:ind w:left="426" w:right="282"/>
        <w:jc w:val="both"/>
      </w:pPr>
      <w:r>
        <w:t>N</w:t>
      </w:r>
      <w:r w:rsidR="00E82F85">
        <w:t>on</w:t>
      </w:r>
      <w:r>
        <w:t xml:space="preserve"> è chiaro</w:t>
      </w:r>
      <w:r w:rsidR="00E82F85">
        <w:t>, ancora,</w:t>
      </w:r>
      <w:r>
        <w:t xml:space="preserve"> cosa accada al termine del controllo giudiziario</w:t>
      </w:r>
      <w:r w:rsidR="00E82F85">
        <w:t xml:space="preserve">, </w:t>
      </w:r>
      <w:r w:rsidR="00A16B03">
        <w:t>ov</w:t>
      </w:r>
      <w:r w:rsidR="00E82F85">
        <w:t>e le relazioni dell’organo di vigilanza s</w:t>
      </w:r>
      <w:r w:rsidR="00A16B03">
        <w:t>ia</w:t>
      </w:r>
      <w:r w:rsidR="00E82F85">
        <w:t>no positive: in tale ipotesi,</w:t>
      </w:r>
      <w:r>
        <w:t xml:space="preserve"> l’impresa torna </w:t>
      </w:r>
      <w:r>
        <w:rPr>
          <w:i/>
        </w:rPr>
        <w:t xml:space="preserve">in </w:t>
      </w:r>
      <w:proofErr w:type="spellStart"/>
      <w:r>
        <w:rPr>
          <w:i/>
        </w:rPr>
        <w:t>bonis</w:t>
      </w:r>
      <w:proofErr w:type="spellEnd"/>
      <w:r w:rsidR="000361C5">
        <w:t xml:space="preserve"> con pronuncia del tribunale di prevenzione</w:t>
      </w:r>
      <w:r>
        <w:t xml:space="preserve"> o si riespande l’interdittiva, i cui effetti </w:t>
      </w:r>
      <w:r>
        <w:rPr>
          <w:i/>
        </w:rPr>
        <w:t>sine die</w:t>
      </w:r>
      <w:r>
        <w:t xml:space="preserve"> sono solo sospesi, fatti salvi gli effetti dell’eventuale aggiornamento della misura in capo al prefetto?</w:t>
      </w:r>
    </w:p>
    <w:p w:rsidR="009C68D5" w:rsidRDefault="009C68D5" w:rsidP="00725D26">
      <w:pPr>
        <w:spacing w:line="360" w:lineRule="auto"/>
        <w:ind w:left="426" w:right="282"/>
        <w:jc w:val="both"/>
      </w:pPr>
      <w:r>
        <w:t>E</w:t>
      </w:r>
      <w:r w:rsidR="00E82F85">
        <w:t>, nel secondo caso,</w:t>
      </w:r>
      <w:r>
        <w:t xml:space="preserve"> </w:t>
      </w:r>
      <w:r w:rsidR="00A16B03">
        <w:t xml:space="preserve">cosa accade se il giudice penale, </w:t>
      </w:r>
      <w:r w:rsidR="00E82F85">
        <w:t xml:space="preserve">con la decisione che dichiara cessata la misura, </w:t>
      </w:r>
      <w:r w:rsidR="00A16B03">
        <w:t>accerta</w:t>
      </w:r>
      <w:r w:rsidR="00E82F85" w:rsidRPr="00E82F85">
        <w:t xml:space="preserve"> </w:t>
      </w:r>
      <w:r w:rsidR="00A16B03">
        <w:t>incidentalmente</w:t>
      </w:r>
      <w:r w:rsidR="00A16B03" w:rsidRPr="00E82F85">
        <w:t xml:space="preserve"> </w:t>
      </w:r>
      <w:r w:rsidR="00A16B03">
        <w:t xml:space="preserve">la </w:t>
      </w:r>
      <w:r w:rsidR="00E82F85">
        <w:t>cessa</w:t>
      </w:r>
      <w:r w:rsidR="00A16B03">
        <w:t>zione</w:t>
      </w:r>
      <w:r w:rsidR="00E82F85">
        <w:t xml:space="preserve"> o</w:t>
      </w:r>
      <w:r w:rsidR="00A16B03">
        <w:t xml:space="preserve"> il</w:t>
      </w:r>
      <w:r w:rsidR="00E82F85">
        <w:t xml:space="preserve"> supera</w:t>
      </w:r>
      <w:r w:rsidR="00A16B03">
        <w:t>men</w:t>
      </w:r>
      <w:r w:rsidR="00E82F85">
        <w:t>t</w:t>
      </w:r>
      <w:r w:rsidR="00A16B03">
        <w:t>o</w:t>
      </w:r>
      <w:r w:rsidR="00E82F85">
        <w:t xml:space="preserve"> </w:t>
      </w:r>
      <w:r w:rsidR="00A16B03">
        <w:t>de</w:t>
      </w:r>
      <w:r w:rsidR="00E82F85">
        <w:t>i tentativi di infiltrazione</w:t>
      </w:r>
      <w:r>
        <w:t>?</w:t>
      </w:r>
    </w:p>
    <w:p w:rsidR="009C68D5" w:rsidRDefault="000361C5" w:rsidP="00A16B03">
      <w:pPr>
        <w:spacing w:line="360" w:lineRule="auto"/>
        <w:ind w:left="426" w:right="282"/>
        <w:jc w:val="both"/>
      </w:pPr>
      <w:r>
        <w:t xml:space="preserve">Infine </w:t>
      </w:r>
      <w:r w:rsidR="00A16B03">
        <w:t>–</w:t>
      </w:r>
      <w:r w:rsidR="009C68D5">
        <w:t xml:space="preserve"> cosa più seria di tutte</w:t>
      </w:r>
      <w:r w:rsidR="00A16B03">
        <w:t xml:space="preserve"> – </w:t>
      </w:r>
      <w:r>
        <w:t xml:space="preserve">sembra esistere </w:t>
      </w:r>
      <w:r w:rsidR="00A16B03">
        <w:t xml:space="preserve">un </w:t>
      </w:r>
      <w:r w:rsidRPr="000361C5">
        <w:rPr>
          <w:i/>
        </w:rPr>
        <w:t>deficit</w:t>
      </w:r>
      <w:r>
        <w:t xml:space="preserve"> di tassatività, </w:t>
      </w:r>
      <w:r w:rsidR="00A16B03">
        <w:t>p</w:t>
      </w:r>
      <w:r>
        <w:t xml:space="preserve">osto che </w:t>
      </w:r>
      <w:r w:rsidR="009C68D5">
        <w:t xml:space="preserve">la legge non </w:t>
      </w:r>
      <w:r>
        <w:t>specif</w:t>
      </w:r>
      <w:r w:rsidR="009C68D5">
        <w:t>ica quali s</w:t>
      </w:r>
      <w:r>
        <w:t>ia</w:t>
      </w:r>
      <w:r w:rsidR="009C68D5">
        <w:t xml:space="preserve">no i “presupposti” </w:t>
      </w:r>
      <w:r w:rsidR="00E82F85">
        <w:t>per l’applicazione del</w:t>
      </w:r>
      <w:r w:rsidR="009C68D5">
        <w:t xml:space="preserve"> controllo</w:t>
      </w:r>
      <w:r w:rsidR="00E82F85">
        <w:t xml:space="preserve"> giudiziario</w:t>
      </w:r>
      <w:r w:rsidR="009C68D5">
        <w:t>, a differenza di quanto accade per il commissariamento prefettizio</w:t>
      </w:r>
      <w:r>
        <w:t>, che per giunta è una misura amministrativa e non penale</w:t>
      </w:r>
      <w:r w:rsidR="009C68D5">
        <w:t xml:space="preserve"> (</w:t>
      </w:r>
      <w:r>
        <w:t xml:space="preserve">nella specie: </w:t>
      </w:r>
      <w:r w:rsidR="009C68D5">
        <w:t>garantire la continuità di funzioni e servizi indifferibili per la tutela di diritti fondamentali, nonché la salvaguardia dei livelli occupazionali o dell’integrità dei bilanci pubblici).</w:t>
      </w:r>
    </w:p>
    <w:p w:rsidR="0038151D" w:rsidRDefault="0038151D" w:rsidP="00A16B03">
      <w:pPr>
        <w:spacing w:line="360" w:lineRule="auto"/>
        <w:ind w:left="426" w:right="282"/>
        <w:jc w:val="both"/>
      </w:pPr>
      <w:r>
        <w:t>La cosa è grave, perché riguarda una misura di prevenzione (si rammenti il caso De Tommaso).</w:t>
      </w:r>
    </w:p>
    <w:p w:rsidR="005A0A89" w:rsidRDefault="0038151D" w:rsidP="00950BB6">
      <w:pPr>
        <w:spacing w:line="360" w:lineRule="auto"/>
        <w:ind w:left="426" w:right="282"/>
        <w:jc w:val="both"/>
      </w:pPr>
      <w:r>
        <w:t>A tal</w:t>
      </w:r>
      <w:r w:rsidR="009C68D5">
        <w:t xml:space="preserve"> proposito, </w:t>
      </w:r>
      <w:r w:rsidR="00950BB6">
        <w:t xml:space="preserve">va segnalata </w:t>
      </w:r>
      <w:r w:rsidR="00E82F85">
        <w:t>una recente giurisprudenza</w:t>
      </w:r>
      <w:r w:rsidR="00950BB6">
        <w:t xml:space="preserve"> che</w:t>
      </w:r>
      <w:r w:rsidR="009C68D5">
        <w:t>, abbandona</w:t>
      </w:r>
      <w:r w:rsidR="00E82F85">
        <w:t>ndo</w:t>
      </w:r>
      <w:r w:rsidR="009C68D5">
        <w:t xml:space="preserve"> la tesi secondo cui </w:t>
      </w:r>
      <w:r w:rsidR="00950BB6">
        <w:t>tal</w:t>
      </w:r>
      <w:r w:rsidR="009C68D5">
        <w:t>i presupposti s</w:t>
      </w:r>
      <w:r w:rsidR="00490660">
        <w:t>ia</w:t>
      </w:r>
      <w:r w:rsidR="009C68D5">
        <w:t>no da ricercare nella sussistenza d</w:t>
      </w:r>
      <w:r w:rsidR="005A0A89">
        <w:t>ell’</w:t>
      </w:r>
      <w:r w:rsidR="004B2E76">
        <w:t>interesse pubblico</w:t>
      </w:r>
      <w:r w:rsidR="00663231">
        <w:rPr>
          <w:rStyle w:val="Rimandonotaapidipagina"/>
        </w:rPr>
        <w:footnoteReference w:id="12"/>
      </w:r>
      <w:r w:rsidR="00663231">
        <w:t>,  più o meno negli stessi termini del commissariamento di cui all’art. 32, comma 10 – e ciò in coerenza con la volontà enunciata dalla commissione Fiandaca</w:t>
      </w:r>
      <w:r w:rsidR="0091532E">
        <w:t xml:space="preserve"> </w:t>
      </w:r>
      <w:r w:rsidR="00950BB6">
        <w:t>–</w:t>
      </w:r>
      <w:r w:rsidR="009C68D5">
        <w:t xml:space="preserve">, </w:t>
      </w:r>
      <w:r w:rsidR="008D6B97">
        <w:t>ha ritenuto che</w:t>
      </w:r>
      <w:r w:rsidR="00E82F85">
        <w:t xml:space="preserve"> </w:t>
      </w:r>
      <w:r w:rsidR="005A0A89">
        <w:t>la misura</w:t>
      </w:r>
      <w:r w:rsidR="007111E4">
        <w:t xml:space="preserve"> </w:t>
      </w:r>
      <w:r w:rsidR="00490660">
        <w:t>vada</w:t>
      </w:r>
      <w:r w:rsidR="007111E4">
        <w:t xml:space="preserve"> concess</w:t>
      </w:r>
      <w:r w:rsidR="004B2E76">
        <w:t>a</w:t>
      </w:r>
      <w:r w:rsidR="007111E4">
        <w:t xml:space="preserve"> </w:t>
      </w:r>
      <w:r w:rsidR="00490660">
        <w:t xml:space="preserve">solo </w:t>
      </w:r>
      <w:r w:rsidR="006E5CBE">
        <w:t>se</w:t>
      </w:r>
      <w:r w:rsidR="00490660">
        <w:t>,</w:t>
      </w:r>
      <w:r w:rsidR="006E5CBE">
        <w:t xml:space="preserve"> e </w:t>
      </w:r>
      <w:r w:rsidR="004B2E76">
        <w:t>nella misura in cui</w:t>
      </w:r>
      <w:r w:rsidR="00490660">
        <w:t>, dal provvedimento prefettizio</w:t>
      </w:r>
      <w:r w:rsidR="007111E4">
        <w:t xml:space="preserve"> si</w:t>
      </w:r>
      <w:r w:rsidR="006E5CBE">
        <w:t xml:space="preserve">a </w:t>
      </w:r>
      <w:r w:rsidR="007111E4">
        <w:t>desum</w:t>
      </w:r>
      <w:r w:rsidR="00490660">
        <w:t>ibile</w:t>
      </w:r>
      <w:r w:rsidR="007111E4">
        <w:t xml:space="preserve"> </w:t>
      </w:r>
      <w:r w:rsidR="006E5CBE">
        <w:t xml:space="preserve">un </w:t>
      </w:r>
      <w:r w:rsidR="007111E4">
        <w:t xml:space="preserve">rischio di infiltrazione mafiosa di grado ridotto o modesto e non </w:t>
      </w:r>
      <w:r w:rsidR="00490660">
        <w:t>di</w:t>
      </w:r>
      <w:r w:rsidR="007111E4">
        <w:t xml:space="preserve"> grado elevato</w:t>
      </w:r>
      <w:r w:rsidR="004909BF">
        <w:t xml:space="preserve">, in quanto </w:t>
      </w:r>
      <w:r w:rsidR="00490660">
        <w:t>unicamente</w:t>
      </w:r>
      <w:r w:rsidR="005A0A89">
        <w:t xml:space="preserve"> nella prima ipotesi </w:t>
      </w:r>
      <w:r w:rsidR="004909BF">
        <w:t>è presumibile che le anomalie riscontrate possano essere risolte autonomamente dallo stesso imprenditore, mediante interventi effettuati dall’interno</w:t>
      </w:r>
      <w:r w:rsidR="0091532E">
        <w:rPr>
          <w:rStyle w:val="Rimandonotaapidipagina"/>
        </w:rPr>
        <w:footnoteReference w:id="13"/>
      </w:r>
      <w:r w:rsidR="007111E4">
        <w:t>.</w:t>
      </w:r>
    </w:p>
    <w:p w:rsidR="00E82F85" w:rsidRDefault="008D6B97" w:rsidP="00E82F85">
      <w:pPr>
        <w:spacing w:line="360" w:lineRule="auto"/>
        <w:ind w:left="426" w:right="282"/>
        <w:jc w:val="both"/>
      </w:pPr>
      <w:r>
        <w:t xml:space="preserve">Tale impostazione sembra </w:t>
      </w:r>
      <w:r w:rsidR="00490660">
        <w:t>essere</w:t>
      </w:r>
      <w:r w:rsidR="00950BB6">
        <w:t xml:space="preserve"> stata </w:t>
      </w:r>
      <w:r>
        <w:t xml:space="preserve">fatta propria dal </w:t>
      </w:r>
      <w:r w:rsidR="006E5CBE">
        <w:t>M</w:t>
      </w:r>
      <w:r>
        <w:t>inistero dell’interno, che la cita nella circolare del capo di gabinetto n. 11001/119/20(</w:t>
      </w:r>
      <w:proofErr w:type="gramStart"/>
      <w:r>
        <w:t>8)-</w:t>
      </w:r>
      <w:proofErr w:type="gramEnd"/>
      <w:r>
        <w:t>A, indirizzata i prefetti.</w:t>
      </w:r>
    </w:p>
    <w:p w:rsidR="008D6B97" w:rsidRDefault="00490660" w:rsidP="00E82F85">
      <w:pPr>
        <w:spacing w:line="360" w:lineRule="auto"/>
        <w:ind w:left="426" w:right="282"/>
        <w:jc w:val="both"/>
      </w:pPr>
      <w:r>
        <w:t>G</w:t>
      </w:r>
      <w:r w:rsidR="00950BB6">
        <w:t xml:space="preserve">ià ad un primo esame, </w:t>
      </w:r>
      <w:r w:rsidR="0038151D">
        <w:t xml:space="preserve">però </w:t>
      </w:r>
      <w:r w:rsidR="00950BB6">
        <w:t>non può sfuggire</w:t>
      </w:r>
      <w:r w:rsidR="004B2E76">
        <w:t xml:space="preserve"> c</w:t>
      </w:r>
      <w:r w:rsidR="00950BB6">
        <w:t>om</w:t>
      </w:r>
      <w:r w:rsidR="004B2E76">
        <w:t xml:space="preserve">e </w:t>
      </w:r>
      <w:r w:rsidR="008D6B97">
        <w:t>quest</w:t>
      </w:r>
      <w:r w:rsidR="00950BB6">
        <w:t xml:space="preserve">’indirizzo </w:t>
      </w:r>
      <w:r w:rsidR="008D6B97">
        <w:t>finisc</w:t>
      </w:r>
      <w:r w:rsidR="004B2E76">
        <w:t>a</w:t>
      </w:r>
      <w:r w:rsidR="008D6B97">
        <w:t xml:space="preserve"> per applicare</w:t>
      </w:r>
      <w:r w:rsidR="004C0995">
        <w:t>,</w:t>
      </w:r>
      <w:r w:rsidR="008D6B97" w:rsidRPr="008D6B97">
        <w:t xml:space="preserve"> </w:t>
      </w:r>
      <w:r w:rsidR="008D6B97">
        <w:t xml:space="preserve">al controllo giudiziario </w:t>
      </w:r>
      <w:r>
        <w:t xml:space="preserve">a richiesta </w:t>
      </w:r>
      <w:r w:rsidR="008D6B97">
        <w:t>d</w:t>
      </w:r>
      <w:r>
        <w:t>e</w:t>
      </w:r>
      <w:r w:rsidR="008D6B97">
        <w:t>l privato,</w:t>
      </w:r>
      <w:r w:rsidR="008D6B97" w:rsidRPr="008D6B97">
        <w:t xml:space="preserve"> </w:t>
      </w:r>
      <w:r w:rsidR="008D6B97">
        <w:t>un presupposto che la legge</w:t>
      </w:r>
      <w:r w:rsidR="004B2E76">
        <w:t>,</w:t>
      </w:r>
      <w:r w:rsidR="004C0995">
        <w:t xml:space="preserve"> </w:t>
      </w:r>
      <w:r w:rsidR="008D6B97">
        <w:t xml:space="preserve">al comma 1 dell’art. 34 bis, </w:t>
      </w:r>
      <w:r>
        <w:t xml:space="preserve">pone </w:t>
      </w:r>
      <w:r w:rsidR="008D6B97">
        <w:t xml:space="preserve">per il controllo giudiziario </w:t>
      </w:r>
      <w:r>
        <w:t>a</w:t>
      </w:r>
      <w:r w:rsidR="00950BB6">
        <w:t xml:space="preserve"> </w:t>
      </w:r>
      <w:r w:rsidR="008D6B97">
        <w:t>richiest</w:t>
      </w:r>
      <w:r w:rsidR="00950BB6">
        <w:t>a</w:t>
      </w:r>
      <w:r w:rsidR="008D6B97">
        <w:t xml:space="preserve"> d</w:t>
      </w:r>
      <w:r w:rsidR="00950BB6">
        <w:t>e</w:t>
      </w:r>
      <w:r w:rsidR="008D6B97">
        <w:t>l P.M., per altro distorcendolo.</w:t>
      </w:r>
    </w:p>
    <w:p w:rsidR="00E82F85" w:rsidRDefault="008D6B97" w:rsidP="00E82F85">
      <w:pPr>
        <w:spacing w:line="360" w:lineRule="auto"/>
        <w:ind w:left="426" w:right="282"/>
        <w:jc w:val="both"/>
      </w:pPr>
      <w:r>
        <w:t>Il comma 1</w:t>
      </w:r>
      <w:r w:rsidRPr="008D6B97">
        <w:t xml:space="preserve"> </w:t>
      </w:r>
      <w:r>
        <w:t xml:space="preserve">prevede, infatti, che il controllo giudiziario </w:t>
      </w:r>
      <w:r w:rsidR="00490660">
        <w:t>si</w:t>
      </w:r>
      <w:r w:rsidR="005A0A89">
        <w:t>a</w:t>
      </w:r>
      <w:r>
        <w:t xml:space="preserve"> </w:t>
      </w:r>
      <w:r w:rsidR="00950BB6">
        <w:t>dispos</w:t>
      </w:r>
      <w:r>
        <w:t xml:space="preserve">to quando l’agevolazione </w:t>
      </w:r>
      <w:r w:rsidR="0084187B">
        <w:t xml:space="preserve">del fenomeno mafioso </w:t>
      </w:r>
      <w:r w:rsidR="004C0995">
        <w:t>d</w:t>
      </w:r>
      <w:r w:rsidR="0084187B">
        <w:t>a parte d</w:t>
      </w:r>
      <w:r w:rsidR="004C0995">
        <w:t xml:space="preserve">ell’attività imprenditoriale </w:t>
      </w:r>
      <w:r>
        <w:t xml:space="preserve">risulti </w:t>
      </w:r>
      <w:r w:rsidR="006E5CBE">
        <w:t>“</w:t>
      </w:r>
      <w:r w:rsidRPr="006E5CBE">
        <w:rPr>
          <w:i/>
        </w:rPr>
        <w:t>occasionale</w:t>
      </w:r>
      <w:r w:rsidR="006E5CBE">
        <w:t>”</w:t>
      </w:r>
      <w:r>
        <w:t>, dovendosi, in caso contrario, applicare la misura più grave dell’amministrazione giudiziaria.</w:t>
      </w:r>
    </w:p>
    <w:p w:rsidR="005A0A89" w:rsidRDefault="008D6B97" w:rsidP="00725D26">
      <w:pPr>
        <w:spacing w:line="360" w:lineRule="auto"/>
        <w:ind w:left="426" w:right="282"/>
        <w:jc w:val="both"/>
      </w:pPr>
      <w:r>
        <w:t>Ma è evidente c</w:t>
      </w:r>
      <w:r w:rsidR="006E5CBE">
        <w:t>om</w:t>
      </w:r>
      <w:r>
        <w:t>e</w:t>
      </w:r>
      <w:r w:rsidR="0084187B">
        <w:t>,</w:t>
      </w:r>
      <w:r>
        <w:t xml:space="preserve"> </w:t>
      </w:r>
      <w:r w:rsidR="0084187B">
        <w:t xml:space="preserve">ontologicamente, </w:t>
      </w:r>
      <w:r>
        <w:t>il tentativo di infiltrazione</w:t>
      </w:r>
      <w:r w:rsidR="004B2E76">
        <w:t>, che costituisce il presupposto per il controllo giudiziario d</w:t>
      </w:r>
      <w:r w:rsidR="006E5CBE">
        <w:t>i cui a</w:t>
      </w:r>
      <w:r w:rsidR="004B2E76">
        <w:t>l comma 6,</w:t>
      </w:r>
      <w:r>
        <w:t xml:space="preserve"> </w:t>
      </w:r>
      <w:r w:rsidR="00490660">
        <w:t>costituisc</w:t>
      </w:r>
      <w:r w:rsidR="006E5CBE">
        <w:t>a</w:t>
      </w:r>
      <w:r>
        <w:t xml:space="preserve"> una condizione di fatto </w:t>
      </w:r>
      <w:r w:rsidR="0084187B">
        <w:t>dotata di</w:t>
      </w:r>
      <w:r w:rsidR="005A0A89">
        <w:t xml:space="preserve"> un</w:t>
      </w:r>
      <w:r>
        <w:t xml:space="preserve"> </w:t>
      </w:r>
      <w:r w:rsidR="004909BF">
        <w:t xml:space="preserve">disvalore </w:t>
      </w:r>
      <w:r w:rsidR="005A0A89">
        <w:t xml:space="preserve">e di </w:t>
      </w:r>
      <w:r w:rsidR="0084187B">
        <w:t xml:space="preserve">una </w:t>
      </w:r>
      <w:r w:rsidR="005A0A89">
        <w:t xml:space="preserve">pericolosità </w:t>
      </w:r>
      <w:r w:rsidR="004909BF">
        <w:t>ben</w:t>
      </w:r>
      <w:r>
        <w:t xml:space="preserve"> inferior</w:t>
      </w:r>
      <w:r w:rsidR="0084187B">
        <w:t>i</w:t>
      </w:r>
      <w:r>
        <w:t xml:space="preserve"> rispetto all’agevolazione, sicché</w:t>
      </w:r>
      <w:r w:rsidR="004909BF">
        <w:t xml:space="preserve"> pare eccessivo </w:t>
      </w:r>
      <w:r w:rsidR="005A0A89">
        <w:t xml:space="preserve">trattare entrambe allo stesso modo, </w:t>
      </w:r>
      <w:r w:rsidR="009C68D5">
        <w:t>lascia</w:t>
      </w:r>
      <w:r w:rsidR="005A0A89">
        <w:t>ndo</w:t>
      </w:r>
      <w:r w:rsidR="009C68D5">
        <w:t xml:space="preserve"> al loro </w:t>
      </w:r>
      <w:r w:rsidR="00490660">
        <w:t xml:space="preserve">infausto </w:t>
      </w:r>
      <w:r w:rsidR="009C68D5">
        <w:t>destino</w:t>
      </w:r>
      <w:r w:rsidR="005A0A89">
        <w:t xml:space="preserve"> </w:t>
      </w:r>
      <w:r w:rsidR="00490660">
        <w:t xml:space="preserve">le </w:t>
      </w:r>
      <w:r w:rsidR="005A0A89">
        <w:t xml:space="preserve">imprese </w:t>
      </w:r>
      <w:r w:rsidR="00490660">
        <w:t xml:space="preserve">nei cui confronti </w:t>
      </w:r>
      <w:r w:rsidR="0084187B">
        <w:t>non sono ascrivibili condotte</w:t>
      </w:r>
      <w:r w:rsidR="005A0A89">
        <w:t xml:space="preserve"> agevolatrici, ma </w:t>
      </w:r>
      <w:r w:rsidR="00490660">
        <w:t>che sono (</w:t>
      </w:r>
      <w:r w:rsidR="005A0A89">
        <w:t>semplicemente</w:t>
      </w:r>
      <w:r w:rsidR="00490660">
        <w:t>)</w:t>
      </w:r>
      <w:r w:rsidR="005A0A89">
        <w:t xml:space="preserve"> oggetto di gravi tentativi di infiltrazione.</w:t>
      </w:r>
    </w:p>
    <w:p w:rsidR="0084187B" w:rsidRDefault="0084187B" w:rsidP="00725D26">
      <w:pPr>
        <w:spacing w:line="360" w:lineRule="auto"/>
        <w:ind w:left="426" w:right="282"/>
        <w:jc w:val="both"/>
      </w:pPr>
      <w:r>
        <w:t>In conclusione, appare probabile che</w:t>
      </w:r>
      <w:r w:rsidR="009C68D5">
        <w:t xml:space="preserve"> </w:t>
      </w:r>
      <w:r w:rsidR="004B2E76">
        <w:t>d</w:t>
      </w:r>
      <w:r>
        <w:t xml:space="preserve">ebba </w:t>
      </w:r>
      <w:r w:rsidR="004B2E76">
        <w:t>po</w:t>
      </w:r>
      <w:r w:rsidR="006E5CBE">
        <w:t>r</w:t>
      </w:r>
      <w:r w:rsidR="004B2E76">
        <w:t>s</w:t>
      </w:r>
      <w:r w:rsidR="006E5CBE">
        <w:t>i</w:t>
      </w:r>
      <w:r w:rsidR="004B2E76">
        <w:t xml:space="preserve"> </w:t>
      </w:r>
      <w:r>
        <w:t xml:space="preserve">nuovamente </w:t>
      </w:r>
      <w:r w:rsidR="004B2E76">
        <w:t>mano alla materia</w:t>
      </w:r>
      <w:r>
        <w:t>.</w:t>
      </w:r>
    </w:p>
    <w:p w:rsidR="0084187B" w:rsidRDefault="0084187B" w:rsidP="0084187B">
      <w:pPr>
        <w:spacing w:line="360" w:lineRule="auto"/>
        <w:ind w:left="426" w:right="282"/>
        <w:jc w:val="both"/>
      </w:pPr>
      <w:r>
        <w:t>Ciò</w:t>
      </w:r>
      <w:r w:rsidR="0038151D">
        <w:t>, a giudizio di chi scrive,</w:t>
      </w:r>
      <w:r>
        <w:t xml:space="preserve"> dovrebbe avvenire</w:t>
      </w:r>
      <w:r w:rsidR="004B2E76">
        <w:t xml:space="preserve"> seguendo le seguenti direttrici.</w:t>
      </w:r>
    </w:p>
    <w:p w:rsidR="0084187B" w:rsidRDefault="00490660" w:rsidP="0084187B">
      <w:pPr>
        <w:spacing w:line="360" w:lineRule="auto"/>
        <w:ind w:left="426" w:right="282"/>
        <w:jc w:val="both"/>
      </w:pPr>
      <w:r>
        <w:t>A</w:t>
      </w:r>
      <w:r w:rsidR="004B2E76">
        <w:t xml:space="preserve"> livello generale, è necessario</w:t>
      </w:r>
      <w:r w:rsidR="009C68D5">
        <w:t xml:space="preserve"> porre </w:t>
      </w:r>
      <w:r>
        <w:t>argine all</w:t>
      </w:r>
      <w:r w:rsidR="00663231">
        <w:t>a tendenza</w:t>
      </w:r>
      <w:r w:rsidR="009C68D5">
        <w:t>, anche solo inconsci</w:t>
      </w:r>
      <w:r>
        <w:t>a</w:t>
      </w:r>
      <w:r w:rsidR="009C68D5">
        <w:t>, di</w:t>
      </w:r>
      <w:r>
        <w:t xml:space="preserve"> </w:t>
      </w:r>
      <w:r w:rsidR="009C68D5">
        <w:t>sopper</w:t>
      </w:r>
      <w:r w:rsidR="004B2E76">
        <w:t xml:space="preserve">ire con misure anticipatorie – </w:t>
      </w:r>
      <w:r w:rsidR="009C68D5">
        <w:t xml:space="preserve">specie se di tipo amministrativo (ma anche </w:t>
      </w:r>
      <w:r w:rsidR="009C68D5" w:rsidRPr="004B2E76">
        <w:rPr>
          <w:i/>
        </w:rPr>
        <w:t>special-preventive</w:t>
      </w:r>
      <w:r w:rsidR="009C68D5">
        <w:t>) – alla cronica incapacità di portare avanti i proce</w:t>
      </w:r>
      <w:r w:rsidR="004B2E76">
        <w:t>ssi penali in tempi accettabili.</w:t>
      </w:r>
    </w:p>
    <w:p w:rsidR="0084187B" w:rsidRDefault="00490660" w:rsidP="0084187B">
      <w:pPr>
        <w:spacing w:line="360" w:lineRule="auto"/>
        <w:ind w:left="426" w:right="282"/>
        <w:jc w:val="both"/>
      </w:pPr>
      <w:r>
        <w:t xml:space="preserve">Occorre </w:t>
      </w:r>
      <w:r w:rsidR="0038151D">
        <w:t>po</w:t>
      </w:r>
      <w:r w:rsidR="0084187B">
        <w:t>i</w:t>
      </w:r>
      <w:r w:rsidR="004B2E76">
        <w:t xml:space="preserve"> </w:t>
      </w:r>
      <w:r w:rsidR="0084187B">
        <w:t>sganciare il provvedimento</w:t>
      </w:r>
      <w:r w:rsidR="009C68D5">
        <w:t xml:space="preserve"> amministrativ</w:t>
      </w:r>
      <w:r w:rsidR="0084187B">
        <w:t>o</w:t>
      </w:r>
      <w:r w:rsidR="009C68D5">
        <w:t xml:space="preserve"> </w:t>
      </w:r>
      <w:r w:rsidR="0084187B">
        <w:t xml:space="preserve">dagli aspetti </w:t>
      </w:r>
      <w:r w:rsidR="0038151D">
        <w:t xml:space="preserve">inquisitori e </w:t>
      </w:r>
      <w:r w:rsidR="0084187B">
        <w:t>para-</w:t>
      </w:r>
      <w:r w:rsidR="009C68D5">
        <w:t>sanzion</w:t>
      </w:r>
      <w:r w:rsidR="0084187B">
        <w:t xml:space="preserve">atori che non gli </w:t>
      </w:r>
      <w:r w:rsidR="0038151D">
        <w:t>competono</w:t>
      </w:r>
      <w:r w:rsidR="009C68D5">
        <w:t xml:space="preserve">, </w:t>
      </w:r>
      <w:r w:rsidR="0084187B">
        <w:t>fornendo</w:t>
      </w:r>
      <w:r w:rsidR="009C68D5">
        <w:t xml:space="preserve"> all’imprenditore ampie possibi</w:t>
      </w:r>
      <w:r w:rsidR="004B2E76">
        <w:t>lità di difesa nel procedimento e fa</w:t>
      </w:r>
      <w:r w:rsidR="0084187B">
        <w:t>cendo</w:t>
      </w:r>
      <w:r w:rsidR="004B2E76">
        <w:t xml:space="preserve"> sì che </w:t>
      </w:r>
      <w:r w:rsidR="009C68D5">
        <w:t xml:space="preserve">la misura interdittiva </w:t>
      </w:r>
      <w:r w:rsidR="004B2E76">
        <w:t>sia</w:t>
      </w:r>
      <w:r w:rsidR="009C68D5">
        <w:t xml:space="preserve"> preceduta da</w:t>
      </w:r>
      <w:r>
        <w:t>ll’</w:t>
      </w:r>
      <w:r w:rsidR="009C68D5">
        <w:t xml:space="preserve">ordine del prefetto di compiere, entro un certo termine, precise condotte per prevenire l’infiltrazione (c.d. </w:t>
      </w:r>
      <w:r w:rsidR="009C68D5">
        <w:rPr>
          <w:i/>
        </w:rPr>
        <w:t xml:space="preserve">self </w:t>
      </w:r>
      <w:proofErr w:type="spellStart"/>
      <w:r w:rsidR="009C68D5">
        <w:rPr>
          <w:i/>
        </w:rPr>
        <w:t>cleaning</w:t>
      </w:r>
      <w:proofErr w:type="spellEnd"/>
      <w:r w:rsidR="009C68D5">
        <w:t>) e</w:t>
      </w:r>
      <w:r>
        <w:t xml:space="preserve"> sia</w:t>
      </w:r>
      <w:r w:rsidR="009C68D5">
        <w:t xml:space="preserve"> applicata solo in caso di inadempimento</w:t>
      </w:r>
      <w:r w:rsidR="0038151D">
        <w:rPr>
          <w:rStyle w:val="Rimandonotaapidipagina"/>
        </w:rPr>
        <w:footnoteReference w:id="14"/>
      </w:r>
      <w:r w:rsidR="004B2E76">
        <w:t>.</w:t>
      </w:r>
    </w:p>
    <w:p w:rsidR="009C68D5" w:rsidRDefault="004B2E76" w:rsidP="0084187B">
      <w:pPr>
        <w:spacing w:line="360" w:lineRule="auto"/>
        <w:ind w:left="426" w:right="282"/>
        <w:jc w:val="both"/>
      </w:pPr>
      <w:r>
        <w:t>Infine,</w:t>
      </w:r>
      <w:r w:rsidR="0084187B">
        <w:t xml:space="preserve"> nell’ottica di un controllo giurisdizionale effettivo, </w:t>
      </w:r>
      <w:r w:rsidR="00490660">
        <w:t>sa</w:t>
      </w:r>
      <w:r w:rsidR="0084187B">
        <w:t xml:space="preserve">rebbe opportuno qualificare la posizione del privato inciso </w:t>
      </w:r>
      <w:r w:rsidR="009C68D5">
        <w:t xml:space="preserve">in termini di diritto soggettivo non degradabile, assoggettando il provvedimento al sindacato di giurisdizione </w:t>
      </w:r>
      <w:r w:rsidR="0084187B">
        <w:t xml:space="preserve">amministrativa </w:t>
      </w:r>
      <w:r w:rsidR="009C68D5">
        <w:t>esclusiva.</w:t>
      </w:r>
    </w:p>
    <w:p w:rsidR="009C68D5" w:rsidRDefault="009C68D5" w:rsidP="004B2E76">
      <w:pPr>
        <w:spacing w:line="240" w:lineRule="atLeast"/>
        <w:ind w:left="425" w:right="284"/>
        <w:jc w:val="right"/>
      </w:pPr>
      <w:r>
        <w:t>Nicola Durante</w:t>
      </w:r>
    </w:p>
    <w:p w:rsidR="009C68D5" w:rsidRDefault="006F5DFD" w:rsidP="004B2E76">
      <w:pPr>
        <w:spacing w:line="240" w:lineRule="atLeast"/>
        <w:ind w:left="425" w:right="284"/>
        <w:jc w:val="right"/>
      </w:pPr>
      <w:r>
        <w:t>Presidente sezione Tar Catanzaro</w:t>
      </w:r>
    </w:p>
    <w:p w:rsidR="006F5DFD" w:rsidRDefault="006F5DFD" w:rsidP="004B2E76">
      <w:pPr>
        <w:spacing w:line="240" w:lineRule="atLeast"/>
        <w:ind w:left="425" w:right="284"/>
        <w:jc w:val="right"/>
      </w:pPr>
    </w:p>
    <w:p w:rsidR="006F5DFD" w:rsidRDefault="006F5DFD" w:rsidP="004B2E76">
      <w:pPr>
        <w:spacing w:line="240" w:lineRule="atLeast"/>
        <w:ind w:left="425" w:right="284"/>
        <w:jc w:val="right"/>
      </w:pPr>
      <w:r>
        <w:t>Pubblicato il 26 novembre 2018</w:t>
      </w:r>
    </w:p>
    <w:p w:rsidR="000121CF" w:rsidRPr="009C68D5" w:rsidRDefault="000121CF" w:rsidP="00725D26">
      <w:pPr>
        <w:spacing w:line="360" w:lineRule="auto"/>
        <w:ind w:left="426" w:right="282"/>
        <w:rPr>
          <w:rStyle w:val="estremosel3"/>
        </w:rPr>
      </w:pPr>
    </w:p>
    <w:sectPr w:rsidR="000121CF" w:rsidRPr="009C68D5" w:rsidSect="005A0904">
      <w:footerReference w:type="default" r:id="rId13"/>
      <w:pgSz w:w="11906" w:h="16838"/>
      <w:pgMar w:top="1417"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B06" w:rsidRDefault="00897B06" w:rsidP="003B26D6">
      <w:pPr>
        <w:spacing w:after="0" w:line="240" w:lineRule="auto"/>
      </w:pPr>
      <w:r>
        <w:separator/>
      </w:r>
    </w:p>
  </w:endnote>
  <w:endnote w:type="continuationSeparator" w:id="0">
    <w:p w:rsidR="00897B06" w:rsidRDefault="00897B06" w:rsidP="003B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713130"/>
      <w:docPartObj>
        <w:docPartGallery w:val="Page Numbers (Bottom of Page)"/>
        <w:docPartUnique/>
      </w:docPartObj>
    </w:sdtPr>
    <w:sdtEndPr>
      <w:rPr>
        <w:sz w:val="16"/>
        <w:szCs w:val="16"/>
      </w:rPr>
    </w:sdtEndPr>
    <w:sdtContent>
      <w:p w:rsidR="00A16B03" w:rsidRPr="003B26D6" w:rsidRDefault="00A16B03">
        <w:pPr>
          <w:pStyle w:val="Pidipagina"/>
          <w:jc w:val="center"/>
          <w:rPr>
            <w:sz w:val="16"/>
            <w:szCs w:val="16"/>
          </w:rPr>
        </w:pPr>
        <w:r w:rsidRPr="003B26D6">
          <w:rPr>
            <w:sz w:val="16"/>
            <w:szCs w:val="16"/>
          </w:rPr>
          <w:fldChar w:fldCharType="begin"/>
        </w:r>
        <w:r w:rsidRPr="003B26D6">
          <w:rPr>
            <w:sz w:val="16"/>
            <w:szCs w:val="16"/>
          </w:rPr>
          <w:instrText>PAGE   \* MERGEFORMAT</w:instrText>
        </w:r>
        <w:r w:rsidRPr="003B26D6">
          <w:rPr>
            <w:sz w:val="16"/>
            <w:szCs w:val="16"/>
          </w:rPr>
          <w:fldChar w:fldCharType="separate"/>
        </w:r>
        <w:r w:rsidR="006F5DFD">
          <w:rPr>
            <w:noProof/>
            <w:sz w:val="16"/>
            <w:szCs w:val="16"/>
          </w:rPr>
          <w:t>1</w:t>
        </w:r>
        <w:r w:rsidRPr="003B26D6">
          <w:rPr>
            <w:sz w:val="16"/>
            <w:szCs w:val="16"/>
          </w:rPr>
          <w:fldChar w:fldCharType="end"/>
        </w:r>
      </w:p>
    </w:sdtContent>
  </w:sdt>
  <w:p w:rsidR="00A16B03" w:rsidRDefault="00A16B0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B06" w:rsidRDefault="00897B06" w:rsidP="003B26D6">
      <w:pPr>
        <w:spacing w:after="0" w:line="240" w:lineRule="auto"/>
      </w:pPr>
      <w:r>
        <w:separator/>
      </w:r>
    </w:p>
  </w:footnote>
  <w:footnote w:type="continuationSeparator" w:id="0">
    <w:p w:rsidR="00897B06" w:rsidRDefault="00897B06" w:rsidP="003B26D6">
      <w:pPr>
        <w:spacing w:after="0" w:line="240" w:lineRule="auto"/>
      </w:pPr>
      <w:r>
        <w:continuationSeparator/>
      </w:r>
    </w:p>
  </w:footnote>
  <w:footnote w:id="1">
    <w:p w:rsidR="00A16B03" w:rsidRDefault="00A16B03" w:rsidP="009C68D5">
      <w:pPr>
        <w:pBdr>
          <w:top w:val="nil"/>
          <w:left w:val="nil"/>
          <w:bottom w:val="nil"/>
          <w:right w:val="nil"/>
          <w:between w:val="nil"/>
        </w:pBdr>
        <w:spacing w:after="0" w:line="240" w:lineRule="auto"/>
        <w:jc w:val="both"/>
        <w:rPr>
          <w:color w:val="000000"/>
          <w:sz w:val="20"/>
          <w:szCs w:val="20"/>
        </w:rPr>
      </w:pPr>
      <w:r>
        <w:rPr>
          <w:vertAlign w:val="superscript"/>
        </w:rPr>
        <w:footnoteRef/>
      </w:r>
      <w:r w:rsidR="00551C01">
        <w:rPr>
          <w:color w:val="000000"/>
          <w:sz w:val="20"/>
          <w:szCs w:val="20"/>
        </w:rPr>
        <w:t xml:space="preserve"> </w:t>
      </w:r>
      <w:r>
        <w:rPr>
          <w:color w:val="000000"/>
          <w:sz w:val="20"/>
          <w:szCs w:val="20"/>
        </w:rPr>
        <w:t xml:space="preserve">Intervento reso in occasione della tavola rotonda sul tema </w:t>
      </w:r>
      <w:r w:rsidRPr="009C68D5">
        <w:rPr>
          <w:color w:val="000000"/>
          <w:sz w:val="20"/>
          <w:szCs w:val="20"/>
        </w:rPr>
        <w:t>“Criticità gestionali di beni e aziende sequestrate”, organizzata dall’Università di Catanzaro</w:t>
      </w:r>
      <w:r w:rsidR="00205674">
        <w:rPr>
          <w:color w:val="000000"/>
          <w:sz w:val="20"/>
          <w:szCs w:val="20"/>
        </w:rPr>
        <w:t xml:space="preserve"> e</w:t>
      </w:r>
      <w:r w:rsidRPr="009C68D5">
        <w:rPr>
          <w:color w:val="000000"/>
          <w:sz w:val="20"/>
          <w:szCs w:val="20"/>
        </w:rPr>
        <w:t xml:space="preserve"> dal Tribunale amministrativo regionale per la Calabria, il 24 novembre 2018</w:t>
      </w:r>
      <w:r>
        <w:rPr>
          <w:color w:val="000000"/>
          <w:sz w:val="20"/>
          <w:szCs w:val="20"/>
        </w:rPr>
        <w:t>.</w:t>
      </w:r>
    </w:p>
  </w:footnote>
  <w:footnote w:id="2">
    <w:p w:rsidR="000C48F9" w:rsidRDefault="000C48F9" w:rsidP="000C48F9">
      <w:pPr>
        <w:pStyle w:val="Testonotaapidipagina"/>
        <w:jc w:val="both"/>
      </w:pPr>
      <w:r>
        <w:rPr>
          <w:rStyle w:val="Rimandonotaapidipagina"/>
        </w:rPr>
        <w:footnoteRef/>
      </w:r>
      <w:r>
        <w:t xml:space="preserve"> Cfr.</w:t>
      </w:r>
      <w:r w:rsidRPr="00725D26">
        <w:t xml:space="preserve"> </w:t>
      </w:r>
      <w:r>
        <w:t xml:space="preserve">CEDU, Grande Camera, 23 febbraio 2017, </w:t>
      </w:r>
      <w:r w:rsidRPr="00BE5038">
        <w:rPr>
          <w:i/>
        </w:rPr>
        <w:t>De Tommaso c. Italia</w:t>
      </w:r>
      <w:r>
        <w:t>.</w:t>
      </w:r>
    </w:p>
  </w:footnote>
  <w:footnote w:id="3">
    <w:p w:rsidR="000C48F9" w:rsidRDefault="000C48F9" w:rsidP="000C48F9">
      <w:pPr>
        <w:pStyle w:val="Testonotaapidipagina"/>
        <w:jc w:val="both"/>
      </w:pPr>
      <w:r>
        <w:rPr>
          <w:rStyle w:val="Rimandonotaapidipagina"/>
        </w:rPr>
        <w:footnoteRef/>
      </w:r>
      <w:r>
        <w:t xml:space="preserve"> Cfr. Cons. Stato, Sez. III, 9 ottobre 2018, n. 5784.</w:t>
      </w:r>
    </w:p>
  </w:footnote>
  <w:footnote w:id="4">
    <w:p w:rsidR="000C48F9" w:rsidRDefault="000C48F9" w:rsidP="000C48F9">
      <w:pPr>
        <w:pStyle w:val="Testonotaapidipagina"/>
        <w:jc w:val="both"/>
      </w:pPr>
      <w:r>
        <w:rPr>
          <w:rStyle w:val="Rimandonotaapidipagina"/>
        </w:rPr>
        <w:footnoteRef/>
      </w:r>
      <w:r>
        <w:t xml:space="preserve"> Cfr. </w:t>
      </w:r>
      <w:hyperlink r:id="rId1">
        <w:r>
          <w:t>Cons. Stato, Sez. III, 9 ottobre 2018, n. 5784</w:t>
        </w:r>
      </w:hyperlink>
      <w:r>
        <w:t>.</w:t>
      </w:r>
    </w:p>
  </w:footnote>
  <w:footnote w:id="5">
    <w:p w:rsidR="000C48F9" w:rsidRDefault="000C48F9" w:rsidP="000C48F9">
      <w:pPr>
        <w:pStyle w:val="Testonotaapidipagina"/>
        <w:jc w:val="both"/>
      </w:pPr>
      <w:r>
        <w:rPr>
          <w:rStyle w:val="Rimandonotaapidipagina"/>
        </w:rPr>
        <w:footnoteRef/>
      </w:r>
      <w:r>
        <w:t xml:space="preserve"> Cfr. Cons. Stato, Sez. III, 30 gennaio 2015, n. 455 e Cons. Stato, Sez. III, 23 febbraio 2015, n. 898.</w:t>
      </w:r>
    </w:p>
  </w:footnote>
  <w:footnote w:id="6">
    <w:p w:rsidR="000C48F9" w:rsidRDefault="000C48F9">
      <w:pPr>
        <w:pStyle w:val="Testonotaapidipagina"/>
      </w:pPr>
      <w:r>
        <w:rPr>
          <w:rStyle w:val="Rimandonotaapidipagina"/>
        </w:rPr>
        <w:footnoteRef/>
      </w:r>
      <w:r>
        <w:t xml:space="preserve"> Cfr. CEDU, 30 agosto 2007, n. 75909/01</w:t>
      </w:r>
      <w:r w:rsidR="00043A7F">
        <w:t>,</w:t>
      </w:r>
      <w:r w:rsidR="00043A7F" w:rsidRPr="00043A7F">
        <w:rPr>
          <w:i/>
        </w:rPr>
        <w:t xml:space="preserve"> </w:t>
      </w:r>
      <w:r w:rsidR="00043A7F">
        <w:rPr>
          <w:i/>
        </w:rPr>
        <w:t>Sud Fondi c. Italia</w:t>
      </w:r>
      <w:r>
        <w:t>.</w:t>
      </w:r>
      <w:r w:rsidRPr="000C48F9">
        <w:t xml:space="preserve"> </w:t>
      </w:r>
      <w:r>
        <w:t xml:space="preserve">In tal senso, più di recente, si veda anche CEDU, Sez. II, 29 ottobre 2013, n. 17475/09, </w:t>
      </w:r>
      <w:proofErr w:type="spellStart"/>
      <w:r w:rsidRPr="00BE5038">
        <w:rPr>
          <w:i/>
        </w:rPr>
        <w:t>Varvara</w:t>
      </w:r>
      <w:proofErr w:type="spellEnd"/>
      <w:r w:rsidRPr="00BE5038">
        <w:rPr>
          <w:i/>
        </w:rPr>
        <w:t xml:space="preserve"> c. Italia</w:t>
      </w:r>
      <w:r>
        <w:rPr>
          <w:i/>
        </w:rPr>
        <w:t>.</w:t>
      </w:r>
    </w:p>
  </w:footnote>
  <w:footnote w:id="7">
    <w:p w:rsidR="000C48F9" w:rsidRDefault="000C48F9" w:rsidP="000C48F9">
      <w:pPr>
        <w:pStyle w:val="Testonotaapidipagina"/>
        <w:jc w:val="both"/>
      </w:pPr>
      <w:r>
        <w:rPr>
          <w:rStyle w:val="Rimandonotaapidipagina"/>
        </w:rPr>
        <w:footnoteRef/>
      </w:r>
      <w:r>
        <w:t xml:space="preserve"> Cfr. CGUE, </w:t>
      </w:r>
      <w:r w:rsidRPr="00BC50ED">
        <w:t>Sez</w:t>
      </w:r>
      <w:r>
        <w:t>.</w:t>
      </w:r>
      <w:r w:rsidRPr="00BC50ED">
        <w:t xml:space="preserve"> X, 22 ottobre 2015, C-425/14</w:t>
      </w:r>
      <w:r>
        <w:t>.</w:t>
      </w:r>
    </w:p>
  </w:footnote>
  <w:footnote w:id="8">
    <w:p w:rsidR="00043A7F" w:rsidRDefault="00043A7F" w:rsidP="00043A7F">
      <w:pPr>
        <w:pStyle w:val="Testonotaapidipagina"/>
        <w:jc w:val="both"/>
      </w:pPr>
      <w:r>
        <w:rPr>
          <w:rStyle w:val="Rimandonotaapidipagina"/>
        </w:rPr>
        <w:footnoteRef/>
      </w:r>
      <w:r>
        <w:t xml:space="preserve"> Cfr. </w:t>
      </w:r>
      <w:proofErr w:type="spellStart"/>
      <w:r>
        <w:t>Mazzamuto</w:t>
      </w:r>
      <w:proofErr w:type="spellEnd"/>
      <w:r>
        <w:t xml:space="preserve">, </w:t>
      </w:r>
      <w:r w:rsidRPr="00BC50ED">
        <w:rPr>
          <w:i/>
        </w:rPr>
        <w:t>Profili di documentazione amministrativa</w:t>
      </w:r>
      <w:r w:rsidRPr="00BC50ED">
        <w:t xml:space="preserve">, </w:t>
      </w:r>
      <w:r>
        <w:t>in</w:t>
      </w:r>
      <w:r w:rsidRPr="00BC50ED">
        <w:rPr>
          <w:i/>
        </w:rPr>
        <w:t xml:space="preserve"> </w:t>
      </w:r>
      <w:proofErr w:type="spellStart"/>
      <w:r w:rsidRPr="00BC50ED">
        <w:rPr>
          <w:i/>
        </w:rPr>
        <w:t>Giustamm</w:t>
      </w:r>
      <w:proofErr w:type="spellEnd"/>
      <w:r w:rsidRPr="00BC50ED">
        <w:t>, 2016</w:t>
      </w:r>
      <w:r>
        <w:t>.</w:t>
      </w:r>
    </w:p>
  </w:footnote>
  <w:footnote w:id="9">
    <w:p w:rsidR="00506765" w:rsidRPr="00506765" w:rsidRDefault="00506765" w:rsidP="00506765">
      <w:pPr>
        <w:pStyle w:val="Testonotaapidipagina"/>
        <w:jc w:val="both"/>
      </w:pPr>
      <w:r>
        <w:rPr>
          <w:rStyle w:val="Rimandonotaapidipagina"/>
        </w:rPr>
        <w:footnoteRef/>
      </w:r>
      <w:r>
        <w:t xml:space="preserve"> C</w:t>
      </w:r>
      <w:r w:rsidRPr="00B25295">
        <w:t xml:space="preserve">fr. Cons. </w:t>
      </w:r>
      <w:r w:rsidRPr="00506765">
        <w:t xml:space="preserve">Stato, Sez. III, </w:t>
      </w:r>
      <w:r w:rsidRPr="00506765">
        <w:rPr>
          <w:bCs/>
        </w:rPr>
        <w:t>9 febbraio 2017, n. 565.</w:t>
      </w:r>
    </w:p>
  </w:footnote>
  <w:footnote w:id="10">
    <w:p w:rsidR="00BE5038" w:rsidRDefault="00BE5038" w:rsidP="00BE5038">
      <w:pPr>
        <w:pStyle w:val="Testonotaapidipagina"/>
        <w:jc w:val="both"/>
      </w:pPr>
      <w:r>
        <w:rPr>
          <w:rStyle w:val="Rimandonotaapidipagina"/>
        </w:rPr>
        <w:footnoteRef/>
      </w:r>
      <w:r>
        <w:t xml:space="preserve"> C</w:t>
      </w:r>
      <w:r w:rsidRPr="00B25295">
        <w:t>fr. Cons. Stato, Sez. III, 5 ottobre 2016, n. 4121</w:t>
      </w:r>
      <w:r>
        <w:t>.</w:t>
      </w:r>
    </w:p>
  </w:footnote>
  <w:footnote w:id="11">
    <w:p w:rsidR="00DA6F42" w:rsidRDefault="00DA6F42" w:rsidP="00AF47BE">
      <w:pPr>
        <w:pStyle w:val="Testonotaapidipagina"/>
        <w:jc w:val="both"/>
      </w:pPr>
      <w:r>
        <w:rPr>
          <w:rStyle w:val="Rimandonotaapidipagina"/>
        </w:rPr>
        <w:footnoteRef/>
      </w:r>
      <w:r>
        <w:t xml:space="preserve"> </w:t>
      </w:r>
      <w:r w:rsidR="00471C50">
        <w:t>C</w:t>
      </w:r>
      <w:r w:rsidR="00E1242D">
        <w:t>fr</w:t>
      </w:r>
      <w:r>
        <w:t>.</w:t>
      </w:r>
      <w:r w:rsidR="00E1242D">
        <w:t xml:space="preserve"> </w:t>
      </w:r>
      <w:hyperlink r:id="rId2" w:history="1">
        <w:r w:rsidR="00E1242D" w:rsidRPr="00E1242D">
          <w:t>https://www.penalecontemporaneo.it/upload/1391681025relazione_Commissione_Fiandaca.pdf</w:t>
        </w:r>
      </w:hyperlink>
      <w:r w:rsidR="00E1242D">
        <w:t>, pag. 86 ss.</w:t>
      </w:r>
      <w:r w:rsidR="00AF47BE">
        <w:t>: “l</w:t>
      </w:r>
      <w:r w:rsidR="00AF47BE" w:rsidRPr="00AF47BE">
        <w:t>a Commissione ha, inoltre, ritenuto che l’ist</w:t>
      </w:r>
      <w:r w:rsidR="00AF47BE">
        <w:t xml:space="preserve">ituto del controllo giudiziario </w:t>
      </w:r>
      <w:r w:rsidR="00AF47BE" w:rsidRPr="00AF47BE">
        <w:t>possa fungere da adeguato strumento per consentire la prosecuzione</w:t>
      </w:r>
      <w:r w:rsidR="00AF47BE">
        <w:t xml:space="preserve"> </w:t>
      </w:r>
      <w:r w:rsidR="00AF47BE" w:rsidRPr="00AF47BE">
        <w:t>dell’attività di impresa</w:t>
      </w:r>
      <w:r w:rsidR="00AF47BE">
        <w:t>,</w:t>
      </w:r>
      <w:r w:rsidR="00AF47BE" w:rsidRPr="00AF47BE">
        <w:t xml:space="preserve"> nei casi in cui le aziende vengano raggiunte da</w:t>
      </w:r>
      <w:r w:rsidR="00AF47BE">
        <w:t xml:space="preserve"> </w:t>
      </w:r>
      <w:r w:rsidR="00AF47BE" w:rsidRPr="00AF47BE">
        <w:t>interdittiva prefettizia, garantendo così nel contempo il prevalente interesse</w:t>
      </w:r>
      <w:r w:rsidR="00AF47BE">
        <w:t xml:space="preserve"> </w:t>
      </w:r>
      <w:r w:rsidR="00AF47BE" w:rsidRPr="00AF47BE">
        <w:t>alla realizzazione di opere di rilevanza pubblica</w:t>
      </w:r>
      <w:r w:rsidR="00AF47BE">
        <w:t>”.</w:t>
      </w:r>
    </w:p>
  </w:footnote>
  <w:footnote w:id="12">
    <w:p w:rsidR="00663231" w:rsidRDefault="00663231" w:rsidP="00663231">
      <w:pPr>
        <w:pStyle w:val="Testonotaapidipagina"/>
        <w:jc w:val="both"/>
      </w:pPr>
      <w:r>
        <w:rPr>
          <w:rStyle w:val="Rimandonotaapidipagina"/>
        </w:rPr>
        <w:footnoteRef/>
      </w:r>
      <w:r>
        <w:t xml:space="preserve"> Cfr. Trib. Reggio Calabria, decreto 31 gennaio 2018, n. 133/2017 e 6 febbraio 2018, n. 135/2017.</w:t>
      </w:r>
    </w:p>
  </w:footnote>
  <w:footnote w:id="13">
    <w:p w:rsidR="0091532E" w:rsidRDefault="0091532E" w:rsidP="0091532E">
      <w:pPr>
        <w:pStyle w:val="Testonotaapidipagina"/>
        <w:jc w:val="both"/>
      </w:pPr>
      <w:r>
        <w:rPr>
          <w:rStyle w:val="Rimandonotaapidipagina"/>
        </w:rPr>
        <w:footnoteRef/>
      </w:r>
      <w:r>
        <w:t xml:space="preserve"> Cfr.</w:t>
      </w:r>
      <w:r w:rsidRPr="00E82F85">
        <w:t xml:space="preserve"> </w:t>
      </w:r>
      <w:r>
        <w:t xml:space="preserve">Cass. </w:t>
      </w:r>
      <w:proofErr w:type="spellStart"/>
      <w:proofErr w:type="gramStart"/>
      <w:r>
        <w:t>pen</w:t>
      </w:r>
      <w:proofErr w:type="spellEnd"/>
      <w:r>
        <w:t>.,</w:t>
      </w:r>
      <w:proofErr w:type="gramEnd"/>
      <w:r>
        <w:t xml:space="preserve"> Sez. V, 2 luglio 2018, 34526; Trib. Catanzaro, decreto 30 agosto 2018, n. 24.</w:t>
      </w:r>
    </w:p>
  </w:footnote>
  <w:footnote w:id="14">
    <w:p w:rsidR="0038151D" w:rsidRDefault="0038151D" w:rsidP="0038151D">
      <w:pPr>
        <w:pStyle w:val="Testonotaapidipagina"/>
        <w:jc w:val="both"/>
      </w:pPr>
      <w:r>
        <w:rPr>
          <w:rStyle w:val="Rimandonotaapidipagina"/>
        </w:rPr>
        <w:footnoteRef/>
      </w:r>
      <w:r>
        <w:t xml:space="preserve"> Come accade nelle ipotesi di cui alla </w:t>
      </w:r>
      <w:proofErr w:type="spellStart"/>
      <w:r>
        <w:t>lett</w:t>
      </w:r>
      <w:proofErr w:type="spellEnd"/>
      <w:r>
        <w:t xml:space="preserve">. a) dell’art. 32, comma 10, del </w:t>
      </w:r>
      <w:proofErr w:type="spellStart"/>
      <w:r>
        <w:t>d.l.</w:t>
      </w:r>
      <w:proofErr w:type="spellEnd"/>
      <w:r>
        <w:t xml:space="preserve"> n. 90/2014, allorché il prefetto ordina la rinnovazione degli organi sociali mediante la sostituzione del soggetto coinvolto e, solo ove l’impresa non si adegui nei termini stabiliti, dispone la gestione straordinaria e temporanea.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45EB"/>
    <w:multiLevelType w:val="hybridMultilevel"/>
    <w:tmpl w:val="7DEE84BA"/>
    <w:lvl w:ilvl="0" w:tplc="D7186B14">
      <w:start w:val="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571751"/>
    <w:multiLevelType w:val="multilevel"/>
    <w:tmpl w:val="438A7474"/>
    <w:lvl w:ilvl="0">
      <w:start w:val="1"/>
      <w:numFmt w:val="bullet"/>
      <w:lvlText w:val="-"/>
      <w:lvlJc w:val="left"/>
      <w:pPr>
        <w:ind w:left="720" w:hanging="360"/>
      </w:pPr>
      <w:rPr>
        <w:rFonts w:ascii="Calibri" w:eastAsiaTheme="minorHAns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200E49"/>
    <w:multiLevelType w:val="hybridMultilevel"/>
    <w:tmpl w:val="5B44C7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5007CA5"/>
    <w:multiLevelType w:val="hybridMultilevel"/>
    <w:tmpl w:val="CCE853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581A3B"/>
    <w:multiLevelType w:val="hybridMultilevel"/>
    <w:tmpl w:val="57FCCF6E"/>
    <w:lvl w:ilvl="0" w:tplc="E0024200">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05039E"/>
    <w:multiLevelType w:val="hybridMultilevel"/>
    <w:tmpl w:val="B4C4649C"/>
    <w:lvl w:ilvl="0" w:tplc="0B0E6F8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7F377A"/>
    <w:multiLevelType w:val="hybridMultilevel"/>
    <w:tmpl w:val="F0FA4C74"/>
    <w:lvl w:ilvl="0" w:tplc="D7186B14">
      <w:start w:val="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F90573"/>
    <w:multiLevelType w:val="multilevel"/>
    <w:tmpl w:val="D97E61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4501BE"/>
    <w:multiLevelType w:val="multilevel"/>
    <w:tmpl w:val="F3BE77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DE073B"/>
    <w:multiLevelType w:val="hybridMultilevel"/>
    <w:tmpl w:val="466ABF6E"/>
    <w:lvl w:ilvl="0" w:tplc="549EA9D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6467A0"/>
    <w:multiLevelType w:val="hybridMultilevel"/>
    <w:tmpl w:val="4760ACAC"/>
    <w:lvl w:ilvl="0" w:tplc="28C2F890">
      <w:start w:val="1"/>
      <w:numFmt w:val="lowerLetter"/>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BF6D87"/>
    <w:multiLevelType w:val="hybridMultilevel"/>
    <w:tmpl w:val="F0B62B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D8707C7"/>
    <w:multiLevelType w:val="multilevel"/>
    <w:tmpl w:val="062C45D8"/>
    <w:lvl w:ilvl="0">
      <w:start w:val="1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0D1611"/>
    <w:multiLevelType w:val="hybridMultilevel"/>
    <w:tmpl w:val="3C584A8E"/>
    <w:lvl w:ilvl="0" w:tplc="04100017">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1C82B7D"/>
    <w:multiLevelType w:val="multilevel"/>
    <w:tmpl w:val="266C53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E801F7"/>
    <w:multiLevelType w:val="hybridMultilevel"/>
    <w:tmpl w:val="4DF049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38A1B51"/>
    <w:multiLevelType w:val="hybridMultilevel"/>
    <w:tmpl w:val="5548234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5CC778FD"/>
    <w:multiLevelType w:val="multilevel"/>
    <w:tmpl w:val="D97E61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14146F"/>
    <w:multiLevelType w:val="hybridMultilevel"/>
    <w:tmpl w:val="224633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D845DAE"/>
    <w:multiLevelType w:val="hybridMultilevel"/>
    <w:tmpl w:val="E1D084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30F5C88"/>
    <w:multiLevelType w:val="multilevel"/>
    <w:tmpl w:val="1D84AF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19"/>
  </w:num>
  <w:num w:numId="3">
    <w:abstractNumId w:val="5"/>
  </w:num>
  <w:num w:numId="4">
    <w:abstractNumId w:val="4"/>
  </w:num>
  <w:num w:numId="5">
    <w:abstractNumId w:val="0"/>
  </w:num>
  <w:num w:numId="6">
    <w:abstractNumId w:val="6"/>
  </w:num>
  <w:num w:numId="7">
    <w:abstractNumId w:val="10"/>
  </w:num>
  <w:num w:numId="8">
    <w:abstractNumId w:val="11"/>
  </w:num>
  <w:num w:numId="9">
    <w:abstractNumId w:val="9"/>
  </w:num>
  <w:num w:numId="10">
    <w:abstractNumId w:val="14"/>
  </w:num>
  <w:num w:numId="11">
    <w:abstractNumId w:val="12"/>
  </w:num>
  <w:num w:numId="12">
    <w:abstractNumId w:val="20"/>
  </w:num>
  <w:num w:numId="13">
    <w:abstractNumId w:val="18"/>
  </w:num>
  <w:num w:numId="14">
    <w:abstractNumId w:val="3"/>
  </w:num>
  <w:num w:numId="15">
    <w:abstractNumId w:val="16"/>
  </w:num>
  <w:num w:numId="16">
    <w:abstractNumId w:val="13"/>
  </w:num>
  <w:num w:numId="17">
    <w:abstractNumId w:val="7"/>
  </w:num>
  <w:num w:numId="18">
    <w:abstractNumId w:val="17"/>
  </w:num>
  <w:num w:numId="19">
    <w:abstractNumId w:val="8"/>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EB"/>
    <w:rsid w:val="00003954"/>
    <w:rsid w:val="000121CF"/>
    <w:rsid w:val="00023991"/>
    <w:rsid w:val="000274AE"/>
    <w:rsid w:val="0003203E"/>
    <w:rsid w:val="0003397F"/>
    <w:rsid w:val="000361C5"/>
    <w:rsid w:val="00037C5B"/>
    <w:rsid w:val="00043A7F"/>
    <w:rsid w:val="00044346"/>
    <w:rsid w:val="00055D44"/>
    <w:rsid w:val="000715BB"/>
    <w:rsid w:val="00084113"/>
    <w:rsid w:val="00094318"/>
    <w:rsid w:val="000943DF"/>
    <w:rsid w:val="00094F8D"/>
    <w:rsid w:val="000B5143"/>
    <w:rsid w:val="000B5FBF"/>
    <w:rsid w:val="000C48F9"/>
    <w:rsid w:val="000E5F1C"/>
    <w:rsid w:val="00120F97"/>
    <w:rsid w:val="00150E8B"/>
    <w:rsid w:val="00163C35"/>
    <w:rsid w:val="00200290"/>
    <w:rsid w:val="00205674"/>
    <w:rsid w:val="0020793C"/>
    <w:rsid w:val="00242478"/>
    <w:rsid w:val="00265741"/>
    <w:rsid w:val="002677E0"/>
    <w:rsid w:val="00273FE2"/>
    <w:rsid w:val="0028665B"/>
    <w:rsid w:val="002975E7"/>
    <w:rsid w:val="002A3FA5"/>
    <w:rsid w:val="002D41AC"/>
    <w:rsid w:val="002E1123"/>
    <w:rsid w:val="002F0C3C"/>
    <w:rsid w:val="003315B8"/>
    <w:rsid w:val="00354F6F"/>
    <w:rsid w:val="00372199"/>
    <w:rsid w:val="0037730B"/>
    <w:rsid w:val="0038151D"/>
    <w:rsid w:val="0038517B"/>
    <w:rsid w:val="00385EF7"/>
    <w:rsid w:val="003A3403"/>
    <w:rsid w:val="003A7DE6"/>
    <w:rsid w:val="003B26D6"/>
    <w:rsid w:val="003B3AEB"/>
    <w:rsid w:val="003B5912"/>
    <w:rsid w:val="003C2114"/>
    <w:rsid w:val="003D2726"/>
    <w:rsid w:val="003D7830"/>
    <w:rsid w:val="003E3F2C"/>
    <w:rsid w:val="003F7EB1"/>
    <w:rsid w:val="0040238A"/>
    <w:rsid w:val="00423E1B"/>
    <w:rsid w:val="00433682"/>
    <w:rsid w:val="00455399"/>
    <w:rsid w:val="00456454"/>
    <w:rsid w:val="0046532B"/>
    <w:rsid w:val="00466B01"/>
    <w:rsid w:val="00471C50"/>
    <w:rsid w:val="0047628F"/>
    <w:rsid w:val="00490660"/>
    <w:rsid w:val="004909BF"/>
    <w:rsid w:val="004A1F67"/>
    <w:rsid w:val="004B2E76"/>
    <w:rsid w:val="004B5030"/>
    <w:rsid w:val="004C0995"/>
    <w:rsid w:val="004D6A06"/>
    <w:rsid w:val="00500C2A"/>
    <w:rsid w:val="00506765"/>
    <w:rsid w:val="005076C8"/>
    <w:rsid w:val="0052505A"/>
    <w:rsid w:val="00551C01"/>
    <w:rsid w:val="005818EB"/>
    <w:rsid w:val="005945B7"/>
    <w:rsid w:val="005A0904"/>
    <w:rsid w:val="005A0A89"/>
    <w:rsid w:val="005B0128"/>
    <w:rsid w:val="005C2C68"/>
    <w:rsid w:val="005E2FDA"/>
    <w:rsid w:val="005E7E0C"/>
    <w:rsid w:val="00610FCA"/>
    <w:rsid w:val="00621935"/>
    <w:rsid w:val="00631EEA"/>
    <w:rsid w:val="00640E22"/>
    <w:rsid w:val="006531DE"/>
    <w:rsid w:val="00653F37"/>
    <w:rsid w:val="0066020C"/>
    <w:rsid w:val="00663231"/>
    <w:rsid w:val="006706C7"/>
    <w:rsid w:val="00671DC4"/>
    <w:rsid w:val="006768B3"/>
    <w:rsid w:val="0068143B"/>
    <w:rsid w:val="00690996"/>
    <w:rsid w:val="006A11E2"/>
    <w:rsid w:val="006B51C2"/>
    <w:rsid w:val="006D7C42"/>
    <w:rsid w:val="006E5CBE"/>
    <w:rsid w:val="006F59BA"/>
    <w:rsid w:val="006F5DFD"/>
    <w:rsid w:val="007111E4"/>
    <w:rsid w:val="00723796"/>
    <w:rsid w:val="00725D26"/>
    <w:rsid w:val="00760889"/>
    <w:rsid w:val="00761D15"/>
    <w:rsid w:val="007A1237"/>
    <w:rsid w:val="007E05A4"/>
    <w:rsid w:val="007F512E"/>
    <w:rsid w:val="00831766"/>
    <w:rsid w:val="0083177C"/>
    <w:rsid w:val="0083648C"/>
    <w:rsid w:val="0084187B"/>
    <w:rsid w:val="00841F6C"/>
    <w:rsid w:val="00854777"/>
    <w:rsid w:val="00873EA7"/>
    <w:rsid w:val="00897B06"/>
    <w:rsid w:val="008A4E5D"/>
    <w:rsid w:val="008B53D9"/>
    <w:rsid w:val="008D6B97"/>
    <w:rsid w:val="008E169D"/>
    <w:rsid w:val="008F3529"/>
    <w:rsid w:val="009029B0"/>
    <w:rsid w:val="00903DF0"/>
    <w:rsid w:val="0091532E"/>
    <w:rsid w:val="00931504"/>
    <w:rsid w:val="00950BB6"/>
    <w:rsid w:val="00975A5A"/>
    <w:rsid w:val="00991370"/>
    <w:rsid w:val="009A38CD"/>
    <w:rsid w:val="009C68D5"/>
    <w:rsid w:val="00A0655B"/>
    <w:rsid w:val="00A10FD4"/>
    <w:rsid w:val="00A1602A"/>
    <w:rsid w:val="00A16B03"/>
    <w:rsid w:val="00A20D55"/>
    <w:rsid w:val="00A24C7E"/>
    <w:rsid w:val="00A61FA3"/>
    <w:rsid w:val="00A746F8"/>
    <w:rsid w:val="00A87DB1"/>
    <w:rsid w:val="00AA1D8E"/>
    <w:rsid w:val="00AC0D4A"/>
    <w:rsid w:val="00AF47BE"/>
    <w:rsid w:val="00AF7E65"/>
    <w:rsid w:val="00B1174E"/>
    <w:rsid w:val="00B238F1"/>
    <w:rsid w:val="00B25295"/>
    <w:rsid w:val="00B3649D"/>
    <w:rsid w:val="00B91B77"/>
    <w:rsid w:val="00BC50ED"/>
    <w:rsid w:val="00BC7420"/>
    <w:rsid w:val="00BE5038"/>
    <w:rsid w:val="00BE68CD"/>
    <w:rsid w:val="00C033CB"/>
    <w:rsid w:val="00C05767"/>
    <w:rsid w:val="00C13620"/>
    <w:rsid w:val="00C26155"/>
    <w:rsid w:val="00C376E6"/>
    <w:rsid w:val="00C40ABD"/>
    <w:rsid w:val="00C77D9E"/>
    <w:rsid w:val="00CA3D1A"/>
    <w:rsid w:val="00CA4757"/>
    <w:rsid w:val="00CC2601"/>
    <w:rsid w:val="00CD0ED9"/>
    <w:rsid w:val="00CE381E"/>
    <w:rsid w:val="00CE4174"/>
    <w:rsid w:val="00CF20DF"/>
    <w:rsid w:val="00CF3E2E"/>
    <w:rsid w:val="00D3313E"/>
    <w:rsid w:val="00D37F10"/>
    <w:rsid w:val="00D51A77"/>
    <w:rsid w:val="00D63EAD"/>
    <w:rsid w:val="00D65CBB"/>
    <w:rsid w:val="00D95C07"/>
    <w:rsid w:val="00DA3557"/>
    <w:rsid w:val="00DA6F42"/>
    <w:rsid w:val="00DB3257"/>
    <w:rsid w:val="00DC030F"/>
    <w:rsid w:val="00DD1BE4"/>
    <w:rsid w:val="00E018EE"/>
    <w:rsid w:val="00E1242D"/>
    <w:rsid w:val="00E1284E"/>
    <w:rsid w:val="00E24522"/>
    <w:rsid w:val="00E52888"/>
    <w:rsid w:val="00E64AC2"/>
    <w:rsid w:val="00E713C1"/>
    <w:rsid w:val="00E82F85"/>
    <w:rsid w:val="00E901A2"/>
    <w:rsid w:val="00EA06EE"/>
    <w:rsid w:val="00EC0638"/>
    <w:rsid w:val="00ED1C51"/>
    <w:rsid w:val="00F1512E"/>
    <w:rsid w:val="00F50D6B"/>
    <w:rsid w:val="00F67092"/>
    <w:rsid w:val="00F92380"/>
    <w:rsid w:val="00F97F4D"/>
    <w:rsid w:val="00FC6A24"/>
    <w:rsid w:val="00FD24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F4FF7-BF43-4C25-B3AB-D8BFFB6F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C68D5"/>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5818EB"/>
    <w:rPr>
      <w:i/>
      <w:iCs/>
    </w:rPr>
  </w:style>
  <w:style w:type="paragraph" w:styleId="Nessunaspaziatura">
    <w:name w:val="No Spacing"/>
    <w:uiPriority w:val="1"/>
    <w:qFormat/>
    <w:rsid w:val="005818EB"/>
    <w:pPr>
      <w:spacing w:after="0" w:line="240" w:lineRule="auto"/>
    </w:pPr>
  </w:style>
  <w:style w:type="character" w:styleId="Collegamentoipertestuale">
    <w:name w:val="Hyperlink"/>
    <w:basedOn w:val="Carpredefinitoparagrafo"/>
    <w:uiPriority w:val="99"/>
    <w:unhideWhenUsed/>
    <w:rsid w:val="009A38CD"/>
    <w:rPr>
      <w:color w:val="0000FF"/>
      <w:u w:val="single"/>
    </w:rPr>
  </w:style>
  <w:style w:type="character" w:styleId="Enfasigrassetto">
    <w:name w:val="Strong"/>
    <w:basedOn w:val="Carpredefinitoparagrafo"/>
    <w:uiPriority w:val="22"/>
    <w:qFormat/>
    <w:rsid w:val="009A38CD"/>
    <w:rPr>
      <w:b/>
      <w:bCs/>
    </w:rPr>
  </w:style>
  <w:style w:type="character" w:customStyle="1" w:styleId="provvnumcomma">
    <w:name w:val="provv_numcomma"/>
    <w:basedOn w:val="Carpredefinitoparagrafo"/>
    <w:rsid w:val="00055D44"/>
  </w:style>
  <w:style w:type="character" w:customStyle="1" w:styleId="estremosel3">
    <w:name w:val="estremosel3"/>
    <w:basedOn w:val="Carpredefinitoparagrafo"/>
    <w:rsid w:val="00055D44"/>
  </w:style>
  <w:style w:type="paragraph" w:styleId="Intestazione">
    <w:name w:val="header"/>
    <w:basedOn w:val="Normale"/>
    <w:link w:val="IntestazioneCarattere"/>
    <w:uiPriority w:val="99"/>
    <w:unhideWhenUsed/>
    <w:rsid w:val="003B26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26D6"/>
  </w:style>
  <w:style w:type="paragraph" w:styleId="Pidipagina">
    <w:name w:val="footer"/>
    <w:basedOn w:val="Normale"/>
    <w:link w:val="PidipaginaCarattere"/>
    <w:uiPriority w:val="99"/>
    <w:unhideWhenUsed/>
    <w:rsid w:val="003B26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26D6"/>
  </w:style>
  <w:style w:type="paragraph" w:customStyle="1" w:styleId="comma">
    <w:name w:val="comma"/>
    <w:basedOn w:val="Normale"/>
    <w:rsid w:val="00242478"/>
    <w:pPr>
      <w:spacing w:before="100" w:beforeAutospacing="1" w:after="100" w:afterAutospacing="1" w:line="240" w:lineRule="auto"/>
    </w:pPr>
    <w:rPr>
      <w:rFonts w:ascii="Times New Roman" w:eastAsia="Times New Roman" w:hAnsi="Times New Roman" w:cs="Times New Roman"/>
      <w:sz w:val="24"/>
      <w:szCs w:val="24"/>
    </w:rPr>
  </w:style>
  <w:style w:type="paragraph" w:styleId="NormaleWeb">
    <w:name w:val="Normal (Web)"/>
    <w:basedOn w:val="Normale"/>
    <w:uiPriority w:val="99"/>
    <w:unhideWhenUsed/>
    <w:rsid w:val="006D7C42"/>
    <w:pPr>
      <w:spacing w:before="100" w:beforeAutospacing="1" w:after="100" w:afterAutospacing="1" w:line="240" w:lineRule="auto"/>
    </w:pPr>
    <w:rPr>
      <w:rFonts w:ascii="Times New Roman" w:eastAsia="Times New Roman" w:hAnsi="Times New Roman" w:cs="Times New Roman"/>
      <w:sz w:val="24"/>
      <w:szCs w:val="24"/>
    </w:rPr>
  </w:style>
  <w:style w:type="paragraph" w:styleId="Testonotadichiusura">
    <w:name w:val="endnote text"/>
    <w:basedOn w:val="Normale"/>
    <w:link w:val="TestonotadichiusuraCarattere"/>
    <w:uiPriority w:val="99"/>
    <w:semiHidden/>
    <w:unhideWhenUsed/>
    <w:rsid w:val="00C1362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C13620"/>
    <w:rPr>
      <w:sz w:val="20"/>
      <w:szCs w:val="20"/>
    </w:rPr>
  </w:style>
  <w:style w:type="character" w:styleId="Rimandonotadichiusura">
    <w:name w:val="endnote reference"/>
    <w:basedOn w:val="Carpredefinitoparagrafo"/>
    <w:uiPriority w:val="99"/>
    <w:semiHidden/>
    <w:unhideWhenUsed/>
    <w:rsid w:val="00C13620"/>
    <w:rPr>
      <w:vertAlign w:val="superscript"/>
    </w:rPr>
  </w:style>
  <w:style w:type="paragraph" w:styleId="Testonotaapidipagina">
    <w:name w:val="footnote text"/>
    <w:basedOn w:val="Normale"/>
    <w:link w:val="TestonotaapidipaginaCarattere"/>
    <w:uiPriority w:val="99"/>
    <w:semiHidden/>
    <w:unhideWhenUsed/>
    <w:rsid w:val="00C1362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13620"/>
    <w:rPr>
      <w:sz w:val="20"/>
      <w:szCs w:val="20"/>
    </w:rPr>
  </w:style>
  <w:style w:type="character" w:styleId="Rimandonotaapidipagina">
    <w:name w:val="footnote reference"/>
    <w:basedOn w:val="Carpredefinitoparagrafo"/>
    <w:uiPriority w:val="99"/>
    <w:semiHidden/>
    <w:unhideWhenUsed/>
    <w:rsid w:val="00C13620"/>
    <w:rPr>
      <w:vertAlign w:val="superscript"/>
    </w:rPr>
  </w:style>
  <w:style w:type="paragraph" w:customStyle="1" w:styleId="popolo">
    <w:name w:val="popolo"/>
    <w:basedOn w:val="Normale"/>
    <w:rsid w:val="00D51A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8041">
      <w:bodyDiv w:val="1"/>
      <w:marLeft w:val="0"/>
      <w:marRight w:val="0"/>
      <w:marTop w:val="0"/>
      <w:marBottom w:val="0"/>
      <w:divBdr>
        <w:top w:val="none" w:sz="0" w:space="0" w:color="auto"/>
        <w:left w:val="none" w:sz="0" w:space="0" w:color="auto"/>
        <w:bottom w:val="none" w:sz="0" w:space="0" w:color="auto"/>
        <w:right w:val="none" w:sz="0" w:space="0" w:color="auto"/>
      </w:divBdr>
      <w:divsChild>
        <w:div w:id="220792966">
          <w:marLeft w:val="0"/>
          <w:marRight w:val="0"/>
          <w:marTop w:val="0"/>
          <w:marBottom w:val="0"/>
          <w:divBdr>
            <w:top w:val="none" w:sz="0" w:space="0" w:color="auto"/>
            <w:left w:val="none" w:sz="0" w:space="0" w:color="auto"/>
            <w:bottom w:val="none" w:sz="0" w:space="0" w:color="auto"/>
            <w:right w:val="none" w:sz="0" w:space="0" w:color="auto"/>
          </w:divBdr>
          <w:divsChild>
            <w:div w:id="595361077">
              <w:marLeft w:val="0"/>
              <w:marRight w:val="0"/>
              <w:marTop w:val="0"/>
              <w:marBottom w:val="0"/>
              <w:divBdr>
                <w:top w:val="none" w:sz="0" w:space="0" w:color="auto"/>
                <w:left w:val="none" w:sz="0" w:space="0" w:color="auto"/>
                <w:bottom w:val="none" w:sz="0" w:space="0" w:color="auto"/>
                <w:right w:val="none" w:sz="0" w:space="0" w:color="auto"/>
              </w:divBdr>
              <w:divsChild>
                <w:div w:id="1153257408">
                  <w:marLeft w:val="0"/>
                  <w:marRight w:val="0"/>
                  <w:marTop w:val="0"/>
                  <w:marBottom w:val="0"/>
                  <w:divBdr>
                    <w:top w:val="none" w:sz="0" w:space="0" w:color="auto"/>
                    <w:left w:val="none" w:sz="0" w:space="0" w:color="auto"/>
                    <w:bottom w:val="none" w:sz="0" w:space="0" w:color="auto"/>
                    <w:right w:val="none" w:sz="0" w:space="0" w:color="auto"/>
                  </w:divBdr>
                  <w:divsChild>
                    <w:div w:id="1132868220">
                      <w:marLeft w:val="0"/>
                      <w:marRight w:val="0"/>
                      <w:marTop w:val="0"/>
                      <w:marBottom w:val="0"/>
                      <w:divBdr>
                        <w:top w:val="none" w:sz="0" w:space="0" w:color="auto"/>
                        <w:left w:val="none" w:sz="0" w:space="0" w:color="auto"/>
                        <w:bottom w:val="none" w:sz="0" w:space="0" w:color="auto"/>
                        <w:right w:val="none" w:sz="0" w:space="0" w:color="auto"/>
                      </w:divBdr>
                      <w:divsChild>
                        <w:div w:id="1682900310">
                          <w:marLeft w:val="0"/>
                          <w:marRight w:val="0"/>
                          <w:marTop w:val="15"/>
                          <w:marBottom w:val="0"/>
                          <w:divBdr>
                            <w:top w:val="none" w:sz="0" w:space="0" w:color="auto"/>
                            <w:left w:val="none" w:sz="0" w:space="0" w:color="auto"/>
                            <w:bottom w:val="none" w:sz="0" w:space="0" w:color="auto"/>
                            <w:right w:val="none" w:sz="0" w:space="0" w:color="auto"/>
                          </w:divBdr>
                          <w:divsChild>
                            <w:div w:id="193884901">
                              <w:marLeft w:val="0"/>
                              <w:marRight w:val="0"/>
                              <w:marTop w:val="0"/>
                              <w:marBottom w:val="0"/>
                              <w:divBdr>
                                <w:top w:val="none" w:sz="0" w:space="0" w:color="auto"/>
                                <w:left w:val="none" w:sz="0" w:space="0" w:color="auto"/>
                                <w:bottom w:val="none" w:sz="0" w:space="0" w:color="auto"/>
                                <w:right w:val="none" w:sz="0" w:space="0" w:color="auto"/>
                              </w:divBdr>
                              <w:divsChild>
                                <w:div w:id="443841035">
                                  <w:marLeft w:val="0"/>
                                  <w:marRight w:val="0"/>
                                  <w:marTop w:val="0"/>
                                  <w:marBottom w:val="0"/>
                                  <w:divBdr>
                                    <w:top w:val="none" w:sz="0" w:space="0" w:color="auto"/>
                                    <w:left w:val="none" w:sz="0" w:space="0" w:color="auto"/>
                                    <w:bottom w:val="none" w:sz="0" w:space="0" w:color="auto"/>
                                    <w:right w:val="none" w:sz="0" w:space="0" w:color="auto"/>
                                  </w:divBdr>
                                </w:div>
                                <w:div w:id="875041535">
                                  <w:marLeft w:val="0"/>
                                  <w:marRight w:val="0"/>
                                  <w:marTop w:val="0"/>
                                  <w:marBottom w:val="0"/>
                                  <w:divBdr>
                                    <w:top w:val="none" w:sz="0" w:space="0" w:color="auto"/>
                                    <w:left w:val="none" w:sz="0" w:space="0" w:color="auto"/>
                                    <w:bottom w:val="none" w:sz="0" w:space="0" w:color="auto"/>
                                    <w:right w:val="none" w:sz="0" w:space="0" w:color="auto"/>
                                  </w:divBdr>
                                </w:div>
                                <w:div w:id="1530600800">
                                  <w:marLeft w:val="0"/>
                                  <w:marRight w:val="0"/>
                                  <w:marTop w:val="0"/>
                                  <w:marBottom w:val="0"/>
                                  <w:divBdr>
                                    <w:top w:val="none" w:sz="0" w:space="0" w:color="auto"/>
                                    <w:left w:val="none" w:sz="0" w:space="0" w:color="auto"/>
                                    <w:bottom w:val="none" w:sz="0" w:space="0" w:color="auto"/>
                                    <w:right w:val="none" w:sz="0" w:space="0" w:color="auto"/>
                                  </w:divBdr>
                                </w:div>
                                <w:div w:id="67583387">
                                  <w:marLeft w:val="0"/>
                                  <w:marRight w:val="0"/>
                                  <w:marTop w:val="0"/>
                                  <w:marBottom w:val="0"/>
                                  <w:divBdr>
                                    <w:top w:val="none" w:sz="0" w:space="0" w:color="auto"/>
                                    <w:left w:val="none" w:sz="0" w:space="0" w:color="auto"/>
                                    <w:bottom w:val="none" w:sz="0" w:space="0" w:color="auto"/>
                                    <w:right w:val="none" w:sz="0" w:space="0" w:color="auto"/>
                                  </w:divBdr>
                                </w:div>
                                <w:div w:id="66538891">
                                  <w:marLeft w:val="0"/>
                                  <w:marRight w:val="0"/>
                                  <w:marTop w:val="0"/>
                                  <w:marBottom w:val="0"/>
                                  <w:divBdr>
                                    <w:top w:val="none" w:sz="0" w:space="0" w:color="auto"/>
                                    <w:left w:val="none" w:sz="0" w:space="0" w:color="auto"/>
                                    <w:bottom w:val="none" w:sz="0" w:space="0" w:color="auto"/>
                                    <w:right w:val="none" w:sz="0" w:space="0" w:color="auto"/>
                                  </w:divBdr>
                                </w:div>
                                <w:div w:id="1667434807">
                                  <w:marLeft w:val="0"/>
                                  <w:marRight w:val="0"/>
                                  <w:marTop w:val="0"/>
                                  <w:marBottom w:val="0"/>
                                  <w:divBdr>
                                    <w:top w:val="none" w:sz="0" w:space="0" w:color="auto"/>
                                    <w:left w:val="none" w:sz="0" w:space="0" w:color="auto"/>
                                    <w:bottom w:val="none" w:sz="0" w:space="0" w:color="auto"/>
                                    <w:right w:val="none" w:sz="0" w:space="0" w:color="auto"/>
                                  </w:divBdr>
                                </w:div>
                                <w:div w:id="525749649">
                                  <w:marLeft w:val="0"/>
                                  <w:marRight w:val="0"/>
                                  <w:marTop w:val="0"/>
                                  <w:marBottom w:val="0"/>
                                  <w:divBdr>
                                    <w:top w:val="none" w:sz="0" w:space="0" w:color="auto"/>
                                    <w:left w:val="none" w:sz="0" w:space="0" w:color="auto"/>
                                    <w:bottom w:val="none" w:sz="0" w:space="0" w:color="auto"/>
                                    <w:right w:val="none" w:sz="0" w:space="0" w:color="auto"/>
                                  </w:divBdr>
                                </w:div>
                                <w:div w:id="1451584315">
                                  <w:marLeft w:val="0"/>
                                  <w:marRight w:val="0"/>
                                  <w:marTop w:val="0"/>
                                  <w:marBottom w:val="0"/>
                                  <w:divBdr>
                                    <w:top w:val="none" w:sz="0" w:space="0" w:color="auto"/>
                                    <w:left w:val="none" w:sz="0" w:space="0" w:color="auto"/>
                                    <w:bottom w:val="none" w:sz="0" w:space="0" w:color="auto"/>
                                    <w:right w:val="none" w:sz="0" w:space="0" w:color="auto"/>
                                  </w:divBdr>
                                </w:div>
                                <w:div w:id="1375882659">
                                  <w:marLeft w:val="0"/>
                                  <w:marRight w:val="0"/>
                                  <w:marTop w:val="0"/>
                                  <w:marBottom w:val="0"/>
                                  <w:divBdr>
                                    <w:top w:val="none" w:sz="0" w:space="0" w:color="auto"/>
                                    <w:left w:val="none" w:sz="0" w:space="0" w:color="auto"/>
                                    <w:bottom w:val="none" w:sz="0" w:space="0" w:color="auto"/>
                                    <w:right w:val="none" w:sz="0" w:space="0" w:color="auto"/>
                                  </w:divBdr>
                                </w:div>
                                <w:div w:id="151024112">
                                  <w:marLeft w:val="0"/>
                                  <w:marRight w:val="0"/>
                                  <w:marTop w:val="0"/>
                                  <w:marBottom w:val="0"/>
                                  <w:divBdr>
                                    <w:top w:val="none" w:sz="0" w:space="0" w:color="auto"/>
                                    <w:left w:val="none" w:sz="0" w:space="0" w:color="auto"/>
                                    <w:bottom w:val="none" w:sz="0" w:space="0" w:color="auto"/>
                                    <w:right w:val="none" w:sz="0" w:space="0" w:color="auto"/>
                                  </w:divBdr>
                                </w:div>
                                <w:div w:id="499857872">
                                  <w:marLeft w:val="0"/>
                                  <w:marRight w:val="0"/>
                                  <w:marTop w:val="0"/>
                                  <w:marBottom w:val="0"/>
                                  <w:divBdr>
                                    <w:top w:val="none" w:sz="0" w:space="0" w:color="auto"/>
                                    <w:left w:val="none" w:sz="0" w:space="0" w:color="auto"/>
                                    <w:bottom w:val="none" w:sz="0" w:space="0" w:color="auto"/>
                                    <w:right w:val="none" w:sz="0" w:space="0" w:color="auto"/>
                                  </w:divBdr>
                                </w:div>
                                <w:div w:id="1890922437">
                                  <w:marLeft w:val="0"/>
                                  <w:marRight w:val="0"/>
                                  <w:marTop w:val="0"/>
                                  <w:marBottom w:val="0"/>
                                  <w:divBdr>
                                    <w:top w:val="none" w:sz="0" w:space="0" w:color="auto"/>
                                    <w:left w:val="none" w:sz="0" w:space="0" w:color="auto"/>
                                    <w:bottom w:val="none" w:sz="0" w:space="0" w:color="auto"/>
                                    <w:right w:val="none" w:sz="0" w:space="0" w:color="auto"/>
                                  </w:divBdr>
                                </w:div>
                                <w:div w:id="617569730">
                                  <w:marLeft w:val="0"/>
                                  <w:marRight w:val="0"/>
                                  <w:marTop w:val="0"/>
                                  <w:marBottom w:val="0"/>
                                  <w:divBdr>
                                    <w:top w:val="none" w:sz="0" w:space="0" w:color="auto"/>
                                    <w:left w:val="none" w:sz="0" w:space="0" w:color="auto"/>
                                    <w:bottom w:val="none" w:sz="0" w:space="0" w:color="auto"/>
                                    <w:right w:val="none" w:sz="0" w:space="0" w:color="auto"/>
                                  </w:divBdr>
                                </w:div>
                                <w:div w:id="1823540191">
                                  <w:marLeft w:val="0"/>
                                  <w:marRight w:val="0"/>
                                  <w:marTop w:val="0"/>
                                  <w:marBottom w:val="0"/>
                                  <w:divBdr>
                                    <w:top w:val="none" w:sz="0" w:space="0" w:color="auto"/>
                                    <w:left w:val="none" w:sz="0" w:space="0" w:color="auto"/>
                                    <w:bottom w:val="none" w:sz="0" w:space="0" w:color="auto"/>
                                    <w:right w:val="none" w:sz="0" w:space="0" w:color="auto"/>
                                  </w:divBdr>
                                </w:div>
                                <w:div w:id="124664777">
                                  <w:marLeft w:val="0"/>
                                  <w:marRight w:val="0"/>
                                  <w:marTop w:val="0"/>
                                  <w:marBottom w:val="0"/>
                                  <w:divBdr>
                                    <w:top w:val="none" w:sz="0" w:space="0" w:color="auto"/>
                                    <w:left w:val="none" w:sz="0" w:space="0" w:color="auto"/>
                                    <w:bottom w:val="none" w:sz="0" w:space="0" w:color="auto"/>
                                    <w:right w:val="none" w:sz="0" w:space="0" w:color="auto"/>
                                  </w:divBdr>
                                </w:div>
                                <w:div w:id="6988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150430">
      <w:bodyDiv w:val="1"/>
      <w:marLeft w:val="0"/>
      <w:marRight w:val="0"/>
      <w:marTop w:val="0"/>
      <w:marBottom w:val="0"/>
      <w:divBdr>
        <w:top w:val="none" w:sz="0" w:space="0" w:color="auto"/>
        <w:left w:val="none" w:sz="0" w:space="0" w:color="auto"/>
        <w:bottom w:val="none" w:sz="0" w:space="0" w:color="auto"/>
        <w:right w:val="none" w:sz="0" w:space="0" w:color="auto"/>
      </w:divBdr>
    </w:div>
    <w:div w:id="469177336">
      <w:bodyDiv w:val="1"/>
      <w:marLeft w:val="0"/>
      <w:marRight w:val="0"/>
      <w:marTop w:val="1125"/>
      <w:marBottom w:val="0"/>
      <w:divBdr>
        <w:top w:val="none" w:sz="0" w:space="0" w:color="auto"/>
        <w:left w:val="none" w:sz="0" w:space="0" w:color="auto"/>
        <w:bottom w:val="none" w:sz="0" w:space="0" w:color="auto"/>
        <w:right w:val="none" w:sz="0" w:space="0" w:color="auto"/>
      </w:divBdr>
      <w:divsChild>
        <w:div w:id="906302556">
          <w:marLeft w:val="0"/>
          <w:marRight w:val="0"/>
          <w:marTop w:val="0"/>
          <w:marBottom w:val="0"/>
          <w:divBdr>
            <w:top w:val="none" w:sz="0" w:space="0" w:color="auto"/>
            <w:left w:val="none" w:sz="0" w:space="0" w:color="auto"/>
            <w:bottom w:val="none" w:sz="0" w:space="0" w:color="auto"/>
            <w:right w:val="none" w:sz="0" w:space="0" w:color="auto"/>
          </w:divBdr>
          <w:divsChild>
            <w:div w:id="800994959">
              <w:marLeft w:val="0"/>
              <w:marRight w:val="0"/>
              <w:marTop w:val="0"/>
              <w:marBottom w:val="0"/>
              <w:divBdr>
                <w:top w:val="none" w:sz="0" w:space="0" w:color="auto"/>
                <w:left w:val="none" w:sz="0" w:space="0" w:color="auto"/>
                <w:bottom w:val="none" w:sz="0" w:space="0" w:color="auto"/>
                <w:right w:val="none" w:sz="0" w:space="0" w:color="auto"/>
              </w:divBdr>
              <w:divsChild>
                <w:div w:id="2099209244">
                  <w:marLeft w:val="0"/>
                  <w:marRight w:val="0"/>
                  <w:marTop w:val="0"/>
                  <w:marBottom w:val="0"/>
                  <w:divBdr>
                    <w:top w:val="none" w:sz="0" w:space="0" w:color="auto"/>
                    <w:left w:val="none" w:sz="0" w:space="0" w:color="auto"/>
                    <w:bottom w:val="none" w:sz="0" w:space="0" w:color="auto"/>
                    <w:right w:val="none" w:sz="0" w:space="0" w:color="auto"/>
                  </w:divBdr>
                  <w:divsChild>
                    <w:div w:id="1875268994">
                      <w:marLeft w:val="0"/>
                      <w:marRight w:val="0"/>
                      <w:marTop w:val="0"/>
                      <w:marBottom w:val="0"/>
                      <w:divBdr>
                        <w:top w:val="none" w:sz="0" w:space="0" w:color="auto"/>
                        <w:left w:val="none" w:sz="0" w:space="0" w:color="auto"/>
                        <w:bottom w:val="none" w:sz="0" w:space="0" w:color="auto"/>
                        <w:right w:val="none" w:sz="0" w:space="0" w:color="auto"/>
                      </w:divBdr>
                      <w:divsChild>
                        <w:div w:id="370424105">
                          <w:marLeft w:val="0"/>
                          <w:marRight w:val="0"/>
                          <w:marTop w:val="0"/>
                          <w:marBottom w:val="0"/>
                          <w:divBdr>
                            <w:top w:val="none" w:sz="0" w:space="0" w:color="auto"/>
                            <w:left w:val="none" w:sz="0" w:space="0" w:color="auto"/>
                            <w:bottom w:val="none" w:sz="0" w:space="0" w:color="auto"/>
                            <w:right w:val="none" w:sz="0" w:space="0" w:color="auto"/>
                          </w:divBdr>
                          <w:divsChild>
                            <w:div w:id="325593398">
                              <w:marLeft w:val="0"/>
                              <w:marRight w:val="0"/>
                              <w:marTop w:val="0"/>
                              <w:marBottom w:val="0"/>
                              <w:divBdr>
                                <w:top w:val="none" w:sz="0" w:space="0" w:color="auto"/>
                                <w:left w:val="none" w:sz="0" w:space="0" w:color="auto"/>
                                <w:bottom w:val="none" w:sz="0" w:space="0" w:color="auto"/>
                                <w:right w:val="none" w:sz="0" w:space="0" w:color="auto"/>
                              </w:divBdr>
                              <w:divsChild>
                                <w:div w:id="15627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342220">
      <w:bodyDiv w:val="1"/>
      <w:marLeft w:val="0"/>
      <w:marRight w:val="0"/>
      <w:marTop w:val="0"/>
      <w:marBottom w:val="0"/>
      <w:divBdr>
        <w:top w:val="none" w:sz="0" w:space="0" w:color="auto"/>
        <w:left w:val="none" w:sz="0" w:space="0" w:color="auto"/>
        <w:bottom w:val="none" w:sz="0" w:space="0" w:color="auto"/>
        <w:right w:val="none" w:sz="0" w:space="0" w:color="auto"/>
      </w:divBdr>
      <w:divsChild>
        <w:div w:id="121873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220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cardi.it/dizionario/2439.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ocardi.it/dizionario/499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cardi.it/dizionario/4992.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ocardi.it/dizionario/5102.html" TargetMode="External"/><Relationship Id="rId4" Type="http://schemas.openxmlformats.org/officeDocument/2006/relationships/settings" Target="settings.xml"/><Relationship Id="rId9" Type="http://schemas.openxmlformats.org/officeDocument/2006/relationships/hyperlink" Target="https://www.brocardi.it/dizionario/5259.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enalecontemporaneo.it/upload/1391681025relazione_Commissione_Fiandaca.pdf" TargetMode="External"/><Relationship Id="rId1" Type="http://schemas.openxmlformats.org/officeDocument/2006/relationships/hyperlink" Target="https://www.giustizia-amministrativa.it/cdsintra/wcm/idc/groups/public/documents/document/mday/odcy/~edisp/qhiekxeaketwayuovglfdfpch4.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590F-95ED-42CE-94F7-7C84B47E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3510</Words>
  <Characters>20009</Characters>
  <Application>Microsoft Office Word</Application>
  <DocSecurity>4</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FERRARI Giulia</cp:lastModifiedBy>
  <cp:revision>2</cp:revision>
  <dcterms:created xsi:type="dcterms:W3CDTF">2018-11-25T09:04:00Z</dcterms:created>
  <dcterms:modified xsi:type="dcterms:W3CDTF">2018-11-25T09:04:00Z</dcterms:modified>
</cp:coreProperties>
</file>