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DB15" w14:textId="41F783B8" w:rsidR="004A7D9E" w:rsidRDefault="00002F83">
      <w:pPr>
        <w:spacing w:after="0" w:line="360" w:lineRule="auto"/>
        <w:jc w:val="center"/>
        <w:rPr>
          <w:b/>
          <w:sz w:val="28"/>
          <w:szCs w:val="28"/>
          <w:lang w:val="en-US"/>
        </w:rPr>
      </w:pPr>
      <w:r>
        <w:rPr>
          <w:b/>
          <w:sz w:val="28"/>
          <w:szCs w:val="28"/>
          <w:lang w:val="en-US"/>
        </w:rPr>
        <w:t xml:space="preserve">The </w:t>
      </w:r>
      <w:r w:rsidR="00643219" w:rsidRPr="00E2594E">
        <w:rPr>
          <w:b/>
          <w:sz w:val="28"/>
          <w:szCs w:val="28"/>
          <w:lang w:val="en-US"/>
        </w:rPr>
        <w:t>pre-trial</w:t>
      </w:r>
      <w:r>
        <w:rPr>
          <w:b/>
          <w:sz w:val="28"/>
          <w:szCs w:val="28"/>
          <w:lang w:val="en-US"/>
        </w:rPr>
        <w:t xml:space="preserve"> procedure in </w:t>
      </w:r>
      <w:bookmarkStart w:id="0" w:name="OLE_LINK1"/>
      <w:bookmarkStart w:id="1" w:name="OLE_LINK2"/>
      <w:r>
        <w:rPr>
          <w:b/>
          <w:sz w:val="28"/>
          <w:szCs w:val="28"/>
          <w:lang w:val="en-US"/>
        </w:rPr>
        <w:t>the judicial review of the acts of regulatory authorities</w:t>
      </w:r>
      <w:r w:rsidR="00520429">
        <w:rPr>
          <w:b/>
          <w:sz w:val="28"/>
          <w:szCs w:val="28"/>
          <w:lang w:val="en-US"/>
        </w:rPr>
        <w:t xml:space="preserve"> </w:t>
      </w:r>
      <w:bookmarkEnd w:id="0"/>
      <w:bookmarkEnd w:id="1"/>
      <w:r w:rsidR="00520429">
        <w:rPr>
          <w:b/>
          <w:sz w:val="28"/>
          <w:szCs w:val="28"/>
          <w:lang w:val="en-US"/>
        </w:rPr>
        <w:t>in the Greek legal order.</w:t>
      </w:r>
    </w:p>
    <w:p w14:paraId="4F84FE4A" w14:textId="3C1C2B8F" w:rsidR="004C2A0C" w:rsidRDefault="004C2A0C" w:rsidP="004C2A0C">
      <w:pPr>
        <w:spacing w:after="0" w:line="360" w:lineRule="auto"/>
        <w:jc w:val="right"/>
        <w:rPr>
          <w:b/>
          <w:sz w:val="28"/>
          <w:szCs w:val="28"/>
          <w:lang w:val="en-US"/>
        </w:rPr>
      </w:pPr>
    </w:p>
    <w:p w14:paraId="1FBFDC27" w14:textId="7265D485" w:rsidR="004C2A0C" w:rsidRPr="004C2A0C" w:rsidRDefault="004C2A0C" w:rsidP="004C2A0C">
      <w:pPr>
        <w:spacing w:after="0" w:line="360" w:lineRule="auto"/>
        <w:jc w:val="right"/>
        <w:rPr>
          <w:b/>
          <w:i/>
          <w:iCs/>
          <w:lang w:val="en-US"/>
        </w:rPr>
      </w:pPr>
      <w:r w:rsidRPr="004C2A0C">
        <w:rPr>
          <w:b/>
          <w:i/>
          <w:iCs/>
          <w:lang w:val="en-US"/>
        </w:rPr>
        <w:t xml:space="preserve">Nikolaos </w:t>
      </w:r>
      <w:proofErr w:type="spellStart"/>
      <w:r w:rsidRPr="004C2A0C">
        <w:rPr>
          <w:b/>
          <w:i/>
          <w:iCs/>
          <w:lang w:val="en-US"/>
        </w:rPr>
        <w:t>Nikolakis</w:t>
      </w:r>
      <w:proofErr w:type="spellEnd"/>
      <w:r w:rsidRPr="004C2A0C">
        <w:rPr>
          <w:b/>
          <w:i/>
          <w:iCs/>
          <w:lang w:val="en-US"/>
        </w:rPr>
        <w:t xml:space="preserve">, Associate Judge, </w:t>
      </w:r>
      <w:r w:rsidR="00006AAC">
        <w:rPr>
          <w:b/>
          <w:i/>
          <w:iCs/>
          <w:lang w:val="en-US"/>
        </w:rPr>
        <w:t xml:space="preserve">Hellenic </w:t>
      </w:r>
      <w:r w:rsidRPr="004C2A0C">
        <w:rPr>
          <w:b/>
          <w:i/>
          <w:iCs/>
          <w:lang w:val="en-US"/>
        </w:rPr>
        <w:t>Council of State</w:t>
      </w:r>
    </w:p>
    <w:p w14:paraId="55D88181" w14:textId="77777777" w:rsidR="004A7D9E" w:rsidRDefault="004A7D9E">
      <w:pPr>
        <w:jc w:val="center"/>
        <w:rPr>
          <w:b/>
          <w:sz w:val="28"/>
          <w:szCs w:val="28"/>
          <w:lang w:val="en-US"/>
        </w:rPr>
      </w:pPr>
    </w:p>
    <w:p w14:paraId="6DED19A3" w14:textId="0EA00D7C" w:rsidR="004A7D9E" w:rsidRDefault="00643219">
      <w:pPr>
        <w:spacing w:after="0" w:line="360" w:lineRule="auto"/>
        <w:jc w:val="both"/>
        <w:rPr>
          <w:bCs/>
          <w:sz w:val="28"/>
          <w:szCs w:val="28"/>
          <w:lang w:val="en-US"/>
        </w:rPr>
      </w:pPr>
      <w:r>
        <w:rPr>
          <w:bCs/>
          <w:sz w:val="28"/>
          <w:szCs w:val="28"/>
          <w:lang w:val="en-US"/>
        </w:rPr>
        <w:t>According to the Greek</w:t>
      </w:r>
      <w:r w:rsidR="00002F83">
        <w:rPr>
          <w:bCs/>
          <w:sz w:val="28"/>
          <w:szCs w:val="28"/>
          <w:lang w:val="en-US"/>
        </w:rPr>
        <w:t xml:space="preserve"> procedural system of administrative </w:t>
      </w:r>
      <w:r w:rsidRPr="00E2594E">
        <w:rPr>
          <w:bCs/>
          <w:sz w:val="28"/>
          <w:szCs w:val="28"/>
          <w:lang w:val="en-US"/>
        </w:rPr>
        <w:t>litigation</w:t>
      </w:r>
      <w:r>
        <w:rPr>
          <w:bCs/>
          <w:sz w:val="28"/>
          <w:szCs w:val="28"/>
          <w:lang w:val="en-US"/>
        </w:rPr>
        <w:t>,</w:t>
      </w:r>
      <w:r w:rsidR="00002F83">
        <w:rPr>
          <w:bCs/>
          <w:sz w:val="28"/>
          <w:szCs w:val="28"/>
          <w:lang w:val="en-US"/>
        </w:rPr>
        <w:t xml:space="preserve"> </w:t>
      </w:r>
      <w:r w:rsidR="00C64584">
        <w:rPr>
          <w:bCs/>
          <w:sz w:val="28"/>
          <w:szCs w:val="28"/>
          <w:lang w:val="en-US"/>
        </w:rPr>
        <w:t xml:space="preserve">acts </w:t>
      </w:r>
      <w:r w:rsidR="006876BC">
        <w:rPr>
          <w:bCs/>
          <w:sz w:val="28"/>
          <w:szCs w:val="28"/>
          <w:lang w:val="en-US"/>
        </w:rPr>
        <w:t xml:space="preserve">adopted </w:t>
      </w:r>
      <w:r w:rsidR="00C64584">
        <w:rPr>
          <w:bCs/>
          <w:sz w:val="28"/>
          <w:szCs w:val="28"/>
          <w:lang w:val="en-US"/>
        </w:rPr>
        <w:t>by</w:t>
      </w:r>
      <w:r w:rsidR="00002F83">
        <w:rPr>
          <w:bCs/>
          <w:sz w:val="28"/>
          <w:szCs w:val="28"/>
          <w:lang w:val="en-US"/>
        </w:rPr>
        <w:t xml:space="preserve"> regulatory authorities may be </w:t>
      </w:r>
      <w:r w:rsidR="00002F83" w:rsidRPr="00E2594E">
        <w:rPr>
          <w:bCs/>
          <w:sz w:val="28"/>
          <w:szCs w:val="28"/>
          <w:lang w:val="en-US"/>
        </w:rPr>
        <w:t>challenged</w:t>
      </w:r>
      <w:r w:rsidR="00002F83">
        <w:rPr>
          <w:bCs/>
          <w:sz w:val="28"/>
          <w:szCs w:val="28"/>
          <w:lang w:val="en-US"/>
        </w:rPr>
        <w:t xml:space="preserve"> by means of an </w:t>
      </w:r>
      <w:r w:rsidR="00002F83" w:rsidRPr="00E2594E">
        <w:rPr>
          <w:bCs/>
          <w:sz w:val="28"/>
          <w:szCs w:val="28"/>
          <w:lang w:val="en-US"/>
        </w:rPr>
        <w:t>action</w:t>
      </w:r>
      <w:r w:rsidR="00002F83">
        <w:rPr>
          <w:bCs/>
          <w:sz w:val="28"/>
          <w:szCs w:val="28"/>
          <w:lang w:val="en-US"/>
        </w:rPr>
        <w:t xml:space="preserve"> for annulment (</w:t>
      </w:r>
      <w:proofErr w:type="spellStart"/>
      <w:r w:rsidR="00002F83">
        <w:rPr>
          <w:bCs/>
          <w:i/>
          <w:iCs/>
          <w:sz w:val="28"/>
          <w:szCs w:val="28"/>
          <w:lang w:val="en-US"/>
        </w:rPr>
        <w:t>recours</w:t>
      </w:r>
      <w:proofErr w:type="spellEnd"/>
      <w:r w:rsidR="00002F83">
        <w:rPr>
          <w:bCs/>
          <w:i/>
          <w:iCs/>
          <w:sz w:val="28"/>
          <w:szCs w:val="28"/>
          <w:lang w:val="en-US"/>
        </w:rPr>
        <w:t xml:space="preserve"> pour </w:t>
      </w:r>
      <w:proofErr w:type="spellStart"/>
      <w:r w:rsidR="00002F83">
        <w:rPr>
          <w:bCs/>
          <w:i/>
          <w:iCs/>
          <w:sz w:val="28"/>
          <w:szCs w:val="28"/>
          <w:lang w:val="en-US"/>
        </w:rPr>
        <w:t>excès</w:t>
      </w:r>
      <w:proofErr w:type="spellEnd"/>
      <w:r w:rsidR="00002F83">
        <w:rPr>
          <w:bCs/>
          <w:i/>
          <w:iCs/>
          <w:sz w:val="28"/>
          <w:szCs w:val="28"/>
          <w:lang w:val="en-US"/>
        </w:rPr>
        <w:t xml:space="preserve"> de </w:t>
      </w:r>
      <w:proofErr w:type="spellStart"/>
      <w:r w:rsidR="00002F83">
        <w:rPr>
          <w:bCs/>
          <w:i/>
          <w:iCs/>
          <w:sz w:val="28"/>
          <w:szCs w:val="28"/>
          <w:lang w:val="en-US"/>
        </w:rPr>
        <w:t>pouvoir</w:t>
      </w:r>
      <w:proofErr w:type="spellEnd"/>
      <w:r w:rsidR="00002F83">
        <w:rPr>
          <w:bCs/>
          <w:sz w:val="28"/>
          <w:szCs w:val="28"/>
          <w:lang w:val="en-US"/>
        </w:rPr>
        <w:t xml:space="preserve">) before the Council of State, limited to reviewing their legality, while individual acts may be </w:t>
      </w:r>
      <w:r w:rsidR="00002F83" w:rsidRPr="00E2594E">
        <w:rPr>
          <w:bCs/>
          <w:sz w:val="28"/>
          <w:szCs w:val="28"/>
          <w:lang w:val="en-US"/>
        </w:rPr>
        <w:t>challenged</w:t>
      </w:r>
      <w:r w:rsidR="00002F83">
        <w:rPr>
          <w:bCs/>
          <w:sz w:val="28"/>
          <w:szCs w:val="28"/>
          <w:lang w:val="en-US"/>
        </w:rPr>
        <w:t xml:space="preserve"> by means of an appeal (</w:t>
      </w:r>
      <w:proofErr w:type="spellStart"/>
      <w:r w:rsidR="00002F83">
        <w:rPr>
          <w:bCs/>
          <w:i/>
          <w:iCs/>
          <w:sz w:val="28"/>
          <w:szCs w:val="28"/>
          <w:lang w:val="en-US"/>
        </w:rPr>
        <w:t>recours</w:t>
      </w:r>
      <w:proofErr w:type="spellEnd"/>
      <w:r w:rsidR="00002F83">
        <w:rPr>
          <w:bCs/>
          <w:i/>
          <w:iCs/>
          <w:sz w:val="28"/>
          <w:szCs w:val="28"/>
          <w:lang w:val="en-US"/>
        </w:rPr>
        <w:t xml:space="preserve"> de </w:t>
      </w:r>
      <w:proofErr w:type="spellStart"/>
      <w:r w:rsidR="00002F83">
        <w:rPr>
          <w:bCs/>
          <w:i/>
          <w:iCs/>
          <w:sz w:val="28"/>
          <w:szCs w:val="28"/>
          <w:lang w:val="en-US"/>
        </w:rPr>
        <w:t>pleine</w:t>
      </w:r>
      <w:proofErr w:type="spellEnd"/>
      <w:r w:rsidR="00002F83">
        <w:rPr>
          <w:bCs/>
          <w:i/>
          <w:iCs/>
          <w:sz w:val="28"/>
          <w:szCs w:val="28"/>
          <w:lang w:val="en-US"/>
        </w:rPr>
        <w:t xml:space="preserve"> </w:t>
      </w:r>
      <w:proofErr w:type="spellStart"/>
      <w:r w:rsidR="00002F83">
        <w:rPr>
          <w:bCs/>
          <w:i/>
          <w:iCs/>
          <w:sz w:val="28"/>
          <w:szCs w:val="28"/>
          <w:lang w:val="en-US"/>
        </w:rPr>
        <w:t>juridiction</w:t>
      </w:r>
      <w:proofErr w:type="spellEnd"/>
      <w:r w:rsidR="00002F83">
        <w:rPr>
          <w:bCs/>
          <w:sz w:val="28"/>
          <w:szCs w:val="28"/>
          <w:lang w:val="en-US"/>
        </w:rPr>
        <w:t>) before the administrat</w:t>
      </w:r>
      <w:r w:rsidR="009304F0">
        <w:rPr>
          <w:bCs/>
          <w:sz w:val="28"/>
          <w:szCs w:val="28"/>
          <w:lang w:val="en-US"/>
        </w:rPr>
        <w:t>ive court</w:t>
      </w:r>
      <w:r w:rsidR="00002F83">
        <w:rPr>
          <w:bCs/>
          <w:sz w:val="28"/>
          <w:szCs w:val="28"/>
          <w:lang w:val="en-US"/>
        </w:rPr>
        <w:t xml:space="preserve"> of appeal, </w:t>
      </w:r>
      <w:r w:rsidR="006517B4">
        <w:rPr>
          <w:bCs/>
          <w:sz w:val="28"/>
          <w:szCs w:val="28"/>
          <w:lang w:val="en-US"/>
        </w:rPr>
        <w:t>acting a</w:t>
      </w:r>
      <w:r w:rsidR="009304F0">
        <w:rPr>
          <w:bCs/>
          <w:sz w:val="28"/>
          <w:szCs w:val="28"/>
          <w:lang w:val="en-US"/>
        </w:rPr>
        <w:t>s court</w:t>
      </w:r>
      <w:r w:rsidR="006517B4">
        <w:rPr>
          <w:bCs/>
          <w:sz w:val="28"/>
          <w:szCs w:val="28"/>
          <w:lang w:val="en-US"/>
        </w:rPr>
        <w:t xml:space="preserve"> of </w:t>
      </w:r>
      <w:r w:rsidR="00002F83">
        <w:rPr>
          <w:bCs/>
          <w:sz w:val="28"/>
          <w:szCs w:val="28"/>
          <w:lang w:val="en-US"/>
        </w:rPr>
        <w:t xml:space="preserve">full jurisdiction. </w:t>
      </w:r>
      <w:r w:rsidR="006876BC">
        <w:rPr>
          <w:bCs/>
          <w:sz w:val="28"/>
          <w:szCs w:val="28"/>
          <w:lang w:val="en-US"/>
        </w:rPr>
        <w:t>Understandably, the a</w:t>
      </w:r>
      <w:r w:rsidR="006876BC" w:rsidRPr="00306607">
        <w:rPr>
          <w:bCs/>
          <w:sz w:val="28"/>
          <w:szCs w:val="28"/>
          <w:lang w:val="en-US"/>
        </w:rPr>
        <w:t xml:space="preserve">forementioned </w:t>
      </w:r>
      <w:r w:rsidR="00002F83">
        <w:rPr>
          <w:bCs/>
          <w:sz w:val="28"/>
          <w:szCs w:val="28"/>
          <w:lang w:val="en-US"/>
        </w:rPr>
        <w:t xml:space="preserve">distinction </w:t>
      </w:r>
      <w:r w:rsidR="006876BC">
        <w:rPr>
          <w:bCs/>
          <w:sz w:val="28"/>
          <w:szCs w:val="28"/>
          <w:lang w:val="en-US"/>
        </w:rPr>
        <w:t xml:space="preserve">results in the application of an equally different procedural framework for each category of </w:t>
      </w:r>
      <w:r w:rsidR="001E4B6D">
        <w:rPr>
          <w:bCs/>
          <w:sz w:val="28"/>
          <w:szCs w:val="28"/>
          <w:lang w:val="en-US"/>
        </w:rPr>
        <w:t>disputes</w:t>
      </w:r>
      <w:r w:rsidR="00002F83">
        <w:rPr>
          <w:bCs/>
          <w:sz w:val="28"/>
          <w:szCs w:val="28"/>
          <w:lang w:val="en-US"/>
        </w:rPr>
        <w:t xml:space="preserve">, </w:t>
      </w:r>
      <w:r w:rsidR="00A91AE7">
        <w:rPr>
          <w:bCs/>
          <w:sz w:val="28"/>
          <w:szCs w:val="28"/>
          <w:lang w:val="en-US"/>
        </w:rPr>
        <w:t>thus</w:t>
      </w:r>
      <w:r w:rsidR="00002F83">
        <w:rPr>
          <w:bCs/>
          <w:sz w:val="28"/>
          <w:szCs w:val="28"/>
          <w:lang w:val="en-US"/>
        </w:rPr>
        <w:t xml:space="preserve"> </w:t>
      </w:r>
      <w:r w:rsidR="00A91AE7">
        <w:rPr>
          <w:bCs/>
          <w:sz w:val="28"/>
          <w:szCs w:val="28"/>
          <w:lang w:val="en-US"/>
        </w:rPr>
        <w:t xml:space="preserve">differentiating the </w:t>
      </w:r>
      <w:r w:rsidR="00B211C7">
        <w:rPr>
          <w:bCs/>
          <w:sz w:val="28"/>
          <w:szCs w:val="28"/>
          <w:lang w:val="en-US"/>
        </w:rPr>
        <w:t xml:space="preserve">powers </w:t>
      </w:r>
      <w:r w:rsidR="00002F83">
        <w:rPr>
          <w:bCs/>
          <w:sz w:val="28"/>
          <w:szCs w:val="28"/>
          <w:lang w:val="en-US"/>
        </w:rPr>
        <w:t xml:space="preserve">of </w:t>
      </w:r>
      <w:r w:rsidR="009304F0">
        <w:rPr>
          <w:bCs/>
          <w:sz w:val="28"/>
          <w:szCs w:val="28"/>
          <w:lang w:val="en-US"/>
        </w:rPr>
        <w:t xml:space="preserve">each </w:t>
      </w:r>
      <w:r w:rsidR="00002F83">
        <w:rPr>
          <w:bCs/>
          <w:sz w:val="28"/>
          <w:szCs w:val="28"/>
          <w:lang w:val="en-US"/>
        </w:rPr>
        <w:t>court in the preparation of these cases</w:t>
      </w:r>
      <w:r w:rsidR="006876BC">
        <w:rPr>
          <w:bCs/>
          <w:sz w:val="28"/>
          <w:szCs w:val="28"/>
          <w:lang w:val="en-US"/>
        </w:rPr>
        <w:t xml:space="preserve">. However, despite their differences, the two procedures share a common core shaped by the two axes </w:t>
      </w:r>
      <w:r w:rsidR="00002F83">
        <w:rPr>
          <w:bCs/>
          <w:sz w:val="28"/>
          <w:szCs w:val="28"/>
          <w:lang w:val="en-US"/>
        </w:rPr>
        <w:t xml:space="preserve">of </w:t>
      </w:r>
      <w:r w:rsidR="006876BC">
        <w:rPr>
          <w:bCs/>
          <w:sz w:val="28"/>
          <w:szCs w:val="28"/>
          <w:lang w:val="en-US"/>
        </w:rPr>
        <w:t xml:space="preserve">the </w:t>
      </w:r>
      <w:r w:rsidR="00002F83" w:rsidRPr="00E2594E">
        <w:rPr>
          <w:bCs/>
          <w:sz w:val="28"/>
          <w:szCs w:val="28"/>
          <w:lang w:val="en-US"/>
        </w:rPr>
        <w:t>pre-trial</w:t>
      </w:r>
      <w:r w:rsidR="00002F83">
        <w:rPr>
          <w:bCs/>
          <w:sz w:val="28"/>
          <w:szCs w:val="28"/>
          <w:lang w:val="en-US"/>
        </w:rPr>
        <w:t xml:space="preserve"> procedure</w:t>
      </w:r>
      <w:r w:rsidR="003F4C72">
        <w:rPr>
          <w:bCs/>
          <w:sz w:val="28"/>
          <w:szCs w:val="28"/>
          <w:lang w:val="en-US"/>
        </w:rPr>
        <w:t xml:space="preserve">: </w:t>
      </w:r>
      <w:r w:rsidR="006876BC">
        <w:rPr>
          <w:bCs/>
          <w:sz w:val="28"/>
          <w:szCs w:val="28"/>
          <w:lang w:val="en-US"/>
        </w:rPr>
        <w:t xml:space="preserve">on the one hand, the cruciality of the role of the </w:t>
      </w:r>
      <w:r w:rsidR="00002F83">
        <w:rPr>
          <w:bCs/>
          <w:sz w:val="28"/>
          <w:szCs w:val="28"/>
          <w:lang w:val="en-US"/>
        </w:rPr>
        <w:t>judge-rapporteur</w:t>
      </w:r>
      <w:r w:rsidR="006876BC">
        <w:rPr>
          <w:bCs/>
          <w:sz w:val="28"/>
          <w:szCs w:val="28"/>
          <w:lang w:val="en-US"/>
        </w:rPr>
        <w:t xml:space="preserve"> </w:t>
      </w:r>
      <w:r w:rsidR="003F4C72">
        <w:rPr>
          <w:bCs/>
          <w:sz w:val="28"/>
          <w:szCs w:val="28"/>
          <w:lang w:val="en-US"/>
        </w:rPr>
        <w:t xml:space="preserve">who is vested </w:t>
      </w:r>
      <w:r w:rsidR="00002F83">
        <w:rPr>
          <w:bCs/>
          <w:sz w:val="28"/>
          <w:szCs w:val="28"/>
          <w:lang w:val="en-US"/>
        </w:rPr>
        <w:t xml:space="preserve">with the </w:t>
      </w:r>
      <w:r w:rsidR="006876BC">
        <w:rPr>
          <w:bCs/>
          <w:sz w:val="28"/>
          <w:szCs w:val="28"/>
          <w:lang w:val="en-US"/>
        </w:rPr>
        <w:t xml:space="preserve">necessary </w:t>
      </w:r>
      <w:r w:rsidR="00002F83">
        <w:rPr>
          <w:bCs/>
          <w:sz w:val="28"/>
          <w:szCs w:val="28"/>
          <w:lang w:val="en-US"/>
        </w:rPr>
        <w:t>powers to clarify the</w:t>
      </w:r>
      <w:r w:rsidR="004104E6">
        <w:rPr>
          <w:bCs/>
          <w:sz w:val="28"/>
          <w:szCs w:val="28"/>
          <w:lang w:val="en-US"/>
        </w:rPr>
        <w:t xml:space="preserve"> </w:t>
      </w:r>
      <w:r w:rsidR="00002F83">
        <w:rPr>
          <w:bCs/>
          <w:sz w:val="28"/>
          <w:szCs w:val="28"/>
          <w:lang w:val="en-US"/>
        </w:rPr>
        <w:t xml:space="preserve">(often highly complex) </w:t>
      </w:r>
      <w:r w:rsidR="004104E6">
        <w:rPr>
          <w:bCs/>
          <w:sz w:val="28"/>
          <w:szCs w:val="28"/>
          <w:lang w:val="en-US"/>
        </w:rPr>
        <w:t xml:space="preserve">factual, i.e. </w:t>
      </w:r>
      <w:r w:rsidR="00002F83">
        <w:rPr>
          <w:bCs/>
          <w:sz w:val="28"/>
          <w:szCs w:val="28"/>
          <w:lang w:val="en-US"/>
        </w:rPr>
        <w:t>technical</w:t>
      </w:r>
      <w:r w:rsidR="004104E6">
        <w:rPr>
          <w:bCs/>
          <w:sz w:val="28"/>
          <w:szCs w:val="28"/>
          <w:lang w:val="en-US"/>
        </w:rPr>
        <w:t>,</w:t>
      </w:r>
      <w:r w:rsidR="00002F83">
        <w:rPr>
          <w:bCs/>
          <w:sz w:val="28"/>
          <w:szCs w:val="28"/>
          <w:lang w:val="en-US"/>
        </w:rPr>
        <w:t xml:space="preserve"> issues arising in </w:t>
      </w:r>
      <w:r w:rsidR="00002F83" w:rsidRPr="00341C26">
        <w:rPr>
          <w:bCs/>
          <w:sz w:val="28"/>
          <w:szCs w:val="28"/>
          <w:lang w:val="en-US"/>
        </w:rPr>
        <w:t>the proceedings</w:t>
      </w:r>
      <w:r w:rsidR="00341C26">
        <w:rPr>
          <w:bCs/>
          <w:sz w:val="28"/>
          <w:szCs w:val="28"/>
          <w:lang w:val="en-US"/>
        </w:rPr>
        <w:t xml:space="preserve"> (I), </w:t>
      </w:r>
      <w:r w:rsidR="006876BC">
        <w:rPr>
          <w:bCs/>
          <w:sz w:val="28"/>
          <w:szCs w:val="28"/>
          <w:lang w:val="en-US"/>
        </w:rPr>
        <w:t xml:space="preserve">and on the other hand the </w:t>
      </w:r>
      <w:r w:rsidR="003F4C72">
        <w:rPr>
          <w:bCs/>
          <w:sz w:val="28"/>
          <w:szCs w:val="28"/>
          <w:lang w:val="en-US"/>
        </w:rPr>
        <w:t>power</w:t>
      </w:r>
      <w:r w:rsidR="006876BC">
        <w:rPr>
          <w:bCs/>
          <w:sz w:val="28"/>
          <w:szCs w:val="28"/>
          <w:lang w:val="en-US"/>
        </w:rPr>
        <w:t xml:space="preserve"> of the courts </w:t>
      </w:r>
      <w:r w:rsidR="00341C26" w:rsidRPr="00341C26">
        <w:rPr>
          <w:bCs/>
          <w:sz w:val="28"/>
          <w:szCs w:val="28"/>
          <w:lang w:val="en-US"/>
        </w:rPr>
        <w:t xml:space="preserve">themselves to return to any </w:t>
      </w:r>
      <w:r w:rsidR="00341C26" w:rsidRPr="00E2594E">
        <w:rPr>
          <w:bCs/>
          <w:sz w:val="28"/>
          <w:szCs w:val="28"/>
          <w:lang w:val="en-US"/>
        </w:rPr>
        <w:t>matter</w:t>
      </w:r>
      <w:r w:rsidR="00341C26" w:rsidRPr="00341C26">
        <w:rPr>
          <w:bCs/>
          <w:sz w:val="28"/>
          <w:szCs w:val="28"/>
          <w:lang w:val="en-US"/>
        </w:rPr>
        <w:t xml:space="preserve"> which, in their </w:t>
      </w:r>
      <w:r w:rsidR="00341C26" w:rsidRPr="00E2594E">
        <w:rPr>
          <w:bCs/>
          <w:sz w:val="28"/>
          <w:szCs w:val="28"/>
          <w:lang w:val="en-US"/>
        </w:rPr>
        <w:t>view</w:t>
      </w:r>
      <w:r w:rsidR="00341C26" w:rsidRPr="00341C26">
        <w:rPr>
          <w:bCs/>
          <w:sz w:val="28"/>
          <w:szCs w:val="28"/>
          <w:lang w:val="en-US"/>
        </w:rPr>
        <w:t>, requires further investigation in order to form a sound conviction (II).</w:t>
      </w:r>
    </w:p>
    <w:p w14:paraId="3BFD7202" w14:textId="77777777" w:rsidR="004A7D9E" w:rsidRDefault="004A7D9E">
      <w:pPr>
        <w:jc w:val="both"/>
        <w:rPr>
          <w:bCs/>
          <w:sz w:val="28"/>
          <w:szCs w:val="28"/>
          <w:lang w:val="en-US"/>
        </w:rPr>
      </w:pPr>
    </w:p>
    <w:p w14:paraId="050B90DF" w14:textId="21518097" w:rsidR="004A7D9E" w:rsidRDefault="00002F83">
      <w:pPr>
        <w:jc w:val="both"/>
        <w:rPr>
          <w:b/>
          <w:sz w:val="28"/>
          <w:szCs w:val="28"/>
          <w:lang w:val="en-US"/>
        </w:rPr>
      </w:pPr>
      <w:r>
        <w:rPr>
          <w:b/>
          <w:sz w:val="28"/>
          <w:szCs w:val="28"/>
        </w:rPr>
        <w:t>Ι</w:t>
      </w:r>
      <w:r>
        <w:rPr>
          <w:b/>
          <w:sz w:val="28"/>
          <w:szCs w:val="28"/>
          <w:lang w:val="en-US"/>
        </w:rPr>
        <w:t xml:space="preserve">. The institutional role of the </w:t>
      </w:r>
      <w:r w:rsidR="004028BF">
        <w:rPr>
          <w:b/>
          <w:sz w:val="28"/>
          <w:szCs w:val="28"/>
          <w:lang w:val="en-US"/>
        </w:rPr>
        <w:t>judge-rapporteur</w:t>
      </w:r>
      <w:r>
        <w:rPr>
          <w:b/>
          <w:sz w:val="28"/>
          <w:szCs w:val="28"/>
          <w:lang w:val="en-US"/>
        </w:rPr>
        <w:t xml:space="preserve"> in disclosing and clarifying the factual basis of the case, especially regarding matters of </w:t>
      </w:r>
      <w:r w:rsidR="00F14CA7">
        <w:rPr>
          <w:b/>
          <w:sz w:val="28"/>
          <w:szCs w:val="28"/>
          <w:lang w:val="en-US"/>
        </w:rPr>
        <w:t xml:space="preserve">a </w:t>
      </w:r>
      <w:r>
        <w:rPr>
          <w:b/>
          <w:sz w:val="28"/>
          <w:szCs w:val="28"/>
          <w:lang w:val="en-US"/>
        </w:rPr>
        <w:t>technical nature.</w:t>
      </w:r>
    </w:p>
    <w:p w14:paraId="27C15BD5" w14:textId="77777777" w:rsidR="004A7D9E" w:rsidRDefault="00002F83">
      <w:pPr>
        <w:spacing w:after="0" w:line="360" w:lineRule="auto"/>
        <w:jc w:val="both"/>
        <w:rPr>
          <w:sz w:val="28"/>
          <w:szCs w:val="28"/>
          <w:lang w:val="en-US"/>
        </w:rPr>
      </w:pPr>
      <w:r>
        <w:rPr>
          <w:sz w:val="28"/>
          <w:szCs w:val="28"/>
        </w:rPr>
        <w:t>Α</w:t>
      </w:r>
      <w:r>
        <w:rPr>
          <w:sz w:val="28"/>
          <w:szCs w:val="28"/>
          <w:lang w:val="en-US"/>
        </w:rPr>
        <w:t>. The standard powers.</w:t>
      </w:r>
    </w:p>
    <w:p w14:paraId="5A557B83" w14:textId="77777777" w:rsidR="00AC1C5F" w:rsidRPr="00D4100F" w:rsidRDefault="00002F83">
      <w:pPr>
        <w:spacing w:after="0" w:line="360" w:lineRule="auto"/>
        <w:jc w:val="both"/>
        <w:rPr>
          <w:sz w:val="28"/>
          <w:szCs w:val="28"/>
          <w:lang w:val="en-US"/>
        </w:rPr>
      </w:pPr>
      <w:r>
        <w:rPr>
          <w:sz w:val="28"/>
          <w:szCs w:val="28"/>
          <w:lang w:val="en-US"/>
        </w:rPr>
        <w:t xml:space="preserve">Article 22 of </w:t>
      </w:r>
      <w:r w:rsidR="009333C5">
        <w:rPr>
          <w:sz w:val="28"/>
          <w:szCs w:val="28"/>
          <w:lang w:val="en-US"/>
        </w:rPr>
        <w:t xml:space="preserve">the </w:t>
      </w:r>
      <w:r>
        <w:rPr>
          <w:sz w:val="28"/>
          <w:szCs w:val="28"/>
          <w:lang w:val="en-US"/>
        </w:rPr>
        <w:t xml:space="preserve">Presidential Decree </w:t>
      </w:r>
      <w:r w:rsidR="00B94879">
        <w:rPr>
          <w:sz w:val="28"/>
          <w:szCs w:val="28"/>
          <w:lang w:val="en-US"/>
        </w:rPr>
        <w:t xml:space="preserve">no. </w:t>
      </w:r>
      <w:r>
        <w:rPr>
          <w:sz w:val="28"/>
          <w:szCs w:val="28"/>
          <w:lang w:val="en-US"/>
        </w:rPr>
        <w:t>18/1989 (</w:t>
      </w:r>
      <w:r w:rsidR="00D60256">
        <w:rPr>
          <w:sz w:val="28"/>
          <w:szCs w:val="28"/>
          <w:lang w:val="en-US"/>
        </w:rPr>
        <w:t xml:space="preserve">Official Gazette </w:t>
      </w:r>
      <w:r>
        <w:rPr>
          <w:sz w:val="28"/>
          <w:szCs w:val="28"/>
          <w:lang w:val="en-US"/>
        </w:rPr>
        <w:t>A</w:t>
      </w:r>
      <w:r>
        <w:rPr>
          <w:sz w:val="28"/>
          <w:szCs w:val="28"/>
        </w:rPr>
        <w:t>΄</w:t>
      </w:r>
      <w:r>
        <w:rPr>
          <w:sz w:val="28"/>
          <w:szCs w:val="28"/>
          <w:lang w:val="en-US"/>
        </w:rPr>
        <w:t xml:space="preserve">8), </w:t>
      </w:r>
      <w:proofErr w:type="gramStart"/>
      <w:r>
        <w:rPr>
          <w:sz w:val="28"/>
          <w:szCs w:val="28"/>
          <w:lang w:val="en-US"/>
        </w:rPr>
        <w:t>i.e.</w:t>
      </w:r>
      <w:proofErr w:type="gramEnd"/>
      <w:r>
        <w:rPr>
          <w:sz w:val="28"/>
          <w:szCs w:val="28"/>
          <w:lang w:val="en-US"/>
        </w:rPr>
        <w:t xml:space="preserve"> the </w:t>
      </w:r>
      <w:bookmarkStart w:id="2" w:name="OLE_LINK3"/>
      <w:bookmarkStart w:id="3" w:name="OLE_LINK4"/>
      <w:r>
        <w:rPr>
          <w:sz w:val="28"/>
          <w:szCs w:val="28"/>
          <w:lang w:val="en-US"/>
        </w:rPr>
        <w:t>procedura</w:t>
      </w:r>
      <w:r w:rsidR="00ED5831">
        <w:rPr>
          <w:sz w:val="28"/>
          <w:szCs w:val="28"/>
          <w:lang w:val="en-US"/>
        </w:rPr>
        <w:t>l code of the Council of State</w:t>
      </w:r>
      <w:bookmarkEnd w:id="2"/>
      <w:bookmarkEnd w:id="3"/>
      <w:r w:rsidR="00ED5831">
        <w:rPr>
          <w:sz w:val="28"/>
          <w:szCs w:val="28"/>
          <w:lang w:val="en-US"/>
        </w:rPr>
        <w:t>,</w:t>
      </w:r>
      <w:r>
        <w:rPr>
          <w:sz w:val="28"/>
          <w:szCs w:val="28"/>
          <w:lang w:val="en-US"/>
        </w:rPr>
        <w:t xml:space="preserve"> </w:t>
      </w:r>
      <w:r w:rsidRPr="005E7DF3">
        <w:rPr>
          <w:sz w:val="28"/>
          <w:szCs w:val="28"/>
          <w:lang w:val="en-US"/>
        </w:rPr>
        <w:t xml:space="preserve">provides </w:t>
      </w:r>
      <w:r w:rsidR="005E7DF3" w:rsidRPr="005E7DF3">
        <w:rPr>
          <w:sz w:val="28"/>
          <w:szCs w:val="28"/>
          <w:lang w:val="en-US"/>
        </w:rPr>
        <w:t>as follows</w:t>
      </w:r>
      <w:r>
        <w:rPr>
          <w:sz w:val="28"/>
          <w:szCs w:val="28"/>
          <w:lang w:val="en-US"/>
        </w:rPr>
        <w:t xml:space="preserve">: “1. The </w:t>
      </w:r>
      <w:r w:rsidR="004028BF">
        <w:rPr>
          <w:sz w:val="28"/>
          <w:szCs w:val="28"/>
          <w:lang w:val="en-US"/>
        </w:rPr>
        <w:t>judge-rapporteur</w:t>
      </w:r>
      <w:r>
        <w:rPr>
          <w:sz w:val="28"/>
          <w:szCs w:val="28"/>
          <w:lang w:val="en-US"/>
        </w:rPr>
        <w:t xml:space="preserve"> shall </w:t>
      </w:r>
      <w:r w:rsidRPr="00D4100F">
        <w:rPr>
          <w:sz w:val="28"/>
          <w:szCs w:val="28"/>
          <w:lang w:val="en-US"/>
        </w:rPr>
        <w:t xml:space="preserve">ensure the collection of all information useful </w:t>
      </w:r>
      <w:r w:rsidRPr="00D4100F">
        <w:rPr>
          <w:sz w:val="28"/>
          <w:szCs w:val="28"/>
          <w:lang w:val="en-US"/>
        </w:rPr>
        <w:lastRenderedPageBreak/>
        <w:t xml:space="preserve">for the investigation of the case and shall draw up a summary report, which shall include the facts of the dispute, the evidence ascertained from the documents and the </w:t>
      </w:r>
      <w:r w:rsidR="00CE459A" w:rsidRPr="00D4100F">
        <w:rPr>
          <w:sz w:val="28"/>
          <w:szCs w:val="28"/>
          <w:lang w:val="en-US"/>
        </w:rPr>
        <w:t>issues</w:t>
      </w:r>
      <w:r w:rsidRPr="00D4100F">
        <w:rPr>
          <w:sz w:val="28"/>
          <w:szCs w:val="28"/>
          <w:lang w:val="en-US"/>
        </w:rPr>
        <w:t xml:space="preserve"> raised. … 2. The judge-rapporteur may request the parties to submit the missing or useful evidence. 3. The authorities to which the judge-rapporteur addresse</w:t>
      </w:r>
      <w:r w:rsidR="00F41241" w:rsidRPr="00D4100F">
        <w:rPr>
          <w:sz w:val="28"/>
          <w:szCs w:val="28"/>
          <w:lang w:val="en-US"/>
        </w:rPr>
        <w:t>s</w:t>
      </w:r>
      <w:r w:rsidRPr="00D4100F">
        <w:rPr>
          <w:sz w:val="28"/>
          <w:szCs w:val="28"/>
          <w:lang w:val="en-US"/>
        </w:rPr>
        <w:t xml:space="preserve"> in order to obtain evidence and information useful for the investigation of the case shall send to the </w:t>
      </w:r>
      <w:r w:rsidR="004028BF" w:rsidRPr="00D4100F">
        <w:rPr>
          <w:sz w:val="28"/>
          <w:szCs w:val="28"/>
          <w:lang w:val="en-US"/>
        </w:rPr>
        <w:t>judge-rapporteur</w:t>
      </w:r>
      <w:r w:rsidRPr="00D4100F">
        <w:rPr>
          <w:sz w:val="28"/>
          <w:szCs w:val="28"/>
          <w:lang w:val="en-US"/>
        </w:rPr>
        <w:t xml:space="preserve"> the data and information requested”. In addition, article 23 para. 1 of the same Presidential Decree provides that “[t]he public authority or a legal person governed by public law against whom an action for annulment or an appeal is brought shall state its views on each of the pleas put forward by the applicant, specifying the factual basis of each plea”. </w:t>
      </w:r>
    </w:p>
    <w:p w14:paraId="3FECC349" w14:textId="43139860" w:rsidR="004A7D9E" w:rsidRPr="00D4100F" w:rsidRDefault="00002F83" w:rsidP="00AA2781">
      <w:pPr>
        <w:spacing w:after="0" w:line="360" w:lineRule="auto"/>
        <w:ind w:firstLine="284"/>
        <w:jc w:val="both"/>
        <w:rPr>
          <w:sz w:val="28"/>
          <w:szCs w:val="28"/>
          <w:lang w:val="en-US"/>
        </w:rPr>
      </w:pPr>
      <w:r w:rsidRPr="00D4100F">
        <w:rPr>
          <w:sz w:val="28"/>
          <w:szCs w:val="28"/>
          <w:lang w:val="en-US"/>
        </w:rPr>
        <w:t>Similarly, article 128A of the Code of Administrative Procedure</w:t>
      </w:r>
      <w:r w:rsidR="00BA7ACF" w:rsidRPr="00D4100F">
        <w:rPr>
          <w:sz w:val="28"/>
          <w:szCs w:val="28"/>
          <w:lang w:val="en-US"/>
        </w:rPr>
        <w:t>- CAP</w:t>
      </w:r>
      <w:r w:rsidR="00B10553" w:rsidRPr="00D4100F">
        <w:rPr>
          <w:sz w:val="28"/>
          <w:szCs w:val="28"/>
          <w:lang w:val="en-US"/>
        </w:rPr>
        <w:t>,</w:t>
      </w:r>
      <w:r w:rsidR="00BA7ACF" w:rsidRPr="00D4100F">
        <w:rPr>
          <w:sz w:val="28"/>
          <w:szCs w:val="28"/>
          <w:lang w:val="en-US"/>
        </w:rPr>
        <w:t xml:space="preserve"> </w:t>
      </w:r>
      <w:proofErr w:type="gramStart"/>
      <w:r w:rsidRPr="00D4100F">
        <w:rPr>
          <w:sz w:val="28"/>
          <w:szCs w:val="28"/>
          <w:lang w:val="en-US"/>
        </w:rPr>
        <w:t>i.e.</w:t>
      </w:r>
      <w:proofErr w:type="gramEnd"/>
      <w:r w:rsidRPr="00D4100F">
        <w:rPr>
          <w:sz w:val="28"/>
          <w:szCs w:val="28"/>
          <w:lang w:val="en-US"/>
        </w:rPr>
        <w:t xml:space="preserve"> the procedural code applicable before the administrative </w:t>
      </w:r>
      <w:r w:rsidR="00337261" w:rsidRPr="00D4100F">
        <w:rPr>
          <w:sz w:val="28"/>
          <w:szCs w:val="28"/>
          <w:lang w:val="en-US"/>
        </w:rPr>
        <w:t>courts</w:t>
      </w:r>
      <w:r w:rsidR="00BA7ACF" w:rsidRPr="00D4100F">
        <w:rPr>
          <w:sz w:val="28"/>
          <w:szCs w:val="28"/>
          <w:lang w:val="en-US"/>
        </w:rPr>
        <w:t>)</w:t>
      </w:r>
      <w:r w:rsidR="00337261" w:rsidRPr="00D4100F">
        <w:rPr>
          <w:sz w:val="28"/>
          <w:szCs w:val="28"/>
          <w:lang w:val="en-US"/>
        </w:rPr>
        <w:t xml:space="preserve">, which </w:t>
      </w:r>
      <w:r w:rsidR="00BA7ACF" w:rsidRPr="00D4100F">
        <w:rPr>
          <w:sz w:val="28"/>
          <w:szCs w:val="28"/>
          <w:lang w:val="en-US"/>
        </w:rPr>
        <w:t>entered into force</w:t>
      </w:r>
      <w:r w:rsidR="00337261" w:rsidRPr="00D4100F">
        <w:rPr>
          <w:sz w:val="28"/>
          <w:szCs w:val="28"/>
          <w:lang w:val="en-US"/>
        </w:rPr>
        <w:t xml:space="preserve"> </w:t>
      </w:r>
      <w:r w:rsidR="00F41241" w:rsidRPr="00D4100F">
        <w:rPr>
          <w:sz w:val="28"/>
          <w:szCs w:val="28"/>
          <w:lang w:val="en-US"/>
        </w:rPr>
        <w:t xml:space="preserve">through </w:t>
      </w:r>
      <w:r w:rsidR="00337261" w:rsidRPr="00D4100F">
        <w:rPr>
          <w:sz w:val="28"/>
          <w:szCs w:val="28"/>
          <w:lang w:val="en-US"/>
        </w:rPr>
        <w:t>Law n</w:t>
      </w:r>
      <w:r w:rsidRPr="00D4100F">
        <w:rPr>
          <w:sz w:val="28"/>
          <w:szCs w:val="28"/>
          <w:lang w:val="en-US"/>
        </w:rPr>
        <w:t xml:space="preserve">o. 4446/2016, stipulates the following: </w:t>
      </w:r>
      <w:r w:rsidR="00F41241" w:rsidRPr="00D4100F">
        <w:rPr>
          <w:sz w:val="28"/>
          <w:szCs w:val="28"/>
          <w:lang w:val="en-US"/>
        </w:rPr>
        <w:t>“</w:t>
      </w:r>
      <w:r w:rsidRPr="00D4100F">
        <w:rPr>
          <w:sz w:val="28"/>
          <w:szCs w:val="28"/>
          <w:lang w:val="en-US"/>
        </w:rPr>
        <w:t xml:space="preserve">1. The </w:t>
      </w:r>
      <w:r w:rsidR="004028BF" w:rsidRPr="00D4100F">
        <w:rPr>
          <w:sz w:val="28"/>
          <w:szCs w:val="28"/>
          <w:lang w:val="en-US"/>
        </w:rPr>
        <w:t>judge-rapporteur</w:t>
      </w:r>
      <w:r w:rsidRPr="00D4100F">
        <w:rPr>
          <w:sz w:val="28"/>
          <w:szCs w:val="28"/>
          <w:lang w:val="en-US"/>
        </w:rPr>
        <w:t>, in cooperation, if deemed necessary, with the judge presiding over the management committee of the court or the judge presiding over the court or the president of the</w:t>
      </w:r>
      <w:r w:rsidR="00315DA3" w:rsidRPr="00D4100F">
        <w:rPr>
          <w:sz w:val="28"/>
          <w:szCs w:val="28"/>
          <w:lang w:val="en-US"/>
        </w:rPr>
        <w:t xml:space="preserve"> court’s</w:t>
      </w:r>
      <w:r w:rsidRPr="00D4100F">
        <w:rPr>
          <w:sz w:val="28"/>
          <w:szCs w:val="28"/>
          <w:lang w:val="en-US"/>
        </w:rPr>
        <w:t xml:space="preserve"> </w:t>
      </w:r>
      <w:r w:rsidR="005836D7" w:rsidRPr="00D4100F">
        <w:rPr>
          <w:sz w:val="28"/>
          <w:szCs w:val="28"/>
          <w:lang w:val="en-US"/>
        </w:rPr>
        <w:t>section</w:t>
      </w:r>
      <w:r w:rsidRPr="00D4100F">
        <w:rPr>
          <w:sz w:val="28"/>
          <w:szCs w:val="28"/>
          <w:lang w:val="en-US"/>
        </w:rPr>
        <w:t xml:space="preserve">, shall ensure the </w:t>
      </w:r>
      <w:r w:rsidR="00BE56D2" w:rsidRPr="00D4100F">
        <w:rPr>
          <w:sz w:val="28"/>
          <w:szCs w:val="28"/>
          <w:lang w:val="en-US"/>
        </w:rPr>
        <w:t>collection</w:t>
      </w:r>
      <w:r w:rsidRPr="00D4100F">
        <w:rPr>
          <w:sz w:val="28"/>
          <w:szCs w:val="28"/>
          <w:lang w:val="en-US"/>
        </w:rPr>
        <w:t xml:space="preserve"> of any information useful for the investigation of the case</w:t>
      </w:r>
      <w:proofErr w:type="gramStart"/>
      <w:r w:rsidR="00901B8E" w:rsidRPr="00D4100F">
        <w:rPr>
          <w:sz w:val="28"/>
          <w:szCs w:val="28"/>
          <w:lang w:val="en-US"/>
        </w:rPr>
        <w:t>… .</w:t>
      </w:r>
      <w:proofErr w:type="gramEnd"/>
      <w:r w:rsidRPr="00D4100F">
        <w:rPr>
          <w:sz w:val="28"/>
          <w:szCs w:val="28"/>
          <w:lang w:val="en-US"/>
        </w:rPr>
        <w:t xml:space="preserve"> 2. The </w:t>
      </w:r>
      <w:r w:rsidR="004028BF" w:rsidRPr="00D4100F">
        <w:rPr>
          <w:sz w:val="28"/>
          <w:szCs w:val="28"/>
          <w:lang w:val="en-US"/>
        </w:rPr>
        <w:t>judge-rapporteur</w:t>
      </w:r>
      <w:r w:rsidRPr="00D4100F">
        <w:rPr>
          <w:sz w:val="28"/>
          <w:szCs w:val="28"/>
          <w:lang w:val="en-US"/>
        </w:rPr>
        <w:t xml:space="preserve"> may… communicate with the parties, inform them of any omissions</w:t>
      </w:r>
      <w:r w:rsidR="00FF0CA9" w:rsidRPr="00D4100F">
        <w:rPr>
          <w:sz w:val="28"/>
          <w:szCs w:val="28"/>
          <w:lang w:val="en-US"/>
        </w:rPr>
        <w:t xml:space="preserve"> regarding formalities</w:t>
      </w:r>
      <w:r w:rsidRPr="00D4100F">
        <w:rPr>
          <w:sz w:val="28"/>
          <w:szCs w:val="28"/>
          <w:lang w:val="en-US"/>
        </w:rPr>
        <w:t xml:space="preserve"> and request them to </w:t>
      </w:r>
      <w:r w:rsidR="00583427" w:rsidRPr="00D4100F">
        <w:rPr>
          <w:sz w:val="28"/>
          <w:szCs w:val="28"/>
          <w:lang w:val="en-US"/>
        </w:rPr>
        <w:t>ad</w:t>
      </w:r>
      <w:r w:rsidRPr="00D4100F">
        <w:rPr>
          <w:sz w:val="28"/>
          <w:szCs w:val="28"/>
          <w:lang w:val="en-US"/>
        </w:rPr>
        <w:t>duce any missing or useful information. 3. The authorities addressed by the judge-rapporteur for the purpose of obtaining evidence and information for the investigation of the case shall send the evidence requested and provide the necessary information</w:t>
      </w:r>
      <w:r w:rsidR="00F56199" w:rsidRPr="00D4100F">
        <w:rPr>
          <w:sz w:val="28"/>
          <w:szCs w:val="28"/>
          <w:lang w:val="en-US"/>
        </w:rPr>
        <w:t>”</w:t>
      </w:r>
      <w:r w:rsidRPr="00D4100F">
        <w:rPr>
          <w:sz w:val="28"/>
          <w:szCs w:val="28"/>
          <w:lang w:val="en-US"/>
        </w:rPr>
        <w:t>.</w:t>
      </w:r>
    </w:p>
    <w:p w14:paraId="00777B64" w14:textId="1B70A5E8" w:rsidR="006876BC" w:rsidRPr="00DB4BE8" w:rsidRDefault="00AC1C5F" w:rsidP="00AA2781">
      <w:pPr>
        <w:spacing w:after="0" w:line="360" w:lineRule="auto"/>
        <w:ind w:firstLine="284"/>
        <w:jc w:val="both"/>
        <w:rPr>
          <w:sz w:val="28"/>
          <w:szCs w:val="28"/>
          <w:lang w:val="en-US"/>
        </w:rPr>
      </w:pPr>
      <w:r w:rsidRPr="00755502">
        <w:rPr>
          <w:sz w:val="28"/>
          <w:szCs w:val="28"/>
          <w:lang w:val="en-US"/>
        </w:rPr>
        <w:t>I</w:t>
      </w:r>
      <w:r>
        <w:rPr>
          <w:sz w:val="28"/>
          <w:szCs w:val="28"/>
          <w:lang w:val="en-US"/>
        </w:rPr>
        <w:t>t follows from the above provisions that b</w:t>
      </w:r>
      <w:r w:rsidR="006876BC">
        <w:rPr>
          <w:sz w:val="28"/>
          <w:szCs w:val="28"/>
          <w:lang w:val="en-US"/>
        </w:rPr>
        <w:t xml:space="preserve">oth procedural codes </w:t>
      </w:r>
      <w:r w:rsidR="00755502">
        <w:rPr>
          <w:sz w:val="28"/>
          <w:szCs w:val="28"/>
          <w:lang w:val="en-US"/>
        </w:rPr>
        <w:t>-</w:t>
      </w:r>
      <w:r w:rsidR="006876BC">
        <w:rPr>
          <w:sz w:val="28"/>
          <w:szCs w:val="28"/>
          <w:lang w:val="en-US"/>
        </w:rPr>
        <w:t xml:space="preserve"> meaning the Code applicable before the Council of State and the Code applicable before the administrative courts - recognize (with only minor differences) certain common powers to the judge</w:t>
      </w:r>
      <w:r w:rsidR="00755502">
        <w:rPr>
          <w:sz w:val="28"/>
          <w:szCs w:val="28"/>
          <w:lang w:val="en-US"/>
        </w:rPr>
        <w:t>-</w:t>
      </w:r>
      <w:r w:rsidR="006876BC">
        <w:rPr>
          <w:sz w:val="28"/>
          <w:szCs w:val="28"/>
          <w:lang w:val="en-US"/>
        </w:rPr>
        <w:t>rapporteur. Specifically, the judge</w:t>
      </w:r>
      <w:r w:rsidR="00755502">
        <w:rPr>
          <w:sz w:val="28"/>
          <w:szCs w:val="28"/>
          <w:lang w:val="en-US"/>
        </w:rPr>
        <w:t>-</w:t>
      </w:r>
      <w:r w:rsidR="006876BC">
        <w:rPr>
          <w:sz w:val="28"/>
          <w:szCs w:val="28"/>
          <w:lang w:val="en-US"/>
        </w:rPr>
        <w:t xml:space="preserve">rapporteur is the sole responsible for ensuring </w:t>
      </w:r>
      <w:r w:rsidR="006876BC" w:rsidRPr="00DB4BE8">
        <w:rPr>
          <w:sz w:val="28"/>
          <w:szCs w:val="28"/>
          <w:lang w:val="en-US"/>
        </w:rPr>
        <w:t xml:space="preserve">the collection of </w:t>
      </w:r>
      <w:r w:rsidR="006876BC" w:rsidRPr="00DB4BE8">
        <w:rPr>
          <w:sz w:val="28"/>
          <w:szCs w:val="28"/>
          <w:lang w:val="en-US"/>
        </w:rPr>
        <w:lastRenderedPageBreak/>
        <w:t xml:space="preserve">all information useful for the investigation of the case. In doing so, he may request the parties to submit the missing or useful evidence. </w:t>
      </w:r>
      <w:r w:rsidR="00DB4BE8" w:rsidRPr="00DB4BE8">
        <w:rPr>
          <w:sz w:val="28"/>
          <w:szCs w:val="28"/>
          <w:lang w:val="en-US"/>
        </w:rPr>
        <w:t>S</w:t>
      </w:r>
      <w:r w:rsidR="006876BC" w:rsidRPr="00DB4BE8">
        <w:rPr>
          <w:sz w:val="28"/>
          <w:szCs w:val="28"/>
          <w:lang w:val="en-US"/>
        </w:rPr>
        <w:t>hould the judge</w:t>
      </w:r>
      <w:r w:rsidR="00BA293B" w:rsidRPr="00DB4BE8">
        <w:rPr>
          <w:sz w:val="28"/>
          <w:szCs w:val="28"/>
          <w:lang w:val="en-US"/>
        </w:rPr>
        <w:t>-</w:t>
      </w:r>
      <w:r w:rsidR="006876BC" w:rsidRPr="00DB4BE8">
        <w:rPr>
          <w:sz w:val="28"/>
          <w:szCs w:val="28"/>
          <w:lang w:val="en-US"/>
        </w:rPr>
        <w:t>rapporteur activate this power, the authorities addressed by him for the purpose of obtaining evidence and information for the investigation of the case are then obliged to send the evidence requested and provide the necessary information.</w:t>
      </w:r>
    </w:p>
    <w:p w14:paraId="5F1C2175" w14:textId="24691A79" w:rsidR="000508D8" w:rsidRDefault="00D8305D" w:rsidP="00DB4BE8">
      <w:pPr>
        <w:spacing w:after="0" w:line="360" w:lineRule="auto"/>
        <w:ind w:firstLine="284"/>
        <w:jc w:val="both"/>
        <w:rPr>
          <w:sz w:val="28"/>
          <w:szCs w:val="28"/>
          <w:lang w:val="en-US"/>
        </w:rPr>
      </w:pPr>
      <w:r>
        <w:rPr>
          <w:sz w:val="28"/>
          <w:szCs w:val="28"/>
          <w:lang w:val="en-US"/>
        </w:rPr>
        <w:t xml:space="preserve">The </w:t>
      </w:r>
      <w:r w:rsidR="00002F83">
        <w:rPr>
          <w:sz w:val="28"/>
          <w:szCs w:val="28"/>
          <w:lang w:val="en-US"/>
        </w:rPr>
        <w:t xml:space="preserve">above provisions </w:t>
      </w:r>
      <w:r w:rsidR="006876BC">
        <w:rPr>
          <w:sz w:val="28"/>
          <w:szCs w:val="28"/>
          <w:lang w:val="en-US"/>
        </w:rPr>
        <w:t>constitute</w:t>
      </w:r>
      <w:r w:rsidR="00002F83">
        <w:rPr>
          <w:sz w:val="28"/>
          <w:szCs w:val="28"/>
          <w:lang w:val="en-US"/>
        </w:rPr>
        <w:t xml:space="preserve"> reflections of the inquisitorial system prevailing both in the Council of State (</w:t>
      </w:r>
      <w:r w:rsidR="0093437F">
        <w:rPr>
          <w:sz w:val="28"/>
          <w:szCs w:val="28"/>
          <w:lang w:val="en-US"/>
        </w:rPr>
        <w:t xml:space="preserve">see </w:t>
      </w:r>
      <w:proofErr w:type="spellStart"/>
      <w:r w:rsidR="00A83633" w:rsidRPr="00A83633">
        <w:rPr>
          <w:sz w:val="28"/>
          <w:szCs w:val="28"/>
          <w:lang w:val="en-US"/>
        </w:rPr>
        <w:t>CoS</w:t>
      </w:r>
      <w:proofErr w:type="spellEnd"/>
      <w:r w:rsidR="00002F83">
        <w:rPr>
          <w:sz w:val="28"/>
          <w:szCs w:val="28"/>
          <w:lang w:val="en-US"/>
        </w:rPr>
        <w:t xml:space="preserve"> 4518/2011 etc.) and in the administrative courts (</w:t>
      </w:r>
      <w:r w:rsidR="0093437F">
        <w:rPr>
          <w:sz w:val="28"/>
          <w:szCs w:val="28"/>
          <w:lang w:val="en-US"/>
        </w:rPr>
        <w:t xml:space="preserve">see </w:t>
      </w:r>
      <w:proofErr w:type="spellStart"/>
      <w:r w:rsidR="00A83633" w:rsidRPr="00A83633">
        <w:rPr>
          <w:sz w:val="28"/>
          <w:szCs w:val="28"/>
          <w:lang w:val="en-US"/>
        </w:rPr>
        <w:t>CoS</w:t>
      </w:r>
      <w:proofErr w:type="spellEnd"/>
      <w:r w:rsidR="00002F83">
        <w:rPr>
          <w:sz w:val="28"/>
          <w:szCs w:val="28"/>
          <w:lang w:val="en-US"/>
        </w:rPr>
        <w:t xml:space="preserve"> 3035/2014, 39/2005 etc.), according to which the court</w:t>
      </w:r>
      <w:r w:rsidR="006D2588">
        <w:rPr>
          <w:sz w:val="28"/>
          <w:szCs w:val="28"/>
          <w:lang w:val="en-US"/>
        </w:rPr>
        <w:t>s</w:t>
      </w:r>
      <w:r w:rsidR="00002F83">
        <w:rPr>
          <w:sz w:val="28"/>
          <w:szCs w:val="28"/>
          <w:lang w:val="en-US"/>
        </w:rPr>
        <w:t xml:space="preserve"> </w:t>
      </w:r>
      <w:r w:rsidR="006D2588">
        <w:rPr>
          <w:sz w:val="28"/>
          <w:szCs w:val="28"/>
          <w:lang w:val="en-US"/>
        </w:rPr>
        <w:t>are</w:t>
      </w:r>
      <w:r w:rsidR="00002F83">
        <w:rPr>
          <w:sz w:val="28"/>
          <w:szCs w:val="28"/>
          <w:lang w:val="en-US"/>
        </w:rPr>
        <w:t xml:space="preserve"> responsible for the progress of the proceedings.</w:t>
      </w:r>
      <w:r w:rsidR="006876BC">
        <w:rPr>
          <w:sz w:val="28"/>
          <w:szCs w:val="28"/>
          <w:lang w:val="en-US"/>
        </w:rPr>
        <w:t xml:space="preserve"> For that purpose</w:t>
      </w:r>
      <w:r w:rsidR="00002F83">
        <w:rPr>
          <w:sz w:val="28"/>
          <w:szCs w:val="28"/>
          <w:lang w:val="en-US"/>
        </w:rPr>
        <w:t xml:space="preserve">, the </w:t>
      </w:r>
      <w:r w:rsidR="004028BF">
        <w:rPr>
          <w:sz w:val="28"/>
          <w:szCs w:val="28"/>
          <w:lang w:val="en-US"/>
        </w:rPr>
        <w:t>judge-rapporteur</w:t>
      </w:r>
      <w:r w:rsidR="00002F83">
        <w:rPr>
          <w:sz w:val="28"/>
          <w:szCs w:val="28"/>
          <w:lang w:val="en-US"/>
        </w:rPr>
        <w:t xml:space="preserve"> may address not only the parties (i.e. the applicant and the regulatory authority), but also any other administrative authority</w:t>
      </w:r>
      <w:r w:rsidR="006876BC">
        <w:rPr>
          <w:sz w:val="28"/>
          <w:szCs w:val="28"/>
          <w:lang w:val="en-US"/>
        </w:rPr>
        <w:t xml:space="preserve">, even </w:t>
      </w:r>
      <w:proofErr w:type="gramStart"/>
      <w:r w:rsidR="006876BC">
        <w:rPr>
          <w:sz w:val="28"/>
          <w:szCs w:val="28"/>
          <w:lang w:val="en-US"/>
        </w:rPr>
        <w:t xml:space="preserve">irrelevant </w:t>
      </w:r>
      <w:r w:rsidR="00002F83">
        <w:rPr>
          <w:sz w:val="28"/>
          <w:szCs w:val="28"/>
          <w:lang w:val="en-US"/>
        </w:rPr>
        <w:t xml:space="preserve"> </w:t>
      </w:r>
      <w:r w:rsidR="000907E0">
        <w:rPr>
          <w:sz w:val="28"/>
          <w:szCs w:val="28"/>
          <w:lang w:val="en-US"/>
        </w:rPr>
        <w:t>to</w:t>
      </w:r>
      <w:proofErr w:type="gramEnd"/>
      <w:r w:rsidR="000907E0">
        <w:rPr>
          <w:sz w:val="28"/>
          <w:szCs w:val="28"/>
          <w:lang w:val="en-US"/>
        </w:rPr>
        <w:t xml:space="preserve"> the dispute in question</w:t>
      </w:r>
      <w:r w:rsidR="00002F83">
        <w:rPr>
          <w:sz w:val="28"/>
          <w:szCs w:val="28"/>
          <w:lang w:val="en-US"/>
        </w:rPr>
        <w:t xml:space="preserve">, in order to collect any evidence that </w:t>
      </w:r>
      <w:r w:rsidR="003B1738" w:rsidRPr="000947D4">
        <w:rPr>
          <w:sz w:val="28"/>
          <w:szCs w:val="28"/>
          <w:lang w:val="en-US"/>
        </w:rPr>
        <w:t>he</w:t>
      </w:r>
      <w:r w:rsidR="00002F83">
        <w:rPr>
          <w:sz w:val="28"/>
          <w:szCs w:val="28"/>
          <w:lang w:val="en-US"/>
        </w:rPr>
        <w:t xml:space="preserve"> deems useful for the diagnosis of the dispute (</w:t>
      </w:r>
      <w:r w:rsidR="00FB1344">
        <w:rPr>
          <w:sz w:val="28"/>
          <w:szCs w:val="28"/>
          <w:lang w:val="en-US"/>
        </w:rPr>
        <w:t xml:space="preserve">see </w:t>
      </w:r>
      <w:proofErr w:type="spellStart"/>
      <w:r w:rsidR="00A83633" w:rsidRPr="00A83633">
        <w:rPr>
          <w:sz w:val="28"/>
          <w:szCs w:val="28"/>
          <w:lang w:val="en-US"/>
        </w:rPr>
        <w:t>CoS</w:t>
      </w:r>
      <w:proofErr w:type="spellEnd"/>
      <w:r w:rsidR="00002F83">
        <w:rPr>
          <w:sz w:val="28"/>
          <w:szCs w:val="28"/>
          <w:lang w:val="en-US"/>
        </w:rPr>
        <w:t xml:space="preserve"> 1046/2004)</w:t>
      </w:r>
      <w:r w:rsidR="006876BC">
        <w:rPr>
          <w:sz w:val="28"/>
          <w:szCs w:val="28"/>
          <w:lang w:val="en-US"/>
        </w:rPr>
        <w:t xml:space="preserve">. In other words, this process is instrumental in enabling the </w:t>
      </w:r>
      <w:r w:rsidR="00C30111">
        <w:rPr>
          <w:sz w:val="28"/>
          <w:szCs w:val="28"/>
          <w:lang w:val="en-US"/>
        </w:rPr>
        <w:t xml:space="preserve">courts </w:t>
      </w:r>
      <w:r w:rsidR="006876BC">
        <w:rPr>
          <w:sz w:val="28"/>
          <w:szCs w:val="28"/>
          <w:lang w:val="en-US"/>
        </w:rPr>
        <w:t>to serve their purpose</w:t>
      </w:r>
      <w:r w:rsidR="009352FB" w:rsidRPr="009352FB">
        <w:rPr>
          <w:sz w:val="28"/>
          <w:szCs w:val="28"/>
          <w:lang w:val="en-US"/>
        </w:rPr>
        <w:t xml:space="preserve"> o</w:t>
      </w:r>
      <w:r w:rsidR="009352FB">
        <w:rPr>
          <w:sz w:val="28"/>
          <w:szCs w:val="28"/>
          <w:lang w:val="en-US"/>
        </w:rPr>
        <w:t xml:space="preserve">f </w:t>
      </w:r>
      <w:r w:rsidR="006876BC">
        <w:rPr>
          <w:sz w:val="28"/>
          <w:szCs w:val="28"/>
          <w:lang w:val="en-US"/>
        </w:rPr>
        <w:t>guaranteeing the right to an effective remedy, as this is enshrined in both the Greek Constitution (article 20 para. 1) and the ECHR (article 6 par. 1</w:t>
      </w:r>
      <w:r w:rsidR="00FD1A0F">
        <w:rPr>
          <w:sz w:val="28"/>
          <w:szCs w:val="28"/>
          <w:lang w:val="en-US"/>
        </w:rPr>
        <w:t>)</w:t>
      </w:r>
      <w:r w:rsidR="006876BC">
        <w:rPr>
          <w:sz w:val="28"/>
          <w:szCs w:val="28"/>
          <w:lang w:val="en-US"/>
        </w:rPr>
        <w:t xml:space="preserve"> (see </w:t>
      </w:r>
      <w:proofErr w:type="spellStart"/>
      <w:r w:rsidR="006876BC" w:rsidRPr="00E32A20">
        <w:rPr>
          <w:sz w:val="28"/>
          <w:szCs w:val="28"/>
          <w:lang w:val="en-US"/>
        </w:rPr>
        <w:t>CoS</w:t>
      </w:r>
      <w:proofErr w:type="spellEnd"/>
      <w:r w:rsidR="006876BC">
        <w:rPr>
          <w:sz w:val="28"/>
          <w:szCs w:val="28"/>
          <w:lang w:val="en-US"/>
        </w:rPr>
        <w:t xml:space="preserve"> 4600/2005). </w:t>
      </w:r>
    </w:p>
    <w:p w14:paraId="7313098D" w14:textId="2F3C0052" w:rsidR="004A7D9E" w:rsidRPr="00CC3DEA" w:rsidRDefault="006876BC" w:rsidP="00AA2781">
      <w:pPr>
        <w:spacing w:after="0" w:line="360" w:lineRule="auto"/>
        <w:ind w:firstLine="284"/>
        <w:jc w:val="both"/>
        <w:rPr>
          <w:sz w:val="28"/>
          <w:szCs w:val="28"/>
          <w:highlight w:val="yellow"/>
          <w:lang w:val="en-US"/>
        </w:rPr>
      </w:pPr>
      <w:r>
        <w:rPr>
          <w:sz w:val="28"/>
          <w:szCs w:val="28"/>
          <w:lang w:val="en-US"/>
        </w:rPr>
        <w:t xml:space="preserve">For </w:t>
      </w:r>
      <w:r w:rsidR="000508D8">
        <w:rPr>
          <w:sz w:val="28"/>
          <w:szCs w:val="28"/>
          <w:lang w:val="en-US"/>
        </w:rPr>
        <w:t>disputes</w:t>
      </w:r>
      <w:r>
        <w:rPr>
          <w:sz w:val="28"/>
          <w:szCs w:val="28"/>
          <w:lang w:val="en-US"/>
        </w:rPr>
        <w:t xml:space="preserve"> before the Council of State</w:t>
      </w:r>
      <w:r w:rsidR="000508D8">
        <w:rPr>
          <w:sz w:val="28"/>
          <w:szCs w:val="28"/>
          <w:lang w:val="en-US"/>
        </w:rPr>
        <w:t xml:space="preserve"> -</w:t>
      </w:r>
      <w:r>
        <w:rPr>
          <w:sz w:val="28"/>
          <w:szCs w:val="28"/>
          <w:lang w:val="en-US"/>
        </w:rPr>
        <w:t xml:space="preserve"> in other words, those </w:t>
      </w:r>
      <w:r w:rsidR="00002F83">
        <w:rPr>
          <w:sz w:val="28"/>
          <w:szCs w:val="28"/>
          <w:lang w:val="en-US"/>
        </w:rPr>
        <w:t xml:space="preserve">concerning the judicial review of </w:t>
      </w:r>
      <w:r w:rsidR="000E2521">
        <w:rPr>
          <w:sz w:val="28"/>
          <w:szCs w:val="28"/>
          <w:lang w:val="en-US"/>
        </w:rPr>
        <w:t>r</w:t>
      </w:r>
      <w:r w:rsidR="00383897">
        <w:rPr>
          <w:sz w:val="28"/>
          <w:szCs w:val="28"/>
          <w:lang w:val="en-US"/>
        </w:rPr>
        <w:t>egulatory</w:t>
      </w:r>
      <w:r w:rsidR="000E2521">
        <w:rPr>
          <w:sz w:val="28"/>
          <w:szCs w:val="28"/>
          <w:lang w:val="en-US"/>
        </w:rPr>
        <w:t xml:space="preserve"> </w:t>
      </w:r>
      <w:r w:rsidR="00002F83">
        <w:rPr>
          <w:sz w:val="28"/>
          <w:szCs w:val="28"/>
          <w:lang w:val="en-US"/>
        </w:rPr>
        <w:t xml:space="preserve">acts </w:t>
      </w:r>
      <w:r w:rsidR="006F715B">
        <w:rPr>
          <w:sz w:val="28"/>
          <w:szCs w:val="28"/>
          <w:lang w:val="en-US"/>
        </w:rPr>
        <w:t xml:space="preserve">by </w:t>
      </w:r>
      <w:r w:rsidR="00002F83">
        <w:rPr>
          <w:sz w:val="28"/>
          <w:szCs w:val="28"/>
          <w:lang w:val="en-US"/>
        </w:rPr>
        <w:t>regulatory authorities, the</w:t>
      </w:r>
      <w:r>
        <w:rPr>
          <w:sz w:val="28"/>
          <w:szCs w:val="28"/>
          <w:lang w:val="en-US"/>
        </w:rPr>
        <w:t xml:space="preserve"> e</w:t>
      </w:r>
      <w:r w:rsidR="00002F83">
        <w:rPr>
          <w:sz w:val="28"/>
          <w:szCs w:val="28"/>
          <w:lang w:val="en-US"/>
        </w:rPr>
        <w:t xml:space="preserve">vidence and information gathered by the </w:t>
      </w:r>
      <w:r w:rsidR="004028BF">
        <w:rPr>
          <w:sz w:val="28"/>
          <w:szCs w:val="28"/>
          <w:lang w:val="en-US"/>
        </w:rPr>
        <w:t>judge-rapporteur</w:t>
      </w:r>
      <w:r w:rsidR="00002F83">
        <w:rPr>
          <w:sz w:val="28"/>
          <w:szCs w:val="28"/>
          <w:lang w:val="en-US"/>
        </w:rPr>
        <w:t xml:space="preserve"> </w:t>
      </w:r>
      <w:r>
        <w:rPr>
          <w:sz w:val="28"/>
          <w:szCs w:val="28"/>
          <w:lang w:val="en-US"/>
        </w:rPr>
        <w:t>(</w:t>
      </w:r>
      <w:r w:rsidR="00F93392">
        <w:rPr>
          <w:sz w:val="28"/>
          <w:szCs w:val="28"/>
          <w:lang w:val="en-US"/>
        </w:rPr>
        <w:t xml:space="preserve">for the purpose of completing </w:t>
      </w:r>
      <w:r w:rsidR="00002F83">
        <w:rPr>
          <w:sz w:val="28"/>
          <w:szCs w:val="28"/>
          <w:lang w:val="en-US"/>
        </w:rPr>
        <w:t xml:space="preserve">the </w:t>
      </w:r>
      <w:r w:rsidR="00EA28C2">
        <w:rPr>
          <w:sz w:val="28"/>
          <w:szCs w:val="28"/>
          <w:lang w:val="en-US"/>
        </w:rPr>
        <w:t>case-file</w:t>
      </w:r>
      <w:r>
        <w:rPr>
          <w:sz w:val="28"/>
          <w:szCs w:val="28"/>
          <w:lang w:val="en-US"/>
        </w:rPr>
        <w:t>)</w:t>
      </w:r>
      <w:r w:rsidR="00002F83">
        <w:rPr>
          <w:sz w:val="28"/>
          <w:szCs w:val="28"/>
          <w:lang w:val="en-US"/>
        </w:rPr>
        <w:t xml:space="preserve"> </w:t>
      </w:r>
      <w:r>
        <w:rPr>
          <w:sz w:val="28"/>
          <w:szCs w:val="28"/>
          <w:lang w:val="en-US"/>
        </w:rPr>
        <w:t xml:space="preserve">aim to enlighten </w:t>
      </w:r>
      <w:r w:rsidR="00002F83">
        <w:rPr>
          <w:sz w:val="28"/>
          <w:szCs w:val="28"/>
          <w:lang w:val="en-US"/>
        </w:rPr>
        <w:t xml:space="preserve">the regulatory choices of the authority </w:t>
      </w:r>
      <w:r w:rsidR="00DE3106">
        <w:rPr>
          <w:sz w:val="28"/>
          <w:szCs w:val="28"/>
          <w:lang w:val="en-US"/>
        </w:rPr>
        <w:t xml:space="preserve">concerned </w:t>
      </w:r>
      <w:r w:rsidR="00002F83">
        <w:rPr>
          <w:sz w:val="28"/>
          <w:szCs w:val="28"/>
          <w:lang w:val="en-US"/>
        </w:rPr>
        <w:t xml:space="preserve">and are of </w:t>
      </w:r>
      <w:r w:rsidR="00D7536F">
        <w:rPr>
          <w:sz w:val="28"/>
          <w:szCs w:val="28"/>
          <w:lang w:val="en-US"/>
        </w:rPr>
        <w:t xml:space="preserve">a </w:t>
      </w:r>
      <w:r w:rsidR="00002F83">
        <w:rPr>
          <w:sz w:val="28"/>
          <w:szCs w:val="28"/>
          <w:lang w:val="en-US"/>
        </w:rPr>
        <w:t xml:space="preserve">technical nature, relating </w:t>
      </w:r>
      <w:r>
        <w:rPr>
          <w:sz w:val="28"/>
          <w:szCs w:val="28"/>
          <w:lang w:val="en-US"/>
        </w:rPr>
        <w:t xml:space="preserve">mostly </w:t>
      </w:r>
      <w:r w:rsidR="00002F83">
        <w:rPr>
          <w:sz w:val="28"/>
          <w:szCs w:val="28"/>
          <w:lang w:val="en-US"/>
        </w:rPr>
        <w:t>to the</w:t>
      </w:r>
      <w:r w:rsidR="00D7536F">
        <w:rPr>
          <w:sz w:val="28"/>
          <w:szCs w:val="28"/>
          <w:lang w:val="en-US"/>
        </w:rPr>
        <w:t xml:space="preserve"> scientific fields</w:t>
      </w:r>
      <w:r w:rsidR="00002F83">
        <w:rPr>
          <w:sz w:val="28"/>
          <w:szCs w:val="28"/>
          <w:lang w:val="en-US"/>
        </w:rPr>
        <w:t xml:space="preserve"> of statistics, economics, information technology (such as studies and technical reports). They may also refer to administrative documents dealing with technical issues (</w:t>
      </w:r>
      <w:proofErr w:type="gramStart"/>
      <w:r w:rsidR="00002F83">
        <w:rPr>
          <w:sz w:val="28"/>
          <w:szCs w:val="28"/>
          <w:lang w:val="en-US"/>
        </w:rPr>
        <w:t>e.g.</w:t>
      </w:r>
      <w:proofErr w:type="gramEnd"/>
      <w:r w:rsidR="00002F83">
        <w:rPr>
          <w:sz w:val="28"/>
          <w:szCs w:val="28"/>
          <w:lang w:val="en-US"/>
        </w:rPr>
        <w:t xml:space="preserve"> minutes of the board of the regulatory authority </w:t>
      </w:r>
      <w:r w:rsidR="00A81635">
        <w:rPr>
          <w:sz w:val="28"/>
          <w:szCs w:val="28"/>
          <w:lang w:val="en-US"/>
        </w:rPr>
        <w:t xml:space="preserve">where </w:t>
      </w:r>
      <w:r w:rsidR="00002F83">
        <w:rPr>
          <w:sz w:val="28"/>
          <w:szCs w:val="28"/>
          <w:lang w:val="en-US"/>
        </w:rPr>
        <w:t xml:space="preserve">the views of its members on the regulatory measures of </w:t>
      </w:r>
      <w:r w:rsidR="00C74276">
        <w:rPr>
          <w:sz w:val="28"/>
          <w:szCs w:val="28"/>
          <w:lang w:val="en-US"/>
        </w:rPr>
        <w:t xml:space="preserve">a </w:t>
      </w:r>
      <w:r w:rsidR="00002F83">
        <w:rPr>
          <w:sz w:val="28"/>
          <w:szCs w:val="28"/>
          <w:lang w:val="en-US"/>
        </w:rPr>
        <w:t>technical nature</w:t>
      </w:r>
      <w:r w:rsidR="00A81635">
        <w:rPr>
          <w:sz w:val="28"/>
          <w:szCs w:val="28"/>
          <w:lang w:val="en-US"/>
        </w:rPr>
        <w:t xml:space="preserve"> are recorded</w:t>
      </w:r>
      <w:r w:rsidR="00002F83">
        <w:rPr>
          <w:sz w:val="28"/>
          <w:szCs w:val="28"/>
          <w:lang w:val="en-US"/>
        </w:rPr>
        <w:t xml:space="preserve">, </w:t>
      </w:r>
      <w:r w:rsidR="00FB1344">
        <w:rPr>
          <w:sz w:val="28"/>
          <w:szCs w:val="28"/>
          <w:lang w:val="en-US"/>
        </w:rPr>
        <w:t>cf.</w:t>
      </w:r>
      <w:r w:rsidR="00002F83">
        <w:rPr>
          <w:sz w:val="28"/>
          <w:szCs w:val="28"/>
          <w:lang w:val="en-US"/>
        </w:rPr>
        <w:t xml:space="preserve"> </w:t>
      </w:r>
      <w:proofErr w:type="spellStart"/>
      <w:r w:rsidR="00A83633" w:rsidRPr="00A83633">
        <w:rPr>
          <w:sz w:val="28"/>
          <w:szCs w:val="28"/>
          <w:lang w:val="en-US"/>
        </w:rPr>
        <w:t>CoS</w:t>
      </w:r>
      <w:proofErr w:type="spellEnd"/>
      <w:r w:rsidR="00002F83">
        <w:rPr>
          <w:sz w:val="28"/>
          <w:szCs w:val="28"/>
          <w:lang w:val="en-US"/>
        </w:rPr>
        <w:t xml:space="preserve"> 865/2008). </w:t>
      </w:r>
      <w:r w:rsidR="00192CDC">
        <w:rPr>
          <w:sz w:val="28"/>
          <w:szCs w:val="28"/>
          <w:lang w:val="en-US"/>
        </w:rPr>
        <w:t xml:space="preserve">Yet, </w:t>
      </w:r>
      <w:r w:rsidR="00002F83">
        <w:rPr>
          <w:sz w:val="28"/>
          <w:szCs w:val="28"/>
          <w:lang w:val="en-US"/>
        </w:rPr>
        <w:t>such additional evidence</w:t>
      </w:r>
      <w:r w:rsidR="009F10F7">
        <w:rPr>
          <w:sz w:val="28"/>
          <w:szCs w:val="28"/>
          <w:lang w:val="en-US"/>
        </w:rPr>
        <w:t xml:space="preserve"> and information</w:t>
      </w:r>
      <w:r>
        <w:rPr>
          <w:sz w:val="28"/>
          <w:szCs w:val="28"/>
          <w:lang w:val="en-US"/>
        </w:rPr>
        <w:t xml:space="preserve"> </w:t>
      </w:r>
      <w:r w:rsidR="00002F83">
        <w:rPr>
          <w:sz w:val="28"/>
          <w:szCs w:val="28"/>
          <w:lang w:val="en-US"/>
        </w:rPr>
        <w:t xml:space="preserve">must be used </w:t>
      </w:r>
      <w:r w:rsidR="00002F83" w:rsidRPr="00E2594E">
        <w:rPr>
          <w:sz w:val="28"/>
          <w:szCs w:val="28"/>
          <w:lang w:val="en-US"/>
        </w:rPr>
        <w:t>sparingly</w:t>
      </w:r>
      <w:r w:rsidR="00002F83">
        <w:rPr>
          <w:sz w:val="28"/>
          <w:szCs w:val="28"/>
          <w:lang w:val="en-US"/>
        </w:rPr>
        <w:t xml:space="preserve"> because of the </w:t>
      </w:r>
      <w:r w:rsidR="003D3774">
        <w:rPr>
          <w:sz w:val="28"/>
          <w:szCs w:val="28"/>
          <w:lang w:val="en-US"/>
        </w:rPr>
        <w:lastRenderedPageBreak/>
        <w:t>limited</w:t>
      </w:r>
      <w:r w:rsidR="00002F83">
        <w:rPr>
          <w:sz w:val="28"/>
          <w:szCs w:val="28"/>
          <w:lang w:val="en-US"/>
        </w:rPr>
        <w:t xml:space="preserve"> review </w:t>
      </w:r>
      <w:r w:rsidR="00F84274">
        <w:rPr>
          <w:sz w:val="28"/>
          <w:szCs w:val="28"/>
          <w:lang w:val="en-US"/>
        </w:rPr>
        <w:t xml:space="preserve">of legality </w:t>
      </w:r>
      <w:r w:rsidR="00002F83">
        <w:rPr>
          <w:sz w:val="28"/>
          <w:szCs w:val="28"/>
          <w:lang w:val="en-US"/>
        </w:rPr>
        <w:t>exercised by the Court</w:t>
      </w:r>
      <w:r>
        <w:rPr>
          <w:sz w:val="28"/>
          <w:szCs w:val="28"/>
          <w:lang w:val="en-US"/>
        </w:rPr>
        <w:t xml:space="preserve">. More specifically, </w:t>
      </w:r>
      <w:r w:rsidR="004017CE">
        <w:rPr>
          <w:sz w:val="28"/>
          <w:szCs w:val="28"/>
          <w:lang w:val="en-US"/>
        </w:rPr>
        <w:t xml:space="preserve">their </w:t>
      </w:r>
      <w:r>
        <w:rPr>
          <w:sz w:val="28"/>
          <w:szCs w:val="28"/>
          <w:lang w:val="en-US"/>
        </w:rPr>
        <w:t xml:space="preserve">use is conditioned upon their direct linkage to </w:t>
      </w:r>
      <w:r w:rsidR="00002F83">
        <w:rPr>
          <w:sz w:val="28"/>
          <w:szCs w:val="28"/>
          <w:lang w:val="en-US"/>
        </w:rPr>
        <w:t xml:space="preserve">the dispute at hand </w:t>
      </w:r>
      <w:r>
        <w:rPr>
          <w:sz w:val="28"/>
          <w:szCs w:val="28"/>
          <w:lang w:val="en-US"/>
        </w:rPr>
        <w:t xml:space="preserve">and their direct relevance </w:t>
      </w:r>
      <w:r w:rsidR="00002F83">
        <w:rPr>
          <w:sz w:val="28"/>
          <w:szCs w:val="28"/>
          <w:lang w:val="en-US"/>
        </w:rPr>
        <w:t xml:space="preserve">to parameters </w:t>
      </w:r>
      <w:r>
        <w:rPr>
          <w:sz w:val="28"/>
          <w:szCs w:val="28"/>
          <w:lang w:val="en-US"/>
        </w:rPr>
        <w:t>taken into account, yet not explicitly invoked</w:t>
      </w:r>
      <w:r w:rsidR="00BD1C1B">
        <w:rPr>
          <w:sz w:val="28"/>
          <w:szCs w:val="28"/>
          <w:lang w:val="en-US"/>
        </w:rPr>
        <w:t>,</w:t>
      </w:r>
      <w:r>
        <w:rPr>
          <w:sz w:val="28"/>
          <w:szCs w:val="28"/>
          <w:lang w:val="en-US"/>
        </w:rPr>
        <w:t xml:space="preserve"> by the regulator</w:t>
      </w:r>
      <w:r w:rsidR="00002F83">
        <w:rPr>
          <w:sz w:val="28"/>
          <w:szCs w:val="28"/>
          <w:lang w:val="en-US"/>
        </w:rPr>
        <w:t xml:space="preserve"> (</w:t>
      </w:r>
      <w:proofErr w:type="gramStart"/>
      <w:r w:rsidR="00002F83">
        <w:rPr>
          <w:sz w:val="28"/>
          <w:szCs w:val="28"/>
          <w:lang w:val="en-US"/>
        </w:rPr>
        <w:t>e.g.</w:t>
      </w:r>
      <w:proofErr w:type="gramEnd"/>
      <w:r w:rsidR="00002F83">
        <w:rPr>
          <w:sz w:val="28"/>
          <w:szCs w:val="28"/>
          <w:lang w:val="en-US"/>
        </w:rPr>
        <w:t xml:space="preserve"> statistical data relating to the structure of the market at a particular point in time). </w:t>
      </w:r>
      <w:r>
        <w:rPr>
          <w:sz w:val="28"/>
          <w:szCs w:val="28"/>
          <w:lang w:val="en-US"/>
        </w:rPr>
        <w:t xml:space="preserve">Furthermore, the evidence and information must antecede the contested regulatory act and may be </w:t>
      </w:r>
      <w:r w:rsidRPr="00E2594E">
        <w:rPr>
          <w:sz w:val="28"/>
          <w:szCs w:val="28"/>
          <w:lang w:val="en-US"/>
        </w:rPr>
        <w:t>used</w:t>
      </w:r>
      <w:r>
        <w:rPr>
          <w:sz w:val="28"/>
          <w:szCs w:val="28"/>
          <w:lang w:val="en-US"/>
        </w:rPr>
        <w:t xml:space="preserve"> both for the understanding of the provisions at stake as well as for their correct interpretation. On the contrary, </w:t>
      </w:r>
      <w:r w:rsidR="006439A5">
        <w:rPr>
          <w:sz w:val="28"/>
          <w:szCs w:val="28"/>
          <w:lang w:val="en-US"/>
        </w:rPr>
        <w:t>they may not be used</w:t>
      </w:r>
      <w:r>
        <w:rPr>
          <w:sz w:val="28"/>
          <w:szCs w:val="28"/>
          <w:lang w:val="en-US"/>
        </w:rPr>
        <w:t xml:space="preserve"> to remedy the infringement of any essential procedural requirement </w:t>
      </w:r>
      <w:r w:rsidR="006439A5">
        <w:rPr>
          <w:sz w:val="28"/>
          <w:szCs w:val="28"/>
          <w:lang w:val="en-US"/>
        </w:rPr>
        <w:t>regarding</w:t>
      </w:r>
      <w:r>
        <w:rPr>
          <w:sz w:val="28"/>
          <w:szCs w:val="28"/>
          <w:lang w:val="en-US"/>
        </w:rPr>
        <w:t xml:space="preserve"> issue of the contested regulatory act, such as the failure to carry out a study, as this kind of treatment would violate the </w:t>
      </w:r>
      <w:r w:rsidRPr="006876BC">
        <w:rPr>
          <w:sz w:val="28"/>
          <w:szCs w:val="28"/>
          <w:lang w:val="en-US"/>
        </w:rPr>
        <w:t xml:space="preserve">constitutional principle of procedural equality. As a consequence of the above, evidence </w:t>
      </w:r>
      <w:r w:rsidR="008B2D69">
        <w:rPr>
          <w:sz w:val="28"/>
          <w:szCs w:val="28"/>
          <w:lang w:val="en-US"/>
        </w:rPr>
        <w:t>and information are</w:t>
      </w:r>
      <w:r w:rsidRPr="006876BC">
        <w:rPr>
          <w:sz w:val="28"/>
          <w:szCs w:val="28"/>
          <w:lang w:val="en-US"/>
        </w:rPr>
        <w:t xml:space="preserve"> being used as part of</w:t>
      </w:r>
      <w:r w:rsidR="00447B41">
        <w:rPr>
          <w:sz w:val="28"/>
          <w:szCs w:val="28"/>
          <w:lang w:val="en-US"/>
        </w:rPr>
        <w:t xml:space="preserve"> </w:t>
      </w:r>
      <w:r w:rsidRPr="006876BC">
        <w:rPr>
          <w:sz w:val="28"/>
          <w:szCs w:val="28"/>
          <w:lang w:val="en-US"/>
        </w:rPr>
        <w:t>w</w:t>
      </w:r>
      <w:r w:rsidR="00D55FF5" w:rsidRPr="006876BC">
        <w:rPr>
          <w:sz w:val="28"/>
          <w:szCs w:val="28"/>
          <w:lang w:val="en-US"/>
        </w:rPr>
        <w:t>hat the Greek</w:t>
      </w:r>
      <w:r w:rsidR="008C1087" w:rsidRPr="006876BC">
        <w:rPr>
          <w:sz w:val="28"/>
          <w:szCs w:val="28"/>
          <w:lang w:val="en-US"/>
        </w:rPr>
        <w:t xml:space="preserve"> </w:t>
      </w:r>
      <w:r w:rsidRPr="00447B41">
        <w:rPr>
          <w:sz w:val="28"/>
          <w:szCs w:val="28"/>
          <w:lang w:val="en-US"/>
        </w:rPr>
        <w:t>doctrine</w:t>
      </w:r>
      <w:r w:rsidRPr="006876BC">
        <w:rPr>
          <w:sz w:val="28"/>
          <w:szCs w:val="28"/>
          <w:lang w:val="en-US"/>
        </w:rPr>
        <w:t xml:space="preserve"> </w:t>
      </w:r>
      <w:r w:rsidR="005F1EC8" w:rsidRPr="006876BC">
        <w:rPr>
          <w:sz w:val="28"/>
          <w:szCs w:val="28"/>
          <w:lang w:val="en-US"/>
        </w:rPr>
        <w:t xml:space="preserve">of </w:t>
      </w:r>
      <w:r w:rsidR="00D55FF5" w:rsidRPr="006876BC">
        <w:rPr>
          <w:sz w:val="28"/>
          <w:szCs w:val="28"/>
          <w:lang w:val="en-US"/>
        </w:rPr>
        <w:t>administrative law call</w:t>
      </w:r>
      <w:r w:rsidRPr="00447B41">
        <w:rPr>
          <w:sz w:val="28"/>
          <w:szCs w:val="28"/>
          <w:lang w:val="en-US"/>
        </w:rPr>
        <w:t>s the</w:t>
      </w:r>
      <w:r w:rsidR="00D55FF5" w:rsidRPr="006876BC">
        <w:rPr>
          <w:sz w:val="28"/>
          <w:szCs w:val="28"/>
          <w:lang w:val="en-US"/>
        </w:rPr>
        <w:t xml:space="preserve"> “scientific common knowledge”, which </w:t>
      </w:r>
      <w:r w:rsidRPr="00447B41">
        <w:rPr>
          <w:sz w:val="28"/>
          <w:szCs w:val="28"/>
          <w:lang w:val="en-US"/>
        </w:rPr>
        <w:t xml:space="preserve">essentially represents disseminated and popularized scientific research, allowing </w:t>
      </w:r>
      <w:r w:rsidR="00515EC0" w:rsidRPr="006876BC">
        <w:rPr>
          <w:sz w:val="28"/>
          <w:szCs w:val="28"/>
          <w:lang w:val="en-US"/>
        </w:rPr>
        <w:t>the</w:t>
      </w:r>
      <w:r w:rsidR="00D55FF5" w:rsidRPr="006876BC">
        <w:rPr>
          <w:sz w:val="28"/>
          <w:szCs w:val="28"/>
          <w:lang w:val="en-US"/>
        </w:rPr>
        <w:t xml:space="preserve"> judge </w:t>
      </w:r>
      <w:r w:rsidR="006B470C" w:rsidRPr="006876BC">
        <w:rPr>
          <w:sz w:val="28"/>
          <w:szCs w:val="28"/>
          <w:lang w:val="en-US"/>
        </w:rPr>
        <w:t>to</w:t>
      </w:r>
      <w:r w:rsidR="0083128A" w:rsidRPr="006876BC">
        <w:rPr>
          <w:sz w:val="28"/>
          <w:szCs w:val="28"/>
          <w:lang w:val="en-US"/>
        </w:rPr>
        <w:t xml:space="preserve"> </w:t>
      </w:r>
      <w:r w:rsidR="00515EC0" w:rsidRPr="006876BC">
        <w:rPr>
          <w:sz w:val="28"/>
          <w:szCs w:val="28"/>
          <w:lang w:val="en-US"/>
        </w:rPr>
        <w:t xml:space="preserve">rule on </w:t>
      </w:r>
      <w:r w:rsidR="0083128A" w:rsidRPr="006876BC">
        <w:rPr>
          <w:sz w:val="28"/>
          <w:szCs w:val="28"/>
          <w:lang w:val="en-US"/>
        </w:rPr>
        <w:t xml:space="preserve">matters of </w:t>
      </w:r>
      <w:r w:rsidR="00D55FF5" w:rsidRPr="006876BC">
        <w:rPr>
          <w:sz w:val="28"/>
          <w:szCs w:val="28"/>
          <w:lang w:val="en-US"/>
        </w:rPr>
        <w:t xml:space="preserve">technical </w:t>
      </w:r>
      <w:r w:rsidR="0083128A" w:rsidRPr="006876BC">
        <w:rPr>
          <w:sz w:val="28"/>
          <w:szCs w:val="28"/>
          <w:lang w:val="en-US"/>
        </w:rPr>
        <w:t>nature.</w:t>
      </w:r>
      <w:r w:rsidR="0083128A">
        <w:rPr>
          <w:sz w:val="28"/>
          <w:szCs w:val="28"/>
          <w:lang w:val="en-US"/>
        </w:rPr>
        <w:t xml:space="preserve"> </w:t>
      </w:r>
    </w:p>
    <w:p w14:paraId="3C6252F2" w14:textId="523CBCF0" w:rsidR="004A7D9E" w:rsidRDefault="00002F83">
      <w:pPr>
        <w:spacing w:after="0" w:line="360" w:lineRule="auto"/>
        <w:ind w:firstLine="284"/>
        <w:jc w:val="both"/>
        <w:rPr>
          <w:sz w:val="28"/>
          <w:szCs w:val="28"/>
          <w:lang w:val="en-US"/>
        </w:rPr>
      </w:pPr>
      <w:r>
        <w:rPr>
          <w:sz w:val="28"/>
          <w:szCs w:val="28"/>
          <w:lang w:val="en-US"/>
        </w:rPr>
        <w:t xml:space="preserve">Similarly, in disputes </w:t>
      </w:r>
      <w:r w:rsidR="006876BC">
        <w:rPr>
          <w:sz w:val="28"/>
          <w:szCs w:val="28"/>
          <w:lang w:val="en-US"/>
        </w:rPr>
        <w:t xml:space="preserve">concerning </w:t>
      </w:r>
      <w:r>
        <w:rPr>
          <w:sz w:val="28"/>
          <w:szCs w:val="28"/>
          <w:lang w:val="en-US"/>
        </w:rPr>
        <w:t xml:space="preserve">the legality of individual acts, the judge-rapporteur </w:t>
      </w:r>
      <w:r w:rsidR="00153A40">
        <w:rPr>
          <w:sz w:val="28"/>
          <w:szCs w:val="28"/>
          <w:lang w:val="en-US"/>
        </w:rPr>
        <w:t xml:space="preserve">collects </w:t>
      </w:r>
      <w:r>
        <w:rPr>
          <w:sz w:val="28"/>
          <w:szCs w:val="28"/>
          <w:lang w:val="en-US"/>
        </w:rPr>
        <w:t xml:space="preserve">all the evidence and information that </w:t>
      </w:r>
      <w:r w:rsidR="006876BC">
        <w:rPr>
          <w:sz w:val="28"/>
          <w:szCs w:val="28"/>
          <w:lang w:val="en-US"/>
        </w:rPr>
        <w:t xml:space="preserve">are </w:t>
      </w:r>
      <w:r w:rsidR="008F1B0F">
        <w:rPr>
          <w:sz w:val="28"/>
          <w:szCs w:val="28"/>
          <w:lang w:val="en-US"/>
        </w:rPr>
        <w:t>decisive</w:t>
      </w:r>
      <w:r>
        <w:rPr>
          <w:sz w:val="28"/>
          <w:szCs w:val="28"/>
          <w:lang w:val="en-US"/>
        </w:rPr>
        <w:t xml:space="preserve"> to </w:t>
      </w:r>
      <w:r w:rsidR="002B0DE6">
        <w:rPr>
          <w:sz w:val="28"/>
          <w:szCs w:val="28"/>
          <w:lang w:val="en-US"/>
        </w:rPr>
        <w:t xml:space="preserve">the </w:t>
      </w:r>
      <w:r>
        <w:rPr>
          <w:sz w:val="28"/>
          <w:szCs w:val="28"/>
          <w:lang w:val="en-US"/>
        </w:rPr>
        <w:t xml:space="preserve">understanding </w:t>
      </w:r>
      <w:r w:rsidR="002B0DE6">
        <w:rPr>
          <w:sz w:val="28"/>
          <w:szCs w:val="28"/>
          <w:lang w:val="en-US"/>
        </w:rPr>
        <w:t xml:space="preserve">of </w:t>
      </w:r>
      <w:r>
        <w:rPr>
          <w:sz w:val="28"/>
          <w:szCs w:val="28"/>
          <w:lang w:val="en-US"/>
        </w:rPr>
        <w:t>the critical issues (mainly of a technical nature), which relate not only t</w:t>
      </w:r>
      <w:r w:rsidR="009477CE">
        <w:rPr>
          <w:sz w:val="28"/>
          <w:szCs w:val="28"/>
          <w:lang w:val="en-US"/>
        </w:rPr>
        <w:t xml:space="preserve">o the dispute at hand but also </w:t>
      </w:r>
      <w:r>
        <w:rPr>
          <w:sz w:val="28"/>
          <w:szCs w:val="28"/>
          <w:lang w:val="en-US"/>
        </w:rPr>
        <w:t>to the functioning of the regulated market</w:t>
      </w:r>
      <w:r w:rsidR="009477CE">
        <w:rPr>
          <w:sz w:val="28"/>
          <w:szCs w:val="28"/>
          <w:lang w:val="en-US"/>
        </w:rPr>
        <w:t xml:space="preserve"> in general</w:t>
      </w:r>
      <w:r w:rsidR="00935018">
        <w:rPr>
          <w:sz w:val="28"/>
          <w:szCs w:val="28"/>
          <w:lang w:val="en-US"/>
        </w:rPr>
        <w:t xml:space="preserve">. </w:t>
      </w:r>
      <w:r w:rsidR="006876BC">
        <w:rPr>
          <w:sz w:val="28"/>
          <w:szCs w:val="28"/>
          <w:lang w:val="en-US"/>
        </w:rPr>
        <w:t xml:space="preserve">Once more, the principle of procedural equality obstructs </w:t>
      </w:r>
      <w:r w:rsidRPr="00572D89">
        <w:rPr>
          <w:sz w:val="28"/>
          <w:szCs w:val="28"/>
          <w:lang w:val="en-US"/>
        </w:rPr>
        <w:t>him</w:t>
      </w:r>
      <w:r>
        <w:rPr>
          <w:sz w:val="28"/>
          <w:szCs w:val="28"/>
          <w:lang w:val="en-US"/>
        </w:rPr>
        <w:t xml:space="preserve"> to </w:t>
      </w:r>
      <w:r w:rsidR="00310307">
        <w:rPr>
          <w:sz w:val="28"/>
          <w:szCs w:val="28"/>
          <w:lang w:val="en-US"/>
        </w:rPr>
        <w:t>use</w:t>
      </w:r>
      <w:r>
        <w:rPr>
          <w:sz w:val="28"/>
          <w:szCs w:val="28"/>
          <w:lang w:val="en-US"/>
        </w:rPr>
        <w:t xml:space="preserve"> evidence and information </w:t>
      </w:r>
      <w:r w:rsidR="006876BC">
        <w:rPr>
          <w:sz w:val="28"/>
          <w:szCs w:val="28"/>
          <w:lang w:val="en-US"/>
        </w:rPr>
        <w:t>in a way that would</w:t>
      </w:r>
      <w:r w:rsidR="00A27951">
        <w:rPr>
          <w:sz w:val="28"/>
          <w:szCs w:val="28"/>
          <w:lang w:val="en-US"/>
        </w:rPr>
        <w:t xml:space="preserve"> </w:t>
      </w:r>
      <w:r w:rsidR="007076BA" w:rsidRPr="00A0713F">
        <w:rPr>
          <w:sz w:val="28"/>
          <w:szCs w:val="28"/>
          <w:lang w:val="en-US"/>
        </w:rPr>
        <w:t>h</w:t>
      </w:r>
      <w:r w:rsidR="007076BA">
        <w:rPr>
          <w:sz w:val="28"/>
          <w:szCs w:val="28"/>
          <w:lang w:val="en-US"/>
        </w:rPr>
        <w:t>ave</w:t>
      </w:r>
      <w:r w:rsidR="001C30AD">
        <w:rPr>
          <w:sz w:val="28"/>
          <w:szCs w:val="28"/>
          <w:lang w:val="en-US"/>
        </w:rPr>
        <w:t xml:space="preserve"> an influence on </w:t>
      </w:r>
      <w:r w:rsidR="006876BC">
        <w:rPr>
          <w:sz w:val="28"/>
          <w:szCs w:val="28"/>
          <w:lang w:val="en-US"/>
        </w:rPr>
        <w:t>the</w:t>
      </w:r>
      <w:r w:rsidR="001C30AD" w:rsidRPr="00A0713F">
        <w:rPr>
          <w:sz w:val="28"/>
          <w:szCs w:val="28"/>
          <w:lang w:val="en-US"/>
        </w:rPr>
        <w:t xml:space="preserve"> o</w:t>
      </w:r>
      <w:r w:rsidR="001C30AD">
        <w:rPr>
          <w:sz w:val="28"/>
          <w:szCs w:val="28"/>
          <w:lang w:val="en-US"/>
        </w:rPr>
        <w:t>utcome of the</w:t>
      </w:r>
      <w:r w:rsidR="006876BC">
        <w:rPr>
          <w:sz w:val="28"/>
          <w:szCs w:val="28"/>
          <w:lang w:val="en-US"/>
        </w:rPr>
        <w:t xml:space="preserve"> </w:t>
      </w:r>
      <w:r w:rsidR="001C30AD">
        <w:rPr>
          <w:sz w:val="28"/>
          <w:szCs w:val="28"/>
          <w:lang w:val="en-US"/>
        </w:rPr>
        <w:t>dispute</w:t>
      </w:r>
      <w:r w:rsidR="006876BC">
        <w:rPr>
          <w:sz w:val="28"/>
          <w:szCs w:val="28"/>
          <w:lang w:val="en-US"/>
        </w:rPr>
        <w:t xml:space="preserve">, either by </w:t>
      </w:r>
      <w:r>
        <w:rPr>
          <w:sz w:val="28"/>
          <w:szCs w:val="28"/>
          <w:lang w:val="en-US"/>
        </w:rPr>
        <w:t>supplement</w:t>
      </w:r>
      <w:r w:rsidR="006876BC">
        <w:rPr>
          <w:sz w:val="28"/>
          <w:szCs w:val="28"/>
          <w:lang w:val="en-US"/>
        </w:rPr>
        <w:t>ing</w:t>
      </w:r>
      <w:r>
        <w:rPr>
          <w:sz w:val="28"/>
          <w:szCs w:val="28"/>
          <w:lang w:val="en-US"/>
        </w:rPr>
        <w:t xml:space="preserve"> </w:t>
      </w:r>
      <w:r w:rsidRPr="00AE55C8">
        <w:rPr>
          <w:sz w:val="28"/>
          <w:szCs w:val="28"/>
          <w:lang w:val="en-US"/>
        </w:rPr>
        <w:t>the</w:t>
      </w:r>
      <w:r w:rsidR="00E24E0C" w:rsidRPr="00E24E0C">
        <w:rPr>
          <w:sz w:val="28"/>
          <w:szCs w:val="28"/>
          <w:lang w:val="en-US"/>
        </w:rPr>
        <w:t xml:space="preserve"> </w:t>
      </w:r>
      <w:r w:rsidR="00E24E0C">
        <w:rPr>
          <w:sz w:val="28"/>
          <w:szCs w:val="28"/>
          <w:lang w:val="en-US"/>
        </w:rPr>
        <w:t>otherwise inadequate</w:t>
      </w:r>
      <w:r w:rsidRPr="00AE55C8">
        <w:rPr>
          <w:sz w:val="28"/>
          <w:szCs w:val="28"/>
          <w:lang w:val="en-US"/>
        </w:rPr>
        <w:t xml:space="preserve"> reasoning</w:t>
      </w:r>
      <w:r>
        <w:rPr>
          <w:sz w:val="28"/>
          <w:szCs w:val="28"/>
          <w:lang w:val="en-US"/>
        </w:rPr>
        <w:t xml:space="preserve"> of the contested act</w:t>
      </w:r>
      <w:r w:rsidR="0092344B">
        <w:rPr>
          <w:sz w:val="28"/>
          <w:szCs w:val="28"/>
          <w:lang w:val="en-US"/>
        </w:rPr>
        <w:t xml:space="preserve"> </w:t>
      </w:r>
      <w:r>
        <w:rPr>
          <w:sz w:val="28"/>
          <w:szCs w:val="28"/>
          <w:lang w:val="en-US"/>
        </w:rPr>
        <w:t>or, conversely</w:t>
      </w:r>
      <w:r w:rsidR="00DC3CA2">
        <w:rPr>
          <w:sz w:val="28"/>
          <w:szCs w:val="28"/>
          <w:lang w:val="en-US"/>
        </w:rPr>
        <w:t>,</w:t>
      </w:r>
      <w:r w:rsidR="006876BC">
        <w:rPr>
          <w:sz w:val="28"/>
          <w:szCs w:val="28"/>
          <w:lang w:val="en-US"/>
        </w:rPr>
        <w:t xml:space="preserve"> by</w:t>
      </w:r>
      <w:r>
        <w:rPr>
          <w:sz w:val="28"/>
          <w:szCs w:val="28"/>
          <w:lang w:val="en-US"/>
        </w:rPr>
        <w:t xml:space="preserve"> ren</w:t>
      </w:r>
      <w:r w:rsidR="001C066D">
        <w:rPr>
          <w:sz w:val="28"/>
          <w:szCs w:val="28"/>
          <w:lang w:val="en-US"/>
        </w:rPr>
        <w:t>der</w:t>
      </w:r>
      <w:r w:rsidR="006876BC">
        <w:rPr>
          <w:sz w:val="28"/>
          <w:szCs w:val="28"/>
          <w:lang w:val="en-US"/>
        </w:rPr>
        <w:t>ing</w:t>
      </w:r>
      <w:r w:rsidR="001C066D">
        <w:rPr>
          <w:sz w:val="28"/>
          <w:szCs w:val="28"/>
          <w:lang w:val="en-US"/>
        </w:rPr>
        <w:t xml:space="preserve"> </w:t>
      </w:r>
      <w:r w:rsidR="006876BC">
        <w:rPr>
          <w:sz w:val="28"/>
          <w:szCs w:val="28"/>
          <w:lang w:val="en-US"/>
        </w:rPr>
        <w:t xml:space="preserve">an initially inadmissible appeal admissible by clarifying the (otherwise vague) pleas </w:t>
      </w:r>
      <w:r w:rsidR="001C066D">
        <w:rPr>
          <w:sz w:val="28"/>
          <w:szCs w:val="28"/>
          <w:lang w:val="en-US"/>
        </w:rPr>
        <w:t xml:space="preserve">(cf. </w:t>
      </w:r>
      <w:proofErr w:type="spellStart"/>
      <w:r w:rsidR="00A83633" w:rsidRPr="00A83633">
        <w:rPr>
          <w:sz w:val="28"/>
          <w:szCs w:val="28"/>
          <w:lang w:val="en-US"/>
        </w:rPr>
        <w:t>CoS</w:t>
      </w:r>
      <w:proofErr w:type="spellEnd"/>
      <w:r>
        <w:rPr>
          <w:sz w:val="28"/>
          <w:szCs w:val="28"/>
          <w:lang w:val="en-US"/>
        </w:rPr>
        <w:t xml:space="preserve"> 935/2017)</w:t>
      </w:r>
      <w:r w:rsidR="006876BC">
        <w:rPr>
          <w:sz w:val="28"/>
          <w:szCs w:val="28"/>
          <w:lang w:val="en-US"/>
        </w:rPr>
        <w:t>.</w:t>
      </w:r>
      <w:r>
        <w:rPr>
          <w:sz w:val="28"/>
          <w:szCs w:val="28"/>
          <w:lang w:val="en-US"/>
        </w:rPr>
        <w:t xml:space="preserve"> </w:t>
      </w:r>
      <w:r w:rsidR="00BC10BA">
        <w:rPr>
          <w:sz w:val="28"/>
          <w:szCs w:val="28"/>
          <w:lang w:val="en-US"/>
        </w:rPr>
        <w:t>I</w:t>
      </w:r>
      <w:r>
        <w:rPr>
          <w:sz w:val="28"/>
          <w:szCs w:val="28"/>
          <w:lang w:val="en-US"/>
        </w:rPr>
        <w:t>n fact,</w:t>
      </w:r>
      <w:r w:rsidR="00BC10BA">
        <w:rPr>
          <w:sz w:val="28"/>
          <w:szCs w:val="28"/>
          <w:lang w:val="en-US"/>
        </w:rPr>
        <w:t xml:space="preserve"> the latter</w:t>
      </w:r>
      <w:r>
        <w:rPr>
          <w:sz w:val="28"/>
          <w:szCs w:val="28"/>
          <w:lang w:val="en-US"/>
        </w:rPr>
        <w:t xml:space="preserve"> </w:t>
      </w:r>
      <w:r w:rsidR="00A0713F">
        <w:rPr>
          <w:sz w:val="28"/>
          <w:szCs w:val="28"/>
          <w:lang w:val="en-US"/>
        </w:rPr>
        <w:t xml:space="preserve">has been </w:t>
      </w:r>
      <w:r>
        <w:rPr>
          <w:sz w:val="28"/>
          <w:szCs w:val="28"/>
          <w:lang w:val="en-US"/>
        </w:rPr>
        <w:t xml:space="preserve">ruled </w:t>
      </w:r>
      <w:r w:rsidR="00A0713F">
        <w:rPr>
          <w:sz w:val="28"/>
          <w:szCs w:val="28"/>
          <w:lang w:val="en-US"/>
        </w:rPr>
        <w:t xml:space="preserve">by the courts </w:t>
      </w:r>
      <w:r>
        <w:rPr>
          <w:sz w:val="28"/>
          <w:szCs w:val="28"/>
          <w:lang w:val="en-US"/>
        </w:rPr>
        <w:t xml:space="preserve">in </w:t>
      </w:r>
      <w:r w:rsidR="006876BC">
        <w:rPr>
          <w:sz w:val="28"/>
          <w:szCs w:val="28"/>
          <w:lang w:val="en-US"/>
        </w:rPr>
        <w:t>a</w:t>
      </w:r>
      <w:r>
        <w:rPr>
          <w:sz w:val="28"/>
          <w:szCs w:val="28"/>
          <w:lang w:val="en-US"/>
        </w:rPr>
        <w:t xml:space="preserve"> </w:t>
      </w:r>
      <w:r w:rsidR="006876BC">
        <w:rPr>
          <w:sz w:val="28"/>
          <w:szCs w:val="28"/>
          <w:lang w:val="en-US"/>
        </w:rPr>
        <w:t xml:space="preserve">dispute relevant to </w:t>
      </w:r>
      <w:r>
        <w:rPr>
          <w:sz w:val="28"/>
          <w:szCs w:val="28"/>
          <w:lang w:val="en-US"/>
        </w:rPr>
        <w:t xml:space="preserve">a fine </w:t>
      </w:r>
      <w:r w:rsidR="00384AC5" w:rsidRPr="00384AC5">
        <w:rPr>
          <w:sz w:val="28"/>
          <w:szCs w:val="28"/>
          <w:lang w:val="en-US"/>
        </w:rPr>
        <w:t>o</w:t>
      </w:r>
      <w:r w:rsidR="00384AC5">
        <w:rPr>
          <w:sz w:val="28"/>
          <w:szCs w:val="28"/>
          <w:lang w:val="en-US"/>
        </w:rPr>
        <w:t xml:space="preserve">n </w:t>
      </w:r>
      <w:r>
        <w:rPr>
          <w:sz w:val="28"/>
          <w:szCs w:val="28"/>
          <w:lang w:val="en-US"/>
        </w:rPr>
        <w:t xml:space="preserve">an internet service provider for </w:t>
      </w:r>
      <w:r w:rsidRPr="00384AC5">
        <w:rPr>
          <w:color w:val="000000" w:themeColor="text1"/>
          <w:sz w:val="28"/>
          <w:szCs w:val="28"/>
          <w:lang w:val="en-US"/>
        </w:rPr>
        <w:t>violations</w:t>
      </w:r>
      <w:r>
        <w:rPr>
          <w:sz w:val="28"/>
          <w:szCs w:val="28"/>
          <w:lang w:val="en-US"/>
        </w:rPr>
        <w:t xml:space="preserve"> of competition law</w:t>
      </w:r>
      <w:r w:rsidR="002E0893">
        <w:rPr>
          <w:sz w:val="28"/>
          <w:szCs w:val="28"/>
          <w:lang w:val="en-US"/>
        </w:rPr>
        <w:t xml:space="preserve">, </w:t>
      </w:r>
      <w:r w:rsidR="006876BC">
        <w:rPr>
          <w:sz w:val="28"/>
          <w:szCs w:val="28"/>
          <w:lang w:val="en-US"/>
        </w:rPr>
        <w:t>imposed by the Hellenic Telecommunications and Post Commission.</w:t>
      </w:r>
      <w:r w:rsidR="006876BC" w:rsidRPr="007571A7">
        <w:rPr>
          <w:sz w:val="28"/>
          <w:szCs w:val="28"/>
          <w:lang w:val="en-US"/>
        </w:rPr>
        <w:t xml:space="preserve"> Mor</w:t>
      </w:r>
      <w:r w:rsidR="006876BC">
        <w:rPr>
          <w:sz w:val="28"/>
          <w:szCs w:val="28"/>
          <w:lang w:val="en-US"/>
        </w:rPr>
        <w:t>e specifically, t</w:t>
      </w:r>
      <w:r>
        <w:rPr>
          <w:sz w:val="28"/>
          <w:szCs w:val="28"/>
          <w:lang w:val="en-US"/>
        </w:rPr>
        <w:t xml:space="preserve">he </w:t>
      </w:r>
      <w:r w:rsidR="00C166F4">
        <w:rPr>
          <w:sz w:val="28"/>
          <w:szCs w:val="28"/>
          <w:lang w:val="en-US"/>
        </w:rPr>
        <w:lastRenderedPageBreak/>
        <w:t xml:space="preserve">applicant </w:t>
      </w:r>
      <w:r>
        <w:rPr>
          <w:sz w:val="28"/>
          <w:szCs w:val="28"/>
          <w:lang w:val="en-US"/>
        </w:rPr>
        <w:t xml:space="preserve">provider </w:t>
      </w:r>
      <w:r w:rsidR="006876BC">
        <w:rPr>
          <w:sz w:val="28"/>
          <w:szCs w:val="28"/>
          <w:lang w:val="en-US"/>
        </w:rPr>
        <w:t xml:space="preserve">had </w:t>
      </w:r>
      <w:r>
        <w:rPr>
          <w:sz w:val="28"/>
          <w:szCs w:val="28"/>
          <w:lang w:val="en-US"/>
        </w:rPr>
        <w:t xml:space="preserve">submitted </w:t>
      </w:r>
      <w:r w:rsidR="00D96255">
        <w:rPr>
          <w:sz w:val="28"/>
          <w:szCs w:val="28"/>
          <w:lang w:val="en-US"/>
        </w:rPr>
        <w:t xml:space="preserve">to the Court of Appeal </w:t>
      </w:r>
      <w:r>
        <w:rPr>
          <w:sz w:val="28"/>
          <w:szCs w:val="28"/>
          <w:lang w:val="en-US"/>
        </w:rPr>
        <w:t xml:space="preserve">an expert opinion and a technical report in order to prove his </w:t>
      </w:r>
      <w:r w:rsidR="00153A40">
        <w:rPr>
          <w:sz w:val="28"/>
          <w:szCs w:val="28"/>
          <w:lang w:val="en-US"/>
        </w:rPr>
        <w:t xml:space="preserve">claim </w:t>
      </w:r>
      <w:r>
        <w:rPr>
          <w:sz w:val="28"/>
          <w:szCs w:val="28"/>
          <w:lang w:val="en-US"/>
        </w:rPr>
        <w:t>that the Reasonably-Efficient-Competitor-Test,</w:t>
      </w:r>
      <w:r w:rsidR="00C166F4" w:rsidRPr="00C166F4">
        <w:rPr>
          <w:sz w:val="28"/>
          <w:szCs w:val="28"/>
          <w:lang w:val="en-US"/>
        </w:rPr>
        <w:t xml:space="preserve"> </w:t>
      </w:r>
      <w:r w:rsidR="006876BC">
        <w:rPr>
          <w:sz w:val="28"/>
          <w:szCs w:val="28"/>
          <w:lang w:val="en-US"/>
        </w:rPr>
        <w:t>(</w:t>
      </w:r>
      <w:r>
        <w:rPr>
          <w:sz w:val="28"/>
          <w:szCs w:val="28"/>
          <w:lang w:val="en-US"/>
        </w:rPr>
        <w:t>which</w:t>
      </w:r>
      <w:r w:rsidR="00C166F4">
        <w:rPr>
          <w:sz w:val="28"/>
          <w:szCs w:val="28"/>
          <w:lang w:val="en-US"/>
        </w:rPr>
        <w:t xml:space="preserve"> is the basis of</w:t>
      </w:r>
      <w:r>
        <w:rPr>
          <w:sz w:val="28"/>
          <w:szCs w:val="28"/>
          <w:lang w:val="en-US"/>
        </w:rPr>
        <w:t xml:space="preserve"> the </w:t>
      </w:r>
      <w:r w:rsidR="00C166F4">
        <w:rPr>
          <w:sz w:val="28"/>
          <w:szCs w:val="28"/>
          <w:lang w:val="en-US"/>
        </w:rPr>
        <w:t xml:space="preserve">method </w:t>
      </w:r>
      <w:r>
        <w:rPr>
          <w:sz w:val="28"/>
          <w:szCs w:val="28"/>
          <w:lang w:val="en-US"/>
        </w:rPr>
        <w:t>used</w:t>
      </w:r>
      <w:r w:rsidR="00C166F4">
        <w:rPr>
          <w:sz w:val="28"/>
          <w:szCs w:val="28"/>
          <w:lang w:val="en-US"/>
        </w:rPr>
        <w:t xml:space="preserve"> by the regulator</w:t>
      </w:r>
      <w:r>
        <w:rPr>
          <w:sz w:val="28"/>
          <w:szCs w:val="28"/>
          <w:lang w:val="en-US"/>
        </w:rPr>
        <w:t xml:space="preserve"> to establish the </w:t>
      </w:r>
      <w:r w:rsidR="00955788" w:rsidRPr="00E2594E">
        <w:rPr>
          <w:sz w:val="28"/>
          <w:szCs w:val="28"/>
          <w:lang w:val="en-US"/>
        </w:rPr>
        <w:t>f</w:t>
      </w:r>
      <w:r w:rsidR="00955788">
        <w:rPr>
          <w:sz w:val="28"/>
          <w:szCs w:val="28"/>
          <w:lang w:val="en-US"/>
        </w:rPr>
        <w:t xml:space="preserve">inancial </w:t>
      </w:r>
      <w:r w:rsidR="00153A40">
        <w:rPr>
          <w:sz w:val="28"/>
          <w:szCs w:val="28"/>
          <w:lang w:val="en-US"/>
        </w:rPr>
        <w:t>damage</w:t>
      </w:r>
      <w:r>
        <w:rPr>
          <w:sz w:val="28"/>
          <w:szCs w:val="28"/>
          <w:lang w:val="en-US"/>
        </w:rPr>
        <w:t xml:space="preserve"> </w:t>
      </w:r>
      <w:r w:rsidR="00C166F4">
        <w:rPr>
          <w:sz w:val="28"/>
          <w:szCs w:val="28"/>
          <w:lang w:val="en-US"/>
        </w:rPr>
        <w:t xml:space="preserve">caused </w:t>
      </w:r>
      <w:r>
        <w:rPr>
          <w:sz w:val="28"/>
          <w:szCs w:val="28"/>
          <w:lang w:val="en-US"/>
        </w:rPr>
        <w:t>to the economic operators dependent on the provider</w:t>
      </w:r>
      <w:r w:rsidR="006876BC">
        <w:rPr>
          <w:sz w:val="28"/>
          <w:szCs w:val="28"/>
          <w:lang w:val="en-US"/>
        </w:rPr>
        <w:t>)</w:t>
      </w:r>
      <w:r>
        <w:rPr>
          <w:sz w:val="28"/>
          <w:szCs w:val="28"/>
          <w:lang w:val="en-US"/>
        </w:rPr>
        <w:t xml:space="preserve"> was incorrect because it was based on </w:t>
      </w:r>
      <w:r w:rsidRPr="00E2594E">
        <w:rPr>
          <w:sz w:val="28"/>
          <w:szCs w:val="28"/>
          <w:lang w:val="en-US"/>
        </w:rPr>
        <w:t>the</w:t>
      </w:r>
      <w:r>
        <w:rPr>
          <w:sz w:val="28"/>
          <w:szCs w:val="28"/>
          <w:lang w:val="en-US"/>
        </w:rPr>
        <w:t xml:space="preserve"> wrong parameters. The </w:t>
      </w:r>
      <w:r w:rsidR="00181BCD">
        <w:rPr>
          <w:sz w:val="28"/>
          <w:szCs w:val="28"/>
          <w:lang w:val="en-US"/>
        </w:rPr>
        <w:t xml:space="preserve">Court </w:t>
      </w:r>
      <w:r w:rsidR="00F10EC4">
        <w:rPr>
          <w:sz w:val="28"/>
          <w:szCs w:val="28"/>
          <w:lang w:val="en-US"/>
        </w:rPr>
        <w:t xml:space="preserve">of </w:t>
      </w:r>
      <w:r w:rsidR="00181BCD">
        <w:rPr>
          <w:sz w:val="28"/>
          <w:szCs w:val="28"/>
          <w:lang w:val="en-US"/>
        </w:rPr>
        <w:t>Appeal</w:t>
      </w:r>
      <w:r>
        <w:rPr>
          <w:sz w:val="28"/>
          <w:szCs w:val="28"/>
          <w:lang w:val="en-US"/>
        </w:rPr>
        <w:t xml:space="preserve">, </w:t>
      </w:r>
      <w:r w:rsidR="006876BC">
        <w:rPr>
          <w:sz w:val="28"/>
          <w:szCs w:val="28"/>
          <w:lang w:val="en-US"/>
        </w:rPr>
        <w:t xml:space="preserve">having concluded that the plea at stake </w:t>
      </w:r>
      <w:r>
        <w:rPr>
          <w:sz w:val="28"/>
          <w:szCs w:val="28"/>
          <w:lang w:val="en-US"/>
        </w:rPr>
        <w:t>was vague in that respect</w:t>
      </w:r>
      <w:r w:rsidR="006876BC">
        <w:rPr>
          <w:sz w:val="28"/>
          <w:szCs w:val="28"/>
          <w:lang w:val="en-US"/>
        </w:rPr>
        <w:t xml:space="preserve"> -</w:t>
      </w:r>
      <w:r>
        <w:rPr>
          <w:sz w:val="28"/>
          <w:szCs w:val="28"/>
          <w:lang w:val="en-US"/>
        </w:rPr>
        <w:t xml:space="preserve"> since it did not cont</w:t>
      </w:r>
      <w:r w:rsidR="002E7077">
        <w:rPr>
          <w:sz w:val="28"/>
          <w:szCs w:val="28"/>
          <w:lang w:val="en-US"/>
        </w:rPr>
        <w:t xml:space="preserve">ain any reference either to specific </w:t>
      </w:r>
      <w:r>
        <w:rPr>
          <w:sz w:val="28"/>
          <w:szCs w:val="28"/>
          <w:lang w:val="en-US"/>
        </w:rPr>
        <w:t>parameters used or to their deficiencies</w:t>
      </w:r>
      <w:r w:rsidR="006876BC">
        <w:rPr>
          <w:sz w:val="28"/>
          <w:szCs w:val="28"/>
          <w:lang w:val="en-US"/>
        </w:rPr>
        <w:t xml:space="preserve"> - </w:t>
      </w:r>
      <w:r>
        <w:rPr>
          <w:sz w:val="28"/>
          <w:szCs w:val="28"/>
          <w:lang w:val="en-US"/>
        </w:rPr>
        <w:t xml:space="preserve">held that the evidence submitted during the </w:t>
      </w:r>
      <w:r w:rsidRPr="00E2594E">
        <w:rPr>
          <w:sz w:val="28"/>
          <w:szCs w:val="28"/>
          <w:lang w:val="en-US"/>
        </w:rPr>
        <w:t>pre-trial</w:t>
      </w:r>
      <w:r>
        <w:rPr>
          <w:sz w:val="28"/>
          <w:szCs w:val="28"/>
          <w:lang w:val="en-US"/>
        </w:rPr>
        <w:t xml:space="preserve"> procedure could not be taken into account, since </w:t>
      </w:r>
      <w:r w:rsidR="00C1262D">
        <w:rPr>
          <w:sz w:val="28"/>
          <w:szCs w:val="28"/>
          <w:lang w:val="en-US"/>
        </w:rPr>
        <w:t>this</w:t>
      </w:r>
      <w:r>
        <w:rPr>
          <w:sz w:val="28"/>
          <w:szCs w:val="28"/>
          <w:lang w:val="en-US"/>
        </w:rPr>
        <w:t xml:space="preserve"> would have </w:t>
      </w:r>
      <w:r w:rsidR="006876BC">
        <w:rPr>
          <w:sz w:val="28"/>
          <w:szCs w:val="28"/>
          <w:lang w:val="en-US"/>
        </w:rPr>
        <w:t xml:space="preserve">cured an otherwise </w:t>
      </w:r>
      <w:r w:rsidR="0089145E">
        <w:rPr>
          <w:sz w:val="28"/>
          <w:szCs w:val="28"/>
          <w:lang w:val="en-US"/>
        </w:rPr>
        <w:t>vague</w:t>
      </w:r>
      <w:r w:rsidR="006876BC">
        <w:rPr>
          <w:sz w:val="28"/>
          <w:szCs w:val="28"/>
          <w:lang w:val="en-US"/>
        </w:rPr>
        <w:t>, and thus inadmissible,</w:t>
      </w:r>
      <w:r w:rsidR="0089145E">
        <w:rPr>
          <w:sz w:val="28"/>
          <w:szCs w:val="28"/>
          <w:lang w:val="en-US"/>
        </w:rPr>
        <w:t xml:space="preserve"> </w:t>
      </w:r>
      <w:r w:rsidR="00C1262D">
        <w:rPr>
          <w:sz w:val="28"/>
          <w:szCs w:val="28"/>
          <w:lang w:val="en-US"/>
        </w:rPr>
        <w:t>appeal</w:t>
      </w:r>
      <w:r>
        <w:rPr>
          <w:sz w:val="28"/>
          <w:szCs w:val="28"/>
          <w:lang w:val="en-US"/>
        </w:rPr>
        <w:t>. The administrative court’s judgment was upheld by the Council of State (</w:t>
      </w:r>
      <w:r w:rsidR="00E16F89">
        <w:rPr>
          <w:sz w:val="28"/>
          <w:szCs w:val="28"/>
          <w:lang w:val="en-US"/>
        </w:rPr>
        <w:t xml:space="preserve">see </w:t>
      </w:r>
      <w:proofErr w:type="spellStart"/>
      <w:r w:rsidR="00A83633" w:rsidRPr="00A83633">
        <w:rPr>
          <w:sz w:val="28"/>
          <w:szCs w:val="28"/>
          <w:lang w:val="en-US"/>
        </w:rPr>
        <w:t>CoS</w:t>
      </w:r>
      <w:proofErr w:type="spellEnd"/>
      <w:r>
        <w:rPr>
          <w:sz w:val="28"/>
          <w:szCs w:val="28"/>
          <w:lang w:val="en-US"/>
        </w:rPr>
        <w:t xml:space="preserve"> 860/2019).</w:t>
      </w:r>
    </w:p>
    <w:p w14:paraId="2314D6F9" w14:textId="0FA613E6" w:rsidR="004A7D9E" w:rsidRDefault="00002F83">
      <w:pPr>
        <w:spacing w:after="0" w:line="360" w:lineRule="auto"/>
        <w:ind w:firstLine="284"/>
        <w:jc w:val="both"/>
        <w:rPr>
          <w:sz w:val="28"/>
          <w:szCs w:val="28"/>
          <w:lang w:val="en-US"/>
        </w:rPr>
      </w:pPr>
      <w:r>
        <w:rPr>
          <w:sz w:val="28"/>
          <w:szCs w:val="28"/>
          <w:lang w:val="en-US"/>
        </w:rPr>
        <w:t xml:space="preserve">The evidence and information gathered by the </w:t>
      </w:r>
      <w:r w:rsidR="004028BF">
        <w:rPr>
          <w:sz w:val="28"/>
          <w:szCs w:val="28"/>
          <w:lang w:val="en-US"/>
        </w:rPr>
        <w:t>judge-rapporteur</w:t>
      </w:r>
      <w:r>
        <w:rPr>
          <w:sz w:val="28"/>
          <w:szCs w:val="28"/>
          <w:lang w:val="en-US"/>
        </w:rPr>
        <w:t xml:space="preserve"> in both cate</w:t>
      </w:r>
      <w:r w:rsidR="00E65427">
        <w:rPr>
          <w:sz w:val="28"/>
          <w:szCs w:val="28"/>
          <w:lang w:val="en-US"/>
        </w:rPr>
        <w:t>gories of litigation become</w:t>
      </w:r>
      <w:r>
        <w:rPr>
          <w:sz w:val="28"/>
          <w:szCs w:val="28"/>
          <w:lang w:val="en-US"/>
        </w:rPr>
        <w:t xml:space="preserve"> </w:t>
      </w:r>
      <w:r w:rsidR="006876BC">
        <w:rPr>
          <w:sz w:val="28"/>
          <w:szCs w:val="28"/>
          <w:lang w:val="en-US"/>
        </w:rPr>
        <w:t xml:space="preserve">integral </w:t>
      </w:r>
      <w:r>
        <w:rPr>
          <w:sz w:val="28"/>
          <w:szCs w:val="28"/>
          <w:lang w:val="en-US"/>
        </w:rPr>
        <w:t xml:space="preserve">part of the </w:t>
      </w:r>
      <w:r w:rsidR="00EA28C2">
        <w:rPr>
          <w:sz w:val="28"/>
          <w:szCs w:val="28"/>
          <w:lang w:val="en-US"/>
        </w:rPr>
        <w:t>case-file</w:t>
      </w:r>
      <w:r>
        <w:rPr>
          <w:sz w:val="28"/>
          <w:szCs w:val="28"/>
          <w:lang w:val="en-US"/>
        </w:rPr>
        <w:t xml:space="preserve"> and hence </w:t>
      </w:r>
      <w:r w:rsidR="006876BC">
        <w:rPr>
          <w:sz w:val="28"/>
          <w:szCs w:val="28"/>
          <w:lang w:val="en-US"/>
        </w:rPr>
        <w:t xml:space="preserve">are </w:t>
      </w:r>
      <w:r>
        <w:rPr>
          <w:sz w:val="28"/>
          <w:szCs w:val="28"/>
          <w:lang w:val="en-US"/>
        </w:rPr>
        <w:t xml:space="preserve">made available to the parties, provided that </w:t>
      </w:r>
      <w:r w:rsidR="006876BC">
        <w:rPr>
          <w:sz w:val="28"/>
          <w:szCs w:val="28"/>
          <w:lang w:val="en-US"/>
        </w:rPr>
        <w:t xml:space="preserve">they do not fall in the </w:t>
      </w:r>
      <w:r w:rsidR="008A2C2B" w:rsidRPr="008A2C2B">
        <w:rPr>
          <w:sz w:val="28"/>
          <w:szCs w:val="28"/>
          <w:lang w:val="en-US"/>
        </w:rPr>
        <w:t>b</w:t>
      </w:r>
      <w:r w:rsidR="008A2C2B">
        <w:rPr>
          <w:sz w:val="28"/>
          <w:szCs w:val="28"/>
          <w:lang w:val="en-US"/>
        </w:rPr>
        <w:t>usiness</w:t>
      </w:r>
      <w:r w:rsidR="0022283C">
        <w:rPr>
          <w:sz w:val="28"/>
          <w:szCs w:val="28"/>
          <w:lang w:val="en-US"/>
        </w:rPr>
        <w:t xml:space="preserve"> confidentiality</w:t>
      </w:r>
      <w:r w:rsidR="006876BC">
        <w:rPr>
          <w:sz w:val="28"/>
          <w:szCs w:val="28"/>
          <w:lang w:val="en-US"/>
        </w:rPr>
        <w:t xml:space="preserve"> restrictions</w:t>
      </w:r>
      <w:r>
        <w:rPr>
          <w:sz w:val="28"/>
          <w:szCs w:val="28"/>
          <w:lang w:val="en-US"/>
        </w:rPr>
        <w:t xml:space="preserve">. If the regulatory authority </w:t>
      </w:r>
      <w:r w:rsidR="006876BC">
        <w:rPr>
          <w:sz w:val="28"/>
          <w:szCs w:val="28"/>
          <w:lang w:val="en-US"/>
        </w:rPr>
        <w:t>fails to</w:t>
      </w:r>
      <w:r>
        <w:rPr>
          <w:sz w:val="28"/>
          <w:szCs w:val="28"/>
          <w:lang w:val="en-US"/>
        </w:rPr>
        <w:t xml:space="preserve"> provide the </w:t>
      </w:r>
      <w:r w:rsidR="004028BF">
        <w:rPr>
          <w:sz w:val="28"/>
          <w:szCs w:val="28"/>
          <w:lang w:val="en-US"/>
        </w:rPr>
        <w:t>judge-rapporteur</w:t>
      </w:r>
      <w:r w:rsidR="001D5441">
        <w:rPr>
          <w:sz w:val="28"/>
          <w:szCs w:val="28"/>
          <w:lang w:val="en-US"/>
        </w:rPr>
        <w:t xml:space="preserve"> </w:t>
      </w:r>
      <w:r>
        <w:rPr>
          <w:sz w:val="28"/>
          <w:szCs w:val="28"/>
          <w:lang w:val="en-US"/>
        </w:rPr>
        <w:t xml:space="preserve">with the </w:t>
      </w:r>
      <w:r w:rsidR="006876BC">
        <w:rPr>
          <w:sz w:val="28"/>
          <w:szCs w:val="28"/>
          <w:lang w:val="en-US"/>
        </w:rPr>
        <w:t xml:space="preserve">requested </w:t>
      </w:r>
      <w:r>
        <w:rPr>
          <w:sz w:val="28"/>
          <w:szCs w:val="28"/>
          <w:lang w:val="en-US"/>
        </w:rPr>
        <w:t xml:space="preserve">evidence and information, the courts are </w:t>
      </w:r>
      <w:r w:rsidR="006876BC">
        <w:rPr>
          <w:sz w:val="28"/>
          <w:szCs w:val="28"/>
          <w:lang w:val="en-US"/>
        </w:rPr>
        <w:t>free to</w:t>
      </w:r>
      <w:r>
        <w:rPr>
          <w:sz w:val="28"/>
          <w:szCs w:val="28"/>
          <w:lang w:val="en-US"/>
        </w:rPr>
        <w:t xml:space="preserve"> </w:t>
      </w:r>
      <w:r w:rsidR="006876BC">
        <w:rPr>
          <w:sz w:val="28"/>
          <w:szCs w:val="28"/>
          <w:lang w:val="en-US"/>
        </w:rPr>
        <w:t>decide</w:t>
      </w:r>
      <w:r>
        <w:rPr>
          <w:sz w:val="28"/>
          <w:szCs w:val="28"/>
          <w:lang w:val="en-US"/>
        </w:rPr>
        <w:t xml:space="preserve"> solely on the basis of the evidence and information provided by the applicant, </w:t>
      </w:r>
      <w:r w:rsidR="00CF2887">
        <w:rPr>
          <w:sz w:val="28"/>
          <w:szCs w:val="28"/>
          <w:lang w:val="en-US"/>
        </w:rPr>
        <w:t>unless</w:t>
      </w:r>
      <w:r w:rsidR="006876BC">
        <w:rPr>
          <w:sz w:val="28"/>
          <w:szCs w:val="28"/>
          <w:lang w:val="en-US"/>
        </w:rPr>
        <w:t xml:space="preserve"> they </w:t>
      </w:r>
      <w:r>
        <w:rPr>
          <w:sz w:val="28"/>
          <w:szCs w:val="28"/>
          <w:lang w:val="en-US"/>
        </w:rPr>
        <w:t xml:space="preserve">are considered to be </w:t>
      </w:r>
      <w:r w:rsidR="00CF2887">
        <w:rPr>
          <w:sz w:val="28"/>
          <w:szCs w:val="28"/>
          <w:lang w:val="en-US"/>
        </w:rPr>
        <w:t>in</w:t>
      </w:r>
      <w:r>
        <w:rPr>
          <w:sz w:val="28"/>
          <w:szCs w:val="28"/>
          <w:lang w:val="en-US"/>
        </w:rPr>
        <w:t>sufficient (</w:t>
      </w:r>
      <w:r w:rsidR="00595250">
        <w:rPr>
          <w:sz w:val="28"/>
          <w:szCs w:val="28"/>
          <w:lang w:val="en-US"/>
        </w:rPr>
        <w:t xml:space="preserve">cf. </w:t>
      </w:r>
      <w:proofErr w:type="spellStart"/>
      <w:r w:rsidR="00A83633">
        <w:rPr>
          <w:sz w:val="28"/>
          <w:szCs w:val="28"/>
          <w:lang w:val="en-US"/>
        </w:rPr>
        <w:t>CoS</w:t>
      </w:r>
      <w:proofErr w:type="spellEnd"/>
      <w:r>
        <w:rPr>
          <w:sz w:val="28"/>
          <w:szCs w:val="28"/>
          <w:lang w:val="en-US"/>
        </w:rPr>
        <w:t xml:space="preserve"> 5453/2012).</w:t>
      </w:r>
    </w:p>
    <w:p w14:paraId="7187C5C0" w14:textId="77777777" w:rsidR="004A7D9E" w:rsidRDefault="004A7D9E">
      <w:pPr>
        <w:spacing w:after="0" w:line="360" w:lineRule="auto"/>
        <w:ind w:firstLine="284"/>
        <w:jc w:val="both"/>
        <w:rPr>
          <w:sz w:val="28"/>
          <w:szCs w:val="28"/>
          <w:lang w:val="en-US"/>
        </w:rPr>
      </w:pPr>
    </w:p>
    <w:p w14:paraId="00BA58E8" w14:textId="39139082" w:rsidR="004A7D9E" w:rsidRDefault="00002F83">
      <w:pPr>
        <w:spacing w:after="0" w:line="360" w:lineRule="auto"/>
        <w:jc w:val="both"/>
        <w:rPr>
          <w:sz w:val="28"/>
          <w:szCs w:val="28"/>
          <w:lang w:val="en-US"/>
        </w:rPr>
      </w:pPr>
      <w:r>
        <w:rPr>
          <w:sz w:val="28"/>
          <w:szCs w:val="28"/>
        </w:rPr>
        <w:t>Β</w:t>
      </w:r>
      <w:r>
        <w:rPr>
          <w:sz w:val="28"/>
          <w:szCs w:val="28"/>
          <w:lang w:val="en-US"/>
        </w:rPr>
        <w:t xml:space="preserve">. The practice of oral briefing of the </w:t>
      </w:r>
      <w:r w:rsidR="004028BF">
        <w:rPr>
          <w:sz w:val="28"/>
          <w:szCs w:val="28"/>
          <w:lang w:val="en-US"/>
        </w:rPr>
        <w:t>judge-rapporteur</w:t>
      </w:r>
      <w:r>
        <w:rPr>
          <w:sz w:val="28"/>
          <w:szCs w:val="28"/>
          <w:lang w:val="en-US"/>
        </w:rPr>
        <w:t>.</w:t>
      </w:r>
    </w:p>
    <w:p w14:paraId="76E1C433" w14:textId="1700C424" w:rsidR="00C649BB" w:rsidRDefault="006876BC">
      <w:pPr>
        <w:spacing w:after="0" w:line="360" w:lineRule="auto"/>
        <w:jc w:val="both"/>
        <w:rPr>
          <w:sz w:val="28"/>
          <w:szCs w:val="28"/>
          <w:lang w:val="en-US"/>
        </w:rPr>
      </w:pPr>
      <w:r>
        <w:rPr>
          <w:sz w:val="28"/>
          <w:szCs w:val="28"/>
          <w:lang w:val="en-US"/>
        </w:rPr>
        <w:t>Acknowledging</w:t>
      </w:r>
      <w:r w:rsidR="00002F83">
        <w:rPr>
          <w:sz w:val="28"/>
          <w:szCs w:val="28"/>
          <w:lang w:val="en-US"/>
        </w:rPr>
        <w:t xml:space="preserve"> the </w:t>
      </w:r>
      <w:r w:rsidR="00002F83" w:rsidRPr="00E2594E">
        <w:rPr>
          <w:sz w:val="28"/>
          <w:szCs w:val="28"/>
          <w:lang w:val="en-US"/>
        </w:rPr>
        <w:t>crucial</w:t>
      </w:r>
      <w:r w:rsidR="00002F83">
        <w:rPr>
          <w:sz w:val="28"/>
          <w:szCs w:val="28"/>
          <w:lang w:val="en-US"/>
        </w:rPr>
        <w:t xml:space="preserve"> </w:t>
      </w:r>
      <w:r>
        <w:rPr>
          <w:sz w:val="28"/>
          <w:szCs w:val="28"/>
          <w:lang w:val="en-US"/>
        </w:rPr>
        <w:t xml:space="preserve">role that the legislator has </w:t>
      </w:r>
      <w:r w:rsidR="00002F83">
        <w:rPr>
          <w:sz w:val="28"/>
          <w:szCs w:val="28"/>
          <w:lang w:val="en-US"/>
        </w:rPr>
        <w:t xml:space="preserve">reserved </w:t>
      </w:r>
      <w:r>
        <w:rPr>
          <w:sz w:val="28"/>
          <w:szCs w:val="28"/>
          <w:lang w:val="en-US"/>
        </w:rPr>
        <w:t xml:space="preserve">to the </w:t>
      </w:r>
      <w:r w:rsidR="004028BF">
        <w:rPr>
          <w:sz w:val="28"/>
          <w:szCs w:val="28"/>
          <w:lang w:val="en-US"/>
        </w:rPr>
        <w:t>judge-rapporteur</w:t>
      </w:r>
      <w:r w:rsidR="00002F83">
        <w:rPr>
          <w:sz w:val="28"/>
          <w:szCs w:val="28"/>
          <w:lang w:val="en-US"/>
        </w:rPr>
        <w:t xml:space="preserve"> </w:t>
      </w:r>
      <w:r>
        <w:rPr>
          <w:sz w:val="28"/>
          <w:szCs w:val="28"/>
          <w:lang w:val="en-US"/>
        </w:rPr>
        <w:t xml:space="preserve">during </w:t>
      </w:r>
      <w:r w:rsidR="00002F83">
        <w:rPr>
          <w:sz w:val="28"/>
          <w:szCs w:val="28"/>
          <w:lang w:val="en-US"/>
        </w:rPr>
        <w:t xml:space="preserve">the </w:t>
      </w:r>
      <w:r w:rsidR="00C958EB" w:rsidRPr="00C958EB">
        <w:rPr>
          <w:sz w:val="28"/>
          <w:szCs w:val="28"/>
          <w:lang w:val="en-US"/>
        </w:rPr>
        <w:t>pre-trial</w:t>
      </w:r>
      <w:r w:rsidR="00002F83">
        <w:rPr>
          <w:sz w:val="28"/>
          <w:szCs w:val="28"/>
          <w:lang w:val="en-US"/>
        </w:rPr>
        <w:t xml:space="preserve"> stage, the Court has</w:t>
      </w:r>
      <w:r>
        <w:rPr>
          <w:sz w:val="28"/>
          <w:szCs w:val="28"/>
          <w:lang w:val="en-US"/>
        </w:rPr>
        <w:t xml:space="preserve"> diachronically</w:t>
      </w:r>
      <w:r w:rsidR="002B521B">
        <w:rPr>
          <w:sz w:val="28"/>
          <w:szCs w:val="28"/>
          <w:lang w:val="en-US"/>
        </w:rPr>
        <w:t xml:space="preserve"> -</w:t>
      </w:r>
      <w:r>
        <w:rPr>
          <w:sz w:val="28"/>
          <w:szCs w:val="28"/>
          <w:lang w:val="en-US"/>
        </w:rPr>
        <w:t xml:space="preserve"> even since its establishment</w:t>
      </w:r>
      <w:r w:rsidR="002B521B">
        <w:rPr>
          <w:sz w:val="28"/>
          <w:szCs w:val="28"/>
          <w:lang w:val="en-US"/>
        </w:rPr>
        <w:t xml:space="preserve"> -</w:t>
      </w:r>
      <w:r>
        <w:rPr>
          <w:sz w:val="28"/>
          <w:szCs w:val="28"/>
          <w:lang w:val="en-US"/>
        </w:rPr>
        <w:t xml:space="preserve"> recourse to the practice of </w:t>
      </w:r>
      <w:r w:rsidR="00002F83">
        <w:rPr>
          <w:sz w:val="28"/>
          <w:szCs w:val="28"/>
          <w:lang w:val="en-US"/>
        </w:rPr>
        <w:t xml:space="preserve">cooperation between the </w:t>
      </w:r>
      <w:r w:rsidR="004028BF">
        <w:rPr>
          <w:sz w:val="28"/>
          <w:szCs w:val="28"/>
          <w:lang w:val="en-US"/>
        </w:rPr>
        <w:t>judge-rapporteur</w:t>
      </w:r>
      <w:r w:rsidR="00002F83">
        <w:rPr>
          <w:sz w:val="28"/>
          <w:szCs w:val="28"/>
          <w:lang w:val="en-US"/>
        </w:rPr>
        <w:t xml:space="preserve"> and the parties </w:t>
      </w:r>
      <w:r>
        <w:rPr>
          <w:sz w:val="28"/>
          <w:szCs w:val="28"/>
          <w:lang w:val="en-US"/>
        </w:rPr>
        <w:t xml:space="preserve">for the purposes </w:t>
      </w:r>
      <w:r w:rsidR="004C4FBD">
        <w:rPr>
          <w:sz w:val="28"/>
          <w:szCs w:val="28"/>
          <w:lang w:val="en-US"/>
        </w:rPr>
        <w:t>of clarifying</w:t>
      </w:r>
      <w:r w:rsidR="00002F83">
        <w:rPr>
          <w:sz w:val="28"/>
          <w:szCs w:val="28"/>
          <w:lang w:val="en-US"/>
        </w:rPr>
        <w:t xml:space="preserve"> the facts and </w:t>
      </w:r>
      <w:r w:rsidR="00002F83" w:rsidRPr="00E2594E">
        <w:rPr>
          <w:sz w:val="28"/>
          <w:szCs w:val="28"/>
          <w:lang w:val="en-US"/>
        </w:rPr>
        <w:t>issues</w:t>
      </w:r>
      <w:r w:rsidR="00002F83">
        <w:rPr>
          <w:sz w:val="28"/>
          <w:szCs w:val="28"/>
          <w:lang w:val="en-US"/>
        </w:rPr>
        <w:t xml:space="preserve"> of the dispute. </w:t>
      </w:r>
      <w:r>
        <w:rPr>
          <w:sz w:val="28"/>
          <w:szCs w:val="28"/>
          <w:lang w:val="en-US"/>
        </w:rPr>
        <w:t>Withi</w:t>
      </w:r>
      <w:r w:rsidR="00002F83">
        <w:rPr>
          <w:sz w:val="28"/>
          <w:szCs w:val="28"/>
          <w:lang w:val="en-US"/>
        </w:rPr>
        <w:t>n that context</w:t>
      </w:r>
      <w:r w:rsidR="007932FC">
        <w:rPr>
          <w:sz w:val="28"/>
          <w:szCs w:val="28"/>
          <w:lang w:val="en-US"/>
        </w:rPr>
        <w:t xml:space="preserve"> and for</w:t>
      </w:r>
      <w:r w:rsidR="00002F83">
        <w:rPr>
          <w:sz w:val="28"/>
          <w:szCs w:val="28"/>
          <w:lang w:val="en-US"/>
        </w:rPr>
        <w:t xml:space="preserve"> </w:t>
      </w:r>
      <w:r w:rsidR="007932FC">
        <w:rPr>
          <w:sz w:val="28"/>
          <w:szCs w:val="28"/>
          <w:lang w:val="en-US"/>
        </w:rPr>
        <w:t xml:space="preserve">the purpose of formulating </w:t>
      </w:r>
      <w:r w:rsidR="007932FC" w:rsidRPr="00C649BB">
        <w:rPr>
          <w:sz w:val="28"/>
          <w:szCs w:val="28"/>
          <w:lang w:val="en-US"/>
        </w:rPr>
        <w:t>his</w:t>
      </w:r>
      <w:r w:rsidR="007932FC">
        <w:rPr>
          <w:sz w:val="28"/>
          <w:szCs w:val="28"/>
          <w:lang w:val="en-US"/>
        </w:rPr>
        <w:t xml:space="preserve"> opinion on the facts and technical </w:t>
      </w:r>
      <w:r w:rsidR="007932FC" w:rsidRPr="002103FA">
        <w:rPr>
          <w:sz w:val="28"/>
          <w:szCs w:val="28"/>
          <w:lang w:val="en-US"/>
        </w:rPr>
        <w:t>matters</w:t>
      </w:r>
      <w:r w:rsidR="007932FC">
        <w:rPr>
          <w:sz w:val="28"/>
          <w:szCs w:val="28"/>
          <w:lang w:val="en-US"/>
        </w:rPr>
        <w:t xml:space="preserve"> of the case, </w:t>
      </w:r>
      <w:r w:rsidR="00002F83">
        <w:rPr>
          <w:sz w:val="28"/>
          <w:szCs w:val="28"/>
          <w:lang w:val="en-US"/>
        </w:rPr>
        <w:t xml:space="preserve">the </w:t>
      </w:r>
      <w:r w:rsidR="004028BF">
        <w:rPr>
          <w:sz w:val="28"/>
          <w:szCs w:val="28"/>
          <w:lang w:val="en-US"/>
        </w:rPr>
        <w:t>judge-rapporteur</w:t>
      </w:r>
      <w:r w:rsidR="00002F83">
        <w:rPr>
          <w:sz w:val="28"/>
          <w:szCs w:val="28"/>
          <w:lang w:val="en-US"/>
        </w:rPr>
        <w:t xml:space="preserve"> communicates with the parties </w:t>
      </w:r>
      <w:r>
        <w:rPr>
          <w:sz w:val="28"/>
          <w:szCs w:val="28"/>
          <w:lang w:val="en-US"/>
        </w:rPr>
        <w:t xml:space="preserve">in order </w:t>
      </w:r>
      <w:r w:rsidR="00002F83">
        <w:rPr>
          <w:sz w:val="28"/>
          <w:szCs w:val="28"/>
          <w:lang w:val="en-US"/>
        </w:rPr>
        <w:t xml:space="preserve">to obtain </w:t>
      </w:r>
      <w:r w:rsidR="00002F83">
        <w:rPr>
          <w:sz w:val="28"/>
          <w:szCs w:val="28"/>
          <w:lang w:val="en-US"/>
        </w:rPr>
        <w:lastRenderedPageBreak/>
        <w:t xml:space="preserve">information on technical matters </w:t>
      </w:r>
      <w:r w:rsidR="007932FC">
        <w:rPr>
          <w:sz w:val="28"/>
          <w:szCs w:val="28"/>
          <w:lang w:val="en-US"/>
        </w:rPr>
        <w:t xml:space="preserve">that usually </w:t>
      </w:r>
      <w:r w:rsidR="00002F83">
        <w:rPr>
          <w:sz w:val="28"/>
          <w:szCs w:val="28"/>
          <w:lang w:val="en-US"/>
        </w:rPr>
        <w:t>require knowledge of other scientific fields</w:t>
      </w:r>
      <w:r w:rsidR="007932FC">
        <w:rPr>
          <w:sz w:val="28"/>
          <w:szCs w:val="28"/>
          <w:lang w:val="en-US"/>
        </w:rPr>
        <w:t>.</w:t>
      </w:r>
      <w:r w:rsidR="00071F94" w:rsidRPr="00071F94">
        <w:rPr>
          <w:sz w:val="28"/>
          <w:szCs w:val="28"/>
          <w:lang w:val="en-US"/>
        </w:rPr>
        <w:t xml:space="preserve"> </w:t>
      </w:r>
      <w:r w:rsidR="007932FC">
        <w:rPr>
          <w:sz w:val="28"/>
          <w:szCs w:val="28"/>
          <w:lang w:val="en-US"/>
        </w:rPr>
        <w:t xml:space="preserve">Interestingly, </w:t>
      </w:r>
      <w:r w:rsidR="00002F83">
        <w:rPr>
          <w:sz w:val="28"/>
          <w:szCs w:val="28"/>
          <w:lang w:val="en-US"/>
        </w:rPr>
        <w:t xml:space="preserve">the </w:t>
      </w:r>
      <w:r w:rsidR="004028BF">
        <w:rPr>
          <w:sz w:val="28"/>
          <w:szCs w:val="28"/>
          <w:lang w:val="en-US"/>
        </w:rPr>
        <w:t>judge-rapporteur</w:t>
      </w:r>
      <w:r w:rsidR="00002F83">
        <w:rPr>
          <w:sz w:val="28"/>
          <w:szCs w:val="28"/>
          <w:lang w:val="en-US"/>
        </w:rPr>
        <w:t xml:space="preserve"> invites the parties to the Court in order to discuss with them the issues of the case. Obviously, the principle of </w:t>
      </w:r>
      <w:r w:rsidR="00334243">
        <w:rPr>
          <w:sz w:val="28"/>
          <w:szCs w:val="28"/>
          <w:lang w:val="en-US"/>
        </w:rPr>
        <w:t xml:space="preserve">procedural </w:t>
      </w:r>
      <w:r w:rsidR="00002F83">
        <w:rPr>
          <w:sz w:val="28"/>
          <w:szCs w:val="28"/>
          <w:lang w:val="en-US"/>
        </w:rPr>
        <w:t xml:space="preserve">equality requires that both parties should be heard, in turn or </w:t>
      </w:r>
      <w:r w:rsidR="001D0A9A">
        <w:rPr>
          <w:sz w:val="28"/>
          <w:szCs w:val="28"/>
          <w:lang w:val="en-US"/>
        </w:rPr>
        <w:t>in adversarial</w:t>
      </w:r>
      <w:r w:rsidR="00F72FEF">
        <w:rPr>
          <w:sz w:val="28"/>
          <w:szCs w:val="28"/>
          <w:lang w:val="en-US"/>
        </w:rPr>
        <w:t xml:space="preserve"> settings</w:t>
      </w:r>
      <w:r w:rsidR="00002F83">
        <w:rPr>
          <w:sz w:val="28"/>
          <w:szCs w:val="28"/>
          <w:lang w:val="en-US"/>
        </w:rPr>
        <w:t xml:space="preserve">. The invitation may be either of a general content, if the </w:t>
      </w:r>
      <w:r w:rsidR="004028BF">
        <w:rPr>
          <w:sz w:val="28"/>
          <w:szCs w:val="28"/>
          <w:lang w:val="en-US"/>
        </w:rPr>
        <w:t>judge-rapporteur</w:t>
      </w:r>
      <w:r w:rsidR="00D26429">
        <w:rPr>
          <w:sz w:val="28"/>
          <w:szCs w:val="28"/>
          <w:lang w:val="en-US"/>
        </w:rPr>
        <w:t xml:space="preserve"> wishes to have a</w:t>
      </w:r>
      <w:r w:rsidR="00002F83">
        <w:rPr>
          <w:sz w:val="28"/>
          <w:szCs w:val="28"/>
          <w:lang w:val="en-US"/>
        </w:rPr>
        <w:t xml:space="preserve"> horizontal viewpoint of the facts and issues which led to the adoption of the contested act of the regulatory authority, or it may be more specific, referring to certain </w:t>
      </w:r>
      <w:r w:rsidR="00935904">
        <w:rPr>
          <w:sz w:val="28"/>
          <w:szCs w:val="28"/>
          <w:lang w:val="en-US"/>
        </w:rPr>
        <w:t>matters</w:t>
      </w:r>
      <w:r w:rsidR="00002F83">
        <w:rPr>
          <w:sz w:val="28"/>
          <w:szCs w:val="28"/>
          <w:lang w:val="en-US"/>
        </w:rPr>
        <w:t xml:space="preserve">, usually of a technical nature, which in the </w:t>
      </w:r>
      <w:r w:rsidR="004028BF">
        <w:rPr>
          <w:sz w:val="28"/>
          <w:szCs w:val="28"/>
          <w:lang w:val="en-US"/>
        </w:rPr>
        <w:t>judge-rapporteur</w:t>
      </w:r>
      <w:r w:rsidR="00002F83">
        <w:rPr>
          <w:sz w:val="28"/>
          <w:szCs w:val="28"/>
          <w:lang w:val="en-US"/>
        </w:rPr>
        <w:t xml:space="preserve">'s opinion require </w:t>
      </w:r>
      <w:r w:rsidR="00981263">
        <w:rPr>
          <w:sz w:val="28"/>
          <w:szCs w:val="28"/>
          <w:lang w:val="en-US"/>
        </w:rPr>
        <w:t xml:space="preserve">further </w:t>
      </w:r>
      <w:r w:rsidR="00002F83">
        <w:rPr>
          <w:sz w:val="28"/>
          <w:szCs w:val="28"/>
          <w:lang w:val="en-US"/>
        </w:rPr>
        <w:t>understanding or clarification. There is also t</w:t>
      </w:r>
      <w:r w:rsidR="00BC723F">
        <w:rPr>
          <w:sz w:val="28"/>
          <w:szCs w:val="28"/>
          <w:lang w:val="en-US"/>
        </w:rPr>
        <w:t xml:space="preserve">he possibility </w:t>
      </w:r>
      <w:r w:rsidR="00D5521C">
        <w:rPr>
          <w:sz w:val="28"/>
          <w:szCs w:val="28"/>
          <w:lang w:val="en-US"/>
        </w:rPr>
        <w:t xml:space="preserve">for </w:t>
      </w:r>
      <w:r w:rsidR="00D5521C" w:rsidRPr="00C649BB">
        <w:rPr>
          <w:sz w:val="28"/>
          <w:szCs w:val="28"/>
          <w:lang w:val="en-US"/>
        </w:rPr>
        <w:t>him</w:t>
      </w:r>
      <w:r w:rsidR="00D5521C">
        <w:rPr>
          <w:sz w:val="28"/>
          <w:szCs w:val="28"/>
          <w:lang w:val="en-US"/>
        </w:rPr>
        <w:t xml:space="preserve"> to invite</w:t>
      </w:r>
      <w:r w:rsidR="00BC723F">
        <w:rPr>
          <w:sz w:val="28"/>
          <w:szCs w:val="28"/>
          <w:lang w:val="en-US"/>
        </w:rPr>
        <w:t xml:space="preserve"> t</w:t>
      </w:r>
      <w:r w:rsidR="00002F83">
        <w:rPr>
          <w:sz w:val="28"/>
          <w:szCs w:val="28"/>
          <w:lang w:val="en-US"/>
        </w:rPr>
        <w:t>hird parties,</w:t>
      </w:r>
      <w:r w:rsidR="00BC723F">
        <w:rPr>
          <w:sz w:val="28"/>
          <w:szCs w:val="28"/>
          <w:lang w:val="en-US"/>
        </w:rPr>
        <w:t xml:space="preserve"> </w:t>
      </w:r>
      <w:proofErr w:type="gramStart"/>
      <w:r w:rsidR="00BC723F">
        <w:rPr>
          <w:sz w:val="28"/>
          <w:szCs w:val="28"/>
          <w:lang w:val="en-US"/>
        </w:rPr>
        <w:t>i.e.</w:t>
      </w:r>
      <w:proofErr w:type="gramEnd"/>
      <w:r w:rsidR="00BC723F">
        <w:rPr>
          <w:sz w:val="28"/>
          <w:szCs w:val="28"/>
          <w:lang w:val="en-US"/>
        </w:rPr>
        <w:t xml:space="preserve"> exclusively </w:t>
      </w:r>
      <w:r w:rsidR="00002F83">
        <w:rPr>
          <w:sz w:val="28"/>
          <w:szCs w:val="28"/>
          <w:lang w:val="en-US"/>
        </w:rPr>
        <w:t>other institutional actors, especially those involved in the market</w:t>
      </w:r>
      <w:r w:rsidR="002A00B7">
        <w:rPr>
          <w:sz w:val="28"/>
          <w:szCs w:val="28"/>
          <w:lang w:val="en-US"/>
        </w:rPr>
        <w:t xml:space="preserve"> connected to</w:t>
      </w:r>
      <w:r w:rsidR="00002F83">
        <w:rPr>
          <w:sz w:val="28"/>
          <w:szCs w:val="28"/>
          <w:lang w:val="en-US"/>
        </w:rPr>
        <w:t xml:space="preserve"> the contested act of the regulatory authority (e.g. market operators who, though, may have already become intervening parties to the proceedings)</w:t>
      </w:r>
      <w:r w:rsidR="00D5521C">
        <w:rPr>
          <w:sz w:val="28"/>
          <w:szCs w:val="28"/>
          <w:lang w:val="en-US"/>
        </w:rPr>
        <w:t>,</w:t>
      </w:r>
      <w:r w:rsidR="00002F83">
        <w:rPr>
          <w:sz w:val="28"/>
          <w:szCs w:val="28"/>
          <w:lang w:val="en-US"/>
        </w:rPr>
        <w:t xml:space="preserve"> in order to obtain a thorough briefing on how this market </w:t>
      </w:r>
      <w:r w:rsidR="006A4064">
        <w:rPr>
          <w:sz w:val="28"/>
          <w:szCs w:val="28"/>
          <w:lang w:val="en-US"/>
        </w:rPr>
        <w:t>functions</w:t>
      </w:r>
      <w:r w:rsidR="00002F83">
        <w:rPr>
          <w:sz w:val="28"/>
          <w:szCs w:val="28"/>
          <w:lang w:val="en-US"/>
        </w:rPr>
        <w:t xml:space="preserve">. </w:t>
      </w:r>
    </w:p>
    <w:p w14:paraId="07F15D07" w14:textId="67FDC14D" w:rsidR="004A7D9E" w:rsidRDefault="00002F83" w:rsidP="00C649BB">
      <w:pPr>
        <w:spacing w:after="0" w:line="360" w:lineRule="auto"/>
        <w:ind w:firstLine="284"/>
        <w:jc w:val="both"/>
        <w:rPr>
          <w:sz w:val="28"/>
          <w:szCs w:val="28"/>
          <w:lang w:val="en-US"/>
        </w:rPr>
      </w:pPr>
      <w:r>
        <w:rPr>
          <w:sz w:val="28"/>
          <w:szCs w:val="28"/>
          <w:lang w:val="en-US"/>
        </w:rPr>
        <w:t xml:space="preserve">In disputes before the Council of State, this practice enables the parties to </w:t>
      </w:r>
      <w:r w:rsidR="006501AA">
        <w:rPr>
          <w:sz w:val="28"/>
          <w:szCs w:val="28"/>
          <w:lang w:val="en-US"/>
        </w:rPr>
        <w:t xml:space="preserve">significantly </w:t>
      </w:r>
      <w:r>
        <w:rPr>
          <w:sz w:val="28"/>
          <w:szCs w:val="28"/>
          <w:lang w:val="en-US"/>
        </w:rPr>
        <w:t xml:space="preserve">contribute to the Court’s understanding of the regulatory acts at </w:t>
      </w:r>
      <w:r w:rsidR="007932FC">
        <w:rPr>
          <w:sz w:val="28"/>
          <w:szCs w:val="28"/>
          <w:lang w:val="en-US"/>
        </w:rPr>
        <w:t>stake</w:t>
      </w:r>
      <w:r>
        <w:rPr>
          <w:sz w:val="28"/>
          <w:szCs w:val="28"/>
          <w:lang w:val="en-US"/>
        </w:rPr>
        <w:t xml:space="preserve">. Indeed, through the hearing of the parties’ legal advisers and scientific experts, especially when it </w:t>
      </w:r>
      <w:r w:rsidR="000E187A">
        <w:rPr>
          <w:sz w:val="28"/>
          <w:szCs w:val="28"/>
          <w:lang w:val="en-US"/>
        </w:rPr>
        <w:t xml:space="preserve">takes place </w:t>
      </w:r>
      <w:r w:rsidR="00643E16">
        <w:rPr>
          <w:sz w:val="28"/>
          <w:szCs w:val="28"/>
          <w:lang w:val="en-US"/>
        </w:rPr>
        <w:t>in an adversarial way</w:t>
      </w:r>
      <w:r>
        <w:rPr>
          <w:sz w:val="28"/>
          <w:szCs w:val="28"/>
          <w:lang w:val="en-US"/>
        </w:rPr>
        <w:t xml:space="preserve">, the technical assessments of the regulatory authority are </w:t>
      </w:r>
      <w:r w:rsidR="000E187A">
        <w:rPr>
          <w:sz w:val="28"/>
          <w:szCs w:val="28"/>
          <w:lang w:val="en-US"/>
        </w:rPr>
        <w:t xml:space="preserve">elucidated </w:t>
      </w:r>
      <w:r w:rsidR="00C27C6D">
        <w:rPr>
          <w:sz w:val="28"/>
          <w:szCs w:val="28"/>
          <w:lang w:val="en-US"/>
        </w:rPr>
        <w:t>and</w:t>
      </w:r>
      <w:r>
        <w:rPr>
          <w:sz w:val="28"/>
          <w:szCs w:val="28"/>
          <w:lang w:val="en-US"/>
        </w:rPr>
        <w:t xml:space="preserve"> the necessary clarifications and explanations are provided, thus leading to mutual understanding between the parties and the court with regard to the contested technical and legal </w:t>
      </w:r>
      <w:r w:rsidRPr="00E2594E">
        <w:rPr>
          <w:sz w:val="28"/>
          <w:szCs w:val="28"/>
          <w:lang w:val="en-US"/>
        </w:rPr>
        <w:t>issues</w:t>
      </w:r>
      <w:r w:rsidR="007932FC">
        <w:rPr>
          <w:sz w:val="28"/>
          <w:szCs w:val="28"/>
          <w:lang w:val="en-US"/>
        </w:rPr>
        <w:t xml:space="preserve">. This, in turn fortifies </w:t>
      </w:r>
      <w:r>
        <w:rPr>
          <w:sz w:val="28"/>
          <w:szCs w:val="28"/>
          <w:lang w:val="en-US"/>
        </w:rPr>
        <w:t>the legitimate force of the</w:t>
      </w:r>
      <w:r w:rsidR="002F2936">
        <w:rPr>
          <w:sz w:val="28"/>
          <w:szCs w:val="28"/>
          <w:lang w:val="en-US"/>
        </w:rPr>
        <w:t xml:space="preserve"> future</w:t>
      </w:r>
      <w:r>
        <w:rPr>
          <w:sz w:val="28"/>
          <w:szCs w:val="28"/>
          <w:lang w:val="en-US"/>
        </w:rPr>
        <w:t xml:space="preserve"> judgment. In cases where th</w:t>
      </w:r>
      <w:r w:rsidR="007932FC">
        <w:rPr>
          <w:sz w:val="28"/>
          <w:szCs w:val="28"/>
          <w:lang w:val="en-US"/>
        </w:rPr>
        <w:t xml:space="preserve">is pre-trial </w:t>
      </w:r>
      <w:r w:rsidR="002D3041">
        <w:rPr>
          <w:sz w:val="28"/>
          <w:szCs w:val="28"/>
          <w:lang w:val="en-US"/>
        </w:rPr>
        <w:t>hearing</w:t>
      </w:r>
      <w:r>
        <w:rPr>
          <w:sz w:val="28"/>
          <w:szCs w:val="28"/>
          <w:lang w:val="en-US"/>
        </w:rPr>
        <w:t xml:space="preserve"> brings up </w:t>
      </w:r>
      <w:r w:rsidR="002D3041" w:rsidRPr="00E2594E">
        <w:rPr>
          <w:sz w:val="28"/>
          <w:szCs w:val="28"/>
          <w:lang w:val="en-US"/>
        </w:rPr>
        <w:t>issues</w:t>
      </w:r>
      <w:r>
        <w:rPr>
          <w:sz w:val="28"/>
          <w:szCs w:val="28"/>
          <w:lang w:val="en-US"/>
        </w:rPr>
        <w:t xml:space="preserve"> which are crucial to the case settlement, the </w:t>
      </w:r>
      <w:r w:rsidR="004028BF">
        <w:rPr>
          <w:sz w:val="28"/>
          <w:szCs w:val="28"/>
          <w:lang w:val="en-US"/>
        </w:rPr>
        <w:t>judge-rapporteur</w:t>
      </w:r>
      <w:r w:rsidR="00564FDD">
        <w:rPr>
          <w:sz w:val="28"/>
          <w:szCs w:val="28"/>
          <w:lang w:val="en-US"/>
        </w:rPr>
        <w:t xml:space="preserve"> (</w:t>
      </w:r>
      <w:r w:rsidR="00564FDD" w:rsidRPr="00564FDD">
        <w:rPr>
          <w:sz w:val="28"/>
          <w:szCs w:val="28"/>
          <w:lang w:val="en-US"/>
        </w:rPr>
        <w:t>r</w:t>
      </w:r>
      <w:r w:rsidR="00564FDD">
        <w:rPr>
          <w:sz w:val="28"/>
          <w:szCs w:val="28"/>
          <w:lang w:val="en-US"/>
        </w:rPr>
        <w:t xml:space="preserve">elying on the aforementioned provisions of the </w:t>
      </w:r>
      <w:r w:rsidR="00564FDD">
        <w:rPr>
          <w:sz w:val="28"/>
          <w:szCs w:val="28"/>
          <w:lang w:val="en-US"/>
        </w:rPr>
        <w:t>procedural code of the Council of State</w:t>
      </w:r>
      <w:r w:rsidR="00564FDD">
        <w:rPr>
          <w:sz w:val="28"/>
          <w:szCs w:val="28"/>
          <w:lang w:val="en-US"/>
        </w:rPr>
        <w:t>)</w:t>
      </w:r>
      <w:r>
        <w:rPr>
          <w:sz w:val="28"/>
          <w:szCs w:val="28"/>
          <w:lang w:val="en-US"/>
        </w:rPr>
        <w:t xml:space="preserve"> may invite the parties to repeat, in form of written submissions, the arguments which they had orally presented and to submit the respective evidence. Once the written submissions and the supporting </w:t>
      </w:r>
      <w:r>
        <w:rPr>
          <w:sz w:val="28"/>
          <w:szCs w:val="28"/>
          <w:lang w:val="en-US"/>
        </w:rPr>
        <w:lastRenderedPageBreak/>
        <w:t xml:space="preserve">evidence have been placed on the </w:t>
      </w:r>
      <w:r w:rsidR="00EA28C2">
        <w:rPr>
          <w:sz w:val="28"/>
          <w:szCs w:val="28"/>
          <w:lang w:val="en-US"/>
        </w:rPr>
        <w:t>case-file</w:t>
      </w:r>
      <w:r>
        <w:rPr>
          <w:sz w:val="28"/>
          <w:szCs w:val="28"/>
          <w:lang w:val="en-US"/>
        </w:rPr>
        <w:t xml:space="preserve">, they </w:t>
      </w:r>
      <w:r w:rsidR="007932FC">
        <w:rPr>
          <w:sz w:val="28"/>
          <w:szCs w:val="28"/>
          <w:lang w:val="en-US"/>
        </w:rPr>
        <w:t xml:space="preserve">become </w:t>
      </w:r>
      <w:r>
        <w:rPr>
          <w:sz w:val="28"/>
          <w:szCs w:val="28"/>
          <w:lang w:val="en-US"/>
        </w:rPr>
        <w:t xml:space="preserve">accessible to the parties. </w:t>
      </w:r>
    </w:p>
    <w:p w14:paraId="518A977B" w14:textId="41A3EABB" w:rsidR="004A7D9E" w:rsidRDefault="00D1058D" w:rsidP="00E71C37">
      <w:pPr>
        <w:spacing w:after="0" w:line="360" w:lineRule="auto"/>
        <w:ind w:firstLine="284"/>
        <w:jc w:val="both"/>
        <w:rPr>
          <w:sz w:val="28"/>
          <w:szCs w:val="28"/>
          <w:lang w:val="en-US"/>
        </w:rPr>
      </w:pPr>
      <w:r>
        <w:rPr>
          <w:sz w:val="28"/>
          <w:szCs w:val="28"/>
          <w:lang w:val="en-US"/>
        </w:rPr>
        <w:t xml:space="preserve">For disputes falling within the jurisdiction of the Council of </w:t>
      </w:r>
      <w:r w:rsidR="00F32C51">
        <w:rPr>
          <w:sz w:val="28"/>
          <w:szCs w:val="28"/>
          <w:lang w:val="en-US"/>
        </w:rPr>
        <w:t>State the</w:t>
      </w:r>
      <w:r w:rsidR="00002F83" w:rsidRPr="00D1058D">
        <w:rPr>
          <w:sz w:val="28"/>
          <w:szCs w:val="28"/>
          <w:lang w:val="en-US"/>
        </w:rPr>
        <w:t xml:space="preserve"> interpretation of the </w:t>
      </w:r>
      <w:r w:rsidRPr="00A27951">
        <w:rPr>
          <w:sz w:val="28"/>
          <w:szCs w:val="28"/>
          <w:lang w:val="en-US"/>
        </w:rPr>
        <w:t>legal</w:t>
      </w:r>
      <w:r w:rsidRPr="00D1058D">
        <w:rPr>
          <w:sz w:val="28"/>
          <w:szCs w:val="28"/>
          <w:lang w:val="en-US"/>
        </w:rPr>
        <w:t xml:space="preserve"> </w:t>
      </w:r>
      <w:r w:rsidR="00002F83" w:rsidRPr="00D1058D">
        <w:rPr>
          <w:sz w:val="28"/>
          <w:szCs w:val="28"/>
          <w:lang w:val="en-US"/>
        </w:rPr>
        <w:t xml:space="preserve">framework is </w:t>
      </w:r>
      <w:r w:rsidR="00632401" w:rsidRPr="00A27951">
        <w:rPr>
          <w:sz w:val="28"/>
          <w:szCs w:val="28"/>
          <w:lang w:val="en-US"/>
        </w:rPr>
        <w:t>o</w:t>
      </w:r>
      <w:r w:rsidR="00632401">
        <w:rPr>
          <w:sz w:val="28"/>
          <w:szCs w:val="28"/>
          <w:lang w:val="en-US"/>
        </w:rPr>
        <w:t xml:space="preserve">f course </w:t>
      </w:r>
      <w:r w:rsidR="00002F83" w:rsidRPr="00D1058D">
        <w:rPr>
          <w:sz w:val="28"/>
          <w:szCs w:val="28"/>
          <w:lang w:val="en-US"/>
        </w:rPr>
        <w:t xml:space="preserve">excluded from the hearing at the pre-trial stage, since the legal principle of “jura </w:t>
      </w:r>
      <w:proofErr w:type="spellStart"/>
      <w:r w:rsidR="00002F83" w:rsidRPr="00D1058D">
        <w:rPr>
          <w:sz w:val="28"/>
          <w:szCs w:val="28"/>
          <w:lang w:val="en-US"/>
        </w:rPr>
        <w:t>novit</w:t>
      </w:r>
      <w:proofErr w:type="spellEnd"/>
      <w:r w:rsidR="00002F83" w:rsidRPr="00D1058D">
        <w:rPr>
          <w:sz w:val="28"/>
          <w:szCs w:val="28"/>
          <w:lang w:val="en-US"/>
        </w:rPr>
        <w:t xml:space="preserve"> curia” applies in this case.</w:t>
      </w:r>
      <w:r w:rsidR="00002F83">
        <w:rPr>
          <w:sz w:val="28"/>
          <w:szCs w:val="28"/>
          <w:lang w:val="en-US"/>
        </w:rPr>
        <w:t xml:space="preserve"> </w:t>
      </w:r>
      <w:r w:rsidR="00FA1A55">
        <w:rPr>
          <w:sz w:val="28"/>
          <w:szCs w:val="28"/>
          <w:lang w:val="en-US"/>
        </w:rPr>
        <w:t>A</w:t>
      </w:r>
      <w:r w:rsidR="00B30D76">
        <w:rPr>
          <w:sz w:val="28"/>
          <w:szCs w:val="28"/>
          <w:lang w:val="en-US"/>
        </w:rPr>
        <w:t xml:space="preserve">lthough this demarcation may seem clear, a real </w:t>
      </w:r>
      <w:r w:rsidR="00002F83">
        <w:rPr>
          <w:sz w:val="28"/>
          <w:szCs w:val="28"/>
          <w:lang w:val="en-US"/>
        </w:rPr>
        <w:t>risk of confusion between legal and technical issues</w:t>
      </w:r>
      <w:r w:rsidR="00B30D76">
        <w:rPr>
          <w:sz w:val="28"/>
          <w:szCs w:val="28"/>
          <w:lang w:val="en-US"/>
        </w:rPr>
        <w:t xml:space="preserve"> emerges</w:t>
      </w:r>
      <w:r w:rsidR="00002F83">
        <w:rPr>
          <w:sz w:val="28"/>
          <w:szCs w:val="28"/>
          <w:lang w:val="en-US"/>
        </w:rPr>
        <w:t xml:space="preserve"> at this stage, </w:t>
      </w:r>
      <w:r w:rsidR="00B30D76">
        <w:rPr>
          <w:sz w:val="28"/>
          <w:szCs w:val="28"/>
          <w:lang w:val="en-US"/>
        </w:rPr>
        <w:t xml:space="preserve">since </w:t>
      </w:r>
      <w:r w:rsidR="00FA1A55">
        <w:rPr>
          <w:sz w:val="28"/>
          <w:szCs w:val="28"/>
          <w:lang w:val="en-US"/>
        </w:rPr>
        <w:t>the content of the</w:t>
      </w:r>
      <w:r w:rsidR="00483321">
        <w:rPr>
          <w:sz w:val="28"/>
          <w:szCs w:val="28"/>
          <w:lang w:val="en-US"/>
        </w:rPr>
        <w:t xml:space="preserve"> contested</w:t>
      </w:r>
      <w:r w:rsidR="00FA1A55">
        <w:rPr>
          <w:sz w:val="28"/>
          <w:szCs w:val="28"/>
          <w:lang w:val="en-US"/>
        </w:rPr>
        <w:t xml:space="preserve"> regulatory acts is</w:t>
      </w:r>
      <w:r w:rsidR="00483321" w:rsidRPr="00483321">
        <w:rPr>
          <w:sz w:val="28"/>
          <w:szCs w:val="28"/>
          <w:lang w:val="en-US"/>
        </w:rPr>
        <w:t>, b</w:t>
      </w:r>
      <w:r w:rsidR="00483321">
        <w:rPr>
          <w:sz w:val="28"/>
          <w:szCs w:val="28"/>
          <w:lang w:val="en-US"/>
        </w:rPr>
        <w:t xml:space="preserve">y definition, </w:t>
      </w:r>
      <w:r w:rsidR="00FA1A55">
        <w:rPr>
          <w:sz w:val="28"/>
          <w:szCs w:val="28"/>
          <w:lang w:val="en-US"/>
        </w:rPr>
        <w:t>highly technical</w:t>
      </w:r>
      <w:r w:rsidR="00835D2C">
        <w:rPr>
          <w:sz w:val="28"/>
          <w:szCs w:val="28"/>
          <w:lang w:val="en-US"/>
        </w:rPr>
        <w:t xml:space="preserve">. Therefore, </w:t>
      </w:r>
      <w:r w:rsidR="00B30D76">
        <w:rPr>
          <w:sz w:val="28"/>
          <w:szCs w:val="28"/>
          <w:lang w:val="en-US"/>
        </w:rPr>
        <w:t>t</w:t>
      </w:r>
      <w:r w:rsidR="00002F83">
        <w:rPr>
          <w:sz w:val="28"/>
          <w:szCs w:val="28"/>
          <w:lang w:val="en-US"/>
        </w:rPr>
        <w:t xml:space="preserve">he parties often deliberately attempt to present legal issues as technical and vice versa. An example of a </w:t>
      </w:r>
      <w:r w:rsidR="00B30D76">
        <w:rPr>
          <w:sz w:val="28"/>
          <w:szCs w:val="28"/>
          <w:lang w:val="en-US"/>
        </w:rPr>
        <w:t xml:space="preserve">successful distinction </w:t>
      </w:r>
      <w:r w:rsidR="00002F83">
        <w:rPr>
          <w:sz w:val="28"/>
          <w:szCs w:val="28"/>
          <w:lang w:val="en-US"/>
        </w:rPr>
        <w:t xml:space="preserve">between technical and legal issues by the Council of State is provided in a case regarding the </w:t>
      </w:r>
      <w:r w:rsidR="00002F83" w:rsidRPr="00E2594E">
        <w:rPr>
          <w:sz w:val="28"/>
          <w:szCs w:val="28"/>
          <w:lang w:val="en-US"/>
        </w:rPr>
        <w:t>review</w:t>
      </w:r>
      <w:r w:rsidR="00002F83">
        <w:rPr>
          <w:sz w:val="28"/>
          <w:szCs w:val="28"/>
          <w:lang w:val="en-US"/>
        </w:rPr>
        <w:t xml:space="preserve"> of </w:t>
      </w:r>
      <w:r w:rsidR="00D05A6D">
        <w:rPr>
          <w:sz w:val="28"/>
          <w:szCs w:val="28"/>
          <w:lang w:val="en-US"/>
        </w:rPr>
        <w:t xml:space="preserve">the legality of </w:t>
      </w:r>
      <w:r w:rsidR="00002F83">
        <w:rPr>
          <w:sz w:val="28"/>
          <w:szCs w:val="28"/>
          <w:lang w:val="en-US"/>
        </w:rPr>
        <w:t xml:space="preserve">a regulatory act adopted by the Hellenic Regulatory Authority for Energy concerning, inter alia, the calculation method of the compensation paid to </w:t>
      </w:r>
      <w:r w:rsidR="00002F83" w:rsidRPr="00E2594E">
        <w:rPr>
          <w:sz w:val="28"/>
          <w:szCs w:val="28"/>
          <w:lang w:val="en-US"/>
        </w:rPr>
        <w:t>the</w:t>
      </w:r>
      <w:r w:rsidR="00002F83">
        <w:rPr>
          <w:sz w:val="28"/>
          <w:szCs w:val="28"/>
          <w:lang w:val="en-US"/>
        </w:rPr>
        <w:t xml:space="preserve"> producers of electricity from high-efficiency cogeneration (</w:t>
      </w:r>
      <w:r w:rsidR="001A0EF9">
        <w:rPr>
          <w:sz w:val="28"/>
          <w:szCs w:val="28"/>
          <w:lang w:val="en-US"/>
        </w:rPr>
        <w:t xml:space="preserve">see </w:t>
      </w:r>
      <w:proofErr w:type="spellStart"/>
      <w:r w:rsidR="00A83633" w:rsidRPr="00A83633">
        <w:rPr>
          <w:sz w:val="28"/>
          <w:szCs w:val="28"/>
          <w:lang w:val="en-US"/>
        </w:rPr>
        <w:t>CoS</w:t>
      </w:r>
      <w:proofErr w:type="spellEnd"/>
      <w:r w:rsidR="00002F83" w:rsidRPr="00466A45">
        <w:rPr>
          <w:sz w:val="28"/>
          <w:szCs w:val="28"/>
          <w:lang w:val="en-US"/>
        </w:rPr>
        <w:t xml:space="preserve"> </w:t>
      </w:r>
      <w:r w:rsidR="00002F83">
        <w:rPr>
          <w:sz w:val="28"/>
          <w:szCs w:val="28"/>
          <w:lang w:val="en-US"/>
        </w:rPr>
        <w:t xml:space="preserve">197/2021). </w:t>
      </w:r>
      <w:r w:rsidR="00B30D76">
        <w:rPr>
          <w:sz w:val="28"/>
          <w:szCs w:val="28"/>
          <w:lang w:val="en-US"/>
        </w:rPr>
        <w:t xml:space="preserve">The Court proceeded as follows; it initially </w:t>
      </w:r>
      <w:r w:rsidR="00002F83">
        <w:rPr>
          <w:sz w:val="28"/>
          <w:szCs w:val="28"/>
          <w:lang w:val="en-US"/>
        </w:rPr>
        <w:t xml:space="preserve">clarified, mainly at the </w:t>
      </w:r>
      <w:r w:rsidR="00002F83" w:rsidRPr="00E2594E">
        <w:rPr>
          <w:sz w:val="28"/>
          <w:szCs w:val="28"/>
          <w:lang w:val="en-US"/>
        </w:rPr>
        <w:t>pre-trial</w:t>
      </w:r>
      <w:r w:rsidR="00002F83">
        <w:rPr>
          <w:sz w:val="28"/>
          <w:szCs w:val="28"/>
          <w:lang w:val="en-US"/>
        </w:rPr>
        <w:t xml:space="preserve"> stage, the technical </w:t>
      </w:r>
      <w:r w:rsidR="006262F8" w:rsidRPr="00E2594E">
        <w:rPr>
          <w:sz w:val="28"/>
          <w:szCs w:val="28"/>
          <w:lang w:val="en-US"/>
        </w:rPr>
        <w:t>matters</w:t>
      </w:r>
      <w:r w:rsidR="00002F83">
        <w:rPr>
          <w:sz w:val="28"/>
          <w:szCs w:val="28"/>
          <w:lang w:val="en-US"/>
        </w:rPr>
        <w:t xml:space="preserve"> </w:t>
      </w:r>
      <w:r w:rsidR="008F5DCA">
        <w:rPr>
          <w:sz w:val="28"/>
          <w:szCs w:val="28"/>
          <w:lang w:val="en-US"/>
        </w:rPr>
        <w:t>regarding</w:t>
      </w:r>
      <w:r w:rsidR="00002F83">
        <w:rPr>
          <w:sz w:val="28"/>
          <w:szCs w:val="28"/>
          <w:lang w:val="en-US"/>
        </w:rPr>
        <w:t xml:space="preserve"> the meaning of the term “condensate heat” and whether this form of heat is considered to be “efficient heat” according to the rules of science</w:t>
      </w:r>
      <w:r w:rsidR="00002F83" w:rsidRPr="00E2594E">
        <w:rPr>
          <w:sz w:val="28"/>
          <w:szCs w:val="28"/>
          <w:lang w:val="en-US"/>
        </w:rPr>
        <w:t xml:space="preserve"> and </w:t>
      </w:r>
      <w:r w:rsidR="00D05A6D" w:rsidRPr="00E2594E">
        <w:rPr>
          <w:sz w:val="28"/>
          <w:szCs w:val="28"/>
          <w:lang w:val="en-US"/>
        </w:rPr>
        <w:t>incorporated</w:t>
      </w:r>
      <w:r w:rsidR="00002F83" w:rsidRPr="004F0262">
        <w:rPr>
          <w:sz w:val="28"/>
          <w:szCs w:val="28"/>
          <w:lang w:val="en-US"/>
        </w:rPr>
        <w:t xml:space="preserve"> these conclusions to its reas</w:t>
      </w:r>
      <w:r w:rsidR="00002F83">
        <w:rPr>
          <w:sz w:val="28"/>
          <w:szCs w:val="28"/>
          <w:lang w:val="en-US"/>
        </w:rPr>
        <w:t xml:space="preserve">oning. Subsequently, </w:t>
      </w:r>
      <w:r w:rsidR="004A671E">
        <w:rPr>
          <w:sz w:val="28"/>
          <w:szCs w:val="28"/>
          <w:lang w:val="en-US"/>
        </w:rPr>
        <w:t>it</w:t>
      </w:r>
      <w:r w:rsidR="00002F83">
        <w:rPr>
          <w:sz w:val="28"/>
          <w:szCs w:val="28"/>
          <w:lang w:val="en-US"/>
        </w:rPr>
        <w:t xml:space="preserve"> ruled that it is up to the legislature to lay down a </w:t>
      </w:r>
      <w:r w:rsidR="0082210F">
        <w:rPr>
          <w:sz w:val="28"/>
          <w:szCs w:val="28"/>
          <w:lang w:val="en-US"/>
        </w:rPr>
        <w:t>provision</w:t>
      </w:r>
      <w:r w:rsidR="00002F83">
        <w:rPr>
          <w:sz w:val="28"/>
          <w:szCs w:val="28"/>
          <w:lang w:val="en-US"/>
        </w:rPr>
        <w:t xml:space="preserve"> regulating whether “condensate heat” should be counted or deducted when calculating the “efficient heat”, which is in turn the basis </w:t>
      </w:r>
      <w:r w:rsidR="0082210F">
        <w:rPr>
          <w:sz w:val="28"/>
          <w:szCs w:val="28"/>
          <w:lang w:val="en-US"/>
        </w:rPr>
        <w:t xml:space="preserve">for the calculation of the amount of </w:t>
      </w:r>
      <w:r w:rsidR="00002F83">
        <w:rPr>
          <w:sz w:val="28"/>
          <w:szCs w:val="28"/>
          <w:lang w:val="en-US"/>
        </w:rPr>
        <w:t>electricity</w:t>
      </w:r>
      <w:r w:rsidR="00D50195">
        <w:rPr>
          <w:sz w:val="28"/>
          <w:szCs w:val="28"/>
          <w:lang w:val="en-US"/>
        </w:rPr>
        <w:t xml:space="preserve"> produced</w:t>
      </w:r>
      <w:r w:rsidR="00002F83">
        <w:rPr>
          <w:sz w:val="28"/>
          <w:szCs w:val="28"/>
          <w:lang w:val="en-US"/>
        </w:rPr>
        <w:t xml:space="preserve"> from cogeneration and, by implication, the amount of the electricity producer's compensation</w:t>
      </w:r>
      <w:r w:rsidR="0082210F">
        <w:rPr>
          <w:sz w:val="28"/>
          <w:szCs w:val="28"/>
          <w:lang w:val="en-US"/>
        </w:rPr>
        <w:t xml:space="preserve">. The Court concluded that </w:t>
      </w:r>
      <w:r w:rsidR="00C50242">
        <w:rPr>
          <w:sz w:val="28"/>
          <w:szCs w:val="28"/>
          <w:lang w:val="en-US"/>
        </w:rPr>
        <w:t xml:space="preserve">contrary to the applicant’s claims </w:t>
      </w:r>
      <w:r w:rsidR="00002F83">
        <w:rPr>
          <w:sz w:val="28"/>
          <w:szCs w:val="28"/>
          <w:lang w:val="en-US"/>
        </w:rPr>
        <w:t xml:space="preserve">the </w:t>
      </w:r>
      <w:r w:rsidR="00C50242">
        <w:rPr>
          <w:sz w:val="28"/>
          <w:szCs w:val="28"/>
          <w:lang w:val="en-US"/>
        </w:rPr>
        <w:t xml:space="preserve">lack </w:t>
      </w:r>
      <w:r w:rsidR="00002F83">
        <w:rPr>
          <w:sz w:val="28"/>
          <w:szCs w:val="28"/>
          <w:lang w:val="en-US"/>
        </w:rPr>
        <w:t xml:space="preserve">of such a </w:t>
      </w:r>
      <w:r w:rsidR="0082210F">
        <w:rPr>
          <w:sz w:val="28"/>
          <w:szCs w:val="28"/>
          <w:lang w:val="en-US"/>
        </w:rPr>
        <w:t xml:space="preserve">provision </w:t>
      </w:r>
      <w:r w:rsidR="00002F83">
        <w:rPr>
          <w:sz w:val="28"/>
          <w:szCs w:val="28"/>
          <w:lang w:val="en-US"/>
        </w:rPr>
        <w:t xml:space="preserve">cannot be inferred from other acts regulating technical </w:t>
      </w:r>
      <w:r w:rsidR="00DE249B" w:rsidRPr="00E2594E">
        <w:rPr>
          <w:sz w:val="28"/>
          <w:szCs w:val="28"/>
          <w:lang w:val="en-US"/>
        </w:rPr>
        <w:t>matters</w:t>
      </w:r>
      <w:r w:rsidR="00C50242">
        <w:rPr>
          <w:sz w:val="28"/>
          <w:szCs w:val="28"/>
          <w:lang w:val="en-US"/>
        </w:rPr>
        <w:t>.</w:t>
      </w:r>
      <w:r w:rsidR="00002F83">
        <w:rPr>
          <w:sz w:val="28"/>
          <w:szCs w:val="28"/>
          <w:lang w:val="en-US"/>
        </w:rPr>
        <w:t xml:space="preserve"> </w:t>
      </w:r>
      <w:r w:rsidR="00C50242">
        <w:rPr>
          <w:sz w:val="28"/>
          <w:szCs w:val="28"/>
          <w:lang w:val="en-US"/>
        </w:rPr>
        <w:t xml:space="preserve">In order to conceive the depth of the Court's understanding </w:t>
      </w:r>
      <w:r w:rsidR="00C50242" w:rsidRPr="00DA762F">
        <w:rPr>
          <w:sz w:val="28"/>
          <w:szCs w:val="28"/>
          <w:lang w:val="en-US"/>
        </w:rPr>
        <w:t>on</w:t>
      </w:r>
      <w:r w:rsidR="00C50242">
        <w:rPr>
          <w:sz w:val="28"/>
          <w:szCs w:val="28"/>
          <w:lang w:val="en-US"/>
        </w:rPr>
        <w:t xml:space="preserve"> technical </w:t>
      </w:r>
      <w:r w:rsidR="00C50242" w:rsidRPr="00E2594E">
        <w:rPr>
          <w:sz w:val="28"/>
          <w:szCs w:val="28"/>
          <w:lang w:val="en-US"/>
        </w:rPr>
        <w:t>matters</w:t>
      </w:r>
      <w:r w:rsidR="00C50242">
        <w:rPr>
          <w:sz w:val="28"/>
          <w:szCs w:val="28"/>
          <w:lang w:val="en-US"/>
        </w:rPr>
        <w:t xml:space="preserve"> during </w:t>
      </w:r>
      <w:r w:rsidR="00C50242" w:rsidRPr="00D615FF">
        <w:rPr>
          <w:sz w:val="28"/>
          <w:szCs w:val="28"/>
          <w:lang w:val="en-US"/>
        </w:rPr>
        <w:t xml:space="preserve">the </w:t>
      </w:r>
      <w:r w:rsidR="00C50242" w:rsidRPr="00E2594E">
        <w:rPr>
          <w:sz w:val="28"/>
          <w:szCs w:val="28"/>
          <w:lang w:val="en-US"/>
        </w:rPr>
        <w:t>pre-trial</w:t>
      </w:r>
      <w:r w:rsidR="00C50242">
        <w:rPr>
          <w:sz w:val="28"/>
          <w:szCs w:val="28"/>
          <w:lang w:val="en-US"/>
        </w:rPr>
        <w:t xml:space="preserve"> procedure, an additional</w:t>
      </w:r>
      <w:r w:rsidR="00002F83">
        <w:rPr>
          <w:sz w:val="28"/>
          <w:szCs w:val="28"/>
          <w:lang w:val="en-US"/>
        </w:rPr>
        <w:t xml:space="preserve"> example</w:t>
      </w:r>
      <w:r w:rsidR="006F76CC">
        <w:rPr>
          <w:sz w:val="28"/>
          <w:szCs w:val="28"/>
          <w:lang w:val="en-US"/>
        </w:rPr>
        <w:t xml:space="preserve"> </w:t>
      </w:r>
      <w:r w:rsidR="00C50242">
        <w:rPr>
          <w:sz w:val="28"/>
          <w:szCs w:val="28"/>
          <w:lang w:val="en-US"/>
        </w:rPr>
        <w:t>is</w:t>
      </w:r>
      <w:r w:rsidR="00002F83">
        <w:rPr>
          <w:sz w:val="28"/>
          <w:szCs w:val="28"/>
          <w:lang w:val="en-US"/>
        </w:rPr>
        <w:t xml:space="preserve"> </w:t>
      </w:r>
      <w:r w:rsidR="00D05A6D">
        <w:rPr>
          <w:sz w:val="28"/>
          <w:szCs w:val="28"/>
          <w:lang w:val="en-US"/>
        </w:rPr>
        <w:t xml:space="preserve">offered by </w:t>
      </w:r>
      <w:r w:rsidR="00002F83">
        <w:rPr>
          <w:sz w:val="28"/>
          <w:szCs w:val="28"/>
          <w:lang w:val="en-US"/>
        </w:rPr>
        <w:t xml:space="preserve">a case concerning the legality of the decision of the Hellenic Regulatory </w:t>
      </w:r>
      <w:r w:rsidR="00002F83">
        <w:rPr>
          <w:sz w:val="28"/>
          <w:szCs w:val="28"/>
          <w:lang w:val="en-US"/>
        </w:rPr>
        <w:lastRenderedPageBreak/>
        <w:t xml:space="preserve">Authority for Energy </w:t>
      </w:r>
      <w:r w:rsidR="00C50242">
        <w:rPr>
          <w:sz w:val="28"/>
          <w:szCs w:val="28"/>
          <w:lang w:val="en-US"/>
        </w:rPr>
        <w:t xml:space="preserve">relative, inter alia, to the determination of the </w:t>
      </w:r>
      <w:r w:rsidR="00002F83">
        <w:rPr>
          <w:sz w:val="28"/>
          <w:szCs w:val="28"/>
          <w:lang w:val="en-US"/>
        </w:rPr>
        <w:t>numerical prices of unit charges for electricity supply (</w:t>
      </w:r>
      <w:r w:rsidR="001A0EF9">
        <w:rPr>
          <w:sz w:val="28"/>
          <w:szCs w:val="28"/>
          <w:lang w:val="en-US"/>
        </w:rPr>
        <w:t xml:space="preserve">see </w:t>
      </w:r>
      <w:proofErr w:type="spellStart"/>
      <w:r w:rsidR="00A83633">
        <w:rPr>
          <w:sz w:val="28"/>
          <w:szCs w:val="28"/>
          <w:lang w:val="en-US"/>
        </w:rPr>
        <w:t>CoS</w:t>
      </w:r>
      <w:proofErr w:type="spellEnd"/>
      <w:r w:rsidR="00002F83">
        <w:rPr>
          <w:sz w:val="28"/>
          <w:szCs w:val="28"/>
          <w:lang w:val="en-US"/>
        </w:rPr>
        <w:t xml:space="preserve"> 2382/2019). </w:t>
      </w:r>
      <w:r w:rsidR="00C50242">
        <w:rPr>
          <w:sz w:val="28"/>
          <w:szCs w:val="28"/>
          <w:lang w:val="en-US"/>
        </w:rPr>
        <w:t>In that case, the Court had to answer a plea of the applicant energy supplier</w:t>
      </w:r>
      <w:r w:rsidR="00E71C37">
        <w:rPr>
          <w:sz w:val="28"/>
          <w:szCs w:val="28"/>
          <w:lang w:val="en-US"/>
        </w:rPr>
        <w:t xml:space="preserve"> </w:t>
      </w:r>
      <w:r w:rsidR="00002F83">
        <w:rPr>
          <w:sz w:val="28"/>
          <w:szCs w:val="28"/>
          <w:lang w:val="en-US"/>
        </w:rPr>
        <w:t>according to which the scaled prices for fixing the tolerance limit on the deviation (BAL_TOL)</w:t>
      </w:r>
      <w:r w:rsidR="005A173C">
        <w:rPr>
          <w:sz w:val="28"/>
          <w:szCs w:val="28"/>
          <w:lang w:val="en-US"/>
        </w:rPr>
        <w:t xml:space="preserve">, </w:t>
      </w:r>
      <w:r w:rsidR="00002F83">
        <w:rPr>
          <w:sz w:val="28"/>
          <w:szCs w:val="28"/>
          <w:lang w:val="en-US"/>
        </w:rPr>
        <w:t>depending on the maximum demand (peak load) of each energy supplier</w:t>
      </w:r>
      <w:r w:rsidR="005A173C">
        <w:rPr>
          <w:sz w:val="28"/>
          <w:szCs w:val="28"/>
          <w:lang w:val="en-US"/>
        </w:rPr>
        <w:t>,</w:t>
      </w:r>
      <w:r w:rsidR="00002F83">
        <w:rPr>
          <w:sz w:val="28"/>
          <w:szCs w:val="28"/>
          <w:lang w:val="en-US"/>
        </w:rPr>
        <w:t xml:space="preserve"> are subject to a differentiation that </w:t>
      </w:r>
      <w:proofErr w:type="spellStart"/>
      <w:r w:rsidR="00002F83">
        <w:rPr>
          <w:sz w:val="28"/>
          <w:szCs w:val="28"/>
          <w:lang w:val="en-US"/>
        </w:rPr>
        <w:t>favours</w:t>
      </w:r>
      <w:proofErr w:type="spellEnd"/>
      <w:r w:rsidR="00002F83">
        <w:rPr>
          <w:sz w:val="28"/>
          <w:szCs w:val="28"/>
          <w:lang w:val="en-US"/>
        </w:rPr>
        <w:t xml:space="preserve"> suppliers with a peak load lower than that of the applicant</w:t>
      </w:r>
      <w:r w:rsidR="00E71C37">
        <w:rPr>
          <w:sz w:val="28"/>
          <w:szCs w:val="28"/>
          <w:lang w:val="en-US"/>
        </w:rPr>
        <w:t>. As a result, the applicant was claiming that this situation was conferring an advantage to his</w:t>
      </w:r>
      <w:r w:rsidR="00002F83">
        <w:rPr>
          <w:sz w:val="28"/>
          <w:szCs w:val="28"/>
          <w:lang w:val="en-US"/>
        </w:rPr>
        <w:t xml:space="preserve"> competitors</w:t>
      </w:r>
      <w:r w:rsidR="00E71C37">
        <w:rPr>
          <w:sz w:val="28"/>
          <w:szCs w:val="28"/>
          <w:lang w:val="en-US"/>
        </w:rPr>
        <w:t xml:space="preserve">, </w:t>
      </w:r>
      <w:r w:rsidR="007D5EE3">
        <w:rPr>
          <w:sz w:val="28"/>
          <w:szCs w:val="28"/>
          <w:lang w:val="en-US"/>
        </w:rPr>
        <w:t>contrary to</w:t>
      </w:r>
      <w:r w:rsidR="00002F83">
        <w:rPr>
          <w:sz w:val="28"/>
          <w:szCs w:val="28"/>
          <w:lang w:val="en-US"/>
        </w:rPr>
        <w:t xml:space="preserve"> the constitutional principle of equality</w:t>
      </w:r>
      <w:r w:rsidR="00E71C37">
        <w:rPr>
          <w:sz w:val="28"/>
          <w:szCs w:val="28"/>
          <w:lang w:val="en-US"/>
        </w:rPr>
        <w:t>.</w:t>
      </w:r>
      <w:r w:rsidR="00002F83">
        <w:rPr>
          <w:sz w:val="28"/>
          <w:szCs w:val="28"/>
          <w:lang w:val="en-US"/>
        </w:rPr>
        <w:t xml:space="preserve"> </w:t>
      </w:r>
      <w:r w:rsidR="00E71C37">
        <w:rPr>
          <w:sz w:val="28"/>
          <w:szCs w:val="28"/>
          <w:lang w:val="en-US"/>
        </w:rPr>
        <w:t>T</w:t>
      </w:r>
      <w:r w:rsidR="00002F83">
        <w:rPr>
          <w:sz w:val="28"/>
          <w:szCs w:val="28"/>
          <w:lang w:val="en-US"/>
        </w:rPr>
        <w:t xml:space="preserve">he Court </w:t>
      </w:r>
      <w:r w:rsidR="00270D88" w:rsidRPr="00270D88">
        <w:rPr>
          <w:sz w:val="28"/>
          <w:szCs w:val="28"/>
          <w:lang w:val="en-US"/>
        </w:rPr>
        <w:t>u</w:t>
      </w:r>
      <w:r w:rsidR="00270D88">
        <w:rPr>
          <w:sz w:val="28"/>
          <w:szCs w:val="28"/>
          <w:lang w:val="en-US"/>
        </w:rPr>
        <w:t>tili</w:t>
      </w:r>
      <w:r w:rsidR="009A0E6F">
        <w:rPr>
          <w:sz w:val="28"/>
          <w:szCs w:val="28"/>
          <w:lang w:val="en-US"/>
        </w:rPr>
        <w:t>s</w:t>
      </w:r>
      <w:r w:rsidR="00270D88">
        <w:rPr>
          <w:sz w:val="28"/>
          <w:szCs w:val="28"/>
          <w:lang w:val="en-US"/>
        </w:rPr>
        <w:t>ed the findings of the judge-rapporteur</w:t>
      </w:r>
      <w:r w:rsidR="000C68EC">
        <w:rPr>
          <w:sz w:val="28"/>
          <w:szCs w:val="28"/>
          <w:lang w:val="en-US"/>
        </w:rPr>
        <w:t xml:space="preserve"> at the pre-trial stage and went on </w:t>
      </w:r>
      <w:r w:rsidR="00866AAF">
        <w:rPr>
          <w:sz w:val="28"/>
          <w:szCs w:val="28"/>
          <w:lang w:val="en-US"/>
        </w:rPr>
        <w:t>to explain</w:t>
      </w:r>
      <w:r w:rsidR="003A4765">
        <w:rPr>
          <w:sz w:val="28"/>
          <w:szCs w:val="28"/>
          <w:lang w:val="en-US"/>
        </w:rPr>
        <w:t>,</w:t>
      </w:r>
      <w:r w:rsidR="00002F83">
        <w:rPr>
          <w:sz w:val="28"/>
          <w:szCs w:val="28"/>
          <w:lang w:val="en-US"/>
        </w:rPr>
        <w:t xml:space="preserve"> </w:t>
      </w:r>
      <w:r w:rsidR="00D05A6D">
        <w:rPr>
          <w:sz w:val="28"/>
          <w:szCs w:val="28"/>
          <w:lang w:val="en-US"/>
        </w:rPr>
        <w:t xml:space="preserve">through </w:t>
      </w:r>
      <w:r w:rsidR="00002F83">
        <w:rPr>
          <w:sz w:val="28"/>
          <w:szCs w:val="28"/>
          <w:lang w:val="en-US"/>
        </w:rPr>
        <w:t>its reasoning</w:t>
      </w:r>
      <w:r w:rsidR="003A4765">
        <w:rPr>
          <w:sz w:val="28"/>
          <w:szCs w:val="28"/>
          <w:lang w:val="en-US"/>
        </w:rPr>
        <w:t>,</w:t>
      </w:r>
      <w:r w:rsidR="00002F83">
        <w:rPr>
          <w:sz w:val="28"/>
          <w:szCs w:val="28"/>
          <w:lang w:val="en-US"/>
        </w:rPr>
        <w:t xml:space="preserve"> how the price fixing system operates</w:t>
      </w:r>
      <w:r w:rsidR="00452026">
        <w:rPr>
          <w:sz w:val="28"/>
          <w:szCs w:val="28"/>
          <w:lang w:val="en-US"/>
        </w:rPr>
        <w:t xml:space="preserve">. </w:t>
      </w:r>
      <w:r w:rsidR="00B80CFD">
        <w:rPr>
          <w:sz w:val="28"/>
          <w:szCs w:val="28"/>
          <w:lang w:val="en-US"/>
        </w:rPr>
        <w:t>Taking all the above into account,</w:t>
      </w:r>
      <w:r w:rsidR="00452026">
        <w:rPr>
          <w:sz w:val="28"/>
          <w:szCs w:val="28"/>
          <w:lang w:val="en-US"/>
        </w:rPr>
        <w:t xml:space="preserve"> </w:t>
      </w:r>
      <w:r w:rsidR="005D7E2E">
        <w:rPr>
          <w:sz w:val="28"/>
          <w:szCs w:val="28"/>
          <w:lang w:val="en-US"/>
        </w:rPr>
        <w:t>the Court</w:t>
      </w:r>
      <w:r w:rsidR="00452026">
        <w:rPr>
          <w:sz w:val="28"/>
          <w:szCs w:val="28"/>
          <w:lang w:val="en-US"/>
        </w:rPr>
        <w:t xml:space="preserve"> concluded </w:t>
      </w:r>
      <w:r w:rsidR="00002F83">
        <w:rPr>
          <w:sz w:val="28"/>
          <w:szCs w:val="28"/>
          <w:lang w:val="en-US"/>
        </w:rPr>
        <w:t>that th</w:t>
      </w:r>
      <w:r w:rsidR="00E71C37">
        <w:rPr>
          <w:sz w:val="28"/>
          <w:szCs w:val="28"/>
          <w:lang w:val="en-US"/>
        </w:rPr>
        <w:t>e</w:t>
      </w:r>
      <w:r w:rsidR="00002F83">
        <w:rPr>
          <w:sz w:val="28"/>
          <w:szCs w:val="28"/>
          <w:lang w:val="en-US"/>
        </w:rPr>
        <w:t xml:space="preserve"> </w:t>
      </w:r>
      <w:r w:rsidR="003A4765">
        <w:rPr>
          <w:sz w:val="28"/>
          <w:szCs w:val="28"/>
          <w:lang w:val="en-US"/>
        </w:rPr>
        <w:t>legislature had replaced th</w:t>
      </w:r>
      <w:r w:rsidR="009E0B9C">
        <w:rPr>
          <w:sz w:val="28"/>
          <w:szCs w:val="28"/>
          <w:lang w:val="en-US"/>
        </w:rPr>
        <w:t>is</w:t>
      </w:r>
      <w:r w:rsidR="003A4765">
        <w:rPr>
          <w:sz w:val="28"/>
          <w:szCs w:val="28"/>
          <w:lang w:val="en-US"/>
        </w:rPr>
        <w:t xml:space="preserve"> </w:t>
      </w:r>
      <w:r w:rsidR="00002F83">
        <w:rPr>
          <w:sz w:val="28"/>
          <w:szCs w:val="28"/>
          <w:lang w:val="en-US"/>
        </w:rPr>
        <w:t xml:space="preserve">system by another, more </w:t>
      </w:r>
      <w:r w:rsidR="00D92672">
        <w:rPr>
          <w:sz w:val="28"/>
          <w:szCs w:val="28"/>
          <w:lang w:val="en-US"/>
        </w:rPr>
        <w:t>favo</w:t>
      </w:r>
      <w:r w:rsidR="00DB7375">
        <w:rPr>
          <w:sz w:val="28"/>
          <w:szCs w:val="28"/>
          <w:lang w:val="en-US"/>
        </w:rPr>
        <w:t>u</w:t>
      </w:r>
      <w:r w:rsidR="00D92672">
        <w:rPr>
          <w:sz w:val="28"/>
          <w:szCs w:val="28"/>
          <w:lang w:val="en-US"/>
        </w:rPr>
        <w:t>rable</w:t>
      </w:r>
      <w:r w:rsidR="00002F83">
        <w:rPr>
          <w:sz w:val="28"/>
          <w:szCs w:val="28"/>
          <w:lang w:val="en-US"/>
        </w:rPr>
        <w:t xml:space="preserve"> to</w:t>
      </w:r>
      <w:r w:rsidR="00794D46">
        <w:rPr>
          <w:sz w:val="28"/>
          <w:szCs w:val="28"/>
          <w:lang w:val="en-US"/>
        </w:rPr>
        <w:t xml:space="preserve"> </w:t>
      </w:r>
      <w:r w:rsidR="009E0B9C">
        <w:rPr>
          <w:sz w:val="28"/>
          <w:szCs w:val="28"/>
          <w:lang w:val="en-US"/>
        </w:rPr>
        <w:t>the applicant</w:t>
      </w:r>
      <w:r w:rsidR="00DD58A6">
        <w:rPr>
          <w:sz w:val="28"/>
          <w:szCs w:val="28"/>
          <w:lang w:val="en-US"/>
        </w:rPr>
        <w:t xml:space="preserve">, thus </w:t>
      </w:r>
      <w:r w:rsidR="00AB6F9F">
        <w:rPr>
          <w:sz w:val="28"/>
          <w:szCs w:val="28"/>
          <w:lang w:val="en-US"/>
        </w:rPr>
        <w:t>reject</w:t>
      </w:r>
      <w:r w:rsidR="00DD58A6">
        <w:rPr>
          <w:sz w:val="28"/>
          <w:szCs w:val="28"/>
          <w:lang w:val="en-US"/>
        </w:rPr>
        <w:t>ing</w:t>
      </w:r>
      <w:r w:rsidR="00AB6F9F">
        <w:rPr>
          <w:sz w:val="28"/>
          <w:szCs w:val="28"/>
          <w:lang w:val="en-US"/>
        </w:rPr>
        <w:t xml:space="preserve"> his </w:t>
      </w:r>
      <w:r w:rsidR="00F7325D">
        <w:rPr>
          <w:sz w:val="28"/>
          <w:szCs w:val="28"/>
          <w:lang w:val="en-US"/>
        </w:rPr>
        <w:t>claims.</w:t>
      </w:r>
    </w:p>
    <w:p w14:paraId="4CE22908" w14:textId="4904AF37" w:rsidR="004A7D9E" w:rsidRDefault="00112705">
      <w:pPr>
        <w:spacing w:after="0" w:line="360" w:lineRule="auto"/>
        <w:ind w:firstLine="284"/>
        <w:jc w:val="both"/>
        <w:rPr>
          <w:sz w:val="28"/>
          <w:szCs w:val="28"/>
          <w:lang w:val="en-US"/>
        </w:rPr>
      </w:pPr>
      <w:r>
        <w:rPr>
          <w:sz w:val="28"/>
          <w:szCs w:val="28"/>
          <w:lang w:val="en-US"/>
        </w:rPr>
        <w:t>Considering</w:t>
      </w:r>
      <w:r w:rsidR="00002F83">
        <w:rPr>
          <w:sz w:val="28"/>
          <w:szCs w:val="28"/>
          <w:lang w:val="en-US"/>
        </w:rPr>
        <w:t xml:space="preserve"> the a</w:t>
      </w:r>
      <w:r>
        <w:rPr>
          <w:sz w:val="28"/>
          <w:szCs w:val="28"/>
          <w:lang w:val="en-US"/>
        </w:rPr>
        <w:t>f</w:t>
      </w:r>
      <w:r w:rsidR="00002F83">
        <w:rPr>
          <w:sz w:val="28"/>
          <w:szCs w:val="28"/>
          <w:lang w:val="en-US"/>
        </w:rPr>
        <w:t>o</w:t>
      </w:r>
      <w:r>
        <w:rPr>
          <w:sz w:val="28"/>
          <w:szCs w:val="28"/>
          <w:lang w:val="en-US"/>
        </w:rPr>
        <w:t>r</w:t>
      </w:r>
      <w:r w:rsidR="00002F83">
        <w:rPr>
          <w:sz w:val="28"/>
          <w:szCs w:val="28"/>
          <w:lang w:val="en-US"/>
        </w:rPr>
        <w:t>ementioned, well-established practice of the Council of State, the legislature went on to reform</w:t>
      </w:r>
      <w:r w:rsidR="006121FA">
        <w:rPr>
          <w:sz w:val="28"/>
          <w:szCs w:val="28"/>
          <w:lang w:val="en-US"/>
        </w:rPr>
        <w:t xml:space="preserve">, in 2016, the </w:t>
      </w:r>
      <w:r w:rsidR="00002F83">
        <w:rPr>
          <w:sz w:val="28"/>
          <w:szCs w:val="28"/>
          <w:lang w:val="en-US"/>
        </w:rPr>
        <w:t>CAP introducing</w:t>
      </w:r>
      <w:r w:rsidR="006121FA">
        <w:rPr>
          <w:sz w:val="28"/>
          <w:szCs w:val="28"/>
          <w:lang w:val="en-US"/>
        </w:rPr>
        <w:t>, through article 128A,</w:t>
      </w:r>
      <w:r w:rsidR="00002F83">
        <w:rPr>
          <w:sz w:val="28"/>
          <w:szCs w:val="28"/>
          <w:lang w:val="en-US"/>
        </w:rPr>
        <w:t xml:space="preserve"> the institution of the </w:t>
      </w:r>
      <w:r w:rsidR="004028BF">
        <w:rPr>
          <w:sz w:val="28"/>
          <w:szCs w:val="28"/>
          <w:lang w:val="en-US"/>
        </w:rPr>
        <w:t>judge-rapporteur</w:t>
      </w:r>
      <w:r w:rsidR="00002F83">
        <w:rPr>
          <w:sz w:val="28"/>
          <w:szCs w:val="28"/>
          <w:lang w:val="en-US"/>
        </w:rPr>
        <w:t xml:space="preserve"> in cases before the administrative courts and explicitly recognizing the power of the </w:t>
      </w:r>
      <w:r w:rsidR="004028BF">
        <w:rPr>
          <w:sz w:val="28"/>
          <w:szCs w:val="28"/>
          <w:lang w:val="en-US"/>
        </w:rPr>
        <w:t>judge-rapporteur</w:t>
      </w:r>
      <w:r w:rsidR="00002F83">
        <w:rPr>
          <w:sz w:val="28"/>
          <w:szCs w:val="28"/>
          <w:lang w:val="en-US"/>
        </w:rPr>
        <w:t xml:space="preserve"> to communicate with the parties, thus enabling </w:t>
      </w:r>
      <w:r w:rsidR="00002F83" w:rsidRPr="00792508">
        <w:rPr>
          <w:sz w:val="28"/>
          <w:szCs w:val="28"/>
          <w:lang w:val="en-US"/>
        </w:rPr>
        <w:t>him</w:t>
      </w:r>
      <w:r w:rsidR="00002F83">
        <w:rPr>
          <w:sz w:val="28"/>
          <w:szCs w:val="28"/>
          <w:lang w:val="en-US"/>
        </w:rPr>
        <w:t xml:space="preserve"> to come to an in-depth understanding of the technical matters related to the individual acts of the regulatory authorities.</w:t>
      </w:r>
      <w:r w:rsidR="006121FA">
        <w:rPr>
          <w:sz w:val="28"/>
          <w:szCs w:val="28"/>
          <w:lang w:val="en-US"/>
        </w:rPr>
        <w:t xml:space="preserve"> Due to its relatively recent adoption, there is still no</w:t>
      </w:r>
      <w:r w:rsidR="00E71C37">
        <w:rPr>
          <w:sz w:val="28"/>
          <w:szCs w:val="28"/>
          <w:lang w:val="en-US"/>
        </w:rPr>
        <w:t xml:space="preserve"> extensive</w:t>
      </w:r>
      <w:r w:rsidR="006121FA">
        <w:rPr>
          <w:sz w:val="28"/>
          <w:szCs w:val="28"/>
          <w:lang w:val="en-US"/>
        </w:rPr>
        <w:t xml:space="preserve"> </w:t>
      </w:r>
      <w:r w:rsidR="00E71C37">
        <w:rPr>
          <w:sz w:val="28"/>
          <w:szCs w:val="28"/>
          <w:lang w:val="en-US"/>
        </w:rPr>
        <w:t xml:space="preserve">hands-on experience </w:t>
      </w:r>
      <w:r w:rsidR="006121FA">
        <w:rPr>
          <w:sz w:val="28"/>
          <w:szCs w:val="28"/>
          <w:lang w:val="en-US"/>
        </w:rPr>
        <w:t xml:space="preserve">regarding the application of this provision by the </w:t>
      </w:r>
      <w:r w:rsidR="009B7922">
        <w:rPr>
          <w:sz w:val="28"/>
          <w:szCs w:val="28"/>
          <w:lang w:val="en-US"/>
        </w:rPr>
        <w:t>c</w:t>
      </w:r>
      <w:r w:rsidR="006121FA">
        <w:rPr>
          <w:sz w:val="28"/>
          <w:szCs w:val="28"/>
          <w:lang w:val="en-US"/>
        </w:rPr>
        <w:t xml:space="preserve">ourt of </w:t>
      </w:r>
      <w:r w:rsidR="009B7922">
        <w:rPr>
          <w:sz w:val="28"/>
          <w:szCs w:val="28"/>
          <w:lang w:val="en-US"/>
        </w:rPr>
        <w:t>a</w:t>
      </w:r>
      <w:r w:rsidR="006121FA">
        <w:rPr>
          <w:sz w:val="28"/>
          <w:szCs w:val="28"/>
          <w:lang w:val="en-US"/>
        </w:rPr>
        <w:t>ppeal</w:t>
      </w:r>
      <w:r w:rsidR="00895DA7">
        <w:rPr>
          <w:sz w:val="28"/>
          <w:szCs w:val="28"/>
          <w:lang w:val="en-US"/>
        </w:rPr>
        <w:t xml:space="preserve"> in disputes regarding acts of regulatory authorities</w:t>
      </w:r>
      <w:r w:rsidR="006121FA">
        <w:rPr>
          <w:sz w:val="28"/>
          <w:szCs w:val="28"/>
          <w:lang w:val="en-US"/>
        </w:rPr>
        <w:t>.</w:t>
      </w:r>
    </w:p>
    <w:p w14:paraId="1B4CE3E3" w14:textId="77777777" w:rsidR="004A7D9E" w:rsidRDefault="004A7D9E">
      <w:pPr>
        <w:spacing w:after="0" w:line="360" w:lineRule="auto"/>
        <w:ind w:firstLine="284"/>
        <w:jc w:val="both"/>
        <w:rPr>
          <w:sz w:val="28"/>
          <w:szCs w:val="28"/>
          <w:lang w:val="en-US"/>
        </w:rPr>
      </w:pPr>
    </w:p>
    <w:p w14:paraId="6FCF35FB" w14:textId="77777777" w:rsidR="004A7D9E" w:rsidRDefault="00002F83">
      <w:pPr>
        <w:spacing w:after="0" w:line="360" w:lineRule="auto"/>
        <w:jc w:val="both"/>
        <w:rPr>
          <w:b/>
          <w:bCs/>
          <w:sz w:val="28"/>
          <w:szCs w:val="28"/>
          <w:lang w:val="en-US"/>
        </w:rPr>
      </w:pPr>
      <w:r>
        <w:rPr>
          <w:b/>
          <w:bCs/>
          <w:sz w:val="28"/>
          <w:szCs w:val="28"/>
          <w:lang w:val="en-US"/>
        </w:rPr>
        <w:t>II. The institutional role of the courts.</w:t>
      </w:r>
    </w:p>
    <w:p w14:paraId="7B56D910" w14:textId="10A9C3C3" w:rsidR="004A7D9E" w:rsidRDefault="00002F83">
      <w:pPr>
        <w:spacing w:after="0" w:line="360" w:lineRule="auto"/>
        <w:jc w:val="both"/>
        <w:rPr>
          <w:sz w:val="28"/>
          <w:szCs w:val="28"/>
          <w:lang w:val="en-US"/>
        </w:rPr>
      </w:pPr>
      <w:r>
        <w:rPr>
          <w:sz w:val="28"/>
          <w:szCs w:val="28"/>
        </w:rPr>
        <w:t>Α</w:t>
      </w:r>
      <w:r>
        <w:rPr>
          <w:sz w:val="28"/>
          <w:szCs w:val="28"/>
          <w:lang w:val="en-US"/>
        </w:rPr>
        <w:t xml:space="preserve">. The </w:t>
      </w:r>
      <w:r w:rsidR="00D05A6D">
        <w:rPr>
          <w:sz w:val="28"/>
          <w:szCs w:val="28"/>
          <w:lang w:val="en-US"/>
        </w:rPr>
        <w:t xml:space="preserve">filling </w:t>
      </w:r>
      <w:r>
        <w:rPr>
          <w:sz w:val="28"/>
          <w:szCs w:val="28"/>
          <w:lang w:val="en-US"/>
        </w:rPr>
        <w:t xml:space="preserve">of the </w:t>
      </w:r>
      <w:r w:rsidR="00EA28C2">
        <w:rPr>
          <w:sz w:val="28"/>
          <w:szCs w:val="28"/>
          <w:lang w:val="en-US"/>
        </w:rPr>
        <w:t>case-file</w:t>
      </w:r>
      <w:r>
        <w:rPr>
          <w:sz w:val="28"/>
          <w:szCs w:val="28"/>
          <w:lang w:val="en-US"/>
        </w:rPr>
        <w:t>.</w:t>
      </w:r>
    </w:p>
    <w:p w14:paraId="4DD236D1" w14:textId="7EAD8130" w:rsidR="004A7D9E" w:rsidRDefault="00002F83">
      <w:pPr>
        <w:spacing w:after="0" w:line="360" w:lineRule="auto"/>
        <w:jc w:val="both"/>
        <w:rPr>
          <w:sz w:val="28"/>
          <w:szCs w:val="28"/>
          <w:lang w:val="en-US"/>
        </w:rPr>
      </w:pPr>
      <w:r>
        <w:rPr>
          <w:sz w:val="28"/>
          <w:szCs w:val="28"/>
          <w:lang w:val="en-US"/>
        </w:rPr>
        <w:t xml:space="preserve">According to well- established </w:t>
      </w:r>
      <w:r w:rsidR="00EA28C2">
        <w:rPr>
          <w:sz w:val="28"/>
          <w:szCs w:val="28"/>
          <w:lang w:val="en-US"/>
        </w:rPr>
        <w:t>case-law</w:t>
      </w:r>
      <w:r>
        <w:rPr>
          <w:sz w:val="28"/>
          <w:szCs w:val="28"/>
          <w:lang w:val="en-US"/>
        </w:rPr>
        <w:t xml:space="preserve"> of the Council of State, the aforementioned article 22 para. 2 of </w:t>
      </w:r>
      <w:r w:rsidR="009333C5">
        <w:rPr>
          <w:sz w:val="28"/>
          <w:szCs w:val="28"/>
          <w:lang w:val="en-US"/>
        </w:rPr>
        <w:t xml:space="preserve">the </w:t>
      </w:r>
      <w:r>
        <w:rPr>
          <w:sz w:val="28"/>
          <w:szCs w:val="28"/>
          <w:lang w:val="en-US"/>
        </w:rPr>
        <w:t xml:space="preserve">Presidential Decree </w:t>
      </w:r>
      <w:proofErr w:type="gramStart"/>
      <w:r w:rsidR="00B54C4C">
        <w:rPr>
          <w:sz w:val="28"/>
          <w:szCs w:val="28"/>
          <w:lang w:val="en-US"/>
        </w:rPr>
        <w:t>no.</w:t>
      </w:r>
      <w:proofErr w:type="gramEnd"/>
      <w:r w:rsidR="00B54C4C">
        <w:rPr>
          <w:sz w:val="28"/>
          <w:szCs w:val="28"/>
          <w:lang w:val="en-US"/>
        </w:rPr>
        <w:t xml:space="preserve"> </w:t>
      </w:r>
      <w:r>
        <w:rPr>
          <w:sz w:val="28"/>
          <w:szCs w:val="28"/>
          <w:lang w:val="en-US"/>
        </w:rPr>
        <w:t>18/1989</w:t>
      </w:r>
      <w:r w:rsidR="009333C5">
        <w:rPr>
          <w:sz w:val="28"/>
          <w:szCs w:val="28"/>
          <w:lang w:val="en-US"/>
        </w:rPr>
        <w:t xml:space="preserve"> </w:t>
      </w:r>
      <w:r w:rsidR="009333C5">
        <w:rPr>
          <w:sz w:val="28"/>
          <w:szCs w:val="28"/>
          <w:lang w:val="en-US"/>
        </w:rPr>
        <w:lastRenderedPageBreak/>
        <w:t xml:space="preserve">has been </w:t>
      </w:r>
      <w:r w:rsidR="00E54BD9">
        <w:rPr>
          <w:sz w:val="28"/>
          <w:szCs w:val="28"/>
          <w:lang w:val="en-US"/>
        </w:rPr>
        <w:t>interpreted as enabling</w:t>
      </w:r>
      <w:r w:rsidR="00792508">
        <w:rPr>
          <w:sz w:val="28"/>
          <w:szCs w:val="28"/>
          <w:lang w:val="en-US"/>
        </w:rPr>
        <w:t xml:space="preserve"> </w:t>
      </w:r>
      <w:r w:rsidRPr="009333C5">
        <w:rPr>
          <w:sz w:val="28"/>
          <w:szCs w:val="28"/>
          <w:lang w:val="en-US"/>
        </w:rPr>
        <w:t xml:space="preserve">not only the </w:t>
      </w:r>
      <w:r w:rsidR="004028BF" w:rsidRPr="009333C5">
        <w:rPr>
          <w:sz w:val="28"/>
          <w:szCs w:val="28"/>
          <w:lang w:val="en-US"/>
        </w:rPr>
        <w:t>j</w:t>
      </w:r>
      <w:r w:rsidR="004028BF">
        <w:rPr>
          <w:sz w:val="28"/>
          <w:szCs w:val="28"/>
          <w:lang w:val="en-US"/>
        </w:rPr>
        <w:t>udge-rapporteur</w:t>
      </w:r>
      <w:r>
        <w:rPr>
          <w:sz w:val="28"/>
          <w:szCs w:val="28"/>
          <w:lang w:val="en-US"/>
        </w:rPr>
        <w:t xml:space="preserve"> but also the Court </w:t>
      </w:r>
      <w:r w:rsidR="00E54BD9">
        <w:rPr>
          <w:sz w:val="28"/>
          <w:szCs w:val="28"/>
          <w:lang w:val="en-US"/>
        </w:rPr>
        <w:t xml:space="preserve">to </w:t>
      </w:r>
      <w:r>
        <w:rPr>
          <w:sz w:val="28"/>
          <w:szCs w:val="28"/>
          <w:lang w:val="en-US"/>
        </w:rPr>
        <w:t>request</w:t>
      </w:r>
      <w:r w:rsidR="00E54BD9">
        <w:rPr>
          <w:sz w:val="28"/>
          <w:szCs w:val="28"/>
          <w:lang w:val="en-US"/>
        </w:rPr>
        <w:t>, by a preliminary ruling,</w:t>
      </w:r>
      <w:r>
        <w:rPr>
          <w:sz w:val="28"/>
          <w:szCs w:val="28"/>
          <w:lang w:val="en-US"/>
        </w:rPr>
        <w:t xml:space="preserve"> the applicant or another administrative authority to adduce useful evidence and information (</w:t>
      </w:r>
      <w:r w:rsidR="009D5E80">
        <w:rPr>
          <w:sz w:val="28"/>
          <w:szCs w:val="28"/>
          <w:lang w:val="en-US"/>
        </w:rPr>
        <w:t xml:space="preserve">see </w:t>
      </w:r>
      <w:proofErr w:type="spellStart"/>
      <w:r w:rsidR="00A83633" w:rsidRPr="00A83633">
        <w:rPr>
          <w:sz w:val="28"/>
          <w:szCs w:val="28"/>
          <w:lang w:val="en-US"/>
        </w:rPr>
        <w:t>CoS</w:t>
      </w:r>
      <w:proofErr w:type="spellEnd"/>
      <w:r>
        <w:rPr>
          <w:sz w:val="28"/>
          <w:szCs w:val="28"/>
          <w:lang w:val="en-US"/>
        </w:rPr>
        <w:t xml:space="preserve"> 1046/2004).</w:t>
      </w:r>
    </w:p>
    <w:p w14:paraId="148DE172" w14:textId="4F9BC6AB" w:rsidR="004A7D9E" w:rsidRDefault="00002F83">
      <w:pPr>
        <w:spacing w:after="0" w:line="360" w:lineRule="auto"/>
        <w:ind w:firstLine="284"/>
        <w:jc w:val="both"/>
        <w:rPr>
          <w:sz w:val="28"/>
          <w:szCs w:val="28"/>
          <w:lang w:val="en-US"/>
        </w:rPr>
      </w:pPr>
      <w:r>
        <w:rPr>
          <w:sz w:val="28"/>
          <w:szCs w:val="28"/>
          <w:lang w:val="en-US"/>
        </w:rPr>
        <w:t xml:space="preserve">Accordingly, article 155 </w:t>
      </w:r>
      <w:r w:rsidR="0074387E">
        <w:rPr>
          <w:sz w:val="28"/>
          <w:szCs w:val="28"/>
          <w:lang w:val="en-US"/>
        </w:rPr>
        <w:t xml:space="preserve">of the </w:t>
      </w:r>
      <w:r>
        <w:rPr>
          <w:sz w:val="28"/>
          <w:szCs w:val="28"/>
          <w:lang w:val="en-US"/>
        </w:rPr>
        <w:t>CAP provides that</w:t>
      </w:r>
      <w:r w:rsidR="006F2D58">
        <w:rPr>
          <w:sz w:val="28"/>
          <w:szCs w:val="28"/>
          <w:lang w:val="en-US"/>
        </w:rPr>
        <w:t>:</w:t>
      </w:r>
      <w:r>
        <w:rPr>
          <w:sz w:val="28"/>
          <w:szCs w:val="28"/>
          <w:lang w:val="en-US"/>
        </w:rPr>
        <w:t xml:space="preserve"> “1. The court may</w:t>
      </w:r>
      <w:r w:rsidR="00FC00D1">
        <w:rPr>
          <w:sz w:val="28"/>
          <w:szCs w:val="28"/>
          <w:lang w:val="en-US"/>
        </w:rPr>
        <w:t xml:space="preserve">, upon its decision, </w:t>
      </w:r>
      <w:r>
        <w:rPr>
          <w:sz w:val="28"/>
          <w:szCs w:val="28"/>
          <w:lang w:val="en-US"/>
        </w:rPr>
        <w:t>request from any public</w:t>
      </w:r>
      <w:r w:rsidR="008A24AA">
        <w:rPr>
          <w:sz w:val="28"/>
          <w:szCs w:val="28"/>
          <w:lang w:val="en-US"/>
        </w:rPr>
        <w:t xml:space="preserve">… </w:t>
      </w:r>
      <w:r>
        <w:rPr>
          <w:sz w:val="28"/>
          <w:szCs w:val="28"/>
          <w:lang w:val="en-US"/>
        </w:rPr>
        <w:t xml:space="preserve">authority, as well as from any legal or natural person, information and data useful for the diagnosis of the case. All such persons shall supply the court with the information and evidence requested within the time limit fixed by the court’s decision. …”. </w:t>
      </w:r>
    </w:p>
    <w:p w14:paraId="220E8D03" w14:textId="18AF0639" w:rsidR="004A7D9E" w:rsidRDefault="00002F83">
      <w:pPr>
        <w:spacing w:after="0" w:line="360" w:lineRule="auto"/>
        <w:ind w:firstLine="284"/>
        <w:jc w:val="both"/>
        <w:rPr>
          <w:sz w:val="28"/>
          <w:szCs w:val="28"/>
          <w:lang w:val="en-US"/>
        </w:rPr>
      </w:pPr>
      <w:r>
        <w:rPr>
          <w:sz w:val="28"/>
          <w:szCs w:val="28"/>
          <w:lang w:val="en-US"/>
        </w:rPr>
        <w:t xml:space="preserve">It follows from the </w:t>
      </w:r>
      <w:r w:rsidRPr="00E2594E">
        <w:rPr>
          <w:sz w:val="28"/>
          <w:szCs w:val="28"/>
          <w:lang w:val="en-US"/>
        </w:rPr>
        <w:t>above</w:t>
      </w:r>
      <w:r>
        <w:rPr>
          <w:sz w:val="28"/>
          <w:szCs w:val="28"/>
          <w:lang w:val="en-US"/>
        </w:rPr>
        <w:t xml:space="preserve"> that, </w:t>
      </w:r>
      <w:r w:rsidR="00E54BD9">
        <w:rPr>
          <w:sz w:val="28"/>
          <w:szCs w:val="28"/>
          <w:lang w:val="en-US"/>
        </w:rPr>
        <w:t>following</w:t>
      </w:r>
      <w:r>
        <w:rPr>
          <w:sz w:val="28"/>
          <w:szCs w:val="28"/>
          <w:lang w:val="en-US"/>
        </w:rPr>
        <w:t xml:space="preserve"> the hearing, and if </w:t>
      </w:r>
      <w:r w:rsidR="00CC7A84">
        <w:rPr>
          <w:sz w:val="28"/>
          <w:szCs w:val="28"/>
          <w:lang w:val="en-US"/>
        </w:rPr>
        <w:t>there are still</w:t>
      </w:r>
      <w:r>
        <w:rPr>
          <w:sz w:val="28"/>
          <w:szCs w:val="28"/>
          <w:lang w:val="en-US"/>
        </w:rPr>
        <w:t xml:space="preserve"> doubts about specific (technical or not) </w:t>
      </w:r>
      <w:r w:rsidR="00EA28C2">
        <w:rPr>
          <w:sz w:val="28"/>
          <w:szCs w:val="28"/>
          <w:lang w:val="en-US"/>
        </w:rPr>
        <w:t xml:space="preserve">factual </w:t>
      </w:r>
      <w:r>
        <w:rPr>
          <w:sz w:val="28"/>
          <w:szCs w:val="28"/>
          <w:lang w:val="en-US"/>
        </w:rPr>
        <w:t xml:space="preserve">aspects of the case, the court </w:t>
      </w:r>
      <w:r w:rsidR="00C7643F">
        <w:rPr>
          <w:sz w:val="28"/>
          <w:szCs w:val="28"/>
          <w:lang w:val="en-US"/>
        </w:rPr>
        <w:t xml:space="preserve">of appeal </w:t>
      </w:r>
      <w:r>
        <w:rPr>
          <w:sz w:val="28"/>
          <w:szCs w:val="28"/>
          <w:lang w:val="en-US"/>
        </w:rPr>
        <w:t>may address any authority or person requesting information and evidence useful for its understanding and settlement</w:t>
      </w:r>
      <w:r w:rsidR="00763398">
        <w:rPr>
          <w:sz w:val="28"/>
          <w:szCs w:val="28"/>
          <w:lang w:val="en-US"/>
        </w:rPr>
        <w:t xml:space="preserve"> of the case</w:t>
      </w:r>
      <w:r>
        <w:rPr>
          <w:sz w:val="28"/>
          <w:szCs w:val="28"/>
          <w:lang w:val="en-US"/>
        </w:rPr>
        <w:t xml:space="preserve">. Reversely, if the court considers that the evidence and information of the </w:t>
      </w:r>
      <w:r w:rsidR="00EA28C2">
        <w:rPr>
          <w:sz w:val="28"/>
          <w:szCs w:val="28"/>
          <w:lang w:val="en-US"/>
        </w:rPr>
        <w:t>case-file</w:t>
      </w:r>
      <w:r>
        <w:rPr>
          <w:sz w:val="28"/>
          <w:szCs w:val="28"/>
          <w:lang w:val="en-US"/>
        </w:rPr>
        <w:t xml:space="preserve"> </w:t>
      </w:r>
      <w:r w:rsidR="00E54BD9">
        <w:rPr>
          <w:sz w:val="28"/>
          <w:szCs w:val="28"/>
          <w:lang w:val="en-US"/>
        </w:rPr>
        <w:t>suffice</w:t>
      </w:r>
      <w:r>
        <w:rPr>
          <w:sz w:val="28"/>
          <w:szCs w:val="28"/>
          <w:lang w:val="en-US"/>
        </w:rPr>
        <w:t xml:space="preserve"> for it in order to </w:t>
      </w:r>
      <w:r w:rsidR="006F2D58">
        <w:rPr>
          <w:sz w:val="28"/>
          <w:szCs w:val="28"/>
          <w:lang w:val="en-US"/>
        </w:rPr>
        <w:t>reach</w:t>
      </w:r>
      <w:r>
        <w:rPr>
          <w:sz w:val="28"/>
          <w:szCs w:val="28"/>
          <w:lang w:val="en-US"/>
        </w:rPr>
        <w:t xml:space="preserve"> an understanding of the technical </w:t>
      </w:r>
      <w:r w:rsidR="00833DEA">
        <w:rPr>
          <w:sz w:val="28"/>
          <w:szCs w:val="28"/>
          <w:lang w:val="en-US"/>
        </w:rPr>
        <w:t xml:space="preserve">matters </w:t>
      </w:r>
      <w:r w:rsidR="00DA0009">
        <w:rPr>
          <w:sz w:val="28"/>
          <w:szCs w:val="28"/>
          <w:lang w:val="en-US"/>
        </w:rPr>
        <w:t>in question</w:t>
      </w:r>
      <w:r>
        <w:rPr>
          <w:sz w:val="28"/>
          <w:szCs w:val="28"/>
          <w:lang w:val="en-US"/>
        </w:rPr>
        <w:t>, it can proceed to hearing the case without being bound by the parties</w:t>
      </w:r>
      <w:r w:rsidR="00894A85">
        <w:rPr>
          <w:sz w:val="28"/>
          <w:szCs w:val="28"/>
          <w:lang w:val="en-US"/>
        </w:rPr>
        <w:t>’</w:t>
      </w:r>
      <w:r>
        <w:rPr>
          <w:sz w:val="28"/>
          <w:szCs w:val="28"/>
          <w:lang w:val="en-US"/>
        </w:rPr>
        <w:t xml:space="preserve"> requests for further investigation. As an example, the Council of State had </w:t>
      </w:r>
      <w:r w:rsidR="000A40FA">
        <w:rPr>
          <w:sz w:val="28"/>
          <w:szCs w:val="28"/>
          <w:lang w:val="en-US"/>
        </w:rPr>
        <w:t>upheld</w:t>
      </w:r>
      <w:r>
        <w:rPr>
          <w:sz w:val="28"/>
          <w:szCs w:val="28"/>
          <w:lang w:val="en-US"/>
        </w:rPr>
        <w:t xml:space="preserve"> a </w:t>
      </w:r>
      <w:r w:rsidR="00A56F01">
        <w:rPr>
          <w:sz w:val="28"/>
          <w:szCs w:val="28"/>
          <w:lang w:val="en-US"/>
        </w:rPr>
        <w:t>C</w:t>
      </w:r>
      <w:r>
        <w:rPr>
          <w:sz w:val="28"/>
          <w:szCs w:val="28"/>
          <w:lang w:val="en-US"/>
        </w:rPr>
        <w:t xml:space="preserve">ourt of </w:t>
      </w:r>
      <w:r w:rsidR="00205F7B">
        <w:rPr>
          <w:sz w:val="28"/>
          <w:szCs w:val="28"/>
          <w:lang w:val="en-US"/>
        </w:rPr>
        <w:t>A</w:t>
      </w:r>
      <w:r>
        <w:rPr>
          <w:sz w:val="28"/>
          <w:szCs w:val="28"/>
          <w:lang w:val="en-US"/>
        </w:rPr>
        <w:t>ppeal judgment in a case regarding sanctions for violations of competition law (</w:t>
      </w:r>
      <w:r w:rsidR="009D5E80">
        <w:rPr>
          <w:sz w:val="28"/>
          <w:szCs w:val="28"/>
          <w:lang w:val="en-US"/>
        </w:rPr>
        <w:t xml:space="preserve">see </w:t>
      </w:r>
      <w:proofErr w:type="spellStart"/>
      <w:r w:rsidR="00A83633">
        <w:rPr>
          <w:sz w:val="28"/>
          <w:szCs w:val="28"/>
          <w:lang w:val="en-US"/>
        </w:rPr>
        <w:t>CoS</w:t>
      </w:r>
      <w:proofErr w:type="spellEnd"/>
      <w:r>
        <w:rPr>
          <w:sz w:val="28"/>
          <w:szCs w:val="28"/>
          <w:lang w:val="en-US"/>
        </w:rPr>
        <w:t xml:space="preserve"> 1677/2014).</w:t>
      </w:r>
      <w:r w:rsidR="00442B2E">
        <w:rPr>
          <w:sz w:val="28"/>
          <w:szCs w:val="28"/>
          <w:lang w:val="en-US"/>
        </w:rPr>
        <w:t xml:space="preserve"> </w:t>
      </w:r>
      <w:r w:rsidR="00205F7B">
        <w:rPr>
          <w:sz w:val="28"/>
          <w:szCs w:val="28"/>
          <w:lang w:val="en-US"/>
        </w:rPr>
        <w:t>T</w:t>
      </w:r>
      <w:r>
        <w:rPr>
          <w:sz w:val="28"/>
          <w:szCs w:val="28"/>
          <w:lang w:val="en-US"/>
        </w:rPr>
        <w:t xml:space="preserve">he Court of Appeal held that the Hellenic Competition Commission’s decision on the existence of a horizontal collusion </w:t>
      </w:r>
      <w:r w:rsidR="00E54BD9">
        <w:rPr>
          <w:sz w:val="28"/>
          <w:szCs w:val="28"/>
          <w:lang w:val="en-US"/>
        </w:rPr>
        <w:t>between</w:t>
      </w:r>
      <w:r>
        <w:rPr>
          <w:sz w:val="28"/>
          <w:szCs w:val="28"/>
          <w:lang w:val="en-US"/>
        </w:rPr>
        <w:t xml:space="preserve"> two companies was lawfully reasoned and that no further economic analysis was required in order </w:t>
      </w:r>
      <w:r w:rsidR="00894A85">
        <w:rPr>
          <w:sz w:val="28"/>
          <w:szCs w:val="28"/>
          <w:lang w:val="en-US"/>
        </w:rPr>
        <w:t xml:space="preserve">for </w:t>
      </w:r>
      <w:r>
        <w:rPr>
          <w:sz w:val="28"/>
          <w:szCs w:val="28"/>
          <w:lang w:val="en-US"/>
        </w:rPr>
        <w:t xml:space="preserve">this decision to be considered lawful. The Court of Appeal founded its reasoning on the collected evidence and information of the </w:t>
      </w:r>
      <w:r w:rsidR="00EA28C2">
        <w:rPr>
          <w:sz w:val="28"/>
          <w:szCs w:val="28"/>
          <w:lang w:val="en-US"/>
        </w:rPr>
        <w:t>case-file</w:t>
      </w:r>
      <w:r>
        <w:rPr>
          <w:sz w:val="28"/>
          <w:szCs w:val="28"/>
          <w:lang w:val="en-US"/>
        </w:rPr>
        <w:t>, according to which the practice that these companies had developed was, from an economic point of view, manifestly contrary to the rules of the proper functioning of the market.</w:t>
      </w:r>
    </w:p>
    <w:p w14:paraId="48FA41DC" w14:textId="77777777" w:rsidR="00502321" w:rsidRPr="00A8517F" w:rsidRDefault="00502321">
      <w:pPr>
        <w:spacing w:after="0" w:line="360" w:lineRule="auto"/>
        <w:jc w:val="both"/>
        <w:rPr>
          <w:sz w:val="28"/>
          <w:szCs w:val="28"/>
          <w:lang w:val="en-US"/>
        </w:rPr>
      </w:pPr>
    </w:p>
    <w:p w14:paraId="1D4DBC52" w14:textId="21B2289D" w:rsidR="004A7D9E" w:rsidRDefault="00002F83">
      <w:pPr>
        <w:spacing w:after="0" w:line="360" w:lineRule="auto"/>
        <w:jc w:val="both"/>
        <w:rPr>
          <w:sz w:val="28"/>
          <w:szCs w:val="28"/>
          <w:lang w:val="en-US"/>
        </w:rPr>
      </w:pPr>
      <w:r>
        <w:rPr>
          <w:sz w:val="28"/>
          <w:szCs w:val="28"/>
        </w:rPr>
        <w:t>Β</w:t>
      </w:r>
      <w:r>
        <w:rPr>
          <w:sz w:val="28"/>
          <w:szCs w:val="28"/>
          <w:lang w:val="en-US"/>
        </w:rPr>
        <w:t xml:space="preserve">. </w:t>
      </w:r>
      <w:r w:rsidR="00E54BD9">
        <w:rPr>
          <w:sz w:val="28"/>
          <w:szCs w:val="28"/>
          <w:lang w:val="en-US"/>
        </w:rPr>
        <w:t>Conducting</w:t>
      </w:r>
      <w:r>
        <w:rPr>
          <w:sz w:val="28"/>
          <w:szCs w:val="28"/>
          <w:lang w:val="en-US"/>
        </w:rPr>
        <w:t xml:space="preserve"> an autopsy and expert </w:t>
      </w:r>
      <w:r w:rsidR="0030471E">
        <w:rPr>
          <w:sz w:val="28"/>
          <w:szCs w:val="28"/>
          <w:lang w:val="en-US"/>
        </w:rPr>
        <w:t>opini</w:t>
      </w:r>
      <w:r>
        <w:rPr>
          <w:sz w:val="28"/>
          <w:szCs w:val="28"/>
          <w:lang w:val="en-US"/>
        </w:rPr>
        <w:t>on.</w:t>
      </w:r>
    </w:p>
    <w:p w14:paraId="4A3E45E5" w14:textId="3344361A" w:rsidR="004A7D9E" w:rsidRDefault="0048635A">
      <w:pPr>
        <w:spacing w:after="0" w:line="360" w:lineRule="auto"/>
        <w:jc w:val="both"/>
        <w:rPr>
          <w:sz w:val="28"/>
          <w:szCs w:val="28"/>
          <w:lang w:val="en-US"/>
        </w:rPr>
      </w:pPr>
      <w:r>
        <w:rPr>
          <w:sz w:val="28"/>
          <w:szCs w:val="28"/>
          <w:lang w:val="en-US"/>
        </w:rPr>
        <w:lastRenderedPageBreak/>
        <w:t>Supplementing</w:t>
      </w:r>
      <w:r w:rsidR="00002F83">
        <w:rPr>
          <w:sz w:val="28"/>
          <w:szCs w:val="28"/>
          <w:lang w:val="en-US"/>
        </w:rPr>
        <w:t xml:space="preserve"> evidence </w:t>
      </w:r>
      <w:r>
        <w:rPr>
          <w:sz w:val="28"/>
          <w:szCs w:val="28"/>
          <w:lang w:val="en-US"/>
        </w:rPr>
        <w:t xml:space="preserve">provided by the parties </w:t>
      </w:r>
      <w:r w:rsidR="00002F83">
        <w:rPr>
          <w:sz w:val="28"/>
          <w:szCs w:val="28"/>
          <w:lang w:val="en-US"/>
        </w:rPr>
        <w:t xml:space="preserve">is also a specific form of </w:t>
      </w:r>
      <w:r w:rsidR="0007294B">
        <w:rPr>
          <w:sz w:val="28"/>
          <w:szCs w:val="28"/>
          <w:lang w:val="en-US"/>
        </w:rPr>
        <w:t>pre-trial procedure</w:t>
      </w:r>
      <w:r w:rsidR="00002F83">
        <w:rPr>
          <w:sz w:val="28"/>
          <w:szCs w:val="28"/>
          <w:lang w:val="en-US"/>
        </w:rPr>
        <w:t xml:space="preserve">. As far as cases before the Council of State are concerned, article 40 of the Presidential Decree no. 18/1989 </w:t>
      </w:r>
      <w:r w:rsidR="00E54BD9">
        <w:rPr>
          <w:sz w:val="28"/>
          <w:szCs w:val="28"/>
          <w:lang w:val="en-US"/>
        </w:rPr>
        <w:t>points</w:t>
      </w:r>
      <w:r w:rsidR="00002F83">
        <w:rPr>
          <w:sz w:val="28"/>
          <w:szCs w:val="28"/>
          <w:lang w:val="en-US"/>
        </w:rPr>
        <w:t xml:space="preserve"> to the provisions of the Code of Civil Procedure (CCP) regarding matters of </w:t>
      </w:r>
      <w:r w:rsidR="0013086A">
        <w:rPr>
          <w:sz w:val="28"/>
          <w:szCs w:val="28"/>
          <w:lang w:val="en-US"/>
        </w:rPr>
        <w:t>supplementing</w:t>
      </w:r>
      <w:r>
        <w:rPr>
          <w:sz w:val="28"/>
          <w:szCs w:val="28"/>
          <w:lang w:val="en-US"/>
        </w:rPr>
        <w:t xml:space="preserve"> </w:t>
      </w:r>
      <w:r w:rsidR="00002F83">
        <w:rPr>
          <w:sz w:val="28"/>
          <w:szCs w:val="28"/>
          <w:lang w:val="en-US"/>
        </w:rPr>
        <w:t xml:space="preserve">evidence. </w:t>
      </w:r>
      <w:r w:rsidR="00E54BD9">
        <w:rPr>
          <w:sz w:val="28"/>
          <w:szCs w:val="28"/>
          <w:lang w:val="en-US"/>
        </w:rPr>
        <w:t>Following that</w:t>
      </w:r>
      <w:r w:rsidR="00002F83">
        <w:rPr>
          <w:sz w:val="28"/>
          <w:szCs w:val="28"/>
          <w:lang w:val="en-US"/>
        </w:rPr>
        <w:t>, article 335 of the CCP provides that “[t]he subject-matter of evidence is only those facts which have an impact on the outcome of the proceedings”</w:t>
      </w:r>
      <w:r w:rsidR="00E54BD9">
        <w:rPr>
          <w:sz w:val="28"/>
          <w:szCs w:val="28"/>
          <w:lang w:val="en-US"/>
        </w:rPr>
        <w:t xml:space="preserve"> while</w:t>
      </w:r>
      <w:r w:rsidR="00A27951">
        <w:rPr>
          <w:sz w:val="28"/>
          <w:szCs w:val="28"/>
          <w:lang w:val="en-US"/>
        </w:rPr>
        <w:t xml:space="preserve"> </w:t>
      </w:r>
      <w:r w:rsidR="00002F83">
        <w:rPr>
          <w:sz w:val="28"/>
          <w:szCs w:val="28"/>
          <w:lang w:val="en-US"/>
        </w:rPr>
        <w:t xml:space="preserve">article 355 of the CCP </w:t>
      </w:r>
      <w:r w:rsidR="00E54BD9">
        <w:rPr>
          <w:sz w:val="28"/>
          <w:szCs w:val="28"/>
          <w:lang w:val="en-US"/>
        </w:rPr>
        <w:t xml:space="preserve">adds </w:t>
      </w:r>
      <w:r w:rsidR="00002F83">
        <w:rPr>
          <w:sz w:val="28"/>
          <w:szCs w:val="28"/>
          <w:lang w:val="en-US"/>
        </w:rPr>
        <w:t>that “[t]he court shall order an autopsy</w:t>
      </w:r>
      <w:r>
        <w:rPr>
          <w:sz w:val="28"/>
          <w:szCs w:val="28"/>
          <w:lang w:val="en-US"/>
        </w:rPr>
        <w:t>,</w:t>
      </w:r>
      <w:r w:rsidR="00002F83">
        <w:rPr>
          <w:sz w:val="28"/>
          <w:szCs w:val="28"/>
          <w:lang w:val="en-US"/>
        </w:rPr>
        <w:t xml:space="preserve"> if it considers it necessary to perceive the subject-matter of the evidence with its own senses”</w:t>
      </w:r>
      <w:r w:rsidR="00E54BD9">
        <w:rPr>
          <w:sz w:val="28"/>
          <w:szCs w:val="28"/>
          <w:lang w:val="en-US"/>
        </w:rPr>
        <w:t>. The framework</w:t>
      </w:r>
      <w:r w:rsidR="005E273A">
        <w:rPr>
          <w:sz w:val="28"/>
          <w:szCs w:val="28"/>
          <w:lang w:val="en-US"/>
        </w:rPr>
        <w:t xml:space="preserve"> regulating the pre-trial</w:t>
      </w:r>
      <w:r w:rsidR="00E54BD9">
        <w:rPr>
          <w:sz w:val="28"/>
          <w:szCs w:val="28"/>
          <w:lang w:val="en-US"/>
        </w:rPr>
        <w:t xml:space="preserve"> is </w:t>
      </w:r>
      <w:r w:rsidR="005E273A">
        <w:rPr>
          <w:sz w:val="28"/>
          <w:szCs w:val="28"/>
          <w:lang w:val="en-US"/>
        </w:rPr>
        <w:t xml:space="preserve">completed by </w:t>
      </w:r>
      <w:r w:rsidR="00002F83">
        <w:rPr>
          <w:sz w:val="28"/>
          <w:szCs w:val="28"/>
          <w:lang w:val="en-US"/>
        </w:rPr>
        <w:t xml:space="preserve">article 368 of the CCP </w:t>
      </w:r>
      <w:r w:rsidR="005E273A">
        <w:rPr>
          <w:sz w:val="28"/>
          <w:szCs w:val="28"/>
          <w:lang w:val="en-US"/>
        </w:rPr>
        <w:t xml:space="preserve">that </w:t>
      </w:r>
      <w:r w:rsidR="00E4069C">
        <w:rPr>
          <w:sz w:val="28"/>
          <w:szCs w:val="28"/>
          <w:lang w:val="en-US"/>
        </w:rPr>
        <w:t>provides</w:t>
      </w:r>
      <w:r w:rsidR="00002F83">
        <w:rPr>
          <w:sz w:val="28"/>
          <w:szCs w:val="28"/>
          <w:lang w:val="en-US"/>
        </w:rPr>
        <w:t xml:space="preserve"> </w:t>
      </w:r>
      <w:r w:rsidR="00E4069C">
        <w:rPr>
          <w:sz w:val="28"/>
          <w:szCs w:val="28"/>
          <w:lang w:val="en-US"/>
        </w:rPr>
        <w:t xml:space="preserve">as follows: </w:t>
      </w:r>
      <w:r w:rsidR="00002F83">
        <w:rPr>
          <w:sz w:val="28"/>
          <w:szCs w:val="28"/>
          <w:lang w:val="en-US"/>
        </w:rPr>
        <w:t>“</w:t>
      </w:r>
      <w:r w:rsidR="00545281">
        <w:rPr>
          <w:sz w:val="28"/>
          <w:szCs w:val="28"/>
          <w:lang w:val="en-US"/>
        </w:rPr>
        <w:t>1. T</w:t>
      </w:r>
      <w:r w:rsidR="00002F83">
        <w:rPr>
          <w:sz w:val="28"/>
          <w:szCs w:val="28"/>
          <w:lang w:val="en-US"/>
        </w:rPr>
        <w:t>he court may appoint one or more experts, if it considers that the understanding of matters in question require special knowledge of science or art. 2</w:t>
      </w:r>
      <w:r w:rsidR="00545281">
        <w:rPr>
          <w:sz w:val="28"/>
          <w:szCs w:val="28"/>
          <w:lang w:val="en-US"/>
        </w:rPr>
        <w:t>.</w:t>
      </w:r>
      <w:r w:rsidR="00002F83">
        <w:rPr>
          <w:sz w:val="28"/>
          <w:szCs w:val="28"/>
          <w:lang w:val="en-US"/>
        </w:rPr>
        <w:t xml:space="preserve"> </w:t>
      </w:r>
      <w:r w:rsidR="00545281">
        <w:rPr>
          <w:sz w:val="28"/>
          <w:szCs w:val="28"/>
          <w:lang w:val="en-US"/>
        </w:rPr>
        <w:t>T</w:t>
      </w:r>
      <w:r w:rsidR="00002F83">
        <w:rPr>
          <w:sz w:val="28"/>
          <w:szCs w:val="28"/>
          <w:lang w:val="en-US"/>
        </w:rPr>
        <w:t xml:space="preserve">he court must appoint experts if a party so requests and it considers that special knowledge of science or art is required”. </w:t>
      </w:r>
    </w:p>
    <w:p w14:paraId="520C2D32" w14:textId="302D0865" w:rsidR="004A7D9E" w:rsidRPr="00DA08C2" w:rsidRDefault="00161F81">
      <w:pPr>
        <w:spacing w:after="0" w:line="360" w:lineRule="auto"/>
        <w:ind w:firstLine="284"/>
        <w:jc w:val="both"/>
        <w:rPr>
          <w:sz w:val="28"/>
          <w:szCs w:val="28"/>
          <w:lang w:val="en-US"/>
        </w:rPr>
      </w:pPr>
      <w:r>
        <w:rPr>
          <w:sz w:val="28"/>
          <w:szCs w:val="28"/>
          <w:lang w:val="en-US"/>
        </w:rPr>
        <w:t>So far, there is no case</w:t>
      </w:r>
      <w:r w:rsidR="005E273A">
        <w:rPr>
          <w:sz w:val="28"/>
          <w:szCs w:val="28"/>
          <w:lang w:val="en-US"/>
        </w:rPr>
        <w:t>-</w:t>
      </w:r>
      <w:r>
        <w:rPr>
          <w:sz w:val="28"/>
          <w:szCs w:val="28"/>
          <w:lang w:val="en-US"/>
        </w:rPr>
        <w:t xml:space="preserve">law regarding the </w:t>
      </w:r>
      <w:r w:rsidR="00002F83">
        <w:rPr>
          <w:sz w:val="28"/>
          <w:szCs w:val="28"/>
          <w:lang w:val="en-US"/>
        </w:rPr>
        <w:t xml:space="preserve">application of these provisions by the Council of State in disputes arising from the challenge of regulatory acts </w:t>
      </w:r>
      <w:r w:rsidR="005C6A3A" w:rsidRPr="005C6A3A">
        <w:rPr>
          <w:sz w:val="28"/>
          <w:szCs w:val="28"/>
          <w:lang w:val="en-US"/>
        </w:rPr>
        <w:t>a</w:t>
      </w:r>
      <w:r w:rsidR="005C6A3A">
        <w:rPr>
          <w:sz w:val="28"/>
          <w:szCs w:val="28"/>
          <w:lang w:val="en-US"/>
        </w:rPr>
        <w:t>dopted by</w:t>
      </w:r>
      <w:r w:rsidR="00002F83">
        <w:rPr>
          <w:sz w:val="28"/>
          <w:szCs w:val="28"/>
          <w:lang w:val="en-US"/>
        </w:rPr>
        <w:t xml:space="preserve"> regulatory authorities</w:t>
      </w:r>
      <w:r>
        <w:rPr>
          <w:sz w:val="28"/>
          <w:szCs w:val="28"/>
          <w:lang w:val="en-US"/>
        </w:rPr>
        <w:t>, because</w:t>
      </w:r>
      <w:r w:rsidR="00002F83">
        <w:rPr>
          <w:sz w:val="28"/>
          <w:szCs w:val="28"/>
          <w:lang w:val="en-US"/>
        </w:rPr>
        <w:t>, as is well known, legal rules are not subject to proof. Nevertheless, these provisions may provide a sufficient procedural basis for further clarification of technical</w:t>
      </w:r>
      <w:r w:rsidR="00052052">
        <w:rPr>
          <w:sz w:val="28"/>
          <w:szCs w:val="28"/>
          <w:lang w:val="en-US"/>
        </w:rPr>
        <w:t xml:space="preserve"> matters</w:t>
      </w:r>
      <w:r w:rsidR="00002F83">
        <w:rPr>
          <w:sz w:val="28"/>
          <w:szCs w:val="28"/>
          <w:lang w:val="en-US"/>
        </w:rPr>
        <w:t xml:space="preserve">, particularly where opposing views have been expressed by the parties on the basis of different assumptions. </w:t>
      </w:r>
      <w:r w:rsidR="00052052">
        <w:rPr>
          <w:sz w:val="28"/>
          <w:szCs w:val="28"/>
          <w:lang w:val="en-US"/>
        </w:rPr>
        <w:t xml:space="preserve">Furthermore, an interesting </w:t>
      </w:r>
      <w:r w:rsidR="00002F83" w:rsidRPr="008624A5">
        <w:rPr>
          <w:sz w:val="28"/>
          <w:szCs w:val="28"/>
          <w:lang w:val="en-US"/>
        </w:rPr>
        <w:t xml:space="preserve">question linked to these provisions is whether they can be applied </w:t>
      </w:r>
      <w:r w:rsidR="006A1900">
        <w:rPr>
          <w:sz w:val="28"/>
          <w:szCs w:val="28"/>
          <w:lang w:val="en-US"/>
        </w:rPr>
        <w:t>in view of</w:t>
      </w:r>
      <w:r w:rsidR="006A1900" w:rsidRPr="008624A5">
        <w:rPr>
          <w:sz w:val="28"/>
          <w:szCs w:val="28"/>
          <w:lang w:val="en-US"/>
        </w:rPr>
        <w:t xml:space="preserve"> </w:t>
      </w:r>
      <w:r w:rsidR="00002F83" w:rsidRPr="008624A5">
        <w:rPr>
          <w:sz w:val="28"/>
          <w:szCs w:val="28"/>
          <w:lang w:val="en-US"/>
        </w:rPr>
        <w:t>clarifying the meaning of soft law rules that regulators are increasingly</w:t>
      </w:r>
      <w:r w:rsidR="00AE0901">
        <w:rPr>
          <w:sz w:val="28"/>
          <w:szCs w:val="28"/>
          <w:lang w:val="en-US"/>
        </w:rPr>
        <w:t xml:space="preserve"> </w:t>
      </w:r>
      <w:proofErr w:type="spellStart"/>
      <w:r w:rsidR="00EE28CC">
        <w:rPr>
          <w:sz w:val="28"/>
          <w:szCs w:val="28"/>
          <w:lang w:val="en-US"/>
        </w:rPr>
        <w:t>recoursing</w:t>
      </w:r>
      <w:proofErr w:type="spellEnd"/>
      <w:r w:rsidR="00EE28CC">
        <w:rPr>
          <w:sz w:val="28"/>
          <w:szCs w:val="28"/>
          <w:lang w:val="en-US"/>
        </w:rPr>
        <w:t xml:space="preserve"> to</w:t>
      </w:r>
      <w:r w:rsidR="00002F83" w:rsidRPr="008624A5">
        <w:rPr>
          <w:sz w:val="28"/>
          <w:szCs w:val="28"/>
          <w:lang w:val="en-US"/>
        </w:rPr>
        <w:t xml:space="preserve"> in order to regulate areas of </w:t>
      </w:r>
      <w:r w:rsidR="00EE28CC">
        <w:rPr>
          <w:sz w:val="28"/>
          <w:szCs w:val="28"/>
          <w:lang w:val="en-US"/>
        </w:rPr>
        <w:t>their</w:t>
      </w:r>
      <w:r w:rsidR="00002F83" w:rsidRPr="008624A5">
        <w:rPr>
          <w:sz w:val="28"/>
          <w:szCs w:val="28"/>
          <w:lang w:val="en-US"/>
        </w:rPr>
        <w:t xml:space="preserve"> competence. For example, the Hellenic Regulatory Authority for Energy has recently issued a directive</w:t>
      </w:r>
      <w:r w:rsidR="00D3461B" w:rsidRPr="00D3461B">
        <w:rPr>
          <w:sz w:val="28"/>
          <w:szCs w:val="28"/>
          <w:lang w:val="en-US"/>
        </w:rPr>
        <w:t xml:space="preserve"> (n</w:t>
      </w:r>
      <w:r w:rsidR="00D3461B">
        <w:rPr>
          <w:sz w:val="28"/>
          <w:szCs w:val="28"/>
          <w:lang w:val="en-US"/>
        </w:rPr>
        <w:t>o. 409/2020)</w:t>
      </w:r>
      <w:r w:rsidR="00002F83" w:rsidRPr="008624A5">
        <w:rPr>
          <w:sz w:val="28"/>
          <w:szCs w:val="28"/>
          <w:lang w:val="en-US"/>
        </w:rPr>
        <w:t xml:space="preserve"> addressed to energy suppliers proposing, among other things, the adoption of a specific, non-binding way of </w:t>
      </w:r>
      <w:proofErr w:type="spellStart"/>
      <w:r w:rsidR="00002F83" w:rsidRPr="008624A5">
        <w:rPr>
          <w:sz w:val="28"/>
          <w:szCs w:val="28"/>
          <w:lang w:val="en-US"/>
        </w:rPr>
        <w:t>standardising</w:t>
      </w:r>
      <w:proofErr w:type="spellEnd"/>
      <w:r w:rsidR="00002F83" w:rsidRPr="008624A5">
        <w:rPr>
          <w:sz w:val="28"/>
          <w:szCs w:val="28"/>
          <w:lang w:val="en-US"/>
        </w:rPr>
        <w:t xml:space="preserve"> the adjustment</w:t>
      </w:r>
      <w:r w:rsidR="00F949AE" w:rsidRPr="008624A5">
        <w:rPr>
          <w:sz w:val="28"/>
          <w:szCs w:val="28"/>
          <w:lang w:val="en-US"/>
        </w:rPr>
        <w:t xml:space="preserve"> clauses regarding competitive charges</w:t>
      </w:r>
      <w:r w:rsidR="00002F83" w:rsidRPr="008624A5">
        <w:rPr>
          <w:sz w:val="28"/>
          <w:szCs w:val="28"/>
          <w:lang w:val="en-US"/>
        </w:rPr>
        <w:t xml:space="preserve"> for energy supply. </w:t>
      </w:r>
      <w:r w:rsidR="00002F83" w:rsidRPr="008624A5">
        <w:rPr>
          <w:sz w:val="28"/>
          <w:szCs w:val="28"/>
          <w:lang w:val="en-US"/>
        </w:rPr>
        <w:lastRenderedPageBreak/>
        <w:t xml:space="preserve">Although the regulatory authority allows suppliers to choose the </w:t>
      </w:r>
      <w:proofErr w:type="spellStart"/>
      <w:r w:rsidR="00002F83" w:rsidRPr="008624A5">
        <w:rPr>
          <w:sz w:val="28"/>
          <w:szCs w:val="28"/>
          <w:lang w:val="en-US"/>
        </w:rPr>
        <w:t>standardisation</w:t>
      </w:r>
      <w:proofErr w:type="spellEnd"/>
      <w:r w:rsidR="00002F83" w:rsidRPr="008624A5">
        <w:rPr>
          <w:sz w:val="28"/>
          <w:szCs w:val="28"/>
          <w:lang w:val="en-US"/>
        </w:rPr>
        <w:t xml:space="preserve"> of their choice, it further notes that the adoption of its own proposal constitutes a presumption of compliance </w:t>
      </w:r>
      <w:r w:rsidR="00A45925">
        <w:rPr>
          <w:sz w:val="28"/>
          <w:szCs w:val="28"/>
          <w:lang w:val="en-US"/>
        </w:rPr>
        <w:t xml:space="preserve">of the suppliers </w:t>
      </w:r>
      <w:r w:rsidR="00002F83" w:rsidRPr="008624A5">
        <w:rPr>
          <w:sz w:val="28"/>
          <w:szCs w:val="28"/>
          <w:lang w:val="en-US"/>
        </w:rPr>
        <w:t>with the principles of transparency and verifiability when fixing these fees and is positively taken into account when examining relevant consumer complaints</w:t>
      </w:r>
      <w:r w:rsidR="007567E1">
        <w:rPr>
          <w:sz w:val="28"/>
          <w:szCs w:val="28"/>
          <w:lang w:val="en-US"/>
        </w:rPr>
        <w:t xml:space="preserve"> against them</w:t>
      </w:r>
      <w:r w:rsidR="00002F83" w:rsidRPr="008624A5">
        <w:rPr>
          <w:sz w:val="28"/>
          <w:szCs w:val="28"/>
          <w:lang w:val="en-US"/>
        </w:rPr>
        <w:t xml:space="preserve"> on excessive </w:t>
      </w:r>
      <w:r w:rsidR="001236A6">
        <w:rPr>
          <w:sz w:val="28"/>
          <w:szCs w:val="28"/>
          <w:lang w:val="en-US"/>
        </w:rPr>
        <w:t>charges</w:t>
      </w:r>
      <w:r w:rsidR="00002F83" w:rsidRPr="008624A5">
        <w:rPr>
          <w:sz w:val="28"/>
          <w:szCs w:val="28"/>
          <w:lang w:val="en-US"/>
        </w:rPr>
        <w:t>.</w:t>
      </w:r>
      <w:r w:rsidR="00DA08C2">
        <w:rPr>
          <w:sz w:val="28"/>
          <w:szCs w:val="28"/>
          <w:lang w:val="en-US"/>
        </w:rPr>
        <w:t xml:space="preserve"> It would be very interesting if the courts had the opportunity to examine whether this proposal of </w:t>
      </w:r>
      <w:proofErr w:type="spellStart"/>
      <w:r w:rsidR="00DA08C2">
        <w:rPr>
          <w:sz w:val="28"/>
          <w:szCs w:val="28"/>
          <w:lang w:val="en-US"/>
        </w:rPr>
        <w:t>standardi</w:t>
      </w:r>
      <w:r w:rsidR="00FC5F6A">
        <w:rPr>
          <w:sz w:val="28"/>
          <w:szCs w:val="28"/>
          <w:lang w:val="en-US"/>
        </w:rPr>
        <w:t>s</w:t>
      </w:r>
      <w:r w:rsidR="00DA08C2">
        <w:rPr>
          <w:sz w:val="28"/>
          <w:szCs w:val="28"/>
          <w:lang w:val="en-US"/>
        </w:rPr>
        <w:t>ation</w:t>
      </w:r>
      <w:proofErr w:type="spellEnd"/>
      <w:r w:rsidR="00DA08C2">
        <w:rPr>
          <w:sz w:val="28"/>
          <w:szCs w:val="28"/>
          <w:lang w:val="en-US"/>
        </w:rPr>
        <w:t xml:space="preserve"> is subject to proof.</w:t>
      </w:r>
    </w:p>
    <w:p w14:paraId="382EAA2F" w14:textId="2C33B16B" w:rsidR="004A7D9E" w:rsidRDefault="00002F83">
      <w:pPr>
        <w:spacing w:after="0" w:line="360" w:lineRule="auto"/>
        <w:ind w:firstLine="284"/>
        <w:jc w:val="both"/>
        <w:rPr>
          <w:sz w:val="28"/>
          <w:szCs w:val="28"/>
          <w:lang w:val="en-US"/>
        </w:rPr>
      </w:pPr>
      <w:r>
        <w:rPr>
          <w:sz w:val="28"/>
          <w:szCs w:val="28"/>
          <w:lang w:val="en-US"/>
        </w:rPr>
        <w:t xml:space="preserve">Accordingly, article 159 para. 1 of the </w:t>
      </w:r>
      <w:proofErr w:type="gramStart"/>
      <w:r>
        <w:rPr>
          <w:sz w:val="28"/>
          <w:szCs w:val="28"/>
          <w:lang w:val="en-US"/>
        </w:rPr>
        <w:t>CAP</w:t>
      </w:r>
      <w:proofErr w:type="gramEnd"/>
      <w:r>
        <w:rPr>
          <w:sz w:val="28"/>
          <w:szCs w:val="28"/>
          <w:lang w:val="en-US"/>
        </w:rPr>
        <w:t xml:space="preserve"> provides that “[t]he court, if it considers that issues arise for the diagnosis of which special knowledge of science or art is required, shall order an expert opinion and shall appoint one or more experts to draw it up”, article 161 para. 3 of the </w:t>
      </w:r>
      <w:proofErr w:type="gramStart"/>
      <w:r>
        <w:rPr>
          <w:sz w:val="28"/>
          <w:szCs w:val="28"/>
          <w:lang w:val="en-US"/>
        </w:rPr>
        <w:t>CAP</w:t>
      </w:r>
      <w:proofErr w:type="gramEnd"/>
      <w:r>
        <w:rPr>
          <w:sz w:val="28"/>
          <w:szCs w:val="28"/>
          <w:lang w:val="en-US"/>
        </w:rPr>
        <w:t xml:space="preserve"> provides that “[</w:t>
      </w:r>
      <w:proofErr w:type="spellStart"/>
      <w:r>
        <w:rPr>
          <w:sz w:val="28"/>
          <w:szCs w:val="28"/>
          <w:lang w:val="en-US"/>
        </w:rPr>
        <w:t>i</w:t>
      </w:r>
      <w:proofErr w:type="spellEnd"/>
      <w:r>
        <w:rPr>
          <w:sz w:val="28"/>
          <w:szCs w:val="28"/>
          <w:lang w:val="en-US"/>
        </w:rPr>
        <w:t>]n addition to their main duties, experts must, when called upon by the court, be present during the performance of other procedural acts and at the hearing of the case that follows the conduct of the expert opinion, in order to provide explanations or information” and article 164 para. 3 CAP provides that “[</w:t>
      </w:r>
      <w:proofErr w:type="spellStart"/>
      <w:r>
        <w:rPr>
          <w:sz w:val="28"/>
          <w:szCs w:val="28"/>
          <w:lang w:val="en-US"/>
        </w:rPr>
        <w:t>i</w:t>
      </w:r>
      <w:proofErr w:type="spellEnd"/>
      <w:r>
        <w:rPr>
          <w:sz w:val="28"/>
          <w:szCs w:val="28"/>
          <w:lang w:val="en-US"/>
        </w:rPr>
        <w:t>]f the expert opinion is conducted during the hearing of the case, the court may be satisfied with an oral report, which shall be filed in the minutes”. Finally, article 167 para. 1 CAP provides that “[</w:t>
      </w:r>
      <w:proofErr w:type="spellStart"/>
      <w:r>
        <w:rPr>
          <w:sz w:val="28"/>
          <w:szCs w:val="28"/>
          <w:lang w:val="en-US"/>
        </w:rPr>
        <w:t>i</w:t>
      </w:r>
      <w:proofErr w:type="spellEnd"/>
      <w:r>
        <w:rPr>
          <w:sz w:val="28"/>
          <w:szCs w:val="28"/>
          <w:lang w:val="en-US"/>
        </w:rPr>
        <w:t xml:space="preserve">]f the court decides to appoint an expert, each party may appoint, at its own expense, a technical adviser, who must be a person qualified to be appointed as an expert”. </w:t>
      </w:r>
    </w:p>
    <w:p w14:paraId="7143B0CD" w14:textId="503B137A" w:rsidR="004A7D9E" w:rsidRDefault="00002F83" w:rsidP="00EE28CC">
      <w:pPr>
        <w:spacing w:after="0" w:line="360" w:lineRule="auto"/>
        <w:ind w:firstLine="284"/>
        <w:jc w:val="both"/>
        <w:rPr>
          <w:sz w:val="28"/>
          <w:szCs w:val="28"/>
          <w:lang w:val="en-US"/>
        </w:rPr>
      </w:pPr>
      <w:r>
        <w:rPr>
          <w:sz w:val="28"/>
          <w:szCs w:val="28"/>
          <w:lang w:val="en-US"/>
        </w:rPr>
        <w:t xml:space="preserve">Thus, in disputes arising from </w:t>
      </w:r>
      <w:r w:rsidR="00EE28CC">
        <w:rPr>
          <w:sz w:val="28"/>
          <w:szCs w:val="28"/>
          <w:lang w:val="en-US"/>
        </w:rPr>
        <w:t xml:space="preserve">the challenge of </w:t>
      </w:r>
      <w:r>
        <w:rPr>
          <w:sz w:val="28"/>
          <w:szCs w:val="28"/>
          <w:lang w:val="en-US"/>
        </w:rPr>
        <w:t xml:space="preserve">individual acts of regulatory authorities, the </w:t>
      </w:r>
      <w:r w:rsidR="00CF52B8">
        <w:rPr>
          <w:sz w:val="28"/>
          <w:szCs w:val="28"/>
          <w:lang w:val="en-US"/>
        </w:rPr>
        <w:t>court of appeal</w:t>
      </w:r>
      <w:r>
        <w:rPr>
          <w:sz w:val="28"/>
          <w:szCs w:val="28"/>
          <w:lang w:val="en-US"/>
        </w:rPr>
        <w:t xml:space="preserve"> has the power to order, </w:t>
      </w:r>
      <w:r w:rsidR="00FD65AF" w:rsidRPr="00FD65AF">
        <w:rPr>
          <w:sz w:val="28"/>
          <w:szCs w:val="28"/>
          <w:lang w:val="en-US"/>
        </w:rPr>
        <w:t>o</w:t>
      </w:r>
      <w:r w:rsidR="00FD65AF">
        <w:rPr>
          <w:sz w:val="28"/>
          <w:szCs w:val="28"/>
          <w:lang w:val="en-US"/>
        </w:rPr>
        <w:t>f</w:t>
      </w:r>
      <w:r>
        <w:rPr>
          <w:sz w:val="28"/>
          <w:szCs w:val="28"/>
          <w:lang w:val="en-US"/>
        </w:rPr>
        <w:t xml:space="preserve"> its own motion or at the</w:t>
      </w:r>
      <w:r w:rsidR="00710494">
        <w:rPr>
          <w:sz w:val="28"/>
          <w:szCs w:val="28"/>
          <w:lang w:val="en-US"/>
        </w:rPr>
        <w:t xml:space="preserve"> parties’</w:t>
      </w:r>
      <w:r>
        <w:rPr>
          <w:sz w:val="28"/>
          <w:szCs w:val="28"/>
          <w:lang w:val="en-US"/>
        </w:rPr>
        <w:t xml:space="preserve"> request, the appointment of experts, when the</w:t>
      </w:r>
      <w:r w:rsidR="0081669C">
        <w:rPr>
          <w:sz w:val="28"/>
          <w:szCs w:val="28"/>
          <w:lang w:val="en-US"/>
        </w:rPr>
        <w:t xml:space="preserve"> issue raised </w:t>
      </w:r>
      <w:r>
        <w:rPr>
          <w:sz w:val="28"/>
          <w:szCs w:val="28"/>
          <w:lang w:val="en-US"/>
        </w:rPr>
        <w:t>requires scientific or technical knowledge, which the court do</w:t>
      </w:r>
      <w:r w:rsidR="0044165A" w:rsidRPr="0044165A">
        <w:rPr>
          <w:sz w:val="28"/>
          <w:szCs w:val="28"/>
          <w:lang w:val="en-US"/>
        </w:rPr>
        <w:t>e</w:t>
      </w:r>
      <w:r w:rsidR="0044165A">
        <w:rPr>
          <w:sz w:val="28"/>
          <w:szCs w:val="28"/>
          <w:lang w:val="en-US"/>
        </w:rPr>
        <w:t>s</w:t>
      </w:r>
      <w:r>
        <w:rPr>
          <w:sz w:val="28"/>
          <w:szCs w:val="28"/>
          <w:lang w:val="en-US"/>
        </w:rPr>
        <w:t xml:space="preserve"> not possess (</w:t>
      </w:r>
      <w:r w:rsidR="00E4069C">
        <w:rPr>
          <w:sz w:val="28"/>
          <w:szCs w:val="28"/>
          <w:lang w:val="en-US"/>
        </w:rPr>
        <w:t xml:space="preserve">see </w:t>
      </w:r>
      <w:proofErr w:type="spellStart"/>
      <w:r w:rsidR="00A83633">
        <w:rPr>
          <w:sz w:val="28"/>
          <w:szCs w:val="28"/>
          <w:lang w:val="en-US"/>
        </w:rPr>
        <w:t>CoS</w:t>
      </w:r>
      <w:proofErr w:type="spellEnd"/>
      <w:r>
        <w:rPr>
          <w:sz w:val="28"/>
          <w:szCs w:val="28"/>
          <w:lang w:val="en-US"/>
        </w:rPr>
        <w:t xml:space="preserve"> 3521/2013, </w:t>
      </w:r>
      <w:r w:rsidR="0044165A">
        <w:rPr>
          <w:sz w:val="28"/>
          <w:szCs w:val="28"/>
          <w:lang w:val="en-US"/>
        </w:rPr>
        <w:t>cf.</w:t>
      </w:r>
      <w:r>
        <w:rPr>
          <w:sz w:val="28"/>
          <w:szCs w:val="28"/>
          <w:lang w:val="en-US"/>
        </w:rPr>
        <w:t xml:space="preserve"> </w:t>
      </w:r>
      <w:proofErr w:type="spellStart"/>
      <w:r w:rsidR="00A83633">
        <w:rPr>
          <w:sz w:val="28"/>
          <w:szCs w:val="28"/>
          <w:lang w:val="en-US"/>
        </w:rPr>
        <w:t>CoS</w:t>
      </w:r>
      <w:proofErr w:type="spellEnd"/>
      <w:r>
        <w:rPr>
          <w:sz w:val="28"/>
          <w:szCs w:val="28"/>
          <w:lang w:val="en-US"/>
        </w:rPr>
        <w:t xml:space="preserve"> 5220/1997, </w:t>
      </w:r>
      <w:proofErr w:type="spellStart"/>
      <w:r w:rsidR="00A83633">
        <w:rPr>
          <w:sz w:val="28"/>
          <w:szCs w:val="28"/>
          <w:lang w:val="en-US"/>
        </w:rPr>
        <w:t>CoS</w:t>
      </w:r>
      <w:proofErr w:type="spellEnd"/>
      <w:r>
        <w:rPr>
          <w:sz w:val="28"/>
          <w:szCs w:val="28"/>
          <w:lang w:val="en-US"/>
        </w:rPr>
        <w:t xml:space="preserve"> 656/2001). </w:t>
      </w:r>
      <w:r w:rsidR="00EE28CC">
        <w:rPr>
          <w:sz w:val="28"/>
          <w:szCs w:val="28"/>
          <w:lang w:val="en-US"/>
        </w:rPr>
        <w:t>An e</w:t>
      </w:r>
      <w:r>
        <w:rPr>
          <w:sz w:val="28"/>
          <w:szCs w:val="28"/>
          <w:lang w:val="en-US"/>
        </w:rPr>
        <w:t xml:space="preserve">xpert opinion may also be conducted orally </w:t>
      </w:r>
      <w:r w:rsidR="00EE28CC">
        <w:rPr>
          <w:sz w:val="28"/>
          <w:szCs w:val="28"/>
          <w:lang w:val="en-US"/>
        </w:rPr>
        <w:t>during</w:t>
      </w:r>
      <w:r>
        <w:rPr>
          <w:sz w:val="28"/>
          <w:szCs w:val="28"/>
          <w:lang w:val="en-US"/>
        </w:rPr>
        <w:t xml:space="preserve"> the hearing of the case, in order for all the members of the court to be directly informed on complex </w:t>
      </w:r>
      <w:r>
        <w:rPr>
          <w:sz w:val="28"/>
          <w:szCs w:val="28"/>
          <w:lang w:val="en-US"/>
        </w:rPr>
        <w:lastRenderedPageBreak/>
        <w:t>technical</w:t>
      </w:r>
      <w:r w:rsidR="00C15E33">
        <w:rPr>
          <w:sz w:val="28"/>
          <w:szCs w:val="28"/>
          <w:lang w:val="en-US"/>
        </w:rPr>
        <w:t xml:space="preserve"> matters.</w:t>
      </w:r>
      <w:r>
        <w:rPr>
          <w:sz w:val="28"/>
          <w:szCs w:val="28"/>
          <w:lang w:val="en-US"/>
        </w:rPr>
        <w:t xml:space="preserve"> However, if the parties submit a request for an expert opinion, they shall identify the specific issue that needs</w:t>
      </w:r>
      <w:r w:rsidR="00131D94">
        <w:rPr>
          <w:sz w:val="28"/>
          <w:szCs w:val="28"/>
          <w:lang w:val="en-US"/>
        </w:rPr>
        <w:t xml:space="preserve"> clarification</w:t>
      </w:r>
      <w:r>
        <w:rPr>
          <w:sz w:val="28"/>
          <w:szCs w:val="28"/>
          <w:lang w:val="en-US"/>
        </w:rPr>
        <w:t xml:space="preserve">, while the court may, at its own discretion, decide whether an expert opinion is necessary or whether the evidence available in the file </w:t>
      </w:r>
      <w:r w:rsidR="00EE28CC">
        <w:rPr>
          <w:sz w:val="28"/>
          <w:szCs w:val="28"/>
          <w:lang w:val="en-US"/>
        </w:rPr>
        <w:t>are</w:t>
      </w:r>
      <w:r>
        <w:rPr>
          <w:sz w:val="28"/>
          <w:szCs w:val="28"/>
          <w:lang w:val="en-US"/>
        </w:rPr>
        <w:t xml:space="preserve"> sufficient for the </w:t>
      </w:r>
      <w:r w:rsidR="00EE28CC">
        <w:rPr>
          <w:sz w:val="28"/>
          <w:szCs w:val="28"/>
          <w:lang w:val="en-US"/>
        </w:rPr>
        <w:t xml:space="preserve">shaping </w:t>
      </w:r>
      <w:r>
        <w:rPr>
          <w:sz w:val="28"/>
          <w:szCs w:val="28"/>
          <w:lang w:val="en-US"/>
        </w:rPr>
        <w:t>of its own firm</w:t>
      </w:r>
      <w:r w:rsidR="00131D94">
        <w:rPr>
          <w:sz w:val="28"/>
          <w:szCs w:val="28"/>
          <w:lang w:val="en-US"/>
        </w:rPr>
        <w:t xml:space="preserve"> conviction.</w:t>
      </w:r>
      <w:r>
        <w:rPr>
          <w:sz w:val="28"/>
          <w:szCs w:val="28"/>
          <w:lang w:val="en-US"/>
        </w:rPr>
        <w:t xml:space="preserve"> </w:t>
      </w:r>
      <w:r w:rsidRPr="00227052">
        <w:rPr>
          <w:sz w:val="28"/>
          <w:szCs w:val="28"/>
          <w:lang w:val="en-US"/>
        </w:rPr>
        <w:t>The</w:t>
      </w:r>
      <w:r>
        <w:rPr>
          <w:sz w:val="28"/>
          <w:szCs w:val="28"/>
          <w:lang w:val="en-US"/>
        </w:rPr>
        <w:t xml:space="preserve"> court also decides at its own discretion as to the selection of the experts</w:t>
      </w:r>
      <w:r w:rsidR="00C46A78">
        <w:rPr>
          <w:sz w:val="28"/>
          <w:szCs w:val="28"/>
          <w:lang w:val="en-US"/>
        </w:rPr>
        <w:t xml:space="preserve"> and to the qualification of the </w:t>
      </w:r>
      <w:r>
        <w:rPr>
          <w:sz w:val="28"/>
          <w:szCs w:val="28"/>
          <w:lang w:val="en-US"/>
        </w:rPr>
        <w:t xml:space="preserve">persons indicated </w:t>
      </w:r>
      <w:r w:rsidR="00C46A78">
        <w:rPr>
          <w:sz w:val="28"/>
          <w:szCs w:val="28"/>
          <w:lang w:val="en-US"/>
        </w:rPr>
        <w:t>in order</w:t>
      </w:r>
      <w:r>
        <w:rPr>
          <w:sz w:val="28"/>
          <w:szCs w:val="28"/>
          <w:lang w:val="en-US"/>
        </w:rPr>
        <w:t xml:space="preserve"> clarify the issue in question</w:t>
      </w:r>
      <w:r w:rsidR="00C46A78">
        <w:rPr>
          <w:sz w:val="28"/>
          <w:szCs w:val="28"/>
          <w:lang w:val="en-US"/>
        </w:rPr>
        <w:t xml:space="preserve"> </w:t>
      </w:r>
      <w:r>
        <w:rPr>
          <w:sz w:val="28"/>
          <w:szCs w:val="28"/>
          <w:lang w:val="en-US"/>
        </w:rPr>
        <w:t>(</w:t>
      </w:r>
      <w:proofErr w:type="spellStart"/>
      <w:r>
        <w:rPr>
          <w:sz w:val="28"/>
          <w:szCs w:val="28"/>
          <w:lang w:val="en-US"/>
        </w:rPr>
        <w:t>CoE</w:t>
      </w:r>
      <w:proofErr w:type="spellEnd"/>
      <w:r>
        <w:rPr>
          <w:sz w:val="28"/>
          <w:szCs w:val="28"/>
          <w:lang w:val="en-US"/>
        </w:rPr>
        <w:t xml:space="preserve"> 3521/2013). Pursuant to article 144 para. 1 </w:t>
      </w:r>
      <w:r w:rsidR="00C46A78">
        <w:rPr>
          <w:sz w:val="28"/>
          <w:szCs w:val="28"/>
          <w:lang w:val="en-US"/>
        </w:rPr>
        <w:t xml:space="preserve">of the </w:t>
      </w:r>
      <w:proofErr w:type="gramStart"/>
      <w:r>
        <w:rPr>
          <w:sz w:val="28"/>
          <w:szCs w:val="28"/>
          <w:lang w:val="en-US"/>
        </w:rPr>
        <w:t>CAP</w:t>
      </w:r>
      <w:proofErr w:type="gramEnd"/>
      <w:r>
        <w:rPr>
          <w:sz w:val="28"/>
          <w:szCs w:val="28"/>
          <w:lang w:val="en-US"/>
        </w:rPr>
        <w:t>, an expert opinion is not required for</w:t>
      </w:r>
      <w:r w:rsidR="00DD41A4">
        <w:rPr>
          <w:sz w:val="28"/>
          <w:szCs w:val="28"/>
          <w:lang w:val="en-US"/>
        </w:rPr>
        <w:t xml:space="preserve"> matters</w:t>
      </w:r>
      <w:r>
        <w:rPr>
          <w:sz w:val="28"/>
          <w:szCs w:val="28"/>
          <w:lang w:val="en-US"/>
        </w:rPr>
        <w:t xml:space="preserve"> that can be considered to be </w:t>
      </w:r>
      <w:r w:rsidR="000F1CC3">
        <w:rPr>
          <w:sz w:val="28"/>
          <w:szCs w:val="28"/>
          <w:lang w:val="en-US"/>
        </w:rPr>
        <w:t xml:space="preserve">ascertained through </w:t>
      </w:r>
      <w:r>
        <w:rPr>
          <w:sz w:val="28"/>
          <w:szCs w:val="28"/>
          <w:lang w:val="en-US"/>
        </w:rPr>
        <w:t xml:space="preserve">“common knowledge”. For example, </w:t>
      </w:r>
      <w:r w:rsidR="002B76CD">
        <w:rPr>
          <w:sz w:val="28"/>
          <w:szCs w:val="28"/>
          <w:lang w:val="en-US"/>
        </w:rPr>
        <w:t>it</w:t>
      </w:r>
      <w:r>
        <w:rPr>
          <w:sz w:val="28"/>
          <w:szCs w:val="28"/>
          <w:lang w:val="en-US"/>
        </w:rPr>
        <w:t xml:space="preserve"> </w:t>
      </w:r>
      <w:r w:rsidR="00EE28CC">
        <w:rPr>
          <w:sz w:val="28"/>
          <w:szCs w:val="28"/>
          <w:lang w:val="en-US"/>
        </w:rPr>
        <w:t xml:space="preserve">has </w:t>
      </w:r>
      <w:r w:rsidR="002B76CD">
        <w:rPr>
          <w:sz w:val="28"/>
          <w:szCs w:val="28"/>
          <w:lang w:val="en-US"/>
        </w:rPr>
        <w:t xml:space="preserve">been </w:t>
      </w:r>
      <w:r w:rsidR="00EE28CC">
        <w:rPr>
          <w:sz w:val="28"/>
          <w:szCs w:val="28"/>
          <w:lang w:val="en-US"/>
        </w:rPr>
        <w:t xml:space="preserve">held that the fact that </w:t>
      </w:r>
      <w:r>
        <w:rPr>
          <w:sz w:val="28"/>
          <w:szCs w:val="28"/>
          <w:lang w:val="en-US"/>
        </w:rPr>
        <w:t xml:space="preserve">Public </w:t>
      </w:r>
      <w:r w:rsidR="007159AD">
        <w:rPr>
          <w:sz w:val="28"/>
          <w:szCs w:val="28"/>
          <w:lang w:val="en-US"/>
        </w:rPr>
        <w:t>Electricity Company</w:t>
      </w:r>
      <w:r>
        <w:rPr>
          <w:sz w:val="28"/>
          <w:szCs w:val="28"/>
          <w:lang w:val="en-US"/>
        </w:rPr>
        <w:t xml:space="preserve"> </w:t>
      </w:r>
      <w:r w:rsidR="00EE28CC">
        <w:rPr>
          <w:sz w:val="28"/>
          <w:szCs w:val="28"/>
          <w:lang w:val="en-US"/>
        </w:rPr>
        <w:t>holds the lion’s share of the electricity market constitutes an issue of common knowledge</w:t>
      </w:r>
      <w:r>
        <w:rPr>
          <w:sz w:val="28"/>
          <w:szCs w:val="28"/>
          <w:lang w:val="en-US"/>
        </w:rPr>
        <w:t xml:space="preserve"> (</w:t>
      </w:r>
      <w:proofErr w:type="spellStart"/>
      <w:r w:rsidR="00A83633">
        <w:rPr>
          <w:sz w:val="28"/>
          <w:szCs w:val="28"/>
          <w:lang w:val="en-US"/>
        </w:rPr>
        <w:t>CoS</w:t>
      </w:r>
      <w:proofErr w:type="spellEnd"/>
      <w:r>
        <w:rPr>
          <w:sz w:val="28"/>
          <w:szCs w:val="28"/>
          <w:lang w:val="en-US"/>
        </w:rPr>
        <w:t xml:space="preserve"> 2382/2019).</w:t>
      </w:r>
    </w:p>
    <w:p w14:paraId="4CE29F9C" w14:textId="10BCC569" w:rsidR="004A7D9E" w:rsidRDefault="00002F83">
      <w:pPr>
        <w:spacing w:after="0" w:line="360" w:lineRule="auto"/>
        <w:ind w:firstLine="284"/>
        <w:jc w:val="both"/>
        <w:rPr>
          <w:sz w:val="28"/>
          <w:szCs w:val="28"/>
          <w:lang w:val="en-US"/>
        </w:rPr>
      </w:pPr>
      <w:r>
        <w:rPr>
          <w:sz w:val="28"/>
          <w:szCs w:val="28"/>
          <w:lang w:val="en-US"/>
        </w:rPr>
        <w:t xml:space="preserve">Finally, it is interesting to note that the </w:t>
      </w:r>
      <w:r w:rsidR="00EA28C2">
        <w:rPr>
          <w:sz w:val="28"/>
          <w:szCs w:val="28"/>
          <w:lang w:val="en-US"/>
        </w:rPr>
        <w:t>case-law</w:t>
      </w:r>
      <w:r>
        <w:rPr>
          <w:sz w:val="28"/>
          <w:szCs w:val="28"/>
          <w:lang w:val="en-US"/>
        </w:rPr>
        <w:t xml:space="preserve"> has </w:t>
      </w:r>
      <w:r w:rsidR="000D46DD">
        <w:rPr>
          <w:sz w:val="28"/>
          <w:szCs w:val="28"/>
          <w:lang w:val="en-US"/>
        </w:rPr>
        <w:t xml:space="preserve">somehow </w:t>
      </w:r>
      <w:r>
        <w:rPr>
          <w:sz w:val="28"/>
          <w:szCs w:val="28"/>
          <w:lang w:val="en-US"/>
        </w:rPr>
        <w:t xml:space="preserve">equated the </w:t>
      </w:r>
      <w:r w:rsidR="00814F66">
        <w:rPr>
          <w:sz w:val="28"/>
          <w:szCs w:val="28"/>
          <w:lang w:val="en-US"/>
        </w:rPr>
        <w:t xml:space="preserve">conduct of </w:t>
      </w:r>
      <w:r w:rsidR="00466A45">
        <w:rPr>
          <w:sz w:val="28"/>
          <w:szCs w:val="28"/>
          <w:lang w:val="en-US"/>
        </w:rPr>
        <w:t xml:space="preserve">an expert opinion </w:t>
      </w:r>
      <w:r w:rsidR="00EE28CC">
        <w:rPr>
          <w:sz w:val="28"/>
          <w:szCs w:val="28"/>
          <w:lang w:val="en-US"/>
        </w:rPr>
        <w:t>(</w:t>
      </w:r>
      <w:r w:rsidR="00466A45">
        <w:rPr>
          <w:sz w:val="28"/>
          <w:szCs w:val="28"/>
          <w:lang w:val="en-US"/>
        </w:rPr>
        <w:t xml:space="preserve">according to the </w:t>
      </w:r>
      <w:r>
        <w:rPr>
          <w:sz w:val="28"/>
          <w:szCs w:val="28"/>
          <w:lang w:val="en-US"/>
        </w:rPr>
        <w:t xml:space="preserve">relevant procedural </w:t>
      </w:r>
      <w:r w:rsidR="00466A45">
        <w:rPr>
          <w:sz w:val="28"/>
          <w:szCs w:val="28"/>
          <w:lang w:val="en-US"/>
        </w:rPr>
        <w:t>provisions</w:t>
      </w:r>
      <w:r w:rsidR="00EE28CC">
        <w:rPr>
          <w:sz w:val="28"/>
          <w:szCs w:val="28"/>
          <w:lang w:val="en-US"/>
        </w:rPr>
        <w:t>)</w:t>
      </w:r>
      <w:r>
        <w:rPr>
          <w:sz w:val="28"/>
          <w:szCs w:val="28"/>
          <w:lang w:val="en-US"/>
        </w:rPr>
        <w:t xml:space="preserve"> with the exercise of </w:t>
      </w:r>
      <w:r w:rsidR="00136F6A">
        <w:rPr>
          <w:sz w:val="28"/>
          <w:szCs w:val="28"/>
          <w:lang w:val="en-US"/>
        </w:rPr>
        <w:t>audit</w:t>
      </w:r>
      <w:r>
        <w:rPr>
          <w:sz w:val="28"/>
          <w:szCs w:val="28"/>
          <w:lang w:val="en-US"/>
        </w:rPr>
        <w:t xml:space="preserve"> powers </w:t>
      </w:r>
      <w:r w:rsidR="00136F6A">
        <w:rPr>
          <w:sz w:val="28"/>
          <w:szCs w:val="28"/>
          <w:lang w:val="en-US"/>
        </w:rPr>
        <w:t>conferred upon</w:t>
      </w:r>
      <w:r>
        <w:rPr>
          <w:sz w:val="28"/>
          <w:szCs w:val="28"/>
          <w:lang w:val="en-US"/>
        </w:rPr>
        <w:t xml:space="preserve"> the regulatory authorities. In particular, in a case concerning the constitutionality of </w:t>
      </w:r>
      <w:r w:rsidR="00EE28CC">
        <w:rPr>
          <w:sz w:val="28"/>
          <w:szCs w:val="28"/>
          <w:lang w:val="en-US"/>
        </w:rPr>
        <w:t xml:space="preserve">certain </w:t>
      </w:r>
      <w:r>
        <w:rPr>
          <w:sz w:val="28"/>
          <w:szCs w:val="28"/>
          <w:lang w:val="en-US"/>
        </w:rPr>
        <w:t>provisions of</w:t>
      </w:r>
      <w:r w:rsidR="00136F6A" w:rsidRPr="00136F6A">
        <w:rPr>
          <w:sz w:val="28"/>
          <w:szCs w:val="28"/>
          <w:lang w:val="en-US"/>
        </w:rPr>
        <w:t xml:space="preserve"> </w:t>
      </w:r>
      <w:r w:rsidR="00136F6A">
        <w:rPr>
          <w:sz w:val="28"/>
          <w:szCs w:val="28"/>
          <w:lang w:val="en-US"/>
        </w:rPr>
        <w:t>the</w:t>
      </w:r>
      <w:r>
        <w:rPr>
          <w:sz w:val="28"/>
          <w:szCs w:val="28"/>
          <w:lang w:val="en-US"/>
        </w:rPr>
        <w:t xml:space="preserve"> financial legislation </w:t>
      </w:r>
      <w:r w:rsidR="00EE28CC">
        <w:rPr>
          <w:sz w:val="28"/>
          <w:szCs w:val="28"/>
          <w:lang w:val="en-US"/>
        </w:rPr>
        <w:t>enabling</w:t>
      </w:r>
      <w:r>
        <w:rPr>
          <w:sz w:val="28"/>
          <w:szCs w:val="28"/>
          <w:lang w:val="en-US"/>
        </w:rPr>
        <w:t xml:space="preserve"> the </w:t>
      </w:r>
      <w:r w:rsidR="00D03157">
        <w:rPr>
          <w:sz w:val="28"/>
          <w:szCs w:val="28"/>
          <w:lang w:val="en-US"/>
        </w:rPr>
        <w:t>Hellenic Capital Market Commission</w:t>
      </w:r>
      <w:r>
        <w:rPr>
          <w:sz w:val="28"/>
          <w:szCs w:val="28"/>
          <w:lang w:val="en-US"/>
        </w:rPr>
        <w:t xml:space="preserve"> to delegate audit functions to third parties in view of their </w:t>
      </w:r>
      <w:proofErr w:type="spellStart"/>
      <w:r>
        <w:rPr>
          <w:sz w:val="28"/>
          <w:szCs w:val="28"/>
          <w:lang w:val="en-US"/>
        </w:rPr>
        <w:t>specialisation</w:t>
      </w:r>
      <w:proofErr w:type="spellEnd"/>
      <w:r>
        <w:rPr>
          <w:sz w:val="28"/>
          <w:szCs w:val="28"/>
          <w:lang w:val="en-US"/>
        </w:rPr>
        <w:t xml:space="preserve"> in highly technical matters or the inability of the authority to exercise these functions with its own</w:t>
      </w:r>
      <w:r w:rsidR="008168B7">
        <w:rPr>
          <w:sz w:val="28"/>
          <w:szCs w:val="28"/>
          <w:lang w:val="en-US"/>
        </w:rPr>
        <w:t xml:space="preserve"> personnel</w:t>
      </w:r>
      <w:r w:rsidR="00253E52">
        <w:rPr>
          <w:sz w:val="28"/>
          <w:szCs w:val="28"/>
          <w:lang w:val="en-US"/>
        </w:rPr>
        <w:t>, the Council of State</w:t>
      </w:r>
      <w:r w:rsidR="00EF06AE">
        <w:rPr>
          <w:sz w:val="28"/>
          <w:szCs w:val="28"/>
          <w:lang w:val="en-US"/>
        </w:rPr>
        <w:t xml:space="preserve"> has</w:t>
      </w:r>
      <w:r w:rsidR="00253E52">
        <w:rPr>
          <w:sz w:val="28"/>
          <w:szCs w:val="28"/>
          <w:lang w:val="en-US"/>
        </w:rPr>
        <w:t xml:space="preserve"> </w:t>
      </w:r>
      <w:r w:rsidR="00C267C7">
        <w:rPr>
          <w:sz w:val="28"/>
          <w:szCs w:val="28"/>
          <w:lang w:val="en-US"/>
        </w:rPr>
        <w:t xml:space="preserve">held that </w:t>
      </w:r>
      <w:r w:rsidR="00253E52">
        <w:rPr>
          <w:sz w:val="28"/>
          <w:szCs w:val="28"/>
          <w:lang w:val="en-US"/>
        </w:rPr>
        <w:t>this form of “outsourcing”</w:t>
      </w:r>
      <w:r w:rsidR="00C267C7">
        <w:rPr>
          <w:sz w:val="28"/>
          <w:szCs w:val="28"/>
          <w:lang w:val="en-US"/>
        </w:rPr>
        <w:t xml:space="preserve"> is not </w:t>
      </w:r>
      <w:r w:rsidR="00996708">
        <w:rPr>
          <w:sz w:val="28"/>
          <w:szCs w:val="28"/>
          <w:lang w:val="en-US"/>
        </w:rPr>
        <w:t>contrary to the Constitution</w:t>
      </w:r>
      <w:r>
        <w:rPr>
          <w:sz w:val="28"/>
          <w:szCs w:val="28"/>
          <w:lang w:val="en-US"/>
        </w:rPr>
        <w:t>. In order to make its judgment more convincing, the Council of State d</w:t>
      </w:r>
      <w:r w:rsidR="00C267C7">
        <w:rPr>
          <w:sz w:val="28"/>
          <w:szCs w:val="28"/>
          <w:lang w:val="en-US"/>
        </w:rPr>
        <w:t>id</w:t>
      </w:r>
      <w:r>
        <w:rPr>
          <w:sz w:val="28"/>
          <w:szCs w:val="28"/>
          <w:lang w:val="en-US"/>
        </w:rPr>
        <w:t xml:space="preserve"> not hesitate to compare the nature of the work entrusted </w:t>
      </w:r>
      <w:r w:rsidR="00EF06AE">
        <w:rPr>
          <w:sz w:val="28"/>
          <w:szCs w:val="28"/>
          <w:lang w:val="en-US"/>
        </w:rPr>
        <w:t>by</w:t>
      </w:r>
      <w:r w:rsidR="000D46DD">
        <w:rPr>
          <w:sz w:val="28"/>
          <w:szCs w:val="28"/>
          <w:lang w:val="en-US"/>
        </w:rPr>
        <w:t xml:space="preserve"> the Hellenic Capital Market Commission </w:t>
      </w:r>
      <w:r>
        <w:rPr>
          <w:sz w:val="28"/>
          <w:szCs w:val="28"/>
          <w:lang w:val="en-US"/>
        </w:rPr>
        <w:t>to private individuals with that of the experts appointed by the courts, who, according to the Cou</w:t>
      </w:r>
      <w:r w:rsidR="00E30BE9">
        <w:rPr>
          <w:sz w:val="28"/>
          <w:szCs w:val="28"/>
          <w:lang w:val="en-US"/>
        </w:rPr>
        <w:t>ncil of State</w:t>
      </w:r>
      <w:r>
        <w:rPr>
          <w:sz w:val="28"/>
          <w:szCs w:val="28"/>
          <w:lang w:val="en-US"/>
        </w:rPr>
        <w:t xml:space="preserve">, also carry out audit </w:t>
      </w:r>
      <w:r w:rsidR="001C5126">
        <w:rPr>
          <w:sz w:val="28"/>
          <w:szCs w:val="28"/>
          <w:lang w:val="en-US"/>
        </w:rPr>
        <w:t>functions</w:t>
      </w:r>
      <w:r>
        <w:rPr>
          <w:sz w:val="28"/>
          <w:szCs w:val="28"/>
          <w:lang w:val="en-US"/>
        </w:rPr>
        <w:t xml:space="preserve"> (</w:t>
      </w:r>
      <w:r w:rsidR="007F1C77">
        <w:rPr>
          <w:sz w:val="28"/>
          <w:szCs w:val="28"/>
          <w:lang w:val="en-US"/>
        </w:rPr>
        <w:t xml:space="preserve">see </w:t>
      </w:r>
      <w:proofErr w:type="spellStart"/>
      <w:r w:rsidR="00A83633" w:rsidRPr="00A83633">
        <w:rPr>
          <w:sz w:val="28"/>
          <w:szCs w:val="28"/>
          <w:lang w:val="en-US"/>
        </w:rPr>
        <w:t>CoS</w:t>
      </w:r>
      <w:proofErr w:type="spellEnd"/>
      <w:r>
        <w:rPr>
          <w:sz w:val="28"/>
          <w:szCs w:val="28"/>
          <w:lang w:val="en-US"/>
        </w:rPr>
        <w:t xml:space="preserve"> 2825/2014). Perhaps in </w:t>
      </w:r>
      <w:r w:rsidR="001C5126">
        <w:rPr>
          <w:sz w:val="28"/>
          <w:szCs w:val="28"/>
          <w:lang w:val="en-US"/>
        </w:rPr>
        <w:t xml:space="preserve">this decision one can identify </w:t>
      </w:r>
      <w:r>
        <w:rPr>
          <w:sz w:val="28"/>
          <w:szCs w:val="28"/>
          <w:lang w:val="en-US"/>
        </w:rPr>
        <w:t xml:space="preserve">the foundations </w:t>
      </w:r>
      <w:r w:rsidR="001B4165">
        <w:rPr>
          <w:sz w:val="28"/>
          <w:szCs w:val="28"/>
          <w:lang w:val="en-US"/>
        </w:rPr>
        <w:t>of</w:t>
      </w:r>
      <w:r>
        <w:rPr>
          <w:sz w:val="28"/>
          <w:szCs w:val="28"/>
          <w:lang w:val="en-US"/>
        </w:rPr>
        <w:t xml:space="preserve"> the future framework for the effective investigation of the acts of regulator</w:t>
      </w:r>
      <w:r w:rsidR="006D358C">
        <w:rPr>
          <w:sz w:val="28"/>
          <w:szCs w:val="28"/>
          <w:lang w:val="en-US"/>
        </w:rPr>
        <w:t>y authorities</w:t>
      </w:r>
      <w:r>
        <w:rPr>
          <w:sz w:val="28"/>
          <w:szCs w:val="28"/>
          <w:lang w:val="en-US"/>
        </w:rPr>
        <w:t xml:space="preserve"> by the courts, which will </w:t>
      </w:r>
      <w:r>
        <w:rPr>
          <w:sz w:val="28"/>
          <w:szCs w:val="28"/>
          <w:lang w:val="en-US"/>
        </w:rPr>
        <w:lastRenderedPageBreak/>
        <w:t xml:space="preserve">necessarily include the </w:t>
      </w:r>
      <w:r w:rsidR="00C23D72">
        <w:rPr>
          <w:sz w:val="28"/>
          <w:szCs w:val="28"/>
          <w:lang w:val="en-US"/>
        </w:rPr>
        <w:t xml:space="preserve">substantial </w:t>
      </w:r>
      <w:r>
        <w:rPr>
          <w:sz w:val="28"/>
          <w:szCs w:val="28"/>
          <w:lang w:val="en-US"/>
        </w:rPr>
        <w:t xml:space="preserve">participation, during the pre-trial stage, of a special body of judicial experts, whether </w:t>
      </w:r>
      <w:r w:rsidR="00EF06AE">
        <w:rPr>
          <w:sz w:val="28"/>
          <w:szCs w:val="28"/>
          <w:lang w:val="en-US"/>
        </w:rPr>
        <w:t xml:space="preserve">public </w:t>
      </w:r>
      <w:r>
        <w:rPr>
          <w:sz w:val="28"/>
          <w:szCs w:val="28"/>
          <w:lang w:val="en-US"/>
        </w:rPr>
        <w:t>or private.</w:t>
      </w:r>
    </w:p>
    <w:p w14:paraId="2D11F652" w14:textId="77777777" w:rsidR="004A7D9E" w:rsidRDefault="004A7D9E">
      <w:pPr>
        <w:rPr>
          <w:lang w:val="en-US"/>
        </w:rPr>
      </w:pPr>
    </w:p>
    <w:sectPr w:rsidR="004A7D9E">
      <w:footerReference w:type="default" r:id="rId7"/>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C89C" w14:textId="77777777" w:rsidR="00D746AF" w:rsidRDefault="00D746AF">
      <w:pPr>
        <w:spacing w:after="0" w:line="240" w:lineRule="auto"/>
      </w:pPr>
      <w:r>
        <w:separator/>
      </w:r>
    </w:p>
  </w:endnote>
  <w:endnote w:type="continuationSeparator" w:id="0">
    <w:p w14:paraId="29550BC5" w14:textId="77777777" w:rsidR="00D746AF" w:rsidRDefault="00D7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227584"/>
      <w:docPartObj>
        <w:docPartGallery w:val="Page Numbers (Bottom of Page)"/>
        <w:docPartUnique/>
      </w:docPartObj>
    </w:sdtPr>
    <w:sdtEndPr/>
    <w:sdtContent>
      <w:p w14:paraId="1DE13801" w14:textId="77777777" w:rsidR="004A7D9E" w:rsidRDefault="00002F83">
        <w:pPr>
          <w:pStyle w:val="Footer"/>
          <w:jc w:val="center"/>
        </w:pPr>
        <w:r>
          <w:fldChar w:fldCharType="begin"/>
        </w:r>
        <w:r>
          <w:instrText>PAGE</w:instrText>
        </w:r>
        <w:r>
          <w:fldChar w:fldCharType="separate"/>
        </w:r>
        <w:r w:rsidR="00EF06AE">
          <w:rPr>
            <w:noProof/>
          </w:rPr>
          <w:t>14</w:t>
        </w:r>
        <w:r>
          <w:fldChar w:fldCharType="end"/>
        </w:r>
      </w:p>
    </w:sdtContent>
  </w:sdt>
  <w:p w14:paraId="642E3DFA" w14:textId="77777777" w:rsidR="004A7D9E" w:rsidRDefault="004A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EF01" w14:textId="77777777" w:rsidR="00D746AF" w:rsidRDefault="00D746AF">
      <w:pPr>
        <w:spacing w:after="0" w:line="240" w:lineRule="auto"/>
      </w:pPr>
      <w:r>
        <w:separator/>
      </w:r>
    </w:p>
  </w:footnote>
  <w:footnote w:type="continuationSeparator" w:id="0">
    <w:p w14:paraId="2CB25112" w14:textId="77777777" w:rsidR="00D746AF" w:rsidRDefault="00D74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9E"/>
    <w:rsid w:val="00002F83"/>
    <w:rsid w:val="000056FF"/>
    <w:rsid w:val="00006AAC"/>
    <w:rsid w:val="000508D8"/>
    <w:rsid w:val="00052052"/>
    <w:rsid w:val="00071F94"/>
    <w:rsid w:val="00072122"/>
    <w:rsid w:val="0007294B"/>
    <w:rsid w:val="00080798"/>
    <w:rsid w:val="000907E0"/>
    <w:rsid w:val="000947D4"/>
    <w:rsid w:val="00095D13"/>
    <w:rsid w:val="000A40FA"/>
    <w:rsid w:val="000C2967"/>
    <w:rsid w:val="000C68EC"/>
    <w:rsid w:val="000D46DD"/>
    <w:rsid w:val="000D540C"/>
    <w:rsid w:val="000D7A90"/>
    <w:rsid w:val="000E187A"/>
    <w:rsid w:val="000E1880"/>
    <w:rsid w:val="000E2521"/>
    <w:rsid w:val="000F1CC3"/>
    <w:rsid w:val="0011072B"/>
    <w:rsid w:val="001120CB"/>
    <w:rsid w:val="00112705"/>
    <w:rsid w:val="001152C8"/>
    <w:rsid w:val="001236A6"/>
    <w:rsid w:val="0013086A"/>
    <w:rsid w:val="00131D94"/>
    <w:rsid w:val="00136F6A"/>
    <w:rsid w:val="00151AD4"/>
    <w:rsid w:val="00153A40"/>
    <w:rsid w:val="00161F81"/>
    <w:rsid w:val="00170F56"/>
    <w:rsid w:val="00181BCD"/>
    <w:rsid w:val="00191C95"/>
    <w:rsid w:val="00192CDC"/>
    <w:rsid w:val="00193B91"/>
    <w:rsid w:val="001A0EF9"/>
    <w:rsid w:val="001B4165"/>
    <w:rsid w:val="001C066D"/>
    <w:rsid w:val="001C30AD"/>
    <w:rsid w:val="001C5126"/>
    <w:rsid w:val="001D0A9A"/>
    <w:rsid w:val="001D4B8C"/>
    <w:rsid w:val="001D5441"/>
    <w:rsid w:val="001E4B6D"/>
    <w:rsid w:val="00204821"/>
    <w:rsid w:val="00205F7B"/>
    <w:rsid w:val="0022283C"/>
    <w:rsid w:val="00227052"/>
    <w:rsid w:val="002538B0"/>
    <w:rsid w:val="00253E52"/>
    <w:rsid w:val="00254B7E"/>
    <w:rsid w:val="00260141"/>
    <w:rsid w:val="002619DB"/>
    <w:rsid w:val="00270D88"/>
    <w:rsid w:val="00296D00"/>
    <w:rsid w:val="002A00B7"/>
    <w:rsid w:val="002A7F5E"/>
    <w:rsid w:val="002B0CF7"/>
    <w:rsid w:val="002B0DE6"/>
    <w:rsid w:val="002B33B8"/>
    <w:rsid w:val="002B521B"/>
    <w:rsid w:val="002B76CD"/>
    <w:rsid w:val="002C57EE"/>
    <w:rsid w:val="002D3041"/>
    <w:rsid w:val="002D407A"/>
    <w:rsid w:val="002E0893"/>
    <w:rsid w:val="002E7077"/>
    <w:rsid w:val="002F22A2"/>
    <w:rsid w:val="002F2936"/>
    <w:rsid w:val="0030471E"/>
    <w:rsid w:val="00306607"/>
    <w:rsid w:val="00310307"/>
    <w:rsid w:val="00315DA3"/>
    <w:rsid w:val="00334243"/>
    <w:rsid w:val="00337261"/>
    <w:rsid w:val="00341C26"/>
    <w:rsid w:val="003535EA"/>
    <w:rsid w:val="00365BA2"/>
    <w:rsid w:val="00383897"/>
    <w:rsid w:val="003840D4"/>
    <w:rsid w:val="00384AC5"/>
    <w:rsid w:val="0039547E"/>
    <w:rsid w:val="003A44A5"/>
    <w:rsid w:val="003A4765"/>
    <w:rsid w:val="003B1738"/>
    <w:rsid w:val="003B7DE3"/>
    <w:rsid w:val="003D267B"/>
    <w:rsid w:val="003D3774"/>
    <w:rsid w:val="003F4C72"/>
    <w:rsid w:val="004017CE"/>
    <w:rsid w:val="004028BF"/>
    <w:rsid w:val="004104E6"/>
    <w:rsid w:val="00423F21"/>
    <w:rsid w:val="004347AD"/>
    <w:rsid w:val="0044165A"/>
    <w:rsid w:val="00442B2E"/>
    <w:rsid w:val="00447B41"/>
    <w:rsid w:val="004505F0"/>
    <w:rsid w:val="00452026"/>
    <w:rsid w:val="004609BB"/>
    <w:rsid w:val="0046109A"/>
    <w:rsid w:val="00466A45"/>
    <w:rsid w:val="00483321"/>
    <w:rsid w:val="00483A9B"/>
    <w:rsid w:val="0048635A"/>
    <w:rsid w:val="004913EA"/>
    <w:rsid w:val="004936E8"/>
    <w:rsid w:val="00497B60"/>
    <w:rsid w:val="004A671E"/>
    <w:rsid w:val="004A7D9E"/>
    <w:rsid w:val="004C2A0C"/>
    <w:rsid w:val="004C4FBD"/>
    <w:rsid w:val="004D588C"/>
    <w:rsid w:val="004F0262"/>
    <w:rsid w:val="004F7799"/>
    <w:rsid w:val="00502321"/>
    <w:rsid w:val="00515EC0"/>
    <w:rsid w:val="00520429"/>
    <w:rsid w:val="00540DE0"/>
    <w:rsid w:val="00545281"/>
    <w:rsid w:val="00547C3C"/>
    <w:rsid w:val="00550FA2"/>
    <w:rsid w:val="005530CB"/>
    <w:rsid w:val="00564FDD"/>
    <w:rsid w:val="00572D89"/>
    <w:rsid w:val="00573A05"/>
    <w:rsid w:val="00583427"/>
    <w:rsid w:val="005836D7"/>
    <w:rsid w:val="00595250"/>
    <w:rsid w:val="005A0DD6"/>
    <w:rsid w:val="005A14F9"/>
    <w:rsid w:val="005A173C"/>
    <w:rsid w:val="005C6A3A"/>
    <w:rsid w:val="005C7A33"/>
    <w:rsid w:val="005C7EB5"/>
    <w:rsid w:val="005D2C44"/>
    <w:rsid w:val="005D3039"/>
    <w:rsid w:val="005D6994"/>
    <w:rsid w:val="005D7E2E"/>
    <w:rsid w:val="005E273A"/>
    <w:rsid w:val="005E7DF3"/>
    <w:rsid w:val="005F11AB"/>
    <w:rsid w:val="005F1EC8"/>
    <w:rsid w:val="006061ED"/>
    <w:rsid w:val="006121FA"/>
    <w:rsid w:val="006262F8"/>
    <w:rsid w:val="00632401"/>
    <w:rsid w:val="0064105C"/>
    <w:rsid w:val="00643219"/>
    <w:rsid w:val="006439A5"/>
    <w:rsid w:val="00643E16"/>
    <w:rsid w:val="006501AA"/>
    <w:rsid w:val="006517B4"/>
    <w:rsid w:val="006824FA"/>
    <w:rsid w:val="006876BC"/>
    <w:rsid w:val="00687BF5"/>
    <w:rsid w:val="00692E51"/>
    <w:rsid w:val="006A1900"/>
    <w:rsid w:val="006A4064"/>
    <w:rsid w:val="006B470C"/>
    <w:rsid w:val="006D0071"/>
    <w:rsid w:val="006D2588"/>
    <w:rsid w:val="006D358C"/>
    <w:rsid w:val="006E5545"/>
    <w:rsid w:val="006F1852"/>
    <w:rsid w:val="006F2D58"/>
    <w:rsid w:val="006F715B"/>
    <w:rsid w:val="006F76CC"/>
    <w:rsid w:val="007076BA"/>
    <w:rsid w:val="00710494"/>
    <w:rsid w:val="007159AD"/>
    <w:rsid w:val="0074387E"/>
    <w:rsid w:val="007441D9"/>
    <w:rsid w:val="00746890"/>
    <w:rsid w:val="00755502"/>
    <w:rsid w:val="007567E1"/>
    <w:rsid w:val="007571A7"/>
    <w:rsid w:val="00763398"/>
    <w:rsid w:val="007741C6"/>
    <w:rsid w:val="00792508"/>
    <w:rsid w:val="007932FC"/>
    <w:rsid w:val="00794D46"/>
    <w:rsid w:val="007B01A2"/>
    <w:rsid w:val="007B2749"/>
    <w:rsid w:val="007B60AB"/>
    <w:rsid w:val="007C0B2B"/>
    <w:rsid w:val="007D5EE3"/>
    <w:rsid w:val="007F1C77"/>
    <w:rsid w:val="007F4A42"/>
    <w:rsid w:val="008027C7"/>
    <w:rsid w:val="00804D5F"/>
    <w:rsid w:val="00806A59"/>
    <w:rsid w:val="00814F66"/>
    <w:rsid w:val="0081669C"/>
    <w:rsid w:val="008168B7"/>
    <w:rsid w:val="0082210F"/>
    <w:rsid w:val="00825736"/>
    <w:rsid w:val="0083128A"/>
    <w:rsid w:val="00833DEA"/>
    <w:rsid w:val="00835D2C"/>
    <w:rsid w:val="0083685C"/>
    <w:rsid w:val="00861D4E"/>
    <w:rsid w:val="008624A5"/>
    <w:rsid w:val="00866AAF"/>
    <w:rsid w:val="00882004"/>
    <w:rsid w:val="0089145E"/>
    <w:rsid w:val="00894A85"/>
    <w:rsid w:val="00895DA7"/>
    <w:rsid w:val="008A1689"/>
    <w:rsid w:val="008A24AA"/>
    <w:rsid w:val="008A2C2B"/>
    <w:rsid w:val="008B2D35"/>
    <w:rsid w:val="008B2D69"/>
    <w:rsid w:val="008C0DE7"/>
    <w:rsid w:val="008C1087"/>
    <w:rsid w:val="008E47E6"/>
    <w:rsid w:val="008E628F"/>
    <w:rsid w:val="008E738D"/>
    <w:rsid w:val="008F1B0F"/>
    <w:rsid w:val="008F5DCA"/>
    <w:rsid w:val="00901B8E"/>
    <w:rsid w:val="0090618F"/>
    <w:rsid w:val="00906453"/>
    <w:rsid w:val="00920868"/>
    <w:rsid w:val="0092344B"/>
    <w:rsid w:val="00927BD2"/>
    <w:rsid w:val="009304F0"/>
    <w:rsid w:val="009333C5"/>
    <w:rsid w:val="0093437F"/>
    <w:rsid w:val="00935018"/>
    <w:rsid w:val="009352FB"/>
    <w:rsid w:val="00935904"/>
    <w:rsid w:val="00943867"/>
    <w:rsid w:val="009477CE"/>
    <w:rsid w:val="00955788"/>
    <w:rsid w:val="00981263"/>
    <w:rsid w:val="0098644F"/>
    <w:rsid w:val="00996708"/>
    <w:rsid w:val="009A0E6F"/>
    <w:rsid w:val="009A208B"/>
    <w:rsid w:val="009B2513"/>
    <w:rsid w:val="009B7922"/>
    <w:rsid w:val="009D5E80"/>
    <w:rsid w:val="009E0B9C"/>
    <w:rsid w:val="009E32B4"/>
    <w:rsid w:val="009F10AD"/>
    <w:rsid w:val="009F10F7"/>
    <w:rsid w:val="00A0713F"/>
    <w:rsid w:val="00A102AE"/>
    <w:rsid w:val="00A13FC9"/>
    <w:rsid w:val="00A27951"/>
    <w:rsid w:val="00A348C5"/>
    <w:rsid w:val="00A426D7"/>
    <w:rsid w:val="00A450D9"/>
    <w:rsid w:val="00A45925"/>
    <w:rsid w:val="00A56F01"/>
    <w:rsid w:val="00A65EE2"/>
    <w:rsid w:val="00A81635"/>
    <w:rsid w:val="00A83633"/>
    <w:rsid w:val="00A8517F"/>
    <w:rsid w:val="00A91AE7"/>
    <w:rsid w:val="00A93440"/>
    <w:rsid w:val="00A97018"/>
    <w:rsid w:val="00AA2781"/>
    <w:rsid w:val="00AA31AB"/>
    <w:rsid w:val="00AB4D10"/>
    <w:rsid w:val="00AB6F9F"/>
    <w:rsid w:val="00AC045C"/>
    <w:rsid w:val="00AC1C5F"/>
    <w:rsid w:val="00AD1DCD"/>
    <w:rsid w:val="00AE0901"/>
    <w:rsid w:val="00AE55C8"/>
    <w:rsid w:val="00B10553"/>
    <w:rsid w:val="00B116D6"/>
    <w:rsid w:val="00B1711E"/>
    <w:rsid w:val="00B20A83"/>
    <w:rsid w:val="00B211C7"/>
    <w:rsid w:val="00B30D76"/>
    <w:rsid w:val="00B34375"/>
    <w:rsid w:val="00B433FA"/>
    <w:rsid w:val="00B54C4C"/>
    <w:rsid w:val="00B778DB"/>
    <w:rsid w:val="00B802D7"/>
    <w:rsid w:val="00B80CFD"/>
    <w:rsid w:val="00B84D01"/>
    <w:rsid w:val="00B94879"/>
    <w:rsid w:val="00B94EFE"/>
    <w:rsid w:val="00B95BDF"/>
    <w:rsid w:val="00BA293B"/>
    <w:rsid w:val="00BA470B"/>
    <w:rsid w:val="00BA7ACF"/>
    <w:rsid w:val="00BC00A6"/>
    <w:rsid w:val="00BC10BA"/>
    <w:rsid w:val="00BC16AB"/>
    <w:rsid w:val="00BC681A"/>
    <w:rsid w:val="00BC723F"/>
    <w:rsid w:val="00BD1C1B"/>
    <w:rsid w:val="00BD4179"/>
    <w:rsid w:val="00BD434B"/>
    <w:rsid w:val="00BE2C18"/>
    <w:rsid w:val="00BE429B"/>
    <w:rsid w:val="00BE56D2"/>
    <w:rsid w:val="00C006AC"/>
    <w:rsid w:val="00C1262D"/>
    <w:rsid w:val="00C15E33"/>
    <w:rsid w:val="00C166F4"/>
    <w:rsid w:val="00C23D72"/>
    <w:rsid w:val="00C267C7"/>
    <w:rsid w:val="00C27C6D"/>
    <w:rsid w:val="00C30111"/>
    <w:rsid w:val="00C37C52"/>
    <w:rsid w:val="00C44F49"/>
    <w:rsid w:val="00C45DBC"/>
    <w:rsid w:val="00C46A78"/>
    <w:rsid w:val="00C478BA"/>
    <w:rsid w:val="00C50242"/>
    <w:rsid w:val="00C56801"/>
    <w:rsid w:val="00C64584"/>
    <w:rsid w:val="00C649BB"/>
    <w:rsid w:val="00C74276"/>
    <w:rsid w:val="00C7643F"/>
    <w:rsid w:val="00C958EB"/>
    <w:rsid w:val="00CC3DEA"/>
    <w:rsid w:val="00CC7A84"/>
    <w:rsid w:val="00CE3F99"/>
    <w:rsid w:val="00CE459A"/>
    <w:rsid w:val="00CF17E5"/>
    <w:rsid w:val="00CF2887"/>
    <w:rsid w:val="00CF52B8"/>
    <w:rsid w:val="00CF7A6D"/>
    <w:rsid w:val="00D03157"/>
    <w:rsid w:val="00D03778"/>
    <w:rsid w:val="00D05A6D"/>
    <w:rsid w:val="00D1058D"/>
    <w:rsid w:val="00D163DA"/>
    <w:rsid w:val="00D26429"/>
    <w:rsid w:val="00D3461B"/>
    <w:rsid w:val="00D402AD"/>
    <w:rsid w:val="00D4100F"/>
    <w:rsid w:val="00D457E5"/>
    <w:rsid w:val="00D50195"/>
    <w:rsid w:val="00D5521C"/>
    <w:rsid w:val="00D55FF5"/>
    <w:rsid w:val="00D60256"/>
    <w:rsid w:val="00D615FF"/>
    <w:rsid w:val="00D746AF"/>
    <w:rsid w:val="00D7536F"/>
    <w:rsid w:val="00D8305D"/>
    <w:rsid w:val="00D866C4"/>
    <w:rsid w:val="00D92672"/>
    <w:rsid w:val="00D96255"/>
    <w:rsid w:val="00DA0009"/>
    <w:rsid w:val="00DA08C2"/>
    <w:rsid w:val="00DA762F"/>
    <w:rsid w:val="00DB4BE8"/>
    <w:rsid w:val="00DB7375"/>
    <w:rsid w:val="00DC3CA2"/>
    <w:rsid w:val="00DD41A4"/>
    <w:rsid w:val="00DD58A6"/>
    <w:rsid w:val="00DE249B"/>
    <w:rsid w:val="00DE3106"/>
    <w:rsid w:val="00DF1B77"/>
    <w:rsid w:val="00E16F89"/>
    <w:rsid w:val="00E24E0C"/>
    <w:rsid w:val="00E2594E"/>
    <w:rsid w:val="00E30BE9"/>
    <w:rsid w:val="00E32A20"/>
    <w:rsid w:val="00E400E0"/>
    <w:rsid w:val="00E4069C"/>
    <w:rsid w:val="00E54BD9"/>
    <w:rsid w:val="00E60ABB"/>
    <w:rsid w:val="00E65427"/>
    <w:rsid w:val="00E71C37"/>
    <w:rsid w:val="00E74EA4"/>
    <w:rsid w:val="00E963EA"/>
    <w:rsid w:val="00E96B90"/>
    <w:rsid w:val="00EA28C2"/>
    <w:rsid w:val="00EA4E4C"/>
    <w:rsid w:val="00ED5831"/>
    <w:rsid w:val="00EE28CC"/>
    <w:rsid w:val="00EF06AE"/>
    <w:rsid w:val="00EF290A"/>
    <w:rsid w:val="00EF4060"/>
    <w:rsid w:val="00EF7BC4"/>
    <w:rsid w:val="00F10EC4"/>
    <w:rsid w:val="00F14C6B"/>
    <w:rsid w:val="00F14CA7"/>
    <w:rsid w:val="00F32C51"/>
    <w:rsid w:val="00F41241"/>
    <w:rsid w:val="00F42C39"/>
    <w:rsid w:val="00F50127"/>
    <w:rsid w:val="00F56199"/>
    <w:rsid w:val="00F60E2E"/>
    <w:rsid w:val="00F63812"/>
    <w:rsid w:val="00F72FEF"/>
    <w:rsid w:val="00F7325D"/>
    <w:rsid w:val="00F74B21"/>
    <w:rsid w:val="00F84274"/>
    <w:rsid w:val="00F93392"/>
    <w:rsid w:val="00F949AE"/>
    <w:rsid w:val="00F950EC"/>
    <w:rsid w:val="00FA16A0"/>
    <w:rsid w:val="00FA1A55"/>
    <w:rsid w:val="00FA1C03"/>
    <w:rsid w:val="00FB1344"/>
    <w:rsid w:val="00FC00D1"/>
    <w:rsid w:val="00FC102A"/>
    <w:rsid w:val="00FC5F6A"/>
    <w:rsid w:val="00FD1A0F"/>
    <w:rsid w:val="00FD2012"/>
    <w:rsid w:val="00FD65AF"/>
    <w:rsid w:val="00FF0CA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CA02"/>
  <w15:docId w15:val="{6BAA75EC-FE57-4C9F-ABAF-FBC9196A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E8"/>
    <w:pPr>
      <w:spacing w:after="160" w:line="259"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022CE8"/>
    <w:rPr>
      <w:rFonts w:ascii="Times New Roman" w:hAnsi="Times New Roman"/>
      <w:sz w:val="20"/>
      <w:szCs w:val="20"/>
      <w:lang w:val="el-GR"/>
    </w:rPr>
  </w:style>
  <w:style w:type="paragraph" w:customStyle="1" w:styleId="a">
    <w:name w:val="Επικεφαλίδα"/>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0">
    <w:name w:val="Ευρετήριο"/>
    <w:basedOn w:val="Normal"/>
    <w:qFormat/>
    <w:pPr>
      <w:suppressLineNumbers/>
    </w:pPr>
    <w:rPr>
      <w:rFonts w:cs="Lohit Devanagari"/>
    </w:rPr>
  </w:style>
  <w:style w:type="paragraph" w:customStyle="1" w:styleId="a1">
    <w:name w:val="Κεφαλίδα και υποσέλιδο"/>
    <w:basedOn w:val="Normal"/>
    <w:qFormat/>
  </w:style>
  <w:style w:type="paragraph" w:styleId="Footer">
    <w:name w:val="footer"/>
    <w:basedOn w:val="Normal"/>
    <w:link w:val="FooterChar"/>
    <w:uiPriority w:val="99"/>
    <w:unhideWhenUsed/>
    <w:rsid w:val="00022CE8"/>
    <w:pPr>
      <w:tabs>
        <w:tab w:val="center" w:pos="4153"/>
        <w:tab w:val="right" w:pos="8306"/>
      </w:tabs>
      <w:spacing w:after="0" w:line="240" w:lineRule="auto"/>
    </w:pPr>
  </w:style>
  <w:style w:type="character" w:styleId="CommentReference">
    <w:name w:val="annotation reference"/>
    <w:basedOn w:val="DefaultParagraphFont"/>
    <w:uiPriority w:val="99"/>
    <w:semiHidden/>
    <w:unhideWhenUsed/>
    <w:rsid w:val="00A8517F"/>
    <w:rPr>
      <w:sz w:val="16"/>
      <w:szCs w:val="16"/>
    </w:rPr>
  </w:style>
  <w:style w:type="paragraph" w:styleId="CommentText">
    <w:name w:val="annotation text"/>
    <w:basedOn w:val="Normal"/>
    <w:link w:val="CommentTextChar"/>
    <w:uiPriority w:val="99"/>
    <w:semiHidden/>
    <w:unhideWhenUsed/>
    <w:rsid w:val="00A8517F"/>
    <w:pPr>
      <w:spacing w:line="240" w:lineRule="auto"/>
    </w:pPr>
  </w:style>
  <w:style w:type="character" w:customStyle="1" w:styleId="CommentTextChar">
    <w:name w:val="Comment Text Char"/>
    <w:basedOn w:val="DefaultParagraphFont"/>
    <w:link w:val="CommentText"/>
    <w:uiPriority w:val="99"/>
    <w:semiHidden/>
    <w:rsid w:val="00A851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517F"/>
    <w:rPr>
      <w:b/>
      <w:bCs/>
    </w:rPr>
  </w:style>
  <w:style w:type="character" w:customStyle="1" w:styleId="CommentSubjectChar">
    <w:name w:val="Comment Subject Char"/>
    <w:basedOn w:val="CommentTextChar"/>
    <w:link w:val="CommentSubject"/>
    <w:uiPriority w:val="99"/>
    <w:semiHidden/>
    <w:rsid w:val="00A8517F"/>
    <w:rPr>
      <w:rFonts w:ascii="Times New Roman" w:hAnsi="Times New Roman"/>
      <w:b/>
      <w:bCs/>
      <w:sz w:val="20"/>
      <w:szCs w:val="20"/>
    </w:rPr>
  </w:style>
  <w:style w:type="paragraph" w:styleId="BalloonText">
    <w:name w:val="Balloon Text"/>
    <w:basedOn w:val="Normal"/>
    <w:link w:val="BalloonTextChar"/>
    <w:uiPriority w:val="99"/>
    <w:semiHidden/>
    <w:unhideWhenUsed/>
    <w:rsid w:val="00A8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3508-3B3E-478A-A6B7-6888ABF0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3640</Words>
  <Characters>20748</Characters>
  <Application>Microsoft Office Word</Application>
  <DocSecurity>0</DocSecurity>
  <Lines>172</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dc:description/>
  <cp:lastModifiedBy>Unknown</cp:lastModifiedBy>
  <cp:revision>90</cp:revision>
  <dcterms:created xsi:type="dcterms:W3CDTF">2021-11-21T12:30:00Z</dcterms:created>
  <dcterms:modified xsi:type="dcterms:W3CDTF">2021-11-22T08:59:00Z</dcterms:modified>
  <dc:language>el-GR</dc:language>
</cp:coreProperties>
</file>