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02F" w:rsidRPr="002A302F" w:rsidRDefault="002A302F" w:rsidP="002A302F">
      <w:pPr>
        <w:spacing w:after="0" w:line="240" w:lineRule="auto"/>
        <w:jc w:val="right"/>
        <w:rPr>
          <w:rFonts w:ascii="Times New Roman" w:eastAsia="Times New Roman" w:hAnsi="Times New Roman" w:cs="Times New Roman"/>
          <w:color w:val="000000"/>
          <w:sz w:val="27"/>
          <w:szCs w:val="27"/>
          <w:lang w:val="en-US" w:eastAsia="it-IT"/>
        </w:rPr>
      </w:pPr>
      <w:r w:rsidRPr="002A302F">
        <w:rPr>
          <w:rFonts w:ascii="Times New Roman" w:eastAsia="Times New Roman" w:hAnsi="Times New Roman" w:cs="Times New Roman"/>
          <w:b/>
          <w:bCs/>
          <w:color w:val="000000"/>
          <w:lang w:val="en-GB" w:eastAsia="it-IT"/>
        </w:rPr>
        <w:t>N. 00002/2012REG.PROV.COLL.</w:t>
      </w:r>
    </w:p>
    <w:p w:rsidR="002A302F" w:rsidRPr="002A302F" w:rsidRDefault="002A302F" w:rsidP="002A302F">
      <w:pPr>
        <w:spacing w:after="0" w:line="240" w:lineRule="auto"/>
        <w:jc w:val="right"/>
        <w:rPr>
          <w:rFonts w:ascii="Times New Roman" w:eastAsia="Times New Roman" w:hAnsi="Times New Roman" w:cs="Times New Roman"/>
          <w:color w:val="000000"/>
          <w:sz w:val="27"/>
          <w:szCs w:val="27"/>
          <w:lang w:val="en-US" w:eastAsia="it-IT"/>
        </w:rPr>
      </w:pPr>
      <w:r w:rsidRPr="002A302F">
        <w:rPr>
          <w:rFonts w:ascii="Times New Roman" w:eastAsia="Times New Roman" w:hAnsi="Times New Roman" w:cs="Times New Roman"/>
          <w:b/>
          <w:bCs/>
          <w:color w:val="000000"/>
          <w:lang w:val="en-GB" w:eastAsia="it-IT"/>
        </w:rPr>
        <w:t>N. 00001/2012 REG.RIC.A.P.</w:t>
      </w:r>
    </w:p>
    <w:p w:rsidR="002A302F" w:rsidRPr="002A302F" w:rsidRDefault="002A302F" w:rsidP="002A302F">
      <w:pPr>
        <w:spacing w:after="0" w:line="240" w:lineRule="auto"/>
        <w:jc w:val="center"/>
        <w:rPr>
          <w:rFonts w:ascii="Times New Roman" w:eastAsia="Times New Roman" w:hAnsi="Times New Roman" w:cs="Times New Roman"/>
          <w:color w:val="000000"/>
          <w:sz w:val="27"/>
          <w:szCs w:val="27"/>
          <w:lang w:eastAsia="it-IT"/>
        </w:rPr>
      </w:pPr>
      <w:r>
        <w:rPr>
          <w:rFonts w:ascii="Garamond" w:eastAsia="Times New Roman" w:hAnsi="Garamond" w:cs="Times New Roman"/>
          <w:b/>
          <w:bCs/>
          <w:noProof/>
          <w:color w:val="000000"/>
          <w:spacing w:val="77"/>
          <w:sz w:val="27"/>
          <w:szCs w:val="27"/>
          <w:lang w:eastAsia="it-IT"/>
        </w:rPr>
        <mc:AlternateContent>
          <mc:Choice Requires="wps">
            <w:drawing>
              <wp:inline distT="0" distB="0" distL="0" distR="0">
                <wp:extent cx="723900" cy="828675"/>
                <wp:effectExtent l="0" t="0" r="0" b="0"/>
                <wp:docPr id="13" name="Rettangolo 13" descr="C:\Users\admwks\Downloads\N_file\image0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2390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ttangolo 13" o:spid="_x0000_s1026" style="width:57pt;height:6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" filled="f" stroked="f">
                <o:lock v:ext="edit" aspectratio="t"/>
                <w10:anchorlock/>
              </v:rect>
            </w:pict>
          </mc:Fallback>
        </mc:AlternateContent>
      </w:r>
    </w:p>
    <w:p w:rsidR="002A302F" w:rsidRPr="002A302F" w:rsidRDefault="002A302F" w:rsidP="002A302F">
      <w:pPr>
        <w:spacing w:after="0" w:line="240" w:lineRule="auto"/>
        <w:jc w:val="center"/>
        <w:rPr>
          <w:rFonts w:ascii="Times New Roman" w:eastAsia="Times New Roman" w:hAnsi="Times New Roman" w:cs="Times New Roman"/>
          <w:color w:val="000000"/>
          <w:sz w:val="27"/>
          <w:szCs w:val="27"/>
          <w:lang w:eastAsia="it-IT"/>
        </w:rPr>
      </w:pPr>
      <w:r w:rsidRPr="002A302F">
        <w:rPr>
          <w:rFonts w:ascii="Garamond" w:eastAsia="Times New Roman" w:hAnsi="Garamond" w:cs="Times New Roman"/>
          <w:b/>
          <w:bCs/>
          <w:color w:val="000000"/>
          <w:spacing w:val="77"/>
          <w:sz w:val="27"/>
          <w:szCs w:val="27"/>
          <w:lang w:eastAsia="it-IT"/>
        </w:rPr>
        <w:t>REPUBBLICA ITALIANA</w:t>
      </w:r>
    </w:p>
    <w:p w:rsidR="002A302F" w:rsidRPr="002A302F" w:rsidRDefault="002A302F" w:rsidP="002A302F">
      <w:pPr>
        <w:spacing w:after="0" w:line="240" w:lineRule="auto"/>
        <w:jc w:val="center"/>
        <w:rPr>
          <w:rFonts w:ascii="Times New Roman" w:eastAsia="Times New Roman" w:hAnsi="Times New Roman" w:cs="Times New Roman"/>
          <w:color w:val="000000"/>
          <w:sz w:val="27"/>
          <w:szCs w:val="27"/>
          <w:lang w:eastAsia="it-IT"/>
        </w:rPr>
      </w:pPr>
      <w:r w:rsidRPr="002A302F">
        <w:rPr>
          <w:rFonts w:ascii="Garamond" w:eastAsia="Times New Roman" w:hAnsi="Garamond" w:cs="Times New Roman"/>
          <w:b/>
          <w:bCs/>
          <w:color w:val="000000"/>
          <w:lang w:eastAsia="it-IT"/>
        </w:rPr>
        <w:t>IN NOME DEL POPOLO ITALIANO</w:t>
      </w:r>
    </w:p>
    <w:p w:rsidR="002A302F" w:rsidRPr="002A302F" w:rsidRDefault="002A302F" w:rsidP="002A302F">
      <w:pPr>
        <w:spacing w:after="0" w:line="240" w:lineRule="auto"/>
        <w:jc w:val="center"/>
        <w:rPr>
          <w:rFonts w:ascii="Times New Roman" w:eastAsia="Times New Roman" w:hAnsi="Times New Roman" w:cs="Times New Roman"/>
          <w:color w:val="000000"/>
          <w:sz w:val="27"/>
          <w:szCs w:val="27"/>
          <w:lang w:eastAsia="it-IT"/>
        </w:rPr>
      </w:pPr>
      <w:r w:rsidRPr="002A302F">
        <w:rPr>
          <w:rFonts w:ascii="Garamond" w:eastAsia="Times New Roman" w:hAnsi="Garamond" w:cs="Times New Roman"/>
          <w:b/>
          <w:bCs/>
          <w:color w:val="000000"/>
          <w:sz w:val="26"/>
          <w:szCs w:val="26"/>
          <w:lang w:eastAsia="it-IT"/>
        </w:rPr>
        <w:t>Il Consiglio di Stato</w:t>
      </w:r>
    </w:p>
    <w:p w:rsidR="002A302F" w:rsidRPr="002A302F" w:rsidRDefault="002A302F" w:rsidP="002A302F">
      <w:pPr>
        <w:spacing w:after="0" w:line="240" w:lineRule="auto"/>
        <w:jc w:val="center"/>
        <w:rPr>
          <w:rFonts w:ascii="Times New Roman" w:eastAsia="Times New Roman" w:hAnsi="Times New Roman" w:cs="Times New Roman"/>
          <w:color w:val="000000"/>
          <w:sz w:val="27"/>
          <w:szCs w:val="27"/>
          <w:lang w:eastAsia="it-IT"/>
        </w:rPr>
      </w:pPr>
      <w:r w:rsidRPr="002A302F">
        <w:rPr>
          <w:rFonts w:ascii="Garamond" w:eastAsia="Times New Roman" w:hAnsi="Garamond" w:cs="Times New Roman"/>
          <w:b/>
          <w:bCs/>
          <w:color w:val="000000"/>
          <w:sz w:val="26"/>
          <w:szCs w:val="26"/>
          <w:lang w:eastAsia="it-IT"/>
        </w:rPr>
        <w:t>in sede giurisdizionale (Adunanza Plenaria)</w:t>
      </w:r>
    </w:p>
    <w:p w:rsidR="002A302F" w:rsidRPr="002A302F" w:rsidRDefault="002A302F" w:rsidP="002A302F">
      <w:pPr>
        <w:spacing w:after="0" w:line="520" w:lineRule="atLeast"/>
        <w:ind w:firstLine="567"/>
        <w:rPr>
          <w:rFonts w:ascii="Times New Roman" w:eastAsia="Times New Roman" w:hAnsi="Times New Roman" w:cs="Times New Roman"/>
          <w:color w:val="000000"/>
          <w:sz w:val="27"/>
          <w:szCs w:val="27"/>
          <w:lang w:eastAsia="it-IT"/>
        </w:rPr>
      </w:pPr>
      <w:r w:rsidRPr="002A302F">
        <w:rPr>
          <w:rFonts w:ascii="Garamond" w:eastAsia="Times New Roman" w:hAnsi="Garamond" w:cs="Times New Roman"/>
          <w:color w:val="000000"/>
          <w:sz w:val="30"/>
          <w:szCs w:val="30"/>
          <w:lang w:eastAsia="it-IT"/>
        </w:rPr>
        <w:t>ha pronunciato la presente</w:t>
      </w:r>
    </w:p>
    <w:p w:rsidR="002A302F" w:rsidRPr="002A302F" w:rsidRDefault="002A302F" w:rsidP="002A302F">
      <w:pPr>
        <w:spacing w:after="0" w:line="240" w:lineRule="auto"/>
        <w:jc w:val="center"/>
        <w:rPr>
          <w:rFonts w:ascii="Times New Roman" w:eastAsia="Times New Roman" w:hAnsi="Times New Roman" w:cs="Times New Roman"/>
          <w:color w:val="000000"/>
          <w:sz w:val="27"/>
          <w:szCs w:val="27"/>
          <w:lang w:eastAsia="it-IT"/>
        </w:rPr>
      </w:pPr>
      <w:r w:rsidRPr="002A302F">
        <w:rPr>
          <w:rFonts w:ascii="Garamond" w:eastAsia="Times New Roman" w:hAnsi="Garamond" w:cs="Times New Roman"/>
          <w:b/>
          <w:bCs/>
          <w:color w:val="000000"/>
          <w:sz w:val="26"/>
          <w:szCs w:val="26"/>
          <w:lang w:eastAsia="it-IT"/>
        </w:rPr>
        <w:t>SENTENZA</w:t>
      </w:r>
    </w:p>
    <w:p w:rsidR="002A302F" w:rsidRPr="002A302F" w:rsidRDefault="002A302F" w:rsidP="002A302F">
      <w:pPr>
        <w:spacing w:after="0" w:line="520" w:lineRule="atLeast"/>
        <w:jc w:val="both"/>
        <w:rPr>
          <w:rFonts w:ascii="Times New Roman" w:eastAsia="Times New Roman" w:hAnsi="Times New Roman" w:cs="Times New Roman"/>
          <w:color w:val="000000"/>
          <w:sz w:val="27"/>
          <w:szCs w:val="27"/>
          <w:lang w:eastAsia="it-IT"/>
        </w:rPr>
      </w:pPr>
      <w:r w:rsidRPr="002A302F">
        <w:rPr>
          <w:rFonts w:ascii="Garamond" w:eastAsia="Times New Roman" w:hAnsi="Garamond" w:cs="Times New Roman"/>
          <w:color w:val="000000"/>
          <w:sz w:val="30"/>
          <w:szCs w:val="30"/>
          <w:lang w:eastAsia="it-IT"/>
        </w:rPr>
        <w:t>sul ricorso numero di registro generale di A.P. 1 del 2012, proposto da Aviogas Sicilia s.r.l., rappresentata e difesa dall'avv. Antonio Lanfranchi, con domicilio in Roma, piazza Capo di Ferro, n. 13;</w:t>
      </w:r>
    </w:p>
    <w:p w:rsidR="002A302F" w:rsidRPr="002A302F" w:rsidRDefault="002A302F" w:rsidP="002A302F">
      <w:pPr>
        <w:spacing w:after="0" w:line="520" w:lineRule="atLeast"/>
        <w:jc w:val="center"/>
        <w:rPr>
          <w:rFonts w:ascii="Times New Roman" w:eastAsia="Times New Roman" w:hAnsi="Times New Roman" w:cs="Times New Roman"/>
          <w:color w:val="000000"/>
          <w:sz w:val="27"/>
          <w:szCs w:val="27"/>
          <w:lang w:eastAsia="it-IT"/>
        </w:rPr>
      </w:pPr>
      <w:r w:rsidRPr="002A302F">
        <w:rPr>
          <w:rFonts w:ascii="Garamond" w:eastAsia="Times New Roman" w:hAnsi="Garamond" w:cs="Times New Roman"/>
          <w:b/>
          <w:bCs/>
          <w:i/>
          <w:iCs/>
          <w:color w:val="000000"/>
          <w:sz w:val="30"/>
          <w:szCs w:val="30"/>
          <w:lang w:eastAsia="it-IT"/>
        </w:rPr>
        <w:t>contro</w:t>
      </w:r>
    </w:p>
    <w:p w:rsidR="002A302F" w:rsidRPr="002A302F" w:rsidRDefault="002A302F" w:rsidP="002A302F">
      <w:pPr>
        <w:spacing w:after="0" w:line="520" w:lineRule="atLeast"/>
        <w:jc w:val="both"/>
        <w:rPr>
          <w:rFonts w:ascii="Times New Roman" w:eastAsia="Times New Roman" w:hAnsi="Times New Roman" w:cs="Times New Roman"/>
          <w:color w:val="000000"/>
          <w:sz w:val="27"/>
          <w:szCs w:val="27"/>
          <w:lang w:eastAsia="it-IT"/>
        </w:rPr>
      </w:pPr>
      <w:r w:rsidRPr="002A302F">
        <w:rPr>
          <w:rFonts w:ascii="Garamond" w:eastAsia="Times New Roman" w:hAnsi="Garamond" w:cs="Times New Roman"/>
          <w:color w:val="000000"/>
          <w:sz w:val="30"/>
          <w:szCs w:val="30"/>
          <w:lang w:eastAsia="it-IT"/>
        </w:rPr>
        <w:t>Comune di Messina, rappresentato e difeso dall'avv. Arturo Merlo, con domicilio in Roma, piazza Capo di Ferro n. 13;</w:t>
      </w:r>
    </w:p>
    <w:p w:rsidR="002A302F" w:rsidRPr="002A302F" w:rsidRDefault="002A302F" w:rsidP="002A302F">
      <w:pPr>
        <w:spacing w:after="0" w:line="520" w:lineRule="atLeast"/>
        <w:jc w:val="center"/>
        <w:rPr>
          <w:rFonts w:ascii="Times New Roman" w:eastAsia="Times New Roman" w:hAnsi="Times New Roman" w:cs="Times New Roman"/>
          <w:color w:val="000000"/>
          <w:sz w:val="27"/>
          <w:szCs w:val="27"/>
          <w:lang w:eastAsia="it-IT"/>
        </w:rPr>
      </w:pPr>
      <w:r w:rsidRPr="002A302F">
        <w:rPr>
          <w:rFonts w:ascii="Garamond" w:eastAsia="Times New Roman" w:hAnsi="Garamond" w:cs="Times New Roman"/>
          <w:b/>
          <w:bCs/>
          <w:i/>
          <w:iCs/>
          <w:color w:val="000000"/>
          <w:sz w:val="30"/>
          <w:szCs w:val="30"/>
          <w:lang w:eastAsia="it-IT"/>
        </w:rPr>
        <w:t>su rimessione</w:t>
      </w:r>
    </w:p>
    <w:p w:rsidR="002A302F" w:rsidRPr="002A302F" w:rsidRDefault="002A302F" w:rsidP="002A302F">
      <w:pPr>
        <w:spacing w:after="0" w:line="520" w:lineRule="atLeast"/>
        <w:jc w:val="both"/>
        <w:rPr>
          <w:rFonts w:ascii="Times New Roman" w:eastAsia="Times New Roman" w:hAnsi="Times New Roman" w:cs="Times New Roman"/>
          <w:color w:val="000000"/>
          <w:sz w:val="27"/>
          <w:szCs w:val="27"/>
          <w:lang w:eastAsia="it-IT"/>
        </w:rPr>
      </w:pPr>
      <w:r w:rsidRPr="002A302F">
        <w:rPr>
          <w:rFonts w:ascii="Garamond" w:eastAsia="Times New Roman" w:hAnsi="Garamond" w:cs="Times New Roman"/>
          <w:color w:val="000000"/>
          <w:sz w:val="30"/>
          <w:szCs w:val="30"/>
          <w:lang w:eastAsia="it-IT"/>
        </w:rPr>
        <w:t>con ordinanza collegiale del Consiglio di giustizia amministrativa per la Regione Siciliana n. 22/2012, resa tra le parti</w:t>
      </w:r>
    </w:p>
    <w:p w:rsidR="002A302F" w:rsidRPr="002A302F" w:rsidRDefault="002A302F" w:rsidP="002A302F">
      <w:pPr>
        <w:spacing w:after="0" w:line="240" w:lineRule="auto"/>
        <w:rPr>
          <w:rFonts w:ascii="Times New Roman" w:eastAsia="Times New Roman" w:hAnsi="Times New Roman" w:cs="Times New Roman"/>
          <w:color w:val="000000"/>
          <w:sz w:val="27"/>
          <w:szCs w:val="27"/>
          <w:lang w:eastAsia="it-IT"/>
        </w:rPr>
      </w:pPr>
      <w:r w:rsidRPr="002A302F">
        <w:rPr>
          <w:rFonts w:ascii="Times New Roman" w:eastAsia="Times New Roman" w:hAnsi="Times New Roman" w:cs="Times New Roman"/>
          <w:color w:val="000000"/>
          <w:sz w:val="27"/>
          <w:szCs w:val="27"/>
          <w:lang w:eastAsia="it-IT"/>
        </w:rPr>
        <w:t> </w:t>
      </w:r>
    </w:p>
    <w:p w:rsidR="002A302F" w:rsidRPr="002A302F" w:rsidRDefault="002A302F" w:rsidP="002A302F">
      <w:pPr>
        <w:spacing w:after="0" w:line="520" w:lineRule="atLeast"/>
        <w:jc w:val="both"/>
        <w:rPr>
          <w:rFonts w:ascii="Times New Roman" w:eastAsia="Times New Roman" w:hAnsi="Times New Roman" w:cs="Times New Roman"/>
          <w:color w:val="000000"/>
          <w:sz w:val="27"/>
          <w:szCs w:val="27"/>
          <w:lang w:eastAsia="it-IT"/>
        </w:rPr>
      </w:pPr>
      <w:r w:rsidRPr="002A302F">
        <w:rPr>
          <w:rFonts w:ascii="Garamond" w:eastAsia="Times New Roman" w:hAnsi="Garamond" w:cs="Times New Roman"/>
          <w:color w:val="000000"/>
          <w:sz w:val="30"/>
          <w:szCs w:val="30"/>
          <w:lang w:eastAsia="it-IT"/>
        </w:rPr>
        <w:t>Visti il ricorso in appello e i relativi allegati;</w:t>
      </w:r>
    </w:p>
    <w:p w:rsidR="002A302F" w:rsidRPr="002A302F" w:rsidRDefault="002A302F" w:rsidP="002A302F">
      <w:pPr>
        <w:spacing w:after="0" w:line="520" w:lineRule="atLeast"/>
        <w:jc w:val="both"/>
        <w:rPr>
          <w:rFonts w:ascii="Times New Roman" w:eastAsia="Times New Roman" w:hAnsi="Times New Roman" w:cs="Times New Roman"/>
          <w:color w:val="000000"/>
          <w:sz w:val="27"/>
          <w:szCs w:val="27"/>
          <w:lang w:eastAsia="it-IT"/>
        </w:rPr>
      </w:pPr>
      <w:r w:rsidRPr="002A302F">
        <w:rPr>
          <w:rFonts w:ascii="Garamond" w:eastAsia="Times New Roman" w:hAnsi="Garamond" w:cs="Times New Roman"/>
          <w:color w:val="000000"/>
          <w:sz w:val="30"/>
          <w:szCs w:val="30"/>
          <w:lang w:eastAsia="it-IT"/>
        </w:rPr>
        <w:t>Visto l'atto di costituzione in giudizio del Comune di Messina;</w:t>
      </w:r>
    </w:p>
    <w:p w:rsidR="002A302F" w:rsidRPr="002A302F" w:rsidRDefault="002A302F" w:rsidP="002A302F">
      <w:pPr>
        <w:spacing w:after="0" w:line="520" w:lineRule="atLeast"/>
        <w:jc w:val="both"/>
        <w:rPr>
          <w:rFonts w:ascii="Times New Roman" w:eastAsia="Times New Roman" w:hAnsi="Times New Roman" w:cs="Times New Roman"/>
          <w:color w:val="000000"/>
          <w:sz w:val="27"/>
          <w:szCs w:val="27"/>
          <w:lang w:eastAsia="it-IT"/>
        </w:rPr>
      </w:pPr>
      <w:r w:rsidRPr="002A302F">
        <w:rPr>
          <w:rFonts w:ascii="Garamond" w:eastAsia="Times New Roman" w:hAnsi="Garamond" w:cs="Times New Roman"/>
          <w:color w:val="000000"/>
          <w:sz w:val="30"/>
          <w:szCs w:val="30"/>
          <w:lang w:eastAsia="it-IT"/>
        </w:rPr>
        <w:t>Viste le memorie difensive;</w:t>
      </w:r>
    </w:p>
    <w:p w:rsidR="002A302F" w:rsidRPr="002A302F" w:rsidRDefault="002A302F" w:rsidP="002A302F">
      <w:pPr>
        <w:spacing w:after="0" w:line="520" w:lineRule="atLeast"/>
        <w:jc w:val="both"/>
        <w:rPr>
          <w:rFonts w:ascii="Times New Roman" w:eastAsia="Times New Roman" w:hAnsi="Times New Roman" w:cs="Times New Roman"/>
          <w:color w:val="000000"/>
          <w:sz w:val="27"/>
          <w:szCs w:val="27"/>
          <w:lang w:eastAsia="it-IT"/>
        </w:rPr>
      </w:pPr>
      <w:r w:rsidRPr="002A302F">
        <w:rPr>
          <w:rFonts w:ascii="Garamond" w:eastAsia="Times New Roman" w:hAnsi="Garamond" w:cs="Times New Roman"/>
          <w:color w:val="000000"/>
          <w:sz w:val="30"/>
          <w:szCs w:val="30"/>
          <w:lang w:eastAsia="it-IT"/>
        </w:rPr>
        <w:t>Visti tutti gli atti della causa;</w:t>
      </w:r>
    </w:p>
    <w:p w:rsidR="002A302F" w:rsidRPr="002A302F" w:rsidRDefault="002A302F" w:rsidP="002A302F">
      <w:pPr>
        <w:spacing w:after="0" w:line="520" w:lineRule="atLeast"/>
        <w:jc w:val="both"/>
        <w:rPr>
          <w:rFonts w:ascii="Times New Roman" w:eastAsia="Times New Roman" w:hAnsi="Times New Roman" w:cs="Times New Roman"/>
          <w:color w:val="000000"/>
          <w:sz w:val="27"/>
          <w:szCs w:val="27"/>
          <w:lang w:eastAsia="it-IT"/>
        </w:rPr>
      </w:pPr>
      <w:r w:rsidRPr="002A302F">
        <w:rPr>
          <w:rFonts w:ascii="Garamond" w:eastAsia="Times New Roman" w:hAnsi="Garamond" w:cs="Times New Roman"/>
          <w:color w:val="000000"/>
          <w:sz w:val="30"/>
          <w:szCs w:val="30"/>
          <w:lang w:eastAsia="it-IT"/>
        </w:rPr>
        <w:t>Relatore nell'udienza pubblica del giorno 26 marzo 2012 il Cons. Rosanna De Nictolis e udito per l’appellante l’avvocato Lanfranchi;</w:t>
      </w:r>
    </w:p>
    <w:p w:rsidR="002A302F" w:rsidRPr="002A302F" w:rsidRDefault="002A302F" w:rsidP="002A302F">
      <w:pPr>
        <w:spacing w:after="0" w:line="520" w:lineRule="atLeast"/>
        <w:jc w:val="both"/>
        <w:rPr>
          <w:rFonts w:ascii="Times New Roman" w:eastAsia="Times New Roman" w:hAnsi="Times New Roman" w:cs="Times New Roman"/>
          <w:color w:val="000000"/>
          <w:sz w:val="27"/>
          <w:szCs w:val="27"/>
          <w:lang w:eastAsia="it-IT"/>
        </w:rPr>
      </w:pPr>
      <w:r w:rsidRPr="002A302F">
        <w:rPr>
          <w:rFonts w:ascii="Garamond" w:eastAsia="Times New Roman" w:hAnsi="Garamond" w:cs="Times New Roman"/>
          <w:color w:val="000000"/>
          <w:sz w:val="30"/>
          <w:szCs w:val="30"/>
          <w:lang w:eastAsia="it-IT"/>
        </w:rPr>
        <w:t>Ritenuto e considerato in fatto e diritto quanto segue.</w:t>
      </w:r>
    </w:p>
    <w:p w:rsidR="002A302F" w:rsidRPr="002A302F" w:rsidRDefault="002A302F" w:rsidP="002A302F">
      <w:pPr>
        <w:spacing w:after="0" w:line="240" w:lineRule="auto"/>
        <w:rPr>
          <w:rFonts w:ascii="Times New Roman" w:eastAsia="Times New Roman" w:hAnsi="Times New Roman" w:cs="Times New Roman"/>
          <w:color w:val="000000"/>
          <w:sz w:val="27"/>
          <w:szCs w:val="27"/>
          <w:lang w:eastAsia="it-IT"/>
        </w:rPr>
      </w:pPr>
      <w:r w:rsidRPr="002A302F">
        <w:rPr>
          <w:rFonts w:ascii="Times New Roman" w:eastAsia="Times New Roman" w:hAnsi="Times New Roman" w:cs="Times New Roman"/>
          <w:color w:val="000000"/>
          <w:sz w:val="27"/>
          <w:szCs w:val="27"/>
          <w:lang w:eastAsia="it-IT"/>
        </w:rPr>
        <w:t> </w:t>
      </w:r>
    </w:p>
    <w:p w:rsidR="002A302F" w:rsidRPr="002A302F" w:rsidRDefault="002A302F" w:rsidP="002A302F">
      <w:pPr>
        <w:spacing w:after="0" w:line="540" w:lineRule="atLeast"/>
        <w:jc w:val="center"/>
        <w:rPr>
          <w:rFonts w:ascii="Times New Roman" w:eastAsia="Times New Roman" w:hAnsi="Times New Roman" w:cs="Times New Roman"/>
          <w:color w:val="000000"/>
          <w:sz w:val="27"/>
          <w:szCs w:val="27"/>
          <w:lang w:eastAsia="it-IT"/>
        </w:rPr>
      </w:pPr>
      <w:r w:rsidRPr="002A302F">
        <w:rPr>
          <w:rFonts w:ascii="Garamond" w:eastAsia="Times New Roman" w:hAnsi="Garamond" w:cs="Times New Roman"/>
          <w:color w:val="000000"/>
          <w:sz w:val="30"/>
          <w:szCs w:val="30"/>
          <w:lang w:eastAsia="it-IT"/>
        </w:rPr>
        <w:t>FATTO</w:t>
      </w:r>
    </w:p>
    <w:p w:rsidR="002A302F" w:rsidRPr="002A302F" w:rsidRDefault="002A302F" w:rsidP="002A302F">
      <w:pPr>
        <w:spacing w:after="0" w:line="520" w:lineRule="atLeast"/>
        <w:jc w:val="both"/>
        <w:rPr>
          <w:rFonts w:ascii="Times New Roman" w:eastAsia="Times New Roman" w:hAnsi="Times New Roman" w:cs="Times New Roman"/>
          <w:color w:val="000000"/>
          <w:sz w:val="27"/>
          <w:szCs w:val="27"/>
          <w:lang w:eastAsia="it-IT"/>
        </w:rPr>
      </w:pPr>
      <w:r w:rsidRPr="002A302F">
        <w:rPr>
          <w:rFonts w:ascii="Garamond" w:eastAsia="Times New Roman" w:hAnsi="Garamond" w:cs="Times New Roman"/>
          <w:i/>
          <w:iCs/>
          <w:color w:val="000000"/>
          <w:sz w:val="30"/>
          <w:szCs w:val="30"/>
          <w:lang w:eastAsia="it-IT"/>
        </w:rPr>
        <w:t>1.</w:t>
      </w:r>
      <w:r w:rsidRPr="002A302F">
        <w:rPr>
          <w:rFonts w:ascii="Garamond" w:eastAsia="Times New Roman" w:hAnsi="Garamond" w:cs="Times New Roman"/>
          <w:color w:val="000000"/>
          <w:sz w:val="30"/>
          <w:szCs w:val="30"/>
          <w:lang w:eastAsia="it-IT"/>
        </w:rPr>
        <w:t> Con decreto ingiuntivo n.103 del 2002, rilasciato dal Tribunale di Messina in favore della società Aviogas Sicilia s.r.l., è stato ingiunto alla Lega nazionale per il cane – sez. provinciale di Messina di pagare alla creditrice una somma di circa euro 150.000 oltre accessori.</w:t>
      </w:r>
    </w:p>
    <w:p w:rsidR="002A302F" w:rsidRPr="002A302F" w:rsidRDefault="002A302F" w:rsidP="002A302F">
      <w:pPr>
        <w:spacing w:after="0" w:line="520" w:lineRule="atLeast"/>
        <w:jc w:val="both"/>
        <w:rPr>
          <w:rFonts w:ascii="Times New Roman" w:eastAsia="Times New Roman" w:hAnsi="Times New Roman" w:cs="Times New Roman"/>
          <w:color w:val="000000"/>
          <w:sz w:val="27"/>
          <w:szCs w:val="27"/>
          <w:lang w:eastAsia="it-IT"/>
        </w:rPr>
      </w:pPr>
      <w:r w:rsidRPr="002A302F">
        <w:rPr>
          <w:rFonts w:ascii="Garamond" w:eastAsia="Times New Roman" w:hAnsi="Garamond" w:cs="Times New Roman"/>
          <w:color w:val="000000"/>
          <w:sz w:val="30"/>
          <w:szCs w:val="30"/>
          <w:lang w:eastAsia="it-IT"/>
        </w:rPr>
        <w:t>In difetto di opposizione da parte dell’ingiunta il decreto diveniva definitivo.</w:t>
      </w:r>
    </w:p>
    <w:p w:rsidR="002A302F" w:rsidRPr="002A302F" w:rsidRDefault="002A302F" w:rsidP="002A302F">
      <w:pPr>
        <w:spacing w:after="0" w:line="520" w:lineRule="atLeast"/>
        <w:jc w:val="both"/>
        <w:rPr>
          <w:rFonts w:ascii="Times New Roman" w:eastAsia="Times New Roman" w:hAnsi="Times New Roman" w:cs="Times New Roman"/>
          <w:color w:val="000000"/>
          <w:sz w:val="27"/>
          <w:szCs w:val="27"/>
          <w:lang w:eastAsia="it-IT"/>
        </w:rPr>
      </w:pPr>
      <w:r w:rsidRPr="002A302F">
        <w:rPr>
          <w:rFonts w:ascii="Garamond" w:eastAsia="Times New Roman" w:hAnsi="Garamond" w:cs="Times New Roman"/>
          <w:i/>
          <w:iCs/>
          <w:color w:val="000000"/>
          <w:sz w:val="30"/>
          <w:szCs w:val="30"/>
          <w:lang w:eastAsia="it-IT"/>
        </w:rPr>
        <w:t>2.</w:t>
      </w:r>
      <w:r w:rsidRPr="002A302F">
        <w:rPr>
          <w:rFonts w:ascii="Garamond" w:eastAsia="Times New Roman" w:hAnsi="Garamond" w:cs="Times New Roman"/>
          <w:color w:val="000000"/>
          <w:sz w:val="30"/>
          <w:szCs w:val="30"/>
          <w:lang w:eastAsia="it-IT"/>
        </w:rPr>
        <w:t> Essendo a sua volta la Lega creditrice del comune di Messina, la Aviogas ha promosso espropriazione presso terzi </w:t>
      </w:r>
      <w:r w:rsidRPr="002A302F">
        <w:rPr>
          <w:rFonts w:ascii="Garamond" w:eastAsia="Times New Roman" w:hAnsi="Garamond" w:cs="Times New Roman"/>
          <w:i/>
          <w:iCs/>
          <w:color w:val="000000"/>
          <w:sz w:val="30"/>
          <w:szCs w:val="30"/>
          <w:lang w:eastAsia="it-IT"/>
        </w:rPr>
        <w:t>ex</w:t>
      </w:r>
      <w:r w:rsidRPr="002A302F">
        <w:rPr>
          <w:rFonts w:ascii="Garamond" w:eastAsia="Times New Roman" w:hAnsi="Garamond" w:cs="Times New Roman"/>
          <w:color w:val="000000"/>
          <w:sz w:val="30"/>
          <w:szCs w:val="30"/>
          <w:lang w:eastAsia="it-IT"/>
        </w:rPr>
        <w:t> art. 543 e ss. cod. proc. civ. con atto di pignoramento del luglio 2003, notificato alla Lega (quale debitore) e al comune di Messina (quale terzo pignorato).</w:t>
      </w:r>
    </w:p>
    <w:p w:rsidR="002A302F" w:rsidRPr="002A302F" w:rsidRDefault="002A302F" w:rsidP="002A302F">
      <w:pPr>
        <w:spacing w:after="0" w:line="520" w:lineRule="atLeast"/>
        <w:jc w:val="both"/>
        <w:rPr>
          <w:rFonts w:ascii="Times New Roman" w:eastAsia="Times New Roman" w:hAnsi="Times New Roman" w:cs="Times New Roman"/>
          <w:color w:val="000000"/>
          <w:sz w:val="27"/>
          <w:szCs w:val="27"/>
          <w:lang w:eastAsia="it-IT"/>
        </w:rPr>
      </w:pPr>
      <w:r w:rsidRPr="002A302F">
        <w:rPr>
          <w:rFonts w:ascii="Garamond" w:eastAsia="Times New Roman" w:hAnsi="Garamond" w:cs="Times New Roman"/>
          <w:i/>
          <w:iCs/>
          <w:color w:val="000000"/>
          <w:sz w:val="30"/>
          <w:szCs w:val="30"/>
          <w:lang w:eastAsia="it-IT"/>
        </w:rPr>
        <w:t>3.</w:t>
      </w:r>
      <w:r w:rsidRPr="002A302F">
        <w:rPr>
          <w:rFonts w:ascii="Garamond" w:eastAsia="Times New Roman" w:hAnsi="Garamond" w:cs="Times New Roman"/>
          <w:color w:val="000000"/>
          <w:sz w:val="30"/>
          <w:szCs w:val="30"/>
          <w:lang w:eastAsia="it-IT"/>
        </w:rPr>
        <w:t> Il giudice dell’esecuzione, vista la dichiarazione positiva resa dal terzo pignorato comune di Messina, con ordinanza in data 18 marzo 2004 – non opposta - ha assegnato alla Aviogas la somma pignorata.</w:t>
      </w:r>
    </w:p>
    <w:p w:rsidR="002A302F" w:rsidRPr="002A302F" w:rsidRDefault="002A302F" w:rsidP="002A302F">
      <w:pPr>
        <w:spacing w:after="0" w:line="520" w:lineRule="atLeast"/>
        <w:jc w:val="both"/>
        <w:rPr>
          <w:rFonts w:ascii="Times New Roman" w:eastAsia="Times New Roman" w:hAnsi="Times New Roman" w:cs="Times New Roman"/>
          <w:color w:val="000000"/>
          <w:sz w:val="27"/>
          <w:szCs w:val="27"/>
          <w:lang w:eastAsia="it-IT"/>
        </w:rPr>
      </w:pPr>
      <w:r w:rsidRPr="002A302F">
        <w:rPr>
          <w:rFonts w:ascii="Garamond" w:eastAsia="Times New Roman" w:hAnsi="Garamond" w:cs="Times New Roman"/>
          <w:i/>
          <w:iCs/>
          <w:color w:val="000000"/>
          <w:sz w:val="30"/>
          <w:szCs w:val="30"/>
          <w:lang w:eastAsia="it-IT"/>
        </w:rPr>
        <w:t>4.</w:t>
      </w:r>
      <w:r w:rsidRPr="002A302F">
        <w:rPr>
          <w:rFonts w:ascii="Garamond" w:eastAsia="Times New Roman" w:hAnsi="Garamond" w:cs="Times New Roman"/>
          <w:color w:val="000000"/>
          <w:sz w:val="30"/>
          <w:szCs w:val="30"/>
          <w:lang w:eastAsia="it-IT"/>
        </w:rPr>
        <w:t> Nonostante una formale diffida il Comune di Messina non ha dato esecuzione all’ordinanza di assegnazione.</w:t>
      </w:r>
    </w:p>
    <w:p w:rsidR="002A302F" w:rsidRPr="002A302F" w:rsidRDefault="002A302F" w:rsidP="002A302F">
      <w:pPr>
        <w:spacing w:after="0" w:line="520" w:lineRule="atLeast"/>
        <w:jc w:val="both"/>
        <w:rPr>
          <w:rFonts w:ascii="Times New Roman" w:eastAsia="Times New Roman" w:hAnsi="Times New Roman" w:cs="Times New Roman"/>
          <w:color w:val="000000"/>
          <w:sz w:val="27"/>
          <w:szCs w:val="27"/>
          <w:lang w:eastAsia="it-IT"/>
        </w:rPr>
      </w:pPr>
      <w:r w:rsidRPr="002A302F">
        <w:rPr>
          <w:rFonts w:ascii="Garamond" w:eastAsia="Times New Roman" w:hAnsi="Garamond" w:cs="Times New Roman"/>
          <w:i/>
          <w:iCs/>
          <w:color w:val="000000"/>
          <w:sz w:val="30"/>
          <w:szCs w:val="30"/>
          <w:lang w:eastAsia="it-IT"/>
        </w:rPr>
        <w:t>5.</w:t>
      </w:r>
      <w:r w:rsidRPr="002A302F">
        <w:rPr>
          <w:rFonts w:ascii="Garamond" w:eastAsia="Times New Roman" w:hAnsi="Garamond" w:cs="Times New Roman"/>
          <w:color w:val="000000"/>
          <w:sz w:val="30"/>
          <w:szCs w:val="30"/>
          <w:lang w:eastAsia="it-IT"/>
        </w:rPr>
        <w:t> L’Aviogas ha quindi proposto avanti al Tar Sicilia - Catania ricorso per l’ottemperanza, onde veder dichiarato l’obbligo del Comune di adottare le determinazioni amministrative e contabili necessarie per dare esecuzione al giudicato derivante dalla predetta ordinanza di assegnazione somme.</w:t>
      </w:r>
    </w:p>
    <w:p w:rsidR="002A302F" w:rsidRPr="002A302F" w:rsidRDefault="002A302F" w:rsidP="002A302F">
      <w:pPr>
        <w:spacing w:after="0" w:line="520" w:lineRule="atLeast"/>
        <w:jc w:val="both"/>
        <w:rPr>
          <w:rFonts w:ascii="Times New Roman" w:eastAsia="Times New Roman" w:hAnsi="Times New Roman" w:cs="Times New Roman"/>
          <w:color w:val="000000"/>
          <w:sz w:val="27"/>
          <w:szCs w:val="27"/>
          <w:lang w:eastAsia="it-IT"/>
        </w:rPr>
      </w:pPr>
      <w:r w:rsidRPr="002A302F">
        <w:rPr>
          <w:rFonts w:ascii="Garamond" w:eastAsia="Times New Roman" w:hAnsi="Garamond" w:cs="Times New Roman"/>
          <w:color w:val="000000"/>
          <w:sz w:val="30"/>
          <w:szCs w:val="30"/>
          <w:lang w:eastAsia="it-IT"/>
        </w:rPr>
        <w:t>L’adito Tribunale (con la sentenza della sez. II, 9 dicembre 2009, n. 2073) ha dichiarato inammissibile il ricorso, statuendo che, avendo il giudizio di ottemperanza come presupposto un giudicato reso in un giudizio di cognizione, non potrebbe darsi ottemperanza in sede giurisdizionale amministrativa ad una decisione resa nell’ambito del giudizio esecutivo civile.</w:t>
      </w:r>
    </w:p>
    <w:p w:rsidR="002A302F" w:rsidRPr="002A302F" w:rsidRDefault="002A302F" w:rsidP="002A302F">
      <w:pPr>
        <w:spacing w:after="0" w:line="520" w:lineRule="atLeast"/>
        <w:jc w:val="both"/>
        <w:rPr>
          <w:rFonts w:ascii="Times New Roman" w:eastAsia="Times New Roman" w:hAnsi="Times New Roman" w:cs="Times New Roman"/>
          <w:color w:val="000000"/>
          <w:sz w:val="27"/>
          <w:szCs w:val="27"/>
          <w:lang w:eastAsia="it-IT"/>
        </w:rPr>
      </w:pPr>
      <w:r w:rsidRPr="002A302F">
        <w:rPr>
          <w:rFonts w:ascii="Garamond" w:eastAsia="Times New Roman" w:hAnsi="Garamond" w:cs="Times New Roman"/>
          <w:i/>
          <w:iCs/>
          <w:color w:val="000000"/>
          <w:sz w:val="30"/>
          <w:szCs w:val="30"/>
          <w:lang w:eastAsia="it-IT"/>
        </w:rPr>
        <w:t>6.</w:t>
      </w:r>
      <w:r w:rsidRPr="002A302F">
        <w:rPr>
          <w:rFonts w:ascii="Garamond" w:eastAsia="Times New Roman" w:hAnsi="Garamond" w:cs="Times New Roman"/>
          <w:color w:val="000000"/>
          <w:sz w:val="30"/>
          <w:szCs w:val="30"/>
          <w:lang w:eastAsia="it-IT"/>
        </w:rPr>
        <w:t> La sentenza è stata impugnata dalla soccombente società con appello al Consiglio di giustizia amministrativa per la Regione Siciliana.</w:t>
      </w:r>
    </w:p>
    <w:p w:rsidR="002A302F" w:rsidRPr="002A302F" w:rsidRDefault="002A302F" w:rsidP="002A302F">
      <w:pPr>
        <w:spacing w:after="0" w:line="520" w:lineRule="atLeast"/>
        <w:jc w:val="both"/>
        <w:rPr>
          <w:rFonts w:ascii="Times New Roman" w:eastAsia="Times New Roman" w:hAnsi="Times New Roman" w:cs="Times New Roman"/>
          <w:color w:val="000000"/>
          <w:sz w:val="27"/>
          <w:szCs w:val="27"/>
          <w:lang w:eastAsia="it-IT"/>
        </w:rPr>
      </w:pPr>
      <w:r w:rsidRPr="002A302F">
        <w:rPr>
          <w:rFonts w:ascii="Garamond" w:eastAsia="Times New Roman" w:hAnsi="Garamond" w:cs="Times New Roman"/>
          <w:i/>
          <w:iCs/>
          <w:color w:val="000000"/>
          <w:sz w:val="30"/>
          <w:szCs w:val="30"/>
          <w:lang w:eastAsia="it-IT"/>
        </w:rPr>
        <w:t>7</w:t>
      </w:r>
      <w:r w:rsidRPr="002A302F">
        <w:rPr>
          <w:rFonts w:ascii="Garamond" w:eastAsia="Times New Roman" w:hAnsi="Garamond" w:cs="Times New Roman"/>
          <w:color w:val="000000"/>
          <w:sz w:val="30"/>
          <w:szCs w:val="30"/>
          <w:lang w:eastAsia="it-IT"/>
        </w:rPr>
        <w:t>. Il Consiglio di giustizia amministrativa per la Regione Siciliana, con ordinanza 2 gennaio 2012, n. 2, ha rimesso l’esame della causa all’adunanza plenaria, ai sensi dell’art. 99, comma 1, cod. proc. amm. e dell’art. 10, comma 4, d.lgs. 24 dicembre 2003, n. 373, sussistendo un contrasto di giurisprudenza sulla questione controversa.</w:t>
      </w:r>
    </w:p>
    <w:p w:rsidR="002A302F" w:rsidRPr="002A302F" w:rsidRDefault="002A302F" w:rsidP="002A302F">
      <w:pPr>
        <w:spacing w:after="0" w:line="520" w:lineRule="atLeast"/>
        <w:jc w:val="both"/>
        <w:rPr>
          <w:rFonts w:ascii="Times New Roman" w:eastAsia="Times New Roman" w:hAnsi="Times New Roman" w:cs="Times New Roman"/>
          <w:color w:val="000000"/>
          <w:sz w:val="27"/>
          <w:szCs w:val="27"/>
          <w:lang w:eastAsia="it-IT"/>
        </w:rPr>
      </w:pPr>
      <w:r w:rsidRPr="002A302F">
        <w:rPr>
          <w:rFonts w:ascii="Garamond" w:eastAsia="Times New Roman" w:hAnsi="Garamond" w:cs="Times New Roman"/>
          <w:color w:val="000000"/>
          <w:sz w:val="30"/>
          <w:szCs w:val="30"/>
          <w:lang w:eastAsia="it-IT"/>
        </w:rPr>
        <w:t>Rileva l’ordinanza di rimessione che l’orientamento fatto proprio dal Tar con la sentenza appellata, e secondo cui il giudizio di ottemperanza non potrebbe essere utilizzato per conseguire l’esecuzione di provvedimenti adottati dal giudice dell’esecuzione civile, trova (per quanto almeno riguarda l’ordinanza </w:t>
      </w:r>
      <w:r w:rsidRPr="002A302F">
        <w:rPr>
          <w:rFonts w:ascii="Garamond" w:eastAsia="Times New Roman" w:hAnsi="Garamond" w:cs="Times New Roman"/>
          <w:i/>
          <w:iCs/>
          <w:color w:val="000000"/>
          <w:sz w:val="30"/>
          <w:szCs w:val="30"/>
          <w:lang w:eastAsia="it-IT"/>
        </w:rPr>
        <w:t>ex</w:t>
      </w:r>
      <w:r w:rsidRPr="002A302F">
        <w:rPr>
          <w:rFonts w:ascii="Garamond" w:eastAsia="Times New Roman" w:hAnsi="Garamond" w:cs="Times New Roman"/>
          <w:color w:val="000000"/>
          <w:sz w:val="30"/>
          <w:szCs w:val="30"/>
          <w:lang w:eastAsia="it-IT"/>
        </w:rPr>
        <w:t> art. 553 cod. proc. civ.) puntuale smentita nella prevalente giurisprudenza del Consiglio di Stato.</w:t>
      </w:r>
    </w:p>
    <w:p w:rsidR="002A302F" w:rsidRPr="002A302F" w:rsidRDefault="002A302F" w:rsidP="002A302F">
      <w:pPr>
        <w:spacing w:after="0" w:line="520" w:lineRule="atLeast"/>
        <w:jc w:val="both"/>
        <w:rPr>
          <w:rFonts w:ascii="Times New Roman" w:eastAsia="Times New Roman" w:hAnsi="Times New Roman" w:cs="Times New Roman"/>
          <w:color w:val="000000"/>
          <w:sz w:val="27"/>
          <w:szCs w:val="27"/>
          <w:lang w:eastAsia="it-IT"/>
        </w:rPr>
      </w:pPr>
      <w:r w:rsidRPr="002A302F">
        <w:rPr>
          <w:rFonts w:ascii="Garamond" w:eastAsia="Times New Roman" w:hAnsi="Garamond" w:cs="Times New Roman"/>
          <w:color w:val="000000"/>
          <w:sz w:val="30"/>
          <w:szCs w:val="30"/>
          <w:lang w:eastAsia="it-IT"/>
        </w:rPr>
        <w:t>Quest’ultima infatti ritiene ammissibile il ricorso per ottenere l'ottemperanza dell'amministrazione all'ordinanza di assegnazione di un credito vantato nei confronti di quest'ultima, in base al rilievo che detta ordinanza, non revocabile dal giudice della esecuzione né reclamabile, si consolida se non impugnata con il rimedio dell'opposizione agli atti esecutivi nel termine e acquisisce, quindi, quel carattere di definitività che consente di agire per la sua ottemperanza.</w:t>
      </w:r>
    </w:p>
    <w:p w:rsidR="002A302F" w:rsidRPr="002A302F" w:rsidRDefault="002A302F" w:rsidP="002A302F">
      <w:pPr>
        <w:spacing w:after="0" w:line="520" w:lineRule="atLeast"/>
        <w:jc w:val="both"/>
        <w:rPr>
          <w:rFonts w:ascii="Times New Roman" w:eastAsia="Times New Roman" w:hAnsi="Times New Roman" w:cs="Times New Roman"/>
          <w:color w:val="000000"/>
          <w:sz w:val="27"/>
          <w:szCs w:val="27"/>
          <w:lang w:eastAsia="it-IT"/>
        </w:rPr>
      </w:pPr>
      <w:r w:rsidRPr="002A302F">
        <w:rPr>
          <w:rFonts w:ascii="Garamond" w:eastAsia="Times New Roman" w:hAnsi="Garamond" w:cs="Times New Roman"/>
          <w:color w:val="000000"/>
          <w:sz w:val="30"/>
          <w:szCs w:val="30"/>
          <w:lang w:eastAsia="it-IT"/>
        </w:rPr>
        <w:t>L’ordinanza di rimessione prosegue rilevando che opposto è l’orientamento del Consiglio di giustizia amministrativa per la Regione Siciliana, che ha escluso l’esperibilità del rimedio dell’ottemperanza nei confronti delle ordinanze esecutive di assegnazione crediti (cfr. Consiglio di giustizia amministrativa per la Regione Siciliana n. 262 del 1999).</w:t>
      </w:r>
    </w:p>
    <w:p w:rsidR="002A302F" w:rsidRPr="002A302F" w:rsidRDefault="002A302F" w:rsidP="002A302F">
      <w:pPr>
        <w:spacing w:after="0" w:line="520" w:lineRule="atLeast"/>
        <w:jc w:val="both"/>
        <w:rPr>
          <w:rFonts w:ascii="Times New Roman" w:eastAsia="Times New Roman" w:hAnsi="Times New Roman" w:cs="Times New Roman"/>
          <w:color w:val="000000"/>
          <w:sz w:val="27"/>
          <w:szCs w:val="27"/>
          <w:lang w:eastAsia="it-IT"/>
        </w:rPr>
      </w:pPr>
      <w:r w:rsidRPr="002A302F">
        <w:rPr>
          <w:rFonts w:ascii="Garamond" w:eastAsia="Times New Roman" w:hAnsi="Garamond" w:cs="Times New Roman"/>
          <w:color w:val="000000"/>
          <w:sz w:val="30"/>
          <w:szCs w:val="30"/>
          <w:lang w:eastAsia="it-IT"/>
        </w:rPr>
        <w:t>L’ordinanza aderisce a tale orientamento negativo, in base alle considerazioni che seguono:</w:t>
      </w:r>
    </w:p>
    <w:p w:rsidR="002A302F" w:rsidRPr="002A302F" w:rsidRDefault="002A302F" w:rsidP="002A302F">
      <w:pPr>
        <w:spacing w:after="0" w:line="520" w:lineRule="atLeast"/>
        <w:jc w:val="both"/>
        <w:rPr>
          <w:rFonts w:ascii="Times New Roman" w:eastAsia="Times New Roman" w:hAnsi="Times New Roman" w:cs="Times New Roman"/>
          <w:color w:val="000000"/>
          <w:sz w:val="27"/>
          <w:szCs w:val="27"/>
          <w:lang w:eastAsia="it-IT"/>
        </w:rPr>
      </w:pPr>
      <w:r w:rsidRPr="002A302F">
        <w:rPr>
          <w:rFonts w:ascii="Garamond" w:eastAsia="Times New Roman" w:hAnsi="Garamond" w:cs="Times New Roman"/>
          <w:color w:val="000000"/>
          <w:sz w:val="30"/>
          <w:szCs w:val="30"/>
          <w:lang w:eastAsia="it-IT"/>
        </w:rPr>
        <w:t>- l’ordinanza di assegnazione del credito, emessa ai sensi dell’art. 553 cod. proc. civ. rappresenta l’atto conclusivo del procedimento di espropriazione verso terzi e comporta il trasferimento della titolarità del credito pignorato dal debitore esecutato al creditore esecutante;</w:t>
      </w:r>
    </w:p>
    <w:p w:rsidR="002A302F" w:rsidRPr="002A302F" w:rsidRDefault="002A302F" w:rsidP="002A302F">
      <w:pPr>
        <w:spacing w:after="0" w:line="520" w:lineRule="atLeast"/>
        <w:jc w:val="both"/>
        <w:rPr>
          <w:rFonts w:ascii="Times New Roman" w:eastAsia="Times New Roman" w:hAnsi="Times New Roman" w:cs="Times New Roman"/>
          <w:color w:val="000000"/>
          <w:sz w:val="27"/>
          <w:szCs w:val="27"/>
          <w:lang w:eastAsia="it-IT"/>
        </w:rPr>
      </w:pPr>
      <w:r w:rsidRPr="002A302F">
        <w:rPr>
          <w:rFonts w:ascii="Garamond" w:eastAsia="Times New Roman" w:hAnsi="Garamond" w:cs="Times New Roman"/>
          <w:color w:val="000000"/>
          <w:sz w:val="30"/>
          <w:szCs w:val="30"/>
          <w:lang w:eastAsia="it-IT"/>
        </w:rPr>
        <w:t>- tale ordinanza di norma non ha natura decisoria, neppure implicita, del diritto di credito del debitore esecutato nei confronti del terzo pignorato perché, senza accertare in alcun modo l'entità dell'obbligo del terzo, dà solo atto della dichiarazione resa da questo e delle sue specificazioni e precisazioni sul contenuto, sulle modalità, termini e condizioni di adempimento dell'obbligo;</w:t>
      </w:r>
    </w:p>
    <w:p w:rsidR="002A302F" w:rsidRPr="002A302F" w:rsidRDefault="002A302F" w:rsidP="002A302F">
      <w:pPr>
        <w:spacing w:after="0" w:line="520" w:lineRule="atLeast"/>
        <w:jc w:val="both"/>
        <w:rPr>
          <w:rFonts w:ascii="Times New Roman" w:eastAsia="Times New Roman" w:hAnsi="Times New Roman" w:cs="Times New Roman"/>
          <w:color w:val="000000"/>
          <w:sz w:val="27"/>
          <w:szCs w:val="27"/>
          <w:lang w:eastAsia="it-IT"/>
        </w:rPr>
      </w:pPr>
      <w:r w:rsidRPr="002A302F">
        <w:rPr>
          <w:rFonts w:ascii="Garamond" w:eastAsia="Times New Roman" w:hAnsi="Garamond" w:cs="Times New Roman"/>
          <w:color w:val="000000"/>
          <w:sz w:val="30"/>
          <w:szCs w:val="30"/>
          <w:lang w:eastAsia="it-IT"/>
        </w:rPr>
        <w:t>- ove non opposta, l’ordinanza assume il carattere della definitività, ma tale profilo non sembra poter in realtà legittimare l’esperimento del giudizio di ottemperanza, in quanto dal punto di vista formale gli elementi essenziali per l’ammissibilità, innanzi al giudice amministrativo, del ricorso di ottemperanza sono – congiuntamente - la natura decisoria del provvedimento del giudice e l’avvenuto passaggio in giudicato;</w:t>
      </w:r>
    </w:p>
    <w:p w:rsidR="002A302F" w:rsidRPr="002A302F" w:rsidRDefault="002A302F" w:rsidP="002A302F">
      <w:pPr>
        <w:spacing w:after="0" w:line="520" w:lineRule="atLeast"/>
        <w:jc w:val="both"/>
        <w:rPr>
          <w:rFonts w:ascii="Times New Roman" w:eastAsia="Times New Roman" w:hAnsi="Times New Roman" w:cs="Times New Roman"/>
          <w:color w:val="000000"/>
          <w:sz w:val="27"/>
          <w:szCs w:val="27"/>
          <w:lang w:eastAsia="it-IT"/>
        </w:rPr>
      </w:pPr>
      <w:r w:rsidRPr="002A302F">
        <w:rPr>
          <w:rFonts w:ascii="Garamond" w:eastAsia="Times New Roman" w:hAnsi="Garamond" w:cs="Times New Roman"/>
          <w:color w:val="000000"/>
          <w:sz w:val="30"/>
          <w:szCs w:val="30"/>
          <w:lang w:eastAsia="it-IT"/>
        </w:rPr>
        <w:t>- l’ordinanza di assegnazione invece non sarebbe ontologicamente suscettibile di passare in giudicato e cioè di far stato ad ogni effetto tra le parti; essa inoltre e soprattutto (rientrando nell’ambito dei provvedimenti diretti ad assicurare l’ordinato svolgimento del processo di esecuzione e non destinati a risolvere in modo irretrattabile una controversia tra le parti non avrebbe carattere tecnicamente decisorio, nel senso che, appartenendo appunto al processo di esecuzione, non risolve una controversia a seguito dell’instaurazione di un giudizio di cognizione;</w:t>
      </w:r>
    </w:p>
    <w:p w:rsidR="002A302F" w:rsidRPr="002A302F" w:rsidRDefault="002A302F" w:rsidP="002A302F">
      <w:pPr>
        <w:spacing w:after="0" w:line="520" w:lineRule="atLeast"/>
        <w:jc w:val="both"/>
        <w:rPr>
          <w:rFonts w:ascii="Times New Roman" w:eastAsia="Times New Roman" w:hAnsi="Times New Roman" w:cs="Times New Roman"/>
          <w:color w:val="000000"/>
          <w:sz w:val="27"/>
          <w:szCs w:val="27"/>
          <w:lang w:eastAsia="it-IT"/>
        </w:rPr>
      </w:pPr>
      <w:r w:rsidRPr="002A302F">
        <w:rPr>
          <w:rFonts w:ascii="Garamond" w:eastAsia="Times New Roman" w:hAnsi="Garamond" w:cs="Times New Roman"/>
          <w:color w:val="000000"/>
          <w:sz w:val="30"/>
          <w:szCs w:val="30"/>
          <w:lang w:eastAsia="it-IT"/>
        </w:rPr>
        <w:t>- tale tesi negativa troverebbe conferma nell’art. 112, comma 2, lett. c), cod. proc. amm., a tenore del quale il ricorso in ottemperanza è dato per conseguire attuazione delle sentenze passate in giudicato e degli altri provvedimenti ad esse equiparati del giudice ordinario, al fine di ottenere l’adempimento dell’obbligo della pubblica amministrazione di conformarsi, per quanto riguarda il caso deciso, al giudicato; il riferimento ai provvedimenti “</w:t>
      </w:r>
      <w:r w:rsidRPr="002A302F">
        <w:rPr>
          <w:rFonts w:ascii="Garamond" w:eastAsia="Times New Roman" w:hAnsi="Garamond" w:cs="Times New Roman"/>
          <w:i/>
          <w:iCs/>
          <w:color w:val="000000"/>
          <w:sz w:val="30"/>
          <w:szCs w:val="30"/>
          <w:lang w:eastAsia="it-IT"/>
        </w:rPr>
        <w:t>equiparati</w:t>
      </w:r>
      <w:r w:rsidRPr="002A302F">
        <w:rPr>
          <w:rFonts w:ascii="Garamond" w:eastAsia="Times New Roman" w:hAnsi="Garamond" w:cs="Times New Roman"/>
          <w:color w:val="000000"/>
          <w:sz w:val="30"/>
          <w:szCs w:val="30"/>
          <w:lang w:eastAsia="it-IT"/>
        </w:rPr>
        <w:t>” alle sentenze recepisce solo alcune delle aperture giurisprudenziali intervenute nel vigore delle vecchie normative sull’ottemperanza: per effetto di tale operazione selettiva, a livello normativo resta chiarito che il giudizio di ottemperanza è esperibile (</w:t>
      </w:r>
      <w:r w:rsidRPr="002A302F">
        <w:rPr>
          <w:rFonts w:ascii="Garamond" w:eastAsia="Times New Roman" w:hAnsi="Garamond" w:cs="Times New Roman"/>
          <w:i/>
          <w:iCs/>
          <w:color w:val="000000"/>
          <w:sz w:val="30"/>
          <w:szCs w:val="30"/>
          <w:lang w:eastAsia="it-IT"/>
        </w:rPr>
        <w:t>non contro qualunque provvedimento giudiziario definitivo) </w:t>
      </w:r>
      <w:r w:rsidRPr="002A302F">
        <w:rPr>
          <w:rFonts w:ascii="Garamond" w:eastAsia="Times New Roman" w:hAnsi="Garamond" w:cs="Times New Roman"/>
          <w:color w:val="000000"/>
          <w:sz w:val="30"/>
          <w:szCs w:val="30"/>
          <w:lang w:eastAsia="it-IT"/>
        </w:rPr>
        <w:t>bensì soltanto per ottenere l’attuazione di provvedimenti diversi dalle sentenze ma ad esse equiparati e cioè come detto sopra caratterizzati dal carattere decisorio e per l’attitudine a passare in giudicato.</w:t>
      </w:r>
    </w:p>
    <w:p w:rsidR="002A302F" w:rsidRPr="002A302F" w:rsidRDefault="002A302F" w:rsidP="002A302F">
      <w:pPr>
        <w:spacing w:after="0" w:line="240" w:lineRule="auto"/>
        <w:rPr>
          <w:rFonts w:ascii="Times New Roman" w:eastAsia="Times New Roman" w:hAnsi="Times New Roman" w:cs="Times New Roman"/>
          <w:color w:val="000000"/>
          <w:sz w:val="27"/>
          <w:szCs w:val="27"/>
          <w:lang w:eastAsia="it-IT"/>
        </w:rPr>
      </w:pPr>
      <w:r w:rsidRPr="002A302F">
        <w:rPr>
          <w:rFonts w:ascii="Times New Roman" w:eastAsia="Times New Roman" w:hAnsi="Times New Roman" w:cs="Times New Roman"/>
          <w:color w:val="000000"/>
          <w:sz w:val="27"/>
          <w:szCs w:val="27"/>
          <w:lang w:eastAsia="it-IT"/>
        </w:rPr>
        <w:t> </w:t>
      </w:r>
    </w:p>
    <w:p w:rsidR="002A302F" w:rsidRPr="002A302F" w:rsidRDefault="002A302F" w:rsidP="002A302F">
      <w:pPr>
        <w:spacing w:after="0" w:line="540" w:lineRule="atLeast"/>
        <w:jc w:val="center"/>
        <w:rPr>
          <w:rFonts w:ascii="Times New Roman" w:eastAsia="Times New Roman" w:hAnsi="Times New Roman" w:cs="Times New Roman"/>
          <w:color w:val="000000"/>
          <w:sz w:val="27"/>
          <w:szCs w:val="27"/>
          <w:lang w:eastAsia="it-IT"/>
        </w:rPr>
      </w:pPr>
      <w:r w:rsidRPr="002A302F">
        <w:rPr>
          <w:rFonts w:ascii="Garamond" w:eastAsia="Times New Roman" w:hAnsi="Garamond" w:cs="Times New Roman"/>
          <w:color w:val="000000"/>
          <w:sz w:val="30"/>
          <w:szCs w:val="30"/>
          <w:lang w:eastAsia="it-IT"/>
        </w:rPr>
        <w:t>DIRITTO</w:t>
      </w:r>
    </w:p>
    <w:p w:rsidR="002A302F" w:rsidRPr="002A302F" w:rsidRDefault="002A302F" w:rsidP="002A302F">
      <w:pPr>
        <w:spacing w:after="0" w:line="520" w:lineRule="atLeast"/>
        <w:jc w:val="both"/>
        <w:rPr>
          <w:rFonts w:ascii="Times New Roman" w:eastAsia="Times New Roman" w:hAnsi="Times New Roman" w:cs="Times New Roman"/>
          <w:color w:val="000000"/>
          <w:sz w:val="27"/>
          <w:szCs w:val="27"/>
          <w:lang w:eastAsia="it-IT"/>
        </w:rPr>
      </w:pPr>
      <w:r w:rsidRPr="002A302F">
        <w:rPr>
          <w:rFonts w:ascii="Garamond" w:eastAsia="Times New Roman" w:hAnsi="Garamond" w:cs="Times New Roman"/>
          <w:i/>
          <w:iCs/>
          <w:color w:val="000000"/>
          <w:sz w:val="30"/>
          <w:szCs w:val="30"/>
          <w:lang w:eastAsia="it-IT"/>
        </w:rPr>
        <w:t>1.</w:t>
      </w:r>
      <w:r w:rsidRPr="002A302F">
        <w:rPr>
          <w:rFonts w:ascii="Garamond" w:eastAsia="Times New Roman" w:hAnsi="Garamond" w:cs="Times New Roman"/>
          <w:color w:val="000000"/>
          <w:sz w:val="30"/>
          <w:szCs w:val="30"/>
          <w:lang w:eastAsia="it-IT"/>
        </w:rPr>
        <w:t> Il prevalente orientamento sinora espresso dal Consiglio di Stato è nel senso dell’ammissibilità del rimedio del giudizio di ottemperanza per conseguire l’esecuzione di una ordinanza di assegnazione del credito, emessa a carico di una pubblica amministrazione [Cons. St., sez. IV, 1° aprile 1992, n. 352; Id., sez. IV, 15 novembre 2004, n. 7401; Id., sez. IV, 6 novembre 2008, n. 5485; Id., sez. V, 12 ottobre 2009, n. 6241; Id., sez. V, 13 ottobre 2010, n. 7463]; tale orientamento è seguito anche da una parte della giurisprudenza dei Tar [Tar Campania – Napoli, sez. V, 20 gennaio 2005 n. 247].</w:t>
      </w:r>
    </w:p>
    <w:p w:rsidR="002A302F" w:rsidRPr="002A302F" w:rsidRDefault="002A302F" w:rsidP="002A302F">
      <w:pPr>
        <w:spacing w:after="0" w:line="520" w:lineRule="atLeast"/>
        <w:jc w:val="both"/>
        <w:rPr>
          <w:rFonts w:ascii="Times New Roman" w:eastAsia="Times New Roman" w:hAnsi="Times New Roman" w:cs="Times New Roman"/>
          <w:color w:val="000000"/>
          <w:sz w:val="27"/>
          <w:szCs w:val="27"/>
          <w:lang w:eastAsia="it-IT"/>
        </w:rPr>
      </w:pPr>
      <w:r w:rsidRPr="002A302F">
        <w:rPr>
          <w:rFonts w:ascii="Garamond" w:eastAsia="Times New Roman" w:hAnsi="Garamond" w:cs="Times New Roman"/>
          <w:color w:val="000000"/>
          <w:sz w:val="30"/>
          <w:szCs w:val="30"/>
          <w:lang w:eastAsia="it-IT"/>
        </w:rPr>
        <w:t>Tale orientamento risulta contrastato sia dal precedente del Consiglio di giustizia ammistrativa per la Regione Siciliana [14 giugno 1999 n. 262], sia da decisioni di Tar [Tar Campania – Napoli, sez. V, 10 ottobre 2008 n. 14692, non appellata; Id., 13 novembre 2009 n. 7373, riformata da Cons. St., sez. V, n. 7463/2010; Tar Lazio – Roma, sez. II, 8 luglio 2009, n. 6667, non appellata; Tar Sicilia – Palermo, sez. I, 5 luglio 2006, n. 1575, non appellata; Tar Sicilia – Catania, sez. II, 30 giugno 2009, n. 1202, non appellata].</w:t>
      </w:r>
    </w:p>
    <w:p w:rsidR="002A302F" w:rsidRPr="002A302F" w:rsidRDefault="002A302F" w:rsidP="002A302F">
      <w:pPr>
        <w:spacing w:after="0" w:line="520" w:lineRule="atLeast"/>
        <w:jc w:val="both"/>
        <w:rPr>
          <w:rFonts w:ascii="Times New Roman" w:eastAsia="Times New Roman" w:hAnsi="Times New Roman" w:cs="Times New Roman"/>
          <w:color w:val="000000"/>
          <w:sz w:val="27"/>
          <w:szCs w:val="27"/>
          <w:lang w:eastAsia="it-IT"/>
        </w:rPr>
      </w:pPr>
      <w:r w:rsidRPr="002A302F">
        <w:rPr>
          <w:rFonts w:ascii="Garamond" w:eastAsia="Times New Roman" w:hAnsi="Garamond" w:cs="Times New Roman"/>
          <w:i/>
          <w:iCs/>
          <w:color w:val="000000"/>
          <w:sz w:val="30"/>
          <w:szCs w:val="30"/>
          <w:lang w:eastAsia="it-IT"/>
        </w:rPr>
        <w:t>2.</w:t>
      </w:r>
      <w:r w:rsidRPr="002A302F">
        <w:rPr>
          <w:rFonts w:ascii="Garamond" w:eastAsia="Times New Roman" w:hAnsi="Garamond" w:cs="Times New Roman"/>
          <w:color w:val="000000"/>
          <w:sz w:val="30"/>
          <w:szCs w:val="30"/>
          <w:lang w:eastAsia="it-IT"/>
        </w:rPr>
        <w:t> Il giudizio di ottemperanza, ai sensi dell’art. 112, comma 2, lett. c), cod. proc. amm., ha per oggetto le sentenze passate in giudicato e gli altri provvedimenti ad esse equiparati del giudice ordinario, al fine di ottenere l’adempimento dell’obbligo della pubblica amministrativa di conformarsi, per quanto riguarda il caso deciso, al giudicato.</w:t>
      </w:r>
    </w:p>
    <w:p w:rsidR="002A302F" w:rsidRPr="002A302F" w:rsidRDefault="002A302F" w:rsidP="002A302F">
      <w:pPr>
        <w:spacing w:after="0" w:line="520" w:lineRule="atLeast"/>
        <w:jc w:val="both"/>
        <w:rPr>
          <w:rFonts w:ascii="Times New Roman" w:eastAsia="Times New Roman" w:hAnsi="Times New Roman" w:cs="Times New Roman"/>
          <w:color w:val="000000"/>
          <w:sz w:val="27"/>
          <w:szCs w:val="27"/>
          <w:lang w:eastAsia="it-IT"/>
        </w:rPr>
      </w:pPr>
      <w:r w:rsidRPr="002A302F">
        <w:rPr>
          <w:rFonts w:ascii="Garamond" w:eastAsia="Times New Roman" w:hAnsi="Garamond" w:cs="Times New Roman"/>
          <w:color w:val="000000"/>
          <w:sz w:val="30"/>
          <w:szCs w:val="30"/>
          <w:lang w:eastAsia="it-IT"/>
        </w:rPr>
        <w:t>Si richiede pertanto un provvedimento giurisdizionale del giudice ordinario con il carattere della decisorietà e passato in giudicato, rivolto ad una pubblica amministrazione o soggetta ad essa equiparato dall’ordinamento.</w:t>
      </w:r>
    </w:p>
    <w:p w:rsidR="002A302F" w:rsidRPr="002A302F" w:rsidRDefault="002A302F" w:rsidP="002A302F">
      <w:pPr>
        <w:spacing w:after="0" w:line="520" w:lineRule="atLeast"/>
        <w:jc w:val="both"/>
        <w:rPr>
          <w:rFonts w:ascii="Times New Roman" w:eastAsia="Times New Roman" w:hAnsi="Times New Roman" w:cs="Times New Roman"/>
          <w:color w:val="000000"/>
          <w:sz w:val="27"/>
          <w:szCs w:val="27"/>
          <w:lang w:eastAsia="it-IT"/>
        </w:rPr>
      </w:pPr>
      <w:r w:rsidRPr="002A302F">
        <w:rPr>
          <w:rFonts w:ascii="Garamond" w:eastAsia="Times New Roman" w:hAnsi="Garamond" w:cs="Times New Roman"/>
          <w:i/>
          <w:iCs/>
          <w:color w:val="000000"/>
          <w:sz w:val="30"/>
          <w:szCs w:val="30"/>
          <w:lang w:eastAsia="it-IT"/>
        </w:rPr>
        <w:t>3.</w:t>
      </w:r>
      <w:r w:rsidRPr="002A302F">
        <w:rPr>
          <w:rFonts w:ascii="Garamond" w:eastAsia="Times New Roman" w:hAnsi="Garamond" w:cs="Times New Roman"/>
          <w:color w:val="000000"/>
          <w:sz w:val="30"/>
          <w:szCs w:val="30"/>
          <w:lang w:eastAsia="it-IT"/>
        </w:rPr>
        <w:t> Si tratta allora anzitutto di stabilire se costituisca o meno provvedimento decisorio avente attitudine al giudicato l’ordinanza di assegnazione di un credito, emessa ai sensi dell’art. 553 cod. proc. civ. dal giudice civile dell’esecuzione nell’ambito di un processo di espropriazione presso terzi ai sensi dell’art. 543 e ss. cod. proc. civ., e in cui la pubblica amministrazione abbia la veste del terzo debitore del debitore.</w:t>
      </w:r>
    </w:p>
    <w:p w:rsidR="002A302F" w:rsidRPr="002A302F" w:rsidRDefault="002A302F" w:rsidP="002A302F">
      <w:pPr>
        <w:spacing w:after="0" w:line="520" w:lineRule="atLeast"/>
        <w:jc w:val="both"/>
        <w:rPr>
          <w:rFonts w:ascii="Times New Roman" w:eastAsia="Times New Roman" w:hAnsi="Times New Roman" w:cs="Times New Roman"/>
          <w:color w:val="000000"/>
          <w:sz w:val="27"/>
          <w:szCs w:val="27"/>
          <w:lang w:eastAsia="it-IT"/>
        </w:rPr>
      </w:pPr>
      <w:r w:rsidRPr="002A302F">
        <w:rPr>
          <w:rFonts w:ascii="Garamond" w:eastAsia="Times New Roman" w:hAnsi="Garamond" w:cs="Times New Roman"/>
          <w:color w:val="000000"/>
          <w:sz w:val="30"/>
          <w:szCs w:val="30"/>
          <w:lang w:eastAsia="it-IT"/>
        </w:rPr>
        <w:t>Occorre poi stabilire, ove si riconosca a detta ordinanza carattere decisorio e attitudine al giudicato, se la stessa possa esere considerata fonte di un obbligo di conformazione in capo ad una pubblica amministrazione, suscettibile di ottemperanza.</w:t>
      </w:r>
    </w:p>
    <w:p w:rsidR="002A302F" w:rsidRPr="002A302F" w:rsidRDefault="002A302F" w:rsidP="002A302F">
      <w:pPr>
        <w:spacing w:after="0" w:line="520" w:lineRule="atLeast"/>
        <w:jc w:val="both"/>
        <w:rPr>
          <w:rFonts w:ascii="Times New Roman" w:eastAsia="Times New Roman" w:hAnsi="Times New Roman" w:cs="Times New Roman"/>
          <w:color w:val="000000"/>
          <w:sz w:val="27"/>
          <w:szCs w:val="27"/>
          <w:lang w:eastAsia="it-IT"/>
        </w:rPr>
      </w:pPr>
      <w:r w:rsidRPr="002A302F">
        <w:rPr>
          <w:rFonts w:ascii="Garamond" w:eastAsia="Times New Roman" w:hAnsi="Garamond" w:cs="Times New Roman"/>
          <w:i/>
          <w:iCs/>
          <w:color w:val="000000"/>
          <w:sz w:val="30"/>
          <w:szCs w:val="30"/>
          <w:lang w:eastAsia="it-IT"/>
        </w:rPr>
        <w:t>4.</w:t>
      </w:r>
      <w:r w:rsidRPr="002A302F">
        <w:rPr>
          <w:rFonts w:ascii="Garamond" w:eastAsia="Times New Roman" w:hAnsi="Garamond" w:cs="Times New Roman"/>
          <w:color w:val="000000"/>
          <w:sz w:val="30"/>
          <w:szCs w:val="30"/>
          <w:lang w:eastAsia="it-IT"/>
        </w:rPr>
        <w:t> Nel corso del processo di espropriazione presso terzi, il terzo – debitore del debitore pignorato – può:</w:t>
      </w:r>
    </w:p>
    <w:p w:rsidR="002A302F" w:rsidRPr="002A302F" w:rsidRDefault="002A302F" w:rsidP="002A302F">
      <w:pPr>
        <w:spacing w:after="0" w:line="520" w:lineRule="atLeast"/>
        <w:jc w:val="both"/>
        <w:rPr>
          <w:rFonts w:ascii="Times New Roman" w:eastAsia="Times New Roman" w:hAnsi="Times New Roman" w:cs="Times New Roman"/>
          <w:color w:val="000000"/>
          <w:sz w:val="27"/>
          <w:szCs w:val="27"/>
          <w:lang w:eastAsia="it-IT"/>
        </w:rPr>
      </w:pPr>
      <w:r w:rsidRPr="002A302F">
        <w:rPr>
          <w:rFonts w:ascii="Garamond" w:eastAsia="Times New Roman" w:hAnsi="Garamond" w:cs="Times New Roman"/>
          <w:color w:val="000000"/>
          <w:sz w:val="30"/>
          <w:szCs w:val="30"/>
          <w:lang w:eastAsia="it-IT"/>
        </w:rPr>
        <w:t>a) comparire all’udienza stabilita e fare la dichiarazione circa l’esistenza e l’ammontare del proprio debito (art. 547 cod. proc. civ.);</w:t>
      </w:r>
    </w:p>
    <w:p w:rsidR="002A302F" w:rsidRPr="002A302F" w:rsidRDefault="002A302F" w:rsidP="002A302F">
      <w:pPr>
        <w:spacing w:after="0" w:line="520" w:lineRule="atLeast"/>
        <w:jc w:val="both"/>
        <w:rPr>
          <w:rFonts w:ascii="Times New Roman" w:eastAsia="Times New Roman" w:hAnsi="Times New Roman" w:cs="Times New Roman"/>
          <w:color w:val="000000"/>
          <w:sz w:val="27"/>
          <w:szCs w:val="27"/>
          <w:lang w:eastAsia="it-IT"/>
        </w:rPr>
      </w:pPr>
      <w:r w:rsidRPr="002A302F">
        <w:rPr>
          <w:rFonts w:ascii="Garamond" w:eastAsia="Times New Roman" w:hAnsi="Garamond" w:cs="Times New Roman"/>
          <w:color w:val="000000"/>
          <w:sz w:val="30"/>
          <w:szCs w:val="30"/>
          <w:lang w:eastAsia="it-IT"/>
        </w:rPr>
        <w:t>b) non comparire all’udienza stabilita ovvero comparire e rifiutare di fare la dichiarazione, o rendere dichiarazione contestata.</w:t>
      </w:r>
    </w:p>
    <w:p w:rsidR="002A302F" w:rsidRPr="002A302F" w:rsidRDefault="002A302F" w:rsidP="002A302F">
      <w:pPr>
        <w:spacing w:after="0" w:line="520" w:lineRule="atLeast"/>
        <w:jc w:val="both"/>
        <w:rPr>
          <w:rFonts w:ascii="Times New Roman" w:eastAsia="Times New Roman" w:hAnsi="Times New Roman" w:cs="Times New Roman"/>
          <w:color w:val="000000"/>
          <w:sz w:val="27"/>
          <w:szCs w:val="27"/>
          <w:lang w:eastAsia="it-IT"/>
        </w:rPr>
      </w:pPr>
      <w:r w:rsidRPr="002A302F">
        <w:rPr>
          <w:rFonts w:ascii="Garamond" w:eastAsia="Times New Roman" w:hAnsi="Garamond" w:cs="Times New Roman"/>
          <w:color w:val="000000"/>
          <w:sz w:val="30"/>
          <w:szCs w:val="30"/>
          <w:lang w:eastAsia="it-IT"/>
        </w:rPr>
        <w:t>Nel primo caso il giudice dell’esecuzione provvede a emettere l’ordinanza di assegnazione del credito al creditore esecutante (art. 553 cod. proc. civ.).</w:t>
      </w:r>
    </w:p>
    <w:p w:rsidR="002A302F" w:rsidRPr="002A302F" w:rsidRDefault="002A302F" w:rsidP="002A302F">
      <w:pPr>
        <w:spacing w:after="0" w:line="520" w:lineRule="atLeast"/>
        <w:jc w:val="both"/>
        <w:rPr>
          <w:rFonts w:ascii="Times New Roman" w:eastAsia="Times New Roman" w:hAnsi="Times New Roman" w:cs="Times New Roman"/>
          <w:color w:val="000000"/>
          <w:sz w:val="27"/>
          <w:szCs w:val="27"/>
          <w:lang w:eastAsia="it-IT"/>
        </w:rPr>
      </w:pPr>
      <w:r w:rsidRPr="002A302F">
        <w:rPr>
          <w:rFonts w:ascii="Garamond" w:eastAsia="Times New Roman" w:hAnsi="Garamond" w:cs="Times New Roman"/>
          <w:color w:val="000000"/>
          <w:sz w:val="30"/>
          <w:szCs w:val="30"/>
          <w:lang w:eastAsia="it-IT"/>
        </w:rPr>
        <w:t>Peraltro, secondo consolidata giurisprudenza, in sede di assegnazione </w:t>
      </w:r>
      <w:r w:rsidRPr="002A302F">
        <w:rPr>
          <w:rFonts w:ascii="Garamond" w:eastAsia="Times New Roman" w:hAnsi="Garamond" w:cs="Times New Roman"/>
          <w:i/>
          <w:iCs/>
          <w:color w:val="000000"/>
          <w:sz w:val="30"/>
          <w:szCs w:val="30"/>
          <w:lang w:eastAsia="it-IT"/>
        </w:rPr>
        <w:t>ex</w:t>
      </w:r>
      <w:r w:rsidRPr="002A302F">
        <w:rPr>
          <w:rFonts w:ascii="Garamond" w:eastAsia="Times New Roman" w:hAnsi="Garamond" w:cs="Times New Roman"/>
          <w:color w:val="000000"/>
          <w:sz w:val="30"/>
          <w:szCs w:val="30"/>
          <w:lang w:eastAsia="it-IT"/>
        </w:rPr>
        <w:t> art. 553 cod. proc. civ. di crediti pignorati, il giudice dell’esecuzione deve controllare, anche d’ufficio e al di fuori di una specifica contestazione insorta tra le parti, se il credito preteso dal creditore pignorante corrisponda alle indicazioni del titolo esecutivo e può esercitare d’ufficio poteri di valutazione e, implicitamente, di riduzione di quanto domandato [Cass. civ., sez. III, 8 aprile 2003 n. 5510; Id., sez. lav., 16 febbraio 2000 n. 1728; Id., sez. III, 10 settembre 1996 n. 8215]</w:t>
      </w:r>
    </w:p>
    <w:p w:rsidR="002A302F" w:rsidRPr="002A302F" w:rsidRDefault="002A302F" w:rsidP="002A302F">
      <w:pPr>
        <w:spacing w:after="0" w:line="520" w:lineRule="atLeast"/>
        <w:jc w:val="both"/>
        <w:rPr>
          <w:rFonts w:ascii="Times New Roman" w:eastAsia="Times New Roman" w:hAnsi="Times New Roman" w:cs="Times New Roman"/>
          <w:color w:val="000000"/>
          <w:sz w:val="27"/>
          <w:szCs w:val="27"/>
          <w:lang w:eastAsia="it-IT"/>
        </w:rPr>
      </w:pPr>
      <w:r w:rsidRPr="002A302F">
        <w:rPr>
          <w:rFonts w:ascii="Garamond" w:eastAsia="Times New Roman" w:hAnsi="Garamond" w:cs="Times New Roman"/>
          <w:color w:val="000000"/>
          <w:sz w:val="30"/>
          <w:szCs w:val="30"/>
          <w:lang w:eastAsia="it-IT"/>
        </w:rPr>
        <w:t>Nel secondo caso, si apre un giudizio di cognizione per l’accertamento del credito, a conclusione del quale, se il credito è accertato, il processo esecutivo prosegue e viene emessa l’ordinanza di assegnazione del credito (artt. 549, 549,553 cod. proc. civ.).</w:t>
      </w:r>
    </w:p>
    <w:p w:rsidR="002A302F" w:rsidRPr="002A302F" w:rsidRDefault="002A302F" w:rsidP="002A302F">
      <w:pPr>
        <w:spacing w:after="0" w:line="520" w:lineRule="atLeast"/>
        <w:jc w:val="both"/>
        <w:rPr>
          <w:rFonts w:ascii="Times New Roman" w:eastAsia="Times New Roman" w:hAnsi="Times New Roman" w:cs="Times New Roman"/>
          <w:color w:val="000000"/>
          <w:sz w:val="27"/>
          <w:szCs w:val="27"/>
          <w:lang w:eastAsia="it-IT"/>
        </w:rPr>
      </w:pPr>
      <w:r w:rsidRPr="002A302F">
        <w:rPr>
          <w:rFonts w:ascii="Garamond" w:eastAsia="Times New Roman" w:hAnsi="Garamond" w:cs="Times New Roman"/>
          <w:color w:val="000000"/>
          <w:sz w:val="30"/>
          <w:szCs w:val="30"/>
          <w:lang w:eastAsia="it-IT"/>
        </w:rPr>
        <w:t>Pertanto l’ordinanza di assegnazione del credito postula sempre e comunque l’accertamento dell’esistenza e dell’ammontare del credito, vuoi sulla base della dichiarazione, non contestata, del terzo debitore, vuoi sulla base di un giudizio di cognizione incidente nel processo di esecuzione presso terzi. E infatti, l’art. 553 cod. proc. civ. dispone che il giudice ordina l’assegnazione del credito “</w:t>
      </w:r>
      <w:r w:rsidRPr="002A302F">
        <w:rPr>
          <w:rFonts w:ascii="Garamond" w:eastAsia="Times New Roman" w:hAnsi="Garamond" w:cs="Times New Roman"/>
          <w:i/>
          <w:iCs/>
          <w:color w:val="000000"/>
          <w:sz w:val="30"/>
          <w:szCs w:val="30"/>
          <w:lang w:eastAsia="it-IT"/>
        </w:rPr>
        <w:t>se il terzo si dichiara o è dichiarato debitore</w:t>
      </w:r>
      <w:r w:rsidRPr="002A302F">
        <w:rPr>
          <w:rFonts w:ascii="Garamond" w:eastAsia="Times New Roman" w:hAnsi="Garamond" w:cs="Times New Roman"/>
          <w:color w:val="000000"/>
          <w:sz w:val="30"/>
          <w:szCs w:val="30"/>
          <w:lang w:eastAsia="it-IT"/>
        </w:rPr>
        <w:t>”.</w:t>
      </w:r>
    </w:p>
    <w:p w:rsidR="002A302F" w:rsidRPr="002A302F" w:rsidRDefault="002A302F" w:rsidP="002A302F">
      <w:pPr>
        <w:spacing w:after="0" w:line="520" w:lineRule="atLeast"/>
        <w:jc w:val="both"/>
        <w:rPr>
          <w:rFonts w:ascii="Times New Roman" w:eastAsia="Times New Roman" w:hAnsi="Times New Roman" w:cs="Times New Roman"/>
          <w:color w:val="000000"/>
          <w:sz w:val="27"/>
          <w:szCs w:val="27"/>
          <w:lang w:eastAsia="it-IT"/>
        </w:rPr>
      </w:pPr>
      <w:r w:rsidRPr="002A302F">
        <w:rPr>
          <w:rFonts w:ascii="Garamond" w:eastAsia="Times New Roman" w:hAnsi="Garamond" w:cs="Times New Roman"/>
          <w:color w:val="000000"/>
          <w:sz w:val="30"/>
          <w:szCs w:val="30"/>
          <w:lang w:eastAsia="it-IT"/>
        </w:rPr>
        <w:t>L’ordinanza di assegnazione del credito pignorato rappresenta l’atto finale e conclusivo del procedimento di espropriazione verso terzi, che determina il trasferimento del credito pignorato dal debitore esecutato al creditore del medesimo [Cass. civ., sez. I, 31 marzo 2011, n. 7508; Id., sez. III, 29 ottobre 2003 n. 16232].</w:t>
      </w:r>
    </w:p>
    <w:p w:rsidR="002A302F" w:rsidRPr="002A302F" w:rsidRDefault="002A302F" w:rsidP="002A302F">
      <w:pPr>
        <w:spacing w:after="0" w:line="520" w:lineRule="atLeast"/>
        <w:jc w:val="both"/>
        <w:rPr>
          <w:rFonts w:ascii="Times New Roman" w:eastAsia="Times New Roman" w:hAnsi="Times New Roman" w:cs="Times New Roman"/>
          <w:color w:val="000000"/>
          <w:sz w:val="27"/>
          <w:szCs w:val="27"/>
          <w:lang w:eastAsia="it-IT"/>
        </w:rPr>
      </w:pPr>
      <w:r w:rsidRPr="002A302F">
        <w:rPr>
          <w:rFonts w:ascii="Garamond" w:eastAsia="Times New Roman" w:hAnsi="Garamond" w:cs="Times New Roman"/>
          <w:i/>
          <w:iCs/>
          <w:color w:val="000000"/>
          <w:sz w:val="30"/>
          <w:szCs w:val="30"/>
          <w:lang w:eastAsia="it-IT"/>
        </w:rPr>
        <w:t>5.</w:t>
      </w:r>
      <w:r w:rsidRPr="002A302F">
        <w:rPr>
          <w:rFonts w:ascii="Garamond" w:eastAsia="Times New Roman" w:hAnsi="Garamond" w:cs="Times New Roman"/>
          <w:color w:val="000000"/>
          <w:sz w:val="30"/>
          <w:szCs w:val="30"/>
          <w:lang w:eastAsia="it-IT"/>
        </w:rPr>
        <w:t> Quanto ai rimedi avverso tale ordinanza, la stessa non è revocabile né modificabile da parte del giudice dell’esecuzione, e deve essere impugnata con il rimedio dell’opposizione agli atti esecutivi quando si tratta di far valere vizi che si riferiscono ai singoli atti esecutivi o ad essa stessa, mentre può essere impugnata con l’appello, quando la sua pronuncia abbia assunto natura decisoria, per aver inciso sulle posizioni sostanziali del creditore o del debitore; il suddetto provvedimento non è invece mai soggetto al ricorso per cassazione </w:t>
      </w:r>
      <w:r w:rsidRPr="002A302F">
        <w:rPr>
          <w:rFonts w:ascii="Garamond" w:eastAsia="Times New Roman" w:hAnsi="Garamond" w:cs="Times New Roman"/>
          <w:i/>
          <w:iCs/>
          <w:color w:val="000000"/>
          <w:sz w:val="30"/>
          <w:szCs w:val="30"/>
          <w:lang w:eastAsia="it-IT"/>
        </w:rPr>
        <w:t>ex</w:t>
      </w:r>
      <w:r w:rsidRPr="002A302F">
        <w:rPr>
          <w:rFonts w:ascii="Garamond" w:eastAsia="Times New Roman" w:hAnsi="Garamond" w:cs="Times New Roman"/>
          <w:color w:val="000000"/>
          <w:sz w:val="30"/>
          <w:szCs w:val="30"/>
          <w:lang w:eastAsia="it-IT"/>
        </w:rPr>
        <w:t> art. 111 Cost., che, se proposto, deve essere dichiarato inammissibile [Cass. civ., sez. III, 9 marzo 2011 n. 5529; Id., sez. III, 22 giugno 2007 n. 14574; Cass. civ., sez. III, 22 febbraio 2008 n. 4578].</w:t>
      </w:r>
    </w:p>
    <w:p w:rsidR="002A302F" w:rsidRPr="002A302F" w:rsidRDefault="002A302F" w:rsidP="002A302F">
      <w:pPr>
        <w:spacing w:after="0" w:line="520" w:lineRule="atLeast"/>
        <w:jc w:val="both"/>
        <w:rPr>
          <w:rFonts w:ascii="Times New Roman" w:eastAsia="Times New Roman" w:hAnsi="Times New Roman" w:cs="Times New Roman"/>
          <w:color w:val="000000"/>
          <w:sz w:val="27"/>
          <w:szCs w:val="27"/>
          <w:lang w:eastAsia="it-IT"/>
        </w:rPr>
      </w:pPr>
      <w:r w:rsidRPr="002A302F">
        <w:rPr>
          <w:rFonts w:ascii="Garamond" w:eastAsia="Times New Roman" w:hAnsi="Garamond" w:cs="Times New Roman"/>
          <w:color w:val="000000"/>
          <w:sz w:val="30"/>
          <w:szCs w:val="30"/>
          <w:lang w:eastAsia="it-IT"/>
        </w:rPr>
        <w:t>Con l’ordinanza di assegnazione del credito pignorato, pertanto, si conclude la procedura di espropriazione presso terzi [Cass. civ., sez. III, 29 novembre 2005 n. 26036].</w:t>
      </w:r>
    </w:p>
    <w:p w:rsidR="002A302F" w:rsidRPr="002A302F" w:rsidRDefault="002A302F" w:rsidP="002A302F">
      <w:pPr>
        <w:spacing w:after="0" w:line="520" w:lineRule="atLeast"/>
        <w:jc w:val="both"/>
        <w:rPr>
          <w:rFonts w:ascii="Times New Roman" w:eastAsia="Times New Roman" w:hAnsi="Times New Roman" w:cs="Times New Roman"/>
          <w:color w:val="000000"/>
          <w:sz w:val="27"/>
          <w:szCs w:val="27"/>
          <w:lang w:eastAsia="it-IT"/>
        </w:rPr>
      </w:pPr>
      <w:r w:rsidRPr="002A302F">
        <w:rPr>
          <w:rFonts w:ascii="Garamond" w:eastAsia="Times New Roman" w:hAnsi="Garamond" w:cs="Times New Roman"/>
          <w:i/>
          <w:iCs/>
          <w:color w:val="000000"/>
          <w:sz w:val="30"/>
          <w:szCs w:val="30"/>
          <w:lang w:eastAsia="it-IT"/>
        </w:rPr>
        <w:t>6.</w:t>
      </w:r>
      <w:r w:rsidRPr="002A302F">
        <w:rPr>
          <w:rFonts w:ascii="Garamond" w:eastAsia="Times New Roman" w:hAnsi="Garamond" w:cs="Times New Roman"/>
          <w:color w:val="000000"/>
          <w:sz w:val="30"/>
          <w:szCs w:val="30"/>
          <w:lang w:eastAsia="it-IT"/>
        </w:rPr>
        <w:t> Tale ordinanza ha una portata di accertamento e pertanto decisoria, in quanto da un lato dà atto dell’esistenza e della misura del credito (vuoi sulla base della dichiarazione del terzo, vuoi sulla base dell’esito di un giudizio di cognizione incidente nel processo di esecuzione) e dall’altro lato trasferisce tale credito dal debitore pignorato al creditore esecutante.</w:t>
      </w:r>
    </w:p>
    <w:p w:rsidR="002A302F" w:rsidRPr="002A302F" w:rsidRDefault="002A302F" w:rsidP="002A302F">
      <w:pPr>
        <w:spacing w:after="0" w:line="520" w:lineRule="atLeast"/>
        <w:jc w:val="both"/>
        <w:rPr>
          <w:rFonts w:ascii="Times New Roman" w:eastAsia="Times New Roman" w:hAnsi="Times New Roman" w:cs="Times New Roman"/>
          <w:color w:val="000000"/>
          <w:sz w:val="27"/>
          <w:szCs w:val="27"/>
          <w:lang w:eastAsia="it-IT"/>
        </w:rPr>
      </w:pPr>
      <w:r w:rsidRPr="002A302F">
        <w:rPr>
          <w:rFonts w:ascii="Garamond" w:eastAsia="Times New Roman" w:hAnsi="Garamond" w:cs="Times New Roman"/>
          <w:color w:val="000000"/>
          <w:sz w:val="30"/>
          <w:szCs w:val="30"/>
          <w:lang w:eastAsia="it-IT"/>
        </w:rPr>
        <w:t>L’ordinanza è suscettibile di divenire definitiva se non impugnata con i rimedi per essa previsti, e tale definitività è equiparabile al giudicato, atteso che l’ordinanza inoppugnata non può essere ulteriormente contestata.</w:t>
      </w:r>
    </w:p>
    <w:p w:rsidR="002A302F" w:rsidRPr="002A302F" w:rsidRDefault="002A302F" w:rsidP="002A302F">
      <w:pPr>
        <w:spacing w:after="0" w:line="520" w:lineRule="atLeast"/>
        <w:jc w:val="both"/>
        <w:rPr>
          <w:rFonts w:ascii="Times New Roman" w:eastAsia="Times New Roman" w:hAnsi="Times New Roman" w:cs="Times New Roman"/>
          <w:color w:val="000000"/>
          <w:sz w:val="27"/>
          <w:szCs w:val="27"/>
          <w:lang w:eastAsia="it-IT"/>
        </w:rPr>
      </w:pPr>
      <w:r w:rsidRPr="002A302F">
        <w:rPr>
          <w:rFonts w:ascii="Garamond" w:eastAsia="Times New Roman" w:hAnsi="Garamond" w:cs="Times New Roman"/>
          <w:i/>
          <w:iCs/>
          <w:color w:val="000000"/>
          <w:sz w:val="30"/>
          <w:szCs w:val="30"/>
          <w:lang w:eastAsia="it-IT"/>
        </w:rPr>
        <w:t>7.</w:t>
      </w:r>
      <w:r w:rsidRPr="002A302F">
        <w:rPr>
          <w:rFonts w:ascii="Garamond" w:eastAsia="Times New Roman" w:hAnsi="Garamond" w:cs="Times New Roman"/>
          <w:color w:val="000000"/>
          <w:sz w:val="30"/>
          <w:szCs w:val="30"/>
          <w:lang w:eastAsia="it-IT"/>
        </w:rPr>
        <w:t> Si apre a questo punto lo scenario dei rimedi nel caso in cui l’ordinanza di assegnazione del credito resti ineseguita, perché il terzo debitore non provveda al pagamento in favore del creditore esecutante.</w:t>
      </w:r>
    </w:p>
    <w:p w:rsidR="002A302F" w:rsidRPr="002A302F" w:rsidRDefault="002A302F" w:rsidP="002A302F">
      <w:pPr>
        <w:spacing w:after="0" w:line="520" w:lineRule="atLeast"/>
        <w:jc w:val="both"/>
        <w:rPr>
          <w:rFonts w:ascii="Times New Roman" w:eastAsia="Times New Roman" w:hAnsi="Times New Roman" w:cs="Times New Roman"/>
          <w:color w:val="000000"/>
          <w:sz w:val="27"/>
          <w:szCs w:val="27"/>
          <w:lang w:eastAsia="it-IT"/>
        </w:rPr>
      </w:pPr>
      <w:r w:rsidRPr="002A302F">
        <w:rPr>
          <w:rFonts w:ascii="Garamond" w:eastAsia="Times New Roman" w:hAnsi="Garamond" w:cs="Times New Roman"/>
          <w:color w:val="000000"/>
          <w:sz w:val="30"/>
          <w:szCs w:val="30"/>
          <w:lang w:eastAsia="it-IT"/>
        </w:rPr>
        <w:t>Sotto tale profilo, l’ordinanza con la quale il giudice dell’esecuzione, ai sensi dell’art. 553 cod. proc. civ., assegna in pagamento al creditore procedente la somma di cui il terzo pignorato si è dichiarato debitore nei confronti del debitore espropriato costituisce titolo esecutivo nei confronti del terzo ed a favore dell’assegnatario ed ha tale efficacia anche per le spese conseguenti e necessarie per la sua concreta attuazione [Cass. civ., sez. III, 18 marzo 2003 n. 3976].</w:t>
      </w:r>
    </w:p>
    <w:p w:rsidR="002A302F" w:rsidRPr="002A302F" w:rsidRDefault="002A302F" w:rsidP="002A302F">
      <w:pPr>
        <w:spacing w:after="0" w:line="520" w:lineRule="atLeast"/>
        <w:jc w:val="both"/>
        <w:rPr>
          <w:rFonts w:ascii="Times New Roman" w:eastAsia="Times New Roman" w:hAnsi="Times New Roman" w:cs="Times New Roman"/>
          <w:color w:val="000000"/>
          <w:sz w:val="27"/>
          <w:szCs w:val="27"/>
          <w:lang w:eastAsia="it-IT"/>
        </w:rPr>
      </w:pPr>
      <w:r w:rsidRPr="002A302F">
        <w:rPr>
          <w:rFonts w:ascii="Garamond" w:eastAsia="Times New Roman" w:hAnsi="Garamond" w:cs="Times New Roman"/>
          <w:color w:val="000000"/>
          <w:sz w:val="30"/>
          <w:szCs w:val="30"/>
          <w:lang w:eastAsia="it-IT"/>
        </w:rPr>
        <w:t>In quanto titolo esecutivo, e trattandosi di un giudicato con portata decisoria, i possibili rimedi sono sia un nuovo giudizio esecutivo civile sia il giudizio di ottemperanza.</w:t>
      </w:r>
    </w:p>
    <w:p w:rsidR="002A302F" w:rsidRPr="002A302F" w:rsidRDefault="002A302F" w:rsidP="002A302F">
      <w:pPr>
        <w:spacing w:after="0" w:line="520" w:lineRule="atLeast"/>
        <w:jc w:val="both"/>
        <w:rPr>
          <w:rFonts w:ascii="Times New Roman" w:eastAsia="Times New Roman" w:hAnsi="Times New Roman" w:cs="Times New Roman"/>
          <w:color w:val="000000"/>
          <w:sz w:val="27"/>
          <w:szCs w:val="27"/>
          <w:lang w:eastAsia="it-IT"/>
        </w:rPr>
      </w:pPr>
      <w:r w:rsidRPr="002A302F">
        <w:rPr>
          <w:rFonts w:ascii="Garamond" w:eastAsia="Times New Roman" w:hAnsi="Garamond" w:cs="Times New Roman"/>
          <w:i/>
          <w:iCs/>
          <w:color w:val="000000"/>
          <w:sz w:val="30"/>
          <w:szCs w:val="30"/>
          <w:lang w:eastAsia="it-IT"/>
        </w:rPr>
        <w:t>8.</w:t>
      </w:r>
      <w:r w:rsidRPr="002A302F">
        <w:rPr>
          <w:rFonts w:ascii="Garamond" w:eastAsia="Times New Roman" w:hAnsi="Garamond" w:cs="Times New Roman"/>
          <w:color w:val="000000"/>
          <w:sz w:val="30"/>
          <w:szCs w:val="30"/>
          <w:lang w:eastAsia="it-IT"/>
        </w:rPr>
        <w:t> Sotto tale profilo, va confutato l’assunto, contenuto nella sentenza del Tar oggetto del presente appello, secondo cui il giudizio di ottemperanza sarebbe inammissibile perché verrebbe a inserirsi nell’ambito di un giudizio civile di esecuzione ancora in corso.</w:t>
      </w:r>
    </w:p>
    <w:p w:rsidR="002A302F" w:rsidRPr="002A302F" w:rsidRDefault="002A302F" w:rsidP="002A302F">
      <w:pPr>
        <w:spacing w:after="0" w:line="520" w:lineRule="atLeast"/>
        <w:jc w:val="both"/>
        <w:rPr>
          <w:rFonts w:ascii="Times New Roman" w:eastAsia="Times New Roman" w:hAnsi="Times New Roman" w:cs="Times New Roman"/>
          <w:color w:val="000000"/>
          <w:sz w:val="27"/>
          <w:szCs w:val="27"/>
          <w:lang w:eastAsia="it-IT"/>
        </w:rPr>
      </w:pPr>
      <w:r w:rsidRPr="002A302F">
        <w:rPr>
          <w:rFonts w:ascii="Garamond" w:eastAsia="Times New Roman" w:hAnsi="Garamond" w:cs="Times New Roman"/>
          <w:color w:val="000000"/>
          <w:sz w:val="30"/>
          <w:szCs w:val="30"/>
          <w:lang w:eastAsia="it-IT"/>
        </w:rPr>
        <w:t>L’assunto non può essere condiviso, in quanto il giudizio di espropriazione presso terzi si chiude in via definitiva con l’ordinanza di assegnazione del credito, e non costituisce una fase della procedura esecutiva presso terzi anche il complesso delle operazioni, logicamente successive, di pagamento del debito [Cass. civ., sez. III, 24 febbraio 2011, n. 4505].</w:t>
      </w:r>
    </w:p>
    <w:p w:rsidR="002A302F" w:rsidRPr="002A302F" w:rsidRDefault="002A302F" w:rsidP="002A302F">
      <w:pPr>
        <w:spacing w:after="0" w:line="520" w:lineRule="atLeast"/>
        <w:jc w:val="both"/>
        <w:rPr>
          <w:rFonts w:ascii="Times New Roman" w:eastAsia="Times New Roman" w:hAnsi="Times New Roman" w:cs="Times New Roman"/>
          <w:color w:val="000000"/>
          <w:sz w:val="27"/>
          <w:szCs w:val="27"/>
          <w:lang w:eastAsia="it-IT"/>
        </w:rPr>
      </w:pPr>
      <w:r w:rsidRPr="002A302F">
        <w:rPr>
          <w:rFonts w:ascii="Garamond" w:eastAsia="Times New Roman" w:hAnsi="Garamond" w:cs="Times New Roman"/>
          <w:i/>
          <w:iCs/>
          <w:color w:val="000000"/>
          <w:sz w:val="30"/>
          <w:szCs w:val="30"/>
          <w:lang w:eastAsia="it-IT"/>
        </w:rPr>
        <w:t>9.</w:t>
      </w:r>
      <w:r w:rsidRPr="002A302F">
        <w:rPr>
          <w:rFonts w:ascii="Garamond" w:eastAsia="Times New Roman" w:hAnsi="Garamond" w:cs="Times New Roman"/>
          <w:color w:val="000000"/>
          <w:sz w:val="30"/>
          <w:szCs w:val="30"/>
          <w:lang w:eastAsia="it-IT"/>
        </w:rPr>
        <w:t> Acclarato che l’ordinanza di assegnazione del credito ha natura decisoria e attitudine al giudicato, si tratta di verificare, secondo quanto premesso, se essa possa essere ritenuta fonte di un obbligo di conformazione della pubblica amministrazione.</w:t>
      </w:r>
    </w:p>
    <w:p w:rsidR="002A302F" w:rsidRPr="002A302F" w:rsidRDefault="002A302F" w:rsidP="002A302F">
      <w:pPr>
        <w:spacing w:after="0" w:line="520" w:lineRule="atLeast"/>
        <w:jc w:val="both"/>
        <w:rPr>
          <w:rFonts w:ascii="Times New Roman" w:eastAsia="Times New Roman" w:hAnsi="Times New Roman" w:cs="Times New Roman"/>
          <w:color w:val="000000"/>
          <w:sz w:val="27"/>
          <w:szCs w:val="27"/>
          <w:lang w:eastAsia="it-IT"/>
        </w:rPr>
      </w:pPr>
      <w:r w:rsidRPr="002A302F">
        <w:rPr>
          <w:rFonts w:ascii="Garamond" w:eastAsia="Times New Roman" w:hAnsi="Garamond" w:cs="Times New Roman"/>
          <w:i/>
          <w:iCs/>
          <w:color w:val="000000"/>
          <w:sz w:val="30"/>
          <w:szCs w:val="30"/>
          <w:lang w:eastAsia="it-IT"/>
        </w:rPr>
        <w:t>9.1.</w:t>
      </w:r>
      <w:r w:rsidRPr="002A302F">
        <w:rPr>
          <w:rFonts w:ascii="Garamond" w:eastAsia="Times New Roman" w:hAnsi="Garamond" w:cs="Times New Roman"/>
          <w:color w:val="000000"/>
          <w:sz w:val="30"/>
          <w:szCs w:val="30"/>
          <w:lang w:eastAsia="it-IT"/>
        </w:rPr>
        <w:t> Un argomento addotto contro l’ammissibilità del giudizio di ottemperanza muove dalla considerazione che esso è previsto per ottenere l’esecuzione di un giudicato del giudice ordinario (o di altro giudice diverso dall’amministrativo), purché il provvedimento giurisdizionale definisca un giudizio di cognizione in cui è parte una pubblica amministrazione. E ciò in coerenza con la funzione e la tradizionale configurazione del giudizio, nato per ottenere l’adempimento (conformazione) da parte dell’amministrazione alla sentenza emessa dal giudice ordinario nei suoi confronti, e solo successivamente esteso alle sentenze del giudice amministrativo [Tar Campania – Napoli, sez. V, 10 ottobre 2008, n. 14692; Id., sez. V, 13 novembre 2009, n. 7373; Tar Lazio – Roma, sez. II, 8 luglio 2009, n. 6667].</w:t>
      </w:r>
    </w:p>
    <w:p w:rsidR="002A302F" w:rsidRPr="002A302F" w:rsidRDefault="002A302F" w:rsidP="002A302F">
      <w:pPr>
        <w:spacing w:after="0" w:line="520" w:lineRule="atLeast"/>
        <w:jc w:val="both"/>
        <w:rPr>
          <w:rFonts w:ascii="Times New Roman" w:eastAsia="Times New Roman" w:hAnsi="Times New Roman" w:cs="Times New Roman"/>
          <w:color w:val="000000"/>
          <w:sz w:val="27"/>
          <w:szCs w:val="27"/>
          <w:lang w:eastAsia="it-IT"/>
        </w:rPr>
      </w:pPr>
      <w:r w:rsidRPr="002A302F">
        <w:rPr>
          <w:rFonts w:ascii="Garamond" w:eastAsia="Times New Roman" w:hAnsi="Garamond" w:cs="Times New Roman"/>
          <w:color w:val="000000"/>
          <w:sz w:val="30"/>
          <w:szCs w:val="30"/>
          <w:lang w:eastAsia="it-IT"/>
        </w:rPr>
        <w:t>Pertanto, in relazione ai giudicati del giudice ordinario, il giudizio di ottemperanza è ammissibile se la pubblica amministrazione sia in via diretta l’autore della “</w:t>
      </w:r>
      <w:r w:rsidRPr="002A302F">
        <w:rPr>
          <w:rFonts w:ascii="Garamond" w:eastAsia="Times New Roman" w:hAnsi="Garamond" w:cs="Times New Roman"/>
          <w:i/>
          <w:iCs/>
          <w:color w:val="000000"/>
          <w:sz w:val="30"/>
          <w:szCs w:val="30"/>
          <w:lang w:eastAsia="it-IT"/>
        </w:rPr>
        <w:t>lesione di un diritto civile o politico</w:t>
      </w:r>
      <w:r w:rsidRPr="002A302F">
        <w:rPr>
          <w:rFonts w:ascii="Garamond" w:eastAsia="Times New Roman" w:hAnsi="Garamond" w:cs="Times New Roman"/>
          <w:color w:val="000000"/>
          <w:sz w:val="30"/>
          <w:szCs w:val="30"/>
          <w:lang w:eastAsia="it-IT"/>
        </w:rPr>
        <w:t>”.</w:t>
      </w:r>
    </w:p>
    <w:p w:rsidR="002A302F" w:rsidRPr="002A302F" w:rsidRDefault="002A302F" w:rsidP="002A302F">
      <w:pPr>
        <w:spacing w:after="0" w:line="520" w:lineRule="atLeast"/>
        <w:jc w:val="both"/>
        <w:rPr>
          <w:rFonts w:ascii="Times New Roman" w:eastAsia="Times New Roman" w:hAnsi="Times New Roman" w:cs="Times New Roman"/>
          <w:color w:val="000000"/>
          <w:sz w:val="27"/>
          <w:szCs w:val="27"/>
          <w:lang w:eastAsia="it-IT"/>
        </w:rPr>
      </w:pPr>
      <w:r w:rsidRPr="002A302F">
        <w:rPr>
          <w:rFonts w:ascii="Garamond" w:eastAsia="Times New Roman" w:hAnsi="Garamond" w:cs="Times New Roman"/>
          <w:color w:val="000000"/>
          <w:sz w:val="30"/>
          <w:szCs w:val="30"/>
          <w:lang w:eastAsia="it-IT"/>
        </w:rPr>
        <w:t>Nel caso invece dell’ordinanza di assegnazione di un credito vantato verso una p.a., la lite originaria sarebbe tra un creditore e un debitore privato, di cui il debitore privato a sua volta creditore della pubblica amministrazione.</w:t>
      </w:r>
    </w:p>
    <w:p w:rsidR="002A302F" w:rsidRPr="002A302F" w:rsidRDefault="002A302F" w:rsidP="002A302F">
      <w:pPr>
        <w:spacing w:after="0" w:line="520" w:lineRule="atLeast"/>
        <w:jc w:val="both"/>
        <w:rPr>
          <w:rFonts w:ascii="Times New Roman" w:eastAsia="Times New Roman" w:hAnsi="Times New Roman" w:cs="Times New Roman"/>
          <w:color w:val="000000"/>
          <w:sz w:val="27"/>
          <w:szCs w:val="27"/>
          <w:lang w:eastAsia="it-IT"/>
        </w:rPr>
      </w:pPr>
      <w:r w:rsidRPr="002A302F">
        <w:rPr>
          <w:rFonts w:ascii="Garamond" w:eastAsia="Times New Roman" w:hAnsi="Garamond" w:cs="Times New Roman"/>
          <w:i/>
          <w:iCs/>
          <w:color w:val="000000"/>
          <w:sz w:val="30"/>
          <w:szCs w:val="30"/>
          <w:lang w:eastAsia="it-IT"/>
        </w:rPr>
        <w:t>9.2. </w:t>
      </w:r>
      <w:r w:rsidRPr="002A302F">
        <w:rPr>
          <w:rFonts w:ascii="Garamond" w:eastAsia="Times New Roman" w:hAnsi="Garamond" w:cs="Times New Roman"/>
          <w:color w:val="000000"/>
          <w:sz w:val="30"/>
          <w:szCs w:val="30"/>
          <w:lang w:eastAsia="it-IT"/>
        </w:rPr>
        <w:t>Tale argomento non può essere condiviso, ove si consideri che il giudizio di ottemperanza va ammesso in relazione a qualunque giudicato del giudice ordinario in cui sia parte una pubblica amministrazione, anche per crediti privatistici.</w:t>
      </w:r>
    </w:p>
    <w:p w:rsidR="002A302F" w:rsidRPr="002A302F" w:rsidRDefault="002A302F" w:rsidP="002A302F">
      <w:pPr>
        <w:spacing w:after="0" w:line="520" w:lineRule="atLeast"/>
        <w:jc w:val="both"/>
        <w:rPr>
          <w:rFonts w:ascii="Times New Roman" w:eastAsia="Times New Roman" w:hAnsi="Times New Roman" w:cs="Times New Roman"/>
          <w:color w:val="000000"/>
          <w:sz w:val="27"/>
          <w:szCs w:val="27"/>
          <w:lang w:eastAsia="it-IT"/>
        </w:rPr>
      </w:pPr>
      <w:r w:rsidRPr="002A302F">
        <w:rPr>
          <w:rFonts w:ascii="Garamond" w:eastAsia="Times New Roman" w:hAnsi="Garamond" w:cs="Times New Roman"/>
          <w:color w:val="000000"/>
          <w:sz w:val="30"/>
          <w:szCs w:val="30"/>
          <w:lang w:eastAsia="it-IT"/>
        </w:rPr>
        <w:t>Ora, nel caso del processo di espropriazione verso terzi, con l’ordinanza di assegnazione, un credito vantato da un privato verso una pubblica amministrazione, viene accertato come esistente e trasferito da un creditore privato ad altro creditore privato.</w:t>
      </w:r>
    </w:p>
    <w:p w:rsidR="002A302F" w:rsidRPr="002A302F" w:rsidRDefault="002A302F" w:rsidP="002A302F">
      <w:pPr>
        <w:spacing w:after="0" w:line="520" w:lineRule="atLeast"/>
        <w:jc w:val="both"/>
        <w:rPr>
          <w:rFonts w:ascii="Times New Roman" w:eastAsia="Times New Roman" w:hAnsi="Times New Roman" w:cs="Times New Roman"/>
          <w:color w:val="000000"/>
          <w:sz w:val="27"/>
          <w:szCs w:val="27"/>
          <w:lang w:eastAsia="it-IT"/>
        </w:rPr>
      </w:pPr>
      <w:r w:rsidRPr="002A302F">
        <w:rPr>
          <w:rFonts w:ascii="Garamond" w:eastAsia="Times New Roman" w:hAnsi="Garamond" w:cs="Times New Roman"/>
          <w:color w:val="000000"/>
          <w:sz w:val="30"/>
          <w:szCs w:val="30"/>
          <w:lang w:eastAsia="it-IT"/>
        </w:rPr>
        <w:t>Vi è pertanto il presupposto di un dovere di conformazione della pubblica amministrazione ad un ordine del giudice civile che riconosce l’esistenza di un debito della stessa.</w:t>
      </w:r>
    </w:p>
    <w:p w:rsidR="002A302F" w:rsidRPr="002A302F" w:rsidRDefault="002A302F" w:rsidP="002A302F">
      <w:pPr>
        <w:spacing w:after="0" w:line="520" w:lineRule="atLeast"/>
        <w:jc w:val="both"/>
        <w:rPr>
          <w:rFonts w:ascii="Times New Roman" w:eastAsia="Times New Roman" w:hAnsi="Times New Roman" w:cs="Times New Roman"/>
          <w:color w:val="000000"/>
          <w:sz w:val="27"/>
          <w:szCs w:val="27"/>
          <w:lang w:eastAsia="it-IT"/>
        </w:rPr>
      </w:pPr>
      <w:r w:rsidRPr="002A302F">
        <w:rPr>
          <w:rFonts w:ascii="Garamond" w:eastAsia="Times New Roman" w:hAnsi="Garamond" w:cs="Times New Roman"/>
          <w:i/>
          <w:iCs/>
          <w:color w:val="000000"/>
          <w:sz w:val="30"/>
          <w:szCs w:val="30"/>
          <w:lang w:eastAsia="it-IT"/>
        </w:rPr>
        <w:t>9.3.</w:t>
      </w:r>
      <w:r w:rsidRPr="002A302F">
        <w:rPr>
          <w:rFonts w:ascii="Garamond" w:eastAsia="Times New Roman" w:hAnsi="Garamond" w:cs="Times New Roman"/>
          <w:color w:val="000000"/>
          <w:sz w:val="30"/>
          <w:szCs w:val="30"/>
          <w:lang w:eastAsia="it-IT"/>
        </w:rPr>
        <w:t> Ulteriore obiezione alla soluzione affermativa è che laddove si ammettesse il giudizio di ottemperanza in relazione all’ordinanza di assegnazione somme, non si avrebbe un “</w:t>
      </w:r>
      <w:r w:rsidRPr="002A302F">
        <w:rPr>
          <w:rFonts w:ascii="Garamond" w:eastAsia="Times New Roman" w:hAnsi="Garamond" w:cs="Times New Roman"/>
          <w:i/>
          <w:iCs/>
          <w:color w:val="000000"/>
          <w:sz w:val="30"/>
          <w:szCs w:val="30"/>
          <w:lang w:eastAsia="it-IT"/>
        </w:rPr>
        <w:t>cumulo di procedure</w:t>
      </w:r>
      <w:r w:rsidRPr="002A302F">
        <w:rPr>
          <w:rFonts w:ascii="Garamond" w:eastAsia="Times New Roman" w:hAnsi="Garamond" w:cs="Times New Roman"/>
          <w:color w:val="000000"/>
          <w:sz w:val="30"/>
          <w:szCs w:val="30"/>
          <w:lang w:eastAsia="it-IT"/>
        </w:rPr>
        <w:t>” (del tutto ammissibile, con i limiti sopra riportati), né procedure di esecuzione/ottemperanza “</w:t>
      </w:r>
      <w:r w:rsidRPr="002A302F">
        <w:rPr>
          <w:rFonts w:ascii="Garamond" w:eastAsia="Times New Roman" w:hAnsi="Garamond" w:cs="Times New Roman"/>
          <w:i/>
          <w:iCs/>
          <w:color w:val="000000"/>
          <w:sz w:val="30"/>
          <w:szCs w:val="30"/>
          <w:lang w:eastAsia="it-IT"/>
        </w:rPr>
        <w:t>parallele</w:t>
      </w:r>
      <w:r w:rsidRPr="002A302F">
        <w:rPr>
          <w:rFonts w:ascii="Garamond" w:eastAsia="Times New Roman" w:hAnsi="Garamond" w:cs="Times New Roman"/>
          <w:color w:val="000000"/>
          <w:sz w:val="30"/>
          <w:szCs w:val="30"/>
          <w:lang w:eastAsia="it-IT"/>
        </w:rPr>
        <w:t>”, bensì un giudizio di ottemperanza come esecuzione dell’esecuzione, cioè come giudizio di esecuzione ulteriore di un’altra procedura esecutiva che, in quanto definita, non ha più bisogno di alcun altro provvedimento giurisdizionale [Tar Campania – Napoli, sez. V, 10 ottobre 2008, n. 14692; Id., sez. V, 13 novembre 2009, n. 7373; Tar Lazio – Roma, sez. II, 8 luglio 2009, n. 6667].</w:t>
      </w:r>
    </w:p>
    <w:p w:rsidR="002A302F" w:rsidRPr="002A302F" w:rsidRDefault="002A302F" w:rsidP="002A302F">
      <w:pPr>
        <w:spacing w:after="0" w:line="520" w:lineRule="atLeast"/>
        <w:jc w:val="both"/>
        <w:rPr>
          <w:rFonts w:ascii="Times New Roman" w:eastAsia="Times New Roman" w:hAnsi="Times New Roman" w:cs="Times New Roman"/>
          <w:color w:val="000000"/>
          <w:sz w:val="27"/>
          <w:szCs w:val="27"/>
          <w:lang w:eastAsia="it-IT"/>
        </w:rPr>
      </w:pPr>
      <w:r w:rsidRPr="002A302F">
        <w:rPr>
          <w:rFonts w:ascii="Garamond" w:eastAsia="Times New Roman" w:hAnsi="Garamond" w:cs="Times New Roman"/>
          <w:i/>
          <w:iCs/>
          <w:color w:val="000000"/>
          <w:sz w:val="30"/>
          <w:szCs w:val="30"/>
          <w:lang w:eastAsia="it-IT"/>
        </w:rPr>
        <w:t>9.4.</w:t>
      </w:r>
      <w:r w:rsidRPr="002A302F">
        <w:rPr>
          <w:rFonts w:ascii="Garamond" w:eastAsia="Times New Roman" w:hAnsi="Garamond" w:cs="Times New Roman"/>
          <w:color w:val="000000"/>
          <w:sz w:val="30"/>
          <w:szCs w:val="30"/>
          <w:lang w:eastAsia="it-IT"/>
        </w:rPr>
        <w:t> Se è vero che l’ordinanza di assegnazione del credito conclude la procedura esecutiva, non è tuttavia dimostrato che tale procedura, in quanto definita, non abbia più bisogno di altro provvedimento giurisdizionale, atteso che le esigenze di pienezza e effettività della tutela postulano, al contrario, la individuazione di rimedi efficaci quando la pubblica amministrazione, nonostante l’ordine di esecuzione del credito, resti ancora inerte.</w:t>
      </w:r>
    </w:p>
    <w:p w:rsidR="002A302F" w:rsidRPr="002A302F" w:rsidRDefault="002A302F" w:rsidP="002A302F">
      <w:pPr>
        <w:spacing w:after="0" w:line="520" w:lineRule="atLeast"/>
        <w:jc w:val="both"/>
        <w:rPr>
          <w:rFonts w:ascii="Times New Roman" w:eastAsia="Times New Roman" w:hAnsi="Times New Roman" w:cs="Times New Roman"/>
          <w:color w:val="000000"/>
          <w:sz w:val="27"/>
          <w:szCs w:val="27"/>
          <w:lang w:eastAsia="it-IT"/>
        </w:rPr>
      </w:pPr>
      <w:r w:rsidRPr="002A302F">
        <w:rPr>
          <w:rFonts w:ascii="Garamond" w:eastAsia="Times New Roman" w:hAnsi="Garamond" w:cs="Times New Roman"/>
          <w:i/>
          <w:iCs/>
          <w:color w:val="000000"/>
          <w:sz w:val="30"/>
          <w:szCs w:val="30"/>
          <w:lang w:eastAsia="it-IT"/>
        </w:rPr>
        <w:t>10</w:t>
      </w:r>
      <w:r w:rsidRPr="002A302F">
        <w:rPr>
          <w:rFonts w:ascii="Garamond" w:eastAsia="Times New Roman" w:hAnsi="Garamond" w:cs="Times New Roman"/>
          <w:color w:val="000000"/>
          <w:sz w:val="30"/>
          <w:szCs w:val="30"/>
          <w:lang w:eastAsia="it-IT"/>
        </w:rPr>
        <w:t>. In conclusione, l’orientamento negativo è supportato da argomenti che non convincono, in quanto da un lato non risulta dimostrata la asserita portata non decisoria e la inettitudine al giudicato dell’ordinanza di assegnazione del credito, e dall’altro lato, come è stato dimostrato, l’ordinanza di assegnazione del credito comporta l’accertamento di un debito della pubblica amministrazione e la condanna al relativo pagamento, e dunque implica un obbligo di conformazione.</w:t>
      </w:r>
    </w:p>
    <w:p w:rsidR="002A302F" w:rsidRPr="002A302F" w:rsidRDefault="002A302F" w:rsidP="002A302F">
      <w:pPr>
        <w:spacing w:after="0" w:line="520" w:lineRule="atLeast"/>
        <w:jc w:val="both"/>
        <w:rPr>
          <w:rFonts w:ascii="Times New Roman" w:eastAsia="Times New Roman" w:hAnsi="Times New Roman" w:cs="Times New Roman"/>
          <w:color w:val="000000"/>
          <w:sz w:val="27"/>
          <w:szCs w:val="27"/>
          <w:lang w:eastAsia="it-IT"/>
        </w:rPr>
      </w:pPr>
      <w:r w:rsidRPr="002A302F">
        <w:rPr>
          <w:rFonts w:ascii="Garamond" w:eastAsia="Times New Roman" w:hAnsi="Garamond" w:cs="Times New Roman"/>
          <w:color w:val="000000"/>
          <w:sz w:val="30"/>
          <w:szCs w:val="30"/>
          <w:lang w:eastAsia="it-IT"/>
        </w:rPr>
        <w:t>Pertanto va confermato l’orientamento affermativo, con formulazione del seguente principio di diritto: </w:t>
      </w:r>
      <w:r w:rsidRPr="002A302F">
        <w:rPr>
          <w:rFonts w:ascii="Garamond" w:eastAsia="Times New Roman" w:hAnsi="Garamond" w:cs="Times New Roman"/>
          <w:i/>
          <w:iCs/>
          <w:color w:val="000000"/>
          <w:sz w:val="30"/>
          <w:szCs w:val="30"/>
          <w:lang w:eastAsia="it-IT"/>
        </w:rPr>
        <w:t>l’ordinanza di assegnazione del credito resa ai sensi dell’art. 553 cod. proc. civ. nell’ambito di un processo di espropriazione presso terzi, emessa nei confronti di una pubblica amministrazione o soggetto ad essa equiparato ai sensi del cod. proc. amm., avendo portata decisoria (dell’esistenza e ammontare del credito e della sua spettanza al creditore esecutante) e attitudine al giudicato, una volta divenuta definitiva, per decorso dei termini di impugnazione, è suscettibile di esecuzione mediante giudizio di ottemperanza (art. 112, comma 3, lett. c), art. 7, comma 2, cod. proc. amm.).</w:t>
      </w:r>
    </w:p>
    <w:p w:rsidR="002A302F" w:rsidRPr="002A302F" w:rsidRDefault="002A302F" w:rsidP="002A302F">
      <w:pPr>
        <w:spacing w:after="0" w:line="520" w:lineRule="atLeast"/>
        <w:jc w:val="both"/>
        <w:rPr>
          <w:rFonts w:ascii="Times New Roman" w:eastAsia="Times New Roman" w:hAnsi="Times New Roman" w:cs="Times New Roman"/>
          <w:color w:val="000000"/>
          <w:sz w:val="27"/>
          <w:szCs w:val="27"/>
          <w:lang w:eastAsia="it-IT"/>
        </w:rPr>
      </w:pPr>
      <w:r w:rsidRPr="002A302F">
        <w:rPr>
          <w:rFonts w:ascii="Garamond" w:eastAsia="Times New Roman" w:hAnsi="Garamond" w:cs="Times New Roman"/>
          <w:i/>
          <w:iCs/>
          <w:color w:val="000000"/>
          <w:sz w:val="30"/>
          <w:szCs w:val="30"/>
          <w:lang w:eastAsia="it-IT"/>
        </w:rPr>
        <w:t>11.</w:t>
      </w:r>
      <w:r w:rsidRPr="002A302F">
        <w:rPr>
          <w:rFonts w:ascii="Garamond" w:eastAsia="Times New Roman" w:hAnsi="Garamond" w:cs="Times New Roman"/>
          <w:color w:val="000000"/>
          <w:sz w:val="30"/>
          <w:szCs w:val="30"/>
          <w:lang w:eastAsia="it-IT"/>
        </w:rPr>
        <w:t> Ne consegue che nel caso di specie il giudizio di ottemperanza è ammissibile.</w:t>
      </w:r>
    </w:p>
    <w:p w:rsidR="002A302F" w:rsidRPr="002A302F" w:rsidRDefault="002A302F" w:rsidP="002A302F">
      <w:pPr>
        <w:spacing w:after="0" w:line="520" w:lineRule="atLeast"/>
        <w:jc w:val="both"/>
        <w:rPr>
          <w:rFonts w:ascii="Times New Roman" w:eastAsia="Times New Roman" w:hAnsi="Times New Roman" w:cs="Times New Roman"/>
          <w:color w:val="000000"/>
          <w:sz w:val="27"/>
          <w:szCs w:val="27"/>
          <w:lang w:eastAsia="it-IT"/>
        </w:rPr>
      </w:pPr>
      <w:r w:rsidRPr="002A302F">
        <w:rPr>
          <w:rFonts w:ascii="Garamond" w:eastAsia="Times New Roman" w:hAnsi="Garamond" w:cs="Times New Roman"/>
          <w:color w:val="000000"/>
          <w:sz w:val="30"/>
          <w:szCs w:val="30"/>
          <w:lang w:eastAsia="it-IT"/>
        </w:rPr>
        <w:t>Per la prosecuzione del giudizio di ottemperanza e l’adozione delle congrue misure del caso, la causa viene restituita al Consiglio di giustizia amministrativa per la Regione siciliana, ai sensi dell’art. 99, comma 4, cod. proc. amm.</w:t>
      </w:r>
    </w:p>
    <w:p w:rsidR="002A302F" w:rsidRPr="002A302F" w:rsidRDefault="002A302F" w:rsidP="002A302F">
      <w:pPr>
        <w:spacing w:after="0" w:line="520" w:lineRule="atLeast"/>
        <w:jc w:val="both"/>
        <w:rPr>
          <w:rFonts w:ascii="Times New Roman" w:eastAsia="Times New Roman" w:hAnsi="Times New Roman" w:cs="Times New Roman"/>
          <w:color w:val="000000"/>
          <w:sz w:val="27"/>
          <w:szCs w:val="27"/>
          <w:lang w:eastAsia="it-IT"/>
        </w:rPr>
      </w:pPr>
      <w:r w:rsidRPr="002A302F">
        <w:rPr>
          <w:rFonts w:ascii="Garamond" w:eastAsia="Times New Roman" w:hAnsi="Garamond" w:cs="Times New Roman"/>
          <w:i/>
          <w:iCs/>
          <w:color w:val="000000"/>
          <w:sz w:val="30"/>
          <w:szCs w:val="30"/>
          <w:lang w:eastAsia="it-IT"/>
        </w:rPr>
        <w:t>12.</w:t>
      </w:r>
      <w:r w:rsidRPr="002A302F">
        <w:rPr>
          <w:rFonts w:ascii="Garamond" w:eastAsia="Times New Roman" w:hAnsi="Garamond" w:cs="Times New Roman"/>
          <w:color w:val="000000"/>
          <w:sz w:val="30"/>
          <w:szCs w:val="30"/>
          <w:lang w:eastAsia="it-IT"/>
        </w:rPr>
        <w:t> L’esistenza del contrasto di giurisprudenza giustifica la compensazione delle spese della presente fase di giudizio.</w:t>
      </w:r>
    </w:p>
    <w:p w:rsidR="002A302F" w:rsidRPr="002A302F" w:rsidRDefault="002A302F" w:rsidP="002A302F">
      <w:pPr>
        <w:spacing w:after="0" w:line="540" w:lineRule="atLeast"/>
        <w:jc w:val="center"/>
        <w:rPr>
          <w:rFonts w:ascii="Times New Roman" w:eastAsia="Times New Roman" w:hAnsi="Times New Roman" w:cs="Times New Roman"/>
          <w:color w:val="000000"/>
          <w:sz w:val="27"/>
          <w:szCs w:val="27"/>
          <w:lang w:eastAsia="it-IT"/>
        </w:rPr>
      </w:pPr>
      <w:r w:rsidRPr="002A302F">
        <w:rPr>
          <w:rFonts w:ascii="Garamond" w:eastAsia="Times New Roman" w:hAnsi="Garamond" w:cs="Times New Roman"/>
          <w:color w:val="000000"/>
          <w:sz w:val="30"/>
          <w:szCs w:val="30"/>
          <w:lang w:eastAsia="it-IT"/>
        </w:rPr>
        <w:t>P.Q.M.</w:t>
      </w:r>
    </w:p>
    <w:p w:rsidR="002A302F" w:rsidRPr="002A302F" w:rsidRDefault="002A302F" w:rsidP="002A302F">
      <w:pPr>
        <w:spacing w:after="0" w:line="520" w:lineRule="atLeast"/>
        <w:jc w:val="both"/>
        <w:rPr>
          <w:rFonts w:ascii="Times New Roman" w:eastAsia="Times New Roman" w:hAnsi="Times New Roman" w:cs="Times New Roman"/>
          <w:color w:val="000000"/>
          <w:sz w:val="27"/>
          <w:szCs w:val="27"/>
          <w:lang w:eastAsia="it-IT"/>
        </w:rPr>
      </w:pPr>
      <w:r w:rsidRPr="002A302F">
        <w:rPr>
          <w:rFonts w:ascii="Garamond" w:eastAsia="Times New Roman" w:hAnsi="Garamond" w:cs="Times New Roman"/>
          <w:color w:val="000000"/>
          <w:sz w:val="30"/>
          <w:szCs w:val="30"/>
          <w:lang w:eastAsia="it-IT"/>
        </w:rPr>
        <w:t>Il Consiglio di Stato in sede giurisdizionale (Adunanza Plenaria), parzialmente pronunciando sull’appello in epigrafe:</w:t>
      </w:r>
    </w:p>
    <w:p w:rsidR="002A302F" w:rsidRPr="002A302F" w:rsidRDefault="002A302F" w:rsidP="002A302F">
      <w:pPr>
        <w:spacing w:after="0" w:line="520" w:lineRule="atLeast"/>
        <w:jc w:val="both"/>
        <w:rPr>
          <w:rFonts w:ascii="Times New Roman" w:eastAsia="Times New Roman" w:hAnsi="Times New Roman" w:cs="Times New Roman"/>
          <w:color w:val="000000"/>
          <w:sz w:val="27"/>
          <w:szCs w:val="27"/>
          <w:lang w:eastAsia="it-IT"/>
        </w:rPr>
      </w:pPr>
      <w:r w:rsidRPr="002A302F">
        <w:rPr>
          <w:rFonts w:ascii="Garamond" w:eastAsia="Times New Roman" w:hAnsi="Garamond" w:cs="Times New Roman"/>
          <w:color w:val="000000"/>
          <w:sz w:val="30"/>
          <w:szCs w:val="30"/>
          <w:lang w:eastAsia="it-IT"/>
        </w:rPr>
        <w:t>1) dichiara ammissibile il ricorso di primo grado;</w:t>
      </w:r>
    </w:p>
    <w:p w:rsidR="002A302F" w:rsidRPr="002A302F" w:rsidRDefault="002A302F" w:rsidP="002A302F">
      <w:pPr>
        <w:spacing w:after="0" w:line="520" w:lineRule="atLeast"/>
        <w:jc w:val="both"/>
        <w:rPr>
          <w:rFonts w:ascii="Times New Roman" w:eastAsia="Times New Roman" w:hAnsi="Times New Roman" w:cs="Times New Roman"/>
          <w:color w:val="000000"/>
          <w:sz w:val="27"/>
          <w:szCs w:val="27"/>
          <w:lang w:eastAsia="it-IT"/>
        </w:rPr>
      </w:pPr>
      <w:r w:rsidRPr="002A302F">
        <w:rPr>
          <w:rFonts w:ascii="Garamond" w:eastAsia="Times New Roman" w:hAnsi="Garamond" w:cs="Times New Roman"/>
          <w:color w:val="000000"/>
          <w:sz w:val="30"/>
          <w:szCs w:val="30"/>
          <w:lang w:eastAsia="it-IT"/>
        </w:rPr>
        <w:t>2) enuncia il principio di diritto come da motivazione e ordina la restituzione degli atti al Consiglio di giustizia amministrativa per la Regione Siciliana per la prosecuzione del giudizio;</w:t>
      </w:r>
    </w:p>
    <w:p w:rsidR="002A302F" w:rsidRPr="002A302F" w:rsidRDefault="002A302F" w:rsidP="002A302F">
      <w:pPr>
        <w:spacing w:after="0" w:line="520" w:lineRule="atLeast"/>
        <w:jc w:val="both"/>
        <w:rPr>
          <w:rFonts w:ascii="Times New Roman" w:eastAsia="Times New Roman" w:hAnsi="Times New Roman" w:cs="Times New Roman"/>
          <w:color w:val="000000"/>
          <w:sz w:val="27"/>
          <w:szCs w:val="27"/>
          <w:lang w:eastAsia="it-IT"/>
        </w:rPr>
      </w:pPr>
      <w:r w:rsidRPr="002A302F">
        <w:rPr>
          <w:rFonts w:ascii="Garamond" w:eastAsia="Times New Roman" w:hAnsi="Garamond" w:cs="Times New Roman"/>
          <w:color w:val="000000"/>
          <w:sz w:val="30"/>
          <w:szCs w:val="30"/>
          <w:lang w:eastAsia="it-IT"/>
        </w:rPr>
        <w:t>3) compensa le spese della presente fase.</w:t>
      </w:r>
    </w:p>
    <w:p w:rsidR="002A302F" w:rsidRPr="002A302F" w:rsidRDefault="002A302F" w:rsidP="002A302F">
      <w:pPr>
        <w:spacing w:after="0" w:line="520" w:lineRule="atLeast"/>
        <w:jc w:val="both"/>
        <w:rPr>
          <w:rFonts w:ascii="Times New Roman" w:eastAsia="Times New Roman" w:hAnsi="Times New Roman" w:cs="Times New Roman"/>
          <w:color w:val="000000"/>
          <w:sz w:val="27"/>
          <w:szCs w:val="27"/>
          <w:lang w:eastAsia="it-IT"/>
        </w:rPr>
      </w:pPr>
      <w:r w:rsidRPr="002A302F">
        <w:rPr>
          <w:rFonts w:ascii="Garamond" w:eastAsia="Times New Roman" w:hAnsi="Garamond" w:cs="Times New Roman"/>
          <w:color w:val="000000"/>
          <w:sz w:val="30"/>
          <w:szCs w:val="30"/>
          <w:lang w:eastAsia="it-IT"/>
        </w:rPr>
        <w:t>Così deciso in Roma nella camera di consiglio del giorno 26 marzo 2012 con l'intervento dei magistrati:</w:t>
      </w:r>
    </w:p>
    <w:p w:rsidR="002A302F" w:rsidRPr="002A302F" w:rsidRDefault="002A302F" w:rsidP="002A302F">
      <w:pPr>
        <w:spacing w:after="0" w:line="520" w:lineRule="atLeast"/>
        <w:ind w:firstLine="567"/>
        <w:rPr>
          <w:rFonts w:ascii="Times New Roman" w:eastAsia="Times New Roman" w:hAnsi="Times New Roman" w:cs="Times New Roman"/>
          <w:color w:val="000000"/>
          <w:sz w:val="27"/>
          <w:szCs w:val="27"/>
          <w:lang w:eastAsia="it-IT"/>
        </w:rPr>
      </w:pPr>
      <w:r w:rsidRPr="002A302F">
        <w:rPr>
          <w:rFonts w:ascii="Garamond" w:eastAsia="Times New Roman" w:hAnsi="Garamond" w:cs="Times New Roman"/>
          <w:color w:val="000000"/>
          <w:sz w:val="30"/>
          <w:szCs w:val="30"/>
          <w:lang w:eastAsia="it-IT"/>
        </w:rPr>
        <w:t>Giancarlo Coraggio, Presidente</w:t>
      </w:r>
    </w:p>
    <w:p w:rsidR="002A302F" w:rsidRPr="002A302F" w:rsidRDefault="002A302F" w:rsidP="002A302F">
      <w:pPr>
        <w:spacing w:after="0" w:line="520" w:lineRule="atLeast"/>
        <w:ind w:firstLine="567"/>
        <w:rPr>
          <w:rFonts w:ascii="Times New Roman" w:eastAsia="Times New Roman" w:hAnsi="Times New Roman" w:cs="Times New Roman"/>
          <w:color w:val="000000"/>
          <w:sz w:val="27"/>
          <w:szCs w:val="27"/>
          <w:lang w:eastAsia="it-IT"/>
        </w:rPr>
      </w:pPr>
      <w:r w:rsidRPr="002A302F">
        <w:rPr>
          <w:rFonts w:ascii="Garamond" w:eastAsia="Times New Roman" w:hAnsi="Garamond" w:cs="Times New Roman"/>
          <w:color w:val="000000"/>
          <w:sz w:val="30"/>
          <w:szCs w:val="30"/>
          <w:lang w:eastAsia="it-IT"/>
        </w:rPr>
        <w:t>Giorgio Giovannini, Presidente</w:t>
      </w:r>
    </w:p>
    <w:p w:rsidR="002A302F" w:rsidRPr="002A302F" w:rsidRDefault="002A302F" w:rsidP="002A302F">
      <w:pPr>
        <w:spacing w:after="0" w:line="520" w:lineRule="atLeast"/>
        <w:ind w:firstLine="567"/>
        <w:rPr>
          <w:rFonts w:ascii="Times New Roman" w:eastAsia="Times New Roman" w:hAnsi="Times New Roman" w:cs="Times New Roman"/>
          <w:color w:val="000000"/>
          <w:sz w:val="27"/>
          <w:szCs w:val="27"/>
          <w:lang w:eastAsia="it-IT"/>
        </w:rPr>
      </w:pPr>
      <w:r w:rsidRPr="002A302F">
        <w:rPr>
          <w:rFonts w:ascii="Garamond" w:eastAsia="Times New Roman" w:hAnsi="Garamond" w:cs="Times New Roman"/>
          <w:color w:val="000000"/>
          <w:sz w:val="30"/>
          <w:szCs w:val="30"/>
          <w:lang w:eastAsia="it-IT"/>
        </w:rPr>
        <w:t>Gaetano Trotta, Presidente</w:t>
      </w:r>
    </w:p>
    <w:p w:rsidR="002A302F" w:rsidRPr="002A302F" w:rsidRDefault="002A302F" w:rsidP="002A302F">
      <w:pPr>
        <w:spacing w:after="0" w:line="520" w:lineRule="atLeast"/>
        <w:ind w:firstLine="567"/>
        <w:rPr>
          <w:rFonts w:ascii="Times New Roman" w:eastAsia="Times New Roman" w:hAnsi="Times New Roman" w:cs="Times New Roman"/>
          <w:color w:val="000000"/>
          <w:sz w:val="27"/>
          <w:szCs w:val="27"/>
          <w:lang w:eastAsia="it-IT"/>
        </w:rPr>
      </w:pPr>
      <w:r w:rsidRPr="002A302F">
        <w:rPr>
          <w:rFonts w:ascii="Garamond" w:eastAsia="Times New Roman" w:hAnsi="Garamond" w:cs="Times New Roman"/>
          <w:color w:val="000000"/>
          <w:sz w:val="30"/>
          <w:szCs w:val="30"/>
          <w:lang w:eastAsia="it-IT"/>
        </w:rPr>
        <w:t>Pier Giorgio Lignani, Presidente</w:t>
      </w:r>
    </w:p>
    <w:p w:rsidR="002A302F" w:rsidRPr="002A302F" w:rsidRDefault="002A302F" w:rsidP="002A302F">
      <w:pPr>
        <w:spacing w:after="0" w:line="520" w:lineRule="atLeast"/>
        <w:ind w:firstLine="567"/>
        <w:rPr>
          <w:rFonts w:ascii="Times New Roman" w:eastAsia="Times New Roman" w:hAnsi="Times New Roman" w:cs="Times New Roman"/>
          <w:color w:val="000000"/>
          <w:sz w:val="27"/>
          <w:szCs w:val="27"/>
          <w:lang w:eastAsia="it-IT"/>
        </w:rPr>
      </w:pPr>
      <w:r w:rsidRPr="002A302F">
        <w:rPr>
          <w:rFonts w:ascii="Garamond" w:eastAsia="Times New Roman" w:hAnsi="Garamond" w:cs="Times New Roman"/>
          <w:color w:val="000000"/>
          <w:sz w:val="30"/>
          <w:szCs w:val="30"/>
          <w:lang w:eastAsia="it-IT"/>
        </w:rPr>
        <w:t>Stefano Baccarini, Presidente</w:t>
      </w:r>
    </w:p>
    <w:p w:rsidR="002A302F" w:rsidRPr="002A302F" w:rsidRDefault="002A302F" w:rsidP="002A302F">
      <w:pPr>
        <w:spacing w:after="0" w:line="520" w:lineRule="atLeast"/>
        <w:ind w:firstLine="567"/>
        <w:rPr>
          <w:rFonts w:ascii="Times New Roman" w:eastAsia="Times New Roman" w:hAnsi="Times New Roman" w:cs="Times New Roman"/>
          <w:color w:val="000000"/>
          <w:sz w:val="27"/>
          <w:szCs w:val="27"/>
          <w:lang w:eastAsia="it-IT"/>
        </w:rPr>
      </w:pPr>
      <w:r w:rsidRPr="002A302F">
        <w:rPr>
          <w:rFonts w:ascii="Garamond" w:eastAsia="Times New Roman" w:hAnsi="Garamond" w:cs="Times New Roman"/>
          <w:color w:val="000000"/>
          <w:sz w:val="30"/>
          <w:szCs w:val="30"/>
          <w:lang w:eastAsia="it-IT"/>
        </w:rPr>
        <w:t>Paolo Turco, Presidente</w:t>
      </w:r>
    </w:p>
    <w:p w:rsidR="002A302F" w:rsidRPr="002A302F" w:rsidRDefault="002A302F" w:rsidP="002A302F">
      <w:pPr>
        <w:spacing w:after="0" w:line="520" w:lineRule="atLeast"/>
        <w:ind w:firstLine="567"/>
        <w:rPr>
          <w:rFonts w:ascii="Times New Roman" w:eastAsia="Times New Roman" w:hAnsi="Times New Roman" w:cs="Times New Roman"/>
          <w:color w:val="000000"/>
          <w:sz w:val="27"/>
          <w:szCs w:val="27"/>
          <w:lang w:eastAsia="it-IT"/>
        </w:rPr>
      </w:pPr>
      <w:r w:rsidRPr="002A302F">
        <w:rPr>
          <w:rFonts w:ascii="Garamond" w:eastAsia="Times New Roman" w:hAnsi="Garamond" w:cs="Times New Roman"/>
          <w:color w:val="000000"/>
          <w:sz w:val="30"/>
          <w:szCs w:val="30"/>
          <w:lang w:eastAsia="it-IT"/>
        </w:rPr>
        <w:t>Alessandro Botto, Consigliere</w:t>
      </w:r>
    </w:p>
    <w:p w:rsidR="002A302F" w:rsidRPr="002A302F" w:rsidRDefault="002A302F" w:rsidP="002A302F">
      <w:pPr>
        <w:spacing w:after="0" w:line="520" w:lineRule="atLeast"/>
        <w:ind w:firstLine="567"/>
        <w:rPr>
          <w:rFonts w:ascii="Times New Roman" w:eastAsia="Times New Roman" w:hAnsi="Times New Roman" w:cs="Times New Roman"/>
          <w:color w:val="000000"/>
          <w:sz w:val="27"/>
          <w:szCs w:val="27"/>
          <w:lang w:eastAsia="it-IT"/>
        </w:rPr>
      </w:pPr>
      <w:r w:rsidRPr="002A302F">
        <w:rPr>
          <w:rFonts w:ascii="Garamond" w:eastAsia="Times New Roman" w:hAnsi="Garamond" w:cs="Times New Roman"/>
          <w:color w:val="000000"/>
          <w:sz w:val="30"/>
          <w:szCs w:val="30"/>
          <w:lang w:eastAsia="it-IT"/>
        </w:rPr>
        <w:t>Rosanna De Nictolis, Consigliere, Estensore</w:t>
      </w:r>
    </w:p>
    <w:p w:rsidR="002A302F" w:rsidRPr="002A302F" w:rsidRDefault="002A302F" w:rsidP="002A302F">
      <w:pPr>
        <w:spacing w:after="0" w:line="520" w:lineRule="atLeast"/>
        <w:ind w:firstLine="567"/>
        <w:rPr>
          <w:rFonts w:ascii="Times New Roman" w:eastAsia="Times New Roman" w:hAnsi="Times New Roman" w:cs="Times New Roman"/>
          <w:color w:val="000000"/>
          <w:sz w:val="27"/>
          <w:szCs w:val="27"/>
          <w:lang w:eastAsia="it-IT"/>
        </w:rPr>
      </w:pPr>
      <w:r w:rsidRPr="002A302F">
        <w:rPr>
          <w:rFonts w:ascii="Garamond" w:eastAsia="Times New Roman" w:hAnsi="Garamond" w:cs="Times New Roman"/>
          <w:color w:val="000000"/>
          <w:sz w:val="30"/>
          <w:szCs w:val="30"/>
          <w:lang w:eastAsia="it-IT"/>
        </w:rPr>
        <w:t>Antonino Anastasi, Consigliere</w:t>
      </w:r>
    </w:p>
    <w:p w:rsidR="002A302F" w:rsidRPr="002A302F" w:rsidRDefault="002A302F" w:rsidP="002A302F">
      <w:pPr>
        <w:spacing w:after="0" w:line="520" w:lineRule="atLeast"/>
        <w:ind w:firstLine="567"/>
        <w:rPr>
          <w:rFonts w:ascii="Times New Roman" w:eastAsia="Times New Roman" w:hAnsi="Times New Roman" w:cs="Times New Roman"/>
          <w:color w:val="000000"/>
          <w:sz w:val="27"/>
          <w:szCs w:val="27"/>
          <w:lang w:eastAsia="it-IT"/>
        </w:rPr>
      </w:pPr>
      <w:r w:rsidRPr="002A302F">
        <w:rPr>
          <w:rFonts w:ascii="Garamond" w:eastAsia="Times New Roman" w:hAnsi="Garamond" w:cs="Times New Roman"/>
          <w:color w:val="000000"/>
          <w:sz w:val="30"/>
          <w:szCs w:val="30"/>
          <w:lang w:eastAsia="it-IT"/>
        </w:rPr>
        <w:t>Marzio Branca, Consigliere</w:t>
      </w:r>
    </w:p>
    <w:p w:rsidR="002A302F" w:rsidRPr="002A302F" w:rsidRDefault="002A302F" w:rsidP="002A302F">
      <w:pPr>
        <w:spacing w:after="0" w:line="520" w:lineRule="atLeast"/>
        <w:ind w:firstLine="567"/>
        <w:rPr>
          <w:rFonts w:ascii="Times New Roman" w:eastAsia="Times New Roman" w:hAnsi="Times New Roman" w:cs="Times New Roman"/>
          <w:color w:val="000000"/>
          <w:sz w:val="27"/>
          <w:szCs w:val="27"/>
          <w:lang w:eastAsia="it-IT"/>
        </w:rPr>
      </w:pPr>
      <w:r w:rsidRPr="002A302F">
        <w:rPr>
          <w:rFonts w:ascii="Garamond" w:eastAsia="Times New Roman" w:hAnsi="Garamond" w:cs="Times New Roman"/>
          <w:color w:val="000000"/>
          <w:sz w:val="30"/>
          <w:szCs w:val="30"/>
          <w:lang w:eastAsia="it-IT"/>
        </w:rPr>
        <w:t>Francesco Caringella, Consigliere</w:t>
      </w:r>
    </w:p>
    <w:p w:rsidR="002A302F" w:rsidRPr="002A302F" w:rsidRDefault="002A302F" w:rsidP="002A302F">
      <w:pPr>
        <w:spacing w:after="0" w:line="520" w:lineRule="atLeast"/>
        <w:ind w:firstLine="567"/>
        <w:rPr>
          <w:rFonts w:ascii="Times New Roman" w:eastAsia="Times New Roman" w:hAnsi="Times New Roman" w:cs="Times New Roman"/>
          <w:color w:val="000000"/>
          <w:sz w:val="27"/>
          <w:szCs w:val="27"/>
          <w:lang w:eastAsia="it-IT"/>
        </w:rPr>
      </w:pPr>
      <w:r w:rsidRPr="002A302F">
        <w:rPr>
          <w:rFonts w:ascii="Garamond" w:eastAsia="Times New Roman" w:hAnsi="Garamond" w:cs="Times New Roman"/>
          <w:color w:val="000000"/>
          <w:sz w:val="30"/>
          <w:szCs w:val="30"/>
          <w:lang w:eastAsia="it-IT"/>
        </w:rPr>
        <w:t>Anna Leoni, Consigliere</w:t>
      </w:r>
    </w:p>
    <w:p w:rsidR="002A302F" w:rsidRPr="002A302F" w:rsidRDefault="002A302F" w:rsidP="002A302F">
      <w:pPr>
        <w:spacing w:after="0" w:line="520" w:lineRule="atLeast"/>
        <w:ind w:firstLine="567"/>
        <w:rPr>
          <w:rFonts w:ascii="Times New Roman" w:eastAsia="Times New Roman" w:hAnsi="Times New Roman" w:cs="Times New Roman"/>
          <w:color w:val="000000"/>
          <w:sz w:val="27"/>
          <w:szCs w:val="27"/>
          <w:lang w:eastAsia="it-IT"/>
        </w:rPr>
      </w:pPr>
      <w:r w:rsidRPr="002A302F">
        <w:rPr>
          <w:rFonts w:ascii="Garamond" w:eastAsia="Times New Roman" w:hAnsi="Garamond" w:cs="Times New Roman"/>
          <w:color w:val="000000"/>
          <w:sz w:val="30"/>
          <w:szCs w:val="30"/>
          <w:lang w:eastAsia="it-IT"/>
        </w:rPr>
        <w:t>Maurizio Meschino, Consigliere</w:t>
      </w:r>
    </w:p>
    <w:p w:rsidR="002A302F" w:rsidRPr="002A302F" w:rsidRDefault="002A302F" w:rsidP="002A302F">
      <w:pPr>
        <w:spacing w:after="0" w:line="520" w:lineRule="atLeast"/>
        <w:ind w:firstLine="567"/>
        <w:rPr>
          <w:rFonts w:ascii="Times New Roman" w:eastAsia="Times New Roman" w:hAnsi="Times New Roman" w:cs="Times New Roman"/>
          <w:color w:val="000000"/>
          <w:sz w:val="27"/>
          <w:szCs w:val="27"/>
          <w:lang w:eastAsia="it-IT"/>
        </w:rPr>
      </w:pPr>
      <w:r w:rsidRPr="002A302F">
        <w:rPr>
          <w:rFonts w:ascii="Garamond" w:eastAsia="Times New Roman" w:hAnsi="Garamond" w:cs="Times New Roman"/>
          <w:color w:val="000000"/>
          <w:sz w:val="30"/>
          <w:szCs w:val="30"/>
          <w:lang w:eastAsia="it-IT"/>
        </w:rPr>
        <w:t>Raffaele Greco, Consigliere</w:t>
      </w:r>
    </w:p>
    <w:p w:rsidR="002A302F" w:rsidRPr="002A302F" w:rsidRDefault="002A302F" w:rsidP="002A302F">
      <w:pPr>
        <w:spacing w:after="0" w:line="520" w:lineRule="atLeast"/>
        <w:ind w:firstLine="567"/>
        <w:rPr>
          <w:rFonts w:ascii="Times New Roman" w:eastAsia="Times New Roman" w:hAnsi="Times New Roman" w:cs="Times New Roman"/>
          <w:color w:val="000000"/>
          <w:sz w:val="27"/>
          <w:szCs w:val="27"/>
          <w:lang w:eastAsia="it-IT"/>
        </w:rPr>
      </w:pPr>
      <w:r w:rsidRPr="002A302F">
        <w:rPr>
          <w:rFonts w:ascii="Garamond" w:eastAsia="Times New Roman" w:hAnsi="Garamond" w:cs="Times New Roman"/>
          <w:color w:val="000000"/>
          <w:sz w:val="30"/>
          <w:szCs w:val="30"/>
          <w:lang w:eastAsia="it-IT"/>
        </w:rPr>
        <w:t>Angelica Dell'Utri, Consigliere</w:t>
      </w:r>
    </w:p>
    <w:tbl>
      <w:tblPr>
        <w:tblW w:w="5000" w:type="pct"/>
        <w:tblCellMar>
          <w:left w:w="0" w:type="dxa"/>
          <w:right w:w="0" w:type="dxa"/>
        </w:tblCellMar>
        <w:tblLook w:val="04A0" w:firstRow="1" w:lastRow="0" w:firstColumn="1" w:lastColumn="0" w:noHBand="0" w:noVBand="1"/>
      </w:tblPr>
      <w:tblGrid>
        <w:gridCol w:w="4403"/>
        <w:gridCol w:w="223"/>
        <w:gridCol w:w="5042"/>
      </w:tblGrid>
      <w:tr w:rsidR="002A302F" w:rsidRPr="002A302F" w:rsidTr="002A302F">
        <w:tc>
          <w:tcPr>
            <w:tcW w:w="0" w:type="auto"/>
            <w:tcMar>
              <w:top w:w="15" w:type="dxa"/>
              <w:left w:w="15" w:type="dxa"/>
              <w:bottom w:w="15" w:type="dxa"/>
              <w:right w:w="15" w:type="dxa"/>
            </w:tcMar>
            <w:vAlign w:val="center"/>
            <w:hideMark/>
          </w:tcPr>
          <w:p w:rsidR="002A302F" w:rsidRPr="002A302F" w:rsidRDefault="002A302F" w:rsidP="002A302F">
            <w:pPr>
              <w:spacing w:after="0" w:line="240" w:lineRule="auto"/>
              <w:jc w:val="center"/>
              <w:rPr>
                <w:rFonts w:ascii="Times New Roman" w:eastAsia="Times New Roman" w:hAnsi="Times New Roman" w:cs="Times New Roman"/>
                <w:sz w:val="24"/>
                <w:szCs w:val="24"/>
                <w:lang w:eastAsia="it-IT"/>
              </w:rPr>
            </w:pPr>
            <w:r w:rsidRPr="002A302F">
              <w:rPr>
                <w:rFonts w:ascii="Times New Roman" w:eastAsia="Times New Roman" w:hAnsi="Times New Roman" w:cs="Times New Roman"/>
                <w:b/>
                <w:bCs/>
                <w:sz w:val="28"/>
                <w:szCs w:val="28"/>
                <w:lang w:eastAsia="it-IT"/>
              </w:rPr>
              <w:t> </w:t>
            </w:r>
          </w:p>
        </w:tc>
        <w:tc>
          <w:tcPr>
            <w:tcW w:w="0" w:type="auto"/>
            <w:tcMar>
              <w:top w:w="15" w:type="dxa"/>
              <w:left w:w="15" w:type="dxa"/>
              <w:bottom w:w="15" w:type="dxa"/>
              <w:right w:w="15" w:type="dxa"/>
            </w:tcMar>
            <w:vAlign w:val="center"/>
            <w:hideMark/>
          </w:tcPr>
          <w:p w:rsidR="002A302F" w:rsidRPr="002A302F" w:rsidRDefault="002A302F" w:rsidP="002A302F">
            <w:pPr>
              <w:spacing w:after="0" w:line="240" w:lineRule="auto"/>
              <w:jc w:val="center"/>
              <w:rPr>
                <w:rFonts w:ascii="Times New Roman" w:eastAsia="Times New Roman" w:hAnsi="Times New Roman" w:cs="Times New Roman"/>
                <w:sz w:val="24"/>
                <w:szCs w:val="24"/>
                <w:lang w:eastAsia="it-IT"/>
              </w:rPr>
            </w:pPr>
            <w:r w:rsidRPr="002A302F">
              <w:rPr>
                <w:rFonts w:ascii="Times New Roman" w:eastAsia="Times New Roman" w:hAnsi="Times New Roman" w:cs="Times New Roman"/>
                <w:b/>
                <w:bCs/>
                <w:sz w:val="28"/>
                <w:szCs w:val="28"/>
                <w:lang w:eastAsia="it-IT"/>
              </w:rPr>
              <w:t> </w:t>
            </w:r>
          </w:p>
        </w:tc>
        <w:tc>
          <w:tcPr>
            <w:tcW w:w="0" w:type="auto"/>
            <w:tcMar>
              <w:top w:w="15" w:type="dxa"/>
              <w:left w:w="15" w:type="dxa"/>
              <w:bottom w:w="15" w:type="dxa"/>
              <w:right w:w="15" w:type="dxa"/>
            </w:tcMar>
            <w:vAlign w:val="center"/>
            <w:hideMark/>
          </w:tcPr>
          <w:p w:rsidR="002A302F" w:rsidRPr="002A302F" w:rsidRDefault="002A302F" w:rsidP="002A302F">
            <w:pPr>
              <w:spacing w:after="0" w:line="240" w:lineRule="auto"/>
              <w:jc w:val="center"/>
              <w:rPr>
                <w:rFonts w:ascii="Times New Roman" w:eastAsia="Times New Roman" w:hAnsi="Times New Roman" w:cs="Times New Roman"/>
                <w:sz w:val="24"/>
                <w:szCs w:val="24"/>
                <w:lang w:eastAsia="it-IT"/>
              </w:rPr>
            </w:pPr>
            <w:r w:rsidRPr="002A302F">
              <w:rPr>
                <w:rFonts w:ascii="Times New Roman" w:eastAsia="Times New Roman" w:hAnsi="Times New Roman" w:cs="Times New Roman"/>
                <w:b/>
                <w:bCs/>
                <w:sz w:val="28"/>
                <w:szCs w:val="28"/>
                <w:lang w:eastAsia="it-IT"/>
              </w:rPr>
              <w:t> </w:t>
            </w:r>
          </w:p>
        </w:tc>
      </w:tr>
      <w:tr w:rsidR="002A302F" w:rsidRPr="002A302F" w:rsidTr="002A302F">
        <w:tc>
          <w:tcPr>
            <w:tcW w:w="0" w:type="auto"/>
            <w:tcMar>
              <w:top w:w="15" w:type="dxa"/>
              <w:left w:w="15" w:type="dxa"/>
              <w:bottom w:w="15" w:type="dxa"/>
              <w:right w:w="15" w:type="dxa"/>
            </w:tcMar>
            <w:vAlign w:val="center"/>
            <w:hideMark/>
          </w:tcPr>
          <w:p w:rsidR="002A302F" w:rsidRPr="002A302F" w:rsidRDefault="002A302F" w:rsidP="002A302F">
            <w:pPr>
              <w:spacing w:after="0" w:line="240" w:lineRule="auto"/>
              <w:jc w:val="center"/>
              <w:rPr>
                <w:rFonts w:ascii="Times New Roman" w:eastAsia="Times New Roman" w:hAnsi="Times New Roman" w:cs="Times New Roman"/>
                <w:sz w:val="24"/>
                <w:szCs w:val="24"/>
                <w:lang w:eastAsia="it-IT"/>
              </w:rPr>
            </w:pPr>
            <w:r w:rsidRPr="002A302F">
              <w:rPr>
                <w:rFonts w:ascii="Times New Roman" w:eastAsia="Times New Roman" w:hAnsi="Times New Roman" w:cs="Times New Roman"/>
                <w:b/>
                <w:bCs/>
                <w:sz w:val="28"/>
                <w:szCs w:val="28"/>
                <w:lang w:eastAsia="it-IT"/>
              </w:rPr>
              <w:t> </w:t>
            </w:r>
          </w:p>
        </w:tc>
        <w:tc>
          <w:tcPr>
            <w:tcW w:w="0" w:type="auto"/>
            <w:tcMar>
              <w:top w:w="15" w:type="dxa"/>
              <w:left w:w="15" w:type="dxa"/>
              <w:bottom w:w="15" w:type="dxa"/>
              <w:right w:w="15" w:type="dxa"/>
            </w:tcMar>
            <w:vAlign w:val="center"/>
            <w:hideMark/>
          </w:tcPr>
          <w:p w:rsidR="002A302F" w:rsidRPr="002A302F" w:rsidRDefault="002A302F" w:rsidP="002A302F">
            <w:pPr>
              <w:spacing w:after="0" w:line="240" w:lineRule="auto"/>
              <w:jc w:val="center"/>
              <w:rPr>
                <w:rFonts w:ascii="Times New Roman" w:eastAsia="Times New Roman" w:hAnsi="Times New Roman" w:cs="Times New Roman"/>
                <w:sz w:val="24"/>
                <w:szCs w:val="24"/>
                <w:lang w:eastAsia="it-IT"/>
              </w:rPr>
            </w:pPr>
            <w:r w:rsidRPr="002A302F">
              <w:rPr>
                <w:rFonts w:ascii="Times New Roman" w:eastAsia="Times New Roman" w:hAnsi="Times New Roman" w:cs="Times New Roman"/>
                <w:b/>
                <w:bCs/>
                <w:sz w:val="28"/>
                <w:szCs w:val="28"/>
                <w:lang w:eastAsia="it-IT"/>
              </w:rPr>
              <w:t> </w:t>
            </w:r>
          </w:p>
        </w:tc>
        <w:tc>
          <w:tcPr>
            <w:tcW w:w="0" w:type="auto"/>
            <w:tcMar>
              <w:top w:w="15" w:type="dxa"/>
              <w:left w:w="15" w:type="dxa"/>
              <w:bottom w:w="15" w:type="dxa"/>
              <w:right w:w="15" w:type="dxa"/>
            </w:tcMar>
            <w:vAlign w:val="center"/>
            <w:hideMark/>
          </w:tcPr>
          <w:p w:rsidR="002A302F" w:rsidRPr="002A302F" w:rsidRDefault="002A302F" w:rsidP="002A302F">
            <w:pPr>
              <w:spacing w:after="0" w:line="240" w:lineRule="auto"/>
              <w:jc w:val="center"/>
              <w:rPr>
                <w:rFonts w:ascii="Times New Roman" w:eastAsia="Times New Roman" w:hAnsi="Times New Roman" w:cs="Times New Roman"/>
                <w:sz w:val="24"/>
                <w:szCs w:val="24"/>
                <w:lang w:eastAsia="it-IT"/>
              </w:rPr>
            </w:pPr>
            <w:r w:rsidRPr="002A302F">
              <w:rPr>
                <w:rFonts w:ascii="Times New Roman" w:eastAsia="Times New Roman" w:hAnsi="Times New Roman" w:cs="Times New Roman"/>
                <w:b/>
                <w:bCs/>
                <w:sz w:val="28"/>
                <w:szCs w:val="28"/>
                <w:lang w:eastAsia="it-IT"/>
              </w:rPr>
              <w:t> </w:t>
            </w:r>
          </w:p>
        </w:tc>
      </w:tr>
      <w:tr w:rsidR="002A302F" w:rsidRPr="002A302F" w:rsidTr="002A302F">
        <w:tc>
          <w:tcPr>
            <w:tcW w:w="0" w:type="auto"/>
            <w:gridSpan w:val="3"/>
            <w:tcMar>
              <w:top w:w="15" w:type="dxa"/>
              <w:left w:w="15" w:type="dxa"/>
              <w:bottom w:w="15" w:type="dxa"/>
              <w:right w:w="15" w:type="dxa"/>
            </w:tcMar>
            <w:vAlign w:val="center"/>
            <w:hideMark/>
          </w:tcPr>
          <w:p w:rsidR="002A302F" w:rsidRPr="002A302F" w:rsidRDefault="002A302F" w:rsidP="002A302F">
            <w:pPr>
              <w:spacing w:after="0" w:line="240" w:lineRule="auto"/>
              <w:jc w:val="center"/>
              <w:rPr>
                <w:rFonts w:ascii="Times New Roman" w:eastAsia="Times New Roman" w:hAnsi="Times New Roman" w:cs="Times New Roman"/>
                <w:sz w:val="24"/>
                <w:szCs w:val="24"/>
                <w:lang w:eastAsia="it-IT"/>
              </w:rPr>
            </w:pPr>
            <w:r w:rsidRPr="002A302F">
              <w:rPr>
                <w:rFonts w:ascii="Times New Roman" w:eastAsia="Times New Roman" w:hAnsi="Times New Roman" w:cs="Times New Roman"/>
                <w:b/>
                <w:bCs/>
                <w:sz w:val="28"/>
                <w:szCs w:val="28"/>
                <w:lang w:eastAsia="it-IT"/>
              </w:rPr>
              <w:t>IL PRESIDENTE</w:t>
            </w:r>
          </w:p>
        </w:tc>
      </w:tr>
      <w:tr w:rsidR="002A302F" w:rsidRPr="002A302F" w:rsidTr="002A302F">
        <w:tc>
          <w:tcPr>
            <w:tcW w:w="0" w:type="auto"/>
            <w:tcMar>
              <w:top w:w="15" w:type="dxa"/>
              <w:left w:w="15" w:type="dxa"/>
              <w:bottom w:w="15" w:type="dxa"/>
              <w:right w:w="15" w:type="dxa"/>
            </w:tcMar>
            <w:vAlign w:val="center"/>
            <w:hideMark/>
          </w:tcPr>
          <w:p w:rsidR="002A302F" w:rsidRPr="002A302F" w:rsidRDefault="002A302F" w:rsidP="002A302F">
            <w:pPr>
              <w:spacing w:after="0" w:line="240" w:lineRule="auto"/>
              <w:jc w:val="center"/>
              <w:rPr>
                <w:rFonts w:ascii="Times New Roman" w:eastAsia="Times New Roman" w:hAnsi="Times New Roman" w:cs="Times New Roman"/>
                <w:sz w:val="24"/>
                <w:szCs w:val="24"/>
                <w:lang w:eastAsia="it-IT"/>
              </w:rPr>
            </w:pPr>
            <w:r w:rsidRPr="002A302F">
              <w:rPr>
                <w:rFonts w:ascii="Times New Roman" w:eastAsia="Times New Roman" w:hAnsi="Times New Roman" w:cs="Times New Roman"/>
                <w:b/>
                <w:bCs/>
                <w:sz w:val="28"/>
                <w:szCs w:val="28"/>
                <w:lang w:eastAsia="it-IT"/>
              </w:rPr>
              <w:t> </w:t>
            </w:r>
          </w:p>
        </w:tc>
        <w:tc>
          <w:tcPr>
            <w:tcW w:w="0" w:type="auto"/>
            <w:tcMar>
              <w:top w:w="15" w:type="dxa"/>
              <w:left w:w="15" w:type="dxa"/>
              <w:bottom w:w="15" w:type="dxa"/>
              <w:right w:w="15" w:type="dxa"/>
            </w:tcMar>
            <w:vAlign w:val="center"/>
            <w:hideMark/>
          </w:tcPr>
          <w:p w:rsidR="002A302F" w:rsidRPr="002A302F" w:rsidRDefault="002A302F" w:rsidP="002A302F">
            <w:pPr>
              <w:spacing w:after="0" w:line="240" w:lineRule="auto"/>
              <w:jc w:val="center"/>
              <w:rPr>
                <w:rFonts w:ascii="Times New Roman" w:eastAsia="Times New Roman" w:hAnsi="Times New Roman" w:cs="Times New Roman"/>
                <w:sz w:val="24"/>
                <w:szCs w:val="24"/>
                <w:lang w:eastAsia="it-IT"/>
              </w:rPr>
            </w:pPr>
            <w:r w:rsidRPr="002A302F">
              <w:rPr>
                <w:rFonts w:ascii="Times New Roman" w:eastAsia="Times New Roman" w:hAnsi="Times New Roman" w:cs="Times New Roman"/>
                <w:b/>
                <w:bCs/>
                <w:sz w:val="28"/>
                <w:szCs w:val="28"/>
                <w:lang w:eastAsia="it-IT"/>
              </w:rPr>
              <w:t> </w:t>
            </w:r>
          </w:p>
        </w:tc>
        <w:tc>
          <w:tcPr>
            <w:tcW w:w="0" w:type="auto"/>
            <w:tcMar>
              <w:top w:w="15" w:type="dxa"/>
              <w:left w:w="15" w:type="dxa"/>
              <w:bottom w:w="15" w:type="dxa"/>
              <w:right w:w="15" w:type="dxa"/>
            </w:tcMar>
            <w:vAlign w:val="center"/>
            <w:hideMark/>
          </w:tcPr>
          <w:p w:rsidR="002A302F" w:rsidRPr="002A302F" w:rsidRDefault="002A302F" w:rsidP="002A302F">
            <w:pPr>
              <w:spacing w:after="0" w:line="240" w:lineRule="auto"/>
              <w:jc w:val="center"/>
              <w:rPr>
                <w:rFonts w:ascii="Times New Roman" w:eastAsia="Times New Roman" w:hAnsi="Times New Roman" w:cs="Times New Roman"/>
                <w:sz w:val="24"/>
                <w:szCs w:val="24"/>
                <w:lang w:eastAsia="it-IT"/>
              </w:rPr>
            </w:pPr>
            <w:r w:rsidRPr="002A302F">
              <w:rPr>
                <w:rFonts w:ascii="Times New Roman" w:eastAsia="Times New Roman" w:hAnsi="Times New Roman" w:cs="Times New Roman"/>
                <w:b/>
                <w:bCs/>
                <w:sz w:val="28"/>
                <w:szCs w:val="28"/>
                <w:lang w:eastAsia="it-IT"/>
              </w:rPr>
              <w:t> </w:t>
            </w:r>
          </w:p>
        </w:tc>
      </w:tr>
      <w:tr w:rsidR="002A302F" w:rsidRPr="002A302F" w:rsidTr="002A302F">
        <w:tc>
          <w:tcPr>
            <w:tcW w:w="0" w:type="auto"/>
            <w:tcMar>
              <w:top w:w="15" w:type="dxa"/>
              <w:left w:w="15" w:type="dxa"/>
              <w:bottom w:w="15" w:type="dxa"/>
              <w:right w:w="15" w:type="dxa"/>
            </w:tcMar>
            <w:vAlign w:val="center"/>
            <w:hideMark/>
          </w:tcPr>
          <w:p w:rsidR="002A302F" w:rsidRPr="002A302F" w:rsidRDefault="002A302F" w:rsidP="002A302F">
            <w:pPr>
              <w:spacing w:after="0" w:line="240" w:lineRule="auto"/>
              <w:jc w:val="center"/>
              <w:rPr>
                <w:rFonts w:ascii="Times New Roman" w:eastAsia="Times New Roman" w:hAnsi="Times New Roman" w:cs="Times New Roman"/>
                <w:sz w:val="24"/>
                <w:szCs w:val="24"/>
                <w:lang w:eastAsia="it-IT"/>
              </w:rPr>
            </w:pPr>
            <w:r w:rsidRPr="002A302F">
              <w:rPr>
                <w:rFonts w:ascii="Times New Roman" w:eastAsia="Times New Roman" w:hAnsi="Times New Roman" w:cs="Times New Roman"/>
                <w:b/>
                <w:bCs/>
                <w:sz w:val="28"/>
                <w:szCs w:val="28"/>
                <w:lang w:eastAsia="it-IT"/>
              </w:rPr>
              <w:t> </w:t>
            </w:r>
          </w:p>
        </w:tc>
        <w:tc>
          <w:tcPr>
            <w:tcW w:w="0" w:type="auto"/>
            <w:tcMar>
              <w:top w:w="15" w:type="dxa"/>
              <w:left w:w="15" w:type="dxa"/>
              <w:bottom w:w="15" w:type="dxa"/>
              <w:right w:w="15" w:type="dxa"/>
            </w:tcMar>
            <w:vAlign w:val="center"/>
            <w:hideMark/>
          </w:tcPr>
          <w:p w:rsidR="002A302F" w:rsidRPr="002A302F" w:rsidRDefault="002A302F" w:rsidP="002A302F">
            <w:pPr>
              <w:spacing w:after="0" w:line="240" w:lineRule="auto"/>
              <w:jc w:val="center"/>
              <w:rPr>
                <w:rFonts w:ascii="Times New Roman" w:eastAsia="Times New Roman" w:hAnsi="Times New Roman" w:cs="Times New Roman"/>
                <w:sz w:val="24"/>
                <w:szCs w:val="24"/>
                <w:lang w:eastAsia="it-IT"/>
              </w:rPr>
            </w:pPr>
            <w:r w:rsidRPr="002A302F">
              <w:rPr>
                <w:rFonts w:ascii="Times New Roman" w:eastAsia="Times New Roman" w:hAnsi="Times New Roman" w:cs="Times New Roman"/>
                <w:b/>
                <w:bCs/>
                <w:sz w:val="28"/>
                <w:szCs w:val="28"/>
                <w:lang w:eastAsia="it-IT"/>
              </w:rPr>
              <w:t> </w:t>
            </w:r>
          </w:p>
        </w:tc>
        <w:tc>
          <w:tcPr>
            <w:tcW w:w="0" w:type="auto"/>
            <w:tcMar>
              <w:top w:w="15" w:type="dxa"/>
              <w:left w:w="15" w:type="dxa"/>
              <w:bottom w:w="15" w:type="dxa"/>
              <w:right w:w="15" w:type="dxa"/>
            </w:tcMar>
            <w:vAlign w:val="center"/>
            <w:hideMark/>
          </w:tcPr>
          <w:p w:rsidR="002A302F" w:rsidRPr="002A302F" w:rsidRDefault="002A302F" w:rsidP="002A302F">
            <w:pPr>
              <w:spacing w:after="0" w:line="240" w:lineRule="auto"/>
              <w:jc w:val="center"/>
              <w:rPr>
                <w:rFonts w:ascii="Times New Roman" w:eastAsia="Times New Roman" w:hAnsi="Times New Roman" w:cs="Times New Roman"/>
                <w:sz w:val="24"/>
                <w:szCs w:val="24"/>
                <w:lang w:eastAsia="it-IT"/>
              </w:rPr>
            </w:pPr>
            <w:r w:rsidRPr="002A302F">
              <w:rPr>
                <w:rFonts w:ascii="Times New Roman" w:eastAsia="Times New Roman" w:hAnsi="Times New Roman" w:cs="Times New Roman"/>
                <w:b/>
                <w:bCs/>
                <w:sz w:val="28"/>
                <w:szCs w:val="28"/>
                <w:lang w:eastAsia="it-IT"/>
              </w:rPr>
              <w:t> </w:t>
            </w:r>
          </w:p>
        </w:tc>
      </w:tr>
      <w:tr w:rsidR="002A302F" w:rsidRPr="002A302F" w:rsidTr="002A302F">
        <w:tc>
          <w:tcPr>
            <w:tcW w:w="0" w:type="auto"/>
            <w:tcMar>
              <w:top w:w="15" w:type="dxa"/>
              <w:left w:w="15" w:type="dxa"/>
              <w:bottom w:w="15" w:type="dxa"/>
              <w:right w:w="15" w:type="dxa"/>
            </w:tcMar>
            <w:vAlign w:val="center"/>
            <w:hideMark/>
          </w:tcPr>
          <w:p w:rsidR="002A302F" w:rsidRPr="002A302F" w:rsidRDefault="002A302F" w:rsidP="002A302F">
            <w:pPr>
              <w:spacing w:after="0" w:line="240" w:lineRule="auto"/>
              <w:jc w:val="center"/>
              <w:rPr>
                <w:rFonts w:ascii="Times New Roman" w:eastAsia="Times New Roman" w:hAnsi="Times New Roman" w:cs="Times New Roman"/>
                <w:sz w:val="24"/>
                <w:szCs w:val="24"/>
                <w:lang w:eastAsia="it-IT"/>
              </w:rPr>
            </w:pPr>
            <w:r w:rsidRPr="002A302F">
              <w:rPr>
                <w:rFonts w:ascii="Times New Roman" w:eastAsia="Times New Roman" w:hAnsi="Times New Roman" w:cs="Times New Roman"/>
                <w:b/>
                <w:bCs/>
                <w:sz w:val="28"/>
                <w:szCs w:val="28"/>
                <w:lang w:eastAsia="it-IT"/>
              </w:rPr>
              <w:t> </w:t>
            </w:r>
          </w:p>
        </w:tc>
        <w:tc>
          <w:tcPr>
            <w:tcW w:w="0" w:type="auto"/>
            <w:tcMar>
              <w:top w:w="15" w:type="dxa"/>
              <w:left w:w="15" w:type="dxa"/>
              <w:bottom w:w="15" w:type="dxa"/>
              <w:right w:w="15" w:type="dxa"/>
            </w:tcMar>
            <w:vAlign w:val="center"/>
            <w:hideMark/>
          </w:tcPr>
          <w:p w:rsidR="002A302F" w:rsidRPr="002A302F" w:rsidRDefault="002A302F" w:rsidP="002A302F">
            <w:pPr>
              <w:spacing w:after="0" w:line="240" w:lineRule="auto"/>
              <w:jc w:val="center"/>
              <w:rPr>
                <w:rFonts w:ascii="Times New Roman" w:eastAsia="Times New Roman" w:hAnsi="Times New Roman" w:cs="Times New Roman"/>
                <w:sz w:val="24"/>
                <w:szCs w:val="24"/>
                <w:lang w:eastAsia="it-IT"/>
              </w:rPr>
            </w:pPr>
            <w:r w:rsidRPr="002A302F">
              <w:rPr>
                <w:rFonts w:ascii="Times New Roman" w:eastAsia="Times New Roman" w:hAnsi="Times New Roman" w:cs="Times New Roman"/>
                <w:b/>
                <w:bCs/>
                <w:sz w:val="28"/>
                <w:szCs w:val="28"/>
                <w:lang w:eastAsia="it-IT"/>
              </w:rPr>
              <w:t> </w:t>
            </w:r>
          </w:p>
        </w:tc>
        <w:tc>
          <w:tcPr>
            <w:tcW w:w="0" w:type="auto"/>
            <w:tcMar>
              <w:top w:w="15" w:type="dxa"/>
              <w:left w:w="15" w:type="dxa"/>
              <w:bottom w:w="15" w:type="dxa"/>
              <w:right w:w="15" w:type="dxa"/>
            </w:tcMar>
            <w:vAlign w:val="center"/>
            <w:hideMark/>
          </w:tcPr>
          <w:p w:rsidR="002A302F" w:rsidRPr="002A302F" w:rsidRDefault="002A302F" w:rsidP="002A302F">
            <w:pPr>
              <w:spacing w:after="0" w:line="240" w:lineRule="auto"/>
              <w:jc w:val="center"/>
              <w:rPr>
                <w:rFonts w:ascii="Times New Roman" w:eastAsia="Times New Roman" w:hAnsi="Times New Roman" w:cs="Times New Roman"/>
                <w:sz w:val="24"/>
                <w:szCs w:val="24"/>
                <w:lang w:eastAsia="it-IT"/>
              </w:rPr>
            </w:pPr>
            <w:r w:rsidRPr="002A302F">
              <w:rPr>
                <w:rFonts w:ascii="Times New Roman" w:eastAsia="Times New Roman" w:hAnsi="Times New Roman" w:cs="Times New Roman"/>
                <w:b/>
                <w:bCs/>
                <w:sz w:val="28"/>
                <w:szCs w:val="28"/>
                <w:lang w:eastAsia="it-IT"/>
              </w:rPr>
              <w:t> </w:t>
            </w:r>
          </w:p>
        </w:tc>
      </w:tr>
      <w:tr w:rsidR="002A302F" w:rsidRPr="002A302F" w:rsidTr="002A302F">
        <w:tc>
          <w:tcPr>
            <w:tcW w:w="0" w:type="auto"/>
            <w:tcMar>
              <w:top w:w="15" w:type="dxa"/>
              <w:left w:w="15" w:type="dxa"/>
              <w:bottom w:w="15" w:type="dxa"/>
              <w:right w:w="15" w:type="dxa"/>
            </w:tcMar>
            <w:vAlign w:val="center"/>
            <w:hideMark/>
          </w:tcPr>
          <w:p w:rsidR="002A302F" w:rsidRPr="002A302F" w:rsidRDefault="002A302F" w:rsidP="002A302F">
            <w:pPr>
              <w:spacing w:after="0" w:line="240" w:lineRule="auto"/>
              <w:jc w:val="center"/>
              <w:rPr>
                <w:rFonts w:ascii="Times New Roman" w:eastAsia="Times New Roman" w:hAnsi="Times New Roman" w:cs="Times New Roman"/>
                <w:sz w:val="24"/>
                <w:szCs w:val="24"/>
                <w:lang w:eastAsia="it-IT"/>
              </w:rPr>
            </w:pPr>
            <w:r w:rsidRPr="002A302F">
              <w:rPr>
                <w:rFonts w:ascii="Times New Roman" w:eastAsia="Times New Roman" w:hAnsi="Times New Roman" w:cs="Times New Roman"/>
                <w:b/>
                <w:bCs/>
                <w:sz w:val="28"/>
                <w:szCs w:val="28"/>
                <w:lang w:eastAsia="it-IT"/>
              </w:rPr>
              <w:t>L'ESTENSORE</w:t>
            </w:r>
          </w:p>
        </w:tc>
        <w:tc>
          <w:tcPr>
            <w:tcW w:w="0" w:type="auto"/>
            <w:tcMar>
              <w:top w:w="15" w:type="dxa"/>
              <w:left w:w="15" w:type="dxa"/>
              <w:bottom w:w="15" w:type="dxa"/>
              <w:right w:w="15" w:type="dxa"/>
            </w:tcMar>
            <w:vAlign w:val="center"/>
            <w:hideMark/>
          </w:tcPr>
          <w:p w:rsidR="002A302F" w:rsidRPr="002A302F" w:rsidRDefault="002A302F" w:rsidP="002A302F">
            <w:pPr>
              <w:spacing w:after="0" w:line="240" w:lineRule="auto"/>
              <w:jc w:val="center"/>
              <w:rPr>
                <w:rFonts w:ascii="Times New Roman" w:eastAsia="Times New Roman" w:hAnsi="Times New Roman" w:cs="Times New Roman"/>
                <w:sz w:val="24"/>
                <w:szCs w:val="24"/>
                <w:lang w:eastAsia="it-IT"/>
              </w:rPr>
            </w:pPr>
            <w:r w:rsidRPr="002A302F">
              <w:rPr>
                <w:rFonts w:ascii="Times New Roman" w:eastAsia="Times New Roman" w:hAnsi="Times New Roman" w:cs="Times New Roman"/>
                <w:b/>
                <w:bCs/>
                <w:sz w:val="28"/>
                <w:szCs w:val="28"/>
                <w:lang w:eastAsia="it-IT"/>
              </w:rPr>
              <w:t> </w:t>
            </w:r>
          </w:p>
        </w:tc>
        <w:tc>
          <w:tcPr>
            <w:tcW w:w="0" w:type="auto"/>
            <w:tcMar>
              <w:top w:w="15" w:type="dxa"/>
              <w:left w:w="15" w:type="dxa"/>
              <w:bottom w:w="15" w:type="dxa"/>
              <w:right w:w="15" w:type="dxa"/>
            </w:tcMar>
            <w:vAlign w:val="center"/>
            <w:hideMark/>
          </w:tcPr>
          <w:p w:rsidR="002A302F" w:rsidRPr="002A302F" w:rsidRDefault="002A302F" w:rsidP="002A302F">
            <w:pPr>
              <w:spacing w:after="0" w:line="240" w:lineRule="auto"/>
              <w:jc w:val="center"/>
              <w:rPr>
                <w:rFonts w:ascii="Times New Roman" w:eastAsia="Times New Roman" w:hAnsi="Times New Roman" w:cs="Times New Roman"/>
                <w:sz w:val="24"/>
                <w:szCs w:val="24"/>
                <w:lang w:eastAsia="it-IT"/>
              </w:rPr>
            </w:pPr>
            <w:r w:rsidRPr="002A302F">
              <w:rPr>
                <w:rFonts w:ascii="Times New Roman" w:eastAsia="Times New Roman" w:hAnsi="Times New Roman" w:cs="Times New Roman"/>
                <w:b/>
                <w:bCs/>
                <w:sz w:val="28"/>
                <w:szCs w:val="28"/>
                <w:lang w:eastAsia="it-IT"/>
              </w:rPr>
              <w:t>IL SEGRETARIO</w:t>
            </w:r>
          </w:p>
        </w:tc>
      </w:tr>
      <w:tr w:rsidR="002A302F" w:rsidRPr="002A302F" w:rsidTr="002A302F">
        <w:tc>
          <w:tcPr>
            <w:tcW w:w="0" w:type="auto"/>
            <w:tcMar>
              <w:top w:w="15" w:type="dxa"/>
              <w:left w:w="15" w:type="dxa"/>
              <w:bottom w:w="15" w:type="dxa"/>
              <w:right w:w="15" w:type="dxa"/>
            </w:tcMar>
            <w:vAlign w:val="center"/>
            <w:hideMark/>
          </w:tcPr>
          <w:p w:rsidR="002A302F" w:rsidRPr="002A302F" w:rsidRDefault="002A302F" w:rsidP="002A302F">
            <w:pPr>
              <w:spacing w:after="0" w:line="240" w:lineRule="auto"/>
              <w:jc w:val="center"/>
              <w:rPr>
                <w:rFonts w:ascii="Times New Roman" w:eastAsia="Times New Roman" w:hAnsi="Times New Roman" w:cs="Times New Roman"/>
                <w:sz w:val="24"/>
                <w:szCs w:val="24"/>
                <w:lang w:eastAsia="it-IT"/>
              </w:rPr>
            </w:pPr>
            <w:r w:rsidRPr="002A302F">
              <w:rPr>
                <w:rFonts w:ascii="Times New Roman" w:eastAsia="Times New Roman" w:hAnsi="Times New Roman" w:cs="Times New Roman"/>
                <w:b/>
                <w:bCs/>
                <w:sz w:val="28"/>
                <w:szCs w:val="28"/>
                <w:lang w:eastAsia="it-IT"/>
              </w:rPr>
              <w:t> </w:t>
            </w:r>
          </w:p>
        </w:tc>
        <w:tc>
          <w:tcPr>
            <w:tcW w:w="0" w:type="auto"/>
            <w:tcMar>
              <w:top w:w="15" w:type="dxa"/>
              <w:left w:w="15" w:type="dxa"/>
              <w:bottom w:w="15" w:type="dxa"/>
              <w:right w:w="15" w:type="dxa"/>
            </w:tcMar>
            <w:vAlign w:val="center"/>
            <w:hideMark/>
          </w:tcPr>
          <w:p w:rsidR="002A302F" w:rsidRPr="002A302F" w:rsidRDefault="002A302F" w:rsidP="002A302F">
            <w:pPr>
              <w:spacing w:after="0" w:line="240" w:lineRule="auto"/>
              <w:jc w:val="center"/>
              <w:rPr>
                <w:rFonts w:ascii="Times New Roman" w:eastAsia="Times New Roman" w:hAnsi="Times New Roman" w:cs="Times New Roman"/>
                <w:sz w:val="24"/>
                <w:szCs w:val="24"/>
                <w:lang w:eastAsia="it-IT"/>
              </w:rPr>
            </w:pPr>
            <w:r w:rsidRPr="002A302F">
              <w:rPr>
                <w:rFonts w:ascii="Times New Roman" w:eastAsia="Times New Roman" w:hAnsi="Times New Roman" w:cs="Times New Roman"/>
                <w:b/>
                <w:bCs/>
                <w:sz w:val="28"/>
                <w:szCs w:val="28"/>
                <w:lang w:eastAsia="it-IT"/>
              </w:rPr>
              <w:t> </w:t>
            </w:r>
          </w:p>
        </w:tc>
        <w:tc>
          <w:tcPr>
            <w:tcW w:w="0" w:type="auto"/>
            <w:tcMar>
              <w:top w:w="15" w:type="dxa"/>
              <w:left w:w="15" w:type="dxa"/>
              <w:bottom w:w="15" w:type="dxa"/>
              <w:right w:w="15" w:type="dxa"/>
            </w:tcMar>
            <w:vAlign w:val="center"/>
            <w:hideMark/>
          </w:tcPr>
          <w:p w:rsidR="002A302F" w:rsidRPr="002A302F" w:rsidRDefault="002A302F" w:rsidP="002A302F">
            <w:pPr>
              <w:spacing w:after="0" w:line="240" w:lineRule="auto"/>
              <w:jc w:val="center"/>
              <w:rPr>
                <w:rFonts w:ascii="Times New Roman" w:eastAsia="Times New Roman" w:hAnsi="Times New Roman" w:cs="Times New Roman"/>
                <w:sz w:val="24"/>
                <w:szCs w:val="24"/>
                <w:lang w:eastAsia="it-IT"/>
              </w:rPr>
            </w:pPr>
            <w:r w:rsidRPr="002A302F">
              <w:rPr>
                <w:rFonts w:ascii="Times New Roman" w:eastAsia="Times New Roman" w:hAnsi="Times New Roman" w:cs="Times New Roman"/>
                <w:b/>
                <w:bCs/>
                <w:sz w:val="28"/>
                <w:szCs w:val="28"/>
                <w:lang w:eastAsia="it-IT"/>
              </w:rPr>
              <w:t> </w:t>
            </w:r>
          </w:p>
        </w:tc>
      </w:tr>
      <w:tr w:rsidR="002A302F" w:rsidRPr="002A302F" w:rsidTr="002A302F">
        <w:tc>
          <w:tcPr>
            <w:tcW w:w="0" w:type="auto"/>
            <w:tcMar>
              <w:top w:w="15" w:type="dxa"/>
              <w:left w:w="15" w:type="dxa"/>
              <w:bottom w:w="15" w:type="dxa"/>
              <w:right w:w="15" w:type="dxa"/>
            </w:tcMar>
            <w:vAlign w:val="center"/>
            <w:hideMark/>
          </w:tcPr>
          <w:p w:rsidR="002A302F" w:rsidRPr="002A302F" w:rsidRDefault="002A302F" w:rsidP="002A302F">
            <w:pPr>
              <w:spacing w:after="0" w:line="240" w:lineRule="auto"/>
              <w:jc w:val="center"/>
              <w:rPr>
                <w:rFonts w:ascii="Times New Roman" w:eastAsia="Times New Roman" w:hAnsi="Times New Roman" w:cs="Times New Roman"/>
                <w:sz w:val="24"/>
                <w:szCs w:val="24"/>
                <w:lang w:eastAsia="it-IT"/>
              </w:rPr>
            </w:pPr>
            <w:r w:rsidRPr="002A302F">
              <w:rPr>
                <w:rFonts w:ascii="Times New Roman" w:eastAsia="Times New Roman" w:hAnsi="Times New Roman" w:cs="Times New Roman"/>
                <w:b/>
                <w:bCs/>
                <w:sz w:val="28"/>
                <w:szCs w:val="28"/>
                <w:lang w:eastAsia="it-IT"/>
              </w:rPr>
              <w:t> </w:t>
            </w:r>
          </w:p>
        </w:tc>
        <w:tc>
          <w:tcPr>
            <w:tcW w:w="0" w:type="auto"/>
            <w:tcMar>
              <w:top w:w="15" w:type="dxa"/>
              <w:left w:w="15" w:type="dxa"/>
              <w:bottom w:w="15" w:type="dxa"/>
              <w:right w:w="15" w:type="dxa"/>
            </w:tcMar>
            <w:vAlign w:val="center"/>
            <w:hideMark/>
          </w:tcPr>
          <w:p w:rsidR="002A302F" w:rsidRPr="002A302F" w:rsidRDefault="002A302F" w:rsidP="002A302F">
            <w:pPr>
              <w:spacing w:after="0" w:line="240" w:lineRule="auto"/>
              <w:jc w:val="center"/>
              <w:rPr>
                <w:rFonts w:ascii="Times New Roman" w:eastAsia="Times New Roman" w:hAnsi="Times New Roman" w:cs="Times New Roman"/>
                <w:sz w:val="24"/>
                <w:szCs w:val="24"/>
                <w:lang w:eastAsia="it-IT"/>
              </w:rPr>
            </w:pPr>
            <w:r w:rsidRPr="002A302F">
              <w:rPr>
                <w:rFonts w:ascii="Times New Roman" w:eastAsia="Times New Roman" w:hAnsi="Times New Roman" w:cs="Times New Roman"/>
                <w:b/>
                <w:bCs/>
                <w:sz w:val="28"/>
                <w:szCs w:val="28"/>
                <w:lang w:eastAsia="it-IT"/>
              </w:rPr>
              <w:t> </w:t>
            </w:r>
          </w:p>
        </w:tc>
        <w:tc>
          <w:tcPr>
            <w:tcW w:w="0" w:type="auto"/>
            <w:tcMar>
              <w:top w:w="15" w:type="dxa"/>
              <w:left w:w="15" w:type="dxa"/>
              <w:bottom w:w="15" w:type="dxa"/>
              <w:right w:w="15" w:type="dxa"/>
            </w:tcMar>
            <w:vAlign w:val="center"/>
            <w:hideMark/>
          </w:tcPr>
          <w:p w:rsidR="002A302F" w:rsidRPr="002A302F" w:rsidRDefault="002A302F" w:rsidP="002A302F">
            <w:pPr>
              <w:spacing w:after="0" w:line="240" w:lineRule="auto"/>
              <w:jc w:val="center"/>
              <w:rPr>
                <w:rFonts w:ascii="Times New Roman" w:eastAsia="Times New Roman" w:hAnsi="Times New Roman" w:cs="Times New Roman"/>
                <w:sz w:val="24"/>
                <w:szCs w:val="24"/>
                <w:lang w:eastAsia="it-IT"/>
              </w:rPr>
            </w:pPr>
            <w:r w:rsidRPr="002A302F">
              <w:rPr>
                <w:rFonts w:ascii="Times New Roman" w:eastAsia="Times New Roman" w:hAnsi="Times New Roman" w:cs="Times New Roman"/>
                <w:b/>
                <w:bCs/>
                <w:sz w:val="28"/>
                <w:szCs w:val="28"/>
                <w:lang w:eastAsia="it-IT"/>
              </w:rPr>
              <w:t> </w:t>
            </w:r>
          </w:p>
        </w:tc>
      </w:tr>
      <w:tr w:rsidR="002A302F" w:rsidRPr="002A302F" w:rsidTr="002A302F">
        <w:tc>
          <w:tcPr>
            <w:tcW w:w="0" w:type="auto"/>
            <w:tcMar>
              <w:top w:w="15" w:type="dxa"/>
              <w:left w:w="15" w:type="dxa"/>
              <w:bottom w:w="15" w:type="dxa"/>
              <w:right w:w="15" w:type="dxa"/>
            </w:tcMar>
            <w:vAlign w:val="center"/>
            <w:hideMark/>
          </w:tcPr>
          <w:p w:rsidR="002A302F" w:rsidRPr="002A302F" w:rsidRDefault="002A302F" w:rsidP="002A302F">
            <w:pPr>
              <w:spacing w:after="0" w:line="240" w:lineRule="auto"/>
              <w:jc w:val="center"/>
              <w:rPr>
                <w:rFonts w:ascii="Times New Roman" w:eastAsia="Times New Roman" w:hAnsi="Times New Roman" w:cs="Times New Roman"/>
                <w:sz w:val="24"/>
                <w:szCs w:val="24"/>
                <w:lang w:eastAsia="it-IT"/>
              </w:rPr>
            </w:pPr>
            <w:r w:rsidRPr="002A302F">
              <w:rPr>
                <w:rFonts w:ascii="Times New Roman" w:eastAsia="Times New Roman" w:hAnsi="Times New Roman" w:cs="Times New Roman"/>
                <w:b/>
                <w:bCs/>
                <w:sz w:val="28"/>
                <w:szCs w:val="28"/>
                <w:lang w:eastAsia="it-IT"/>
              </w:rPr>
              <w:t> </w:t>
            </w:r>
          </w:p>
        </w:tc>
        <w:tc>
          <w:tcPr>
            <w:tcW w:w="0" w:type="auto"/>
            <w:tcMar>
              <w:top w:w="15" w:type="dxa"/>
              <w:left w:w="15" w:type="dxa"/>
              <w:bottom w:w="15" w:type="dxa"/>
              <w:right w:w="15" w:type="dxa"/>
            </w:tcMar>
            <w:vAlign w:val="center"/>
            <w:hideMark/>
          </w:tcPr>
          <w:p w:rsidR="002A302F" w:rsidRPr="002A302F" w:rsidRDefault="002A302F" w:rsidP="002A302F">
            <w:pPr>
              <w:spacing w:after="0" w:line="240" w:lineRule="auto"/>
              <w:jc w:val="center"/>
              <w:rPr>
                <w:rFonts w:ascii="Times New Roman" w:eastAsia="Times New Roman" w:hAnsi="Times New Roman" w:cs="Times New Roman"/>
                <w:sz w:val="24"/>
                <w:szCs w:val="24"/>
                <w:lang w:eastAsia="it-IT"/>
              </w:rPr>
            </w:pPr>
            <w:r w:rsidRPr="002A302F">
              <w:rPr>
                <w:rFonts w:ascii="Times New Roman" w:eastAsia="Times New Roman" w:hAnsi="Times New Roman" w:cs="Times New Roman"/>
                <w:b/>
                <w:bCs/>
                <w:sz w:val="28"/>
                <w:szCs w:val="28"/>
                <w:lang w:eastAsia="it-IT"/>
              </w:rPr>
              <w:t> </w:t>
            </w:r>
          </w:p>
        </w:tc>
        <w:tc>
          <w:tcPr>
            <w:tcW w:w="0" w:type="auto"/>
            <w:tcMar>
              <w:top w:w="15" w:type="dxa"/>
              <w:left w:w="15" w:type="dxa"/>
              <w:bottom w:w="15" w:type="dxa"/>
              <w:right w:w="15" w:type="dxa"/>
            </w:tcMar>
            <w:vAlign w:val="center"/>
            <w:hideMark/>
          </w:tcPr>
          <w:p w:rsidR="002A302F" w:rsidRPr="002A302F" w:rsidRDefault="002A302F" w:rsidP="002A302F">
            <w:pPr>
              <w:spacing w:after="0" w:line="240" w:lineRule="auto"/>
              <w:jc w:val="center"/>
              <w:rPr>
                <w:rFonts w:ascii="Times New Roman" w:eastAsia="Times New Roman" w:hAnsi="Times New Roman" w:cs="Times New Roman"/>
                <w:sz w:val="24"/>
                <w:szCs w:val="24"/>
                <w:lang w:eastAsia="it-IT"/>
              </w:rPr>
            </w:pPr>
            <w:r w:rsidRPr="002A302F">
              <w:rPr>
                <w:rFonts w:ascii="Times New Roman" w:eastAsia="Times New Roman" w:hAnsi="Times New Roman" w:cs="Times New Roman"/>
                <w:b/>
                <w:bCs/>
                <w:sz w:val="28"/>
                <w:szCs w:val="28"/>
                <w:lang w:eastAsia="it-IT"/>
              </w:rPr>
              <w:t> </w:t>
            </w:r>
          </w:p>
        </w:tc>
      </w:tr>
      <w:tr w:rsidR="002A302F" w:rsidRPr="002A302F" w:rsidTr="002A302F">
        <w:tc>
          <w:tcPr>
            <w:tcW w:w="0" w:type="auto"/>
            <w:tcMar>
              <w:top w:w="15" w:type="dxa"/>
              <w:left w:w="15" w:type="dxa"/>
              <w:bottom w:w="15" w:type="dxa"/>
              <w:right w:w="15" w:type="dxa"/>
            </w:tcMar>
            <w:vAlign w:val="center"/>
            <w:hideMark/>
          </w:tcPr>
          <w:p w:rsidR="002A302F" w:rsidRPr="002A302F" w:rsidRDefault="002A302F" w:rsidP="002A302F">
            <w:pPr>
              <w:spacing w:after="0" w:line="240" w:lineRule="auto"/>
              <w:jc w:val="center"/>
              <w:rPr>
                <w:rFonts w:ascii="Times New Roman" w:eastAsia="Times New Roman" w:hAnsi="Times New Roman" w:cs="Times New Roman"/>
                <w:sz w:val="24"/>
                <w:szCs w:val="24"/>
                <w:lang w:eastAsia="it-IT"/>
              </w:rPr>
            </w:pPr>
            <w:r w:rsidRPr="002A302F">
              <w:rPr>
                <w:rFonts w:ascii="Times New Roman" w:eastAsia="Times New Roman" w:hAnsi="Times New Roman" w:cs="Times New Roman"/>
                <w:b/>
                <w:bCs/>
                <w:sz w:val="28"/>
                <w:szCs w:val="28"/>
                <w:lang w:eastAsia="it-IT"/>
              </w:rPr>
              <w:t> </w:t>
            </w:r>
          </w:p>
        </w:tc>
        <w:tc>
          <w:tcPr>
            <w:tcW w:w="0" w:type="auto"/>
            <w:tcMar>
              <w:top w:w="15" w:type="dxa"/>
              <w:left w:w="15" w:type="dxa"/>
              <w:bottom w:w="15" w:type="dxa"/>
              <w:right w:w="15" w:type="dxa"/>
            </w:tcMar>
            <w:vAlign w:val="center"/>
            <w:hideMark/>
          </w:tcPr>
          <w:p w:rsidR="002A302F" w:rsidRPr="002A302F" w:rsidRDefault="002A302F" w:rsidP="002A302F">
            <w:pPr>
              <w:spacing w:after="0" w:line="240" w:lineRule="auto"/>
              <w:jc w:val="center"/>
              <w:rPr>
                <w:rFonts w:ascii="Times New Roman" w:eastAsia="Times New Roman" w:hAnsi="Times New Roman" w:cs="Times New Roman"/>
                <w:sz w:val="24"/>
                <w:szCs w:val="24"/>
                <w:lang w:eastAsia="it-IT"/>
              </w:rPr>
            </w:pPr>
            <w:r w:rsidRPr="002A302F">
              <w:rPr>
                <w:rFonts w:ascii="Times New Roman" w:eastAsia="Times New Roman" w:hAnsi="Times New Roman" w:cs="Times New Roman"/>
                <w:b/>
                <w:bCs/>
                <w:sz w:val="28"/>
                <w:szCs w:val="28"/>
                <w:lang w:eastAsia="it-IT"/>
              </w:rPr>
              <w:t> </w:t>
            </w:r>
          </w:p>
        </w:tc>
        <w:tc>
          <w:tcPr>
            <w:tcW w:w="0" w:type="auto"/>
            <w:tcMar>
              <w:top w:w="15" w:type="dxa"/>
              <w:left w:w="15" w:type="dxa"/>
              <w:bottom w:w="15" w:type="dxa"/>
              <w:right w:w="15" w:type="dxa"/>
            </w:tcMar>
            <w:vAlign w:val="center"/>
            <w:hideMark/>
          </w:tcPr>
          <w:p w:rsidR="002A302F" w:rsidRPr="002A302F" w:rsidRDefault="002A302F" w:rsidP="002A302F">
            <w:pPr>
              <w:spacing w:after="0" w:line="240" w:lineRule="auto"/>
              <w:jc w:val="center"/>
              <w:rPr>
                <w:rFonts w:ascii="Times New Roman" w:eastAsia="Times New Roman" w:hAnsi="Times New Roman" w:cs="Times New Roman"/>
                <w:sz w:val="24"/>
                <w:szCs w:val="24"/>
                <w:lang w:eastAsia="it-IT"/>
              </w:rPr>
            </w:pPr>
            <w:r w:rsidRPr="002A302F">
              <w:rPr>
                <w:rFonts w:ascii="Times New Roman" w:eastAsia="Times New Roman" w:hAnsi="Times New Roman" w:cs="Times New Roman"/>
                <w:b/>
                <w:bCs/>
                <w:sz w:val="28"/>
                <w:szCs w:val="28"/>
                <w:lang w:eastAsia="it-IT"/>
              </w:rPr>
              <w:t> </w:t>
            </w:r>
          </w:p>
        </w:tc>
      </w:tr>
      <w:tr w:rsidR="002A302F" w:rsidRPr="002A302F" w:rsidTr="002A302F">
        <w:tc>
          <w:tcPr>
            <w:tcW w:w="0" w:type="auto"/>
            <w:tcMar>
              <w:top w:w="15" w:type="dxa"/>
              <w:left w:w="15" w:type="dxa"/>
              <w:bottom w:w="15" w:type="dxa"/>
              <w:right w:w="15" w:type="dxa"/>
            </w:tcMar>
            <w:vAlign w:val="center"/>
            <w:hideMark/>
          </w:tcPr>
          <w:p w:rsidR="002A302F" w:rsidRPr="002A302F" w:rsidRDefault="002A302F" w:rsidP="002A302F">
            <w:pPr>
              <w:spacing w:after="0" w:line="240" w:lineRule="auto"/>
              <w:jc w:val="center"/>
              <w:rPr>
                <w:rFonts w:ascii="Times New Roman" w:eastAsia="Times New Roman" w:hAnsi="Times New Roman" w:cs="Times New Roman"/>
                <w:sz w:val="24"/>
                <w:szCs w:val="24"/>
                <w:lang w:eastAsia="it-IT"/>
              </w:rPr>
            </w:pPr>
            <w:r w:rsidRPr="002A302F">
              <w:rPr>
                <w:rFonts w:ascii="Times New Roman" w:eastAsia="Times New Roman" w:hAnsi="Times New Roman" w:cs="Times New Roman"/>
                <w:b/>
                <w:bCs/>
                <w:sz w:val="28"/>
                <w:szCs w:val="28"/>
                <w:lang w:eastAsia="it-IT"/>
              </w:rPr>
              <w:t> </w:t>
            </w:r>
          </w:p>
        </w:tc>
        <w:tc>
          <w:tcPr>
            <w:tcW w:w="0" w:type="auto"/>
            <w:tcMar>
              <w:top w:w="15" w:type="dxa"/>
              <w:left w:w="15" w:type="dxa"/>
              <w:bottom w:w="15" w:type="dxa"/>
              <w:right w:w="15" w:type="dxa"/>
            </w:tcMar>
            <w:vAlign w:val="center"/>
            <w:hideMark/>
          </w:tcPr>
          <w:p w:rsidR="002A302F" w:rsidRPr="002A302F" w:rsidRDefault="002A302F" w:rsidP="002A302F">
            <w:pPr>
              <w:spacing w:after="0" w:line="240" w:lineRule="auto"/>
              <w:jc w:val="center"/>
              <w:rPr>
                <w:rFonts w:ascii="Times New Roman" w:eastAsia="Times New Roman" w:hAnsi="Times New Roman" w:cs="Times New Roman"/>
                <w:sz w:val="24"/>
                <w:szCs w:val="24"/>
                <w:lang w:eastAsia="it-IT"/>
              </w:rPr>
            </w:pPr>
            <w:r w:rsidRPr="002A302F">
              <w:rPr>
                <w:rFonts w:ascii="Times New Roman" w:eastAsia="Times New Roman" w:hAnsi="Times New Roman" w:cs="Times New Roman"/>
                <w:b/>
                <w:bCs/>
                <w:sz w:val="28"/>
                <w:szCs w:val="28"/>
                <w:lang w:eastAsia="it-IT"/>
              </w:rPr>
              <w:t> </w:t>
            </w:r>
          </w:p>
        </w:tc>
        <w:tc>
          <w:tcPr>
            <w:tcW w:w="0" w:type="auto"/>
            <w:tcMar>
              <w:top w:w="15" w:type="dxa"/>
              <w:left w:w="15" w:type="dxa"/>
              <w:bottom w:w="15" w:type="dxa"/>
              <w:right w:w="15" w:type="dxa"/>
            </w:tcMar>
            <w:vAlign w:val="center"/>
            <w:hideMark/>
          </w:tcPr>
          <w:p w:rsidR="002A302F" w:rsidRPr="002A302F" w:rsidRDefault="002A302F" w:rsidP="002A302F">
            <w:pPr>
              <w:spacing w:after="0" w:line="240" w:lineRule="auto"/>
              <w:jc w:val="center"/>
              <w:rPr>
                <w:rFonts w:ascii="Times New Roman" w:eastAsia="Times New Roman" w:hAnsi="Times New Roman" w:cs="Times New Roman"/>
                <w:sz w:val="24"/>
                <w:szCs w:val="24"/>
                <w:lang w:eastAsia="it-IT"/>
              </w:rPr>
            </w:pPr>
            <w:r w:rsidRPr="002A302F">
              <w:rPr>
                <w:rFonts w:ascii="Times New Roman" w:eastAsia="Times New Roman" w:hAnsi="Times New Roman" w:cs="Times New Roman"/>
                <w:b/>
                <w:bCs/>
                <w:sz w:val="28"/>
                <w:szCs w:val="28"/>
                <w:lang w:eastAsia="it-IT"/>
              </w:rPr>
              <w:t> </w:t>
            </w:r>
          </w:p>
        </w:tc>
      </w:tr>
    </w:tbl>
    <w:p w:rsidR="002A302F" w:rsidRPr="002A302F" w:rsidRDefault="002A302F" w:rsidP="002A302F">
      <w:pPr>
        <w:spacing w:after="0" w:line="540" w:lineRule="atLeast"/>
        <w:jc w:val="center"/>
        <w:rPr>
          <w:rFonts w:ascii="Times New Roman" w:eastAsia="Times New Roman" w:hAnsi="Times New Roman" w:cs="Times New Roman"/>
          <w:color w:val="000000"/>
          <w:sz w:val="27"/>
          <w:szCs w:val="27"/>
          <w:lang w:eastAsia="it-IT"/>
        </w:rPr>
      </w:pPr>
      <w:r w:rsidRPr="002A302F">
        <w:rPr>
          <w:rFonts w:ascii="Garamond" w:eastAsia="Times New Roman" w:hAnsi="Garamond" w:cs="Times New Roman"/>
          <w:color w:val="000000"/>
          <w:sz w:val="30"/>
          <w:szCs w:val="30"/>
          <w:lang w:eastAsia="it-IT"/>
        </w:rPr>
        <w:t>DEPOSITATA IN SEGRETERIA</w:t>
      </w:r>
    </w:p>
    <w:p w:rsidR="002A302F" w:rsidRPr="002A302F" w:rsidRDefault="002A302F" w:rsidP="002A302F">
      <w:pPr>
        <w:spacing w:after="0" w:line="540" w:lineRule="atLeast"/>
        <w:jc w:val="center"/>
        <w:rPr>
          <w:rFonts w:ascii="Times New Roman" w:eastAsia="Times New Roman" w:hAnsi="Times New Roman" w:cs="Times New Roman"/>
          <w:color w:val="000000"/>
          <w:sz w:val="27"/>
          <w:szCs w:val="27"/>
          <w:lang w:eastAsia="it-IT"/>
        </w:rPr>
      </w:pPr>
      <w:r w:rsidRPr="002A302F">
        <w:rPr>
          <w:rFonts w:ascii="Garamond" w:eastAsia="Times New Roman" w:hAnsi="Garamond" w:cs="Times New Roman"/>
          <w:color w:val="000000"/>
          <w:sz w:val="30"/>
          <w:szCs w:val="30"/>
          <w:lang w:eastAsia="it-IT"/>
        </w:rPr>
        <w:t>Il 10/04/2012</w:t>
      </w:r>
    </w:p>
    <w:p w:rsidR="002A302F" w:rsidRPr="002A302F" w:rsidRDefault="002A302F" w:rsidP="002A302F">
      <w:pPr>
        <w:spacing w:after="0" w:line="540" w:lineRule="atLeast"/>
        <w:jc w:val="center"/>
        <w:rPr>
          <w:rFonts w:ascii="Times New Roman" w:eastAsia="Times New Roman" w:hAnsi="Times New Roman" w:cs="Times New Roman"/>
          <w:color w:val="000000"/>
          <w:sz w:val="27"/>
          <w:szCs w:val="27"/>
          <w:lang w:val="en-US" w:eastAsia="it-IT"/>
        </w:rPr>
      </w:pPr>
      <w:r w:rsidRPr="002A302F">
        <w:rPr>
          <w:rFonts w:ascii="Garamond" w:eastAsia="Times New Roman" w:hAnsi="Garamond" w:cs="Times New Roman"/>
          <w:color w:val="000000"/>
          <w:sz w:val="30"/>
          <w:szCs w:val="30"/>
          <w:lang w:val="en-GB" w:eastAsia="it-IT"/>
        </w:rPr>
        <w:t>(Art. 89, co. 3, cod. proc. amm.)</w:t>
      </w:r>
    </w:p>
    <w:p w:rsidR="002A302F" w:rsidRPr="002A302F" w:rsidRDefault="002A302F" w:rsidP="002A302F">
      <w:pPr>
        <w:spacing w:after="0" w:line="540" w:lineRule="atLeast"/>
        <w:jc w:val="center"/>
        <w:rPr>
          <w:rFonts w:ascii="Times New Roman" w:eastAsia="Times New Roman" w:hAnsi="Times New Roman" w:cs="Times New Roman"/>
          <w:color w:val="000000"/>
          <w:sz w:val="27"/>
          <w:szCs w:val="27"/>
          <w:lang w:eastAsia="it-IT"/>
        </w:rPr>
      </w:pPr>
      <w:r w:rsidRPr="002A302F">
        <w:rPr>
          <w:rFonts w:ascii="Garamond" w:eastAsia="Times New Roman" w:hAnsi="Garamond" w:cs="Times New Roman"/>
          <w:color w:val="000000"/>
          <w:sz w:val="30"/>
          <w:szCs w:val="30"/>
          <w:lang w:eastAsia="it-IT"/>
        </w:rPr>
        <w:t>Il Dirigente della Sezione</w:t>
      </w:r>
    </w:p>
    <w:p w:rsidR="002A302F" w:rsidRPr="002A302F" w:rsidRDefault="002A302F" w:rsidP="002A302F">
      <w:pPr>
        <w:spacing w:after="0" w:line="240" w:lineRule="auto"/>
        <w:rPr>
          <w:rFonts w:ascii="Times New Roman" w:eastAsia="Times New Roman" w:hAnsi="Times New Roman" w:cs="Times New Roman"/>
          <w:color w:val="000000"/>
          <w:sz w:val="27"/>
          <w:szCs w:val="27"/>
          <w:lang w:eastAsia="it-IT"/>
        </w:rPr>
      </w:pPr>
      <w:r w:rsidRPr="002A302F">
        <w:rPr>
          <w:rFonts w:ascii="Times New Roman" w:eastAsia="Times New Roman" w:hAnsi="Times New Roman" w:cs="Times New Roman"/>
          <w:color w:val="000000"/>
          <w:sz w:val="27"/>
          <w:szCs w:val="27"/>
          <w:lang w:eastAsia="it-IT"/>
        </w:rPr>
        <w:t> </w:t>
      </w:r>
    </w:p>
    <w:p w:rsidR="00564F37" w:rsidRPr="002A302F" w:rsidRDefault="00564F37" w:rsidP="002A302F">
      <w:bookmarkStart w:id="0" w:name="_GoBack"/>
      <w:bookmarkEnd w:id="0"/>
    </w:p>
    <w:sectPr w:rsidR="00564F37" w:rsidRPr="002A302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923"/>
    <w:rsid w:val="00113817"/>
    <w:rsid w:val="00133206"/>
    <w:rsid w:val="00153B8C"/>
    <w:rsid w:val="00223887"/>
    <w:rsid w:val="00226D2C"/>
    <w:rsid w:val="002A302F"/>
    <w:rsid w:val="00436638"/>
    <w:rsid w:val="004D144C"/>
    <w:rsid w:val="00513F8B"/>
    <w:rsid w:val="005524B8"/>
    <w:rsid w:val="00564F37"/>
    <w:rsid w:val="005A70C2"/>
    <w:rsid w:val="00693E14"/>
    <w:rsid w:val="00715124"/>
    <w:rsid w:val="00733923"/>
    <w:rsid w:val="007531E5"/>
    <w:rsid w:val="00757547"/>
    <w:rsid w:val="008965FF"/>
    <w:rsid w:val="00A02136"/>
    <w:rsid w:val="00A17B00"/>
    <w:rsid w:val="00AB6C18"/>
    <w:rsid w:val="00BF1EC9"/>
    <w:rsid w:val="00CA22F0"/>
    <w:rsid w:val="00CB3325"/>
    <w:rsid w:val="00CD35BC"/>
    <w:rsid w:val="00D17260"/>
    <w:rsid w:val="00D504EE"/>
    <w:rsid w:val="00DF67CB"/>
    <w:rsid w:val="00F16E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egistri">
    <w:name w:val="registri"/>
    <w:basedOn w:val="Normale"/>
    <w:rsid w:val="00BF1EC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epubblica">
    <w:name w:val="repubblica"/>
    <w:basedOn w:val="Normale"/>
    <w:rsid w:val="00BF1EC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zione">
    <w:name w:val="sezione"/>
    <w:basedOn w:val="Normale"/>
    <w:rsid w:val="00BF1EC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ula">
    <w:name w:val="tabula"/>
    <w:basedOn w:val="Normale"/>
    <w:rsid w:val="00BF1EC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polo">
    <w:name w:val="popolo"/>
    <w:basedOn w:val="Normale"/>
    <w:rsid w:val="00BF1EC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ntro">
    <w:name w:val="contro"/>
    <w:basedOn w:val="Normale"/>
    <w:rsid w:val="00BF1EC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BF1EC9"/>
  </w:style>
  <w:style w:type="paragraph" w:customStyle="1" w:styleId="fatto">
    <w:name w:val="fatto"/>
    <w:basedOn w:val="Normale"/>
    <w:rsid w:val="00BF1EC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BF1EC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1EC9"/>
    <w:rPr>
      <w:rFonts w:ascii="Tahoma" w:hAnsi="Tahoma" w:cs="Tahoma"/>
      <w:sz w:val="16"/>
      <w:szCs w:val="16"/>
    </w:rPr>
  </w:style>
  <w:style w:type="paragraph" w:customStyle="1" w:styleId="innome">
    <w:name w:val="innome"/>
    <w:basedOn w:val="Normale"/>
    <w:rsid w:val="00CD35B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pelle">
    <w:name w:val="spelle"/>
    <w:basedOn w:val="Carpredefinitoparagrafo"/>
    <w:rsid w:val="00CA22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egistri">
    <w:name w:val="registri"/>
    <w:basedOn w:val="Normale"/>
    <w:rsid w:val="00BF1EC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epubblica">
    <w:name w:val="repubblica"/>
    <w:basedOn w:val="Normale"/>
    <w:rsid w:val="00BF1EC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zione">
    <w:name w:val="sezione"/>
    <w:basedOn w:val="Normale"/>
    <w:rsid w:val="00BF1EC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ula">
    <w:name w:val="tabula"/>
    <w:basedOn w:val="Normale"/>
    <w:rsid w:val="00BF1EC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polo">
    <w:name w:val="popolo"/>
    <w:basedOn w:val="Normale"/>
    <w:rsid w:val="00BF1EC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ntro">
    <w:name w:val="contro"/>
    <w:basedOn w:val="Normale"/>
    <w:rsid w:val="00BF1EC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BF1EC9"/>
  </w:style>
  <w:style w:type="paragraph" w:customStyle="1" w:styleId="fatto">
    <w:name w:val="fatto"/>
    <w:basedOn w:val="Normale"/>
    <w:rsid w:val="00BF1EC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BF1EC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1EC9"/>
    <w:rPr>
      <w:rFonts w:ascii="Tahoma" w:hAnsi="Tahoma" w:cs="Tahoma"/>
      <w:sz w:val="16"/>
      <w:szCs w:val="16"/>
    </w:rPr>
  </w:style>
  <w:style w:type="paragraph" w:customStyle="1" w:styleId="innome">
    <w:name w:val="innome"/>
    <w:basedOn w:val="Normale"/>
    <w:rsid w:val="00CD35B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pelle">
    <w:name w:val="spelle"/>
    <w:basedOn w:val="Carpredefinitoparagrafo"/>
    <w:rsid w:val="00CA2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6369">
      <w:bodyDiv w:val="1"/>
      <w:marLeft w:val="0"/>
      <w:marRight w:val="0"/>
      <w:marTop w:val="0"/>
      <w:marBottom w:val="0"/>
      <w:divBdr>
        <w:top w:val="none" w:sz="0" w:space="0" w:color="auto"/>
        <w:left w:val="none" w:sz="0" w:space="0" w:color="auto"/>
        <w:bottom w:val="none" w:sz="0" w:space="0" w:color="auto"/>
        <w:right w:val="none" w:sz="0" w:space="0" w:color="auto"/>
      </w:divBdr>
    </w:div>
    <w:div w:id="40176106">
      <w:bodyDiv w:val="1"/>
      <w:marLeft w:val="0"/>
      <w:marRight w:val="0"/>
      <w:marTop w:val="0"/>
      <w:marBottom w:val="0"/>
      <w:divBdr>
        <w:top w:val="none" w:sz="0" w:space="0" w:color="auto"/>
        <w:left w:val="none" w:sz="0" w:space="0" w:color="auto"/>
        <w:bottom w:val="none" w:sz="0" w:space="0" w:color="auto"/>
        <w:right w:val="none" w:sz="0" w:space="0" w:color="auto"/>
      </w:divBdr>
    </w:div>
    <w:div w:id="123693302">
      <w:bodyDiv w:val="1"/>
      <w:marLeft w:val="0"/>
      <w:marRight w:val="0"/>
      <w:marTop w:val="0"/>
      <w:marBottom w:val="0"/>
      <w:divBdr>
        <w:top w:val="none" w:sz="0" w:space="0" w:color="auto"/>
        <w:left w:val="none" w:sz="0" w:space="0" w:color="auto"/>
        <w:bottom w:val="none" w:sz="0" w:space="0" w:color="auto"/>
        <w:right w:val="none" w:sz="0" w:space="0" w:color="auto"/>
      </w:divBdr>
    </w:div>
    <w:div w:id="134955355">
      <w:bodyDiv w:val="1"/>
      <w:marLeft w:val="0"/>
      <w:marRight w:val="0"/>
      <w:marTop w:val="0"/>
      <w:marBottom w:val="0"/>
      <w:divBdr>
        <w:top w:val="none" w:sz="0" w:space="0" w:color="auto"/>
        <w:left w:val="none" w:sz="0" w:space="0" w:color="auto"/>
        <w:bottom w:val="none" w:sz="0" w:space="0" w:color="auto"/>
        <w:right w:val="none" w:sz="0" w:space="0" w:color="auto"/>
      </w:divBdr>
    </w:div>
    <w:div w:id="173807191">
      <w:bodyDiv w:val="1"/>
      <w:marLeft w:val="0"/>
      <w:marRight w:val="0"/>
      <w:marTop w:val="0"/>
      <w:marBottom w:val="0"/>
      <w:divBdr>
        <w:top w:val="none" w:sz="0" w:space="0" w:color="auto"/>
        <w:left w:val="none" w:sz="0" w:space="0" w:color="auto"/>
        <w:bottom w:val="none" w:sz="0" w:space="0" w:color="auto"/>
        <w:right w:val="none" w:sz="0" w:space="0" w:color="auto"/>
      </w:divBdr>
    </w:div>
    <w:div w:id="185026187">
      <w:bodyDiv w:val="1"/>
      <w:marLeft w:val="0"/>
      <w:marRight w:val="0"/>
      <w:marTop w:val="0"/>
      <w:marBottom w:val="0"/>
      <w:divBdr>
        <w:top w:val="none" w:sz="0" w:space="0" w:color="auto"/>
        <w:left w:val="none" w:sz="0" w:space="0" w:color="auto"/>
        <w:bottom w:val="none" w:sz="0" w:space="0" w:color="auto"/>
        <w:right w:val="none" w:sz="0" w:space="0" w:color="auto"/>
      </w:divBdr>
    </w:div>
    <w:div w:id="444884233">
      <w:bodyDiv w:val="1"/>
      <w:marLeft w:val="0"/>
      <w:marRight w:val="0"/>
      <w:marTop w:val="0"/>
      <w:marBottom w:val="0"/>
      <w:divBdr>
        <w:top w:val="none" w:sz="0" w:space="0" w:color="auto"/>
        <w:left w:val="none" w:sz="0" w:space="0" w:color="auto"/>
        <w:bottom w:val="none" w:sz="0" w:space="0" w:color="auto"/>
        <w:right w:val="none" w:sz="0" w:space="0" w:color="auto"/>
      </w:divBdr>
    </w:div>
    <w:div w:id="533422459">
      <w:bodyDiv w:val="1"/>
      <w:marLeft w:val="0"/>
      <w:marRight w:val="0"/>
      <w:marTop w:val="0"/>
      <w:marBottom w:val="0"/>
      <w:divBdr>
        <w:top w:val="none" w:sz="0" w:space="0" w:color="auto"/>
        <w:left w:val="none" w:sz="0" w:space="0" w:color="auto"/>
        <w:bottom w:val="none" w:sz="0" w:space="0" w:color="auto"/>
        <w:right w:val="none" w:sz="0" w:space="0" w:color="auto"/>
      </w:divBdr>
    </w:div>
    <w:div w:id="576011684">
      <w:bodyDiv w:val="1"/>
      <w:marLeft w:val="0"/>
      <w:marRight w:val="0"/>
      <w:marTop w:val="0"/>
      <w:marBottom w:val="0"/>
      <w:divBdr>
        <w:top w:val="none" w:sz="0" w:space="0" w:color="auto"/>
        <w:left w:val="none" w:sz="0" w:space="0" w:color="auto"/>
        <w:bottom w:val="none" w:sz="0" w:space="0" w:color="auto"/>
        <w:right w:val="none" w:sz="0" w:space="0" w:color="auto"/>
      </w:divBdr>
    </w:div>
    <w:div w:id="579368955">
      <w:bodyDiv w:val="1"/>
      <w:marLeft w:val="0"/>
      <w:marRight w:val="0"/>
      <w:marTop w:val="0"/>
      <w:marBottom w:val="0"/>
      <w:divBdr>
        <w:top w:val="none" w:sz="0" w:space="0" w:color="auto"/>
        <w:left w:val="none" w:sz="0" w:space="0" w:color="auto"/>
        <w:bottom w:val="none" w:sz="0" w:space="0" w:color="auto"/>
        <w:right w:val="none" w:sz="0" w:space="0" w:color="auto"/>
      </w:divBdr>
    </w:div>
    <w:div w:id="665059489">
      <w:bodyDiv w:val="1"/>
      <w:marLeft w:val="0"/>
      <w:marRight w:val="0"/>
      <w:marTop w:val="0"/>
      <w:marBottom w:val="0"/>
      <w:divBdr>
        <w:top w:val="none" w:sz="0" w:space="0" w:color="auto"/>
        <w:left w:val="none" w:sz="0" w:space="0" w:color="auto"/>
        <w:bottom w:val="none" w:sz="0" w:space="0" w:color="auto"/>
        <w:right w:val="none" w:sz="0" w:space="0" w:color="auto"/>
      </w:divBdr>
    </w:div>
    <w:div w:id="965090241">
      <w:bodyDiv w:val="1"/>
      <w:marLeft w:val="0"/>
      <w:marRight w:val="0"/>
      <w:marTop w:val="0"/>
      <w:marBottom w:val="0"/>
      <w:divBdr>
        <w:top w:val="none" w:sz="0" w:space="0" w:color="auto"/>
        <w:left w:val="none" w:sz="0" w:space="0" w:color="auto"/>
        <w:bottom w:val="none" w:sz="0" w:space="0" w:color="auto"/>
        <w:right w:val="none" w:sz="0" w:space="0" w:color="auto"/>
      </w:divBdr>
    </w:div>
    <w:div w:id="1002391742">
      <w:bodyDiv w:val="1"/>
      <w:marLeft w:val="0"/>
      <w:marRight w:val="0"/>
      <w:marTop w:val="0"/>
      <w:marBottom w:val="0"/>
      <w:divBdr>
        <w:top w:val="none" w:sz="0" w:space="0" w:color="auto"/>
        <w:left w:val="none" w:sz="0" w:space="0" w:color="auto"/>
        <w:bottom w:val="none" w:sz="0" w:space="0" w:color="auto"/>
        <w:right w:val="none" w:sz="0" w:space="0" w:color="auto"/>
      </w:divBdr>
    </w:div>
    <w:div w:id="1181316589">
      <w:bodyDiv w:val="1"/>
      <w:marLeft w:val="0"/>
      <w:marRight w:val="0"/>
      <w:marTop w:val="0"/>
      <w:marBottom w:val="0"/>
      <w:divBdr>
        <w:top w:val="none" w:sz="0" w:space="0" w:color="auto"/>
        <w:left w:val="none" w:sz="0" w:space="0" w:color="auto"/>
        <w:bottom w:val="none" w:sz="0" w:space="0" w:color="auto"/>
        <w:right w:val="none" w:sz="0" w:space="0" w:color="auto"/>
      </w:divBdr>
    </w:div>
    <w:div w:id="1236478769">
      <w:bodyDiv w:val="1"/>
      <w:marLeft w:val="0"/>
      <w:marRight w:val="0"/>
      <w:marTop w:val="0"/>
      <w:marBottom w:val="0"/>
      <w:divBdr>
        <w:top w:val="none" w:sz="0" w:space="0" w:color="auto"/>
        <w:left w:val="none" w:sz="0" w:space="0" w:color="auto"/>
        <w:bottom w:val="none" w:sz="0" w:space="0" w:color="auto"/>
        <w:right w:val="none" w:sz="0" w:space="0" w:color="auto"/>
      </w:divBdr>
    </w:div>
    <w:div w:id="1385638134">
      <w:bodyDiv w:val="1"/>
      <w:marLeft w:val="0"/>
      <w:marRight w:val="0"/>
      <w:marTop w:val="0"/>
      <w:marBottom w:val="0"/>
      <w:divBdr>
        <w:top w:val="none" w:sz="0" w:space="0" w:color="auto"/>
        <w:left w:val="none" w:sz="0" w:space="0" w:color="auto"/>
        <w:bottom w:val="none" w:sz="0" w:space="0" w:color="auto"/>
        <w:right w:val="none" w:sz="0" w:space="0" w:color="auto"/>
      </w:divBdr>
    </w:div>
    <w:div w:id="1472360018">
      <w:bodyDiv w:val="1"/>
      <w:marLeft w:val="0"/>
      <w:marRight w:val="0"/>
      <w:marTop w:val="0"/>
      <w:marBottom w:val="0"/>
      <w:divBdr>
        <w:top w:val="none" w:sz="0" w:space="0" w:color="auto"/>
        <w:left w:val="none" w:sz="0" w:space="0" w:color="auto"/>
        <w:bottom w:val="none" w:sz="0" w:space="0" w:color="auto"/>
        <w:right w:val="none" w:sz="0" w:space="0" w:color="auto"/>
      </w:divBdr>
    </w:div>
    <w:div w:id="1527138264">
      <w:bodyDiv w:val="1"/>
      <w:marLeft w:val="0"/>
      <w:marRight w:val="0"/>
      <w:marTop w:val="0"/>
      <w:marBottom w:val="0"/>
      <w:divBdr>
        <w:top w:val="none" w:sz="0" w:space="0" w:color="auto"/>
        <w:left w:val="none" w:sz="0" w:space="0" w:color="auto"/>
        <w:bottom w:val="none" w:sz="0" w:space="0" w:color="auto"/>
        <w:right w:val="none" w:sz="0" w:space="0" w:color="auto"/>
      </w:divBdr>
    </w:div>
    <w:div w:id="1707755670">
      <w:bodyDiv w:val="1"/>
      <w:marLeft w:val="0"/>
      <w:marRight w:val="0"/>
      <w:marTop w:val="0"/>
      <w:marBottom w:val="0"/>
      <w:divBdr>
        <w:top w:val="none" w:sz="0" w:space="0" w:color="auto"/>
        <w:left w:val="none" w:sz="0" w:space="0" w:color="auto"/>
        <w:bottom w:val="none" w:sz="0" w:space="0" w:color="auto"/>
        <w:right w:val="none" w:sz="0" w:space="0" w:color="auto"/>
      </w:divBdr>
    </w:div>
    <w:div w:id="1754206099">
      <w:bodyDiv w:val="1"/>
      <w:marLeft w:val="0"/>
      <w:marRight w:val="0"/>
      <w:marTop w:val="0"/>
      <w:marBottom w:val="0"/>
      <w:divBdr>
        <w:top w:val="none" w:sz="0" w:space="0" w:color="auto"/>
        <w:left w:val="none" w:sz="0" w:space="0" w:color="auto"/>
        <w:bottom w:val="none" w:sz="0" w:space="0" w:color="auto"/>
        <w:right w:val="none" w:sz="0" w:space="0" w:color="auto"/>
      </w:divBdr>
    </w:div>
    <w:div w:id="1767575375">
      <w:bodyDiv w:val="1"/>
      <w:marLeft w:val="0"/>
      <w:marRight w:val="0"/>
      <w:marTop w:val="0"/>
      <w:marBottom w:val="0"/>
      <w:divBdr>
        <w:top w:val="none" w:sz="0" w:space="0" w:color="auto"/>
        <w:left w:val="none" w:sz="0" w:space="0" w:color="auto"/>
        <w:bottom w:val="none" w:sz="0" w:space="0" w:color="auto"/>
        <w:right w:val="none" w:sz="0" w:space="0" w:color="auto"/>
      </w:divBdr>
    </w:div>
    <w:div w:id="1954245370">
      <w:bodyDiv w:val="1"/>
      <w:marLeft w:val="0"/>
      <w:marRight w:val="0"/>
      <w:marTop w:val="0"/>
      <w:marBottom w:val="0"/>
      <w:divBdr>
        <w:top w:val="none" w:sz="0" w:space="0" w:color="auto"/>
        <w:left w:val="none" w:sz="0" w:space="0" w:color="auto"/>
        <w:bottom w:val="none" w:sz="0" w:space="0" w:color="auto"/>
        <w:right w:val="none" w:sz="0" w:space="0" w:color="auto"/>
      </w:divBdr>
    </w:div>
    <w:div w:id="2007131733">
      <w:bodyDiv w:val="1"/>
      <w:marLeft w:val="0"/>
      <w:marRight w:val="0"/>
      <w:marTop w:val="0"/>
      <w:marBottom w:val="0"/>
      <w:divBdr>
        <w:top w:val="none" w:sz="0" w:space="0" w:color="auto"/>
        <w:left w:val="none" w:sz="0" w:space="0" w:color="auto"/>
        <w:bottom w:val="none" w:sz="0" w:space="0" w:color="auto"/>
        <w:right w:val="none" w:sz="0" w:space="0" w:color="auto"/>
      </w:divBdr>
    </w:div>
    <w:div w:id="2027517302">
      <w:bodyDiv w:val="1"/>
      <w:marLeft w:val="0"/>
      <w:marRight w:val="0"/>
      <w:marTop w:val="0"/>
      <w:marBottom w:val="0"/>
      <w:divBdr>
        <w:top w:val="none" w:sz="0" w:space="0" w:color="auto"/>
        <w:left w:val="none" w:sz="0" w:space="0" w:color="auto"/>
        <w:bottom w:val="none" w:sz="0" w:space="0" w:color="auto"/>
        <w:right w:val="none" w:sz="0" w:space="0" w:color="auto"/>
      </w:divBdr>
    </w:div>
    <w:div w:id="2078238099">
      <w:bodyDiv w:val="1"/>
      <w:marLeft w:val="0"/>
      <w:marRight w:val="0"/>
      <w:marTop w:val="0"/>
      <w:marBottom w:val="0"/>
      <w:divBdr>
        <w:top w:val="none" w:sz="0" w:space="0" w:color="auto"/>
        <w:left w:val="none" w:sz="0" w:space="0" w:color="auto"/>
        <w:bottom w:val="none" w:sz="0" w:space="0" w:color="auto"/>
        <w:right w:val="none" w:sz="0" w:space="0" w:color="auto"/>
      </w:divBdr>
    </w:div>
    <w:div w:id="210248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3105</Words>
  <Characters>17705</Characters>
  <Application>Microsoft Office Word</Application>
  <DocSecurity>0</DocSecurity>
  <Lines>147</Lines>
  <Paragraphs>41</Paragraphs>
  <ScaleCrop>false</ScaleCrop>
  <Company/>
  <LinksUpToDate>false</LinksUpToDate>
  <CharactersWithSpaces>20769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admwks</dc:creator>
  <cp:keywords/>
  <dc:description/>
  <cp:lastModifiedBy>admwks</cp:lastModifiedBy>
  <cp:revision>30</cp:revision>
  <dcterms:created xsi:type="dcterms:W3CDTF">2015-03-19T08:10:00Z</dcterms:created>
  <dcterms:modified xsi:type="dcterms:W3CDTF">2015-03-19T09:27:00Z</dcterms:modified>
</cp:coreProperties>
</file>